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68F24" w14:textId="3B381432" w:rsidR="00607C24" w:rsidRPr="00C8481B" w:rsidRDefault="00A279B0">
      <w:pPr>
        <w:rPr>
          <w:rFonts w:ascii="Akzidenz-Grotesk BQ Med" w:hAnsi="Akzidenz-Grotesk BQ Med"/>
          <w:sz w:val="52"/>
          <w:szCs w:val="52"/>
        </w:rPr>
      </w:pPr>
      <w:bookmarkStart w:id="0" w:name="_GoBack"/>
      <w:r>
        <w:rPr>
          <w:rFonts w:ascii="Akzidenz-Grotesk BQ Med" w:hAnsi="Akzidenz-Grotesk BQ Med"/>
          <w:sz w:val="52"/>
          <w:szCs w:val="52"/>
        </w:rPr>
        <w:t xml:space="preserve">Philosophy </w:t>
      </w:r>
      <w:r>
        <w:rPr>
          <w:rFonts w:ascii="Akzidenz-Grotesk BQ Med" w:hAnsi="Akzidenz-Grotesk BQ Med"/>
          <w:sz w:val="52"/>
          <w:szCs w:val="52"/>
        </w:rPr>
        <w:br/>
        <w:t>Suggested Summer Reading</w:t>
      </w:r>
    </w:p>
    <w:p w14:paraId="1EBE1E97" w14:textId="77777777" w:rsidR="0051711D" w:rsidRDefault="0051711D">
      <w:pPr>
        <w:rPr>
          <w:rFonts w:ascii="Akzidenz-Grotesk BQ Med" w:hAnsi="Akzidenz-Grotesk BQ Med"/>
          <w:sz w:val="52"/>
          <w:szCs w:val="52"/>
        </w:rPr>
      </w:pPr>
    </w:p>
    <w:p w14:paraId="16628599" w14:textId="77777777" w:rsidR="0051711D" w:rsidRDefault="0051711D">
      <w:pPr>
        <w:rPr>
          <w:rFonts w:ascii="Akzidenz-Grotesk BQ Med" w:hAnsi="Akzidenz-Grotesk BQ Med"/>
          <w:sz w:val="52"/>
          <w:szCs w:val="52"/>
        </w:rPr>
      </w:pPr>
    </w:p>
    <w:p w14:paraId="008999CD" w14:textId="6FA90116" w:rsidR="00A279B0" w:rsidRDefault="00A279B0" w:rsidP="00A279B0">
      <w:pPr>
        <w:rPr>
          <w:rFonts w:ascii="AkzidenzGroteskBQ-Reg" w:eastAsia="Times New Roman" w:hAnsi="AkzidenzGroteskBQ-Reg" w:cs="Tahoma"/>
          <w:color w:val="000000"/>
        </w:rPr>
      </w:pPr>
      <w:r w:rsidRPr="00A279B0">
        <w:rPr>
          <w:rFonts w:ascii="AkzidenzGroteskBQ-Reg" w:eastAsia="Times New Roman" w:hAnsi="AkzidenzGroteskBQ-Reg" w:cs="Tahoma"/>
          <w:color w:val="000000"/>
        </w:rPr>
        <w:t xml:space="preserve">This is a list of interesting and accessible philosophy books which you might want to have a look at before you </w:t>
      </w:r>
      <w:r>
        <w:rPr>
          <w:rFonts w:ascii="AkzidenzGroteskBQ-Reg" w:eastAsia="Times New Roman" w:hAnsi="AkzidenzGroteskBQ-Reg" w:cs="Tahoma"/>
          <w:color w:val="000000"/>
        </w:rPr>
        <w:t xml:space="preserve">start </w:t>
      </w:r>
      <w:r w:rsidRPr="00A279B0">
        <w:rPr>
          <w:rFonts w:ascii="AkzidenzGroteskBQ-Reg" w:eastAsia="Times New Roman" w:hAnsi="AkzidenzGroteskBQ-Reg" w:cs="Tahoma"/>
          <w:color w:val="000000"/>
        </w:rPr>
        <w:t>your course. These are not compulsor</w:t>
      </w:r>
      <w:r>
        <w:rPr>
          <w:rFonts w:ascii="AkzidenzGroteskBQ-Reg" w:eastAsia="Times New Roman" w:hAnsi="AkzidenzGroteskBQ-Reg" w:cs="Tahoma"/>
          <w:color w:val="000000"/>
        </w:rPr>
        <w:t>y in any way and by no means</w:t>
      </w:r>
      <w:r w:rsidRPr="00A279B0">
        <w:rPr>
          <w:rFonts w:ascii="AkzidenzGroteskBQ-Reg" w:eastAsia="Times New Roman" w:hAnsi="AkzidenzGroteskBQ-Reg" w:cs="Tahoma"/>
          <w:color w:val="000000"/>
        </w:rPr>
        <w:t xml:space="preserve"> should </w:t>
      </w:r>
      <w:r>
        <w:rPr>
          <w:rFonts w:ascii="AkzidenzGroteskBQ-Reg" w:eastAsia="Times New Roman" w:hAnsi="AkzidenzGroteskBQ-Reg" w:cs="Tahoma"/>
          <w:color w:val="000000"/>
        </w:rPr>
        <w:t xml:space="preserve">you </w:t>
      </w:r>
      <w:r w:rsidRPr="00A279B0">
        <w:rPr>
          <w:rFonts w:ascii="AkzidenzGroteskBQ-Reg" w:eastAsia="Times New Roman" w:hAnsi="AkzidenzGroteskBQ-Reg" w:cs="Tahoma"/>
          <w:color w:val="000000"/>
        </w:rPr>
        <w:t>try to r</w:t>
      </w:r>
      <w:r>
        <w:rPr>
          <w:rFonts w:ascii="AkzidenzGroteskBQ-Reg" w:eastAsia="Times New Roman" w:hAnsi="AkzidenzGroteskBQ-Reg" w:cs="Tahoma"/>
          <w:color w:val="000000"/>
        </w:rPr>
        <w:t>ead too many of them (after all, it is</w:t>
      </w:r>
      <w:r w:rsidRPr="00A279B0">
        <w:rPr>
          <w:rFonts w:ascii="AkzidenzGroteskBQ-Reg" w:eastAsia="Times New Roman" w:hAnsi="AkzidenzGroteskBQ-Reg" w:cs="Tahoma"/>
          <w:color w:val="000000"/>
        </w:rPr>
        <w:t xml:space="preserve"> summer). But if you have a look at one or two, they will give you a sense of what y</w:t>
      </w:r>
      <w:r>
        <w:rPr>
          <w:rFonts w:ascii="AkzidenzGroteskBQ-Reg" w:eastAsia="Times New Roman" w:hAnsi="AkzidenzGroteskBQ-Reg" w:cs="Tahoma"/>
          <w:color w:val="000000"/>
        </w:rPr>
        <w:t>ou will be doing and also help when you</w:t>
      </w:r>
      <w:r w:rsidRPr="00A279B0">
        <w:rPr>
          <w:rFonts w:ascii="AkzidenzGroteskBQ-Reg" w:eastAsia="Times New Roman" w:hAnsi="AkzidenzGroteskBQ-Reg" w:cs="Tahoma"/>
          <w:color w:val="000000"/>
        </w:rPr>
        <w:t xml:space="preserve"> begin your studies. </w:t>
      </w:r>
    </w:p>
    <w:p w14:paraId="45476495" w14:textId="77777777" w:rsidR="00A279B0" w:rsidRDefault="00A279B0" w:rsidP="00A279B0">
      <w:pPr>
        <w:rPr>
          <w:rFonts w:ascii="AkzidenzGroteskBQ-Reg" w:eastAsia="Times New Roman" w:hAnsi="AkzidenzGroteskBQ-Reg" w:cs="Tahoma"/>
          <w:color w:val="000000"/>
        </w:rPr>
      </w:pPr>
    </w:p>
    <w:p w14:paraId="5EEA6EEF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</w:rPr>
      </w:pPr>
    </w:p>
    <w:p w14:paraId="5E89E9EB" w14:textId="77777777" w:rsidR="0051711D" w:rsidRPr="00A279B0" w:rsidRDefault="0051711D">
      <w:pPr>
        <w:rPr>
          <w:rFonts w:ascii="AkzidenzGroteskBQ-Reg" w:hAnsi="AkzidenzGroteskBQ-Reg"/>
          <w:sz w:val="20"/>
          <w:szCs w:val="20"/>
        </w:rPr>
      </w:pPr>
    </w:p>
    <w:p w14:paraId="6BDFCE8F" w14:textId="77777777" w:rsidR="0051711D" w:rsidRPr="00A279B0" w:rsidRDefault="0051711D" w:rsidP="0051711D">
      <w:pPr>
        <w:pStyle w:val="03BodyCopy"/>
        <w:rPr>
          <w:rStyle w:val="05BodyCopy"/>
          <w:sz w:val="20"/>
          <w:szCs w:val="20"/>
        </w:rPr>
        <w:sectPr w:rsidR="0051711D" w:rsidRPr="00A279B0" w:rsidSect="004E456F">
          <w:headerReference w:type="default" r:id="rId9"/>
          <w:pgSz w:w="11900" w:h="16840"/>
          <w:pgMar w:top="680" w:right="720" w:bottom="720" w:left="720" w:header="2552" w:footer="510" w:gutter="0"/>
          <w:cols w:space="708"/>
          <w:docGrid w:linePitch="360"/>
        </w:sectPr>
      </w:pPr>
    </w:p>
    <w:p w14:paraId="0A8AA1D7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lastRenderedPageBreak/>
        <w:t>General Philosophy:</w:t>
      </w:r>
    </w:p>
    <w:p w14:paraId="036F6058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0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Simon Blackburn: Think (Oxford University Press, 1999)</w:t>
        </w:r>
      </w:hyperlink>
      <w:r w:rsidR="00A279B0"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 </w:t>
      </w:r>
    </w:p>
    <w:p w14:paraId="62CFBC06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1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Earl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Conee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 and Ted Sider: Riddles of Existence (Oxford University Press, 2005)</w:t>
        </w:r>
      </w:hyperlink>
    </w:p>
    <w:p w14:paraId="566D2AE3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2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Steven D. Hales: This is Philosophy: An Introduction (Wiley-Blackwell, 2013)</w:t>
        </w:r>
      </w:hyperlink>
    </w:p>
    <w:p w14:paraId="35133835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3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Thomas Nagel: What Does It All Mean (Oxford University Press, 1987)</w:t>
        </w:r>
      </w:hyperlink>
    </w:p>
    <w:p w14:paraId="3D6018C1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</w:p>
    <w:p w14:paraId="2AA2733D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Ethics:</w:t>
      </w:r>
    </w:p>
    <w:p w14:paraId="352BBDCF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4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Thomas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Hurka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: The Best Things in Life (Oxford University Press, 2011)</w:t>
        </w:r>
      </w:hyperlink>
    </w:p>
    <w:p w14:paraId="6A1D6F16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5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Russ Shafer-Landau: The Fundamentals of Ethics (Oxford University Press, 2011)</w:t>
        </w:r>
      </w:hyperlink>
    </w:p>
    <w:p w14:paraId="063B8460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6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Peter Singer: Practical Ethics (Cambridge University Press, various editions)</w:t>
        </w:r>
      </w:hyperlink>
    </w:p>
    <w:p w14:paraId="34520123" w14:textId="7837FB2D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7" w:history="1"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Heather </w:t>
        </w:r>
        <w:proofErr w:type="spellStart"/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Widdows</w:t>
        </w:r>
        <w:proofErr w:type="spellEnd"/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: Global Ethics: An Introduction (</w:t>
        </w:r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A</w:t>
        </w:r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cumen, 2011)</w:t>
        </w:r>
      </w:hyperlink>
      <w:r w:rsidR="00A279B0"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 xml:space="preserve"> </w:t>
      </w:r>
    </w:p>
    <w:p w14:paraId="49026046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</w:p>
    <w:p w14:paraId="7B343EFC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 xml:space="preserve">History of Philosophy: </w:t>
      </w:r>
    </w:p>
    <w:p w14:paraId="1E61366C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8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Plato: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Meno</w:t>
        </w:r>
        <w:proofErr w:type="spellEnd"/>
      </w:hyperlink>
    </w:p>
    <w:p w14:paraId="12717DDE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19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Descartes: Meditations</w:t>
        </w:r>
      </w:hyperlink>
    </w:p>
    <w:p w14:paraId="26F65CB5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0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Anthony Kenny: An Illustrated Brief History of Philosophy (Oxford University Press, 2006)</w:t>
        </w:r>
      </w:hyperlink>
      <w:r w:rsidR="00A279B0"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 </w:t>
      </w:r>
    </w:p>
    <w:p w14:paraId="544F41ED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1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Wesley Salmon: An Encounter with David Hume</w:t>
        </w:r>
      </w:hyperlink>
    </w:p>
    <w:p w14:paraId="7FA10772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</w:p>
    <w:p w14:paraId="5FA7A543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Philosophy of Mind:</w:t>
      </w:r>
    </w:p>
    <w:p w14:paraId="3D7BD721" w14:textId="07241821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2" w:history="1"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Ian Ravenscroft: A Beginner’s Guide to Philosophy of Mind (Oxford University Press, 2005)</w:t>
        </w:r>
      </w:hyperlink>
    </w:p>
    <w:p w14:paraId="52F8D405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3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John Searle: Mind: A Brief Introduction (Oxford University Press, 2004)</w:t>
        </w:r>
      </w:hyperlink>
    </w:p>
    <w:p w14:paraId="2EEAA526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4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Tim Crane: Elements of Mind (Oxford University Press, 2001)</w:t>
        </w:r>
      </w:hyperlink>
    </w:p>
    <w:p w14:paraId="7ACE7AC4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</w:p>
    <w:p w14:paraId="5E48BAD8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Doing Philosophy:</w:t>
      </w:r>
    </w:p>
    <w:p w14:paraId="2734E43C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5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Julian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Baggini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 and Peter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Fosl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: Philosopher’s Toolkit (Wiley-Blackwell, 2010)</w:t>
        </w:r>
      </w:hyperlink>
    </w:p>
    <w:p w14:paraId="33249DA0" w14:textId="77777777" w:rsidR="00A279B0" w:rsidRPr="00747BC4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6" w:history="1"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Claire Saunders et al: Doing Philosophy: A Practical Guide for Students (Bloomsbury, 2013)</w:t>
        </w:r>
      </w:hyperlink>
      <w:r w:rsidR="00A279B0" w:rsidRPr="00747BC4">
        <w:rPr>
          <w:rFonts w:ascii="AkzidenzGroteskBQ-Reg" w:eastAsia="Times New Roman" w:hAnsi="AkzidenzGroteskBQ-Reg" w:cs="Tahoma"/>
          <w:color w:val="000000"/>
          <w:sz w:val="20"/>
          <w:szCs w:val="20"/>
        </w:rPr>
        <w:t> </w:t>
      </w:r>
    </w:p>
    <w:p w14:paraId="1EBFD613" w14:textId="1F5B28FF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7" w:history="1"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A.P. </w:t>
        </w:r>
        <w:proofErr w:type="spellStart"/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Martinich</w:t>
        </w:r>
        <w:proofErr w:type="spellEnd"/>
        <w:r w:rsidR="00A279B0" w:rsidRPr="00747BC4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: Philosophical Writing: An Introduction (Blackwell, various editions)</w:t>
        </w:r>
      </w:hyperlink>
    </w:p>
    <w:p w14:paraId="40844D4D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</w:p>
    <w:p w14:paraId="2E9657DE" w14:textId="77777777" w:rsidR="00A279B0" w:rsidRPr="00A279B0" w:rsidRDefault="00A279B0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r w:rsidRPr="00A279B0">
        <w:rPr>
          <w:rFonts w:ascii="AkzidenzGroteskBQ-Reg" w:eastAsia="Times New Roman" w:hAnsi="AkzidenzGroteskBQ-Reg" w:cs="Tahoma"/>
          <w:color w:val="000000"/>
          <w:sz w:val="20"/>
          <w:szCs w:val="20"/>
        </w:rPr>
        <w:t>Others:</w:t>
      </w:r>
    </w:p>
    <w:p w14:paraId="58B5B1C5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8" w:history="1"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Yujin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 xml:space="preserve"> 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Nagasawa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: The Existence of God: Philosophical Introduction (</w:t>
        </w:r>
        <w:proofErr w:type="spellStart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Routledge</w:t>
        </w:r>
        <w:proofErr w:type="spellEnd"/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, 2011)</w:t>
        </w:r>
      </w:hyperlink>
    </w:p>
    <w:p w14:paraId="4D71AF67" w14:textId="77777777" w:rsidR="00A279B0" w:rsidRPr="00A279B0" w:rsidRDefault="00747BC4" w:rsidP="00A279B0">
      <w:pPr>
        <w:rPr>
          <w:rFonts w:ascii="AkzidenzGroteskBQ-Reg" w:eastAsia="Times New Roman" w:hAnsi="AkzidenzGroteskBQ-Reg" w:cs="Tahoma"/>
          <w:color w:val="000000"/>
          <w:sz w:val="20"/>
          <w:szCs w:val="20"/>
        </w:rPr>
      </w:pPr>
      <w:hyperlink r:id="rId29" w:anchor="v=onepage&amp;q=joe%20campbell%20free%20will&amp;f=false" w:history="1">
        <w:r w:rsidR="00A279B0" w:rsidRPr="00A279B0">
          <w:rPr>
            <w:rStyle w:val="Hyperlink"/>
            <w:rFonts w:ascii="AkzidenzGroteskBQ-Reg" w:eastAsia="Times New Roman" w:hAnsi="AkzidenzGroteskBQ-Reg" w:cs="Tahoma"/>
            <w:sz w:val="20"/>
            <w:szCs w:val="20"/>
          </w:rPr>
          <w:t>Joseph Campbell: Free Will (Polity, 2011)</w:t>
        </w:r>
      </w:hyperlink>
    </w:p>
    <w:p w14:paraId="13404CB2" w14:textId="1D62DE48" w:rsidR="00A279B0" w:rsidRPr="00C8481B" w:rsidRDefault="00747BC4" w:rsidP="00A279B0">
      <w:pPr>
        <w:rPr>
          <w:rFonts w:ascii="Akzidenz-Grotesk BQ Med" w:hAnsi="Akzidenz-Grotesk BQ Med"/>
          <w:sz w:val="16"/>
          <w:szCs w:val="16"/>
        </w:rPr>
      </w:pPr>
      <w:hyperlink r:id="rId30" w:history="1">
        <w:r w:rsidR="00A279B0" w:rsidRPr="00A279B0">
          <w:rPr>
            <w:rStyle w:val="Hyperlink"/>
            <w:rFonts w:ascii="AkzidenzGroteskBQ-Reg" w:hAnsi="AkzidenzGroteskBQ-Reg"/>
            <w:sz w:val="20"/>
            <w:szCs w:val="20"/>
          </w:rPr>
          <w:t>John Perry: Dialogue on Personal Identity and Immortality (Hackett, 1978)</w:t>
        </w:r>
      </w:hyperlink>
      <w:bookmarkEnd w:id="0"/>
    </w:p>
    <w:sectPr w:rsidR="00A279B0" w:rsidRPr="00C8481B" w:rsidSect="00557BF6">
      <w:type w:val="continuous"/>
      <w:pgSz w:w="11900" w:h="16840"/>
      <w:pgMar w:top="680" w:right="720" w:bottom="720" w:left="720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DAED6" w14:textId="77777777" w:rsidR="00C008CE" w:rsidRDefault="00C008CE" w:rsidP="00325333">
      <w:r>
        <w:separator/>
      </w:r>
    </w:p>
  </w:endnote>
  <w:endnote w:type="continuationSeparator" w:id="0">
    <w:p w14:paraId="2185B0F1" w14:textId="77777777" w:rsidR="00C008CE" w:rsidRDefault="00C008CE" w:rsidP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GroteskBQ-Reg">
    <w:altName w:val="Akzidenz-Grotesk BQ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altName w:val="Akzidenz-Grotesk BQ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9E48B" w14:textId="77777777" w:rsidR="00C008CE" w:rsidRDefault="00C008CE" w:rsidP="00325333">
      <w:r>
        <w:separator/>
      </w:r>
    </w:p>
  </w:footnote>
  <w:footnote w:type="continuationSeparator" w:id="0">
    <w:p w14:paraId="089B4539" w14:textId="77777777" w:rsidR="00C008CE" w:rsidRDefault="00C008CE" w:rsidP="0032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7BBC" w14:textId="77777777" w:rsidR="00323E75" w:rsidRDefault="00323E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049176" wp14:editId="2D4D381B">
          <wp:simplePos x="0" y="0"/>
          <wp:positionH relativeFrom="margin">
            <wp:posOffset>0</wp:posOffset>
          </wp:positionH>
          <wp:positionV relativeFrom="margin">
            <wp:posOffset>-1252855</wp:posOffset>
          </wp:positionV>
          <wp:extent cx="1600200" cy="378460"/>
          <wp:effectExtent l="0" t="0" r="0" b="2540"/>
          <wp:wrapNone/>
          <wp:docPr id="1" name="Picture 1" descr="Untitled:Users:nicarvell:Desktop:7590 SS Rebrand Templates:links:WM CMYK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nicarvell:Desktop:7590 SS Rebrand Templates:links:WM CMYK 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4F"/>
    <w:multiLevelType w:val="hybridMultilevel"/>
    <w:tmpl w:val="96E8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FB5"/>
    <w:multiLevelType w:val="hybridMultilevel"/>
    <w:tmpl w:val="4FC48798"/>
    <w:lvl w:ilvl="0" w:tplc="795E86C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93"/>
    <w:multiLevelType w:val="hybridMultilevel"/>
    <w:tmpl w:val="1AD8514A"/>
    <w:lvl w:ilvl="0" w:tplc="0936958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451F1"/>
    <w:multiLevelType w:val="hybridMultilevel"/>
    <w:tmpl w:val="80C44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CE4"/>
    <w:multiLevelType w:val="hybridMultilevel"/>
    <w:tmpl w:val="1ED655FC"/>
    <w:lvl w:ilvl="0" w:tplc="26D87E2C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62E26"/>
    <w:multiLevelType w:val="hybridMultilevel"/>
    <w:tmpl w:val="355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3C91"/>
    <w:multiLevelType w:val="hybridMultilevel"/>
    <w:tmpl w:val="1DA00EA8"/>
    <w:lvl w:ilvl="0" w:tplc="C98A430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E"/>
    <w:rsid w:val="00102793"/>
    <w:rsid w:val="002B279C"/>
    <w:rsid w:val="003149F3"/>
    <w:rsid w:val="00323E75"/>
    <w:rsid w:val="00325333"/>
    <w:rsid w:val="003A4510"/>
    <w:rsid w:val="00466323"/>
    <w:rsid w:val="004E456F"/>
    <w:rsid w:val="0051711D"/>
    <w:rsid w:val="00557BF6"/>
    <w:rsid w:val="00607C24"/>
    <w:rsid w:val="0068244D"/>
    <w:rsid w:val="006E2C17"/>
    <w:rsid w:val="006E699A"/>
    <w:rsid w:val="00734BB5"/>
    <w:rsid w:val="00747BC4"/>
    <w:rsid w:val="007944E0"/>
    <w:rsid w:val="007B2D16"/>
    <w:rsid w:val="00973BA8"/>
    <w:rsid w:val="00A279B0"/>
    <w:rsid w:val="00AB18C5"/>
    <w:rsid w:val="00AB7E7D"/>
    <w:rsid w:val="00BC1885"/>
    <w:rsid w:val="00C008CE"/>
    <w:rsid w:val="00C4179A"/>
    <w:rsid w:val="00C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F29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7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7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s.google.co.uk/books?id=Nz_XMrjBQEUC&amp;printsec=frontcover&amp;dq=thomas+nagel+what+does+it+all+mean&amp;hl=en&amp;sa=X&amp;ei=Om7dUbGeHqmf0QXCyoDICQ&amp;ved=0CDMQ6AEwAA" TargetMode="External"/><Relationship Id="rId18" Type="http://schemas.openxmlformats.org/officeDocument/2006/relationships/hyperlink" Target="http://classics.mit.edu/Plato/meno.html" TargetMode="External"/><Relationship Id="rId26" Type="http://schemas.openxmlformats.org/officeDocument/2006/relationships/hyperlink" Target="http://books.google.co.uk/books?id=dDwKfyiNEJ4C&amp;printsec=frontcover&amp;dq=danielle+lamb&amp;hl=en&amp;sa=X&amp;ei=i3HdUcbJGvGS0AWIt4HwAg&amp;ved=0CDMQ6AEwA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ky.edu/~mwa229/Salmo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ooks.google.co.uk/books?id=6MRbEzt3zqQC&amp;printsec=frontcover&amp;dq=steven+hales+this+is+philosophy&amp;hl=en&amp;sa=X&amp;ei=DW7dUey4D9CA0AXKuIHgBw&amp;ved=0CDMQ6AEwAA" TargetMode="External"/><Relationship Id="rId17" Type="http://schemas.openxmlformats.org/officeDocument/2006/relationships/hyperlink" Target="http://www.acumenpublishing.co.uk/display.asp?K=e2010112411262375&amp;dtspan=180:420&amp;sort=sort_date/d&amp;m=10&amp;dc=37" TargetMode="External"/><Relationship Id="rId25" Type="http://schemas.openxmlformats.org/officeDocument/2006/relationships/hyperlink" Target="http://books.google.co.uk/books?id=_cSjFknjbuwC&amp;printsec=frontcover&amp;dq=philosophers+toolkit&amp;hl=en&amp;sa=X&amp;ei=FXHdUf_2J-vP0AWkyYD4Cg&amp;ved=0CDEQ6AEwA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google.co.uk/books?id=OZOmSTWZNdcC&amp;printsec=frontcover&amp;dq=peter+singer+practical+ethics&amp;hl=en&amp;sa=X&amp;ei=4W7dUdTeK9Dv0gWwoICIAQ&amp;ved=0CDMQ6AEwAA" TargetMode="External"/><Relationship Id="rId20" Type="http://schemas.openxmlformats.org/officeDocument/2006/relationships/hyperlink" Target="http://books.google.co.uk/books?id=uycHWLae0Q8C&amp;printsec=frontcover&amp;dq=anthony+kenny+history+of+western+philosophy&amp;hl=en&amp;sa=X&amp;ei=BnDdUfTIHcyr0gWIp4GIDA&amp;ved=0CDUQ6AEwAQ" TargetMode="External"/><Relationship Id="rId29" Type="http://schemas.openxmlformats.org/officeDocument/2006/relationships/hyperlink" Target="http://books.google.co.uk/books?id=8hpaDSiAqmoC&amp;printsec=frontcover&amp;dq=joe+campbell+free+will&amp;hl=en&amp;sa=X&amp;ei=tnfdUZH1CIeo0QXK4IH4Cw&amp;ved=0CDMQ6AEw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.google.co.uk/books?id=acWoJH19EGQC&amp;printsec=frontcover&amp;dq=riddles+of+existence&amp;hl=en&amp;sa=X&amp;ei=-3fdUcWyIJOc0wXPvYHgDQ&amp;ved=0CDMQ6AEwAA" TargetMode="External"/><Relationship Id="rId24" Type="http://schemas.openxmlformats.org/officeDocument/2006/relationships/hyperlink" Target="http://books.google.co.uk/books?id=u8twQgAACAAJ&amp;dq=tim+crane+elements+of+mind&amp;hl=en&amp;sa=X&amp;ei=XXfdUdrxKOn20gWauIEI&amp;ved=0CDsQ6AEwA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ooks.google.co.uk/books?id=LQNczgAACAAJ&amp;dq=shafer-landau+the+fundamentals+of+ethics&amp;hl=en&amp;sa=X&amp;ei=tG3dUZPvBMHz0gXmwYA4&amp;ved=0CDsQ6AEwAA" TargetMode="External"/><Relationship Id="rId23" Type="http://schemas.openxmlformats.org/officeDocument/2006/relationships/hyperlink" Target="http://books.google.co.uk/books/about/Mind_A_Brief_Introduction.html?id=oSm8JUHJXqcC&amp;redir_esc=y" TargetMode="External"/><Relationship Id="rId28" Type="http://schemas.openxmlformats.org/officeDocument/2006/relationships/hyperlink" Target="http://books.google.co.uk/books?id=WKkJJE1BTTgC&amp;printsec=frontcover&amp;dq=yujin+nagasawa&amp;hl=en&amp;sa=X&amp;ei=ynjdUf6-B5Dv0gXY6YCACw&amp;ved=0CDsQ6AEwAA" TargetMode="External"/><Relationship Id="rId10" Type="http://schemas.openxmlformats.org/officeDocument/2006/relationships/hyperlink" Target="http://books.google.co.uk/books/about/Think.html?id=Z8_ecemnfvsC&amp;redir_esc=y" TargetMode="External"/><Relationship Id="rId19" Type="http://schemas.openxmlformats.org/officeDocument/2006/relationships/hyperlink" Target="http://oregonstate.edu/instruct/phl302/texts/descartes/meditations/meditations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ooks.google.co.uk/books?id=V06jg3iwkeEC&amp;printsec=frontcover&amp;dq=hurka+the+best+things+in+life&amp;hl=en&amp;sa=X&amp;ei=t2_dUauOMoez0QXBuICwCA&amp;ved=0CDMQ6AEwAA" TargetMode="External"/><Relationship Id="rId22" Type="http://schemas.openxmlformats.org/officeDocument/2006/relationships/hyperlink" Target="http://www.amazon.co.uk/Philosophy-Mind-Beginners-Ian-Ravenscroft/dp/0199252548" TargetMode="External"/><Relationship Id="rId27" Type="http://schemas.openxmlformats.org/officeDocument/2006/relationships/hyperlink" Target="http://www.amazon.co.uk/Philosophical-Writing-Introduction-P-Martinich/dp/1405131675" TargetMode="External"/><Relationship Id="rId30" Type="http://schemas.openxmlformats.org/officeDocument/2006/relationships/hyperlink" Target="http://books.google.co.uk/books?id=ZPmS70gFqFQC&amp;printsec=frontcover&amp;dq=john+perry+dialogue+on+personal+identity+and+immortality&amp;hl=en&amp;sa=X&amp;ei=bXjdUbShMPGl0wXUp4B4&amp;ved=0CDcQ6AEw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F29E4-9FAF-4542-BB14-9C71FB7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Evans</dc:creator>
  <cp:lastModifiedBy>callocaladmin</cp:lastModifiedBy>
  <cp:revision>5</cp:revision>
  <cp:lastPrinted>2013-07-11T09:20:00Z</cp:lastPrinted>
  <dcterms:created xsi:type="dcterms:W3CDTF">2013-07-11T09:19:00Z</dcterms:created>
  <dcterms:modified xsi:type="dcterms:W3CDTF">2013-07-11T13:03:00Z</dcterms:modified>
</cp:coreProperties>
</file>