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6751" w14:textId="77777777" w:rsidR="00D7036B" w:rsidRDefault="00D7036B" w:rsidP="00D7036B"/>
    <w:p w14:paraId="7C8C7B4B" w14:textId="77777777" w:rsidR="00895128" w:rsidRDefault="00895128" w:rsidP="00D7036B"/>
    <w:p w14:paraId="3462E99A"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51A88E70" w14:textId="76761DCF" w:rsidR="00895128" w:rsidRDefault="00AF5BCF" w:rsidP="00A75686">
      <w:pPr>
        <w:pStyle w:val="Title"/>
      </w:pPr>
      <w:r>
        <w:t>participant engagement and informed consent</w:t>
      </w:r>
    </w:p>
    <w:p w14:paraId="4A6D4231" w14:textId="77777777" w:rsidR="00A31C6D" w:rsidRDefault="00A31C6D" w:rsidP="00A31C6D"/>
    <w:p w14:paraId="5C913408"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895128" w14:paraId="28AA4C84" w14:textId="77777777" w:rsidTr="00C90371">
        <w:tc>
          <w:tcPr>
            <w:tcW w:w="1696" w:type="dxa"/>
          </w:tcPr>
          <w:p w14:paraId="4985F5C4" w14:textId="77777777" w:rsidR="00895128" w:rsidRPr="00895128" w:rsidRDefault="00895128" w:rsidP="00A31C6D">
            <w:pPr>
              <w:rPr>
                <w:b/>
                <w:bCs/>
              </w:rPr>
            </w:pPr>
            <w:r w:rsidRPr="00895128">
              <w:rPr>
                <w:b/>
                <w:bCs/>
              </w:rPr>
              <w:t>Supersedes:</w:t>
            </w:r>
          </w:p>
        </w:tc>
        <w:tc>
          <w:tcPr>
            <w:tcW w:w="7321" w:type="dxa"/>
          </w:tcPr>
          <w:p w14:paraId="33323865" w14:textId="54D8100D" w:rsidR="00895128" w:rsidRDefault="00F3444B" w:rsidP="00A31C6D">
            <w:r>
              <w:t>Participant Engagement SOP (UoB-PEI-SOP-001, v</w:t>
            </w:r>
            <w:r w:rsidR="00BF27AF">
              <w:t>1</w:t>
            </w:r>
            <w:r w:rsidR="004934A3">
              <w:t>.0</w:t>
            </w:r>
            <w:r>
              <w:t>)</w:t>
            </w:r>
          </w:p>
        </w:tc>
      </w:tr>
      <w:tr w:rsidR="00895128" w14:paraId="5EBD9C8F" w14:textId="77777777" w:rsidTr="00C90371">
        <w:tc>
          <w:tcPr>
            <w:tcW w:w="1696" w:type="dxa"/>
          </w:tcPr>
          <w:p w14:paraId="284624EB" w14:textId="77777777" w:rsidR="00895128" w:rsidRPr="00895128" w:rsidRDefault="00895128" w:rsidP="00A31C6D">
            <w:pPr>
              <w:rPr>
                <w:b/>
                <w:bCs/>
              </w:rPr>
            </w:pPr>
            <w:r w:rsidRPr="00895128">
              <w:rPr>
                <w:b/>
                <w:bCs/>
              </w:rPr>
              <w:t>Last reviewed:</w:t>
            </w:r>
          </w:p>
        </w:tc>
        <w:tc>
          <w:tcPr>
            <w:tcW w:w="7321" w:type="dxa"/>
          </w:tcPr>
          <w:p w14:paraId="2603115B" w14:textId="37D9B1E8" w:rsidR="00895128" w:rsidRDefault="004934A3" w:rsidP="00A31C6D">
            <w:r>
              <w:t>Jul 2024</w:t>
            </w:r>
          </w:p>
        </w:tc>
      </w:tr>
      <w:tr w:rsidR="00895128" w14:paraId="621F7900" w14:textId="77777777" w:rsidTr="00C90371">
        <w:tc>
          <w:tcPr>
            <w:tcW w:w="1696" w:type="dxa"/>
          </w:tcPr>
          <w:p w14:paraId="2B2C0540" w14:textId="77777777" w:rsidR="00895128" w:rsidRPr="00895128" w:rsidRDefault="00895128" w:rsidP="00A31C6D">
            <w:pPr>
              <w:rPr>
                <w:b/>
                <w:bCs/>
              </w:rPr>
            </w:pPr>
            <w:r w:rsidRPr="00895128">
              <w:rPr>
                <w:b/>
                <w:bCs/>
              </w:rPr>
              <w:t>Next review in:</w:t>
            </w:r>
          </w:p>
        </w:tc>
        <w:tc>
          <w:tcPr>
            <w:tcW w:w="7321" w:type="dxa"/>
          </w:tcPr>
          <w:p w14:paraId="52D21FEC" w14:textId="6C902E03" w:rsidR="00895128" w:rsidRDefault="004934A3" w:rsidP="00A31C6D">
            <w:r>
              <w:t>2027, Quarter 3 (Jul-Sep)</w:t>
            </w:r>
          </w:p>
        </w:tc>
      </w:tr>
    </w:tbl>
    <w:p w14:paraId="6C71CDCA" w14:textId="77777777" w:rsidR="00895128" w:rsidRDefault="00895128" w:rsidP="00A31C6D"/>
    <w:p w14:paraId="64F0A196" w14:textId="77777777" w:rsidR="00895128" w:rsidRDefault="00895128" w:rsidP="00A31C6D"/>
    <w:p w14:paraId="7E73E436" w14:textId="77777777" w:rsidR="00895128" w:rsidRDefault="00895128" w:rsidP="00A31C6D"/>
    <w:p w14:paraId="3F06DAF6"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050AE637" w14:textId="77777777" w:rsidR="00A86630" w:rsidRDefault="00A86630" w:rsidP="007773B9">
      <w:pPr>
        <w:tabs>
          <w:tab w:val="left" w:pos="3654"/>
        </w:tabs>
      </w:pPr>
    </w:p>
    <w:p w14:paraId="0E2E6D1A" w14:textId="77777777" w:rsidR="00A86630" w:rsidRDefault="00A86630" w:rsidP="007773B9">
      <w:pPr>
        <w:tabs>
          <w:tab w:val="left" w:pos="3654"/>
        </w:tabs>
      </w:pPr>
    </w:p>
    <w:p w14:paraId="44405D53" w14:textId="77777777" w:rsidR="0097056C" w:rsidRDefault="0097056C" w:rsidP="007773B9">
      <w:pPr>
        <w:tabs>
          <w:tab w:val="left" w:pos="3654"/>
        </w:tabs>
      </w:pPr>
    </w:p>
    <w:p w14:paraId="17392A05" w14:textId="0C7BAC23" w:rsidR="00865494" w:rsidRDefault="00865494" w:rsidP="00865494">
      <w:pPr>
        <w:tabs>
          <w:tab w:val="left" w:pos="7488"/>
        </w:tabs>
      </w:pPr>
      <w:r>
        <w:tab/>
      </w:r>
    </w:p>
    <w:p w14:paraId="261C3CDD" w14:textId="6AA30ECD" w:rsidR="00865494" w:rsidRPr="00865494" w:rsidRDefault="00865494" w:rsidP="00865494">
      <w:pPr>
        <w:tabs>
          <w:tab w:val="left" w:pos="7488"/>
        </w:tabs>
        <w:sectPr w:rsidR="00865494" w:rsidRPr="00865494" w:rsidSect="00D7036B">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r>
        <w:tab/>
      </w: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2457A987"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5F9C1533" w14:textId="2F932C04" w:rsidR="00865494"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170908460" w:history="1">
            <w:r w:rsidR="00865494" w:rsidRPr="001A07C5">
              <w:rPr>
                <w:rStyle w:val="Hyperlink"/>
              </w:rPr>
              <w:t>Purpose</w:t>
            </w:r>
            <w:r w:rsidR="00865494">
              <w:rPr>
                <w:webHidden/>
              </w:rPr>
              <w:tab/>
            </w:r>
            <w:r w:rsidR="00865494">
              <w:rPr>
                <w:webHidden/>
              </w:rPr>
              <w:fldChar w:fldCharType="begin"/>
            </w:r>
            <w:r w:rsidR="00865494">
              <w:rPr>
                <w:webHidden/>
              </w:rPr>
              <w:instrText xml:space="preserve"> PAGEREF _Toc170908460 \h </w:instrText>
            </w:r>
            <w:r w:rsidR="00865494">
              <w:rPr>
                <w:webHidden/>
              </w:rPr>
            </w:r>
            <w:r w:rsidR="00865494">
              <w:rPr>
                <w:webHidden/>
              </w:rPr>
              <w:fldChar w:fldCharType="separate"/>
            </w:r>
            <w:r w:rsidR="00865494">
              <w:rPr>
                <w:webHidden/>
              </w:rPr>
              <w:t>3</w:t>
            </w:r>
            <w:r w:rsidR="00865494">
              <w:rPr>
                <w:webHidden/>
              </w:rPr>
              <w:fldChar w:fldCharType="end"/>
            </w:r>
          </w:hyperlink>
        </w:p>
        <w:p w14:paraId="01E6201F" w14:textId="282DC105"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1" w:history="1">
            <w:r w:rsidR="00865494" w:rsidRPr="001A07C5">
              <w:rPr>
                <w:rStyle w:val="Hyperlink"/>
              </w:rPr>
              <w:t>Scope</w:t>
            </w:r>
            <w:r w:rsidR="00865494">
              <w:rPr>
                <w:webHidden/>
              </w:rPr>
              <w:tab/>
            </w:r>
            <w:r w:rsidR="00865494">
              <w:rPr>
                <w:webHidden/>
              </w:rPr>
              <w:fldChar w:fldCharType="begin"/>
            </w:r>
            <w:r w:rsidR="00865494">
              <w:rPr>
                <w:webHidden/>
              </w:rPr>
              <w:instrText xml:space="preserve"> PAGEREF _Toc170908461 \h </w:instrText>
            </w:r>
            <w:r w:rsidR="00865494">
              <w:rPr>
                <w:webHidden/>
              </w:rPr>
            </w:r>
            <w:r w:rsidR="00865494">
              <w:rPr>
                <w:webHidden/>
              </w:rPr>
              <w:fldChar w:fldCharType="separate"/>
            </w:r>
            <w:r w:rsidR="00865494">
              <w:rPr>
                <w:webHidden/>
              </w:rPr>
              <w:t>3</w:t>
            </w:r>
            <w:r w:rsidR="00865494">
              <w:rPr>
                <w:webHidden/>
              </w:rPr>
              <w:fldChar w:fldCharType="end"/>
            </w:r>
          </w:hyperlink>
        </w:p>
        <w:p w14:paraId="746AE986" w14:textId="724DB20C"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2" w:history="1">
            <w:r w:rsidR="00865494" w:rsidRPr="001A07C5">
              <w:rPr>
                <w:rStyle w:val="Hyperlink"/>
              </w:rPr>
              <w:t>Implementation plan</w:t>
            </w:r>
            <w:r w:rsidR="00865494">
              <w:rPr>
                <w:webHidden/>
              </w:rPr>
              <w:tab/>
            </w:r>
            <w:r w:rsidR="00865494">
              <w:rPr>
                <w:webHidden/>
              </w:rPr>
              <w:fldChar w:fldCharType="begin"/>
            </w:r>
            <w:r w:rsidR="00865494">
              <w:rPr>
                <w:webHidden/>
              </w:rPr>
              <w:instrText xml:space="preserve"> PAGEREF _Toc170908462 \h </w:instrText>
            </w:r>
            <w:r w:rsidR="00865494">
              <w:rPr>
                <w:webHidden/>
              </w:rPr>
            </w:r>
            <w:r w:rsidR="00865494">
              <w:rPr>
                <w:webHidden/>
              </w:rPr>
              <w:fldChar w:fldCharType="separate"/>
            </w:r>
            <w:r w:rsidR="00865494">
              <w:rPr>
                <w:webHidden/>
              </w:rPr>
              <w:t>3</w:t>
            </w:r>
            <w:r w:rsidR="00865494">
              <w:rPr>
                <w:webHidden/>
              </w:rPr>
              <w:fldChar w:fldCharType="end"/>
            </w:r>
          </w:hyperlink>
        </w:p>
        <w:p w14:paraId="448DB696" w14:textId="7A096F08"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3" w:history="1">
            <w:r w:rsidR="00865494" w:rsidRPr="001A07C5">
              <w:rPr>
                <w:rStyle w:val="Hyperlink"/>
              </w:rPr>
              <w:t>Stakeholders</w:t>
            </w:r>
            <w:r w:rsidR="00865494">
              <w:rPr>
                <w:webHidden/>
              </w:rPr>
              <w:tab/>
            </w:r>
            <w:r w:rsidR="00865494">
              <w:rPr>
                <w:webHidden/>
              </w:rPr>
              <w:fldChar w:fldCharType="begin"/>
            </w:r>
            <w:r w:rsidR="00865494">
              <w:rPr>
                <w:webHidden/>
              </w:rPr>
              <w:instrText xml:space="preserve"> PAGEREF _Toc170908463 \h </w:instrText>
            </w:r>
            <w:r w:rsidR="00865494">
              <w:rPr>
                <w:webHidden/>
              </w:rPr>
            </w:r>
            <w:r w:rsidR="00865494">
              <w:rPr>
                <w:webHidden/>
              </w:rPr>
              <w:fldChar w:fldCharType="separate"/>
            </w:r>
            <w:r w:rsidR="00865494">
              <w:rPr>
                <w:webHidden/>
              </w:rPr>
              <w:t>3</w:t>
            </w:r>
            <w:r w:rsidR="00865494">
              <w:rPr>
                <w:webHidden/>
              </w:rPr>
              <w:fldChar w:fldCharType="end"/>
            </w:r>
          </w:hyperlink>
        </w:p>
        <w:p w14:paraId="0BA28178" w14:textId="58113882"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4" w:history="1">
            <w:r w:rsidR="00865494" w:rsidRPr="001A07C5">
              <w:rPr>
                <w:rStyle w:val="Hyperlink"/>
              </w:rPr>
              <w:t>Background</w:t>
            </w:r>
            <w:r w:rsidR="00865494">
              <w:rPr>
                <w:webHidden/>
              </w:rPr>
              <w:tab/>
            </w:r>
            <w:r w:rsidR="00865494">
              <w:rPr>
                <w:webHidden/>
              </w:rPr>
              <w:fldChar w:fldCharType="begin"/>
            </w:r>
            <w:r w:rsidR="00865494">
              <w:rPr>
                <w:webHidden/>
              </w:rPr>
              <w:instrText xml:space="preserve"> PAGEREF _Toc170908464 \h </w:instrText>
            </w:r>
            <w:r w:rsidR="00865494">
              <w:rPr>
                <w:webHidden/>
              </w:rPr>
            </w:r>
            <w:r w:rsidR="00865494">
              <w:rPr>
                <w:webHidden/>
              </w:rPr>
              <w:fldChar w:fldCharType="separate"/>
            </w:r>
            <w:r w:rsidR="00865494">
              <w:rPr>
                <w:webHidden/>
              </w:rPr>
              <w:t>4</w:t>
            </w:r>
            <w:r w:rsidR="00865494">
              <w:rPr>
                <w:webHidden/>
              </w:rPr>
              <w:fldChar w:fldCharType="end"/>
            </w:r>
          </w:hyperlink>
        </w:p>
        <w:p w14:paraId="744D9E6D" w14:textId="079B0A1D"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5" w:history="1">
            <w:r w:rsidR="00865494" w:rsidRPr="001A07C5">
              <w:rPr>
                <w:rStyle w:val="Hyperlink"/>
              </w:rPr>
              <w:t>Process map</w:t>
            </w:r>
            <w:r w:rsidR="00865494">
              <w:rPr>
                <w:webHidden/>
              </w:rPr>
              <w:tab/>
            </w:r>
            <w:r w:rsidR="00865494">
              <w:rPr>
                <w:webHidden/>
              </w:rPr>
              <w:fldChar w:fldCharType="begin"/>
            </w:r>
            <w:r w:rsidR="00865494">
              <w:rPr>
                <w:webHidden/>
              </w:rPr>
              <w:instrText xml:space="preserve"> PAGEREF _Toc170908465 \h </w:instrText>
            </w:r>
            <w:r w:rsidR="00865494">
              <w:rPr>
                <w:webHidden/>
              </w:rPr>
            </w:r>
            <w:r w:rsidR="00865494">
              <w:rPr>
                <w:webHidden/>
              </w:rPr>
              <w:fldChar w:fldCharType="separate"/>
            </w:r>
            <w:r w:rsidR="00865494">
              <w:rPr>
                <w:webHidden/>
              </w:rPr>
              <w:t>5</w:t>
            </w:r>
            <w:r w:rsidR="00865494">
              <w:rPr>
                <w:webHidden/>
              </w:rPr>
              <w:fldChar w:fldCharType="end"/>
            </w:r>
          </w:hyperlink>
        </w:p>
        <w:p w14:paraId="60C3A086" w14:textId="4721348D"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66" w:history="1">
            <w:r w:rsidR="00865494" w:rsidRPr="001A07C5">
              <w:rPr>
                <w:rStyle w:val="Hyperlink"/>
              </w:rPr>
              <w:t>Procedure</w:t>
            </w:r>
            <w:r w:rsidR="00865494">
              <w:rPr>
                <w:webHidden/>
              </w:rPr>
              <w:tab/>
            </w:r>
            <w:r w:rsidR="00865494">
              <w:rPr>
                <w:webHidden/>
              </w:rPr>
              <w:fldChar w:fldCharType="begin"/>
            </w:r>
            <w:r w:rsidR="00865494">
              <w:rPr>
                <w:webHidden/>
              </w:rPr>
              <w:instrText xml:space="preserve"> PAGEREF _Toc170908466 \h </w:instrText>
            </w:r>
            <w:r w:rsidR="00865494">
              <w:rPr>
                <w:webHidden/>
              </w:rPr>
            </w:r>
            <w:r w:rsidR="00865494">
              <w:rPr>
                <w:webHidden/>
              </w:rPr>
              <w:fldChar w:fldCharType="separate"/>
            </w:r>
            <w:r w:rsidR="00865494">
              <w:rPr>
                <w:webHidden/>
              </w:rPr>
              <w:t>6</w:t>
            </w:r>
            <w:r w:rsidR="00865494">
              <w:rPr>
                <w:webHidden/>
              </w:rPr>
              <w:fldChar w:fldCharType="end"/>
            </w:r>
          </w:hyperlink>
        </w:p>
        <w:p w14:paraId="4BF2284B" w14:textId="39F0050A"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67" w:history="1">
            <w:r w:rsidR="00865494" w:rsidRPr="001A07C5">
              <w:rPr>
                <w:rStyle w:val="Hyperlink"/>
                <w:noProof/>
              </w:rPr>
              <w:t>1.</w:t>
            </w:r>
            <w:r w:rsidR="00865494">
              <w:rPr>
                <w:rFonts w:asciiTheme="minorHAnsi" w:eastAsiaTheme="minorEastAsia" w:hAnsiTheme="minorHAnsi" w:cstheme="minorBidi"/>
                <w:noProof/>
                <w:kern w:val="2"/>
                <w:sz w:val="24"/>
                <w:szCs w:val="24"/>
                <w:lang w:eastAsia="en-GB"/>
                <w14:ligatures w14:val="standardContextual"/>
              </w:rPr>
              <w:tab/>
            </w:r>
            <w:r w:rsidR="00865494" w:rsidRPr="001A07C5">
              <w:rPr>
                <w:rStyle w:val="Hyperlink"/>
                <w:noProof/>
              </w:rPr>
              <w:t>Protocol development</w:t>
            </w:r>
            <w:r w:rsidR="00865494">
              <w:rPr>
                <w:noProof/>
                <w:webHidden/>
              </w:rPr>
              <w:tab/>
            </w:r>
            <w:r w:rsidR="00865494">
              <w:rPr>
                <w:noProof/>
                <w:webHidden/>
              </w:rPr>
              <w:fldChar w:fldCharType="begin"/>
            </w:r>
            <w:r w:rsidR="00865494">
              <w:rPr>
                <w:noProof/>
                <w:webHidden/>
              </w:rPr>
              <w:instrText xml:space="preserve"> PAGEREF _Toc170908467 \h </w:instrText>
            </w:r>
            <w:r w:rsidR="00865494">
              <w:rPr>
                <w:noProof/>
                <w:webHidden/>
              </w:rPr>
            </w:r>
            <w:r w:rsidR="00865494">
              <w:rPr>
                <w:noProof/>
                <w:webHidden/>
              </w:rPr>
              <w:fldChar w:fldCharType="separate"/>
            </w:r>
            <w:r w:rsidR="00865494">
              <w:rPr>
                <w:noProof/>
                <w:webHidden/>
              </w:rPr>
              <w:t>6</w:t>
            </w:r>
            <w:r w:rsidR="00865494">
              <w:rPr>
                <w:noProof/>
                <w:webHidden/>
              </w:rPr>
              <w:fldChar w:fldCharType="end"/>
            </w:r>
          </w:hyperlink>
        </w:p>
        <w:p w14:paraId="2400A981" w14:textId="1B0B24CC"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68" w:history="1">
            <w:r w:rsidR="00865494" w:rsidRPr="001A07C5">
              <w:rPr>
                <w:rStyle w:val="Hyperlink"/>
                <w:noProof/>
              </w:rPr>
              <w:t>2.</w:t>
            </w:r>
            <w:r w:rsidR="00865494">
              <w:rPr>
                <w:rFonts w:asciiTheme="minorHAnsi" w:eastAsiaTheme="minorEastAsia" w:hAnsiTheme="minorHAnsi" w:cstheme="minorBidi"/>
                <w:noProof/>
                <w:kern w:val="2"/>
                <w:sz w:val="24"/>
                <w:szCs w:val="24"/>
                <w:lang w:eastAsia="en-GB"/>
                <w14:ligatures w14:val="standardContextual"/>
              </w:rPr>
              <w:tab/>
            </w:r>
            <w:r w:rsidR="00865494" w:rsidRPr="001A07C5">
              <w:rPr>
                <w:rStyle w:val="Hyperlink"/>
                <w:noProof/>
              </w:rPr>
              <w:t>Develop participant documents</w:t>
            </w:r>
            <w:r w:rsidR="00865494">
              <w:rPr>
                <w:noProof/>
                <w:webHidden/>
              </w:rPr>
              <w:tab/>
            </w:r>
            <w:r w:rsidR="00865494">
              <w:rPr>
                <w:noProof/>
                <w:webHidden/>
              </w:rPr>
              <w:fldChar w:fldCharType="begin"/>
            </w:r>
            <w:r w:rsidR="00865494">
              <w:rPr>
                <w:noProof/>
                <w:webHidden/>
              </w:rPr>
              <w:instrText xml:space="preserve"> PAGEREF _Toc170908468 \h </w:instrText>
            </w:r>
            <w:r w:rsidR="00865494">
              <w:rPr>
                <w:noProof/>
                <w:webHidden/>
              </w:rPr>
            </w:r>
            <w:r w:rsidR="00865494">
              <w:rPr>
                <w:noProof/>
                <w:webHidden/>
              </w:rPr>
              <w:fldChar w:fldCharType="separate"/>
            </w:r>
            <w:r w:rsidR="00865494">
              <w:rPr>
                <w:noProof/>
                <w:webHidden/>
              </w:rPr>
              <w:t>6</w:t>
            </w:r>
            <w:r w:rsidR="00865494">
              <w:rPr>
                <w:noProof/>
                <w:webHidden/>
              </w:rPr>
              <w:fldChar w:fldCharType="end"/>
            </w:r>
          </w:hyperlink>
        </w:p>
        <w:p w14:paraId="48736EB0" w14:textId="6E8DA638"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69" w:history="1">
            <w:r w:rsidR="00865494" w:rsidRPr="001A07C5">
              <w:rPr>
                <w:rStyle w:val="Hyperlink"/>
                <w:noProof/>
              </w:rPr>
              <w:t>3.</w:t>
            </w:r>
            <w:r w:rsidR="00865494">
              <w:rPr>
                <w:rFonts w:asciiTheme="minorHAnsi" w:eastAsiaTheme="minorEastAsia" w:hAnsiTheme="minorHAnsi" w:cstheme="minorBidi"/>
                <w:noProof/>
                <w:kern w:val="2"/>
                <w:sz w:val="24"/>
                <w:szCs w:val="24"/>
                <w:lang w:eastAsia="en-GB"/>
                <w14:ligatures w14:val="standardContextual"/>
              </w:rPr>
              <w:tab/>
            </w:r>
            <w:r w:rsidR="00865494" w:rsidRPr="001A07C5">
              <w:rPr>
                <w:rStyle w:val="Hyperlink"/>
                <w:noProof/>
              </w:rPr>
              <w:t>Handling personal data</w:t>
            </w:r>
            <w:r w:rsidR="00865494">
              <w:rPr>
                <w:noProof/>
                <w:webHidden/>
              </w:rPr>
              <w:tab/>
            </w:r>
            <w:r w:rsidR="00865494">
              <w:rPr>
                <w:noProof/>
                <w:webHidden/>
              </w:rPr>
              <w:fldChar w:fldCharType="begin"/>
            </w:r>
            <w:r w:rsidR="00865494">
              <w:rPr>
                <w:noProof/>
                <w:webHidden/>
              </w:rPr>
              <w:instrText xml:space="preserve"> PAGEREF _Toc170908469 \h </w:instrText>
            </w:r>
            <w:r w:rsidR="00865494">
              <w:rPr>
                <w:noProof/>
                <w:webHidden/>
              </w:rPr>
            </w:r>
            <w:r w:rsidR="00865494">
              <w:rPr>
                <w:noProof/>
                <w:webHidden/>
              </w:rPr>
              <w:fldChar w:fldCharType="separate"/>
            </w:r>
            <w:r w:rsidR="00865494">
              <w:rPr>
                <w:noProof/>
                <w:webHidden/>
              </w:rPr>
              <w:t>8</w:t>
            </w:r>
            <w:r w:rsidR="00865494">
              <w:rPr>
                <w:noProof/>
                <w:webHidden/>
              </w:rPr>
              <w:fldChar w:fldCharType="end"/>
            </w:r>
          </w:hyperlink>
        </w:p>
        <w:p w14:paraId="0F6A31F4" w14:textId="343CBA8F"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70" w:history="1">
            <w:r w:rsidR="00865494" w:rsidRPr="001A07C5">
              <w:rPr>
                <w:rStyle w:val="Hyperlink"/>
                <w:noProof/>
              </w:rPr>
              <w:t>4.</w:t>
            </w:r>
            <w:r w:rsidR="00865494">
              <w:rPr>
                <w:rFonts w:asciiTheme="minorHAnsi" w:eastAsiaTheme="minorEastAsia" w:hAnsiTheme="minorHAnsi" w:cstheme="minorBidi"/>
                <w:noProof/>
                <w:kern w:val="2"/>
                <w:sz w:val="24"/>
                <w:szCs w:val="24"/>
                <w:lang w:eastAsia="en-GB"/>
                <w14:ligatures w14:val="standardContextual"/>
              </w:rPr>
              <w:tab/>
            </w:r>
            <w:r w:rsidR="00865494" w:rsidRPr="001A07C5">
              <w:rPr>
                <w:rStyle w:val="Hyperlink"/>
                <w:noProof/>
              </w:rPr>
              <w:t>Participant recruitment and informed consent</w:t>
            </w:r>
            <w:r w:rsidR="00865494">
              <w:rPr>
                <w:noProof/>
                <w:webHidden/>
              </w:rPr>
              <w:tab/>
            </w:r>
            <w:r w:rsidR="00865494">
              <w:rPr>
                <w:noProof/>
                <w:webHidden/>
              </w:rPr>
              <w:fldChar w:fldCharType="begin"/>
            </w:r>
            <w:r w:rsidR="00865494">
              <w:rPr>
                <w:noProof/>
                <w:webHidden/>
              </w:rPr>
              <w:instrText xml:space="preserve"> PAGEREF _Toc170908470 \h </w:instrText>
            </w:r>
            <w:r w:rsidR="00865494">
              <w:rPr>
                <w:noProof/>
                <w:webHidden/>
              </w:rPr>
            </w:r>
            <w:r w:rsidR="00865494">
              <w:rPr>
                <w:noProof/>
                <w:webHidden/>
              </w:rPr>
              <w:fldChar w:fldCharType="separate"/>
            </w:r>
            <w:r w:rsidR="00865494">
              <w:rPr>
                <w:noProof/>
                <w:webHidden/>
              </w:rPr>
              <w:t>8</w:t>
            </w:r>
            <w:r w:rsidR="00865494">
              <w:rPr>
                <w:noProof/>
                <w:webHidden/>
              </w:rPr>
              <w:fldChar w:fldCharType="end"/>
            </w:r>
          </w:hyperlink>
        </w:p>
        <w:p w14:paraId="780B1336" w14:textId="15818242"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71" w:history="1">
            <w:r w:rsidR="00865494" w:rsidRPr="001A07C5">
              <w:rPr>
                <w:rStyle w:val="Hyperlink"/>
                <w:noProof/>
              </w:rPr>
              <w:t>5.</w:t>
            </w:r>
            <w:r w:rsidR="00865494">
              <w:rPr>
                <w:rFonts w:asciiTheme="minorHAnsi" w:eastAsiaTheme="minorEastAsia" w:hAnsiTheme="minorHAnsi" w:cstheme="minorBidi"/>
                <w:noProof/>
                <w:kern w:val="2"/>
                <w:sz w:val="24"/>
                <w:szCs w:val="24"/>
                <w:lang w:eastAsia="en-GB"/>
                <w14:ligatures w14:val="standardContextual"/>
              </w:rPr>
              <w:tab/>
            </w:r>
            <w:r w:rsidR="00865494" w:rsidRPr="001A07C5">
              <w:rPr>
                <w:rStyle w:val="Hyperlink"/>
                <w:noProof/>
              </w:rPr>
              <w:t>e-consent</w:t>
            </w:r>
            <w:r w:rsidR="00865494">
              <w:rPr>
                <w:noProof/>
                <w:webHidden/>
              </w:rPr>
              <w:tab/>
            </w:r>
            <w:r w:rsidR="00865494">
              <w:rPr>
                <w:noProof/>
                <w:webHidden/>
              </w:rPr>
              <w:fldChar w:fldCharType="begin"/>
            </w:r>
            <w:r w:rsidR="00865494">
              <w:rPr>
                <w:noProof/>
                <w:webHidden/>
              </w:rPr>
              <w:instrText xml:space="preserve"> PAGEREF _Toc170908471 \h </w:instrText>
            </w:r>
            <w:r w:rsidR="00865494">
              <w:rPr>
                <w:noProof/>
                <w:webHidden/>
              </w:rPr>
            </w:r>
            <w:r w:rsidR="00865494">
              <w:rPr>
                <w:noProof/>
                <w:webHidden/>
              </w:rPr>
              <w:fldChar w:fldCharType="separate"/>
            </w:r>
            <w:r w:rsidR="00865494">
              <w:rPr>
                <w:noProof/>
                <w:webHidden/>
              </w:rPr>
              <w:t>10</w:t>
            </w:r>
            <w:r w:rsidR="00865494">
              <w:rPr>
                <w:noProof/>
                <w:webHidden/>
              </w:rPr>
              <w:fldChar w:fldCharType="end"/>
            </w:r>
          </w:hyperlink>
        </w:p>
        <w:p w14:paraId="5BECF9F3" w14:textId="61F772D3"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2" w:history="1">
            <w:r w:rsidR="00865494" w:rsidRPr="001A07C5">
              <w:rPr>
                <w:rStyle w:val="Hyperlink"/>
              </w:rPr>
              <w:t>List of expected outputs</w:t>
            </w:r>
            <w:r w:rsidR="00865494">
              <w:rPr>
                <w:webHidden/>
              </w:rPr>
              <w:tab/>
            </w:r>
            <w:r w:rsidR="00865494">
              <w:rPr>
                <w:webHidden/>
              </w:rPr>
              <w:fldChar w:fldCharType="begin"/>
            </w:r>
            <w:r w:rsidR="00865494">
              <w:rPr>
                <w:webHidden/>
              </w:rPr>
              <w:instrText xml:space="preserve"> PAGEREF _Toc170908472 \h </w:instrText>
            </w:r>
            <w:r w:rsidR="00865494">
              <w:rPr>
                <w:webHidden/>
              </w:rPr>
            </w:r>
            <w:r w:rsidR="00865494">
              <w:rPr>
                <w:webHidden/>
              </w:rPr>
              <w:fldChar w:fldCharType="separate"/>
            </w:r>
            <w:r w:rsidR="00865494">
              <w:rPr>
                <w:webHidden/>
              </w:rPr>
              <w:t>10</w:t>
            </w:r>
            <w:r w:rsidR="00865494">
              <w:rPr>
                <w:webHidden/>
              </w:rPr>
              <w:fldChar w:fldCharType="end"/>
            </w:r>
          </w:hyperlink>
        </w:p>
        <w:p w14:paraId="2D3DB885" w14:textId="1536F836"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3" w:history="1">
            <w:r w:rsidR="00865494" w:rsidRPr="001A07C5">
              <w:rPr>
                <w:rStyle w:val="Hyperlink"/>
              </w:rPr>
              <w:t>Related documents</w:t>
            </w:r>
            <w:r w:rsidR="00865494">
              <w:rPr>
                <w:webHidden/>
              </w:rPr>
              <w:tab/>
            </w:r>
            <w:r w:rsidR="00865494">
              <w:rPr>
                <w:webHidden/>
              </w:rPr>
              <w:fldChar w:fldCharType="begin"/>
            </w:r>
            <w:r w:rsidR="00865494">
              <w:rPr>
                <w:webHidden/>
              </w:rPr>
              <w:instrText xml:space="preserve"> PAGEREF _Toc170908473 \h </w:instrText>
            </w:r>
            <w:r w:rsidR="00865494">
              <w:rPr>
                <w:webHidden/>
              </w:rPr>
            </w:r>
            <w:r w:rsidR="00865494">
              <w:rPr>
                <w:webHidden/>
              </w:rPr>
              <w:fldChar w:fldCharType="separate"/>
            </w:r>
            <w:r w:rsidR="00865494">
              <w:rPr>
                <w:webHidden/>
              </w:rPr>
              <w:t>11</w:t>
            </w:r>
            <w:r w:rsidR="00865494">
              <w:rPr>
                <w:webHidden/>
              </w:rPr>
              <w:fldChar w:fldCharType="end"/>
            </w:r>
          </w:hyperlink>
        </w:p>
        <w:p w14:paraId="33DC869B" w14:textId="29906EAA"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74" w:history="1">
            <w:r w:rsidR="00865494" w:rsidRPr="001A07C5">
              <w:rPr>
                <w:rStyle w:val="Hyperlink"/>
                <w:noProof/>
              </w:rPr>
              <w:t>Associated QMS documents</w:t>
            </w:r>
            <w:r w:rsidR="00865494">
              <w:rPr>
                <w:noProof/>
                <w:webHidden/>
              </w:rPr>
              <w:tab/>
            </w:r>
            <w:r w:rsidR="00865494">
              <w:rPr>
                <w:noProof/>
                <w:webHidden/>
              </w:rPr>
              <w:fldChar w:fldCharType="begin"/>
            </w:r>
            <w:r w:rsidR="00865494">
              <w:rPr>
                <w:noProof/>
                <w:webHidden/>
              </w:rPr>
              <w:instrText xml:space="preserve"> PAGEREF _Toc170908474 \h </w:instrText>
            </w:r>
            <w:r w:rsidR="00865494">
              <w:rPr>
                <w:noProof/>
                <w:webHidden/>
              </w:rPr>
            </w:r>
            <w:r w:rsidR="00865494">
              <w:rPr>
                <w:noProof/>
                <w:webHidden/>
              </w:rPr>
              <w:fldChar w:fldCharType="separate"/>
            </w:r>
            <w:r w:rsidR="00865494">
              <w:rPr>
                <w:noProof/>
                <w:webHidden/>
              </w:rPr>
              <w:t>11</w:t>
            </w:r>
            <w:r w:rsidR="00865494">
              <w:rPr>
                <w:noProof/>
                <w:webHidden/>
              </w:rPr>
              <w:fldChar w:fldCharType="end"/>
            </w:r>
          </w:hyperlink>
        </w:p>
        <w:p w14:paraId="2E24BC4E" w14:textId="05B49912"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75" w:history="1">
            <w:r w:rsidR="00865494" w:rsidRPr="001A07C5">
              <w:rPr>
                <w:rStyle w:val="Hyperlink"/>
                <w:noProof/>
              </w:rPr>
              <w:t>Additional QMS documents</w:t>
            </w:r>
            <w:r w:rsidR="00865494">
              <w:rPr>
                <w:noProof/>
                <w:webHidden/>
              </w:rPr>
              <w:tab/>
            </w:r>
            <w:r w:rsidR="00865494">
              <w:rPr>
                <w:noProof/>
                <w:webHidden/>
              </w:rPr>
              <w:fldChar w:fldCharType="begin"/>
            </w:r>
            <w:r w:rsidR="00865494">
              <w:rPr>
                <w:noProof/>
                <w:webHidden/>
              </w:rPr>
              <w:instrText xml:space="preserve"> PAGEREF _Toc170908475 \h </w:instrText>
            </w:r>
            <w:r w:rsidR="00865494">
              <w:rPr>
                <w:noProof/>
                <w:webHidden/>
              </w:rPr>
            </w:r>
            <w:r w:rsidR="00865494">
              <w:rPr>
                <w:noProof/>
                <w:webHidden/>
              </w:rPr>
              <w:fldChar w:fldCharType="separate"/>
            </w:r>
            <w:r w:rsidR="00865494">
              <w:rPr>
                <w:noProof/>
                <w:webHidden/>
              </w:rPr>
              <w:t>11</w:t>
            </w:r>
            <w:r w:rsidR="00865494">
              <w:rPr>
                <w:noProof/>
                <w:webHidden/>
              </w:rPr>
              <w:fldChar w:fldCharType="end"/>
            </w:r>
          </w:hyperlink>
        </w:p>
        <w:p w14:paraId="5258C790" w14:textId="4245F449"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6" w:history="1">
            <w:r w:rsidR="00865494" w:rsidRPr="001A07C5">
              <w:rPr>
                <w:rStyle w:val="Hyperlink"/>
              </w:rPr>
              <w:t>References &amp; frameworks</w:t>
            </w:r>
            <w:r w:rsidR="00865494">
              <w:rPr>
                <w:webHidden/>
              </w:rPr>
              <w:tab/>
            </w:r>
            <w:r w:rsidR="00865494">
              <w:rPr>
                <w:webHidden/>
              </w:rPr>
              <w:fldChar w:fldCharType="begin"/>
            </w:r>
            <w:r w:rsidR="00865494">
              <w:rPr>
                <w:webHidden/>
              </w:rPr>
              <w:instrText xml:space="preserve"> PAGEREF _Toc170908476 \h </w:instrText>
            </w:r>
            <w:r w:rsidR="00865494">
              <w:rPr>
                <w:webHidden/>
              </w:rPr>
            </w:r>
            <w:r w:rsidR="00865494">
              <w:rPr>
                <w:webHidden/>
              </w:rPr>
              <w:fldChar w:fldCharType="separate"/>
            </w:r>
            <w:r w:rsidR="00865494">
              <w:rPr>
                <w:webHidden/>
              </w:rPr>
              <w:t>11</w:t>
            </w:r>
            <w:r w:rsidR="00865494">
              <w:rPr>
                <w:webHidden/>
              </w:rPr>
              <w:fldChar w:fldCharType="end"/>
            </w:r>
          </w:hyperlink>
        </w:p>
        <w:p w14:paraId="32ECC73D" w14:textId="72DC8B56"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7" w:history="1">
            <w:r w:rsidR="00865494" w:rsidRPr="001A07C5">
              <w:rPr>
                <w:rStyle w:val="Hyperlink"/>
              </w:rPr>
              <w:t>Abbreviations</w:t>
            </w:r>
            <w:r w:rsidR="00865494">
              <w:rPr>
                <w:webHidden/>
              </w:rPr>
              <w:tab/>
            </w:r>
            <w:r w:rsidR="00865494">
              <w:rPr>
                <w:webHidden/>
              </w:rPr>
              <w:fldChar w:fldCharType="begin"/>
            </w:r>
            <w:r w:rsidR="00865494">
              <w:rPr>
                <w:webHidden/>
              </w:rPr>
              <w:instrText xml:space="preserve"> PAGEREF _Toc170908477 \h </w:instrText>
            </w:r>
            <w:r w:rsidR="00865494">
              <w:rPr>
                <w:webHidden/>
              </w:rPr>
            </w:r>
            <w:r w:rsidR="00865494">
              <w:rPr>
                <w:webHidden/>
              </w:rPr>
              <w:fldChar w:fldCharType="separate"/>
            </w:r>
            <w:r w:rsidR="00865494">
              <w:rPr>
                <w:webHidden/>
              </w:rPr>
              <w:t>14</w:t>
            </w:r>
            <w:r w:rsidR="00865494">
              <w:rPr>
                <w:webHidden/>
              </w:rPr>
              <w:fldChar w:fldCharType="end"/>
            </w:r>
          </w:hyperlink>
        </w:p>
        <w:p w14:paraId="40A44687" w14:textId="45D8AA61"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8" w:history="1">
            <w:r w:rsidR="00865494" w:rsidRPr="001A07C5">
              <w:rPr>
                <w:rStyle w:val="Hyperlink"/>
              </w:rPr>
              <w:t>Document contributors</w:t>
            </w:r>
            <w:r w:rsidR="00865494">
              <w:rPr>
                <w:webHidden/>
              </w:rPr>
              <w:tab/>
            </w:r>
            <w:r w:rsidR="00865494">
              <w:rPr>
                <w:webHidden/>
              </w:rPr>
              <w:fldChar w:fldCharType="begin"/>
            </w:r>
            <w:r w:rsidR="00865494">
              <w:rPr>
                <w:webHidden/>
              </w:rPr>
              <w:instrText xml:space="preserve"> PAGEREF _Toc170908478 \h </w:instrText>
            </w:r>
            <w:r w:rsidR="00865494">
              <w:rPr>
                <w:webHidden/>
              </w:rPr>
            </w:r>
            <w:r w:rsidR="00865494">
              <w:rPr>
                <w:webHidden/>
              </w:rPr>
              <w:fldChar w:fldCharType="separate"/>
            </w:r>
            <w:r w:rsidR="00865494">
              <w:rPr>
                <w:webHidden/>
              </w:rPr>
              <w:t>15</w:t>
            </w:r>
            <w:r w:rsidR="00865494">
              <w:rPr>
                <w:webHidden/>
              </w:rPr>
              <w:fldChar w:fldCharType="end"/>
            </w:r>
          </w:hyperlink>
        </w:p>
        <w:p w14:paraId="79327AF0" w14:textId="0726F17A" w:rsidR="00865494" w:rsidRDefault="00D16E77">
          <w:pPr>
            <w:pStyle w:val="TOC1"/>
            <w:rPr>
              <w:rFonts w:asciiTheme="minorHAnsi" w:eastAsiaTheme="minorEastAsia" w:hAnsiTheme="minorHAnsi" w:cstheme="minorBidi"/>
              <w:b w:val="0"/>
              <w:bCs w:val="0"/>
              <w:kern w:val="2"/>
              <w:sz w:val="24"/>
              <w:szCs w:val="24"/>
              <w:lang w:eastAsia="en-GB"/>
              <w14:ligatures w14:val="standardContextual"/>
            </w:rPr>
          </w:pPr>
          <w:hyperlink w:anchor="_Toc170908479" w:history="1">
            <w:r w:rsidR="00865494" w:rsidRPr="001A07C5">
              <w:rPr>
                <w:rStyle w:val="Hyperlink"/>
              </w:rPr>
              <w:t>Document history</w:t>
            </w:r>
            <w:r w:rsidR="00865494">
              <w:rPr>
                <w:webHidden/>
              </w:rPr>
              <w:tab/>
            </w:r>
            <w:r w:rsidR="00865494">
              <w:rPr>
                <w:webHidden/>
              </w:rPr>
              <w:fldChar w:fldCharType="begin"/>
            </w:r>
            <w:r w:rsidR="00865494">
              <w:rPr>
                <w:webHidden/>
              </w:rPr>
              <w:instrText xml:space="preserve"> PAGEREF _Toc170908479 \h </w:instrText>
            </w:r>
            <w:r w:rsidR="00865494">
              <w:rPr>
                <w:webHidden/>
              </w:rPr>
            </w:r>
            <w:r w:rsidR="00865494">
              <w:rPr>
                <w:webHidden/>
              </w:rPr>
              <w:fldChar w:fldCharType="separate"/>
            </w:r>
            <w:r w:rsidR="00865494">
              <w:rPr>
                <w:webHidden/>
              </w:rPr>
              <w:t>16</w:t>
            </w:r>
            <w:r w:rsidR="00865494">
              <w:rPr>
                <w:webHidden/>
              </w:rPr>
              <w:fldChar w:fldCharType="end"/>
            </w:r>
          </w:hyperlink>
        </w:p>
        <w:p w14:paraId="20A3377C" w14:textId="0B2772C6"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80" w:history="1">
            <w:r w:rsidR="00865494" w:rsidRPr="001A07C5">
              <w:rPr>
                <w:rStyle w:val="Hyperlink"/>
                <w:noProof/>
              </w:rPr>
              <w:t>Document version log</w:t>
            </w:r>
            <w:r w:rsidR="00865494">
              <w:rPr>
                <w:noProof/>
                <w:webHidden/>
              </w:rPr>
              <w:tab/>
            </w:r>
            <w:r w:rsidR="00865494">
              <w:rPr>
                <w:noProof/>
                <w:webHidden/>
              </w:rPr>
              <w:fldChar w:fldCharType="begin"/>
            </w:r>
            <w:r w:rsidR="00865494">
              <w:rPr>
                <w:noProof/>
                <w:webHidden/>
              </w:rPr>
              <w:instrText xml:space="preserve"> PAGEREF _Toc170908480 \h </w:instrText>
            </w:r>
            <w:r w:rsidR="00865494">
              <w:rPr>
                <w:noProof/>
                <w:webHidden/>
              </w:rPr>
            </w:r>
            <w:r w:rsidR="00865494">
              <w:rPr>
                <w:noProof/>
                <w:webHidden/>
              </w:rPr>
              <w:fldChar w:fldCharType="separate"/>
            </w:r>
            <w:r w:rsidR="00865494">
              <w:rPr>
                <w:noProof/>
                <w:webHidden/>
              </w:rPr>
              <w:t>16</w:t>
            </w:r>
            <w:r w:rsidR="00865494">
              <w:rPr>
                <w:noProof/>
                <w:webHidden/>
              </w:rPr>
              <w:fldChar w:fldCharType="end"/>
            </w:r>
          </w:hyperlink>
        </w:p>
        <w:p w14:paraId="309451E9" w14:textId="4BC6FB12" w:rsidR="00865494" w:rsidRDefault="00D16E77">
          <w:pPr>
            <w:pStyle w:val="TOC2"/>
            <w:rPr>
              <w:rFonts w:asciiTheme="minorHAnsi" w:eastAsiaTheme="minorEastAsia" w:hAnsiTheme="minorHAnsi" w:cstheme="minorBidi"/>
              <w:noProof/>
              <w:kern w:val="2"/>
              <w:sz w:val="24"/>
              <w:szCs w:val="24"/>
              <w:lang w:eastAsia="en-GB"/>
              <w14:ligatures w14:val="standardContextual"/>
            </w:rPr>
          </w:pPr>
          <w:hyperlink w:anchor="_Toc170908481" w:history="1">
            <w:r w:rsidR="00865494" w:rsidRPr="001A07C5">
              <w:rPr>
                <w:rStyle w:val="Hyperlink"/>
                <w:noProof/>
              </w:rPr>
              <w:t>Document revision log</w:t>
            </w:r>
            <w:r w:rsidR="00865494">
              <w:rPr>
                <w:noProof/>
                <w:webHidden/>
              </w:rPr>
              <w:tab/>
            </w:r>
            <w:r w:rsidR="00865494">
              <w:rPr>
                <w:noProof/>
                <w:webHidden/>
              </w:rPr>
              <w:fldChar w:fldCharType="begin"/>
            </w:r>
            <w:r w:rsidR="00865494">
              <w:rPr>
                <w:noProof/>
                <w:webHidden/>
              </w:rPr>
              <w:instrText xml:space="preserve"> PAGEREF _Toc170908481 \h </w:instrText>
            </w:r>
            <w:r w:rsidR="00865494">
              <w:rPr>
                <w:noProof/>
                <w:webHidden/>
              </w:rPr>
            </w:r>
            <w:r w:rsidR="00865494">
              <w:rPr>
                <w:noProof/>
                <w:webHidden/>
              </w:rPr>
              <w:fldChar w:fldCharType="separate"/>
            </w:r>
            <w:r w:rsidR="00865494">
              <w:rPr>
                <w:noProof/>
                <w:webHidden/>
              </w:rPr>
              <w:t>16</w:t>
            </w:r>
            <w:r w:rsidR="00865494">
              <w:rPr>
                <w:noProof/>
                <w:webHidden/>
              </w:rPr>
              <w:fldChar w:fldCharType="end"/>
            </w:r>
          </w:hyperlink>
        </w:p>
        <w:p w14:paraId="37102BF0" w14:textId="45172485" w:rsidR="000317D8" w:rsidRDefault="000317D8">
          <w:r>
            <w:rPr>
              <w:b/>
              <w:bCs/>
              <w:noProof/>
            </w:rPr>
            <w:fldChar w:fldCharType="end"/>
          </w:r>
        </w:p>
      </w:sdtContent>
    </w:sdt>
    <w:p w14:paraId="02727979" w14:textId="77777777" w:rsidR="003F499F" w:rsidRPr="00B95EBA" w:rsidRDefault="003F499F" w:rsidP="00B95EBA">
      <w:pPr>
        <w:pStyle w:val="Footer"/>
        <w:rPr>
          <w:rStyle w:val="BTable2Char"/>
          <w:sz w:val="18"/>
        </w:rPr>
      </w:pPr>
      <w:r w:rsidRPr="00B95EBA">
        <w:rPr>
          <w:rStyle w:val="BTable2Char"/>
          <w:sz w:val="18"/>
        </w:rPr>
        <w:br w:type="page"/>
      </w:r>
    </w:p>
    <w:p w14:paraId="7CAABDEB" w14:textId="77777777" w:rsidR="00944528" w:rsidRPr="003F499F" w:rsidRDefault="00B946B0" w:rsidP="003F499F">
      <w:pPr>
        <w:pStyle w:val="Heading1"/>
      </w:pPr>
      <w:bookmarkStart w:id="1" w:name="_Toc170908460"/>
      <w:r>
        <w:lastRenderedPageBreak/>
        <w:t>Purpose</w:t>
      </w:r>
      <w:bookmarkEnd w:id="1"/>
    </w:p>
    <w:p w14:paraId="1EF62781" w14:textId="77777777" w:rsidR="005C08A3" w:rsidRPr="005C08A3" w:rsidRDefault="005C08A3" w:rsidP="005C08A3">
      <w:pPr>
        <w:jc w:val="left"/>
      </w:pPr>
      <w:bookmarkStart w:id="2" w:name="_Hlk156815142"/>
      <w:r w:rsidRPr="005C08A3">
        <w:t>This standard operating procedure (SOP) describes the processes involved in participant and public engagement, to include public involvement in the project design, set up and management, the development and requirements of informed consent forms (ICF) and participant information sheets (PIS), participant recruitment and dissemination of project results to participants.</w:t>
      </w:r>
    </w:p>
    <w:p w14:paraId="1343744B" w14:textId="77777777" w:rsidR="00944528" w:rsidRDefault="00944528" w:rsidP="005C7D15">
      <w:pPr>
        <w:pStyle w:val="Heading1"/>
      </w:pPr>
      <w:bookmarkStart w:id="3" w:name="_Toc170908461"/>
      <w:bookmarkEnd w:id="2"/>
      <w:r w:rsidRPr="00B63F21">
        <w:t>Scope</w:t>
      </w:r>
      <w:bookmarkEnd w:id="3"/>
    </w:p>
    <w:p w14:paraId="305C85C0" w14:textId="77777777" w:rsidR="005C08A3" w:rsidRPr="005C08A3" w:rsidRDefault="005C08A3" w:rsidP="005C08A3">
      <w:pPr>
        <w:jc w:val="left"/>
      </w:pPr>
      <w:r w:rsidRPr="005C08A3">
        <w:rPr>
          <w:lang w:eastAsia="en-GB"/>
        </w:rPr>
        <w:t xml:space="preserve">This SOP 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r w:rsidRPr="005C08A3">
        <w:rPr>
          <w:rStyle w:val="DocrefChar"/>
        </w:rPr>
        <w:t>UoB Principles of Good Clinical Practice (GCP) for Clinical Research (UoB-GCP-POL-001)</w:t>
      </w:r>
      <w:r w:rsidRPr="005C08A3">
        <w:rPr>
          <w:lang w:eastAsia="en-GB"/>
        </w:rPr>
        <w:t>.</w:t>
      </w:r>
    </w:p>
    <w:p w14:paraId="6883F502" w14:textId="77777777" w:rsidR="005C08A3" w:rsidRPr="005C08A3" w:rsidRDefault="005C08A3" w:rsidP="005C08A3">
      <w:pPr>
        <w:jc w:val="left"/>
      </w:pPr>
      <w:r w:rsidRPr="005C08A3">
        <w:t>Where this SOP does not apply, the chief investigator (CI) of a clinical research project may at their discretion refer to it as a non-binding source of guidance.</w:t>
      </w:r>
    </w:p>
    <w:p w14:paraId="781ABA21" w14:textId="77777777" w:rsidR="00944528" w:rsidRPr="00C34A3B" w:rsidRDefault="00944528" w:rsidP="005C7D15">
      <w:pPr>
        <w:pStyle w:val="Heading1"/>
      </w:pPr>
      <w:bookmarkStart w:id="4" w:name="_Toc170908462"/>
      <w:r w:rsidRPr="00B63F21">
        <w:t>Implementation plan</w:t>
      </w:r>
      <w:bookmarkEnd w:id="4"/>
    </w:p>
    <w:p w14:paraId="391F957C" w14:textId="77777777" w:rsidR="001A4E31" w:rsidRPr="001A4E31" w:rsidRDefault="001A4E31" w:rsidP="001A4E31">
      <w:pPr>
        <w:jc w:val="left"/>
      </w:pPr>
      <w:bookmarkStart w:id="5" w:name="_Hlk54774352"/>
      <w:r w:rsidRPr="001A4E31">
        <w:t xml:space="preserve">This SOP will be implemented in line with this document’s effective date. </w:t>
      </w:r>
      <w:bookmarkEnd w:id="5"/>
    </w:p>
    <w:p w14:paraId="64FEE9B8" w14:textId="77777777" w:rsidR="00944528" w:rsidRDefault="00944528" w:rsidP="005C7D15">
      <w:pPr>
        <w:pStyle w:val="Heading1"/>
      </w:pPr>
      <w:bookmarkStart w:id="6" w:name="_Ref153523581"/>
      <w:bookmarkStart w:id="7" w:name="_Toc170908463"/>
      <w:r>
        <w:t>Stakeholders</w:t>
      </w:r>
      <w:bookmarkEnd w:id="6"/>
      <w:bookmarkEnd w:id="7"/>
    </w:p>
    <w:p w14:paraId="59A31DAE" w14:textId="77777777" w:rsidR="001A4E31" w:rsidRPr="001A4E31" w:rsidRDefault="001A4E31" w:rsidP="001A4E31">
      <w:pPr>
        <w:jc w:val="left"/>
      </w:pPr>
      <w:r w:rsidRPr="001A4E31">
        <w:t xml:space="preserve">Note that where the UoB takes on the sponsor responsibility for participant engagement and informed consent, the UoB will delegate the majority of these duties to the chief investigator (CI) and/or to a clinical trials unit (CTU), who may delegate these duties further to their research team(s). </w:t>
      </w:r>
    </w:p>
    <w:p w14:paraId="6FEEB502" w14:textId="77777777" w:rsidR="001A4E31" w:rsidRPr="001A4E31" w:rsidRDefault="001A4E31" w:rsidP="001A4E31">
      <w:pPr>
        <w:jc w:val="left"/>
      </w:pPr>
      <w:r w:rsidRPr="001A4E31">
        <w:t xml:space="preserve">All delegation of duties will be documented (e.g. using the CI declaration and the </w:t>
      </w:r>
      <w:r w:rsidRPr="001A4E31">
        <w:rPr>
          <w:rStyle w:val="DocrefChar"/>
        </w:rPr>
        <w:t>Clinical Trials Task Delegation Log (UoB-SPO-QCD-001)</w:t>
      </w:r>
      <w:r w:rsidRPr="001A4E31">
        <w:rPr>
          <w:i/>
          <w:iCs/>
          <w:color w:val="943634"/>
        </w:rPr>
        <w:t>.</w:t>
      </w:r>
    </w:p>
    <w:p w14:paraId="33A30F21" w14:textId="77777777" w:rsidR="001A4E31" w:rsidRPr="001A4E31" w:rsidRDefault="001A4E31" w:rsidP="001A4E31">
      <w:pPr>
        <w:pStyle w:val="bullet10"/>
      </w:pPr>
      <w:r w:rsidRPr="001A4E31">
        <w:t>CI: the CI may delegate some activities to members of their research team, however evidence of CI oversight and approval is still required. It is highlighted within this SOP where activities are, and are not, appropriate for delegation to a team member. For clinical research approved by a UoB REC, the role of CI may be referred to as the UoB principal investigator (PI), or the supervisor for the postgraduate research students.</w:t>
      </w:r>
    </w:p>
    <w:p w14:paraId="22593760" w14:textId="2A4DD17F" w:rsidR="00944528" w:rsidRDefault="00944528" w:rsidP="00F04CAB"/>
    <w:p w14:paraId="53AE1732" w14:textId="77777777" w:rsidR="00944528" w:rsidRDefault="00944528" w:rsidP="00944528"/>
    <w:p w14:paraId="58BCB147" w14:textId="77777777" w:rsidR="00944528" w:rsidRDefault="00944528">
      <w:pPr>
        <w:spacing w:before="0" w:after="200" w:line="276" w:lineRule="auto"/>
        <w:rPr>
          <w:rFonts w:ascii="Gill Sans MT" w:hAnsi="Gill Sans MT" w:cs="Tahoma"/>
          <w:bCs/>
          <w:color w:val="943634"/>
          <w:kern w:val="32"/>
          <w:sz w:val="28"/>
          <w:szCs w:val="28"/>
        </w:rPr>
      </w:pPr>
      <w:r>
        <w:br w:type="page"/>
      </w:r>
    </w:p>
    <w:p w14:paraId="59E9E202" w14:textId="77777777" w:rsidR="005F0420" w:rsidRDefault="005F0420" w:rsidP="005F2DE3">
      <w:pPr>
        <w:pStyle w:val="Heading1"/>
      </w:pPr>
      <w:bookmarkStart w:id="8" w:name="_Toc170908464"/>
      <w:r>
        <w:lastRenderedPageBreak/>
        <w:t>Background</w:t>
      </w:r>
      <w:bookmarkEnd w:id="8"/>
    </w:p>
    <w:p w14:paraId="2F638ABF" w14:textId="77777777" w:rsidR="001A4E31" w:rsidRPr="001A4E31" w:rsidRDefault="001A4E31" w:rsidP="001A4E31">
      <w:pPr>
        <w:jc w:val="left"/>
      </w:pPr>
      <w:r w:rsidRPr="001A4E31">
        <w:t>For the purposes of this SOP the terms ‘clinical research or ‘project’ will cover clinical trials of investigational medicinal products (CTIMPs), other interventional trials (e.g. surgical trials, device trials and non-CTIMP trials, and any other projects deemed to be ‘interventional’ by the sponsor), and clinical studies.</w:t>
      </w:r>
    </w:p>
    <w:p w14:paraId="7D0A619D" w14:textId="5FCC9475" w:rsidR="00865494" w:rsidRDefault="001A4E31" w:rsidP="00865494">
      <w:pPr>
        <w:jc w:val="left"/>
      </w:pPr>
      <w:r w:rsidRPr="001A4E31">
        <w:t xml:space="preserve">The Health Research Authority (HRA) recommends that researchers participate in two-way public engagement, with interaction and dialogue with the public to inform their research as well as members of the public being active participants in the research. Researchers should engage with the public at the point of research concept and include them in their research journey so that they shape and assist in the research design. The public may advise on the format and content of participant-facing documents, subsequently referred to in this SOP as participant documents, such as the PIS. In addition to the </w:t>
      </w:r>
      <w:r w:rsidR="00EE2472" w:rsidRPr="001A4E31">
        <w:t>public’s</w:t>
      </w:r>
      <w:r w:rsidRPr="001A4E31">
        <w:t xml:space="preserve"> assistance with the research design, researchers seek to recruit members of the public to participate in their research. Robust mechanisms are required for recruiting and identifying participants and to verify that the participant exists, that the person screened is the same person, for example who is dosed, and fulfils the project’s eligibility criteria, including across multiple projects should they choose to participate in them.</w:t>
      </w:r>
    </w:p>
    <w:p w14:paraId="7900005E" w14:textId="77777777" w:rsidR="00865494" w:rsidRDefault="00865494" w:rsidP="00865494">
      <w:pPr>
        <w:jc w:val="left"/>
      </w:pPr>
      <w:r>
        <w:br w:type="page"/>
      </w:r>
    </w:p>
    <w:p w14:paraId="5E94801A" w14:textId="3B063A86" w:rsidR="00B14826" w:rsidRDefault="00B14826" w:rsidP="00865494">
      <w:pPr>
        <w:pStyle w:val="Heading1"/>
      </w:pPr>
      <w:bookmarkStart w:id="9" w:name="_Toc170908465"/>
      <w:r>
        <w:lastRenderedPageBreak/>
        <w:t>Process map</w:t>
      </w:r>
      <w:bookmarkEnd w:id="9"/>
    </w:p>
    <w:p w14:paraId="020345F5" w14:textId="77777777" w:rsidR="007B0EA9" w:rsidRDefault="004A4FF8" w:rsidP="007B0EA9">
      <w:r>
        <w:t xml:space="preserve">The process map below outlines the keys steps </w:t>
      </w:r>
      <w:r w:rsidR="00037A9C">
        <w:t>descri</w:t>
      </w:r>
      <w:r w:rsidR="000650E5">
        <w:t>bed</w:t>
      </w:r>
      <w:r w:rsidR="00037A9C">
        <w:t xml:space="preserve"> in the procedure section. </w:t>
      </w:r>
    </w:p>
    <w:p w14:paraId="4B0BF276" w14:textId="3CAFA45E" w:rsidR="008440FA" w:rsidRDefault="00F73CE1" w:rsidP="00865494">
      <w:pPr>
        <w:pStyle w:val="Instructions"/>
        <w:jc w:val="center"/>
        <w:rPr>
          <w:rFonts w:asciiTheme="minorHAnsi" w:hAnsiTheme="minorHAnsi" w:cstheme="minorHAnsi"/>
          <w:b/>
          <w:caps/>
          <w:color w:val="1F497D" w:themeColor="text2"/>
          <w:kern w:val="32"/>
          <w:sz w:val="28"/>
          <w:szCs w:val="28"/>
        </w:rPr>
      </w:pPr>
      <w:r>
        <w:rPr>
          <w:noProof/>
        </w:rPr>
        <w:drawing>
          <wp:inline distT="0" distB="0" distL="0" distR="0" wp14:anchorId="3ED9ECD5" wp14:editId="0A20FC0E">
            <wp:extent cx="5302250" cy="8331200"/>
            <wp:effectExtent l="0" t="0" r="0" b="0"/>
            <wp:docPr id="1365669198" name="Picture 1" descr="Process map outlining the steps detaile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69198" name="Picture 1" descr="Process map outlining the steps detailed in the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2250" cy="8331200"/>
                    </a:xfrm>
                    <a:prstGeom prst="rect">
                      <a:avLst/>
                    </a:prstGeom>
                    <a:noFill/>
                    <a:ln>
                      <a:noFill/>
                    </a:ln>
                  </pic:spPr>
                </pic:pic>
              </a:graphicData>
            </a:graphic>
          </wp:inline>
        </w:drawing>
      </w:r>
      <w:r w:rsidR="008440FA">
        <w:br w:type="page"/>
      </w:r>
    </w:p>
    <w:p w14:paraId="24617914" w14:textId="77777777" w:rsidR="00E22773" w:rsidRDefault="00C3647F" w:rsidP="005F2DE3">
      <w:pPr>
        <w:pStyle w:val="Heading1"/>
      </w:pPr>
      <w:bookmarkStart w:id="10" w:name="_Toc170908466"/>
      <w:r w:rsidRPr="00435EAE">
        <w:lastRenderedPageBreak/>
        <w:t>Procedure</w:t>
      </w:r>
      <w:bookmarkEnd w:id="10"/>
    </w:p>
    <w:p w14:paraId="4A6EB06F" w14:textId="219CF8E1" w:rsidR="00C62D7F" w:rsidRDefault="00865494" w:rsidP="00F04CAB">
      <w:pPr>
        <w:pStyle w:val="PN1"/>
      </w:pPr>
      <w:bookmarkStart w:id="11" w:name="_Toc170908467"/>
      <w:r>
        <w:t>P</w:t>
      </w:r>
      <w:r w:rsidR="002D2FC6">
        <w:t>rotocol development</w:t>
      </w:r>
      <w:bookmarkEnd w:id="11"/>
    </w:p>
    <w:p w14:paraId="6B5F183F" w14:textId="6D53D804" w:rsidR="00C05AB7" w:rsidRPr="00C05AB7" w:rsidRDefault="00C05AB7" w:rsidP="00C05AB7">
      <w:pPr>
        <w:pStyle w:val="PN11"/>
      </w:pPr>
      <w:r w:rsidRPr="00C05AB7">
        <w:t xml:space="preserve">The CI (or delegate) will involve the public as per the </w:t>
      </w:r>
      <w:hyperlink r:id="rId13" w:tooltip="Link to HRA guidance on public involvement" w:history="1">
        <w:r w:rsidRPr="00C05AB7">
          <w:rPr>
            <w:color w:val="0000FF"/>
            <w:u w:val="single"/>
          </w:rPr>
          <w:t>HRA guidance</w:t>
        </w:r>
      </w:hyperlink>
      <w:r w:rsidRPr="00C05AB7">
        <w:t xml:space="preserve"> in the design, management, conduct and dissemination of the research, unless otherwise justified. See also the</w:t>
      </w:r>
      <w:r w:rsidRPr="00C05AB7">
        <w:rPr>
          <w:i/>
          <w:iCs/>
          <w:color w:val="943634"/>
        </w:rPr>
        <w:t xml:space="preserve"> </w:t>
      </w:r>
      <w:r w:rsidRPr="00C05AB7">
        <w:rPr>
          <w:rStyle w:val="DocrefChar"/>
        </w:rPr>
        <w:t>UoB Principles of GCP for Clinical Research (UoB-GCP-POL-001)</w:t>
      </w:r>
      <w:r w:rsidRPr="00C05AB7">
        <w:t>.</w:t>
      </w:r>
    </w:p>
    <w:p w14:paraId="3A3223EB" w14:textId="77777777" w:rsidR="00C05AB7" w:rsidRPr="00C05AB7" w:rsidRDefault="00C05AB7" w:rsidP="00C05AB7">
      <w:pPr>
        <w:pStyle w:val="PB1"/>
      </w:pPr>
      <w:r w:rsidRPr="00C05AB7">
        <w:t>See the</w:t>
      </w:r>
      <w:r w:rsidRPr="00C05AB7">
        <w:rPr>
          <w:color w:val="943634"/>
        </w:rPr>
        <w:t xml:space="preserve"> </w:t>
      </w:r>
      <w:hyperlink r:id="rId14" w:anchor="executive" w:tooltip="Link to HRA public involvement pay guidance" w:history="1">
        <w:r w:rsidRPr="00C05AB7">
          <w:rPr>
            <w:color w:val="0000FF"/>
            <w:u w:val="single"/>
          </w:rPr>
          <w:t>HRA public involvement pay guidance</w:t>
        </w:r>
      </w:hyperlink>
      <w:r w:rsidRPr="00C05AB7">
        <w:t xml:space="preserve"> on determining the most appropriate payment approach for public contributors involved in research.</w:t>
      </w:r>
      <w:r w:rsidRPr="00C05AB7">
        <w:rPr>
          <w:color w:val="943634"/>
        </w:rPr>
        <w:t xml:space="preserve"> </w:t>
      </w:r>
      <w:r w:rsidRPr="00C05AB7">
        <w:t xml:space="preserve">Please note there may be other requirements to consider e.g., from the funder. </w:t>
      </w:r>
    </w:p>
    <w:p w14:paraId="3098D21A" w14:textId="77777777" w:rsidR="00C05AB7" w:rsidRPr="00C05AB7" w:rsidRDefault="00C05AB7" w:rsidP="00C05AB7">
      <w:pPr>
        <w:pStyle w:val="PB1"/>
      </w:pPr>
      <w:r w:rsidRPr="00C05AB7">
        <w:t xml:space="preserve">It is recommended that a description about how the public have been/will be involved in the project is included in the protocol. </w:t>
      </w:r>
    </w:p>
    <w:p w14:paraId="12987022" w14:textId="77777777" w:rsidR="00C05AB7" w:rsidRPr="00C05AB7" w:rsidRDefault="00C05AB7" w:rsidP="00C05AB7">
      <w:pPr>
        <w:pStyle w:val="PN11"/>
      </w:pPr>
      <w:r w:rsidRPr="00C05AB7">
        <w:t>The CI (or delegate) will develop the protocol.</w:t>
      </w:r>
    </w:p>
    <w:p w14:paraId="7D1289B0" w14:textId="017754DC" w:rsidR="00C05AB7" w:rsidRPr="00C05AB7" w:rsidRDefault="00C05AB7" w:rsidP="00C05AB7">
      <w:pPr>
        <w:pStyle w:val="PB1"/>
      </w:pPr>
      <w:r w:rsidRPr="00C05AB7">
        <w:t xml:space="preserve">For CTIMPs, refer to the </w:t>
      </w:r>
      <w:r w:rsidRPr="0023039C">
        <w:rPr>
          <w:rStyle w:val="DocrefChar"/>
        </w:rPr>
        <w:t>Protocol Template for CTIMPs (UoB-CLN-PRO-QCD-00</w:t>
      </w:r>
      <w:r w:rsidR="00EE2472">
        <w:rPr>
          <w:rStyle w:val="DocrefChar"/>
        </w:rPr>
        <w:t>2</w:t>
      </w:r>
      <w:r w:rsidRPr="0023039C">
        <w:rPr>
          <w:rStyle w:val="DocrefChar"/>
        </w:rPr>
        <w:t>)</w:t>
      </w:r>
      <w:r w:rsidRPr="00C05AB7">
        <w:t>.</w:t>
      </w:r>
    </w:p>
    <w:p w14:paraId="4B390DC3" w14:textId="77777777" w:rsidR="00C05AB7" w:rsidRPr="00C05AB7" w:rsidRDefault="00C05AB7" w:rsidP="00C05AB7">
      <w:pPr>
        <w:pStyle w:val="PB1"/>
      </w:pPr>
      <w:r w:rsidRPr="00C05AB7">
        <w:t xml:space="preserve">For non-CTIMPs and clinical studies, refer to the </w:t>
      </w:r>
      <w:r w:rsidRPr="00C05AB7">
        <w:rPr>
          <w:rStyle w:val="DocrefChar"/>
        </w:rPr>
        <w:t>Protocol Development Tool for non-CTIMPs &amp; Studies (UoB-ESD-QCD-003)</w:t>
      </w:r>
      <w:r w:rsidRPr="00C05AB7">
        <w:t xml:space="preserve"> and the </w:t>
      </w:r>
      <w:r w:rsidRPr="00C05AB7">
        <w:rPr>
          <w:rStyle w:val="DocrefChar"/>
        </w:rPr>
        <w:t>Protocol Template for non-CTIMPs &amp; Studies (UoB-ESD-QCD-004)</w:t>
      </w:r>
      <w:r w:rsidRPr="00C05AB7">
        <w:t>.</w:t>
      </w:r>
    </w:p>
    <w:p w14:paraId="6803E512" w14:textId="77777777" w:rsidR="00C05AB7" w:rsidRPr="00C05AB7" w:rsidRDefault="00C05AB7" w:rsidP="00C05AB7">
      <w:pPr>
        <w:pStyle w:val="PN11"/>
      </w:pPr>
      <w:r w:rsidRPr="00C05AB7">
        <w:t xml:space="preserve">The CI (or delegate) will ensure that the protocol details the items listed below. See also the </w:t>
      </w:r>
      <w:r w:rsidRPr="00C05AB7">
        <w:rPr>
          <w:rStyle w:val="DocrefChar"/>
        </w:rPr>
        <w:t>Essential Documents Development and Maintenance SOP (UoB-ESD-SOP-001)</w:t>
      </w:r>
      <w:r w:rsidRPr="00C05AB7">
        <w:t xml:space="preserve">. </w:t>
      </w:r>
    </w:p>
    <w:p w14:paraId="7877C7F1" w14:textId="77777777" w:rsidR="00C05AB7" w:rsidRPr="00C05AB7" w:rsidRDefault="00C05AB7" w:rsidP="00C05AB7">
      <w:pPr>
        <w:pStyle w:val="PB1"/>
      </w:pPr>
      <w:r w:rsidRPr="00C05AB7">
        <w:t>Informed consent requirements, taking into consideration the following:</w:t>
      </w:r>
    </w:p>
    <w:p w14:paraId="263E51AD" w14:textId="77777777" w:rsidR="00C05AB7" w:rsidRPr="00C05AB7" w:rsidRDefault="00C05AB7" w:rsidP="00C05AB7">
      <w:pPr>
        <w:pStyle w:val="PB2"/>
      </w:pPr>
      <w:r w:rsidRPr="00C05AB7">
        <w:t>who will provide informed consent (e.g. adult participants, a legal representative for adults lacking capacity etc)</w:t>
      </w:r>
    </w:p>
    <w:p w14:paraId="3FD02DB1" w14:textId="77777777" w:rsidR="00C05AB7" w:rsidRPr="00C05AB7" w:rsidRDefault="00C05AB7" w:rsidP="00C05AB7">
      <w:pPr>
        <w:pStyle w:val="PB2"/>
      </w:pPr>
      <w:r w:rsidRPr="00C05AB7">
        <w:t>how informed consent will be maintained.</w:t>
      </w:r>
    </w:p>
    <w:p w14:paraId="3075C2F5" w14:textId="77777777" w:rsidR="00C05AB7" w:rsidRPr="00C05AB7" w:rsidRDefault="00C05AB7" w:rsidP="00C05AB7">
      <w:pPr>
        <w:pStyle w:val="PB1"/>
      </w:pPr>
      <w:r w:rsidRPr="00C05AB7">
        <w:t>A detailed description of the recruitment and consent procedure.</w:t>
      </w:r>
    </w:p>
    <w:p w14:paraId="30C4FACF" w14:textId="77777777" w:rsidR="00C05AB7" w:rsidRPr="00C05AB7" w:rsidRDefault="00C05AB7" w:rsidP="00C05AB7">
      <w:pPr>
        <w:pStyle w:val="PB1"/>
      </w:pPr>
      <w:r w:rsidRPr="00C05AB7">
        <w:t>The amount of time the potential participant has to consider if they want to take part.</w:t>
      </w:r>
    </w:p>
    <w:p w14:paraId="0FD6ADD2" w14:textId="77777777" w:rsidR="00C05AB7" w:rsidRPr="00C05AB7" w:rsidRDefault="00C05AB7" w:rsidP="00C05AB7">
      <w:pPr>
        <w:pStyle w:val="PB1"/>
      </w:pPr>
      <w:r w:rsidRPr="00C05AB7">
        <w:t>Where the project participants do not represent the specific research population of interest e.g. by sex, ethnicity and age groups, justification will be stated in the protocol.</w:t>
      </w:r>
    </w:p>
    <w:p w14:paraId="137366B2" w14:textId="338B88B5" w:rsidR="00F04CAB" w:rsidRDefault="00865494" w:rsidP="00F05BEC">
      <w:pPr>
        <w:pStyle w:val="PN1"/>
      </w:pPr>
      <w:bookmarkStart w:id="12" w:name="_Toc170908468"/>
      <w:r>
        <w:t>D</w:t>
      </w:r>
      <w:r w:rsidR="00F05BEC">
        <w:t>evelop participant documents</w:t>
      </w:r>
      <w:bookmarkEnd w:id="12"/>
    </w:p>
    <w:p w14:paraId="141612B6" w14:textId="77777777" w:rsidR="00F05BEC" w:rsidRPr="00F05BEC" w:rsidRDefault="00F05BEC" w:rsidP="00F05BEC">
      <w:pPr>
        <w:pStyle w:val="PN11"/>
      </w:pPr>
      <w:r w:rsidRPr="00F05BEC">
        <w:t xml:space="preserve">The CI (or delegate) will ensure that a PIS and ICF are developed, to set out in writing what taking part in the research project will involve for the participant, thereby ensuring those that participate in the research project are adequately informed. See also section on ‘handling personal data’ below. </w:t>
      </w:r>
    </w:p>
    <w:p w14:paraId="2DD894FA" w14:textId="77777777" w:rsidR="00F05BEC" w:rsidRPr="00F05BEC" w:rsidRDefault="00F05BEC" w:rsidP="00F05BEC">
      <w:pPr>
        <w:pStyle w:val="PB1"/>
      </w:pPr>
      <w:r w:rsidRPr="00F05BEC">
        <w:t xml:space="preserve">Refer to the guidance provided by the HRA on </w:t>
      </w:r>
      <w:hyperlink r:id="rId15" w:tooltip="Link to informing participants and seeking consent" w:history="1">
        <w:r w:rsidRPr="00F05BEC">
          <w:rPr>
            <w:color w:val="0000FF"/>
            <w:u w:val="single"/>
          </w:rPr>
          <w:t>Informing Participants and Seeking Consent</w:t>
        </w:r>
      </w:hyperlink>
      <w:r w:rsidRPr="00F05BEC">
        <w:rPr>
          <w:color w:val="0000FF"/>
          <w:u w:val="single"/>
        </w:rPr>
        <w:t>.</w:t>
      </w:r>
    </w:p>
    <w:p w14:paraId="68D811E3" w14:textId="77777777" w:rsidR="00F05BEC" w:rsidRPr="00F05BEC" w:rsidRDefault="00F05BEC" w:rsidP="00F05BEC">
      <w:pPr>
        <w:pStyle w:val="PB1"/>
      </w:pPr>
      <w:r w:rsidRPr="00F05BEC">
        <w:t>Refer to the</w:t>
      </w:r>
      <w:r w:rsidRPr="00F05BEC">
        <w:rPr>
          <w:color w:val="0000FF"/>
        </w:rPr>
        <w:t xml:space="preserve"> </w:t>
      </w:r>
      <w:hyperlink r:id="rId16" w:tooltip="Link to HRA participant information and quality standards" w:history="1">
        <w:r w:rsidRPr="00F05BEC">
          <w:rPr>
            <w:color w:val="0000FF"/>
            <w:u w:val="single"/>
          </w:rPr>
          <w:t>HRA Participant and Information Quality Standards</w:t>
        </w:r>
      </w:hyperlink>
      <w:r w:rsidRPr="00F05BEC">
        <w:rPr>
          <w:color w:val="0000FF"/>
        </w:rPr>
        <w:t xml:space="preserve"> </w:t>
      </w:r>
      <w:r w:rsidRPr="00F05BEC">
        <w:t xml:space="preserve">and the </w:t>
      </w:r>
      <w:hyperlink r:id="rId17" w:tooltip="Link to HRA participant information design and review principles" w:history="1">
        <w:r w:rsidRPr="00F05BEC">
          <w:rPr>
            <w:color w:val="0000FF"/>
            <w:u w:val="single"/>
          </w:rPr>
          <w:t>HRA Participant Information Design and Review Principles</w:t>
        </w:r>
      </w:hyperlink>
      <w:r w:rsidRPr="00F05BEC">
        <w:t xml:space="preserve"> for the design of participant information.</w:t>
      </w:r>
    </w:p>
    <w:p w14:paraId="44330DDA" w14:textId="77777777" w:rsidR="00F05BEC" w:rsidRPr="00F05BEC" w:rsidRDefault="00F05BEC" w:rsidP="00F05BEC">
      <w:pPr>
        <w:pStyle w:val="PB1"/>
      </w:pPr>
      <w:r w:rsidRPr="00F05BEC">
        <w:t xml:space="preserve">Refer to </w:t>
      </w:r>
      <w:r w:rsidRPr="00F05BEC">
        <w:rPr>
          <w:rStyle w:val="DocrefChar"/>
        </w:rPr>
        <w:t>Sponsor Review Tool (UoB-SPO-QCD-002)</w:t>
      </w:r>
      <w:r w:rsidRPr="00F05BEC">
        <w:t xml:space="preserve"> for the UoB specific requirements to be included in the PIS and ICF in order for the university to proceed with sponsorship.</w:t>
      </w:r>
    </w:p>
    <w:p w14:paraId="75A73C9C" w14:textId="77777777" w:rsidR="00F05BEC" w:rsidRPr="00F05BEC" w:rsidRDefault="00F05BEC" w:rsidP="00F05BEC">
      <w:pPr>
        <w:pStyle w:val="PB1"/>
      </w:pPr>
      <w:r w:rsidRPr="00F05BEC">
        <w:t>Assess how close the proposed research project follows standard practice, i.e. the closer the research is to standard practice the less need there is to provide the potential participant with detailed and lengthy information.</w:t>
      </w:r>
    </w:p>
    <w:p w14:paraId="2BCD1366" w14:textId="77777777" w:rsidR="00F05BEC" w:rsidRPr="00F05BEC" w:rsidRDefault="00F05BEC" w:rsidP="00F05BEC">
      <w:pPr>
        <w:pStyle w:val="PB1"/>
      </w:pPr>
      <w:r w:rsidRPr="00F05BEC">
        <w:t>Ensure that all participant related assessments and procedures detailed in the protocol are included in the PIS/ICF, e.g. if protocol states that 50 ml blood sample will be collected at the baseline visit, the same information is captured in the PIS and that this is relatable for the participant referencing quantifiable amounts, e.g. under 3 tablespoons.</w:t>
      </w:r>
    </w:p>
    <w:p w14:paraId="756E0B17" w14:textId="77777777" w:rsidR="00F05BEC" w:rsidRPr="00F05BEC" w:rsidRDefault="00F05BEC" w:rsidP="00F05BEC">
      <w:pPr>
        <w:pStyle w:val="PB1"/>
      </w:pPr>
      <w:r w:rsidRPr="00F05BEC">
        <w:t xml:space="preserve">Where participants receive payments, ensure this is clearly described in the PIS, see also the </w:t>
      </w:r>
      <w:hyperlink r:id="rId18" w:tooltip="Link to HRA’s Guidance on Participant Information Sheet" w:history="1">
        <w:r w:rsidRPr="00F05BEC">
          <w:rPr>
            <w:color w:val="0000FF"/>
            <w:u w:val="single"/>
          </w:rPr>
          <w:t>HRA’s Guidance on Participant Information Sheet</w:t>
        </w:r>
      </w:hyperlink>
      <w:r w:rsidRPr="00F05BEC">
        <w:t xml:space="preserve">. For further guidance on appropriate levels of payments see the </w:t>
      </w:r>
      <w:hyperlink r:id="rId19" w:tooltip="Link to HRA’s Guidance on Payments and Incentives in Research" w:history="1">
        <w:r w:rsidRPr="00F05BEC">
          <w:rPr>
            <w:color w:val="0000FF"/>
            <w:u w:val="single"/>
          </w:rPr>
          <w:t>HRA’s Guidance on Payments and Incentives in Research (PDF - 305 KB)</w:t>
        </w:r>
      </w:hyperlink>
      <w:r w:rsidRPr="00F05BEC">
        <w:rPr>
          <w:color w:val="0000FF"/>
          <w:u w:val="single"/>
        </w:rPr>
        <w:t>.</w:t>
      </w:r>
    </w:p>
    <w:p w14:paraId="19AC65CC" w14:textId="77777777" w:rsidR="00F05BEC" w:rsidRPr="00F05BEC" w:rsidRDefault="00F05BEC" w:rsidP="00F05BEC">
      <w:pPr>
        <w:pStyle w:val="PB2"/>
        <w:rPr>
          <w:i/>
          <w:iCs/>
          <w:color w:val="943634"/>
        </w:rPr>
      </w:pPr>
      <w:r w:rsidRPr="00F05BEC">
        <w:t xml:space="preserve">Healthy volunteers that participate in clinical research are likely to receive financial compensation for their participation. The payment must never be related to risk. Clear payment details must be included in the PIS and can be detailed in a generic amount in the form of a daily or per visit rate that states ‘from £X’ rather than giving a range. See also the </w:t>
      </w:r>
      <w:hyperlink r:id="rId20" w:tooltip="Link to NREAP Incentives in Phase 1 Trials" w:history="1">
        <w:r w:rsidRPr="00F05BEC">
          <w:rPr>
            <w:color w:val="0000FF"/>
            <w:u w:val="single"/>
          </w:rPr>
          <w:t>National Research Ethics Advisory Panel (NREAP) incentives in phase 1 trials (PDF – 130 KB)</w:t>
        </w:r>
      </w:hyperlink>
      <w:r w:rsidRPr="00F05BEC">
        <w:t xml:space="preserve"> for further information. </w:t>
      </w:r>
    </w:p>
    <w:p w14:paraId="29D6B815" w14:textId="77777777" w:rsidR="00F05BEC" w:rsidRDefault="00F05BEC" w:rsidP="00F05BEC">
      <w:pPr>
        <w:pStyle w:val="PN11"/>
      </w:pPr>
      <w:r>
        <w:lastRenderedPageBreak/>
        <w:t>The CI (or delegate) will ensure that the PIS and ICF use appropriate language, abbreviations are explained and terminology is consistent so that a lay person can easily understand the PIS and ICF.</w:t>
      </w:r>
    </w:p>
    <w:p w14:paraId="5C55F5FA" w14:textId="77777777" w:rsidR="00F05BEC" w:rsidRPr="00F05BEC" w:rsidRDefault="00F05BEC" w:rsidP="00F05BEC">
      <w:pPr>
        <w:pStyle w:val="PB1"/>
      </w:pPr>
      <w:r w:rsidRPr="00F05BEC">
        <w:t xml:space="preserve">Refer to the </w:t>
      </w:r>
      <w:hyperlink r:id="rId21" w:tooltip="Link to HRA Consent and Participation Information Guidance" w:history="1">
        <w:r w:rsidRPr="00F05BEC">
          <w:rPr>
            <w:color w:val="0000FF"/>
            <w:u w:val="single"/>
          </w:rPr>
          <w:t>HRA Consent and Participation Information Guidance</w:t>
        </w:r>
      </w:hyperlink>
      <w:r w:rsidRPr="00F05BEC">
        <w:t xml:space="preserve"> when the project involves the following participant groups:</w:t>
      </w:r>
    </w:p>
    <w:p w14:paraId="68CA4D89" w14:textId="77777777" w:rsidR="00F05BEC" w:rsidRPr="00F05BEC" w:rsidRDefault="00F05BEC" w:rsidP="00F05BEC">
      <w:pPr>
        <w:pStyle w:val="PB2"/>
      </w:pPr>
      <w:r w:rsidRPr="00F05BEC">
        <w:t>adults lacking capacity</w:t>
      </w:r>
    </w:p>
    <w:p w14:paraId="340D792E" w14:textId="77777777" w:rsidR="00F05BEC" w:rsidRPr="00F05BEC" w:rsidRDefault="00F05BEC" w:rsidP="00F05BEC">
      <w:pPr>
        <w:pStyle w:val="PB2"/>
      </w:pPr>
      <w:r w:rsidRPr="00F05BEC">
        <w:t>children and young people</w:t>
      </w:r>
    </w:p>
    <w:p w14:paraId="03EEAF95" w14:textId="77777777" w:rsidR="00F05BEC" w:rsidRPr="00F05BEC" w:rsidRDefault="00F05BEC" w:rsidP="00F05BEC">
      <w:pPr>
        <w:pStyle w:val="PB2"/>
      </w:pPr>
      <w:r w:rsidRPr="00F05BEC">
        <w:t>emergency research</w:t>
      </w:r>
    </w:p>
    <w:p w14:paraId="76D2A0BF" w14:textId="77777777" w:rsidR="00F05BEC" w:rsidRPr="00F05BEC" w:rsidRDefault="00F05BEC" w:rsidP="00F05BEC">
      <w:pPr>
        <w:pStyle w:val="PB2"/>
      </w:pPr>
      <w:r w:rsidRPr="00F05BEC">
        <w:t>deceased people.</w:t>
      </w:r>
    </w:p>
    <w:p w14:paraId="096DB361" w14:textId="58CE0AC8" w:rsidR="00F05BEC" w:rsidRPr="00F05BEC" w:rsidRDefault="00F05BEC" w:rsidP="00F05BEC">
      <w:pPr>
        <w:pStyle w:val="PN11"/>
      </w:pPr>
      <w:r w:rsidRPr="00F05BEC">
        <w:t>For project</w:t>
      </w:r>
      <w:r>
        <w:t>s</w:t>
      </w:r>
      <w:r w:rsidRPr="00F05BEC">
        <w:t xml:space="preserve"> involving optional research elements (e.g. sub-studies), the CI (or delegate) will detail this in the PIS and add these to the ICF, indicating that these are optional for the participant to consent to. </w:t>
      </w:r>
    </w:p>
    <w:p w14:paraId="50874A9B" w14:textId="77777777" w:rsidR="00F05BEC" w:rsidRPr="00F05BEC" w:rsidRDefault="00F05BEC" w:rsidP="00F05BEC">
      <w:pPr>
        <w:pStyle w:val="PN11"/>
      </w:pPr>
      <w:r w:rsidRPr="00F05BEC">
        <w:t xml:space="preserve">Where human tissue is to be collected, the CI (or delegate) will ensure the PIS and/or ICF includes the information listed below. See also </w:t>
      </w:r>
      <w:hyperlink r:id="rId22" w:tooltip="HTA Code of Practice A" w:history="1">
        <w:r w:rsidRPr="00F05BEC">
          <w:rPr>
            <w:color w:val="0000FF"/>
            <w:u w:val="single"/>
          </w:rPr>
          <w:t>HTA Code of Practice A - Guiding Principles and the Fundamental Principle of Consent (PDF – 1.2 MB)</w:t>
        </w:r>
      </w:hyperlink>
      <w:r w:rsidRPr="00F05BEC">
        <w:t>.</w:t>
      </w:r>
    </w:p>
    <w:p w14:paraId="71460940" w14:textId="77777777" w:rsidR="00F05BEC" w:rsidRPr="00F05BEC" w:rsidRDefault="00F05BEC" w:rsidP="0023039C">
      <w:pPr>
        <w:pStyle w:val="PB1"/>
      </w:pPr>
      <w:r w:rsidRPr="00F05BEC">
        <w:t>The PIS details how the tissue will be collected and shipped, where it will be stored, how it will be processed and if it will be destroyed. The ICF will be designed to capture the explicit consent of the participant to the sample pathway described in the PIS.</w:t>
      </w:r>
    </w:p>
    <w:p w14:paraId="26DDE080" w14:textId="77777777" w:rsidR="00F05BEC" w:rsidRPr="00F05BEC" w:rsidRDefault="00F05BEC" w:rsidP="0023039C">
      <w:pPr>
        <w:pStyle w:val="PB1"/>
      </w:pPr>
      <w:r w:rsidRPr="00F05BEC">
        <w:t>Where tissue is expected to be used in future ethically approved clinical research or moved to a Human Tissue Authority (HTA) licensed research tissue bank, this is to be clearly stated in the PIS and explicit consent obtained in the ICF.</w:t>
      </w:r>
    </w:p>
    <w:p w14:paraId="28FA58E8" w14:textId="77777777" w:rsidR="00F05BEC" w:rsidRPr="00F05BEC" w:rsidRDefault="00F05BEC" w:rsidP="0023039C">
      <w:pPr>
        <w:pStyle w:val="PB1"/>
      </w:pPr>
      <w:r w:rsidRPr="00F05BEC">
        <w:t>If genomic analysis is to be performed on the sample, if the sample is to be used in animal research, or if the research involves commercial partners, this will be stipulated in the PIS and the ICF designed to capture the explicit consent of the participant to these processes.</w:t>
      </w:r>
    </w:p>
    <w:p w14:paraId="27317DEC" w14:textId="77777777" w:rsidR="00F05BEC" w:rsidRPr="00F05BEC" w:rsidRDefault="00F05BEC" w:rsidP="001971C7">
      <w:pPr>
        <w:pStyle w:val="PN11"/>
      </w:pPr>
      <w:r w:rsidRPr="00F05BEC">
        <w:t xml:space="preserve">The CI (or delegate) will define and clarify the process and timelines for informing participants of the results in a suitable format (unless justified in the protocol) within the PIS. </w:t>
      </w:r>
    </w:p>
    <w:p w14:paraId="30B87EB5" w14:textId="59FF3431" w:rsidR="00F05BEC" w:rsidRPr="00F05BEC" w:rsidRDefault="00F05BEC" w:rsidP="0023039C">
      <w:pPr>
        <w:pStyle w:val="PB1"/>
      </w:pPr>
      <w:r w:rsidRPr="00F05BEC">
        <w:t xml:space="preserve">Consideration should be given to signposting participant to information (e.g. on a website) to avoid unnecessary retaining contact details of participants. This may be as part of the </w:t>
      </w:r>
      <w:hyperlink r:id="rId23" w:tooltip="HRA’s Make it Public transparency strategy" w:history="1">
        <w:r w:rsidRPr="00F05BEC">
          <w:rPr>
            <w:color w:val="0000FF"/>
            <w:u w:val="single"/>
          </w:rPr>
          <w:t>HRA’s Make it Public transparency strategy</w:t>
        </w:r>
      </w:hyperlink>
      <w:r w:rsidRPr="00F05BEC">
        <w:t xml:space="preserve"> via a </w:t>
      </w:r>
      <w:hyperlink r:id="rId24" w:tooltip="HTA's guidance on writing a plain language (lay) summary of your research findings" w:history="1">
        <w:r w:rsidRPr="00F05BEC">
          <w:rPr>
            <w:color w:val="0000FF"/>
            <w:u w:val="single"/>
          </w:rPr>
          <w:t>plain language summary</w:t>
        </w:r>
      </w:hyperlink>
      <w:r w:rsidRPr="00F05BEC">
        <w:t xml:space="preserve"> of the project’s findings in the </w:t>
      </w:r>
      <w:hyperlink r:id="rId25" w:anchor="finalreport" w:tooltip="HRA guidance on the final report" w:history="1">
        <w:r w:rsidRPr="00F05BEC">
          <w:rPr>
            <w:color w:val="0000FF"/>
            <w:u w:val="single"/>
          </w:rPr>
          <w:t>final report</w:t>
        </w:r>
      </w:hyperlink>
      <w:r w:rsidRPr="00F05BEC">
        <w:t> which will be published on the HRA website for </w:t>
      </w:r>
      <w:hyperlink r:id="rId26" w:tooltip="link to the the HRA website for research summaries" w:history="1">
        <w:r w:rsidRPr="00F05BEC">
          <w:rPr>
            <w:color w:val="0000FF"/>
            <w:u w:val="single"/>
          </w:rPr>
          <w:t>research summaries</w:t>
        </w:r>
      </w:hyperlink>
      <w:r w:rsidRPr="00F05BEC">
        <w:t xml:space="preserve">. Another example may be via a project-specific website. </w:t>
      </w:r>
    </w:p>
    <w:p w14:paraId="30E1B388" w14:textId="77777777" w:rsidR="00F05BEC" w:rsidRPr="00F05BEC" w:rsidRDefault="00F05BEC" w:rsidP="001971C7">
      <w:pPr>
        <w:pStyle w:val="PN11"/>
      </w:pPr>
      <w:r w:rsidRPr="00F05BEC">
        <w:t xml:space="preserve">Where appropriate, the CI (or delegate) will develop information for participants at the end of a project explaining the care after the research and how their care might change. It will also include if there are ethical and practical issues, in particular when participants may wish to continue on the intervention after the project. For further details please see the </w:t>
      </w:r>
      <w:hyperlink r:id="rId27" w:tooltip="LInk to HRA guidance regarding care for participants after research" w:history="1">
        <w:r w:rsidRPr="00F05BEC">
          <w:rPr>
            <w:color w:val="0000FF"/>
            <w:u w:val="single"/>
          </w:rPr>
          <w:t>HRA guidance document</w:t>
        </w:r>
      </w:hyperlink>
      <w:r w:rsidRPr="00F05BEC">
        <w:t>.</w:t>
      </w:r>
    </w:p>
    <w:p w14:paraId="5DB130B6" w14:textId="77777777" w:rsidR="00F05BEC" w:rsidRPr="00F05BEC" w:rsidRDefault="00F05BEC" w:rsidP="001971C7">
      <w:pPr>
        <w:pStyle w:val="PN11"/>
      </w:pPr>
      <w:r w:rsidRPr="00F05BEC">
        <w:t>The CI (no delegation allowed) will document their approval of the final version of the PIS and ICF in writing and the CI (or delegate) will file the written approval in the Study/Trial Master File (S/TMF).</w:t>
      </w:r>
    </w:p>
    <w:p w14:paraId="71A69AD1" w14:textId="77777777" w:rsidR="00F05BEC" w:rsidRPr="00F05BEC" w:rsidRDefault="00F05BEC" w:rsidP="00CE6778">
      <w:pPr>
        <w:pStyle w:val="PN11"/>
      </w:pPr>
      <w:r w:rsidRPr="00F05BEC">
        <w:t>Where required, the CI (or delegate) will develop a variety of appropriate tools to recruit potential participants. The procedures proposed will be outlined in the protocol, and tools may include:</w:t>
      </w:r>
    </w:p>
    <w:p w14:paraId="1F8E48ED" w14:textId="77777777" w:rsidR="00F05BEC" w:rsidRPr="0081352C" w:rsidRDefault="00F05BEC" w:rsidP="0081352C">
      <w:pPr>
        <w:pStyle w:val="PB1"/>
      </w:pPr>
      <w:r w:rsidRPr="0081352C">
        <w:t>adverts (in newspapers, websites or on local radio) or letters</w:t>
      </w:r>
    </w:p>
    <w:p w14:paraId="30906F76" w14:textId="77777777" w:rsidR="00F05BEC" w:rsidRPr="0081352C" w:rsidRDefault="00F05BEC" w:rsidP="0081352C">
      <w:pPr>
        <w:pStyle w:val="PB1"/>
      </w:pPr>
      <w:r w:rsidRPr="0081352C">
        <w:t>social media advertising, e.g. Twitter, Facebook, blogs, videos</w:t>
      </w:r>
    </w:p>
    <w:p w14:paraId="3010C0A9" w14:textId="77777777" w:rsidR="00F05BEC" w:rsidRPr="0081352C" w:rsidRDefault="00F05BEC" w:rsidP="0081352C">
      <w:pPr>
        <w:pStyle w:val="PB1"/>
      </w:pPr>
      <w:r w:rsidRPr="0081352C">
        <w:t>retention initiatives, e.g. vouchers, travel expenses.</w:t>
      </w:r>
    </w:p>
    <w:p w14:paraId="0DBBCF1E" w14:textId="1CC5602F" w:rsidR="00F05BEC" w:rsidRPr="00F05BEC" w:rsidRDefault="00F05BEC" w:rsidP="00CE6778">
      <w:pPr>
        <w:pStyle w:val="PN11"/>
      </w:pPr>
      <w:r w:rsidRPr="00F05BEC">
        <w:t xml:space="preserve">The CI (or delegate) will ensure that any written information (including video transcripts) provided to participants will be reviewed and approved in writing by the appropriate review body(ies) e.g., Sponsor, REC and </w:t>
      </w:r>
      <w:r w:rsidR="00DF44C3">
        <w:t>Medicines and Healthcare products Regulatory Agency (</w:t>
      </w:r>
      <w:r w:rsidRPr="00F05BEC">
        <w:t>MHRA</w:t>
      </w:r>
      <w:r w:rsidR="00DF44C3">
        <w:t>).</w:t>
      </w:r>
      <w:r w:rsidRPr="00F05BEC" w:rsidDel="00FC7C73">
        <w:t xml:space="preserve"> </w:t>
      </w:r>
      <w:r w:rsidRPr="00F05BEC">
        <w:t xml:space="preserve">See also </w:t>
      </w:r>
      <w:r w:rsidRPr="00CE6778">
        <w:rPr>
          <w:rStyle w:val="DocrefChar"/>
        </w:rPr>
        <w:t>Project Set-up SOP (UoB-SET-SOP-001)</w:t>
      </w:r>
      <w:r w:rsidRPr="00F05BEC">
        <w:t>.</w:t>
      </w:r>
    </w:p>
    <w:p w14:paraId="79055C74" w14:textId="77777777" w:rsidR="00F05BEC" w:rsidRPr="00F05BEC" w:rsidRDefault="00F05BEC" w:rsidP="00CE6778">
      <w:pPr>
        <w:pStyle w:val="PB1"/>
      </w:pPr>
      <w:r w:rsidRPr="00F05BEC">
        <w:t xml:space="preserve">For guidance on information about public involvement that RECs are seeking, please see </w:t>
      </w:r>
      <w:hyperlink r:id="rId28" w:tooltip="Link to HRA checklist for public involvement for applicants " w:history="1">
        <w:r w:rsidRPr="00F05BEC">
          <w:rPr>
            <w:color w:val="0000FF"/>
            <w:u w:val="single"/>
          </w:rPr>
          <w:t>HRA checklist for public involvement for applicants</w:t>
        </w:r>
      </w:hyperlink>
      <w:r w:rsidRPr="00F05BEC">
        <w:t>.</w:t>
      </w:r>
    </w:p>
    <w:p w14:paraId="5DB8D4EF" w14:textId="77777777" w:rsidR="00F05BEC" w:rsidRPr="00F05BEC" w:rsidRDefault="00F05BEC" w:rsidP="00CE6778">
      <w:pPr>
        <w:pStyle w:val="PN11"/>
      </w:pPr>
      <w:r w:rsidRPr="00F05BEC">
        <w:t xml:space="preserve">If there are changes to the project design, medication used or risks associated with participation, the CI (or delegate) will ensure that the PIS and ICF will be updated to reflect this and ensure the amended documents will be reviewed and approved by the appropriate review body(ies) through the defined process for amendments (see the amendments section of the </w:t>
      </w:r>
      <w:r w:rsidRPr="00CE6778">
        <w:rPr>
          <w:rStyle w:val="DocrefChar"/>
        </w:rPr>
        <w:t>Project Set-up SOP (UoB-SET-SOP-001)</w:t>
      </w:r>
      <w:r w:rsidRPr="00F05BEC">
        <w:t>, before participants are notified and re-consented as applicable.</w:t>
      </w:r>
    </w:p>
    <w:p w14:paraId="16CDCC56" w14:textId="77777777" w:rsidR="00F05BEC" w:rsidRPr="00F05BEC" w:rsidRDefault="00F05BEC" w:rsidP="00CE6778">
      <w:pPr>
        <w:pStyle w:val="PN11"/>
      </w:pPr>
      <w:r w:rsidRPr="00F05BEC">
        <w:lastRenderedPageBreak/>
        <w:t>The CI (or delegate) will ensure participants are given the option to re-consent if an urgent safety measure has been instigated.</w:t>
      </w:r>
    </w:p>
    <w:p w14:paraId="7A6448FF" w14:textId="58E5D4CC" w:rsidR="00F05BEC" w:rsidRDefault="00865494" w:rsidP="00361552">
      <w:pPr>
        <w:pStyle w:val="PN1"/>
      </w:pPr>
      <w:bookmarkStart w:id="13" w:name="_Toc170908469"/>
      <w:r>
        <w:t>H</w:t>
      </w:r>
      <w:r w:rsidR="00361552">
        <w:t>andling personal data</w:t>
      </w:r>
      <w:bookmarkEnd w:id="13"/>
    </w:p>
    <w:p w14:paraId="5335AF86" w14:textId="77777777" w:rsidR="00361552" w:rsidRPr="00361552" w:rsidRDefault="00361552" w:rsidP="00361552">
      <w:pPr>
        <w:jc w:val="left"/>
      </w:pPr>
      <w:r w:rsidRPr="00361552">
        <w:t>Personal data is defined in the UK General Data Protection Regulation (GDPR) as: “‘personal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See Information Commissioner’s Office (ICO) for more information on ‘</w:t>
      </w:r>
      <w:hyperlink r:id="rId29" w:tooltip="ICO guidance on personal data" w:history="1">
        <w:r w:rsidRPr="00361552">
          <w:rPr>
            <w:color w:val="0000FF"/>
            <w:u w:val="single"/>
          </w:rPr>
          <w:t>what is personal data?</w:t>
        </w:r>
      </w:hyperlink>
      <w:r w:rsidRPr="00361552">
        <w:t xml:space="preserve">’. </w:t>
      </w:r>
    </w:p>
    <w:p w14:paraId="4D9B7C6C" w14:textId="77777777" w:rsidR="00361552" w:rsidRDefault="00361552" w:rsidP="00361552">
      <w:pPr>
        <w:jc w:val="left"/>
      </w:pPr>
      <w:r w:rsidRPr="00361552">
        <w:t xml:space="preserve">A data protection impact assessment (DPIA) is intended to be used to help identify and minimise data protection risks associated with a project and assist with planning for and achieving compliance with data protection law requirements. </w:t>
      </w:r>
    </w:p>
    <w:p w14:paraId="205B2EBA" w14:textId="2E822574" w:rsidR="00361552" w:rsidRPr="00361552" w:rsidRDefault="00361552" w:rsidP="00361552">
      <w:pPr>
        <w:pStyle w:val="PN11"/>
      </w:pPr>
      <w:r w:rsidRPr="00361552">
        <w:t xml:space="preserve">The CI (or delegate) will assess the need to carry out a DPIA in accordance with the </w:t>
      </w:r>
      <w:r w:rsidRPr="00F409CA">
        <w:rPr>
          <w:color w:val="0000FF"/>
          <w:u w:val="single"/>
        </w:rPr>
        <w:t>UoB Legal Service’s</w:t>
      </w:r>
      <w:r w:rsidRPr="00361552">
        <w:t xml:space="preserve"> </w:t>
      </w:r>
      <w:hyperlink r:id="rId30" w:tooltip="UoB Legal Service's Data Protection Resources" w:history="1">
        <w:r w:rsidRPr="00361552">
          <w:rPr>
            <w:color w:val="0000FF"/>
            <w:u w:val="single"/>
          </w:rPr>
          <w:t>guidance on DPIAs</w:t>
        </w:r>
      </w:hyperlink>
      <w:r w:rsidRPr="00361552">
        <w:t xml:space="preserve"> (a DPIA template is available</w:t>
      </w:r>
      <w:r w:rsidR="00CA0F97">
        <w:t>;</w:t>
      </w:r>
      <w:r w:rsidR="00C00427">
        <w:t xml:space="preserve"> UoB</w:t>
      </w:r>
      <w:r w:rsidR="00CA0F97">
        <w:t xml:space="preserve"> login</w:t>
      </w:r>
      <w:r w:rsidR="00565626">
        <w:t xml:space="preserve"> required</w:t>
      </w:r>
      <w:r w:rsidRPr="00361552">
        <w:t xml:space="preserve">). A DPIA must be carried out where there is a high risk to individuals’ rights and freedoms including (but not limited to) privacy rights. The list below provides examples of where a DPIA must be completed. </w:t>
      </w:r>
    </w:p>
    <w:p w14:paraId="651C4C0B" w14:textId="77777777" w:rsidR="00361552" w:rsidRPr="00361552" w:rsidRDefault="00361552" w:rsidP="00361552">
      <w:pPr>
        <w:pStyle w:val="PB1"/>
      </w:pPr>
      <w:r w:rsidRPr="00361552">
        <w:t>Processing specific category data.</w:t>
      </w:r>
    </w:p>
    <w:p w14:paraId="099E1DDD" w14:textId="77777777" w:rsidR="00361552" w:rsidRPr="00361552" w:rsidRDefault="00361552" w:rsidP="00361552">
      <w:pPr>
        <w:pStyle w:val="PB1"/>
      </w:pPr>
      <w:r w:rsidRPr="00361552">
        <w:t xml:space="preserve">Processing biometric data. </w:t>
      </w:r>
    </w:p>
    <w:p w14:paraId="11EC4EED" w14:textId="77777777" w:rsidR="00361552" w:rsidRPr="00361552" w:rsidRDefault="00361552" w:rsidP="00361552">
      <w:pPr>
        <w:pStyle w:val="PB1"/>
      </w:pPr>
      <w:r w:rsidRPr="00361552">
        <w:t xml:space="preserve">Processing genetic data other than for the provision of health care. </w:t>
      </w:r>
    </w:p>
    <w:p w14:paraId="319C90F2" w14:textId="77777777" w:rsidR="00361552" w:rsidRPr="00361552" w:rsidRDefault="00361552" w:rsidP="00361552">
      <w:pPr>
        <w:pStyle w:val="PN11"/>
      </w:pPr>
      <w:r w:rsidRPr="00361552">
        <w:t xml:space="preserve">To ensure compliance with UK GDPR, the CI (or delegate) will develop an appropriate privacy notice for transparency about how the participant’s personal data will be processed as part of the research. For international research, the applicable country’s regulatory requirements must be adhered to. The privacy notice will include information that covers the areas listed below (these heading can be copied and used in the privacy notice which may form part of the PIS). </w:t>
      </w:r>
    </w:p>
    <w:p w14:paraId="5E716C41" w14:textId="77777777" w:rsidR="00361552" w:rsidRPr="00361552" w:rsidRDefault="00361552" w:rsidP="00361552">
      <w:pPr>
        <w:pStyle w:val="PB1"/>
      </w:pPr>
      <w:r w:rsidRPr="00361552">
        <w:t>Who is the data controller?</w:t>
      </w:r>
    </w:p>
    <w:p w14:paraId="4052D95F" w14:textId="77777777" w:rsidR="00361552" w:rsidRPr="00361552" w:rsidRDefault="00361552" w:rsidP="00361552">
      <w:pPr>
        <w:pStyle w:val="PB1"/>
      </w:pPr>
      <w:r w:rsidRPr="00361552">
        <w:t>What data are we processing and for what purpose will we use it?</w:t>
      </w:r>
    </w:p>
    <w:p w14:paraId="4569F099" w14:textId="77777777" w:rsidR="00361552" w:rsidRPr="00361552" w:rsidRDefault="00361552" w:rsidP="00361552">
      <w:pPr>
        <w:pStyle w:val="PB1"/>
      </w:pPr>
      <w:r w:rsidRPr="00361552">
        <w:t>What is our legal basis for processing your data?</w:t>
      </w:r>
    </w:p>
    <w:p w14:paraId="0C3FE451" w14:textId="77777777" w:rsidR="00361552" w:rsidRPr="00361552" w:rsidRDefault="00361552" w:rsidP="00361552">
      <w:pPr>
        <w:pStyle w:val="PB1"/>
      </w:pPr>
      <w:r w:rsidRPr="00361552">
        <w:t xml:space="preserve">Who will my personal data be shared with? </w:t>
      </w:r>
    </w:p>
    <w:p w14:paraId="0A26BCE3" w14:textId="77777777" w:rsidR="00361552" w:rsidRPr="00361552" w:rsidRDefault="00361552" w:rsidP="00361552">
      <w:pPr>
        <w:pStyle w:val="PB1"/>
      </w:pPr>
      <w:r w:rsidRPr="00361552">
        <w:t>How will my personal data be kept secure?</w:t>
      </w:r>
    </w:p>
    <w:p w14:paraId="0B29128E" w14:textId="77777777" w:rsidR="00361552" w:rsidRPr="00361552" w:rsidRDefault="00361552" w:rsidP="00361552">
      <w:pPr>
        <w:pStyle w:val="PB1"/>
      </w:pPr>
      <w:r w:rsidRPr="00361552">
        <w:t>How long will my personal data be kept?</w:t>
      </w:r>
    </w:p>
    <w:p w14:paraId="41B98D01" w14:textId="77777777" w:rsidR="00361552" w:rsidRPr="00361552" w:rsidRDefault="00361552" w:rsidP="00361552">
      <w:pPr>
        <w:pStyle w:val="PB1"/>
      </w:pPr>
      <w:r w:rsidRPr="00361552">
        <w:t>Your rights in relation to your data</w:t>
      </w:r>
    </w:p>
    <w:p w14:paraId="06633AC8" w14:textId="51E3966D" w:rsidR="00361552" w:rsidRPr="00361552" w:rsidRDefault="00361552" w:rsidP="00361552">
      <w:pPr>
        <w:ind w:left="340"/>
        <w:jc w:val="left"/>
      </w:pPr>
      <w:r w:rsidRPr="00361552">
        <w:t xml:space="preserve">Note #1: for projects using profiling or automated decision-making, it is expected that </w:t>
      </w:r>
      <w:hyperlink r:id="rId31" w:tooltip="Contact UoB Legal Services for advice" w:history="1">
        <w:r w:rsidRPr="00361552">
          <w:rPr>
            <w:color w:val="0000FF"/>
            <w:u w:val="single"/>
          </w:rPr>
          <w:t>UoB Legal Services</w:t>
        </w:r>
      </w:hyperlink>
      <w:r w:rsidRPr="00361552">
        <w:t xml:space="preserve"> (UoB login</w:t>
      </w:r>
      <w:r w:rsidR="00565626">
        <w:t xml:space="preserve"> required</w:t>
      </w:r>
      <w:r w:rsidRPr="00361552">
        <w:t>) is contacted for advice on how to include the necessary wording for the privacy notice.</w:t>
      </w:r>
    </w:p>
    <w:p w14:paraId="27D2AED9" w14:textId="77777777" w:rsidR="00361552" w:rsidRPr="00361552" w:rsidRDefault="00361552" w:rsidP="00361552">
      <w:pPr>
        <w:ind w:left="340"/>
        <w:jc w:val="left"/>
      </w:pPr>
      <w:r w:rsidRPr="00361552">
        <w:t xml:space="preserve">Note #2: an example of sharing participant identifiable data is where a copy of the ICF from an NHS Trust site is sent to a UoB research office. </w:t>
      </w:r>
    </w:p>
    <w:p w14:paraId="588A8A68" w14:textId="74EA9205" w:rsidR="00361552" w:rsidRPr="00361552" w:rsidRDefault="00361552" w:rsidP="00361552">
      <w:pPr>
        <w:ind w:left="340"/>
        <w:jc w:val="left"/>
      </w:pPr>
      <w:r w:rsidRPr="00361552">
        <w:t xml:space="preserve">Note #3: for UoB REC-approved clinical research, see </w:t>
      </w:r>
      <w:hyperlink r:id="rId32" w:tooltip="Link to UoB data protection resources" w:history="1">
        <w:r w:rsidRPr="00565626">
          <w:rPr>
            <w:rStyle w:val="Hyperlink"/>
          </w:rPr>
          <w:t>UoB Legal Services’ guidance and templates on the essential information to provide participants</w:t>
        </w:r>
      </w:hyperlink>
      <w:r w:rsidRPr="00361552">
        <w:t xml:space="preserve"> (UoB login</w:t>
      </w:r>
      <w:r w:rsidR="00C00427">
        <w:t xml:space="preserve"> required</w:t>
      </w:r>
      <w:r w:rsidRPr="00361552">
        <w:t>) in order to meet the data protection requirements.</w:t>
      </w:r>
    </w:p>
    <w:p w14:paraId="55EC8DDF" w14:textId="11202E8F" w:rsidR="00361552" w:rsidRPr="00361552" w:rsidRDefault="00361552" w:rsidP="00361552">
      <w:pPr>
        <w:ind w:left="340"/>
        <w:jc w:val="left"/>
      </w:pPr>
      <w:r w:rsidRPr="00361552">
        <w:t xml:space="preserve">Note #4: for HRA-approved research, the HRA expect that all new projects will include the </w:t>
      </w:r>
      <w:hyperlink r:id="rId33" w:tooltip="Link to HRA's transparency wording" w:history="1">
        <w:r w:rsidRPr="00565626">
          <w:rPr>
            <w:rStyle w:val="Hyperlink"/>
          </w:rPr>
          <w:t>HRA’s transparency wording</w:t>
        </w:r>
      </w:hyperlink>
      <w:r w:rsidRPr="00361552">
        <w:t xml:space="preserve">. Refer also to the </w:t>
      </w:r>
      <w:hyperlink r:id="rId34" w:tooltip="Link to HRA GDPR guidance" w:history="1">
        <w:r w:rsidRPr="00361552">
          <w:rPr>
            <w:color w:val="0000FF"/>
            <w:u w:val="single"/>
          </w:rPr>
          <w:t>HRA’s General Data Protection Regulation (GDPR) guidance</w:t>
        </w:r>
      </w:hyperlink>
      <w:r w:rsidRPr="00361552">
        <w:t xml:space="preserve">. Work is currently underway to develop UoB-specific wording which, once approved by the HRA, will be available to be used as an alternative. </w:t>
      </w:r>
    </w:p>
    <w:p w14:paraId="20069FA8" w14:textId="159F031C" w:rsidR="00361552" w:rsidRDefault="00865494" w:rsidP="00361552">
      <w:pPr>
        <w:pStyle w:val="PN1"/>
      </w:pPr>
      <w:bookmarkStart w:id="14" w:name="_Toc170908470"/>
      <w:r>
        <w:t>P</w:t>
      </w:r>
      <w:r w:rsidR="00361552">
        <w:t>articipant recruitment and informed consent</w:t>
      </w:r>
      <w:bookmarkEnd w:id="14"/>
    </w:p>
    <w:p w14:paraId="0BA1A7CC" w14:textId="230EB1C9" w:rsidR="00361552" w:rsidRPr="00361552" w:rsidRDefault="00361552" w:rsidP="00361552">
      <w:pPr>
        <w:pStyle w:val="PN11"/>
      </w:pPr>
      <w:r w:rsidRPr="00361552">
        <w:t>The CI (or delegate) will ensure that the Principal Investigator (PI) at each investigator site is fully aware of their responsibilities for participant recruitment, eligibility and screening. It is strongly encouraged that any individuals involved in the consent process complete the online</w:t>
      </w:r>
      <w:r w:rsidR="00467FD6">
        <w:t xml:space="preserve"> </w:t>
      </w:r>
      <w:r w:rsidR="00467FD6" w:rsidRPr="004D7AF7">
        <w:t>National Institute for Health Research</w:t>
      </w:r>
      <w:r w:rsidRPr="00361552">
        <w:t xml:space="preserve"> </w:t>
      </w:r>
      <w:hyperlink r:id="rId35" w:tooltip="Link to NIHR West Midlands informed consent training" w:history="1">
        <w:r w:rsidR="00467FD6">
          <w:rPr>
            <w:color w:val="0000FF"/>
            <w:u w:val="single"/>
          </w:rPr>
          <w:t>(NIHR) informed consent training</w:t>
        </w:r>
      </w:hyperlink>
      <w:r w:rsidRPr="00361552">
        <w:t xml:space="preserve">. See also </w:t>
      </w:r>
      <w:r w:rsidR="00565626">
        <w:rPr>
          <w:rStyle w:val="DocrefChar"/>
        </w:rPr>
        <w:t>Guidelines for Informed Consent Procedures</w:t>
      </w:r>
      <w:r w:rsidRPr="00361552">
        <w:rPr>
          <w:rStyle w:val="DocrefChar"/>
        </w:rPr>
        <w:t xml:space="preserve"> (UoB-PEI-QCD-001)</w:t>
      </w:r>
      <w:r w:rsidRPr="00361552">
        <w:t xml:space="preserve"> for further guidance.</w:t>
      </w:r>
    </w:p>
    <w:p w14:paraId="53AEF6E1" w14:textId="77777777" w:rsidR="00361552" w:rsidRPr="00361552" w:rsidRDefault="00361552" w:rsidP="00361552">
      <w:pPr>
        <w:pStyle w:val="PB1"/>
      </w:pPr>
      <w:r w:rsidRPr="00361552">
        <w:lastRenderedPageBreak/>
        <w:t>No project specific screening can take place until informed consent is obtained from the participant. Pre-screening is permitted by the care team to ensure that the project is appropriate for the intended participant. This can include reviewing medical notes and associated imaging and laboratory results that are part of the participant’s standard care. Other ways of identifying potential participants may include:</w:t>
      </w:r>
    </w:p>
    <w:p w14:paraId="264285D4" w14:textId="77777777" w:rsidR="00361552" w:rsidRDefault="00361552" w:rsidP="00361552">
      <w:pPr>
        <w:pStyle w:val="PB2"/>
      </w:pPr>
      <w:r>
        <w:t>identification through a database or review of records, followed up by an invitation to attend a clinic to discuss the project</w:t>
      </w:r>
    </w:p>
    <w:p w14:paraId="6114D8A0" w14:textId="77777777" w:rsidR="00361552" w:rsidRDefault="00361552" w:rsidP="00361552">
      <w:pPr>
        <w:pStyle w:val="PB2"/>
      </w:pPr>
      <w:r>
        <w:t>discussion during a multi-disciplinary team meeting where treatments are reviewed</w:t>
      </w:r>
    </w:p>
    <w:p w14:paraId="77C75E52" w14:textId="77777777" w:rsidR="00361552" w:rsidRDefault="00361552" w:rsidP="00361552">
      <w:pPr>
        <w:pStyle w:val="PB2"/>
      </w:pPr>
      <w:r>
        <w:t>attendance at a site, e.g. surgery or hospital department undertaking the project</w:t>
      </w:r>
    </w:p>
    <w:p w14:paraId="367A54B8" w14:textId="77777777" w:rsidR="00361552" w:rsidRDefault="00361552" w:rsidP="00361552">
      <w:pPr>
        <w:pStyle w:val="PB2"/>
      </w:pPr>
      <w:r>
        <w:t>responding to advertisements</w:t>
      </w:r>
    </w:p>
    <w:p w14:paraId="0E10E419" w14:textId="77777777" w:rsidR="00361552" w:rsidRDefault="00361552" w:rsidP="00361552">
      <w:pPr>
        <w:pStyle w:val="PB2"/>
      </w:pPr>
      <w:r>
        <w:t xml:space="preserve">identification and contact of individuals under </w:t>
      </w:r>
      <w:hyperlink r:id="rId36" w:tooltip="Link to Section 251 of the NHS Act 2006" w:history="1">
        <w:r w:rsidRPr="00334C4B">
          <w:rPr>
            <w:rStyle w:val="Hyperlink"/>
          </w:rPr>
          <w:t>Section 251 of the NHS Act 2006</w:t>
        </w:r>
      </w:hyperlink>
      <w:r>
        <w:t>.</w:t>
      </w:r>
    </w:p>
    <w:p w14:paraId="49D1B381" w14:textId="77777777" w:rsidR="00361552" w:rsidRPr="00361552" w:rsidRDefault="00361552" w:rsidP="00361552">
      <w:pPr>
        <w:pStyle w:val="PB1"/>
      </w:pPr>
      <w:r w:rsidRPr="00361552">
        <w:t xml:space="preserve">For CTIMPs, the decision as to whether a potential participant is eligible for the trial is considered to be a medical decision and must therefore be made by a medically qualified doctor or when appropriate a qualified dentist. </w:t>
      </w:r>
    </w:p>
    <w:p w14:paraId="0CE0290B" w14:textId="77777777" w:rsidR="00361552" w:rsidRPr="00361552" w:rsidRDefault="00361552" w:rsidP="00361552">
      <w:pPr>
        <w:pStyle w:val="PB1"/>
      </w:pPr>
      <w:r w:rsidRPr="00361552">
        <w:t>There may be unique instances when it is appropriate for other GCP-trained non-physician healthcare professionals to confirm eligibility provided the eligibility assessments and process are detailed in full in the protocol.</w:t>
      </w:r>
    </w:p>
    <w:p w14:paraId="0E9341EC" w14:textId="77777777" w:rsidR="00361552" w:rsidRPr="00361552" w:rsidRDefault="00361552" w:rsidP="00361552">
      <w:pPr>
        <w:pStyle w:val="PB2"/>
      </w:pPr>
      <w:r w:rsidRPr="00361552">
        <w:t xml:space="preserve">In this case, the protocol must define who should perform the eligibility assessments and a clear explanation provided of how any potential risks associated with a non-physician healthcare professional determined eligibility would need to be mitigated. </w:t>
      </w:r>
    </w:p>
    <w:p w14:paraId="4254B3AE" w14:textId="77777777" w:rsidR="00361552" w:rsidRPr="00361552" w:rsidRDefault="00361552" w:rsidP="00361552">
      <w:pPr>
        <w:pStyle w:val="PB2"/>
      </w:pPr>
      <w:r w:rsidRPr="00361552">
        <w:t xml:space="preserve">Delegation of eligibility assessment must be incorporated into the delegation of responsibilities log; </w:t>
      </w:r>
      <w:r w:rsidRPr="00361552">
        <w:rPr>
          <w:i/>
          <w:iCs/>
        </w:rPr>
        <w:t>see</w:t>
      </w:r>
      <w:r w:rsidRPr="00361552">
        <w:t xml:space="preserve"> </w:t>
      </w:r>
      <w:r w:rsidRPr="00361552">
        <w:rPr>
          <w:rStyle w:val="DocrefChar"/>
        </w:rPr>
        <w:t>Site Signature and Delegation Log (UoB-SMA-QCD-001)</w:t>
      </w:r>
      <w:r w:rsidRPr="00361552">
        <w:t xml:space="preserve"> for further details.</w:t>
      </w:r>
    </w:p>
    <w:p w14:paraId="467DF5D9" w14:textId="05C72BDD" w:rsidR="00361552" w:rsidRPr="00361552" w:rsidRDefault="00361552" w:rsidP="00361552">
      <w:pPr>
        <w:pStyle w:val="PB2"/>
      </w:pPr>
      <w:r w:rsidRPr="00361552">
        <w:t xml:space="preserve">For CTIMPs, the risk management of the eligibility process and the impact on any subsequent administration and monitoring of the Investigational Medicinal Product (IMP) (if applicable) must be considered as part of the risk assessment, and the outcome documented in the project risk assessment. See </w:t>
      </w:r>
      <w:r w:rsidRPr="00361552">
        <w:rPr>
          <w:rStyle w:val="DocrefChar"/>
        </w:rPr>
        <w:t>Risk Assessment Report (UoB-POS-QCD-001)</w:t>
      </w:r>
      <w:r w:rsidRPr="00361552">
        <w:t xml:space="preserve"> for a template.</w:t>
      </w:r>
    </w:p>
    <w:p w14:paraId="694D654A" w14:textId="77777777" w:rsidR="00361552" w:rsidRPr="00361552" w:rsidRDefault="00361552" w:rsidP="00361552">
      <w:pPr>
        <w:pStyle w:val="PN11"/>
      </w:pPr>
      <w:r w:rsidRPr="00361552">
        <w:t xml:space="preserve">The CI (or delegate) will ensure that PI oversight of the process for informed consent is maintained and evidenced; see </w:t>
      </w:r>
      <w:r w:rsidRPr="00361552">
        <w:rPr>
          <w:rStyle w:val="DocrefChar"/>
        </w:rPr>
        <w:t>Investigator Site Management SOP (UoB-SMA-SOP-001)</w:t>
      </w:r>
      <w:r w:rsidRPr="00361552">
        <w:t xml:space="preserve"> for further details.  </w:t>
      </w:r>
    </w:p>
    <w:p w14:paraId="5933B175" w14:textId="77777777" w:rsidR="00361552" w:rsidRPr="00361552" w:rsidRDefault="00361552" w:rsidP="00361552">
      <w:pPr>
        <w:pStyle w:val="PB1"/>
      </w:pPr>
      <w:r w:rsidRPr="00361552">
        <w:t xml:space="preserve">For competent adults, the informed consent of the participant should be documented. Where the participant is unable to write, it may be recorded through appropriate means such as an audio recording. Informed consent must be dated and signed by the participant with their approval indicated of the various statements, e.g., by initialling or ticking against each as the ICF requires. The ICF should also be counter-signed by the person delegated to obtain consent. See also ‘eConsent’ section below for more information on evidencing informed consent electronically. </w:t>
      </w:r>
    </w:p>
    <w:p w14:paraId="2F2BACB9" w14:textId="77777777" w:rsidR="00361552" w:rsidRPr="00361552" w:rsidRDefault="00361552" w:rsidP="00361552">
      <w:pPr>
        <w:pStyle w:val="PB2"/>
      </w:pPr>
      <w:r w:rsidRPr="00361552">
        <w:t xml:space="preserve">For CTIMPs the informed consent must be evidenced in writing (physically or electronically; see ‘eConsent’ section below), dated and signed, or otherwise marked, by the participant as to indicate their consent. If the participant is unable to sign or mark a document to indicate their consent, it may be given orally in the presence of at least one witness and recorded in writing. </w:t>
      </w:r>
    </w:p>
    <w:p w14:paraId="398DF92B" w14:textId="77777777" w:rsidR="00361552" w:rsidRPr="00361552" w:rsidRDefault="00361552" w:rsidP="00361552">
      <w:pPr>
        <w:pStyle w:val="PB2"/>
      </w:pPr>
      <w:r w:rsidRPr="00361552">
        <w:t xml:space="preserve">In certain emergency situations it may not be possible to obtain informed consent prior to the intervention and in such cases clear rules must exist as to when a participant may be enrolled, providing it is relevant to their medical condition and there is a therapeutic window. Informed consent from the participant or their legal designated representative should be sought as soon as possible. </w:t>
      </w:r>
    </w:p>
    <w:p w14:paraId="169CB6CC" w14:textId="77777777" w:rsidR="00361552" w:rsidRPr="00361552" w:rsidRDefault="00361552" w:rsidP="00361552">
      <w:pPr>
        <w:pStyle w:val="PB2"/>
      </w:pPr>
      <w:r w:rsidRPr="00361552">
        <w:t xml:space="preserve">See also </w:t>
      </w:r>
      <w:r w:rsidRPr="00361552">
        <w:rPr>
          <w:rStyle w:val="DocrefChar"/>
        </w:rPr>
        <w:t>Guidelines for Informed Consent Procedures (UoB-PEI-QCD-001)</w:t>
      </w:r>
      <w:r w:rsidRPr="00361552">
        <w:t xml:space="preserve"> for further information on the consent process and consideration for where the project involves adults lacking capacity, children &amp; young people and/or emergency situations.       </w:t>
      </w:r>
    </w:p>
    <w:p w14:paraId="151D713A" w14:textId="048EB1E8" w:rsidR="00361552" w:rsidRPr="00361552" w:rsidRDefault="00361552" w:rsidP="00361552">
      <w:pPr>
        <w:pStyle w:val="PB1"/>
      </w:pPr>
      <w:r w:rsidRPr="00361552">
        <w:t xml:space="preserve">The original consent form must be filed in the </w:t>
      </w:r>
      <w:r w:rsidR="007B3562">
        <w:t>i</w:t>
      </w:r>
      <w:r w:rsidRPr="00361552">
        <w:t xml:space="preserve">nvestigator </w:t>
      </w:r>
      <w:r w:rsidR="007B3562">
        <w:t>s</w:t>
      </w:r>
      <w:r w:rsidRPr="00361552">
        <w:t xml:space="preserve">ite </w:t>
      </w:r>
      <w:r w:rsidR="007B3562">
        <w:t>f</w:t>
      </w:r>
      <w:r w:rsidRPr="00361552">
        <w:t>ile (ISF), with a copy provided to the participant together with the PIS and where applicable a copy sent to the coordinating centre.</w:t>
      </w:r>
    </w:p>
    <w:p w14:paraId="258D6BA1" w14:textId="77777777" w:rsidR="00361552" w:rsidRPr="00361552" w:rsidRDefault="00361552" w:rsidP="00361552">
      <w:pPr>
        <w:pStyle w:val="PB1"/>
      </w:pPr>
      <w:r w:rsidRPr="00361552">
        <w:t>Following updates to the consent process the participant may need to be re-consented, which should be done at the next scheduled visit.</w:t>
      </w:r>
    </w:p>
    <w:p w14:paraId="3D66C3C0" w14:textId="77777777" w:rsidR="00361552" w:rsidRPr="00361552" w:rsidRDefault="00361552" w:rsidP="00361552">
      <w:pPr>
        <w:pStyle w:val="PB1"/>
      </w:pPr>
      <w:r w:rsidRPr="00361552">
        <w:t>Consent documentation should be available for inspection by the relevant regulators and sponsor representatives.</w:t>
      </w:r>
    </w:p>
    <w:p w14:paraId="449FCDF0" w14:textId="014A1BA7" w:rsidR="00361552" w:rsidRDefault="00361552" w:rsidP="00361552">
      <w:pPr>
        <w:pStyle w:val="PN1"/>
      </w:pPr>
      <w:bookmarkStart w:id="15" w:name="_Toc170908471"/>
      <w:r>
        <w:lastRenderedPageBreak/>
        <w:t>e</w:t>
      </w:r>
      <w:r w:rsidR="00F42E2F">
        <w:t>-</w:t>
      </w:r>
      <w:r>
        <w:t>consent</w:t>
      </w:r>
      <w:bookmarkEnd w:id="15"/>
    </w:p>
    <w:p w14:paraId="28260776" w14:textId="45B7C494" w:rsidR="00F42E2F" w:rsidRDefault="00F42E2F" w:rsidP="00F42E2F">
      <w:pPr>
        <w:pStyle w:val="PN11"/>
      </w:pPr>
      <w:r>
        <w:t xml:space="preserve">Where consent is being taken electronically, the CI (or delegate) will follow the </w:t>
      </w:r>
      <w:hyperlink r:id="rId37" w:tooltip="Link to Joint statement on seeking consent by electronic methods" w:history="1">
        <w:r w:rsidRPr="006D0D07">
          <w:rPr>
            <w:rStyle w:val="Hyperlink"/>
          </w:rPr>
          <w:t>Joint statement on seeking consent by electronic method</w:t>
        </w:r>
        <w:r>
          <w:rPr>
            <w:rStyle w:val="Hyperlink"/>
          </w:rPr>
          <w:t>s (PDF - 209 KB)</w:t>
        </w:r>
      </w:hyperlink>
      <w:r>
        <w:t xml:space="preserve"> issued by the MHRA and HRA. It is strongly encouraged that any individuals involved in obtaining remote consent complete the online </w:t>
      </w:r>
      <w:hyperlink r:id="rId38" w:tooltip="Link to NIHR remote consent training" w:history="1">
        <w:r w:rsidRPr="00C451BD">
          <w:rPr>
            <w:rStyle w:val="Hyperlink"/>
          </w:rPr>
          <w:t>NIHR remote consent</w:t>
        </w:r>
      </w:hyperlink>
      <w:r>
        <w:rPr>
          <w:rStyle w:val="Hyperlink"/>
        </w:rPr>
        <w:t xml:space="preserve"> training</w:t>
      </w:r>
      <w:r>
        <w:t>.</w:t>
      </w:r>
    </w:p>
    <w:p w14:paraId="0490C308" w14:textId="77777777" w:rsidR="00F42E2F" w:rsidRPr="00F42E2F" w:rsidRDefault="00F42E2F" w:rsidP="00F42E2F">
      <w:pPr>
        <w:pStyle w:val="PB1"/>
      </w:pPr>
      <w:r w:rsidRPr="00F42E2F">
        <w:t>The remote consent process should be documented in advance of participant recruitment commencing.</w:t>
      </w:r>
    </w:p>
    <w:p w14:paraId="4096B990" w14:textId="77777777" w:rsidR="00F42E2F" w:rsidRPr="00F42E2F" w:rsidRDefault="00F42E2F" w:rsidP="00F42E2F">
      <w:pPr>
        <w:pStyle w:val="PB2"/>
      </w:pPr>
      <w:r w:rsidRPr="00F42E2F">
        <w:t xml:space="preserve">If a CTIMP is to operate remotely with a remote consent process this would need to be approved by both the MHRA and a recognised REC. It may also be necessary to use an advanced or qualified electronic signature to verify the participant’s identity. </w:t>
      </w:r>
    </w:p>
    <w:p w14:paraId="715990DE" w14:textId="77777777" w:rsidR="00F42E2F" w:rsidRPr="00F42E2F" w:rsidRDefault="00F42E2F" w:rsidP="00F42E2F">
      <w:pPr>
        <w:pStyle w:val="PB1"/>
      </w:pPr>
      <w:r w:rsidRPr="00F42E2F">
        <w:t>Where the consent form is required to be sent to the participant electronically, it should be sent via secure email with the participant responding to the email to confirm their consent.</w:t>
      </w:r>
    </w:p>
    <w:p w14:paraId="32BEB6EB" w14:textId="791E151F" w:rsidR="00361552" w:rsidRPr="00361552" w:rsidRDefault="00F42E2F" w:rsidP="00F42E2F">
      <w:pPr>
        <w:pStyle w:val="PB1"/>
      </w:pPr>
      <w:r w:rsidRPr="00F42E2F">
        <w:t xml:space="preserve">Remote consent may be documented by incorporating it within another research action, for example enrolling into a participant diary or similar. If this approach is used, it must be made clear that by performing this research action, the individual is confirming their consent to participate. </w:t>
      </w:r>
    </w:p>
    <w:p w14:paraId="659149D4" w14:textId="77777777" w:rsidR="00692DFA" w:rsidRPr="00435EAE" w:rsidRDefault="00692DFA" w:rsidP="005F2DE3">
      <w:pPr>
        <w:pStyle w:val="Heading1"/>
      </w:pPr>
      <w:bookmarkStart w:id="16" w:name="_Toc170908472"/>
      <w:r w:rsidRPr="00435EAE">
        <w:t>List of expected outputs</w:t>
      </w:r>
      <w:bookmarkEnd w:id="16"/>
    </w:p>
    <w:p w14:paraId="5C755550" w14:textId="51F29A98" w:rsidR="000D6440" w:rsidRPr="000D6440" w:rsidRDefault="000D6440" w:rsidP="000D6440">
      <w:pPr>
        <w:pStyle w:val="bullet10"/>
        <w:numPr>
          <w:ilvl w:val="0"/>
          <w:numId w:val="3"/>
        </w:numPr>
        <w:ind w:left="340" w:hanging="340"/>
        <w:jc w:val="left"/>
      </w:pPr>
      <w:r w:rsidRPr="000D6440">
        <w:t xml:space="preserve">Evidence of public involvement in the design, management, conduct and dissemination of the project e.g. project steering committee membership, meeting notes from focus groups etc. </w:t>
      </w:r>
    </w:p>
    <w:p w14:paraId="1C56CB63" w14:textId="506EADD3" w:rsidR="000D6440" w:rsidRPr="000D6440" w:rsidRDefault="000D6440" w:rsidP="000D6440">
      <w:pPr>
        <w:numPr>
          <w:ilvl w:val="0"/>
          <w:numId w:val="3"/>
        </w:numPr>
        <w:ind w:left="340" w:hanging="340"/>
        <w:jc w:val="left"/>
      </w:pPr>
      <w:r w:rsidRPr="000D6440">
        <w:t>Protocol (including superseded versions)</w:t>
      </w:r>
      <w:r>
        <w:t>.</w:t>
      </w:r>
    </w:p>
    <w:p w14:paraId="48C548F7" w14:textId="410F5E9B" w:rsidR="000D6440" w:rsidRPr="000D6440" w:rsidRDefault="000D6440" w:rsidP="000D6440">
      <w:pPr>
        <w:numPr>
          <w:ilvl w:val="0"/>
          <w:numId w:val="3"/>
        </w:numPr>
        <w:ind w:left="340" w:hanging="340"/>
        <w:jc w:val="left"/>
      </w:pPr>
      <w:r w:rsidRPr="000D6440">
        <w:t>PIS (including superseded versions)</w:t>
      </w:r>
      <w:r>
        <w:t>.</w:t>
      </w:r>
    </w:p>
    <w:p w14:paraId="538D07D1" w14:textId="37EEAB48" w:rsidR="000D6440" w:rsidRPr="000D6440" w:rsidRDefault="000D6440" w:rsidP="000D6440">
      <w:pPr>
        <w:numPr>
          <w:ilvl w:val="0"/>
          <w:numId w:val="3"/>
        </w:numPr>
        <w:ind w:left="340" w:hanging="340"/>
        <w:jc w:val="left"/>
      </w:pPr>
      <w:r w:rsidRPr="000D6440">
        <w:t>Blank ICF (including superseded versions)</w:t>
      </w:r>
      <w:r>
        <w:t>.</w:t>
      </w:r>
      <w:r w:rsidRPr="000D6440">
        <w:t xml:space="preserve"> </w:t>
      </w:r>
    </w:p>
    <w:p w14:paraId="6471BFD4" w14:textId="5A2DB894" w:rsidR="000D6440" w:rsidRPr="000D6440" w:rsidRDefault="000D6440" w:rsidP="000D6440">
      <w:pPr>
        <w:numPr>
          <w:ilvl w:val="0"/>
          <w:numId w:val="3"/>
        </w:numPr>
        <w:ind w:left="340" w:hanging="340"/>
        <w:jc w:val="left"/>
      </w:pPr>
      <w:r w:rsidRPr="000D6440">
        <w:t>Advertisements (if applicable)</w:t>
      </w:r>
      <w:r>
        <w:t>.</w:t>
      </w:r>
    </w:p>
    <w:p w14:paraId="7AD91F39" w14:textId="270EF449" w:rsidR="000D6440" w:rsidRPr="000D6440" w:rsidRDefault="000D6440" w:rsidP="000D6440">
      <w:pPr>
        <w:numPr>
          <w:ilvl w:val="0"/>
          <w:numId w:val="3"/>
        </w:numPr>
        <w:ind w:left="340" w:hanging="340"/>
        <w:jc w:val="left"/>
      </w:pPr>
      <w:r w:rsidRPr="000D6440">
        <w:t>Documented evidence within the S/TMF confirming the CI’s approval of the PIS and ICF and for any subsequent amendments</w:t>
      </w:r>
      <w:r>
        <w:t>.</w:t>
      </w:r>
    </w:p>
    <w:p w14:paraId="768FCD88" w14:textId="03BE6B4A" w:rsidR="000D6440" w:rsidRPr="000D6440" w:rsidRDefault="000D6440" w:rsidP="000D6440">
      <w:pPr>
        <w:numPr>
          <w:ilvl w:val="0"/>
          <w:numId w:val="3"/>
        </w:numPr>
        <w:ind w:left="340" w:hanging="340"/>
        <w:jc w:val="left"/>
      </w:pPr>
      <w:r w:rsidRPr="000D6440">
        <w:t>Evidence of internal and external approval (if applicable) of participant-facing documents/information (e.g. video) and superseded versions</w:t>
      </w:r>
      <w:r>
        <w:t>.</w:t>
      </w:r>
    </w:p>
    <w:p w14:paraId="05CCD61E" w14:textId="77777777" w:rsidR="000D6440" w:rsidRPr="000D6440" w:rsidRDefault="000D6440" w:rsidP="000D6440">
      <w:pPr>
        <w:numPr>
          <w:ilvl w:val="0"/>
          <w:numId w:val="3"/>
        </w:numPr>
        <w:ind w:left="340" w:hanging="340"/>
        <w:jc w:val="left"/>
      </w:pPr>
      <w:r w:rsidRPr="000D6440">
        <w:t>Evidence of compliance with UK GDPR for transparency about how the participant’s personal data will be processed.</w:t>
      </w:r>
    </w:p>
    <w:p w14:paraId="1E3EEC2E" w14:textId="3B26B666" w:rsidR="000D6440" w:rsidRPr="000D6440" w:rsidRDefault="000D6440" w:rsidP="000D6440">
      <w:pPr>
        <w:numPr>
          <w:ilvl w:val="0"/>
          <w:numId w:val="3"/>
        </w:numPr>
        <w:ind w:left="340" w:hanging="340"/>
        <w:jc w:val="left"/>
      </w:pPr>
      <w:r w:rsidRPr="000D6440">
        <w:t>Evidence of training of PIs by the CI (or delegate) in responsibilities and processes for recruitment and consent, where applicable</w:t>
      </w:r>
      <w:r>
        <w:t>.</w:t>
      </w:r>
    </w:p>
    <w:p w14:paraId="6EF76BC9" w14:textId="57302997" w:rsidR="000D6440" w:rsidRPr="000D6440" w:rsidRDefault="000D6440" w:rsidP="000D6440">
      <w:pPr>
        <w:numPr>
          <w:ilvl w:val="0"/>
          <w:numId w:val="3"/>
        </w:numPr>
        <w:ind w:left="340" w:hanging="340"/>
        <w:jc w:val="left"/>
      </w:pPr>
      <w:r w:rsidRPr="000D6440">
        <w:t>Evidence of delegation to obtain consent and that the person is qualified to do so; e.g. site signature and delegation log (SS&amp;DL) and investigator CV</w:t>
      </w:r>
      <w:r>
        <w:t>.</w:t>
      </w:r>
      <w:r w:rsidRPr="000D6440">
        <w:t xml:space="preserve"> </w:t>
      </w:r>
    </w:p>
    <w:p w14:paraId="24EEFE60" w14:textId="6DB86B15" w:rsidR="000D6440" w:rsidRPr="000D6440" w:rsidRDefault="000D6440" w:rsidP="000D6440">
      <w:pPr>
        <w:numPr>
          <w:ilvl w:val="0"/>
          <w:numId w:val="3"/>
        </w:numPr>
        <w:ind w:left="340" w:hanging="340"/>
        <w:jc w:val="left"/>
      </w:pPr>
      <w:r w:rsidRPr="000D6440">
        <w:t>Completed project ICFs, with the originals in the ISF and copies (where explicit consent has been obtained) at the coordinating centre</w:t>
      </w:r>
      <w:r>
        <w:t>.</w:t>
      </w:r>
    </w:p>
    <w:p w14:paraId="7FA16231" w14:textId="56F0EDAD" w:rsidR="000D6440" w:rsidRPr="000D6440" w:rsidRDefault="000D6440" w:rsidP="000D6440">
      <w:pPr>
        <w:numPr>
          <w:ilvl w:val="0"/>
          <w:numId w:val="3"/>
        </w:numPr>
        <w:ind w:left="340" w:hanging="340"/>
        <w:jc w:val="left"/>
      </w:pPr>
      <w:r w:rsidRPr="000D6440">
        <w:t>Evidence of ongoing oversight by the CI of processes and duties undertaken at site for recruitment, eligibility, screening and consent</w:t>
      </w:r>
      <w:r>
        <w:t>.</w:t>
      </w:r>
    </w:p>
    <w:p w14:paraId="11CA499F" w14:textId="73DAF929" w:rsidR="00E06B04" w:rsidRDefault="000D6440" w:rsidP="00B22D41">
      <w:pPr>
        <w:numPr>
          <w:ilvl w:val="0"/>
          <w:numId w:val="3"/>
        </w:numPr>
        <w:ind w:left="340" w:hanging="340"/>
        <w:jc w:val="left"/>
      </w:pPr>
      <w:r w:rsidRPr="000D6440">
        <w:t>For clinical research using eConsent, evidence that the MHRA and HRA ‘Joint statement on seeking consent by electronic methods’ has been followed</w:t>
      </w:r>
      <w:r>
        <w:t>.</w:t>
      </w:r>
    </w:p>
    <w:p w14:paraId="1877190E"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2C08DBB8" w14:textId="77777777" w:rsidR="007B4836" w:rsidRDefault="007B4836" w:rsidP="005F2DE3">
      <w:pPr>
        <w:pStyle w:val="Heading1"/>
      </w:pPr>
      <w:bookmarkStart w:id="17" w:name="_Toc170908473"/>
      <w:r w:rsidRPr="006561C0">
        <w:lastRenderedPageBreak/>
        <w:t>Related</w:t>
      </w:r>
      <w:r>
        <w:t xml:space="preserve"> documents</w:t>
      </w:r>
      <w:bookmarkEnd w:id="17"/>
      <w:bookmarkEnd w:id="0"/>
    </w:p>
    <w:p w14:paraId="6AE1ED12" w14:textId="77777777" w:rsidR="00935A62" w:rsidRDefault="00120959" w:rsidP="00935A62">
      <w:pPr>
        <w:pStyle w:val="Heading2"/>
      </w:pPr>
      <w:bookmarkStart w:id="18" w:name="_Toc170908474"/>
      <w:r>
        <w:t>A</w:t>
      </w:r>
      <w:r w:rsidR="00F9580A">
        <w:t>ssociated</w:t>
      </w:r>
      <w:r w:rsidR="00462CF7">
        <w:t xml:space="preserve"> </w:t>
      </w:r>
      <w:r>
        <w:t>QMS documents</w:t>
      </w:r>
      <w:bookmarkEnd w:id="18"/>
    </w:p>
    <w:p w14:paraId="723728DC" w14:textId="6185FF44" w:rsidR="00291518" w:rsidRPr="00291518" w:rsidRDefault="00291518" w:rsidP="00291518">
      <w:pPr>
        <w:pStyle w:val="bullet10"/>
      </w:pPr>
      <w:r w:rsidRPr="00291518">
        <w:t>UoB-PEI-QCD-001 Guid</w:t>
      </w:r>
      <w:r w:rsidR="00144907">
        <w:t xml:space="preserve">elines for </w:t>
      </w:r>
      <w:r w:rsidRPr="00291518">
        <w:t>Informed Consent Procedures</w:t>
      </w:r>
    </w:p>
    <w:p w14:paraId="663B6E60" w14:textId="77777777" w:rsidR="00935A62" w:rsidRPr="00935A62" w:rsidRDefault="00462CF7" w:rsidP="00935A62">
      <w:pPr>
        <w:pStyle w:val="Heading2"/>
      </w:pPr>
      <w:bookmarkStart w:id="19" w:name="_Toc170908475"/>
      <w:r>
        <w:t xml:space="preserve">Additional QMS </w:t>
      </w:r>
      <w:r w:rsidR="00515191">
        <w:t>d</w:t>
      </w:r>
      <w:r w:rsidR="00935A62">
        <w:t>ocuments</w:t>
      </w:r>
      <w:bookmarkEnd w:id="19"/>
    </w:p>
    <w:p w14:paraId="65114E72" w14:textId="43136103" w:rsidR="00366B2C" w:rsidRPr="00291518" w:rsidRDefault="00366B2C" w:rsidP="00366B2C">
      <w:pPr>
        <w:pStyle w:val="bullet10"/>
      </w:pPr>
      <w:r w:rsidRPr="00291518">
        <w:t xml:space="preserve">UoB-CLN-PRO-QCD-002 Protocol Template </w:t>
      </w:r>
      <w:r w:rsidR="00FD29AF">
        <w:t xml:space="preserve">for </w:t>
      </w:r>
      <w:r w:rsidRPr="00291518">
        <w:t>CTIMPs</w:t>
      </w:r>
    </w:p>
    <w:p w14:paraId="63FB476D" w14:textId="77777777" w:rsidR="00366B2C" w:rsidRPr="00291518" w:rsidRDefault="00366B2C" w:rsidP="00366B2C">
      <w:pPr>
        <w:pStyle w:val="bullet10"/>
      </w:pPr>
      <w:r w:rsidRPr="00291518">
        <w:t>UoB-ESD-QCD-003 Protocol Development Tool for non-CTIMPs &amp; Studies</w:t>
      </w:r>
    </w:p>
    <w:p w14:paraId="39EFFC89" w14:textId="77777777" w:rsidR="00366B2C" w:rsidRPr="00291518" w:rsidRDefault="00366B2C" w:rsidP="00366B2C">
      <w:pPr>
        <w:pStyle w:val="bullet10"/>
      </w:pPr>
      <w:r w:rsidRPr="00291518">
        <w:t>UoB-ESD-QCD-004 Protocol Template for non-CTIMPs &amp; Studies</w:t>
      </w:r>
    </w:p>
    <w:p w14:paraId="46B7E8BD" w14:textId="77777777" w:rsidR="00366B2C" w:rsidRPr="00291518" w:rsidRDefault="00366B2C" w:rsidP="00366B2C">
      <w:pPr>
        <w:pStyle w:val="bullet10"/>
      </w:pPr>
      <w:r w:rsidRPr="00291518">
        <w:t>UoB-ESD-SOP-001 Essential Documents Development and Maintenance</w:t>
      </w:r>
    </w:p>
    <w:p w14:paraId="186873C1" w14:textId="77777777" w:rsidR="00366B2C" w:rsidRPr="00291518" w:rsidRDefault="00366B2C" w:rsidP="00366B2C">
      <w:pPr>
        <w:pStyle w:val="bullet10"/>
      </w:pPr>
      <w:r w:rsidRPr="00291518">
        <w:t>UoB-GCP-POL-001 UoB Principles of GCP for Clinical Research</w:t>
      </w:r>
    </w:p>
    <w:p w14:paraId="3A9A6278" w14:textId="597D8F06" w:rsidR="00366B2C" w:rsidRPr="00291518" w:rsidRDefault="00366B2C" w:rsidP="00366B2C">
      <w:pPr>
        <w:pStyle w:val="bullet10"/>
      </w:pPr>
      <w:r w:rsidRPr="00291518">
        <w:t>UoB-POS-QCD-001 Risk Assessment Report</w:t>
      </w:r>
    </w:p>
    <w:p w14:paraId="4FC06026" w14:textId="77777777" w:rsidR="00366B2C" w:rsidRPr="00291518" w:rsidRDefault="00366B2C" w:rsidP="00366B2C">
      <w:pPr>
        <w:pStyle w:val="bullet10"/>
      </w:pPr>
      <w:r w:rsidRPr="00291518">
        <w:t>UoB-SET-SOP-001 Project Set-up</w:t>
      </w:r>
    </w:p>
    <w:p w14:paraId="22356161" w14:textId="77777777" w:rsidR="00366B2C" w:rsidRPr="00291518" w:rsidRDefault="00366B2C" w:rsidP="00366B2C">
      <w:pPr>
        <w:pStyle w:val="bullet10"/>
      </w:pPr>
      <w:r w:rsidRPr="00291518">
        <w:t>UoB-SMA-SOP-001 Investigator Site Management</w:t>
      </w:r>
    </w:p>
    <w:p w14:paraId="74E59C54" w14:textId="77777777" w:rsidR="00366B2C" w:rsidRPr="00291518" w:rsidRDefault="00366B2C" w:rsidP="00366B2C">
      <w:pPr>
        <w:pStyle w:val="bullet10"/>
      </w:pPr>
      <w:r w:rsidRPr="00291518">
        <w:t>UoB-SPO-QCD-001 Clinical Trial Tasks Delegation Log</w:t>
      </w:r>
    </w:p>
    <w:p w14:paraId="27AB3768" w14:textId="77777777" w:rsidR="00366B2C" w:rsidRPr="00291518" w:rsidRDefault="00366B2C" w:rsidP="00366B2C">
      <w:pPr>
        <w:pStyle w:val="bullet10"/>
      </w:pPr>
      <w:r w:rsidRPr="00291518">
        <w:t>UoB-SPO-QCD-002 Sponsor Review Tool</w:t>
      </w:r>
    </w:p>
    <w:p w14:paraId="376C95CA" w14:textId="77777777" w:rsidR="00A86630" w:rsidRDefault="00A86630" w:rsidP="00A86630">
      <w:r>
        <w:t xml:space="preserve">Access to the full UoB QMS for clinical research is available via the </w:t>
      </w:r>
      <w:hyperlink r:id="rId39" w:tooltip="Link to CRCT website" w:history="1">
        <w:r w:rsidR="00FC026F">
          <w:rPr>
            <w:rStyle w:val="Hyperlink"/>
            <w:lang w:eastAsia="en-GB"/>
          </w:rPr>
          <w:t>CRCT website</w:t>
        </w:r>
      </w:hyperlink>
      <w:r>
        <w:rPr>
          <w:lang w:eastAsia="en-GB"/>
        </w:rPr>
        <w:t>.</w:t>
      </w:r>
    </w:p>
    <w:p w14:paraId="5BBB3608" w14:textId="77777777" w:rsidR="007B4836" w:rsidRDefault="007B4836" w:rsidP="005F2DE3">
      <w:pPr>
        <w:pStyle w:val="Heading1"/>
      </w:pPr>
      <w:bookmarkStart w:id="20" w:name="_Toc170908476"/>
      <w:r w:rsidRPr="005D17F6">
        <w:t>References</w:t>
      </w:r>
      <w:r w:rsidR="005F0420">
        <w:t xml:space="preserve"> </w:t>
      </w:r>
      <w:r w:rsidR="00A6537A">
        <w:t>&amp;</w:t>
      </w:r>
      <w:r w:rsidR="005F0420">
        <w:t xml:space="preserve"> </w:t>
      </w:r>
      <w:r w:rsidR="00FF6CB2">
        <w:t>f</w:t>
      </w:r>
      <w:r w:rsidR="005F0420">
        <w:t>rameworks</w:t>
      </w:r>
      <w:bookmarkEnd w:id="20"/>
    </w:p>
    <w:p w14:paraId="6451E89C" w14:textId="77777777" w:rsidR="00596C05" w:rsidRPr="004D7AF7" w:rsidRDefault="00596C05" w:rsidP="00865494">
      <w:pPr>
        <w:pStyle w:val="References"/>
      </w:pPr>
      <w:r w:rsidRPr="004D7AF7">
        <w:t>HRA (</w:t>
      </w:r>
      <w:r>
        <w:t>2014</w:t>
      </w:r>
      <w:r w:rsidRPr="004D7AF7">
        <w:t xml:space="preserve">) </w:t>
      </w:r>
      <w:r w:rsidRPr="0023039C">
        <w:rPr>
          <w:i/>
          <w:iCs/>
        </w:rPr>
        <w:t>Guidance on Payments and Incentives in Research</w:t>
      </w:r>
      <w:r w:rsidRPr="004D7AF7">
        <w:t xml:space="preserve">. Available at: </w:t>
      </w:r>
      <w:hyperlink r:id="rId40" w:tooltip="Link to HRA payments and incentives in research guidance" w:history="1">
        <w:r w:rsidRPr="001F67EE">
          <w:rPr>
            <w:rStyle w:val="Hyperlink"/>
          </w:rPr>
          <w:t>https://www.hra.nhs.uk/documents/274/hra-guidance-payments-incentives-research.pdf</w:t>
        </w:r>
      </w:hyperlink>
      <w:r w:rsidRPr="004D7AF7">
        <w:t xml:space="preserve"> (Accessed: 20 June 2024).</w:t>
      </w:r>
    </w:p>
    <w:p w14:paraId="35559219" w14:textId="7A6522AE" w:rsidR="00596C05" w:rsidRPr="004D7AF7" w:rsidRDefault="00596C05" w:rsidP="00865494">
      <w:pPr>
        <w:pStyle w:val="References"/>
      </w:pPr>
      <w:r w:rsidRPr="004D7AF7">
        <w:t>HRA (</w:t>
      </w:r>
      <w:r>
        <w:t>2018</w:t>
      </w:r>
      <w:r w:rsidRPr="004D7AF7">
        <w:t xml:space="preserve">) </w:t>
      </w:r>
      <w:r w:rsidRPr="0023039C">
        <w:rPr>
          <w:i/>
          <w:iCs/>
        </w:rPr>
        <w:t>Guidance on Protocol</w:t>
      </w:r>
      <w:r w:rsidRPr="004D7AF7">
        <w:t xml:space="preserve">. Available at: </w:t>
      </w:r>
      <w:hyperlink r:id="rId41" w:history="1">
        <w:r w:rsidRPr="00250C69">
          <w:rPr>
            <w:rStyle w:val="Hyperlink"/>
          </w:rPr>
          <w:t>https://www.hra.nhs.uk/planning-and-improving-research/research-planning/protocol/</w:t>
        </w:r>
      </w:hyperlink>
      <w:r w:rsidRPr="004D7AF7">
        <w:t xml:space="preserve"> (Accessed: 20 June 2024).</w:t>
      </w:r>
    </w:p>
    <w:p w14:paraId="2ED2925D" w14:textId="77777777" w:rsidR="00596C05" w:rsidRPr="004D7AF7" w:rsidRDefault="00596C05" w:rsidP="00865494">
      <w:pPr>
        <w:pStyle w:val="References"/>
      </w:pPr>
      <w:r w:rsidRPr="004D7AF7">
        <w:t>HRA</w:t>
      </w:r>
      <w:r>
        <w:t xml:space="preserve"> </w:t>
      </w:r>
      <w:r w:rsidRPr="004D7AF7">
        <w:t>(</w:t>
      </w:r>
      <w:r>
        <w:t>2023</w:t>
      </w:r>
      <w:r w:rsidRPr="004D7AF7">
        <w:t xml:space="preserve">) </w:t>
      </w:r>
      <w:r w:rsidRPr="0023039C">
        <w:rPr>
          <w:i/>
          <w:iCs/>
        </w:rPr>
        <w:t>Checklist for Applicants: Helping to ensure public involvement informs ethical review</w:t>
      </w:r>
      <w:r w:rsidRPr="004D7AF7">
        <w:t xml:space="preserve">. Available at: </w:t>
      </w:r>
      <w:hyperlink r:id="rId42" w:tooltip="Link to HRA checklist for applicants to help ensure public involvement informs ethical review" w:history="1">
        <w:r w:rsidRPr="00581B8A">
          <w:rPr>
            <w:rStyle w:val="Hyperlink"/>
          </w:rPr>
          <w:t>https://www.hra.nhs.uk/planning-and-improving-research/best-practice/public-involvement/resources/helping-ensure-public-involvement-informs-ethical-review-checklist-applicants/</w:t>
        </w:r>
      </w:hyperlink>
      <w:r w:rsidRPr="004D7AF7">
        <w:t xml:space="preserve"> (Accessed: 20 June 2024).</w:t>
      </w:r>
    </w:p>
    <w:p w14:paraId="5F45C5FC" w14:textId="2D33884C" w:rsidR="00596C05" w:rsidRPr="004D7AF7" w:rsidRDefault="00596C05" w:rsidP="00865494">
      <w:pPr>
        <w:pStyle w:val="References"/>
      </w:pPr>
      <w:r w:rsidRPr="004D7AF7">
        <w:t>HRA (</w:t>
      </w:r>
      <w:r>
        <w:t>2023</w:t>
      </w:r>
      <w:r w:rsidRPr="004D7AF7">
        <w:t xml:space="preserve">) </w:t>
      </w:r>
      <w:r w:rsidRPr="0023039C">
        <w:rPr>
          <w:i/>
          <w:iCs/>
        </w:rPr>
        <w:t>Make it Public: transparency and openness in health and social care research.</w:t>
      </w:r>
      <w:r w:rsidRPr="004D7AF7">
        <w:t xml:space="preserve"> Available at: </w:t>
      </w:r>
      <w:hyperlink r:id="rId43" w:tooltip="Link to HRA Make it Public guidance about transparency in health and social care research" w:history="1">
        <w:r w:rsidRPr="00A82FDF">
          <w:rPr>
            <w:rStyle w:val="Hyperlink"/>
          </w:rPr>
          <w:t>https://www.hra.nhs.uk/planning-and-improving-research/policies-standards-legislation/research-transparency/make-it-public-transparency-and-openness-health-and-social-care-research/</w:t>
        </w:r>
      </w:hyperlink>
      <w:r w:rsidRPr="004D7AF7">
        <w:t xml:space="preserve"> (Accessed: 20 June 2024).</w:t>
      </w:r>
    </w:p>
    <w:p w14:paraId="12C94A56" w14:textId="77777777" w:rsidR="00596C05" w:rsidRPr="004D7AF7" w:rsidRDefault="00596C05" w:rsidP="00865494">
      <w:pPr>
        <w:pStyle w:val="References"/>
      </w:pPr>
      <w:r w:rsidRPr="004D7AF7">
        <w:t>HRA (</w:t>
      </w:r>
      <w:r>
        <w:t>2023</w:t>
      </w:r>
      <w:r w:rsidRPr="004D7AF7">
        <w:t xml:space="preserve">) </w:t>
      </w:r>
      <w:r w:rsidRPr="0023039C">
        <w:rPr>
          <w:i/>
          <w:iCs/>
        </w:rPr>
        <w:t>Participant and Information Quality Standards</w:t>
      </w:r>
      <w:r w:rsidRPr="004D7AF7">
        <w:t xml:space="preserve">. Available at: </w:t>
      </w:r>
      <w:hyperlink r:id="rId44" w:tooltip="Link to HRA participant information quality standards" w:history="1">
        <w:r w:rsidRPr="008964F1">
          <w:rPr>
            <w:rStyle w:val="Hyperlink"/>
          </w:rPr>
          <w:t>https://www.hra.nhs.uk/planning-and-improving-research/research-planning/participant-information-quality-standards/</w:t>
        </w:r>
      </w:hyperlink>
      <w:r w:rsidRPr="004D7AF7">
        <w:t xml:space="preserve"> (Accessed: 20 June 2024).</w:t>
      </w:r>
    </w:p>
    <w:p w14:paraId="4F358D66" w14:textId="77777777" w:rsidR="00596C05" w:rsidRPr="004D7AF7" w:rsidRDefault="00596C05" w:rsidP="00865494">
      <w:pPr>
        <w:pStyle w:val="References"/>
      </w:pPr>
      <w:r w:rsidRPr="004D7AF7">
        <w:t>HRA (</w:t>
      </w:r>
      <w:r>
        <w:t>2023</w:t>
      </w:r>
      <w:r w:rsidRPr="004D7AF7">
        <w:t xml:space="preserve">) </w:t>
      </w:r>
      <w:r w:rsidRPr="0023039C">
        <w:rPr>
          <w:i/>
          <w:iCs/>
        </w:rPr>
        <w:t>Participant Information Design and Review Principles</w:t>
      </w:r>
      <w:r w:rsidRPr="004D7AF7">
        <w:t xml:space="preserve">. Available at: </w:t>
      </w:r>
      <w:hyperlink r:id="rId45" w:tooltip="Link to participant information design and review principles" w:history="1">
        <w:r w:rsidRPr="008964F1">
          <w:rPr>
            <w:rStyle w:val="Hyperlink"/>
          </w:rPr>
          <w:t>https://www.hra.nhs.uk/planning-and-improving-research/research-planning/participant-information-design-and-review-principles/</w:t>
        </w:r>
      </w:hyperlink>
      <w:r w:rsidRPr="004D7AF7">
        <w:t xml:space="preserve"> (Accessed: 20 June 2024).</w:t>
      </w:r>
    </w:p>
    <w:p w14:paraId="547E58D2" w14:textId="77777777" w:rsidR="00596C05" w:rsidRPr="004D7AF7" w:rsidRDefault="00596C05" w:rsidP="00865494">
      <w:pPr>
        <w:pStyle w:val="References"/>
      </w:pPr>
      <w:r w:rsidRPr="004D7AF7">
        <w:t>HRA (</w:t>
      </w:r>
      <w:r>
        <w:t>2023</w:t>
      </w:r>
      <w:r w:rsidRPr="004D7AF7">
        <w:t xml:space="preserve">) </w:t>
      </w:r>
      <w:r w:rsidRPr="0023039C">
        <w:rPr>
          <w:i/>
          <w:iCs/>
        </w:rPr>
        <w:t>Payment for public involvement in health and care research: a guide for organisations on employment status and tax.</w:t>
      </w:r>
      <w:r w:rsidRPr="004D7AF7">
        <w:t xml:space="preserve"> Available at: </w:t>
      </w:r>
      <w:hyperlink r:id="rId46" w:tooltip="link to HRA guide for payment for public involvement in health and care research" w:history="1">
        <w:r w:rsidRPr="000078A2">
          <w:rPr>
            <w:rStyle w:val="Hyperlink"/>
          </w:rPr>
          <w:t>https://www.hra.nhs.uk/planning-and-improving-research/best-practice/public-involvement/resources/payment-public-involvement-health-and-care-research-guide-organisations-employment-status-and-tax/</w:t>
        </w:r>
      </w:hyperlink>
      <w:r w:rsidRPr="004D7AF7">
        <w:t xml:space="preserve"> (Accessed: 20 June 2024).</w:t>
      </w:r>
    </w:p>
    <w:p w14:paraId="5676CF28" w14:textId="77777777" w:rsidR="00596C05" w:rsidRPr="004D7AF7" w:rsidRDefault="00596C05" w:rsidP="00865494">
      <w:pPr>
        <w:pStyle w:val="References"/>
      </w:pPr>
      <w:r w:rsidRPr="004D7AF7">
        <w:t>HRA (</w:t>
      </w:r>
      <w:r>
        <w:t>2024</w:t>
      </w:r>
      <w:r w:rsidRPr="004D7AF7">
        <w:t xml:space="preserve">) </w:t>
      </w:r>
      <w:r w:rsidRPr="00FA419F">
        <w:rPr>
          <w:i/>
          <w:iCs/>
        </w:rPr>
        <w:t>Guidance on Informing Participants and Seeking Consent.</w:t>
      </w:r>
      <w:r w:rsidRPr="004D7AF7">
        <w:t xml:space="preserve"> Available at: </w:t>
      </w:r>
      <w:hyperlink r:id="rId47" w:tooltip="Link to HRA guidance on informing participants and seeking consent" w:history="1">
        <w:r w:rsidRPr="00850F66">
          <w:rPr>
            <w:rStyle w:val="Hyperlink"/>
          </w:rPr>
          <w:t>https://www.hra.nhs.uk/planning-and-improving-research/best-practice/informing-participants-and-seeking-consent/</w:t>
        </w:r>
      </w:hyperlink>
      <w:r w:rsidRPr="004D7AF7">
        <w:t xml:space="preserve"> (Accessed: 20 June 2024).</w:t>
      </w:r>
    </w:p>
    <w:p w14:paraId="26F616C3" w14:textId="759BE768" w:rsidR="00596C05" w:rsidRPr="004D7AF7" w:rsidRDefault="00596C05" w:rsidP="00865494">
      <w:pPr>
        <w:pStyle w:val="References"/>
      </w:pPr>
      <w:r w:rsidRPr="004D7AF7">
        <w:t>HRA (</w:t>
      </w:r>
      <w:r>
        <w:t>2024</w:t>
      </w:r>
      <w:r w:rsidRPr="004D7AF7">
        <w:t xml:space="preserve">) </w:t>
      </w:r>
      <w:r w:rsidRPr="0023039C">
        <w:rPr>
          <w:i/>
          <w:iCs/>
        </w:rPr>
        <w:t xml:space="preserve">Guidance on Publication and </w:t>
      </w:r>
      <w:r>
        <w:rPr>
          <w:i/>
          <w:iCs/>
        </w:rPr>
        <w:t>D</w:t>
      </w:r>
      <w:r w:rsidRPr="0023039C">
        <w:rPr>
          <w:i/>
          <w:iCs/>
        </w:rPr>
        <w:t xml:space="preserve">issemination of </w:t>
      </w:r>
      <w:r>
        <w:rPr>
          <w:i/>
          <w:iCs/>
        </w:rPr>
        <w:t>R</w:t>
      </w:r>
      <w:r w:rsidRPr="0023039C">
        <w:rPr>
          <w:i/>
          <w:iCs/>
        </w:rPr>
        <w:t xml:space="preserve">esearch </w:t>
      </w:r>
      <w:r>
        <w:rPr>
          <w:i/>
          <w:iCs/>
        </w:rPr>
        <w:t>F</w:t>
      </w:r>
      <w:r w:rsidRPr="0023039C">
        <w:rPr>
          <w:i/>
          <w:iCs/>
        </w:rPr>
        <w:t>indings</w:t>
      </w:r>
      <w:r w:rsidRPr="004D7AF7">
        <w:t xml:space="preserve">. Available at: </w:t>
      </w:r>
      <w:hyperlink r:id="rId48" w:tgtFrame="_new" w:tooltip="link to HRA guidance on publication and dissemination of research findings" w:history="1">
        <w:r w:rsidRPr="0023039C">
          <w:rPr>
            <w:rStyle w:val="Hyperlink"/>
          </w:rPr>
          <w:t>https://www.hra.nhs.uk/planning-and-improving-research/best-practice/publication-and-dissemination-research-findings/</w:t>
        </w:r>
      </w:hyperlink>
      <w:hyperlink r:id="rId49" w:tooltip="Link to HRA research summaries page" w:history="1">
        <w:r w:rsidRPr="00A265DC" w:rsidDel="00250C69">
          <w:rPr>
            <w:rStyle w:val="Hyperlink"/>
          </w:rPr>
          <w:t>https://www.hra.nhs.uk/planning-and-improving-research/application-summaries/research-summaries/</w:t>
        </w:r>
      </w:hyperlink>
      <w:r w:rsidRPr="004D7AF7">
        <w:t xml:space="preserve"> (Accessed: 20 June 2024).</w:t>
      </w:r>
    </w:p>
    <w:p w14:paraId="49D3F987" w14:textId="1E1BF716" w:rsidR="00596C05" w:rsidRPr="004D7AF7" w:rsidRDefault="00596C05" w:rsidP="00865494">
      <w:pPr>
        <w:pStyle w:val="References"/>
      </w:pPr>
      <w:r w:rsidRPr="004D7AF7">
        <w:lastRenderedPageBreak/>
        <w:t>HRA (</w:t>
      </w:r>
      <w:r>
        <w:t>2024</w:t>
      </w:r>
      <w:r w:rsidRPr="004D7AF7">
        <w:t xml:space="preserve">) </w:t>
      </w:r>
      <w:r w:rsidRPr="0023039C">
        <w:rPr>
          <w:i/>
          <w:iCs/>
        </w:rPr>
        <w:t xml:space="preserve">Guidance on Writing a </w:t>
      </w:r>
      <w:r>
        <w:rPr>
          <w:i/>
          <w:iCs/>
        </w:rPr>
        <w:t>p</w:t>
      </w:r>
      <w:r w:rsidRPr="0023039C">
        <w:rPr>
          <w:i/>
          <w:iCs/>
        </w:rPr>
        <w:t xml:space="preserve">lain </w:t>
      </w:r>
      <w:r>
        <w:rPr>
          <w:i/>
          <w:iCs/>
        </w:rPr>
        <w:t>l</w:t>
      </w:r>
      <w:r w:rsidRPr="0023039C">
        <w:rPr>
          <w:i/>
          <w:iCs/>
        </w:rPr>
        <w:t>anguage (</w:t>
      </w:r>
      <w:r w:rsidRPr="0023039C" w:rsidDel="00250C69">
        <w:rPr>
          <w:i/>
          <w:iCs/>
        </w:rPr>
        <w:t>l</w:t>
      </w:r>
      <w:r w:rsidRPr="0023039C">
        <w:rPr>
          <w:i/>
          <w:iCs/>
        </w:rPr>
        <w:t xml:space="preserve">ay) </w:t>
      </w:r>
      <w:r w:rsidRPr="0023039C" w:rsidDel="00250C69">
        <w:rPr>
          <w:i/>
          <w:iCs/>
        </w:rPr>
        <w:t>s</w:t>
      </w:r>
      <w:r w:rsidRPr="0023039C">
        <w:rPr>
          <w:i/>
          <w:iCs/>
        </w:rPr>
        <w:t xml:space="preserve">ummary of your </w:t>
      </w:r>
      <w:r w:rsidRPr="0023039C" w:rsidDel="00250C69">
        <w:rPr>
          <w:i/>
          <w:iCs/>
        </w:rPr>
        <w:t>r</w:t>
      </w:r>
      <w:r w:rsidRPr="0023039C">
        <w:rPr>
          <w:i/>
          <w:iCs/>
        </w:rPr>
        <w:t xml:space="preserve">esearch </w:t>
      </w:r>
      <w:r w:rsidRPr="0023039C" w:rsidDel="00250C69">
        <w:rPr>
          <w:i/>
          <w:iCs/>
        </w:rPr>
        <w:t>f</w:t>
      </w:r>
      <w:r w:rsidRPr="0023039C">
        <w:rPr>
          <w:i/>
          <w:iCs/>
        </w:rPr>
        <w:t>indings</w:t>
      </w:r>
      <w:r w:rsidRPr="004D7AF7">
        <w:t xml:space="preserve">. Available at: </w:t>
      </w:r>
      <w:hyperlink r:id="rId50" w:tooltip="Link to HRA guidance on writing a lay summary of research findings" w:history="1">
        <w:r w:rsidRPr="00C91F3B">
          <w:rPr>
            <w:rStyle w:val="Hyperlink"/>
          </w:rPr>
          <w:t>https://www.hra.nhs.uk/planning-and-improving-research/best-practice/writing-plain-language-lay-summary-your-research-findings/</w:t>
        </w:r>
      </w:hyperlink>
      <w:r w:rsidRPr="004D7AF7">
        <w:t xml:space="preserve"> (Accessed: 20 June 2024).</w:t>
      </w:r>
    </w:p>
    <w:p w14:paraId="64187CD8" w14:textId="77777777" w:rsidR="00596C05" w:rsidRDefault="00596C05" w:rsidP="00865494">
      <w:pPr>
        <w:pStyle w:val="References"/>
      </w:pPr>
      <w:r>
        <w:t xml:space="preserve">HRA (2024) </w:t>
      </w:r>
      <w:r w:rsidRPr="0023039C">
        <w:rPr>
          <w:i/>
          <w:iCs/>
        </w:rPr>
        <w:t>Transparency wording for all sponsors</w:t>
      </w:r>
      <w:r>
        <w:t>. Available at:</w:t>
      </w:r>
      <w:r w:rsidRPr="00321D8B">
        <w:t xml:space="preserve"> </w:t>
      </w:r>
      <w:hyperlink r:id="rId51" w:tooltip="Link to HRA guidance on transparency wording for all sponsors" w:history="1">
        <w:r w:rsidRPr="00321D8B">
          <w:rPr>
            <w:rStyle w:val="Hyperlink"/>
          </w:rPr>
          <w:t>https://www.hra.nhs.uk/planning-and-improving-research/policies-standards-legislation/data-protection-and-information-governance/gdpr-guidance/templates/transparency-wording-for-all-sponsors/</w:t>
        </w:r>
      </w:hyperlink>
      <w:r w:rsidRPr="00321D8B">
        <w:t xml:space="preserve"> (Accessed: 28 June 2024).</w:t>
      </w:r>
    </w:p>
    <w:p w14:paraId="1A7A4B47" w14:textId="77777777" w:rsidR="00596C05" w:rsidRPr="004D7AF7" w:rsidRDefault="00596C05" w:rsidP="00865494">
      <w:pPr>
        <w:pStyle w:val="References"/>
      </w:pPr>
      <w:r w:rsidRPr="004D7AF7">
        <w:t>HRA (n</w:t>
      </w:r>
      <w:r>
        <w:t xml:space="preserve">o </w:t>
      </w:r>
      <w:r w:rsidRPr="004D7AF7">
        <w:t>d</w:t>
      </w:r>
      <w:r>
        <w:t>ate</w:t>
      </w:r>
      <w:r w:rsidRPr="004D7AF7">
        <w:t xml:space="preserve">) </w:t>
      </w:r>
      <w:r w:rsidRPr="0023039C">
        <w:rPr>
          <w:i/>
          <w:iCs/>
        </w:rPr>
        <w:t>Care after research: A framework for NHS RECs.</w:t>
      </w:r>
      <w:r w:rsidRPr="004D7AF7">
        <w:t xml:space="preserve"> Available at: </w:t>
      </w:r>
      <w:hyperlink r:id="rId52" w:tooltip="Link to HRA Care AFter Research framework for NHS RECs" w:history="1">
        <w:r w:rsidRPr="00E065B7">
          <w:rPr>
            <w:rStyle w:val="Hyperlink"/>
          </w:rPr>
          <w:t>https://s3.eu-west-2.amazonaws.com/www.hra.nhs.uk/media/documents/hra-care-after-research.pdf</w:t>
        </w:r>
      </w:hyperlink>
      <w:r w:rsidRPr="004D7AF7">
        <w:t xml:space="preserve"> (Accessed: 20 June 2024).</w:t>
      </w:r>
    </w:p>
    <w:p w14:paraId="60A6B058" w14:textId="77777777" w:rsidR="00596C05" w:rsidRPr="004D7AF7" w:rsidRDefault="00596C05" w:rsidP="00865494">
      <w:pPr>
        <w:pStyle w:val="References"/>
      </w:pPr>
      <w:r w:rsidRPr="004D7AF7">
        <w:t>HRA (n</w:t>
      </w:r>
      <w:r>
        <w:t xml:space="preserve">o </w:t>
      </w:r>
      <w:r w:rsidRPr="004D7AF7">
        <w:t>d</w:t>
      </w:r>
      <w:r>
        <w:t>ate</w:t>
      </w:r>
      <w:r w:rsidRPr="004D7AF7">
        <w:t xml:space="preserve">) </w:t>
      </w:r>
      <w:r w:rsidRPr="0023039C">
        <w:rPr>
          <w:i/>
          <w:iCs/>
        </w:rPr>
        <w:t>Consent and Participation Information Guidance</w:t>
      </w:r>
      <w:r w:rsidRPr="004D7AF7">
        <w:t xml:space="preserve">. Available at: </w:t>
      </w:r>
      <w:hyperlink r:id="rId53" w:tooltip="Link to HRA consent and participant information guidance" w:history="1">
        <w:r w:rsidRPr="00460183">
          <w:rPr>
            <w:rStyle w:val="Hyperlink"/>
          </w:rPr>
          <w:t>https://www.hra-decisiontools.org.uk/consent/</w:t>
        </w:r>
      </w:hyperlink>
      <w:r>
        <w:rPr>
          <w:rStyle w:val="Hyperlink"/>
        </w:rPr>
        <w:t xml:space="preserve"> </w:t>
      </w:r>
      <w:r w:rsidRPr="004D7AF7">
        <w:t>(Accessed: 20 June 2024).</w:t>
      </w:r>
    </w:p>
    <w:p w14:paraId="75C7F9BB" w14:textId="77777777" w:rsidR="00596C05" w:rsidRPr="004D7AF7" w:rsidRDefault="00596C05" w:rsidP="00865494">
      <w:pPr>
        <w:pStyle w:val="References"/>
      </w:pPr>
      <w:r w:rsidRPr="004D7AF7">
        <w:t>HRA (n</w:t>
      </w:r>
      <w:r>
        <w:t xml:space="preserve">o </w:t>
      </w:r>
      <w:r w:rsidRPr="004D7AF7">
        <w:t>d</w:t>
      </w:r>
      <w:r>
        <w:t>ate</w:t>
      </w:r>
      <w:r w:rsidRPr="004D7AF7">
        <w:t xml:space="preserve">) </w:t>
      </w:r>
      <w:r w:rsidRPr="0023039C">
        <w:rPr>
          <w:i/>
          <w:iCs/>
        </w:rPr>
        <w:t>Guidance on Best Practice in Public Involvement.</w:t>
      </w:r>
      <w:r w:rsidRPr="004D7AF7">
        <w:t xml:space="preserve"> Available at: </w:t>
      </w:r>
      <w:hyperlink r:id="rId54" w:tooltip="Link to HRA best practice guidance on public involvement in research" w:history="1">
        <w:r w:rsidRPr="00210C02">
          <w:rPr>
            <w:rStyle w:val="Hyperlink"/>
          </w:rPr>
          <w:t>https://www.hra.nhs.uk/planning-and-improving-research/best-practice/public-involvement/</w:t>
        </w:r>
      </w:hyperlink>
      <w:r>
        <w:rPr>
          <w:rStyle w:val="Hyperlink"/>
        </w:rPr>
        <w:t xml:space="preserve"> </w:t>
      </w:r>
      <w:r w:rsidRPr="004D7AF7">
        <w:t>(Accessed: 20 June 2024).</w:t>
      </w:r>
    </w:p>
    <w:p w14:paraId="13C46C01" w14:textId="77777777" w:rsidR="00596C05" w:rsidRPr="004D7AF7" w:rsidRDefault="00596C05" w:rsidP="00865494">
      <w:pPr>
        <w:pStyle w:val="References"/>
      </w:pPr>
      <w:r w:rsidRPr="004D7AF7">
        <w:t>HRA (n</w:t>
      </w:r>
      <w:r>
        <w:t xml:space="preserve">o </w:t>
      </w:r>
      <w:r w:rsidRPr="004D7AF7">
        <w:t>d</w:t>
      </w:r>
      <w:r>
        <w:t>ate</w:t>
      </w:r>
      <w:r w:rsidRPr="004D7AF7">
        <w:t xml:space="preserve">) </w:t>
      </w:r>
      <w:r w:rsidRPr="0023039C">
        <w:rPr>
          <w:i/>
          <w:iCs/>
        </w:rPr>
        <w:t>Guidance on Participant Information Sheet</w:t>
      </w:r>
      <w:r w:rsidRPr="004D7AF7">
        <w:t xml:space="preserve">. Available at: </w:t>
      </w:r>
      <w:hyperlink r:id="rId55" w:tooltip="Link to HRA consent and participant information guidance" w:history="1">
        <w:r w:rsidRPr="008964F1">
          <w:rPr>
            <w:rStyle w:val="Hyperlink"/>
          </w:rPr>
          <w:t>http://www.hra-decisiontools.org.uk/consent/content-sheet-involved.html</w:t>
        </w:r>
      </w:hyperlink>
      <w:r w:rsidRPr="004D7AF7">
        <w:t xml:space="preserve"> (Accessed: 20 June 2024).</w:t>
      </w:r>
    </w:p>
    <w:p w14:paraId="71701995" w14:textId="77777777" w:rsidR="00596C05" w:rsidRDefault="00596C05" w:rsidP="00865494">
      <w:pPr>
        <w:pStyle w:val="References"/>
      </w:pPr>
      <w:r w:rsidRPr="004D7AF7">
        <w:t xml:space="preserve">HRA and MHRA (2018) </w:t>
      </w:r>
      <w:r w:rsidRPr="0023039C">
        <w:rPr>
          <w:i/>
          <w:iCs/>
        </w:rPr>
        <w:t>Joint statement on seeking consent by electronic methods</w:t>
      </w:r>
      <w:r w:rsidRPr="004D7AF7">
        <w:t xml:space="preserve">. Available at: </w:t>
      </w:r>
      <w:hyperlink r:id="rId56" w:tooltip="link to HRA and MHRA joint statement on eConsent" w:history="1">
        <w:r w:rsidRPr="009F4039">
          <w:rPr>
            <w:rStyle w:val="Hyperlink"/>
          </w:rPr>
          <w:t>https://www.hra.nhs.uk/documents/1588/hra-mhra-econsent-statement-sept-18.pdf</w:t>
        </w:r>
      </w:hyperlink>
      <w:r w:rsidRPr="004D7AF7">
        <w:t xml:space="preserve"> (Accessed: 20 June 2024).</w:t>
      </w:r>
    </w:p>
    <w:p w14:paraId="7492644F" w14:textId="77777777" w:rsidR="00596C05" w:rsidRDefault="00596C05" w:rsidP="00865494">
      <w:pPr>
        <w:pStyle w:val="References"/>
      </w:pPr>
      <w:r>
        <w:t xml:space="preserve">HTA (2020) </w:t>
      </w:r>
      <w:r w:rsidRPr="0023039C">
        <w:rPr>
          <w:i/>
          <w:iCs/>
        </w:rPr>
        <w:t>Code of Practice A: Guiding Principles and the fundamental principle of consent</w:t>
      </w:r>
      <w:r>
        <w:t xml:space="preserve">. </w:t>
      </w:r>
      <w:r w:rsidRPr="00420FBD">
        <w:t xml:space="preserve">Available at: </w:t>
      </w:r>
      <w:hyperlink r:id="rId57" w:tooltip="Link to HTA Code of Practice A" w:history="1">
        <w:r w:rsidRPr="00420FBD">
          <w:rPr>
            <w:rStyle w:val="Hyperlink"/>
          </w:rPr>
          <w:t>https://content.hta.gov.uk/sites/default/files/2020-11/Code%20A.pdf</w:t>
        </w:r>
      </w:hyperlink>
      <w:r w:rsidRPr="00420FBD">
        <w:t xml:space="preserve"> (Accessed: 28 June 2024).</w:t>
      </w:r>
    </w:p>
    <w:p w14:paraId="668F69CE" w14:textId="7C504A0C" w:rsidR="009B5CE4" w:rsidRPr="004D7AF7" w:rsidRDefault="009B5CE4" w:rsidP="00865494">
      <w:pPr>
        <w:pStyle w:val="References"/>
      </w:pPr>
      <w:r>
        <w:t xml:space="preserve">ICO (2023) </w:t>
      </w:r>
      <w:r w:rsidRPr="0023039C">
        <w:rPr>
          <w:i/>
          <w:iCs/>
        </w:rPr>
        <w:t>What is personal data?</w:t>
      </w:r>
      <w:r>
        <w:t xml:space="preserve"> Available at: </w:t>
      </w:r>
      <w:hyperlink r:id="rId58" w:tooltip="Link to ICO what is personal data?" w:history="1">
        <w:r w:rsidR="00595CA4" w:rsidRPr="00595CA4">
          <w:rPr>
            <w:rStyle w:val="Hyperlink"/>
          </w:rPr>
          <w:t>https://ico.org.uk/for-organisations/uk-gdpr-guidance-and-resources/personal-information-what-is-it/what-is-personal-data/what-is-personal-data/</w:t>
        </w:r>
      </w:hyperlink>
      <w:r w:rsidR="00595CA4">
        <w:t xml:space="preserve"> (Accessed: 28 June 2024).</w:t>
      </w:r>
    </w:p>
    <w:p w14:paraId="4F07BE9A" w14:textId="1175C207" w:rsidR="004D7AF7" w:rsidRPr="004D7AF7" w:rsidRDefault="004D7AF7" w:rsidP="001D384B">
      <w:pPr>
        <w:pStyle w:val="References"/>
      </w:pPr>
      <w:r w:rsidRPr="004D7AF7">
        <w:t>NREAP (n</w:t>
      </w:r>
      <w:r w:rsidR="00C739D1">
        <w:t xml:space="preserve">o </w:t>
      </w:r>
      <w:r w:rsidRPr="004D7AF7">
        <w:t>d</w:t>
      </w:r>
      <w:r w:rsidR="00C739D1">
        <w:t>ate</w:t>
      </w:r>
      <w:r w:rsidRPr="004D7AF7">
        <w:t xml:space="preserve">) </w:t>
      </w:r>
      <w:r w:rsidRPr="0023039C">
        <w:rPr>
          <w:i/>
          <w:iCs/>
        </w:rPr>
        <w:t>Incentives in Phase 1 Trials</w:t>
      </w:r>
      <w:r w:rsidRPr="004D7AF7">
        <w:t>. Available at:</w:t>
      </w:r>
      <w:r w:rsidR="001D384B">
        <w:t xml:space="preserve"> </w:t>
      </w:r>
      <w:hyperlink r:id="rId59" w:history="1">
        <w:r w:rsidR="001D384B" w:rsidRPr="001D384B">
          <w:rPr>
            <w:rStyle w:val="Hyperlink"/>
          </w:rPr>
          <w:t>https://s3.eu-west-2.amazonaws.com/www.hra.nhs.uk/media/documents/incentives-in-phase-1-trials.pdf</w:t>
        </w:r>
      </w:hyperlink>
      <w:r w:rsidRPr="004D7AF7">
        <w:t xml:space="preserve"> (Accessed: 20 June 2024).</w:t>
      </w:r>
    </w:p>
    <w:p w14:paraId="555559F2" w14:textId="585C27F5" w:rsidR="004D7AF7" w:rsidRPr="004D7AF7" w:rsidRDefault="004D7AF7" w:rsidP="00865494">
      <w:pPr>
        <w:pStyle w:val="References"/>
      </w:pPr>
      <w:r w:rsidRPr="004D7AF7">
        <w:t>NIHR (n</w:t>
      </w:r>
      <w:r w:rsidR="00C739D1">
        <w:t>o date</w:t>
      </w:r>
      <w:r w:rsidRPr="004D7AF7">
        <w:t xml:space="preserve">) </w:t>
      </w:r>
      <w:r w:rsidRPr="0023039C">
        <w:rPr>
          <w:i/>
          <w:iCs/>
        </w:rPr>
        <w:t>Informed consent</w:t>
      </w:r>
      <w:r w:rsidRPr="004D7AF7">
        <w:t xml:space="preserve">. Available at: </w:t>
      </w:r>
      <w:hyperlink r:id="rId60" w:tooltip="Link to NIHR Learn sign in" w:history="1">
        <w:r w:rsidRPr="00B33489">
          <w:rPr>
            <w:rStyle w:val="Hyperlink"/>
          </w:rPr>
          <w:t>https://learn.nihr.ac.uk/course/view.php?id=866</w:t>
        </w:r>
      </w:hyperlink>
      <w:r w:rsidRPr="004D7AF7">
        <w:t xml:space="preserve"> (Accessed: 20 June 2024).</w:t>
      </w:r>
    </w:p>
    <w:p w14:paraId="46687D8B" w14:textId="2B3B6AAE" w:rsidR="004D7AF7" w:rsidRPr="004D7AF7" w:rsidRDefault="004D7AF7" w:rsidP="00865494">
      <w:pPr>
        <w:pStyle w:val="References"/>
      </w:pPr>
      <w:r w:rsidRPr="004D7AF7">
        <w:t>NIHR (n</w:t>
      </w:r>
      <w:r w:rsidR="00C739D1">
        <w:t xml:space="preserve">o </w:t>
      </w:r>
      <w:r w:rsidRPr="004D7AF7">
        <w:t>d</w:t>
      </w:r>
      <w:r w:rsidR="00C739D1">
        <w:t>ate</w:t>
      </w:r>
      <w:r w:rsidRPr="004D7AF7">
        <w:t xml:space="preserve">) </w:t>
      </w:r>
      <w:r w:rsidRPr="0023039C">
        <w:rPr>
          <w:i/>
          <w:iCs/>
        </w:rPr>
        <w:t>Remote consent</w:t>
      </w:r>
      <w:r w:rsidRPr="004D7AF7">
        <w:t xml:space="preserve">. Available at: </w:t>
      </w:r>
      <w:hyperlink r:id="rId61" w:tooltip="Link to NIHR Learn sign in page" w:history="1">
        <w:r w:rsidRPr="00BD2F32">
          <w:rPr>
            <w:rStyle w:val="Hyperlink"/>
          </w:rPr>
          <w:t>https://learn.nihr.ac.uk/mod/scorm/view.php?id=12830</w:t>
        </w:r>
      </w:hyperlink>
      <w:r w:rsidRPr="004D7AF7">
        <w:t xml:space="preserve"> (Accessed: 20 June 2024).</w:t>
      </w:r>
    </w:p>
    <w:p w14:paraId="2529B3AB" w14:textId="27B61538" w:rsidR="004D7AF7" w:rsidRDefault="004D7AF7" w:rsidP="00865494">
      <w:pPr>
        <w:pStyle w:val="References"/>
      </w:pPr>
      <w:r w:rsidRPr="004D7AF7">
        <w:t>U</w:t>
      </w:r>
      <w:r w:rsidR="00FA419F">
        <w:t>oB</w:t>
      </w:r>
      <w:r w:rsidRPr="004D7AF7">
        <w:t xml:space="preserve"> (</w:t>
      </w:r>
      <w:r w:rsidR="00EC132F">
        <w:t>no date</w:t>
      </w:r>
      <w:r w:rsidRPr="004D7AF7">
        <w:t>)</w:t>
      </w:r>
      <w:r w:rsidR="001D384B">
        <w:t xml:space="preserve"> </w:t>
      </w:r>
      <w:r w:rsidR="001D384B" w:rsidRPr="0023039C">
        <w:rPr>
          <w:i/>
          <w:iCs/>
        </w:rPr>
        <w:t>D</w:t>
      </w:r>
      <w:r w:rsidRPr="0023039C">
        <w:rPr>
          <w:i/>
          <w:iCs/>
        </w:rPr>
        <w:t>ata Protection Resources</w:t>
      </w:r>
      <w:r w:rsidRPr="004D7AF7">
        <w:t xml:space="preserve">. Available at: </w:t>
      </w:r>
      <w:hyperlink r:id="rId62" w:tooltip="Link to UoB legal services data protection resources page" w:history="1">
        <w:r w:rsidR="00CA0F97" w:rsidRPr="00CA0F97">
          <w:rPr>
            <w:rStyle w:val="Hyperlink"/>
          </w:rPr>
          <w:t>https://intranet.birmingham.ac.uk/executive-support/legal-services/what-we-do/data-protection/data-protection-resources.aspx</w:t>
        </w:r>
      </w:hyperlink>
      <w:r w:rsidR="00CA0F97">
        <w:t xml:space="preserve"> </w:t>
      </w:r>
      <w:r w:rsidRPr="004D7AF7">
        <w:t>(Accessed: 20 June 2024).</w:t>
      </w:r>
    </w:p>
    <w:p w14:paraId="1954BD5B" w14:textId="7281CE50" w:rsidR="00C00427" w:rsidRPr="004D7AF7" w:rsidRDefault="00C00427" w:rsidP="00865494">
      <w:pPr>
        <w:pStyle w:val="References"/>
      </w:pPr>
      <w:r>
        <w:t>U</w:t>
      </w:r>
      <w:r w:rsidR="00FA419F">
        <w:t>oB</w:t>
      </w:r>
      <w:r>
        <w:t xml:space="preserve"> (</w:t>
      </w:r>
      <w:r w:rsidR="00EC132F">
        <w:t>no date</w:t>
      </w:r>
      <w:r>
        <w:t xml:space="preserve">) </w:t>
      </w:r>
      <w:r w:rsidRPr="0023039C">
        <w:rPr>
          <w:i/>
          <w:iCs/>
        </w:rPr>
        <w:t>How can I get legal advice</w:t>
      </w:r>
      <w:r>
        <w:t xml:space="preserve">. Available at: </w:t>
      </w:r>
      <w:hyperlink r:id="rId63" w:tooltip="Link to UoB intranet page with information about how to access legal advice" w:history="1">
        <w:r w:rsidRPr="00C00427">
          <w:rPr>
            <w:rStyle w:val="Hyperlink"/>
          </w:rPr>
          <w:t>https://intranet.birmingham.ac.uk/executive-support/legal-services/how-can-i-get-legal-advice.aspx</w:t>
        </w:r>
      </w:hyperlink>
      <w:r>
        <w:t xml:space="preserve"> (Accessed: 28 June 2024).</w:t>
      </w:r>
    </w:p>
    <w:p w14:paraId="21D7E74B" w14:textId="4800535B" w:rsidR="00D75CB4" w:rsidRPr="004D7AF7" w:rsidRDefault="00D75CB4" w:rsidP="00D75CB4">
      <w:pPr>
        <w:pStyle w:val="References"/>
      </w:pPr>
      <w:r>
        <w:t xml:space="preserve">UK </w:t>
      </w:r>
      <w:r w:rsidR="00596C05">
        <w:t>Legislation</w:t>
      </w:r>
      <w:r>
        <w:t xml:space="preserve"> (2006) </w:t>
      </w:r>
      <w:r w:rsidRPr="0023039C">
        <w:rPr>
          <w:i/>
          <w:iCs/>
        </w:rPr>
        <w:t>National Health Service Act Section 251</w:t>
      </w:r>
      <w:r w:rsidR="00596C05" w:rsidRPr="0023039C">
        <w:rPr>
          <w:i/>
          <w:iCs/>
        </w:rPr>
        <w:t xml:space="preserve"> (as amended)</w:t>
      </w:r>
      <w:r w:rsidRPr="004D7AF7">
        <w:t xml:space="preserve">. Available at: </w:t>
      </w:r>
      <w:hyperlink r:id="rId64" w:tooltip="LInk to NHS Act 2006" w:history="1">
        <w:r w:rsidRPr="009B0F87">
          <w:rPr>
            <w:rStyle w:val="Hyperlink"/>
          </w:rPr>
          <w:t>http://www.legislation.gov.uk/ukpga/2006/41/section/251</w:t>
        </w:r>
      </w:hyperlink>
      <w:r w:rsidRPr="004D7AF7">
        <w:t xml:space="preserve"> (Accessed: 20 June 2024).</w:t>
      </w:r>
    </w:p>
    <w:p w14:paraId="0C62CD80"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45726923" w14:textId="77777777" w:rsidR="00B10C05" w:rsidRDefault="00B10C05" w:rsidP="005F2DE3">
      <w:pPr>
        <w:pStyle w:val="Heading1"/>
      </w:pPr>
      <w:bookmarkStart w:id="21" w:name="_Toc170908477"/>
      <w:r w:rsidRPr="00522ABB">
        <w:lastRenderedPageBreak/>
        <w:t>Abbreviations</w:t>
      </w:r>
      <w:bookmarkEnd w:id="21"/>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2BE188CF" w14:textId="77777777" w:rsidTr="00432B0E">
        <w:trPr>
          <w:cantSplit/>
        </w:trPr>
        <w:tc>
          <w:tcPr>
            <w:tcW w:w="1413" w:type="dxa"/>
          </w:tcPr>
          <w:p w14:paraId="5138420D" w14:textId="1BF022C8" w:rsidR="00A55C72" w:rsidRPr="00043513" w:rsidRDefault="00130ECE" w:rsidP="00A55C72">
            <w:r>
              <w:t>CI</w:t>
            </w:r>
          </w:p>
        </w:tc>
        <w:tc>
          <w:tcPr>
            <w:tcW w:w="7604" w:type="dxa"/>
          </w:tcPr>
          <w:p w14:paraId="764ABA7F" w14:textId="3F3797BF" w:rsidR="00A55C72" w:rsidRPr="00A11FDD" w:rsidRDefault="00130ECE" w:rsidP="00A55C72">
            <w:r>
              <w:t>C</w:t>
            </w:r>
            <w:r w:rsidR="00B73786">
              <w:t>hief investigator</w:t>
            </w:r>
          </w:p>
        </w:tc>
      </w:tr>
      <w:tr w:rsidR="00130ECE" w14:paraId="266351BF" w14:textId="77777777" w:rsidTr="00432B0E">
        <w:trPr>
          <w:cantSplit/>
        </w:trPr>
        <w:tc>
          <w:tcPr>
            <w:tcW w:w="1413" w:type="dxa"/>
          </w:tcPr>
          <w:p w14:paraId="064A2B9E" w14:textId="06331F1D" w:rsidR="00130ECE" w:rsidRPr="00043513" w:rsidRDefault="00130ECE" w:rsidP="00130ECE">
            <w:r>
              <w:t>CTIMP</w:t>
            </w:r>
          </w:p>
        </w:tc>
        <w:tc>
          <w:tcPr>
            <w:tcW w:w="7604" w:type="dxa"/>
          </w:tcPr>
          <w:p w14:paraId="66780BA3" w14:textId="01F6F28B" w:rsidR="00130ECE" w:rsidRDefault="00B73786" w:rsidP="00130ECE">
            <w:r>
              <w:t>Clinical trial of an in</w:t>
            </w:r>
            <w:r w:rsidR="00777B27">
              <w:t>vestigational medicinal product</w:t>
            </w:r>
          </w:p>
        </w:tc>
      </w:tr>
      <w:tr w:rsidR="00130ECE" w14:paraId="0CE36982" w14:textId="77777777" w:rsidTr="00432B0E">
        <w:trPr>
          <w:cantSplit/>
        </w:trPr>
        <w:tc>
          <w:tcPr>
            <w:tcW w:w="1413" w:type="dxa"/>
          </w:tcPr>
          <w:p w14:paraId="4B43C495" w14:textId="1C882A81" w:rsidR="00130ECE" w:rsidRPr="00043513" w:rsidRDefault="00130ECE" w:rsidP="00130ECE">
            <w:r>
              <w:t>CTU</w:t>
            </w:r>
          </w:p>
        </w:tc>
        <w:tc>
          <w:tcPr>
            <w:tcW w:w="7604" w:type="dxa"/>
          </w:tcPr>
          <w:p w14:paraId="01D96AD0" w14:textId="28BE9ED0" w:rsidR="00130ECE" w:rsidRDefault="00777B27" w:rsidP="00130ECE">
            <w:r>
              <w:t>Clinical trials unit</w:t>
            </w:r>
          </w:p>
        </w:tc>
      </w:tr>
      <w:tr w:rsidR="00130ECE" w14:paraId="25CD7406" w14:textId="77777777" w:rsidTr="00432B0E">
        <w:trPr>
          <w:cantSplit/>
        </w:trPr>
        <w:tc>
          <w:tcPr>
            <w:tcW w:w="1413" w:type="dxa"/>
          </w:tcPr>
          <w:p w14:paraId="0B535FB2" w14:textId="7018CBBD" w:rsidR="00130ECE" w:rsidRPr="00043513" w:rsidRDefault="00130ECE" w:rsidP="00130ECE">
            <w:r>
              <w:t>DPIA</w:t>
            </w:r>
          </w:p>
        </w:tc>
        <w:tc>
          <w:tcPr>
            <w:tcW w:w="7604" w:type="dxa"/>
          </w:tcPr>
          <w:p w14:paraId="188AF45E" w14:textId="7CAD71F6" w:rsidR="00130ECE" w:rsidRDefault="00777B27" w:rsidP="00130ECE">
            <w:r>
              <w:t xml:space="preserve">Data </w:t>
            </w:r>
            <w:r w:rsidR="00743DA6">
              <w:t>p</w:t>
            </w:r>
            <w:r>
              <w:t xml:space="preserve">rotection </w:t>
            </w:r>
            <w:r w:rsidR="00743DA6">
              <w:t>i</w:t>
            </w:r>
            <w:r>
              <w:t xml:space="preserve">mpact </w:t>
            </w:r>
            <w:r w:rsidR="00743DA6">
              <w:t>a</w:t>
            </w:r>
            <w:r>
              <w:t>ssessment</w:t>
            </w:r>
          </w:p>
        </w:tc>
      </w:tr>
      <w:tr w:rsidR="00130ECE" w14:paraId="03116C47" w14:textId="77777777" w:rsidTr="00432B0E">
        <w:trPr>
          <w:cantSplit/>
        </w:trPr>
        <w:tc>
          <w:tcPr>
            <w:tcW w:w="1413" w:type="dxa"/>
          </w:tcPr>
          <w:p w14:paraId="55E8CDC4" w14:textId="7675F1AE" w:rsidR="00130ECE" w:rsidRPr="00043513" w:rsidRDefault="00130ECE" w:rsidP="00130ECE">
            <w:r>
              <w:t>GCP</w:t>
            </w:r>
          </w:p>
        </w:tc>
        <w:tc>
          <w:tcPr>
            <w:tcW w:w="7604" w:type="dxa"/>
          </w:tcPr>
          <w:p w14:paraId="5F2AABE5" w14:textId="24D56C30" w:rsidR="00130ECE" w:rsidRPr="0027215E" w:rsidRDefault="00777B27" w:rsidP="00130ECE">
            <w:r>
              <w:t>Good clinical practice</w:t>
            </w:r>
          </w:p>
        </w:tc>
      </w:tr>
      <w:tr w:rsidR="00130ECE" w14:paraId="2F2D316D" w14:textId="77777777" w:rsidTr="00432B0E">
        <w:trPr>
          <w:cantSplit/>
        </w:trPr>
        <w:tc>
          <w:tcPr>
            <w:tcW w:w="1413" w:type="dxa"/>
          </w:tcPr>
          <w:p w14:paraId="4E738B7A" w14:textId="4067403C" w:rsidR="00130ECE" w:rsidRPr="00043513" w:rsidRDefault="00130ECE" w:rsidP="00130ECE">
            <w:r>
              <w:t>GPDR</w:t>
            </w:r>
          </w:p>
        </w:tc>
        <w:tc>
          <w:tcPr>
            <w:tcW w:w="7604" w:type="dxa"/>
          </w:tcPr>
          <w:p w14:paraId="41BA9D31" w14:textId="7ABB1711" w:rsidR="00130ECE" w:rsidRDefault="00777B27" w:rsidP="00130ECE">
            <w:r w:rsidRPr="00DD5335">
              <w:t xml:space="preserve">General </w:t>
            </w:r>
            <w:r w:rsidR="00B30003">
              <w:t>D</w:t>
            </w:r>
            <w:r w:rsidRPr="00DD5335">
              <w:t xml:space="preserve">ata </w:t>
            </w:r>
            <w:r w:rsidR="00B30003">
              <w:t>P</w:t>
            </w:r>
            <w:r w:rsidRPr="00DD5335">
              <w:t xml:space="preserve">rotection </w:t>
            </w:r>
            <w:r w:rsidR="00B30003">
              <w:t>R</w:t>
            </w:r>
            <w:r w:rsidRPr="00DD5335">
              <w:t>egulation</w:t>
            </w:r>
          </w:p>
        </w:tc>
      </w:tr>
      <w:tr w:rsidR="00130ECE" w14:paraId="0760F804" w14:textId="77777777" w:rsidTr="00432B0E">
        <w:trPr>
          <w:cantSplit/>
        </w:trPr>
        <w:tc>
          <w:tcPr>
            <w:tcW w:w="1413" w:type="dxa"/>
          </w:tcPr>
          <w:p w14:paraId="73CDE727" w14:textId="0FF863CD" w:rsidR="00130ECE" w:rsidRPr="00043513" w:rsidRDefault="00130ECE" w:rsidP="00130ECE">
            <w:r>
              <w:t>HRA</w:t>
            </w:r>
          </w:p>
        </w:tc>
        <w:tc>
          <w:tcPr>
            <w:tcW w:w="7604" w:type="dxa"/>
          </w:tcPr>
          <w:p w14:paraId="3D29CB17" w14:textId="33707F7A" w:rsidR="00130ECE" w:rsidRDefault="00777B27" w:rsidP="00130ECE">
            <w:r>
              <w:t>Health Regulatory Authority</w:t>
            </w:r>
          </w:p>
        </w:tc>
      </w:tr>
      <w:tr w:rsidR="00130ECE" w14:paraId="11B74FAC" w14:textId="77777777" w:rsidTr="00432B0E">
        <w:trPr>
          <w:cantSplit/>
          <w:trHeight w:val="70"/>
        </w:trPr>
        <w:tc>
          <w:tcPr>
            <w:tcW w:w="1413" w:type="dxa"/>
          </w:tcPr>
          <w:p w14:paraId="2E176FF2" w14:textId="53C39462" w:rsidR="00130ECE" w:rsidRDefault="00130ECE" w:rsidP="00130ECE">
            <w:r>
              <w:t>ICF</w:t>
            </w:r>
          </w:p>
        </w:tc>
        <w:tc>
          <w:tcPr>
            <w:tcW w:w="7604" w:type="dxa"/>
          </w:tcPr>
          <w:p w14:paraId="542E5D1F" w14:textId="4F093D13" w:rsidR="00130ECE" w:rsidRPr="007B64F6" w:rsidRDefault="00130ECE" w:rsidP="00130ECE">
            <w:pPr>
              <w:rPr>
                <w:rFonts w:asciiTheme="minorHAnsi" w:hAnsiTheme="minorHAnsi"/>
              </w:rPr>
            </w:pPr>
            <w:r w:rsidRPr="00DD5335">
              <w:t>In</w:t>
            </w:r>
            <w:r w:rsidR="00777B27">
              <w:t>formed consent form</w:t>
            </w:r>
          </w:p>
        </w:tc>
      </w:tr>
      <w:tr w:rsidR="00130ECE" w14:paraId="519F9896" w14:textId="77777777" w:rsidTr="00432B0E">
        <w:trPr>
          <w:cantSplit/>
          <w:trHeight w:val="70"/>
        </w:trPr>
        <w:tc>
          <w:tcPr>
            <w:tcW w:w="1413" w:type="dxa"/>
          </w:tcPr>
          <w:p w14:paraId="4078320E" w14:textId="2B1C2127" w:rsidR="00130ECE" w:rsidRDefault="00130ECE" w:rsidP="00130ECE">
            <w:r>
              <w:t>IMP</w:t>
            </w:r>
          </w:p>
        </w:tc>
        <w:tc>
          <w:tcPr>
            <w:tcW w:w="7604" w:type="dxa"/>
          </w:tcPr>
          <w:p w14:paraId="5E25223E" w14:textId="6E60465C" w:rsidR="00130ECE" w:rsidRPr="006D57DE" w:rsidRDefault="00777B27" w:rsidP="00130ECE">
            <w:r>
              <w:t>Investigational medicinal product</w:t>
            </w:r>
          </w:p>
        </w:tc>
      </w:tr>
      <w:tr w:rsidR="007B3562" w14:paraId="548D0DC7" w14:textId="77777777" w:rsidTr="00432B0E">
        <w:trPr>
          <w:cantSplit/>
          <w:trHeight w:val="70"/>
        </w:trPr>
        <w:tc>
          <w:tcPr>
            <w:tcW w:w="1413" w:type="dxa"/>
          </w:tcPr>
          <w:p w14:paraId="5062FA4F" w14:textId="66938BD9" w:rsidR="007B3562" w:rsidRDefault="007B3562" w:rsidP="00130ECE">
            <w:r>
              <w:t>ICO</w:t>
            </w:r>
          </w:p>
        </w:tc>
        <w:tc>
          <w:tcPr>
            <w:tcW w:w="7604" w:type="dxa"/>
          </w:tcPr>
          <w:p w14:paraId="00298983" w14:textId="08D7DE44" w:rsidR="007B3562" w:rsidRDefault="007B3562" w:rsidP="00130ECE">
            <w:r>
              <w:t>Information Commissioner’s Office</w:t>
            </w:r>
          </w:p>
        </w:tc>
      </w:tr>
      <w:tr w:rsidR="00130ECE" w14:paraId="0E000277" w14:textId="77777777" w:rsidTr="00432B0E">
        <w:trPr>
          <w:cantSplit/>
          <w:trHeight w:val="70"/>
        </w:trPr>
        <w:tc>
          <w:tcPr>
            <w:tcW w:w="1413" w:type="dxa"/>
          </w:tcPr>
          <w:p w14:paraId="72AD9A31" w14:textId="27A38246" w:rsidR="00130ECE" w:rsidRDefault="00130ECE" w:rsidP="00130ECE">
            <w:r>
              <w:t>ISF</w:t>
            </w:r>
          </w:p>
        </w:tc>
        <w:tc>
          <w:tcPr>
            <w:tcW w:w="7604" w:type="dxa"/>
          </w:tcPr>
          <w:p w14:paraId="090132A1" w14:textId="4C079B23" w:rsidR="00130ECE" w:rsidRDefault="00777B27" w:rsidP="00130ECE">
            <w:r>
              <w:t>Investigator site file</w:t>
            </w:r>
          </w:p>
        </w:tc>
      </w:tr>
      <w:tr w:rsidR="00130ECE" w14:paraId="470DF597" w14:textId="77777777" w:rsidTr="00432B0E">
        <w:trPr>
          <w:cantSplit/>
          <w:trHeight w:val="70"/>
        </w:trPr>
        <w:tc>
          <w:tcPr>
            <w:tcW w:w="1413" w:type="dxa"/>
          </w:tcPr>
          <w:p w14:paraId="316B36A5" w14:textId="0C9698B3" w:rsidR="00130ECE" w:rsidRDefault="00130ECE" w:rsidP="00130ECE">
            <w:r>
              <w:t>MHRA</w:t>
            </w:r>
          </w:p>
        </w:tc>
        <w:tc>
          <w:tcPr>
            <w:tcW w:w="7604" w:type="dxa"/>
          </w:tcPr>
          <w:p w14:paraId="791C203E" w14:textId="4117CFE9" w:rsidR="00130ECE" w:rsidRDefault="00777B27" w:rsidP="00130ECE">
            <w:pPr>
              <w:rPr>
                <w:color w:val="222222"/>
              </w:rPr>
            </w:pPr>
            <w:r>
              <w:t xml:space="preserve">Medicines </w:t>
            </w:r>
            <w:r w:rsidR="00063834">
              <w:t>and Healthcare products Regulatory Agency</w:t>
            </w:r>
          </w:p>
        </w:tc>
      </w:tr>
      <w:tr w:rsidR="00130ECE" w14:paraId="45DB21FA" w14:textId="77777777" w:rsidTr="00432B0E">
        <w:trPr>
          <w:cantSplit/>
          <w:trHeight w:val="70"/>
        </w:trPr>
        <w:tc>
          <w:tcPr>
            <w:tcW w:w="1413" w:type="dxa"/>
          </w:tcPr>
          <w:p w14:paraId="77182EA6" w14:textId="1F2E635E" w:rsidR="00130ECE" w:rsidRDefault="00130ECE" w:rsidP="00130ECE">
            <w:r>
              <w:t>NIHR</w:t>
            </w:r>
          </w:p>
        </w:tc>
        <w:tc>
          <w:tcPr>
            <w:tcW w:w="7604" w:type="dxa"/>
          </w:tcPr>
          <w:p w14:paraId="75C29BAD" w14:textId="7A1B9DF0" w:rsidR="00130ECE" w:rsidRDefault="00063834" w:rsidP="00130ECE">
            <w:pPr>
              <w:rPr>
                <w:color w:val="222222"/>
              </w:rPr>
            </w:pPr>
            <w:r>
              <w:t>National Institute for Health and Care Research</w:t>
            </w:r>
          </w:p>
        </w:tc>
      </w:tr>
      <w:tr w:rsidR="00130ECE" w14:paraId="46527544" w14:textId="77777777" w:rsidTr="00432B0E">
        <w:trPr>
          <w:cantSplit/>
          <w:trHeight w:val="70"/>
        </w:trPr>
        <w:tc>
          <w:tcPr>
            <w:tcW w:w="1413" w:type="dxa"/>
          </w:tcPr>
          <w:p w14:paraId="079FF330" w14:textId="1306C630" w:rsidR="00130ECE" w:rsidRDefault="00130ECE" w:rsidP="00130ECE">
            <w:r>
              <w:t>NREAP</w:t>
            </w:r>
          </w:p>
        </w:tc>
        <w:tc>
          <w:tcPr>
            <w:tcW w:w="7604" w:type="dxa"/>
          </w:tcPr>
          <w:p w14:paraId="1E41331C" w14:textId="58F79AC3" w:rsidR="00130ECE" w:rsidRDefault="00063834" w:rsidP="00130ECE">
            <w:pPr>
              <w:rPr>
                <w:color w:val="222222"/>
              </w:rPr>
            </w:pPr>
            <w:r>
              <w:rPr>
                <w:color w:val="222222"/>
              </w:rPr>
              <w:t xml:space="preserve">National </w:t>
            </w:r>
            <w:r w:rsidR="00743DA6">
              <w:rPr>
                <w:color w:val="222222"/>
              </w:rPr>
              <w:t>r</w:t>
            </w:r>
            <w:r>
              <w:rPr>
                <w:color w:val="222222"/>
              </w:rPr>
              <w:t xml:space="preserve">esearch and </w:t>
            </w:r>
            <w:r w:rsidR="00743DA6">
              <w:rPr>
                <w:color w:val="222222"/>
              </w:rPr>
              <w:t>e</w:t>
            </w:r>
            <w:r>
              <w:rPr>
                <w:color w:val="222222"/>
              </w:rPr>
              <w:t xml:space="preserve">thics </w:t>
            </w:r>
            <w:r w:rsidR="00743DA6">
              <w:rPr>
                <w:color w:val="222222"/>
              </w:rPr>
              <w:t>a</w:t>
            </w:r>
            <w:r>
              <w:rPr>
                <w:color w:val="222222"/>
              </w:rPr>
              <w:t xml:space="preserve">dvisors’ </w:t>
            </w:r>
            <w:r w:rsidR="00743DA6">
              <w:rPr>
                <w:color w:val="222222"/>
              </w:rPr>
              <w:t>p</w:t>
            </w:r>
            <w:r>
              <w:rPr>
                <w:color w:val="222222"/>
              </w:rPr>
              <w:t>anel</w:t>
            </w:r>
          </w:p>
        </w:tc>
      </w:tr>
      <w:tr w:rsidR="00130ECE" w14:paraId="04388114" w14:textId="77777777" w:rsidTr="00432B0E">
        <w:trPr>
          <w:cantSplit/>
          <w:trHeight w:val="70"/>
        </w:trPr>
        <w:tc>
          <w:tcPr>
            <w:tcW w:w="1413" w:type="dxa"/>
          </w:tcPr>
          <w:p w14:paraId="6AC51228" w14:textId="0F009559" w:rsidR="00130ECE" w:rsidRDefault="00130ECE" w:rsidP="00130ECE">
            <w:r>
              <w:t>PI</w:t>
            </w:r>
          </w:p>
        </w:tc>
        <w:tc>
          <w:tcPr>
            <w:tcW w:w="7604" w:type="dxa"/>
          </w:tcPr>
          <w:p w14:paraId="25568BA8" w14:textId="76CE142C" w:rsidR="00130ECE" w:rsidRDefault="00063834" w:rsidP="00130ECE">
            <w:pPr>
              <w:rPr>
                <w:color w:val="222222"/>
              </w:rPr>
            </w:pPr>
            <w:r>
              <w:t>Principal investigator</w:t>
            </w:r>
            <w:r w:rsidR="00130ECE" w:rsidRPr="00DD5335">
              <w:t xml:space="preserve">    </w:t>
            </w:r>
          </w:p>
        </w:tc>
      </w:tr>
      <w:tr w:rsidR="00130ECE" w14:paraId="4B00EE71" w14:textId="77777777" w:rsidTr="00432B0E">
        <w:trPr>
          <w:cantSplit/>
          <w:trHeight w:val="70"/>
        </w:trPr>
        <w:tc>
          <w:tcPr>
            <w:tcW w:w="1413" w:type="dxa"/>
          </w:tcPr>
          <w:p w14:paraId="0B9703FB" w14:textId="2D814804" w:rsidR="00130ECE" w:rsidRDefault="00130ECE" w:rsidP="00130ECE">
            <w:r>
              <w:t>PIS</w:t>
            </w:r>
          </w:p>
        </w:tc>
        <w:tc>
          <w:tcPr>
            <w:tcW w:w="7604" w:type="dxa"/>
          </w:tcPr>
          <w:p w14:paraId="3B807B24" w14:textId="3DB26B2C" w:rsidR="00130ECE" w:rsidRDefault="00063834" w:rsidP="00130ECE">
            <w:pPr>
              <w:rPr>
                <w:color w:val="222222"/>
              </w:rPr>
            </w:pPr>
            <w:r>
              <w:t>Participant information sheet</w:t>
            </w:r>
          </w:p>
        </w:tc>
      </w:tr>
      <w:tr w:rsidR="00130ECE" w14:paraId="57769FE8" w14:textId="77777777" w:rsidTr="00432B0E">
        <w:trPr>
          <w:cantSplit/>
          <w:trHeight w:val="70"/>
        </w:trPr>
        <w:tc>
          <w:tcPr>
            <w:tcW w:w="1413" w:type="dxa"/>
          </w:tcPr>
          <w:p w14:paraId="3AD8AA9C" w14:textId="046E6EC2" w:rsidR="00130ECE" w:rsidRDefault="00130ECE" w:rsidP="00130ECE">
            <w:r>
              <w:t>REC</w:t>
            </w:r>
          </w:p>
        </w:tc>
        <w:tc>
          <w:tcPr>
            <w:tcW w:w="7604" w:type="dxa"/>
          </w:tcPr>
          <w:p w14:paraId="2515FC23" w14:textId="63AD5CF0" w:rsidR="00130ECE" w:rsidRDefault="00063834" w:rsidP="00130ECE">
            <w:pPr>
              <w:rPr>
                <w:color w:val="222222"/>
              </w:rPr>
            </w:pPr>
            <w:r>
              <w:t xml:space="preserve">Research </w:t>
            </w:r>
            <w:r w:rsidR="00743DA6">
              <w:t>e</w:t>
            </w:r>
            <w:r>
              <w:t xml:space="preserve">thics </w:t>
            </w:r>
            <w:r w:rsidR="00743DA6">
              <w:t>c</w:t>
            </w:r>
            <w:r>
              <w:t>ommittee</w:t>
            </w:r>
          </w:p>
        </w:tc>
      </w:tr>
      <w:tr w:rsidR="00130ECE" w14:paraId="4313AA07" w14:textId="77777777" w:rsidTr="00432B0E">
        <w:trPr>
          <w:cantSplit/>
          <w:trHeight w:val="70"/>
        </w:trPr>
        <w:tc>
          <w:tcPr>
            <w:tcW w:w="1413" w:type="dxa"/>
          </w:tcPr>
          <w:p w14:paraId="389BF5E1" w14:textId="48E29F67" w:rsidR="00130ECE" w:rsidRDefault="00130ECE" w:rsidP="00130ECE">
            <w:r>
              <w:t>SOP</w:t>
            </w:r>
          </w:p>
        </w:tc>
        <w:tc>
          <w:tcPr>
            <w:tcW w:w="7604" w:type="dxa"/>
          </w:tcPr>
          <w:p w14:paraId="52347FB2" w14:textId="34442A4C" w:rsidR="00130ECE" w:rsidRDefault="00130ECE" w:rsidP="00130ECE">
            <w:pPr>
              <w:rPr>
                <w:color w:val="222222"/>
              </w:rPr>
            </w:pPr>
            <w:r w:rsidRPr="00DD5335">
              <w:t>St</w:t>
            </w:r>
            <w:r w:rsidR="00743DA6">
              <w:t>andard operating procedure</w:t>
            </w:r>
          </w:p>
        </w:tc>
      </w:tr>
      <w:tr w:rsidR="00130ECE" w14:paraId="588471C6" w14:textId="77777777" w:rsidTr="00432B0E">
        <w:trPr>
          <w:cantSplit/>
          <w:trHeight w:val="70"/>
        </w:trPr>
        <w:tc>
          <w:tcPr>
            <w:tcW w:w="1413" w:type="dxa"/>
          </w:tcPr>
          <w:p w14:paraId="5A65848A" w14:textId="0C246C6C" w:rsidR="00130ECE" w:rsidRDefault="00130ECE" w:rsidP="00130ECE">
            <w:r>
              <w:t>SS&amp;DL</w:t>
            </w:r>
          </w:p>
        </w:tc>
        <w:tc>
          <w:tcPr>
            <w:tcW w:w="7604" w:type="dxa"/>
          </w:tcPr>
          <w:p w14:paraId="039A7B9A" w14:textId="377D2B07" w:rsidR="00130ECE" w:rsidRDefault="00063834" w:rsidP="00130ECE">
            <w:pPr>
              <w:rPr>
                <w:color w:val="222222"/>
              </w:rPr>
            </w:pPr>
            <w:r>
              <w:rPr>
                <w:color w:val="222222"/>
              </w:rPr>
              <w:t>Site signature and delegation log</w:t>
            </w:r>
          </w:p>
        </w:tc>
      </w:tr>
      <w:tr w:rsidR="00130ECE" w14:paraId="65DF1CD4" w14:textId="77777777" w:rsidTr="00432B0E">
        <w:trPr>
          <w:cantSplit/>
          <w:trHeight w:val="70"/>
        </w:trPr>
        <w:tc>
          <w:tcPr>
            <w:tcW w:w="1413" w:type="dxa"/>
          </w:tcPr>
          <w:p w14:paraId="6BD07F36" w14:textId="1DC5A435" w:rsidR="00130ECE" w:rsidRDefault="00130ECE" w:rsidP="00130ECE">
            <w:r>
              <w:t>S/TMF</w:t>
            </w:r>
          </w:p>
        </w:tc>
        <w:tc>
          <w:tcPr>
            <w:tcW w:w="7604" w:type="dxa"/>
          </w:tcPr>
          <w:p w14:paraId="38AD27DD" w14:textId="36B13A10" w:rsidR="00130ECE" w:rsidRDefault="00063834" w:rsidP="00130ECE">
            <w:pPr>
              <w:rPr>
                <w:color w:val="222222"/>
              </w:rPr>
            </w:pPr>
            <w:r w:rsidRPr="00DD5335">
              <w:t>Study/trial master file</w:t>
            </w:r>
          </w:p>
        </w:tc>
      </w:tr>
      <w:tr w:rsidR="00130ECE" w14:paraId="48ED057D" w14:textId="77777777" w:rsidTr="00432B0E">
        <w:trPr>
          <w:cantSplit/>
          <w:trHeight w:val="70"/>
        </w:trPr>
        <w:tc>
          <w:tcPr>
            <w:tcW w:w="1413" w:type="dxa"/>
          </w:tcPr>
          <w:p w14:paraId="054F9A32" w14:textId="08555D67" w:rsidR="00130ECE" w:rsidRDefault="00130ECE" w:rsidP="00130ECE">
            <w:r>
              <w:t>UoB</w:t>
            </w:r>
          </w:p>
        </w:tc>
        <w:tc>
          <w:tcPr>
            <w:tcW w:w="7604" w:type="dxa"/>
          </w:tcPr>
          <w:p w14:paraId="59DB30D3" w14:textId="3455DA76" w:rsidR="00130ECE" w:rsidRDefault="00063834" w:rsidP="00130ECE">
            <w:pPr>
              <w:rPr>
                <w:color w:val="222222"/>
              </w:rPr>
            </w:pPr>
            <w:r w:rsidRPr="00DD5335">
              <w:t>University of Birmingham</w:t>
            </w:r>
          </w:p>
        </w:tc>
      </w:tr>
    </w:tbl>
    <w:p w14:paraId="7D93807D" w14:textId="77777777" w:rsidR="000374CB" w:rsidRDefault="00B10C05">
      <w:r w:rsidRPr="009C2C63">
        <w:t xml:space="preserve">See also </w:t>
      </w:r>
      <w:hyperlink r:id="rId65"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1EB52510" w14:textId="77777777" w:rsidR="00FC026F" w:rsidRDefault="00FC026F"/>
    <w:p w14:paraId="265B8EC9" w14:textId="77777777" w:rsidR="00901562" w:rsidRDefault="00901562" w:rsidP="00901562">
      <w:pPr>
        <w:spacing w:before="0" w:after="200" w:line="276" w:lineRule="auto"/>
        <w:sectPr w:rsidR="00901562" w:rsidSect="00BB1019">
          <w:headerReference w:type="even" r:id="rId66"/>
          <w:headerReference w:type="default" r:id="rId67"/>
          <w:footerReference w:type="even" r:id="rId68"/>
          <w:footerReference w:type="default" r:id="rId69"/>
          <w:headerReference w:type="first" r:id="rId70"/>
          <w:footerReference w:type="first" r:id="rId71"/>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18182CC" w14:textId="77777777" w:rsidR="00234600" w:rsidRPr="00901562" w:rsidRDefault="00234600" w:rsidP="00901562">
      <w:pPr>
        <w:pStyle w:val="Heading1"/>
      </w:pPr>
      <w:bookmarkStart w:id="22" w:name="_Toc170908478"/>
      <w:r>
        <w:lastRenderedPageBreak/>
        <w:t xml:space="preserve">Document </w:t>
      </w:r>
      <w:r w:rsidR="003E6162">
        <w:t>contributors</w:t>
      </w:r>
      <w:bookmarkEnd w:id="22"/>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52E18B36" w14:textId="77777777" w:rsidTr="00D242C8">
        <w:trPr>
          <w:trHeight w:val="454"/>
        </w:trPr>
        <w:tc>
          <w:tcPr>
            <w:tcW w:w="5000" w:type="pct"/>
            <w:shd w:val="clear" w:color="auto" w:fill="DBE5F1" w:themeFill="accent1" w:themeFillTint="33"/>
            <w:vAlign w:val="center"/>
          </w:tcPr>
          <w:p w14:paraId="0083946B" w14:textId="77777777" w:rsidR="00D242C8" w:rsidRPr="002B6735" w:rsidRDefault="00D242C8" w:rsidP="002B6735">
            <w:pPr>
              <w:pStyle w:val="Contributorstabletext"/>
              <w:rPr>
                <w:b/>
                <w:bCs/>
              </w:rPr>
            </w:pPr>
            <w:bookmarkStart w:id="23" w:name="_Toc143768371"/>
            <w:r w:rsidRPr="002B6735">
              <w:rPr>
                <w:b/>
                <w:bCs/>
              </w:rPr>
              <w:t>Author</w:t>
            </w:r>
            <w:r w:rsidR="002B6735" w:rsidRPr="002B6735">
              <w:rPr>
                <w:b/>
                <w:bCs/>
              </w:rPr>
              <w:t>(s)</w:t>
            </w:r>
          </w:p>
        </w:tc>
      </w:tr>
      <w:tr w:rsidR="00D242C8" w14:paraId="59ED0D5D" w14:textId="77777777" w:rsidTr="00F6365D">
        <w:trPr>
          <w:trHeight w:val="454"/>
        </w:trPr>
        <w:tc>
          <w:tcPr>
            <w:tcW w:w="5000" w:type="pct"/>
            <w:vAlign w:val="center"/>
          </w:tcPr>
          <w:p w14:paraId="31A67541" w14:textId="43824648" w:rsidR="00D242C8" w:rsidRDefault="00963DE5" w:rsidP="00F6365D">
            <w:pPr>
              <w:pStyle w:val="Contributorstabletext"/>
            </w:pPr>
            <w:r>
              <w:t>Sarah Campbell (Senior Compliance Facilitator)</w:t>
            </w:r>
          </w:p>
        </w:tc>
      </w:tr>
      <w:tr w:rsidR="00D242C8" w14:paraId="3DE12C22" w14:textId="77777777" w:rsidTr="002B6735">
        <w:trPr>
          <w:trHeight w:val="454"/>
        </w:trPr>
        <w:tc>
          <w:tcPr>
            <w:tcW w:w="5000" w:type="pct"/>
            <w:shd w:val="clear" w:color="auto" w:fill="DBE5F1" w:themeFill="accent1" w:themeFillTint="33"/>
          </w:tcPr>
          <w:p w14:paraId="76267EF3" w14:textId="77777777" w:rsidR="00D242C8" w:rsidRPr="002B6735" w:rsidRDefault="002B6735" w:rsidP="002B6735">
            <w:pPr>
              <w:pStyle w:val="Contributorstabletext"/>
              <w:rPr>
                <w:b/>
                <w:bCs/>
              </w:rPr>
            </w:pPr>
            <w:r w:rsidRPr="002B6735">
              <w:rPr>
                <w:b/>
                <w:bCs/>
              </w:rPr>
              <w:t>Reviewer(s)</w:t>
            </w:r>
          </w:p>
        </w:tc>
      </w:tr>
      <w:tr w:rsidR="002B6735" w14:paraId="6CEB121F" w14:textId="77777777" w:rsidTr="00D242C8">
        <w:trPr>
          <w:trHeight w:val="454"/>
        </w:trPr>
        <w:tc>
          <w:tcPr>
            <w:tcW w:w="5000" w:type="pct"/>
          </w:tcPr>
          <w:p w14:paraId="43424EA9"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61D08422" w14:textId="77777777" w:rsidR="00283ED8" w:rsidRDefault="00283ED8" w:rsidP="003F499F">
            <w:pPr>
              <w:pStyle w:val="bulletT1"/>
            </w:pPr>
            <w:r>
              <w:t>Clinical Research Compliance Team (CRCT)</w:t>
            </w:r>
          </w:p>
          <w:p w14:paraId="1769FBEC" w14:textId="77777777" w:rsidR="002B6735" w:rsidRPr="005405BD" w:rsidRDefault="002B6735" w:rsidP="003F499F">
            <w:pPr>
              <w:pStyle w:val="bulletT1"/>
            </w:pPr>
            <w:r w:rsidRPr="005405BD">
              <w:t>Research Ethics, Governance &amp; Integrity Team (REGI)</w:t>
            </w:r>
          </w:p>
          <w:p w14:paraId="57F251F8" w14:textId="77777777" w:rsidR="002B6735" w:rsidRPr="005405BD" w:rsidRDefault="002B6735" w:rsidP="003F499F">
            <w:pPr>
              <w:pStyle w:val="bulletT1"/>
            </w:pPr>
            <w:r w:rsidRPr="005405BD">
              <w:t>University of Birmingham Clinical Trials Units (UoB CTUs)</w:t>
            </w:r>
          </w:p>
          <w:p w14:paraId="063F6AA5" w14:textId="77777777" w:rsidR="002B6735" w:rsidRPr="005405BD" w:rsidRDefault="002B6735" w:rsidP="003F499F">
            <w:pPr>
              <w:pStyle w:val="bulletT1"/>
            </w:pPr>
            <w:r w:rsidRPr="005405BD">
              <w:t>Clinical Trials Oversight Committee (CTOC)</w:t>
            </w:r>
          </w:p>
          <w:p w14:paraId="49EADD5C" w14:textId="77777777" w:rsidR="002B6735" w:rsidRPr="005405BD" w:rsidRDefault="002B6735" w:rsidP="003F499F">
            <w:pPr>
              <w:pStyle w:val="bulletT1"/>
            </w:pPr>
            <w:r w:rsidRPr="005405BD">
              <w:t>Human Tissue Oversight Committee (HTOC)</w:t>
            </w:r>
          </w:p>
          <w:p w14:paraId="5D8938CA" w14:textId="77777777" w:rsidR="002B6735" w:rsidRDefault="002B6735" w:rsidP="00120959">
            <w:pPr>
              <w:pStyle w:val="bulletT1"/>
            </w:pPr>
            <w:r w:rsidRPr="005405BD">
              <w:t>Any</w:t>
            </w:r>
            <w:r w:rsidRPr="00CB39B4">
              <w:t xml:space="preserve"> other stakeholders (see stakeholders</w:t>
            </w:r>
            <w:r w:rsidRPr="0070323D">
              <w:t xml:space="preserve"> </w:t>
            </w:r>
            <w:r w:rsidR="004827DE" w:rsidRPr="00EC132F">
              <w:rPr>
                <w:rStyle w:val="DocrefChar"/>
                <w:u w:val="single"/>
              </w:rPr>
              <w:fldChar w:fldCharType="begin"/>
            </w:r>
            <w:r w:rsidR="004827DE" w:rsidRPr="00EC132F">
              <w:rPr>
                <w:rStyle w:val="DocrefChar"/>
                <w:u w:val="single"/>
              </w:rPr>
              <w:instrText xml:space="preserve"> REF _Ref153523581 \p \h  \* MERGEFORMAT </w:instrText>
            </w:r>
            <w:r w:rsidR="004827DE" w:rsidRPr="00EC132F">
              <w:rPr>
                <w:rStyle w:val="DocrefChar"/>
                <w:u w:val="single"/>
              </w:rPr>
            </w:r>
            <w:r w:rsidR="004827DE" w:rsidRPr="00EC132F">
              <w:rPr>
                <w:rStyle w:val="DocrefChar"/>
                <w:u w:val="single"/>
              </w:rPr>
              <w:fldChar w:fldCharType="separate"/>
            </w:r>
            <w:r w:rsidR="00AF5BCF" w:rsidRPr="00EC132F">
              <w:rPr>
                <w:rStyle w:val="DocrefChar"/>
                <w:u w:val="single"/>
              </w:rPr>
              <w:t>above</w:t>
            </w:r>
            <w:r w:rsidR="004827DE" w:rsidRPr="00EC132F">
              <w:rPr>
                <w:rStyle w:val="DocrefChar"/>
                <w:u w:val="single"/>
              </w:rPr>
              <w:fldChar w:fldCharType="end"/>
            </w:r>
            <w:r w:rsidRPr="0070323D">
              <w:t>)</w:t>
            </w:r>
          </w:p>
          <w:p w14:paraId="74547DAA" w14:textId="77777777" w:rsidR="00FA419F" w:rsidRPr="0070323D" w:rsidRDefault="00FA419F" w:rsidP="00FA419F">
            <w:pPr>
              <w:pStyle w:val="Contributorstabletext"/>
            </w:pPr>
            <w:r>
              <w:rPr>
                <w:i/>
                <w:iCs/>
              </w:rPr>
              <w:t>R</w:t>
            </w:r>
            <w:r w:rsidRPr="0070323D">
              <w:rPr>
                <w:i/>
                <w:iCs/>
              </w:rPr>
              <w:t>evisions by</w:t>
            </w:r>
            <w:r w:rsidRPr="0070323D">
              <w:t xml:space="preserve"> –</w:t>
            </w:r>
          </w:p>
          <w:p w14:paraId="1128FFD4" w14:textId="6865CC41" w:rsidR="00FA419F" w:rsidRPr="00FA419F" w:rsidRDefault="00FA419F" w:rsidP="00FA419F">
            <w:pPr>
              <w:pStyle w:val="bulletT1"/>
            </w:pPr>
            <w:r w:rsidRPr="00FA419F">
              <w:t xml:space="preserve">CRCT (see document revision log </w:t>
            </w:r>
            <w:r w:rsidRPr="00FA419F">
              <w:rPr>
                <w:rStyle w:val="SectionrefChar"/>
                <w:iCs w:val="0"/>
                <w:color w:val="auto"/>
                <w:u w:val="none"/>
              </w:rPr>
              <w:fldChar w:fldCharType="begin"/>
            </w:r>
            <w:r w:rsidRPr="00FA419F">
              <w:rPr>
                <w:rStyle w:val="SectionrefChar"/>
                <w:iCs w:val="0"/>
                <w:color w:val="auto"/>
                <w:u w:val="none"/>
              </w:rPr>
              <w:instrText xml:space="preserve"> REF _Ref153523697 \p \h  \* MERGEFORMAT </w:instrText>
            </w:r>
            <w:r w:rsidRPr="00FA419F">
              <w:rPr>
                <w:rStyle w:val="SectionrefChar"/>
                <w:iCs w:val="0"/>
                <w:color w:val="auto"/>
                <w:u w:val="none"/>
              </w:rPr>
            </w:r>
            <w:r w:rsidRPr="00FA419F">
              <w:rPr>
                <w:rStyle w:val="SectionrefChar"/>
                <w:iCs w:val="0"/>
                <w:color w:val="auto"/>
                <w:u w:val="none"/>
              </w:rPr>
              <w:fldChar w:fldCharType="separate"/>
            </w:r>
            <w:r w:rsidRPr="00FA419F">
              <w:rPr>
                <w:rStyle w:val="SectionrefChar"/>
                <w:iCs w:val="0"/>
                <w:color w:val="auto"/>
                <w:u w:val="none"/>
              </w:rPr>
              <w:t>below</w:t>
            </w:r>
            <w:r w:rsidRPr="00FA419F">
              <w:rPr>
                <w:rStyle w:val="SectionrefChar"/>
                <w:iCs w:val="0"/>
                <w:color w:val="auto"/>
                <w:u w:val="none"/>
              </w:rPr>
              <w:fldChar w:fldCharType="end"/>
            </w:r>
            <w:r w:rsidRPr="00FA419F">
              <w:t>)</w:t>
            </w:r>
          </w:p>
        </w:tc>
      </w:tr>
      <w:tr w:rsidR="00D242C8" w14:paraId="0E59748D" w14:textId="77777777" w:rsidTr="002B6735">
        <w:trPr>
          <w:trHeight w:val="454"/>
        </w:trPr>
        <w:tc>
          <w:tcPr>
            <w:tcW w:w="5000" w:type="pct"/>
            <w:shd w:val="clear" w:color="auto" w:fill="DBE5F1" w:themeFill="accent1" w:themeFillTint="33"/>
          </w:tcPr>
          <w:p w14:paraId="1123329D" w14:textId="77777777" w:rsidR="00D242C8" w:rsidRPr="002B6735" w:rsidRDefault="002B6735" w:rsidP="002B6735">
            <w:pPr>
              <w:pStyle w:val="Contributorstabletext"/>
              <w:rPr>
                <w:b/>
                <w:bCs/>
              </w:rPr>
            </w:pPr>
            <w:r w:rsidRPr="002B6735">
              <w:rPr>
                <w:b/>
                <w:bCs/>
              </w:rPr>
              <w:t>Authoriser(s)</w:t>
            </w:r>
          </w:p>
        </w:tc>
      </w:tr>
      <w:tr w:rsidR="00D242C8" w14:paraId="54D2B355" w14:textId="77777777" w:rsidTr="00D242C8">
        <w:trPr>
          <w:trHeight w:val="454"/>
        </w:trPr>
        <w:tc>
          <w:tcPr>
            <w:tcW w:w="5000" w:type="pct"/>
          </w:tcPr>
          <w:p w14:paraId="6A8B179F" w14:textId="43ACB783" w:rsidR="005505A0" w:rsidRDefault="00D42F32" w:rsidP="002B6735">
            <w:pPr>
              <w:pStyle w:val="Contributorstabletext"/>
            </w:pPr>
            <w:r>
              <w:t>Jamie Douglas-Pugh (Clinical Research Compliance Manager) / QMS Manager)</w:t>
            </w:r>
          </w:p>
          <w:p w14:paraId="159A9FAA" w14:textId="101652E1" w:rsidR="00D42F32" w:rsidRDefault="00D42F32" w:rsidP="002B6735">
            <w:pPr>
              <w:pStyle w:val="Contributorstabletext"/>
            </w:pPr>
            <w:r>
              <w:t>Julian B</w:t>
            </w:r>
            <w:r w:rsidR="00FA419F">
              <w:t>i</w:t>
            </w:r>
            <w:r>
              <w:t>on (Chair of CTOC)</w:t>
            </w:r>
          </w:p>
          <w:p w14:paraId="18D8EB97" w14:textId="63FDEA60" w:rsidR="00D42F32" w:rsidRDefault="00D42F32" w:rsidP="002B6735">
            <w:pPr>
              <w:pStyle w:val="Contributorstabletext"/>
            </w:pPr>
            <w:r>
              <w:t>Philip Tomson (Chair of HTOC)</w:t>
            </w:r>
          </w:p>
        </w:tc>
      </w:tr>
    </w:tbl>
    <w:p w14:paraId="3236958D" w14:textId="77777777" w:rsidR="00FC026F" w:rsidRDefault="00FC026F" w:rsidP="004827DE">
      <w:pPr>
        <w:pStyle w:val="Sectionref"/>
      </w:pPr>
    </w:p>
    <w:p w14:paraId="73141B9C"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65742442" w14:textId="77777777" w:rsidR="002B6735" w:rsidRDefault="003E6162" w:rsidP="003E6162">
      <w:pPr>
        <w:pStyle w:val="Heading1"/>
      </w:pPr>
      <w:bookmarkStart w:id="24" w:name="_Toc170908479"/>
      <w:r>
        <w:lastRenderedPageBreak/>
        <w:t xml:space="preserve">Document </w:t>
      </w:r>
      <w:r w:rsidR="001976C1">
        <w:t>h</w:t>
      </w:r>
      <w:r>
        <w:t>istory</w:t>
      </w:r>
      <w:bookmarkEnd w:id="24"/>
    </w:p>
    <w:p w14:paraId="339FEA18" w14:textId="77777777" w:rsidR="00234600" w:rsidRPr="00710D7B" w:rsidRDefault="00120959" w:rsidP="00234600">
      <w:pPr>
        <w:pStyle w:val="Heading2"/>
      </w:pPr>
      <w:bookmarkStart w:id="25" w:name="_Toc170908480"/>
      <w:bookmarkEnd w:id="23"/>
      <w:r>
        <w:t>Document version log</w:t>
      </w:r>
      <w:bookmarkEnd w:id="25"/>
    </w:p>
    <w:p w14:paraId="18E466B3"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72"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316A44E2" w14:textId="77777777" w:rsidTr="00F6365D">
        <w:trPr>
          <w:trHeight w:val="454"/>
          <w:tblHeader/>
        </w:trPr>
        <w:tc>
          <w:tcPr>
            <w:tcW w:w="784" w:type="pct"/>
            <w:shd w:val="clear" w:color="auto" w:fill="DBE5F1" w:themeFill="accent1" w:themeFillTint="33"/>
            <w:vAlign w:val="center"/>
          </w:tcPr>
          <w:p w14:paraId="0D449B8D"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1C101E62" w14:textId="77777777" w:rsidR="006F7027" w:rsidRPr="003713E4" w:rsidRDefault="006F7027" w:rsidP="008051E9">
            <w:pPr>
              <w:rPr>
                <w:b/>
                <w:bCs/>
              </w:rPr>
            </w:pPr>
            <w:r>
              <w:rPr>
                <w:b/>
                <w:bCs/>
              </w:rPr>
              <w:t>Reason for update</w:t>
            </w:r>
          </w:p>
        </w:tc>
      </w:tr>
      <w:tr w:rsidR="002A0B65" w14:paraId="54D1E75C" w14:textId="77777777" w:rsidTr="00747905">
        <w:trPr>
          <w:trHeight w:val="440"/>
        </w:trPr>
        <w:tc>
          <w:tcPr>
            <w:tcW w:w="784" w:type="pct"/>
          </w:tcPr>
          <w:p w14:paraId="54E15D2E" w14:textId="1239DA97" w:rsidR="00A5347A" w:rsidRDefault="00305154" w:rsidP="00A5347A">
            <w:pPr>
              <w:jc w:val="center"/>
            </w:pPr>
            <w:r>
              <w:t>2</w:t>
            </w:r>
            <w:r w:rsidR="002A0B65">
              <w:t>.0</w:t>
            </w:r>
          </w:p>
          <w:p w14:paraId="64C087B3" w14:textId="50D6F460" w:rsidR="002A0B65" w:rsidRDefault="002A0B65" w:rsidP="00A5347A">
            <w:pPr>
              <w:jc w:val="center"/>
            </w:pPr>
            <w:r>
              <w:t>(</w:t>
            </w:r>
            <w:r w:rsidR="00EC132F">
              <w:t>20-Aug-2024</w:t>
            </w:r>
            <w:r>
              <w:t>)</w:t>
            </w:r>
          </w:p>
        </w:tc>
        <w:tc>
          <w:tcPr>
            <w:tcW w:w="4216" w:type="pct"/>
          </w:tcPr>
          <w:p w14:paraId="27589FB7" w14:textId="77777777" w:rsidR="002A0B65" w:rsidRDefault="00BE105F" w:rsidP="005405BD">
            <w:pPr>
              <w:pStyle w:val="bulletT1"/>
            </w:pPr>
            <w:r>
              <w:t>New SOP template, improving readability and updates to hyperlinks</w:t>
            </w:r>
          </w:p>
          <w:p w14:paraId="608236F9" w14:textId="77777777" w:rsidR="004B32EF" w:rsidRDefault="004B32EF" w:rsidP="005405BD">
            <w:pPr>
              <w:pStyle w:val="bulletT1"/>
            </w:pPr>
            <w:r>
              <w:t xml:space="preserve">Text relating to the PIS and ICF moved here from Essential Documents Development and Maintenance SOP  </w:t>
            </w:r>
          </w:p>
          <w:p w14:paraId="1961E2BC" w14:textId="77777777" w:rsidR="00876C83" w:rsidRDefault="00876C83" w:rsidP="005405BD">
            <w:pPr>
              <w:pStyle w:val="bulletT1"/>
            </w:pPr>
            <w:r>
              <w:t>New section added ‘Handling personal data’ to cover DPIAs and transparency wording requirements</w:t>
            </w:r>
          </w:p>
          <w:p w14:paraId="71EE9B0C" w14:textId="42AED728" w:rsidR="007B50D9" w:rsidRDefault="007B50D9" w:rsidP="005405BD">
            <w:pPr>
              <w:pStyle w:val="bulletT1"/>
            </w:pPr>
            <w:r>
              <w:t>Addition</w:t>
            </w:r>
            <w:r w:rsidR="007C3833">
              <w:t xml:space="preserve"> of</w:t>
            </w:r>
            <w:r>
              <w:t xml:space="preserve"> HRA guidance for GDPR, transparency wording, research summaries and ending </w:t>
            </w:r>
            <w:r w:rsidR="007C3833">
              <w:t>a</w:t>
            </w:r>
            <w:r>
              <w:t xml:space="preserve"> project</w:t>
            </w:r>
            <w:r w:rsidR="007C3833">
              <w:t xml:space="preserve"> </w:t>
            </w:r>
          </w:p>
          <w:p w14:paraId="61BFB145" w14:textId="77777777" w:rsidR="00043B93" w:rsidRDefault="00043B93" w:rsidP="005405BD">
            <w:pPr>
              <w:pStyle w:val="bulletT1"/>
            </w:pPr>
            <w:r>
              <w:t>Reference to updated information on consent for adults lacking capacity, children &amp; young people and emergency situations, provided in Guidelines for Informed Consent Procedures QCD, added</w:t>
            </w:r>
          </w:p>
          <w:p w14:paraId="1FA34974" w14:textId="77777777" w:rsidR="001A0B59" w:rsidRDefault="00CE5D27" w:rsidP="005405BD">
            <w:pPr>
              <w:pStyle w:val="bulletT1"/>
            </w:pPr>
            <w:r>
              <w:t>Section ‘Disseminate Results’ removed</w:t>
            </w:r>
          </w:p>
          <w:p w14:paraId="4922BDA3" w14:textId="038156C3" w:rsidR="007C3833" w:rsidRDefault="007C3833" w:rsidP="005405BD">
            <w:pPr>
              <w:pStyle w:val="bulletT1"/>
            </w:pPr>
            <w:r>
              <w:t>Section eConsent expanded to include information about remote consent</w:t>
            </w:r>
          </w:p>
        </w:tc>
      </w:tr>
    </w:tbl>
    <w:p w14:paraId="13A5A9C3" w14:textId="77777777" w:rsidR="00234600" w:rsidRDefault="00234600" w:rsidP="00234600">
      <w:pPr>
        <w:pStyle w:val="Heading2"/>
      </w:pPr>
      <w:bookmarkStart w:id="26" w:name="_Toc143768372"/>
      <w:bookmarkStart w:id="27" w:name="_Ref152852855"/>
      <w:bookmarkStart w:id="28" w:name="_Ref152852890"/>
      <w:bookmarkStart w:id="29" w:name="_Ref153523697"/>
      <w:bookmarkStart w:id="30" w:name="_Toc170908481"/>
      <w:r>
        <w:t xml:space="preserve">Document </w:t>
      </w:r>
      <w:r w:rsidR="00413F0A">
        <w:t>r</w:t>
      </w:r>
      <w:r>
        <w:t xml:space="preserve">evision </w:t>
      </w:r>
      <w:r w:rsidR="00413F0A">
        <w:t>l</w:t>
      </w:r>
      <w:r>
        <w:t>og</w:t>
      </w:r>
      <w:bookmarkEnd w:id="26"/>
      <w:bookmarkEnd w:id="27"/>
      <w:bookmarkEnd w:id="28"/>
      <w:bookmarkEnd w:id="29"/>
      <w:bookmarkEnd w:id="30"/>
    </w:p>
    <w:p w14:paraId="556E628C"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5A22D58C" w14:textId="77777777" w:rsidTr="00F6365D">
        <w:trPr>
          <w:trHeight w:val="454"/>
          <w:tblHeader/>
        </w:trPr>
        <w:tc>
          <w:tcPr>
            <w:tcW w:w="1413" w:type="dxa"/>
            <w:shd w:val="clear" w:color="auto" w:fill="DBE5F1" w:themeFill="accent1" w:themeFillTint="33"/>
            <w:vAlign w:val="center"/>
          </w:tcPr>
          <w:p w14:paraId="06C7845B"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2F2D5553"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792F28D1"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213DC7B3" w14:textId="77777777" w:rsidR="00234600" w:rsidRPr="003713E4" w:rsidRDefault="00234600" w:rsidP="008051E9">
            <w:pPr>
              <w:rPr>
                <w:b/>
                <w:bCs/>
              </w:rPr>
            </w:pPr>
            <w:r w:rsidRPr="003713E4">
              <w:rPr>
                <w:b/>
                <w:bCs/>
              </w:rPr>
              <w:t>Authoriser</w:t>
            </w:r>
          </w:p>
        </w:tc>
      </w:tr>
      <w:tr w:rsidR="001D13C0" w14:paraId="4DB2C261" w14:textId="77777777" w:rsidTr="00515191">
        <w:trPr>
          <w:trHeight w:val="907"/>
        </w:trPr>
        <w:tc>
          <w:tcPr>
            <w:tcW w:w="1413" w:type="dxa"/>
          </w:tcPr>
          <w:p w14:paraId="05674C8E" w14:textId="77777777" w:rsidR="001D13C0" w:rsidRDefault="001D13C0" w:rsidP="001D13C0">
            <w:pPr>
              <w:jc w:val="center"/>
            </w:pPr>
            <w:r>
              <w:t>-</w:t>
            </w:r>
          </w:p>
        </w:tc>
        <w:tc>
          <w:tcPr>
            <w:tcW w:w="3544" w:type="dxa"/>
          </w:tcPr>
          <w:p w14:paraId="66F09E41" w14:textId="77777777" w:rsidR="001D13C0" w:rsidRDefault="001D13C0" w:rsidP="001D13C0">
            <w:pPr>
              <w:pStyle w:val="bulletT1"/>
              <w:numPr>
                <w:ilvl w:val="0"/>
                <w:numId w:val="0"/>
              </w:numPr>
              <w:ind w:left="170"/>
            </w:pPr>
            <w:r>
              <w:t>-</w:t>
            </w:r>
          </w:p>
        </w:tc>
        <w:tc>
          <w:tcPr>
            <w:tcW w:w="2030" w:type="dxa"/>
          </w:tcPr>
          <w:p w14:paraId="37F40612" w14:textId="77777777" w:rsidR="001D13C0" w:rsidRDefault="001D13C0" w:rsidP="001D13C0">
            <w:pPr>
              <w:jc w:val="left"/>
            </w:pPr>
            <w:r>
              <w:t>-</w:t>
            </w:r>
          </w:p>
        </w:tc>
        <w:tc>
          <w:tcPr>
            <w:tcW w:w="2030" w:type="dxa"/>
          </w:tcPr>
          <w:p w14:paraId="2799ADF1" w14:textId="77777777" w:rsidR="001D13C0" w:rsidRDefault="001D13C0" w:rsidP="001D13C0">
            <w:pPr>
              <w:jc w:val="left"/>
            </w:pPr>
            <w:r>
              <w:t>-</w:t>
            </w:r>
          </w:p>
        </w:tc>
      </w:tr>
    </w:tbl>
    <w:p w14:paraId="4976D0FD" w14:textId="39418AA8" w:rsidR="00A41A16" w:rsidRDefault="00A41A16" w:rsidP="00F73CE1">
      <w:pPr>
        <w:pStyle w:val="Instructions"/>
      </w:pPr>
    </w:p>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9CF3" w14:textId="77777777" w:rsidR="00AF5BCF" w:rsidRDefault="00AF5BCF" w:rsidP="00F46DE6">
      <w:r>
        <w:separator/>
      </w:r>
    </w:p>
    <w:p w14:paraId="72CA0013" w14:textId="77777777" w:rsidR="00AF5BCF" w:rsidRDefault="00AF5BCF" w:rsidP="00F46DE6"/>
  </w:endnote>
  <w:endnote w:type="continuationSeparator" w:id="0">
    <w:p w14:paraId="09A05538" w14:textId="77777777" w:rsidR="00AF5BCF" w:rsidRDefault="00AF5BCF" w:rsidP="00F46DE6">
      <w:r>
        <w:continuationSeparator/>
      </w:r>
    </w:p>
    <w:p w14:paraId="66F1F73E" w14:textId="77777777" w:rsidR="00AF5BCF" w:rsidRDefault="00AF5BCF"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B440F"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0B1E9372"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2F0B4566" w14:textId="77777777" w:rsidR="00276842" w:rsidRDefault="00D16E77" w:rsidP="00DD3075">
    <w:hyperlink r:id="rId1" w:history="1">
      <w:r w:rsidR="00DD3075" w:rsidRPr="00D317E8">
        <w:rPr>
          <w:rStyle w:val="Hyperlink"/>
        </w:rPr>
        <w:t>http://www.birmingham.ac.uk/research/activity/mds/mds-rkto/governance/index.aspx</w:t>
      </w:r>
    </w:hyperlink>
  </w:p>
  <w:p w14:paraId="5E7215E2"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172D4" w14:textId="77777777" w:rsidR="007773B9" w:rsidRPr="0097056C" w:rsidRDefault="007773B9" w:rsidP="00C56078">
    <w:pPr>
      <w:pStyle w:val="Footer"/>
    </w:pPr>
    <w:r w:rsidRPr="0097056C">
      <w:t>Property of the University of Birmingham, Vincent Drive, Edgbaston, Birmingham, B15 2TT, United Kingdom.</w:t>
    </w:r>
  </w:p>
  <w:p w14:paraId="64FF130B" w14:textId="77777777" w:rsidR="007773B9" w:rsidRPr="0097056C" w:rsidRDefault="007773B9" w:rsidP="00C56078">
    <w:pPr>
      <w:pStyle w:val="Footer"/>
    </w:pPr>
    <w:r w:rsidRPr="0097056C">
      <w:t>This is a controlled document. Any unauthorised prints/downloads of this document will be classed as uncontrolled.</w:t>
    </w:r>
  </w:p>
  <w:p w14:paraId="288A79B8"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DF94"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45A6E77A" w14:textId="77777777" w:rsidTr="00A5347A">
      <w:trPr>
        <w:trHeight w:val="148"/>
      </w:trPr>
      <w:tc>
        <w:tcPr>
          <w:tcW w:w="1441" w:type="dxa"/>
          <w:tcMar>
            <w:top w:w="0" w:type="dxa"/>
            <w:left w:w="57" w:type="dxa"/>
            <w:bottom w:w="0" w:type="dxa"/>
            <w:right w:w="57" w:type="dxa"/>
          </w:tcMar>
          <w:vAlign w:val="center"/>
        </w:tcPr>
        <w:p w14:paraId="24D0E30C"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7CA31806" w14:textId="09A931A0" w:rsidR="00A668FC" w:rsidRPr="001C6EFB" w:rsidRDefault="005C08A3" w:rsidP="00A5347A">
          <w:pPr>
            <w:pStyle w:val="Footer"/>
            <w:jc w:val="left"/>
          </w:pPr>
          <w:r>
            <w:t>UoB-PEI-SOP-001</w:t>
          </w:r>
        </w:p>
      </w:tc>
      <w:tc>
        <w:tcPr>
          <w:tcW w:w="3283" w:type="dxa"/>
          <w:tcMar>
            <w:top w:w="0" w:type="dxa"/>
            <w:left w:w="57" w:type="dxa"/>
            <w:bottom w:w="0" w:type="dxa"/>
            <w:right w:w="57" w:type="dxa"/>
          </w:tcMar>
          <w:vAlign w:val="center"/>
        </w:tcPr>
        <w:p w14:paraId="17DDA820"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2D87968A" w14:textId="555EEBC7" w:rsidR="00A668FC" w:rsidRPr="001C6EFB" w:rsidRDefault="00044A64" w:rsidP="00A5347A">
          <w:pPr>
            <w:pStyle w:val="Footer"/>
            <w:jc w:val="right"/>
          </w:pPr>
          <w:r>
            <w:fldChar w:fldCharType="begin"/>
          </w:r>
          <w:r>
            <w:instrText xml:space="preserve"> DATE  \@ "dd-MMM-yyyy"  \* MERGEFORMAT </w:instrText>
          </w:r>
          <w:r>
            <w:fldChar w:fldCharType="separate"/>
          </w:r>
          <w:r w:rsidR="00D16E77">
            <w:rPr>
              <w:noProof/>
            </w:rPr>
            <w:t>16-Aug-2024</w:t>
          </w:r>
          <w:r>
            <w:fldChar w:fldCharType="end"/>
          </w:r>
        </w:p>
      </w:tc>
    </w:tr>
    <w:tr w:rsidR="00A668FC" w:rsidRPr="002D6577" w14:paraId="2F08F99B" w14:textId="77777777" w:rsidTr="00A5347A">
      <w:tc>
        <w:tcPr>
          <w:tcW w:w="1441" w:type="dxa"/>
          <w:tcMar>
            <w:top w:w="0" w:type="dxa"/>
            <w:left w:w="57" w:type="dxa"/>
            <w:bottom w:w="0" w:type="dxa"/>
            <w:right w:w="57" w:type="dxa"/>
          </w:tcMar>
          <w:vAlign w:val="center"/>
        </w:tcPr>
        <w:p w14:paraId="2F0B07C4"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5535B8E0" w14:textId="28DD02B4" w:rsidR="00A668FC" w:rsidRPr="001C6EFB" w:rsidRDefault="004934A3" w:rsidP="00A5347A">
          <w:pPr>
            <w:pStyle w:val="Footer"/>
            <w:jc w:val="left"/>
          </w:pPr>
          <w:r>
            <w:t>2.0</w:t>
          </w:r>
        </w:p>
      </w:tc>
      <w:tc>
        <w:tcPr>
          <w:tcW w:w="3283" w:type="dxa"/>
          <w:tcMar>
            <w:top w:w="0" w:type="dxa"/>
            <w:left w:w="57" w:type="dxa"/>
            <w:bottom w:w="0" w:type="dxa"/>
            <w:right w:w="57" w:type="dxa"/>
          </w:tcMar>
          <w:vAlign w:val="center"/>
        </w:tcPr>
        <w:p w14:paraId="09025EF1"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3B00F6CD"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r w:rsidR="00D16E77">
            <w:fldChar w:fldCharType="begin"/>
          </w:r>
          <w:r w:rsidR="00D16E77">
            <w:instrText xml:space="preserve"> NUMPAGES   \* MERGEFORMAT </w:instrText>
          </w:r>
          <w:r w:rsidR="00D16E77">
            <w:fldChar w:fldCharType="separate"/>
          </w:r>
          <w:r w:rsidR="00B940A8">
            <w:rPr>
              <w:noProof/>
            </w:rPr>
            <w:t>2</w:t>
          </w:r>
          <w:r w:rsidR="00D16E77">
            <w:rPr>
              <w:noProof/>
            </w:rPr>
            <w:fldChar w:fldCharType="end"/>
          </w:r>
        </w:p>
      </w:tc>
    </w:tr>
  </w:tbl>
  <w:p w14:paraId="065C6EB4"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59778"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E5B0" w14:textId="77777777" w:rsidR="00AF5BCF" w:rsidRDefault="00AF5BCF" w:rsidP="00F46DE6">
      <w:r>
        <w:separator/>
      </w:r>
    </w:p>
    <w:p w14:paraId="61726FB8" w14:textId="77777777" w:rsidR="00AF5BCF" w:rsidRDefault="00AF5BCF" w:rsidP="00F46DE6"/>
  </w:footnote>
  <w:footnote w:type="continuationSeparator" w:id="0">
    <w:p w14:paraId="4D1F9AE7" w14:textId="77777777" w:rsidR="00AF5BCF" w:rsidRDefault="00AF5BCF" w:rsidP="00F46DE6">
      <w:r>
        <w:continuationSeparator/>
      </w:r>
    </w:p>
    <w:p w14:paraId="508676F2" w14:textId="77777777" w:rsidR="00AF5BCF" w:rsidRDefault="00AF5BCF"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B36C"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163CB5AC" wp14:editId="321236B1">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103937D4" w14:textId="77777777" w:rsidTr="00901562">
      <w:trPr>
        <w:trHeight w:val="278"/>
        <w:tblHeader/>
      </w:trPr>
      <w:tc>
        <w:tcPr>
          <w:tcW w:w="1555" w:type="dxa"/>
          <w:vAlign w:val="center"/>
        </w:tcPr>
        <w:p w14:paraId="7FCD3DED" w14:textId="77777777" w:rsidR="00A91AC7" w:rsidRDefault="00A91AC7" w:rsidP="005405BD">
          <w:pPr>
            <w:pStyle w:val="Footer"/>
            <w:jc w:val="left"/>
          </w:pPr>
          <w:r w:rsidRPr="001C6EFB">
            <w:t>Document code:</w:t>
          </w:r>
        </w:p>
      </w:tc>
      <w:tc>
        <w:tcPr>
          <w:tcW w:w="2154" w:type="dxa"/>
          <w:vAlign w:val="center"/>
        </w:tcPr>
        <w:p w14:paraId="7FCDAB80" w14:textId="21F19EA1" w:rsidR="00A91AC7" w:rsidRDefault="00F3444B" w:rsidP="005405BD">
          <w:pPr>
            <w:pStyle w:val="Footer"/>
            <w:jc w:val="right"/>
          </w:pPr>
          <w:r>
            <w:t>UoB-PEI-SOP-001</w:t>
          </w:r>
        </w:p>
      </w:tc>
    </w:tr>
    <w:tr w:rsidR="00A91AC7" w14:paraId="12974EF4" w14:textId="77777777" w:rsidTr="00901562">
      <w:trPr>
        <w:trHeight w:val="278"/>
      </w:trPr>
      <w:tc>
        <w:tcPr>
          <w:tcW w:w="1555" w:type="dxa"/>
          <w:vAlign w:val="center"/>
        </w:tcPr>
        <w:p w14:paraId="7E1F69E6" w14:textId="77777777" w:rsidR="00A91AC7" w:rsidRDefault="00A91AC7" w:rsidP="005405BD">
          <w:pPr>
            <w:pStyle w:val="Footer"/>
            <w:jc w:val="left"/>
          </w:pPr>
          <w:r w:rsidRPr="001C6EFB">
            <w:t>Version no:</w:t>
          </w:r>
        </w:p>
      </w:tc>
      <w:tc>
        <w:tcPr>
          <w:tcW w:w="2154" w:type="dxa"/>
          <w:vAlign w:val="center"/>
        </w:tcPr>
        <w:p w14:paraId="162E8B00" w14:textId="3AE4786C" w:rsidR="00A91AC7" w:rsidRDefault="004934A3" w:rsidP="005405BD">
          <w:pPr>
            <w:pStyle w:val="Footer"/>
            <w:jc w:val="right"/>
          </w:pPr>
          <w:r>
            <w:t>2.0</w:t>
          </w:r>
        </w:p>
      </w:tc>
    </w:tr>
    <w:tr w:rsidR="00A91AC7" w14:paraId="0A65950A" w14:textId="77777777" w:rsidTr="00901562">
      <w:trPr>
        <w:trHeight w:val="278"/>
      </w:trPr>
      <w:tc>
        <w:tcPr>
          <w:tcW w:w="1555" w:type="dxa"/>
          <w:vAlign w:val="center"/>
        </w:tcPr>
        <w:p w14:paraId="51BC92D9" w14:textId="77777777" w:rsidR="00A91AC7" w:rsidRDefault="00A91AC7" w:rsidP="005405BD">
          <w:pPr>
            <w:pStyle w:val="Footer"/>
            <w:jc w:val="left"/>
          </w:pPr>
          <w:r>
            <w:t>Effective date:</w:t>
          </w:r>
        </w:p>
      </w:tc>
      <w:tc>
        <w:tcPr>
          <w:tcW w:w="2154" w:type="dxa"/>
          <w:vAlign w:val="center"/>
        </w:tcPr>
        <w:p w14:paraId="4A5A6F1D" w14:textId="5EFF6511" w:rsidR="00A91AC7" w:rsidRDefault="004934A3" w:rsidP="005405BD">
          <w:pPr>
            <w:pStyle w:val="Footer"/>
            <w:jc w:val="right"/>
          </w:pPr>
          <w:r>
            <w:t>20-Aug-2024</w:t>
          </w:r>
        </w:p>
      </w:tc>
    </w:tr>
    <w:tr w:rsidR="00A91AC7" w14:paraId="79C95100" w14:textId="77777777" w:rsidTr="00901562">
      <w:trPr>
        <w:trHeight w:val="278"/>
      </w:trPr>
      <w:tc>
        <w:tcPr>
          <w:tcW w:w="1555" w:type="dxa"/>
          <w:vAlign w:val="center"/>
        </w:tcPr>
        <w:p w14:paraId="76134A84" w14:textId="77777777" w:rsidR="00A91AC7" w:rsidRPr="001C6EFB" w:rsidRDefault="00A91AC7" w:rsidP="005405BD">
          <w:pPr>
            <w:pStyle w:val="Footer"/>
            <w:jc w:val="left"/>
          </w:pPr>
          <w:r>
            <w:t>Print d</w:t>
          </w:r>
          <w:r w:rsidRPr="001C6EFB">
            <w:t>ate:</w:t>
          </w:r>
        </w:p>
      </w:tc>
      <w:tc>
        <w:tcPr>
          <w:tcW w:w="2154" w:type="dxa"/>
          <w:vAlign w:val="center"/>
        </w:tcPr>
        <w:p w14:paraId="5D1E9865" w14:textId="7B35B09A" w:rsidR="00A91AC7" w:rsidRDefault="00A91AC7" w:rsidP="005405BD">
          <w:pPr>
            <w:pStyle w:val="Footer"/>
            <w:jc w:val="right"/>
          </w:pPr>
          <w:r>
            <w:fldChar w:fldCharType="begin"/>
          </w:r>
          <w:r>
            <w:instrText xml:space="preserve"> DATE  \@ "dd-MMM-yyyy"  \* MERGEFORMAT </w:instrText>
          </w:r>
          <w:r>
            <w:fldChar w:fldCharType="separate"/>
          </w:r>
          <w:r w:rsidR="00D16E77">
            <w:rPr>
              <w:noProof/>
            </w:rPr>
            <w:t>16-Aug-2024</w:t>
          </w:r>
          <w:r>
            <w:fldChar w:fldCharType="end"/>
          </w:r>
        </w:p>
      </w:tc>
    </w:tr>
    <w:tr w:rsidR="00A91AC7" w14:paraId="798A4F0C" w14:textId="77777777" w:rsidTr="00901562">
      <w:trPr>
        <w:trHeight w:val="278"/>
      </w:trPr>
      <w:tc>
        <w:tcPr>
          <w:tcW w:w="1555" w:type="dxa"/>
          <w:vAlign w:val="center"/>
        </w:tcPr>
        <w:p w14:paraId="3B3565EF" w14:textId="77777777" w:rsidR="00A91AC7" w:rsidRPr="001C6EFB" w:rsidRDefault="00A91AC7" w:rsidP="005405BD">
          <w:pPr>
            <w:pStyle w:val="Footer"/>
            <w:jc w:val="left"/>
          </w:pPr>
          <w:r w:rsidRPr="001C6EFB">
            <w:t>Page:</w:t>
          </w:r>
        </w:p>
      </w:tc>
      <w:tc>
        <w:tcPr>
          <w:tcW w:w="2154" w:type="dxa"/>
          <w:vAlign w:val="center"/>
        </w:tcPr>
        <w:p w14:paraId="0A946243"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r w:rsidR="00D16E77">
            <w:fldChar w:fldCharType="begin"/>
          </w:r>
          <w:r w:rsidR="00D16E77">
            <w:instrText xml:space="preserve"> NUMPAGES   \* MERGEFORMAT </w:instrText>
          </w:r>
          <w:r w:rsidR="00D16E77">
            <w:fldChar w:fldCharType="separate"/>
          </w:r>
          <w:r w:rsidR="00B940A8">
            <w:rPr>
              <w:noProof/>
            </w:rPr>
            <w:t>2</w:t>
          </w:r>
          <w:r w:rsidR="00D16E77">
            <w:rPr>
              <w:noProof/>
            </w:rPr>
            <w:fldChar w:fldCharType="end"/>
          </w:r>
          <w:r w:rsidRPr="001C6EFB">
            <w:t xml:space="preserve"> </w:t>
          </w:r>
        </w:p>
      </w:tc>
    </w:tr>
  </w:tbl>
  <w:p w14:paraId="4A076DB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58558"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5E65" w14:textId="09FEB102" w:rsidR="00DD3075" w:rsidRPr="00F64FE9" w:rsidRDefault="00462CF7" w:rsidP="00F5404A">
    <w:pPr>
      <w:pStyle w:val="Header"/>
    </w:pPr>
    <w:r w:rsidRPr="00F64FE9">
      <w:t xml:space="preserve">SOP: </w:t>
    </w:r>
    <w:r w:rsidR="001A4E31">
      <w:t>participant engagement and informed consent</w:t>
    </w:r>
  </w:p>
  <w:p w14:paraId="09202D8C"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F464F"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C1731FB"/>
    <w:multiLevelType w:val="hybridMultilevel"/>
    <w:tmpl w:val="607E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0"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2"/>
  </w:num>
  <w:num w:numId="2" w16cid:durableId="1739474749">
    <w:abstractNumId w:val="16"/>
  </w:num>
  <w:num w:numId="3" w16cid:durableId="1854150415">
    <w:abstractNumId w:val="0"/>
  </w:num>
  <w:num w:numId="4" w16cid:durableId="215943045">
    <w:abstractNumId w:val="25"/>
  </w:num>
  <w:num w:numId="5" w16cid:durableId="2125686376">
    <w:abstractNumId w:val="19"/>
  </w:num>
  <w:num w:numId="6" w16cid:durableId="2092387593">
    <w:abstractNumId w:val="27"/>
  </w:num>
  <w:num w:numId="7" w16cid:durableId="223492826">
    <w:abstractNumId w:val="4"/>
  </w:num>
  <w:num w:numId="8" w16cid:durableId="731470395">
    <w:abstractNumId w:val="17"/>
  </w:num>
  <w:num w:numId="9" w16cid:durableId="2105565099">
    <w:abstractNumId w:val="22"/>
  </w:num>
  <w:num w:numId="10" w16cid:durableId="1768579366">
    <w:abstractNumId w:val="28"/>
  </w:num>
  <w:num w:numId="11" w16cid:durableId="377358866">
    <w:abstractNumId w:val="8"/>
  </w:num>
  <w:num w:numId="12" w16cid:durableId="2095010244">
    <w:abstractNumId w:val="10"/>
  </w:num>
  <w:num w:numId="13" w16cid:durableId="2058551307">
    <w:abstractNumId w:val="7"/>
  </w:num>
  <w:num w:numId="14" w16cid:durableId="1890919626">
    <w:abstractNumId w:val="13"/>
  </w:num>
  <w:num w:numId="15" w16cid:durableId="701518233">
    <w:abstractNumId w:val="10"/>
  </w:num>
  <w:num w:numId="16" w16cid:durableId="1555506712">
    <w:abstractNumId w:val="10"/>
  </w:num>
  <w:num w:numId="17" w16cid:durableId="1065487552">
    <w:abstractNumId w:val="0"/>
  </w:num>
  <w:num w:numId="18" w16cid:durableId="72357749">
    <w:abstractNumId w:val="26"/>
  </w:num>
  <w:num w:numId="19" w16cid:durableId="366568144">
    <w:abstractNumId w:val="0"/>
  </w:num>
  <w:num w:numId="20" w16cid:durableId="2100324454">
    <w:abstractNumId w:val="21"/>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4"/>
  </w:num>
  <w:num w:numId="30" w16cid:durableId="658921717">
    <w:abstractNumId w:val="2"/>
  </w:num>
  <w:num w:numId="31" w16cid:durableId="1615671213">
    <w:abstractNumId w:val="20"/>
  </w:num>
  <w:num w:numId="32" w16cid:durableId="58675607">
    <w:abstractNumId w:val="5"/>
  </w:num>
  <w:num w:numId="33" w16cid:durableId="1008018007">
    <w:abstractNumId w:val="23"/>
  </w:num>
  <w:num w:numId="34" w16cid:durableId="1129473326">
    <w:abstractNumId w:val="14"/>
  </w:num>
  <w:num w:numId="35" w16cid:durableId="660040120">
    <w:abstractNumId w:val="18"/>
  </w:num>
  <w:num w:numId="36" w16cid:durableId="12288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5"/>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30562616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CF"/>
    <w:rsid w:val="00001923"/>
    <w:rsid w:val="00001A7E"/>
    <w:rsid w:val="000060AE"/>
    <w:rsid w:val="000078A2"/>
    <w:rsid w:val="0001086D"/>
    <w:rsid w:val="00012800"/>
    <w:rsid w:val="00013B08"/>
    <w:rsid w:val="000146F1"/>
    <w:rsid w:val="000226EC"/>
    <w:rsid w:val="000229C5"/>
    <w:rsid w:val="00023007"/>
    <w:rsid w:val="00023BC0"/>
    <w:rsid w:val="000317D8"/>
    <w:rsid w:val="000374CB"/>
    <w:rsid w:val="000379D7"/>
    <w:rsid w:val="00037A9C"/>
    <w:rsid w:val="000421FD"/>
    <w:rsid w:val="00043513"/>
    <w:rsid w:val="000436EB"/>
    <w:rsid w:val="00043B93"/>
    <w:rsid w:val="00044A64"/>
    <w:rsid w:val="000518B2"/>
    <w:rsid w:val="00053A54"/>
    <w:rsid w:val="0005610D"/>
    <w:rsid w:val="00056940"/>
    <w:rsid w:val="00063834"/>
    <w:rsid w:val="000639EF"/>
    <w:rsid w:val="00063BDE"/>
    <w:rsid w:val="00064262"/>
    <w:rsid w:val="00064F56"/>
    <w:rsid w:val="000650E5"/>
    <w:rsid w:val="00072AD5"/>
    <w:rsid w:val="00072F0E"/>
    <w:rsid w:val="00072F51"/>
    <w:rsid w:val="000746E9"/>
    <w:rsid w:val="0007480B"/>
    <w:rsid w:val="00075A9D"/>
    <w:rsid w:val="0007643A"/>
    <w:rsid w:val="00077D41"/>
    <w:rsid w:val="00082A5C"/>
    <w:rsid w:val="00083C9D"/>
    <w:rsid w:val="0009369B"/>
    <w:rsid w:val="00095EFA"/>
    <w:rsid w:val="00097B78"/>
    <w:rsid w:val="000A0DFF"/>
    <w:rsid w:val="000A1324"/>
    <w:rsid w:val="000A1B0F"/>
    <w:rsid w:val="000A56BF"/>
    <w:rsid w:val="000A7BE6"/>
    <w:rsid w:val="000A7D75"/>
    <w:rsid w:val="000B1E3E"/>
    <w:rsid w:val="000B442E"/>
    <w:rsid w:val="000B6210"/>
    <w:rsid w:val="000C1A19"/>
    <w:rsid w:val="000C3681"/>
    <w:rsid w:val="000C45B6"/>
    <w:rsid w:val="000C4CAF"/>
    <w:rsid w:val="000C5087"/>
    <w:rsid w:val="000C54A1"/>
    <w:rsid w:val="000D34E7"/>
    <w:rsid w:val="000D3D68"/>
    <w:rsid w:val="000D3E8C"/>
    <w:rsid w:val="000D43A3"/>
    <w:rsid w:val="000D4912"/>
    <w:rsid w:val="000D6440"/>
    <w:rsid w:val="000D677A"/>
    <w:rsid w:val="000D6B1A"/>
    <w:rsid w:val="000D70AA"/>
    <w:rsid w:val="000D7D37"/>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206F6"/>
    <w:rsid w:val="00120959"/>
    <w:rsid w:val="00121F28"/>
    <w:rsid w:val="00122579"/>
    <w:rsid w:val="00122742"/>
    <w:rsid w:val="00123C6B"/>
    <w:rsid w:val="00124792"/>
    <w:rsid w:val="00125667"/>
    <w:rsid w:val="00127D56"/>
    <w:rsid w:val="001300C8"/>
    <w:rsid w:val="0013051D"/>
    <w:rsid w:val="0013059D"/>
    <w:rsid w:val="00130E43"/>
    <w:rsid w:val="00130ECE"/>
    <w:rsid w:val="00134690"/>
    <w:rsid w:val="00134766"/>
    <w:rsid w:val="00135E89"/>
    <w:rsid w:val="0014385C"/>
    <w:rsid w:val="001445C0"/>
    <w:rsid w:val="00144907"/>
    <w:rsid w:val="001526FE"/>
    <w:rsid w:val="00163B7C"/>
    <w:rsid w:val="00163F57"/>
    <w:rsid w:val="001653F1"/>
    <w:rsid w:val="00165F48"/>
    <w:rsid w:val="00174B60"/>
    <w:rsid w:val="00174E0E"/>
    <w:rsid w:val="001775A9"/>
    <w:rsid w:val="00180B87"/>
    <w:rsid w:val="00182896"/>
    <w:rsid w:val="0018309A"/>
    <w:rsid w:val="001841A1"/>
    <w:rsid w:val="00184BB7"/>
    <w:rsid w:val="001856A7"/>
    <w:rsid w:val="00190C93"/>
    <w:rsid w:val="00194EE8"/>
    <w:rsid w:val="00195717"/>
    <w:rsid w:val="00196565"/>
    <w:rsid w:val="001971C7"/>
    <w:rsid w:val="001976C1"/>
    <w:rsid w:val="001A024E"/>
    <w:rsid w:val="001A0B59"/>
    <w:rsid w:val="001A1279"/>
    <w:rsid w:val="001A142E"/>
    <w:rsid w:val="001A26D3"/>
    <w:rsid w:val="001A4718"/>
    <w:rsid w:val="001A4A77"/>
    <w:rsid w:val="001A4E31"/>
    <w:rsid w:val="001A544B"/>
    <w:rsid w:val="001A561F"/>
    <w:rsid w:val="001A6228"/>
    <w:rsid w:val="001A723A"/>
    <w:rsid w:val="001B17B1"/>
    <w:rsid w:val="001B1E29"/>
    <w:rsid w:val="001B2717"/>
    <w:rsid w:val="001B30AD"/>
    <w:rsid w:val="001B3B91"/>
    <w:rsid w:val="001B412F"/>
    <w:rsid w:val="001B4AF2"/>
    <w:rsid w:val="001B4B12"/>
    <w:rsid w:val="001B5617"/>
    <w:rsid w:val="001C314A"/>
    <w:rsid w:val="001C614D"/>
    <w:rsid w:val="001C6EFB"/>
    <w:rsid w:val="001C75D5"/>
    <w:rsid w:val="001D0B50"/>
    <w:rsid w:val="001D1245"/>
    <w:rsid w:val="001D13C0"/>
    <w:rsid w:val="001D17A5"/>
    <w:rsid w:val="001D1986"/>
    <w:rsid w:val="001D28AC"/>
    <w:rsid w:val="001D384B"/>
    <w:rsid w:val="001D3B22"/>
    <w:rsid w:val="001D3DB7"/>
    <w:rsid w:val="001D6728"/>
    <w:rsid w:val="001D6F89"/>
    <w:rsid w:val="001D7813"/>
    <w:rsid w:val="001E07D8"/>
    <w:rsid w:val="001E16FE"/>
    <w:rsid w:val="001E4117"/>
    <w:rsid w:val="001E41A3"/>
    <w:rsid w:val="001F0840"/>
    <w:rsid w:val="001F4FC3"/>
    <w:rsid w:val="001F62A2"/>
    <w:rsid w:val="001F67EE"/>
    <w:rsid w:val="001F7B4E"/>
    <w:rsid w:val="002002DA"/>
    <w:rsid w:val="00202189"/>
    <w:rsid w:val="00202B8D"/>
    <w:rsid w:val="002041BC"/>
    <w:rsid w:val="0020434B"/>
    <w:rsid w:val="00206578"/>
    <w:rsid w:val="002106E5"/>
    <w:rsid w:val="00210C02"/>
    <w:rsid w:val="00210C1A"/>
    <w:rsid w:val="0021165B"/>
    <w:rsid w:val="00211B96"/>
    <w:rsid w:val="002135BA"/>
    <w:rsid w:val="00214550"/>
    <w:rsid w:val="0022018B"/>
    <w:rsid w:val="00220406"/>
    <w:rsid w:val="002227A2"/>
    <w:rsid w:val="0022356E"/>
    <w:rsid w:val="00225D8E"/>
    <w:rsid w:val="0023039C"/>
    <w:rsid w:val="00231612"/>
    <w:rsid w:val="00234600"/>
    <w:rsid w:val="0023483C"/>
    <w:rsid w:val="002365F5"/>
    <w:rsid w:val="002444DB"/>
    <w:rsid w:val="0024558E"/>
    <w:rsid w:val="00245BE3"/>
    <w:rsid w:val="00246623"/>
    <w:rsid w:val="0024670C"/>
    <w:rsid w:val="00247206"/>
    <w:rsid w:val="00247F23"/>
    <w:rsid w:val="00250233"/>
    <w:rsid w:val="00250C69"/>
    <w:rsid w:val="002518EA"/>
    <w:rsid w:val="002549E9"/>
    <w:rsid w:val="00254B93"/>
    <w:rsid w:val="0025522A"/>
    <w:rsid w:val="00260007"/>
    <w:rsid w:val="0026080C"/>
    <w:rsid w:val="00264399"/>
    <w:rsid w:val="00266CBF"/>
    <w:rsid w:val="002679BF"/>
    <w:rsid w:val="00270EA8"/>
    <w:rsid w:val="00272F58"/>
    <w:rsid w:val="00275BAE"/>
    <w:rsid w:val="00276048"/>
    <w:rsid w:val="00276842"/>
    <w:rsid w:val="00281585"/>
    <w:rsid w:val="00282C10"/>
    <w:rsid w:val="00283490"/>
    <w:rsid w:val="00283ED8"/>
    <w:rsid w:val="00290F8C"/>
    <w:rsid w:val="00291518"/>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E28"/>
    <w:rsid w:val="002C3B21"/>
    <w:rsid w:val="002C67A4"/>
    <w:rsid w:val="002C6B58"/>
    <w:rsid w:val="002D2FC6"/>
    <w:rsid w:val="002D49D7"/>
    <w:rsid w:val="002D6577"/>
    <w:rsid w:val="002D7DCC"/>
    <w:rsid w:val="002E3060"/>
    <w:rsid w:val="002E3BB0"/>
    <w:rsid w:val="002E6AE2"/>
    <w:rsid w:val="002E6CD6"/>
    <w:rsid w:val="002E721B"/>
    <w:rsid w:val="002F0ACA"/>
    <w:rsid w:val="002F281C"/>
    <w:rsid w:val="002F35CA"/>
    <w:rsid w:val="002F434B"/>
    <w:rsid w:val="002F46B1"/>
    <w:rsid w:val="002F4844"/>
    <w:rsid w:val="002F490C"/>
    <w:rsid w:val="002F5ECB"/>
    <w:rsid w:val="002F787E"/>
    <w:rsid w:val="00301050"/>
    <w:rsid w:val="003016D5"/>
    <w:rsid w:val="00304754"/>
    <w:rsid w:val="00305154"/>
    <w:rsid w:val="00310F22"/>
    <w:rsid w:val="00314B72"/>
    <w:rsid w:val="003156F8"/>
    <w:rsid w:val="0031673C"/>
    <w:rsid w:val="0032079B"/>
    <w:rsid w:val="00321D8B"/>
    <w:rsid w:val="00323A54"/>
    <w:rsid w:val="0032408C"/>
    <w:rsid w:val="00324A19"/>
    <w:rsid w:val="003313C3"/>
    <w:rsid w:val="00333685"/>
    <w:rsid w:val="00333888"/>
    <w:rsid w:val="00335D05"/>
    <w:rsid w:val="00337B7A"/>
    <w:rsid w:val="00340F17"/>
    <w:rsid w:val="00342788"/>
    <w:rsid w:val="00342C1E"/>
    <w:rsid w:val="00342CC7"/>
    <w:rsid w:val="00343541"/>
    <w:rsid w:val="00345620"/>
    <w:rsid w:val="00350A42"/>
    <w:rsid w:val="00351A2D"/>
    <w:rsid w:val="00352FD6"/>
    <w:rsid w:val="00360039"/>
    <w:rsid w:val="003607CB"/>
    <w:rsid w:val="00361552"/>
    <w:rsid w:val="0036201D"/>
    <w:rsid w:val="00363E3C"/>
    <w:rsid w:val="00365D77"/>
    <w:rsid w:val="00366B2C"/>
    <w:rsid w:val="00367496"/>
    <w:rsid w:val="00367B51"/>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3CF"/>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582B"/>
    <w:rsid w:val="0040651B"/>
    <w:rsid w:val="00410682"/>
    <w:rsid w:val="0041265B"/>
    <w:rsid w:val="00413F0A"/>
    <w:rsid w:val="00414858"/>
    <w:rsid w:val="00414F68"/>
    <w:rsid w:val="00417854"/>
    <w:rsid w:val="00420EB6"/>
    <w:rsid w:val="00420FBD"/>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0183"/>
    <w:rsid w:val="00462B5B"/>
    <w:rsid w:val="00462CF7"/>
    <w:rsid w:val="00464C71"/>
    <w:rsid w:val="00467F74"/>
    <w:rsid w:val="00467FD6"/>
    <w:rsid w:val="00474B7F"/>
    <w:rsid w:val="00475745"/>
    <w:rsid w:val="0047658C"/>
    <w:rsid w:val="00476DB0"/>
    <w:rsid w:val="004773E0"/>
    <w:rsid w:val="004810D9"/>
    <w:rsid w:val="0048194C"/>
    <w:rsid w:val="004827DE"/>
    <w:rsid w:val="00482B0E"/>
    <w:rsid w:val="00485E6A"/>
    <w:rsid w:val="0048641A"/>
    <w:rsid w:val="00490084"/>
    <w:rsid w:val="0049154B"/>
    <w:rsid w:val="004934A3"/>
    <w:rsid w:val="00494B31"/>
    <w:rsid w:val="00496C83"/>
    <w:rsid w:val="00497A4C"/>
    <w:rsid w:val="00497E87"/>
    <w:rsid w:val="004A1B2A"/>
    <w:rsid w:val="004A364B"/>
    <w:rsid w:val="004A4882"/>
    <w:rsid w:val="004A4FF8"/>
    <w:rsid w:val="004A75B7"/>
    <w:rsid w:val="004B03A3"/>
    <w:rsid w:val="004B09E5"/>
    <w:rsid w:val="004B0C68"/>
    <w:rsid w:val="004B0C77"/>
    <w:rsid w:val="004B32EF"/>
    <w:rsid w:val="004B3DB9"/>
    <w:rsid w:val="004B7034"/>
    <w:rsid w:val="004C2253"/>
    <w:rsid w:val="004C366B"/>
    <w:rsid w:val="004C46FF"/>
    <w:rsid w:val="004C526D"/>
    <w:rsid w:val="004C560A"/>
    <w:rsid w:val="004C5E89"/>
    <w:rsid w:val="004C6631"/>
    <w:rsid w:val="004D05BE"/>
    <w:rsid w:val="004D1948"/>
    <w:rsid w:val="004D7AF7"/>
    <w:rsid w:val="004E21EE"/>
    <w:rsid w:val="004E4840"/>
    <w:rsid w:val="004E4D87"/>
    <w:rsid w:val="004E5613"/>
    <w:rsid w:val="004E5F84"/>
    <w:rsid w:val="004E7EB2"/>
    <w:rsid w:val="004F28BC"/>
    <w:rsid w:val="004F3B98"/>
    <w:rsid w:val="004F6ED6"/>
    <w:rsid w:val="00500409"/>
    <w:rsid w:val="005024F4"/>
    <w:rsid w:val="00502A82"/>
    <w:rsid w:val="005030FC"/>
    <w:rsid w:val="005043F9"/>
    <w:rsid w:val="00512BE1"/>
    <w:rsid w:val="00512C56"/>
    <w:rsid w:val="00513DB5"/>
    <w:rsid w:val="00514285"/>
    <w:rsid w:val="005142C2"/>
    <w:rsid w:val="00515191"/>
    <w:rsid w:val="00515F0F"/>
    <w:rsid w:val="00516200"/>
    <w:rsid w:val="005223BE"/>
    <w:rsid w:val="00522648"/>
    <w:rsid w:val="00522ABB"/>
    <w:rsid w:val="005244FB"/>
    <w:rsid w:val="00525CA4"/>
    <w:rsid w:val="0052745F"/>
    <w:rsid w:val="00527E78"/>
    <w:rsid w:val="005343E6"/>
    <w:rsid w:val="005354C1"/>
    <w:rsid w:val="0053623B"/>
    <w:rsid w:val="00537745"/>
    <w:rsid w:val="005405BD"/>
    <w:rsid w:val="005431BE"/>
    <w:rsid w:val="0054347F"/>
    <w:rsid w:val="00543C1B"/>
    <w:rsid w:val="005505A0"/>
    <w:rsid w:val="0055153E"/>
    <w:rsid w:val="0055342C"/>
    <w:rsid w:val="00556B76"/>
    <w:rsid w:val="0055740E"/>
    <w:rsid w:val="005636D5"/>
    <w:rsid w:val="00565626"/>
    <w:rsid w:val="005663EA"/>
    <w:rsid w:val="005708FE"/>
    <w:rsid w:val="00571788"/>
    <w:rsid w:val="00571A9B"/>
    <w:rsid w:val="00581B8A"/>
    <w:rsid w:val="005823E1"/>
    <w:rsid w:val="00584085"/>
    <w:rsid w:val="0058476F"/>
    <w:rsid w:val="00584775"/>
    <w:rsid w:val="00586C5E"/>
    <w:rsid w:val="00587557"/>
    <w:rsid w:val="00592FFB"/>
    <w:rsid w:val="00593FA9"/>
    <w:rsid w:val="005948ED"/>
    <w:rsid w:val="005951E3"/>
    <w:rsid w:val="0059568E"/>
    <w:rsid w:val="005956FD"/>
    <w:rsid w:val="00595CA4"/>
    <w:rsid w:val="0059652D"/>
    <w:rsid w:val="00596C05"/>
    <w:rsid w:val="005A1486"/>
    <w:rsid w:val="005A1CF3"/>
    <w:rsid w:val="005A6461"/>
    <w:rsid w:val="005B2B90"/>
    <w:rsid w:val="005B2E43"/>
    <w:rsid w:val="005B5955"/>
    <w:rsid w:val="005B5AA9"/>
    <w:rsid w:val="005B6CDE"/>
    <w:rsid w:val="005B7E05"/>
    <w:rsid w:val="005C08A3"/>
    <w:rsid w:val="005C38BD"/>
    <w:rsid w:val="005C7A45"/>
    <w:rsid w:val="005C7D15"/>
    <w:rsid w:val="005D085D"/>
    <w:rsid w:val="005D17F6"/>
    <w:rsid w:val="005D321A"/>
    <w:rsid w:val="005D40D9"/>
    <w:rsid w:val="005D4862"/>
    <w:rsid w:val="005D5974"/>
    <w:rsid w:val="005E1F7C"/>
    <w:rsid w:val="005F0420"/>
    <w:rsid w:val="005F175F"/>
    <w:rsid w:val="005F1AD8"/>
    <w:rsid w:val="005F2DE3"/>
    <w:rsid w:val="005F520A"/>
    <w:rsid w:val="00600106"/>
    <w:rsid w:val="0060052C"/>
    <w:rsid w:val="006031E9"/>
    <w:rsid w:val="0060493A"/>
    <w:rsid w:val="00605E24"/>
    <w:rsid w:val="00611177"/>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5BE"/>
    <w:rsid w:val="00692ACD"/>
    <w:rsid w:val="00692DFA"/>
    <w:rsid w:val="0069367A"/>
    <w:rsid w:val="006941D1"/>
    <w:rsid w:val="00696301"/>
    <w:rsid w:val="00696B18"/>
    <w:rsid w:val="006A057F"/>
    <w:rsid w:val="006A0825"/>
    <w:rsid w:val="006A0A4C"/>
    <w:rsid w:val="006A52C2"/>
    <w:rsid w:val="006A5B18"/>
    <w:rsid w:val="006B0E53"/>
    <w:rsid w:val="006B270C"/>
    <w:rsid w:val="006B351B"/>
    <w:rsid w:val="006B46DA"/>
    <w:rsid w:val="006B66EE"/>
    <w:rsid w:val="006C0879"/>
    <w:rsid w:val="006C1279"/>
    <w:rsid w:val="006E32A4"/>
    <w:rsid w:val="006E39DA"/>
    <w:rsid w:val="006E57D8"/>
    <w:rsid w:val="006F30B1"/>
    <w:rsid w:val="006F3CB0"/>
    <w:rsid w:val="006F6EFF"/>
    <w:rsid w:val="006F7027"/>
    <w:rsid w:val="007029A2"/>
    <w:rsid w:val="0070323D"/>
    <w:rsid w:val="00704E9B"/>
    <w:rsid w:val="00705708"/>
    <w:rsid w:val="00705FD1"/>
    <w:rsid w:val="007064B3"/>
    <w:rsid w:val="00710D7B"/>
    <w:rsid w:val="00712A28"/>
    <w:rsid w:val="00714ABF"/>
    <w:rsid w:val="00715858"/>
    <w:rsid w:val="007213A3"/>
    <w:rsid w:val="0072425C"/>
    <w:rsid w:val="007265FC"/>
    <w:rsid w:val="00726D2D"/>
    <w:rsid w:val="00727E41"/>
    <w:rsid w:val="007302DF"/>
    <w:rsid w:val="00731E89"/>
    <w:rsid w:val="007327DD"/>
    <w:rsid w:val="00734CF6"/>
    <w:rsid w:val="007363E6"/>
    <w:rsid w:val="0074146D"/>
    <w:rsid w:val="007427DD"/>
    <w:rsid w:val="00743DA6"/>
    <w:rsid w:val="00743FCE"/>
    <w:rsid w:val="00745292"/>
    <w:rsid w:val="00745CB4"/>
    <w:rsid w:val="00746BB7"/>
    <w:rsid w:val="00747905"/>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764EB"/>
    <w:rsid w:val="007773B9"/>
    <w:rsid w:val="00777B27"/>
    <w:rsid w:val="00780DA8"/>
    <w:rsid w:val="007826A7"/>
    <w:rsid w:val="00784A51"/>
    <w:rsid w:val="007862F4"/>
    <w:rsid w:val="00790CBC"/>
    <w:rsid w:val="00791AC8"/>
    <w:rsid w:val="0079417E"/>
    <w:rsid w:val="00794AB7"/>
    <w:rsid w:val="00795FC7"/>
    <w:rsid w:val="007A44B0"/>
    <w:rsid w:val="007A6E56"/>
    <w:rsid w:val="007B0EA9"/>
    <w:rsid w:val="007B1246"/>
    <w:rsid w:val="007B2EC7"/>
    <w:rsid w:val="007B2EFE"/>
    <w:rsid w:val="007B3562"/>
    <w:rsid w:val="007B4836"/>
    <w:rsid w:val="007B50D9"/>
    <w:rsid w:val="007B53E5"/>
    <w:rsid w:val="007B5831"/>
    <w:rsid w:val="007B58A5"/>
    <w:rsid w:val="007B6DB7"/>
    <w:rsid w:val="007B72E2"/>
    <w:rsid w:val="007B743E"/>
    <w:rsid w:val="007C10CF"/>
    <w:rsid w:val="007C2BD5"/>
    <w:rsid w:val="007C3833"/>
    <w:rsid w:val="007C400B"/>
    <w:rsid w:val="007C5977"/>
    <w:rsid w:val="007C5C93"/>
    <w:rsid w:val="007D3863"/>
    <w:rsid w:val="007D5093"/>
    <w:rsid w:val="007D68C1"/>
    <w:rsid w:val="007D79E6"/>
    <w:rsid w:val="007E625E"/>
    <w:rsid w:val="007E6F36"/>
    <w:rsid w:val="007F25E4"/>
    <w:rsid w:val="007F539A"/>
    <w:rsid w:val="007F62D4"/>
    <w:rsid w:val="007F73CA"/>
    <w:rsid w:val="007F7FAC"/>
    <w:rsid w:val="008016C1"/>
    <w:rsid w:val="0080244D"/>
    <w:rsid w:val="0080264D"/>
    <w:rsid w:val="00802A77"/>
    <w:rsid w:val="00803378"/>
    <w:rsid w:val="008036AB"/>
    <w:rsid w:val="0080371D"/>
    <w:rsid w:val="00803F0F"/>
    <w:rsid w:val="008044C3"/>
    <w:rsid w:val="00804525"/>
    <w:rsid w:val="00804622"/>
    <w:rsid w:val="00806E77"/>
    <w:rsid w:val="008076E5"/>
    <w:rsid w:val="00811195"/>
    <w:rsid w:val="008125A6"/>
    <w:rsid w:val="008129C1"/>
    <w:rsid w:val="0081352C"/>
    <w:rsid w:val="00814346"/>
    <w:rsid w:val="00814EC7"/>
    <w:rsid w:val="00815021"/>
    <w:rsid w:val="0081603F"/>
    <w:rsid w:val="0081675C"/>
    <w:rsid w:val="00816D29"/>
    <w:rsid w:val="00817FDE"/>
    <w:rsid w:val="00820C0F"/>
    <w:rsid w:val="008235B1"/>
    <w:rsid w:val="0082632B"/>
    <w:rsid w:val="0082795A"/>
    <w:rsid w:val="0083169E"/>
    <w:rsid w:val="00831C3E"/>
    <w:rsid w:val="00832412"/>
    <w:rsid w:val="00834888"/>
    <w:rsid w:val="00837331"/>
    <w:rsid w:val="00840893"/>
    <w:rsid w:val="008424AF"/>
    <w:rsid w:val="008435F5"/>
    <w:rsid w:val="008440FA"/>
    <w:rsid w:val="0084432A"/>
    <w:rsid w:val="00850F66"/>
    <w:rsid w:val="00851971"/>
    <w:rsid w:val="00852323"/>
    <w:rsid w:val="00860FC1"/>
    <w:rsid w:val="00860FC2"/>
    <w:rsid w:val="00862C8C"/>
    <w:rsid w:val="00864335"/>
    <w:rsid w:val="008647F2"/>
    <w:rsid w:val="00865494"/>
    <w:rsid w:val="00870BB2"/>
    <w:rsid w:val="008715F3"/>
    <w:rsid w:val="00875EAE"/>
    <w:rsid w:val="008766D7"/>
    <w:rsid w:val="00876C83"/>
    <w:rsid w:val="008823B6"/>
    <w:rsid w:val="00882FC2"/>
    <w:rsid w:val="00886A0B"/>
    <w:rsid w:val="00893B82"/>
    <w:rsid w:val="00893CC2"/>
    <w:rsid w:val="00895128"/>
    <w:rsid w:val="008964F1"/>
    <w:rsid w:val="008A0005"/>
    <w:rsid w:val="008A053A"/>
    <w:rsid w:val="008A13DF"/>
    <w:rsid w:val="008A41DE"/>
    <w:rsid w:val="008A5826"/>
    <w:rsid w:val="008A682E"/>
    <w:rsid w:val="008A7373"/>
    <w:rsid w:val="008A7F4B"/>
    <w:rsid w:val="008B1692"/>
    <w:rsid w:val="008B198A"/>
    <w:rsid w:val="008B1C2E"/>
    <w:rsid w:val="008B4B57"/>
    <w:rsid w:val="008B564A"/>
    <w:rsid w:val="008B5A32"/>
    <w:rsid w:val="008B6B2A"/>
    <w:rsid w:val="008C0049"/>
    <w:rsid w:val="008C2F7E"/>
    <w:rsid w:val="008C614F"/>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5FE0"/>
    <w:rsid w:val="008F795D"/>
    <w:rsid w:val="00901562"/>
    <w:rsid w:val="00902F90"/>
    <w:rsid w:val="00907B94"/>
    <w:rsid w:val="00913142"/>
    <w:rsid w:val="0091437E"/>
    <w:rsid w:val="00914FF9"/>
    <w:rsid w:val="009161CB"/>
    <w:rsid w:val="0091627A"/>
    <w:rsid w:val="009212E1"/>
    <w:rsid w:val="0092154B"/>
    <w:rsid w:val="009218BC"/>
    <w:rsid w:val="00924799"/>
    <w:rsid w:val="009271F8"/>
    <w:rsid w:val="00927957"/>
    <w:rsid w:val="00931ABA"/>
    <w:rsid w:val="00935A62"/>
    <w:rsid w:val="00935ADD"/>
    <w:rsid w:val="00937647"/>
    <w:rsid w:val="00937A31"/>
    <w:rsid w:val="0094272E"/>
    <w:rsid w:val="00944528"/>
    <w:rsid w:val="0094547A"/>
    <w:rsid w:val="00946135"/>
    <w:rsid w:val="0094639E"/>
    <w:rsid w:val="00946465"/>
    <w:rsid w:val="00955EE1"/>
    <w:rsid w:val="009576BD"/>
    <w:rsid w:val="00961343"/>
    <w:rsid w:val="00962995"/>
    <w:rsid w:val="00962BA7"/>
    <w:rsid w:val="00962D86"/>
    <w:rsid w:val="00963DE5"/>
    <w:rsid w:val="009665CF"/>
    <w:rsid w:val="0097056C"/>
    <w:rsid w:val="00971826"/>
    <w:rsid w:val="009719C3"/>
    <w:rsid w:val="00971F1C"/>
    <w:rsid w:val="009725E3"/>
    <w:rsid w:val="00975188"/>
    <w:rsid w:val="0097653D"/>
    <w:rsid w:val="00977586"/>
    <w:rsid w:val="0098039B"/>
    <w:rsid w:val="00982575"/>
    <w:rsid w:val="00983431"/>
    <w:rsid w:val="00984F87"/>
    <w:rsid w:val="009946CD"/>
    <w:rsid w:val="0099679E"/>
    <w:rsid w:val="009A2040"/>
    <w:rsid w:val="009A221B"/>
    <w:rsid w:val="009A3446"/>
    <w:rsid w:val="009B0F87"/>
    <w:rsid w:val="009B26BA"/>
    <w:rsid w:val="009B3478"/>
    <w:rsid w:val="009B4522"/>
    <w:rsid w:val="009B5CE4"/>
    <w:rsid w:val="009C2C63"/>
    <w:rsid w:val="009C4257"/>
    <w:rsid w:val="009C52B9"/>
    <w:rsid w:val="009C5723"/>
    <w:rsid w:val="009C7DA9"/>
    <w:rsid w:val="009D0F66"/>
    <w:rsid w:val="009D2891"/>
    <w:rsid w:val="009D6F1F"/>
    <w:rsid w:val="009E08FF"/>
    <w:rsid w:val="009E11DD"/>
    <w:rsid w:val="009E3DFA"/>
    <w:rsid w:val="009E44AF"/>
    <w:rsid w:val="009E45A3"/>
    <w:rsid w:val="009F0638"/>
    <w:rsid w:val="009F1369"/>
    <w:rsid w:val="009F16DA"/>
    <w:rsid w:val="009F2327"/>
    <w:rsid w:val="009F2F77"/>
    <w:rsid w:val="009F4039"/>
    <w:rsid w:val="009F4AC7"/>
    <w:rsid w:val="009F627E"/>
    <w:rsid w:val="009F6F16"/>
    <w:rsid w:val="00A00156"/>
    <w:rsid w:val="00A00BE8"/>
    <w:rsid w:val="00A01C93"/>
    <w:rsid w:val="00A0271E"/>
    <w:rsid w:val="00A034B2"/>
    <w:rsid w:val="00A06B2E"/>
    <w:rsid w:val="00A11FDD"/>
    <w:rsid w:val="00A123E1"/>
    <w:rsid w:val="00A13CB0"/>
    <w:rsid w:val="00A140D5"/>
    <w:rsid w:val="00A1461E"/>
    <w:rsid w:val="00A1609B"/>
    <w:rsid w:val="00A179CC"/>
    <w:rsid w:val="00A21EF3"/>
    <w:rsid w:val="00A264AD"/>
    <w:rsid w:val="00A265DC"/>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499"/>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2FDF"/>
    <w:rsid w:val="00A84701"/>
    <w:rsid w:val="00A86630"/>
    <w:rsid w:val="00A91AC7"/>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5EAA"/>
    <w:rsid w:val="00AC767F"/>
    <w:rsid w:val="00AC7BE0"/>
    <w:rsid w:val="00AD13D7"/>
    <w:rsid w:val="00AD4665"/>
    <w:rsid w:val="00AD57CC"/>
    <w:rsid w:val="00AD6081"/>
    <w:rsid w:val="00AD65E0"/>
    <w:rsid w:val="00AE0AC8"/>
    <w:rsid w:val="00AE2516"/>
    <w:rsid w:val="00AE2907"/>
    <w:rsid w:val="00AE5591"/>
    <w:rsid w:val="00AE5780"/>
    <w:rsid w:val="00AE6309"/>
    <w:rsid w:val="00AE744B"/>
    <w:rsid w:val="00AF0C85"/>
    <w:rsid w:val="00AF10D0"/>
    <w:rsid w:val="00AF2C90"/>
    <w:rsid w:val="00AF3F3D"/>
    <w:rsid w:val="00AF4334"/>
    <w:rsid w:val="00AF5BCF"/>
    <w:rsid w:val="00AF7CD2"/>
    <w:rsid w:val="00B048BC"/>
    <w:rsid w:val="00B07452"/>
    <w:rsid w:val="00B10013"/>
    <w:rsid w:val="00B1052F"/>
    <w:rsid w:val="00B10C05"/>
    <w:rsid w:val="00B134F0"/>
    <w:rsid w:val="00B13B5E"/>
    <w:rsid w:val="00B14826"/>
    <w:rsid w:val="00B15B79"/>
    <w:rsid w:val="00B16E7D"/>
    <w:rsid w:val="00B22AD7"/>
    <w:rsid w:val="00B27204"/>
    <w:rsid w:val="00B30003"/>
    <w:rsid w:val="00B30806"/>
    <w:rsid w:val="00B31A7C"/>
    <w:rsid w:val="00B31D84"/>
    <w:rsid w:val="00B33489"/>
    <w:rsid w:val="00B35770"/>
    <w:rsid w:val="00B3606D"/>
    <w:rsid w:val="00B370FD"/>
    <w:rsid w:val="00B37374"/>
    <w:rsid w:val="00B40C5F"/>
    <w:rsid w:val="00B452AE"/>
    <w:rsid w:val="00B53A1C"/>
    <w:rsid w:val="00B53C9D"/>
    <w:rsid w:val="00B55F4C"/>
    <w:rsid w:val="00B6053C"/>
    <w:rsid w:val="00B6064B"/>
    <w:rsid w:val="00B62B9C"/>
    <w:rsid w:val="00B6322E"/>
    <w:rsid w:val="00B63F21"/>
    <w:rsid w:val="00B72E42"/>
    <w:rsid w:val="00B730DD"/>
    <w:rsid w:val="00B73786"/>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A79FD"/>
    <w:rsid w:val="00BB1019"/>
    <w:rsid w:val="00BB16B3"/>
    <w:rsid w:val="00BB21B7"/>
    <w:rsid w:val="00BB27E5"/>
    <w:rsid w:val="00BB2AF0"/>
    <w:rsid w:val="00BB30D5"/>
    <w:rsid w:val="00BB6ABD"/>
    <w:rsid w:val="00BC1224"/>
    <w:rsid w:val="00BD15D7"/>
    <w:rsid w:val="00BD1740"/>
    <w:rsid w:val="00BD2F32"/>
    <w:rsid w:val="00BD3F7D"/>
    <w:rsid w:val="00BD4D7A"/>
    <w:rsid w:val="00BD4DD3"/>
    <w:rsid w:val="00BE105F"/>
    <w:rsid w:val="00BE1BAC"/>
    <w:rsid w:val="00BE1DB1"/>
    <w:rsid w:val="00BE3FB9"/>
    <w:rsid w:val="00BE5AE5"/>
    <w:rsid w:val="00BF27AF"/>
    <w:rsid w:val="00BF27CF"/>
    <w:rsid w:val="00BF3496"/>
    <w:rsid w:val="00BF4151"/>
    <w:rsid w:val="00BF4265"/>
    <w:rsid w:val="00BF6B08"/>
    <w:rsid w:val="00BF6D4D"/>
    <w:rsid w:val="00BF724F"/>
    <w:rsid w:val="00C00427"/>
    <w:rsid w:val="00C01637"/>
    <w:rsid w:val="00C02B76"/>
    <w:rsid w:val="00C036D8"/>
    <w:rsid w:val="00C0382A"/>
    <w:rsid w:val="00C0396F"/>
    <w:rsid w:val="00C04D64"/>
    <w:rsid w:val="00C05AB7"/>
    <w:rsid w:val="00C06441"/>
    <w:rsid w:val="00C11049"/>
    <w:rsid w:val="00C126C0"/>
    <w:rsid w:val="00C13E05"/>
    <w:rsid w:val="00C16E6D"/>
    <w:rsid w:val="00C20F6B"/>
    <w:rsid w:val="00C24712"/>
    <w:rsid w:val="00C24B78"/>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7921"/>
    <w:rsid w:val="00C62D7F"/>
    <w:rsid w:val="00C64616"/>
    <w:rsid w:val="00C64EED"/>
    <w:rsid w:val="00C6506E"/>
    <w:rsid w:val="00C65C41"/>
    <w:rsid w:val="00C66BF2"/>
    <w:rsid w:val="00C67B31"/>
    <w:rsid w:val="00C739D1"/>
    <w:rsid w:val="00C75D9A"/>
    <w:rsid w:val="00C81ADC"/>
    <w:rsid w:val="00C8467F"/>
    <w:rsid w:val="00C84EEF"/>
    <w:rsid w:val="00C862EE"/>
    <w:rsid w:val="00C87A3B"/>
    <w:rsid w:val="00C90371"/>
    <w:rsid w:val="00C91CEB"/>
    <w:rsid w:val="00C91F3B"/>
    <w:rsid w:val="00C93BBD"/>
    <w:rsid w:val="00C942FE"/>
    <w:rsid w:val="00C94C24"/>
    <w:rsid w:val="00CA03CB"/>
    <w:rsid w:val="00CA098E"/>
    <w:rsid w:val="00CA0F97"/>
    <w:rsid w:val="00CA2C1A"/>
    <w:rsid w:val="00CA5E9A"/>
    <w:rsid w:val="00CA7404"/>
    <w:rsid w:val="00CB07E8"/>
    <w:rsid w:val="00CB39B4"/>
    <w:rsid w:val="00CB4365"/>
    <w:rsid w:val="00CB45BA"/>
    <w:rsid w:val="00CC0682"/>
    <w:rsid w:val="00CC1A24"/>
    <w:rsid w:val="00CC1DEC"/>
    <w:rsid w:val="00CC2300"/>
    <w:rsid w:val="00CC2B7A"/>
    <w:rsid w:val="00CC478A"/>
    <w:rsid w:val="00CC61A6"/>
    <w:rsid w:val="00CC6C2A"/>
    <w:rsid w:val="00CD1532"/>
    <w:rsid w:val="00CD2F93"/>
    <w:rsid w:val="00CD3E66"/>
    <w:rsid w:val="00CD5B93"/>
    <w:rsid w:val="00CE116E"/>
    <w:rsid w:val="00CE2541"/>
    <w:rsid w:val="00CE2C58"/>
    <w:rsid w:val="00CE5D27"/>
    <w:rsid w:val="00CE6778"/>
    <w:rsid w:val="00CE7D01"/>
    <w:rsid w:val="00CF124E"/>
    <w:rsid w:val="00CF2072"/>
    <w:rsid w:val="00CF2082"/>
    <w:rsid w:val="00CF6E6B"/>
    <w:rsid w:val="00D00C72"/>
    <w:rsid w:val="00D017DD"/>
    <w:rsid w:val="00D01F82"/>
    <w:rsid w:val="00D0237D"/>
    <w:rsid w:val="00D04619"/>
    <w:rsid w:val="00D05063"/>
    <w:rsid w:val="00D05DA4"/>
    <w:rsid w:val="00D07134"/>
    <w:rsid w:val="00D07256"/>
    <w:rsid w:val="00D07D11"/>
    <w:rsid w:val="00D145FC"/>
    <w:rsid w:val="00D157F1"/>
    <w:rsid w:val="00D16E77"/>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2F32"/>
    <w:rsid w:val="00D470EC"/>
    <w:rsid w:val="00D470FD"/>
    <w:rsid w:val="00D47970"/>
    <w:rsid w:val="00D53B40"/>
    <w:rsid w:val="00D54C0F"/>
    <w:rsid w:val="00D55D3D"/>
    <w:rsid w:val="00D608A3"/>
    <w:rsid w:val="00D61A38"/>
    <w:rsid w:val="00D63317"/>
    <w:rsid w:val="00D63BBD"/>
    <w:rsid w:val="00D65096"/>
    <w:rsid w:val="00D67824"/>
    <w:rsid w:val="00D7036B"/>
    <w:rsid w:val="00D71769"/>
    <w:rsid w:val="00D72805"/>
    <w:rsid w:val="00D74590"/>
    <w:rsid w:val="00D759A0"/>
    <w:rsid w:val="00D75CB4"/>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396"/>
    <w:rsid w:val="00DC58E9"/>
    <w:rsid w:val="00DD171A"/>
    <w:rsid w:val="00DD2080"/>
    <w:rsid w:val="00DD3075"/>
    <w:rsid w:val="00DD518D"/>
    <w:rsid w:val="00DD635E"/>
    <w:rsid w:val="00DD73BE"/>
    <w:rsid w:val="00DE079A"/>
    <w:rsid w:val="00DE08B9"/>
    <w:rsid w:val="00DE2ACB"/>
    <w:rsid w:val="00DE4B2A"/>
    <w:rsid w:val="00DE5359"/>
    <w:rsid w:val="00DE6BC6"/>
    <w:rsid w:val="00DF44C3"/>
    <w:rsid w:val="00DF6585"/>
    <w:rsid w:val="00DF6939"/>
    <w:rsid w:val="00DF77AD"/>
    <w:rsid w:val="00E01439"/>
    <w:rsid w:val="00E01B3B"/>
    <w:rsid w:val="00E04C12"/>
    <w:rsid w:val="00E054F7"/>
    <w:rsid w:val="00E065B7"/>
    <w:rsid w:val="00E06B04"/>
    <w:rsid w:val="00E12A20"/>
    <w:rsid w:val="00E16DBD"/>
    <w:rsid w:val="00E20B95"/>
    <w:rsid w:val="00E21D4F"/>
    <w:rsid w:val="00E2252B"/>
    <w:rsid w:val="00E22773"/>
    <w:rsid w:val="00E234E5"/>
    <w:rsid w:val="00E255B4"/>
    <w:rsid w:val="00E31646"/>
    <w:rsid w:val="00E322EA"/>
    <w:rsid w:val="00E32E75"/>
    <w:rsid w:val="00E34990"/>
    <w:rsid w:val="00E34BEA"/>
    <w:rsid w:val="00E410D8"/>
    <w:rsid w:val="00E4248D"/>
    <w:rsid w:val="00E43386"/>
    <w:rsid w:val="00E435AD"/>
    <w:rsid w:val="00E47E03"/>
    <w:rsid w:val="00E51E91"/>
    <w:rsid w:val="00E52A33"/>
    <w:rsid w:val="00E53B95"/>
    <w:rsid w:val="00E54F5E"/>
    <w:rsid w:val="00E56554"/>
    <w:rsid w:val="00E57BDF"/>
    <w:rsid w:val="00E6032E"/>
    <w:rsid w:val="00E66F7C"/>
    <w:rsid w:val="00E714DD"/>
    <w:rsid w:val="00E73CF4"/>
    <w:rsid w:val="00E77481"/>
    <w:rsid w:val="00E81F47"/>
    <w:rsid w:val="00E82BFD"/>
    <w:rsid w:val="00E860DB"/>
    <w:rsid w:val="00E9003F"/>
    <w:rsid w:val="00E935B2"/>
    <w:rsid w:val="00E93A22"/>
    <w:rsid w:val="00E95340"/>
    <w:rsid w:val="00E95906"/>
    <w:rsid w:val="00E9787B"/>
    <w:rsid w:val="00EA35BA"/>
    <w:rsid w:val="00EA47FF"/>
    <w:rsid w:val="00EA5210"/>
    <w:rsid w:val="00EA62D7"/>
    <w:rsid w:val="00EB0C6D"/>
    <w:rsid w:val="00EB122B"/>
    <w:rsid w:val="00EB6B50"/>
    <w:rsid w:val="00EB7183"/>
    <w:rsid w:val="00EC0950"/>
    <w:rsid w:val="00EC0DDF"/>
    <w:rsid w:val="00EC130E"/>
    <w:rsid w:val="00EC132F"/>
    <w:rsid w:val="00EC3122"/>
    <w:rsid w:val="00EC42B6"/>
    <w:rsid w:val="00EC5810"/>
    <w:rsid w:val="00EC5A89"/>
    <w:rsid w:val="00EC6230"/>
    <w:rsid w:val="00ED1753"/>
    <w:rsid w:val="00ED2C7C"/>
    <w:rsid w:val="00ED6779"/>
    <w:rsid w:val="00EE1837"/>
    <w:rsid w:val="00EE2472"/>
    <w:rsid w:val="00EE35DE"/>
    <w:rsid w:val="00EE47E5"/>
    <w:rsid w:val="00EE4E97"/>
    <w:rsid w:val="00EE6CA5"/>
    <w:rsid w:val="00EE7554"/>
    <w:rsid w:val="00EF1B60"/>
    <w:rsid w:val="00EF30F1"/>
    <w:rsid w:val="00EF5182"/>
    <w:rsid w:val="00EF5E08"/>
    <w:rsid w:val="00EF729E"/>
    <w:rsid w:val="00F013DE"/>
    <w:rsid w:val="00F035C3"/>
    <w:rsid w:val="00F03A30"/>
    <w:rsid w:val="00F04052"/>
    <w:rsid w:val="00F04CAB"/>
    <w:rsid w:val="00F05BEC"/>
    <w:rsid w:val="00F122B6"/>
    <w:rsid w:val="00F12A38"/>
    <w:rsid w:val="00F13ED0"/>
    <w:rsid w:val="00F14374"/>
    <w:rsid w:val="00F17811"/>
    <w:rsid w:val="00F210C4"/>
    <w:rsid w:val="00F21898"/>
    <w:rsid w:val="00F21A50"/>
    <w:rsid w:val="00F2558E"/>
    <w:rsid w:val="00F268F7"/>
    <w:rsid w:val="00F26CFB"/>
    <w:rsid w:val="00F31B22"/>
    <w:rsid w:val="00F31D4F"/>
    <w:rsid w:val="00F3444B"/>
    <w:rsid w:val="00F34657"/>
    <w:rsid w:val="00F355FB"/>
    <w:rsid w:val="00F409CA"/>
    <w:rsid w:val="00F40DCF"/>
    <w:rsid w:val="00F424DA"/>
    <w:rsid w:val="00F42AD1"/>
    <w:rsid w:val="00F42E2F"/>
    <w:rsid w:val="00F43764"/>
    <w:rsid w:val="00F46DE6"/>
    <w:rsid w:val="00F47D41"/>
    <w:rsid w:val="00F506E3"/>
    <w:rsid w:val="00F52128"/>
    <w:rsid w:val="00F52638"/>
    <w:rsid w:val="00F53172"/>
    <w:rsid w:val="00F5404A"/>
    <w:rsid w:val="00F55561"/>
    <w:rsid w:val="00F57A7B"/>
    <w:rsid w:val="00F60982"/>
    <w:rsid w:val="00F629BC"/>
    <w:rsid w:val="00F62C5B"/>
    <w:rsid w:val="00F62EB2"/>
    <w:rsid w:val="00F6365D"/>
    <w:rsid w:val="00F6375C"/>
    <w:rsid w:val="00F64FE9"/>
    <w:rsid w:val="00F70A26"/>
    <w:rsid w:val="00F73811"/>
    <w:rsid w:val="00F73CE1"/>
    <w:rsid w:val="00F7576E"/>
    <w:rsid w:val="00F77437"/>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9F"/>
    <w:rsid w:val="00FA41BA"/>
    <w:rsid w:val="00FA7B7C"/>
    <w:rsid w:val="00FB0787"/>
    <w:rsid w:val="00FB3238"/>
    <w:rsid w:val="00FB5172"/>
    <w:rsid w:val="00FB5D66"/>
    <w:rsid w:val="00FB69C4"/>
    <w:rsid w:val="00FC026F"/>
    <w:rsid w:val="00FC05BD"/>
    <w:rsid w:val="00FC1903"/>
    <w:rsid w:val="00FD05D4"/>
    <w:rsid w:val="00FD29AF"/>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CB6D8"/>
  <w15:docId w15:val="{3FFF250A-7734-4E81-B863-6C874365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5"/>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3"/>
    <w:qFormat/>
    <w:rsid w:val="003A7897"/>
    <w:pPr>
      <w:ind w:left="341" w:hanging="284"/>
    </w:pPr>
  </w:style>
  <w:style w:type="character" w:customStyle="1" w:styleId="bullet1Char0">
    <w:name w:val="bullet 1 Char"/>
    <w:basedOn w:val="bulletT1Char"/>
    <w:link w:val="bullet10"/>
    <w:uiPriority w:val="3"/>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AbbreviationsDefinitionsTerm">
    <w:name w:val="Abbreviations &amp; Definitions 'Term'"/>
    <w:link w:val="AbbreviationsDefinitionsTermChar"/>
    <w:uiPriority w:val="14"/>
    <w:qFormat/>
    <w:rsid w:val="00130ECE"/>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130ECE"/>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42062682">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ra.nhs.uk/planning-and-improving-research/application-summaries/research-summaries/" TargetMode="External"/><Relationship Id="rId21" Type="http://schemas.openxmlformats.org/officeDocument/2006/relationships/hyperlink" Target="http://www.hra-decisiontools.org.uk/consent/" TargetMode="External"/><Relationship Id="rId42" Type="http://schemas.openxmlformats.org/officeDocument/2006/relationships/hyperlink" Target="https://www.hra.nhs.uk/planning-and-improving-research/best-practice/public-involvement/resources/helping-ensure-public-involvement-informs-ethical-review-checklist-applicants/" TargetMode="External"/><Relationship Id="rId47" Type="http://schemas.openxmlformats.org/officeDocument/2006/relationships/hyperlink" Target="https://www.hra.nhs.uk/planning-and-improving-research/best-practice/informing-participants-and-seeking-consent/%20" TargetMode="External"/><Relationship Id="rId63" Type="http://schemas.openxmlformats.org/officeDocument/2006/relationships/hyperlink" Target="https://intranet.birmingham.ac.uk/executive-support/legal-services/how-can-i-get-legal-advice.aspx" TargetMode="External"/><Relationship Id="rId6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hra.nhs.uk/planning-and-improving-research/research-planning/participant-information-quality-standards/" TargetMode="External"/><Relationship Id="rId29" Type="http://schemas.openxmlformats.org/officeDocument/2006/relationships/hyperlink" Target="https://ico.org.uk/for-organisations/uk-gdpr-guidance-and-resources/personal-information-what-is-it/what-is-personal-data/what-is-personal-data/" TargetMode="External"/><Relationship Id="rId11" Type="http://schemas.openxmlformats.org/officeDocument/2006/relationships/footer" Target="footer2.xml"/><Relationship Id="rId24" Type="http://schemas.openxmlformats.org/officeDocument/2006/relationships/hyperlink" Target="https://www.hra.nhs.uk/planning-and-improving-research/best-practice/writing-plain-language-lay-summary-your-research-findings/" TargetMode="External"/><Relationship Id="rId32" Type="http://schemas.openxmlformats.org/officeDocument/2006/relationships/hyperlink" Target="https://intranet.birmingham.ac.uk/executive-support/legal-services/what-we-do/data-protection/data-protection-resources.aspx" TargetMode="External"/><Relationship Id="rId37" Type="http://schemas.openxmlformats.org/officeDocument/2006/relationships/hyperlink" Target="https://www.hra.nhs.uk/documents/1588/hra-mhra-econsent-statement-sept-18.pdf" TargetMode="External"/><Relationship Id="rId40" Type="http://schemas.openxmlformats.org/officeDocument/2006/relationships/hyperlink" Target="https://www.hra.nhs.uk/documents/274/hra-guidance-payments-incentives-research.pdf%20" TargetMode="External"/><Relationship Id="rId45" Type="http://schemas.openxmlformats.org/officeDocument/2006/relationships/hyperlink" Target="https://www.hra.nhs.uk/planning-and-improving-research/research-planning/participant-information-design-and-review-principles/%20" TargetMode="External"/><Relationship Id="rId53" Type="http://schemas.openxmlformats.org/officeDocument/2006/relationships/hyperlink" Target="https://www.hra-decisiontools.org.uk/consent/" TargetMode="External"/><Relationship Id="rId58" Type="http://schemas.openxmlformats.org/officeDocument/2006/relationships/hyperlink" Target="https://ico.org.uk/for-organisations/uk-gdpr-guidance-and-resources/personal-information-what-is-it/what-is-personal-data/what-is-personal-data/" TargetMode="External"/><Relationship Id="rId66" Type="http://schemas.openxmlformats.org/officeDocument/2006/relationships/header" Target="header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earn.nihr.ac.uk/mod/scorm/view.php?id=12830%20" TargetMode="External"/><Relationship Id="rId19" Type="http://schemas.openxmlformats.org/officeDocument/2006/relationships/hyperlink" Target="https://www.hra.nhs.uk/documents/274/hra-guidance-payments-incentives-research.pdf" TargetMode="External"/><Relationship Id="rId14" Type="http://schemas.openxmlformats.org/officeDocument/2006/relationships/hyperlink" Target="https://www.hra.nhs.uk/planning-and-improving-research/best-practice/public-involvement/resources/payment-public-involvement-health-and-care-research-guide-organisations-employment-status-and-tax/" TargetMode="External"/><Relationship Id="rId22" Type="http://schemas.openxmlformats.org/officeDocument/2006/relationships/hyperlink" Target="https://content.hta.gov.uk/sites/default/files/2020-11/Code%20A.pdf" TargetMode="External"/><Relationship Id="rId27" Type="http://schemas.openxmlformats.org/officeDocument/2006/relationships/hyperlink" Target="https://s3.eu-west-2.amazonaws.com/www.hra.nhs.uk/media/documents/hra-care-after-research.pdf" TargetMode="External"/><Relationship Id="rId30" Type="http://schemas.openxmlformats.org/officeDocument/2006/relationships/hyperlink" Target="https://intranet.birmingham.ac.uk/executive-support/legal-services/what-we-do/data-protection/data-protection-resources.aspx" TargetMode="External"/><Relationship Id="rId35" Type="http://schemas.openxmlformats.org/officeDocument/2006/relationships/hyperlink" Target="https://learn.nihr.ac.uk/course/view.php?id=866" TargetMode="External"/><Relationship Id="rId43" Type="http://schemas.openxmlformats.org/officeDocument/2006/relationships/hyperlink" Target="https://www.hra.nhs.uk/planning-and-improving-research/policies-standards-legislation/research-transparency/make-it-public-transparency-and-openness-health-and-social-care-research/" TargetMode="External"/><Relationship Id="rId48" Type="http://schemas.openxmlformats.org/officeDocument/2006/relationships/hyperlink" Target="https://www.hra.nhs.uk/planning-and-improving-research/best-practice/publication-and-dissemination-research-findings/" TargetMode="External"/><Relationship Id="rId56" Type="http://schemas.openxmlformats.org/officeDocument/2006/relationships/hyperlink" Target="https://www.hra.nhs.uk/documents/1588/hra-mhra-econsent-statement-sept-18.pdf%20" TargetMode="External"/><Relationship Id="rId64" Type="http://schemas.openxmlformats.org/officeDocument/2006/relationships/hyperlink" Target="http://www.legislation.gov.uk/ukpga/2006/41/section/251%20" TargetMode="External"/><Relationship Id="rId69" Type="http://schemas.openxmlformats.org/officeDocument/2006/relationships/footer" Target="footer4.xml"/><Relationship Id="rId8" Type="http://schemas.openxmlformats.org/officeDocument/2006/relationships/hyperlink" Target="https://www.birmingham.ac.uk/research/activity/mds/mds-rkto/governance/e-pathway/overview.aspx" TargetMode="External"/><Relationship Id="rId51" Type="http://schemas.openxmlformats.org/officeDocument/2006/relationships/hyperlink" Target="https://www.hra.nhs.uk/planning-and-improving-research/policies-standards-legislation/data-protection-and-information-governance/gdpr-guidance/templates/transparency-wording-for-all-sponsors/%20" TargetMode="External"/><Relationship Id="rId72" Type="http://schemas.openxmlformats.org/officeDocument/2006/relationships/hyperlink" Target="mailto:crct@contacts.bham.ac.uk"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www.hra.nhs.uk/planning-and-improving-research/research-planning/participant-information-design-and-review-principles/" TargetMode="External"/><Relationship Id="rId25" Type="http://schemas.openxmlformats.org/officeDocument/2006/relationships/hyperlink" Target="https://www.hra.nhs.uk/approvals-amendments/managing-your-approval/ending-your-project/" TargetMode="External"/><Relationship Id="rId33" Type="http://schemas.openxmlformats.org/officeDocument/2006/relationships/hyperlink" Target="https://www.hra.nhs.uk/planning-and-improving-research/policies-standards-legislation/data-protection-and-information-governance/gdpr-guidance/templates/transparency-wording-for-all-sponsors/" TargetMode="External"/><Relationship Id="rId38" Type="http://schemas.openxmlformats.org/officeDocument/2006/relationships/hyperlink" Target="https://learn.nihr.ac.uk/mod/scorm/view.php?id=12830" TargetMode="External"/><Relationship Id="rId46" Type="http://schemas.openxmlformats.org/officeDocument/2006/relationships/hyperlink" Target="https://www.hra.nhs.uk/planning-and-improving-research/best-practice/public-involvement/resources/payment-public-involvement-health-and-care-research-guide-organisations-employment-status-and-tax/%20" TargetMode="External"/><Relationship Id="rId59" Type="http://schemas.openxmlformats.org/officeDocument/2006/relationships/hyperlink" Target="https://s3.eu-west-2.amazonaws.com/www.hra.nhs.uk/media/documents/incentives-in-phase-1-trials.pdf" TargetMode="External"/><Relationship Id="rId67" Type="http://schemas.openxmlformats.org/officeDocument/2006/relationships/header" Target="header3.xml"/><Relationship Id="rId20" Type="http://schemas.openxmlformats.org/officeDocument/2006/relationships/hyperlink" Target="https://s3.eu-west-2.amazonaws.com/www.hra.nhs.uk/media/documents/incentives-in-phase-1-trials.pdf" TargetMode="External"/><Relationship Id="rId41" Type="http://schemas.openxmlformats.org/officeDocument/2006/relationships/hyperlink" Target="https://www.hra.nhs.uk/planning-and-improving-research/research-planning/protocol/" TargetMode="External"/><Relationship Id="rId54" Type="http://schemas.openxmlformats.org/officeDocument/2006/relationships/hyperlink" Target="https://www.hra.nhs.uk/planning-and-improving-research/best-practice/public-involvement/" TargetMode="External"/><Relationship Id="rId62" Type="http://schemas.openxmlformats.org/officeDocument/2006/relationships/hyperlink" Target="https://intranet.birmingham.ac.uk/executive-support/legal-services/what-we-do/data-protection/data-protection-resources.aspx" TargetMode="Externa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ra.nhs.uk/planning-and-improving-research/best-practice/informing-participants-and-seeking-consent/" TargetMode="External"/><Relationship Id="rId23" Type="http://schemas.openxmlformats.org/officeDocument/2006/relationships/hyperlink" Target="https://www.hra.nhs.uk/planning-and-improving-research/policies-standards-legislation/research-transparency/make-it-public-transparency-and-openness-health-and-social-care-research/" TargetMode="External"/><Relationship Id="rId28" Type="http://schemas.openxmlformats.org/officeDocument/2006/relationships/hyperlink" Target="https://www.hra.nhs.uk/planning-and-improving-research/best-practice/public-involvement/resources/helping-ensure-public-involvement-informs-ethical-review-checklist-applicants/" TargetMode="External"/><Relationship Id="rId36" Type="http://schemas.openxmlformats.org/officeDocument/2006/relationships/hyperlink" Target="http://www.legislation.gov.uk/ukpga/2006/41/section/251" TargetMode="External"/><Relationship Id="rId49" Type="http://schemas.openxmlformats.org/officeDocument/2006/relationships/hyperlink" Target="https://www.hra.nhs.uk/planning-and-improving-research/application-summaries/research-summaries/" TargetMode="External"/><Relationship Id="rId57" Type="http://schemas.openxmlformats.org/officeDocument/2006/relationships/hyperlink" Target="https://content.hta.gov.uk/sites/default/files/2020-11/Code%20A.pdf%20" TargetMode="External"/><Relationship Id="rId10" Type="http://schemas.openxmlformats.org/officeDocument/2006/relationships/header" Target="header1.xml"/><Relationship Id="rId31" Type="http://schemas.openxmlformats.org/officeDocument/2006/relationships/hyperlink" Target="https://intranet.birmingham.ac.uk/executive-support/legal-services/how-can-i-get-legal-advice.aspx" TargetMode="External"/><Relationship Id="rId44" Type="http://schemas.openxmlformats.org/officeDocument/2006/relationships/hyperlink" Target="https://www.hra.nhs.uk/planning-and-improving-research/research-planning/participant-information-quality-standards/%20" TargetMode="External"/><Relationship Id="rId52" Type="http://schemas.openxmlformats.org/officeDocument/2006/relationships/hyperlink" Target="https://s3.eu-west-2.amazonaws.com/www.hra.nhs.uk/media/documents/hra-care-after-research.pdf" TargetMode="External"/><Relationship Id="rId60" Type="http://schemas.openxmlformats.org/officeDocument/2006/relationships/hyperlink" Target="https://learn.nihr.ac.uk/course/view.php?id=866%20" TargetMode="External"/><Relationship Id="rId65" Type="http://schemas.openxmlformats.org/officeDocument/2006/relationships/hyperlink" Target="https://www.birmingham.ac.uk/research/activity/mds/mds-rkto/governance/Glossary-of-Terms.asp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hra.nhs.uk/planning-and-improving-research/best-practice/public-involvement/" TargetMode="External"/><Relationship Id="rId18" Type="http://schemas.openxmlformats.org/officeDocument/2006/relationships/hyperlink" Target="http://www.hra-decisiontools.org.uk/consent/content-sheet-involved.html" TargetMode="External"/><Relationship Id="rId39" Type="http://schemas.openxmlformats.org/officeDocument/2006/relationships/hyperlink" Target="https://www.birmingham.ac.uk/research/activity/mds/mds-rkto/governance/index.aspx" TargetMode="External"/><Relationship Id="rId34" Type="http://schemas.openxmlformats.org/officeDocument/2006/relationships/hyperlink" Target="https://www.hra.nhs.uk/planning-and-improving-research/policies-standards-legislation/data-protection-and-information-governance/gdpr-guidance/" TargetMode="External"/><Relationship Id="rId50" Type="http://schemas.openxmlformats.org/officeDocument/2006/relationships/hyperlink" Target="https://www.hra.nhs.uk/planning-and-improving-research/best-practice/writing-plain-language-lay-summary-your-research-findings/" TargetMode="External"/><Relationship Id="rId55" Type="http://schemas.openxmlformats.org/officeDocument/2006/relationships/hyperlink" Target="http://www.hra-decisiontools.org.uk/consent/content-sheet-involved.html%20" TargetMode="External"/><Relationship Id="rId7" Type="http://schemas.openxmlformats.org/officeDocument/2006/relationships/endnotes" Target="endnotes.xml"/><Relationship Id="rId71"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llege%20Hub%20Shared\Research%20&amp;%20Knowledge%20Transfer%20Office\CRCT\6.%20Team\2.%20Work%20Instructions\QMS\Resources\QMS%20Templates\UoB%20SOP%20template%20v10.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v10.0 (clean)</Template>
  <TotalTime>0</TotalTime>
  <Pages>15</Pages>
  <Words>6366</Words>
  <Characters>36291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Raj Kaur (CMH - Research and Knowledge Transfer)</cp:lastModifiedBy>
  <cp:revision>2</cp:revision>
  <cp:lastPrinted>2023-12-15T09:51:00Z</cp:lastPrinted>
  <dcterms:created xsi:type="dcterms:W3CDTF">2024-08-16T08:49:00Z</dcterms:created>
  <dcterms:modified xsi:type="dcterms:W3CDTF">2024-08-16T08:49:00Z</dcterms:modified>
</cp:coreProperties>
</file>