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984C4" w14:textId="77777777" w:rsidR="00E812CE" w:rsidRDefault="008235B1" w:rsidP="00C0396F">
      <w:pPr>
        <w:pStyle w:val="Title"/>
        <w:rPr>
          <w:rFonts w:ascii="Calibri" w:eastAsia="Times New Roman" w:hAnsi="Calibri" w:cs="Arial"/>
          <w:color w:val="auto"/>
          <w:spacing w:val="0"/>
          <w:kern w:val="0"/>
          <w:sz w:val="20"/>
          <w:szCs w:val="20"/>
        </w:rPr>
      </w:pPr>
      <w:r w:rsidRPr="00C0396F">
        <w:t>Standard Operating Procedure:</w:t>
      </w:r>
      <w:r w:rsidR="00E812CE" w:rsidRPr="00E812CE">
        <w:rPr>
          <w:rFonts w:ascii="Calibri" w:eastAsia="Times New Roman" w:hAnsi="Calibri" w:cs="Arial"/>
          <w:color w:val="auto"/>
          <w:spacing w:val="0"/>
          <w:kern w:val="0"/>
          <w:sz w:val="20"/>
          <w:szCs w:val="20"/>
        </w:rPr>
        <w:t xml:space="preserve"> </w:t>
      </w:r>
    </w:p>
    <w:p w14:paraId="79D9861E" w14:textId="43AFBA21" w:rsidR="005F1AD8" w:rsidRDefault="00E812CE" w:rsidP="00B933CA">
      <w:pPr>
        <w:pStyle w:val="Title"/>
      </w:pPr>
      <w:r w:rsidRPr="00E812CE">
        <w:t>Randomisation and Blinding</w:t>
      </w:r>
    </w:p>
    <w:p w14:paraId="28FB1F8A" w14:textId="77777777" w:rsidR="00C0396F" w:rsidRDefault="00C0396F" w:rsidP="00C0396F">
      <w:pPr>
        <w:rPr>
          <w:rFonts w:eastAsiaTheme="majorEastAsia"/>
        </w:rPr>
      </w:pPr>
    </w:p>
    <w:p w14:paraId="44F5C7AD" w14:textId="77777777" w:rsidR="00512C56" w:rsidRDefault="00512C56" w:rsidP="00C0396F">
      <w:pPr>
        <w:rPr>
          <w:rFonts w:eastAsiaTheme="majorEastAsia"/>
        </w:rPr>
      </w:pPr>
    </w:p>
    <w:p w14:paraId="23FA09D2" w14:textId="302B8E4E" w:rsidR="005F1AD8" w:rsidRDefault="005F1AD8">
      <w:pPr>
        <w:pStyle w:val="Heading1"/>
      </w:pPr>
      <w:r w:rsidRPr="00B6322E">
        <w:t>Purpose</w:t>
      </w:r>
    </w:p>
    <w:p w14:paraId="4A578C30" w14:textId="62679299" w:rsidR="00E812CE" w:rsidRPr="00E812CE" w:rsidRDefault="00E812CE" w:rsidP="00E812CE">
      <w:r w:rsidRPr="00E812CE">
        <w:t xml:space="preserve">This </w:t>
      </w:r>
      <w:r w:rsidR="00F93717">
        <w:t>s</w:t>
      </w:r>
      <w:r w:rsidR="00F93717" w:rsidRPr="00E812CE">
        <w:t xml:space="preserve">tandard </w:t>
      </w:r>
      <w:r w:rsidR="00F93717">
        <w:t>o</w:t>
      </w:r>
      <w:r w:rsidR="00F93717" w:rsidRPr="00E812CE">
        <w:t xml:space="preserve">perating </w:t>
      </w:r>
      <w:r w:rsidR="00F93717">
        <w:t>p</w:t>
      </w:r>
      <w:r w:rsidR="00F93717" w:rsidRPr="00E812CE">
        <w:t xml:space="preserve">rocedure </w:t>
      </w:r>
      <w:r w:rsidRPr="00E812CE">
        <w:t>(SOP) describes the randomisation and blinding procedures involved in clinical research conducted within the University of Birmingham (UoB).</w:t>
      </w:r>
    </w:p>
    <w:p w14:paraId="1BA9F18B" w14:textId="3A6FDF35" w:rsidR="005F1AD8" w:rsidRDefault="005F1AD8">
      <w:pPr>
        <w:pStyle w:val="Heading1"/>
      </w:pPr>
      <w:r w:rsidRPr="00B63F21">
        <w:t>Scope</w:t>
      </w:r>
    </w:p>
    <w:p w14:paraId="61A42EBF" w14:textId="49CEFF49" w:rsidR="00E812CE" w:rsidRPr="00E812CE" w:rsidRDefault="00E812CE" w:rsidP="00E812CE">
      <w:r w:rsidRPr="00E812CE">
        <w:t xml:space="preserve">This SOP is applicable to all clinical research where </w:t>
      </w:r>
      <w:r w:rsidR="003D45DA">
        <w:t xml:space="preserve">the </w:t>
      </w:r>
      <w:proofErr w:type="spellStart"/>
      <w:r w:rsidRPr="00E812CE">
        <w:t>UoB</w:t>
      </w:r>
      <w:proofErr w:type="spellEnd"/>
      <w:r w:rsidRPr="00E812CE">
        <w:t xml:space="preserve"> is the </w:t>
      </w:r>
      <w:r w:rsidR="003D45DA">
        <w:t>s</w:t>
      </w:r>
      <w:r w:rsidR="003D45DA" w:rsidRPr="00E812CE">
        <w:t xml:space="preserve">ponsor </w:t>
      </w:r>
      <w:r w:rsidRPr="00E812CE">
        <w:t xml:space="preserve">or takes on </w:t>
      </w:r>
      <w:r w:rsidR="003D45DA">
        <w:t>s</w:t>
      </w:r>
      <w:r w:rsidR="003D45DA" w:rsidRPr="00E812CE">
        <w:t xml:space="preserve">ponsor </w:t>
      </w:r>
      <w:r w:rsidRPr="00E812CE">
        <w:t xml:space="preserve">responsibilities for randomisation and blinding procedures. </w:t>
      </w:r>
      <w:r w:rsidR="00340828" w:rsidRPr="00E812CE">
        <w:t>Where clinical research is (co-)sponsored by another institution, this procedure should be followed as far as possible, and in line with the contractual agreement between the UoB and the other institution.</w:t>
      </w:r>
      <w:r w:rsidR="00340828">
        <w:t xml:space="preserve"> </w:t>
      </w:r>
      <w:r w:rsidRPr="00E812CE">
        <w:t xml:space="preserve">This SOP also applies to clinical research approved by UoB Research Ethics Committee (REC) that </w:t>
      </w:r>
      <w:r w:rsidR="001516C0">
        <w:t>is</w:t>
      </w:r>
      <w:r w:rsidRPr="00E812CE">
        <w:t xml:space="preserve"> required to follow </w:t>
      </w:r>
      <w:r w:rsidR="00BE23E4">
        <w:t xml:space="preserve">the </w:t>
      </w:r>
      <w:bookmarkStart w:id="0" w:name="_Hlk122012714"/>
      <w:r w:rsidRPr="003D45DA">
        <w:rPr>
          <w:rStyle w:val="ReferencestootherSOPsQCDsChar"/>
        </w:rPr>
        <w:t>UoB Principles of Good Clinical Practice (GCP) for Clinical Research</w:t>
      </w:r>
      <w:r w:rsidR="00BE23E4" w:rsidRPr="003D45DA">
        <w:rPr>
          <w:rStyle w:val="ReferencestootherSOPsQCDsChar"/>
        </w:rPr>
        <w:t xml:space="preserve"> (UoB-GCP-POL-001)</w:t>
      </w:r>
      <w:r w:rsidRPr="00E812CE">
        <w:t xml:space="preserve"> </w:t>
      </w:r>
      <w:bookmarkEnd w:id="0"/>
      <w:r w:rsidRPr="00E812CE">
        <w:t xml:space="preserve">and there is a requirement to randomise or blind. This SOP may be used as a guidance document in all other cases. </w:t>
      </w:r>
    </w:p>
    <w:p w14:paraId="548A23C4" w14:textId="78C36E09" w:rsidR="005F1AD8" w:rsidRPr="00C34A3B" w:rsidRDefault="005F1AD8" w:rsidP="00B937B6">
      <w:pPr>
        <w:pStyle w:val="Heading1"/>
      </w:pPr>
      <w:r w:rsidRPr="00B63F21">
        <w:t>Implementation plan</w:t>
      </w:r>
    </w:p>
    <w:p w14:paraId="528AF24A" w14:textId="7C615A2F" w:rsidR="00E812CE" w:rsidRPr="00E812CE" w:rsidRDefault="00E812CE" w:rsidP="00E812CE">
      <w:r w:rsidRPr="00E812CE">
        <w:t xml:space="preserve">This SOP is implemented directly after its effective date for any clinical research that is in </w:t>
      </w:r>
      <w:r w:rsidR="003D45DA">
        <w:t xml:space="preserve">the </w:t>
      </w:r>
      <w:r w:rsidRPr="00E812CE">
        <w:t>set</w:t>
      </w:r>
      <w:r w:rsidR="003D45DA">
        <w:t>-</w:t>
      </w:r>
      <w:r w:rsidRPr="00E812CE">
        <w:t>up phase. For existing clinical research this SOP will be implemented within three months of the effective date.</w:t>
      </w:r>
    </w:p>
    <w:p w14:paraId="377DE3CA" w14:textId="207E782B" w:rsidR="005F1AD8" w:rsidRDefault="005F1AD8">
      <w:pPr>
        <w:pStyle w:val="Heading1"/>
      </w:pPr>
      <w:r>
        <w:t>Stakeholders</w:t>
      </w:r>
    </w:p>
    <w:p w14:paraId="73988D3A" w14:textId="73D56491" w:rsidR="00E812CE" w:rsidRPr="00E812CE" w:rsidRDefault="00E812CE" w:rsidP="00E812CE">
      <w:r w:rsidRPr="00E812CE">
        <w:t xml:space="preserve">Note that where the UoB takes on the </w:t>
      </w:r>
      <w:r w:rsidR="003D45DA">
        <w:t>s</w:t>
      </w:r>
      <w:r w:rsidR="003D45DA" w:rsidRPr="00E812CE">
        <w:t xml:space="preserve">ponsor </w:t>
      </w:r>
      <w:r w:rsidRPr="00E812CE">
        <w:t xml:space="preserve">responsibility for </w:t>
      </w:r>
      <w:r w:rsidR="00BE23E4">
        <w:t>r</w:t>
      </w:r>
      <w:r w:rsidRPr="00E812CE">
        <w:t xml:space="preserve">andomisation and </w:t>
      </w:r>
      <w:r w:rsidR="00BE23E4">
        <w:t>b</w:t>
      </w:r>
      <w:r w:rsidRPr="00E812CE">
        <w:t xml:space="preserve">linding, the </w:t>
      </w:r>
      <w:proofErr w:type="spellStart"/>
      <w:r w:rsidRPr="00E812CE">
        <w:t>UoB</w:t>
      </w:r>
      <w:proofErr w:type="spellEnd"/>
      <w:r w:rsidRPr="00E812CE">
        <w:t xml:space="preserve"> will delegate the majority of these duties to the Chief </w:t>
      </w:r>
      <w:r w:rsidR="003D45DA">
        <w:t>i</w:t>
      </w:r>
      <w:r w:rsidR="003D45DA" w:rsidRPr="00E812CE">
        <w:t xml:space="preserve">nvestigator </w:t>
      </w:r>
      <w:r w:rsidRPr="00E812CE">
        <w:t xml:space="preserve">(CI) and/or to a </w:t>
      </w:r>
      <w:r w:rsidR="003D45DA">
        <w:t>c</w:t>
      </w:r>
      <w:r w:rsidR="003D45DA" w:rsidRPr="00E812CE">
        <w:t xml:space="preserve">linical </w:t>
      </w:r>
      <w:r w:rsidR="003D45DA">
        <w:t>t</w:t>
      </w:r>
      <w:r w:rsidR="003D45DA" w:rsidRPr="00E812CE">
        <w:t xml:space="preserve">rials </w:t>
      </w:r>
      <w:r w:rsidR="003D45DA">
        <w:t>u</w:t>
      </w:r>
      <w:r w:rsidR="003D45DA" w:rsidRPr="00E812CE">
        <w:t xml:space="preserve">nit </w:t>
      </w:r>
      <w:r w:rsidRPr="00E812CE">
        <w:t xml:space="preserve">(CTU), who may delegate these duties further to their research project team(s). All delegation of duties will be documented </w:t>
      </w:r>
      <w:r w:rsidR="00BE23E4">
        <w:t xml:space="preserve">e.g. </w:t>
      </w:r>
      <w:r w:rsidRPr="00E812CE">
        <w:t xml:space="preserve">using either the CI declaration and/or the </w:t>
      </w:r>
      <w:bookmarkStart w:id="1" w:name="_Hlk122012724"/>
      <w:r w:rsidRPr="003D45DA">
        <w:rPr>
          <w:rStyle w:val="ReferencestootherSOPsQCDsChar"/>
        </w:rPr>
        <w:t>Clinical Trials Task Delegation Log</w:t>
      </w:r>
      <w:r w:rsidR="00BE23E4" w:rsidRPr="003D45DA">
        <w:rPr>
          <w:rStyle w:val="ReferencestootherSOPsQCDsChar"/>
        </w:rPr>
        <w:t xml:space="preserve"> (UoB-SPO-QCD-001)</w:t>
      </w:r>
      <w:bookmarkEnd w:id="1"/>
      <w:r w:rsidRPr="00E812CE">
        <w:t>.</w:t>
      </w:r>
    </w:p>
    <w:p w14:paraId="3E6EE9E6" w14:textId="35B0F78A" w:rsidR="00E812CE" w:rsidRDefault="00E812CE" w:rsidP="00E812CE">
      <w:pPr>
        <w:pStyle w:val="bullet1"/>
      </w:pPr>
      <w:r>
        <w:t>CI</w:t>
      </w:r>
      <w:r w:rsidR="00340828">
        <w:t>:</w:t>
      </w:r>
      <w:r>
        <w:t xml:space="preserve"> </w:t>
      </w:r>
      <w:r w:rsidR="00340828">
        <w:t>T</w:t>
      </w:r>
      <w:r>
        <w:t xml:space="preserve">he CI may delegate activities to members of their research project team, although evidence of CI oversight and approval is still expected and may not be delegated where ‘no delegation allowed’ is indicated. The SOP will state where delegation is possible. </w:t>
      </w:r>
      <w:r w:rsidRPr="00356A8A">
        <w:t xml:space="preserve">For clinical research approved by UoB REC, the role of CI may be referred to as the </w:t>
      </w:r>
      <w:r w:rsidR="003D45DA">
        <w:t>p</w:t>
      </w:r>
      <w:r w:rsidR="003D45DA" w:rsidRPr="00356A8A">
        <w:t xml:space="preserve">rincipal </w:t>
      </w:r>
      <w:r w:rsidR="003D45DA">
        <w:t>i</w:t>
      </w:r>
      <w:r w:rsidR="003D45DA" w:rsidRPr="00356A8A">
        <w:t xml:space="preserve">nvestigator </w:t>
      </w:r>
      <w:r w:rsidRPr="00356A8A">
        <w:t>(PI), or the supervisor for postgraduate research students.</w:t>
      </w:r>
    </w:p>
    <w:p w14:paraId="0AC38E20" w14:textId="5FD9DBBB" w:rsidR="004C46FF" w:rsidRPr="00342C1E" w:rsidRDefault="004C46FF" w:rsidP="004C46FF">
      <w:pPr>
        <w:pStyle w:val="bullet1"/>
        <w:numPr>
          <w:ilvl w:val="0"/>
          <w:numId w:val="0"/>
        </w:numPr>
        <w:sectPr w:rsidR="004C46FF" w:rsidRPr="00342C1E" w:rsidSect="00512C56">
          <w:headerReference w:type="even" r:id="rId8"/>
          <w:headerReference w:type="default" r:id="rId9"/>
          <w:footerReference w:type="even" r:id="rId10"/>
          <w:footerReference w:type="default" r:id="rId11"/>
          <w:headerReference w:type="first" r:id="rId12"/>
          <w:footerReference w:type="first" r:id="rId13"/>
          <w:pgSz w:w="11907" w:h="16839" w:code="9"/>
          <w:pgMar w:top="5211" w:right="1440" w:bottom="1440" w:left="1440" w:header="1438" w:footer="283" w:gutter="0"/>
          <w:cols w:space="708"/>
          <w:titlePg/>
          <w:docGrid w:linePitch="360"/>
        </w:sectPr>
      </w:pPr>
    </w:p>
    <w:p w14:paraId="1D1935BF" w14:textId="41FACFE4" w:rsidR="001553C1" w:rsidRDefault="001553C1" w:rsidP="001553C1">
      <w:pPr>
        <w:pStyle w:val="bullet1"/>
      </w:pPr>
      <w:bookmarkStart w:id="3" w:name="_Toc320536979"/>
      <w:r>
        <w:lastRenderedPageBreak/>
        <w:t xml:space="preserve">Statistician: The statistician must possess the relevant statistical knowledge and experience. This may be the CI where they have sufficient knowledge and experience to advise on and/or perform the required statistical elements of the research project. </w:t>
      </w:r>
    </w:p>
    <w:p w14:paraId="6B2FAE4F" w14:textId="3C0716D6" w:rsidR="001553C1" w:rsidRDefault="001553C1" w:rsidP="001553C1">
      <w:pPr>
        <w:pStyle w:val="bullet1"/>
      </w:pPr>
      <w:r>
        <w:t>Statistical advisor: The statistical advisor may contribute to some, but not all, aspects of the research project design, conduct, analysis and reporting. The statistical advisor may take on the responsibility of the ‘statistician’ for specific statistical aspects of the research project that they will perform, and will adhere to the relevant sections of this SOP.</w:t>
      </w:r>
      <w:r w:rsidRPr="000A6C5A">
        <w:t xml:space="preserve"> </w:t>
      </w:r>
      <w:r w:rsidRPr="009321CB">
        <w:t>See</w:t>
      </w:r>
      <w:r w:rsidR="00BE23E4">
        <w:t xml:space="preserve"> the</w:t>
      </w:r>
      <w:r w:rsidRPr="009321CB">
        <w:t xml:space="preserve"> </w:t>
      </w:r>
      <w:bookmarkStart w:id="4" w:name="_Hlk122012734"/>
      <w:r w:rsidRPr="009321CB">
        <w:rPr>
          <w:i/>
          <w:iCs/>
          <w:color w:val="943634"/>
        </w:rPr>
        <w:t>Statistics</w:t>
      </w:r>
      <w:r w:rsidR="00BE23E4">
        <w:rPr>
          <w:i/>
          <w:iCs/>
          <w:color w:val="943634"/>
        </w:rPr>
        <w:t xml:space="preserve"> SOP (</w:t>
      </w:r>
      <w:r w:rsidR="00BE23E4" w:rsidRPr="009321CB">
        <w:rPr>
          <w:i/>
          <w:iCs/>
          <w:color w:val="943634"/>
        </w:rPr>
        <w:t>UoB-STA-</w:t>
      </w:r>
      <w:r w:rsidR="00BE23E4">
        <w:rPr>
          <w:i/>
          <w:iCs/>
          <w:color w:val="943634"/>
        </w:rPr>
        <w:t>SOP-</w:t>
      </w:r>
      <w:r w:rsidR="00BE23E4" w:rsidRPr="009321CB">
        <w:rPr>
          <w:i/>
          <w:iCs/>
          <w:color w:val="943634"/>
        </w:rPr>
        <w:t>001</w:t>
      </w:r>
      <w:r w:rsidR="00BE23E4">
        <w:rPr>
          <w:i/>
          <w:iCs/>
          <w:color w:val="943634"/>
        </w:rPr>
        <w:t>)</w:t>
      </w:r>
      <w:r w:rsidRPr="009321CB">
        <w:t xml:space="preserve"> </w:t>
      </w:r>
      <w:bookmarkEnd w:id="4"/>
      <w:r w:rsidRPr="009321CB">
        <w:t>for further information</w:t>
      </w:r>
      <w:r>
        <w:t>.</w:t>
      </w:r>
    </w:p>
    <w:p w14:paraId="1F3F094F" w14:textId="5838EA17" w:rsidR="001553C1" w:rsidRDefault="001553C1" w:rsidP="001553C1">
      <w:pPr>
        <w:pStyle w:val="bullet1"/>
      </w:pPr>
      <w:r w:rsidRPr="00506A7B">
        <w:t xml:space="preserve">Laboratory </w:t>
      </w:r>
      <w:r w:rsidR="006F5BBA">
        <w:t>a</w:t>
      </w:r>
      <w:r w:rsidR="006F5BBA" w:rsidRPr="00506A7B">
        <w:t xml:space="preserve">cademic </w:t>
      </w:r>
      <w:r w:rsidR="006F5BBA">
        <w:t>l</w:t>
      </w:r>
      <w:r w:rsidR="006F5BBA" w:rsidRPr="00506A7B">
        <w:t xml:space="preserve">ead </w:t>
      </w:r>
      <w:r w:rsidRPr="00506A7B">
        <w:t>(LAL)</w:t>
      </w:r>
      <w:r>
        <w:t xml:space="preserve">: The </w:t>
      </w:r>
      <w:r w:rsidR="006F5BBA">
        <w:t>l</w:t>
      </w:r>
      <w:r w:rsidR="006F5BBA" w:rsidRPr="00506A7B">
        <w:t xml:space="preserve">aboratory </w:t>
      </w:r>
      <w:r w:rsidR="006F5BBA">
        <w:t>a</w:t>
      </w:r>
      <w:r w:rsidR="006F5BBA" w:rsidRPr="00506A7B">
        <w:t xml:space="preserve">cademic </w:t>
      </w:r>
      <w:r w:rsidR="006F5BBA">
        <w:t>l</w:t>
      </w:r>
      <w:r w:rsidR="006F5BBA" w:rsidRPr="00506A7B">
        <w:t xml:space="preserve">ead </w:t>
      </w:r>
      <w:r w:rsidRPr="00506A7B">
        <w:t xml:space="preserve">to the </w:t>
      </w:r>
      <w:r>
        <w:t>research project</w:t>
      </w:r>
      <w:r w:rsidRPr="00506A7B">
        <w:t xml:space="preserve"> will lead the laboratory-based research</w:t>
      </w:r>
      <w:r>
        <w:t xml:space="preserve"> and </w:t>
      </w:r>
      <w:r w:rsidRPr="003F2294">
        <w:t>takes on the responsibility of the ‘</w:t>
      </w:r>
      <w:r w:rsidR="006F5BBA">
        <w:t>l</w:t>
      </w:r>
      <w:r w:rsidR="006F5BBA" w:rsidRPr="003F2294">
        <w:t xml:space="preserve">ab </w:t>
      </w:r>
      <w:r w:rsidR="006F5BBA">
        <w:t>m</w:t>
      </w:r>
      <w:r w:rsidR="006F5BBA" w:rsidRPr="003F2294">
        <w:t xml:space="preserve">anager’ </w:t>
      </w:r>
      <w:r w:rsidRPr="003F2294">
        <w:t>and the ‘</w:t>
      </w:r>
      <w:r w:rsidR="006F5BBA">
        <w:t>a</w:t>
      </w:r>
      <w:r w:rsidR="006F5BBA" w:rsidRPr="003F2294">
        <w:t xml:space="preserve">nalytical </w:t>
      </w:r>
      <w:r w:rsidR="006F5BBA">
        <w:t>m</w:t>
      </w:r>
      <w:r w:rsidR="006F5BBA" w:rsidRPr="003F2294">
        <w:t>anager’</w:t>
      </w:r>
      <w:r w:rsidR="006F5BBA">
        <w:t xml:space="preserve"> </w:t>
      </w:r>
      <w:r>
        <w:t xml:space="preserve">as detailed in </w:t>
      </w:r>
      <w:r w:rsidR="00BE23E4">
        <w:t>the</w:t>
      </w:r>
      <w:r w:rsidRPr="00697087">
        <w:rPr>
          <w:rStyle w:val="ReferencestootherSOPsQCDsChar"/>
        </w:rPr>
        <w:t xml:space="preserve"> </w:t>
      </w:r>
      <w:bookmarkStart w:id="5" w:name="_Hlk122012750"/>
      <w:r w:rsidRPr="00697087">
        <w:rPr>
          <w:rStyle w:val="ReferencestootherSOPsQCDsChar"/>
        </w:rPr>
        <w:t>Laboratory Set Up and Management</w:t>
      </w:r>
      <w:r w:rsidR="00BE23E4">
        <w:rPr>
          <w:rStyle w:val="ReferencestootherSOPsQCDsChar"/>
        </w:rPr>
        <w:t xml:space="preserve"> SOP (</w:t>
      </w:r>
      <w:r w:rsidR="00BE23E4" w:rsidRPr="00697087">
        <w:rPr>
          <w:rStyle w:val="ReferencestootherSOPsQCDsChar"/>
        </w:rPr>
        <w:t>UoB-CRL-SOP-001</w:t>
      </w:r>
      <w:r w:rsidR="00BE23E4">
        <w:rPr>
          <w:rStyle w:val="ReferencestootherSOPsQCDsChar"/>
        </w:rPr>
        <w:t>)</w:t>
      </w:r>
      <w:r>
        <w:t>.</w:t>
      </w:r>
      <w:bookmarkEnd w:id="5"/>
    </w:p>
    <w:p w14:paraId="0B301ED8" w14:textId="3BCD2882" w:rsidR="005F0420" w:rsidRDefault="005F0420" w:rsidP="0060052C">
      <w:pPr>
        <w:pStyle w:val="Heading1"/>
      </w:pPr>
      <w:r>
        <w:t>Background</w:t>
      </w:r>
      <w:r w:rsidR="008D54DF">
        <w:t xml:space="preserve"> and </w:t>
      </w:r>
      <w:r w:rsidR="00790BED">
        <w:t>r</w:t>
      </w:r>
      <w:r w:rsidR="008D54DF">
        <w:t>ationale</w:t>
      </w:r>
    </w:p>
    <w:p w14:paraId="501C074E" w14:textId="34868E78" w:rsidR="00E812CE" w:rsidRPr="00E812CE" w:rsidRDefault="00E812CE" w:rsidP="00E812CE">
      <w:r w:rsidRPr="00E812CE">
        <w:t xml:space="preserve">For the purposes of this SOP the terms ‘clinical research or ‘research project’ will cover </w:t>
      </w:r>
      <w:r w:rsidR="006F5BBA">
        <w:t>c</w:t>
      </w:r>
      <w:r w:rsidR="006F5BBA" w:rsidRPr="00E812CE">
        <w:t xml:space="preserve">linical </w:t>
      </w:r>
      <w:r w:rsidR="006F5BBA">
        <w:t>t</w:t>
      </w:r>
      <w:r w:rsidR="006F5BBA" w:rsidRPr="00E812CE">
        <w:t xml:space="preserve">rials </w:t>
      </w:r>
      <w:r w:rsidRPr="00E812CE">
        <w:t xml:space="preserve">of </w:t>
      </w:r>
      <w:r w:rsidR="006F5BBA">
        <w:t>i</w:t>
      </w:r>
      <w:r w:rsidR="006F5BBA" w:rsidRPr="00E812CE">
        <w:t xml:space="preserve">nvestigational </w:t>
      </w:r>
      <w:r w:rsidR="006F5BBA">
        <w:t>m</w:t>
      </w:r>
      <w:r w:rsidR="006F5BBA" w:rsidRPr="00E812CE">
        <w:t xml:space="preserve">edicinal </w:t>
      </w:r>
      <w:r w:rsidR="006F5BBA">
        <w:t>p</w:t>
      </w:r>
      <w:r w:rsidR="006F5BBA" w:rsidRPr="00E812CE">
        <w:t xml:space="preserve">roducts </w:t>
      </w:r>
      <w:r w:rsidRPr="00E812CE">
        <w:t xml:space="preserve">(CTIMPs), other interventional trials (e.g. surgical trials, device trials and non-CTIMP trials, and any other projects deemed to be ‘interventional’ by the </w:t>
      </w:r>
      <w:r w:rsidR="009F3846">
        <w:t>s</w:t>
      </w:r>
      <w:r w:rsidR="009F3846" w:rsidRPr="00E812CE">
        <w:t>ponsor</w:t>
      </w:r>
      <w:r w:rsidRPr="00E812CE">
        <w:t>), and clinical studies.</w:t>
      </w:r>
    </w:p>
    <w:p w14:paraId="5E511613" w14:textId="77777777" w:rsidR="00E812CE" w:rsidRPr="00E812CE" w:rsidRDefault="00E812CE" w:rsidP="00E812CE">
      <w:r w:rsidRPr="00E812CE">
        <w:t xml:space="preserve">Randomisation is the process used for assigning participants in a clinical research project to intervention groups without taking any similarities or differences between them into account. Random allocation ensures that any differences between the groups at entry to the research project are due to chance alone. An experienced statistician, or other appropriately qualified individual, should lead on the development of an appropriate randomisation method and ensure that the randomisation schedule is produced and documented. </w:t>
      </w:r>
    </w:p>
    <w:p w14:paraId="67C8AF77" w14:textId="5ECC7102" w:rsidR="00E812CE" w:rsidRPr="00E812CE" w:rsidRDefault="00E812CE" w:rsidP="00E812CE">
      <w:r w:rsidRPr="00E812CE">
        <w:t xml:space="preserve">Blinding is the process that keeps one or more parties involved in a research project (e.g. the sponsor, pharmacy, the investigator team and/or the subject) unaware of what treatment arm participants have been randomised to. Maintaining the integrity of the blind is a key consideration for all those involved in the research project. Compromising the blind may have a significant impact on the interpretation of the results so careful planning, communication and training are necessary to ensure robust processes are in place to maintain the blind. Unblinding is however permissible for the urgent medical treatment of a participant, for safety reporting requirements e.g. reporting of </w:t>
      </w:r>
      <w:r w:rsidR="009F3846">
        <w:t>s</w:t>
      </w:r>
      <w:r w:rsidR="009F3846" w:rsidRPr="00E812CE">
        <w:t xml:space="preserve">uspected </w:t>
      </w:r>
      <w:r w:rsidR="009F3846">
        <w:t>u</w:t>
      </w:r>
      <w:r w:rsidR="009F3846" w:rsidRPr="00E812CE">
        <w:t xml:space="preserve">nexpected </w:t>
      </w:r>
      <w:r w:rsidR="009F3846">
        <w:t>s</w:t>
      </w:r>
      <w:r w:rsidR="009F3846" w:rsidRPr="00E812CE">
        <w:t xml:space="preserve">erious </w:t>
      </w:r>
      <w:r w:rsidR="009F3846">
        <w:t>a</w:t>
      </w:r>
      <w:r w:rsidR="009F3846" w:rsidRPr="00E812CE">
        <w:t xml:space="preserve">dverse </w:t>
      </w:r>
      <w:r w:rsidR="009F3846">
        <w:t>r</w:t>
      </w:r>
      <w:r w:rsidR="009F3846" w:rsidRPr="00E812CE">
        <w:t xml:space="preserve">eactions </w:t>
      </w:r>
      <w:r w:rsidRPr="00E812CE">
        <w:t>(SUSARs) to the Medicines and Healthcare products Regulatory Agency (MHRA) or for any pre-specified protocol indication such as interim analysis.</w:t>
      </w:r>
    </w:p>
    <w:p w14:paraId="19005CE6" w14:textId="507E9342" w:rsidR="00475745" w:rsidRDefault="00E812CE" w:rsidP="00E812CE">
      <w:r w:rsidRPr="00E812CE">
        <w:t xml:space="preserve">Monitoring of blinded clinical research projects can be complicated, especially if the intervention is unblinded to some of the staff at the investigator site (for example the </w:t>
      </w:r>
      <w:r w:rsidR="009F3846">
        <w:t>p</w:t>
      </w:r>
      <w:r w:rsidR="009F3846" w:rsidRPr="00E812CE">
        <w:t>harmacist</w:t>
      </w:r>
      <w:r w:rsidRPr="00E812CE">
        <w:t xml:space="preserve">). If the monitor is unblinded, there could potentially be bias introduced into the queries raised by monitors when conducting data verification on </w:t>
      </w:r>
      <w:r w:rsidR="009F3846">
        <w:t>a</w:t>
      </w:r>
      <w:r w:rsidR="009F3846" w:rsidRPr="00E812CE">
        <w:t xml:space="preserve">dverse </w:t>
      </w:r>
      <w:r w:rsidR="009F3846">
        <w:t>e</w:t>
      </w:r>
      <w:r w:rsidR="009F3846" w:rsidRPr="00E812CE">
        <w:t xml:space="preserve">vents </w:t>
      </w:r>
      <w:r w:rsidRPr="00E812CE">
        <w:t xml:space="preserve">(AEs) or </w:t>
      </w:r>
      <w:r w:rsidR="009F3846">
        <w:t>s</w:t>
      </w:r>
      <w:r w:rsidR="009F3846" w:rsidRPr="00E812CE">
        <w:t xml:space="preserve">erious </w:t>
      </w:r>
      <w:r w:rsidR="009F3846">
        <w:t>a</w:t>
      </w:r>
      <w:r w:rsidR="009F3846" w:rsidRPr="00E812CE">
        <w:t xml:space="preserve">dverse </w:t>
      </w:r>
      <w:r w:rsidR="009F3846">
        <w:t>e</w:t>
      </w:r>
      <w:r w:rsidR="009F3846" w:rsidRPr="00E812CE">
        <w:t xml:space="preserve">vents </w:t>
      </w:r>
      <w:r w:rsidRPr="00E812CE">
        <w:t>(SAEs) and they may risk unblinding the investigator team.</w:t>
      </w:r>
    </w:p>
    <w:p w14:paraId="3DF88FEA" w14:textId="5674A276" w:rsidR="009A221B" w:rsidRPr="009A221B" w:rsidRDefault="00B14826" w:rsidP="0060052C">
      <w:pPr>
        <w:pStyle w:val="Heading1"/>
      </w:pPr>
      <w:r>
        <w:lastRenderedPageBreak/>
        <w:t>Process map</w:t>
      </w:r>
    </w:p>
    <w:p w14:paraId="03B5CBDE" w14:textId="23E5E3E5" w:rsidR="00B14826" w:rsidRDefault="0091427F" w:rsidP="009A221B">
      <w:pPr>
        <w:jc w:val="center"/>
      </w:pPr>
      <w:r>
        <w:object w:dxaOrig="9581" w:dyaOrig="14811" w14:anchorId="0A088F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rocess map outlining the steps detailed in the document." style="width:436pt;height:675.35pt;mso-position-horizontal:absolute" o:ole="">
            <v:imagedata r:id="rId14" o:title=""/>
          </v:shape>
          <o:OLEObject Type="Embed" ProgID="Visio.Drawing.15" ShapeID="_x0000_i1025" DrawAspect="Content" ObjectID="_1732690847" r:id="rId15"/>
        </w:object>
      </w:r>
    </w:p>
    <w:p w14:paraId="705ABE8A" w14:textId="5389700B" w:rsidR="00E22773" w:rsidRPr="00435EAE" w:rsidRDefault="00C3647F">
      <w:pPr>
        <w:pStyle w:val="Heading1"/>
      </w:pPr>
      <w:r w:rsidRPr="00435EAE">
        <w:lastRenderedPageBreak/>
        <w:t>Procedure</w:t>
      </w:r>
    </w:p>
    <w:p w14:paraId="644CAB7E" w14:textId="77777777" w:rsidR="00B20DFB" w:rsidRDefault="00B20DFB" w:rsidP="00B20DFB">
      <w:pPr>
        <w:pStyle w:val="Heading2"/>
      </w:pPr>
      <w:r>
        <w:t>Randomisation</w:t>
      </w:r>
    </w:p>
    <w:p w14:paraId="6C5BE83F" w14:textId="5A9C3468" w:rsidR="00B20DFB" w:rsidRPr="00100FB7" w:rsidRDefault="00B20DFB" w:rsidP="00B20DFB">
      <w:pPr>
        <w:pStyle w:val="Heading3"/>
      </w:pPr>
      <w:r>
        <w:t xml:space="preserve">Randomisation </w:t>
      </w:r>
      <w:r w:rsidR="00790BED">
        <w:t>m</w:t>
      </w:r>
      <w:r>
        <w:t>ethodology</w:t>
      </w:r>
    </w:p>
    <w:p w14:paraId="1CE9B32C" w14:textId="128BA87A" w:rsidR="00B20DFB" w:rsidRDefault="00B20DFB" w:rsidP="00B20DFB">
      <w:pPr>
        <w:pStyle w:val="Numberlist"/>
        <w:numPr>
          <w:ilvl w:val="0"/>
          <w:numId w:val="12"/>
        </w:numPr>
      </w:pPr>
      <w:r>
        <w:t xml:space="preserve">The CI (or delegate) will seek advice from a statistician or statistical advisor </w:t>
      </w:r>
      <w:r w:rsidRPr="00DE2DD2">
        <w:t xml:space="preserve">on the development of an appropriate randomisation </w:t>
      </w:r>
      <w:r>
        <w:t xml:space="preserve">and blinding </w:t>
      </w:r>
      <w:r w:rsidRPr="00DE2DD2">
        <w:t xml:space="preserve">method for the </w:t>
      </w:r>
      <w:r>
        <w:t>research project</w:t>
      </w:r>
      <w:r w:rsidRPr="00DE2DD2">
        <w:t xml:space="preserve"> </w:t>
      </w:r>
      <w:r>
        <w:t>and the production of a documented randomisation schedule (or list)</w:t>
      </w:r>
      <w:r w:rsidRPr="00DE2DD2">
        <w:t>.</w:t>
      </w:r>
      <w:r w:rsidRPr="00C65A1B">
        <w:t xml:space="preserve"> </w:t>
      </w:r>
      <w:r w:rsidRPr="00187FAB">
        <w:t xml:space="preserve">See </w:t>
      </w:r>
      <w:r>
        <w:rPr>
          <w:i/>
          <w:iCs/>
          <w:color w:val="943634"/>
        </w:rPr>
        <w:t>Statistics</w:t>
      </w:r>
      <w:r w:rsidR="00474138">
        <w:rPr>
          <w:i/>
          <w:iCs/>
          <w:color w:val="943634"/>
        </w:rPr>
        <w:t xml:space="preserve"> SOP (</w:t>
      </w:r>
      <w:r w:rsidR="00474138" w:rsidRPr="00187FAB">
        <w:rPr>
          <w:i/>
          <w:iCs/>
          <w:color w:val="943634"/>
        </w:rPr>
        <w:t>UoB-</w:t>
      </w:r>
      <w:r w:rsidR="00474138">
        <w:rPr>
          <w:i/>
          <w:iCs/>
          <w:color w:val="943634"/>
        </w:rPr>
        <w:t>STA-SOP-001)</w:t>
      </w:r>
      <w:r w:rsidRPr="00187FAB">
        <w:t xml:space="preserve"> for further information</w:t>
      </w:r>
      <w:r>
        <w:t>.</w:t>
      </w:r>
    </w:p>
    <w:p w14:paraId="4C8B633E" w14:textId="722F0BCE" w:rsidR="00B20DFB" w:rsidRPr="00DE2DD2" w:rsidRDefault="00B20DFB" w:rsidP="00B20DFB">
      <w:pPr>
        <w:pStyle w:val="bullet2"/>
      </w:pPr>
      <w:r>
        <w:t>Evidence of the statistician</w:t>
      </w:r>
      <w:r w:rsidR="009F3846">
        <w:t>’s</w:t>
      </w:r>
      <w:r>
        <w:t xml:space="preserve"> or statistical advisor</w:t>
      </w:r>
      <w:r w:rsidR="009F3846">
        <w:t>’s</w:t>
      </w:r>
      <w:r>
        <w:t xml:space="preserve"> involvement in </w:t>
      </w:r>
      <w:r w:rsidR="009F3846">
        <w:t xml:space="preserve">the </w:t>
      </w:r>
      <w:r>
        <w:t>design will be documented (e.g. emails, meeting minutes, comments on proposals/protocols).</w:t>
      </w:r>
      <w:r w:rsidRPr="00C65A1B">
        <w:t xml:space="preserve"> </w:t>
      </w:r>
    </w:p>
    <w:p w14:paraId="1A6B2D93" w14:textId="77777777" w:rsidR="00B20DFB" w:rsidRPr="00DE2DD2" w:rsidRDefault="00B20DFB" w:rsidP="00B20DFB">
      <w:pPr>
        <w:pStyle w:val="NumberlistforSOPs"/>
        <w:numPr>
          <w:ilvl w:val="0"/>
          <w:numId w:val="12"/>
        </w:numPr>
      </w:pPr>
      <w:r>
        <w:t>The CI (or delegate) will ensure that t</w:t>
      </w:r>
      <w:r w:rsidRPr="00DE2DD2">
        <w:t xml:space="preserve">he </w:t>
      </w:r>
      <w:r>
        <w:t xml:space="preserve">randomisation </w:t>
      </w:r>
      <w:r w:rsidRPr="00DE2DD2">
        <w:t xml:space="preserve">method used </w:t>
      </w:r>
      <w:r>
        <w:t>is appropriate for the research project</w:t>
      </w:r>
      <w:r w:rsidRPr="00DE2DD2">
        <w:t xml:space="preserve"> and </w:t>
      </w:r>
      <w:r>
        <w:t>reduces</w:t>
      </w:r>
      <w:r w:rsidRPr="00DE2DD2">
        <w:t xml:space="preserve"> the chance of imbalance between treatment groups (e.g. simple, block, stratified, minimisation)</w:t>
      </w:r>
      <w:r>
        <w:t>.</w:t>
      </w:r>
    </w:p>
    <w:p w14:paraId="1CC01109" w14:textId="77777777" w:rsidR="00B20DFB" w:rsidRDefault="00B20DFB" w:rsidP="00B20DFB">
      <w:pPr>
        <w:pStyle w:val="NumberlistforSOPs"/>
        <w:numPr>
          <w:ilvl w:val="0"/>
          <w:numId w:val="12"/>
        </w:numPr>
      </w:pPr>
      <w:r>
        <w:t xml:space="preserve">The statistician will ensure that when </w:t>
      </w:r>
      <w:r w:rsidRPr="00C76612">
        <w:t>user-written code</w:t>
      </w:r>
      <w:r>
        <w:t>s</w:t>
      </w:r>
      <w:r w:rsidRPr="00C76612">
        <w:t xml:space="preserve">/macros and programs </w:t>
      </w:r>
      <w:r>
        <w:t>are used to prepare the randomisation schedule the program is appropriately validated, documentation to demonstrate the validation is retained and that t</w:t>
      </w:r>
      <w:r w:rsidRPr="00DE2DD2">
        <w:t xml:space="preserve">he </w:t>
      </w:r>
      <w:r>
        <w:t xml:space="preserve">randomisation </w:t>
      </w:r>
      <w:r w:rsidRPr="00DE2DD2">
        <w:t>method</w:t>
      </w:r>
      <w:r>
        <w:t xml:space="preserve"> can be verified and reconstructed at a later date. </w:t>
      </w:r>
    </w:p>
    <w:p w14:paraId="0F5A3554" w14:textId="77777777" w:rsidR="00B20DFB" w:rsidRDefault="00B20DFB" w:rsidP="00B20DFB">
      <w:pPr>
        <w:pStyle w:val="bullet2"/>
      </w:pPr>
      <w:r w:rsidRPr="00121715">
        <w:rPr>
          <w:rStyle w:val="bullet2Char"/>
        </w:rPr>
        <w:t xml:space="preserve">For example, where software using a random number generator is used to produce the randomisation schedule the seed used for the randomisation </w:t>
      </w:r>
      <w:r>
        <w:rPr>
          <w:rStyle w:val="bullet2Char"/>
        </w:rPr>
        <w:t xml:space="preserve">is </w:t>
      </w:r>
      <w:r w:rsidRPr="00121715">
        <w:rPr>
          <w:rStyle w:val="bullet2Char"/>
        </w:rPr>
        <w:t>documented and stored.</w:t>
      </w:r>
      <w:r w:rsidDel="007E2A3C">
        <w:t xml:space="preserve"> </w:t>
      </w:r>
    </w:p>
    <w:p w14:paraId="12BC8DB1" w14:textId="77777777" w:rsidR="00B20DFB" w:rsidRDefault="00B20DFB" w:rsidP="00B20DFB">
      <w:pPr>
        <w:pStyle w:val="NumberlistforSOPs"/>
        <w:numPr>
          <w:ilvl w:val="0"/>
          <w:numId w:val="12"/>
        </w:numPr>
      </w:pPr>
      <w:r w:rsidRPr="00FD6E2B">
        <w:t xml:space="preserve">The CI (or delegate) will ensure that </w:t>
      </w:r>
      <w:r>
        <w:t xml:space="preserve">the randomisation method and parameters of the randomisation process (e.g. stratification variables, inclusion and exclusion criteria) are described fully in the protocol. </w:t>
      </w:r>
    </w:p>
    <w:p w14:paraId="66947F4A" w14:textId="026D59EB" w:rsidR="00B20DFB" w:rsidRDefault="00B20DFB" w:rsidP="00B20DFB">
      <w:pPr>
        <w:pStyle w:val="bullet2"/>
      </w:pPr>
      <w:r>
        <w:rPr>
          <w:rStyle w:val="bullet2Char"/>
        </w:rPr>
        <w:t>For clinical trials</w:t>
      </w:r>
      <w:r w:rsidR="0091427F">
        <w:rPr>
          <w:rStyle w:val="bullet2Char"/>
        </w:rPr>
        <w:t>,</w:t>
      </w:r>
      <w:r>
        <w:rPr>
          <w:rStyle w:val="bullet2Char"/>
        </w:rPr>
        <w:t xml:space="preserve"> the randomisation method and process will be described i</w:t>
      </w:r>
      <w:r w:rsidRPr="009738CB">
        <w:rPr>
          <w:rStyle w:val="bullet2Char"/>
        </w:rPr>
        <w:t>n</w:t>
      </w:r>
      <w:r>
        <w:t xml:space="preserve"> the final publication according to </w:t>
      </w:r>
      <w:r w:rsidR="009F3846">
        <w:t xml:space="preserve">the </w:t>
      </w:r>
      <w:hyperlink r:id="rId16" w:tooltip="Website for the CONSORT (Consolidated Standards of Reporting Trials) Statement guidelines" w:history="1">
        <w:r w:rsidRPr="00405C07">
          <w:rPr>
            <w:rStyle w:val="Hyperlink"/>
          </w:rPr>
          <w:t xml:space="preserve">CONSORT (Consolidated Standards of Reporting Trials) </w:t>
        </w:r>
        <w:r w:rsidR="009F3846">
          <w:rPr>
            <w:rStyle w:val="Hyperlink"/>
          </w:rPr>
          <w:t>S</w:t>
        </w:r>
        <w:r w:rsidR="009F3846" w:rsidRPr="00405C07">
          <w:rPr>
            <w:rStyle w:val="Hyperlink"/>
          </w:rPr>
          <w:t xml:space="preserve">tatement </w:t>
        </w:r>
        <w:r w:rsidRPr="00405C07">
          <w:rPr>
            <w:rStyle w:val="Hyperlink"/>
          </w:rPr>
          <w:t>guidelines</w:t>
        </w:r>
      </w:hyperlink>
      <w:r w:rsidR="00B933CA" w:rsidRPr="00091E37">
        <w:t>.</w:t>
      </w:r>
      <w:r w:rsidR="00B933CA">
        <w:t xml:space="preserve"> </w:t>
      </w:r>
      <w:r w:rsidRPr="00091E37">
        <w:t xml:space="preserve">Also see </w:t>
      </w:r>
      <w:hyperlink r:id="rId17" w:tooltip="Website for the Extensions of the CONSORT Statement" w:history="1">
        <w:r w:rsidR="009F3846">
          <w:rPr>
            <w:color w:val="0000FF"/>
            <w:u w:val="single"/>
          </w:rPr>
          <w:t>E</w:t>
        </w:r>
        <w:r w:rsidRPr="00091E37">
          <w:rPr>
            <w:color w:val="0000FF"/>
            <w:u w:val="single"/>
          </w:rPr>
          <w:t xml:space="preserve">xtensions of the CONSORT </w:t>
        </w:r>
        <w:r w:rsidR="009F3846">
          <w:rPr>
            <w:color w:val="0000FF"/>
            <w:u w:val="single"/>
          </w:rPr>
          <w:t>S</w:t>
        </w:r>
        <w:r w:rsidRPr="00091E37">
          <w:rPr>
            <w:color w:val="0000FF"/>
            <w:u w:val="single"/>
          </w:rPr>
          <w:t>tatement</w:t>
        </w:r>
      </w:hyperlink>
      <w:r w:rsidRPr="00091E37">
        <w:t xml:space="preserve"> for “non-standard” randomised trial with specific designs, data and interventions. </w:t>
      </w:r>
    </w:p>
    <w:p w14:paraId="69E4185D" w14:textId="19335116" w:rsidR="00B20DFB" w:rsidRDefault="00B20DFB" w:rsidP="00B20DFB">
      <w:pPr>
        <w:pStyle w:val="Heading3"/>
      </w:pPr>
      <w:r>
        <w:t xml:space="preserve">Production and </w:t>
      </w:r>
      <w:r w:rsidR="00790BED">
        <w:t>m</w:t>
      </w:r>
      <w:r>
        <w:t xml:space="preserve">aintenance of the </w:t>
      </w:r>
      <w:r w:rsidR="00790BED">
        <w:t>r</w:t>
      </w:r>
      <w:r>
        <w:t xml:space="preserve">andomisation </w:t>
      </w:r>
      <w:r w:rsidR="00790BED">
        <w:t>s</w:t>
      </w:r>
      <w:r>
        <w:t xml:space="preserve">chedule </w:t>
      </w:r>
    </w:p>
    <w:p w14:paraId="6E87A9DC" w14:textId="77777777" w:rsidR="00B20DFB" w:rsidRPr="00F9758B" w:rsidRDefault="00B20DFB" w:rsidP="00B20DFB">
      <w:pPr>
        <w:pStyle w:val="Numberlist"/>
        <w:numPr>
          <w:ilvl w:val="0"/>
          <w:numId w:val="12"/>
        </w:numPr>
      </w:pPr>
      <w:r>
        <w:t>The CI (or delegate) will produce a</w:t>
      </w:r>
      <w:r w:rsidRPr="00F9758B">
        <w:t xml:space="preserve"> randomisation</w:t>
      </w:r>
      <w:r>
        <w:t xml:space="preserve"> schedule </w:t>
      </w:r>
      <w:r w:rsidRPr="00F9758B">
        <w:t>with det</w:t>
      </w:r>
      <w:r>
        <w:t>ails of the randomisation codes.</w:t>
      </w:r>
    </w:p>
    <w:p w14:paraId="658C4359" w14:textId="77777777" w:rsidR="00B20DFB" w:rsidRPr="00B31ADC" w:rsidRDefault="00B20DFB" w:rsidP="00B31ADC">
      <w:pPr>
        <w:pStyle w:val="bullet2"/>
      </w:pPr>
      <w:r w:rsidRPr="00B31ADC">
        <w:t>The randomisation schedule may be produced in collaboration with the statistician.</w:t>
      </w:r>
    </w:p>
    <w:p w14:paraId="510092DC" w14:textId="77777777" w:rsidR="00B20DFB" w:rsidRPr="00B31ADC" w:rsidRDefault="00B20DFB" w:rsidP="00B31ADC">
      <w:pPr>
        <w:pStyle w:val="bullet2"/>
      </w:pPr>
      <w:r w:rsidRPr="00B31ADC">
        <w:t>The randomisation schedule may consist of a paper record only or also as an electronic version.</w:t>
      </w:r>
    </w:p>
    <w:p w14:paraId="3BC6B15D" w14:textId="77777777" w:rsidR="00B20DFB" w:rsidRPr="00B31ADC" w:rsidRDefault="00B20DFB" w:rsidP="00B31ADC">
      <w:pPr>
        <w:pStyle w:val="bullet2"/>
      </w:pPr>
      <w:r w:rsidRPr="00B31ADC">
        <w:t>It is expected that the randomisation code is complex enough to ensure blinding is maintained; avoid simple coding such as labelling arms as ‘A’ and ‘B’, which means when one participant is unblinded the whole research project will be unblinded.</w:t>
      </w:r>
    </w:p>
    <w:p w14:paraId="508F1F17" w14:textId="7EBB5A86" w:rsidR="00B20DFB" w:rsidRPr="00B31ADC" w:rsidRDefault="00B20DFB" w:rsidP="00B31ADC">
      <w:pPr>
        <w:pStyle w:val="bullet2"/>
      </w:pPr>
      <w:r w:rsidRPr="00B31ADC">
        <w:t>For independent investigators running clinical research outside of a UoB CTU, it is strongly recommended that a third</w:t>
      </w:r>
      <w:r w:rsidR="00474138">
        <w:t>-</w:t>
      </w:r>
      <w:r w:rsidRPr="00B31ADC">
        <w:t xml:space="preserve">party source is used to generate and execute the randomisation schedule, e.g. a local pharmacy or a randomisation service provided by a CTU. </w:t>
      </w:r>
    </w:p>
    <w:p w14:paraId="1DA89B2F" w14:textId="002C969A" w:rsidR="00B20DFB" w:rsidRPr="00F9758B" w:rsidRDefault="00B20DFB" w:rsidP="00B20DFB">
      <w:pPr>
        <w:pStyle w:val="bullet3"/>
      </w:pPr>
      <w:r w:rsidRPr="00F9758B">
        <w:t xml:space="preserve">The details of the service being provided and the roles and responsibilities of any third party </w:t>
      </w:r>
      <w:r>
        <w:t>will</w:t>
      </w:r>
      <w:r w:rsidRPr="00F9758B">
        <w:t xml:space="preserve"> be documented and agreed via a signed contractual agreement (for</w:t>
      </w:r>
      <w:r>
        <w:t xml:space="preserve"> sources</w:t>
      </w:r>
      <w:r w:rsidRPr="00F9758B">
        <w:t xml:space="preserve"> external</w:t>
      </w:r>
      <w:r>
        <w:t xml:space="preserve"> to</w:t>
      </w:r>
      <w:r w:rsidRPr="00F9758B">
        <w:t xml:space="preserve"> </w:t>
      </w:r>
      <w:proofErr w:type="spellStart"/>
      <w:r w:rsidRPr="00F9758B">
        <w:t>UoB</w:t>
      </w:r>
      <w:proofErr w:type="spellEnd"/>
      <w:r w:rsidRPr="00F9758B">
        <w:t xml:space="preserve">) or a </w:t>
      </w:r>
      <w:r w:rsidR="009F3846">
        <w:t>m</w:t>
      </w:r>
      <w:r w:rsidR="009F3846" w:rsidRPr="00F9758B">
        <w:t xml:space="preserve">emorandum </w:t>
      </w:r>
      <w:r w:rsidRPr="00F9758B">
        <w:t xml:space="preserve">of </w:t>
      </w:r>
      <w:r w:rsidR="009F3846">
        <w:t>u</w:t>
      </w:r>
      <w:r w:rsidR="009F3846" w:rsidRPr="00F9758B">
        <w:t xml:space="preserve">nderstanding </w:t>
      </w:r>
      <w:r w:rsidRPr="00F9758B">
        <w:t xml:space="preserve">(for sources internal </w:t>
      </w:r>
      <w:r>
        <w:t xml:space="preserve">to </w:t>
      </w:r>
      <w:r w:rsidRPr="00F9758B">
        <w:t>UoB)</w:t>
      </w:r>
      <w:r>
        <w:t>. See</w:t>
      </w:r>
      <w:r w:rsidR="00474138">
        <w:t xml:space="preserve"> the</w:t>
      </w:r>
      <w:r>
        <w:t xml:space="preserve"> </w:t>
      </w:r>
      <w:bookmarkStart w:id="6" w:name="_Hlk122012779"/>
      <w:r w:rsidR="00474138">
        <w:rPr>
          <w:rStyle w:val="ReferencestootherSOPsQCDsChar"/>
        </w:rPr>
        <w:t>Compliance Review SOP (UoB-CPR-SOP-001)</w:t>
      </w:r>
      <w:r>
        <w:t xml:space="preserve"> </w:t>
      </w:r>
      <w:bookmarkEnd w:id="6"/>
      <w:r>
        <w:t>for further information</w:t>
      </w:r>
      <w:r w:rsidR="00474138">
        <w:t xml:space="preserve"> on third</w:t>
      </w:r>
      <w:r w:rsidR="009F3846">
        <w:t>-</w:t>
      </w:r>
      <w:r w:rsidR="00474138">
        <w:t>part</w:t>
      </w:r>
      <w:r w:rsidR="009F3846">
        <w:t>y</w:t>
      </w:r>
      <w:r w:rsidR="00474138">
        <w:t xml:space="preserve"> (vendor) assessment and management</w:t>
      </w:r>
      <w:r>
        <w:t>.</w:t>
      </w:r>
    </w:p>
    <w:p w14:paraId="52252253" w14:textId="3856EEE4" w:rsidR="00790BED" w:rsidRPr="00B31ADC" w:rsidRDefault="00790BED" w:rsidP="00EF1BD9">
      <w:pPr>
        <w:pStyle w:val="Numberlist"/>
      </w:pPr>
      <w:r>
        <w:t>The CI (or delegate) will ensure t</w:t>
      </w:r>
      <w:r w:rsidRPr="00B31ADC">
        <w:t xml:space="preserve">he randomisation schedule </w:t>
      </w:r>
      <w:r>
        <w:t>has</w:t>
      </w:r>
      <w:r w:rsidRPr="00B31ADC">
        <w:t xml:space="preserve"> version-control applied. Where there are changes to the randomisation schedule through the course of the research project, version control will include the date when the new schedule became active. See</w:t>
      </w:r>
      <w:r>
        <w:t xml:space="preserve"> the</w:t>
      </w:r>
      <w:r w:rsidRPr="00B31ADC">
        <w:t xml:space="preserve"> </w:t>
      </w:r>
      <w:bookmarkStart w:id="7" w:name="_Hlk122012789"/>
      <w:r w:rsidRPr="00B31ADC">
        <w:rPr>
          <w:rStyle w:val="ReferencestootherSOPsQCDsChar"/>
        </w:rPr>
        <w:t xml:space="preserve">Essential Documents </w:t>
      </w:r>
      <w:r w:rsidR="00536CEF">
        <w:rPr>
          <w:rStyle w:val="ReferencestootherSOPsQCDsChar"/>
        </w:rPr>
        <w:t>D</w:t>
      </w:r>
      <w:r w:rsidRPr="00B31ADC">
        <w:rPr>
          <w:rStyle w:val="ReferencestootherSOPsQCDsChar"/>
        </w:rPr>
        <w:t xml:space="preserve">evelopment and </w:t>
      </w:r>
      <w:r w:rsidR="00536CEF">
        <w:rPr>
          <w:rStyle w:val="ReferencestootherSOPsQCDsChar"/>
        </w:rPr>
        <w:t>M</w:t>
      </w:r>
      <w:r w:rsidRPr="00B31ADC">
        <w:rPr>
          <w:rStyle w:val="ReferencestootherSOPsQCDsChar"/>
        </w:rPr>
        <w:t>aintenance</w:t>
      </w:r>
      <w:r>
        <w:rPr>
          <w:rStyle w:val="ReferencestootherSOPsQCDsChar"/>
        </w:rPr>
        <w:t xml:space="preserve"> SOP (</w:t>
      </w:r>
      <w:r w:rsidRPr="00B31ADC">
        <w:rPr>
          <w:rStyle w:val="ReferencestootherSOPsQCDsChar"/>
        </w:rPr>
        <w:t>UoB-ESD-SOP-001</w:t>
      </w:r>
      <w:r>
        <w:rPr>
          <w:rStyle w:val="ReferencestootherSOPsQCDsChar"/>
        </w:rPr>
        <w:t>)</w:t>
      </w:r>
      <w:bookmarkEnd w:id="7"/>
      <w:r w:rsidRPr="00B31ADC">
        <w:t xml:space="preserve"> for further information on version control. </w:t>
      </w:r>
    </w:p>
    <w:p w14:paraId="68562E24" w14:textId="74B842AE" w:rsidR="00B20DFB" w:rsidRPr="00F9758B" w:rsidRDefault="00B20DFB" w:rsidP="00B20DFB">
      <w:pPr>
        <w:pStyle w:val="Numberlist"/>
        <w:numPr>
          <w:ilvl w:val="0"/>
          <w:numId w:val="12"/>
        </w:numPr>
      </w:pPr>
      <w:r>
        <w:t xml:space="preserve">The CI (or delegate) will ensure that </w:t>
      </w:r>
      <w:r w:rsidRPr="00F9758B">
        <w:t>all procedures</w:t>
      </w:r>
      <w:r>
        <w:t xml:space="preserve"> in the process of</w:t>
      </w:r>
      <w:r w:rsidRPr="00F9758B">
        <w:t xml:space="preserve"> producing </w:t>
      </w:r>
      <w:r>
        <w:t xml:space="preserve">and managing </w:t>
      </w:r>
      <w:r w:rsidRPr="00F9758B">
        <w:t>the randomisation schedule</w:t>
      </w:r>
      <w:r>
        <w:t xml:space="preserve"> are</w:t>
      </w:r>
      <w:r w:rsidRPr="00F9758B">
        <w:t xml:space="preserve"> documented</w:t>
      </w:r>
      <w:r>
        <w:t>,</w:t>
      </w:r>
      <w:r w:rsidRPr="00F9758B">
        <w:t xml:space="preserve"> with particular consideration given to the </w:t>
      </w:r>
      <w:r w:rsidR="00790BED">
        <w:t>items listed below.</w:t>
      </w:r>
    </w:p>
    <w:p w14:paraId="4D3513A3" w14:textId="77777777" w:rsidR="00B20DFB" w:rsidRPr="00B31ADC" w:rsidRDefault="00B20DFB" w:rsidP="00EF1BD9">
      <w:pPr>
        <w:pStyle w:val="bullet2"/>
      </w:pPr>
      <w:r w:rsidRPr="00B31ADC">
        <w:t xml:space="preserve">Person(s) and job title(s) of those responsible for preparing and checking the randomisation schedule. </w:t>
      </w:r>
    </w:p>
    <w:p w14:paraId="083F3806" w14:textId="77777777" w:rsidR="00B20DFB" w:rsidRPr="00B31ADC" w:rsidRDefault="00B20DFB" w:rsidP="00B31ADC">
      <w:pPr>
        <w:pStyle w:val="bullet2"/>
      </w:pPr>
      <w:r w:rsidRPr="00B31ADC">
        <w:t>Distribution of the randomisation schedule including storage, access control methods and approach used to conceal allocation (e.g. password protected electronic format).</w:t>
      </w:r>
    </w:p>
    <w:p w14:paraId="7C54EF8E" w14:textId="5BE30CAA" w:rsidR="00B20DFB" w:rsidRPr="00B31ADC" w:rsidRDefault="00B20DFB" w:rsidP="00EF1BD9">
      <w:pPr>
        <w:pStyle w:val="bullet2"/>
      </w:pPr>
      <w:r w:rsidRPr="00B31ADC">
        <w:t xml:space="preserve">Method of implementation (e.g. web-based system, </w:t>
      </w:r>
      <w:r w:rsidR="00EF1BD9" w:rsidRPr="00B31ADC">
        <w:t>telephone-based</w:t>
      </w:r>
      <w:r w:rsidRPr="00B31ADC">
        <w:t xml:space="preserve"> system).</w:t>
      </w:r>
    </w:p>
    <w:p w14:paraId="61770F53" w14:textId="4E54A08F" w:rsidR="00B20DFB" w:rsidRPr="00B31ADC" w:rsidRDefault="00B20DFB" w:rsidP="00EF1BD9">
      <w:pPr>
        <w:pStyle w:val="bullet2"/>
      </w:pPr>
      <w:r w:rsidRPr="00B31ADC">
        <w:t xml:space="preserve">Details on how </w:t>
      </w:r>
      <w:r w:rsidR="00EF1BD9">
        <w:t xml:space="preserve">the </w:t>
      </w:r>
      <w:r w:rsidRPr="00B31ADC">
        <w:t xml:space="preserve">pharmacy or </w:t>
      </w:r>
      <w:r w:rsidR="00EF1BD9">
        <w:t>i</w:t>
      </w:r>
      <w:r w:rsidR="00EF1BD9" w:rsidRPr="00B31ADC">
        <w:t xml:space="preserve">nvestigational </w:t>
      </w:r>
      <w:r w:rsidR="00EF1BD9">
        <w:t>m</w:t>
      </w:r>
      <w:r w:rsidR="00EF1BD9" w:rsidRPr="00B31ADC">
        <w:t xml:space="preserve">edicinal </w:t>
      </w:r>
      <w:r w:rsidR="00EF1BD9">
        <w:t>p</w:t>
      </w:r>
      <w:r w:rsidR="00EF1BD9" w:rsidRPr="00B31ADC">
        <w:t xml:space="preserve">roduct </w:t>
      </w:r>
      <w:r w:rsidRPr="00B31ADC">
        <w:t>(IMP) supplier will be informed of the randomised treatment allocation (e.g. email sent to pharmacy), if applicable.</w:t>
      </w:r>
    </w:p>
    <w:p w14:paraId="2F93BCFE" w14:textId="77777777" w:rsidR="00B20DFB" w:rsidRPr="00B31ADC" w:rsidRDefault="00B20DFB" w:rsidP="00B31ADC">
      <w:pPr>
        <w:pStyle w:val="bullet2"/>
      </w:pPr>
      <w:r w:rsidRPr="00B31ADC">
        <w:lastRenderedPageBreak/>
        <w:t>Procedures put in place to ensure the randomisation schedule is adhered to.</w:t>
      </w:r>
    </w:p>
    <w:p w14:paraId="51C62DF2" w14:textId="236815CC" w:rsidR="00B20DFB" w:rsidRPr="004E2ECB" w:rsidRDefault="00B20DFB" w:rsidP="00B20DFB">
      <w:pPr>
        <w:pStyle w:val="bullet2"/>
        <w:numPr>
          <w:ilvl w:val="0"/>
          <w:numId w:val="0"/>
        </w:numPr>
        <w:ind w:left="340" w:right="340" w:hanging="340"/>
        <w:rPr>
          <w:b/>
        </w:rPr>
      </w:pPr>
      <w:r w:rsidRPr="004E2ECB">
        <w:rPr>
          <w:b/>
        </w:rPr>
        <w:t xml:space="preserve">Randomisation of </w:t>
      </w:r>
      <w:r w:rsidR="00790BED">
        <w:rPr>
          <w:b/>
        </w:rPr>
        <w:t>p</w:t>
      </w:r>
      <w:r w:rsidRPr="004E2ECB">
        <w:rPr>
          <w:b/>
        </w:rPr>
        <w:t>articipants</w:t>
      </w:r>
    </w:p>
    <w:p w14:paraId="3ADD764E" w14:textId="7B80C441" w:rsidR="00B20DFB" w:rsidRPr="00F9758B" w:rsidRDefault="00B20DFB" w:rsidP="00B20DFB">
      <w:pPr>
        <w:pStyle w:val="Numberlist"/>
        <w:numPr>
          <w:ilvl w:val="0"/>
          <w:numId w:val="12"/>
        </w:numPr>
      </w:pPr>
      <w:r>
        <w:t xml:space="preserve">The CI (or delegate) will ensure that </w:t>
      </w:r>
      <w:r w:rsidRPr="00F9758B">
        <w:t xml:space="preserve">randomisation of </w:t>
      </w:r>
      <w:r>
        <w:t xml:space="preserve">participants </w:t>
      </w:r>
      <w:r w:rsidRPr="00F9758B">
        <w:t xml:space="preserve">only occurs once </w:t>
      </w:r>
      <w:r>
        <w:t>the following</w:t>
      </w:r>
      <w:r w:rsidRPr="00F9758B">
        <w:t xml:space="preserve"> are in place:</w:t>
      </w:r>
    </w:p>
    <w:p w14:paraId="5D105C8F" w14:textId="5548E2C9" w:rsidR="00B20DFB" w:rsidRDefault="00B20DFB" w:rsidP="00B20DFB">
      <w:pPr>
        <w:pStyle w:val="bullet2"/>
      </w:pPr>
      <w:r w:rsidRPr="00E7609D">
        <w:t xml:space="preserve">The site has been approved for </w:t>
      </w:r>
      <w:r>
        <w:t>recruitment</w:t>
      </w:r>
      <w:r w:rsidRPr="00E7609D">
        <w:t xml:space="preserve"> (</w:t>
      </w:r>
      <w:r>
        <w:t>e.g. HRA approval has been obtained and, if applicable,</w:t>
      </w:r>
      <w:r w:rsidRPr="00E7609D">
        <w:t xml:space="preserve"> R&amp;D approval has been obtained, the Clinical Site Agreement has been signed</w:t>
      </w:r>
      <w:r>
        <w:t xml:space="preserve"> and</w:t>
      </w:r>
      <w:r w:rsidRPr="00E7609D">
        <w:t xml:space="preserve"> site initiation has been performed</w:t>
      </w:r>
      <w:r>
        <w:t>).</w:t>
      </w:r>
      <w:r w:rsidR="00E06F44">
        <w:t xml:space="preserve"> See also </w:t>
      </w:r>
      <w:r w:rsidR="00EF1BD9">
        <w:t xml:space="preserve">the </w:t>
      </w:r>
      <w:bookmarkStart w:id="8" w:name="_Hlk122012808"/>
      <w:r w:rsidR="004E075E" w:rsidRPr="00EF1BD9">
        <w:rPr>
          <w:rStyle w:val="ReferencestootherSOPsQCDsChar"/>
        </w:rPr>
        <w:t>Investigator</w:t>
      </w:r>
      <w:r w:rsidR="004E075E">
        <w:t xml:space="preserve"> </w:t>
      </w:r>
      <w:r w:rsidR="00E06F44" w:rsidRPr="00EF1BD9">
        <w:rPr>
          <w:rStyle w:val="ReferencestootherSOPsQCDsChar"/>
        </w:rPr>
        <w:t>Site Management SOP (UoB-SMA-SOP-001)</w:t>
      </w:r>
      <w:r w:rsidR="00E06F44">
        <w:t>.</w:t>
      </w:r>
      <w:bookmarkEnd w:id="8"/>
    </w:p>
    <w:p w14:paraId="57BBCC10" w14:textId="3EB597D2" w:rsidR="00B20DFB" w:rsidRDefault="00B20DFB" w:rsidP="00B20DFB">
      <w:pPr>
        <w:pStyle w:val="bullet2"/>
      </w:pPr>
      <w:r w:rsidRPr="009321CB">
        <w:t xml:space="preserve">The </w:t>
      </w:r>
      <w:r>
        <w:t xml:space="preserve">participant </w:t>
      </w:r>
      <w:r w:rsidRPr="009321CB">
        <w:t>is eligible</w:t>
      </w:r>
      <w:r>
        <w:t>,</w:t>
      </w:r>
      <w:r w:rsidRPr="009321CB">
        <w:t xml:space="preserve"> has been appropriately consented for the </w:t>
      </w:r>
      <w:r>
        <w:t xml:space="preserve">research project and the required documentation has been completed (e.g. signed </w:t>
      </w:r>
      <w:r w:rsidR="00EF1BD9">
        <w:t>i</w:t>
      </w:r>
      <w:r>
        <w:t xml:space="preserve">nformed </w:t>
      </w:r>
      <w:r w:rsidR="00EF1BD9">
        <w:t>consent f</w:t>
      </w:r>
      <w:r w:rsidR="00EF1BD9" w:rsidRPr="009321CB">
        <w:t>orm</w:t>
      </w:r>
      <w:r w:rsidRPr="009321CB">
        <w:t>, randomisation checklist, eligibility criteria checklist)</w:t>
      </w:r>
      <w:r>
        <w:t xml:space="preserve">. </w:t>
      </w:r>
    </w:p>
    <w:p w14:paraId="5A907427" w14:textId="77777777" w:rsidR="00B20DFB" w:rsidRPr="00100FB7" w:rsidRDefault="00B20DFB" w:rsidP="00B20DFB">
      <w:pPr>
        <w:pStyle w:val="bullet2"/>
        <w:rPr>
          <w:b/>
        </w:rPr>
      </w:pPr>
      <w:r>
        <w:t>F</w:t>
      </w:r>
      <w:r w:rsidRPr="00E7609D">
        <w:t>or CTIMPs</w:t>
      </w:r>
      <w:r>
        <w:t>,</w:t>
      </w:r>
      <w:r w:rsidRPr="00E7609D">
        <w:t xml:space="preserve"> IMP is available and, where applicable, code-break envelopes are available on site.</w:t>
      </w:r>
    </w:p>
    <w:p w14:paraId="72C4DD0C" w14:textId="77777777" w:rsidR="00B20DFB" w:rsidRDefault="00B20DFB" w:rsidP="00B20DFB">
      <w:pPr>
        <w:pStyle w:val="Numberlist"/>
        <w:numPr>
          <w:ilvl w:val="0"/>
          <w:numId w:val="12"/>
        </w:numPr>
      </w:pPr>
      <w:r>
        <w:t>The CI (or delegate) will ensure the a</w:t>
      </w:r>
      <w:r w:rsidRPr="0002458E">
        <w:t xml:space="preserve">llocation of </w:t>
      </w:r>
      <w:r>
        <w:t xml:space="preserve">a </w:t>
      </w:r>
      <w:r w:rsidRPr="0002458E">
        <w:t xml:space="preserve">unique identifier </w:t>
      </w:r>
      <w:r>
        <w:t xml:space="preserve">for each participant </w:t>
      </w:r>
      <w:r w:rsidRPr="0002458E">
        <w:t xml:space="preserve">(i.e. </w:t>
      </w:r>
      <w:r>
        <w:t>a t</w:t>
      </w:r>
      <w:r w:rsidRPr="0002458E">
        <w:t>rial</w:t>
      </w:r>
      <w:r>
        <w:t>/study n</w:t>
      </w:r>
      <w:r w:rsidRPr="0002458E">
        <w:t xml:space="preserve">umber) </w:t>
      </w:r>
      <w:r>
        <w:t>and that methods are in place to prevent the same participant being randomised more than once.</w:t>
      </w:r>
    </w:p>
    <w:p w14:paraId="0561103F" w14:textId="77777777" w:rsidR="00B20DFB" w:rsidRPr="00F9758B" w:rsidRDefault="00B20DFB" w:rsidP="00B20DFB">
      <w:pPr>
        <w:pStyle w:val="Numberlist"/>
        <w:numPr>
          <w:ilvl w:val="0"/>
          <w:numId w:val="12"/>
        </w:numPr>
      </w:pPr>
      <w:r>
        <w:t>The CI (or delegate) will ensure that if a participant withdraws post-randomisation</w:t>
      </w:r>
      <w:r w:rsidRPr="00F9758B">
        <w:t xml:space="preserve"> the record of the </w:t>
      </w:r>
      <w:r>
        <w:t xml:space="preserve">participant’s </w:t>
      </w:r>
      <w:r w:rsidRPr="00F9758B">
        <w:t xml:space="preserve">randomisation </w:t>
      </w:r>
      <w:r>
        <w:t>is retained</w:t>
      </w:r>
      <w:r w:rsidRPr="00F9758B">
        <w:t>.</w:t>
      </w:r>
    </w:p>
    <w:p w14:paraId="77B8F02A" w14:textId="77777777" w:rsidR="00B20DFB" w:rsidRDefault="00B20DFB" w:rsidP="00B20DFB">
      <w:pPr>
        <w:pStyle w:val="Heading2"/>
        <w:rPr>
          <w:b/>
        </w:rPr>
      </w:pPr>
      <w:r w:rsidRPr="00FE07E1">
        <w:t>Blinding</w:t>
      </w:r>
      <w:r w:rsidRPr="00651998">
        <w:rPr>
          <w:b/>
        </w:rPr>
        <w:t xml:space="preserve"> </w:t>
      </w:r>
    </w:p>
    <w:p w14:paraId="0CE26CB4" w14:textId="20A4D1B3" w:rsidR="00B20DFB" w:rsidRPr="003B4F35" w:rsidRDefault="00B20DFB" w:rsidP="00B20DFB">
      <w:pPr>
        <w:pStyle w:val="Heading3"/>
      </w:pPr>
      <w:r>
        <w:t xml:space="preserve">Maintenance of the </w:t>
      </w:r>
      <w:r w:rsidR="00790BED">
        <w:t>b</w:t>
      </w:r>
      <w:r>
        <w:t>lind</w:t>
      </w:r>
    </w:p>
    <w:p w14:paraId="6570E92A" w14:textId="43082A38" w:rsidR="00B20DFB" w:rsidRDefault="00B20DFB" w:rsidP="00B20DFB">
      <w:pPr>
        <w:pStyle w:val="Numberlist"/>
        <w:numPr>
          <w:ilvl w:val="0"/>
          <w:numId w:val="12"/>
        </w:numPr>
      </w:pPr>
      <w:r>
        <w:t>The CI (or delegate) will ensure that procedures</w:t>
      </w:r>
      <w:r w:rsidRPr="00FE07E1">
        <w:t xml:space="preserve"> </w:t>
      </w:r>
      <w:r>
        <w:t>are</w:t>
      </w:r>
      <w:r w:rsidRPr="00FE07E1">
        <w:t xml:space="preserve"> implemented to control the randomisation schedule to prevent accidental or deliberate (unauthorised) unblinding. These procedures </w:t>
      </w:r>
      <w:r>
        <w:t>will</w:t>
      </w:r>
      <w:r w:rsidRPr="00FE07E1">
        <w:t xml:space="preserve"> include</w:t>
      </w:r>
      <w:r w:rsidR="00EF1BD9">
        <w:t xml:space="preserve"> those listed below.</w:t>
      </w:r>
      <w:r w:rsidRPr="00FE07E1">
        <w:t>:</w:t>
      </w:r>
    </w:p>
    <w:p w14:paraId="37ADDDCE" w14:textId="77777777" w:rsidR="00B20DFB" w:rsidRDefault="00B20DFB" w:rsidP="00B20DFB">
      <w:pPr>
        <w:pStyle w:val="bullet2"/>
        <w:ind w:left="720" w:right="340" w:hanging="360"/>
      </w:pPr>
      <w:r>
        <w:t>Access restrictions for the electronic/paper schedule and processes for handling the master randomisation schedule throughout the conduct of the research project.</w:t>
      </w:r>
    </w:p>
    <w:p w14:paraId="2422F0BE" w14:textId="77777777" w:rsidR="00B20DFB" w:rsidRDefault="00B20DFB" w:rsidP="00B20DFB">
      <w:pPr>
        <w:pStyle w:val="bullet2"/>
        <w:ind w:left="720" w:right="340" w:hanging="360"/>
      </w:pPr>
      <w:r>
        <w:t>If there are unblinded staff, clear documentation (e.g. in the delegation log) of who is authorised to perform unblinded duties.</w:t>
      </w:r>
    </w:p>
    <w:p w14:paraId="6B7A78BF" w14:textId="097BC236" w:rsidR="00B20DFB" w:rsidRDefault="00B20DFB" w:rsidP="00B20DFB">
      <w:pPr>
        <w:pStyle w:val="bullet2"/>
        <w:ind w:left="720" w:right="340" w:hanging="360"/>
      </w:pPr>
      <w:r>
        <w:t xml:space="preserve">Processes in place to protect the research project team from gaining access to unblinded data in cases where </w:t>
      </w:r>
      <w:r w:rsidR="00EF1BD9">
        <w:t xml:space="preserve">data monitoring committees </w:t>
      </w:r>
      <w:r>
        <w:t xml:space="preserve">require interim unblinded analysis reports. </w:t>
      </w:r>
    </w:p>
    <w:p w14:paraId="54771B6A" w14:textId="77777777" w:rsidR="00B20DFB" w:rsidRDefault="00B20DFB" w:rsidP="00B20DFB">
      <w:pPr>
        <w:pStyle w:val="bullet2"/>
        <w:ind w:left="720" w:right="340" w:hanging="360"/>
      </w:pPr>
      <w:r>
        <w:t>Storage of any unblinded documentation separate to the rest of the research project documentation, either until the end of the project or until the randomisation code has been broken for analysis.</w:t>
      </w:r>
    </w:p>
    <w:p w14:paraId="78639E3A" w14:textId="6BD636A1" w:rsidR="00B20DFB" w:rsidRDefault="00B20DFB" w:rsidP="00B20DFB">
      <w:pPr>
        <w:pStyle w:val="bullet2"/>
        <w:ind w:left="720" w:right="340" w:hanging="360"/>
      </w:pPr>
      <w:r>
        <w:t>For CTIMPs, processes for managing drug administration records and the IMP. See</w:t>
      </w:r>
      <w:r w:rsidR="00EF1BD9">
        <w:t xml:space="preserve"> the</w:t>
      </w:r>
      <w:r>
        <w:t xml:space="preserve"> </w:t>
      </w:r>
      <w:bookmarkStart w:id="9" w:name="_Hlk122012822"/>
      <w:r w:rsidR="00E06F44">
        <w:rPr>
          <w:rStyle w:val="ReferencestootherSOPsQCDsChar"/>
        </w:rPr>
        <w:t xml:space="preserve">Medicinal Product </w:t>
      </w:r>
      <w:r w:rsidRPr="00C170A8">
        <w:rPr>
          <w:rStyle w:val="ReferencestootherSOPsQCDsChar"/>
        </w:rPr>
        <w:t>Management</w:t>
      </w:r>
      <w:r w:rsidR="00E06F44">
        <w:rPr>
          <w:rStyle w:val="ReferencestootherSOPsQCDsChar"/>
        </w:rPr>
        <w:t xml:space="preserve"> SOP (UoB-MED-SOP-001)</w:t>
      </w:r>
      <w:r w:rsidRPr="00C170A8">
        <w:t xml:space="preserve"> </w:t>
      </w:r>
      <w:bookmarkEnd w:id="9"/>
      <w:r w:rsidRPr="00C170A8">
        <w:t>for more information</w:t>
      </w:r>
      <w:r>
        <w:t>.</w:t>
      </w:r>
    </w:p>
    <w:p w14:paraId="20BA066A" w14:textId="13E5AFE6" w:rsidR="00B20DFB" w:rsidRPr="001043B9" w:rsidRDefault="00B20DFB" w:rsidP="00B20DFB">
      <w:pPr>
        <w:pStyle w:val="Numberlist"/>
        <w:numPr>
          <w:ilvl w:val="0"/>
          <w:numId w:val="12"/>
        </w:numPr>
      </w:pPr>
      <w:r w:rsidRPr="001043B9">
        <w:t>Where sub-contracting (e.g. for blinding/shipping/unblinding of IMP</w:t>
      </w:r>
      <w:r>
        <w:t>),</w:t>
      </w:r>
      <w:r w:rsidRPr="001043B9">
        <w:t xml:space="preserve"> the CI </w:t>
      </w:r>
      <w:r>
        <w:t>(</w:t>
      </w:r>
      <w:r w:rsidRPr="001043B9">
        <w:t xml:space="preserve">or delegate) will ensure appropriate agreements (external to </w:t>
      </w:r>
      <w:proofErr w:type="spellStart"/>
      <w:r w:rsidRPr="001043B9">
        <w:t>UoB</w:t>
      </w:r>
      <w:proofErr w:type="spellEnd"/>
      <w:r w:rsidRPr="001043B9">
        <w:t xml:space="preserve">) or </w:t>
      </w:r>
      <w:r w:rsidR="00EF1BD9">
        <w:t>a m</w:t>
      </w:r>
      <w:r w:rsidR="00EF1BD9" w:rsidRPr="001043B9">
        <w:t xml:space="preserve">emorandum </w:t>
      </w:r>
      <w:r w:rsidRPr="001043B9">
        <w:t xml:space="preserve">of </w:t>
      </w:r>
      <w:r w:rsidR="00EF1BD9">
        <w:t>u</w:t>
      </w:r>
      <w:r w:rsidR="00EF1BD9" w:rsidRPr="001043B9">
        <w:t xml:space="preserve">nderstanding </w:t>
      </w:r>
      <w:r w:rsidRPr="001043B9">
        <w:t>(internal UoB sources) are in place.</w:t>
      </w:r>
    </w:p>
    <w:p w14:paraId="1B94E75A" w14:textId="77777777" w:rsidR="00B20DFB" w:rsidRDefault="00B20DFB" w:rsidP="00B20DFB">
      <w:pPr>
        <w:pStyle w:val="Numberlist"/>
        <w:numPr>
          <w:ilvl w:val="0"/>
          <w:numId w:val="0"/>
        </w:numPr>
        <w:ind w:left="340" w:hanging="340"/>
        <w:rPr>
          <w:b/>
        </w:rPr>
      </w:pPr>
      <w:r w:rsidRPr="00FE07E1">
        <w:rPr>
          <w:b/>
        </w:rPr>
        <w:t>Unblinding</w:t>
      </w:r>
    </w:p>
    <w:p w14:paraId="3A7C2F2D" w14:textId="3692508E" w:rsidR="00B20DFB" w:rsidRDefault="00B20DFB" w:rsidP="00B20DFB">
      <w:pPr>
        <w:pStyle w:val="Numberlist"/>
        <w:numPr>
          <w:ilvl w:val="0"/>
          <w:numId w:val="12"/>
        </w:numPr>
      </w:pPr>
      <w:r>
        <w:t xml:space="preserve">The CI (or delegate) will risk assess the need for </w:t>
      </w:r>
      <w:r w:rsidRPr="00FE07E1">
        <w:t>providing 24</w:t>
      </w:r>
      <w:r w:rsidR="00EF1BD9">
        <w:t>-</w:t>
      </w:r>
      <w:r w:rsidRPr="00FE07E1">
        <w:t>hour cover to access the code break</w:t>
      </w:r>
      <w:r w:rsidRPr="00123768">
        <w:t xml:space="preserve"> </w:t>
      </w:r>
      <w:r>
        <w:t>i</w:t>
      </w:r>
      <w:r w:rsidRPr="00FE07E1">
        <w:t>n the case of emergenc</w:t>
      </w:r>
      <w:r>
        <w:t>y unblinding, and document where 24</w:t>
      </w:r>
      <w:r w:rsidR="00EF1BD9">
        <w:t>-</w:t>
      </w:r>
      <w:r>
        <w:t xml:space="preserve">hour cover is not required in the </w:t>
      </w:r>
      <w:r w:rsidR="00EF1BD9">
        <w:t>study</w:t>
      </w:r>
      <w:r>
        <w:t>/</w:t>
      </w:r>
      <w:r w:rsidR="00EF1BD9">
        <w:t xml:space="preserve">trial master file </w:t>
      </w:r>
      <w:r>
        <w:t>(S/TMF).</w:t>
      </w:r>
    </w:p>
    <w:p w14:paraId="492AB620" w14:textId="014D7794" w:rsidR="00B20DFB" w:rsidRPr="00FE07E1" w:rsidRDefault="00B20DFB" w:rsidP="00B20DFB">
      <w:pPr>
        <w:pStyle w:val="Numberlist"/>
        <w:numPr>
          <w:ilvl w:val="0"/>
          <w:numId w:val="12"/>
        </w:numPr>
      </w:pPr>
      <w:r>
        <w:t>Where applicable, the CI (or delegate) will ensure that c</w:t>
      </w:r>
      <w:r w:rsidRPr="00FE07E1">
        <w:t>ode</w:t>
      </w:r>
      <w:r w:rsidR="00EF1BD9">
        <w:t>-</w:t>
      </w:r>
      <w:r w:rsidRPr="00FE07E1">
        <w:t>break procedures for emergency</w:t>
      </w:r>
      <w:r>
        <w:t xml:space="preserve"> unblinding</w:t>
      </w:r>
      <w:r w:rsidRPr="00FE07E1">
        <w:t xml:space="preserve"> situations </w:t>
      </w:r>
      <w:r>
        <w:t>are</w:t>
      </w:r>
      <w:r w:rsidRPr="00FE07E1">
        <w:t xml:space="preserve"> clearly established </w:t>
      </w:r>
      <w:r>
        <w:t>prior to the commencement of treatment</w:t>
      </w:r>
      <w:r w:rsidR="00E06F44">
        <w:t>/intervention</w:t>
      </w:r>
      <w:r>
        <w:t xml:space="preserve"> </w:t>
      </w:r>
      <w:r w:rsidRPr="00FE07E1">
        <w:t>and detailed in the protoco</w:t>
      </w:r>
      <w:r>
        <w:t xml:space="preserve">l, </w:t>
      </w:r>
      <w:r w:rsidR="00235A30">
        <w:t>including those listed below.</w:t>
      </w:r>
    </w:p>
    <w:p w14:paraId="0699CF3B" w14:textId="77777777" w:rsidR="00B20DFB" w:rsidRPr="00B83393" w:rsidRDefault="00B20DFB" w:rsidP="00B20DFB">
      <w:pPr>
        <w:pStyle w:val="bullet2"/>
      </w:pPr>
      <w:r w:rsidRPr="00B83393">
        <w:t>Details of who can request that unblinding take place and who will assess the need for unblinding.</w:t>
      </w:r>
    </w:p>
    <w:p w14:paraId="55AFC999" w14:textId="51424154" w:rsidR="00B20DFB" w:rsidRPr="00FE07E1" w:rsidRDefault="00B20DFB" w:rsidP="00B20DFB">
      <w:pPr>
        <w:pStyle w:val="bullet2"/>
      </w:pPr>
      <w:r>
        <w:t>The system used to</w:t>
      </w:r>
      <w:r w:rsidRPr="00FE07E1">
        <w:t xml:space="preserve"> access </w:t>
      </w:r>
      <w:r w:rsidR="00235A30" w:rsidRPr="00FE07E1">
        <w:t>t</w:t>
      </w:r>
      <w:r w:rsidR="00235A30">
        <w:t xml:space="preserve">he </w:t>
      </w:r>
      <w:r w:rsidRPr="00FE07E1">
        <w:t>code</w:t>
      </w:r>
      <w:r w:rsidR="00235A30">
        <w:t>-</w:t>
      </w:r>
      <w:r w:rsidRPr="00FE07E1">
        <w:t>break information includ</w:t>
      </w:r>
      <w:r>
        <w:t>ing i</w:t>
      </w:r>
      <w:r w:rsidRPr="00FE07E1">
        <w:t>nteractive response systems such as</w:t>
      </w:r>
      <w:r>
        <w:t xml:space="preserve"> </w:t>
      </w:r>
      <w:r w:rsidR="00235A30">
        <w:t>interactive voice response systems</w:t>
      </w:r>
      <w:r w:rsidR="00235A30" w:rsidRPr="00FE07E1">
        <w:t xml:space="preserve"> </w:t>
      </w:r>
      <w:r>
        <w:t>(</w:t>
      </w:r>
      <w:r w:rsidRPr="00FE07E1">
        <w:t>IVRS</w:t>
      </w:r>
      <w:r>
        <w:t>)</w:t>
      </w:r>
      <w:r w:rsidRPr="00FE07E1">
        <w:t>,</w:t>
      </w:r>
      <w:r>
        <w:t xml:space="preserve"> </w:t>
      </w:r>
      <w:r w:rsidR="00235A30">
        <w:t>interactive web response systems</w:t>
      </w:r>
      <w:r w:rsidR="00235A30" w:rsidRPr="00FE07E1">
        <w:t xml:space="preserve"> </w:t>
      </w:r>
      <w:r>
        <w:t>(</w:t>
      </w:r>
      <w:r w:rsidRPr="00FE07E1">
        <w:t>IWRS</w:t>
      </w:r>
      <w:r>
        <w:t>)</w:t>
      </w:r>
      <w:r w:rsidRPr="00FE07E1">
        <w:t>, online or physical code breaks e.g. code</w:t>
      </w:r>
      <w:r w:rsidR="00235A30">
        <w:t>-</w:t>
      </w:r>
      <w:r w:rsidRPr="00FE07E1">
        <w:t>break envelopes held at site</w:t>
      </w:r>
      <w:r>
        <w:t>.</w:t>
      </w:r>
    </w:p>
    <w:p w14:paraId="53D5D124" w14:textId="75D124E1" w:rsidR="00B20DFB" w:rsidRDefault="00B20DFB" w:rsidP="00B20DFB">
      <w:pPr>
        <w:pStyle w:val="bullet3"/>
      </w:pPr>
      <w:r>
        <w:t>Ensure staff who are delegated code</w:t>
      </w:r>
      <w:r w:rsidR="00235A30">
        <w:t>-</w:t>
      </w:r>
      <w:r>
        <w:t>break activity have the correct access to the interactive response system prior to the commencement of treatment.</w:t>
      </w:r>
    </w:p>
    <w:p w14:paraId="4CC534C2" w14:textId="77777777" w:rsidR="00B20DFB" w:rsidRPr="00FE07E1" w:rsidRDefault="00B20DFB" w:rsidP="00B20DFB">
      <w:pPr>
        <w:pStyle w:val="bullet3"/>
      </w:pPr>
      <w:r w:rsidRPr="00FE07E1">
        <w:t xml:space="preserve">Back-up systems </w:t>
      </w:r>
      <w:r>
        <w:t>will</w:t>
      </w:r>
      <w:r w:rsidRPr="00FE07E1">
        <w:t xml:space="preserve"> be available in th</w:t>
      </w:r>
      <w:r>
        <w:t>e event that the IWRS/IVRS is not</w:t>
      </w:r>
      <w:r w:rsidRPr="00FE07E1">
        <w:t xml:space="preserve"> functioning or if physical systems are unavailable</w:t>
      </w:r>
      <w:r>
        <w:t>.</w:t>
      </w:r>
    </w:p>
    <w:p w14:paraId="4485D8C8" w14:textId="1AC4B4DC" w:rsidR="00B20DFB" w:rsidRDefault="00B20DFB" w:rsidP="00B20DFB">
      <w:pPr>
        <w:pStyle w:val="bullet3"/>
      </w:pPr>
      <w:r w:rsidRPr="00FE07E1">
        <w:lastRenderedPageBreak/>
        <w:t xml:space="preserve">When using an interactive response </w:t>
      </w:r>
      <w:r w:rsidR="0016563C" w:rsidRPr="00FE07E1">
        <w:t>system,</w:t>
      </w:r>
      <w:r w:rsidRPr="00FE07E1">
        <w:t xml:space="preserve"> it needs to be possible to demonstrate that the blinding has not been compromised</w:t>
      </w:r>
      <w:r>
        <w:t>, e.g. via an audit trail.</w:t>
      </w:r>
      <w:r w:rsidRPr="00FE07E1">
        <w:t xml:space="preserve"> </w:t>
      </w:r>
    </w:p>
    <w:p w14:paraId="5DDA567B" w14:textId="6725E162" w:rsidR="00B20DFB" w:rsidRDefault="00B20DFB" w:rsidP="00B20DFB">
      <w:pPr>
        <w:pStyle w:val="Numberlist"/>
        <w:numPr>
          <w:ilvl w:val="0"/>
          <w:numId w:val="12"/>
        </w:numPr>
      </w:pPr>
      <w:r>
        <w:t>If the code</w:t>
      </w:r>
      <w:r w:rsidR="00235A30">
        <w:t>-</w:t>
      </w:r>
      <w:r>
        <w:t>break procedure involves a number of steps or staff</w:t>
      </w:r>
      <w:r w:rsidR="00235A30">
        <w:t>,</w:t>
      </w:r>
      <w:r>
        <w:t xml:space="preserve"> or may occur </w:t>
      </w:r>
      <w:r w:rsidR="00235A30">
        <w:t>out of hours,</w:t>
      </w:r>
      <w:r>
        <w:t xml:space="preserve"> the CI (or delegate) will ensure that the code</w:t>
      </w:r>
      <w:r w:rsidR="00235A30">
        <w:t>-</w:t>
      </w:r>
      <w:r>
        <w:t>break process has been tested prior to the commencement of treatment and that documented evidence of the process being tested and deemed satisfactory is retained.</w:t>
      </w:r>
    </w:p>
    <w:p w14:paraId="1C34A71E" w14:textId="62703C91" w:rsidR="00B20DFB" w:rsidRPr="00C170A8" w:rsidRDefault="00B20DFB" w:rsidP="00B20DFB">
      <w:pPr>
        <w:pStyle w:val="Numberlist"/>
        <w:numPr>
          <w:ilvl w:val="0"/>
          <w:numId w:val="12"/>
        </w:numPr>
      </w:pPr>
      <w:r w:rsidRPr="008F42E7">
        <w:t xml:space="preserve">The CI (or delegate) will document a process for unblinding for safety reporting requirements e.g. </w:t>
      </w:r>
      <w:r>
        <w:t xml:space="preserve">prior to </w:t>
      </w:r>
      <w:r w:rsidRPr="008F42E7">
        <w:t xml:space="preserve">reporting </w:t>
      </w:r>
      <w:r w:rsidR="00235A30">
        <w:t>a</w:t>
      </w:r>
      <w:r w:rsidR="00235A30" w:rsidRPr="008F42E7">
        <w:t xml:space="preserve"> </w:t>
      </w:r>
      <w:r w:rsidR="00235A30">
        <w:t>s</w:t>
      </w:r>
      <w:r w:rsidR="00235A30" w:rsidRPr="008F42E7">
        <w:t xml:space="preserve">uspected </w:t>
      </w:r>
      <w:r w:rsidR="00235A30">
        <w:t>u</w:t>
      </w:r>
      <w:r w:rsidR="00235A30" w:rsidRPr="008F42E7">
        <w:t xml:space="preserve">nexpected </w:t>
      </w:r>
      <w:r w:rsidR="00235A30">
        <w:t>s</w:t>
      </w:r>
      <w:r w:rsidR="00235A30" w:rsidRPr="008F42E7">
        <w:t xml:space="preserve">erious </w:t>
      </w:r>
      <w:r w:rsidR="00235A30">
        <w:t>a</w:t>
      </w:r>
      <w:r w:rsidR="00235A30" w:rsidRPr="008F42E7">
        <w:t xml:space="preserve">dverse </w:t>
      </w:r>
      <w:r w:rsidR="00235A30">
        <w:t>r</w:t>
      </w:r>
      <w:r w:rsidR="00235A30" w:rsidRPr="008F42E7">
        <w:t xml:space="preserve">eaction </w:t>
      </w:r>
      <w:r w:rsidRPr="008F42E7">
        <w:t>(SUSAR) to the competent authority. See</w:t>
      </w:r>
      <w:r w:rsidR="00235A30">
        <w:t xml:space="preserve"> the</w:t>
      </w:r>
      <w:r w:rsidRPr="008F42E7">
        <w:t xml:space="preserve"> </w:t>
      </w:r>
      <w:bookmarkStart w:id="10" w:name="_Hlk122012842"/>
      <w:r w:rsidRPr="008F42E7">
        <w:rPr>
          <w:rStyle w:val="ReferencestootherSOPsQCDsChar"/>
        </w:rPr>
        <w:t>Adverse Event Reporting</w:t>
      </w:r>
      <w:r w:rsidR="00E06F44">
        <w:rPr>
          <w:rStyle w:val="ReferencestootherSOPsQCDsChar"/>
        </w:rPr>
        <w:t xml:space="preserve"> SOP (</w:t>
      </w:r>
      <w:r w:rsidR="00E06F44" w:rsidRPr="008F42E7">
        <w:rPr>
          <w:rStyle w:val="ReferencestootherSOPsQCDsChar"/>
        </w:rPr>
        <w:t>UoB-AES-SOP-001</w:t>
      </w:r>
      <w:bookmarkEnd w:id="10"/>
      <w:r w:rsidR="00E06F44">
        <w:rPr>
          <w:rStyle w:val="ReferencestootherSOPsQCDsChar"/>
        </w:rPr>
        <w:t>)</w:t>
      </w:r>
      <w:r w:rsidRPr="008F42E7">
        <w:t xml:space="preserve"> for further information.</w:t>
      </w:r>
    </w:p>
    <w:p w14:paraId="2AFBFC19" w14:textId="77777777" w:rsidR="00B20DFB" w:rsidRDefault="00B20DFB" w:rsidP="00B20DFB">
      <w:pPr>
        <w:pStyle w:val="bullet2"/>
      </w:pPr>
      <w:r>
        <w:t>There will be</w:t>
      </w:r>
      <w:r w:rsidRPr="00C170A8">
        <w:t xml:space="preserve"> clear documentation of who is authorised to request a code break</w:t>
      </w:r>
      <w:r>
        <w:t>, who needs to authorise the unblinding and who must remain blinded</w:t>
      </w:r>
      <w:r w:rsidRPr="00C170A8">
        <w:t>.</w:t>
      </w:r>
    </w:p>
    <w:p w14:paraId="20030887" w14:textId="77777777" w:rsidR="00B20DFB" w:rsidRDefault="00B20DFB" w:rsidP="00B20DFB">
      <w:pPr>
        <w:pStyle w:val="Numberlist"/>
        <w:numPr>
          <w:ilvl w:val="0"/>
          <w:numId w:val="12"/>
        </w:numPr>
      </w:pPr>
      <w:r w:rsidRPr="00C170A8">
        <w:t xml:space="preserve">The CI (or delegate) will document a process to control </w:t>
      </w:r>
      <w:r>
        <w:t>unblinding for analysis purposes.</w:t>
      </w:r>
    </w:p>
    <w:p w14:paraId="2F6AD46C" w14:textId="77777777" w:rsidR="00B20DFB" w:rsidRDefault="00B20DFB" w:rsidP="00B20DFB">
      <w:pPr>
        <w:pStyle w:val="bullet2"/>
      </w:pPr>
      <w:r>
        <w:t xml:space="preserve">Where </w:t>
      </w:r>
      <w:r w:rsidRPr="00002E07">
        <w:t>interim unblinded analysis is required,</w:t>
      </w:r>
      <w:r>
        <w:t xml:space="preserve"> ensure the research project</w:t>
      </w:r>
      <w:r w:rsidRPr="00002E07">
        <w:t xml:space="preserve"> team cannot gain access to unblinded data or the randomisation schedule</w:t>
      </w:r>
      <w:r>
        <w:t>.</w:t>
      </w:r>
    </w:p>
    <w:p w14:paraId="3064019C" w14:textId="77777777" w:rsidR="00B20DFB" w:rsidRDefault="00B20DFB" w:rsidP="000417FF">
      <w:pPr>
        <w:pStyle w:val="Numberlist"/>
      </w:pPr>
      <w:r>
        <w:t>The CI (or delegate) will ensure there is documentation which confirms when the randomisation code was requested or provided and when the randomisation data were applied to the analysis datasets at interim and final analysis.</w:t>
      </w:r>
    </w:p>
    <w:p w14:paraId="079E975D" w14:textId="10F8B216" w:rsidR="00B20DFB" w:rsidRDefault="00B20DFB" w:rsidP="00B20DFB">
      <w:pPr>
        <w:pStyle w:val="Numberlist"/>
        <w:numPr>
          <w:ilvl w:val="0"/>
          <w:numId w:val="12"/>
        </w:numPr>
      </w:pPr>
      <w:r>
        <w:t>Where analytical laboratories are required to unblind samples for analysis</w:t>
      </w:r>
      <w:r w:rsidR="00E06F44">
        <w:t>,</w:t>
      </w:r>
      <w:r>
        <w:t xml:space="preserve"> the LAL (or delegate) will have a documented procedure detailing how data will be communicated in a blinded manner, how samples will be re-blinded and how information that allows samples to be unblinded will be stored. See</w:t>
      </w:r>
      <w:r w:rsidR="00235A30">
        <w:t xml:space="preserve"> the</w:t>
      </w:r>
      <w:r>
        <w:t xml:space="preserve"> </w:t>
      </w:r>
      <w:bookmarkStart w:id="11" w:name="_Hlk122012852"/>
      <w:r w:rsidRPr="00121715">
        <w:rPr>
          <w:rStyle w:val="ReferencestootherSOPsQCDsChar"/>
        </w:rPr>
        <w:t>Laboratory Set-Up and Management</w:t>
      </w:r>
      <w:r w:rsidR="00536CEF">
        <w:rPr>
          <w:rStyle w:val="ReferencestootherSOPsQCDsChar"/>
        </w:rPr>
        <w:t xml:space="preserve"> SOP (</w:t>
      </w:r>
      <w:r w:rsidR="00536CEF" w:rsidRPr="00121715">
        <w:rPr>
          <w:rStyle w:val="ReferencestootherSOPsQCDsChar"/>
        </w:rPr>
        <w:t>UoB-CRL-SOP-001</w:t>
      </w:r>
      <w:r w:rsidR="00536CEF">
        <w:rPr>
          <w:rStyle w:val="ReferencestootherSOPsQCDsChar"/>
        </w:rPr>
        <w:t>)</w:t>
      </w:r>
      <w:r>
        <w:t xml:space="preserve"> </w:t>
      </w:r>
      <w:bookmarkEnd w:id="11"/>
      <w:r>
        <w:t>for further information.</w:t>
      </w:r>
    </w:p>
    <w:p w14:paraId="6A218E85" w14:textId="38A1E3D9" w:rsidR="00B20DFB" w:rsidRPr="00A423C3" w:rsidRDefault="00B20DFB" w:rsidP="00B20DFB">
      <w:pPr>
        <w:pStyle w:val="Numberlist"/>
        <w:numPr>
          <w:ilvl w:val="0"/>
          <w:numId w:val="12"/>
        </w:numPr>
        <w:rPr>
          <w:rFonts w:cs="Calibri"/>
        </w:rPr>
      </w:pPr>
      <w:r>
        <w:t>The CI (or delegate) will consider clarifying under which circumstances unblinding may be feasible following a request from a participant, including whether it is practical and ethical to do so without harming data integrity</w:t>
      </w:r>
      <w:r w:rsidR="00235A30">
        <w:t xml:space="preserve">. </w:t>
      </w:r>
    </w:p>
    <w:p w14:paraId="246565F3" w14:textId="77777777" w:rsidR="00B20DFB" w:rsidRPr="00A423C3" w:rsidRDefault="00B20DFB" w:rsidP="00B20DFB">
      <w:pPr>
        <w:pStyle w:val="bullet2"/>
        <w:rPr>
          <w:rStyle w:val="bullet2Char"/>
          <w:rFonts w:cs="Calibri"/>
        </w:rPr>
      </w:pPr>
      <w:r>
        <w:rPr>
          <w:rStyle w:val="bullet2Char"/>
        </w:rPr>
        <w:t>C</w:t>
      </w:r>
      <w:r w:rsidRPr="004E0B11">
        <w:rPr>
          <w:rStyle w:val="bullet2Char"/>
        </w:rPr>
        <w:t>ircumstances could include</w:t>
      </w:r>
      <w:r>
        <w:rPr>
          <w:rStyle w:val="bullet2Char"/>
        </w:rPr>
        <w:t>, for example,</w:t>
      </w:r>
      <w:r w:rsidRPr="004E0B11">
        <w:rPr>
          <w:rStyle w:val="bullet2Char"/>
        </w:rPr>
        <w:t xml:space="preserve"> the research project having to be completed. </w:t>
      </w:r>
    </w:p>
    <w:p w14:paraId="6104E8C0" w14:textId="77777777" w:rsidR="00B20DFB" w:rsidRPr="00047DCA" w:rsidRDefault="00B20DFB" w:rsidP="00B20DFB">
      <w:pPr>
        <w:pStyle w:val="bullet2"/>
        <w:rPr>
          <w:rFonts w:cs="Calibri"/>
        </w:rPr>
      </w:pPr>
      <w:r>
        <w:rPr>
          <w:rStyle w:val="bullet2Char"/>
        </w:rPr>
        <w:t>If applicable, the CI (or delegate) will ensure these circumstances are</w:t>
      </w:r>
      <w:r w:rsidRPr="004E0B11">
        <w:rPr>
          <w:rStyle w:val="bullet2Char"/>
        </w:rPr>
        <w:t xml:space="preserve"> documented in</w:t>
      </w:r>
      <w:r>
        <w:rPr>
          <w:rStyle w:val="bullet2Char"/>
        </w:rPr>
        <w:t>, for example,</w:t>
      </w:r>
      <w:r w:rsidRPr="004E0B11">
        <w:rPr>
          <w:rStyle w:val="bullet2Char"/>
        </w:rPr>
        <w:t xml:space="preserve"> the protocol.</w:t>
      </w:r>
    </w:p>
    <w:p w14:paraId="146206E9" w14:textId="61397716" w:rsidR="00B20DFB" w:rsidRDefault="00B20DFB" w:rsidP="00B20DFB">
      <w:pPr>
        <w:pStyle w:val="Numberlist"/>
        <w:numPr>
          <w:ilvl w:val="0"/>
          <w:numId w:val="12"/>
        </w:numPr>
      </w:pPr>
      <w:r>
        <w:t>The CI (or delegate) will</w:t>
      </w:r>
      <w:r w:rsidRPr="00FE07E1">
        <w:t xml:space="preserve"> </w:t>
      </w:r>
      <w:r>
        <w:t>ensure that i</w:t>
      </w:r>
      <w:r w:rsidRPr="00FE07E1">
        <w:t xml:space="preserve">f the code is unblinded (either inadvertently or on purpose) during the conduct of the </w:t>
      </w:r>
      <w:r>
        <w:t>research project</w:t>
      </w:r>
      <w:r w:rsidRPr="00FE07E1">
        <w:t xml:space="preserve">, this event </w:t>
      </w:r>
      <w:r>
        <w:t xml:space="preserve">is </w:t>
      </w:r>
      <w:r w:rsidRPr="00FE07E1">
        <w:t xml:space="preserve">fully documented in the </w:t>
      </w:r>
      <w:r>
        <w:t>S/</w:t>
      </w:r>
      <w:r w:rsidRPr="00FE07E1">
        <w:t xml:space="preserve">TMF and in the </w:t>
      </w:r>
      <w:r>
        <w:t>end</w:t>
      </w:r>
      <w:r w:rsidR="00235A30">
        <w:t>-</w:t>
      </w:r>
      <w:r>
        <w:t>of</w:t>
      </w:r>
      <w:r w:rsidR="00235A30">
        <w:t>-</w:t>
      </w:r>
      <w:r>
        <w:t>research</w:t>
      </w:r>
      <w:r w:rsidR="00235A30">
        <w:t>-</w:t>
      </w:r>
      <w:r>
        <w:t>project</w:t>
      </w:r>
      <w:r w:rsidRPr="00FE07E1">
        <w:t xml:space="preserve"> report</w:t>
      </w:r>
      <w:r>
        <w:t>, including the reason for unblinding.</w:t>
      </w:r>
    </w:p>
    <w:p w14:paraId="0FAFE779" w14:textId="77777777" w:rsidR="00B20DFB" w:rsidRPr="009321CB" w:rsidRDefault="00B20DFB" w:rsidP="00B20DFB">
      <w:pPr>
        <w:pStyle w:val="Heading2"/>
      </w:pPr>
      <w:bookmarkStart w:id="12" w:name="OLE_LINK14"/>
      <w:bookmarkStart w:id="13" w:name="OLE_LINK15"/>
      <w:r w:rsidRPr="009321CB">
        <w:t>Monitoring</w:t>
      </w:r>
    </w:p>
    <w:bookmarkEnd w:id="12"/>
    <w:bookmarkEnd w:id="13"/>
    <w:p w14:paraId="6A4FC3BA" w14:textId="77777777" w:rsidR="00B20DFB" w:rsidRPr="009321CB" w:rsidRDefault="00B20DFB" w:rsidP="00B20DFB">
      <w:pPr>
        <w:pStyle w:val="Numberlist"/>
        <w:numPr>
          <w:ilvl w:val="0"/>
          <w:numId w:val="12"/>
        </w:numPr>
      </w:pPr>
      <w:r w:rsidRPr="009321CB">
        <w:t>The CI</w:t>
      </w:r>
      <w:r>
        <w:t xml:space="preserve"> </w:t>
      </w:r>
      <w:r w:rsidRPr="009321CB">
        <w:t xml:space="preserve">(or delegate) will consider the allocation of </w:t>
      </w:r>
      <w:r>
        <w:t>unblind</w:t>
      </w:r>
      <w:r w:rsidRPr="009321CB">
        <w:t xml:space="preserve">ed monitors for the </w:t>
      </w:r>
      <w:r>
        <w:t>intervention</w:t>
      </w:r>
      <w:r w:rsidRPr="009321CB">
        <w:t xml:space="preserve"> aspects</w:t>
      </w:r>
      <w:r>
        <w:t xml:space="preserve"> of a research project,</w:t>
      </w:r>
      <w:r w:rsidRPr="009321CB">
        <w:t xml:space="preserve"> along with how any communication will be documented</w:t>
      </w:r>
      <w:r>
        <w:t>,</w:t>
      </w:r>
      <w:r w:rsidRPr="009321CB">
        <w:t xml:space="preserve"> reviewed and approved during the </w:t>
      </w:r>
      <w:r>
        <w:t>project</w:t>
      </w:r>
      <w:r w:rsidRPr="009321CB">
        <w:t xml:space="preserve"> w</w:t>
      </w:r>
      <w:r>
        <w:t>ithout compromising the blind.</w:t>
      </w:r>
    </w:p>
    <w:p w14:paraId="1114AE4F" w14:textId="4DF173EB" w:rsidR="00B20DFB" w:rsidRPr="009321CB" w:rsidRDefault="00B20DFB" w:rsidP="00B20DFB">
      <w:pPr>
        <w:pStyle w:val="Numberlist"/>
        <w:numPr>
          <w:ilvl w:val="0"/>
          <w:numId w:val="12"/>
        </w:numPr>
      </w:pPr>
      <w:r w:rsidRPr="009321CB">
        <w:t>The CI</w:t>
      </w:r>
      <w:r>
        <w:t xml:space="preserve"> </w:t>
      </w:r>
      <w:r w:rsidRPr="009321CB">
        <w:t xml:space="preserve">(or delegate) </w:t>
      </w:r>
      <w:r>
        <w:t>will</w:t>
      </w:r>
      <w:r w:rsidRPr="009321CB">
        <w:t xml:space="preserve"> ensure that</w:t>
      </w:r>
      <w:r w:rsidRPr="00C70BEB">
        <w:t xml:space="preserve"> </w:t>
      </w:r>
      <w:r>
        <w:t>where</w:t>
      </w:r>
      <w:r w:rsidRPr="009321CB">
        <w:t xml:space="preserve"> sealed code</w:t>
      </w:r>
      <w:r w:rsidR="00235A30">
        <w:t>-</w:t>
      </w:r>
      <w:r w:rsidRPr="009321CB">
        <w:t xml:space="preserve">break envelopes are used for </w:t>
      </w:r>
      <w:r>
        <w:t>unblinding,</w:t>
      </w:r>
      <w:r w:rsidRPr="009321CB">
        <w:t xml:space="preserve"> the integrity of the envelopes </w:t>
      </w:r>
      <w:r>
        <w:t>are maintained</w:t>
      </w:r>
      <w:r w:rsidR="00235A30">
        <w:t xml:space="preserve"> and w</w:t>
      </w:r>
      <w:r w:rsidRPr="00C70BEB">
        <w:t>here electronic systems are used</w:t>
      </w:r>
      <w:r w:rsidR="00235A30">
        <w:t>,</w:t>
      </w:r>
      <w:r w:rsidRPr="00C70BEB">
        <w:t xml:space="preserve"> a check to confirm the integrity of the system </w:t>
      </w:r>
      <w:r>
        <w:t>is performed</w:t>
      </w:r>
      <w:r w:rsidRPr="00352526">
        <w:t xml:space="preserve"> </w:t>
      </w:r>
      <w:r w:rsidRPr="00C70BEB">
        <w:t xml:space="preserve">during </w:t>
      </w:r>
      <w:r>
        <w:t xml:space="preserve">a </w:t>
      </w:r>
      <w:r w:rsidRPr="00C70BEB">
        <w:t>routine on-site monitoring visit</w:t>
      </w:r>
      <w:r>
        <w:t>.</w:t>
      </w:r>
      <w:r w:rsidRPr="009321CB">
        <w:t xml:space="preserve"> </w:t>
      </w:r>
    </w:p>
    <w:p w14:paraId="616FCA37" w14:textId="77777777" w:rsidR="00B20DFB" w:rsidRDefault="00B20DFB" w:rsidP="00B20DFB">
      <w:pPr>
        <w:pStyle w:val="Heading2"/>
      </w:pPr>
      <w:r>
        <w:t>Archiving</w:t>
      </w:r>
    </w:p>
    <w:p w14:paraId="18AD7EB1" w14:textId="77777777" w:rsidR="00B20DFB" w:rsidRDefault="00B20DFB" w:rsidP="00B20DFB">
      <w:pPr>
        <w:pStyle w:val="NumberlistforSOPs"/>
        <w:numPr>
          <w:ilvl w:val="0"/>
          <w:numId w:val="12"/>
        </w:numPr>
      </w:pPr>
      <w:r>
        <w:t>T</w:t>
      </w:r>
      <w:r w:rsidRPr="009321CB">
        <w:t>he CI (or delegate) will document</w:t>
      </w:r>
      <w:r>
        <w:t xml:space="preserve"> </w:t>
      </w:r>
      <w:r w:rsidRPr="009321CB">
        <w:t xml:space="preserve">a process to reconcile physical code breaks at the end of </w:t>
      </w:r>
      <w:r>
        <w:t>the research project to confirm they have</w:t>
      </w:r>
      <w:r w:rsidRPr="009321CB">
        <w:t xml:space="preserve"> not been tampered with</w:t>
      </w:r>
      <w:r>
        <w:t xml:space="preserve"> or where electronic systems are used a process to confirm the integrity of the system</w:t>
      </w:r>
      <w:r w:rsidRPr="009321CB">
        <w:t xml:space="preserve"> </w:t>
      </w:r>
      <w:r>
        <w:t>and the integrity of the blind was maintained.</w:t>
      </w:r>
    </w:p>
    <w:p w14:paraId="52E2168E" w14:textId="402C0918" w:rsidR="00B20DFB" w:rsidRPr="00187FAB" w:rsidRDefault="00B20DFB" w:rsidP="00B20DFB">
      <w:pPr>
        <w:pStyle w:val="NumberlistforSOPs"/>
        <w:numPr>
          <w:ilvl w:val="0"/>
          <w:numId w:val="12"/>
        </w:numPr>
      </w:pPr>
      <w:r w:rsidRPr="00187FAB">
        <w:t xml:space="preserve">The CI (or delegate) will archive </w:t>
      </w:r>
      <w:r>
        <w:t xml:space="preserve">all </w:t>
      </w:r>
      <w:r w:rsidRPr="00187FAB">
        <w:t xml:space="preserve">documentation related to </w:t>
      </w:r>
      <w:r>
        <w:t>randomisation and blinding, both paper and electronic, along</w:t>
      </w:r>
      <w:r w:rsidRPr="00187FAB">
        <w:t xml:space="preserve"> with the rest of the </w:t>
      </w:r>
      <w:r>
        <w:t>S/</w:t>
      </w:r>
      <w:r w:rsidRPr="00187FAB">
        <w:t>TMF at the end of the</w:t>
      </w:r>
      <w:r>
        <w:t xml:space="preserve"> research project</w:t>
      </w:r>
      <w:r w:rsidRPr="00187FAB">
        <w:t>. See</w:t>
      </w:r>
      <w:r w:rsidR="0028416A">
        <w:t xml:space="preserve"> the</w:t>
      </w:r>
      <w:r w:rsidRPr="00187FAB">
        <w:t xml:space="preserve"> </w:t>
      </w:r>
      <w:r w:rsidRPr="00187FAB">
        <w:rPr>
          <w:i/>
          <w:iCs/>
          <w:color w:val="943634"/>
        </w:rPr>
        <w:t>Archiving</w:t>
      </w:r>
      <w:r w:rsidR="00536CEF">
        <w:rPr>
          <w:i/>
          <w:iCs/>
          <w:color w:val="943634"/>
        </w:rPr>
        <w:t xml:space="preserve"> SOP (U</w:t>
      </w:r>
      <w:r w:rsidR="00536CEF" w:rsidRPr="00187FAB">
        <w:rPr>
          <w:i/>
          <w:iCs/>
          <w:color w:val="943634"/>
        </w:rPr>
        <w:t>oB-ARC-SOP-001</w:t>
      </w:r>
      <w:r w:rsidR="00536CEF">
        <w:rPr>
          <w:i/>
          <w:iCs/>
          <w:color w:val="943634"/>
        </w:rPr>
        <w:t>)</w:t>
      </w:r>
      <w:r w:rsidRPr="00187FAB">
        <w:t xml:space="preserve"> for further information.</w:t>
      </w:r>
    </w:p>
    <w:p w14:paraId="46881FA6" w14:textId="46CEABCF" w:rsidR="00692DFA" w:rsidRPr="00435EAE" w:rsidRDefault="00692DFA">
      <w:pPr>
        <w:pStyle w:val="Heading1"/>
      </w:pPr>
      <w:r w:rsidRPr="00435EAE">
        <w:t>List of expected outputs</w:t>
      </w:r>
    </w:p>
    <w:p w14:paraId="6F3309E1" w14:textId="0C2371BA" w:rsidR="00B20DFB" w:rsidRDefault="00B20DFB" w:rsidP="00B20DFB">
      <w:pPr>
        <w:pStyle w:val="bullet1"/>
      </w:pPr>
      <w:r>
        <w:t>Evidence of the statistician</w:t>
      </w:r>
      <w:r w:rsidR="0028416A">
        <w:t>’s</w:t>
      </w:r>
      <w:r>
        <w:t xml:space="preserve"> or statistical advisor</w:t>
      </w:r>
      <w:r w:rsidR="0028416A">
        <w:t>’</w:t>
      </w:r>
      <w:r>
        <w:t xml:space="preserve">s involvement in </w:t>
      </w:r>
      <w:r w:rsidR="0028416A">
        <w:t xml:space="preserve">the </w:t>
      </w:r>
      <w:r>
        <w:t>randomisation and blinding design.</w:t>
      </w:r>
    </w:p>
    <w:p w14:paraId="140EF021" w14:textId="77777777" w:rsidR="00B20DFB" w:rsidRDefault="00B20DFB" w:rsidP="00B20DFB">
      <w:pPr>
        <w:pStyle w:val="bullet1"/>
      </w:pPr>
      <w:r>
        <w:t xml:space="preserve">Documented agreements where third parties are used for randomisation/blinding/unblinding. </w:t>
      </w:r>
    </w:p>
    <w:p w14:paraId="1C1EF157" w14:textId="77777777" w:rsidR="00B20DFB" w:rsidRDefault="00B20DFB" w:rsidP="00B20DFB">
      <w:pPr>
        <w:pStyle w:val="bullet1"/>
      </w:pPr>
      <w:r>
        <w:t>Where applicable, documented validation of the programme, macro or algorithms used to generate the randomisation schedule.</w:t>
      </w:r>
    </w:p>
    <w:p w14:paraId="6A1D57CA" w14:textId="64A7CB40" w:rsidR="00B20DFB" w:rsidRDefault="00B20DFB" w:rsidP="00B20DFB">
      <w:pPr>
        <w:pStyle w:val="bullet1"/>
      </w:pPr>
      <w:r>
        <w:lastRenderedPageBreak/>
        <w:t>Randomisation methods and parameters of the randomisation process described in the protocol, and in the final publication for CTIMPs and trials according t</w:t>
      </w:r>
      <w:r w:rsidR="00C31A25">
        <w:t xml:space="preserve">o </w:t>
      </w:r>
      <w:hyperlink r:id="rId18" w:tooltip="Website for the CONSORT (Consolidated Standards of Reporting Trials) Statement guidelines" w:history="1">
        <w:r w:rsidRPr="00405C07">
          <w:rPr>
            <w:rStyle w:val="Hyperlink"/>
          </w:rPr>
          <w:t>CONSORT</w:t>
        </w:r>
      </w:hyperlink>
      <w:r>
        <w:t>.</w:t>
      </w:r>
    </w:p>
    <w:p w14:paraId="02BDE1A3" w14:textId="77777777" w:rsidR="00B20DFB" w:rsidRDefault="00B20DFB" w:rsidP="00B20DFB">
      <w:pPr>
        <w:pStyle w:val="bullet1"/>
      </w:pPr>
      <w:r>
        <w:t>A documented randomisation schedule (or list) and documented procedures to control the randomisation schedule.</w:t>
      </w:r>
    </w:p>
    <w:p w14:paraId="4985EA5A" w14:textId="77777777" w:rsidR="00B20DFB" w:rsidRDefault="00B20DFB" w:rsidP="00B20DFB">
      <w:pPr>
        <w:pStyle w:val="Heading3"/>
      </w:pPr>
      <w:r>
        <w:t>Where blinding is used</w:t>
      </w:r>
    </w:p>
    <w:p w14:paraId="317C6B1F" w14:textId="77777777" w:rsidR="00B20DFB" w:rsidRDefault="00B20DFB" w:rsidP="00B20DFB">
      <w:pPr>
        <w:pStyle w:val="bullet1"/>
      </w:pPr>
      <w:r>
        <w:t>Documented procedures to maintain the blind.</w:t>
      </w:r>
    </w:p>
    <w:p w14:paraId="0D264860" w14:textId="27CB0F4D" w:rsidR="00B20DFB" w:rsidRDefault="00B20DFB" w:rsidP="00B20DFB">
      <w:pPr>
        <w:pStyle w:val="bullet1"/>
      </w:pPr>
      <w:r>
        <w:t>Documentation in the S/TMF where 24</w:t>
      </w:r>
      <w:r w:rsidR="0028416A">
        <w:t>-</w:t>
      </w:r>
      <w:r>
        <w:t xml:space="preserve">hour emergency unblinding is not required. </w:t>
      </w:r>
    </w:p>
    <w:p w14:paraId="10B342A0" w14:textId="77777777" w:rsidR="00B20DFB" w:rsidRDefault="00B20DFB" w:rsidP="00B20DFB">
      <w:pPr>
        <w:pStyle w:val="bullet1"/>
      </w:pPr>
      <w:r>
        <w:t>Documented procedures for emergency unblinding, prior to the commencement of treatment, where applicable.</w:t>
      </w:r>
    </w:p>
    <w:p w14:paraId="480FACFF" w14:textId="77777777" w:rsidR="00B20DFB" w:rsidRDefault="00B20DFB" w:rsidP="00B20DFB">
      <w:pPr>
        <w:pStyle w:val="bullet1"/>
      </w:pPr>
      <w:r>
        <w:t>Documented evidence of the emergency code-break procedures being tested and deemed satisfactory, where applicable.</w:t>
      </w:r>
    </w:p>
    <w:p w14:paraId="1C6C874F" w14:textId="77777777" w:rsidR="00B20DFB" w:rsidRDefault="00B20DFB" w:rsidP="00B20DFB">
      <w:pPr>
        <w:pStyle w:val="bullet1"/>
      </w:pPr>
      <w:r>
        <w:t>Documented procedures for unblinding in the case of safety reporting.</w:t>
      </w:r>
    </w:p>
    <w:p w14:paraId="0A8F9EEB" w14:textId="77777777" w:rsidR="00B20DFB" w:rsidRDefault="00B20DFB" w:rsidP="00B20DFB">
      <w:pPr>
        <w:pStyle w:val="bullet1"/>
      </w:pPr>
      <w:r>
        <w:t>A documented p</w:t>
      </w:r>
      <w:r w:rsidRPr="000A1898">
        <w:t xml:space="preserve">rocess to control the unblinding of </w:t>
      </w:r>
      <w:r>
        <w:t>data</w:t>
      </w:r>
      <w:r w:rsidRPr="000A1898">
        <w:t xml:space="preserve"> for analysis purposes</w:t>
      </w:r>
      <w:r>
        <w:t>, if applicable.</w:t>
      </w:r>
    </w:p>
    <w:p w14:paraId="42D06035" w14:textId="6EEFFE2E" w:rsidR="00B20DFB" w:rsidRDefault="00B20DFB" w:rsidP="00B20DFB">
      <w:pPr>
        <w:pStyle w:val="bullet1"/>
      </w:pPr>
      <w:r>
        <w:t xml:space="preserve">A documented procedure to maintain </w:t>
      </w:r>
      <w:r w:rsidR="0028416A">
        <w:t xml:space="preserve">the blind’s </w:t>
      </w:r>
      <w:r>
        <w:t>integrity where analytical laboratories are required to unblind samples for analysis in the laboratory, if applicable.</w:t>
      </w:r>
    </w:p>
    <w:p w14:paraId="4F07ABFE" w14:textId="77777777" w:rsidR="00B20DFB" w:rsidRDefault="00B20DFB" w:rsidP="00B20DFB">
      <w:pPr>
        <w:pStyle w:val="bullet1"/>
      </w:pPr>
      <w:r>
        <w:t>Documented evidence of any instances of unblinding.</w:t>
      </w:r>
    </w:p>
    <w:p w14:paraId="745E07D6" w14:textId="77777777" w:rsidR="00A5391E" w:rsidRDefault="00B20DFB" w:rsidP="00B20DFB">
      <w:pPr>
        <w:pStyle w:val="bullet1"/>
      </w:pPr>
      <w:r>
        <w:t xml:space="preserve">A </w:t>
      </w:r>
      <w:r w:rsidRPr="00FE07E1">
        <w:t xml:space="preserve">documented process for the reconciliation of physical code breaks at the end of the </w:t>
      </w:r>
      <w:r>
        <w:t>research project</w:t>
      </w:r>
      <w:r w:rsidRPr="00FE07E1">
        <w:t xml:space="preserve"> and a check made that they have not been tampered with</w:t>
      </w:r>
      <w:r>
        <w:t>.</w:t>
      </w:r>
    </w:p>
    <w:p w14:paraId="565F9168" w14:textId="378F2301" w:rsidR="007B4836" w:rsidRDefault="007B4836">
      <w:pPr>
        <w:pStyle w:val="Heading1"/>
      </w:pPr>
      <w:r w:rsidRPr="006561C0">
        <w:t>Related</w:t>
      </w:r>
      <w:r>
        <w:t xml:space="preserve"> documents</w:t>
      </w:r>
      <w:bookmarkEnd w:id="3"/>
    </w:p>
    <w:p w14:paraId="01758B66" w14:textId="77777777" w:rsidR="00844F35" w:rsidRPr="00FE58C7" w:rsidRDefault="00844F35" w:rsidP="00B20DFB">
      <w:pPr>
        <w:pStyle w:val="bullet1"/>
      </w:pPr>
      <w:r w:rsidRPr="00121715">
        <w:rPr>
          <w:rStyle w:val="ReferencestootherSOPsQCDsChar"/>
          <w:i w:val="0"/>
          <w:iCs w:val="0"/>
          <w:color w:val="auto"/>
        </w:rPr>
        <w:t>UoB-AES-SOP-001 Adverse Event Reporting</w:t>
      </w:r>
    </w:p>
    <w:p w14:paraId="157188B9" w14:textId="77777777" w:rsidR="00844F35" w:rsidRPr="00FE58C7" w:rsidRDefault="00844F35" w:rsidP="00B20DFB">
      <w:pPr>
        <w:pStyle w:val="bullet1"/>
      </w:pPr>
      <w:r w:rsidRPr="00FE58C7">
        <w:t>UoB-ARC-SOP-001 Archiving</w:t>
      </w:r>
    </w:p>
    <w:p w14:paraId="3F96CB51" w14:textId="77777777" w:rsidR="00844F35" w:rsidRPr="004E0B11" w:rsidRDefault="00844F35" w:rsidP="00B20DFB">
      <w:pPr>
        <w:pStyle w:val="bullet1"/>
        <w:rPr>
          <w:i/>
          <w:lang w:val="nl-NL"/>
        </w:rPr>
      </w:pPr>
      <w:r w:rsidRPr="004E0B11">
        <w:rPr>
          <w:rStyle w:val="ReferencestootherSOPsQCDsChar"/>
          <w:i w:val="0"/>
          <w:color w:val="auto"/>
          <w:lang w:val="nl-NL"/>
        </w:rPr>
        <w:t>UoB-</w:t>
      </w:r>
      <w:r>
        <w:rPr>
          <w:rStyle w:val="ReferencestootherSOPsQCDsChar"/>
          <w:i w:val="0"/>
          <w:color w:val="auto"/>
          <w:lang w:val="nl-NL"/>
        </w:rPr>
        <w:t>CPR</w:t>
      </w:r>
      <w:r w:rsidRPr="004E0B11">
        <w:rPr>
          <w:rStyle w:val="ReferencestootherSOPsQCDsChar"/>
          <w:i w:val="0"/>
          <w:color w:val="auto"/>
          <w:lang w:val="nl-NL"/>
        </w:rPr>
        <w:t xml:space="preserve">-SOP-001 </w:t>
      </w:r>
      <w:r>
        <w:rPr>
          <w:rStyle w:val="ReferencestootherSOPsQCDsChar"/>
          <w:i w:val="0"/>
          <w:color w:val="auto"/>
          <w:lang w:val="nl-NL"/>
        </w:rPr>
        <w:t>Compliance Review</w:t>
      </w:r>
    </w:p>
    <w:p w14:paraId="1702CAEB" w14:textId="77777777" w:rsidR="00844F35" w:rsidRPr="00FE58C7" w:rsidRDefault="00844F35" w:rsidP="00B20DFB">
      <w:pPr>
        <w:pStyle w:val="bullet1"/>
      </w:pPr>
      <w:r w:rsidRPr="00121715">
        <w:rPr>
          <w:rStyle w:val="ReferencestootherSOPsQCDsChar"/>
          <w:i w:val="0"/>
          <w:iCs w:val="0"/>
          <w:color w:val="auto"/>
        </w:rPr>
        <w:t>UoB-CRL-SOP-001 Laboratory Set Up and Management</w:t>
      </w:r>
    </w:p>
    <w:p w14:paraId="612F4521" w14:textId="77777777" w:rsidR="00844F35" w:rsidRPr="00FE58C7" w:rsidRDefault="00844F35" w:rsidP="00B20DFB">
      <w:pPr>
        <w:pStyle w:val="bullet1"/>
      </w:pPr>
      <w:r w:rsidRPr="00FE58C7">
        <w:t xml:space="preserve">UoB-ESD-SOP-001 Essential Documents </w:t>
      </w:r>
      <w:r>
        <w:t>D</w:t>
      </w:r>
      <w:r w:rsidRPr="00FE58C7">
        <w:t xml:space="preserve">evelopment and </w:t>
      </w:r>
      <w:r>
        <w:t>M</w:t>
      </w:r>
      <w:r w:rsidRPr="00FE58C7">
        <w:t>aintenance</w:t>
      </w:r>
    </w:p>
    <w:p w14:paraId="6D7BDFD2" w14:textId="77777777" w:rsidR="00844F35" w:rsidRDefault="00844F35" w:rsidP="00B20DFB">
      <w:pPr>
        <w:pStyle w:val="bullet1"/>
      </w:pPr>
      <w:r>
        <w:t xml:space="preserve">UoB-GCP-POL-001 </w:t>
      </w:r>
      <w:proofErr w:type="spellStart"/>
      <w:r>
        <w:t>UoB</w:t>
      </w:r>
      <w:proofErr w:type="spellEnd"/>
      <w:r>
        <w:t xml:space="preserve"> Principles of GCP for Clinical Research</w:t>
      </w:r>
    </w:p>
    <w:p w14:paraId="44467D84" w14:textId="77777777" w:rsidR="00844F35" w:rsidRDefault="00844F35" w:rsidP="00B20DFB">
      <w:pPr>
        <w:pStyle w:val="bullet1"/>
        <w:rPr>
          <w:rStyle w:val="ReferencestootherSOPsQCDsChar"/>
          <w:i w:val="0"/>
          <w:iCs w:val="0"/>
          <w:color w:val="auto"/>
        </w:rPr>
      </w:pPr>
      <w:r w:rsidRPr="00121715">
        <w:rPr>
          <w:rStyle w:val="ReferencestootherSOPsQCDsChar"/>
          <w:i w:val="0"/>
          <w:iCs w:val="0"/>
          <w:color w:val="auto"/>
        </w:rPr>
        <w:t>UoB-</w:t>
      </w:r>
      <w:r>
        <w:rPr>
          <w:rStyle w:val="ReferencestootherSOPsQCDsChar"/>
          <w:i w:val="0"/>
          <w:iCs w:val="0"/>
          <w:color w:val="auto"/>
        </w:rPr>
        <w:t>MED</w:t>
      </w:r>
      <w:r w:rsidRPr="00121715">
        <w:rPr>
          <w:rStyle w:val="ReferencestootherSOPsQCDsChar"/>
          <w:i w:val="0"/>
          <w:iCs w:val="0"/>
          <w:color w:val="auto"/>
        </w:rPr>
        <w:t xml:space="preserve">-SOP-001 </w:t>
      </w:r>
      <w:r>
        <w:rPr>
          <w:rStyle w:val="ReferencestootherSOPsQCDsChar"/>
          <w:i w:val="0"/>
          <w:iCs w:val="0"/>
          <w:color w:val="auto"/>
        </w:rPr>
        <w:t xml:space="preserve">Medicinal Product </w:t>
      </w:r>
      <w:r w:rsidRPr="00121715">
        <w:rPr>
          <w:rStyle w:val="ReferencestootherSOPsQCDsChar"/>
          <w:i w:val="0"/>
          <w:iCs w:val="0"/>
          <w:color w:val="auto"/>
        </w:rPr>
        <w:t>Management</w:t>
      </w:r>
    </w:p>
    <w:p w14:paraId="5F49FF1A" w14:textId="77777777" w:rsidR="00844F35" w:rsidRDefault="00844F35" w:rsidP="00B20DFB">
      <w:pPr>
        <w:pStyle w:val="bullet1"/>
      </w:pPr>
      <w:r>
        <w:t>UoB-SMA-SOP-001 Investigator Site Management</w:t>
      </w:r>
    </w:p>
    <w:p w14:paraId="34CC7398" w14:textId="77777777" w:rsidR="00844F35" w:rsidRDefault="00844F35" w:rsidP="00B20DFB">
      <w:pPr>
        <w:pStyle w:val="bullet1"/>
      </w:pPr>
      <w:r w:rsidRPr="00FE58C7">
        <w:t>UoB-</w:t>
      </w:r>
      <w:r>
        <w:t>SPO</w:t>
      </w:r>
      <w:r w:rsidRPr="00FE58C7">
        <w:t>-QCD-00</w:t>
      </w:r>
      <w:r>
        <w:t>1</w:t>
      </w:r>
      <w:r w:rsidRPr="00FE58C7">
        <w:t xml:space="preserve"> Clinical Trials Task Delegation Log</w:t>
      </w:r>
    </w:p>
    <w:p w14:paraId="227B5E52" w14:textId="77777777" w:rsidR="00844F35" w:rsidRDefault="00844F35" w:rsidP="00B20DFB">
      <w:pPr>
        <w:pStyle w:val="bullet1"/>
      </w:pPr>
      <w:r w:rsidRPr="00121715">
        <w:t>UoB-</w:t>
      </w:r>
      <w:r>
        <w:t>STA</w:t>
      </w:r>
      <w:r w:rsidRPr="00121715">
        <w:t>-S</w:t>
      </w:r>
      <w:r>
        <w:t>OP</w:t>
      </w:r>
      <w:r w:rsidRPr="00121715">
        <w:t>-001 Statistics</w:t>
      </w:r>
    </w:p>
    <w:p w14:paraId="17393A17" w14:textId="39E9E263" w:rsidR="00536CEF" w:rsidRDefault="00536CEF" w:rsidP="00DA19A3">
      <w:proofErr w:type="spellStart"/>
      <w:r>
        <w:t>UoB</w:t>
      </w:r>
      <w:proofErr w:type="spellEnd"/>
      <w:r>
        <w:t xml:space="preserve"> QMS documents can be found on the </w:t>
      </w:r>
      <w:hyperlink r:id="rId19" w:tooltip="Website for the Clinical Research Compliance Team" w:history="1">
        <w:r>
          <w:rPr>
            <w:rStyle w:val="Hyperlink"/>
            <w:lang w:eastAsia="en-GB"/>
          </w:rPr>
          <w:t>Clinical Research Compliance Team (CRCT) website</w:t>
        </w:r>
      </w:hyperlink>
      <w:r>
        <w:rPr>
          <w:lang w:eastAsia="en-GB"/>
        </w:rPr>
        <w:t>. Internal work instructions can be obtained from the CRCT (</w:t>
      </w:r>
      <w:hyperlink r:id="rId20" w:tooltip="Email address for the CRCT (Clinical Research Compliance Team)" w:history="1">
        <w:r w:rsidRPr="00A101C2">
          <w:rPr>
            <w:rStyle w:val="Hyperlink"/>
            <w:lang w:eastAsia="en-GB"/>
          </w:rPr>
          <w:t>crct@contacts.bham.ac.uk</w:t>
        </w:r>
      </w:hyperlink>
      <w:r>
        <w:rPr>
          <w:lang w:eastAsia="en-GB"/>
        </w:rPr>
        <w:t>) and/or from the Research Governance Team (RGT) (</w:t>
      </w:r>
      <w:hyperlink r:id="rId21" w:tooltip="Email address for the RGT (Research Governance Team)" w:history="1">
        <w:r w:rsidRPr="00335337">
          <w:rPr>
            <w:rStyle w:val="Hyperlink"/>
            <w:lang w:eastAsia="en-GB"/>
          </w:rPr>
          <w:t>researchgovernance@contacts.bham.ac.uk</w:t>
        </w:r>
      </w:hyperlink>
      <w:r w:rsidRPr="00824C98">
        <w:t>).</w:t>
      </w:r>
      <w:r>
        <w:rPr>
          <w:lang w:eastAsia="en-GB"/>
        </w:rPr>
        <w:t xml:space="preserve"> </w:t>
      </w:r>
    </w:p>
    <w:p w14:paraId="4CE0FA33" w14:textId="1A9CC2C2" w:rsidR="007B4836" w:rsidRDefault="007B4836">
      <w:pPr>
        <w:pStyle w:val="Heading1"/>
      </w:pPr>
      <w:r w:rsidRPr="005D17F6">
        <w:t>References</w:t>
      </w:r>
      <w:r w:rsidR="005F0420">
        <w:t xml:space="preserve"> and </w:t>
      </w:r>
      <w:r w:rsidR="00790BED">
        <w:t>f</w:t>
      </w:r>
      <w:r w:rsidR="005F0420">
        <w:t>rameworks</w:t>
      </w:r>
    </w:p>
    <w:p w14:paraId="6DEB61AC" w14:textId="0AE84E7F" w:rsidR="00B20DFB" w:rsidRPr="00405C07" w:rsidRDefault="00B20DFB" w:rsidP="00B20DFB">
      <w:pPr>
        <w:pStyle w:val="bullet1"/>
        <w:rPr>
          <w:rStyle w:val="Hyperlink"/>
        </w:rPr>
      </w:pPr>
      <w:r>
        <w:t xml:space="preserve">CONSORT (Consolidated Standards of Reporting Trials) </w:t>
      </w:r>
      <w:r w:rsidR="0028416A">
        <w:t xml:space="preserve">Statement </w:t>
      </w:r>
      <w:r>
        <w:t xml:space="preserve">guidelines: </w:t>
      </w:r>
      <w:r w:rsidR="00405C07">
        <w:fldChar w:fldCharType="begin"/>
      </w:r>
      <w:r w:rsidR="0028416A">
        <w:instrText>HYPERLINK "http://www.consort-statement.org/" \o "Website for the CONSORT (Consolidated Standards of Reporting Trials) Statement guidelines"</w:instrText>
      </w:r>
      <w:r w:rsidR="00405C07">
        <w:fldChar w:fldCharType="separate"/>
      </w:r>
      <w:r w:rsidRPr="00405C07">
        <w:rPr>
          <w:rStyle w:val="Hyperlink"/>
        </w:rPr>
        <w:t>http://www.consort-statement.org/</w:t>
      </w:r>
    </w:p>
    <w:p w14:paraId="7A0EF9F1" w14:textId="6DAC6AE3" w:rsidR="00B20DFB" w:rsidRPr="000A006E" w:rsidRDefault="00405C07" w:rsidP="00B20DFB">
      <w:pPr>
        <w:pStyle w:val="bullet1"/>
        <w:rPr>
          <w:rStyle w:val="Hyperlink"/>
          <w:color w:val="auto"/>
          <w:u w:val="none"/>
        </w:rPr>
      </w:pPr>
      <w:r>
        <w:fldChar w:fldCharType="end"/>
      </w:r>
      <w:r w:rsidR="00B20DFB">
        <w:rPr>
          <w:rStyle w:val="Hyperlink"/>
          <w:color w:val="auto"/>
          <w:u w:val="none"/>
        </w:rPr>
        <w:t xml:space="preserve">Health Research Authority (HRA) Information for participants at the end of a study: Guidance for Researchers/Sponsors/Chief Investigators/Principal Investigators v4.1 20-Aug-2015:  </w:t>
      </w:r>
      <w:hyperlink r:id="rId22" w:tooltip="Website link to PDF document called Health Research Authority (HRA) Information for participants at the end of a study: Guidance for Researchers/Sponsors/Chief Investigators/Principal Investigators " w:history="1">
        <w:r w:rsidR="00B20DFB" w:rsidRPr="006838BE">
          <w:rPr>
            <w:rStyle w:val="Hyperlink"/>
          </w:rPr>
          <w:t>https://www.hra.nhs.uk/documents/322/hra-guidance-end-study-pis-v4-1_20-august-2015.pdf</w:t>
        </w:r>
      </w:hyperlink>
    </w:p>
    <w:p w14:paraId="2B979980" w14:textId="5056A711" w:rsidR="00110971" w:rsidRDefault="00B20DFB" w:rsidP="00B20DFB">
      <w:pPr>
        <w:pStyle w:val="bullet1"/>
      </w:pPr>
      <w:r>
        <w:t xml:space="preserve">Medicines and Healthcare products Regulatory Agency (MHRA). </w:t>
      </w:r>
      <w:r w:rsidRPr="000B6884">
        <w:rPr>
          <w:i/>
        </w:rPr>
        <w:t>Good Clinical Practice Guide</w:t>
      </w:r>
      <w:r>
        <w:t>, London: The Stationery Office, 2012.</w:t>
      </w:r>
    </w:p>
    <w:p w14:paraId="71E87C38" w14:textId="2A402195" w:rsidR="00B10C05" w:rsidRDefault="00B10C05">
      <w:pPr>
        <w:pStyle w:val="Heading1"/>
      </w:pPr>
      <w:r w:rsidRPr="00522ABB">
        <w:lastRenderedPageBreak/>
        <w:t>Abbreviations</w:t>
      </w:r>
      <w:r>
        <w:t xml:space="preserve"> and </w:t>
      </w:r>
      <w:r w:rsidR="00790BED">
        <w:t>d</w:t>
      </w:r>
      <w:r>
        <w:t>efinitions</w:t>
      </w:r>
    </w:p>
    <w:tbl>
      <w:tblPr>
        <w:tblStyle w:val="TableGrid"/>
        <w:tblW w:w="0" w:type="auto"/>
        <w:tblBorders>
          <w:insideH w:val="dotted" w:sz="4" w:space="0" w:color="auto"/>
          <w:insideV w:val="dotted" w:sz="4" w:space="0" w:color="auto"/>
        </w:tblBorders>
        <w:tblLook w:val="04A0" w:firstRow="1" w:lastRow="0" w:firstColumn="1" w:lastColumn="0" w:noHBand="0" w:noVBand="1"/>
        <w:tblCaption w:val="Abbreviations and Definitions"/>
        <w:tblDescription w:val="List of abbreviations and Definitions used in this document."/>
      </w:tblPr>
      <w:tblGrid>
        <w:gridCol w:w="2462"/>
        <w:gridCol w:w="6555"/>
      </w:tblGrid>
      <w:tr w:rsidR="00CC61A6" w14:paraId="5B96CCC0" w14:textId="77777777" w:rsidTr="00B20DFB">
        <w:trPr>
          <w:cantSplit/>
          <w:tblHeader/>
        </w:trPr>
        <w:tc>
          <w:tcPr>
            <w:tcW w:w="2462" w:type="dxa"/>
            <w:vAlign w:val="center"/>
          </w:tcPr>
          <w:p w14:paraId="7EF25D70" w14:textId="77777777" w:rsidR="00CC61A6" w:rsidRPr="003D5BFC" w:rsidRDefault="00CC61A6" w:rsidP="00043513">
            <w:pPr>
              <w:pStyle w:val="Heading2"/>
            </w:pPr>
            <w:r w:rsidRPr="003D5BFC">
              <w:t>Term</w:t>
            </w:r>
          </w:p>
        </w:tc>
        <w:tc>
          <w:tcPr>
            <w:tcW w:w="6555" w:type="dxa"/>
            <w:vAlign w:val="center"/>
          </w:tcPr>
          <w:p w14:paraId="32F77D83" w14:textId="77777777" w:rsidR="00CC61A6" w:rsidRPr="003D5BFC" w:rsidRDefault="00CC61A6" w:rsidP="00043513">
            <w:pPr>
              <w:pStyle w:val="Heading2"/>
            </w:pPr>
            <w:r w:rsidRPr="003D5BFC">
              <w:t>Description</w:t>
            </w:r>
          </w:p>
        </w:tc>
      </w:tr>
      <w:tr w:rsidR="00B20DFB" w14:paraId="5F0CA1AC" w14:textId="77777777" w:rsidTr="00B20DFB">
        <w:trPr>
          <w:cantSplit/>
        </w:trPr>
        <w:tc>
          <w:tcPr>
            <w:tcW w:w="2462" w:type="dxa"/>
          </w:tcPr>
          <w:p w14:paraId="4339CA80" w14:textId="77777777" w:rsidR="00B20DFB" w:rsidRPr="00A05F70" w:rsidRDefault="00B20DFB" w:rsidP="00B20DFB">
            <w:pPr>
              <w:pStyle w:val="Definitionsabbreviations"/>
            </w:pPr>
            <w:r>
              <w:t>Blinding</w:t>
            </w:r>
          </w:p>
        </w:tc>
        <w:tc>
          <w:tcPr>
            <w:tcW w:w="6555" w:type="dxa"/>
          </w:tcPr>
          <w:p w14:paraId="1B1A67CB" w14:textId="45D81B07" w:rsidR="00B20DFB" w:rsidRPr="00BD1740" w:rsidRDefault="005E1E20" w:rsidP="00B20DFB">
            <w:pPr>
              <w:rPr>
                <w:rFonts w:eastAsia="Calibri"/>
              </w:rPr>
            </w:pPr>
            <w:r w:rsidRPr="006D57DE">
              <w:t xml:space="preserve">Blinding is the process that keeps one or more parties involved in a </w:t>
            </w:r>
            <w:r>
              <w:t>clinical research project</w:t>
            </w:r>
            <w:r w:rsidRPr="006D57DE">
              <w:t xml:space="preserve"> (for example, the sponsor, the investigator team, and/or the </w:t>
            </w:r>
            <w:r>
              <w:t>participant</w:t>
            </w:r>
            <w:r w:rsidRPr="006D57DE">
              <w:t xml:space="preserve">) unaware of what treatment arm </w:t>
            </w:r>
            <w:r>
              <w:t>participants</w:t>
            </w:r>
            <w:r w:rsidRPr="006D57DE">
              <w:t xml:space="preserve"> have been randomised to. In relation to an </w:t>
            </w:r>
            <w:r w:rsidR="0028416A">
              <w:t>i</w:t>
            </w:r>
            <w:r w:rsidR="0028416A" w:rsidRPr="006D57DE">
              <w:t xml:space="preserve">nvestigational </w:t>
            </w:r>
            <w:r w:rsidR="0028416A">
              <w:t>m</w:t>
            </w:r>
            <w:r w:rsidR="0028416A" w:rsidRPr="006D57DE">
              <w:t xml:space="preserve">edicinal </w:t>
            </w:r>
            <w:r w:rsidR="0028416A">
              <w:t>p</w:t>
            </w:r>
            <w:r w:rsidR="0028416A" w:rsidRPr="006D57DE">
              <w:t>roduct</w:t>
            </w:r>
            <w:r w:rsidRPr="006D57DE">
              <w:t>, blinding is the deliberate disguising of the identity of the product in accordance with the instructions of the sponsor.</w:t>
            </w:r>
          </w:p>
        </w:tc>
      </w:tr>
      <w:tr w:rsidR="00B20DFB" w14:paraId="1EB1862F" w14:textId="77777777" w:rsidTr="00B20DFB">
        <w:trPr>
          <w:cantSplit/>
        </w:trPr>
        <w:tc>
          <w:tcPr>
            <w:tcW w:w="2462" w:type="dxa"/>
          </w:tcPr>
          <w:p w14:paraId="02A335E7" w14:textId="77777777" w:rsidR="00B20DFB" w:rsidRPr="00A05F70" w:rsidRDefault="00B20DFB" w:rsidP="00B20DFB">
            <w:pPr>
              <w:pStyle w:val="Definitionsabbreviations"/>
            </w:pPr>
            <w:r>
              <w:t>Code break</w:t>
            </w:r>
          </w:p>
        </w:tc>
        <w:tc>
          <w:tcPr>
            <w:tcW w:w="6555" w:type="dxa"/>
          </w:tcPr>
          <w:p w14:paraId="4A57A068" w14:textId="0E91AEB7" w:rsidR="00B20DFB" w:rsidRPr="00BD1740" w:rsidRDefault="00B20DFB" w:rsidP="00340828">
            <w:pPr>
              <w:rPr>
                <w:rFonts w:eastAsia="Calibri"/>
              </w:rPr>
            </w:pPr>
            <w:r w:rsidRPr="00031AD0">
              <w:rPr>
                <w:rFonts w:eastAsia="Calibri"/>
              </w:rPr>
              <w:t xml:space="preserve">Also known as breaking the blind. </w:t>
            </w:r>
            <w:r w:rsidR="0028416A">
              <w:rPr>
                <w:rFonts w:eastAsia="Calibri"/>
              </w:rPr>
              <w:t>This i</w:t>
            </w:r>
            <w:r w:rsidRPr="00031AD0">
              <w:rPr>
                <w:rFonts w:eastAsia="Calibri"/>
              </w:rPr>
              <w:t xml:space="preserve">s the mechanism that permits the rapid identification of the </w:t>
            </w:r>
            <w:r w:rsidR="005E1E20">
              <w:rPr>
                <w:rFonts w:eastAsia="Calibri"/>
              </w:rPr>
              <w:t>intervention/</w:t>
            </w:r>
            <w:r w:rsidRPr="00031AD0">
              <w:rPr>
                <w:rFonts w:eastAsia="Calibri"/>
              </w:rPr>
              <w:t xml:space="preserve">treatment received by a </w:t>
            </w:r>
            <w:r w:rsidR="005E1E20">
              <w:rPr>
                <w:rFonts w:eastAsia="Calibri"/>
              </w:rPr>
              <w:t>participant</w:t>
            </w:r>
            <w:r w:rsidR="005E1E20" w:rsidRPr="00031AD0">
              <w:rPr>
                <w:rFonts w:eastAsia="Calibri"/>
              </w:rPr>
              <w:t xml:space="preserve"> </w:t>
            </w:r>
            <w:r w:rsidRPr="00031AD0">
              <w:rPr>
                <w:rFonts w:eastAsia="Calibri"/>
              </w:rPr>
              <w:t>in the case of a medical emergency, pre-specified protocol indication or safety reporting requirement, but does not permit undetectable breaks of the blinding.</w:t>
            </w:r>
          </w:p>
        </w:tc>
      </w:tr>
      <w:tr w:rsidR="00B20DFB" w14:paraId="64FB674E" w14:textId="77777777" w:rsidTr="00B20DFB">
        <w:trPr>
          <w:cantSplit/>
        </w:trPr>
        <w:tc>
          <w:tcPr>
            <w:tcW w:w="2462" w:type="dxa"/>
          </w:tcPr>
          <w:p w14:paraId="18813981" w14:textId="77777777" w:rsidR="00B20DFB" w:rsidRPr="006334E2" w:rsidRDefault="00B20DFB" w:rsidP="00B20DFB">
            <w:pPr>
              <w:pStyle w:val="Definitionsabbreviations"/>
            </w:pPr>
            <w:r>
              <w:t>CTIMP</w:t>
            </w:r>
          </w:p>
        </w:tc>
        <w:tc>
          <w:tcPr>
            <w:tcW w:w="6555" w:type="dxa"/>
            <w:vAlign w:val="center"/>
          </w:tcPr>
          <w:p w14:paraId="3087CE20" w14:textId="5A83960F" w:rsidR="00B20DFB" w:rsidRPr="006334E2" w:rsidRDefault="00B20DFB" w:rsidP="00B20DFB">
            <w:r w:rsidRPr="0083686D">
              <w:t xml:space="preserve">A </w:t>
            </w:r>
            <w:r w:rsidR="0028416A">
              <w:t>c</w:t>
            </w:r>
            <w:r w:rsidR="0028416A" w:rsidRPr="0083686D">
              <w:t xml:space="preserve">linical </w:t>
            </w:r>
            <w:r w:rsidR="0028416A">
              <w:t>t</w:t>
            </w:r>
            <w:r w:rsidR="0028416A" w:rsidRPr="0083686D">
              <w:t xml:space="preserve">rial </w:t>
            </w:r>
            <w:r w:rsidRPr="0083686D">
              <w:t xml:space="preserve">of an </w:t>
            </w:r>
            <w:r w:rsidR="0028416A">
              <w:t>i</w:t>
            </w:r>
            <w:r w:rsidR="0028416A" w:rsidRPr="0083686D">
              <w:t xml:space="preserve">nvestigational </w:t>
            </w:r>
            <w:r w:rsidR="0028416A">
              <w:t>m</w:t>
            </w:r>
            <w:r w:rsidR="0028416A" w:rsidRPr="0083686D">
              <w:t xml:space="preserve">edicinal </w:t>
            </w:r>
            <w:r w:rsidR="0028416A">
              <w:t>p</w:t>
            </w:r>
            <w:r w:rsidR="0028416A" w:rsidRPr="0083686D">
              <w:t>roduct</w:t>
            </w:r>
            <w:r w:rsidRPr="0083686D">
              <w:t>(s).</w:t>
            </w:r>
          </w:p>
        </w:tc>
      </w:tr>
      <w:tr w:rsidR="00B20DFB" w14:paraId="27705662" w14:textId="77777777" w:rsidTr="00B20DFB">
        <w:trPr>
          <w:cantSplit/>
        </w:trPr>
        <w:tc>
          <w:tcPr>
            <w:tcW w:w="2462" w:type="dxa"/>
          </w:tcPr>
          <w:p w14:paraId="1BB718B2" w14:textId="7D7EA30C" w:rsidR="00B20DFB" w:rsidRPr="00067B11" w:rsidRDefault="00B20DFB" w:rsidP="00B20DFB">
            <w:pPr>
              <w:pStyle w:val="Definitionsabbreviations"/>
            </w:pPr>
            <w:r>
              <w:t xml:space="preserve">Interactive </w:t>
            </w:r>
            <w:r w:rsidR="0028416A">
              <w:t xml:space="preserve">voice response system </w:t>
            </w:r>
            <w:r>
              <w:t>(IVRS)</w:t>
            </w:r>
          </w:p>
        </w:tc>
        <w:tc>
          <w:tcPr>
            <w:tcW w:w="6555" w:type="dxa"/>
          </w:tcPr>
          <w:p w14:paraId="5A3B13B8" w14:textId="0D54821C" w:rsidR="00B20DFB" w:rsidRPr="00376D57" w:rsidRDefault="00B20DFB" w:rsidP="00340828">
            <w:pPr>
              <w:rPr>
                <w:color w:val="000000" w:themeColor="text1"/>
              </w:rPr>
            </w:pPr>
            <w:r w:rsidRPr="00031AD0">
              <w:rPr>
                <w:color w:val="000000" w:themeColor="text1"/>
              </w:rPr>
              <w:t xml:space="preserve">A phone technology that allows a computer to detect voice and touch tones using a normal phone call. IVRS can respond with pre-recorded information to further direct callers on how to proceed with regards to a clinical </w:t>
            </w:r>
            <w:r w:rsidR="008179F4">
              <w:rPr>
                <w:color w:val="000000" w:themeColor="text1"/>
              </w:rPr>
              <w:t>research project</w:t>
            </w:r>
            <w:r>
              <w:rPr>
                <w:color w:val="000000" w:themeColor="text1"/>
              </w:rPr>
              <w:t>.</w:t>
            </w:r>
          </w:p>
        </w:tc>
      </w:tr>
      <w:tr w:rsidR="00B20DFB" w14:paraId="00B7DD52" w14:textId="77777777" w:rsidTr="00B20DFB">
        <w:trPr>
          <w:cantSplit/>
        </w:trPr>
        <w:tc>
          <w:tcPr>
            <w:tcW w:w="2462" w:type="dxa"/>
          </w:tcPr>
          <w:p w14:paraId="1BAEAD98" w14:textId="30C98B3A" w:rsidR="00B20DFB" w:rsidRDefault="00B20DFB" w:rsidP="00B20DFB">
            <w:pPr>
              <w:pStyle w:val="Definitionsabbreviations"/>
            </w:pPr>
            <w:r>
              <w:t xml:space="preserve">Interactive </w:t>
            </w:r>
            <w:r w:rsidR="0028416A">
              <w:t xml:space="preserve">web response system </w:t>
            </w:r>
            <w:r>
              <w:t>(IWRS)</w:t>
            </w:r>
          </w:p>
        </w:tc>
        <w:tc>
          <w:tcPr>
            <w:tcW w:w="6555" w:type="dxa"/>
          </w:tcPr>
          <w:p w14:paraId="17465858" w14:textId="3EEEEB6A" w:rsidR="00B20DFB" w:rsidRDefault="00B20DFB" w:rsidP="00340828">
            <w:r w:rsidRPr="00031AD0">
              <w:t xml:space="preserve">A </w:t>
            </w:r>
            <w:r w:rsidR="0028416A">
              <w:t>w</w:t>
            </w:r>
            <w:r w:rsidR="0028416A" w:rsidRPr="00031AD0">
              <w:t xml:space="preserve">eb </w:t>
            </w:r>
            <w:r w:rsidRPr="00031AD0">
              <w:t xml:space="preserve">technology that is designed to give adequate information for users to manage clinical </w:t>
            </w:r>
            <w:r w:rsidR="008179F4">
              <w:t>research projects</w:t>
            </w:r>
            <w:r w:rsidRPr="00031AD0">
              <w:t>.</w:t>
            </w:r>
          </w:p>
        </w:tc>
      </w:tr>
      <w:tr w:rsidR="00B20DFB" w14:paraId="069F7567" w14:textId="77777777" w:rsidTr="00B20DFB">
        <w:trPr>
          <w:cantSplit/>
        </w:trPr>
        <w:tc>
          <w:tcPr>
            <w:tcW w:w="2462" w:type="dxa"/>
          </w:tcPr>
          <w:p w14:paraId="28B252DB" w14:textId="77777777" w:rsidR="00B20DFB" w:rsidRPr="0083686D" w:rsidRDefault="00B20DFB" w:rsidP="00B20DFB">
            <w:pPr>
              <w:pStyle w:val="Definitionsabbreviations"/>
            </w:pPr>
            <w:r>
              <w:t>Randomisation</w:t>
            </w:r>
          </w:p>
        </w:tc>
        <w:tc>
          <w:tcPr>
            <w:tcW w:w="6555" w:type="dxa"/>
          </w:tcPr>
          <w:p w14:paraId="5C215AA6" w14:textId="57DB283D" w:rsidR="00B20DFB" w:rsidRPr="00D65096" w:rsidRDefault="00B20DFB" w:rsidP="00340828">
            <w:r w:rsidRPr="00376D57">
              <w:t xml:space="preserve">The process of assigning </w:t>
            </w:r>
            <w:r>
              <w:t>participants</w:t>
            </w:r>
            <w:r w:rsidRPr="00376D57">
              <w:t xml:space="preserve"> to</w:t>
            </w:r>
            <w:r w:rsidR="008179F4">
              <w:t xml:space="preserve"> </w:t>
            </w:r>
            <w:r w:rsidR="0028416A">
              <w:t xml:space="preserve">an </w:t>
            </w:r>
            <w:r w:rsidR="008179F4">
              <w:t>intervention/</w:t>
            </w:r>
            <w:r w:rsidRPr="00376D57">
              <w:t>treatment or</w:t>
            </w:r>
            <w:r w:rsidR="008179F4">
              <w:t xml:space="preserve"> </w:t>
            </w:r>
            <w:r w:rsidRPr="00376D57">
              <w:t>control groups in order to reduce bias.</w:t>
            </w:r>
          </w:p>
        </w:tc>
      </w:tr>
      <w:tr w:rsidR="00B20DFB" w14:paraId="70BA264F" w14:textId="77777777" w:rsidTr="00B20DFB">
        <w:trPr>
          <w:cantSplit/>
          <w:trHeight w:val="70"/>
        </w:trPr>
        <w:tc>
          <w:tcPr>
            <w:tcW w:w="2462" w:type="dxa"/>
          </w:tcPr>
          <w:p w14:paraId="2E67992E" w14:textId="77777777" w:rsidR="00B20DFB" w:rsidRPr="008A053A" w:rsidRDefault="00B20DFB" w:rsidP="00B20DFB">
            <w:pPr>
              <w:pStyle w:val="Definitionsabbreviations"/>
            </w:pPr>
            <w:r>
              <w:t>Randomisation code</w:t>
            </w:r>
          </w:p>
        </w:tc>
        <w:tc>
          <w:tcPr>
            <w:tcW w:w="6555" w:type="dxa"/>
          </w:tcPr>
          <w:p w14:paraId="576C4C5B" w14:textId="077E43BA" w:rsidR="00B20DFB" w:rsidRPr="0027215E" w:rsidRDefault="00B20DFB" w:rsidP="00B20DFB">
            <w:pPr>
              <w:pStyle w:val="bullet2"/>
              <w:numPr>
                <w:ilvl w:val="0"/>
                <w:numId w:val="0"/>
              </w:numPr>
            </w:pPr>
            <w:r w:rsidRPr="00031AD0">
              <w:t xml:space="preserve">A unique number or code that is linked via a randomisation list to the </w:t>
            </w:r>
            <w:r w:rsidR="008179F4">
              <w:t>intervention/</w:t>
            </w:r>
            <w:r w:rsidRPr="00031AD0">
              <w:t>treatment.</w:t>
            </w:r>
          </w:p>
        </w:tc>
      </w:tr>
      <w:tr w:rsidR="00B20DFB" w:rsidRPr="0027215E" w14:paraId="09345C43" w14:textId="77777777" w:rsidTr="0016563C">
        <w:trPr>
          <w:cantSplit/>
        </w:trPr>
        <w:tc>
          <w:tcPr>
            <w:tcW w:w="2462" w:type="dxa"/>
          </w:tcPr>
          <w:p w14:paraId="305C8A14" w14:textId="77777777" w:rsidR="00B20DFB" w:rsidRPr="0083686D" w:rsidRDefault="00B20DFB" w:rsidP="00B20DFB">
            <w:pPr>
              <w:pStyle w:val="Definitionsabbreviations"/>
            </w:pPr>
            <w:r>
              <w:t xml:space="preserve">Randomisation schedule </w:t>
            </w:r>
          </w:p>
        </w:tc>
        <w:tc>
          <w:tcPr>
            <w:tcW w:w="6555" w:type="dxa"/>
          </w:tcPr>
          <w:p w14:paraId="6929F1F6" w14:textId="77777777" w:rsidR="00B20DFB" w:rsidRPr="0027215E" w:rsidRDefault="00B20DFB" w:rsidP="00B20DFB">
            <w:r w:rsidRPr="00031AD0">
              <w:t>A list of intervention groups, randomly ordered, used to assign sequentially enrolled participants to intervention groups. Also termed the "randomisation list".</w:t>
            </w:r>
          </w:p>
        </w:tc>
      </w:tr>
      <w:tr w:rsidR="00B31ADC" w:rsidRPr="0027215E" w14:paraId="32209860" w14:textId="77777777" w:rsidTr="0016563C">
        <w:trPr>
          <w:cantSplit/>
          <w:trHeight w:val="70"/>
        </w:trPr>
        <w:tc>
          <w:tcPr>
            <w:tcW w:w="2462" w:type="dxa"/>
          </w:tcPr>
          <w:p w14:paraId="33EF4F15" w14:textId="73E5BB09" w:rsidR="00B31ADC" w:rsidRDefault="00B31ADC" w:rsidP="00B31ADC">
            <w:pPr>
              <w:pStyle w:val="Definitionsabbreviations"/>
            </w:pPr>
            <w:r>
              <w:t>Statistical advisor</w:t>
            </w:r>
          </w:p>
        </w:tc>
        <w:tc>
          <w:tcPr>
            <w:tcW w:w="6555" w:type="dxa"/>
          </w:tcPr>
          <w:p w14:paraId="7EB99F48" w14:textId="4F452AF3" w:rsidR="00B31ADC" w:rsidRPr="00376D57" w:rsidRDefault="00B31ADC" w:rsidP="00B31ADC">
            <w:r w:rsidRPr="00376D57">
              <w:t xml:space="preserve">A qualified statistician or experienced </w:t>
            </w:r>
            <w:r>
              <w:t>researcher</w:t>
            </w:r>
            <w:r w:rsidRPr="00376D57">
              <w:t xml:space="preserve"> who may contribute to some, but not all, aspects of the </w:t>
            </w:r>
            <w:r>
              <w:t>clinical research</w:t>
            </w:r>
            <w:r w:rsidRPr="00376D57">
              <w:t xml:space="preserve"> design and analysis, but takes responsibility for the statistical aspects of the tasks they perform.</w:t>
            </w:r>
          </w:p>
        </w:tc>
      </w:tr>
      <w:tr w:rsidR="00B31ADC" w:rsidRPr="0027215E" w14:paraId="49AC2E9F" w14:textId="77777777" w:rsidTr="0016563C">
        <w:trPr>
          <w:cantSplit/>
          <w:trHeight w:val="70"/>
        </w:trPr>
        <w:tc>
          <w:tcPr>
            <w:tcW w:w="2462" w:type="dxa"/>
          </w:tcPr>
          <w:p w14:paraId="7F5F86DB" w14:textId="1F5AC549" w:rsidR="00B31ADC" w:rsidRPr="0027215E" w:rsidRDefault="00B31ADC" w:rsidP="00B31ADC">
            <w:pPr>
              <w:pStyle w:val="Definitionsabbreviations"/>
            </w:pPr>
            <w:r>
              <w:t>Statistician</w:t>
            </w:r>
          </w:p>
        </w:tc>
        <w:tc>
          <w:tcPr>
            <w:tcW w:w="6555" w:type="dxa"/>
            <w:vAlign w:val="center"/>
          </w:tcPr>
          <w:p w14:paraId="0EC57F2A" w14:textId="77237083" w:rsidR="00B31ADC" w:rsidRPr="0027215E" w:rsidRDefault="00B31ADC" w:rsidP="00B31ADC">
            <w:r w:rsidRPr="00376D57">
              <w:t xml:space="preserve">A qualified statistician who contributes to the design, analysis and interpretation throughout the </w:t>
            </w:r>
            <w:r>
              <w:t>clinical research</w:t>
            </w:r>
            <w:r w:rsidRPr="00376D57">
              <w:t xml:space="preserve"> life cycle and takes responsibility for the statistical aspects of the </w:t>
            </w:r>
            <w:r>
              <w:t>project</w:t>
            </w:r>
            <w:r w:rsidRPr="00376D57">
              <w:t xml:space="preserve">. The statistician may be unblinded to the allocation and evolving results whilst performing interim analyses, but will not disclose these to the rest of the </w:t>
            </w:r>
            <w:r>
              <w:t>research</w:t>
            </w:r>
            <w:r w:rsidRPr="00376D57">
              <w:t xml:space="preserve"> team. There may be a senior statistician supervising a more junior statistician.</w:t>
            </w:r>
          </w:p>
        </w:tc>
      </w:tr>
      <w:tr w:rsidR="00B31ADC" w:rsidRPr="00C4061A" w14:paraId="3513007B" w14:textId="77777777" w:rsidTr="0016563C">
        <w:trPr>
          <w:cantSplit/>
          <w:trHeight w:val="70"/>
        </w:trPr>
        <w:tc>
          <w:tcPr>
            <w:tcW w:w="2462" w:type="dxa"/>
          </w:tcPr>
          <w:p w14:paraId="0FE35776" w14:textId="0732EE44" w:rsidR="00B31ADC" w:rsidRDefault="00B31ADC" w:rsidP="00B31ADC">
            <w:pPr>
              <w:pStyle w:val="Definitionsabbreviations"/>
            </w:pPr>
            <w:r>
              <w:t>Study/</w:t>
            </w:r>
            <w:r w:rsidR="0028416A">
              <w:t xml:space="preserve">trial master file </w:t>
            </w:r>
            <w:r>
              <w:t>(S/TMF)</w:t>
            </w:r>
          </w:p>
        </w:tc>
        <w:tc>
          <w:tcPr>
            <w:tcW w:w="6555" w:type="dxa"/>
          </w:tcPr>
          <w:p w14:paraId="1F9F15C6" w14:textId="49D4C1C3" w:rsidR="00B31ADC" w:rsidRPr="00376D57" w:rsidRDefault="00B31ADC" w:rsidP="00B31ADC">
            <w:r w:rsidRPr="007B40BA">
              <w:t xml:space="preserve">The </w:t>
            </w:r>
            <w:r w:rsidR="0028416A">
              <w:t>s</w:t>
            </w:r>
            <w:r w:rsidR="0028416A" w:rsidRPr="007B40BA">
              <w:t>tudy</w:t>
            </w:r>
            <w:r>
              <w:t>/</w:t>
            </w:r>
            <w:r w:rsidR="0028416A">
              <w:t xml:space="preserve">trial master file </w:t>
            </w:r>
            <w:r>
              <w:t>consists of essential d</w:t>
            </w:r>
            <w:r w:rsidRPr="007B40BA">
              <w:t xml:space="preserve">ocuments kept at the </w:t>
            </w:r>
            <w:r w:rsidR="0016563C">
              <w:t>s</w:t>
            </w:r>
            <w:r w:rsidR="0016563C" w:rsidRPr="007B40BA">
              <w:t xml:space="preserve">ponsor </w:t>
            </w:r>
            <w:r w:rsidRPr="007B40BA">
              <w:t>(or delegate) site, which enable</w:t>
            </w:r>
            <w:r>
              <w:t>s</w:t>
            </w:r>
            <w:r w:rsidRPr="007B40BA">
              <w:t xml:space="preserve"> both the conduc</w:t>
            </w:r>
            <w:r>
              <w:t xml:space="preserve">t of a clinical study/trial </w:t>
            </w:r>
            <w:r w:rsidRPr="007B40BA">
              <w:t>and the quality of the data produced to be evaluated. The filing system can be in the form of a single file or a number of files as deemed most appropriate.</w:t>
            </w:r>
          </w:p>
        </w:tc>
      </w:tr>
      <w:tr w:rsidR="00B31ADC" w:rsidRPr="00C4061A" w14:paraId="4760C2B9" w14:textId="77777777" w:rsidTr="000417FF">
        <w:trPr>
          <w:cantSplit/>
          <w:trHeight w:val="70"/>
        </w:trPr>
        <w:tc>
          <w:tcPr>
            <w:tcW w:w="2462" w:type="dxa"/>
          </w:tcPr>
          <w:p w14:paraId="27F2DB54" w14:textId="77462405" w:rsidR="00B31ADC" w:rsidRDefault="00B31ADC" w:rsidP="00B31ADC">
            <w:pPr>
              <w:pStyle w:val="Definitionsabbreviations"/>
            </w:pPr>
            <w:r>
              <w:t xml:space="preserve">Suspected </w:t>
            </w:r>
            <w:r w:rsidR="0016563C">
              <w:t xml:space="preserve">unexpected serious adverse reaction </w:t>
            </w:r>
            <w:r>
              <w:t>(SUSAR)</w:t>
            </w:r>
          </w:p>
        </w:tc>
        <w:tc>
          <w:tcPr>
            <w:tcW w:w="6555" w:type="dxa"/>
            <w:vAlign w:val="center"/>
          </w:tcPr>
          <w:p w14:paraId="2AD4F8FD" w14:textId="47448D19" w:rsidR="00B31ADC" w:rsidRPr="00376D57" w:rsidRDefault="00B31ADC" w:rsidP="00B31ADC">
            <w:r>
              <w:t xml:space="preserve">For CTIMPs, a </w:t>
            </w:r>
            <w:r w:rsidR="0016563C">
              <w:t xml:space="preserve">serious adverse reaction </w:t>
            </w:r>
            <w:r>
              <w:t xml:space="preserve">that is unexpected i.e. the nature, or severity of the event is not consistent with the applicable product information. A SUSAR should meet the definition of an </w:t>
            </w:r>
            <w:r w:rsidR="0016563C">
              <w:t>adverse reaction</w:t>
            </w:r>
            <w:r>
              <w:t xml:space="preserve">, an </w:t>
            </w:r>
            <w:r w:rsidR="0016563C">
              <w:t xml:space="preserve">unexpected adverse reaction </w:t>
            </w:r>
            <w:r>
              <w:t xml:space="preserve">and a </w:t>
            </w:r>
            <w:r w:rsidR="0016563C">
              <w:t>serious adverse reaction</w:t>
            </w:r>
            <w:r>
              <w:t>.</w:t>
            </w:r>
          </w:p>
        </w:tc>
      </w:tr>
      <w:tr w:rsidR="00B31ADC" w:rsidRPr="00376D57" w14:paraId="44F47E60" w14:textId="77777777" w:rsidTr="0016563C">
        <w:trPr>
          <w:cantSplit/>
          <w:trHeight w:val="70"/>
        </w:trPr>
        <w:tc>
          <w:tcPr>
            <w:tcW w:w="2462" w:type="dxa"/>
          </w:tcPr>
          <w:p w14:paraId="31021085" w14:textId="77777777" w:rsidR="00B31ADC" w:rsidRDefault="00B31ADC" w:rsidP="00B31ADC">
            <w:pPr>
              <w:pStyle w:val="Definitionsabbreviations"/>
            </w:pPr>
            <w:r>
              <w:t>Unblinding</w:t>
            </w:r>
          </w:p>
        </w:tc>
        <w:tc>
          <w:tcPr>
            <w:tcW w:w="6555" w:type="dxa"/>
          </w:tcPr>
          <w:p w14:paraId="37409DDA" w14:textId="61154159" w:rsidR="00B31ADC" w:rsidRPr="00376D57" w:rsidRDefault="00B31ADC" w:rsidP="00B31ADC">
            <w:r>
              <w:t>T</w:t>
            </w:r>
            <w:r w:rsidRPr="00031AD0">
              <w:t xml:space="preserve">he disclosure of the identity of blinded </w:t>
            </w:r>
            <w:r>
              <w:t>intervention/</w:t>
            </w:r>
            <w:r w:rsidRPr="00031AD0">
              <w:t>treatment.</w:t>
            </w:r>
          </w:p>
        </w:tc>
      </w:tr>
    </w:tbl>
    <w:p w14:paraId="72A0FBF8" w14:textId="79550F8A" w:rsidR="000374CB" w:rsidRDefault="00B10C05" w:rsidP="00340828">
      <w:r w:rsidRPr="009C2C63">
        <w:t xml:space="preserve">See also the </w:t>
      </w:r>
      <w:hyperlink r:id="rId23" w:tooltip="Link to CRCT Glossary of Terms" w:history="1">
        <w:r w:rsidRPr="00994EB6">
          <w:rPr>
            <w:rStyle w:val="Hyperlink"/>
          </w:rPr>
          <w:t>Glossary of Terms</w:t>
        </w:r>
      </w:hyperlink>
      <w:r w:rsidRPr="009C2C63">
        <w:t>.</w:t>
      </w:r>
    </w:p>
    <w:p w14:paraId="24EF43CB" w14:textId="77777777" w:rsidR="000374CB" w:rsidRDefault="000374CB"/>
    <w:sectPr w:rsidR="000374CB" w:rsidSect="003A24EB">
      <w:headerReference w:type="even" r:id="rId24"/>
      <w:headerReference w:type="default" r:id="rId25"/>
      <w:footerReference w:type="even" r:id="rId26"/>
      <w:footerReference w:type="default" r:id="rId27"/>
      <w:headerReference w:type="first" r:id="rId28"/>
      <w:footerReference w:type="first" r:id="rId29"/>
      <w:pgSz w:w="11907" w:h="16839" w:code="9"/>
      <w:pgMar w:top="1440" w:right="1440" w:bottom="1440" w:left="1440" w:header="567" w:footer="397" w:gutter="0"/>
      <w:pgBorders>
        <w:top w:val="single" w:sz="12" w:space="3" w:color="943634"/>
        <w:bottom w:val="single" w:sz="12" w:space="3" w:color="943634"/>
      </w:pgBorder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530DD" w16cex:dateUtc="2022-08-03T16:37:00Z"/>
  <w16cex:commentExtensible w16cex:durableId="2696430D" w16cex:dateUtc="2022-08-04T12:07:00Z"/>
  <w16cex:commentExtensible w16cex:durableId="2696407B" w16cex:dateUtc="2022-08-04T11:56:00Z"/>
  <w16cex:commentExtensible w16cex:durableId="26964C0F" w16cex:dateUtc="2022-08-04T12:45:00Z"/>
  <w16cex:commentExtensible w16cex:durableId="26964D78" w16cex:dateUtc="2022-08-04T12: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20700" w14:textId="77777777" w:rsidR="0016563C" w:rsidRDefault="0016563C" w:rsidP="00F46DE6">
      <w:r>
        <w:separator/>
      </w:r>
    </w:p>
    <w:p w14:paraId="286344B2" w14:textId="77777777" w:rsidR="0016563C" w:rsidRDefault="0016563C" w:rsidP="00F46DE6"/>
  </w:endnote>
  <w:endnote w:type="continuationSeparator" w:id="0">
    <w:p w14:paraId="10BB0197" w14:textId="77777777" w:rsidR="0016563C" w:rsidRDefault="0016563C" w:rsidP="00F46DE6">
      <w:r>
        <w:continuationSeparator/>
      </w:r>
    </w:p>
    <w:p w14:paraId="7138C4D0" w14:textId="77777777" w:rsidR="0016563C" w:rsidRDefault="0016563C" w:rsidP="00F46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55235" w14:textId="77777777" w:rsidR="00527C2C" w:rsidRDefault="00527C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C65BD" w14:textId="77777777" w:rsidR="0016563C" w:rsidRDefault="0016563C" w:rsidP="00276842">
    <w:pPr>
      <w:pStyle w:val="propertystatement"/>
    </w:pPr>
    <w:r w:rsidRPr="002D6577">
      <w:t xml:space="preserve">Property of </w:t>
    </w:r>
    <w:r>
      <w:t xml:space="preserve">the </w:t>
    </w:r>
    <w:r w:rsidRPr="002D6577">
      <w:t>University of Birmingham, Vincent Drive, Edgbaston, Birmingham, B15 2TT, United Kingdom</w:t>
    </w:r>
  </w:p>
  <w:p w14:paraId="0777D088" w14:textId="77777777" w:rsidR="0016563C" w:rsidRPr="001348DC" w:rsidRDefault="0016563C" w:rsidP="00DD3075">
    <w:pPr>
      <w:pStyle w:val="propertystatement"/>
    </w:pPr>
    <w:r w:rsidRPr="001348DC">
      <w:t>Copies are only valid for 14 days and may be subject to amendment a</w:t>
    </w:r>
    <w:r>
      <w:t>t any time. For the latest version refer to:</w:t>
    </w:r>
    <w:r w:rsidRPr="001348DC">
      <w:t xml:space="preserve"> </w:t>
    </w:r>
  </w:p>
  <w:p w14:paraId="1A87A393" w14:textId="77777777" w:rsidR="0016563C" w:rsidRDefault="00527C2C" w:rsidP="00DD3075">
    <w:pPr>
      <w:pStyle w:val="propertystatement"/>
    </w:pPr>
    <w:hyperlink r:id="rId1" w:history="1">
      <w:r w:rsidR="0016563C" w:rsidRPr="00D317E8">
        <w:rPr>
          <w:rStyle w:val="Hyperlink"/>
        </w:rPr>
        <w:t>http://www.birmingham.ac.uk/research/activity/mds/mds-rkto/governance/index.aspx</w:t>
      </w:r>
    </w:hyperlink>
  </w:p>
  <w:p w14:paraId="609AF609" w14:textId="77777777" w:rsidR="0016563C" w:rsidRPr="002D6577" w:rsidRDefault="0016563C" w:rsidP="006B351B">
    <w:pPr>
      <w:pStyle w:val="Footer"/>
      <w:jc w:val="both"/>
      <w:rPr>
        <w:bCs/>
        <w:iCs/>
        <w:szCs w:val="28"/>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36C38" w14:textId="77777777" w:rsidR="0016563C" w:rsidRDefault="0016563C" w:rsidP="009E44AF">
    <w:pPr>
      <w:pStyle w:val="Footer"/>
      <w:jc w:val="center"/>
    </w:pPr>
    <w:r w:rsidRPr="002D6577">
      <w:t xml:space="preserve">Property of </w:t>
    </w:r>
    <w:r>
      <w:t xml:space="preserve">the </w:t>
    </w:r>
    <w:r w:rsidRPr="002D6577">
      <w:t>University of Birmingham, Vincent Drive, Edgbaston, Birmingham, B15 2TT, United Kingdom</w:t>
    </w:r>
    <w:r>
      <w:t>.</w:t>
    </w:r>
  </w:p>
  <w:p w14:paraId="16BB51E0" w14:textId="77777777" w:rsidR="0016563C" w:rsidRPr="001348DC" w:rsidRDefault="0016563C" w:rsidP="009E44AF">
    <w:pPr>
      <w:pStyle w:val="Footer"/>
      <w:jc w:val="center"/>
    </w:pPr>
    <w:r w:rsidRPr="001348DC">
      <w:t>Copies are only valid for 14 days and may be subject to amendment a</w:t>
    </w:r>
    <w:r>
      <w:t>t any time. For the latest version refer to:</w:t>
    </w:r>
  </w:p>
  <w:p w14:paraId="2B40B453" w14:textId="77777777" w:rsidR="0016563C" w:rsidRDefault="00527C2C" w:rsidP="00D17200">
    <w:pPr>
      <w:pStyle w:val="propertystatement"/>
    </w:pPr>
    <w:hyperlink r:id="rId1" w:tooltip="Website for the Clinical Research Compliance Team" w:history="1">
      <w:r w:rsidR="0016563C">
        <w:rPr>
          <w:rStyle w:val="Hyperlink"/>
        </w:rPr>
        <w:t>birmingham.ac.uk/crct</w:t>
      </w:r>
    </w:hyperlink>
    <w:r w:rsidR="0016563C">
      <w:t xml:space="preserve"> </w:t>
    </w:r>
  </w:p>
  <w:p w14:paraId="6C52A599" w14:textId="77777777" w:rsidR="0016563C" w:rsidRDefault="001656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35426" w14:textId="77777777" w:rsidR="0016563C" w:rsidRDefault="0016563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A0" w:firstRow="1" w:lastRow="0" w:firstColumn="1" w:lastColumn="0" w:noHBand="0" w:noVBand="0"/>
      <w:tblCaption w:val="Document Information"/>
      <w:tblDescription w:val="This includes the document code, version number, print date and page number. "/>
    </w:tblPr>
    <w:tblGrid>
      <w:gridCol w:w="1441"/>
      <w:gridCol w:w="3073"/>
      <w:gridCol w:w="3401"/>
      <w:gridCol w:w="1112"/>
    </w:tblGrid>
    <w:tr w:rsidR="0016563C" w:rsidRPr="002D6577" w14:paraId="0C00D319" w14:textId="77777777" w:rsidTr="003A24EB">
      <w:trPr>
        <w:trHeight w:val="148"/>
      </w:trPr>
      <w:tc>
        <w:tcPr>
          <w:tcW w:w="1441" w:type="dxa"/>
          <w:tcMar>
            <w:top w:w="0" w:type="dxa"/>
            <w:left w:w="57" w:type="dxa"/>
            <w:bottom w:w="0" w:type="dxa"/>
            <w:right w:w="57" w:type="dxa"/>
          </w:tcMar>
          <w:vAlign w:val="center"/>
        </w:tcPr>
        <w:p w14:paraId="153EEE02" w14:textId="77777777" w:rsidR="0016563C" w:rsidRPr="001C6EFB" w:rsidRDefault="0016563C" w:rsidP="0016563C">
          <w:pPr>
            <w:pStyle w:val="Footer"/>
          </w:pPr>
          <w:r w:rsidRPr="001C6EFB">
            <w:t>Document code:</w:t>
          </w:r>
        </w:p>
      </w:tc>
      <w:tc>
        <w:tcPr>
          <w:tcW w:w="3073" w:type="dxa"/>
          <w:tcMar>
            <w:top w:w="0" w:type="dxa"/>
            <w:left w:w="57" w:type="dxa"/>
            <w:bottom w:w="0" w:type="dxa"/>
            <w:right w:w="57" w:type="dxa"/>
          </w:tcMar>
          <w:vAlign w:val="center"/>
        </w:tcPr>
        <w:p w14:paraId="2A3D6D83" w14:textId="7E07C1C5" w:rsidR="0016563C" w:rsidRPr="001C6EFB" w:rsidRDefault="0016563C" w:rsidP="0060052C">
          <w:pPr>
            <w:pStyle w:val="Footer"/>
          </w:pPr>
          <w:r>
            <w:t>UoB-RND-SOP-001</w:t>
          </w:r>
        </w:p>
      </w:tc>
      <w:tc>
        <w:tcPr>
          <w:tcW w:w="3401" w:type="dxa"/>
          <w:tcMar>
            <w:top w:w="0" w:type="dxa"/>
            <w:left w:w="57" w:type="dxa"/>
            <w:bottom w:w="0" w:type="dxa"/>
            <w:right w:w="57" w:type="dxa"/>
          </w:tcMar>
          <w:vAlign w:val="center"/>
        </w:tcPr>
        <w:p w14:paraId="119F0991" w14:textId="77777777" w:rsidR="0016563C" w:rsidRPr="001C6EFB" w:rsidRDefault="0016563C" w:rsidP="00163F57">
          <w:pPr>
            <w:pStyle w:val="Footer"/>
            <w:jc w:val="right"/>
          </w:pPr>
          <w:r w:rsidRPr="001C6EFB">
            <w:t>Print Date:</w:t>
          </w:r>
        </w:p>
      </w:tc>
      <w:tc>
        <w:tcPr>
          <w:tcW w:w="1112" w:type="dxa"/>
          <w:tcMar>
            <w:top w:w="0" w:type="dxa"/>
            <w:left w:w="57" w:type="dxa"/>
            <w:bottom w:w="0" w:type="dxa"/>
            <w:right w:w="57" w:type="dxa"/>
          </w:tcMar>
          <w:vAlign w:val="center"/>
        </w:tcPr>
        <w:p w14:paraId="1D3EC463" w14:textId="1C13644E" w:rsidR="0016563C" w:rsidRPr="001C6EFB" w:rsidRDefault="0016563C" w:rsidP="00163F57">
          <w:pPr>
            <w:pStyle w:val="Footer"/>
            <w:jc w:val="right"/>
          </w:pPr>
          <w:r>
            <w:fldChar w:fldCharType="begin"/>
          </w:r>
          <w:r>
            <w:instrText xml:space="preserve"> DATE  \@ "dd-MMM-yyyy"  \* MERGEFORMAT </w:instrText>
          </w:r>
          <w:r>
            <w:fldChar w:fldCharType="separate"/>
          </w:r>
          <w:r w:rsidR="00527C2C">
            <w:rPr>
              <w:noProof/>
            </w:rPr>
            <w:t>16-Dec-2022</w:t>
          </w:r>
          <w:r>
            <w:fldChar w:fldCharType="end"/>
          </w:r>
        </w:p>
      </w:tc>
    </w:tr>
    <w:tr w:rsidR="0016563C" w:rsidRPr="002D6577" w14:paraId="3469DA95" w14:textId="77777777" w:rsidTr="003A24EB">
      <w:tc>
        <w:tcPr>
          <w:tcW w:w="1441" w:type="dxa"/>
          <w:tcMar>
            <w:top w:w="0" w:type="dxa"/>
            <w:left w:w="57" w:type="dxa"/>
            <w:bottom w:w="0" w:type="dxa"/>
            <w:right w:w="57" w:type="dxa"/>
          </w:tcMar>
          <w:vAlign w:val="center"/>
        </w:tcPr>
        <w:p w14:paraId="16AF245A" w14:textId="3BCA2783" w:rsidR="0016563C" w:rsidRPr="001C6EFB" w:rsidRDefault="0016563C" w:rsidP="0016563C">
          <w:pPr>
            <w:pStyle w:val="Footer"/>
          </w:pPr>
          <w:r w:rsidRPr="001C6EFB">
            <w:t>Version no:</w:t>
          </w:r>
          <w:r>
            <w:t xml:space="preserve"> </w:t>
          </w:r>
        </w:p>
      </w:tc>
      <w:tc>
        <w:tcPr>
          <w:tcW w:w="3073" w:type="dxa"/>
          <w:tcMar>
            <w:top w:w="0" w:type="dxa"/>
            <w:left w:w="57" w:type="dxa"/>
            <w:bottom w:w="0" w:type="dxa"/>
            <w:right w:w="57" w:type="dxa"/>
          </w:tcMar>
          <w:vAlign w:val="center"/>
        </w:tcPr>
        <w:p w14:paraId="581241FF" w14:textId="58EB0505" w:rsidR="0016563C" w:rsidRPr="001C6EFB" w:rsidRDefault="0016563C" w:rsidP="0016563C">
          <w:pPr>
            <w:pStyle w:val="Footer"/>
          </w:pPr>
          <w:r>
            <w:t>1.0 (EAv1.0)</w:t>
          </w:r>
        </w:p>
      </w:tc>
      <w:tc>
        <w:tcPr>
          <w:tcW w:w="3401" w:type="dxa"/>
          <w:tcMar>
            <w:top w:w="0" w:type="dxa"/>
            <w:left w:w="57" w:type="dxa"/>
            <w:bottom w:w="0" w:type="dxa"/>
            <w:right w:w="57" w:type="dxa"/>
          </w:tcMar>
          <w:vAlign w:val="center"/>
        </w:tcPr>
        <w:p w14:paraId="4F7AC168" w14:textId="77777777" w:rsidR="0016563C" w:rsidRPr="001C6EFB" w:rsidRDefault="0016563C" w:rsidP="00163F57">
          <w:pPr>
            <w:pStyle w:val="Footer"/>
            <w:jc w:val="right"/>
          </w:pPr>
          <w:r w:rsidRPr="001C6EFB">
            <w:t>Page:</w:t>
          </w:r>
        </w:p>
      </w:tc>
      <w:tc>
        <w:tcPr>
          <w:tcW w:w="1112" w:type="dxa"/>
          <w:tcMar>
            <w:top w:w="0" w:type="dxa"/>
            <w:left w:w="57" w:type="dxa"/>
            <w:bottom w:w="0" w:type="dxa"/>
            <w:right w:w="57" w:type="dxa"/>
          </w:tcMar>
          <w:vAlign w:val="center"/>
        </w:tcPr>
        <w:p w14:paraId="335A9098" w14:textId="37301913" w:rsidR="0016563C" w:rsidRPr="001C6EFB" w:rsidRDefault="0016563C" w:rsidP="0060052C">
          <w:pPr>
            <w:pStyle w:val="Footer"/>
            <w:jc w:val="right"/>
          </w:pPr>
          <w:r w:rsidRPr="001C6EFB">
            <w:t xml:space="preserve"> </w:t>
          </w:r>
          <w:r>
            <w:fldChar w:fldCharType="begin"/>
          </w:r>
          <w:r>
            <w:instrText xml:space="preserve"> PAGE   \* MERGEFORMAT </w:instrText>
          </w:r>
          <w:r>
            <w:fldChar w:fldCharType="separate"/>
          </w:r>
          <w:r>
            <w:rPr>
              <w:noProof/>
            </w:rPr>
            <w:t>2</w:t>
          </w:r>
          <w:r>
            <w:fldChar w:fldCharType="end"/>
          </w:r>
          <w:r w:rsidRPr="001C6EFB">
            <w:t xml:space="preserve"> of </w:t>
          </w:r>
          <w:fldSimple w:instr=" NUMPAGES   \* MERGEFORMAT ">
            <w:r>
              <w:rPr>
                <w:noProof/>
              </w:rPr>
              <w:t>8</w:t>
            </w:r>
          </w:fldSimple>
        </w:p>
      </w:tc>
    </w:tr>
  </w:tbl>
  <w:p w14:paraId="5BF344EB" w14:textId="77777777" w:rsidR="0016563C" w:rsidRPr="003A24EB" w:rsidRDefault="0016563C" w:rsidP="003A24E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2BBF5" w14:textId="77777777" w:rsidR="0016563C" w:rsidRDefault="001656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90AE8" w14:textId="77777777" w:rsidR="0016563C" w:rsidRDefault="0016563C" w:rsidP="00F46DE6">
      <w:r>
        <w:separator/>
      </w:r>
    </w:p>
    <w:p w14:paraId="300444B1" w14:textId="77777777" w:rsidR="0016563C" w:rsidRDefault="0016563C" w:rsidP="00F46DE6"/>
  </w:footnote>
  <w:footnote w:type="continuationSeparator" w:id="0">
    <w:p w14:paraId="656A038B" w14:textId="77777777" w:rsidR="0016563C" w:rsidRDefault="0016563C" w:rsidP="00F46DE6">
      <w:r>
        <w:continuationSeparator/>
      </w:r>
    </w:p>
    <w:p w14:paraId="2F16D093" w14:textId="77777777" w:rsidR="0016563C" w:rsidRDefault="0016563C" w:rsidP="00F46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B616C" w14:textId="77777777" w:rsidR="00527C2C" w:rsidRDefault="00527C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81444" w14:textId="77777777" w:rsidR="00527C2C" w:rsidRDefault="00527C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2886D" w14:textId="77777777" w:rsidR="0016563C" w:rsidRDefault="0016563C" w:rsidP="00A91AC7">
    <w:pPr>
      <w:pStyle w:val="propertystatement"/>
      <w:jc w:val="left"/>
    </w:pPr>
  </w:p>
  <w:tbl>
    <w:tblPr>
      <w:tblStyle w:val="TableGrid"/>
      <w:tblpPr w:leftFromText="180" w:rightFromText="180" w:vertAnchor="text" w:horzAnchor="margin" w:tblpXSpec="right" w:tblpY="-88"/>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668"/>
      <w:gridCol w:w="2310"/>
    </w:tblGrid>
    <w:tr w:rsidR="0016563C" w14:paraId="0EE27784" w14:textId="77777777" w:rsidTr="0016563C">
      <w:trPr>
        <w:trHeight w:val="278"/>
        <w:tblHeader/>
      </w:trPr>
      <w:tc>
        <w:tcPr>
          <w:tcW w:w="1668" w:type="dxa"/>
          <w:vAlign w:val="center"/>
        </w:tcPr>
        <w:p w14:paraId="25A8B051" w14:textId="77777777" w:rsidR="0016563C" w:rsidRDefault="0016563C" w:rsidP="00A91AC7">
          <w:pPr>
            <w:pStyle w:val="Footer"/>
          </w:pPr>
          <w:r w:rsidRPr="001C6EFB">
            <w:t>Document code:</w:t>
          </w:r>
        </w:p>
      </w:tc>
      <w:tc>
        <w:tcPr>
          <w:tcW w:w="2310" w:type="dxa"/>
          <w:vAlign w:val="center"/>
        </w:tcPr>
        <w:p w14:paraId="5380CA6C" w14:textId="77777777" w:rsidR="0016563C" w:rsidRDefault="0016563C" w:rsidP="00A91AC7">
          <w:pPr>
            <w:pStyle w:val="Footer"/>
            <w:jc w:val="right"/>
          </w:pPr>
          <w:r>
            <w:t>UoB-RND-SOP-001</w:t>
          </w:r>
        </w:p>
      </w:tc>
    </w:tr>
    <w:tr w:rsidR="0016563C" w14:paraId="4C652CA1" w14:textId="77777777" w:rsidTr="0016563C">
      <w:trPr>
        <w:trHeight w:val="278"/>
      </w:trPr>
      <w:tc>
        <w:tcPr>
          <w:tcW w:w="1668" w:type="dxa"/>
          <w:vAlign w:val="center"/>
        </w:tcPr>
        <w:p w14:paraId="210FB41C" w14:textId="77777777" w:rsidR="0016563C" w:rsidRDefault="0016563C" w:rsidP="00A91AC7">
          <w:pPr>
            <w:pStyle w:val="Footer"/>
          </w:pPr>
          <w:r w:rsidRPr="001C6EFB">
            <w:t>Version no:</w:t>
          </w:r>
        </w:p>
      </w:tc>
      <w:tc>
        <w:tcPr>
          <w:tcW w:w="2310" w:type="dxa"/>
          <w:vAlign w:val="center"/>
        </w:tcPr>
        <w:p w14:paraId="727D4FA4" w14:textId="076AC035" w:rsidR="0016563C" w:rsidRDefault="0016563C" w:rsidP="00A91AC7">
          <w:pPr>
            <w:pStyle w:val="Footer"/>
            <w:jc w:val="right"/>
          </w:pPr>
          <w:r>
            <w:t>1.0 (EAv1.0)</w:t>
          </w:r>
        </w:p>
      </w:tc>
    </w:tr>
    <w:tr w:rsidR="0016563C" w14:paraId="07CF5A87" w14:textId="77777777" w:rsidTr="0016563C">
      <w:trPr>
        <w:trHeight w:val="278"/>
      </w:trPr>
      <w:tc>
        <w:tcPr>
          <w:tcW w:w="1668" w:type="dxa"/>
          <w:vAlign w:val="center"/>
        </w:tcPr>
        <w:p w14:paraId="606E059C" w14:textId="77777777" w:rsidR="0016563C" w:rsidRDefault="0016563C" w:rsidP="00A91AC7">
          <w:pPr>
            <w:pStyle w:val="Footer"/>
          </w:pPr>
          <w:r>
            <w:t>Effective date:</w:t>
          </w:r>
        </w:p>
      </w:tc>
      <w:tc>
        <w:tcPr>
          <w:tcW w:w="2310" w:type="dxa"/>
          <w:vAlign w:val="center"/>
        </w:tcPr>
        <w:p w14:paraId="77DA2BCD" w14:textId="2C293853" w:rsidR="0016563C" w:rsidRDefault="00527C2C" w:rsidP="00A91AC7">
          <w:pPr>
            <w:pStyle w:val="Footer"/>
            <w:jc w:val="right"/>
          </w:pPr>
          <w:r>
            <w:t>17</w:t>
          </w:r>
          <w:r w:rsidR="0016563C">
            <w:t>-</w:t>
          </w:r>
          <w:r>
            <w:t>Aug</w:t>
          </w:r>
          <w:r w:rsidR="00BB1592">
            <w:t>-</w:t>
          </w:r>
          <w:r w:rsidR="0016563C">
            <w:t>202</w:t>
          </w:r>
          <w:r>
            <w:t>0</w:t>
          </w:r>
          <w:bookmarkStart w:id="2" w:name="_GoBack"/>
          <w:bookmarkEnd w:id="2"/>
        </w:p>
      </w:tc>
    </w:tr>
    <w:tr w:rsidR="0016563C" w14:paraId="44EA6B93" w14:textId="77777777" w:rsidTr="0016563C">
      <w:trPr>
        <w:trHeight w:val="278"/>
      </w:trPr>
      <w:tc>
        <w:tcPr>
          <w:tcW w:w="1668" w:type="dxa"/>
          <w:vAlign w:val="center"/>
        </w:tcPr>
        <w:p w14:paraId="38D094AE" w14:textId="77777777" w:rsidR="0016563C" w:rsidRPr="001C6EFB" w:rsidRDefault="0016563C" w:rsidP="00A91AC7">
          <w:pPr>
            <w:pStyle w:val="Footer"/>
          </w:pPr>
          <w:r>
            <w:t>Print d</w:t>
          </w:r>
          <w:r w:rsidRPr="001C6EFB">
            <w:t>ate:</w:t>
          </w:r>
        </w:p>
      </w:tc>
      <w:tc>
        <w:tcPr>
          <w:tcW w:w="2310" w:type="dxa"/>
          <w:vAlign w:val="center"/>
        </w:tcPr>
        <w:p w14:paraId="34E4B46C" w14:textId="541E663E" w:rsidR="0016563C" w:rsidRDefault="0016563C" w:rsidP="00A91AC7">
          <w:pPr>
            <w:pStyle w:val="Footer"/>
            <w:jc w:val="right"/>
          </w:pPr>
          <w:r>
            <w:fldChar w:fldCharType="begin"/>
          </w:r>
          <w:r>
            <w:instrText xml:space="preserve"> DATE  \@ "dd-MMM-yyyy"  \* MERGEFORMAT </w:instrText>
          </w:r>
          <w:r>
            <w:fldChar w:fldCharType="separate"/>
          </w:r>
          <w:r w:rsidR="00527C2C">
            <w:rPr>
              <w:noProof/>
            </w:rPr>
            <w:t>16-Dec-2022</w:t>
          </w:r>
          <w:r>
            <w:fldChar w:fldCharType="end"/>
          </w:r>
        </w:p>
      </w:tc>
    </w:tr>
    <w:tr w:rsidR="0016563C" w14:paraId="5CAAF0FD" w14:textId="77777777" w:rsidTr="0016563C">
      <w:trPr>
        <w:trHeight w:val="278"/>
      </w:trPr>
      <w:tc>
        <w:tcPr>
          <w:tcW w:w="1668" w:type="dxa"/>
          <w:vAlign w:val="center"/>
        </w:tcPr>
        <w:p w14:paraId="702DC628" w14:textId="77777777" w:rsidR="0016563C" w:rsidRPr="001C6EFB" w:rsidRDefault="0016563C" w:rsidP="00A91AC7">
          <w:pPr>
            <w:pStyle w:val="Footer"/>
          </w:pPr>
          <w:r w:rsidRPr="001C6EFB">
            <w:t>Page:</w:t>
          </w:r>
        </w:p>
      </w:tc>
      <w:tc>
        <w:tcPr>
          <w:tcW w:w="2310" w:type="dxa"/>
          <w:vAlign w:val="center"/>
        </w:tcPr>
        <w:p w14:paraId="2717F1FB" w14:textId="24FFF28A" w:rsidR="0016563C" w:rsidRDefault="0016563C" w:rsidP="00A91AC7">
          <w:pPr>
            <w:pStyle w:val="Footer"/>
            <w:jc w:val="right"/>
          </w:pP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8</w:t>
            </w:r>
          </w:fldSimple>
          <w:r w:rsidRPr="001C6EFB">
            <w:t xml:space="preserve"> </w:t>
          </w:r>
        </w:p>
      </w:tc>
    </w:tr>
  </w:tbl>
  <w:p w14:paraId="24EC0CB4" w14:textId="090D07CD" w:rsidR="0016563C" w:rsidRDefault="001516C0" w:rsidP="00A91AC7">
    <w:pPr>
      <w:pStyle w:val="Header"/>
      <w:jc w:val="left"/>
    </w:pPr>
    <w:r w:rsidRPr="00F16569">
      <w:rPr>
        <w:lang w:eastAsia="en-GB"/>
      </w:rPr>
      <w:drawing>
        <wp:anchor distT="0" distB="0" distL="114300" distR="114300" simplePos="0" relativeHeight="251659264" behindDoc="0" locked="0" layoutInCell="1" allowOverlap="1" wp14:anchorId="53F0FC58" wp14:editId="2F301D73">
          <wp:simplePos x="0" y="0"/>
          <wp:positionH relativeFrom="column">
            <wp:posOffset>-302260</wp:posOffset>
          </wp:positionH>
          <wp:positionV relativeFrom="page">
            <wp:posOffset>1051560</wp:posOffset>
          </wp:positionV>
          <wp:extent cx="2703600" cy="106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3600" cy="10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75BB2" w14:textId="77777777" w:rsidR="0016563C" w:rsidRDefault="0016563C" w:rsidP="00163F5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427AB" w14:textId="2C366AC5" w:rsidR="0016563C" w:rsidRPr="002135BA" w:rsidRDefault="0016563C">
    <w:pPr>
      <w:pStyle w:val="Header"/>
    </w:pPr>
    <w:r w:rsidRPr="002135BA">
      <w:t>SOP</w:t>
    </w:r>
    <w:r>
      <w:t>: Randomisation and Blinding</w:t>
    </w:r>
  </w:p>
  <w:p w14:paraId="7832ABC7" w14:textId="77777777" w:rsidR="0016563C" w:rsidRPr="001C75D5" w:rsidRDefault="0016563C">
    <w:pPr>
      <w:rPr>
        <w:noProof/>
        <w:sz w:val="8"/>
        <w:szCs w:val="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1AC11" w14:textId="77777777" w:rsidR="0016563C" w:rsidRDefault="0016563C" w:rsidP="00163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03BE"/>
    <w:multiLevelType w:val="hybridMultilevel"/>
    <w:tmpl w:val="C4126520"/>
    <w:lvl w:ilvl="0" w:tplc="D700A858">
      <w:start w:val="1"/>
      <w:numFmt w:val="bullet"/>
      <w:pStyle w:val="bullet1"/>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223C51"/>
    <w:multiLevelType w:val="hybridMultilevel"/>
    <w:tmpl w:val="29B68DE4"/>
    <w:lvl w:ilvl="0" w:tplc="143E1566">
      <w:numFmt w:val="bullet"/>
      <w:lvlText w:val="-"/>
      <w:lvlJc w:val="left"/>
      <w:pPr>
        <w:ind w:left="405" w:hanging="360"/>
      </w:pPr>
      <w:rPr>
        <w:rFonts w:ascii="Calibri" w:eastAsia="Times New Roman"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 w15:restartNumberingAfterBreak="0">
    <w:nsid w:val="0BA02114"/>
    <w:multiLevelType w:val="hybridMultilevel"/>
    <w:tmpl w:val="9CF614FC"/>
    <w:lvl w:ilvl="0" w:tplc="6C103476">
      <w:start w:val="1"/>
      <w:numFmt w:val="bullet"/>
      <w:pStyle w:val="Instructions-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24B9B"/>
    <w:multiLevelType w:val="hybridMultilevel"/>
    <w:tmpl w:val="E3AE0E1C"/>
    <w:lvl w:ilvl="0" w:tplc="AD80755C">
      <w:start w:val="1"/>
      <w:numFmt w:val="bullet"/>
      <w:lvlText w:val=""/>
      <w:lvlJc w:val="left"/>
      <w:pPr>
        <w:ind w:left="360" w:hanging="360"/>
      </w:pPr>
      <w:rPr>
        <w:rFonts w:ascii="Wingdings" w:hAnsi="Wingdings" w:hint="default"/>
      </w:rPr>
    </w:lvl>
    <w:lvl w:ilvl="1" w:tplc="9DA081D6">
      <w:start w:val="1"/>
      <w:numFmt w:val="bullet"/>
      <w:lvlText w:val="o"/>
      <w:lvlJc w:val="left"/>
      <w:pPr>
        <w:ind w:left="1080" w:hanging="360"/>
      </w:pPr>
      <w:rPr>
        <w:rFonts w:ascii="Courier New" w:hAnsi="Courier New" w:cs="Courier New" w:hint="default"/>
      </w:rPr>
    </w:lvl>
    <w:lvl w:ilvl="2" w:tplc="C340FC4C">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CA1AA0"/>
    <w:multiLevelType w:val="hybridMultilevel"/>
    <w:tmpl w:val="37B47F5A"/>
    <w:lvl w:ilvl="0" w:tplc="F73C7BAE">
      <w:start w:val="1"/>
      <w:numFmt w:val="decimal"/>
      <w:lvlText w:val="%1.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5C4824"/>
    <w:multiLevelType w:val="hybridMultilevel"/>
    <w:tmpl w:val="7E86468A"/>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6" w15:restartNumberingAfterBreak="0">
    <w:nsid w:val="2A2F7F93"/>
    <w:multiLevelType w:val="hybridMultilevel"/>
    <w:tmpl w:val="10CE2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15E1E45"/>
    <w:multiLevelType w:val="multilevel"/>
    <w:tmpl w:val="FF66B4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C443C74"/>
    <w:multiLevelType w:val="hybridMultilevel"/>
    <w:tmpl w:val="784A547C"/>
    <w:lvl w:ilvl="0" w:tplc="A814AD26">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705812"/>
    <w:multiLevelType w:val="hybridMultilevel"/>
    <w:tmpl w:val="0980AC84"/>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E549AB"/>
    <w:multiLevelType w:val="hybridMultilevel"/>
    <w:tmpl w:val="F90A8552"/>
    <w:lvl w:ilvl="0" w:tplc="818AEEF4">
      <w:start w:val="1"/>
      <w:numFmt w:val="bullet"/>
      <w:pStyle w:val="bullet3"/>
      <w:lvlText w:val=""/>
      <w:lvlJc w:val="left"/>
      <w:pPr>
        <w:tabs>
          <w:tab w:val="num" w:pos="1021"/>
        </w:tabs>
        <w:ind w:left="1021" w:hanging="341"/>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12" w15:restartNumberingAfterBreak="0">
    <w:nsid w:val="5DAF433B"/>
    <w:multiLevelType w:val="hybridMultilevel"/>
    <w:tmpl w:val="FA7CF612"/>
    <w:lvl w:ilvl="0" w:tplc="08090001">
      <w:numFmt w:val="bullet"/>
      <w:pStyle w:val="ListBullet"/>
      <w:lvlText w:val=""/>
      <w:lvlJc w:val="left"/>
      <w:pPr>
        <w:ind w:left="720" w:hanging="360"/>
      </w:pPr>
      <w:rPr>
        <w:rFonts w:ascii="Symbol" w:eastAsia="Times New Roman" w:hAnsi="Symbol" w:hint="default"/>
      </w:rPr>
    </w:lvl>
    <w:lvl w:ilvl="1" w:tplc="DB9A5D18"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B579D5"/>
    <w:multiLevelType w:val="hybridMultilevel"/>
    <w:tmpl w:val="FBC2FDFC"/>
    <w:lvl w:ilvl="0" w:tplc="295C39BE">
      <w:start w:val="1"/>
      <w:numFmt w:val="bullet"/>
      <w:pStyle w:val="bullet2"/>
      <w:lvlText w:val="o"/>
      <w:lvlJc w:val="left"/>
      <w:pPr>
        <w:ind w:left="720" w:hanging="360"/>
      </w:pPr>
      <w:rPr>
        <w:rFonts w:ascii="Courier New" w:hAnsi="Courier New" w:cs="Courier New"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814814"/>
    <w:multiLevelType w:val="multilevel"/>
    <w:tmpl w:val="70D4DC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D03340C"/>
    <w:multiLevelType w:val="multilevel"/>
    <w:tmpl w:val="4CEEBA04"/>
    <w:lvl w:ilvl="0">
      <w:start w:val="1"/>
      <w:numFmt w:val="decimal"/>
      <w:lvlText w:val="%1."/>
      <w:lvlJc w:val="left"/>
      <w:pPr>
        <w:ind w:left="360" w:hanging="360"/>
      </w:pPr>
      <w:rPr>
        <w:rFonts w:hint="default"/>
        <w:b/>
        <w:bCs w:val="0"/>
        <w:i w:val="0"/>
        <w:iCs w:val="0"/>
        <w:caps w:val="0"/>
        <w:smallCaps w:val="0"/>
        <w:strike w:val="0"/>
        <w:dstrike w:val="0"/>
        <w:noProof w:val="0"/>
        <w:vanish w:val="0"/>
        <w:color w:val="943634" w:themeColor="accent2" w:themeShade="BF"/>
        <w:spacing w:val="0"/>
        <w:kern w:val="0"/>
        <w:position w:val="0"/>
        <w:sz w:val="24"/>
        <w:u w:val="none"/>
        <w:vertAlign w:val="baseline"/>
        <w:em w:val="none"/>
      </w:rPr>
    </w:lvl>
    <w:lvl w:ilvl="1">
      <w:start w:val="1"/>
      <w:numFmt w:val="decimal"/>
      <w:lvlText w:val="%1.%2"/>
      <w:lvlJc w:val="left"/>
      <w:pPr>
        <w:tabs>
          <w:tab w:val="num" w:pos="567"/>
        </w:tabs>
        <w:ind w:left="567" w:hanging="567"/>
      </w:pPr>
      <w:rPr>
        <w:rFonts w:ascii="Arial" w:hAnsi="Arial" w:hint="default"/>
        <w:b/>
        <w:i w:val="0"/>
        <w:caps w:val="0"/>
        <w:color w:val="0000FF"/>
        <w:sz w:val="22"/>
      </w:rPr>
    </w:lvl>
    <w:lvl w:ilvl="2">
      <w:start w:val="1"/>
      <w:numFmt w:val="decimal"/>
      <w:lvlText w:val="%1.%2.%3"/>
      <w:lvlJc w:val="left"/>
      <w:pPr>
        <w:tabs>
          <w:tab w:val="num" w:pos="680"/>
        </w:tabs>
        <w:ind w:left="680" w:hanging="680"/>
      </w:pPr>
      <w:rPr>
        <w:rFonts w:ascii="Arial" w:hAnsi="Arial" w:hint="default"/>
        <w:b/>
        <w:i w:val="0"/>
        <w:caps w:val="0"/>
        <w:sz w:val="20"/>
      </w:rPr>
    </w:lvl>
    <w:lvl w:ilvl="3">
      <w:start w:val="1"/>
      <w:numFmt w:val="decimal"/>
      <w:lvlText w:val="%1.%2.%3.%4"/>
      <w:lvlJc w:val="left"/>
      <w:pPr>
        <w:tabs>
          <w:tab w:val="num" w:pos="880"/>
        </w:tabs>
        <w:ind w:left="680" w:hanging="680"/>
      </w:pPr>
      <w:rPr>
        <w:rFonts w:ascii="Arial Bold" w:hAnsi="Arial Bold" w:hint="default"/>
        <w:b/>
        <w:i w:val="0"/>
        <w:sz w:val="2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7"/>
  </w:num>
  <w:num w:numId="2">
    <w:abstractNumId w:val="9"/>
  </w:num>
  <w:num w:numId="3">
    <w:abstractNumId w:val="0"/>
  </w:num>
  <w:num w:numId="4">
    <w:abstractNumId w:val="13"/>
  </w:num>
  <w:num w:numId="5">
    <w:abstractNumId w:val="11"/>
  </w:num>
  <w:num w:numId="6">
    <w:abstractNumId w:val="14"/>
  </w:num>
  <w:num w:numId="7">
    <w:abstractNumId w:val="2"/>
  </w:num>
  <w:num w:numId="8">
    <w:abstractNumId w:val="10"/>
  </w:num>
  <w:num w:numId="9">
    <w:abstractNumId w:val="12"/>
  </w:num>
  <w:num w:numId="10">
    <w:abstractNumId w:val="15"/>
  </w:num>
  <w:num w:numId="11">
    <w:abstractNumId w:val="4"/>
  </w:num>
  <w:num w:numId="12">
    <w:abstractNumId w:val="5"/>
  </w:num>
  <w:num w:numId="13">
    <w:abstractNumId w:val="3"/>
  </w:num>
  <w:num w:numId="14">
    <w:abstractNumId w:val="8"/>
  </w:num>
  <w:num w:numId="15">
    <w:abstractNumId w:val="5"/>
  </w:num>
  <w:num w:numId="16">
    <w:abstractNumId w:val="5"/>
  </w:num>
  <w:num w:numId="17">
    <w:abstractNumId w:val="0"/>
  </w:num>
  <w:num w:numId="18">
    <w:abstractNumId w:val="6"/>
  </w:num>
  <w:num w:numId="19">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2CE"/>
    <w:rsid w:val="00001923"/>
    <w:rsid w:val="00001A7E"/>
    <w:rsid w:val="000060AE"/>
    <w:rsid w:val="0001086D"/>
    <w:rsid w:val="00012800"/>
    <w:rsid w:val="00013B08"/>
    <w:rsid w:val="000146F1"/>
    <w:rsid w:val="000229C5"/>
    <w:rsid w:val="00023BC0"/>
    <w:rsid w:val="000374CB"/>
    <w:rsid w:val="000379D7"/>
    <w:rsid w:val="000417FF"/>
    <w:rsid w:val="000421FD"/>
    <w:rsid w:val="00043513"/>
    <w:rsid w:val="00044A64"/>
    <w:rsid w:val="00053A54"/>
    <w:rsid w:val="0005610D"/>
    <w:rsid w:val="00056940"/>
    <w:rsid w:val="000639EF"/>
    <w:rsid w:val="00064262"/>
    <w:rsid w:val="00064F56"/>
    <w:rsid w:val="00072AD5"/>
    <w:rsid w:val="00072F51"/>
    <w:rsid w:val="0007480B"/>
    <w:rsid w:val="00075A9D"/>
    <w:rsid w:val="00077D41"/>
    <w:rsid w:val="00083C9D"/>
    <w:rsid w:val="0009369B"/>
    <w:rsid w:val="00095EFA"/>
    <w:rsid w:val="00097B78"/>
    <w:rsid w:val="000A0DFF"/>
    <w:rsid w:val="000A1324"/>
    <w:rsid w:val="000A1B0F"/>
    <w:rsid w:val="000A7BE6"/>
    <w:rsid w:val="000B1E3E"/>
    <w:rsid w:val="000B442E"/>
    <w:rsid w:val="000C3681"/>
    <w:rsid w:val="000C45B6"/>
    <w:rsid w:val="000C5087"/>
    <w:rsid w:val="000C54A1"/>
    <w:rsid w:val="000D34E7"/>
    <w:rsid w:val="000D3D68"/>
    <w:rsid w:val="000D3E8C"/>
    <w:rsid w:val="000D4912"/>
    <w:rsid w:val="000D677A"/>
    <w:rsid w:val="000D70AA"/>
    <w:rsid w:val="000D7D37"/>
    <w:rsid w:val="000F2380"/>
    <w:rsid w:val="000F391A"/>
    <w:rsid w:val="00100541"/>
    <w:rsid w:val="00100D71"/>
    <w:rsid w:val="00101773"/>
    <w:rsid w:val="00101B2B"/>
    <w:rsid w:val="00103FD0"/>
    <w:rsid w:val="00104D42"/>
    <w:rsid w:val="00105091"/>
    <w:rsid w:val="001057FB"/>
    <w:rsid w:val="001064D3"/>
    <w:rsid w:val="00110971"/>
    <w:rsid w:val="00113E78"/>
    <w:rsid w:val="001206F6"/>
    <w:rsid w:val="00121F28"/>
    <w:rsid w:val="00122579"/>
    <w:rsid w:val="00124792"/>
    <w:rsid w:val="00125667"/>
    <w:rsid w:val="00127D56"/>
    <w:rsid w:val="001300C8"/>
    <w:rsid w:val="0013051D"/>
    <w:rsid w:val="0013059D"/>
    <w:rsid w:val="00130E43"/>
    <w:rsid w:val="00134690"/>
    <w:rsid w:val="00134766"/>
    <w:rsid w:val="00135E89"/>
    <w:rsid w:val="001445C0"/>
    <w:rsid w:val="001516C0"/>
    <w:rsid w:val="001553C1"/>
    <w:rsid w:val="00163B7C"/>
    <w:rsid w:val="00163F57"/>
    <w:rsid w:val="001653F1"/>
    <w:rsid w:val="0016563C"/>
    <w:rsid w:val="00165F48"/>
    <w:rsid w:val="00174B60"/>
    <w:rsid w:val="00174E0E"/>
    <w:rsid w:val="001775A9"/>
    <w:rsid w:val="00182896"/>
    <w:rsid w:val="0018309A"/>
    <w:rsid w:val="001841A1"/>
    <w:rsid w:val="00184BB7"/>
    <w:rsid w:val="00190C93"/>
    <w:rsid w:val="00194EE8"/>
    <w:rsid w:val="00195717"/>
    <w:rsid w:val="00196565"/>
    <w:rsid w:val="001A024E"/>
    <w:rsid w:val="001A142E"/>
    <w:rsid w:val="001A26D3"/>
    <w:rsid w:val="001A4718"/>
    <w:rsid w:val="001A544B"/>
    <w:rsid w:val="001A561F"/>
    <w:rsid w:val="001B1E29"/>
    <w:rsid w:val="001B2717"/>
    <w:rsid w:val="001B30AD"/>
    <w:rsid w:val="001B3B91"/>
    <w:rsid w:val="001B412F"/>
    <w:rsid w:val="001B5617"/>
    <w:rsid w:val="001C314A"/>
    <w:rsid w:val="001C6EFB"/>
    <w:rsid w:val="001C75D5"/>
    <w:rsid w:val="001D0B50"/>
    <w:rsid w:val="001D1245"/>
    <w:rsid w:val="001D17A5"/>
    <w:rsid w:val="001D1986"/>
    <w:rsid w:val="001D28AC"/>
    <w:rsid w:val="001D3B22"/>
    <w:rsid w:val="001D7813"/>
    <w:rsid w:val="001E41A3"/>
    <w:rsid w:val="001F4FC3"/>
    <w:rsid w:val="001F7B4E"/>
    <w:rsid w:val="00202189"/>
    <w:rsid w:val="00202B8D"/>
    <w:rsid w:val="0020434B"/>
    <w:rsid w:val="00206578"/>
    <w:rsid w:val="002106E5"/>
    <w:rsid w:val="00210C1A"/>
    <w:rsid w:val="0021165B"/>
    <w:rsid w:val="00211B96"/>
    <w:rsid w:val="002135BA"/>
    <w:rsid w:val="00214550"/>
    <w:rsid w:val="0022018B"/>
    <w:rsid w:val="00220406"/>
    <w:rsid w:val="002227A2"/>
    <w:rsid w:val="0022356E"/>
    <w:rsid w:val="00231612"/>
    <w:rsid w:val="0023483C"/>
    <w:rsid w:val="00235A30"/>
    <w:rsid w:val="002365F5"/>
    <w:rsid w:val="002444DB"/>
    <w:rsid w:val="0024558E"/>
    <w:rsid w:val="0024670C"/>
    <w:rsid w:val="00247F23"/>
    <w:rsid w:val="00250233"/>
    <w:rsid w:val="002518EA"/>
    <w:rsid w:val="002549E9"/>
    <w:rsid w:val="00254B93"/>
    <w:rsid w:val="0025522A"/>
    <w:rsid w:val="00264399"/>
    <w:rsid w:val="00266CBF"/>
    <w:rsid w:val="00270EA8"/>
    <w:rsid w:val="00275BAE"/>
    <w:rsid w:val="00276048"/>
    <w:rsid w:val="00276842"/>
    <w:rsid w:val="00281585"/>
    <w:rsid w:val="0028416A"/>
    <w:rsid w:val="00290F8C"/>
    <w:rsid w:val="002937FE"/>
    <w:rsid w:val="002952B5"/>
    <w:rsid w:val="0029582C"/>
    <w:rsid w:val="002A068A"/>
    <w:rsid w:val="002A27DC"/>
    <w:rsid w:val="002A330A"/>
    <w:rsid w:val="002A38A5"/>
    <w:rsid w:val="002A57C2"/>
    <w:rsid w:val="002A5FA6"/>
    <w:rsid w:val="002A6563"/>
    <w:rsid w:val="002A68D6"/>
    <w:rsid w:val="002B016B"/>
    <w:rsid w:val="002B10B6"/>
    <w:rsid w:val="002C0E28"/>
    <w:rsid w:val="002C67A4"/>
    <w:rsid w:val="002D49D7"/>
    <w:rsid w:val="002D6577"/>
    <w:rsid w:val="002E3060"/>
    <w:rsid w:val="002E3BB0"/>
    <w:rsid w:val="002E6AE2"/>
    <w:rsid w:val="002E721B"/>
    <w:rsid w:val="002F0ACA"/>
    <w:rsid w:val="002F281C"/>
    <w:rsid w:val="002F490C"/>
    <w:rsid w:val="002F787E"/>
    <w:rsid w:val="00301050"/>
    <w:rsid w:val="003016D5"/>
    <w:rsid w:val="00304754"/>
    <w:rsid w:val="00310F22"/>
    <w:rsid w:val="00314B72"/>
    <w:rsid w:val="0031673C"/>
    <w:rsid w:val="0032079B"/>
    <w:rsid w:val="0032408C"/>
    <w:rsid w:val="00324A19"/>
    <w:rsid w:val="003313C3"/>
    <w:rsid w:val="00333888"/>
    <w:rsid w:val="00335D05"/>
    <w:rsid w:val="00337B7A"/>
    <w:rsid w:val="00340828"/>
    <w:rsid w:val="00342788"/>
    <w:rsid w:val="00342C1E"/>
    <w:rsid w:val="00342CC7"/>
    <w:rsid w:val="00343541"/>
    <w:rsid w:val="00345620"/>
    <w:rsid w:val="00350A42"/>
    <w:rsid w:val="00352FD6"/>
    <w:rsid w:val="003607CB"/>
    <w:rsid w:val="0036201D"/>
    <w:rsid w:val="00365D77"/>
    <w:rsid w:val="0037641D"/>
    <w:rsid w:val="00380579"/>
    <w:rsid w:val="00381B35"/>
    <w:rsid w:val="003854BD"/>
    <w:rsid w:val="003876D0"/>
    <w:rsid w:val="00387EFA"/>
    <w:rsid w:val="00391A7C"/>
    <w:rsid w:val="00393C4E"/>
    <w:rsid w:val="00395F1E"/>
    <w:rsid w:val="003A1879"/>
    <w:rsid w:val="003A2150"/>
    <w:rsid w:val="003A24EB"/>
    <w:rsid w:val="003A2A2C"/>
    <w:rsid w:val="003A4D84"/>
    <w:rsid w:val="003A5879"/>
    <w:rsid w:val="003A70FF"/>
    <w:rsid w:val="003B0005"/>
    <w:rsid w:val="003B15C9"/>
    <w:rsid w:val="003B1F55"/>
    <w:rsid w:val="003B2DA7"/>
    <w:rsid w:val="003B34FB"/>
    <w:rsid w:val="003B56C0"/>
    <w:rsid w:val="003C04AD"/>
    <w:rsid w:val="003C35EE"/>
    <w:rsid w:val="003C720C"/>
    <w:rsid w:val="003D25C9"/>
    <w:rsid w:val="003D42E3"/>
    <w:rsid w:val="003D45DA"/>
    <w:rsid w:val="003D4BD6"/>
    <w:rsid w:val="003D51DC"/>
    <w:rsid w:val="003D7997"/>
    <w:rsid w:val="003E073D"/>
    <w:rsid w:val="003F0145"/>
    <w:rsid w:val="003F2345"/>
    <w:rsid w:val="003F4E5F"/>
    <w:rsid w:val="003F608D"/>
    <w:rsid w:val="003F64A9"/>
    <w:rsid w:val="003F7147"/>
    <w:rsid w:val="003F7AD7"/>
    <w:rsid w:val="00401840"/>
    <w:rsid w:val="00403449"/>
    <w:rsid w:val="00404742"/>
    <w:rsid w:val="00405C07"/>
    <w:rsid w:val="0040651B"/>
    <w:rsid w:val="0041265B"/>
    <w:rsid w:val="00414858"/>
    <w:rsid w:val="00417854"/>
    <w:rsid w:val="00420EB6"/>
    <w:rsid w:val="00422A7E"/>
    <w:rsid w:val="004233AD"/>
    <w:rsid w:val="0042380D"/>
    <w:rsid w:val="00423E00"/>
    <w:rsid w:val="004243C4"/>
    <w:rsid w:val="00424C48"/>
    <w:rsid w:val="00424D85"/>
    <w:rsid w:val="00431633"/>
    <w:rsid w:val="00432B85"/>
    <w:rsid w:val="00433584"/>
    <w:rsid w:val="004342B5"/>
    <w:rsid w:val="00435EAE"/>
    <w:rsid w:val="00441DE6"/>
    <w:rsid w:val="00445DD9"/>
    <w:rsid w:val="00454205"/>
    <w:rsid w:val="00462B5B"/>
    <w:rsid w:val="00467F74"/>
    <w:rsid w:val="00474138"/>
    <w:rsid w:val="00474B7F"/>
    <w:rsid w:val="00475745"/>
    <w:rsid w:val="00476DB0"/>
    <w:rsid w:val="004773E0"/>
    <w:rsid w:val="004810D9"/>
    <w:rsid w:val="0048194C"/>
    <w:rsid w:val="00485E6A"/>
    <w:rsid w:val="0048641A"/>
    <w:rsid w:val="00497A4C"/>
    <w:rsid w:val="00497E87"/>
    <w:rsid w:val="004A364B"/>
    <w:rsid w:val="004A4882"/>
    <w:rsid w:val="004A75B7"/>
    <w:rsid w:val="004B03A3"/>
    <w:rsid w:val="004B0C68"/>
    <w:rsid w:val="004B0C77"/>
    <w:rsid w:val="004B3DB9"/>
    <w:rsid w:val="004B7034"/>
    <w:rsid w:val="004C2253"/>
    <w:rsid w:val="004C366B"/>
    <w:rsid w:val="004C46FF"/>
    <w:rsid w:val="004C526D"/>
    <w:rsid w:val="004C560A"/>
    <w:rsid w:val="004C5E89"/>
    <w:rsid w:val="004C6631"/>
    <w:rsid w:val="004D05BE"/>
    <w:rsid w:val="004D1948"/>
    <w:rsid w:val="004E075E"/>
    <w:rsid w:val="004E21EE"/>
    <w:rsid w:val="004E4D87"/>
    <w:rsid w:val="004E5613"/>
    <w:rsid w:val="004E5F84"/>
    <w:rsid w:val="004E7EB2"/>
    <w:rsid w:val="004F28BC"/>
    <w:rsid w:val="00500409"/>
    <w:rsid w:val="005024F4"/>
    <w:rsid w:val="00502A82"/>
    <w:rsid w:val="005030FC"/>
    <w:rsid w:val="00512BE1"/>
    <w:rsid w:val="00512C56"/>
    <w:rsid w:val="00513DB5"/>
    <w:rsid w:val="005142C2"/>
    <w:rsid w:val="00515F0F"/>
    <w:rsid w:val="00516200"/>
    <w:rsid w:val="005223BE"/>
    <w:rsid w:val="00522ABB"/>
    <w:rsid w:val="00525CA4"/>
    <w:rsid w:val="00527C2C"/>
    <w:rsid w:val="00527E78"/>
    <w:rsid w:val="005343E6"/>
    <w:rsid w:val="005354C1"/>
    <w:rsid w:val="0053623B"/>
    <w:rsid w:val="00536CEF"/>
    <w:rsid w:val="00543C1B"/>
    <w:rsid w:val="0055153E"/>
    <w:rsid w:val="00556B76"/>
    <w:rsid w:val="005636D5"/>
    <w:rsid w:val="005663EA"/>
    <w:rsid w:val="005708FE"/>
    <w:rsid w:val="00571788"/>
    <w:rsid w:val="00571A9B"/>
    <w:rsid w:val="0058476F"/>
    <w:rsid w:val="00584775"/>
    <w:rsid w:val="00586C5E"/>
    <w:rsid w:val="00587557"/>
    <w:rsid w:val="00592FFB"/>
    <w:rsid w:val="005948ED"/>
    <w:rsid w:val="005951E3"/>
    <w:rsid w:val="0059568E"/>
    <w:rsid w:val="005A1486"/>
    <w:rsid w:val="005A1CF3"/>
    <w:rsid w:val="005A51ED"/>
    <w:rsid w:val="005A6461"/>
    <w:rsid w:val="005B2B90"/>
    <w:rsid w:val="005B5AA9"/>
    <w:rsid w:val="005C38BD"/>
    <w:rsid w:val="005C7A45"/>
    <w:rsid w:val="005D085D"/>
    <w:rsid w:val="005D17F6"/>
    <w:rsid w:val="005D321A"/>
    <w:rsid w:val="005D40D9"/>
    <w:rsid w:val="005E1E20"/>
    <w:rsid w:val="005E1F7C"/>
    <w:rsid w:val="005F0420"/>
    <w:rsid w:val="005F175F"/>
    <w:rsid w:val="005F1AD8"/>
    <w:rsid w:val="00600106"/>
    <w:rsid w:val="0060052C"/>
    <w:rsid w:val="006031E9"/>
    <w:rsid w:val="0060493A"/>
    <w:rsid w:val="00605E24"/>
    <w:rsid w:val="006119AC"/>
    <w:rsid w:val="00613A01"/>
    <w:rsid w:val="006147A9"/>
    <w:rsid w:val="006176B2"/>
    <w:rsid w:val="00624B79"/>
    <w:rsid w:val="00630316"/>
    <w:rsid w:val="0063129B"/>
    <w:rsid w:val="00636907"/>
    <w:rsid w:val="00636BD2"/>
    <w:rsid w:val="006372C5"/>
    <w:rsid w:val="00640296"/>
    <w:rsid w:val="0064360D"/>
    <w:rsid w:val="006452BA"/>
    <w:rsid w:val="00653B3D"/>
    <w:rsid w:val="00654502"/>
    <w:rsid w:val="006561C0"/>
    <w:rsid w:val="00657D72"/>
    <w:rsid w:val="00660DC2"/>
    <w:rsid w:val="00664185"/>
    <w:rsid w:val="0066505A"/>
    <w:rsid w:val="00670599"/>
    <w:rsid w:val="0067375A"/>
    <w:rsid w:val="00684803"/>
    <w:rsid w:val="00684DA0"/>
    <w:rsid w:val="00690BFE"/>
    <w:rsid w:val="00692ACD"/>
    <w:rsid w:val="00692DFA"/>
    <w:rsid w:val="006941D1"/>
    <w:rsid w:val="00696301"/>
    <w:rsid w:val="00696B18"/>
    <w:rsid w:val="006A057F"/>
    <w:rsid w:val="006A52C2"/>
    <w:rsid w:val="006A5B18"/>
    <w:rsid w:val="006B0E53"/>
    <w:rsid w:val="006B270C"/>
    <w:rsid w:val="006B351B"/>
    <w:rsid w:val="006B66EE"/>
    <w:rsid w:val="006C0879"/>
    <w:rsid w:val="006E32A4"/>
    <w:rsid w:val="006E39DA"/>
    <w:rsid w:val="006E57D8"/>
    <w:rsid w:val="006F30B1"/>
    <w:rsid w:val="006F5BBA"/>
    <w:rsid w:val="006F6EFF"/>
    <w:rsid w:val="007029A2"/>
    <w:rsid w:val="00704E9B"/>
    <w:rsid w:val="00705FD1"/>
    <w:rsid w:val="007064B3"/>
    <w:rsid w:val="00712A28"/>
    <w:rsid w:val="00714ABF"/>
    <w:rsid w:val="00715858"/>
    <w:rsid w:val="0072425C"/>
    <w:rsid w:val="007265FC"/>
    <w:rsid w:val="00726D2D"/>
    <w:rsid w:val="00727E41"/>
    <w:rsid w:val="00731E89"/>
    <w:rsid w:val="007327DD"/>
    <w:rsid w:val="00734CF6"/>
    <w:rsid w:val="007363E6"/>
    <w:rsid w:val="0074146D"/>
    <w:rsid w:val="007427DD"/>
    <w:rsid w:val="00743FCE"/>
    <w:rsid w:val="00745292"/>
    <w:rsid w:val="00745CB4"/>
    <w:rsid w:val="007465AF"/>
    <w:rsid w:val="00746BB7"/>
    <w:rsid w:val="00752E2A"/>
    <w:rsid w:val="00754D1F"/>
    <w:rsid w:val="00757628"/>
    <w:rsid w:val="007602C8"/>
    <w:rsid w:val="00760E2A"/>
    <w:rsid w:val="00761F87"/>
    <w:rsid w:val="007642D1"/>
    <w:rsid w:val="007655EC"/>
    <w:rsid w:val="00765A24"/>
    <w:rsid w:val="007668D7"/>
    <w:rsid w:val="00766C73"/>
    <w:rsid w:val="007764EB"/>
    <w:rsid w:val="00780DA8"/>
    <w:rsid w:val="00790BED"/>
    <w:rsid w:val="00790CBC"/>
    <w:rsid w:val="00791AC8"/>
    <w:rsid w:val="0079417E"/>
    <w:rsid w:val="00794AB7"/>
    <w:rsid w:val="007A44B0"/>
    <w:rsid w:val="007A6E56"/>
    <w:rsid w:val="007B2EC7"/>
    <w:rsid w:val="007B2EFE"/>
    <w:rsid w:val="007B40BA"/>
    <w:rsid w:val="007B4836"/>
    <w:rsid w:val="007B53E5"/>
    <w:rsid w:val="007B5831"/>
    <w:rsid w:val="007B58A5"/>
    <w:rsid w:val="007B6DB7"/>
    <w:rsid w:val="007B72E2"/>
    <w:rsid w:val="007C10CF"/>
    <w:rsid w:val="007C2BD5"/>
    <w:rsid w:val="007C5977"/>
    <w:rsid w:val="007C5C93"/>
    <w:rsid w:val="007D3863"/>
    <w:rsid w:val="007D68C1"/>
    <w:rsid w:val="007D79E6"/>
    <w:rsid w:val="007F62D4"/>
    <w:rsid w:val="007F73CA"/>
    <w:rsid w:val="008016C1"/>
    <w:rsid w:val="0080244D"/>
    <w:rsid w:val="00802A77"/>
    <w:rsid w:val="008036AB"/>
    <w:rsid w:val="0080371D"/>
    <w:rsid w:val="00803F0F"/>
    <w:rsid w:val="008044C3"/>
    <w:rsid w:val="00804525"/>
    <w:rsid w:val="00804622"/>
    <w:rsid w:val="008076E5"/>
    <w:rsid w:val="00811195"/>
    <w:rsid w:val="008125A6"/>
    <w:rsid w:val="008129C1"/>
    <w:rsid w:val="00814159"/>
    <w:rsid w:val="00814346"/>
    <w:rsid w:val="00814EC7"/>
    <w:rsid w:val="00815021"/>
    <w:rsid w:val="0081603F"/>
    <w:rsid w:val="0081675C"/>
    <w:rsid w:val="008179F4"/>
    <w:rsid w:val="00817FDE"/>
    <w:rsid w:val="008235B1"/>
    <w:rsid w:val="0082795A"/>
    <w:rsid w:val="0083169E"/>
    <w:rsid w:val="00832412"/>
    <w:rsid w:val="00834888"/>
    <w:rsid w:val="00840893"/>
    <w:rsid w:val="008424AF"/>
    <w:rsid w:val="008435F5"/>
    <w:rsid w:val="00844F35"/>
    <w:rsid w:val="00851971"/>
    <w:rsid w:val="00852323"/>
    <w:rsid w:val="00860FC1"/>
    <w:rsid w:val="00860FC2"/>
    <w:rsid w:val="00862C8C"/>
    <w:rsid w:val="00864335"/>
    <w:rsid w:val="008647F2"/>
    <w:rsid w:val="00870BB2"/>
    <w:rsid w:val="008715F3"/>
    <w:rsid w:val="00875EAE"/>
    <w:rsid w:val="008766D7"/>
    <w:rsid w:val="008823B6"/>
    <w:rsid w:val="00886A0B"/>
    <w:rsid w:val="00893B82"/>
    <w:rsid w:val="00893CC2"/>
    <w:rsid w:val="008A0005"/>
    <w:rsid w:val="008A053A"/>
    <w:rsid w:val="008A41DE"/>
    <w:rsid w:val="008A5826"/>
    <w:rsid w:val="008A682E"/>
    <w:rsid w:val="008A7373"/>
    <w:rsid w:val="008B1C2E"/>
    <w:rsid w:val="008B4B57"/>
    <w:rsid w:val="008B5A32"/>
    <w:rsid w:val="008B6B2A"/>
    <w:rsid w:val="008C0049"/>
    <w:rsid w:val="008C2F7E"/>
    <w:rsid w:val="008C75C7"/>
    <w:rsid w:val="008C7BEB"/>
    <w:rsid w:val="008D31AF"/>
    <w:rsid w:val="008D54DF"/>
    <w:rsid w:val="008D6C84"/>
    <w:rsid w:val="008E2669"/>
    <w:rsid w:val="008E30FD"/>
    <w:rsid w:val="008E4568"/>
    <w:rsid w:val="008E466A"/>
    <w:rsid w:val="008E601E"/>
    <w:rsid w:val="008E79D2"/>
    <w:rsid w:val="008F0D57"/>
    <w:rsid w:val="008F3DCA"/>
    <w:rsid w:val="008F40D0"/>
    <w:rsid w:val="008F5FE0"/>
    <w:rsid w:val="008F795D"/>
    <w:rsid w:val="00902F90"/>
    <w:rsid w:val="00907B94"/>
    <w:rsid w:val="00913142"/>
    <w:rsid w:val="0091427F"/>
    <w:rsid w:val="0091437E"/>
    <w:rsid w:val="00914FF9"/>
    <w:rsid w:val="009161CB"/>
    <w:rsid w:val="0091627A"/>
    <w:rsid w:val="009212E1"/>
    <w:rsid w:val="009218BC"/>
    <w:rsid w:val="00924799"/>
    <w:rsid w:val="00935ADD"/>
    <w:rsid w:val="00937647"/>
    <w:rsid w:val="00937A31"/>
    <w:rsid w:val="0094272E"/>
    <w:rsid w:val="0094547A"/>
    <w:rsid w:val="0094639E"/>
    <w:rsid w:val="00946465"/>
    <w:rsid w:val="00955EE1"/>
    <w:rsid w:val="009576BD"/>
    <w:rsid w:val="00961343"/>
    <w:rsid w:val="00962995"/>
    <w:rsid w:val="009665CF"/>
    <w:rsid w:val="00971826"/>
    <w:rsid w:val="009719C3"/>
    <w:rsid w:val="00971F1C"/>
    <w:rsid w:val="009725E3"/>
    <w:rsid w:val="00975188"/>
    <w:rsid w:val="00982575"/>
    <w:rsid w:val="00983431"/>
    <w:rsid w:val="00984F87"/>
    <w:rsid w:val="00994EB6"/>
    <w:rsid w:val="0099679E"/>
    <w:rsid w:val="009A2040"/>
    <w:rsid w:val="009A221B"/>
    <w:rsid w:val="009A3446"/>
    <w:rsid w:val="009B26BA"/>
    <w:rsid w:val="009C2C63"/>
    <w:rsid w:val="009C4257"/>
    <w:rsid w:val="009C52B9"/>
    <w:rsid w:val="009C5723"/>
    <w:rsid w:val="009D0F66"/>
    <w:rsid w:val="009D2891"/>
    <w:rsid w:val="009D6F1F"/>
    <w:rsid w:val="009E08FF"/>
    <w:rsid w:val="009E11DD"/>
    <w:rsid w:val="009E44AF"/>
    <w:rsid w:val="009E45A3"/>
    <w:rsid w:val="009F0638"/>
    <w:rsid w:val="009F1369"/>
    <w:rsid w:val="009F2F77"/>
    <w:rsid w:val="009F3846"/>
    <w:rsid w:val="009F4AC7"/>
    <w:rsid w:val="009F627E"/>
    <w:rsid w:val="00A00156"/>
    <w:rsid w:val="00A00BE8"/>
    <w:rsid w:val="00A01C93"/>
    <w:rsid w:val="00A0271E"/>
    <w:rsid w:val="00A06B2E"/>
    <w:rsid w:val="00A11FDD"/>
    <w:rsid w:val="00A123E1"/>
    <w:rsid w:val="00A13CB0"/>
    <w:rsid w:val="00A140D5"/>
    <w:rsid w:val="00A21EF3"/>
    <w:rsid w:val="00A264AD"/>
    <w:rsid w:val="00A306A4"/>
    <w:rsid w:val="00A308A4"/>
    <w:rsid w:val="00A3465C"/>
    <w:rsid w:val="00A3579A"/>
    <w:rsid w:val="00A35E4F"/>
    <w:rsid w:val="00A46AE5"/>
    <w:rsid w:val="00A5240E"/>
    <w:rsid w:val="00A5391E"/>
    <w:rsid w:val="00A55A06"/>
    <w:rsid w:val="00A5670C"/>
    <w:rsid w:val="00A57390"/>
    <w:rsid w:val="00A6082D"/>
    <w:rsid w:val="00A6339F"/>
    <w:rsid w:val="00A64B4F"/>
    <w:rsid w:val="00A66148"/>
    <w:rsid w:val="00A668FC"/>
    <w:rsid w:val="00A74DB6"/>
    <w:rsid w:val="00A74E71"/>
    <w:rsid w:val="00A7704C"/>
    <w:rsid w:val="00A80207"/>
    <w:rsid w:val="00A822DC"/>
    <w:rsid w:val="00A84701"/>
    <w:rsid w:val="00A91AC7"/>
    <w:rsid w:val="00A93988"/>
    <w:rsid w:val="00A9456D"/>
    <w:rsid w:val="00A95C65"/>
    <w:rsid w:val="00AA1665"/>
    <w:rsid w:val="00AA3234"/>
    <w:rsid w:val="00AA6011"/>
    <w:rsid w:val="00AA74BA"/>
    <w:rsid w:val="00AB2EAD"/>
    <w:rsid w:val="00AB566D"/>
    <w:rsid w:val="00AB704E"/>
    <w:rsid w:val="00AC0978"/>
    <w:rsid w:val="00AC215A"/>
    <w:rsid w:val="00AC5EAA"/>
    <w:rsid w:val="00AC7BE0"/>
    <w:rsid w:val="00AD13D7"/>
    <w:rsid w:val="00AD4665"/>
    <w:rsid w:val="00AD57CC"/>
    <w:rsid w:val="00AD6081"/>
    <w:rsid w:val="00AD65E0"/>
    <w:rsid w:val="00AE0AC8"/>
    <w:rsid w:val="00AE2516"/>
    <w:rsid w:val="00AE5591"/>
    <w:rsid w:val="00AE5780"/>
    <w:rsid w:val="00AE6309"/>
    <w:rsid w:val="00AE744B"/>
    <w:rsid w:val="00AF0C85"/>
    <w:rsid w:val="00AF10D0"/>
    <w:rsid w:val="00AF7CD2"/>
    <w:rsid w:val="00B07452"/>
    <w:rsid w:val="00B1052F"/>
    <w:rsid w:val="00B10C05"/>
    <w:rsid w:val="00B134F0"/>
    <w:rsid w:val="00B13B5E"/>
    <w:rsid w:val="00B14826"/>
    <w:rsid w:val="00B16E7D"/>
    <w:rsid w:val="00B20DFB"/>
    <w:rsid w:val="00B22AD7"/>
    <w:rsid w:val="00B27204"/>
    <w:rsid w:val="00B31ADC"/>
    <w:rsid w:val="00B35770"/>
    <w:rsid w:val="00B3606D"/>
    <w:rsid w:val="00B40C5F"/>
    <w:rsid w:val="00B452AE"/>
    <w:rsid w:val="00B53A1C"/>
    <w:rsid w:val="00B53C9D"/>
    <w:rsid w:val="00B55F4C"/>
    <w:rsid w:val="00B6064B"/>
    <w:rsid w:val="00B6322E"/>
    <w:rsid w:val="00B63F21"/>
    <w:rsid w:val="00B72E42"/>
    <w:rsid w:val="00B747FB"/>
    <w:rsid w:val="00B7682F"/>
    <w:rsid w:val="00B76ACC"/>
    <w:rsid w:val="00B7758F"/>
    <w:rsid w:val="00B77B48"/>
    <w:rsid w:val="00B80F8D"/>
    <w:rsid w:val="00B84799"/>
    <w:rsid w:val="00B86A0E"/>
    <w:rsid w:val="00B92012"/>
    <w:rsid w:val="00B928F6"/>
    <w:rsid w:val="00B933CA"/>
    <w:rsid w:val="00B937B6"/>
    <w:rsid w:val="00B940A8"/>
    <w:rsid w:val="00B952E8"/>
    <w:rsid w:val="00B967BD"/>
    <w:rsid w:val="00B9696A"/>
    <w:rsid w:val="00BA59CF"/>
    <w:rsid w:val="00BB1592"/>
    <w:rsid w:val="00BB16B3"/>
    <w:rsid w:val="00BB27E5"/>
    <w:rsid w:val="00BB2AF0"/>
    <w:rsid w:val="00BB30D5"/>
    <w:rsid w:val="00BB6ABD"/>
    <w:rsid w:val="00BD1740"/>
    <w:rsid w:val="00BD3F7D"/>
    <w:rsid w:val="00BD4DD3"/>
    <w:rsid w:val="00BD6B3A"/>
    <w:rsid w:val="00BE1BAC"/>
    <w:rsid w:val="00BE1DB1"/>
    <w:rsid w:val="00BE23E4"/>
    <w:rsid w:val="00BE5AE5"/>
    <w:rsid w:val="00BF4265"/>
    <w:rsid w:val="00BF6B08"/>
    <w:rsid w:val="00BF6D4D"/>
    <w:rsid w:val="00C02B76"/>
    <w:rsid w:val="00C036D8"/>
    <w:rsid w:val="00C0382A"/>
    <w:rsid w:val="00C0396F"/>
    <w:rsid w:val="00C04D64"/>
    <w:rsid w:val="00C11049"/>
    <w:rsid w:val="00C126C0"/>
    <w:rsid w:val="00C16E6D"/>
    <w:rsid w:val="00C20F6B"/>
    <w:rsid w:val="00C24712"/>
    <w:rsid w:val="00C30124"/>
    <w:rsid w:val="00C31A25"/>
    <w:rsid w:val="00C31D63"/>
    <w:rsid w:val="00C34052"/>
    <w:rsid w:val="00C34A3B"/>
    <w:rsid w:val="00C34E3D"/>
    <w:rsid w:val="00C3647F"/>
    <w:rsid w:val="00C36AE0"/>
    <w:rsid w:val="00C40F55"/>
    <w:rsid w:val="00C435CC"/>
    <w:rsid w:val="00C43BEC"/>
    <w:rsid w:val="00C4454A"/>
    <w:rsid w:val="00C45C15"/>
    <w:rsid w:val="00C51ECE"/>
    <w:rsid w:val="00C534D8"/>
    <w:rsid w:val="00C5401C"/>
    <w:rsid w:val="00C55413"/>
    <w:rsid w:val="00C56ADA"/>
    <w:rsid w:val="00C56C83"/>
    <w:rsid w:val="00C65C41"/>
    <w:rsid w:val="00C67B31"/>
    <w:rsid w:val="00C75D9A"/>
    <w:rsid w:val="00C81ADC"/>
    <w:rsid w:val="00C8467F"/>
    <w:rsid w:val="00C84EEF"/>
    <w:rsid w:val="00C862EE"/>
    <w:rsid w:val="00C87A3B"/>
    <w:rsid w:val="00C91CEB"/>
    <w:rsid w:val="00C93BBD"/>
    <w:rsid w:val="00C942FE"/>
    <w:rsid w:val="00CA03CB"/>
    <w:rsid w:val="00CA098E"/>
    <w:rsid w:val="00CA2C1A"/>
    <w:rsid w:val="00CA7404"/>
    <w:rsid w:val="00CB07E8"/>
    <w:rsid w:val="00CB45BA"/>
    <w:rsid w:val="00CC0682"/>
    <w:rsid w:val="00CC2B7A"/>
    <w:rsid w:val="00CC478A"/>
    <w:rsid w:val="00CC61A6"/>
    <w:rsid w:val="00CC6C2A"/>
    <w:rsid w:val="00CD1532"/>
    <w:rsid w:val="00CD2F93"/>
    <w:rsid w:val="00CD3E66"/>
    <w:rsid w:val="00CD5B93"/>
    <w:rsid w:val="00CE116E"/>
    <w:rsid w:val="00CE2541"/>
    <w:rsid w:val="00CE7D01"/>
    <w:rsid w:val="00CF124E"/>
    <w:rsid w:val="00CF2072"/>
    <w:rsid w:val="00CF2082"/>
    <w:rsid w:val="00D00C72"/>
    <w:rsid w:val="00D017DD"/>
    <w:rsid w:val="00D01F82"/>
    <w:rsid w:val="00D0237D"/>
    <w:rsid w:val="00D04619"/>
    <w:rsid w:val="00D05063"/>
    <w:rsid w:val="00D05DA4"/>
    <w:rsid w:val="00D07256"/>
    <w:rsid w:val="00D07D11"/>
    <w:rsid w:val="00D17200"/>
    <w:rsid w:val="00D17544"/>
    <w:rsid w:val="00D23782"/>
    <w:rsid w:val="00D26749"/>
    <w:rsid w:val="00D270BD"/>
    <w:rsid w:val="00D27D10"/>
    <w:rsid w:val="00D30131"/>
    <w:rsid w:val="00D31164"/>
    <w:rsid w:val="00D31668"/>
    <w:rsid w:val="00D33108"/>
    <w:rsid w:val="00D33C0E"/>
    <w:rsid w:val="00D33E53"/>
    <w:rsid w:val="00D41A7F"/>
    <w:rsid w:val="00D41CE6"/>
    <w:rsid w:val="00D47970"/>
    <w:rsid w:val="00D53B40"/>
    <w:rsid w:val="00D608A3"/>
    <w:rsid w:val="00D61A38"/>
    <w:rsid w:val="00D63317"/>
    <w:rsid w:val="00D63BBD"/>
    <w:rsid w:val="00D65096"/>
    <w:rsid w:val="00D67824"/>
    <w:rsid w:val="00D72805"/>
    <w:rsid w:val="00D7713D"/>
    <w:rsid w:val="00D82CCF"/>
    <w:rsid w:val="00D85404"/>
    <w:rsid w:val="00D87B09"/>
    <w:rsid w:val="00D914F3"/>
    <w:rsid w:val="00D930D4"/>
    <w:rsid w:val="00DA19A3"/>
    <w:rsid w:val="00DA31DC"/>
    <w:rsid w:val="00DA4D76"/>
    <w:rsid w:val="00DA54AF"/>
    <w:rsid w:val="00DA781F"/>
    <w:rsid w:val="00DB4A98"/>
    <w:rsid w:val="00DB5FB3"/>
    <w:rsid w:val="00DC0548"/>
    <w:rsid w:val="00DC0D2B"/>
    <w:rsid w:val="00DC30B1"/>
    <w:rsid w:val="00DC435D"/>
    <w:rsid w:val="00DC58E9"/>
    <w:rsid w:val="00DD171A"/>
    <w:rsid w:val="00DD3075"/>
    <w:rsid w:val="00DD635E"/>
    <w:rsid w:val="00DE08B9"/>
    <w:rsid w:val="00DE4B2A"/>
    <w:rsid w:val="00DE6BC6"/>
    <w:rsid w:val="00DF77AD"/>
    <w:rsid w:val="00E06F44"/>
    <w:rsid w:val="00E12A20"/>
    <w:rsid w:val="00E16DBD"/>
    <w:rsid w:val="00E2252B"/>
    <w:rsid w:val="00E22773"/>
    <w:rsid w:val="00E234E5"/>
    <w:rsid w:val="00E31646"/>
    <w:rsid w:val="00E32E75"/>
    <w:rsid w:val="00E34990"/>
    <w:rsid w:val="00E34BEA"/>
    <w:rsid w:val="00E410D8"/>
    <w:rsid w:val="00E4248D"/>
    <w:rsid w:val="00E47E03"/>
    <w:rsid w:val="00E52A33"/>
    <w:rsid w:val="00E53B95"/>
    <w:rsid w:val="00E54F5E"/>
    <w:rsid w:val="00E57BDF"/>
    <w:rsid w:val="00E66F7C"/>
    <w:rsid w:val="00E714DD"/>
    <w:rsid w:val="00E812CE"/>
    <w:rsid w:val="00E81F47"/>
    <w:rsid w:val="00E9003F"/>
    <w:rsid w:val="00E935B2"/>
    <w:rsid w:val="00E93A22"/>
    <w:rsid w:val="00E95340"/>
    <w:rsid w:val="00E95906"/>
    <w:rsid w:val="00EA35BA"/>
    <w:rsid w:val="00EA47FF"/>
    <w:rsid w:val="00EA5210"/>
    <w:rsid w:val="00EA62D7"/>
    <w:rsid w:val="00EB0C6D"/>
    <w:rsid w:val="00EB122B"/>
    <w:rsid w:val="00EB6B50"/>
    <w:rsid w:val="00EC0950"/>
    <w:rsid w:val="00EC130E"/>
    <w:rsid w:val="00EC3122"/>
    <w:rsid w:val="00EC42B6"/>
    <w:rsid w:val="00EC5810"/>
    <w:rsid w:val="00EC6230"/>
    <w:rsid w:val="00ED1753"/>
    <w:rsid w:val="00ED2C7C"/>
    <w:rsid w:val="00ED6779"/>
    <w:rsid w:val="00EE1837"/>
    <w:rsid w:val="00EE35DE"/>
    <w:rsid w:val="00EE47E5"/>
    <w:rsid w:val="00EE6CA5"/>
    <w:rsid w:val="00EF1B60"/>
    <w:rsid w:val="00EF1BD9"/>
    <w:rsid w:val="00EF30F1"/>
    <w:rsid w:val="00EF5E08"/>
    <w:rsid w:val="00F013DE"/>
    <w:rsid w:val="00F03A30"/>
    <w:rsid w:val="00F04052"/>
    <w:rsid w:val="00F13ED0"/>
    <w:rsid w:val="00F17811"/>
    <w:rsid w:val="00F210C4"/>
    <w:rsid w:val="00F21898"/>
    <w:rsid w:val="00F21A50"/>
    <w:rsid w:val="00F31B22"/>
    <w:rsid w:val="00F31D4F"/>
    <w:rsid w:val="00F34657"/>
    <w:rsid w:val="00F355FB"/>
    <w:rsid w:val="00F40DCF"/>
    <w:rsid w:val="00F43764"/>
    <w:rsid w:val="00F46DE6"/>
    <w:rsid w:val="00F47D41"/>
    <w:rsid w:val="00F506E3"/>
    <w:rsid w:val="00F52128"/>
    <w:rsid w:val="00F52638"/>
    <w:rsid w:val="00F53172"/>
    <w:rsid w:val="00F55561"/>
    <w:rsid w:val="00F62C5B"/>
    <w:rsid w:val="00F62EB2"/>
    <w:rsid w:val="00F70A26"/>
    <w:rsid w:val="00F73811"/>
    <w:rsid w:val="00F7576E"/>
    <w:rsid w:val="00F7764F"/>
    <w:rsid w:val="00F77B3A"/>
    <w:rsid w:val="00F81EA8"/>
    <w:rsid w:val="00F83916"/>
    <w:rsid w:val="00F86FE3"/>
    <w:rsid w:val="00F9033A"/>
    <w:rsid w:val="00F90381"/>
    <w:rsid w:val="00F93717"/>
    <w:rsid w:val="00F949D7"/>
    <w:rsid w:val="00FA2705"/>
    <w:rsid w:val="00FA3166"/>
    <w:rsid w:val="00FA41BA"/>
    <w:rsid w:val="00FA7B7C"/>
    <w:rsid w:val="00FB0787"/>
    <w:rsid w:val="00FB3238"/>
    <w:rsid w:val="00FB5172"/>
    <w:rsid w:val="00FC05BD"/>
    <w:rsid w:val="00FC1903"/>
    <w:rsid w:val="00FD05D4"/>
    <w:rsid w:val="00FD58A1"/>
    <w:rsid w:val="00FD689E"/>
    <w:rsid w:val="00FE1FEC"/>
    <w:rsid w:val="00FE259F"/>
    <w:rsid w:val="00FE324F"/>
    <w:rsid w:val="00FE32F0"/>
    <w:rsid w:val="00FE50DE"/>
    <w:rsid w:val="00FE587B"/>
    <w:rsid w:val="00FE6B73"/>
    <w:rsid w:val="00FF33E7"/>
    <w:rsid w:val="00FF514D"/>
    <w:rsid w:val="00FF611B"/>
    <w:rsid w:val="00FF61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F8A6213"/>
  <w15:docId w15:val="{3B60E7D6-F868-4471-8618-F1625545B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unhideWhenUsed="1" w:qFormat="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3DE"/>
    <w:pPr>
      <w:spacing w:before="60" w:after="60" w:line="240" w:lineRule="auto"/>
    </w:pPr>
    <w:rPr>
      <w:rFonts w:ascii="Calibri" w:hAnsi="Calibri" w:cs="Arial"/>
      <w:sz w:val="20"/>
      <w:szCs w:val="20"/>
      <w:lang w:eastAsia="en-US"/>
    </w:rPr>
  </w:style>
  <w:style w:type="paragraph" w:styleId="Heading1">
    <w:name w:val="heading 1"/>
    <w:basedOn w:val="Normal"/>
    <w:next w:val="Normal"/>
    <w:link w:val="Heading1Char"/>
    <w:uiPriority w:val="6"/>
    <w:qFormat/>
    <w:rsid w:val="00475745"/>
    <w:pPr>
      <w:keepNext/>
      <w:spacing w:before="240"/>
      <w:outlineLvl w:val="0"/>
    </w:pPr>
    <w:rPr>
      <w:rFonts w:ascii="Gill Sans MT" w:hAnsi="Gill Sans MT" w:cs="Tahoma"/>
      <w:bCs/>
      <w:color w:val="943634"/>
      <w:kern w:val="32"/>
      <w:sz w:val="28"/>
      <w:szCs w:val="28"/>
    </w:rPr>
  </w:style>
  <w:style w:type="paragraph" w:styleId="Heading2">
    <w:name w:val="heading 2"/>
    <w:basedOn w:val="Normal"/>
    <w:next w:val="Normal"/>
    <w:link w:val="Heading2Char"/>
    <w:uiPriority w:val="7"/>
    <w:qFormat/>
    <w:rsid w:val="00475745"/>
    <w:pPr>
      <w:keepNext/>
      <w:spacing w:before="120"/>
      <w:outlineLvl w:val="1"/>
    </w:pPr>
    <w:rPr>
      <w:rFonts w:ascii="Gill Sans MT" w:eastAsiaTheme="minorHAnsi" w:hAnsi="Gill Sans MT"/>
      <w:bCs/>
      <w:iCs/>
      <w:color w:val="943634"/>
      <w:sz w:val="22"/>
      <w:szCs w:val="28"/>
    </w:rPr>
  </w:style>
  <w:style w:type="paragraph" w:styleId="Heading3">
    <w:name w:val="heading 3"/>
    <w:basedOn w:val="Normal"/>
    <w:next w:val="Normal"/>
    <w:link w:val="Heading3Char"/>
    <w:uiPriority w:val="8"/>
    <w:qFormat/>
    <w:rsid w:val="00475745"/>
    <w:pPr>
      <w:keepNext/>
      <w:spacing w:before="120"/>
      <w:outlineLvl w:val="2"/>
    </w:pPr>
    <w:rPr>
      <w:b/>
      <w:bCs/>
      <w:szCs w:val="26"/>
    </w:rPr>
  </w:style>
  <w:style w:type="paragraph" w:styleId="Heading4">
    <w:name w:val="heading 4"/>
    <w:basedOn w:val="Heading3"/>
    <w:next w:val="Normal"/>
    <w:link w:val="Heading4Char"/>
    <w:semiHidden/>
    <w:qFormat/>
    <w:locked/>
    <w:rsid w:val="0013059D"/>
    <w:pPr>
      <w:spacing w:before="240"/>
      <w:outlineLvl w:val="3"/>
    </w:pPr>
    <w:rPr>
      <w:b w:val="0"/>
      <w:bCs w:val="0"/>
      <w:i/>
      <w:szCs w:val="28"/>
    </w:rPr>
  </w:style>
  <w:style w:type="paragraph" w:styleId="Heading5">
    <w:name w:val="heading 5"/>
    <w:basedOn w:val="Normal"/>
    <w:next w:val="Normal"/>
    <w:link w:val="Heading5Char"/>
    <w:uiPriority w:val="9"/>
    <w:semiHidden/>
    <w:qFormat/>
    <w:rsid w:val="00C43BE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C43BE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locked/>
    <w:rsid w:val="00475745"/>
    <w:rPr>
      <w:rFonts w:ascii="Gill Sans MT" w:hAnsi="Gill Sans MT" w:cs="Tahoma"/>
      <w:bCs/>
      <w:color w:val="943634"/>
      <w:kern w:val="32"/>
      <w:sz w:val="28"/>
      <w:szCs w:val="28"/>
      <w:lang w:eastAsia="en-US"/>
    </w:rPr>
  </w:style>
  <w:style w:type="character" w:customStyle="1" w:styleId="Heading2Char">
    <w:name w:val="Heading 2 Char"/>
    <w:basedOn w:val="DefaultParagraphFont"/>
    <w:link w:val="Heading2"/>
    <w:uiPriority w:val="7"/>
    <w:locked/>
    <w:rsid w:val="00475745"/>
    <w:rPr>
      <w:rFonts w:ascii="Gill Sans MT" w:eastAsiaTheme="minorHAnsi" w:hAnsi="Gill Sans MT" w:cs="Arial"/>
      <w:bCs/>
      <w:iCs/>
      <w:color w:val="943634"/>
      <w:szCs w:val="28"/>
      <w:lang w:eastAsia="en-US"/>
    </w:rPr>
  </w:style>
  <w:style w:type="character" w:customStyle="1" w:styleId="Heading3Char">
    <w:name w:val="Heading 3 Char"/>
    <w:basedOn w:val="DefaultParagraphFont"/>
    <w:link w:val="Heading3"/>
    <w:uiPriority w:val="8"/>
    <w:locked/>
    <w:rsid w:val="00475745"/>
    <w:rPr>
      <w:rFonts w:ascii="Calibri" w:hAnsi="Calibri" w:cs="Arial"/>
      <w:b/>
      <w:bCs/>
      <w:sz w:val="20"/>
      <w:szCs w:val="26"/>
      <w:lang w:eastAsia="en-US"/>
    </w:rPr>
  </w:style>
  <w:style w:type="paragraph" w:customStyle="1" w:styleId="Instructions-bullet1">
    <w:name w:val="Instructions - bullet 1"/>
    <w:basedOn w:val="Instructions"/>
    <w:uiPriority w:val="12"/>
    <w:qFormat/>
    <w:rsid w:val="00475745"/>
    <w:pPr>
      <w:numPr>
        <w:numId w:val="7"/>
      </w:numPr>
      <w:ind w:left="680" w:hanging="340"/>
    </w:pPr>
    <w:rPr>
      <w:rFonts w:cs="Times New Roman"/>
    </w:rPr>
  </w:style>
  <w:style w:type="paragraph" w:customStyle="1" w:styleId="Instructions-numbered">
    <w:name w:val="Instructions - numbered"/>
    <w:basedOn w:val="Normal"/>
    <w:uiPriority w:val="13"/>
    <w:qFormat/>
    <w:rsid w:val="00475745"/>
    <w:pPr>
      <w:numPr>
        <w:numId w:val="8"/>
      </w:numPr>
      <w:ind w:left="680" w:hanging="340"/>
    </w:pPr>
    <w:rPr>
      <w:rFonts w:cs="Times New Roman"/>
      <w:i/>
      <w:color w:val="FF0000"/>
    </w:rPr>
  </w:style>
  <w:style w:type="paragraph" w:customStyle="1" w:styleId="bullet1">
    <w:name w:val="bullet 1"/>
    <w:basedOn w:val="Normal"/>
    <w:link w:val="bullet1Char"/>
    <w:qFormat/>
    <w:rsid w:val="00475745"/>
    <w:pPr>
      <w:numPr>
        <w:numId w:val="17"/>
      </w:numPr>
      <w:ind w:left="340" w:hanging="340"/>
    </w:pPr>
  </w:style>
  <w:style w:type="paragraph" w:styleId="BalloonText">
    <w:name w:val="Balloon Text"/>
    <w:basedOn w:val="Normal"/>
    <w:link w:val="BalloonTextChar"/>
    <w:uiPriority w:val="99"/>
    <w:semiHidden/>
    <w:unhideWhenUsed/>
    <w:rsid w:val="003A70F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FF"/>
    <w:rPr>
      <w:rFonts w:ascii="Segoe UI" w:hAnsi="Segoe UI" w:cs="Segoe UI"/>
      <w:sz w:val="18"/>
      <w:szCs w:val="18"/>
      <w:lang w:eastAsia="en-US"/>
    </w:rPr>
  </w:style>
  <w:style w:type="paragraph" w:styleId="Footer">
    <w:name w:val="footer"/>
    <w:basedOn w:val="Normal"/>
    <w:link w:val="FooterChar"/>
    <w:uiPriority w:val="17"/>
    <w:qFormat/>
    <w:rsid w:val="00F70A26"/>
    <w:pPr>
      <w:spacing w:before="0" w:after="0"/>
      <w:contextualSpacing/>
    </w:pPr>
    <w:rPr>
      <w:color w:val="808080" w:themeColor="background1" w:themeShade="80"/>
      <w:sz w:val="18"/>
      <w:lang w:val="en-US"/>
    </w:rPr>
  </w:style>
  <w:style w:type="character" w:customStyle="1" w:styleId="FooterChar">
    <w:name w:val="Footer Char"/>
    <w:basedOn w:val="DefaultParagraphFont"/>
    <w:link w:val="Footer"/>
    <w:uiPriority w:val="17"/>
    <w:locked/>
    <w:rsid w:val="0083169E"/>
    <w:rPr>
      <w:rFonts w:ascii="Calibri" w:hAnsi="Calibri" w:cs="Arial"/>
      <w:color w:val="808080" w:themeColor="background1" w:themeShade="80"/>
      <w:sz w:val="18"/>
      <w:szCs w:val="20"/>
      <w:lang w:val="en-US" w:eastAsia="en-US"/>
    </w:rPr>
  </w:style>
  <w:style w:type="paragraph" w:styleId="Header">
    <w:name w:val="header"/>
    <w:aliases w:val="Header - SOP"/>
    <w:basedOn w:val="Normal"/>
    <w:link w:val="HeaderChar"/>
    <w:uiPriority w:val="15"/>
    <w:qFormat/>
    <w:rsid w:val="006E32A4"/>
    <w:pPr>
      <w:tabs>
        <w:tab w:val="center" w:pos="4153"/>
        <w:tab w:val="right" w:pos="8306"/>
      </w:tabs>
      <w:spacing w:before="240"/>
      <w:jc w:val="center"/>
    </w:pPr>
    <w:rPr>
      <w:rFonts w:ascii="Gill Sans MT" w:hAnsi="Gill Sans MT"/>
      <w:noProof/>
      <w:color w:val="808080" w:themeColor="background1" w:themeShade="80"/>
      <w:sz w:val="32"/>
    </w:rPr>
  </w:style>
  <w:style w:type="character" w:customStyle="1" w:styleId="HeaderChar">
    <w:name w:val="Header Char"/>
    <w:aliases w:val="Header - SOP Char"/>
    <w:basedOn w:val="DefaultParagraphFont"/>
    <w:link w:val="Header"/>
    <w:uiPriority w:val="15"/>
    <w:locked/>
    <w:rsid w:val="0083169E"/>
    <w:rPr>
      <w:rFonts w:ascii="Gill Sans MT" w:hAnsi="Gill Sans MT" w:cs="Arial"/>
      <w:noProof/>
      <w:color w:val="808080" w:themeColor="background1" w:themeShade="80"/>
      <w:sz w:val="32"/>
      <w:szCs w:val="20"/>
      <w:lang w:eastAsia="en-US"/>
    </w:rPr>
  </w:style>
  <w:style w:type="table" w:styleId="TableGrid">
    <w:name w:val="Table Grid"/>
    <w:basedOn w:val="TableNormal"/>
    <w:uiPriority w:val="59"/>
    <w:rsid w:val="0013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
    <w:qFormat/>
    <w:rsid w:val="00083C9D"/>
    <w:pPr>
      <w:spacing w:before="0" w:after="300"/>
      <w:contextualSpacing/>
      <w:jc w:val="center"/>
    </w:pPr>
    <w:rPr>
      <w:rFonts w:ascii="Gill Sans MT" w:eastAsiaTheme="majorEastAsia" w:hAnsi="Gill Sans MT" w:cs="Tahoma"/>
      <w:color w:val="943634"/>
      <w:spacing w:val="5"/>
      <w:kern w:val="28"/>
      <w:sz w:val="44"/>
      <w:szCs w:val="40"/>
    </w:rPr>
  </w:style>
  <w:style w:type="character" w:customStyle="1" w:styleId="TitleChar">
    <w:name w:val="Title Char"/>
    <w:basedOn w:val="DefaultParagraphFont"/>
    <w:link w:val="Title"/>
    <w:uiPriority w:val="9"/>
    <w:locked/>
    <w:rsid w:val="00083C9D"/>
    <w:rPr>
      <w:rFonts w:ascii="Gill Sans MT" w:eastAsiaTheme="majorEastAsia" w:hAnsi="Gill Sans MT" w:cs="Tahoma"/>
      <w:color w:val="943634"/>
      <w:spacing w:val="5"/>
      <w:kern w:val="28"/>
      <w:sz w:val="44"/>
      <w:szCs w:val="40"/>
      <w:lang w:eastAsia="en-US"/>
    </w:rPr>
  </w:style>
  <w:style w:type="paragraph" w:customStyle="1" w:styleId="propertystatement">
    <w:name w:val="property statement"/>
    <w:basedOn w:val="Normal"/>
    <w:uiPriority w:val="14"/>
    <w:qFormat/>
    <w:rsid w:val="00342788"/>
    <w:pPr>
      <w:jc w:val="center"/>
    </w:pPr>
    <w:rPr>
      <w:color w:val="7F7F7F" w:themeColor="text1" w:themeTint="80"/>
      <w:sz w:val="18"/>
      <w:szCs w:val="18"/>
    </w:rPr>
  </w:style>
  <w:style w:type="paragraph" w:styleId="Revision">
    <w:name w:val="Revision"/>
    <w:hidden/>
    <w:uiPriority w:val="99"/>
    <w:semiHidden/>
    <w:rsid w:val="002D6577"/>
    <w:rPr>
      <w:rFonts w:ascii="Arial" w:hAnsi="Arial" w:cs="Arial"/>
      <w:lang w:eastAsia="en-US"/>
    </w:rPr>
  </w:style>
  <w:style w:type="paragraph" w:customStyle="1" w:styleId="Table">
    <w:name w:val="Table"/>
    <w:basedOn w:val="Normal"/>
    <w:autoRedefine/>
    <w:semiHidden/>
    <w:qFormat/>
    <w:rsid w:val="00B10C05"/>
    <w:pPr>
      <w:framePr w:hSpace="181" w:wrap="around" w:vAnchor="text" w:hAnchor="margin" w:y="239"/>
    </w:pPr>
  </w:style>
  <w:style w:type="paragraph" w:customStyle="1" w:styleId="AbbreviationsDefinitionsTerm">
    <w:name w:val="Abbreviations &amp; Definitions 'Term'"/>
    <w:link w:val="AbbreviationsDefinitionsTermChar"/>
    <w:uiPriority w:val="14"/>
    <w:qFormat/>
    <w:rsid w:val="00DC0548"/>
    <w:pPr>
      <w:spacing w:before="60" w:after="60" w:line="240" w:lineRule="auto"/>
    </w:pPr>
    <w:rPr>
      <w:rFonts w:ascii="Calibri" w:hAnsi="Calibri" w:cs="Tahoma"/>
      <w:b/>
      <w:bCs/>
      <w:color w:val="000000" w:themeColor="text1"/>
      <w:spacing w:val="5"/>
      <w:kern w:val="28"/>
      <w:sz w:val="20"/>
      <w:szCs w:val="26"/>
      <w:lang w:eastAsia="en-US"/>
    </w:rPr>
  </w:style>
  <w:style w:type="paragraph" w:styleId="List">
    <w:name w:val="List"/>
    <w:aliases w:val="Numberlist 1"/>
    <w:basedOn w:val="Normal"/>
    <w:autoRedefine/>
    <w:semiHidden/>
    <w:qFormat/>
    <w:rsid w:val="00C43BEC"/>
    <w:pPr>
      <w:spacing w:before="120"/>
      <w:ind w:left="717" w:hanging="360"/>
    </w:pPr>
  </w:style>
  <w:style w:type="paragraph" w:styleId="ListBullet">
    <w:name w:val="List Bullet"/>
    <w:basedOn w:val="Normal"/>
    <w:uiPriority w:val="99"/>
    <w:semiHidden/>
    <w:rsid w:val="00C43BEC"/>
    <w:pPr>
      <w:numPr>
        <w:numId w:val="9"/>
      </w:numPr>
      <w:contextualSpacing/>
    </w:pPr>
  </w:style>
  <w:style w:type="numbering" w:customStyle="1" w:styleId="Style1">
    <w:name w:val="Style1"/>
    <w:rsid w:val="001F581B"/>
    <w:pPr>
      <w:numPr>
        <w:numId w:val="1"/>
      </w:numPr>
    </w:pPr>
  </w:style>
  <w:style w:type="character" w:customStyle="1" w:styleId="Heading4Char">
    <w:name w:val="Heading 4 Char"/>
    <w:basedOn w:val="DefaultParagraphFont"/>
    <w:link w:val="Heading4"/>
    <w:semiHidden/>
    <w:rsid w:val="0013059D"/>
    <w:rPr>
      <w:rFonts w:ascii="Arial" w:hAnsi="Arial" w:cs="Arial"/>
      <w:i/>
      <w:sz w:val="20"/>
      <w:szCs w:val="28"/>
      <w:lang w:eastAsia="en-US"/>
    </w:rPr>
  </w:style>
  <w:style w:type="paragraph" w:customStyle="1" w:styleId="Instructions">
    <w:name w:val="Instructions"/>
    <w:basedOn w:val="Normal"/>
    <w:link w:val="InstructionsChar"/>
    <w:uiPriority w:val="11"/>
    <w:qFormat/>
    <w:rsid w:val="00C43BEC"/>
    <w:rPr>
      <w:i/>
      <w:iCs/>
      <w:color w:val="FF0000"/>
    </w:rPr>
  </w:style>
  <w:style w:type="character" w:customStyle="1" w:styleId="InstructionsChar">
    <w:name w:val="Instructions Char"/>
    <w:basedOn w:val="DefaultParagraphFont"/>
    <w:link w:val="Instructions"/>
    <w:uiPriority w:val="11"/>
    <w:rsid w:val="0083169E"/>
    <w:rPr>
      <w:rFonts w:ascii="Calibri" w:hAnsi="Calibri" w:cs="Arial"/>
      <w:i/>
      <w:iCs/>
      <w:color w:val="FF0000"/>
      <w:sz w:val="20"/>
      <w:szCs w:val="20"/>
      <w:lang w:eastAsia="en-US"/>
    </w:rPr>
  </w:style>
  <w:style w:type="paragraph" w:customStyle="1" w:styleId="bullet2">
    <w:name w:val="bullet 2"/>
    <w:basedOn w:val="Normal"/>
    <w:link w:val="bullet2Char"/>
    <w:uiPriority w:val="99"/>
    <w:qFormat/>
    <w:rsid w:val="00475745"/>
    <w:pPr>
      <w:numPr>
        <w:numId w:val="4"/>
      </w:numPr>
      <w:ind w:left="680" w:hanging="340"/>
    </w:pPr>
  </w:style>
  <w:style w:type="character" w:customStyle="1" w:styleId="bullet2Char">
    <w:name w:val="bullet 2 Char"/>
    <w:basedOn w:val="DefaultParagraphFont"/>
    <w:link w:val="bullet2"/>
    <w:uiPriority w:val="99"/>
    <w:locked/>
    <w:rsid w:val="00475745"/>
    <w:rPr>
      <w:rFonts w:ascii="Calibri" w:hAnsi="Calibri" w:cs="Arial"/>
      <w:sz w:val="20"/>
      <w:szCs w:val="20"/>
      <w:lang w:eastAsia="en-US"/>
    </w:rPr>
  </w:style>
  <w:style w:type="paragraph" w:customStyle="1" w:styleId="bullet3">
    <w:name w:val="bullet 3"/>
    <w:basedOn w:val="Normal"/>
    <w:uiPriority w:val="5"/>
    <w:qFormat/>
    <w:rsid w:val="00475745"/>
    <w:pPr>
      <w:numPr>
        <w:numId w:val="5"/>
      </w:numPr>
      <w:ind w:left="1020" w:hanging="340"/>
    </w:pPr>
  </w:style>
  <w:style w:type="character" w:customStyle="1" w:styleId="Heading5Char">
    <w:name w:val="Heading 5 Char"/>
    <w:basedOn w:val="DefaultParagraphFont"/>
    <w:link w:val="Heading5"/>
    <w:uiPriority w:val="9"/>
    <w:semiHidden/>
    <w:rsid w:val="00104D42"/>
    <w:rPr>
      <w:rFonts w:asciiTheme="majorHAnsi" w:eastAsiaTheme="majorEastAsia" w:hAnsiTheme="majorHAnsi" w:cstheme="majorBidi"/>
      <w:color w:val="243F60" w:themeColor="accent1" w:themeShade="7F"/>
      <w:sz w:val="20"/>
      <w:szCs w:val="20"/>
      <w:lang w:eastAsia="en-US"/>
    </w:rPr>
  </w:style>
  <w:style w:type="character" w:customStyle="1" w:styleId="Heading6Char">
    <w:name w:val="Heading 6 Char"/>
    <w:basedOn w:val="DefaultParagraphFont"/>
    <w:link w:val="Heading6"/>
    <w:uiPriority w:val="9"/>
    <w:semiHidden/>
    <w:rsid w:val="00104D42"/>
    <w:rPr>
      <w:rFonts w:asciiTheme="majorHAnsi" w:eastAsiaTheme="majorEastAsia" w:hAnsiTheme="majorHAnsi" w:cstheme="majorBidi"/>
      <w:i/>
      <w:iCs/>
      <w:color w:val="243F60" w:themeColor="accent1" w:themeShade="7F"/>
      <w:sz w:val="20"/>
      <w:szCs w:val="20"/>
      <w:lang w:eastAsia="en-US"/>
    </w:rPr>
  </w:style>
  <w:style w:type="paragraph" w:styleId="Quote">
    <w:name w:val="Quote"/>
    <w:basedOn w:val="Normal"/>
    <w:next w:val="Normal"/>
    <w:link w:val="QuoteChar"/>
    <w:uiPriority w:val="29"/>
    <w:semiHidden/>
    <w:qFormat/>
    <w:rsid w:val="00C43BEC"/>
    <w:rPr>
      <w:i/>
      <w:iCs/>
      <w:color w:val="000000" w:themeColor="text1"/>
    </w:rPr>
  </w:style>
  <w:style w:type="character" w:customStyle="1" w:styleId="QuoteChar">
    <w:name w:val="Quote Char"/>
    <w:basedOn w:val="DefaultParagraphFont"/>
    <w:link w:val="Quote"/>
    <w:uiPriority w:val="29"/>
    <w:semiHidden/>
    <w:rsid w:val="00104D42"/>
    <w:rPr>
      <w:rFonts w:ascii="Arial" w:hAnsi="Arial" w:cs="Arial"/>
      <w:i/>
      <w:iCs/>
      <w:color w:val="000000" w:themeColor="text1"/>
      <w:sz w:val="20"/>
      <w:szCs w:val="20"/>
      <w:lang w:eastAsia="en-US"/>
    </w:rPr>
  </w:style>
  <w:style w:type="paragraph" w:customStyle="1" w:styleId="SOPreference">
    <w:name w:val="SOP reference"/>
    <w:basedOn w:val="Normal"/>
    <w:uiPriority w:val="99"/>
    <w:semiHidden/>
    <w:rsid w:val="00C43BEC"/>
    <w:rPr>
      <w:color w:val="0000FF"/>
    </w:rPr>
  </w:style>
  <w:style w:type="paragraph" w:customStyle="1" w:styleId="StyleBoldDarkBlueCentered">
    <w:name w:val="Style Bold Dark Blue Centered"/>
    <w:basedOn w:val="Normal"/>
    <w:semiHidden/>
    <w:rsid w:val="00C43BEC"/>
    <w:pPr>
      <w:spacing w:before="40" w:after="40"/>
      <w:jc w:val="center"/>
    </w:pPr>
    <w:rPr>
      <w:b/>
      <w:bCs/>
      <w:color w:val="000080"/>
    </w:rPr>
  </w:style>
  <w:style w:type="paragraph" w:customStyle="1" w:styleId="StyleBoldDarkRedCentered">
    <w:name w:val="Style Bold Dark Red Centered"/>
    <w:basedOn w:val="Normal"/>
    <w:semiHidden/>
    <w:rsid w:val="00C43BEC"/>
    <w:pPr>
      <w:spacing w:before="40" w:after="40"/>
      <w:jc w:val="center"/>
    </w:pPr>
    <w:rPr>
      <w:b/>
      <w:bCs/>
      <w:color w:val="632423" w:themeColor="accent2" w:themeShade="80"/>
    </w:rPr>
  </w:style>
  <w:style w:type="paragraph" w:customStyle="1" w:styleId="StyleDarkBlueCentered">
    <w:name w:val="Style Dark Blue Centered"/>
    <w:basedOn w:val="Normal"/>
    <w:semiHidden/>
    <w:rsid w:val="00C43BEC"/>
    <w:pPr>
      <w:spacing w:before="40" w:after="40"/>
      <w:jc w:val="center"/>
    </w:pPr>
    <w:rPr>
      <w:color w:val="000080"/>
    </w:rPr>
  </w:style>
  <w:style w:type="paragraph" w:customStyle="1" w:styleId="StyleDarkRedCentered">
    <w:name w:val="Style Dark Red Centered"/>
    <w:basedOn w:val="Normal"/>
    <w:semiHidden/>
    <w:rsid w:val="00C43BEC"/>
    <w:pPr>
      <w:spacing w:before="40" w:after="40"/>
      <w:jc w:val="center"/>
    </w:pPr>
    <w:rPr>
      <w:color w:val="632423" w:themeColor="accent2" w:themeShade="80"/>
    </w:rPr>
  </w:style>
  <w:style w:type="paragraph" w:customStyle="1" w:styleId="Header-QCDs">
    <w:name w:val="Header - QCDs"/>
    <w:basedOn w:val="Header"/>
    <w:uiPriority w:val="16"/>
    <w:qFormat/>
    <w:rsid w:val="006E32A4"/>
    <w:pPr>
      <w:jc w:val="right"/>
    </w:pPr>
  </w:style>
  <w:style w:type="paragraph" w:customStyle="1" w:styleId="ReferencestootherSOPsQCDs">
    <w:name w:val="References to other SOPs/QCDs"/>
    <w:basedOn w:val="Instructions"/>
    <w:next w:val="Normal"/>
    <w:link w:val="ReferencestootherSOPsQCDsChar"/>
    <w:qFormat/>
    <w:rsid w:val="00475745"/>
    <w:rPr>
      <w:color w:val="943634"/>
    </w:rPr>
  </w:style>
  <w:style w:type="character" w:customStyle="1" w:styleId="ReferencestootherSOPsQCDsChar">
    <w:name w:val="References to other SOPs/QCDs Char"/>
    <w:basedOn w:val="InstructionsChar"/>
    <w:link w:val="ReferencestootherSOPsQCDs"/>
    <w:rsid w:val="00475745"/>
    <w:rPr>
      <w:rFonts w:ascii="Calibri" w:hAnsi="Calibri" w:cs="Arial"/>
      <w:i/>
      <w:iCs/>
      <w:color w:val="943634"/>
      <w:sz w:val="20"/>
      <w:szCs w:val="20"/>
      <w:lang w:eastAsia="en-US"/>
    </w:rPr>
  </w:style>
  <w:style w:type="character" w:customStyle="1" w:styleId="bullet1Char">
    <w:name w:val="bullet 1 Char"/>
    <w:basedOn w:val="DefaultParagraphFont"/>
    <w:link w:val="bullet1"/>
    <w:locked/>
    <w:rsid w:val="00475745"/>
    <w:rPr>
      <w:rFonts w:ascii="Calibri" w:hAnsi="Calibri" w:cs="Arial"/>
      <w:sz w:val="20"/>
      <w:szCs w:val="20"/>
      <w:lang w:eastAsia="en-US"/>
    </w:rPr>
  </w:style>
  <w:style w:type="character" w:customStyle="1" w:styleId="AbbreviationsDefinitionsTermChar">
    <w:name w:val="Abbreviations &amp; Definitions 'Term' Char"/>
    <w:basedOn w:val="DefaultParagraphFont"/>
    <w:link w:val="AbbreviationsDefinitionsTerm"/>
    <w:uiPriority w:val="14"/>
    <w:rsid w:val="0083169E"/>
    <w:rPr>
      <w:rFonts w:ascii="Calibri" w:hAnsi="Calibri" w:cs="Tahoma"/>
      <w:b/>
      <w:bCs/>
      <w:color w:val="000000" w:themeColor="text1"/>
      <w:spacing w:val="5"/>
      <w:kern w:val="28"/>
      <w:sz w:val="20"/>
      <w:szCs w:val="26"/>
      <w:lang w:eastAsia="en-US"/>
    </w:rPr>
  </w:style>
  <w:style w:type="character" w:styleId="Hyperlink">
    <w:name w:val="Hyperlink"/>
    <w:basedOn w:val="DefaultParagraphFont"/>
    <w:uiPriority w:val="99"/>
    <w:rsid w:val="00692DFA"/>
    <w:rPr>
      <w:color w:val="0000FF"/>
      <w:u w:val="single"/>
    </w:rPr>
  </w:style>
  <w:style w:type="paragraph" w:customStyle="1" w:styleId="Bullet10">
    <w:name w:val="Bullet 1"/>
    <w:basedOn w:val="Normal"/>
    <w:link w:val="Bullet1Char0"/>
    <w:uiPriority w:val="19"/>
    <w:rsid w:val="00475745"/>
    <w:pPr>
      <w:ind w:left="340" w:hanging="340"/>
    </w:pPr>
  </w:style>
  <w:style w:type="character" w:customStyle="1" w:styleId="Bullet1Char0">
    <w:name w:val="Bullet 1 Char"/>
    <w:basedOn w:val="DefaultParagraphFont"/>
    <w:link w:val="Bullet10"/>
    <w:uiPriority w:val="19"/>
    <w:rsid w:val="00475745"/>
    <w:rPr>
      <w:rFonts w:ascii="Calibri" w:hAnsi="Calibri" w:cs="Arial"/>
      <w:sz w:val="20"/>
      <w:szCs w:val="20"/>
      <w:lang w:eastAsia="en-US"/>
    </w:rPr>
  </w:style>
  <w:style w:type="paragraph" w:customStyle="1" w:styleId="Numberlist">
    <w:name w:val="Numberlist"/>
    <w:basedOn w:val="Normal"/>
    <w:uiPriority w:val="1"/>
    <w:qFormat/>
    <w:rsid w:val="00475745"/>
    <w:pPr>
      <w:numPr>
        <w:numId w:val="16"/>
      </w:numPr>
      <w:ind w:left="340" w:hanging="340"/>
    </w:p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Calibri" w:hAnsi="Calibri" w:cs="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165B"/>
    <w:rPr>
      <w:b/>
      <w:bCs/>
    </w:rPr>
  </w:style>
  <w:style w:type="character" w:customStyle="1" w:styleId="CommentSubjectChar">
    <w:name w:val="Comment Subject Char"/>
    <w:basedOn w:val="CommentTextChar"/>
    <w:link w:val="CommentSubject"/>
    <w:uiPriority w:val="99"/>
    <w:semiHidden/>
    <w:rsid w:val="0021165B"/>
    <w:rPr>
      <w:rFonts w:ascii="Calibri" w:hAnsi="Calibri" w:cs="Arial"/>
      <w:b/>
      <w:bCs/>
      <w:sz w:val="20"/>
      <w:szCs w:val="20"/>
      <w:lang w:eastAsia="en-US"/>
    </w:rPr>
  </w:style>
  <w:style w:type="character" w:styleId="FollowedHyperlink">
    <w:name w:val="FollowedHyperlink"/>
    <w:basedOn w:val="DefaultParagraphFont"/>
    <w:semiHidden/>
    <w:unhideWhenUsed/>
    <w:rsid w:val="00043513"/>
    <w:rPr>
      <w:color w:val="800080" w:themeColor="followedHyperlink"/>
      <w:u w:val="single"/>
    </w:rPr>
  </w:style>
  <w:style w:type="paragraph" w:customStyle="1" w:styleId="Bold">
    <w:name w:val="Bold"/>
    <w:basedOn w:val="Normal"/>
    <w:uiPriority w:val="18"/>
    <w:qFormat/>
    <w:rsid w:val="00F013DE"/>
    <w:rPr>
      <w:b/>
    </w:rPr>
  </w:style>
  <w:style w:type="paragraph" w:customStyle="1" w:styleId="NumberlistforSOPs">
    <w:name w:val="Numberlist for SOPs"/>
    <w:basedOn w:val="Normal"/>
    <w:rsid w:val="00B20DFB"/>
    <w:pPr>
      <w:ind w:left="360" w:hanging="360"/>
    </w:pPr>
  </w:style>
  <w:style w:type="paragraph" w:customStyle="1" w:styleId="Definitionsabbreviations">
    <w:name w:val="Definitions &amp; abbreviations"/>
    <w:link w:val="DefinitionsabbreviationsChar"/>
    <w:autoRedefine/>
    <w:uiPriority w:val="99"/>
    <w:rsid w:val="00B20DFB"/>
    <w:pPr>
      <w:spacing w:before="60" w:after="60" w:line="240" w:lineRule="auto"/>
    </w:pPr>
    <w:rPr>
      <w:rFonts w:cs="Tahoma"/>
      <w:b/>
      <w:bCs/>
      <w:color w:val="000000" w:themeColor="text1"/>
      <w:spacing w:val="5"/>
      <w:kern w:val="28"/>
      <w:sz w:val="20"/>
      <w:szCs w:val="26"/>
      <w:lang w:eastAsia="en-US"/>
    </w:rPr>
  </w:style>
  <w:style w:type="character" w:customStyle="1" w:styleId="DefinitionsabbreviationsChar">
    <w:name w:val="Definitions &amp; abbreviations Char"/>
    <w:basedOn w:val="DefaultParagraphFont"/>
    <w:link w:val="Definitionsabbreviations"/>
    <w:uiPriority w:val="99"/>
    <w:rsid w:val="00B20DFB"/>
    <w:rPr>
      <w:rFonts w:cs="Tahoma"/>
      <w:b/>
      <w:bCs/>
      <w:color w:val="000000" w:themeColor="text1"/>
      <w:spacing w:val="5"/>
      <w:kern w:val="28"/>
      <w:sz w:val="20"/>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517569">
      <w:bodyDiv w:val="1"/>
      <w:marLeft w:val="0"/>
      <w:marRight w:val="0"/>
      <w:marTop w:val="0"/>
      <w:marBottom w:val="0"/>
      <w:divBdr>
        <w:top w:val="none" w:sz="0" w:space="0" w:color="auto"/>
        <w:left w:val="none" w:sz="0" w:space="0" w:color="auto"/>
        <w:bottom w:val="none" w:sz="0" w:space="0" w:color="auto"/>
        <w:right w:val="none" w:sz="0" w:space="0" w:color="auto"/>
      </w:divBdr>
    </w:div>
    <w:div w:id="1128280163">
      <w:bodyDiv w:val="1"/>
      <w:marLeft w:val="0"/>
      <w:marRight w:val="0"/>
      <w:marTop w:val="0"/>
      <w:marBottom w:val="0"/>
      <w:divBdr>
        <w:top w:val="none" w:sz="0" w:space="0" w:color="auto"/>
        <w:left w:val="none" w:sz="0" w:space="0" w:color="auto"/>
        <w:bottom w:val="none" w:sz="0" w:space="0" w:color="auto"/>
        <w:right w:val="none" w:sz="0" w:space="0" w:color="auto"/>
      </w:divBdr>
    </w:div>
    <w:div w:id="1289703582">
      <w:marLeft w:val="0"/>
      <w:marRight w:val="0"/>
      <w:marTop w:val="0"/>
      <w:marBottom w:val="0"/>
      <w:divBdr>
        <w:top w:val="none" w:sz="0" w:space="0" w:color="auto"/>
        <w:left w:val="none" w:sz="0" w:space="0" w:color="auto"/>
        <w:bottom w:val="none" w:sz="0" w:space="0" w:color="auto"/>
        <w:right w:val="none" w:sz="0" w:space="0" w:color="auto"/>
      </w:divBdr>
    </w:div>
    <w:div w:id="1289703583">
      <w:marLeft w:val="0"/>
      <w:marRight w:val="0"/>
      <w:marTop w:val="0"/>
      <w:marBottom w:val="0"/>
      <w:divBdr>
        <w:top w:val="none" w:sz="0" w:space="0" w:color="auto"/>
        <w:left w:val="none" w:sz="0" w:space="0" w:color="auto"/>
        <w:bottom w:val="none" w:sz="0" w:space="0" w:color="auto"/>
        <w:right w:val="none" w:sz="0" w:space="0" w:color="auto"/>
      </w:divBdr>
    </w:div>
    <w:div w:id="1289703584">
      <w:marLeft w:val="0"/>
      <w:marRight w:val="0"/>
      <w:marTop w:val="0"/>
      <w:marBottom w:val="0"/>
      <w:divBdr>
        <w:top w:val="none" w:sz="0" w:space="0" w:color="auto"/>
        <w:left w:val="none" w:sz="0" w:space="0" w:color="auto"/>
        <w:bottom w:val="none" w:sz="0" w:space="0" w:color="auto"/>
        <w:right w:val="none" w:sz="0" w:space="0" w:color="auto"/>
      </w:divBdr>
    </w:div>
    <w:div w:id="1289703587">
      <w:marLeft w:val="0"/>
      <w:marRight w:val="0"/>
      <w:marTop w:val="0"/>
      <w:marBottom w:val="0"/>
      <w:divBdr>
        <w:top w:val="none" w:sz="0" w:space="0" w:color="auto"/>
        <w:left w:val="none" w:sz="0" w:space="0" w:color="auto"/>
        <w:bottom w:val="none" w:sz="0" w:space="0" w:color="auto"/>
        <w:right w:val="none" w:sz="0" w:space="0" w:color="auto"/>
      </w:divBdr>
    </w:div>
    <w:div w:id="1289703589">
      <w:marLeft w:val="0"/>
      <w:marRight w:val="0"/>
      <w:marTop w:val="0"/>
      <w:marBottom w:val="0"/>
      <w:divBdr>
        <w:top w:val="none" w:sz="0" w:space="0" w:color="auto"/>
        <w:left w:val="none" w:sz="0" w:space="0" w:color="auto"/>
        <w:bottom w:val="none" w:sz="0" w:space="0" w:color="auto"/>
        <w:right w:val="none" w:sz="0" w:space="0" w:color="auto"/>
      </w:divBdr>
    </w:div>
    <w:div w:id="1289703590">
      <w:marLeft w:val="0"/>
      <w:marRight w:val="0"/>
      <w:marTop w:val="0"/>
      <w:marBottom w:val="0"/>
      <w:divBdr>
        <w:top w:val="none" w:sz="0" w:space="0" w:color="auto"/>
        <w:left w:val="none" w:sz="0" w:space="0" w:color="auto"/>
        <w:bottom w:val="none" w:sz="0" w:space="0" w:color="auto"/>
        <w:right w:val="none" w:sz="0" w:space="0" w:color="auto"/>
      </w:divBdr>
    </w:div>
    <w:div w:id="1289703594">
      <w:marLeft w:val="0"/>
      <w:marRight w:val="0"/>
      <w:marTop w:val="0"/>
      <w:marBottom w:val="0"/>
      <w:divBdr>
        <w:top w:val="none" w:sz="0" w:space="0" w:color="auto"/>
        <w:left w:val="none" w:sz="0" w:space="0" w:color="auto"/>
        <w:bottom w:val="none" w:sz="0" w:space="0" w:color="auto"/>
        <w:right w:val="none" w:sz="0" w:space="0" w:color="auto"/>
      </w:divBdr>
      <w:divsChild>
        <w:div w:id="1289703591">
          <w:marLeft w:val="0"/>
          <w:marRight w:val="0"/>
          <w:marTop w:val="0"/>
          <w:marBottom w:val="0"/>
          <w:divBdr>
            <w:top w:val="none" w:sz="0" w:space="0" w:color="auto"/>
            <w:left w:val="none" w:sz="0" w:space="0" w:color="auto"/>
            <w:bottom w:val="none" w:sz="0" w:space="0" w:color="auto"/>
            <w:right w:val="none" w:sz="0" w:space="0" w:color="auto"/>
          </w:divBdr>
          <w:divsChild>
            <w:div w:id="1289703593">
              <w:marLeft w:val="0"/>
              <w:marRight w:val="0"/>
              <w:marTop w:val="0"/>
              <w:marBottom w:val="0"/>
              <w:divBdr>
                <w:top w:val="none" w:sz="0" w:space="0" w:color="auto"/>
                <w:left w:val="none" w:sz="0" w:space="0" w:color="auto"/>
                <w:bottom w:val="none" w:sz="0" w:space="0" w:color="auto"/>
                <w:right w:val="none" w:sz="0" w:space="0" w:color="auto"/>
              </w:divBdr>
              <w:divsChild>
                <w:div w:id="1289703602">
                  <w:marLeft w:val="0"/>
                  <w:marRight w:val="0"/>
                  <w:marTop w:val="0"/>
                  <w:marBottom w:val="0"/>
                  <w:divBdr>
                    <w:top w:val="none" w:sz="0" w:space="0" w:color="auto"/>
                    <w:left w:val="none" w:sz="0" w:space="0" w:color="auto"/>
                    <w:bottom w:val="none" w:sz="0" w:space="0" w:color="auto"/>
                    <w:right w:val="none" w:sz="0" w:space="0" w:color="auto"/>
                  </w:divBdr>
                  <w:divsChild>
                    <w:div w:id="1289703600">
                      <w:marLeft w:val="230"/>
                      <w:marRight w:val="230"/>
                      <w:marTop w:val="0"/>
                      <w:marBottom w:val="115"/>
                      <w:divBdr>
                        <w:top w:val="none" w:sz="0" w:space="0" w:color="auto"/>
                        <w:left w:val="none" w:sz="0" w:space="0" w:color="auto"/>
                        <w:bottom w:val="none" w:sz="0" w:space="0" w:color="auto"/>
                        <w:right w:val="none" w:sz="0" w:space="0" w:color="auto"/>
                      </w:divBdr>
                      <w:divsChild>
                        <w:div w:id="1289703598">
                          <w:marLeft w:val="0"/>
                          <w:marRight w:val="0"/>
                          <w:marTop w:val="0"/>
                          <w:marBottom w:val="0"/>
                          <w:divBdr>
                            <w:top w:val="none" w:sz="0" w:space="0" w:color="auto"/>
                            <w:left w:val="none" w:sz="0" w:space="0" w:color="auto"/>
                            <w:bottom w:val="none" w:sz="0" w:space="0" w:color="auto"/>
                            <w:right w:val="none" w:sz="0" w:space="0" w:color="auto"/>
                          </w:divBdr>
                          <w:divsChild>
                            <w:div w:id="1289703586">
                              <w:marLeft w:val="0"/>
                              <w:marRight w:val="0"/>
                              <w:marTop w:val="0"/>
                              <w:marBottom w:val="0"/>
                              <w:divBdr>
                                <w:top w:val="none" w:sz="0" w:space="0" w:color="auto"/>
                                <w:left w:val="none" w:sz="0" w:space="0" w:color="auto"/>
                                <w:bottom w:val="none" w:sz="0" w:space="0" w:color="auto"/>
                                <w:right w:val="none" w:sz="0" w:space="0" w:color="auto"/>
                              </w:divBdr>
                              <w:divsChild>
                                <w:div w:id="1289703595">
                                  <w:marLeft w:val="0"/>
                                  <w:marRight w:val="0"/>
                                  <w:marTop w:val="0"/>
                                  <w:marBottom w:val="0"/>
                                  <w:divBdr>
                                    <w:top w:val="none" w:sz="0" w:space="0" w:color="auto"/>
                                    <w:left w:val="none" w:sz="0" w:space="0" w:color="auto"/>
                                    <w:bottom w:val="none" w:sz="0" w:space="0" w:color="auto"/>
                                    <w:right w:val="none" w:sz="0" w:space="0" w:color="auto"/>
                                  </w:divBdr>
                                  <w:divsChild>
                                    <w:div w:id="1289703588">
                                      <w:marLeft w:val="0"/>
                                      <w:marRight w:val="0"/>
                                      <w:marTop w:val="0"/>
                                      <w:marBottom w:val="0"/>
                                      <w:divBdr>
                                        <w:top w:val="none" w:sz="0" w:space="0" w:color="auto"/>
                                        <w:left w:val="none" w:sz="0" w:space="0" w:color="auto"/>
                                        <w:bottom w:val="none" w:sz="0" w:space="0" w:color="auto"/>
                                        <w:right w:val="none" w:sz="0" w:space="0" w:color="auto"/>
                                      </w:divBdr>
                                      <w:divsChild>
                                        <w:div w:id="1289703597">
                                          <w:marLeft w:val="184"/>
                                          <w:marRight w:val="0"/>
                                          <w:marTop w:val="0"/>
                                          <w:marBottom w:val="138"/>
                                          <w:divBdr>
                                            <w:top w:val="none" w:sz="0" w:space="0" w:color="auto"/>
                                            <w:left w:val="none" w:sz="0" w:space="0" w:color="auto"/>
                                            <w:bottom w:val="none" w:sz="0" w:space="0" w:color="auto"/>
                                            <w:right w:val="none" w:sz="0" w:space="0" w:color="auto"/>
                                          </w:divBdr>
                                          <w:divsChild>
                                            <w:div w:id="1289703585">
                                              <w:marLeft w:val="0"/>
                                              <w:marRight w:val="0"/>
                                              <w:marTop w:val="0"/>
                                              <w:marBottom w:val="0"/>
                                              <w:divBdr>
                                                <w:top w:val="none" w:sz="0" w:space="0" w:color="auto"/>
                                                <w:left w:val="none" w:sz="0" w:space="0" w:color="auto"/>
                                                <w:bottom w:val="none" w:sz="0" w:space="0" w:color="auto"/>
                                                <w:right w:val="none" w:sz="0" w:space="0" w:color="auto"/>
                                              </w:divBdr>
                                              <w:divsChild>
                                                <w:div w:id="12897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703596">
      <w:marLeft w:val="0"/>
      <w:marRight w:val="0"/>
      <w:marTop w:val="0"/>
      <w:marBottom w:val="0"/>
      <w:divBdr>
        <w:top w:val="none" w:sz="0" w:space="0" w:color="auto"/>
        <w:left w:val="none" w:sz="0" w:space="0" w:color="auto"/>
        <w:bottom w:val="none" w:sz="0" w:space="0" w:color="auto"/>
        <w:right w:val="none" w:sz="0" w:space="0" w:color="auto"/>
      </w:divBdr>
    </w:div>
    <w:div w:id="1289703599">
      <w:marLeft w:val="0"/>
      <w:marRight w:val="0"/>
      <w:marTop w:val="0"/>
      <w:marBottom w:val="0"/>
      <w:divBdr>
        <w:top w:val="none" w:sz="0" w:space="0" w:color="auto"/>
        <w:left w:val="none" w:sz="0" w:space="0" w:color="auto"/>
        <w:bottom w:val="none" w:sz="0" w:space="0" w:color="auto"/>
        <w:right w:val="none" w:sz="0" w:space="0" w:color="auto"/>
      </w:divBdr>
    </w:div>
    <w:div w:id="1289703601">
      <w:marLeft w:val="0"/>
      <w:marRight w:val="0"/>
      <w:marTop w:val="0"/>
      <w:marBottom w:val="0"/>
      <w:divBdr>
        <w:top w:val="none" w:sz="0" w:space="0" w:color="auto"/>
        <w:left w:val="none" w:sz="0" w:space="0" w:color="auto"/>
        <w:bottom w:val="none" w:sz="0" w:space="0" w:color="auto"/>
        <w:right w:val="none" w:sz="0" w:space="0" w:color="auto"/>
      </w:divBdr>
    </w:div>
    <w:div w:id="1990092204">
      <w:bodyDiv w:val="1"/>
      <w:marLeft w:val="0"/>
      <w:marRight w:val="0"/>
      <w:marTop w:val="0"/>
      <w:marBottom w:val="0"/>
      <w:divBdr>
        <w:top w:val="none" w:sz="0" w:space="0" w:color="auto"/>
        <w:left w:val="none" w:sz="0" w:space="0" w:color="auto"/>
        <w:bottom w:val="none" w:sz="0" w:space="0" w:color="auto"/>
        <w:right w:val="none" w:sz="0" w:space="0" w:color="auto"/>
      </w:divBdr>
      <w:divsChild>
        <w:div w:id="1913275970">
          <w:marLeft w:val="0"/>
          <w:marRight w:val="0"/>
          <w:marTop w:val="0"/>
          <w:marBottom w:val="0"/>
          <w:divBdr>
            <w:top w:val="none" w:sz="0" w:space="0" w:color="auto"/>
            <w:left w:val="none" w:sz="0" w:space="0" w:color="auto"/>
            <w:bottom w:val="none" w:sz="0" w:space="0" w:color="auto"/>
            <w:right w:val="none" w:sz="0" w:space="0" w:color="auto"/>
          </w:divBdr>
          <w:divsChild>
            <w:div w:id="1577327034">
              <w:marLeft w:val="0"/>
              <w:marRight w:val="0"/>
              <w:marTop w:val="0"/>
              <w:marBottom w:val="0"/>
              <w:divBdr>
                <w:top w:val="none" w:sz="0" w:space="0" w:color="auto"/>
                <w:left w:val="none" w:sz="0" w:space="0" w:color="auto"/>
                <w:bottom w:val="none" w:sz="0" w:space="0" w:color="auto"/>
                <w:right w:val="none" w:sz="0" w:space="0" w:color="auto"/>
              </w:divBdr>
              <w:divsChild>
                <w:div w:id="703359860">
                  <w:marLeft w:val="0"/>
                  <w:marRight w:val="0"/>
                  <w:marTop w:val="0"/>
                  <w:marBottom w:val="0"/>
                  <w:divBdr>
                    <w:top w:val="none" w:sz="0" w:space="0" w:color="auto"/>
                    <w:left w:val="none" w:sz="0" w:space="0" w:color="auto"/>
                    <w:bottom w:val="none" w:sz="0" w:space="0" w:color="auto"/>
                    <w:right w:val="none" w:sz="0" w:space="0" w:color="auto"/>
                  </w:divBdr>
                  <w:divsChild>
                    <w:div w:id="965163433">
                      <w:marLeft w:val="0"/>
                      <w:marRight w:val="0"/>
                      <w:marTop w:val="0"/>
                      <w:marBottom w:val="0"/>
                      <w:divBdr>
                        <w:top w:val="none" w:sz="0" w:space="0" w:color="auto"/>
                        <w:left w:val="none" w:sz="0" w:space="0" w:color="auto"/>
                        <w:bottom w:val="none" w:sz="0" w:space="0" w:color="auto"/>
                        <w:right w:val="none" w:sz="0" w:space="0" w:color="auto"/>
                      </w:divBdr>
                      <w:divsChild>
                        <w:div w:id="239415494">
                          <w:marLeft w:val="0"/>
                          <w:marRight w:val="0"/>
                          <w:marTop w:val="0"/>
                          <w:marBottom w:val="0"/>
                          <w:divBdr>
                            <w:top w:val="none" w:sz="0" w:space="0" w:color="auto"/>
                            <w:left w:val="none" w:sz="0" w:space="0" w:color="auto"/>
                            <w:bottom w:val="none" w:sz="0" w:space="0" w:color="auto"/>
                            <w:right w:val="none" w:sz="0" w:space="0" w:color="auto"/>
                          </w:divBdr>
                          <w:divsChild>
                            <w:div w:id="375593669">
                              <w:marLeft w:val="0"/>
                              <w:marRight w:val="0"/>
                              <w:marTop w:val="0"/>
                              <w:marBottom w:val="0"/>
                              <w:divBdr>
                                <w:top w:val="none" w:sz="0" w:space="0" w:color="auto"/>
                                <w:left w:val="none" w:sz="0" w:space="0" w:color="auto"/>
                                <w:bottom w:val="none" w:sz="0" w:space="0" w:color="auto"/>
                                <w:right w:val="none" w:sz="0" w:space="0" w:color="auto"/>
                              </w:divBdr>
                              <w:divsChild>
                                <w:div w:id="535508236">
                                  <w:marLeft w:val="0"/>
                                  <w:marRight w:val="0"/>
                                  <w:marTop w:val="0"/>
                                  <w:marBottom w:val="0"/>
                                  <w:divBdr>
                                    <w:top w:val="none" w:sz="0" w:space="0" w:color="auto"/>
                                    <w:left w:val="none" w:sz="0" w:space="0" w:color="auto"/>
                                    <w:bottom w:val="none" w:sz="0" w:space="0" w:color="auto"/>
                                    <w:right w:val="none" w:sz="0" w:space="0" w:color="auto"/>
                                  </w:divBdr>
                                  <w:divsChild>
                                    <w:div w:id="163472709">
                                      <w:marLeft w:val="0"/>
                                      <w:marRight w:val="0"/>
                                      <w:marTop w:val="0"/>
                                      <w:marBottom w:val="0"/>
                                      <w:divBdr>
                                        <w:top w:val="none" w:sz="0" w:space="0" w:color="auto"/>
                                        <w:left w:val="none" w:sz="0" w:space="0" w:color="auto"/>
                                        <w:bottom w:val="none" w:sz="0" w:space="0" w:color="auto"/>
                                        <w:right w:val="none" w:sz="0" w:space="0" w:color="auto"/>
                                      </w:divBdr>
                                      <w:divsChild>
                                        <w:div w:id="1561407064">
                                          <w:marLeft w:val="0"/>
                                          <w:marRight w:val="0"/>
                                          <w:marTop w:val="0"/>
                                          <w:marBottom w:val="0"/>
                                          <w:divBdr>
                                            <w:top w:val="none" w:sz="0" w:space="0" w:color="auto"/>
                                            <w:left w:val="none" w:sz="0" w:space="0" w:color="auto"/>
                                            <w:bottom w:val="none" w:sz="0" w:space="0" w:color="auto"/>
                                            <w:right w:val="none" w:sz="0" w:space="0" w:color="auto"/>
                                          </w:divBdr>
                                          <w:divsChild>
                                            <w:div w:id="1295910778">
                                              <w:marLeft w:val="0"/>
                                              <w:marRight w:val="0"/>
                                              <w:marTop w:val="0"/>
                                              <w:marBottom w:val="0"/>
                                              <w:divBdr>
                                                <w:top w:val="none" w:sz="0" w:space="0" w:color="auto"/>
                                                <w:left w:val="none" w:sz="0" w:space="0" w:color="auto"/>
                                                <w:bottom w:val="none" w:sz="0" w:space="0" w:color="auto"/>
                                                <w:right w:val="none" w:sz="0" w:space="0" w:color="auto"/>
                                              </w:divBdr>
                                              <w:divsChild>
                                                <w:div w:id="2021614778">
                                                  <w:marLeft w:val="0"/>
                                                  <w:marRight w:val="0"/>
                                                  <w:marTop w:val="0"/>
                                                  <w:marBottom w:val="0"/>
                                                  <w:divBdr>
                                                    <w:top w:val="none" w:sz="0" w:space="0" w:color="auto"/>
                                                    <w:left w:val="none" w:sz="0" w:space="0" w:color="auto"/>
                                                    <w:bottom w:val="none" w:sz="0" w:space="0" w:color="auto"/>
                                                    <w:right w:val="none" w:sz="0" w:space="0" w:color="auto"/>
                                                  </w:divBdr>
                                                  <w:divsChild>
                                                    <w:div w:id="2028409500">
                                                      <w:marLeft w:val="0"/>
                                                      <w:marRight w:val="0"/>
                                                      <w:marTop w:val="0"/>
                                                      <w:marBottom w:val="0"/>
                                                      <w:divBdr>
                                                        <w:top w:val="none" w:sz="0" w:space="0" w:color="auto"/>
                                                        <w:left w:val="none" w:sz="0" w:space="0" w:color="auto"/>
                                                        <w:bottom w:val="none" w:sz="0" w:space="0" w:color="auto"/>
                                                        <w:right w:val="none" w:sz="0" w:space="0" w:color="auto"/>
                                                      </w:divBdr>
                                                      <w:divsChild>
                                                        <w:div w:id="755788043">
                                                          <w:marLeft w:val="0"/>
                                                          <w:marRight w:val="0"/>
                                                          <w:marTop w:val="0"/>
                                                          <w:marBottom w:val="0"/>
                                                          <w:divBdr>
                                                            <w:top w:val="none" w:sz="0" w:space="0" w:color="auto"/>
                                                            <w:left w:val="none" w:sz="0" w:space="0" w:color="auto"/>
                                                            <w:bottom w:val="none" w:sz="0" w:space="0" w:color="auto"/>
                                                            <w:right w:val="none" w:sz="0" w:space="0" w:color="auto"/>
                                                          </w:divBdr>
                                                          <w:divsChild>
                                                            <w:div w:id="172991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onsort-statement.org/extensions"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mailto:researchgovernance@contacts.bham.ac.uk"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consort-statement.org/extensions"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www.consort-statement.org/" TargetMode="External"/><Relationship Id="rId20" Type="http://schemas.openxmlformats.org/officeDocument/2006/relationships/hyperlink" Target="mailto:crct@contacts.bham.ac.uk"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32"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package" Target="embeddings/Microsoft_Visio_Drawing.vsdx"/><Relationship Id="rId23" Type="http://schemas.openxmlformats.org/officeDocument/2006/relationships/hyperlink" Target="https://www.birmingham.ac.uk/research/activity/mds/mds-rkto/governance/Glossary-of-Terms.aspx" TargetMode="Externa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www.birmingham.ac.uk/research/activity/mds/mds-rkto/governance/index.asp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emf"/><Relationship Id="rId22" Type="http://schemas.openxmlformats.org/officeDocument/2006/relationships/hyperlink" Target="https://www.hra.nhs.uk/documents/322/hra-guidance-end-study-pis-v4-1_20-august-2015.pdf" TargetMode="External"/><Relationship Id="rId27" Type="http://schemas.openxmlformats.org/officeDocument/2006/relationships/footer" Target="footer5.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birmingham.ac.uk/research/activity/mds/mds-rkto/governance/index.aspx"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B0FFA-0FAD-4038-A26B-F16FC4B18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8</Pages>
  <Words>3563</Words>
  <Characters>20315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UoB SOP template v8.0 vd 11-Oct-2019</vt:lpstr>
    </vt:vector>
  </TitlesOfParts>
  <Company>MDS</Company>
  <LinksUpToDate>false</LinksUpToDate>
  <CharactersWithSpaces>23831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UoB SOP template v8.0 vd 11-Oct-2019</dc:title>
  <dc:creator>Emma Keen (MDS - Clinical Research Compliance Team)</dc:creator>
  <cp:lastModifiedBy>Kari Bottolfsen (Life and Environmental Sciences)</cp:lastModifiedBy>
  <cp:revision>16</cp:revision>
  <cp:lastPrinted>2019-05-31T11:18:00Z</cp:lastPrinted>
  <dcterms:created xsi:type="dcterms:W3CDTF">2020-07-31T10:32:00Z</dcterms:created>
  <dcterms:modified xsi:type="dcterms:W3CDTF">2022-12-16T10:14:00Z</dcterms:modified>
</cp:coreProperties>
</file>