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529A" w14:textId="5418FB3D" w:rsidR="00C0396F" w:rsidRPr="00C0396F" w:rsidRDefault="00162C6E" w:rsidP="00C0396F">
      <w:pPr>
        <w:pStyle w:val="Title"/>
      </w:pPr>
      <w:r>
        <w:t>Standard Operating P</w:t>
      </w:r>
      <w:r w:rsidR="004B5BD7">
        <w:t>r</w:t>
      </w:r>
      <w:r w:rsidR="008235B1" w:rsidRPr="00C0396F">
        <w:t>ocedure:</w:t>
      </w:r>
    </w:p>
    <w:p w14:paraId="72AE9F48" w14:textId="77777777" w:rsidR="00F60637" w:rsidRDefault="00F60637" w:rsidP="00F60637">
      <w:pPr>
        <w:pStyle w:val="Title"/>
      </w:pPr>
      <w:r>
        <w:t>Statistics</w:t>
      </w:r>
    </w:p>
    <w:p w14:paraId="302175FB" w14:textId="77777777" w:rsidR="00C0396F" w:rsidRDefault="00C0396F" w:rsidP="00C0396F">
      <w:pPr>
        <w:rPr>
          <w:rFonts w:eastAsiaTheme="majorEastAsia"/>
        </w:rPr>
      </w:pPr>
    </w:p>
    <w:p w14:paraId="0EB7FC86" w14:textId="77777777" w:rsidR="00512C56" w:rsidRDefault="00512C56" w:rsidP="00C0396F">
      <w:pPr>
        <w:rPr>
          <w:rFonts w:eastAsiaTheme="majorEastAsia"/>
        </w:rPr>
      </w:pPr>
    </w:p>
    <w:p w14:paraId="435F4818" w14:textId="6F9E0C7D" w:rsidR="005F1AD8" w:rsidRDefault="005F1AD8">
      <w:pPr>
        <w:pStyle w:val="Heading1"/>
      </w:pPr>
      <w:r w:rsidRPr="00B6322E">
        <w:t>Purpose</w:t>
      </w:r>
    </w:p>
    <w:p w14:paraId="395D8906" w14:textId="6E830717" w:rsidR="00F60637" w:rsidRPr="0060052C" w:rsidRDefault="00F60637" w:rsidP="00F60637">
      <w:r w:rsidRPr="00D01B84">
        <w:t xml:space="preserve">This </w:t>
      </w:r>
      <w:r w:rsidR="007A7CE4">
        <w:t>s</w:t>
      </w:r>
      <w:r w:rsidRPr="00D01B84">
        <w:t xml:space="preserve">tandard </w:t>
      </w:r>
      <w:r w:rsidR="007A7CE4">
        <w:t>o</w:t>
      </w:r>
      <w:r w:rsidRPr="00D01B84">
        <w:t xml:space="preserve">perating </w:t>
      </w:r>
      <w:r w:rsidR="007A7CE4">
        <w:t>p</w:t>
      </w:r>
      <w:r w:rsidRPr="00D01B84">
        <w:t xml:space="preserve">rocedure (SOP) describes the statistical procedures involved in clinical </w:t>
      </w:r>
      <w:r w:rsidR="00D573F5">
        <w:t>research</w:t>
      </w:r>
      <w:r w:rsidR="00D573F5" w:rsidRPr="00D01B84">
        <w:t xml:space="preserve"> </w:t>
      </w:r>
      <w:r w:rsidRPr="00D01B84">
        <w:t>conducted within the University of Birmingham (UoB).</w:t>
      </w:r>
    </w:p>
    <w:p w14:paraId="545E8FE2" w14:textId="1D51FCCA" w:rsidR="005F1AD8" w:rsidRDefault="005F1AD8">
      <w:pPr>
        <w:pStyle w:val="Heading1"/>
      </w:pPr>
      <w:r w:rsidRPr="00B63F21">
        <w:t>Scope</w:t>
      </w:r>
    </w:p>
    <w:p w14:paraId="24CBA68F" w14:textId="5058E30D" w:rsidR="002A2AA0" w:rsidRPr="0060052C" w:rsidRDefault="00D573F5" w:rsidP="00B7089E">
      <w:r w:rsidRPr="00E812CE">
        <w:t xml:space="preserve">This SOP </w:t>
      </w:r>
      <w:r w:rsidR="00C6542A">
        <w:t xml:space="preserve">applies </w:t>
      </w:r>
      <w:r w:rsidRPr="00E812CE">
        <w:t xml:space="preserve">to all clinical research where </w:t>
      </w:r>
      <w:r w:rsidR="00C6542A">
        <w:t xml:space="preserve">the </w:t>
      </w:r>
      <w:r w:rsidRPr="00E812CE">
        <w:t xml:space="preserve">UoB is </w:t>
      </w:r>
      <w:r w:rsidR="00C6542A">
        <w:t>s</w:t>
      </w:r>
      <w:r w:rsidRPr="00E812CE">
        <w:t xml:space="preserve">ponsor or takes on </w:t>
      </w:r>
      <w:r w:rsidR="00C6542A">
        <w:t>s</w:t>
      </w:r>
      <w:r w:rsidRPr="00E812CE">
        <w:t xml:space="preserve">ponsor responsibilities for </w:t>
      </w:r>
      <w:r>
        <w:t>the statistical</w:t>
      </w:r>
      <w:r w:rsidRPr="00E812CE">
        <w:t xml:space="preserve"> procedures. Where clinical research is (co-)sponsored by another institution, this procedure should be followed as far as possible, and in line with the contractual agreement between the UoB and the other institution.</w:t>
      </w:r>
      <w:r>
        <w:t xml:space="preserve"> </w:t>
      </w:r>
      <w:r w:rsidRPr="00E812CE">
        <w:t xml:space="preserve">This SOP also applies to clinical research approved by </w:t>
      </w:r>
      <w:r w:rsidR="00C6542A">
        <w:t xml:space="preserve">a </w:t>
      </w:r>
      <w:r w:rsidRPr="00E812CE">
        <w:t xml:space="preserve">UoB Research Ethics Committee (REC) that </w:t>
      </w:r>
      <w:r w:rsidR="00C6542A">
        <w:t>is</w:t>
      </w:r>
      <w:r w:rsidRPr="00E812CE">
        <w:t xml:space="preserve"> required to follow</w:t>
      </w:r>
      <w:r w:rsidR="006B75A6">
        <w:t xml:space="preserve"> the</w:t>
      </w:r>
      <w:r w:rsidRPr="00E812CE">
        <w:t xml:space="preserve"> </w:t>
      </w:r>
      <w:bookmarkStart w:id="0" w:name="_Hlk97623019"/>
      <w:r w:rsidR="00C6542A" w:rsidRPr="00F0515A">
        <w:rPr>
          <w:rStyle w:val="ReferencestootherSOPsQCDsChar"/>
        </w:rPr>
        <w:t xml:space="preserve">UoB Principles of Good Clinical Practice (GCP) for Clinical </w:t>
      </w:r>
      <w:r w:rsidR="00C6542A" w:rsidRPr="006B75A6">
        <w:rPr>
          <w:rStyle w:val="ReferencestootherSOPsQCDsChar"/>
        </w:rPr>
        <w:t>Research</w:t>
      </w:r>
      <w:bookmarkEnd w:id="0"/>
      <w:r w:rsidR="00C6542A" w:rsidRPr="006B75A6">
        <w:rPr>
          <w:rStyle w:val="ReferencestootherSOPsQCDsChar"/>
        </w:rPr>
        <w:t xml:space="preserve"> </w:t>
      </w:r>
      <w:r w:rsidR="006B75A6" w:rsidRPr="006B75A6">
        <w:rPr>
          <w:rStyle w:val="ReferencestootherSOPsQCDsChar"/>
        </w:rPr>
        <w:t>(U</w:t>
      </w:r>
      <w:r w:rsidR="006B75A6" w:rsidRPr="00F0515A">
        <w:rPr>
          <w:rStyle w:val="ReferencestootherSOPsQCDsChar"/>
        </w:rPr>
        <w:t>oB-GCP-POL-001</w:t>
      </w:r>
      <w:r w:rsidR="006B75A6">
        <w:rPr>
          <w:rStyle w:val="ReferencestootherSOPsQCDsChar"/>
        </w:rPr>
        <w:t>)</w:t>
      </w:r>
      <w:r w:rsidRPr="00E812CE">
        <w:t>. This SOP may be used as a guidance document in all other cases.</w:t>
      </w:r>
    </w:p>
    <w:p w14:paraId="29DCA8F3" w14:textId="468C96C1" w:rsidR="005F1AD8" w:rsidRPr="00C34A3B" w:rsidRDefault="005F1AD8" w:rsidP="002A2AA0">
      <w:pPr>
        <w:pStyle w:val="Heading1"/>
      </w:pPr>
      <w:r w:rsidRPr="00B63F21">
        <w:t>Implementation plan</w:t>
      </w:r>
    </w:p>
    <w:p w14:paraId="60B08725" w14:textId="5C0FA7A2" w:rsidR="00C6542A" w:rsidRDefault="00C6542A" w:rsidP="00C6542A">
      <w:r>
        <w:t xml:space="preserve">This SOP will be implemented directly after its effective date for all </w:t>
      </w:r>
      <w:r w:rsidR="006B75A6">
        <w:t>clinical trial</w:t>
      </w:r>
      <w:r w:rsidR="00340BDB">
        <w:t>s</w:t>
      </w:r>
      <w:r>
        <w:t xml:space="preserve"> and any clinical </w:t>
      </w:r>
      <w:r w:rsidR="006B75A6">
        <w:t>studies</w:t>
      </w:r>
      <w:r>
        <w:t xml:space="preserve"> that </w:t>
      </w:r>
      <w:r w:rsidR="00486724">
        <w:t>are</w:t>
      </w:r>
      <w:r>
        <w:t xml:space="preserve"> in set up. For existing clinical research that is already set up and in the recruitment phase (or further) at the time of implementation, this SOP will be implemented within three months of the effective date.</w:t>
      </w:r>
    </w:p>
    <w:p w14:paraId="653DE748" w14:textId="22B3986A" w:rsidR="005F1AD8" w:rsidRDefault="005F1AD8">
      <w:pPr>
        <w:pStyle w:val="Heading1"/>
      </w:pPr>
      <w:r>
        <w:t>Stakeholders</w:t>
      </w:r>
    </w:p>
    <w:p w14:paraId="12DEAC12" w14:textId="70492010" w:rsidR="00F60637" w:rsidRDefault="00F60637" w:rsidP="00F60637">
      <w:r w:rsidRPr="00D01B84">
        <w:t xml:space="preserve">Note that where the UoB takes on the </w:t>
      </w:r>
      <w:r w:rsidR="00172C27">
        <w:t>s</w:t>
      </w:r>
      <w:r w:rsidRPr="00D01B84">
        <w:t xml:space="preserve">ponsor responsibility for </w:t>
      </w:r>
      <w:r w:rsidR="006B75A6">
        <w:t>s</w:t>
      </w:r>
      <w:r w:rsidRPr="00D01B84">
        <w:t xml:space="preserve">tatistics, the UoB will delegate the majority of these duties to the </w:t>
      </w:r>
      <w:r w:rsidR="00172C27">
        <w:t>c</w:t>
      </w:r>
      <w:r w:rsidRPr="00D01B84">
        <w:t xml:space="preserve">hief </w:t>
      </w:r>
      <w:r w:rsidR="00172C27">
        <w:t>i</w:t>
      </w:r>
      <w:r w:rsidRPr="00D01B84">
        <w:t xml:space="preserve">nvestigator (CI) and/or to a </w:t>
      </w:r>
      <w:r w:rsidR="00172C27">
        <w:t>c</w:t>
      </w:r>
      <w:r w:rsidRPr="00D01B84">
        <w:t xml:space="preserve">linical </w:t>
      </w:r>
      <w:r w:rsidR="00172C27">
        <w:t>t</w:t>
      </w:r>
      <w:r w:rsidRPr="00D01B84">
        <w:t xml:space="preserve">rials </w:t>
      </w:r>
      <w:r w:rsidR="00172C27">
        <w:t>u</w:t>
      </w:r>
      <w:r w:rsidRPr="00D01B84">
        <w:t xml:space="preserve">nit (CTU), who may delegate these duties further to their </w:t>
      </w:r>
      <w:r w:rsidR="00F733CE">
        <w:t>research</w:t>
      </w:r>
      <w:r w:rsidRPr="00D01B84">
        <w:t xml:space="preserve"> team(s). All delegation of duties will be documented</w:t>
      </w:r>
      <w:r w:rsidR="006B75A6">
        <w:t xml:space="preserve"> e.g.</w:t>
      </w:r>
      <w:r w:rsidRPr="00D01B84">
        <w:t xml:space="preserve"> using either the CI declaration and/or the </w:t>
      </w:r>
      <w:r w:rsidRPr="006B75A6">
        <w:rPr>
          <w:rStyle w:val="ReferencestootherSOPsQCDsChar"/>
        </w:rPr>
        <w:t xml:space="preserve">Clinical Trials Task Delegation Log </w:t>
      </w:r>
      <w:r w:rsidR="006B75A6" w:rsidRPr="006B75A6">
        <w:rPr>
          <w:rStyle w:val="ReferencestootherSOPsQCDsChar"/>
        </w:rPr>
        <w:t>(</w:t>
      </w:r>
      <w:bookmarkStart w:id="1" w:name="_Hlk121754052"/>
      <w:r w:rsidRPr="006B75A6">
        <w:rPr>
          <w:rStyle w:val="ReferencestootherSOPsQCDsChar"/>
        </w:rPr>
        <w:t>UoB</w:t>
      </w:r>
      <w:r w:rsidRPr="00D01B84">
        <w:rPr>
          <w:rStyle w:val="ReferencestootherSOPsQCDsChar"/>
        </w:rPr>
        <w:t>-</w:t>
      </w:r>
      <w:r w:rsidR="00140217">
        <w:rPr>
          <w:rStyle w:val="ReferencestootherSOPsQCDsChar"/>
        </w:rPr>
        <w:t>SPO</w:t>
      </w:r>
      <w:r w:rsidRPr="00D01B84">
        <w:rPr>
          <w:rStyle w:val="ReferencestootherSOPsQCDsChar"/>
        </w:rPr>
        <w:t>-QCD-00</w:t>
      </w:r>
      <w:r w:rsidR="00140217">
        <w:rPr>
          <w:rStyle w:val="ReferencestootherSOPsQCDsChar"/>
        </w:rPr>
        <w:t>1</w:t>
      </w:r>
      <w:bookmarkEnd w:id="1"/>
      <w:r w:rsidR="006B75A6">
        <w:rPr>
          <w:rStyle w:val="ReferencestootherSOPsQCDsChar"/>
        </w:rPr>
        <w:t>)</w:t>
      </w:r>
      <w:r w:rsidRPr="00D01B84">
        <w:t>.</w:t>
      </w:r>
    </w:p>
    <w:p w14:paraId="037BEC22" w14:textId="3E2AF141" w:rsidR="00F60637" w:rsidRDefault="00F60637" w:rsidP="00F60637">
      <w:pPr>
        <w:pStyle w:val="bullet1"/>
        <w:numPr>
          <w:ilvl w:val="0"/>
          <w:numId w:val="3"/>
        </w:numPr>
        <w:ind w:left="340" w:hanging="340"/>
      </w:pPr>
      <w:r>
        <w:t xml:space="preserve">CI: The CI may delegate activities to members of their </w:t>
      </w:r>
      <w:r w:rsidR="00D573F5">
        <w:t xml:space="preserve">research </w:t>
      </w:r>
      <w:r>
        <w:t>team, although evidence of CI involvement and approval is still expected and may not be delegated where ‘no delegation allowed’ is indicated. This SOP will state where delegation is possible.</w:t>
      </w:r>
      <w:r w:rsidR="00D573F5" w:rsidRPr="00D573F5">
        <w:t xml:space="preserve"> </w:t>
      </w:r>
      <w:r w:rsidR="00D573F5">
        <w:t xml:space="preserve">For clinical research approved by </w:t>
      </w:r>
      <w:r w:rsidR="007C5F8F">
        <w:t xml:space="preserve">a </w:t>
      </w:r>
      <w:r w:rsidR="00D573F5">
        <w:t xml:space="preserve">UoB REC, the role of CI may be </w:t>
      </w:r>
      <w:r w:rsidR="007C5F8F">
        <w:t xml:space="preserve">referred to as </w:t>
      </w:r>
      <w:r w:rsidR="00D573F5">
        <w:t xml:space="preserve">the </w:t>
      </w:r>
      <w:r w:rsidR="007C5F8F">
        <w:t>p</w:t>
      </w:r>
      <w:r w:rsidR="00D573F5">
        <w:t xml:space="preserve">rincipal </w:t>
      </w:r>
      <w:r w:rsidR="007C5F8F">
        <w:t>i</w:t>
      </w:r>
      <w:r w:rsidR="00D573F5">
        <w:t>nvestigator</w:t>
      </w:r>
      <w:r w:rsidR="007C5F8F">
        <w:t xml:space="preserve"> (PI)</w:t>
      </w:r>
      <w:r w:rsidR="00D573F5">
        <w:t>, or the supervisor for the postgraduate research student.</w:t>
      </w:r>
    </w:p>
    <w:p w14:paraId="4B777338" w14:textId="7A24D4A2" w:rsidR="00486B88" w:rsidRDefault="00D573F5" w:rsidP="00294AD1">
      <w:pPr>
        <w:pStyle w:val="bullet1"/>
      </w:pPr>
      <w:r>
        <w:t>S</w:t>
      </w:r>
      <w:r w:rsidR="00F60637">
        <w:t xml:space="preserve">tatistician: The statistician must possess the relevant </w:t>
      </w:r>
      <w:r w:rsidR="00F60637" w:rsidRPr="00294AD1">
        <w:t>statistical</w:t>
      </w:r>
      <w:r w:rsidR="00F60637">
        <w:t xml:space="preserve"> knowledge and experience. This may be the CI (or delegate) where they have sufficient knowledge and experience to advise on and/or perform the required statistical elements of the </w:t>
      </w:r>
      <w:r>
        <w:t>clinical research</w:t>
      </w:r>
      <w:r w:rsidR="00F60637">
        <w:t>.</w:t>
      </w:r>
    </w:p>
    <w:p w14:paraId="66B6110D" w14:textId="5FDA0ED2" w:rsidR="006616C6" w:rsidRDefault="006616C6" w:rsidP="00F66FC5">
      <w:pPr>
        <w:sectPr w:rsidR="006616C6" w:rsidSect="00512C56">
          <w:headerReference w:type="even" r:id="rId8"/>
          <w:headerReference w:type="default" r:id="rId9"/>
          <w:footerReference w:type="even" r:id="rId10"/>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697285DC" w14:textId="6C61494E" w:rsidR="00294AD1" w:rsidRDefault="00294AD1" w:rsidP="00294AD1">
      <w:pPr>
        <w:pStyle w:val="bullet1"/>
        <w:numPr>
          <w:ilvl w:val="0"/>
          <w:numId w:val="3"/>
        </w:numPr>
        <w:ind w:left="340" w:hanging="340"/>
      </w:pPr>
      <w:bookmarkStart w:id="2" w:name="_Toc320536979"/>
      <w:r>
        <w:lastRenderedPageBreak/>
        <w:t xml:space="preserve">Statistical advisor: </w:t>
      </w:r>
      <w:r w:rsidR="006D14D2">
        <w:t xml:space="preserve">Where a </w:t>
      </w:r>
      <w:r>
        <w:t xml:space="preserve">statistical advisor </w:t>
      </w:r>
      <w:r w:rsidR="006D14D2">
        <w:t xml:space="preserve">is utilised, they </w:t>
      </w:r>
      <w:r>
        <w:t>may contribute to some, but not all, aspects of the clinical research design, conduct, analysis and reporting. The statistical advisor may take on the responsibility of the ‘statistician’ for specific statistical aspects of the clinical research that they will perform and will adhere to the relevant sections of this SOP.</w:t>
      </w:r>
    </w:p>
    <w:p w14:paraId="71B902C6" w14:textId="0227A0C3" w:rsidR="005F0420" w:rsidRDefault="005F0420" w:rsidP="0060052C">
      <w:pPr>
        <w:pStyle w:val="Heading1"/>
      </w:pPr>
      <w:r>
        <w:t>Background</w:t>
      </w:r>
      <w:r w:rsidR="008D54DF">
        <w:t xml:space="preserve"> and </w:t>
      </w:r>
      <w:r w:rsidR="00140217">
        <w:t>rationale</w:t>
      </w:r>
    </w:p>
    <w:p w14:paraId="7E64142B" w14:textId="327CFB38" w:rsidR="00B7089E" w:rsidRPr="00E812CE" w:rsidRDefault="00B7089E" w:rsidP="00B7089E">
      <w:r w:rsidRPr="00E812CE">
        <w:t>For the purposes of this SOP</w:t>
      </w:r>
      <w:r>
        <w:t xml:space="preserve"> the terms ‘clinical research’ or ‘project’</w:t>
      </w:r>
      <w:r w:rsidRPr="00E812CE">
        <w:t xml:space="preserve"> will cover </w:t>
      </w:r>
      <w:r w:rsidR="0040419E">
        <w:t>c</w:t>
      </w:r>
      <w:r w:rsidRPr="00E812CE">
        <w:t xml:space="preserve">linical </w:t>
      </w:r>
      <w:r w:rsidR="0040419E">
        <w:t>t</w:t>
      </w:r>
      <w:r w:rsidRPr="00E812CE">
        <w:t xml:space="preserve">rials of </w:t>
      </w:r>
      <w:r w:rsidR="0040419E">
        <w:t>i</w:t>
      </w:r>
      <w:r w:rsidRPr="00E812CE">
        <w:t xml:space="preserve">nvestigational </w:t>
      </w:r>
      <w:r w:rsidR="0040419E">
        <w:t>m</w:t>
      </w:r>
      <w:r w:rsidRPr="00E812CE">
        <w:t xml:space="preserve">edicinal </w:t>
      </w:r>
      <w:r w:rsidR="0040419E">
        <w:t>p</w:t>
      </w:r>
      <w:r w:rsidRPr="00E812CE">
        <w:t xml:space="preserve">roducts (CTIMPs), other interventional trials (e.g. surgical trials, device trials and non-CTIMP trials, and any other projects deemed to be ‘interventional’ by the </w:t>
      </w:r>
      <w:r w:rsidR="0040419E">
        <w:t>s</w:t>
      </w:r>
      <w:r w:rsidRPr="00E812CE">
        <w:t>ponsor), clinical studies.</w:t>
      </w:r>
    </w:p>
    <w:p w14:paraId="61AC6B13" w14:textId="28BA3FCB" w:rsidR="001626DC" w:rsidRDefault="001626DC" w:rsidP="001626DC">
      <w:r>
        <w:t xml:space="preserve">The purpose of this document is to describe the statistical procedures involved in clinical </w:t>
      </w:r>
      <w:r w:rsidR="00D573F5">
        <w:t xml:space="preserve">research </w:t>
      </w:r>
      <w:r>
        <w:t xml:space="preserve">conducted within the UoB. Statistics is a fundamental component of clinical </w:t>
      </w:r>
      <w:r w:rsidR="00D573F5">
        <w:t>research</w:t>
      </w:r>
      <w:r>
        <w:t xml:space="preserve">. The design, conduct, analysis of the resultant data and reporting must be scientifically sound in order to ensure that the results are reliable, minimise bias, and address the research question. </w:t>
      </w:r>
    </w:p>
    <w:p w14:paraId="1920043A" w14:textId="045F263D" w:rsidR="001626DC" w:rsidRDefault="001626DC" w:rsidP="00F33A4D">
      <w:pPr>
        <w:rPr>
          <w:bCs/>
        </w:rPr>
        <w:sectPr w:rsidR="001626DC" w:rsidSect="003A24E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567" w:footer="397" w:gutter="0"/>
          <w:pgBorders>
            <w:top w:val="single" w:sz="12" w:space="3" w:color="943634"/>
            <w:bottom w:val="single" w:sz="12" w:space="3" w:color="943634"/>
          </w:pgBorders>
          <w:cols w:space="708"/>
          <w:docGrid w:linePitch="360"/>
        </w:sectPr>
      </w:pPr>
      <w:r>
        <w:t>The statistician</w:t>
      </w:r>
      <w:r w:rsidR="00C61E6A">
        <w:t xml:space="preserve"> </w:t>
      </w:r>
      <w:r>
        <w:t>take</w:t>
      </w:r>
      <w:r w:rsidR="00B52CC0">
        <w:t>s</w:t>
      </w:r>
      <w:r>
        <w:t xml:space="preserve"> responsibility for the statistical methods, which may include (but not limited to): the design of the </w:t>
      </w:r>
      <w:r w:rsidR="00B7089E">
        <w:t>clinical research</w:t>
      </w:r>
      <w:r>
        <w:t xml:space="preserve">, protocol development, </w:t>
      </w:r>
      <w:r w:rsidR="00554798">
        <w:t>c</w:t>
      </w:r>
      <w:r>
        <w:t xml:space="preserve">ase </w:t>
      </w:r>
      <w:r w:rsidR="00554798">
        <w:t>r</w:t>
      </w:r>
      <w:r>
        <w:t xml:space="preserve">eport </w:t>
      </w:r>
      <w:r w:rsidR="00554798">
        <w:t>f</w:t>
      </w:r>
      <w:r>
        <w:t xml:space="preserve">orm (CRF) development, database design, input into the data management process, development of the </w:t>
      </w:r>
      <w:r w:rsidR="00554798">
        <w:t>s</w:t>
      </w:r>
      <w:r>
        <w:t xml:space="preserve">tatistical </w:t>
      </w:r>
      <w:r w:rsidR="00554798">
        <w:t>a</w:t>
      </w:r>
      <w:r>
        <w:t xml:space="preserve">nalysis </w:t>
      </w:r>
      <w:r w:rsidR="00554798">
        <w:t>p</w:t>
      </w:r>
      <w:r>
        <w:t xml:space="preserve">lan (SAP), </w:t>
      </w:r>
      <w:r w:rsidR="00B7089E">
        <w:t>research project</w:t>
      </w:r>
      <w:r>
        <w:t xml:space="preserve"> conduct, performance of interim analyses and the final analyses, interpretation of the results and contribution to the publication(s).</w:t>
      </w:r>
      <w:r w:rsidR="006B75A6" w:rsidDel="006B75A6">
        <w:t xml:space="preserve"> </w:t>
      </w:r>
    </w:p>
    <w:p w14:paraId="7C4EE189" w14:textId="38BDCB9C" w:rsidR="009A221B" w:rsidRDefault="00B14826" w:rsidP="0060052C">
      <w:pPr>
        <w:pStyle w:val="Heading1"/>
      </w:pPr>
      <w:r>
        <w:lastRenderedPageBreak/>
        <w:t>Process map</w:t>
      </w:r>
    </w:p>
    <w:p w14:paraId="643900A1" w14:textId="03E35F52" w:rsidR="007E65FD" w:rsidRPr="007E65FD" w:rsidRDefault="007E65FD" w:rsidP="00C56DE7">
      <w:r>
        <w:object w:dxaOrig="10350" w:dyaOrig="13171" w14:anchorId="31FE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to visually display the procedures as stated in the Procedure section below." style="width:453.75pt;height:8in" o:ole="">
            <v:imagedata r:id="rId20" o:title=""/>
          </v:shape>
          <o:OLEObject Type="Embed" ProgID="Visio.Drawing.15" ShapeID="_x0000_i1025" DrawAspect="Content" ObjectID="_1732527278" r:id="rId21"/>
        </w:object>
      </w:r>
    </w:p>
    <w:p w14:paraId="231191D4" w14:textId="3919B618" w:rsidR="00782F30" w:rsidRDefault="00782F30" w:rsidP="00782F30">
      <w:r w:rsidRPr="00D01B84">
        <w:t xml:space="preserve">* A statistical advisor may take on the responsibility of the ‘statistician’ for specific statistical aspects of the </w:t>
      </w:r>
      <w:r w:rsidR="00B7089E">
        <w:t>clinical research</w:t>
      </w:r>
      <w:r w:rsidR="00B7089E" w:rsidRPr="00D01B84">
        <w:t xml:space="preserve"> </w:t>
      </w:r>
      <w:r w:rsidRPr="00D01B84">
        <w:t>that they will perform as documented in a memorandum of understanding or collaboration agreement.</w:t>
      </w:r>
    </w:p>
    <w:p w14:paraId="74142E7B" w14:textId="77777777" w:rsidR="00782F30" w:rsidRDefault="00782F30" w:rsidP="00782F30">
      <w:pPr>
        <w:pStyle w:val="Heading1"/>
        <w:sectPr w:rsidR="00782F30"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454814ED" w14:textId="3BB2A9E2" w:rsidR="00E22773" w:rsidRPr="00435EAE" w:rsidRDefault="00C3647F">
      <w:pPr>
        <w:pStyle w:val="Heading1"/>
      </w:pPr>
      <w:r w:rsidRPr="00435EAE">
        <w:lastRenderedPageBreak/>
        <w:t>Procedure</w:t>
      </w:r>
    </w:p>
    <w:p w14:paraId="7957A5D4" w14:textId="77777777" w:rsidR="00782F30" w:rsidRDefault="00782F30" w:rsidP="00782F30">
      <w:pPr>
        <w:pStyle w:val="Heading2"/>
      </w:pPr>
      <w:r>
        <w:t>Identify statistical support</w:t>
      </w:r>
    </w:p>
    <w:p w14:paraId="3281BF23" w14:textId="58EB665D" w:rsidR="00782F30" w:rsidRDefault="00782F30" w:rsidP="00782F30">
      <w:pPr>
        <w:pStyle w:val="Numberlist"/>
        <w:numPr>
          <w:ilvl w:val="0"/>
          <w:numId w:val="12"/>
        </w:numPr>
        <w:ind w:left="340" w:hanging="340"/>
      </w:pPr>
      <w:r>
        <w:t>The CI (or delegate) will seek a</w:t>
      </w:r>
      <w:r w:rsidRPr="00F51A82">
        <w:t xml:space="preserve">ppropriate advice on </w:t>
      </w:r>
      <w:r w:rsidR="00B7089E">
        <w:t>project</w:t>
      </w:r>
      <w:r w:rsidR="00B7089E" w:rsidRPr="00F51A82">
        <w:t xml:space="preserve"> </w:t>
      </w:r>
      <w:r w:rsidRPr="00F51A82">
        <w:t>design and statistical methodology at the initia</w:t>
      </w:r>
      <w:r>
        <w:t xml:space="preserve">l conceptualisation of </w:t>
      </w:r>
      <w:r w:rsidR="00AC2C7B">
        <w:t xml:space="preserve">the </w:t>
      </w:r>
      <w:r w:rsidR="00B7089E">
        <w:t xml:space="preserve">clinical research </w:t>
      </w:r>
      <w:r>
        <w:t>(e.g., at the grant application phase).</w:t>
      </w:r>
    </w:p>
    <w:p w14:paraId="368E64C7" w14:textId="079F60A9" w:rsidR="00782F30" w:rsidRPr="00D01B84" w:rsidRDefault="00782F30" w:rsidP="00133FF4">
      <w:pPr>
        <w:pStyle w:val="bullet2"/>
      </w:pPr>
      <w:r w:rsidRPr="00D01B84">
        <w:t>This may be the CI where they have sufficient knowledge and experience to take on the statistician’s role as detailed below under ‘statistician’.</w:t>
      </w:r>
      <w:r w:rsidR="007235B3" w:rsidRPr="007235B3">
        <w:t xml:space="preserve"> </w:t>
      </w:r>
      <w:r w:rsidR="007235B3">
        <w:t>In the small number of cases, where statistical review for determining the sample size is not deemed necessary, the CI (or delegate) will provide suitable justification for this in the protocol e.g. with reference to other published research using a similar sample size.</w:t>
      </w:r>
    </w:p>
    <w:p w14:paraId="0FBCEF93" w14:textId="0EA6E8EF" w:rsidR="00782F30" w:rsidRPr="00D01B84" w:rsidRDefault="00782F30" w:rsidP="00782F30">
      <w:pPr>
        <w:pStyle w:val="bullet2"/>
      </w:pPr>
      <w:r w:rsidRPr="00D01B84">
        <w:t>Where appropriate, the CI (or delegate) will include appropriate funding for statistical support in the grant application.</w:t>
      </w:r>
    </w:p>
    <w:p w14:paraId="5E3FA69A" w14:textId="22AC98EC" w:rsidR="00782F30" w:rsidRDefault="00782F30" w:rsidP="00782F30">
      <w:pPr>
        <w:pStyle w:val="bullet2"/>
      </w:pPr>
      <w:r w:rsidRPr="00D01B84">
        <w:t xml:space="preserve">The CI may choose to work with a statistical advisor to contribute to some, but not all, aspects of the </w:t>
      </w:r>
      <w:r w:rsidR="00B100F8">
        <w:t>project</w:t>
      </w:r>
      <w:r w:rsidR="00B100F8" w:rsidRPr="00D01B84">
        <w:t xml:space="preserve"> </w:t>
      </w:r>
      <w:r w:rsidRPr="00D01B84">
        <w:t xml:space="preserve">design, conduct, analysis and reporting. The statistical advisor may take on the responsibility of the ‘statistician’ for specific statistical aspects of the </w:t>
      </w:r>
      <w:r w:rsidR="00B100F8">
        <w:t>clinical research</w:t>
      </w:r>
      <w:r w:rsidR="00B100F8" w:rsidRPr="00D01B84">
        <w:t xml:space="preserve"> </w:t>
      </w:r>
      <w:r w:rsidRPr="00D01B84">
        <w:t>that they will perform as detailed below.</w:t>
      </w:r>
    </w:p>
    <w:p w14:paraId="4AE757BB" w14:textId="03F43361" w:rsidR="00782F30" w:rsidRDefault="00782F30" w:rsidP="00782F30">
      <w:pPr>
        <w:pStyle w:val="Numberlist"/>
        <w:numPr>
          <w:ilvl w:val="0"/>
          <w:numId w:val="12"/>
        </w:numPr>
        <w:ind w:left="340" w:hanging="340"/>
      </w:pPr>
      <w:r>
        <w:t xml:space="preserve">The CI (or delegate) will ensure that where the statistical advisor is not, or will not be, a member of the </w:t>
      </w:r>
      <w:r w:rsidR="00B100F8">
        <w:t xml:space="preserve">research </w:t>
      </w:r>
      <w:r>
        <w:t>team, their responsibilities are clearly detailed in an agreement</w:t>
      </w:r>
      <w:r w:rsidR="00140217">
        <w:t>.</w:t>
      </w:r>
    </w:p>
    <w:p w14:paraId="281D8F74" w14:textId="5DC05FFF" w:rsidR="00782F30" w:rsidRPr="00D01B84" w:rsidRDefault="00782F30" w:rsidP="00782F30">
      <w:pPr>
        <w:pStyle w:val="bullet2"/>
      </w:pPr>
      <w:r w:rsidRPr="00D01B84">
        <w:t xml:space="preserve">For internal staff, this will be set out in a </w:t>
      </w:r>
      <w:r w:rsidR="000015D9">
        <w:t xml:space="preserve">non-legally binding </w:t>
      </w:r>
      <w:r w:rsidRPr="00D01B84">
        <w:t>memorandum of understanding (e.g. CTU statistician advising an independent Investigator)</w:t>
      </w:r>
    </w:p>
    <w:p w14:paraId="11152BE9" w14:textId="1903999F" w:rsidR="00782F30" w:rsidRPr="00D01B84" w:rsidRDefault="00782F30" w:rsidP="00782F30">
      <w:pPr>
        <w:pStyle w:val="bullet2"/>
      </w:pPr>
      <w:r w:rsidRPr="00D01B84">
        <w:t>For staff working in different organisations, this will be set out in a</w:t>
      </w:r>
      <w:r w:rsidR="000015D9">
        <w:t xml:space="preserve"> legally binding</w:t>
      </w:r>
      <w:r w:rsidRPr="00D01B84">
        <w:t xml:space="preserve"> collaboration agreement (e.g. statistician from another organisation).</w:t>
      </w:r>
    </w:p>
    <w:p w14:paraId="74424A28" w14:textId="0F108434" w:rsidR="00782F30" w:rsidRDefault="00782F30" w:rsidP="00782F30">
      <w:pPr>
        <w:pStyle w:val="Numberlist"/>
        <w:numPr>
          <w:ilvl w:val="0"/>
          <w:numId w:val="12"/>
        </w:numPr>
        <w:ind w:left="340" w:hanging="340"/>
      </w:pPr>
      <w:r>
        <w:t xml:space="preserve">The CI (or delegate) will file evidence that the </w:t>
      </w:r>
      <w:r w:rsidRPr="00F51A82">
        <w:t>statistician</w:t>
      </w:r>
      <w:r>
        <w:t xml:space="preserve"> and/or statistical advisor</w:t>
      </w:r>
      <w:r w:rsidRPr="00F51A82">
        <w:t xml:space="preserve"> </w:t>
      </w:r>
      <w:r>
        <w:t xml:space="preserve">possesses relevant statistical knowledge and experience to fulfil their role in the </w:t>
      </w:r>
      <w:r w:rsidR="00074C4B">
        <w:t>project</w:t>
      </w:r>
      <w:r>
        <w:t xml:space="preserve">. See </w:t>
      </w:r>
      <w:r w:rsidR="00EE0132">
        <w:t xml:space="preserve">the </w:t>
      </w:r>
      <w:bookmarkStart w:id="3" w:name="_Hlk121754142"/>
      <w:r w:rsidRPr="00917469">
        <w:rPr>
          <w:rStyle w:val="ReferencestootherSOPsQCDsChar"/>
        </w:rPr>
        <w:t>Training</w:t>
      </w:r>
      <w:r w:rsidR="00EE0132">
        <w:rPr>
          <w:rStyle w:val="ReferencestootherSOPsQCDsChar"/>
        </w:rPr>
        <w:t xml:space="preserve"> SOP</w:t>
      </w:r>
      <w:r w:rsidR="00643C6B">
        <w:rPr>
          <w:rStyle w:val="ReferencestootherSOPsQCDsChar"/>
        </w:rPr>
        <w:t xml:space="preserve"> (</w:t>
      </w:r>
      <w:r w:rsidR="00643C6B" w:rsidRPr="00917469">
        <w:rPr>
          <w:rStyle w:val="ReferencestootherSOPsQCDsChar"/>
        </w:rPr>
        <w:t>UoB-</w:t>
      </w:r>
      <w:r w:rsidR="00643C6B">
        <w:rPr>
          <w:rStyle w:val="ReferencestootherSOPsQCDsChar"/>
        </w:rPr>
        <w:t>TRN</w:t>
      </w:r>
      <w:r w:rsidR="00643C6B" w:rsidRPr="00917469">
        <w:rPr>
          <w:rStyle w:val="ReferencestootherSOPsQCDsChar"/>
        </w:rPr>
        <w:t>-SOP-00</w:t>
      </w:r>
      <w:r w:rsidR="00643C6B">
        <w:rPr>
          <w:rStyle w:val="ReferencestootherSOPsQCDsChar"/>
        </w:rPr>
        <w:t>1)</w:t>
      </w:r>
      <w:r w:rsidRPr="00664DD4">
        <w:rPr>
          <w:rStyle w:val="ReferencestootherSOPsQCDsChar"/>
          <w:color w:val="auto"/>
        </w:rPr>
        <w:t>.</w:t>
      </w:r>
      <w:bookmarkEnd w:id="3"/>
    </w:p>
    <w:p w14:paraId="2E23C96F" w14:textId="4589403A" w:rsidR="00782F30" w:rsidRDefault="00782F30" w:rsidP="00782F30">
      <w:pPr>
        <w:pStyle w:val="bullet2"/>
      </w:pPr>
      <w:r>
        <w:t xml:space="preserve">It is expected that for </w:t>
      </w:r>
      <w:r w:rsidR="00074C4B">
        <w:t xml:space="preserve">clinical </w:t>
      </w:r>
      <w:r>
        <w:t xml:space="preserve">trials undertaken to support marketing authorisation applications, or large </w:t>
      </w:r>
      <w:r w:rsidR="00074C4B">
        <w:t xml:space="preserve">clinical </w:t>
      </w:r>
      <w:r>
        <w:t xml:space="preserve">trials where their publications may change prescribing practice or the standard care, an appropriate qualified and experienced statistician should take responsibility for the statistical aspects of the </w:t>
      </w:r>
      <w:r w:rsidR="00074C4B">
        <w:t xml:space="preserve">clinical </w:t>
      </w:r>
      <w:r>
        <w:t xml:space="preserve">trial. </w:t>
      </w:r>
    </w:p>
    <w:p w14:paraId="2DF36631" w14:textId="7CDA7B42" w:rsidR="00782F30" w:rsidRDefault="00782F30" w:rsidP="00782F30">
      <w:pPr>
        <w:pStyle w:val="Numberlist"/>
        <w:numPr>
          <w:ilvl w:val="0"/>
          <w:numId w:val="12"/>
        </w:numPr>
        <w:ind w:left="340" w:hanging="340"/>
      </w:pPr>
      <w:r>
        <w:t xml:space="preserve">The CI (or delegate) will document the level </w:t>
      </w:r>
      <w:r w:rsidRPr="00F51A82">
        <w:t xml:space="preserve">of ongoing input required from a </w:t>
      </w:r>
      <w:r>
        <w:t>s</w:t>
      </w:r>
      <w:r w:rsidRPr="00215A0F">
        <w:t>tatistician</w:t>
      </w:r>
      <w:r>
        <w:t xml:space="preserve">. For example, this may be documented in the protocol, a </w:t>
      </w:r>
      <w:r w:rsidR="00074C4B">
        <w:t>project-</w:t>
      </w:r>
      <w:r>
        <w:t>specific risk assessment, or local policies/processes.</w:t>
      </w:r>
    </w:p>
    <w:p w14:paraId="6DA4287C" w14:textId="64B78CA8" w:rsidR="00782F30" w:rsidRDefault="00B7089E" w:rsidP="00782F30">
      <w:pPr>
        <w:pStyle w:val="Heading2"/>
      </w:pPr>
      <w:r>
        <w:t xml:space="preserve">Project </w:t>
      </w:r>
      <w:r w:rsidR="00782F30">
        <w:t>design and protocol development</w:t>
      </w:r>
    </w:p>
    <w:p w14:paraId="4DB21036" w14:textId="68644762" w:rsidR="00782F30" w:rsidRDefault="000319CC" w:rsidP="000319CC">
      <w:pPr>
        <w:pStyle w:val="Numberlist"/>
        <w:numPr>
          <w:ilvl w:val="0"/>
          <w:numId w:val="12"/>
        </w:numPr>
        <w:ind w:left="340" w:hanging="340"/>
      </w:pPr>
      <w:r>
        <w:t>Where applicable</w:t>
      </w:r>
      <w:r w:rsidR="00BF7931">
        <w:t xml:space="preserve"> to the project</w:t>
      </w:r>
      <w:r>
        <w:t>, t</w:t>
      </w:r>
      <w:r w:rsidR="00782F30">
        <w:t xml:space="preserve">he CI (or delegate) will seek input from a statistician on the following aspects of the </w:t>
      </w:r>
      <w:r>
        <w:t>research</w:t>
      </w:r>
      <w:r w:rsidR="00782F30">
        <w:t>:</w:t>
      </w:r>
    </w:p>
    <w:p w14:paraId="4324C880" w14:textId="6B1BDDD6" w:rsidR="00782F30" w:rsidRDefault="00BF7931" w:rsidP="00782F30">
      <w:pPr>
        <w:pStyle w:val="bullet2"/>
      </w:pPr>
      <w:r>
        <w:t>r</w:t>
      </w:r>
      <w:r w:rsidR="00B902DA">
        <w:t xml:space="preserve">esearch </w:t>
      </w:r>
      <w:r w:rsidR="00782F30">
        <w:t xml:space="preserve">design (e.g. </w:t>
      </w:r>
      <w:r w:rsidR="000319CC">
        <w:t xml:space="preserve">observational, randomised </w:t>
      </w:r>
      <w:r w:rsidR="007C1A88">
        <w:t>clinical trial</w:t>
      </w:r>
      <w:r w:rsidR="00782F30">
        <w:t>, inclusion of a feasibility/pilot</w:t>
      </w:r>
      <w:r w:rsidR="000319CC">
        <w:t xml:space="preserve"> study</w:t>
      </w:r>
      <w:r w:rsidR="00782F30">
        <w:t>)</w:t>
      </w:r>
    </w:p>
    <w:p w14:paraId="752CAB04" w14:textId="6F9806DE" w:rsidR="00782F30" w:rsidRDefault="00E945A0" w:rsidP="00782F30">
      <w:pPr>
        <w:pStyle w:val="bullet2"/>
      </w:pPr>
      <w:r>
        <w:t>f</w:t>
      </w:r>
      <w:r w:rsidR="00782F30">
        <w:t xml:space="preserve">ormulating </w:t>
      </w:r>
      <w:r w:rsidR="00074C4B">
        <w:t xml:space="preserve">clinical research </w:t>
      </w:r>
      <w:r w:rsidR="00782F30">
        <w:t>objectives</w:t>
      </w:r>
    </w:p>
    <w:p w14:paraId="4DA9B475" w14:textId="364C5A46" w:rsidR="00782F30" w:rsidRDefault="00394668" w:rsidP="00782F30">
      <w:pPr>
        <w:pStyle w:val="bullet2"/>
      </w:pPr>
      <w:r>
        <w:t>s</w:t>
      </w:r>
      <w:r w:rsidR="00782F30">
        <w:t xml:space="preserve">uitability of outcome measures for meeting the objectives of the </w:t>
      </w:r>
      <w:r w:rsidR="00074C4B">
        <w:t>clinical research</w:t>
      </w:r>
    </w:p>
    <w:p w14:paraId="027CDE06" w14:textId="2541CC00" w:rsidR="00782F30" w:rsidRDefault="00394668" w:rsidP="00782F30">
      <w:pPr>
        <w:pStyle w:val="bullet2"/>
      </w:pPr>
      <w:r>
        <w:t>m</w:t>
      </w:r>
      <w:r w:rsidR="00782F30">
        <w:t>ethods to minimise bias</w:t>
      </w:r>
    </w:p>
    <w:p w14:paraId="0B5E46C7" w14:textId="683BD312" w:rsidR="00782F30" w:rsidRDefault="00394668" w:rsidP="00782F30">
      <w:pPr>
        <w:pStyle w:val="bullet2"/>
      </w:pPr>
      <w:r>
        <w:t>s</w:t>
      </w:r>
      <w:r w:rsidR="00782F30">
        <w:t>ample size</w:t>
      </w:r>
    </w:p>
    <w:p w14:paraId="3ACDF56C" w14:textId="5A1D46C9" w:rsidR="00782F30" w:rsidRDefault="00394668" w:rsidP="00782F30">
      <w:pPr>
        <w:pStyle w:val="bullet2"/>
      </w:pPr>
      <w:r>
        <w:t>r</w:t>
      </w:r>
      <w:r w:rsidR="00782F30">
        <w:t>andomisation</w:t>
      </w:r>
    </w:p>
    <w:p w14:paraId="0A4CF264" w14:textId="3031606A" w:rsidR="00782F30" w:rsidRDefault="00394668" w:rsidP="00782F30">
      <w:pPr>
        <w:pStyle w:val="bullet2"/>
      </w:pPr>
      <w:r>
        <w:t>s</w:t>
      </w:r>
      <w:r w:rsidR="00782F30">
        <w:t>tratification/minimisation variables</w:t>
      </w:r>
    </w:p>
    <w:p w14:paraId="44FB996E" w14:textId="714CA2B7" w:rsidR="00782F30" w:rsidRDefault="00394668" w:rsidP="00782F30">
      <w:pPr>
        <w:pStyle w:val="bullet2"/>
      </w:pPr>
      <w:r>
        <w:t>b</w:t>
      </w:r>
      <w:r w:rsidR="00782F30">
        <w:t>linding</w:t>
      </w:r>
    </w:p>
    <w:p w14:paraId="0339E629" w14:textId="240B2903" w:rsidR="00782F30" w:rsidRDefault="00394668" w:rsidP="00782F30">
      <w:pPr>
        <w:pStyle w:val="bullet2"/>
      </w:pPr>
      <w:r>
        <w:t>s</w:t>
      </w:r>
      <w:r w:rsidR="00782F30">
        <w:t>tatistical stopping guidelines (e.g. futility, superiority)</w:t>
      </w:r>
    </w:p>
    <w:p w14:paraId="5F3F5429" w14:textId="5B312C88" w:rsidR="00782F30" w:rsidRDefault="00394668" w:rsidP="00782F30">
      <w:pPr>
        <w:pStyle w:val="bullet2"/>
      </w:pPr>
      <w:r>
        <w:t>a</w:t>
      </w:r>
      <w:r w:rsidR="00782F30">
        <w:t>nalysis methods (final and interim)</w:t>
      </w:r>
    </w:p>
    <w:p w14:paraId="1B8C9B9D" w14:textId="74417EE1" w:rsidR="00782F30" w:rsidRDefault="00394668" w:rsidP="00782F30">
      <w:pPr>
        <w:pStyle w:val="bullet2"/>
      </w:pPr>
      <w:r>
        <w:t>t</w:t>
      </w:r>
      <w:r w:rsidR="00782F30">
        <w:t xml:space="preserve">he </w:t>
      </w:r>
      <w:r w:rsidR="00074C4B">
        <w:t xml:space="preserve">clinical research </w:t>
      </w:r>
      <w:r w:rsidR="00782F30">
        <w:t xml:space="preserve">reporting requirement for registries. See also </w:t>
      </w:r>
      <w:r w:rsidR="008E6700">
        <w:t xml:space="preserve">the </w:t>
      </w:r>
      <w:bookmarkStart w:id="4" w:name="_Hlk121754151"/>
      <w:r w:rsidR="00074C4B">
        <w:rPr>
          <w:rStyle w:val="ReferencestootherSOPsQCDsChar"/>
        </w:rPr>
        <w:t>Project Closure</w:t>
      </w:r>
      <w:r w:rsidR="00643C6B">
        <w:rPr>
          <w:rStyle w:val="ReferencestootherSOPsQCDsChar"/>
        </w:rPr>
        <w:t xml:space="preserve"> </w:t>
      </w:r>
      <w:r w:rsidR="008E6700">
        <w:rPr>
          <w:rStyle w:val="ReferencestootherSOPsQCDsChar"/>
        </w:rPr>
        <w:t xml:space="preserve">SOP </w:t>
      </w:r>
      <w:r w:rsidR="00643C6B">
        <w:rPr>
          <w:rStyle w:val="ReferencestootherSOPsQCDsChar"/>
        </w:rPr>
        <w:t>(</w:t>
      </w:r>
      <w:r w:rsidR="00643C6B" w:rsidRPr="00503AD9">
        <w:rPr>
          <w:rStyle w:val="ReferencestootherSOPsQCDsChar"/>
        </w:rPr>
        <w:t>UoB-</w:t>
      </w:r>
      <w:r w:rsidR="00643C6B">
        <w:rPr>
          <w:rStyle w:val="ReferencestootherSOPsQCDsChar"/>
        </w:rPr>
        <w:t>CLO-</w:t>
      </w:r>
      <w:r w:rsidR="00643C6B" w:rsidRPr="00503AD9">
        <w:rPr>
          <w:rStyle w:val="ReferencestootherSOPsQCDsChar"/>
        </w:rPr>
        <w:t>SOP-001</w:t>
      </w:r>
      <w:r w:rsidR="00643C6B">
        <w:rPr>
          <w:rStyle w:val="ReferencestootherSOPsQCDsChar"/>
        </w:rPr>
        <w:t>)</w:t>
      </w:r>
      <w:r w:rsidR="00782F30">
        <w:t xml:space="preserve">. </w:t>
      </w:r>
      <w:bookmarkEnd w:id="4"/>
    </w:p>
    <w:p w14:paraId="7C3AA408" w14:textId="0BA8F09D" w:rsidR="00782F30" w:rsidRDefault="00782F30" w:rsidP="00782F30">
      <w:pPr>
        <w:pStyle w:val="Numberlist"/>
        <w:numPr>
          <w:ilvl w:val="0"/>
          <w:numId w:val="12"/>
        </w:numPr>
        <w:ind w:left="340" w:hanging="340"/>
      </w:pPr>
      <w:r>
        <w:t xml:space="preserve">The CI (or delegate) will maintain documented evidence of the statistician’s involvement in </w:t>
      </w:r>
      <w:r w:rsidR="00DD2A9E">
        <w:t>project</w:t>
      </w:r>
      <w:r>
        <w:t xml:space="preserve">/protocol design as applicable (e.g. emails, meeting minutes, comments on proposals/protocols). </w:t>
      </w:r>
    </w:p>
    <w:p w14:paraId="70B3CA7A" w14:textId="77777777" w:rsidR="00782F30" w:rsidRPr="00D01B84" w:rsidRDefault="00782F30" w:rsidP="00782F30">
      <w:pPr>
        <w:pStyle w:val="bullet2"/>
      </w:pPr>
      <w:r>
        <w:lastRenderedPageBreak/>
        <w:t>It is recommended that a second check of the statistical section of the protocol is performed prior to finalisation, in particular to check the sample size calculation (if performed), and where appropriate this should be performed by a second statistician.</w:t>
      </w:r>
    </w:p>
    <w:p w14:paraId="09402B04" w14:textId="77777777" w:rsidR="00782F30" w:rsidRDefault="00782F30" w:rsidP="00782F30">
      <w:pPr>
        <w:pStyle w:val="Heading2"/>
      </w:pPr>
      <w:r>
        <w:t>SAP development</w:t>
      </w:r>
    </w:p>
    <w:p w14:paraId="7DBEF824" w14:textId="6B237885" w:rsidR="00782F30" w:rsidRDefault="00782F30" w:rsidP="00782F30">
      <w:pPr>
        <w:pStyle w:val="Numberlist"/>
        <w:numPr>
          <w:ilvl w:val="0"/>
          <w:numId w:val="12"/>
        </w:numPr>
        <w:ind w:left="340" w:hanging="340"/>
      </w:pPr>
      <w:r>
        <w:t xml:space="preserve">The trial statistician will document the pre-specified statistical methodology for the </w:t>
      </w:r>
      <w:r w:rsidR="005F5BF9">
        <w:t>project</w:t>
      </w:r>
      <w:r>
        <w:t xml:space="preserve">, either directly in the protocol and/or in a separate document, typically referred to as a SAP, which will be version-controlled. </w:t>
      </w:r>
      <w:r w:rsidR="005569A7">
        <w:t xml:space="preserve">See also </w:t>
      </w:r>
      <w:bookmarkStart w:id="5" w:name="_Hlk121754168"/>
      <w:r w:rsidR="005569A7" w:rsidRPr="00AC2C7B">
        <w:rPr>
          <w:rStyle w:val="ReferencestootherSOPsQCDsChar"/>
        </w:rPr>
        <w:t>Protocol Template (CTIMPs)</w:t>
      </w:r>
      <w:r w:rsidR="005569A7">
        <w:t xml:space="preserve"> </w:t>
      </w:r>
      <w:r w:rsidR="00161E95" w:rsidRPr="00F66FC5">
        <w:rPr>
          <w:rStyle w:val="ReferencestootherSOPsQCDsChar"/>
        </w:rPr>
        <w:t>(</w:t>
      </w:r>
      <w:r w:rsidR="00161E95" w:rsidRPr="00AC2C7B">
        <w:rPr>
          <w:rStyle w:val="ReferencestootherSOPsQCDsChar"/>
        </w:rPr>
        <w:t>UoB-ESD-QCD-001</w:t>
      </w:r>
      <w:r w:rsidR="00161E95">
        <w:rPr>
          <w:rStyle w:val="ReferencestootherSOPsQCDsChar"/>
        </w:rPr>
        <w:t xml:space="preserve">) </w:t>
      </w:r>
      <w:r w:rsidR="005569A7">
        <w:t xml:space="preserve">and </w:t>
      </w:r>
      <w:r w:rsidR="005569A7" w:rsidRPr="00AC2C7B">
        <w:rPr>
          <w:rStyle w:val="ReferencestootherSOPsQCDsChar"/>
        </w:rPr>
        <w:t>Protocol Template (non-CTIMPs and studies)</w:t>
      </w:r>
      <w:r w:rsidR="00161E95">
        <w:rPr>
          <w:rStyle w:val="ReferencestootherSOPsQCDsChar"/>
        </w:rPr>
        <w:t xml:space="preserve"> (</w:t>
      </w:r>
      <w:r w:rsidR="00161E95" w:rsidRPr="00AC2C7B">
        <w:rPr>
          <w:rStyle w:val="ReferencestootherSOPsQCDsChar"/>
        </w:rPr>
        <w:t>UoB-ESD-QCD-002</w:t>
      </w:r>
      <w:r w:rsidR="00161E95">
        <w:rPr>
          <w:rStyle w:val="ReferencestootherSOPsQCDsChar"/>
        </w:rPr>
        <w:t>)</w:t>
      </w:r>
      <w:r w:rsidR="005569A7">
        <w:t xml:space="preserve">. </w:t>
      </w:r>
      <w:bookmarkEnd w:id="5"/>
    </w:p>
    <w:p w14:paraId="2242660E" w14:textId="6F42EA3D" w:rsidR="00782F30" w:rsidRDefault="00782F30" w:rsidP="00782F30">
      <w:pPr>
        <w:pStyle w:val="Numberlist"/>
        <w:numPr>
          <w:ilvl w:val="0"/>
          <w:numId w:val="12"/>
        </w:numPr>
        <w:ind w:left="340" w:hanging="340"/>
      </w:pPr>
      <w:r>
        <w:t>The statistician will</w:t>
      </w:r>
      <w:r w:rsidR="00677A1B">
        <w:t>,</w:t>
      </w:r>
      <w:r>
        <w:t xml:space="preserve"> as a minimum, include the following details for the primary and secondary outcomes</w:t>
      </w:r>
      <w:r w:rsidR="00C95A44">
        <w:t xml:space="preserve"> (or equivalent terms)</w:t>
      </w:r>
      <w:r>
        <w:t xml:space="preserve"> in the SAP:</w:t>
      </w:r>
    </w:p>
    <w:p w14:paraId="6851ECFE" w14:textId="43DD941A" w:rsidR="00782F30" w:rsidRDefault="00B45606" w:rsidP="00782F30">
      <w:pPr>
        <w:pStyle w:val="bullet2"/>
      </w:pPr>
      <w:r>
        <w:t>h</w:t>
      </w:r>
      <w:r w:rsidR="00782F30">
        <w:t>ow the outcome will be measured</w:t>
      </w:r>
    </w:p>
    <w:p w14:paraId="29FDB82C" w14:textId="268787DB" w:rsidR="00782F30" w:rsidRDefault="00B45606" w:rsidP="00782F30">
      <w:pPr>
        <w:pStyle w:val="bullet2"/>
      </w:pPr>
      <w:r>
        <w:t>a</w:t>
      </w:r>
      <w:r w:rsidR="00782F30">
        <w:t>ppropriate statistical method(s) which will be used to analyse the data.</w:t>
      </w:r>
    </w:p>
    <w:p w14:paraId="058F390B" w14:textId="2FD8D79B" w:rsidR="00782F30" w:rsidRDefault="00782F30" w:rsidP="00782F30">
      <w:pPr>
        <w:pStyle w:val="Numberlist"/>
        <w:numPr>
          <w:ilvl w:val="0"/>
          <w:numId w:val="12"/>
        </w:numPr>
        <w:ind w:left="340" w:hanging="340"/>
      </w:pPr>
      <w:r>
        <w:t>Where appropriate, the statistician will include details on these, and other, analytical aspects in the SAP:</w:t>
      </w:r>
    </w:p>
    <w:p w14:paraId="628C124B" w14:textId="4965C185" w:rsidR="00782F30" w:rsidRDefault="00A75599" w:rsidP="00782F30">
      <w:pPr>
        <w:pStyle w:val="bullet2"/>
      </w:pPr>
      <w:r>
        <w:t>h</w:t>
      </w:r>
      <w:r w:rsidR="00782F30">
        <w:t>andling missing data</w:t>
      </w:r>
    </w:p>
    <w:p w14:paraId="32A6A309" w14:textId="5FBDF065" w:rsidR="00782F30" w:rsidRDefault="00A75599" w:rsidP="00782F30">
      <w:pPr>
        <w:pStyle w:val="bullet2"/>
      </w:pPr>
      <w:r>
        <w:t>h</w:t>
      </w:r>
      <w:r w:rsidR="00782F30">
        <w:t>andling protocol deviations</w:t>
      </w:r>
    </w:p>
    <w:p w14:paraId="3DC9574D" w14:textId="14BC2DCF" w:rsidR="00782F30" w:rsidRDefault="00A75599" w:rsidP="00782F30">
      <w:pPr>
        <w:pStyle w:val="bullet2"/>
      </w:pPr>
      <w:r>
        <w:t>a</w:t>
      </w:r>
      <w:r w:rsidR="00782F30">
        <w:t>djustments for multiple testing or multiple comparisons</w:t>
      </w:r>
    </w:p>
    <w:p w14:paraId="7027064D" w14:textId="12360CE2" w:rsidR="00782F30" w:rsidRDefault="00A75599" w:rsidP="00782F30">
      <w:pPr>
        <w:pStyle w:val="bullet2"/>
      </w:pPr>
      <w:r>
        <w:t>p</w:t>
      </w:r>
      <w:r w:rsidR="00782F30">
        <w:t>re-specified sub-groups</w:t>
      </w:r>
    </w:p>
    <w:p w14:paraId="2429B64E" w14:textId="3E98F3CC" w:rsidR="00782F30" w:rsidRDefault="00A75599" w:rsidP="00782F30">
      <w:pPr>
        <w:pStyle w:val="bullet2"/>
      </w:pPr>
      <w:r>
        <w:t>r</w:t>
      </w:r>
      <w:r w:rsidR="00782F30">
        <w:t>ules for calculation of derived variables</w:t>
      </w:r>
    </w:p>
    <w:p w14:paraId="6F438B66" w14:textId="0CCDADB5" w:rsidR="00782F30" w:rsidRDefault="00A75599" w:rsidP="00782F30">
      <w:pPr>
        <w:pStyle w:val="bullet2"/>
      </w:pPr>
      <w:r>
        <w:t>u</w:t>
      </w:r>
      <w:r w:rsidR="00782F30">
        <w:t>se of baseline data as co-variates in adjusted analysis</w:t>
      </w:r>
    </w:p>
    <w:p w14:paraId="0D47C9AF" w14:textId="498DAF00" w:rsidR="00782F30" w:rsidRDefault="00A75599" w:rsidP="00782F30">
      <w:pPr>
        <w:pStyle w:val="bullet2"/>
      </w:pPr>
      <w:r>
        <w:t>l</w:t>
      </w:r>
      <w:r w:rsidR="00782F30">
        <w:t>evels of confidence/ statistical significance</w:t>
      </w:r>
    </w:p>
    <w:p w14:paraId="1610FB58" w14:textId="5B7F8052" w:rsidR="00782F30" w:rsidRDefault="00A75599" w:rsidP="00782F30">
      <w:pPr>
        <w:pStyle w:val="bullet2"/>
      </w:pPr>
      <w:r>
        <w:t>s</w:t>
      </w:r>
      <w:r w:rsidR="00782F30">
        <w:t>ensitivity analyses</w:t>
      </w:r>
    </w:p>
    <w:p w14:paraId="24871E5C" w14:textId="456AA427" w:rsidR="00782F30" w:rsidRDefault="00A75599" w:rsidP="00782F30">
      <w:pPr>
        <w:pStyle w:val="bullet2"/>
      </w:pPr>
      <w:r>
        <w:t>t</w:t>
      </w:r>
      <w:r w:rsidR="00782F30">
        <w:t xml:space="preserve">reatment interactions, particularly for factorial </w:t>
      </w:r>
      <w:r w:rsidR="005F5BF9">
        <w:t xml:space="preserve">clinical </w:t>
      </w:r>
      <w:r w:rsidR="00782F30">
        <w:t>trials.</w:t>
      </w:r>
    </w:p>
    <w:p w14:paraId="6EA47C85" w14:textId="5F22D4BF" w:rsidR="00782F30" w:rsidRDefault="00782F30" w:rsidP="00782F30">
      <w:pPr>
        <w:pStyle w:val="Numberlist"/>
        <w:numPr>
          <w:ilvl w:val="0"/>
          <w:numId w:val="12"/>
        </w:numPr>
        <w:ind w:left="340" w:hanging="340"/>
      </w:pPr>
      <w:r>
        <w:t xml:space="preserve">The statistician will approve (each version of) the SAP, and </w:t>
      </w:r>
      <w:r w:rsidR="006263EF">
        <w:t xml:space="preserve">the </w:t>
      </w:r>
      <w:r>
        <w:t>CI (or delegate) will retain documentation of this approval (e.g., emails, meeting minutes). It is expected that the first version of the SAP is in place prior to:</w:t>
      </w:r>
    </w:p>
    <w:p w14:paraId="3749F6FF" w14:textId="6F91F6EC" w:rsidR="00782F30" w:rsidRDefault="00203F3F" w:rsidP="00782F30">
      <w:pPr>
        <w:pStyle w:val="bullet2"/>
      </w:pPr>
      <w:r>
        <w:t>d</w:t>
      </w:r>
      <w:r w:rsidR="00782F30">
        <w:t xml:space="preserve">ata collection for an open label </w:t>
      </w:r>
      <w:r w:rsidR="005F5BF9">
        <w:t>project</w:t>
      </w:r>
    </w:p>
    <w:p w14:paraId="2B957811" w14:textId="4DBAB57E" w:rsidR="00782F30" w:rsidRPr="00D01B84" w:rsidRDefault="00203F3F" w:rsidP="00782F30">
      <w:pPr>
        <w:pStyle w:val="bullet2"/>
      </w:pPr>
      <w:r>
        <w:t>u</w:t>
      </w:r>
      <w:r w:rsidR="00782F30">
        <w:t xml:space="preserve">nblinding the data for a blinded </w:t>
      </w:r>
      <w:r w:rsidR="005F5BF9">
        <w:t>project</w:t>
      </w:r>
      <w:r w:rsidR="00782F30">
        <w:t>.</w:t>
      </w:r>
    </w:p>
    <w:p w14:paraId="202BFF71" w14:textId="77777777" w:rsidR="00782F30" w:rsidRDefault="00782F30" w:rsidP="00782F30">
      <w:pPr>
        <w:pStyle w:val="Heading2"/>
      </w:pPr>
      <w:r>
        <w:t>CRF design and data management activities</w:t>
      </w:r>
    </w:p>
    <w:p w14:paraId="52F34EAB" w14:textId="578376E5" w:rsidR="00782F30" w:rsidRDefault="00782F30" w:rsidP="007F5173">
      <w:pPr>
        <w:pStyle w:val="Numberlist"/>
        <w:numPr>
          <w:ilvl w:val="0"/>
          <w:numId w:val="12"/>
        </w:numPr>
        <w:ind w:left="340" w:hanging="340"/>
      </w:pPr>
      <w:r>
        <w:t>Where appropriate (as per the risk assessment), the CI (or delegate) will document the statistician’s involvement in developing the CRF</w:t>
      </w:r>
      <w:r w:rsidR="000B68F4">
        <w:t>, where this is being used to collect data,</w:t>
      </w:r>
      <w:r>
        <w:t xml:space="preserve"> and the </w:t>
      </w:r>
      <w:r w:rsidR="005F5BF9">
        <w:t xml:space="preserve">clinical research </w:t>
      </w:r>
      <w:r>
        <w:t>database</w:t>
      </w:r>
      <w:r w:rsidR="00486B88">
        <w:t xml:space="preserve">. See </w:t>
      </w:r>
      <w:r>
        <w:t xml:space="preserve">the </w:t>
      </w:r>
      <w:bookmarkStart w:id="6" w:name="_Hlk121754199"/>
      <w:r w:rsidRPr="00503AD9">
        <w:rPr>
          <w:rStyle w:val="ReferencestootherSOPsQCDsChar"/>
        </w:rPr>
        <w:t xml:space="preserve">Case Report Form </w:t>
      </w:r>
      <w:r w:rsidR="005D6531">
        <w:rPr>
          <w:rStyle w:val="ReferencestootherSOPsQCDsChar"/>
        </w:rPr>
        <w:t>D</w:t>
      </w:r>
      <w:r w:rsidRPr="00503AD9">
        <w:rPr>
          <w:rStyle w:val="ReferencestootherSOPsQCDsChar"/>
        </w:rPr>
        <w:t>evelopment</w:t>
      </w:r>
      <w:r w:rsidR="001F45F4">
        <w:rPr>
          <w:rStyle w:val="ReferencestootherSOPsQCDsChar"/>
        </w:rPr>
        <w:t xml:space="preserve"> </w:t>
      </w:r>
      <w:r w:rsidR="008E6700">
        <w:rPr>
          <w:rStyle w:val="ReferencestootherSOPsQCDsChar"/>
        </w:rPr>
        <w:t xml:space="preserve">SOP </w:t>
      </w:r>
      <w:r w:rsidR="00614825">
        <w:rPr>
          <w:rStyle w:val="ReferencestootherSOPsQCDsChar"/>
        </w:rPr>
        <w:t>(</w:t>
      </w:r>
      <w:r w:rsidR="001F45F4" w:rsidRPr="00503AD9">
        <w:rPr>
          <w:rStyle w:val="ReferencestootherSOPsQCDsChar"/>
        </w:rPr>
        <w:t>UoB-</w:t>
      </w:r>
      <w:r w:rsidR="001F45F4">
        <w:rPr>
          <w:rStyle w:val="ReferencestootherSOPsQCDsChar"/>
        </w:rPr>
        <w:t>CRT-</w:t>
      </w:r>
      <w:r w:rsidR="001F45F4" w:rsidRPr="00503AD9">
        <w:rPr>
          <w:rStyle w:val="ReferencestootherSOPsQCDsChar"/>
        </w:rPr>
        <w:t>CRF-SOP-001</w:t>
      </w:r>
      <w:r w:rsidR="001F45F4">
        <w:rPr>
          <w:rStyle w:val="ReferencestootherSOPsQCDsChar"/>
        </w:rPr>
        <w:t>)</w:t>
      </w:r>
      <w:bookmarkEnd w:id="6"/>
      <w:r>
        <w:t xml:space="preserve">. </w:t>
      </w:r>
    </w:p>
    <w:p w14:paraId="5B1DCDF0" w14:textId="55E0D05B" w:rsidR="00782F30" w:rsidRDefault="00782F30" w:rsidP="00782F30">
      <w:pPr>
        <w:pStyle w:val="bullet2"/>
      </w:pPr>
      <w:r>
        <w:t>It is expected for CTIMPs that the statistician will review and formally approve the final version of the CRF, and any amendments which then impact on data items. However, this procedure (where appropriate) could also be applied in non-CTIMPs</w:t>
      </w:r>
      <w:r w:rsidR="005F5BF9">
        <w:t>/clinical studies</w:t>
      </w:r>
      <w:r>
        <w:t xml:space="preserve"> to support best practices.   </w:t>
      </w:r>
    </w:p>
    <w:p w14:paraId="21724588" w14:textId="53F9BB9C" w:rsidR="00782F30" w:rsidRDefault="00782F30" w:rsidP="00782F30">
      <w:pPr>
        <w:pStyle w:val="Numberlist"/>
        <w:numPr>
          <w:ilvl w:val="0"/>
          <w:numId w:val="12"/>
        </w:numPr>
        <w:ind w:left="340" w:hanging="340"/>
      </w:pPr>
      <w:r>
        <w:t xml:space="preserve">Where appropriate (as per the risk assessment), the CI (or delegate) will document the statistician’s involvement in data management activities. See also the </w:t>
      </w:r>
      <w:bookmarkStart w:id="7" w:name="_Hlk121754212"/>
      <w:r w:rsidRPr="00503AD9">
        <w:rPr>
          <w:rStyle w:val="ReferencestootherSOPsQCDsChar"/>
        </w:rPr>
        <w:t>Data Management</w:t>
      </w:r>
      <w:r w:rsidR="008E6700">
        <w:rPr>
          <w:rStyle w:val="ReferencestootherSOPsQCDsChar"/>
        </w:rPr>
        <w:t xml:space="preserve"> SOP</w:t>
      </w:r>
      <w:r w:rsidR="001F45F4">
        <w:rPr>
          <w:rStyle w:val="ReferencestootherSOPsQCDsChar"/>
        </w:rPr>
        <w:t xml:space="preserve"> (</w:t>
      </w:r>
      <w:r w:rsidR="001F45F4" w:rsidRPr="00503AD9">
        <w:rPr>
          <w:rStyle w:val="ReferencestootherSOPsQCDsChar"/>
        </w:rPr>
        <w:t>UoB-DMA-SOP-001</w:t>
      </w:r>
      <w:r w:rsidR="001F45F4">
        <w:rPr>
          <w:rStyle w:val="ReferencestootherSOPsQCDsChar"/>
        </w:rPr>
        <w:t>)</w:t>
      </w:r>
      <w:r>
        <w:t>.</w:t>
      </w:r>
      <w:bookmarkEnd w:id="7"/>
    </w:p>
    <w:p w14:paraId="37E247FA" w14:textId="1E53C081" w:rsidR="00782F30" w:rsidRDefault="00F14A18" w:rsidP="00782F30">
      <w:pPr>
        <w:pStyle w:val="bullet2"/>
      </w:pPr>
      <w:r>
        <w:t>If applicable, i</w:t>
      </w:r>
      <w:r w:rsidR="00782F30">
        <w:t xml:space="preserve">t is recommended that the statistician will review the validation process (validation specification), which describes the checks to be performed as part of the data validation plan. </w:t>
      </w:r>
    </w:p>
    <w:p w14:paraId="7EF005ED" w14:textId="0E0CCAF7" w:rsidR="00782F30" w:rsidRDefault="00782F30" w:rsidP="00782F30">
      <w:pPr>
        <w:pStyle w:val="Numberlist"/>
        <w:numPr>
          <w:ilvl w:val="0"/>
          <w:numId w:val="12"/>
        </w:numPr>
        <w:ind w:left="340" w:hanging="340"/>
      </w:pPr>
      <w:r>
        <w:t xml:space="preserve">The CI (or delegate) will work with the statistician to document all protocol non-compliances and collate them prior to </w:t>
      </w:r>
      <w:r w:rsidRPr="00503AD9">
        <w:t>statistical</w:t>
      </w:r>
      <w:r>
        <w:t xml:space="preserve"> analysis (where appropriate, prior to unblinding).</w:t>
      </w:r>
    </w:p>
    <w:p w14:paraId="59205992" w14:textId="1BD31EC1" w:rsidR="00782F30" w:rsidRPr="00D01B84" w:rsidRDefault="00782F30" w:rsidP="00782F30">
      <w:pPr>
        <w:pStyle w:val="Numberlist"/>
        <w:numPr>
          <w:ilvl w:val="0"/>
          <w:numId w:val="12"/>
        </w:numPr>
        <w:ind w:left="340" w:hanging="340"/>
      </w:pPr>
      <w:r>
        <w:t>The statistician will review all significant protocol non-compliances for assessment of the impact on the analysis.</w:t>
      </w:r>
    </w:p>
    <w:p w14:paraId="49191546" w14:textId="77777777" w:rsidR="00782F30" w:rsidRDefault="00782F30" w:rsidP="00782F30">
      <w:pPr>
        <w:pStyle w:val="Heading2"/>
      </w:pPr>
      <w:r>
        <w:t>Amendments</w:t>
      </w:r>
    </w:p>
    <w:p w14:paraId="6251F319" w14:textId="11109611" w:rsidR="00782F30" w:rsidRDefault="00782F30" w:rsidP="00782F30">
      <w:pPr>
        <w:pStyle w:val="Numberlist"/>
        <w:numPr>
          <w:ilvl w:val="0"/>
          <w:numId w:val="12"/>
        </w:numPr>
        <w:ind w:left="340" w:hanging="340"/>
      </w:pPr>
      <w:r>
        <w:t xml:space="preserve">The CI (or delegate) will highlight amendments to the </w:t>
      </w:r>
      <w:r w:rsidR="00F14A18">
        <w:t xml:space="preserve">project </w:t>
      </w:r>
      <w:r>
        <w:t xml:space="preserve">that are likely to have an impact on the design and analysis of the </w:t>
      </w:r>
      <w:r w:rsidR="00F14A18">
        <w:t>clinical research</w:t>
      </w:r>
      <w:r>
        <w:t>, and the statistician will review and document these (as appropriate as per the risk assessment). This includes:</w:t>
      </w:r>
    </w:p>
    <w:p w14:paraId="7CE7E9A9" w14:textId="4459C3CC" w:rsidR="00782F30" w:rsidRDefault="00C260D3" w:rsidP="00782F30">
      <w:pPr>
        <w:pStyle w:val="bullet2"/>
      </w:pPr>
      <w:r>
        <w:t>r</w:t>
      </w:r>
      <w:r w:rsidR="00782F30">
        <w:t xml:space="preserve">eview of the impact of the amendment on CRFs and </w:t>
      </w:r>
      <w:r w:rsidR="00F14A18">
        <w:t xml:space="preserve">project </w:t>
      </w:r>
      <w:r w:rsidR="00782F30">
        <w:t>systems</w:t>
      </w:r>
    </w:p>
    <w:p w14:paraId="67FBE197" w14:textId="5994674B" w:rsidR="00782F30" w:rsidRDefault="00C260D3" w:rsidP="00782F30">
      <w:pPr>
        <w:pStyle w:val="bullet2"/>
      </w:pPr>
      <w:r>
        <w:t>r</w:t>
      </w:r>
      <w:r w:rsidR="00782F30">
        <w:t>eview of the impact of the amendment on the SAP</w:t>
      </w:r>
    </w:p>
    <w:p w14:paraId="450A5EF5" w14:textId="2D4B9378" w:rsidR="00782F30" w:rsidRDefault="00C260D3" w:rsidP="00782F30">
      <w:pPr>
        <w:pStyle w:val="bullet2"/>
      </w:pPr>
      <w:r>
        <w:lastRenderedPageBreak/>
        <w:t>w</w:t>
      </w:r>
      <w:r w:rsidR="00782F30">
        <w:t>hether the amendment introduces any risk of bias.</w:t>
      </w:r>
    </w:p>
    <w:p w14:paraId="39E9B592" w14:textId="5675AB07" w:rsidR="00782F30" w:rsidRPr="00D01B84" w:rsidRDefault="00782F30" w:rsidP="00782F30">
      <w:pPr>
        <w:pStyle w:val="Numberlist"/>
        <w:numPr>
          <w:ilvl w:val="0"/>
          <w:numId w:val="12"/>
        </w:numPr>
        <w:ind w:left="340" w:hanging="340"/>
      </w:pPr>
      <w:r>
        <w:t xml:space="preserve">Where changes to the </w:t>
      </w:r>
      <w:r w:rsidR="00134728">
        <w:t xml:space="preserve">project </w:t>
      </w:r>
      <w:r>
        <w:t>necessitates an update to the SAP, the statistician will amend the SAP ensuring appropriate version control is employed and changes justified.</w:t>
      </w:r>
    </w:p>
    <w:p w14:paraId="2ACD8C54" w14:textId="77777777" w:rsidR="00782F30" w:rsidRDefault="00782F30" w:rsidP="00782F30">
      <w:pPr>
        <w:pStyle w:val="Heading2"/>
      </w:pPr>
      <w:r>
        <w:t>Statistical programming, analysis and publication</w:t>
      </w:r>
    </w:p>
    <w:p w14:paraId="2A8D3A60" w14:textId="438D5716" w:rsidR="00782F30" w:rsidRDefault="00782F30" w:rsidP="00782F30">
      <w:pPr>
        <w:pStyle w:val="Numberlist"/>
        <w:numPr>
          <w:ilvl w:val="0"/>
          <w:numId w:val="12"/>
        </w:numPr>
        <w:ind w:left="340" w:hanging="340"/>
      </w:pPr>
      <w:r>
        <w:t>Where appropriate, the CI (or delegate) will perform quality checks, data cleaning and data validation</w:t>
      </w:r>
      <w:r w:rsidR="00486B88">
        <w:t xml:space="preserve"> prior to analysis. For clinical trial</w:t>
      </w:r>
      <w:r w:rsidR="00225912">
        <w:t>s</w:t>
      </w:r>
      <w:r w:rsidR="00486B88">
        <w:t>, see</w:t>
      </w:r>
      <w:r w:rsidR="00486B88" w:rsidRPr="00F66FC5">
        <w:t xml:space="preserve"> the</w:t>
      </w:r>
      <w:r w:rsidR="00486B88">
        <w:rPr>
          <w:rStyle w:val="ReferencestootherSOPsQCDsChar"/>
        </w:rPr>
        <w:t xml:space="preserve"> </w:t>
      </w:r>
      <w:r w:rsidRPr="0007011A">
        <w:rPr>
          <w:rStyle w:val="ReferencestootherSOPsQCDsChar"/>
        </w:rPr>
        <w:t>Data Management</w:t>
      </w:r>
      <w:r w:rsidR="00486B88">
        <w:rPr>
          <w:rStyle w:val="ReferencestootherSOPsQCDsChar"/>
        </w:rPr>
        <w:t xml:space="preserve"> SOP (</w:t>
      </w:r>
      <w:r w:rsidR="00486B88" w:rsidRPr="0007011A">
        <w:rPr>
          <w:rStyle w:val="ReferencestootherSOPsQCDsChar"/>
        </w:rPr>
        <w:t>UoB-DMA-SOP-001</w:t>
      </w:r>
      <w:r w:rsidR="00486B88">
        <w:rPr>
          <w:rStyle w:val="ReferencestootherSOPsQCDsChar"/>
        </w:rPr>
        <w:t xml:space="preserve">) </w:t>
      </w:r>
      <w:r w:rsidR="00486B88" w:rsidRPr="00486B88">
        <w:t>for further details</w:t>
      </w:r>
      <w:r>
        <w:t>.</w:t>
      </w:r>
    </w:p>
    <w:p w14:paraId="0E6A77FE" w14:textId="4B19AA17" w:rsidR="00C85F41" w:rsidRDefault="00782F30" w:rsidP="000B1F5B">
      <w:pPr>
        <w:pStyle w:val="Numberlist"/>
        <w:numPr>
          <w:ilvl w:val="0"/>
          <w:numId w:val="12"/>
        </w:numPr>
        <w:ind w:left="340" w:hanging="340"/>
      </w:pPr>
      <w:r>
        <w:t xml:space="preserve">The statistician will ensure that user-written code/macros and programs used during the analysis process are fit for purpose (validated). This will be on a risk-based approach with the detail and level of checking varying depending on the item begin checked. For example, output related to the primary objective of the </w:t>
      </w:r>
      <w:r w:rsidR="00704205">
        <w:t xml:space="preserve">clinical research </w:t>
      </w:r>
      <w:r>
        <w:t xml:space="preserve">should be checked. </w:t>
      </w:r>
    </w:p>
    <w:p w14:paraId="6D066990" w14:textId="397123C8" w:rsidR="00782F30" w:rsidRDefault="00782F30" w:rsidP="00782F30">
      <w:pPr>
        <w:pStyle w:val="Numberlist"/>
        <w:numPr>
          <w:ilvl w:val="0"/>
          <w:numId w:val="12"/>
        </w:numPr>
        <w:ind w:left="340" w:hanging="340"/>
      </w:pPr>
      <w:r>
        <w:t xml:space="preserve">It is expected that hardcoding during the analysis process is avoided. In extreme circumstances where hard coding is considered necessary, the statistician will retain documentation of its use and provide clear justification for this. For example, use of hard coding in free text fields for adverse event data.  </w:t>
      </w:r>
    </w:p>
    <w:p w14:paraId="2A0CA0B7" w14:textId="40D14B64" w:rsidR="00782F30" w:rsidRDefault="00782F30" w:rsidP="00782F30">
      <w:pPr>
        <w:pStyle w:val="Numberlist"/>
        <w:numPr>
          <w:ilvl w:val="0"/>
          <w:numId w:val="12"/>
        </w:numPr>
        <w:ind w:left="340" w:hanging="340"/>
      </w:pPr>
      <w:r>
        <w:t>Once data collection has been completed, the CI (or delegate) will lock the data from any further changes</w:t>
      </w:r>
      <w:r w:rsidR="00486B88">
        <w:t xml:space="preserve">. </w:t>
      </w:r>
      <w:r>
        <w:t xml:space="preserve">This includes the procedures for unlocking the data for extreme circumstances where changes to the data are required. For qualitative data, an example of this may include converting transcripts to PDF or printing and signing finalised versions of the transcripts. </w:t>
      </w:r>
      <w:r w:rsidR="00486B88">
        <w:t xml:space="preserve">For clinical trials, see </w:t>
      </w:r>
      <w:r w:rsidR="00A36E52">
        <w:t xml:space="preserve">the </w:t>
      </w:r>
      <w:r w:rsidR="00486B88" w:rsidRPr="0007011A">
        <w:rPr>
          <w:rStyle w:val="ReferencestootherSOPsQCDsChar"/>
        </w:rPr>
        <w:t>Data Management</w:t>
      </w:r>
      <w:r w:rsidR="00486B88">
        <w:rPr>
          <w:rStyle w:val="ReferencestootherSOPsQCDsChar"/>
        </w:rPr>
        <w:t xml:space="preserve"> SOP (UoB-DMA-SOP-001)</w:t>
      </w:r>
      <w:r w:rsidR="00486B88" w:rsidRPr="00486B88">
        <w:t xml:space="preserve"> for further details</w:t>
      </w:r>
      <w:r w:rsidR="00486B88" w:rsidRPr="00C77274">
        <w:t>.</w:t>
      </w:r>
    </w:p>
    <w:p w14:paraId="417E596F" w14:textId="447681A1" w:rsidR="00782F30" w:rsidRDefault="00782F30" w:rsidP="00782F30">
      <w:pPr>
        <w:pStyle w:val="Numberlist"/>
        <w:numPr>
          <w:ilvl w:val="0"/>
          <w:numId w:val="12"/>
        </w:numPr>
        <w:ind w:left="340" w:hanging="340"/>
      </w:pPr>
      <w:r>
        <w:t xml:space="preserve">The statistician will ensure an appropriate audit trail in the statistical analysis process, in order to allow the data analysis to be reconstructed from start to finish. An appropriate audit trail means that the final </w:t>
      </w:r>
      <w:r w:rsidR="00704205">
        <w:t xml:space="preserve">clinical research </w:t>
      </w:r>
      <w:r>
        <w:t xml:space="preserve">results for publication/reports can be traced back to the statistical program output and the datasets used. For example, a table of results including </w:t>
      </w:r>
      <w:r w:rsidR="00173E19">
        <w:t>mean difference</w:t>
      </w:r>
      <w:r>
        <w:t xml:space="preserve"> and 95% confidence interval should be verifiable against information that shows who undertook the analysis, and how and when this analysis occurred.</w:t>
      </w:r>
      <w:r w:rsidR="00B76177">
        <w:t xml:space="preserve"> This can be documented, for example, by email or a printout that has been signed and dated.</w:t>
      </w:r>
    </w:p>
    <w:p w14:paraId="2739BFB5" w14:textId="1157CC64" w:rsidR="00782F30" w:rsidRDefault="00782F30" w:rsidP="00782F30">
      <w:pPr>
        <w:pStyle w:val="Numberlist"/>
        <w:numPr>
          <w:ilvl w:val="0"/>
          <w:numId w:val="12"/>
        </w:numPr>
        <w:ind w:left="340" w:hanging="340"/>
      </w:pPr>
      <w:r>
        <w:t>The statistician will apply version</w:t>
      </w:r>
      <w:r w:rsidR="00877D24">
        <w:t xml:space="preserve"> </w:t>
      </w:r>
      <w:r>
        <w:t>control to all outputs of the statistical process.</w:t>
      </w:r>
    </w:p>
    <w:p w14:paraId="6D7C480F" w14:textId="174C2117" w:rsidR="00782F30" w:rsidRDefault="00276BFF" w:rsidP="00782F30">
      <w:pPr>
        <w:pStyle w:val="Numberlist"/>
        <w:numPr>
          <w:ilvl w:val="0"/>
          <w:numId w:val="12"/>
        </w:numPr>
        <w:ind w:left="340" w:hanging="340"/>
      </w:pPr>
      <w:r>
        <w:t>For clinical trials, w</w:t>
      </w:r>
      <w:r w:rsidR="00782F30">
        <w:t xml:space="preserve">here appropriate, the statistician will perform interim analyses at the intervals specified in the protocol (e.g. for </w:t>
      </w:r>
      <w:r w:rsidR="00C366C5">
        <w:t>d</w:t>
      </w:r>
      <w:r w:rsidR="00782F30">
        <w:t xml:space="preserve">ata </w:t>
      </w:r>
      <w:r w:rsidR="00C366C5">
        <w:t>m</w:t>
      </w:r>
      <w:r w:rsidR="00782F30">
        <w:t xml:space="preserve">onitoring </w:t>
      </w:r>
      <w:r w:rsidR="00C366C5">
        <w:t>c</w:t>
      </w:r>
      <w:r w:rsidR="00782F30">
        <w:t>ommittee (DMC) meetings) and following the SAP.</w:t>
      </w:r>
    </w:p>
    <w:p w14:paraId="53E56853" w14:textId="77777777" w:rsidR="00782F30" w:rsidRPr="00F53A02" w:rsidRDefault="00782F30" w:rsidP="00782F30">
      <w:pPr>
        <w:pStyle w:val="bullet2"/>
      </w:pPr>
      <w:r>
        <w:t>For this, a</w:t>
      </w:r>
      <w:r w:rsidRPr="00F53A02">
        <w:t xml:space="preserve"> frozen copy (snapshot) of the dataset</w:t>
      </w:r>
      <w:r>
        <w:t xml:space="preserve"> will </w:t>
      </w:r>
      <w:r w:rsidRPr="00F53A02">
        <w:t>be made for analyses</w:t>
      </w:r>
      <w:r>
        <w:t>,</w:t>
      </w:r>
      <w:r w:rsidRPr="00F53A02">
        <w:t xml:space="preserve"> ensuring the frozen dataset is preserved so </w:t>
      </w:r>
      <w:r>
        <w:t>that the analysis can</w:t>
      </w:r>
      <w:r w:rsidRPr="00F53A02">
        <w:t xml:space="preserve"> be reproduced if required at a later date</w:t>
      </w:r>
      <w:r>
        <w:t>.</w:t>
      </w:r>
    </w:p>
    <w:p w14:paraId="22E0222E" w14:textId="466DFFF4" w:rsidR="00782F30" w:rsidRDefault="00782F30" w:rsidP="00782F30">
      <w:pPr>
        <w:pStyle w:val="bullet2"/>
      </w:pPr>
      <w:r>
        <w:t xml:space="preserve">Where a decision is taken to cancel interim analysis (e.g. due to insufficient </w:t>
      </w:r>
      <w:r w:rsidR="00A36E52">
        <w:t xml:space="preserve">participant </w:t>
      </w:r>
      <w:r>
        <w:t>numbers), this must be documented.</w:t>
      </w:r>
    </w:p>
    <w:p w14:paraId="0B8BF304" w14:textId="395B7BE8" w:rsidR="00782F30" w:rsidRDefault="00782F30" w:rsidP="00782F30">
      <w:pPr>
        <w:pStyle w:val="bullet2"/>
      </w:pPr>
      <w:r>
        <w:t xml:space="preserve">If the </w:t>
      </w:r>
      <w:r w:rsidR="00704205">
        <w:t xml:space="preserve">project </w:t>
      </w:r>
      <w:r>
        <w:t xml:space="preserve">is blinded, and interim unblinded analysis is required, ensure the </w:t>
      </w:r>
      <w:r w:rsidR="00704205">
        <w:t xml:space="preserve">clinical research </w:t>
      </w:r>
      <w:r>
        <w:t>team cannot gain access to unblinded data or the randomisation schedule. See</w:t>
      </w:r>
      <w:r w:rsidR="008E6700">
        <w:t xml:space="preserve"> the</w:t>
      </w:r>
      <w:r w:rsidRPr="007534F9">
        <w:rPr>
          <w:rStyle w:val="ReferencestootherSOPsQCDsChar"/>
        </w:rPr>
        <w:t xml:space="preserve"> </w:t>
      </w:r>
      <w:bookmarkStart w:id="8" w:name="_Hlk121754230"/>
      <w:r w:rsidRPr="007534F9">
        <w:rPr>
          <w:rStyle w:val="ReferencestootherSOPsQCDsChar"/>
        </w:rPr>
        <w:t>Randomisation and Blinding</w:t>
      </w:r>
      <w:r w:rsidR="008E6700">
        <w:rPr>
          <w:rStyle w:val="ReferencestootherSOPsQCDsChar"/>
        </w:rPr>
        <w:t xml:space="preserve"> SOP</w:t>
      </w:r>
      <w:r>
        <w:t xml:space="preserve"> </w:t>
      </w:r>
      <w:r w:rsidR="008E6700" w:rsidRPr="00F66FC5">
        <w:rPr>
          <w:rStyle w:val="ReferencestootherSOPsQCDsChar"/>
        </w:rPr>
        <w:t>(</w:t>
      </w:r>
      <w:r w:rsidR="008E6700">
        <w:rPr>
          <w:rStyle w:val="ReferencestootherSOPsQCDsChar"/>
        </w:rPr>
        <w:t>UoB-RND-SOP-001)</w:t>
      </w:r>
      <w:bookmarkEnd w:id="8"/>
      <w:r w:rsidR="008E6700">
        <w:rPr>
          <w:rStyle w:val="ReferencestootherSOPsQCDsChar"/>
        </w:rPr>
        <w:t xml:space="preserve"> </w:t>
      </w:r>
      <w:r>
        <w:t>for further information.</w:t>
      </w:r>
    </w:p>
    <w:p w14:paraId="561CA708" w14:textId="57E6DF76" w:rsidR="000B1F5B" w:rsidRDefault="000B1F5B" w:rsidP="000B1F5B">
      <w:pPr>
        <w:pStyle w:val="Numberlist"/>
        <w:numPr>
          <w:ilvl w:val="0"/>
          <w:numId w:val="12"/>
        </w:numPr>
        <w:ind w:left="340" w:hanging="340"/>
      </w:pPr>
      <w:r>
        <w:t xml:space="preserve">During final analysis, the statistician will ensure statistical packages remain unchanged e.g. by disabling automatic updates. Where updates have occurred e.g. if analysis undertaken over a period of time, these packages may require re-validation (see point 18 above).  </w:t>
      </w:r>
    </w:p>
    <w:p w14:paraId="12F68BB1" w14:textId="552CAD39" w:rsidR="00782F30" w:rsidRDefault="00782F30" w:rsidP="00782F30">
      <w:pPr>
        <w:pStyle w:val="Numberlist"/>
        <w:numPr>
          <w:ilvl w:val="0"/>
          <w:numId w:val="12"/>
        </w:numPr>
        <w:ind w:left="340" w:hanging="340"/>
      </w:pPr>
      <w:r>
        <w:t>The statistician will perform and document checks to ensure that the output of the statistical analysis process is accurate, and ensure that the</w:t>
      </w:r>
      <w:r w:rsidRPr="00986F0D">
        <w:t xml:space="preserve"> SAP has been followed</w:t>
      </w:r>
      <w:r>
        <w:t>.</w:t>
      </w:r>
    </w:p>
    <w:p w14:paraId="1759B15D" w14:textId="3BDBDFE7" w:rsidR="00782F30" w:rsidRDefault="00782F30" w:rsidP="00782F30">
      <w:pPr>
        <w:pStyle w:val="Numberlist"/>
        <w:numPr>
          <w:ilvl w:val="0"/>
          <w:numId w:val="12"/>
        </w:numPr>
        <w:ind w:left="340" w:hanging="340"/>
      </w:pPr>
      <w:r>
        <w:t xml:space="preserve">The statistician will prepare the analytical section of </w:t>
      </w:r>
      <w:r w:rsidR="00C366C5">
        <w:t>project</w:t>
      </w:r>
      <w:r>
        <w:t xml:space="preserve"> reports (e.g. DMC, end of </w:t>
      </w:r>
      <w:r w:rsidR="00C366C5">
        <w:t>project</w:t>
      </w:r>
      <w:r>
        <w:t xml:space="preserve"> report, reports to other third parties e.g. ethics, funder etcetera).</w:t>
      </w:r>
    </w:p>
    <w:p w14:paraId="66F5E8C4" w14:textId="666FB7CF" w:rsidR="00782F30" w:rsidRDefault="00782F30" w:rsidP="00782F30">
      <w:pPr>
        <w:pStyle w:val="Numberlist"/>
        <w:numPr>
          <w:ilvl w:val="0"/>
          <w:numId w:val="12"/>
        </w:numPr>
        <w:ind w:left="340" w:hanging="340"/>
      </w:pPr>
      <w:r>
        <w:t xml:space="preserve">The statistician will review publications (including DMC reports) prior to submission, ensuring the results have been correctly transferred into the publication and that they accurately reflect the analysis data, and retain evidence of this review. For randomised </w:t>
      </w:r>
      <w:r w:rsidR="00704205">
        <w:t xml:space="preserve">clinical </w:t>
      </w:r>
      <w:r>
        <w:t xml:space="preserve">trials, the statistician will follow </w:t>
      </w:r>
      <w:hyperlink r:id="rId22" w:tooltip="Link to CONSORT (Consolidated Standards of Reporting Trials) Statement guideline" w:history="1">
        <w:r w:rsidR="00E10739">
          <w:rPr>
            <w:rStyle w:val="Hyperlink"/>
          </w:rPr>
          <w:t>The C</w:t>
        </w:r>
        <w:r w:rsidRPr="00B631F7">
          <w:rPr>
            <w:rStyle w:val="Hyperlink"/>
          </w:rPr>
          <w:t xml:space="preserve">ONSORT </w:t>
        </w:r>
        <w:r w:rsidRPr="00B631F7">
          <w:rPr>
            <w:rStyle w:val="Hyperlink"/>
            <w:lang w:eastAsia="en-GB"/>
          </w:rPr>
          <w:t xml:space="preserve">(Consolidated Standards of Reporting Trials) </w:t>
        </w:r>
        <w:r w:rsidR="009B6F29">
          <w:rPr>
            <w:rStyle w:val="Hyperlink"/>
            <w:lang w:eastAsia="en-GB"/>
          </w:rPr>
          <w:t>S</w:t>
        </w:r>
        <w:r w:rsidRPr="00B631F7">
          <w:rPr>
            <w:rStyle w:val="Hyperlink"/>
            <w:lang w:eastAsia="en-GB"/>
          </w:rPr>
          <w:t>tatement guideline</w:t>
        </w:r>
      </w:hyperlink>
      <w:r>
        <w:t xml:space="preserve"> for publication. Also see </w:t>
      </w:r>
      <w:hyperlink r:id="rId23" w:tooltip="Link to Extensions of the CONSORT Statement" w:history="1">
        <w:r w:rsidR="00E10739">
          <w:rPr>
            <w:rStyle w:val="Hyperlink"/>
          </w:rPr>
          <w:t>E</w:t>
        </w:r>
        <w:r w:rsidR="00E10739" w:rsidRPr="00982498">
          <w:rPr>
            <w:rStyle w:val="Hyperlink"/>
          </w:rPr>
          <w:t xml:space="preserve">xtensions of the CONSORT </w:t>
        </w:r>
        <w:r w:rsidR="00E10739">
          <w:rPr>
            <w:rStyle w:val="Hyperlink"/>
          </w:rPr>
          <w:t>S</w:t>
        </w:r>
        <w:r w:rsidR="00E10739" w:rsidRPr="00982498">
          <w:rPr>
            <w:rStyle w:val="Hyperlink"/>
          </w:rPr>
          <w:t>tatement</w:t>
        </w:r>
      </w:hyperlink>
      <w:r w:rsidR="00E10739">
        <w:t xml:space="preserve"> </w:t>
      </w:r>
      <w:r>
        <w:t xml:space="preserve">for “non-standard” randomised </w:t>
      </w:r>
      <w:r w:rsidR="00704205">
        <w:t xml:space="preserve">clinical </w:t>
      </w:r>
      <w:r>
        <w:t xml:space="preserve">trial with specific designs, data and interventions. </w:t>
      </w:r>
    </w:p>
    <w:p w14:paraId="02EF98F3" w14:textId="5DAD51F6" w:rsidR="00782F30" w:rsidRPr="00D01B84" w:rsidRDefault="00A10AF4" w:rsidP="00782F30">
      <w:pPr>
        <w:pStyle w:val="bullet2"/>
      </w:pPr>
      <w:r>
        <w:t>For clinical trial</w:t>
      </w:r>
      <w:r w:rsidR="00C366C5">
        <w:t>s</w:t>
      </w:r>
      <w:r>
        <w:t>, i</w:t>
      </w:r>
      <w:r w:rsidR="00782F30">
        <w:t>t is expected that all significant non-compliances that occurred during the trial and how these contributed to the analysis, and any changes to the planned statistical analysis with justification for these changes are reported.</w:t>
      </w:r>
    </w:p>
    <w:p w14:paraId="3CCB4B6A" w14:textId="77777777" w:rsidR="00782F30" w:rsidRDefault="00782F30" w:rsidP="00782F30">
      <w:pPr>
        <w:pStyle w:val="Heading2"/>
      </w:pPr>
      <w:r>
        <w:lastRenderedPageBreak/>
        <w:t>Essential documentation and archiving</w:t>
      </w:r>
    </w:p>
    <w:p w14:paraId="5E18F0A2" w14:textId="78526DF4" w:rsidR="00782F30" w:rsidRDefault="00782F30" w:rsidP="00782F30">
      <w:pPr>
        <w:pStyle w:val="Numberlist"/>
        <w:numPr>
          <w:ilvl w:val="0"/>
          <w:numId w:val="12"/>
        </w:numPr>
        <w:ind w:left="340" w:hanging="340"/>
      </w:pPr>
      <w:r>
        <w:t xml:space="preserve">The CI (or delegate) will retain adequate documentation to allow verification that data has been accurately handled and reported in accordance with </w:t>
      </w:r>
      <w:r w:rsidR="00A36E52">
        <w:t xml:space="preserve">the </w:t>
      </w:r>
      <w:r w:rsidRPr="00EA3E06">
        <w:rPr>
          <w:rStyle w:val="ReferencestootherSOPsQCDsChar"/>
        </w:rPr>
        <w:t>UoB Principles of GCP for Clinical Research</w:t>
      </w:r>
      <w:r w:rsidR="00A36E52">
        <w:rPr>
          <w:rStyle w:val="ReferencestootherSOPsQCDsChar"/>
        </w:rPr>
        <w:t xml:space="preserve"> (UoB-</w:t>
      </w:r>
      <w:r w:rsidR="00400E43">
        <w:rPr>
          <w:rStyle w:val="ReferencestootherSOPsQCDsChar"/>
        </w:rPr>
        <w:t>GCP-POL-001)</w:t>
      </w:r>
      <w:r>
        <w:t>. This includes (but is not limited to):</w:t>
      </w:r>
    </w:p>
    <w:p w14:paraId="7DD4607F" w14:textId="37D8B59B" w:rsidR="00782F30" w:rsidRDefault="00A36E52" w:rsidP="00782F30">
      <w:pPr>
        <w:pStyle w:val="bullet2"/>
      </w:pPr>
      <w:r>
        <w:t xml:space="preserve">a </w:t>
      </w:r>
      <w:r w:rsidR="00782F30">
        <w:t>SAP (where separate from the protocol)</w:t>
      </w:r>
    </w:p>
    <w:p w14:paraId="5786ECAF" w14:textId="0D512773" w:rsidR="00782F30" w:rsidRDefault="00A36E52" w:rsidP="00782F30">
      <w:pPr>
        <w:pStyle w:val="bullet2"/>
      </w:pPr>
      <w:r>
        <w:t xml:space="preserve">an </w:t>
      </w:r>
      <w:r w:rsidR="00C366C5">
        <w:t>a</w:t>
      </w:r>
      <w:r w:rsidR="00782F30">
        <w:t>udit trail (see previous section for details).</w:t>
      </w:r>
    </w:p>
    <w:p w14:paraId="6E32DBD9" w14:textId="5DD082D6" w:rsidR="00782F30" w:rsidRDefault="00782F30" w:rsidP="00782F30">
      <w:pPr>
        <w:pStyle w:val="Numberlist"/>
        <w:numPr>
          <w:ilvl w:val="0"/>
          <w:numId w:val="12"/>
        </w:numPr>
        <w:ind w:left="340" w:hanging="340"/>
      </w:pPr>
      <w:r>
        <w:t xml:space="preserve">The CI (or delegate) will archive documentation related to statistical processes with the rest of the </w:t>
      </w:r>
      <w:r w:rsidR="00A10AF4">
        <w:t>study/</w:t>
      </w:r>
      <w:r>
        <w:t>trial master file (</w:t>
      </w:r>
      <w:r w:rsidR="00A10AF4">
        <w:t>S/</w:t>
      </w:r>
      <w:r>
        <w:t xml:space="preserve">TMF) at the end of the </w:t>
      </w:r>
      <w:r w:rsidR="00A10AF4">
        <w:t>clinical research</w:t>
      </w:r>
      <w:r>
        <w:t>. See</w:t>
      </w:r>
      <w:r w:rsidRPr="008E16C3">
        <w:t xml:space="preserve"> </w:t>
      </w:r>
      <w:r w:rsidR="00143996">
        <w:t xml:space="preserve">the </w:t>
      </w:r>
      <w:bookmarkStart w:id="9" w:name="_Hlk121754251"/>
      <w:r w:rsidRPr="008E16C3">
        <w:rPr>
          <w:rStyle w:val="ReferencestootherSOPsQCDsChar"/>
        </w:rPr>
        <w:t>Archiving</w:t>
      </w:r>
      <w:r>
        <w:t xml:space="preserve"> </w:t>
      </w:r>
      <w:r w:rsidR="00143996" w:rsidRPr="00F66FC5">
        <w:rPr>
          <w:rStyle w:val="ReferencestootherSOPsQCDsChar"/>
        </w:rPr>
        <w:t>SOP</w:t>
      </w:r>
      <w:r w:rsidR="00294AD1">
        <w:rPr>
          <w:rStyle w:val="ReferencestootherSOPsQCDsChar"/>
        </w:rPr>
        <w:t xml:space="preserve"> </w:t>
      </w:r>
      <w:r w:rsidR="00143996" w:rsidRPr="00F66FC5">
        <w:rPr>
          <w:rStyle w:val="ReferencestootherSOPsQCDsChar"/>
        </w:rPr>
        <w:t>(</w:t>
      </w:r>
      <w:r w:rsidR="00143996" w:rsidRPr="008E16C3">
        <w:rPr>
          <w:rStyle w:val="ReferencestootherSOPsQCDsChar"/>
        </w:rPr>
        <w:t>UoB-ARC-SOP-001</w:t>
      </w:r>
      <w:r w:rsidR="00143996">
        <w:rPr>
          <w:rStyle w:val="ReferencestootherSOPsQCDsChar"/>
        </w:rPr>
        <w:t>)</w:t>
      </w:r>
      <w:bookmarkEnd w:id="9"/>
      <w:r w:rsidR="00143996">
        <w:rPr>
          <w:rStyle w:val="ReferencestootherSOPsQCDsChar"/>
        </w:rPr>
        <w:t xml:space="preserve"> </w:t>
      </w:r>
      <w:r>
        <w:t>for further information.</w:t>
      </w:r>
    </w:p>
    <w:p w14:paraId="329952F4" w14:textId="7048D611" w:rsidR="00692DFA" w:rsidRPr="00435EAE" w:rsidRDefault="00692DFA">
      <w:pPr>
        <w:pStyle w:val="Heading1"/>
      </w:pPr>
      <w:r w:rsidRPr="00435EAE">
        <w:t>List of expected outputs</w:t>
      </w:r>
    </w:p>
    <w:p w14:paraId="3F101A54" w14:textId="35493DCB" w:rsidR="00782F30" w:rsidRPr="00D01B84" w:rsidRDefault="00782F30" w:rsidP="00782F30">
      <w:pPr>
        <w:pStyle w:val="bullet1"/>
        <w:numPr>
          <w:ilvl w:val="0"/>
          <w:numId w:val="3"/>
        </w:numPr>
        <w:ind w:left="340" w:hanging="340"/>
      </w:pPr>
      <w:r w:rsidRPr="00D01B84">
        <w:t xml:space="preserve">Documented evidence that the statistician has the relevant statistical knowledge and experience to perform the required tasks. </w:t>
      </w:r>
    </w:p>
    <w:p w14:paraId="67CEF17D" w14:textId="3DA4842E" w:rsidR="00782F30" w:rsidRPr="00D01B84" w:rsidRDefault="00782F30" w:rsidP="00782F30">
      <w:pPr>
        <w:pStyle w:val="bullet1"/>
        <w:numPr>
          <w:ilvl w:val="0"/>
          <w:numId w:val="3"/>
        </w:numPr>
        <w:ind w:left="340" w:hanging="340"/>
      </w:pPr>
      <w:r w:rsidRPr="00D01B84">
        <w:t>Roles and responsibilities of the statistician are documented, with evidence of the level of ongoing input required and contracts and agreements to be in place (where appropriate).</w:t>
      </w:r>
    </w:p>
    <w:p w14:paraId="0913349C" w14:textId="38ECDA0A" w:rsidR="00782F30" w:rsidRPr="00D01B84" w:rsidRDefault="00782F30" w:rsidP="00782F30">
      <w:pPr>
        <w:pStyle w:val="bullet1"/>
        <w:numPr>
          <w:ilvl w:val="0"/>
          <w:numId w:val="3"/>
        </w:numPr>
        <w:ind w:left="340" w:hanging="340"/>
      </w:pPr>
      <w:r w:rsidRPr="00D01B84">
        <w:t xml:space="preserve">Evidence of the statistician involvement in the </w:t>
      </w:r>
      <w:r w:rsidR="008C54CA">
        <w:t>project</w:t>
      </w:r>
      <w:r w:rsidR="008C54CA" w:rsidRPr="00D01B84">
        <w:t xml:space="preserve"> </w:t>
      </w:r>
      <w:r w:rsidRPr="00D01B84">
        <w:t xml:space="preserve">design and protocol development. Where appropriate (as per the risk assessment), documented evidence of the statistician involvement in CRF design, </w:t>
      </w:r>
      <w:r w:rsidR="008C54CA">
        <w:t xml:space="preserve">clinical research </w:t>
      </w:r>
      <w:r w:rsidRPr="00D01B84">
        <w:t xml:space="preserve">database and data management activities. </w:t>
      </w:r>
    </w:p>
    <w:p w14:paraId="40D6033D" w14:textId="7175828D" w:rsidR="00782F30" w:rsidRPr="00D01B84" w:rsidRDefault="00782F30" w:rsidP="00782F30">
      <w:pPr>
        <w:pStyle w:val="bullet1"/>
        <w:numPr>
          <w:ilvl w:val="0"/>
          <w:numId w:val="3"/>
        </w:numPr>
        <w:ind w:left="340" w:hanging="340"/>
      </w:pPr>
      <w:r w:rsidRPr="00D01B84">
        <w:t>Evidence of a process to record and collate all protocol non-compliances and documented evidence that all significant protocol non-compliances have been reviewed by the statistician.</w:t>
      </w:r>
    </w:p>
    <w:p w14:paraId="6D470855" w14:textId="441E6205" w:rsidR="00782F30" w:rsidRPr="00D01B84" w:rsidRDefault="00782F30" w:rsidP="00782F30">
      <w:pPr>
        <w:pStyle w:val="bullet1"/>
        <w:numPr>
          <w:ilvl w:val="0"/>
          <w:numId w:val="3"/>
        </w:numPr>
        <w:ind w:left="340" w:hanging="340"/>
      </w:pPr>
      <w:r w:rsidRPr="00D01B84">
        <w:t xml:space="preserve">Evidence of the pre-specified statistical methodology for the </w:t>
      </w:r>
      <w:r w:rsidR="008C54CA">
        <w:t>project</w:t>
      </w:r>
      <w:r w:rsidR="008C54CA" w:rsidRPr="00D01B84">
        <w:t xml:space="preserve"> </w:t>
      </w:r>
      <w:r w:rsidRPr="00D01B84">
        <w:t>in the protocol or in a separate document (SAP). As a minimum, it will detail how the primary and secondary outcomes will be measured and what statistical method(s) will be used.</w:t>
      </w:r>
    </w:p>
    <w:p w14:paraId="5917A887" w14:textId="5CA32AF6" w:rsidR="00782F30" w:rsidRPr="00D01B84" w:rsidRDefault="00782F30" w:rsidP="00782F30">
      <w:pPr>
        <w:pStyle w:val="bullet1"/>
        <w:numPr>
          <w:ilvl w:val="0"/>
          <w:numId w:val="3"/>
        </w:numPr>
        <w:ind w:left="340" w:hanging="340"/>
      </w:pPr>
      <w:r w:rsidRPr="00D01B84">
        <w:t>Documented evidence of the statistician’s approval of (each version of) the SAP</w:t>
      </w:r>
      <w:r w:rsidR="008C54CA">
        <w:t>.</w:t>
      </w:r>
    </w:p>
    <w:p w14:paraId="7BA9226C" w14:textId="1A9C2670" w:rsidR="00782F30" w:rsidRPr="00D01B84" w:rsidRDefault="00782F30" w:rsidP="00782F30">
      <w:pPr>
        <w:pStyle w:val="bullet1"/>
        <w:numPr>
          <w:ilvl w:val="0"/>
          <w:numId w:val="3"/>
        </w:numPr>
        <w:ind w:left="340" w:hanging="340"/>
      </w:pPr>
      <w:r w:rsidRPr="00D01B84">
        <w:t xml:space="preserve">Where amendments to the </w:t>
      </w:r>
      <w:r w:rsidR="008C54CA">
        <w:t>project</w:t>
      </w:r>
      <w:r w:rsidR="008C54CA" w:rsidRPr="00D01B84">
        <w:t xml:space="preserve"> </w:t>
      </w:r>
      <w:r w:rsidRPr="00D01B84">
        <w:t xml:space="preserve">are likely to have an impact on the design and analysis of the </w:t>
      </w:r>
      <w:r w:rsidR="008C54CA">
        <w:t>clinical research</w:t>
      </w:r>
      <w:r w:rsidRPr="00D01B84">
        <w:t>: evidence that the impact of these have been reviewed by the statistician, with any changes justified and appropriate version control applied.</w:t>
      </w:r>
    </w:p>
    <w:p w14:paraId="229A9235" w14:textId="45E8D203" w:rsidR="00782F30" w:rsidRPr="00D01B84" w:rsidRDefault="00782F30" w:rsidP="00782F30">
      <w:pPr>
        <w:pStyle w:val="bullet1"/>
        <w:numPr>
          <w:ilvl w:val="0"/>
          <w:numId w:val="3"/>
        </w:numPr>
        <w:ind w:left="340" w:hanging="340"/>
      </w:pPr>
      <w:r w:rsidRPr="00D01B84">
        <w:t>Evidence of quality check, data cleaning and data validation processes</w:t>
      </w:r>
      <w:r w:rsidR="00400E43">
        <w:t>. For clinical trials, this will be</w:t>
      </w:r>
      <w:r w:rsidRPr="00D01B84">
        <w:t xml:space="preserve"> </w:t>
      </w:r>
      <w:r w:rsidR="00400E43">
        <w:t xml:space="preserve">in accordance with the </w:t>
      </w:r>
      <w:bookmarkStart w:id="10" w:name="_Hlk121754274"/>
      <w:r w:rsidRPr="00D01B84">
        <w:rPr>
          <w:rStyle w:val="ReferencestootherSOPsQCDsChar"/>
        </w:rPr>
        <w:t>Data Management</w:t>
      </w:r>
      <w:r w:rsidR="00400E43">
        <w:rPr>
          <w:rStyle w:val="ReferencestootherSOPsQCDsChar"/>
        </w:rPr>
        <w:t xml:space="preserve"> SOP (</w:t>
      </w:r>
      <w:r w:rsidR="00400E43" w:rsidRPr="00D01B84">
        <w:rPr>
          <w:rStyle w:val="ReferencestootherSOPsQCDsChar"/>
        </w:rPr>
        <w:t>UoB-DMA-SOP-001</w:t>
      </w:r>
      <w:r w:rsidR="00400E43">
        <w:rPr>
          <w:rStyle w:val="ReferencestootherSOPsQCDsChar"/>
        </w:rPr>
        <w:t>)</w:t>
      </w:r>
      <w:r w:rsidRPr="00D01B84">
        <w:t>.</w:t>
      </w:r>
      <w:bookmarkEnd w:id="10"/>
    </w:p>
    <w:p w14:paraId="1EE7B03B" w14:textId="6D7AB6EA" w:rsidR="00782F30" w:rsidRPr="00D01B84" w:rsidRDefault="00782F30" w:rsidP="00782F30">
      <w:pPr>
        <w:pStyle w:val="bullet1"/>
        <w:numPr>
          <w:ilvl w:val="0"/>
          <w:numId w:val="3"/>
        </w:numPr>
        <w:ind w:left="340" w:hanging="340"/>
      </w:pPr>
      <w:r w:rsidRPr="00D01B84">
        <w:t>Evidence that the data has been locked (or a snapshot has been created) prior to the start of the statistical analysis</w:t>
      </w:r>
      <w:r w:rsidR="00400E43">
        <w:t>.</w:t>
      </w:r>
      <w:r w:rsidRPr="00D01B84">
        <w:t xml:space="preserve"> </w:t>
      </w:r>
      <w:r w:rsidR="00400E43">
        <w:t>For clinical trials, this will be</w:t>
      </w:r>
      <w:r w:rsidR="00400E43" w:rsidRPr="00D01B84">
        <w:t xml:space="preserve"> </w:t>
      </w:r>
      <w:r w:rsidR="00400E43">
        <w:t xml:space="preserve">in accordance with the </w:t>
      </w:r>
      <w:r w:rsidR="00400E43" w:rsidRPr="00D01B84">
        <w:rPr>
          <w:rStyle w:val="ReferencestootherSOPsQCDsChar"/>
        </w:rPr>
        <w:t>Data Management</w:t>
      </w:r>
      <w:r w:rsidR="00400E43">
        <w:rPr>
          <w:rStyle w:val="ReferencestootherSOPsQCDsChar"/>
        </w:rPr>
        <w:t xml:space="preserve"> SOP (</w:t>
      </w:r>
      <w:r w:rsidR="00400E43" w:rsidRPr="00D01B84">
        <w:rPr>
          <w:rStyle w:val="ReferencestootherSOPsQCDsChar"/>
        </w:rPr>
        <w:t>UoB-DMA-SOP-001</w:t>
      </w:r>
      <w:r w:rsidR="00400E43">
        <w:rPr>
          <w:rStyle w:val="ReferencestootherSOPsQCDsChar"/>
        </w:rPr>
        <w:t>)</w:t>
      </w:r>
      <w:r w:rsidR="00400E43" w:rsidRPr="00D01B84">
        <w:t>.</w:t>
      </w:r>
    </w:p>
    <w:p w14:paraId="39608B05" w14:textId="77777777" w:rsidR="00782F30" w:rsidRPr="00D01B84" w:rsidRDefault="00782F30" w:rsidP="00782F30">
      <w:pPr>
        <w:pStyle w:val="bullet1"/>
        <w:numPr>
          <w:ilvl w:val="0"/>
          <w:numId w:val="3"/>
        </w:numPr>
        <w:ind w:left="340" w:hanging="340"/>
      </w:pPr>
      <w:r w:rsidRPr="00D01B84">
        <w:t>An audit trail in the statistical analysis process in order to allow the data analysis to be reconstructed from start to finish, with appropriate version control applied.</w:t>
      </w:r>
    </w:p>
    <w:p w14:paraId="47C21283" w14:textId="17C82253" w:rsidR="00782F30" w:rsidRPr="00D01B84" w:rsidRDefault="00782F30" w:rsidP="00782F30">
      <w:pPr>
        <w:pStyle w:val="bullet1"/>
        <w:numPr>
          <w:ilvl w:val="0"/>
          <w:numId w:val="3"/>
        </w:numPr>
        <w:ind w:left="340" w:hanging="340"/>
      </w:pPr>
      <w:r w:rsidRPr="00D01B84">
        <w:t xml:space="preserve">Evidence of appropriate checks by the statistician to ensure the outputs of the statistical analysis process is accurate. </w:t>
      </w:r>
    </w:p>
    <w:p w14:paraId="7B4D014E" w14:textId="77777777" w:rsidR="00782F30" w:rsidRPr="00D01B84" w:rsidRDefault="00782F30" w:rsidP="00782F30">
      <w:pPr>
        <w:pStyle w:val="bullet1"/>
        <w:numPr>
          <w:ilvl w:val="0"/>
          <w:numId w:val="3"/>
        </w:numPr>
        <w:ind w:left="340" w:hanging="340"/>
      </w:pPr>
      <w:r w:rsidRPr="00D01B84">
        <w:t>Evidence that the SAP has been followed.</w:t>
      </w:r>
    </w:p>
    <w:p w14:paraId="543805BF" w14:textId="73D9929B" w:rsidR="00782F30" w:rsidRPr="00D01B84" w:rsidRDefault="00782F30" w:rsidP="00782F30">
      <w:pPr>
        <w:pStyle w:val="bullet1"/>
        <w:numPr>
          <w:ilvl w:val="0"/>
          <w:numId w:val="3"/>
        </w:numPr>
        <w:ind w:left="340" w:hanging="340"/>
      </w:pPr>
      <w:r w:rsidRPr="00D01B84">
        <w:t>Evidence that the statistician has reviewed publications prior to submission</w:t>
      </w:r>
      <w:r w:rsidR="008C54CA">
        <w:t>.</w:t>
      </w:r>
    </w:p>
    <w:p w14:paraId="04414655" w14:textId="5A7ADED1" w:rsidR="00782F30" w:rsidRPr="00D01B84" w:rsidRDefault="00782F30" w:rsidP="00782F30">
      <w:pPr>
        <w:pStyle w:val="bullet1"/>
        <w:numPr>
          <w:ilvl w:val="0"/>
          <w:numId w:val="3"/>
        </w:numPr>
        <w:ind w:left="340" w:hanging="340"/>
      </w:pPr>
      <w:r w:rsidRPr="00D01B84">
        <w:t xml:space="preserve">Evidence that the documentation related to statistical processes has been stored as per </w:t>
      </w:r>
      <w:r w:rsidR="00294AD1">
        <w:t xml:space="preserve">the </w:t>
      </w:r>
      <w:r w:rsidRPr="00D01B84">
        <w:rPr>
          <w:rStyle w:val="ReferencestootherSOPsQCDsChar"/>
        </w:rPr>
        <w:t>Archiving</w:t>
      </w:r>
      <w:r w:rsidR="00294AD1">
        <w:rPr>
          <w:rStyle w:val="ReferencestootherSOPsQCDsChar"/>
        </w:rPr>
        <w:t xml:space="preserve"> SOP (</w:t>
      </w:r>
      <w:r w:rsidR="00294AD1" w:rsidRPr="00D01B84">
        <w:rPr>
          <w:rStyle w:val="ReferencestootherSOPsQCDsChar"/>
        </w:rPr>
        <w:t>UoB-ARC-SOP-001</w:t>
      </w:r>
      <w:r w:rsidR="00294AD1">
        <w:rPr>
          <w:rStyle w:val="ReferencestootherSOPsQCDsChar"/>
        </w:rPr>
        <w:t>)</w:t>
      </w:r>
      <w:r w:rsidRPr="00D01B84">
        <w:t>.</w:t>
      </w:r>
    </w:p>
    <w:p w14:paraId="5733EB77" w14:textId="55D452B6" w:rsidR="007B4836" w:rsidRDefault="007B4836">
      <w:pPr>
        <w:pStyle w:val="Heading1"/>
      </w:pPr>
      <w:r w:rsidRPr="006561C0">
        <w:t>Related</w:t>
      </w:r>
      <w:r>
        <w:t xml:space="preserve"> documents</w:t>
      </w:r>
      <w:bookmarkEnd w:id="2"/>
    </w:p>
    <w:p w14:paraId="78D18518" w14:textId="77777777" w:rsidR="005D6BA8" w:rsidRDefault="005D6BA8" w:rsidP="00782F30">
      <w:pPr>
        <w:pStyle w:val="bullet1"/>
        <w:numPr>
          <w:ilvl w:val="0"/>
          <w:numId w:val="3"/>
        </w:numPr>
        <w:ind w:left="340" w:hanging="340"/>
      </w:pPr>
      <w:r>
        <w:t>UoB-ARC-SOP-001 Archiving</w:t>
      </w:r>
    </w:p>
    <w:p w14:paraId="18EBDBEA" w14:textId="77777777" w:rsidR="005D6BA8" w:rsidRDefault="005D6BA8" w:rsidP="00B22D92">
      <w:pPr>
        <w:pStyle w:val="bullet1"/>
        <w:numPr>
          <w:ilvl w:val="0"/>
          <w:numId w:val="3"/>
        </w:numPr>
        <w:ind w:left="340" w:hanging="340"/>
      </w:pPr>
      <w:r>
        <w:t>UoB-CLO-SOP-001 Project Closure</w:t>
      </w:r>
    </w:p>
    <w:p w14:paraId="2B604C97" w14:textId="77777777" w:rsidR="005D6BA8" w:rsidRDefault="005D6BA8" w:rsidP="00782F30">
      <w:pPr>
        <w:pStyle w:val="bullet1"/>
        <w:numPr>
          <w:ilvl w:val="0"/>
          <w:numId w:val="3"/>
        </w:numPr>
        <w:ind w:left="340" w:hanging="340"/>
      </w:pPr>
      <w:r>
        <w:t>UoB-</w:t>
      </w:r>
      <w:r w:rsidDel="008A302B">
        <w:t>CRT-</w:t>
      </w:r>
      <w:r>
        <w:t>CRF-SOP-001 Case Report Form Development</w:t>
      </w:r>
    </w:p>
    <w:p w14:paraId="2867199E" w14:textId="77777777" w:rsidR="005D6BA8" w:rsidRDefault="005D6BA8" w:rsidP="00782F30">
      <w:pPr>
        <w:pStyle w:val="bullet1"/>
        <w:numPr>
          <w:ilvl w:val="0"/>
          <w:numId w:val="3"/>
        </w:numPr>
        <w:ind w:left="340" w:hanging="340"/>
      </w:pPr>
      <w:r>
        <w:t>UoB-DMA-SOP-001 Data Management</w:t>
      </w:r>
    </w:p>
    <w:p w14:paraId="164E974C" w14:textId="77777777" w:rsidR="005D6BA8" w:rsidRDefault="005D6BA8" w:rsidP="00B22D92">
      <w:pPr>
        <w:pStyle w:val="bullet1"/>
        <w:numPr>
          <w:ilvl w:val="0"/>
          <w:numId w:val="3"/>
        </w:numPr>
        <w:ind w:left="340" w:hanging="340"/>
      </w:pPr>
      <w:r w:rsidRPr="00EA3E06">
        <w:t>UoB-</w:t>
      </w:r>
      <w:r>
        <w:t>GCP</w:t>
      </w:r>
      <w:r w:rsidRPr="00EA3E06">
        <w:t>-POL-001 UoB Principles of GCP for Clinical Research</w:t>
      </w:r>
    </w:p>
    <w:p w14:paraId="600EEA5E" w14:textId="77777777" w:rsidR="005D6BA8" w:rsidRDefault="005D6BA8" w:rsidP="00B22D92">
      <w:pPr>
        <w:pStyle w:val="bullet1"/>
        <w:numPr>
          <w:ilvl w:val="0"/>
          <w:numId w:val="3"/>
        </w:numPr>
        <w:ind w:left="340" w:hanging="340"/>
      </w:pPr>
      <w:r>
        <w:t>UoB-RND-SOP-001 Randomisation and Blinding</w:t>
      </w:r>
    </w:p>
    <w:p w14:paraId="3741F4FC" w14:textId="77777777" w:rsidR="005D6BA8" w:rsidRDefault="005D6BA8" w:rsidP="00782F30">
      <w:pPr>
        <w:pStyle w:val="bullet1"/>
        <w:numPr>
          <w:ilvl w:val="0"/>
          <w:numId w:val="3"/>
        </w:numPr>
        <w:ind w:left="340" w:hanging="340"/>
      </w:pPr>
      <w:r w:rsidRPr="00E52CC6">
        <w:t>UoB-SPO-QCD-001</w:t>
      </w:r>
      <w:r>
        <w:t xml:space="preserve"> Clinical Trials Task Delegation Log</w:t>
      </w:r>
    </w:p>
    <w:p w14:paraId="78604368" w14:textId="77777777" w:rsidR="005D6BA8" w:rsidRDefault="005D6BA8" w:rsidP="00782F30">
      <w:pPr>
        <w:pStyle w:val="bullet1"/>
        <w:numPr>
          <w:ilvl w:val="0"/>
          <w:numId w:val="3"/>
        </w:numPr>
        <w:ind w:left="340" w:hanging="340"/>
      </w:pPr>
      <w:r>
        <w:t>UoB-TRN-SOP-001 Training</w:t>
      </w:r>
    </w:p>
    <w:p w14:paraId="09D4F55F" w14:textId="377C87AA" w:rsidR="007F5173" w:rsidRPr="00212E62" w:rsidRDefault="007F5173" w:rsidP="007F5173">
      <w:pPr>
        <w:rPr>
          <w:lang w:eastAsia="en-GB"/>
        </w:rPr>
      </w:pPr>
      <w:bookmarkStart w:id="11" w:name="_Hlk83653731"/>
      <w:r>
        <w:lastRenderedPageBreak/>
        <w:t>UoB QMS documents can be found on the</w:t>
      </w:r>
      <w:hyperlink r:id="rId24" w:tooltip="Link to the Clinical Research Compliance Team's Website" w:history="1">
        <w:r w:rsidRPr="00DE317C">
          <w:rPr>
            <w:rStyle w:val="Hyperlink"/>
          </w:rPr>
          <w:t xml:space="preserve"> </w:t>
        </w:r>
        <w:r w:rsidRPr="00DE317C">
          <w:rPr>
            <w:rStyle w:val="Hyperlink"/>
            <w:lang w:eastAsia="en-GB"/>
          </w:rPr>
          <w:t>CRCT website</w:t>
        </w:r>
      </w:hyperlink>
      <w:r>
        <w:rPr>
          <w:lang w:eastAsia="en-GB"/>
        </w:rPr>
        <w:t>. Internal work instructions can be obtained from the CRCT (</w:t>
      </w:r>
      <w:hyperlink r:id="rId25" w:tooltip="Email address for the Clinical Research Compliance Team" w:history="1">
        <w:r w:rsidRPr="00212E62">
          <w:rPr>
            <w:rStyle w:val="Hyperlink"/>
            <w:lang w:eastAsia="en-GB"/>
          </w:rPr>
          <w:t>crct@contacts.bham.ac.uk</w:t>
        </w:r>
      </w:hyperlink>
      <w:r>
        <w:rPr>
          <w:lang w:eastAsia="en-GB"/>
        </w:rPr>
        <w:t>) and/or from the RGT (</w:t>
      </w:r>
      <w:hyperlink r:id="rId26" w:tooltip="Email address for the Research Governance Team" w:history="1">
        <w:r w:rsidRPr="00212E62">
          <w:rPr>
            <w:rStyle w:val="Hyperlink"/>
            <w:lang w:eastAsia="en-GB"/>
          </w:rPr>
          <w:t>researchgovernance@contacts.bham.ac.uk</w:t>
        </w:r>
      </w:hyperlink>
      <w:r>
        <w:t>).</w:t>
      </w:r>
      <w:bookmarkEnd w:id="11"/>
    </w:p>
    <w:p w14:paraId="26E1C1CF" w14:textId="741F9695" w:rsidR="007B4836" w:rsidRDefault="007B4836">
      <w:pPr>
        <w:pStyle w:val="Heading1"/>
      </w:pPr>
      <w:r w:rsidRPr="005D17F6">
        <w:t>References</w:t>
      </w:r>
      <w:r w:rsidR="005F0420">
        <w:t xml:space="preserve"> and </w:t>
      </w:r>
      <w:r w:rsidR="007F5173">
        <w:t xml:space="preserve">frameworks </w:t>
      </w:r>
    </w:p>
    <w:p w14:paraId="47589C41" w14:textId="58497218" w:rsidR="00CA67B3" w:rsidRDefault="004A7D86" w:rsidP="00CA67B3">
      <w:pPr>
        <w:pStyle w:val="bullet1"/>
        <w:numPr>
          <w:ilvl w:val="0"/>
          <w:numId w:val="3"/>
        </w:numPr>
        <w:ind w:left="340" w:hanging="340"/>
      </w:pPr>
      <w:r>
        <w:t xml:space="preserve">The </w:t>
      </w:r>
      <w:r w:rsidR="00CA67B3">
        <w:t xml:space="preserve">CONSORT (Consolidated Standards of Reporting Trials) </w:t>
      </w:r>
      <w:r>
        <w:t xml:space="preserve">Statement </w:t>
      </w:r>
      <w:r w:rsidR="00CA67B3">
        <w:t xml:space="preserve">guideline: </w:t>
      </w:r>
      <w:hyperlink r:id="rId27" w:tooltip="Link to CONSORT (Consolidated Standards of Reporting Trials) Statement guideline" w:history="1">
        <w:r w:rsidR="00CA67B3" w:rsidRPr="000E3054">
          <w:rPr>
            <w:rStyle w:val="Hyperlink"/>
          </w:rPr>
          <w:t>http://www.consort-statement.org/</w:t>
        </w:r>
      </w:hyperlink>
      <w:r w:rsidR="008C54CA">
        <w:t>.</w:t>
      </w:r>
    </w:p>
    <w:p w14:paraId="2D6F46C0" w14:textId="7AB981A9" w:rsidR="00CA67B3" w:rsidRDefault="00CA67B3" w:rsidP="00CA67B3">
      <w:pPr>
        <w:pStyle w:val="bullet1"/>
        <w:numPr>
          <w:ilvl w:val="0"/>
          <w:numId w:val="3"/>
        </w:numPr>
        <w:ind w:left="340" w:hanging="340"/>
      </w:pPr>
      <w:r>
        <w:t xml:space="preserve">Extensions of the CONSORT </w:t>
      </w:r>
      <w:r w:rsidR="004A7D86">
        <w:t>S</w:t>
      </w:r>
      <w:r>
        <w:t xml:space="preserve">tatement: </w:t>
      </w:r>
      <w:hyperlink r:id="rId28" w:tooltip="Link to Extensions of the CONSORT statement" w:history="1">
        <w:r w:rsidRPr="000E3054">
          <w:rPr>
            <w:rStyle w:val="Hyperlink"/>
          </w:rPr>
          <w:t>http://www.consort-statement.org/extensions</w:t>
        </w:r>
      </w:hyperlink>
      <w:r w:rsidR="008C54CA">
        <w:t>.</w:t>
      </w:r>
    </w:p>
    <w:p w14:paraId="3DD4F362" w14:textId="77777777" w:rsidR="00782F30" w:rsidRDefault="00782F30" w:rsidP="00782F30">
      <w:pPr>
        <w:pStyle w:val="bullet1"/>
        <w:numPr>
          <w:ilvl w:val="0"/>
          <w:numId w:val="3"/>
        </w:numPr>
        <w:ind w:left="340" w:hanging="340"/>
      </w:pPr>
      <w:r>
        <w:t>Medicines and Healthcare products Regulatory Agency (MHRA). Good Clinical Practice Guide, London: The Stationery Office, 2012.</w:t>
      </w:r>
    </w:p>
    <w:p w14:paraId="7C7022AF" w14:textId="49E8B209" w:rsidR="00B10C05" w:rsidRDefault="00B10C05">
      <w:pPr>
        <w:pStyle w:val="Heading1"/>
      </w:pPr>
      <w:r w:rsidRPr="00522ABB">
        <w:t>Abbreviations</w:t>
      </w:r>
      <w:r>
        <w:t xml:space="preserve"> and </w:t>
      </w:r>
      <w:r w:rsidR="007F5173">
        <w:t>definitions</w:t>
      </w:r>
      <w:r>
        <w: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4BD36D02" w14:textId="77777777" w:rsidTr="00782F30">
        <w:trPr>
          <w:cantSplit/>
          <w:tblHeader/>
        </w:trPr>
        <w:tc>
          <w:tcPr>
            <w:tcW w:w="2462" w:type="dxa"/>
            <w:vAlign w:val="center"/>
          </w:tcPr>
          <w:p w14:paraId="74EF9AAB" w14:textId="77777777" w:rsidR="00CC61A6" w:rsidRPr="003D5BFC" w:rsidRDefault="00CC61A6" w:rsidP="00043513">
            <w:pPr>
              <w:pStyle w:val="Heading2"/>
            </w:pPr>
            <w:r w:rsidRPr="003D5BFC">
              <w:t>Term</w:t>
            </w:r>
          </w:p>
        </w:tc>
        <w:tc>
          <w:tcPr>
            <w:tcW w:w="6555" w:type="dxa"/>
            <w:vAlign w:val="center"/>
          </w:tcPr>
          <w:p w14:paraId="270D7F25" w14:textId="77777777" w:rsidR="00CC61A6" w:rsidRPr="003D5BFC" w:rsidRDefault="00CC61A6" w:rsidP="00043513">
            <w:pPr>
              <w:pStyle w:val="Heading2"/>
            </w:pPr>
            <w:r w:rsidRPr="003D5BFC">
              <w:t>Description</w:t>
            </w:r>
          </w:p>
        </w:tc>
      </w:tr>
      <w:tr w:rsidR="00D70716" w14:paraId="2C0941DC" w14:textId="77777777" w:rsidTr="00782F30">
        <w:trPr>
          <w:cantSplit/>
        </w:trPr>
        <w:tc>
          <w:tcPr>
            <w:tcW w:w="2462" w:type="dxa"/>
          </w:tcPr>
          <w:p w14:paraId="51AF62A0" w14:textId="267B539C" w:rsidR="00D70716" w:rsidRDefault="00D70716" w:rsidP="00782F30">
            <w:pPr>
              <w:rPr>
                <w:b/>
              </w:rPr>
            </w:pPr>
            <w:r>
              <w:rPr>
                <w:b/>
              </w:rPr>
              <w:t>CI</w:t>
            </w:r>
          </w:p>
        </w:tc>
        <w:tc>
          <w:tcPr>
            <w:tcW w:w="6555" w:type="dxa"/>
          </w:tcPr>
          <w:p w14:paraId="5067753B" w14:textId="602AB2ED" w:rsidR="00D70716" w:rsidRDefault="00D70716">
            <w:r>
              <w:t>Chief investigator</w:t>
            </w:r>
          </w:p>
        </w:tc>
      </w:tr>
      <w:tr w:rsidR="00671F01" w14:paraId="7E8632F5" w14:textId="77777777" w:rsidTr="00782F30">
        <w:trPr>
          <w:cantSplit/>
        </w:trPr>
        <w:tc>
          <w:tcPr>
            <w:tcW w:w="2462" w:type="dxa"/>
          </w:tcPr>
          <w:p w14:paraId="24B3116E" w14:textId="6C141285" w:rsidR="00671F01" w:rsidRDefault="00671F01" w:rsidP="00782F30">
            <w:pPr>
              <w:rPr>
                <w:b/>
              </w:rPr>
            </w:pPr>
            <w:r w:rsidRPr="00B22D92">
              <w:rPr>
                <w:rStyle w:val="AbbreviationsDefinitionsTermChar"/>
              </w:rPr>
              <w:t>CONSORT</w:t>
            </w:r>
          </w:p>
        </w:tc>
        <w:tc>
          <w:tcPr>
            <w:tcW w:w="6555" w:type="dxa"/>
          </w:tcPr>
          <w:p w14:paraId="04B067AE" w14:textId="5C1E0CAB" w:rsidR="00671F01" w:rsidRDefault="00671F01">
            <w:r>
              <w:t>Consolidated standards of reporting trials</w:t>
            </w:r>
          </w:p>
        </w:tc>
      </w:tr>
      <w:tr w:rsidR="00782F30" w14:paraId="169D1B34" w14:textId="77777777" w:rsidTr="00782F30">
        <w:trPr>
          <w:cantSplit/>
        </w:trPr>
        <w:tc>
          <w:tcPr>
            <w:tcW w:w="2462" w:type="dxa"/>
          </w:tcPr>
          <w:p w14:paraId="0909B2E8" w14:textId="07D8EED7" w:rsidR="00782F30" w:rsidRPr="00503AD9" w:rsidRDefault="00D70716" w:rsidP="00782F30">
            <w:pPr>
              <w:rPr>
                <w:b/>
              </w:rPr>
            </w:pPr>
            <w:r>
              <w:rPr>
                <w:b/>
              </w:rPr>
              <w:t>CRCT</w:t>
            </w:r>
          </w:p>
        </w:tc>
        <w:tc>
          <w:tcPr>
            <w:tcW w:w="6555" w:type="dxa"/>
          </w:tcPr>
          <w:p w14:paraId="54212534" w14:textId="3D4F51AD" w:rsidR="00782F30" w:rsidRPr="00BD1740" w:rsidRDefault="00D70716">
            <w:pPr>
              <w:rPr>
                <w:rFonts w:eastAsia="Calibri"/>
              </w:rPr>
            </w:pPr>
            <w:r>
              <w:t xml:space="preserve">Clinical </w:t>
            </w:r>
            <w:r w:rsidR="00140217">
              <w:t>R</w:t>
            </w:r>
            <w:r>
              <w:t xml:space="preserve">esearch </w:t>
            </w:r>
            <w:r w:rsidR="00140217">
              <w:t>C</w:t>
            </w:r>
            <w:r>
              <w:t xml:space="preserve">ompliance </w:t>
            </w:r>
            <w:r w:rsidR="00140217">
              <w:t>T</w:t>
            </w:r>
            <w:r>
              <w:t>eam</w:t>
            </w:r>
          </w:p>
        </w:tc>
      </w:tr>
      <w:tr w:rsidR="00782F30" w14:paraId="1E1C9F0F" w14:textId="77777777" w:rsidTr="00782F30">
        <w:trPr>
          <w:cantSplit/>
        </w:trPr>
        <w:tc>
          <w:tcPr>
            <w:tcW w:w="2462" w:type="dxa"/>
          </w:tcPr>
          <w:p w14:paraId="24294F2B" w14:textId="115E9C1B" w:rsidR="00782F30" w:rsidRPr="00503AD9" w:rsidRDefault="00782F30" w:rsidP="00782F30">
            <w:pPr>
              <w:rPr>
                <w:b/>
              </w:rPr>
            </w:pPr>
            <w:r w:rsidRPr="00503AD9">
              <w:rPr>
                <w:b/>
              </w:rPr>
              <w:t>CRF</w:t>
            </w:r>
          </w:p>
        </w:tc>
        <w:tc>
          <w:tcPr>
            <w:tcW w:w="6555" w:type="dxa"/>
          </w:tcPr>
          <w:p w14:paraId="5FCEDDB7" w14:textId="39EDB0B0" w:rsidR="00782F30" w:rsidRPr="00BD1740" w:rsidRDefault="00CC45AB">
            <w:pPr>
              <w:rPr>
                <w:rFonts w:eastAsia="Calibri"/>
              </w:rPr>
            </w:pPr>
            <w:r>
              <w:t>Case report form</w:t>
            </w:r>
            <w:r w:rsidR="00782F30" w:rsidRPr="006334E2">
              <w:t xml:space="preserve"> </w:t>
            </w:r>
          </w:p>
        </w:tc>
      </w:tr>
      <w:tr w:rsidR="00782F30" w14:paraId="740B7281" w14:textId="77777777" w:rsidTr="00782F30">
        <w:trPr>
          <w:cantSplit/>
        </w:trPr>
        <w:tc>
          <w:tcPr>
            <w:tcW w:w="2462" w:type="dxa"/>
          </w:tcPr>
          <w:p w14:paraId="3133FB26" w14:textId="77777777" w:rsidR="00782F30" w:rsidRPr="00503AD9" w:rsidRDefault="00782F30" w:rsidP="00782F30">
            <w:pPr>
              <w:rPr>
                <w:b/>
              </w:rPr>
            </w:pPr>
            <w:r w:rsidRPr="00503AD9">
              <w:rPr>
                <w:b/>
              </w:rPr>
              <w:t>CTIMP</w:t>
            </w:r>
          </w:p>
        </w:tc>
        <w:tc>
          <w:tcPr>
            <w:tcW w:w="6555" w:type="dxa"/>
            <w:vAlign w:val="center"/>
          </w:tcPr>
          <w:p w14:paraId="32369C00" w14:textId="0F356BAC" w:rsidR="00782F30" w:rsidRPr="006334E2" w:rsidRDefault="00782F30" w:rsidP="008C54CA">
            <w:r w:rsidRPr="0083686D">
              <w:t xml:space="preserve">Clinical </w:t>
            </w:r>
            <w:r w:rsidR="00CC45AB">
              <w:t>t</w:t>
            </w:r>
            <w:r w:rsidRPr="0083686D">
              <w:t xml:space="preserve">rial of an </w:t>
            </w:r>
            <w:r w:rsidR="00CC45AB">
              <w:t>i</w:t>
            </w:r>
            <w:r w:rsidRPr="0083686D">
              <w:t xml:space="preserve">nvestigational </w:t>
            </w:r>
            <w:r w:rsidR="00CC45AB">
              <w:t>m</w:t>
            </w:r>
            <w:r w:rsidRPr="0083686D">
              <w:t xml:space="preserve">edicinal </w:t>
            </w:r>
            <w:r w:rsidR="00CC45AB">
              <w:t>p</w:t>
            </w:r>
            <w:r w:rsidRPr="0083686D">
              <w:t>roduct</w:t>
            </w:r>
          </w:p>
        </w:tc>
      </w:tr>
      <w:tr w:rsidR="00671F01" w14:paraId="06CD70AC" w14:textId="77777777" w:rsidTr="00782F30">
        <w:trPr>
          <w:cantSplit/>
        </w:trPr>
        <w:tc>
          <w:tcPr>
            <w:tcW w:w="2462" w:type="dxa"/>
          </w:tcPr>
          <w:p w14:paraId="7132F797" w14:textId="7A8218C6" w:rsidR="00671F01" w:rsidRPr="00503AD9" w:rsidRDefault="00671F01" w:rsidP="00782F30">
            <w:pPr>
              <w:rPr>
                <w:b/>
              </w:rPr>
            </w:pPr>
            <w:r>
              <w:rPr>
                <w:b/>
              </w:rPr>
              <w:t>CTU</w:t>
            </w:r>
          </w:p>
        </w:tc>
        <w:tc>
          <w:tcPr>
            <w:tcW w:w="6555" w:type="dxa"/>
            <w:vAlign w:val="center"/>
          </w:tcPr>
          <w:p w14:paraId="4B513E3C" w14:textId="6BFD5691" w:rsidR="00671F01" w:rsidRPr="0083686D" w:rsidDel="00CC45AB" w:rsidRDefault="00671F01" w:rsidP="008C54CA">
            <w:r>
              <w:t>Clinical trials unit</w:t>
            </w:r>
          </w:p>
        </w:tc>
      </w:tr>
      <w:tr w:rsidR="00875BC2" w14:paraId="3F00E5C9" w14:textId="77777777" w:rsidTr="00782F30">
        <w:trPr>
          <w:cantSplit/>
        </w:trPr>
        <w:tc>
          <w:tcPr>
            <w:tcW w:w="2462" w:type="dxa"/>
          </w:tcPr>
          <w:p w14:paraId="2DEB8C59" w14:textId="70EEF594" w:rsidR="00875BC2" w:rsidRPr="00503AD9" w:rsidRDefault="00875BC2" w:rsidP="00B22D92">
            <w:pPr>
              <w:pStyle w:val="AbbreviationsDefinitionsTerm"/>
            </w:pPr>
            <w:r>
              <w:t>DMC</w:t>
            </w:r>
          </w:p>
        </w:tc>
        <w:tc>
          <w:tcPr>
            <w:tcW w:w="6555" w:type="dxa"/>
          </w:tcPr>
          <w:p w14:paraId="40740C19" w14:textId="47E660D6" w:rsidR="00875BC2" w:rsidRPr="006D57DE" w:rsidRDefault="00D70716" w:rsidP="00782F30">
            <w:r>
              <w:t>Data monitoring committee</w:t>
            </w:r>
            <w:r w:rsidR="00875BC2">
              <w:t xml:space="preserve"> </w:t>
            </w:r>
          </w:p>
        </w:tc>
      </w:tr>
      <w:tr w:rsidR="00782F30" w14:paraId="07440429" w14:textId="77777777" w:rsidTr="00782F30">
        <w:trPr>
          <w:cantSplit/>
        </w:trPr>
        <w:tc>
          <w:tcPr>
            <w:tcW w:w="2462" w:type="dxa"/>
          </w:tcPr>
          <w:p w14:paraId="28841241" w14:textId="77777777" w:rsidR="00782F30" w:rsidRPr="00503AD9" w:rsidRDefault="00782F30" w:rsidP="00782F30">
            <w:pPr>
              <w:rPr>
                <w:b/>
              </w:rPr>
            </w:pPr>
            <w:r>
              <w:rPr>
                <w:b/>
              </w:rPr>
              <w:t>GCP</w:t>
            </w:r>
          </w:p>
        </w:tc>
        <w:tc>
          <w:tcPr>
            <w:tcW w:w="6555" w:type="dxa"/>
          </w:tcPr>
          <w:p w14:paraId="6DBD03B4" w14:textId="77777777" w:rsidR="00782F30" w:rsidRPr="00376D57" w:rsidRDefault="00782F30" w:rsidP="00782F30">
            <w:r>
              <w:t>Good Clinical Practice</w:t>
            </w:r>
          </w:p>
        </w:tc>
      </w:tr>
      <w:tr w:rsidR="00782F30" w14:paraId="3F8AB6CD" w14:textId="77777777" w:rsidTr="00782F30">
        <w:trPr>
          <w:cantSplit/>
        </w:trPr>
        <w:tc>
          <w:tcPr>
            <w:tcW w:w="2462" w:type="dxa"/>
          </w:tcPr>
          <w:p w14:paraId="57603E6F" w14:textId="6C1DBB3F" w:rsidR="00782F30" w:rsidRPr="00503AD9" w:rsidRDefault="00671F01" w:rsidP="00782F30">
            <w:pPr>
              <w:rPr>
                <w:b/>
              </w:rPr>
            </w:pPr>
            <w:r>
              <w:rPr>
                <w:b/>
              </w:rPr>
              <w:t>PI</w:t>
            </w:r>
          </w:p>
        </w:tc>
        <w:tc>
          <w:tcPr>
            <w:tcW w:w="6555" w:type="dxa"/>
          </w:tcPr>
          <w:p w14:paraId="2248023E" w14:textId="1DBB39B3" w:rsidR="00782F30" w:rsidRDefault="00671F01" w:rsidP="00782F30">
            <w:r>
              <w:t>Principal investigator</w:t>
            </w:r>
          </w:p>
        </w:tc>
      </w:tr>
      <w:tr w:rsidR="00782F30" w14:paraId="7C92FDC5" w14:textId="77777777" w:rsidTr="00782F30">
        <w:trPr>
          <w:cantSplit/>
          <w:trHeight w:val="70"/>
        </w:trPr>
        <w:tc>
          <w:tcPr>
            <w:tcW w:w="2462" w:type="dxa"/>
          </w:tcPr>
          <w:p w14:paraId="668F10CB" w14:textId="32A1514F" w:rsidR="00782F30" w:rsidRPr="00503AD9" w:rsidRDefault="00D70716" w:rsidP="00782F30">
            <w:pPr>
              <w:rPr>
                <w:b/>
              </w:rPr>
            </w:pPr>
            <w:r>
              <w:rPr>
                <w:b/>
              </w:rPr>
              <w:t>REC</w:t>
            </w:r>
          </w:p>
        </w:tc>
        <w:tc>
          <w:tcPr>
            <w:tcW w:w="6555" w:type="dxa"/>
          </w:tcPr>
          <w:p w14:paraId="19841E81" w14:textId="04E41999" w:rsidR="00782F30" w:rsidRPr="0027215E" w:rsidRDefault="00D70716">
            <w:r>
              <w:t xml:space="preserve">Research </w:t>
            </w:r>
            <w:r w:rsidR="007F5173">
              <w:t>ethics committee</w:t>
            </w:r>
          </w:p>
        </w:tc>
      </w:tr>
      <w:tr w:rsidR="00CA67B3" w14:paraId="7984C555" w14:textId="77777777" w:rsidTr="00782F30">
        <w:trPr>
          <w:cantSplit/>
          <w:trHeight w:val="70"/>
        </w:trPr>
        <w:tc>
          <w:tcPr>
            <w:tcW w:w="2462" w:type="dxa"/>
          </w:tcPr>
          <w:p w14:paraId="4E0C7F11" w14:textId="3C8614CA" w:rsidR="00CA67B3" w:rsidRPr="00503AD9" w:rsidRDefault="00D70716" w:rsidP="00CA67B3">
            <w:pPr>
              <w:rPr>
                <w:b/>
              </w:rPr>
            </w:pPr>
            <w:r>
              <w:rPr>
                <w:b/>
              </w:rPr>
              <w:t>RGT</w:t>
            </w:r>
          </w:p>
        </w:tc>
        <w:tc>
          <w:tcPr>
            <w:tcW w:w="6555" w:type="dxa"/>
          </w:tcPr>
          <w:p w14:paraId="50737CBA" w14:textId="4FF17A28" w:rsidR="00CA67B3" w:rsidRPr="00376D57" w:rsidRDefault="00D70716" w:rsidP="00CA67B3">
            <w:r>
              <w:t xml:space="preserve">Research </w:t>
            </w:r>
            <w:r w:rsidR="001B66F9">
              <w:t>G</w:t>
            </w:r>
            <w:r>
              <w:t xml:space="preserve">overnance </w:t>
            </w:r>
            <w:r w:rsidR="001B66F9">
              <w:t>T</w:t>
            </w:r>
            <w:r>
              <w:t>eam</w:t>
            </w:r>
          </w:p>
        </w:tc>
      </w:tr>
      <w:tr w:rsidR="00CA67B3" w14:paraId="3C5D6512" w14:textId="77777777" w:rsidTr="00782F30">
        <w:trPr>
          <w:cantSplit/>
          <w:trHeight w:val="70"/>
        </w:trPr>
        <w:tc>
          <w:tcPr>
            <w:tcW w:w="2462" w:type="dxa"/>
          </w:tcPr>
          <w:p w14:paraId="2E1E76A3" w14:textId="5E95A7D9" w:rsidR="00CA67B3" w:rsidRPr="00503AD9" w:rsidRDefault="00CA67B3" w:rsidP="00CA67B3">
            <w:pPr>
              <w:rPr>
                <w:b/>
              </w:rPr>
            </w:pPr>
            <w:r w:rsidRPr="00503AD9">
              <w:rPr>
                <w:b/>
              </w:rPr>
              <w:t>SAP</w:t>
            </w:r>
          </w:p>
        </w:tc>
        <w:tc>
          <w:tcPr>
            <w:tcW w:w="6555" w:type="dxa"/>
          </w:tcPr>
          <w:p w14:paraId="61BA1FA8" w14:textId="432478D1" w:rsidR="00CA67B3" w:rsidRPr="0027215E" w:rsidRDefault="00D70716" w:rsidP="008C54CA">
            <w:r>
              <w:t>Statistical analysis plan</w:t>
            </w:r>
          </w:p>
        </w:tc>
      </w:tr>
      <w:tr w:rsidR="008C54CA" w14:paraId="6584BAE7" w14:textId="77777777" w:rsidTr="00400E43">
        <w:trPr>
          <w:cantSplit/>
          <w:trHeight w:val="70"/>
        </w:trPr>
        <w:tc>
          <w:tcPr>
            <w:tcW w:w="2462" w:type="dxa"/>
          </w:tcPr>
          <w:p w14:paraId="4A05CCDD" w14:textId="693BC1AA" w:rsidR="008C54CA" w:rsidRPr="00503AD9" w:rsidRDefault="00D70716" w:rsidP="008C54CA">
            <w:pPr>
              <w:rPr>
                <w:b/>
              </w:rPr>
            </w:pPr>
            <w:r>
              <w:rPr>
                <w:b/>
              </w:rPr>
              <w:t>SOP</w:t>
            </w:r>
          </w:p>
        </w:tc>
        <w:tc>
          <w:tcPr>
            <w:tcW w:w="6555" w:type="dxa"/>
            <w:vAlign w:val="center"/>
          </w:tcPr>
          <w:p w14:paraId="5B910549" w14:textId="16CB6F62" w:rsidR="008C54CA" w:rsidRPr="00376D57" w:rsidRDefault="00D70716" w:rsidP="00AD3777">
            <w:r>
              <w:t>Standard operating procedure</w:t>
            </w:r>
          </w:p>
        </w:tc>
      </w:tr>
      <w:tr w:rsidR="008C54CA" w14:paraId="69B89E8F" w14:textId="77777777" w:rsidTr="00782F30">
        <w:trPr>
          <w:cantSplit/>
          <w:trHeight w:val="70"/>
        </w:trPr>
        <w:tc>
          <w:tcPr>
            <w:tcW w:w="2462" w:type="dxa"/>
          </w:tcPr>
          <w:p w14:paraId="65FB32BC" w14:textId="157CD015" w:rsidR="008C54CA" w:rsidRPr="00503AD9" w:rsidRDefault="00671F01" w:rsidP="008C54CA">
            <w:pPr>
              <w:rPr>
                <w:b/>
              </w:rPr>
            </w:pPr>
            <w:r>
              <w:rPr>
                <w:b/>
              </w:rPr>
              <w:t>S/TMF</w:t>
            </w:r>
          </w:p>
        </w:tc>
        <w:tc>
          <w:tcPr>
            <w:tcW w:w="6555" w:type="dxa"/>
            <w:vAlign w:val="center"/>
          </w:tcPr>
          <w:p w14:paraId="70D65646" w14:textId="7D89CEA2" w:rsidR="008C54CA" w:rsidRPr="0027215E" w:rsidRDefault="00671F01" w:rsidP="008C54CA">
            <w:r>
              <w:t>Study/trial master file</w:t>
            </w:r>
          </w:p>
        </w:tc>
      </w:tr>
      <w:tr w:rsidR="00671F01" w14:paraId="0B286772" w14:textId="77777777" w:rsidTr="00782F30">
        <w:trPr>
          <w:cantSplit/>
          <w:trHeight w:val="70"/>
        </w:trPr>
        <w:tc>
          <w:tcPr>
            <w:tcW w:w="2462" w:type="dxa"/>
          </w:tcPr>
          <w:p w14:paraId="0C759FC7" w14:textId="2AC9205A" w:rsidR="00671F01" w:rsidRDefault="00671F01" w:rsidP="008C54CA">
            <w:pPr>
              <w:rPr>
                <w:b/>
              </w:rPr>
            </w:pPr>
            <w:r>
              <w:rPr>
                <w:b/>
              </w:rPr>
              <w:t>UoB</w:t>
            </w:r>
          </w:p>
        </w:tc>
        <w:tc>
          <w:tcPr>
            <w:tcW w:w="6555" w:type="dxa"/>
            <w:vAlign w:val="center"/>
          </w:tcPr>
          <w:p w14:paraId="177F568F" w14:textId="64BBEFAF" w:rsidR="00671F01" w:rsidRDefault="00671F01" w:rsidP="008C54CA">
            <w:r>
              <w:t>University of Birmingham</w:t>
            </w:r>
          </w:p>
        </w:tc>
      </w:tr>
    </w:tbl>
    <w:p w14:paraId="011ED8AD" w14:textId="590B3D75" w:rsidR="000374CB" w:rsidRDefault="00CA67B3">
      <w:r w:rsidRPr="009C2C63">
        <w:t xml:space="preserve">See also the </w:t>
      </w:r>
      <w:hyperlink r:id="rId29" w:tooltip="Link to CRCT Glossary of Terms" w:history="1">
        <w:r w:rsidRPr="00994EB6">
          <w:rPr>
            <w:rStyle w:val="Hyperlink"/>
          </w:rPr>
          <w:t>Glossary of Terms</w:t>
        </w:r>
      </w:hyperlink>
      <w:r w:rsidRPr="009C2C63">
        <w:t>.</w:t>
      </w:r>
    </w:p>
    <w:sectPr w:rsidR="000374CB" w:rsidSect="003A24EB">
      <w:headerReference w:type="even" r:id="rId30"/>
      <w:footerReference w:type="even" r:id="rId31"/>
      <w:headerReference w:type="first" r:id="rId32"/>
      <w:footerReference w:type="first" r:id="rId33"/>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E7F7" w14:textId="77777777" w:rsidR="00104D3B" w:rsidRDefault="00104D3B" w:rsidP="00F46DE6">
      <w:r>
        <w:separator/>
      </w:r>
    </w:p>
    <w:p w14:paraId="6C1E8F79" w14:textId="77777777" w:rsidR="00104D3B" w:rsidRDefault="00104D3B" w:rsidP="00F46DE6"/>
  </w:endnote>
  <w:endnote w:type="continuationSeparator" w:id="0">
    <w:p w14:paraId="356AA0D3" w14:textId="77777777" w:rsidR="00104D3B" w:rsidRDefault="00104D3B" w:rsidP="00F46DE6">
      <w:r>
        <w:continuationSeparator/>
      </w:r>
    </w:p>
    <w:p w14:paraId="56A87C04" w14:textId="77777777" w:rsidR="00104D3B" w:rsidRDefault="00104D3B"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315C" w14:textId="77777777" w:rsidR="00291DF4" w:rsidRDefault="0029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870B" w14:textId="77777777" w:rsidR="00704205" w:rsidRDefault="00704205" w:rsidP="00276842">
    <w:pPr>
      <w:pStyle w:val="propertystatement"/>
    </w:pPr>
    <w:r w:rsidRPr="002D6577">
      <w:t xml:space="preserve">Property of </w:t>
    </w:r>
    <w:r>
      <w:t xml:space="preserve">the </w:t>
    </w:r>
    <w:r w:rsidRPr="002D6577">
      <w:t>University of Birmingham, Vincent Drive, Edgbaston, Birmingham, B15 2TT, United Kingdom</w:t>
    </w:r>
  </w:p>
  <w:p w14:paraId="5CEC96AC" w14:textId="77777777" w:rsidR="00704205" w:rsidRPr="001348DC" w:rsidRDefault="00704205" w:rsidP="00DD3075">
    <w:pPr>
      <w:pStyle w:val="propertystatement"/>
    </w:pPr>
    <w:r w:rsidRPr="001348DC">
      <w:t>Copies are only valid for 14 days and may be subject to amendment a</w:t>
    </w:r>
    <w:r>
      <w:t>t any time. For the latest version refer to:</w:t>
    </w:r>
    <w:r w:rsidRPr="001348DC">
      <w:t xml:space="preserve"> </w:t>
    </w:r>
  </w:p>
  <w:p w14:paraId="7B5D30FA" w14:textId="77777777" w:rsidR="00704205" w:rsidRDefault="00291DF4" w:rsidP="00DD3075">
    <w:pPr>
      <w:pStyle w:val="propertystatement"/>
    </w:pPr>
    <w:hyperlink r:id="rId1" w:history="1">
      <w:r w:rsidR="00704205" w:rsidRPr="00D317E8">
        <w:rPr>
          <w:rStyle w:val="Hyperlink"/>
        </w:rPr>
        <w:t>http://www.birmingham.ac.uk/research/activity/mds/mds-rkto/governance/index.aspx</w:t>
      </w:r>
    </w:hyperlink>
  </w:p>
  <w:p w14:paraId="412CE79F" w14:textId="77777777" w:rsidR="00704205" w:rsidRPr="002D6577" w:rsidRDefault="00704205" w:rsidP="006B351B">
    <w:pPr>
      <w:pStyle w:val="Footer"/>
      <w:jc w:val="both"/>
      <w:rPr>
        <w:bCs/>
        <w:iCs/>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F475" w14:textId="77777777" w:rsidR="00704205" w:rsidRDefault="00704205"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02ED0872" w14:textId="77777777" w:rsidR="00704205" w:rsidRPr="001348DC" w:rsidRDefault="00704205" w:rsidP="009E44AF">
    <w:pPr>
      <w:pStyle w:val="Footer"/>
      <w:jc w:val="center"/>
    </w:pPr>
    <w:r w:rsidRPr="001348DC">
      <w:t>Copies are only valid for 14 days and may be subject to amendment a</w:t>
    </w:r>
    <w:r>
      <w:t>t any time. For the latest version refer to:</w:t>
    </w:r>
  </w:p>
  <w:p w14:paraId="5A69AC05" w14:textId="77777777" w:rsidR="00704205" w:rsidRDefault="00291DF4" w:rsidP="00D17200">
    <w:pPr>
      <w:pStyle w:val="propertystatement"/>
    </w:pPr>
    <w:hyperlink r:id="rId1" w:tooltip="Website for the Clinical Research Compliance Team" w:history="1">
      <w:r w:rsidR="00704205">
        <w:rPr>
          <w:rStyle w:val="Hyperlink"/>
        </w:rPr>
        <w:t>birmingham.ac.uk/crct</w:t>
      </w:r>
    </w:hyperlink>
    <w:r w:rsidR="00704205">
      <w:t xml:space="preserve"> </w:t>
    </w:r>
  </w:p>
  <w:p w14:paraId="22F914E9" w14:textId="77777777" w:rsidR="00704205" w:rsidRDefault="007042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7A5F" w14:textId="77777777" w:rsidR="00704205" w:rsidRDefault="007042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1441"/>
      <w:gridCol w:w="3073"/>
      <w:gridCol w:w="3401"/>
      <w:gridCol w:w="1112"/>
    </w:tblGrid>
    <w:tr w:rsidR="00704205" w:rsidRPr="002D6577" w14:paraId="2AAAC731" w14:textId="77777777" w:rsidTr="003A24EB">
      <w:trPr>
        <w:trHeight w:val="148"/>
      </w:trPr>
      <w:tc>
        <w:tcPr>
          <w:tcW w:w="1441" w:type="dxa"/>
          <w:tcMar>
            <w:top w:w="0" w:type="dxa"/>
            <w:left w:w="57" w:type="dxa"/>
            <w:bottom w:w="0" w:type="dxa"/>
            <w:right w:w="57" w:type="dxa"/>
          </w:tcMar>
          <w:vAlign w:val="center"/>
        </w:tcPr>
        <w:p w14:paraId="0BA33EE4" w14:textId="77777777" w:rsidR="00704205" w:rsidRPr="001C6EFB" w:rsidRDefault="00704205" w:rsidP="001626DC">
          <w:pPr>
            <w:pStyle w:val="Footer"/>
          </w:pPr>
          <w:r w:rsidRPr="001C6EFB">
            <w:t>Document code:</w:t>
          </w:r>
        </w:p>
      </w:tc>
      <w:tc>
        <w:tcPr>
          <w:tcW w:w="3073" w:type="dxa"/>
          <w:tcMar>
            <w:top w:w="0" w:type="dxa"/>
            <w:left w:w="57" w:type="dxa"/>
            <w:bottom w:w="0" w:type="dxa"/>
            <w:right w:w="57" w:type="dxa"/>
          </w:tcMar>
          <w:vAlign w:val="center"/>
        </w:tcPr>
        <w:p w14:paraId="10B060A3" w14:textId="4611144A" w:rsidR="00704205" w:rsidRPr="001C6EFB" w:rsidRDefault="00704205" w:rsidP="00D573F5">
          <w:pPr>
            <w:pStyle w:val="Footer"/>
          </w:pPr>
          <w:r>
            <w:t>UoB-STA-SOP-001</w:t>
          </w:r>
        </w:p>
      </w:tc>
      <w:tc>
        <w:tcPr>
          <w:tcW w:w="3401" w:type="dxa"/>
          <w:tcMar>
            <w:top w:w="0" w:type="dxa"/>
            <w:left w:w="57" w:type="dxa"/>
            <w:bottom w:w="0" w:type="dxa"/>
            <w:right w:w="57" w:type="dxa"/>
          </w:tcMar>
          <w:vAlign w:val="center"/>
        </w:tcPr>
        <w:p w14:paraId="5977FC58" w14:textId="77777777" w:rsidR="00704205" w:rsidRPr="001C6EFB" w:rsidRDefault="00704205" w:rsidP="00163F57">
          <w:pPr>
            <w:pStyle w:val="Footer"/>
            <w:jc w:val="right"/>
          </w:pPr>
          <w:r w:rsidRPr="001C6EFB">
            <w:t>Print Date:</w:t>
          </w:r>
        </w:p>
      </w:tc>
      <w:tc>
        <w:tcPr>
          <w:tcW w:w="1112" w:type="dxa"/>
          <w:tcMar>
            <w:top w:w="0" w:type="dxa"/>
            <w:left w:w="57" w:type="dxa"/>
            <w:bottom w:w="0" w:type="dxa"/>
            <w:right w:w="57" w:type="dxa"/>
          </w:tcMar>
          <w:vAlign w:val="center"/>
        </w:tcPr>
        <w:p w14:paraId="6B189F79" w14:textId="73E288B7" w:rsidR="00704205" w:rsidRPr="001C6EFB" w:rsidRDefault="00704205" w:rsidP="00163F57">
          <w:pPr>
            <w:pStyle w:val="Footer"/>
            <w:jc w:val="right"/>
          </w:pPr>
          <w:r>
            <w:fldChar w:fldCharType="begin"/>
          </w:r>
          <w:r>
            <w:instrText xml:space="preserve"> DATE  \@ "dd-MMM-yyyy"  \* MERGEFORMAT </w:instrText>
          </w:r>
          <w:r>
            <w:fldChar w:fldCharType="separate"/>
          </w:r>
          <w:r w:rsidR="00291DF4">
            <w:rPr>
              <w:noProof/>
            </w:rPr>
            <w:t>14-Dec-2022</w:t>
          </w:r>
          <w:r>
            <w:fldChar w:fldCharType="end"/>
          </w:r>
        </w:p>
      </w:tc>
    </w:tr>
    <w:tr w:rsidR="00704205" w:rsidRPr="002D6577" w14:paraId="4C223868" w14:textId="77777777" w:rsidTr="003A24EB">
      <w:tc>
        <w:tcPr>
          <w:tcW w:w="1441" w:type="dxa"/>
          <w:tcMar>
            <w:top w:w="0" w:type="dxa"/>
            <w:left w:w="57" w:type="dxa"/>
            <w:bottom w:w="0" w:type="dxa"/>
            <w:right w:w="57" w:type="dxa"/>
          </w:tcMar>
          <w:vAlign w:val="center"/>
        </w:tcPr>
        <w:p w14:paraId="74A85B5E" w14:textId="77777777" w:rsidR="00704205" w:rsidRPr="001C6EFB" w:rsidRDefault="00704205" w:rsidP="001626DC">
          <w:pPr>
            <w:pStyle w:val="Footer"/>
          </w:pPr>
          <w:r w:rsidRPr="001C6EFB">
            <w:t>Version no:</w:t>
          </w:r>
        </w:p>
      </w:tc>
      <w:tc>
        <w:tcPr>
          <w:tcW w:w="3073" w:type="dxa"/>
          <w:tcMar>
            <w:top w:w="0" w:type="dxa"/>
            <w:left w:w="57" w:type="dxa"/>
            <w:bottom w:w="0" w:type="dxa"/>
            <w:right w:w="57" w:type="dxa"/>
          </w:tcMar>
          <w:vAlign w:val="center"/>
        </w:tcPr>
        <w:p w14:paraId="79C62AAB" w14:textId="49B7D8CD" w:rsidR="00704205" w:rsidRPr="001C6EFB" w:rsidRDefault="00140217" w:rsidP="00D573F5">
          <w:pPr>
            <w:pStyle w:val="Footer"/>
          </w:pPr>
          <w:r>
            <w:t>1.0</w:t>
          </w:r>
        </w:p>
      </w:tc>
      <w:tc>
        <w:tcPr>
          <w:tcW w:w="3401" w:type="dxa"/>
          <w:tcMar>
            <w:top w:w="0" w:type="dxa"/>
            <w:left w:w="57" w:type="dxa"/>
            <w:bottom w:w="0" w:type="dxa"/>
            <w:right w:w="57" w:type="dxa"/>
          </w:tcMar>
          <w:vAlign w:val="center"/>
        </w:tcPr>
        <w:p w14:paraId="425FD656" w14:textId="77777777" w:rsidR="00704205" w:rsidRPr="001C6EFB" w:rsidRDefault="00704205" w:rsidP="00163F57">
          <w:pPr>
            <w:pStyle w:val="Footer"/>
            <w:jc w:val="right"/>
          </w:pPr>
          <w:r w:rsidRPr="001C6EFB">
            <w:t>Page:</w:t>
          </w:r>
        </w:p>
      </w:tc>
      <w:tc>
        <w:tcPr>
          <w:tcW w:w="1112" w:type="dxa"/>
          <w:tcMar>
            <w:top w:w="0" w:type="dxa"/>
            <w:left w:w="57" w:type="dxa"/>
            <w:bottom w:w="0" w:type="dxa"/>
            <w:right w:w="57" w:type="dxa"/>
          </w:tcMar>
          <w:vAlign w:val="center"/>
        </w:tcPr>
        <w:p w14:paraId="71AE7097" w14:textId="6B3DD27E" w:rsidR="00704205" w:rsidRPr="001C6EFB" w:rsidRDefault="00704205" w:rsidP="0060052C">
          <w:pPr>
            <w:pStyle w:val="Footer"/>
            <w:jc w:val="right"/>
          </w:pPr>
          <w:r w:rsidRPr="001C6EFB">
            <w:t xml:space="preserve"> </w:t>
          </w:r>
          <w:r>
            <w:fldChar w:fldCharType="begin"/>
          </w:r>
          <w:r>
            <w:instrText xml:space="preserve"> PAGE   \* MERGEFORMAT </w:instrText>
          </w:r>
          <w:r>
            <w:fldChar w:fldCharType="separate"/>
          </w:r>
          <w:r w:rsidR="002A2AA0">
            <w:rPr>
              <w:noProof/>
            </w:rPr>
            <w:t>14</w:t>
          </w:r>
          <w:r>
            <w:fldChar w:fldCharType="end"/>
          </w:r>
          <w:r w:rsidRPr="001C6EFB">
            <w:t xml:space="preserve"> of </w:t>
          </w:r>
          <w:r w:rsidR="00291DF4">
            <w:fldChar w:fldCharType="begin"/>
          </w:r>
          <w:r w:rsidR="00291DF4">
            <w:instrText xml:space="preserve"> NUMPAGES   \* MERGEFORMAT </w:instrText>
          </w:r>
          <w:r w:rsidR="00291DF4">
            <w:fldChar w:fldCharType="separate"/>
          </w:r>
          <w:r w:rsidR="002A2AA0">
            <w:rPr>
              <w:noProof/>
            </w:rPr>
            <w:t>14</w:t>
          </w:r>
          <w:r w:rsidR="00291DF4">
            <w:rPr>
              <w:noProof/>
            </w:rPr>
            <w:fldChar w:fldCharType="end"/>
          </w:r>
        </w:p>
      </w:tc>
    </w:tr>
  </w:tbl>
  <w:p w14:paraId="57DAC8D1" w14:textId="77777777" w:rsidR="00704205" w:rsidRPr="003A24EB" w:rsidRDefault="00704205" w:rsidP="003A24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9647" w14:textId="77777777" w:rsidR="00704205" w:rsidRDefault="007042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C81D" w14:textId="77777777" w:rsidR="00704205" w:rsidRDefault="007042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BEA" w14:textId="77777777" w:rsidR="00704205" w:rsidRDefault="0070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EA3F" w14:textId="77777777" w:rsidR="00104D3B" w:rsidRDefault="00104D3B" w:rsidP="00F46DE6">
      <w:r>
        <w:separator/>
      </w:r>
    </w:p>
    <w:p w14:paraId="2E0E1F78" w14:textId="77777777" w:rsidR="00104D3B" w:rsidRDefault="00104D3B" w:rsidP="00F46DE6"/>
  </w:footnote>
  <w:footnote w:type="continuationSeparator" w:id="0">
    <w:p w14:paraId="40585DF5" w14:textId="77777777" w:rsidR="00104D3B" w:rsidRDefault="00104D3B" w:rsidP="00F46DE6">
      <w:r>
        <w:continuationSeparator/>
      </w:r>
    </w:p>
    <w:p w14:paraId="19194910" w14:textId="77777777" w:rsidR="00104D3B" w:rsidRDefault="00104D3B"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F247" w14:textId="77777777" w:rsidR="00291DF4" w:rsidRDefault="0029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C3C8" w14:textId="77777777" w:rsidR="00291DF4" w:rsidRDefault="00291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8D95" w14:textId="77777777" w:rsidR="00704205" w:rsidRDefault="00704205" w:rsidP="00A91AC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704205" w14:paraId="600A001C" w14:textId="77777777" w:rsidTr="001626DC">
      <w:trPr>
        <w:trHeight w:val="278"/>
        <w:tblHeader/>
      </w:trPr>
      <w:tc>
        <w:tcPr>
          <w:tcW w:w="1668" w:type="dxa"/>
          <w:vAlign w:val="center"/>
        </w:tcPr>
        <w:p w14:paraId="6B255A61" w14:textId="77777777" w:rsidR="00704205" w:rsidRDefault="00704205" w:rsidP="00A91AC7">
          <w:pPr>
            <w:pStyle w:val="Footer"/>
          </w:pPr>
          <w:r w:rsidRPr="001C6EFB">
            <w:t>Document code:</w:t>
          </w:r>
        </w:p>
      </w:tc>
      <w:tc>
        <w:tcPr>
          <w:tcW w:w="2310" w:type="dxa"/>
          <w:vAlign w:val="center"/>
        </w:tcPr>
        <w:p w14:paraId="13091F7F" w14:textId="6599A4B9" w:rsidR="00704205" w:rsidRDefault="00704205" w:rsidP="00A91AC7">
          <w:pPr>
            <w:pStyle w:val="Footer"/>
            <w:jc w:val="right"/>
          </w:pPr>
          <w:r>
            <w:t>UoB-STA-SOP-001</w:t>
          </w:r>
        </w:p>
      </w:tc>
    </w:tr>
    <w:tr w:rsidR="00704205" w14:paraId="7EA720CB" w14:textId="77777777" w:rsidTr="001626DC">
      <w:trPr>
        <w:trHeight w:val="278"/>
      </w:trPr>
      <w:tc>
        <w:tcPr>
          <w:tcW w:w="1668" w:type="dxa"/>
          <w:vAlign w:val="center"/>
        </w:tcPr>
        <w:p w14:paraId="7AB31C1E" w14:textId="77777777" w:rsidR="00704205" w:rsidRDefault="00704205" w:rsidP="00A91AC7">
          <w:pPr>
            <w:pStyle w:val="Footer"/>
          </w:pPr>
          <w:r w:rsidRPr="001C6EFB">
            <w:t>Version no:</w:t>
          </w:r>
        </w:p>
      </w:tc>
      <w:tc>
        <w:tcPr>
          <w:tcW w:w="2310" w:type="dxa"/>
          <w:vAlign w:val="center"/>
        </w:tcPr>
        <w:p w14:paraId="444AA4F5" w14:textId="0695CA69" w:rsidR="00704205" w:rsidRDefault="00140217" w:rsidP="00B22D92">
          <w:pPr>
            <w:pStyle w:val="Footer"/>
            <w:jc w:val="right"/>
          </w:pPr>
          <w:r>
            <w:t>1.0</w:t>
          </w:r>
        </w:p>
      </w:tc>
    </w:tr>
    <w:tr w:rsidR="00704205" w14:paraId="3028C8F2" w14:textId="77777777" w:rsidTr="001626DC">
      <w:trPr>
        <w:trHeight w:val="278"/>
      </w:trPr>
      <w:tc>
        <w:tcPr>
          <w:tcW w:w="1668" w:type="dxa"/>
          <w:vAlign w:val="center"/>
        </w:tcPr>
        <w:p w14:paraId="6CA20B1F" w14:textId="77777777" w:rsidR="00704205" w:rsidRDefault="00704205" w:rsidP="00A91AC7">
          <w:pPr>
            <w:pStyle w:val="Footer"/>
          </w:pPr>
          <w:r>
            <w:t>Effective date:</w:t>
          </w:r>
        </w:p>
      </w:tc>
      <w:tc>
        <w:tcPr>
          <w:tcW w:w="2310" w:type="dxa"/>
          <w:vAlign w:val="center"/>
        </w:tcPr>
        <w:p w14:paraId="1F919C60" w14:textId="3DA78473" w:rsidR="00704205" w:rsidRDefault="00291DF4" w:rsidP="00A91AC7">
          <w:pPr>
            <w:pStyle w:val="Footer"/>
            <w:jc w:val="right"/>
          </w:pPr>
          <w:r>
            <w:t>20</w:t>
          </w:r>
          <w:r w:rsidR="00140217">
            <w:t>-Jan-2023</w:t>
          </w:r>
        </w:p>
      </w:tc>
    </w:tr>
    <w:tr w:rsidR="00704205" w14:paraId="2938E934" w14:textId="77777777" w:rsidTr="001626DC">
      <w:trPr>
        <w:trHeight w:val="278"/>
      </w:trPr>
      <w:tc>
        <w:tcPr>
          <w:tcW w:w="1668" w:type="dxa"/>
          <w:vAlign w:val="center"/>
        </w:tcPr>
        <w:p w14:paraId="27B1BCFD" w14:textId="77777777" w:rsidR="00704205" w:rsidRPr="001C6EFB" w:rsidRDefault="00704205" w:rsidP="00A91AC7">
          <w:pPr>
            <w:pStyle w:val="Footer"/>
          </w:pPr>
          <w:r>
            <w:t>Print d</w:t>
          </w:r>
          <w:r w:rsidRPr="001C6EFB">
            <w:t>ate:</w:t>
          </w:r>
        </w:p>
      </w:tc>
      <w:tc>
        <w:tcPr>
          <w:tcW w:w="2310" w:type="dxa"/>
          <w:vAlign w:val="center"/>
        </w:tcPr>
        <w:p w14:paraId="68ABFDEA" w14:textId="7E5D0807" w:rsidR="00704205" w:rsidRDefault="00704205" w:rsidP="00A91AC7">
          <w:pPr>
            <w:pStyle w:val="Footer"/>
            <w:jc w:val="right"/>
          </w:pPr>
          <w:r>
            <w:fldChar w:fldCharType="begin"/>
          </w:r>
          <w:r>
            <w:instrText xml:space="preserve"> DATE  \@ "dd-MMM-yyyy"  \* MERGEFORMAT </w:instrText>
          </w:r>
          <w:r>
            <w:fldChar w:fldCharType="separate"/>
          </w:r>
          <w:r w:rsidR="00291DF4">
            <w:rPr>
              <w:noProof/>
            </w:rPr>
            <w:t>14-Dec-2022</w:t>
          </w:r>
          <w:r>
            <w:fldChar w:fldCharType="end"/>
          </w:r>
        </w:p>
      </w:tc>
    </w:tr>
    <w:tr w:rsidR="00704205" w14:paraId="7D9B30A0" w14:textId="77777777" w:rsidTr="001626DC">
      <w:trPr>
        <w:trHeight w:val="278"/>
      </w:trPr>
      <w:tc>
        <w:tcPr>
          <w:tcW w:w="1668" w:type="dxa"/>
          <w:vAlign w:val="center"/>
        </w:tcPr>
        <w:p w14:paraId="075738A6" w14:textId="77777777" w:rsidR="00704205" w:rsidRPr="001C6EFB" w:rsidRDefault="00704205" w:rsidP="00A91AC7">
          <w:pPr>
            <w:pStyle w:val="Footer"/>
          </w:pPr>
          <w:r w:rsidRPr="001C6EFB">
            <w:t>Page:</w:t>
          </w:r>
        </w:p>
      </w:tc>
      <w:tc>
        <w:tcPr>
          <w:tcW w:w="2310" w:type="dxa"/>
          <w:vAlign w:val="center"/>
        </w:tcPr>
        <w:p w14:paraId="3824FA18" w14:textId="54CE9DFB" w:rsidR="00704205" w:rsidRDefault="00704205" w:rsidP="00A91AC7">
          <w:pPr>
            <w:pStyle w:val="Footer"/>
            <w:jc w:val="right"/>
          </w:pPr>
          <w:r>
            <w:fldChar w:fldCharType="begin"/>
          </w:r>
          <w:r>
            <w:instrText xml:space="preserve"> PAGE   \* MERGEFORMAT </w:instrText>
          </w:r>
          <w:r>
            <w:fldChar w:fldCharType="separate"/>
          </w:r>
          <w:r w:rsidR="002A2AA0">
            <w:rPr>
              <w:noProof/>
            </w:rPr>
            <w:t>1</w:t>
          </w:r>
          <w:r>
            <w:fldChar w:fldCharType="end"/>
          </w:r>
          <w:r>
            <w:t xml:space="preserve"> of </w:t>
          </w:r>
          <w:r w:rsidR="00291DF4">
            <w:fldChar w:fldCharType="begin"/>
          </w:r>
          <w:r w:rsidR="00291DF4">
            <w:instrText xml:space="preserve"> NUMPAGES   \* MERGEFORMAT </w:instrText>
          </w:r>
          <w:r w:rsidR="00291DF4">
            <w:fldChar w:fldCharType="separate"/>
          </w:r>
          <w:r w:rsidR="002A2AA0">
            <w:rPr>
              <w:noProof/>
            </w:rPr>
            <w:t>14</w:t>
          </w:r>
          <w:r w:rsidR="00291DF4">
            <w:rPr>
              <w:noProof/>
            </w:rPr>
            <w:fldChar w:fldCharType="end"/>
          </w:r>
          <w:r w:rsidRPr="001C6EFB">
            <w:t xml:space="preserve"> </w:t>
          </w:r>
        </w:p>
      </w:tc>
    </w:tr>
  </w:tbl>
  <w:p w14:paraId="45A55606" w14:textId="44C3194F" w:rsidR="00704205" w:rsidRDefault="000F2D97" w:rsidP="00A91AC7">
    <w:pPr>
      <w:pStyle w:val="Header"/>
      <w:jc w:val="left"/>
    </w:pPr>
    <w:r w:rsidRPr="00F16569">
      <w:rPr>
        <w:lang w:eastAsia="en-GB"/>
      </w:rPr>
      <w:drawing>
        <wp:anchor distT="0" distB="0" distL="114300" distR="114300" simplePos="0" relativeHeight="251659264" behindDoc="0" locked="0" layoutInCell="1" allowOverlap="1" wp14:anchorId="0BAED294" wp14:editId="21AACD82">
          <wp:simplePos x="0" y="0"/>
          <wp:positionH relativeFrom="column">
            <wp:posOffset>-302260</wp:posOffset>
          </wp:positionH>
          <wp:positionV relativeFrom="page">
            <wp:posOffset>1051560</wp:posOffset>
          </wp:positionV>
          <wp:extent cx="2703600" cy="10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EB2B" w14:textId="77777777" w:rsidR="00704205" w:rsidRDefault="00704205" w:rsidP="00163F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5969" w14:textId="77777777" w:rsidR="00704205" w:rsidRPr="002135BA" w:rsidRDefault="00704205">
    <w:pPr>
      <w:pStyle w:val="Header"/>
    </w:pPr>
    <w:r w:rsidRPr="002135BA">
      <w:t>SOP</w:t>
    </w:r>
    <w:r>
      <w:t>: Statistics</w:t>
    </w:r>
  </w:p>
  <w:p w14:paraId="28F00AC1" w14:textId="77777777" w:rsidR="00704205" w:rsidRPr="001C75D5" w:rsidRDefault="00704205">
    <w:pPr>
      <w:rPr>
        <w:noProof/>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49F7" w14:textId="77777777" w:rsidR="00704205" w:rsidRDefault="00704205" w:rsidP="00163F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0986" w14:textId="77777777" w:rsidR="00704205" w:rsidRDefault="00704205" w:rsidP="00163F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3D53" w14:textId="77777777" w:rsidR="00704205" w:rsidRDefault="0070420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91"/>
    <w:rsid w:val="000015D9"/>
    <w:rsid w:val="00001923"/>
    <w:rsid w:val="00001A7E"/>
    <w:rsid w:val="000060AE"/>
    <w:rsid w:val="0001086D"/>
    <w:rsid w:val="00012800"/>
    <w:rsid w:val="00013B08"/>
    <w:rsid w:val="000146F1"/>
    <w:rsid w:val="000229C5"/>
    <w:rsid w:val="00023BC0"/>
    <w:rsid w:val="000319CC"/>
    <w:rsid w:val="000346CE"/>
    <w:rsid w:val="000374CB"/>
    <w:rsid w:val="000379D7"/>
    <w:rsid w:val="00040076"/>
    <w:rsid w:val="000421FD"/>
    <w:rsid w:val="00042D2A"/>
    <w:rsid w:val="00043513"/>
    <w:rsid w:val="00044A64"/>
    <w:rsid w:val="00053A54"/>
    <w:rsid w:val="0005610D"/>
    <w:rsid w:val="00056940"/>
    <w:rsid w:val="0006092C"/>
    <w:rsid w:val="000639EF"/>
    <w:rsid w:val="00064262"/>
    <w:rsid w:val="00064F56"/>
    <w:rsid w:val="00072AD5"/>
    <w:rsid w:val="00072F51"/>
    <w:rsid w:val="0007480B"/>
    <w:rsid w:val="00074C4B"/>
    <w:rsid w:val="00075A9D"/>
    <w:rsid w:val="00077D41"/>
    <w:rsid w:val="00083C9D"/>
    <w:rsid w:val="0009369B"/>
    <w:rsid w:val="00095EFA"/>
    <w:rsid w:val="00097B78"/>
    <w:rsid w:val="000A0DFF"/>
    <w:rsid w:val="000A1324"/>
    <w:rsid w:val="000A1B0F"/>
    <w:rsid w:val="000A7BE6"/>
    <w:rsid w:val="000B1E3E"/>
    <w:rsid w:val="000B1F5B"/>
    <w:rsid w:val="000B442E"/>
    <w:rsid w:val="000B68F4"/>
    <w:rsid w:val="000C3681"/>
    <w:rsid w:val="000C45B6"/>
    <w:rsid w:val="000C5087"/>
    <w:rsid w:val="000C54A1"/>
    <w:rsid w:val="000D34E7"/>
    <w:rsid w:val="000D3D68"/>
    <w:rsid w:val="000D3E8C"/>
    <w:rsid w:val="000D4912"/>
    <w:rsid w:val="000D677A"/>
    <w:rsid w:val="000D70AA"/>
    <w:rsid w:val="000D7D37"/>
    <w:rsid w:val="000F2380"/>
    <w:rsid w:val="000F2D97"/>
    <w:rsid w:val="000F391A"/>
    <w:rsid w:val="00100541"/>
    <w:rsid w:val="00100D71"/>
    <w:rsid w:val="00101773"/>
    <w:rsid w:val="00101B2B"/>
    <w:rsid w:val="00103FD0"/>
    <w:rsid w:val="00104D3B"/>
    <w:rsid w:val="00104D42"/>
    <w:rsid w:val="00105091"/>
    <w:rsid w:val="001057FB"/>
    <w:rsid w:val="00105B1F"/>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28"/>
    <w:rsid w:val="00134766"/>
    <w:rsid w:val="00135E89"/>
    <w:rsid w:val="00140217"/>
    <w:rsid w:val="00143996"/>
    <w:rsid w:val="001445C0"/>
    <w:rsid w:val="0016077F"/>
    <w:rsid w:val="00161E95"/>
    <w:rsid w:val="00161F23"/>
    <w:rsid w:val="001626DC"/>
    <w:rsid w:val="00162C6E"/>
    <w:rsid w:val="00163B7C"/>
    <w:rsid w:val="00163F57"/>
    <w:rsid w:val="001653F1"/>
    <w:rsid w:val="00165F48"/>
    <w:rsid w:val="00172C27"/>
    <w:rsid w:val="00173E19"/>
    <w:rsid w:val="00174B60"/>
    <w:rsid w:val="00174E0E"/>
    <w:rsid w:val="001775A9"/>
    <w:rsid w:val="00182896"/>
    <w:rsid w:val="0018309A"/>
    <w:rsid w:val="001841A1"/>
    <w:rsid w:val="00184BB7"/>
    <w:rsid w:val="00190C93"/>
    <w:rsid w:val="00194EE8"/>
    <w:rsid w:val="00195717"/>
    <w:rsid w:val="00196565"/>
    <w:rsid w:val="001A024E"/>
    <w:rsid w:val="001A0E1B"/>
    <w:rsid w:val="001A142E"/>
    <w:rsid w:val="001A14AC"/>
    <w:rsid w:val="001A26D3"/>
    <w:rsid w:val="001A4718"/>
    <w:rsid w:val="001A544B"/>
    <w:rsid w:val="001A561F"/>
    <w:rsid w:val="001B1E29"/>
    <w:rsid w:val="001B2717"/>
    <w:rsid w:val="001B30AD"/>
    <w:rsid w:val="001B3B91"/>
    <w:rsid w:val="001B412F"/>
    <w:rsid w:val="001B5617"/>
    <w:rsid w:val="001B66F9"/>
    <w:rsid w:val="001C314A"/>
    <w:rsid w:val="001C6EFB"/>
    <w:rsid w:val="001C75D5"/>
    <w:rsid w:val="001D0B50"/>
    <w:rsid w:val="001D1245"/>
    <w:rsid w:val="001D17A5"/>
    <w:rsid w:val="001D1986"/>
    <w:rsid w:val="001D28AC"/>
    <w:rsid w:val="001D3B22"/>
    <w:rsid w:val="001D44E6"/>
    <w:rsid w:val="001D7813"/>
    <w:rsid w:val="001E41A3"/>
    <w:rsid w:val="001F0B55"/>
    <w:rsid w:val="001F45F4"/>
    <w:rsid w:val="001F4FC3"/>
    <w:rsid w:val="001F6161"/>
    <w:rsid w:val="001F6D88"/>
    <w:rsid w:val="001F7B4E"/>
    <w:rsid w:val="00200052"/>
    <w:rsid w:val="00202189"/>
    <w:rsid w:val="00202B8D"/>
    <w:rsid w:val="00203F3F"/>
    <w:rsid w:val="0020434B"/>
    <w:rsid w:val="0020575A"/>
    <w:rsid w:val="00206578"/>
    <w:rsid w:val="002106E5"/>
    <w:rsid w:val="00210C1A"/>
    <w:rsid w:val="0021165B"/>
    <w:rsid w:val="00211B96"/>
    <w:rsid w:val="002135BA"/>
    <w:rsid w:val="00214550"/>
    <w:rsid w:val="0022018B"/>
    <w:rsid w:val="00220406"/>
    <w:rsid w:val="002227A2"/>
    <w:rsid w:val="0022356E"/>
    <w:rsid w:val="00225912"/>
    <w:rsid w:val="00231612"/>
    <w:rsid w:val="0023483C"/>
    <w:rsid w:val="002362CB"/>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76BFF"/>
    <w:rsid w:val="00281585"/>
    <w:rsid w:val="00290F8C"/>
    <w:rsid w:val="00291DF4"/>
    <w:rsid w:val="002937FE"/>
    <w:rsid w:val="00294AD1"/>
    <w:rsid w:val="002952B5"/>
    <w:rsid w:val="0029582C"/>
    <w:rsid w:val="002A068A"/>
    <w:rsid w:val="002A27DC"/>
    <w:rsid w:val="002A2AA0"/>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0BDB"/>
    <w:rsid w:val="00342788"/>
    <w:rsid w:val="00342C1E"/>
    <w:rsid w:val="00342CC7"/>
    <w:rsid w:val="00343541"/>
    <w:rsid w:val="00345620"/>
    <w:rsid w:val="003503D7"/>
    <w:rsid w:val="00350A42"/>
    <w:rsid w:val="00352FD6"/>
    <w:rsid w:val="003607CB"/>
    <w:rsid w:val="0036201D"/>
    <w:rsid w:val="00365D77"/>
    <w:rsid w:val="0037641D"/>
    <w:rsid w:val="00380579"/>
    <w:rsid w:val="00381B35"/>
    <w:rsid w:val="003854BD"/>
    <w:rsid w:val="003876D0"/>
    <w:rsid w:val="00387EFA"/>
    <w:rsid w:val="00391A7C"/>
    <w:rsid w:val="00393C4E"/>
    <w:rsid w:val="00393E8E"/>
    <w:rsid w:val="00394668"/>
    <w:rsid w:val="00395F1E"/>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E102C"/>
    <w:rsid w:val="003F0145"/>
    <w:rsid w:val="003F2345"/>
    <w:rsid w:val="003F4E5F"/>
    <w:rsid w:val="003F608D"/>
    <w:rsid w:val="003F64A9"/>
    <w:rsid w:val="003F7147"/>
    <w:rsid w:val="003F7AD7"/>
    <w:rsid w:val="00400E43"/>
    <w:rsid w:val="00401840"/>
    <w:rsid w:val="00403449"/>
    <w:rsid w:val="0040419E"/>
    <w:rsid w:val="00404742"/>
    <w:rsid w:val="0040651B"/>
    <w:rsid w:val="0041265B"/>
    <w:rsid w:val="00414858"/>
    <w:rsid w:val="00417854"/>
    <w:rsid w:val="00420EB6"/>
    <w:rsid w:val="00422A7E"/>
    <w:rsid w:val="004233AD"/>
    <w:rsid w:val="0042380D"/>
    <w:rsid w:val="00423E00"/>
    <w:rsid w:val="004243C4"/>
    <w:rsid w:val="00424C48"/>
    <w:rsid w:val="00424D85"/>
    <w:rsid w:val="00424E6C"/>
    <w:rsid w:val="00431633"/>
    <w:rsid w:val="00432B85"/>
    <w:rsid w:val="00433584"/>
    <w:rsid w:val="004342B5"/>
    <w:rsid w:val="00435EAE"/>
    <w:rsid w:val="00441DE6"/>
    <w:rsid w:val="00445DD9"/>
    <w:rsid w:val="00454205"/>
    <w:rsid w:val="00457788"/>
    <w:rsid w:val="00462B5B"/>
    <w:rsid w:val="00467F74"/>
    <w:rsid w:val="00474B7F"/>
    <w:rsid w:val="00475745"/>
    <w:rsid w:val="00476DB0"/>
    <w:rsid w:val="004773E0"/>
    <w:rsid w:val="004810D9"/>
    <w:rsid w:val="0048194C"/>
    <w:rsid w:val="00485E6A"/>
    <w:rsid w:val="0048641A"/>
    <w:rsid w:val="00486724"/>
    <w:rsid w:val="00486B88"/>
    <w:rsid w:val="00497A4C"/>
    <w:rsid w:val="00497E87"/>
    <w:rsid w:val="004A364B"/>
    <w:rsid w:val="004A4882"/>
    <w:rsid w:val="004A75B7"/>
    <w:rsid w:val="004A7D86"/>
    <w:rsid w:val="004B03A3"/>
    <w:rsid w:val="004B0C68"/>
    <w:rsid w:val="004B0C77"/>
    <w:rsid w:val="004B3DB9"/>
    <w:rsid w:val="004B5BD7"/>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2C8C"/>
    <w:rsid w:val="00513DB5"/>
    <w:rsid w:val="005142C2"/>
    <w:rsid w:val="00515F0F"/>
    <w:rsid w:val="00516200"/>
    <w:rsid w:val="005223BE"/>
    <w:rsid w:val="00522ABB"/>
    <w:rsid w:val="00525CA4"/>
    <w:rsid w:val="00527E78"/>
    <w:rsid w:val="005343E6"/>
    <w:rsid w:val="005354C1"/>
    <w:rsid w:val="005358CD"/>
    <w:rsid w:val="0053623B"/>
    <w:rsid w:val="005402D8"/>
    <w:rsid w:val="00543C1B"/>
    <w:rsid w:val="00545C42"/>
    <w:rsid w:val="0055153E"/>
    <w:rsid w:val="00554798"/>
    <w:rsid w:val="005569A7"/>
    <w:rsid w:val="00556B76"/>
    <w:rsid w:val="005636D5"/>
    <w:rsid w:val="005663EA"/>
    <w:rsid w:val="005708FE"/>
    <w:rsid w:val="00571788"/>
    <w:rsid w:val="00571A9B"/>
    <w:rsid w:val="0058198B"/>
    <w:rsid w:val="0058476F"/>
    <w:rsid w:val="00584775"/>
    <w:rsid w:val="00586C5E"/>
    <w:rsid w:val="00587557"/>
    <w:rsid w:val="00592FFB"/>
    <w:rsid w:val="005948ED"/>
    <w:rsid w:val="005951E3"/>
    <w:rsid w:val="0059568E"/>
    <w:rsid w:val="005A1486"/>
    <w:rsid w:val="005A1CF3"/>
    <w:rsid w:val="005A1D95"/>
    <w:rsid w:val="005A6461"/>
    <w:rsid w:val="005B2B90"/>
    <w:rsid w:val="005B5AA9"/>
    <w:rsid w:val="005B6A99"/>
    <w:rsid w:val="005C38BD"/>
    <w:rsid w:val="005C7A45"/>
    <w:rsid w:val="005D085D"/>
    <w:rsid w:val="005D17F6"/>
    <w:rsid w:val="005D321A"/>
    <w:rsid w:val="005D40D9"/>
    <w:rsid w:val="005D6531"/>
    <w:rsid w:val="005D6BA8"/>
    <w:rsid w:val="005E1F7C"/>
    <w:rsid w:val="005F0420"/>
    <w:rsid w:val="005F175F"/>
    <w:rsid w:val="005F1AD8"/>
    <w:rsid w:val="005F5BF9"/>
    <w:rsid w:val="00600106"/>
    <w:rsid w:val="0060052C"/>
    <w:rsid w:val="006031E9"/>
    <w:rsid w:val="0060493A"/>
    <w:rsid w:val="00605E24"/>
    <w:rsid w:val="006119AC"/>
    <w:rsid w:val="00613A01"/>
    <w:rsid w:val="006147A9"/>
    <w:rsid w:val="00614825"/>
    <w:rsid w:val="006176B2"/>
    <w:rsid w:val="00623B71"/>
    <w:rsid w:val="00624B79"/>
    <w:rsid w:val="006263EF"/>
    <w:rsid w:val="00630316"/>
    <w:rsid w:val="0063129B"/>
    <w:rsid w:val="00636907"/>
    <w:rsid w:val="00636BD2"/>
    <w:rsid w:val="006372C5"/>
    <w:rsid w:val="00640296"/>
    <w:rsid w:val="0064360D"/>
    <w:rsid w:val="00643C6B"/>
    <w:rsid w:val="006452BA"/>
    <w:rsid w:val="00653B3D"/>
    <w:rsid w:val="00654502"/>
    <w:rsid w:val="006561C0"/>
    <w:rsid w:val="00657D72"/>
    <w:rsid w:val="00660DC2"/>
    <w:rsid w:val="006616C6"/>
    <w:rsid w:val="00664185"/>
    <w:rsid w:val="00664DD4"/>
    <w:rsid w:val="0066505A"/>
    <w:rsid w:val="00670599"/>
    <w:rsid w:val="00671F01"/>
    <w:rsid w:val="0067375A"/>
    <w:rsid w:val="00677A1B"/>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B75A6"/>
    <w:rsid w:val="006C0879"/>
    <w:rsid w:val="006D14D2"/>
    <w:rsid w:val="006E13F3"/>
    <w:rsid w:val="006E32A4"/>
    <w:rsid w:val="006E39DA"/>
    <w:rsid w:val="006E57D8"/>
    <w:rsid w:val="006F30B1"/>
    <w:rsid w:val="006F6EFF"/>
    <w:rsid w:val="007029A2"/>
    <w:rsid w:val="00704205"/>
    <w:rsid w:val="00704E9B"/>
    <w:rsid w:val="00705FD1"/>
    <w:rsid w:val="007064B3"/>
    <w:rsid w:val="00712A28"/>
    <w:rsid w:val="00714ABF"/>
    <w:rsid w:val="00715858"/>
    <w:rsid w:val="00716586"/>
    <w:rsid w:val="007235B3"/>
    <w:rsid w:val="0072425C"/>
    <w:rsid w:val="007265FC"/>
    <w:rsid w:val="00726D2D"/>
    <w:rsid w:val="00726F74"/>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77D15"/>
    <w:rsid w:val="00780DA8"/>
    <w:rsid w:val="00782A15"/>
    <w:rsid w:val="00782F30"/>
    <w:rsid w:val="00784D7A"/>
    <w:rsid w:val="00790CBC"/>
    <w:rsid w:val="00791AC8"/>
    <w:rsid w:val="0079417E"/>
    <w:rsid w:val="007941AD"/>
    <w:rsid w:val="00794AB7"/>
    <w:rsid w:val="007964F7"/>
    <w:rsid w:val="007A44B0"/>
    <w:rsid w:val="007A63F2"/>
    <w:rsid w:val="007A6E56"/>
    <w:rsid w:val="007A7CE4"/>
    <w:rsid w:val="007B2638"/>
    <w:rsid w:val="007B2EC7"/>
    <w:rsid w:val="007B2EFE"/>
    <w:rsid w:val="007B4836"/>
    <w:rsid w:val="007B53E5"/>
    <w:rsid w:val="007B5831"/>
    <w:rsid w:val="007B58A5"/>
    <w:rsid w:val="007B6DB7"/>
    <w:rsid w:val="007B72E2"/>
    <w:rsid w:val="007C10CF"/>
    <w:rsid w:val="007C1A88"/>
    <w:rsid w:val="007C2BD5"/>
    <w:rsid w:val="007C5977"/>
    <w:rsid w:val="007C5C93"/>
    <w:rsid w:val="007C5F8F"/>
    <w:rsid w:val="007D3863"/>
    <w:rsid w:val="007D68C1"/>
    <w:rsid w:val="007D79E6"/>
    <w:rsid w:val="007E65FD"/>
    <w:rsid w:val="007F5173"/>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46622"/>
    <w:rsid w:val="0085056B"/>
    <w:rsid w:val="00851971"/>
    <w:rsid w:val="00852323"/>
    <w:rsid w:val="00860FC1"/>
    <w:rsid w:val="00860FC2"/>
    <w:rsid w:val="00862C8C"/>
    <w:rsid w:val="00864335"/>
    <w:rsid w:val="008647F2"/>
    <w:rsid w:val="0086674F"/>
    <w:rsid w:val="00870BB2"/>
    <w:rsid w:val="008715F3"/>
    <w:rsid w:val="00875BC2"/>
    <w:rsid w:val="00875EAE"/>
    <w:rsid w:val="008766D7"/>
    <w:rsid w:val="00877D24"/>
    <w:rsid w:val="008823B6"/>
    <w:rsid w:val="00886A0B"/>
    <w:rsid w:val="00893B82"/>
    <w:rsid w:val="00893CC2"/>
    <w:rsid w:val="008A0005"/>
    <w:rsid w:val="008A053A"/>
    <w:rsid w:val="008A302B"/>
    <w:rsid w:val="008A41DE"/>
    <w:rsid w:val="008A5826"/>
    <w:rsid w:val="008A682E"/>
    <w:rsid w:val="008A7373"/>
    <w:rsid w:val="008B1C2E"/>
    <w:rsid w:val="008B4B57"/>
    <w:rsid w:val="008B5A32"/>
    <w:rsid w:val="008B6B2A"/>
    <w:rsid w:val="008C0049"/>
    <w:rsid w:val="008C19A9"/>
    <w:rsid w:val="008C2F7E"/>
    <w:rsid w:val="008C54CA"/>
    <w:rsid w:val="008C75C7"/>
    <w:rsid w:val="008C7BEB"/>
    <w:rsid w:val="008D31AF"/>
    <w:rsid w:val="008D54DF"/>
    <w:rsid w:val="008D6C84"/>
    <w:rsid w:val="008E2669"/>
    <w:rsid w:val="008E30FD"/>
    <w:rsid w:val="008E4568"/>
    <w:rsid w:val="008E466A"/>
    <w:rsid w:val="008E601E"/>
    <w:rsid w:val="008E6700"/>
    <w:rsid w:val="008E79D2"/>
    <w:rsid w:val="008F0D57"/>
    <w:rsid w:val="008F3DCA"/>
    <w:rsid w:val="008F40D0"/>
    <w:rsid w:val="008F5FE0"/>
    <w:rsid w:val="008F795D"/>
    <w:rsid w:val="00901EDB"/>
    <w:rsid w:val="00902F90"/>
    <w:rsid w:val="00907B94"/>
    <w:rsid w:val="0091239E"/>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7698D"/>
    <w:rsid w:val="00982575"/>
    <w:rsid w:val="00983431"/>
    <w:rsid w:val="00984F87"/>
    <w:rsid w:val="00990DE6"/>
    <w:rsid w:val="0099679E"/>
    <w:rsid w:val="009A007E"/>
    <w:rsid w:val="009A2040"/>
    <w:rsid w:val="009A221B"/>
    <w:rsid w:val="009A3446"/>
    <w:rsid w:val="009B26BA"/>
    <w:rsid w:val="009B5D66"/>
    <w:rsid w:val="009B6F29"/>
    <w:rsid w:val="009C2C63"/>
    <w:rsid w:val="009C4257"/>
    <w:rsid w:val="009C52B9"/>
    <w:rsid w:val="009C5723"/>
    <w:rsid w:val="009D0F66"/>
    <w:rsid w:val="009D2891"/>
    <w:rsid w:val="009D6F1F"/>
    <w:rsid w:val="009E08FF"/>
    <w:rsid w:val="009E11DD"/>
    <w:rsid w:val="009E44AF"/>
    <w:rsid w:val="009E45A3"/>
    <w:rsid w:val="009F0638"/>
    <w:rsid w:val="009F1369"/>
    <w:rsid w:val="009F2017"/>
    <w:rsid w:val="009F201C"/>
    <w:rsid w:val="009F2F77"/>
    <w:rsid w:val="009F4AC7"/>
    <w:rsid w:val="009F5B45"/>
    <w:rsid w:val="009F627E"/>
    <w:rsid w:val="00A00156"/>
    <w:rsid w:val="00A00BE8"/>
    <w:rsid w:val="00A01C93"/>
    <w:rsid w:val="00A0271E"/>
    <w:rsid w:val="00A06B2E"/>
    <w:rsid w:val="00A10AF4"/>
    <w:rsid w:val="00A11FDD"/>
    <w:rsid w:val="00A123E1"/>
    <w:rsid w:val="00A13CB0"/>
    <w:rsid w:val="00A13FC3"/>
    <w:rsid w:val="00A140D5"/>
    <w:rsid w:val="00A21EF3"/>
    <w:rsid w:val="00A264AD"/>
    <w:rsid w:val="00A306A4"/>
    <w:rsid w:val="00A308A4"/>
    <w:rsid w:val="00A3465C"/>
    <w:rsid w:val="00A3579A"/>
    <w:rsid w:val="00A35E4F"/>
    <w:rsid w:val="00A36E52"/>
    <w:rsid w:val="00A4383C"/>
    <w:rsid w:val="00A46AE5"/>
    <w:rsid w:val="00A5240E"/>
    <w:rsid w:val="00A5391E"/>
    <w:rsid w:val="00A55A06"/>
    <w:rsid w:val="00A55E21"/>
    <w:rsid w:val="00A5670C"/>
    <w:rsid w:val="00A57390"/>
    <w:rsid w:val="00A57C3F"/>
    <w:rsid w:val="00A6082D"/>
    <w:rsid w:val="00A62320"/>
    <w:rsid w:val="00A6339F"/>
    <w:rsid w:val="00A64B4F"/>
    <w:rsid w:val="00A66148"/>
    <w:rsid w:val="00A668FC"/>
    <w:rsid w:val="00A74DB6"/>
    <w:rsid w:val="00A74E71"/>
    <w:rsid w:val="00A75599"/>
    <w:rsid w:val="00A7704C"/>
    <w:rsid w:val="00A80207"/>
    <w:rsid w:val="00A81437"/>
    <w:rsid w:val="00A822DC"/>
    <w:rsid w:val="00A84701"/>
    <w:rsid w:val="00A91AC7"/>
    <w:rsid w:val="00A9213A"/>
    <w:rsid w:val="00A93988"/>
    <w:rsid w:val="00A9456D"/>
    <w:rsid w:val="00A95C65"/>
    <w:rsid w:val="00AA1665"/>
    <w:rsid w:val="00AA3234"/>
    <w:rsid w:val="00AA5D6C"/>
    <w:rsid w:val="00AA6011"/>
    <w:rsid w:val="00AA74BA"/>
    <w:rsid w:val="00AB2EAD"/>
    <w:rsid w:val="00AB566D"/>
    <w:rsid w:val="00AB704E"/>
    <w:rsid w:val="00AC0978"/>
    <w:rsid w:val="00AC215A"/>
    <w:rsid w:val="00AC2C7B"/>
    <w:rsid w:val="00AC5EAA"/>
    <w:rsid w:val="00AC7BE0"/>
    <w:rsid w:val="00AD13D7"/>
    <w:rsid w:val="00AD3777"/>
    <w:rsid w:val="00AD4665"/>
    <w:rsid w:val="00AD57CC"/>
    <w:rsid w:val="00AD6081"/>
    <w:rsid w:val="00AD65E0"/>
    <w:rsid w:val="00AE0AC8"/>
    <w:rsid w:val="00AE2516"/>
    <w:rsid w:val="00AE5591"/>
    <w:rsid w:val="00AE5780"/>
    <w:rsid w:val="00AE6309"/>
    <w:rsid w:val="00AE744B"/>
    <w:rsid w:val="00AF0C85"/>
    <w:rsid w:val="00AF10D0"/>
    <w:rsid w:val="00AF7CD2"/>
    <w:rsid w:val="00B02293"/>
    <w:rsid w:val="00B04B8C"/>
    <w:rsid w:val="00B07452"/>
    <w:rsid w:val="00B100F8"/>
    <w:rsid w:val="00B1052F"/>
    <w:rsid w:val="00B10C05"/>
    <w:rsid w:val="00B134F0"/>
    <w:rsid w:val="00B13B5E"/>
    <w:rsid w:val="00B14826"/>
    <w:rsid w:val="00B16E7D"/>
    <w:rsid w:val="00B22AD7"/>
    <w:rsid w:val="00B22D92"/>
    <w:rsid w:val="00B27204"/>
    <w:rsid w:val="00B35770"/>
    <w:rsid w:val="00B3606D"/>
    <w:rsid w:val="00B40349"/>
    <w:rsid w:val="00B40C5F"/>
    <w:rsid w:val="00B452AE"/>
    <w:rsid w:val="00B45606"/>
    <w:rsid w:val="00B4713D"/>
    <w:rsid w:val="00B52CC0"/>
    <w:rsid w:val="00B53A1C"/>
    <w:rsid w:val="00B53C9D"/>
    <w:rsid w:val="00B54B4B"/>
    <w:rsid w:val="00B55F4C"/>
    <w:rsid w:val="00B6064B"/>
    <w:rsid w:val="00B6322E"/>
    <w:rsid w:val="00B63F21"/>
    <w:rsid w:val="00B7089E"/>
    <w:rsid w:val="00B72E42"/>
    <w:rsid w:val="00B747FB"/>
    <w:rsid w:val="00B76177"/>
    <w:rsid w:val="00B7682F"/>
    <w:rsid w:val="00B76ACC"/>
    <w:rsid w:val="00B7758F"/>
    <w:rsid w:val="00B77B48"/>
    <w:rsid w:val="00B80F8D"/>
    <w:rsid w:val="00B84799"/>
    <w:rsid w:val="00B86A0E"/>
    <w:rsid w:val="00B902DA"/>
    <w:rsid w:val="00B92012"/>
    <w:rsid w:val="00B928F6"/>
    <w:rsid w:val="00B937B6"/>
    <w:rsid w:val="00B940A8"/>
    <w:rsid w:val="00B952E8"/>
    <w:rsid w:val="00B967BD"/>
    <w:rsid w:val="00B9696A"/>
    <w:rsid w:val="00BA4294"/>
    <w:rsid w:val="00BA59CF"/>
    <w:rsid w:val="00BB16B3"/>
    <w:rsid w:val="00BB27E5"/>
    <w:rsid w:val="00BB2AF0"/>
    <w:rsid w:val="00BB30D5"/>
    <w:rsid w:val="00BB4D56"/>
    <w:rsid w:val="00BB6ABD"/>
    <w:rsid w:val="00BC6A6D"/>
    <w:rsid w:val="00BD1740"/>
    <w:rsid w:val="00BD3F7D"/>
    <w:rsid w:val="00BD4DD3"/>
    <w:rsid w:val="00BE1BAC"/>
    <w:rsid w:val="00BE1DB1"/>
    <w:rsid w:val="00BE5AE5"/>
    <w:rsid w:val="00BF4265"/>
    <w:rsid w:val="00BF6B08"/>
    <w:rsid w:val="00BF6D4D"/>
    <w:rsid w:val="00BF6FE8"/>
    <w:rsid w:val="00BF7931"/>
    <w:rsid w:val="00C02781"/>
    <w:rsid w:val="00C02B76"/>
    <w:rsid w:val="00C036D8"/>
    <w:rsid w:val="00C0382A"/>
    <w:rsid w:val="00C0396F"/>
    <w:rsid w:val="00C04D64"/>
    <w:rsid w:val="00C11049"/>
    <w:rsid w:val="00C126C0"/>
    <w:rsid w:val="00C1358E"/>
    <w:rsid w:val="00C16E6D"/>
    <w:rsid w:val="00C20F6B"/>
    <w:rsid w:val="00C242A2"/>
    <w:rsid w:val="00C24712"/>
    <w:rsid w:val="00C260D3"/>
    <w:rsid w:val="00C30124"/>
    <w:rsid w:val="00C31D63"/>
    <w:rsid w:val="00C34052"/>
    <w:rsid w:val="00C34A3B"/>
    <w:rsid w:val="00C34E3D"/>
    <w:rsid w:val="00C3647F"/>
    <w:rsid w:val="00C366C5"/>
    <w:rsid w:val="00C36AE0"/>
    <w:rsid w:val="00C40F55"/>
    <w:rsid w:val="00C435CC"/>
    <w:rsid w:val="00C43BEC"/>
    <w:rsid w:val="00C4454A"/>
    <w:rsid w:val="00C45C15"/>
    <w:rsid w:val="00C51ECE"/>
    <w:rsid w:val="00C534D8"/>
    <w:rsid w:val="00C5401C"/>
    <w:rsid w:val="00C55413"/>
    <w:rsid w:val="00C56980"/>
    <w:rsid w:val="00C56ADA"/>
    <w:rsid w:val="00C56C83"/>
    <w:rsid w:val="00C56DE7"/>
    <w:rsid w:val="00C61E6A"/>
    <w:rsid w:val="00C6542A"/>
    <w:rsid w:val="00C65C41"/>
    <w:rsid w:val="00C67B31"/>
    <w:rsid w:val="00C75D9A"/>
    <w:rsid w:val="00C81ADC"/>
    <w:rsid w:val="00C8467F"/>
    <w:rsid w:val="00C84EEF"/>
    <w:rsid w:val="00C85F41"/>
    <w:rsid w:val="00C862EE"/>
    <w:rsid w:val="00C87A3B"/>
    <w:rsid w:val="00C90FBC"/>
    <w:rsid w:val="00C91CEB"/>
    <w:rsid w:val="00C93BBD"/>
    <w:rsid w:val="00C942FE"/>
    <w:rsid w:val="00C95A44"/>
    <w:rsid w:val="00CA03CB"/>
    <w:rsid w:val="00CA098E"/>
    <w:rsid w:val="00CA2C1A"/>
    <w:rsid w:val="00CA67B3"/>
    <w:rsid w:val="00CA7404"/>
    <w:rsid w:val="00CB07E8"/>
    <w:rsid w:val="00CB45BA"/>
    <w:rsid w:val="00CB7A15"/>
    <w:rsid w:val="00CC0682"/>
    <w:rsid w:val="00CC2B7A"/>
    <w:rsid w:val="00CC32C3"/>
    <w:rsid w:val="00CC45AB"/>
    <w:rsid w:val="00CC478A"/>
    <w:rsid w:val="00CC61A6"/>
    <w:rsid w:val="00CC6C2A"/>
    <w:rsid w:val="00CD1532"/>
    <w:rsid w:val="00CD2F93"/>
    <w:rsid w:val="00CD3E66"/>
    <w:rsid w:val="00CD5B93"/>
    <w:rsid w:val="00CE116E"/>
    <w:rsid w:val="00CE2541"/>
    <w:rsid w:val="00CE7D01"/>
    <w:rsid w:val="00CF124E"/>
    <w:rsid w:val="00CF2072"/>
    <w:rsid w:val="00CF2082"/>
    <w:rsid w:val="00D0084B"/>
    <w:rsid w:val="00D00C72"/>
    <w:rsid w:val="00D017DD"/>
    <w:rsid w:val="00D01F82"/>
    <w:rsid w:val="00D0237D"/>
    <w:rsid w:val="00D02761"/>
    <w:rsid w:val="00D04619"/>
    <w:rsid w:val="00D05063"/>
    <w:rsid w:val="00D0527A"/>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0B36"/>
    <w:rsid w:val="00D41A7F"/>
    <w:rsid w:val="00D41CE6"/>
    <w:rsid w:val="00D455A7"/>
    <w:rsid w:val="00D47970"/>
    <w:rsid w:val="00D53B40"/>
    <w:rsid w:val="00D573F5"/>
    <w:rsid w:val="00D608A3"/>
    <w:rsid w:val="00D61A38"/>
    <w:rsid w:val="00D6254F"/>
    <w:rsid w:val="00D63317"/>
    <w:rsid w:val="00D63BBD"/>
    <w:rsid w:val="00D65096"/>
    <w:rsid w:val="00D67824"/>
    <w:rsid w:val="00D70716"/>
    <w:rsid w:val="00D7157F"/>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2A9E"/>
    <w:rsid w:val="00DD3075"/>
    <w:rsid w:val="00DD635E"/>
    <w:rsid w:val="00DE08B9"/>
    <w:rsid w:val="00DE4B2A"/>
    <w:rsid w:val="00DE6BC6"/>
    <w:rsid w:val="00DF77AD"/>
    <w:rsid w:val="00E10739"/>
    <w:rsid w:val="00E10CC0"/>
    <w:rsid w:val="00E12A20"/>
    <w:rsid w:val="00E167EB"/>
    <w:rsid w:val="00E16DBD"/>
    <w:rsid w:val="00E2252B"/>
    <w:rsid w:val="00E22773"/>
    <w:rsid w:val="00E234E5"/>
    <w:rsid w:val="00E31646"/>
    <w:rsid w:val="00E32E75"/>
    <w:rsid w:val="00E34990"/>
    <w:rsid w:val="00E34BEA"/>
    <w:rsid w:val="00E410D8"/>
    <w:rsid w:val="00E4248D"/>
    <w:rsid w:val="00E47E03"/>
    <w:rsid w:val="00E52A33"/>
    <w:rsid w:val="00E52CC6"/>
    <w:rsid w:val="00E53B95"/>
    <w:rsid w:val="00E54F5E"/>
    <w:rsid w:val="00E57BDF"/>
    <w:rsid w:val="00E66F7C"/>
    <w:rsid w:val="00E714DD"/>
    <w:rsid w:val="00E81F47"/>
    <w:rsid w:val="00E9003F"/>
    <w:rsid w:val="00E935B2"/>
    <w:rsid w:val="00E93A22"/>
    <w:rsid w:val="00E945A0"/>
    <w:rsid w:val="00E94873"/>
    <w:rsid w:val="00E94A8C"/>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4E84"/>
    <w:rsid w:val="00ED6779"/>
    <w:rsid w:val="00EE0132"/>
    <w:rsid w:val="00EE1837"/>
    <w:rsid w:val="00EE35DE"/>
    <w:rsid w:val="00EE3A82"/>
    <w:rsid w:val="00EE47E5"/>
    <w:rsid w:val="00EE6CA5"/>
    <w:rsid w:val="00EF1B60"/>
    <w:rsid w:val="00EF30F1"/>
    <w:rsid w:val="00EF5E08"/>
    <w:rsid w:val="00F013DE"/>
    <w:rsid w:val="00F03A30"/>
    <w:rsid w:val="00F04052"/>
    <w:rsid w:val="00F060AF"/>
    <w:rsid w:val="00F13ED0"/>
    <w:rsid w:val="00F14A18"/>
    <w:rsid w:val="00F17811"/>
    <w:rsid w:val="00F210C4"/>
    <w:rsid w:val="00F21898"/>
    <w:rsid w:val="00F21A50"/>
    <w:rsid w:val="00F31B22"/>
    <w:rsid w:val="00F31D4F"/>
    <w:rsid w:val="00F33A4D"/>
    <w:rsid w:val="00F34657"/>
    <w:rsid w:val="00F355FB"/>
    <w:rsid w:val="00F40DCF"/>
    <w:rsid w:val="00F43764"/>
    <w:rsid w:val="00F46DE6"/>
    <w:rsid w:val="00F47D41"/>
    <w:rsid w:val="00F506E3"/>
    <w:rsid w:val="00F52128"/>
    <w:rsid w:val="00F52638"/>
    <w:rsid w:val="00F53172"/>
    <w:rsid w:val="00F55561"/>
    <w:rsid w:val="00F60637"/>
    <w:rsid w:val="00F62C5B"/>
    <w:rsid w:val="00F62EB2"/>
    <w:rsid w:val="00F66350"/>
    <w:rsid w:val="00F66FC5"/>
    <w:rsid w:val="00F70A26"/>
    <w:rsid w:val="00F733CE"/>
    <w:rsid w:val="00F73811"/>
    <w:rsid w:val="00F7576E"/>
    <w:rsid w:val="00F75A4D"/>
    <w:rsid w:val="00F7764F"/>
    <w:rsid w:val="00F77B3A"/>
    <w:rsid w:val="00F81EA8"/>
    <w:rsid w:val="00F83916"/>
    <w:rsid w:val="00F85245"/>
    <w:rsid w:val="00F86FE3"/>
    <w:rsid w:val="00F9033A"/>
    <w:rsid w:val="00F90381"/>
    <w:rsid w:val="00F91313"/>
    <w:rsid w:val="00F949D7"/>
    <w:rsid w:val="00F95991"/>
    <w:rsid w:val="00FA2705"/>
    <w:rsid w:val="00FA3166"/>
    <w:rsid w:val="00FA41BA"/>
    <w:rsid w:val="00FA7B7C"/>
    <w:rsid w:val="00FB0787"/>
    <w:rsid w:val="00FB3238"/>
    <w:rsid w:val="00FB4305"/>
    <w:rsid w:val="00FB5172"/>
    <w:rsid w:val="00FC05BD"/>
    <w:rsid w:val="00FC1112"/>
    <w:rsid w:val="00FC1903"/>
    <w:rsid w:val="00FC41CE"/>
    <w:rsid w:val="00FD05D4"/>
    <w:rsid w:val="00FD3DAA"/>
    <w:rsid w:val="00FD58A1"/>
    <w:rsid w:val="00FD689E"/>
    <w:rsid w:val="00FE1FEC"/>
    <w:rsid w:val="00FE259F"/>
    <w:rsid w:val="00FE324F"/>
    <w:rsid w:val="00FE32F0"/>
    <w:rsid w:val="00FE50DE"/>
    <w:rsid w:val="00FE587B"/>
    <w:rsid w:val="00FE6B73"/>
    <w:rsid w:val="00FF0AB2"/>
    <w:rsid w:val="00FF2356"/>
    <w:rsid w:val="00FF33E7"/>
    <w:rsid w:val="00FF514D"/>
    <w:rsid w:val="00FF611B"/>
    <w:rsid w:val="00FF61AE"/>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BD0088"/>
  <w15:docId w15:val="{88581DD8-3B13-4811-BB6F-71BE0B4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7"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40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99665">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researchgovernance@contacts.bham.ac.uk" TargetMode="External"/><Relationship Id="rId3" Type="http://schemas.openxmlformats.org/officeDocument/2006/relationships/styles" Target="styles.xml"/><Relationship Id="rId21" Type="http://schemas.openxmlformats.org/officeDocument/2006/relationships/package" Target="embeddings/Microsoft_Visio_Drawing.vsd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crct@contacts.bham.ac.uk"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29" Type="http://schemas.openxmlformats.org/officeDocument/2006/relationships/hyperlink" Target="https://www.birmingham.ac.uk/research/activity/mds/mds-rkto/governance/Glossary-of-Term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irmingham.ac.uk/research/activity/mds/mds-rkto/governance/index.aspx" TargetMode="Externa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consort-statement.org/extensions" TargetMode="External"/><Relationship Id="rId28" Type="http://schemas.openxmlformats.org/officeDocument/2006/relationships/hyperlink" Target="http://www.consort-statement.org/extensions"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onsort-statement.org/" TargetMode="External"/><Relationship Id="rId27" Type="http://schemas.openxmlformats.org/officeDocument/2006/relationships/hyperlink" Target="http://www.consort-statement.org/"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F1FC-7694-423C-8AB3-FF6BFB3B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v8.0 vd 11-Oct-2019</dc:title>
  <dc:creator>beckettl</dc:creator>
  <cp:lastModifiedBy>Kari Bottolfsen (Life and Environmental Sciences)</cp:lastModifiedBy>
  <cp:revision>10</cp:revision>
  <cp:lastPrinted>2019-05-31T11:18:00Z</cp:lastPrinted>
  <dcterms:created xsi:type="dcterms:W3CDTF">2022-10-18T13:13:00Z</dcterms:created>
  <dcterms:modified xsi:type="dcterms:W3CDTF">2022-12-14T12:48:00Z</dcterms:modified>
</cp:coreProperties>
</file>