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9F7FE" w14:textId="77777777" w:rsidR="009F4967" w:rsidRDefault="009F4967" w:rsidP="009F4967">
      <w:pPr>
        <w:pStyle w:val="Title"/>
      </w:pPr>
      <w:bookmarkStart w:id="0" w:name="_GoBack"/>
      <w:bookmarkEnd w:id="0"/>
      <w:r>
        <w:t>Quality Control Document:</w:t>
      </w:r>
    </w:p>
    <w:p w14:paraId="030BB620" w14:textId="6EA91501" w:rsidR="008E26A3" w:rsidRPr="009F4967" w:rsidRDefault="008E26A3" w:rsidP="008E26A3">
      <w:pPr>
        <w:pStyle w:val="Title"/>
      </w:pPr>
      <w:r>
        <w:t xml:space="preserve">Guide </w:t>
      </w:r>
      <w:r w:rsidR="00887B4E">
        <w:t xml:space="preserve">to </w:t>
      </w:r>
      <w:r>
        <w:t>Retention Times</w:t>
      </w:r>
    </w:p>
    <w:p w14:paraId="73569DD9" w14:textId="77777777" w:rsidR="008E26A3" w:rsidRPr="008E26A3" w:rsidRDefault="008E26A3" w:rsidP="008E26A3"/>
    <w:p w14:paraId="1A79174E" w14:textId="77777777" w:rsidR="009F4967" w:rsidRPr="009F4967" w:rsidRDefault="009F4967" w:rsidP="009F4967"/>
    <w:p w14:paraId="327FD6F1" w14:textId="2688D306" w:rsidR="00E3726D" w:rsidRDefault="009E2541" w:rsidP="001C1176">
      <w:pPr>
        <w:pStyle w:val="Heading1"/>
        <w:tabs>
          <w:tab w:val="left" w:pos="5054"/>
        </w:tabs>
      </w:pPr>
      <w:r>
        <w:t>Purpose</w:t>
      </w:r>
    </w:p>
    <w:p w14:paraId="6D659997" w14:textId="6B8585EA" w:rsidR="004710B3" w:rsidRPr="00435B90" w:rsidRDefault="004710B3" w:rsidP="004710B3">
      <w:r>
        <w:t>This guide has been developed to provide further information on the required retention period for material that need</w:t>
      </w:r>
      <w:r w:rsidR="00887B4E">
        <w:t>s</w:t>
      </w:r>
      <w:r>
        <w:t xml:space="preserve"> to be archived as part of a clinical research project. This document can be used in conjunction with</w:t>
      </w:r>
      <w:r w:rsidR="0056173B">
        <w:t xml:space="preserve"> the</w:t>
      </w:r>
      <w:r>
        <w:t xml:space="preserve"> </w:t>
      </w:r>
      <w:r w:rsidRPr="007E1030">
        <w:rPr>
          <w:rStyle w:val="ReferencestootherSOPsQCDsChar"/>
        </w:rPr>
        <w:t>Archiving</w:t>
      </w:r>
      <w:r w:rsidR="0056173B">
        <w:rPr>
          <w:rStyle w:val="ReferencestootherSOPsQCDsChar"/>
        </w:rPr>
        <w:t xml:space="preserve"> SOP (</w:t>
      </w:r>
      <w:r w:rsidR="0056173B" w:rsidRPr="007E1030">
        <w:rPr>
          <w:rStyle w:val="ReferencestootherSOPsQCDsChar"/>
        </w:rPr>
        <w:t>UoB-ARC-SOP-001</w:t>
      </w:r>
      <w:r w:rsidR="0056173B">
        <w:rPr>
          <w:rStyle w:val="ReferencestootherSOPsQCDsChar"/>
        </w:rPr>
        <w:t>)</w:t>
      </w:r>
      <w:r>
        <w:t xml:space="preserve"> to establish the required retention period for </w:t>
      </w:r>
      <w:r w:rsidR="0056173B">
        <w:t xml:space="preserve">the </w:t>
      </w:r>
      <w:r>
        <w:t xml:space="preserve">project material. </w:t>
      </w:r>
    </w:p>
    <w:p w14:paraId="6DC21EFA" w14:textId="657795BD" w:rsidR="009E2541" w:rsidRDefault="009E2541" w:rsidP="009E2541">
      <w:pPr>
        <w:pStyle w:val="Heading1"/>
      </w:pPr>
      <w:r>
        <w:t>Related documents</w:t>
      </w:r>
    </w:p>
    <w:p w14:paraId="4B2B5707" w14:textId="77777777" w:rsidR="004710B3" w:rsidRDefault="004710B3" w:rsidP="004710B3">
      <w:pPr>
        <w:pStyle w:val="bullet1"/>
      </w:pPr>
      <w:r>
        <w:t>UoB-ARC-QCD-001 Archiving Plan</w:t>
      </w:r>
    </w:p>
    <w:p w14:paraId="58B68B45" w14:textId="77777777" w:rsidR="004710B3" w:rsidRDefault="004710B3" w:rsidP="004710B3">
      <w:pPr>
        <w:pStyle w:val="bullet1"/>
      </w:pPr>
      <w:r>
        <w:t>UoB-ARC-QCD-002 Archive Label</w:t>
      </w:r>
    </w:p>
    <w:p w14:paraId="6E09CD33" w14:textId="77777777" w:rsidR="004710B3" w:rsidRDefault="004710B3" w:rsidP="004710B3">
      <w:pPr>
        <w:pStyle w:val="bullet1"/>
      </w:pPr>
      <w:r>
        <w:t>UoB-ARC-SOP-001 Archiving</w:t>
      </w:r>
    </w:p>
    <w:p w14:paraId="09121664" w14:textId="0E9600D4" w:rsidR="0017791A" w:rsidRDefault="0056173B" w:rsidP="0017791A">
      <w:pPr>
        <w:rPr>
          <w:lang w:eastAsia="en-GB"/>
        </w:rPr>
      </w:pPr>
      <w:r>
        <w:t xml:space="preserve">Access to the full </w:t>
      </w:r>
      <w:proofErr w:type="spellStart"/>
      <w:r>
        <w:t>UoB</w:t>
      </w:r>
      <w:proofErr w:type="spellEnd"/>
      <w:r>
        <w:t xml:space="preserve"> QMS for clinical research is available via the </w:t>
      </w:r>
      <w:hyperlink r:id="rId7" w:tooltip="Website for the Clinical Research Compliance Team" w:history="1">
        <w:r>
          <w:rPr>
            <w:rStyle w:val="Hyperlink"/>
            <w:lang w:eastAsia="en-GB"/>
          </w:rPr>
          <w:t>CRCT website</w:t>
        </w:r>
      </w:hyperlink>
      <w:r>
        <w:rPr>
          <w:lang w:eastAsia="en-GB"/>
        </w:rPr>
        <w:t>.</w:t>
      </w:r>
    </w:p>
    <w:p w14:paraId="15F1AD5B" w14:textId="77777777" w:rsidR="00B63EFD" w:rsidRDefault="00B63EFD" w:rsidP="00B63EFD">
      <w:pPr>
        <w:pStyle w:val="bullet1"/>
        <w:numPr>
          <w:ilvl w:val="0"/>
          <w:numId w:val="0"/>
        </w:numPr>
      </w:pPr>
    </w:p>
    <w:p w14:paraId="73944A48" w14:textId="77777777" w:rsidR="00B63EFD" w:rsidRDefault="00B63EFD" w:rsidP="00B63EFD">
      <w:pPr>
        <w:tabs>
          <w:tab w:val="left" w:pos="3104"/>
        </w:tabs>
        <w:sectPr w:rsidR="00B63EFD" w:rsidSect="009F496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104" w:right="1440" w:bottom="1560" w:left="1440" w:header="1396" w:footer="567" w:gutter="0"/>
          <w:cols w:space="708"/>
          <w:titlePg/>
          <w:docGrid w:linePitch="360"/>
        </w:sectPr>
      </w:pPr>
    </w:p>
    <w:tbl>
      <w:tblPr>
        <w:tblStyle w:val="TableGrid"/>
        <w:tblpPr w:leftFromText="181" w:rightFromText="181" w:vertAnchor="text" w:horzAnchor="margin" w:tblpY="1"/>
        <w:tblW w:w="13887" w:type="dxa"/>
        <w:tblLook w:val="04A0" w:firstRow="1" w:lastRow="0" w:firstColumn="1" w:lastColumn="0" w:noHBand="0" w:noVBand="1"/>
        <w:tblCaption w:val="Guide on Retention Times"/>
        <w:tblDescription w:val="The table has been developed to provide further information on the required retention period for material and data that need to be archived as part of a clinical research project. This table can be used in conjunction with UoB-ARC-SOP-001 Archiving to establish the required retention period for clinical research project material. "/>
      </w:tblPr>
      <w:tblGrid>
        <w:gridCol w:w="3397"/>
        <w:gridCol w:w="2835"/>
        <w:gridCol w:w="7655"/>
      </w:tblGrid>
      <w:tr w:rsidR="004710B3" w14:paraId="55A1FD2B" w14:textId="77777777" w:rsidTr="00BE18A6">
        <w:trPr>
          <w:tblHeader/>
        </w:trPr>
        <w:tc>
          <w:tcPr>
            <w:tcW w:w="3397" w:type="dxa"/>
          </w:tcPr>
          <w:p w14:paraId="1AF29E46" w14:textId="77777777" w:rsidR="004710B3" w:rsidRDefault="004710B3" w:rsidP="00587510">
            <w:pPr>
              <w:pStyle w:val="Heading2"/>
              <w:outlineLvl w:val="1"/>
            </w:pPr>
            <w:r>
              <w:lastRenderedPageBreak/>
              <w:t>Project type</w:t>
            </w:r>
          </w:p>
        </w:tc>
        <w:tc>
          <w:tcPr>
            <w:tcW w:w="2835" w:type="dxa"/>
          </w:tcPr>
          <w:p w14:paraId="68AEAF7B" w14:textId="77777777" w:rsidR="004710B3" w:rsidRDefault="004710B3" w:rsidP="00587510">
            <w:pPr>
              <w:pStyle w:val="Heading2"/>
              <w:outlineLvl w:val="1"/>
            </w:pPr>
            <w:r>
              <w:t>Retention period (minimum)</w:t>
            </w:r>
          </w:p>
        </w:tc>
        <w:tc>
          <w:tcPr>
            <w:tcW w:w="7655" w:type="dxa"/>
          </w:tcPr>
          <w:p w14:paraId="108EE98A" w14:textId="77777777" w:rsidR="004710B3" w:rsidRDefault="004710B3" w:rsidP="00587510">
            <w:pPr>
              <w:pStyle w:val="Heading2"/>
              <w:outlineLvl w:val="1"/>
            </w:pPr>
            <w:r>
              <w:t xml:space="preserve">Reference </w:t>
            </w:r>
          </w:p>
        </w:tc>
      </w:tr>
      <w:tr w:rsidR="004710B3" w14:paraId="64A8CB22" w14:textId="77777777" w:rsidTr="00BE18A6">
        <w:tc>
          <w:tcPr>
            <w:tcW w:w="13887" w:type="dxa"/>
            <w:gridSpan w:val="3"/>
            <w:shd w:val="clear" w:color="auto" w:fill="D9D9D9" w:themeFill="background1" w:themeFillShade="D9"/>
          </w:tcPr>
          <w:p w14:paraId="427A30A4" w14:textId="77777777" w:rsidR="004710B3" w:rsidRPr="00D77D50" w:rsidRDefault="004710B3" w:rsidP="00587510">
            <w:pPr>
              <w:pStyle w:val="Heading3"/>
              <w:outlineLvl w:val="2"/>
            </w:pPr>
            <w:proofErr w:type="spellStart"/>
            <w:r w:rsidRPr="00D77D50">
              <w:t>UoB</w:t>
            </w:r>
            <w:proofErr w:type="spellEnd"/>
            <w:r w:rsidRPr="00D77D50">
              <w:t xml:space="preserve"> Policy</w:t>
            </w:r>
          </w:p>
        </w:tc>
      </w:tr>
      <w:tr w:rsidR="004710B3" w14:paraId="58D9DA04" w14:textId="77777777" w:rsidTr="00BE18A6">
        <w:tc>
          <w:tcPr>
            <w:tcW w:w="3397" w:type="dxa"/>
          </w:tcPr>
          <w:p w14:paraId="3A85C319" w14:textId="4AC818E0" w:rsidR="004710B3" w:rsidRDefault="004710B3" w:rsidP="00587510">
            <w:proofErr w:type="spellStart"/>
            <w:r>
              <w:t>UoB</w:t>
            </w:r>
            <w:proofErr w:type="spellEnd"/>
            <w:r>
              <w:t xml:space="preserve"> REC</w:t>
            </w:r>
            <w:r w:rsidR="0056173B">
              <w:t>-</w:t>
            </w:r>
            <w:r>
              <w:t>approved clinical study</w:t>
            </w:r>
          </w:p>
        </w:tc>
        <w:tc>
          <w:tcPr>
            <w:tcW w:w="2835" w:type="dxa"/>
            <w:vMerge w:val="restart"/>
          </w:tcPr>
          <w:p w14:paraId="389A7791" w14:textId="77777777" w:rsidR="004710B3" w:rsidRDefault="004710B3" w:rsidP="00587510">
            <w:r>
              <w:t>10 years</w:t>
            </w:r>
          </w:p>
        </w:tc>
        <w:tc>
          <w:tcPr>
            <w:tcW w:w="7655" w:type="dxa"/>
            <w:vMerge w:val="restart"/>
          </w:tcPr>
          <w:p w14:paraId="18E9B538" w14:textId="417FDD80" w:rsidR="004710B3" w:rsidRDefault="004710B3" w:rsidP="00587510">
            <w:r>
              <w:t xml:space="preserve">The </w:t>
            </w:r>
            <w:hyperlink r:id="rId12" w:tooltip="link to an online PDF document of the Concordat on Open Research Data" w:history="1">
              <w:r w:rsidRPr="000856A4">
                <w:rPr>
                  <w:rStyle w:val="Hyperlink"/>
                </w:rPr>
                <w:t>Concordat on Open Research Dat</w:t>
              </w:r>
              <w:r>
                <w:rPr>
                  <w:rStyle w:val="Hyperlink"/>
                </w:rPr>
                <w:t>a (PDF – 180 KB)</w:t>
              </w:r>
            </w:hyperlink>
            <w:r>
              <w:t xml:space="preserve"> and the </w:t>
            </w:r>
            <w:hyperlink r:id="rId13" w:tooltip="Hyperlink to the UoB Research Data Management Policy" w:history="1">
              <w:proofErr w:type="spellStart"/>
              <w:r w:rsidRPr="007D69AA">
                <w:rPr>
                  <w:rStyle w:val="Hyperlink"/>
                </w:rPr>
                <w:t>UoB</w:t>
              </w:r>
              <w:proofErr w:type="spellEnd"/>
              <w:r w:rsidRPr="007D69AA">
                <w:rPr>
                  <w:rStyle w:val="Hyperlink"/>
                </w:rPr>
                <w:t xml:space="preserve"> Research Data </w:t>
              </w:r>
              <w:r w:rsidR="00AC7E8B">
                <w:rPr>
                  <w:rStyle w:val="Hyperlink"/>
                </w:rPr>
                <w:t xml:space="preserve">Management </w:t>
              </w:r>
              <w:r w:rsidRPr="007D69AA">
                <w:rPr>
                  <w:rStyle w:val="Hyperlink"/>
                </w:rPr>
                <w:t>Policy</w:t>
              </w:r>
            </w:hyperlink>
            <w:r>
              <w:t xml:space="preserve"> </w:t>
            </w:r>
            <w:r w:rsidRPr="00952D86">
              <w:t>state</w:t>
            </w:r>
            <w:r>
              <w:t xml:space="preserve"> that primary research data and research evidence should be preserved and accessible for a minimum of 10 years.</w:t>
            </w:r>
          </w:p>
        </w:tc>
      </w:tr>
      <w:tr w:rsidR="004710B3" w14:paraId="6DB8460B" w14:textId="77777777" w:rsidTr="00BE18A6">
        <w:tc>
          <w:tcPr>
            <w:tcW w:w="3397" w:type="dxa"/>
          </w:tcPr>
          <w:p w14:paraId="388DBFE4" w14:textId="63565FAB" w:rsidR="004710B3" w:rsidRDefault="004710B3" w:rsidP="00587510">
            <w:r>
              <w:t>HRA</w:t>
            </w:r>
            <w:r w:rsidR="0056173B">
              <w:t>-</w:t>
            </w:r>
            <w:r>
              <w:t>approved clinical study</w:t>
            </w:r>
          </w:p>
        </w:tc>
        <w:tc>
          <w:tcPr>
            <w:tcW w:w="2835" w:type="dxa"/>
            <w:vMerge/>
          </w:tcPr>
          <w:p w14:paraId="31077202" w14:textId="77777777" w:rsidR="004710B3" w:rsidRDefault="004710B3" w:rsidP="00587510"/>
        </w:tc>
        <w:tc>
          <w:tcPr>
            <w:tcW w:w="7655" w:type="dxa"/>
            <w:vMerge/>
          </w:tcPr>
          <w:p w14:paraId="05AD8AF3" w14:textId="77777777" w:rsidR="004710B3" w:rsidRDefault="004710B3" w:rsidP="00587510"/>
        </w:tc>
      </w:tr>
      <w:tr w:rsidR="004710B3" w14:paraId="4F5A810A" w14:textId="77777777" w:rsidTr="00BE18A6">
        <w:tc>
          <w:tcPr>
            <w:tcW w:w="3397" w:type="dxa"/>
          </w:tcPr>
          <w:p w14:paraId="516415EC" w14:textId="77777777" w:rsidR="004710B3" w:rsidRDefault="004710B3" w:rsidP="00587510">
            <w:r>
              <w:t>Non-CTIMP</w:t>
            </w:r>
          </w:p>
        </w:tc>
        <w:tc>
          <w:tcPr>
            <w:tcW w:w="2835" w:type="dxa"/>
            <w:vMerge/>
          </w:tcPr>
          <w:p w14:paraId="07A9D761" w14:textId="77777777" w:rsidR="004710B3" w:rsidRDefault="004710B3" w:rsidP="00587510"/>
        </w:tc>
        <w:tc>
          <w:tcPr>
            <w:tcW w:w="7655" w:type="dxa"/>
            <w:vMerge/>
          </w:tcPr>
          <w:p w14:paraId="19B85325" w14:textId="77777777" w:rsidR="004710B3" w:rsidRDefault="004710B3" w:rsidP="00587510"/>
        </w:tc>
      </w:tr>
      <w:tr w:rsidR="004710B3" w14:paraId="62739C47" w14:textId="77777777" w:rsidTr="00BE18A6">
        <w:tc>
          <w:tcPr>
            <w:tcW w:w="3397" w:type="dxa"/>
          </w:tcPr>
          <w:p w14:paraId="5E154B3A" w14:textId="77777777" w:rsidR="004710B3" w:rsidRDefault="004710B3" w:rsidP="00587510">
            <w:r>
              <w:t>CTIMPs</w:t>
            </w:r>
          </w:p>
        </w:tc>
        <w:tc>
          <w:tcPr>
            <w:tcW w:w="2835" w:type="dxa"/>
            <w:vMerge/>
          </w:tcPr>
          <w:p w14:paraId="71F3CDCE" w14:textId="77777777" w:rsidR="004710B3" w:rsidRDefault="004710B3" w:rsidP="00587510"/>
        </w:tc>
        <w:tc>
          <w:tcPr>
            <w:tcW w:w="7655" w:type="dxa"/>
            <w:vMerge/>
          </w:tcPr>
          <w:p w14:paraId="312B3A98" w14:textId="77777777" w:rsidR="004710B3" w:rsidRDefault="004710B3" w:rsidP="00587510"/>
        </w:tc>
      </w:tr>
      <w:tr w:rsidR="004710B3" w14:paraId="0034C6C6" w14:textId="77777777" w:rsidTr="00BE18A6">
        <w:tc>
          <w:tcPr>
            <w:tcW w:w="3397" w:type="dxa"/>
          </w:tcPr>
          <w:p w14:paraId="083F3F71" w14:textId="77777777" w:rsidR="004710B3" w:rsidRDefault="004710B3" w:rsidP="00587510">
            <w:bookmarkStart w:id="1" w:name="_Hlk127203677"/>
            <w:r>
              <w:t>Any clinical study, non-CTIMP or CTIMP of clinical importance</w:t>
            </w:r>
          </w:p>
        </w:tc>
        <w:tc>
          <w:tcPr>
            <w:tcW w:w="2835" w:type="dxa"/>
          </w:tcPr>
          <w:p w14:paraId="7D7177E3" w14:textId="77777777" w:rsidR="004710B3" w:rsidRDefault="004710B3" w:rsidP="00587510">
            <w:r>
              <w:t>20 years</w:t>
            </w:r>
          </w:p>
        </w:tc>
        <w:tc>
          <w:tcPr>
            <w:tcW w:w="7655" w:type="dxa"/>
          </w:tcPr>
          <w:p w14:paraId="05113542" w14:textId="0136E7EC" w:rsidR="004710B3" w:rsidRDefault="004710B3" w:rsidP="00587510">
            <w:r>
              <w:t xml:space="preserve">The </w:t>
            </w:r>
            <w:hyperlink r:id="rId14" w:tooltip="Hyperlink to the UoB Research Data Management Policy" w:history="1">
              <w:proofErr w:type="spellStart"/>
              <w:r w:rsidRPr="007D69AA">
                <w:rPr>
                  <w:rStyle w:val="Hyperlink"/>
                </w:rPr>
                <w:t>UoB</w:t>
              </w:r>
              <w:proofErr w:type="spellEnd"/>
              <w:r w:rsidRPr="007D69AA">
                <w:rPr>
                  <w:rStyle w:val="Hyperlink"/>
                </w:rPr>
                <w:t xml:space="preserve"> Research Data </w:t>
              </w:r>
              <w:r w:rsidR="00AC7E8B">
                <w:rPr>
                  <w:rStyle w:val="Hyperlink"/>
                </w:rPr>
                <w:t xml:space="preserve">Management </w:t>
              </w:r>
              <w:r w:rsidRPr="007D69AA">
                <w:rPr>
                  <w:rStyle w:val="Hyperlink"/>
                </w:rPr>
                <w:t>Policy</w:t>
              </w:r>
            </w:hyperlink>
            <w:r>
              <w:t xml:space="preserve"> </w:t>
            </w:r>
            <w:r w:rsidRPr="00952D86">
              <w:t>state</w:t>
            </w:r>
            <w:r>
              <w:t>s that</w:t>
            </w:r>
            <w:r w:rsidRPr="00343A0D">
              <w:t xml:space="preserve"> </w:t>
            </w:r>
            <w:r w:rsidR="00DA397B">
              <w:t>r</w:t>
            </w:r>
            <w:r w:rsidRPr="00343A0D">
              <w:t xml:space="preserve">esearch </w:t>
            </w:r>
            <w:r w:rsidR="00DA397B">
              <w:t>d</w:t>
            </w:r>
            <w:r w:rsidRPr="00343A0D">
              <w:t xml:space="preserve">ata should normally be </w:t>
            </w:r>
            <w:r>
              <w:t>preserved and accessible for 10</w:t>
            </w:r>
            <w:r w:rsidRPr="00343A0D">
              <w:t xml:space="preserve"> years, but for projects of clinical or major social, environmental or heritage importance for 20 years or longer</w:t>
            </w:r>
            <w:r>
              <w:t>.</w:t>
            </w:r>
          </w:p>
        </w:tc>
      </w:tr>
      <w:bookmarkEnd w:id="1"/>
      <w:tr w:rsidR="004710B3" w14:paraId="1CC285C2" w14:textId="77777777" w:rsidTr="00BE18A6">
        <w:tc>
          <w:tcPr>
            <w:tcW w:w="13887" w:type="dxa"/>
            <w:gridSpan w:val="3"/>
            <w:shd w:val="clear" w:color="auto" w:fill="D9D9D9" w:themeFill="background1" w:themeFillShade="D9"/>
          </w:tcPr>
          <w:p w14:paraId="03BA4A56" w14:textId="77777777" w:rsidR="004710B3" w:rsidRDefault="004710B3" w:rsidP="00587510">
            <w:pPr>
              <w:pStyle w:val="Heading3"/>
              <w:outlineLvl w:val="2"/>
            </w:pPr>
            <w:r>
              <w:t>Regulations</w:t>
            </w:r>
          </w:p>
        </w:tc>
      </w:tr>
      <w:tr w:rsidR="004710B3" w14:paraId="7EF01F77" w14:textId="77777777" w:rsidTr="00BE18A6">
        <w:tc>
          <w:tcPr>
            <w:tcW w:w="3397" w:type="dxa"/>
          </w:tcPr>
          <w:p w14:paraId="6D923462" w14:textId="020F501A" w:rsidR="004710B3" w:rsidRDefault="004710B3" w:rsidP="00587510">
            <w:r>
              <w:t xml:space="preserve">CTIMPs not used to support </w:t>
            </w:r>
            <w:r w:rsidR="00887B4E">
              <w:t xml:space="preserve">marketing </w:t>
            </w:r>
            <w:r>
              <w:t>authorisation</w:t>
            </w:r>
          </w:p>
        </w:tc>
        <w:tc>
          <w:tcPr>
            <w:tcW w:w="2835" w:type="dxa"/>
          </w:tcPr>
          <w:p w14:paraId="1CF08382" w14:textId="77777777" w:rsidR="004710B3" w:rsidRDefault="004710B3" w:rsidP="00587510">
            <w:r>
              <w:t>5 years</w:t>
            </w:r>
          </w:p>
          <w:p w14:paraId="51F1E3AC" w14:textId="77777777" w:rsidR="004710B3" w:rsidRDefault="004710B3" w:rsidP="00587510">
            <w:r>
              <w:t xml:space="preserve">(10 years for </w:t>
            </w:r>
            <w:proofErr w:type="spellStart"/>
            <w:r>
              <w:t>UoB</w:t>
            </w:r>
            <w:proofErr w:type="spellEnd"/>
            <w:r>
              <w:t xml:space="preserve"> policy)</w:t>
            </w:r>
          </w:p>
        </w:tc>
        <w:tc>
          <w:tcPr>
            <w:tcW w:w="7655" w:type="dxa"/>
          </w:tcPr>
          <w:p w14:paraId="47B82855" w14:textId="52CCEAE1" w:rsidR="004710B3" w:rsidRDefault="00AC7E8B" w:rsidP="00587510">
            <w:r>
              <w:t xml:space="preserve">The </w:t>
            </w:r>
            <w:hyperlink r:id="rId15" w:tooltip="Link to The Medicines for Human Use (Clinical Trials) Regulation 2004" w:history="1">
              <w:r w:rsidR="004710B3" w:rsidRPr="00520887">
                <w:rPr>
                  <w:rStyle w:val="Hyperlink"/>
                </w:rPr>
                <w:t>Medicines for Human Use (Clinical Trials) Regulation 2004 (PDF –</w:t>
              </w:r>
              <w:r w:rsidR="004710B3">
                <w:rPr>
                  <w:rStyle w:val="Hyperlink"/>
                </w:rPr>
                <w:t xml:space="preserve"> 307</w:t>
              </w:r>
              <w:r w:rsidR="004710B3" w:rsidRPr="00520887">
                <w:rPr>
                  <w:rStyle w:val="Hyperlink"/>
                </w:rPr>
                <w:t xml:space="preserve"> KB)</w:t>
              </w:r>
            </w:hyperlink>
            <w:r w:rsidR="004710B3">
              <w:t xml:space="preserve">. Documents would need to be archived for 10 years as per the </w:t>
            </w:r>
            <w:proofErr w:type="spellStart"/>
            <w:r w:rsidR="004710B3">
              <w:t>UoB</w:t>
            </w:r>
            <w:proofErr w:type="spellEnd"/>
            <w:r w:rsidR="004710B3">
              <w:t xml:space="preserve"> policy (except where a trial did not open to recruitment).</w:t>
            </w:r>
          </w:p>
        </w:tc>
      </w:tr>
      <w:tr w:rsidR="004710B3" w14:paraId="0E00A5A0" w14:textId="77777777" w:rsidTr="00BE18A6">
        <w:tc>
          <w:tcPr>
            <w:tcW w:w="3397" w:type="dxa"/>
          </w:tcPr>
          <w:p w14:paraId="5CF40939" w14:textId="77777777" w:rsidR="004710B3" w:rsidRDefault="004710B3" w:rsidP="00587510">
            <w:r>
              <w:t>CTIMPs to support marketing authorisation</w:t>
            </w:r>
          </w:p>
        </w:tc>
        <w:tc>
          <w:tcPr>
            <w:tcW w:w="2835" w:type="dxa"/>
          </w:tcPr>
          <w:p w14:paraId="1912A640" w14:textId="77777777" w:rsidR="004710B3" w:rsidRDefault="004710B3" w:rsidP="00587510">
            <w:r>
              <w:t>15 years</w:t>
            </w:r>
          </w:p>
        </w:tc>
        <w:tc>
          <w:tcPr>
            <w:tcW w:w="7655" w:type="dxa"/>
          </w:tcPr>
          <w:p w14:paraId="7B80B738" w14:textId="26714CC6" w:rsidR="004710B3" w:rsidRPr="0005424F" w:rsidRDefault="004710B3" w:rsidP="00587510">
            <w:r>
              <w:t xml:space="preserve">The </w:t>
            </w:r>
            <w:hyperlink r:id="rId16" w:tooltip="Hyperlink to the European Directive 2005/63/EC" w:history="1">
              <w:r w:rsidRPr="0005424F">
                <w:rPr>
                  <w:rStyle w:val="Hyperlink"/>
                </w:rPr>
                <w:t>European Directive 2003/63/EC</w:t>
              </w:r>
              <w:r>
                <w:rPr>
                  <w:rStyle w:val="Hyperlink"/>
                </w:rPr>
                <w:t xml:space="preserve"> </w:t>
              </w:r>
              <w:r w:rsidRPr="0005424F">
                <w:rPr>
                  <w:rStyle w:val="Hyperlink"/>
                </w:rPr>
                <w:t>(PDF – 366 KB)</w:t>
              </w:r>
            </w:hyperlink>
            <w:r w:rsidRPr="0005424F">
              <w:t xml:space="preserve"> states that where trial results are planned to be used for registration purposes, essential clinical trial documents are required to be archived </w:t>
            </w:r>
            <w:r w:rsidR="00887B4E">
              <w:t>for at least</w:t>
            </w:r>
            <w:r w:rsidRPr="0005424F">
              <w:t>:</w:t>
            </w:r>
          </w:p>
          <w:p w14:paraId="1401D49C" w14:textId="413CE7FB" w:rsidR="004710B3" w:rsidRPr="0005424F" w:rsidRDefault="004710B3" w:rsidP="00587510">
            <w:pPr>
              <w:numPr>
                <w:ilvl w:val="0"/>
                <w:numId w:val="2"/>
              </w:numPr>
              <w:tabs>
                <w:tab w:val="num" w:pos="1021"/>
              </w:tabs>
              <w:spacing w:before="0" w:after="160" w:line="259" w:lineRule="auto"/>
            </w:pPr>
            <w:r w:rsidRPr="0005424F">
              <w:t xml:space="preserve">15 years after </w:t>
            </w:r>
            <w:r w:rsidR="00887B4E">
              <w:t xml:space="preserve">the trial’s </w:t>
            </w:r>
            <w:r w:rsidRPr="0005424F">
              <w:t>completion or discontinuation</w:t>
            </w:r>
            <w:r w:rsidR="00887B4E">
              <w:t xml:space="preserve"> or</w:t>
            </w:r>
          </w:p>
          <w:p w14:paraId="2546227D" w14:textId="04C216D4" w:rsidR="004710B3" w:rsidRPr="0005424F" w:rsidRDefault="004710B3" w:rsidP="00587510">
            <w:pPr>
              <w:numPr>
                <w:ilvl w:val="0"/>
                <w:numId w:val="2"/>
              </w:numPr>
              <w:tabs>
                <w:tab w:val="num" w:pos="1021"/>
              </w:tabs>
              <w:spacing w:before="0" w:after="160" w:line="259" w:lineRule="auto"/>
            </w:pPr>
            <w:r w:rsidRPr="0005424F">
              <w:t>2 years after the granting of the last marketing authorisation in the European Community and when there are no pending or contemplated marketing applications in the European Community,</w:t>
            </w:r>
            <w:r w:rsidR="008035F9">
              <w:t xml:space="preserve"> or</w:t>
            </w:r>
          </w:p>
          <w:p w14:paraId="0EA5E9A2" w14:textId="24F264BC" w:rsidR="004710B3" w:rsidRDefault="004710B3" w:rsidP="00587510">
            <w:pPr>
              <w:numPr>
                <w:ilvl w:val="0"/>
                <w:numId w:val="2"/>
              </w:numPr>
              <w:tabs>
                <w:tab w:val="num" w:pos="1021"/>
              </w:tabs>
              <w:spacing w:before="0" w:after="160" w:line="259" w:lineRule="auto"/>
            </w:pPr>
            <w:r w:rsidRPr="0005424F">
              <w:t xml:space="preserve">2 years after </w:t>
            </w:r>
            <w:r w:rsidR="008035F9">
              <w:t xml:space="preserve">the </w:t>
            </w:r>
            <w:r w:rsidRPr="0005424F">
              <w:t xml:space="preserve">formal discontinuation of </w:t>
            </w:r>
            <w:r w:rsidR="008035F9">
              <w:t xml:space="preserve">the </w:t>
            </w:r>
            <w:r w:rsidRPr="0005424F">
              <w:t>clinical development of the investigational product</w:t>
            </w:r>
            <w:r>
              <w:t>.</w:t>
            </w:r>
          </w:p>
        </w:tc>
      </w:tr>
      <w:tr w:rsidR="004710B3" w14:paraId="24CCC45F" w14:textId="77777777" w:rsidTr="00BE18A6">
        <w:tc>
          <w:tcPr>
            <w:tcW w:w="3397" w:type="dxa"/>
          </w:tcPr>
          <w:p w14:paraId="49DEA053" w14:textId="77777777" w:rsidR="004710B3" w:rsidRDefault="004710B3" w:rsidP="00587510">
            <w:r>
              <w:t>Paediatric trials</w:t>
            </w:r>
          </w:p>
        </w:tc>
        <w:tc>
          <w:tcPr>
            <w:tcW w:w="2835" w:type="dxa"/>
          </w:tcPr>
          <w:p w14:paraId="7CB968A4" w14:textId="77777777" w:rsidR="004710B3" w:rsidRDefault="004710B3" w:rsidP="00587510">
            <w:r>
              <w:t>As above</w:t>
            </w:r>
          </w:p>
        </w:tc>
        <w:tc>
          <w:tcPr>
            <w:tcW w:w="7655" w:type="dxa"/>
          </w:tcPr>
          <w:p w14:paraId="6FF04945" w14:textId="495B625B" w:rsidR="004710B3" w:rsidRDefault="00AC7E8B" w:rsidP="00587510">
            <w:r>
              <w:t xml:space="preserve">The </w:t>
            </w:r>
            <w:hyperlink r:id="rId17" w:tooltip="Link to The Medicines for Human Use (Clinical Trials) Regulation 2004" w:history="1">
              <w:r w:rsidR="004710B3" w:rsidRPr="00520887">
                <w:rPr>
                  <w:rStyle w:val="Hyperlink"/>
                </w:rPr>
                <w:t>Medicines for Human Use (Clinical Trials) Regulation 2004 (PDF –</w:t>
              </w:r>
              <w:r w:rsidR="004710B3">
                <w:rPr>
                  <w:rStyle w:val="Hyperlink"/>
                </w:rPr>
                <w:t xml:space="preserve"> 307</w:t>
              </w:r>
              <w:r w:rsidR="004710B3" w:rsidRPr="00520887">
                <w:rPr>
                  <w:rStyle w:val="Hyperlink"/>
                </w:rPr>
                <w:t xml:space="preserve"> KB)</w:t>
              </w:r>
            </w:hyperlink>
            <w:r w:rsidR="004710B3">
              <w:t>.</w:t>
            </w:r>
          </w:p>
          <w:p w14:paraId="7037D945" w14:textId="106A2611" w:rsidR="004710B3" w:rsidRDefault="00250BDF" w:rsidP="00587510">
            <w:pPr>
              <w:rPr>
                <w:rStyle w:val="Hyperlink"/>
              </w:rPr>
            </w:pPr>
            <w:hyperlink r:id="rId18" w:tooltip="Hyperlink to the European Directive 2005/63/EC" w:history="1">
              <w:r w:rsidR="004710B3" w:rsidRPr="0005424F">
                <w:rPr>
                  <w:rStyle w:val="Hyperlink"/>
                </w:rPr>
                <w:t>European Directive 2003/63/EC</w:t>
              </w:r>
              <w:r w:rsidR="004710B3">
                <w:rPr>
                  <w:rStyle w:val="Hyperlink"/>
                </w:rPr>
                <w:t xml:space="preserve"> </w:t>
              </w:r>
              <w:r w:rsidR="004710B3" w:rsidRPr="0005424F">
                <w:rPr>
                  <w:rStyle w:val="Hyperlink"/>
                </w:rPr>
                <w:t>(PDF – 366 KB)</w:t>
              </w:r>
            </w:hyperlink>
            <w:r w:rsidR="004710B3">
              <w:t>.</w:t>
            </w:r>
          </w:p>
          <w:p w14:paraId="299719FD" w14:textId="77777777" w:rsidR="004710B3" w:rsidRDefault="004710B3" w:rsidP="00587510">
            <w:r>
              <w:t xml:space="preserve">Note – data may not be used for a marketing authorisation application when the TMF has only been maintained for 5 years. </w:t>
            </w:r>
          </w:p>
        </w:tc>
      </w:tr>
      <w:tr w:rsidR="004710B3" w14:paraId="03E1AF16" w14:textId="77777777" w:rsidTr="00BE18A6">
        <w:tc>
          <w:tcPr>
            <w:tcW w:w="3397" w:type="dxa"/>
          </w:tcPr>
          <w:p w14:paraId="5E963299" w14:textId="77777777" w:rsidR="004710B3" w:rsidRDefault="004710B3" w:rsidP="00587510">
            <w:r>
              <w:lastRenderedPageBreak/>
              <w:t>CTIMPs run in EU countries</w:t>
            </w:r>
          </w:p>
        </w:tc>
        <w:tc>
          <w:tcPr>
            <w:tcW w:w="2835" w:type="dxa"/>
          </w:tcPr>
          <w:p w14:paraId="431FF95D" w14:textId="77777777" w:rsidR="004710B3" w:rsidRDefault="004710B3" w:rsidP="00587510">
            <w:r>
              <w:t>25 years</w:t>
            </w:r>
          </w:p>
        </w:tc>
        <w:tc>
          <w:tcPr>
            <w:tcW w:w="7655" w:type="dxa"/>
          </w:tcPr>
          <w:p w14:paraId="3CAE4033" w14:textId="7EFCFF98" w:rsidR="004710B3" w:rsidRDefault="00E504FF" w:rsidP="00587510">
            <w:r>
              <w:t>T</w:t>
            </w:r>
            <w:r w:rsidR="004710B3">
              <w:t xml:space="preserve">he </w:t>
            </w:r>
            <w:hyperlink r:id="rId19" w:tooltip="Hyperlink to Clinical Trial Regulation (EU) No536/2014 Article 58" w:history="1">
              <w:r w:rsidR="004710B3" w:rsidRPr="000D570C">
                <w:rPr>
                  <w:rStyle w:val="Hyperlink"/>
                </w:rPr>
                <w:t>Clinical Trial Regulation (EU) No536/2014 Article 5</w:t>
              </w:r>
              <w:r w:rsidR="004710B3">
                <w:rPr>
                  <w:rStyle w:val="Hyperlink"/>
                </w:rPr>
                <w:t>8 (PDF – 757 KB)</w:t>
              </w:r>
            </w:hyperlink>
            <w:r w:rsidR="004710B3" w:rsidRPr="00ED5F73">
              <w:t xml:space="preserve"> </w:t>
            </w:r>
            <w:r w:rsidR="004710B3">
              <w:t>state</w:t>
            </w:r>
            <w:r>
              <w:t>s</w:t>
            </w:r>
            <w:r w:rsidR="004710B3">
              <w:t xml:space="preserve"> that the content of the TMF will be archived for at least 25 years after the end of the clinical trial.</w:t>
            </w:r>
          </w:p>
        </w:tc>
      </w:tr>
      <w:tr w:rsidR="004710B3" w14:paraId="21CCEC2B" w14:textId="77777777" w:rsidTr="00BE18A6">
        <w:tc>
          <w:tcPr>
            <w:tcW w:w="3397" w:type="dxa"/>
          </w:tcPr>
          <w:p w14:paraId="04068835" w14:textId="77777777" w:rsidR="004710B3" w:rsidRDefault="004710B3" w:rsidP="00587510">
            <w:r>
              <w:t>ATIMP</w:t>
            </w:r>
          </w:p>
        </w:tc>
        <w:tc>
          <w:tcPr>
            <w:tcW w:w="2835" w:type="dxa"/>
          </w:tcPr>
          <w:p w14:paraId="09A408FD" w14:textId="77777777" w:rsidR="004710B3" w:rsidRDefault="004710B3" w:rsidP="00587510">
            <w:r w:rsidRPr="00343A0D">
              <w:t>30 years</w:t>
            </w:r>
          </w:p>
        </w:tc>
        <w:tc>
          <w:tcPr>
            <w:tcW w:w="7655" w:type="dxa"/>
          </w:tcPr>
          <w:p w14:paraId="74F97A12" w14:textId="53430E7A" w:rsidR="004710B3" w:rsidRDefault="004710B3" w:rsidP="00587510">
            <w:r>
              <w:t xml:space="preserve">The </w:t>
            </w:r>
            <w:r w:rsidR="008035F9">
              <w:t xml:space="preserve">sponsor </w:t>
            </w:r>
            <w:r>
              <w:t xml:space="preserve">of the trial and the </w:t>
            </w:r>
            <w:r w:rsidRPr="00952D86">
              <w:t>investigator</w:t>
            </w:r>
            <w:r>
              <w:t xml:space="preserve">/institution where the ATIMP is used must keep their parts of the traceability records (as per </w:t>
            </w:r>
            <w:hyperlink r:id="rId20" w:tooltip="Hyperlink to EudraLex Volume 10, Chapter 5, ‘Detailed guidelines on good clinical practice specific to advanced therapy medicinal products" w:history="1">
              <w:r w:rsidRPr="0089382F">
                <w:rPr>
                  <w:rStyle w:val="Hyperlink"/>
                </w:rPr>
                <w:t>Annex 1 of EudraLex Volume 10, Chapter 5, ‘Detailed guidelines on good clinical practice specific to advanced therapy medicinal product</w:t>
              </w:r>
              <w:r>
                <w:rPr>
                  <w:rStyle w:val="Hyperlink"/>
                </w:rPr>
                <w:t>s’ (PDF – 406 KB)</w:t>
              </w:r>
            </w:hyperlink>
            <w:r>
              <w:t>) for a minimum of 30 years after the expiry date of the product.</w:t>
            </w:r>
          </w:p>
        </w:tc>
      </w:tr>
    </w:tbl>
    <w:p w14:paraId="4D8CE930" w14:textId="77777777" w:rsidR="00B63EFD" w:rsidRPr="00B63EFD" w:rsidRDefault="00B63EFD" w:rsidP="00174260"/>
    <w:sectPr w:rsidR="00B63EFD" w:rsidRPr="00B63EFD" w:rsidSect="00A27AB4">
      <w:pgSz w:w="16838" w:h="11906" w:orient="landscape"/>
      <w:pgMar w:top="1440" w:right="1440" w:bottom="1440" w:left="1440" w:header="567" w:footer="567" w:gutter="0"/>
      <w:pgBorders>
        <w:top w:val="single" w:sz="12" w:space="3" w:color="943634"/>
        <w:bottom w:val="single" w:sz="12" w:space="3" w:color="94363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76FE9" w14:textId="77777777" w:rsidR="001A414A" w:rsidRDefault="001A414A" w:rsidP="009E2541">
      <w:pPr>
        <w:spacing w:before="0" w:after="0"/>
      </w:pPr>
      <w:r>
        <w:separator/>
      </w:r>
    </w:p>
  </w:endnote>
  <w:endnote w:type="continuationSeparator" w:id="0">
    <w:p w14:paraId="77CF1DF9" w14:textId="77777777" w:rsidR="001A414A" w:rsidRDefault="001A414A" w:rsidP="009E25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5694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F17A41" w14:textId="77777777" w:rsidR="0017791A" w:rsidRDefault="0017791A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12EBF691" w14:textId="5670A4E5" w:rsidR="009E2541" w:rsidRDefault="0056173B" w:rsidP="00A27AB4">
            <w:pPr>
              <w:pStyle w:val="Footer"/>
              <w:tabs>
                <w:tab w:val="right" w:pos="9026"/>
                <w:tab w:val="right" w:pos="13958"/>
              </w:tabs>
            </w:pPr>
            <w:r>
              <w:t xml:space="preserve">UoB-ARC-QCD-003 Guide </w:t>
            </w:r>
            <w:r w:rsidR="008E51FE">
              <w:t xml:space="preserve">to </w:t>
            </w:r>
            <w:r>
              <w:t xml:space="preserve">Retention Times </w:t>
            </w:r>
            <w:r w:rsidR="008E51FE">
              <w:t>v2.0</w:t>
            </w:r>
            <w:r w:rsidR="00352C78" w:rsidRPr="00352C78">
              <w:tab/>
            </w:r>
            <w:r>
              <w:rPr>
                <w:noProof/>
              </w:rPr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of </w:t>
            </w:r>
            <w:fldSimple w:instr=" NUMPAGES   \* MERGEFORMAT ">
              <w:r>
                <w:t>3</w:t>
              </w:r>
            </w:fldSimple>
          </w:p>
        </w:sdtContent>
      </w:sdt>
    </w:sdtContent>
  </w:sdt>
  <w:p w14:paraId="015EE22F" w14:textId="3208316E" w:rsidR="00A121AC" w:rsidRPr="009E2541" w:rsidRDefault="002E1F8A" w:rsidP="004710B3">
    <w:pPr>
      <w:pStyle w:val="Footer"/>
    </w:pPr>
    <w:r>
      <w:t xml:space="preserve">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4F8AA" w14:textId="77777777" w:rsidR="009F4967" w:rsidRDefault="009F4967" w:rsidP="009F4967">
    <w:pPr>
      <w:pStyle w:val="Footer"/>
      <w:jc w:val="center"/>
    </w:pPr>
    <w:r w:rsidRPr="002D6577">
      <w:t xml:space="preserve">Property of </w:t>
    </w:r>
    <w:r>
      <w:t xml:space="preserve">the </w:t>
    </w:r>
    <w:r w:rsidRPr="002D6577">
      <w:t>University of Birmingham, Vincent Drive, Edgbaston, Birmingham, B15 2TT, United Kingdom</w:t>
    </w:r>
    <w:r>
      <w:t>.</w:t>
    </w:r>
  </w:p>
  <w:p w14:paraId="03E49137" w14:textId="77777777" w:rsidR="009F4967" w:rsidRPr="001348DC" w:rsidRDefault="009F4967" w:rsidP="009F4967">
    <w:pPr>
      <w:pStyle w:val="Footer"/>
      <w:jc w:val="center"/>
    </w:pPr>
    <w:r w:rsidRPr="001348DC">
      <w:t>Copies are only valid for 14 days and may be subject to amendment a</w:t>
    </w:r>
    <w:r>
      <w:t>t any time. For the latest version refer to:</w:t>
    </w:r>
  </w:p>
  <w:p w14:paraId="72A39D68" w14:textId="77777777" w:rsidR="009F4967" w:rsidRDefault="00250BDF" w:rsidP="009F4967">
    <w:pPr>
      <w:pStyle w:val="propertystatement"/>
    </w:pPr>
    <w:hyperlink r:id="rId1" w:tooltip="Website for the Clinical Research Compliance Team" w:history="1">
      <w:r w:rsidR="009F4967">
        <w:rPr>
          <w:rStyle w:val="Hyperlink"/>
        </w:rPr>
        <w:t>birmingham.ac.uk/</w:t>
      </w:r>
      <w:proofErr w:type="spellStart"/>
      <w:r w:rsidR="009F4967">
        <w:rPr>
          <w:rStyle w:val="Hyperlink"/>
        </w:rPr>
        <w:t>crct</w:t>
      </w:r>
      <w:proofErr w:type="spellEnd"/>
    </w:hyperlink>
    <w:r w:rsidR="009F496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C6AB2" w14:textId="77777777" w:rsidR="001A414A" w:rsidRDefault="001A414A" w:rsidP="009E2541">
      <w:pPr>
        <w:spacing w:before="0" w:after="0"/>
      </w:pPr>
      <w:r>
        <w:separator/>
      </w:r>
    </w:p>
  </w:footnote>
  <w:footnote w:type="continuationSeparator" w:id="0">
    <w:p w14:paraId="7263FEF5" w14:textId="77777777" w:rsidR="001A414A" w:rsidRDefault="001A414A" w:rsidP="009E25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6A9A9" w14:textId="5D857C2F" w:rsidR="00212610" w:rsidRDefault="0001358C" w:rsidP="00D44FA5">
    <w:pPr>
      <w:pStyle w:val="Header-QCDs"/>
    </w:pPr>
    <w:r>
      <w:t xml:space="preserve">Guide </w:t>
    </w:r>
    <w:r w:rsidR="008E51FE">
      <w:t xml:space="preserve">to </w:t>
    </w:r>
    <w:r>
      <w:t>Retention Times</w:t>
    </w:r>
  </w:p>
  <w:p w14:paraId="5EB7A4E4" w14:textId="77777777" w:rsidR="001C1176" w:rsidRDefault="00B63EFD" w:rsidP="00E47D32">
    <w:pPr>
      <w:pStyle w:val="Header-QCDs"/>
      <w:tabs>
        <w:tab w:val="clear" w:pos="4153"/>
        <w:tab w:val="clear" w:pos="8306"/>
      </w:tabs>
      <w:ind w:left="720"/>
    </w:pPr>
    <w:r w:rsidRPr="00C67170">
      <w:rPr>
        <w:lang w:eastAsia="en-GB"/>
      </w:rPr>
      <w:drawing>
        <wp:anchor distT="0" distB="0" distL="114300" distR="114300" simplePos="0" relativeHeight="251661312" behindDoc="0" locked="0" layoutInCell="1" allowOverlap="1" wp14:anchorId="4F6D590C" wp14:editId="16CBE33E">
          <wp:simplePos x="0" y="0"/>
          <wp:positionH relativeFrom="column">
            <wp:posOffset>-299085</wp:posOffset>
          </wp:positionH>
          <wp:positionV relativeFrom="page">
            <wp:posOffset>194310</wp:posOffset>
          </wp:positionV>
          <wp:extent cx="2340000" cy="918000"/>
          <wp:effectExtent l="0" t="0" r="0" b="0"/>
          <wp:wrapNone/>
          <wp:docPr id="71" name="Picture 7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Picture 7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6230">
      <w:tab/>
    </w:r>
    <w:r w:rsidR="00716230">
      <w:tab/>
    </w:r>
    <w:r w:rsidR="00495AB8">
      <w:tab/>
    </w:r>
  </w:p>
  <w:p w14:paraId="463D9944" w14:textId="77777777" w:rsidR="00212610" w:rsidRPr="001C1176" w:rsidRDefault="00212610" w:rsidP="00212610">
    <w:pPr>
      <w:pStyle w:val="Header-QCDs"/>
      <w:ind w:left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23E5A" w14:textId="77777777" w:rsidR="009F4967" w:rsidRDefault="009F4967" w:rsidP="009F4967">
    <w:pPr>
      <w:pStyle w:val="propertystatement"/>
      <w:jc w:val="left"/>
    </w:pP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668"/>
      <w:gridCol w:w="2310"/>
    </w:tblGrid>
    <w:tr w:rsidR="004710B3" w14:paraId="2E36EDDC" w14:textId="77777777" w:rsidTr="00D348D3">
      <w:trPr>
        <w:trHeight w:val="278"/>
        <w:tblHeader/>
      </w:trPr>
      <w:tc>
        <w:tcPr>
          <w:tcW w:w="1668" w:type="dxa"/>
          <w:vAlign w:val="center"/>
        </w:tcPr>
        <w:p w14:paraId="4E4ED77A" w14:textId="77777777" w:rsidR="004710B3" w:rsidRDefault="004710B3" w:rsidP="004710B3">
          <w:pPr>
            <w:pStyle w:val="Footer"/>
          </w:pPr>
          <w:r w:rsidRPr="001C6EFB">
            <w:t>Document code:</w:t>
          </w:r>
        </w:p>
      </w:tc>
      <w:tc>
        <w:tcPr>
          <w:tcW w:w="2310" w:type="dxa"/>
          <w:vAlign w:val="center"/>
        </w:tcPr>
        <w:p w14:paraId="41AD3E2C" w14:textId="77777777" w:rsidR="004710B3" w:rsidRDefault="004710B3" w:rsidP="004710B3">
          <w:pPr>
            <w:pStyle w:val="Footer"/>
            <w:jc w:val="right"/>
          </w:pPr>
          <w:r>
            <w:t>UoB-</w:t>
          </w:r>
          <w:r w:rsidRPr="00A0443D">
            <w:t>ARC-QCD-003</w:t>
          </w:r>
        </w:p>
      </w:tc>
    </w:tr>
    <w:tr w:rsidR="004710B3" w14:paraId="1F203FC1" w14:textId="77777777" w:rsidTr="00D348D3">
      <w:trPr>
        <w:trHeight w:val="278"/>
      </w:trPr>
      <w:tc>
        <w:tcPr>
          <w:tcW w:w="1668" w:type="dxa"/>
          <w:vAlign w:val="center"/>
        </w:tcPr>
        <w:p w14:paraId="0C4FDC87" w14:textId="77777777" w:rsidR="004710B3" w:rsidRDefault="004710B3" w:rsidP="004710B3">
          <w:pPr>
            <w:pStyle w:val="Footer"/>
          </w:pPr>
          <w:r w:rsidRPr="001C6EFB">
            <w:t>Version no:</w:t>
          </w:r>
        </w:p>
      </w:tc>
      <w:tc>
        <w:tcPr>
          <w:tcW w:w="2310" w:type="dxa"/>
          <w:vAlign w:val="center"/>
        </w:tcPr>
        <w:p w14:paraId="6ECBE515" w14:textId="44D9B2B1" w:rsidR="004710B3" w:rsidRDefault="008E51FE" w:rsidP="004710B3">
          <w:pPr>
            <w:pStyle w:val="Footer"/>
            <w:jc w:val="right"/>
          </w:pPr>
          <w:r>
            <w:t>2.0</w:t>
          </w:r>
          <w:r w:rsidR="000F2943">
            <w:t xml:space="preserve">                             </w:t>
          </w:r>
        </w:p>
      </w:tc>
    </w:tr>
    <w:tr w:rsidR="004710B3" w14:paraId="39AA4133" w14:textId="77777777" w:rsidTr="00D348D3">
      <w:trPr>
        <w:trHeight w:val="278"/>
      </w:trPr>
      <w:tc>
        <w:tcPr>
          <w:tcW w:w="1668" w:type="dxa"/>
          <w:vAlign w:val="center"/>
        </w:tcPr>
        <w:p w14:paraId="333AA2F6" w14:textId="77777777" w:rsidR="004710B3" w:rsidRDefault="004710B3" w:rsidP="004710B3">
          <w:pPr>
            <w:pStyle w:val="Footer"/>
          </w:pPr>
          <w:r>
            <w:t>Effective date:</w:t>
          </w:r>
        </w:p>
      </w:tc>
      <w:tc>
        <w:tcPr>
          <w:tcW w:w="2310" w:type="dxa"/>
          <w:vAlign w:val="center"/>
        </w:tcPr>
        <w:p w14:paraId="6B8A74A8" w14:textId="01614556" w:rsidR="004710B3" w:rsidRDefault="00887B4E" w:rsidP="004710B3">
          <w:pPr>
            <w:pStyle w:val="Footer"/>
            <w:jc w:val="right"/>
          </w:pPr>
          <w:r>
            <w:t>21-Aug-2023</w:t>
          </w:r>
        </w:p>
      </w:tc>
    </w:tr>
    <w:tr w:rsidR="004710B3" w14:paraId="76E71045" w14:textId="77777777" w:rsidTr="00D348D3">
      <w:trPr>
        <w:trHeight w:val="278"/>
      </w:trPr>
      <w:tc>
        <w:tcPr>
          <w:tcW w:w="1668" w:type="dxa"/>
          <w:vAlign w:val="center"/>
        </w:tcPr>
        <w:p w14:paraId="53941838" w14:textId="77777777" w:rsidR="004710B3" w:rsidRPr="001C6EFB" w:rsidRDefault="004710B3" w:rsidP="004710B3">
          <w:pPr>
            <w:pStyle w:val="Footer"/>
          </w:pPr>
          <w:r>
            <w:t>Print d</w:t>
          </w:r>
          <w:r w:rsidRPr="001C6EFB">
            <w:t>ate:</w:t>
          </w:r>
        </w:p>
      </w:tc>
      <w:tc>
        <w:tcPr>
          <w:tcW w:w="2310" w:type="dxa"/>
          <w:vAlign w:val="center"/>
        </w:tcPr>
        <w:p w14:paraId="7371FC40" w14:textId="7229E0BA" w:rsidR="004710B3" w:rsidRDefault="004710B3" w:rsidP="004710B3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250BDF">
            <w:rPr>
              <w:noProof/>
            </w:rPr>
            <w:t>07-Aug-2023</w:t>
          </w:r>
          <w:r>
            <w:fldChar w:fldCharType="end"/>
          </w:r>
        </w:p>
      </w:tc>
    </w:tr>
    <w:tr w:rsidR="004710B3" w14:paraId="06F8A2B9" w14:textId="77777777" w:rsidTr="00D348D3">
      <w:trPr>
        <w:trHeight w:val="278"/>
      </w:trPr>
      <w:tc>
        <w:tcPr>
          <w:tcW w:w="1668" w:type="dxa"/>
          <w:vAlign w:val="center"/>
        </w:tcPr>
        <w:p w14:paraId="19680BFF" w14:textId="77777777" w:rsidR="004710B3" w:rsidRPr="001C6EFB" w:rsidRDefault="004710B3" w:rsidP="004710B3">
          <w:pPr>
            <w:pStyle w:val="Footer"/>
          </w:pPr>
          <w:r w:rsidRPr="001C6EFB">
            <w:t>Page:</w:t>
          </w:r>
        </w:p>
      </w:tc>
      <w:tc>
        <w:tcPr>
          <w:tcW w:w="2310" w:type="dxa"/>
          <w:vAlign w:val="center"/>
        </w:tcPr>
        <w:p w14:paraId="47A102E3" w14:textId="77777777" w:rsidR="004710B3" w:rsidRDefault="004710B3" w:rsidP="004710B3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 \* MERGEFORMAT ">
            <w:r>
              <w:rPr>
                <w:noProof/>
              </w:rPr>
              <w:t>2</w:t>
            </w:r>
          </w:fldSimple>
          <w:r w:rsidRPr="001C6EFB">
            <w:t xml:space="preserve"> </w:t>
          </w:r>
        </w:p>
      </w:tc>
    </w:tr>
  </w:tbl>
  <w:p w14:paraId="0B874809" w14:textId="77777777" w:rsidR="009F4967" w:rsidRDefault="009F4967" w:rsidP="00E243E7">
    <w:pPr>
      <w:pStyle w:val="Header"/>
      <w:ind w:left="-567"/>
      <w:jc w:val="left"/>
    </w:pPr>
    <w:r w:rsidRPr="00F16569">
      <w:rPr>
        <w:lang w:eastAsia="en-GB"/>
      </w:rPr>
      <w:drawing>
        <wp:anchor distT="0" distB="0" distL="114300" distR="114300" simplePos="0" relativeHeight="251662336" behindDoc="0" locked="0" layoutInCell="1" allowOverlap="1" wp14:anchorId="1A21EAA2" wp14:editId="2FFFCCC7">
          <wp:simplePos x="0" y="0"/>
          <wp:positionH relativeFrom="column">
            <wp:posOffset>-302260</wp:posOffset>
          </wp:positionH>
          <wp:positionV relativeFrom="page">
            <wp:posOffset>1051560</wp:posOffset>
          </wp:positionV>
          <wp:extent cx="2703600" cy="1062000"/>
          <wp:effectExtent l="0" t="0" r="0" b="0"/>
          <wp:wrapNone/>
          <wp:docPr id="72" name="Picture 7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Picture 7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E336EB" w14:textId="77777777" w:rsidR="00B63EFD" w:rsidRPr="009F4967" w:rsidRDefault="00B63EFD" w:rsidP="009F4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03BE"/>
    <w:multiLevelType w:val="hybridMultilevel"/>
    <w:tmpl w:val="F984ED24"/>
    <w:lvl w:ilvl="0" w:tplc="0726BFCC">
      <w:start w:val="1"/>
      <w:numFmt w:val="bullet"/>
      <w:pStyle w:val="bullet1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114"/>
    <w:multiLevelType w:val="hybridMultilevel"/>
    <w:tmpl w:val="924CEB2C"/>
    <w:lvl w:ilvl="0" w:tplc="6C103476">
      <w:start w:val="1"/>
      <w:numFmt w:val="bullet"/>
      <w:pStyle w:val="Instructions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4824"/>
    <w:multiLevelType w:val="hybridMultilevel"/>
    <w:tmpl w:val="13168D1E"/>
    <w:lvl w:ilvl="0" w:tplc="C98EDA8A">
      <w:start w:val="1"/>
      <w:numFmt w:val="decimal"/>
      <w:pStyle w:val="Numberlist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05812"/>
    <w:multiLevelType w:val="hybridMultilevel"/>
    <w:tmpl w:val="9C5039CE"/>
    <w:lvl w:ilvl="0" w:tplc="F2C653CE">
      <w:start w:val="1"/>
      <w:numFmt w:val="decimal"/>
      <w:pStyle w:val="Instructions-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549AB"/>
    <w:multiLevelType w:val="hybridMultilevel"/>
    <w:tmpl w:val="8F7279EA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6DB579D5"/>
    <w:multiLevelType w:val="hybridMultilevel"/>
    <w:tmpl w:val="1766FFF2"/>
    <w:lvl w:ilvl="0" w:tplc="295C39BE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1C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A3"/>
    <w:rsid w:val="0001358C"/>
    <w:rsid w:val="00051979"/>
    <w:rsid w:val="000552E8"/>
    <w:rsid w:val="00056169"/>
    <w:rsid w:val="00066C74"/>
    <w:rsid w:val="00067C5B"/>
    <w:rsid w:val="000F2943"/>
    <w:rsid w:val="000F294E"/>
    <w:rsid w:val="00174260"/>
    <w:rsid w:val="0017791A"/>
    <w:rsid w:val="001A414A"/>
    <w:rsid w:val="001C1176"/>
    <w:rsid w:val="00201C7B"/>
    <w:rsid w:val="00212610"/>
    <w:rsid w:val="00231BC9"/>
    <w:rsid w:val="00250BDF"/>
    <w:rsid w:val="002E1F8A"/>
    <w:rsid w:val="002F368C"/>
    <w:rsid w:val="003067B7"/>
    <w:rsid w:val="003247CD"/>
    <w:rsid w:val="00352C78"/>
    <w:rsid w:val="00361D29"/>
    <w:rsid w:val="003C0400"/>
    <w:rsid w:val="003D6B8C"/>
    <w:rsid w:val="004710B3"/>
    <w:rsid w:val="00495AB8"/>
    <w:rsid w:val="00512385"/>
    <w:rsid w:val="00551B46"/>
    <w:rsid w:val="0056173B"/>
    <w:rsid w:val="00565B19"/>
    <w:rsid w:val="00587510"/>
    <w:rsid w:val="006D353E"/>
    <w:rsid w:val="00716230"/>
    <w:rsid w:val="00717E60"/>
    <w:rsid w:val="007235D8"/>
    <w:rsid w:val="00785159"/>
    <w:rsid w:val="007B78A1"/>
    <w:rsid w:val="008035F9"/>
    <w:rsid w:val="00887B4E"/>
    <w:rsid w:val="008A0889"/>
    <w:rsid w:val="008E26A3"/>
    <w:rsid w:val="008E497A"/>
    <w:rsid w:val="008E51FE"/>
    <w:rsid w:val="009A16FE"/>
    <w:rsid w:val="009B6DBA"/>
    <w:rsid w:val="009E2541"/>
    <w:rsid w:val="009F4967"/>
    <w:rsid w:val="00A121AC"/>
    <w:rsid w:val="00A27AB4"/>
    <w:rsid w:val="00A47580"/>
    <w:rsid w:val="00A8653B"/>
    <w:rsid w:val="00A918F1"/>
    <w:rsid w:val="00AB04CD"/>
    <w:rsid w:val="00AC31AE"/>
    <w:rsid w:val="00AC7E8B"/>
    <w:rsid w:val="00AF0598"/>
    <w:rsid w:val="00B10048"/>
    <w:rsid w:val="00B424BC"/>
    <w:rsid w:val="00B63EFD"/>
    <w:rsid w:val="00BE18A6"/>
    <w:rsid w:val="00C4434C"/>
    <w:rsid w:val="00CE0467"/>
    <w:rsid w:val="00D44FA5"/>
    <w:rsid w:val="00DA397B"/>
    <w:rsid w:val="00DA4B36"/>
    <w:rsid w:val="00DB18F0"/>
    <w:rsid w:val="00DC5448"/>
    <w:rsid w:val="00E237E8"/>
    <w:rsid w:val="00E243E7"/>
    <w:rsid w:val="00E3726D"/>
    <w:rsid w:val="00E47D32"/>
    <w:rsid w:val="00E504FF"/>
    <w:rsid w:val="00E86405"/>
    <w:rsid w:val="00F52464"/>
    <w:rsid w:val="00FA79CD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13C92D7"/>
  <w15:chartTrackingRefBased/>
  <w15:docId w15:val="{981AF165-C9B3-4E7A-B98D-CBEF673E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 w:qFormat="1"/>
    <w:lsdException w:name="footer" w:semiHidden="1" w:uiPriority="17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8F0"/>
    <w:pPr>
      <w:spacing w:before="60" w:after="60" w:line="240" w:lineRule="auto"/>
    </w:pPr>
    <w:rPr>
      <w:rFonts w:ascii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6"/>
    <w:qFormat/>
    <w:rsid w:val="00DB18F0"/>
    <w:pPr>
      <w:keepNext/>
      <w:spacing w:before="240"/>
      <w:outlineLvl w:val="0"/>
    </w:pPr>
    <w:rPr>
      <w:rFonts w:ascii="Gill Sans MT" w:hAnsi="Gill Sans MT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7"/>
    <w:qFormat/>
    <w:rsid w:val="00DB18F0"/>
    <w:pPr>
      <w:keepNext/>
      <w:spacing w:before="120"/>
      <w:outlineLvl w:val="1"/>
    </w:pPr>
    <w:rPr>
      <w:rFonts w:ascii="Gill Sans MT" w:eastAsiaTheme="minorHAnsi" w:hAnsi="Gill Sans MT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8"/>
    <w:qFormat/>
    <w:rsid w:val="00DB18F0"/>
    <w:pPr>
      <w:keepNext/>
      <w:spacing w:before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breviationsDefinitionsTerm">
    <w:name w:val="Abbreviations &amp; Definitions 'Term'"/>
    <w:link w:val="AbbreviationsDefinitionsTermChar"/>
    <w:uiPriority w:val="14"/>
    <w:qFormat/>
    <w:rsid w:val="00DB18F0"/>
    <w:pPr>
      <w:spacing w:before="60" w:after="60" w:line="240" w:lineRule="auto"/>
    </w:pPr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character" w:customStyle="1" w:styleId="AbbreviationsDefinitionsTermChar">
    <w:name w:val="Abbreviations &amp; Definitions 'Term' Char"/>
    <w:basedOn w:val="DefaultParagraphFont"/>
    <w:link w:val="AbbreviationsDefinitionsTerm"/>
    <w:uiPriority w:val="14"/>
    <w:rsid w:val="00DB18F0"/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paragraph" w:customStyle="1" w:styleId="bullet1">
    <w:name w:val="bullet 1"/>
    <w:basedOn w:val="Normal"/>
    <w:link w:val="bullet1Char"/>
    <w:qFormat/>
    <w:rsid w:val="00B424BC"/>
    <w:pPr>
      <w:numPr>
        <w:numId w:val="1"/>
      </w:numPr>
      <w:ind w:left="340" w:hanging="340"/>
    </w:pPr>
  </w:style>
  <w:style w:type="character" w:customStyle="1" w:styleId="bullet1Char">
    <w:name w:val="bullet 1 Char"/>
    <w:basedOn w:val="DefaultParagraphFont"/>
    <w:link w:val="bullet1"/>
    <w:locked/>
    <w:rsid w:val="00B424BC"/>
    <w:rPr>
      <w:rFonts w:ascii="Calibri" w:hAnsi="Calibri" w:cs="Arial"/>
      <w:sz w:val="20"/>
      <w:szCs w:val="20"/>
    </w:rPr>
  </w:style>
  <w:style w:type="paragraph" w:customStyle="1" w:styleId="Bullet10">
    <w:name w:val="Bullet 1"/>
    <w:basedOn w:val="Normal"/>
    <w:link w:val="Bullet1Char0"/>
    <w:uiPriority w:val="19"/>
    <w:rsid w:val="007B78A1"/>
    <w:pPr>
      <w:ind w:left="340" w:hanging="340"/>
    </w:pPr>
  </w:style>
  <w:style w:type="character" w:customStyle="1" w:styleId="Bullet1Char0">
    <w:name w:val="Bullet 1 Char"/>
    <w:basedOn w:val="DefaultParagraphFont"/>
    <w:link w:val="Bullet10"/>
    <w:uiPriority w:val="19"/>
    <w:rsid w:val="007B78A1"/>
    <w:rPr>
      <w:rFonts w:ascii="Calibri" w:hAnsi="Calibri" w:cs="Arial"/>
      <w:sz w:val="20"/>
      <w:szCs w:val="20"/>
    </w:rPr>
  </w:style>
  <w:style w:type="paragraph" w:customStyle="1" w:styleId="bullet2">
    <w:name w:val="bullet 2"/>
    <w:basedOn w:val="Normal"/>
    <w:link w:val="bullet2Char"/>
    <w:uiPriority w:val="99"/>
    <w:qFormat/>
    <w:rsid w:val="00231BC9"/>
    <w:pPr>
      <w:numPr>
        <w:numId w:val="2"/>
      </w:numPr>
      <w:ind w:left="680" w:hanging="340"/>
    </w:pPr>
  </w:style>
  <w:style w:type="character" w:customStyle="1" w:styleId="bullet2Char">
    <w:name w:val="bullet 2 Char"/>
    <w:basedOn w:val="DefaultParagraphFont"/>
    <w:link w:val="bullet2"/>
    <w:uiPriority w:val="4"/>
    <w:locked/>
    <w:rsid w:val="00231BC9"/>
    <w:rPr>
      <w:rFonts w:ascii="Calibri" w:hAnsi="Calibri" w:cs="Arial"/>
      <w:sz w:val="20"/>
      <w:szCs w:val="20"/>
    </w:rPr>
  </w:style>
  <w:style w:type="paragraph" w:customStyle="1" w:styleId="bullet3">
    <w:name w:val="bullet 3"/>
    <w:basedOn w:val="Normal"/>
    <w:uiPriority w:val="5"/>
    <w:qFormat/>
    <w:rsid w:val="00DB18F0"/>
    <w:pPr>
      <w:numPr>
        <w:numId w:val="3"/>
      </w:numPr>
    </w:pPr>
  </w:style>
  <w:style w:type="paragraph" w:styleId="Footer">
    <w:name w:val="footer"/>
    <w:basedOn w:val="Normal"/>
    <w:link w:val="FooterChar"/>
    <w:uiPriority w:val="17"/>
    <w:qFormat/>
    <w:rsid w:val="001C1176"/>
    <w:pPr>
      <w:spacing w:before="0" w:after="0"/>
      <w:contextualSpacing/>
    </w:pPr>
    <w:rPr>
      <w:color w:val="808080" w:themeColor="background1" w:themeShade="80"/>
      <w:sz w:val="18"/>
      <w:lang w:val="en-US"/>
    </w:rPr>
  </w:style>
  <w:style w:type="character" w:customStyle="1" w:styleId="FooterChar">
    <w:name w:val="Footer Char"/>
    <w:basedOn w:val="DefaultParagraphFont"/>
    <w:link w:val="Footer"/>
    <w:uiPriority w:val="17"/>
    <w:rsid w:val="001C1176"/>
    <w:rPr>
      <w:rFonts w:ascii="Calibri" w:hAnsi="Calibri" w:cs="Arial"/>
      <w:color w:val="808080" w:themeColor="background1" w:themeShade="80"/>
      <w:sz w:val="18"/>
      <w:szCs w:val="20"/>
      <w:lang w:val="en-US"/>
    </w:rPr>
  </w:style>
  <w:style w:type="paragraph" w:styleId="Header">
    <w:name w:val="header"/>
    <w:aliases w:val="Header - SOP"/>
    <w:basedOn w:val="Normal"/>
    <w:link w:val="HeaderChar"/>
    <w:uiPriority w:val="15"/>
    <w:qFormat/>
    <w:rsid w:val="00DB18F0"/>
    <w:pPr>
      <w:tabs>
        <w:tab w:val="center" w:pos="4153"/>
        <w:tab w:val="right" w:pos="8306"/>
      </w:tabs>
      <w:spacing w:before="240"/>
      <w:jc w:val="center"/>
    </w:pPr>
    <w:rPr>
      <w:rFonts w:ascii="Gill Sans MT" w:hAnsi="Gill Sans MT"/>
      <w:noProof/>
      <w:color w:val="808080" w:themeColor="background1" w:themeShade="80"/>
      <w:sz w:val="32"/>
    </w:rPr>
  </w:style>
  <w:style w:type="character" w:customStyle="1" w:styleId="Heading1Char">
    <w:name w:val="Heading 1 Char"/>
    <w:basedOn w:val="DefaultParagraphFont"/>
    <w:link w:val="Heading1"/>
    <w:uiPriority w:val="6"/>
    <w:rsid w:val="00DB18F0"/>
    <w:rPr>
      <w:rFonts w:ascii="Gill Sans MT" w:hAnsi="Gill Sans MT" w:cs="Tahoma"/>
      <w:bCs/>
      <w:color w:val="943634"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7"/>
    <w:rsid w:val="00DB18F0"/>
    <w:rPr>
      <w:rFonts w:ascii="Gill Sans MT" w:eastAsiaTheme="minorHAnsi" w:hAnsi="Gill Sans MT" w:cs="Arial"/>
      <w:bCs/>
      <w:iCs/>
      <w:color w:val="943634"/>
      <w:szCs w:val="28"/>
    </w:rPr>
  </w:style>
  <w:style w:type="character" w:customStyle="1" w:styleId="Heading3Char">
    <w:name w:val="Heading 3 Char"/>
    <w:basedOn w:val="DefaultParagraphFont"/>
    <w:link w:val="Heading3"/>
    <w:uiPriority w:val="8"/>
    <w:rsid w:val="00DB18F0"/>
    <w:rPr>
      <w:rFonts w:ascii="Calibri" w:hAnsi="Calibri" w:cs="Arial"/>
      <w:b/>
      <w:bCs/>
      <w:sz w:val="20"/>
      <w:szCs w:val="26"/>
    </w:rPr>
  </w:style>
  <w:style w:type="character" w:customStyle="1" w:styleId="HeaderChar">
    <w:name w:val="Header Char"/>
    <w:aliases w:val="Header - SOP Char"/>
    <w:basedOn w:val="DefaultParagraphFont"/>
    <w:link w:val="Header"/>
    <w:uiPriority w:val="15"/>
    <w:rsid w:val="00DB18F0"/>
    <w:rPr>
      <w:rFonts w:ascii="Gill Sans MT" w:hAnsi="Gill Sans MT" w:cs="Arial"/>
      <w:noProof/>
      <w:color w:val="808080" w:themeColor="background1" w:themeShade="80"/>
      <w:sz w:val="32"/>
      <w:szCs w:val="20"/>
    </w:rPr>
  </w:style>
  <w:style w:type="paragraph" w:customStyle="1" w:styleId="Header-QCDs">
    <w:name w:val="Header - QCDs"/>
    <w:basedOn w:val="Header"/>
    <w:uiPriority w:val="16"/>
    <w:qFormat/>
    <w:rsid w:val="001C1176"/>
    <w:pPr>
      <w:spacing w:before="0" w:after="0"/>
      <w:jc w:val="right"/>
    </w:pPr>
  </w:style>
  <w:style w:type="character" w:styleId="Hyperlink">
    <w:name w:val="Hyperlink"/>
    <w:basedOn w:val="DefaultParagraphFont"/>
    <w:uiPriority w:val="99"/>
    <w:rsid w:val="00DB18F0"/>
    <w:rPr>
      <w:color w:val="0000FF"/>
      <w:u w:val="single"/>
    </w:rPr>
  </w:style>
  <w:style w:type="paragraph" w:customStyle="1" w:styleId="Instructions">
    <w:name w:val="Instructions"/>
    <w:basedOn w:val="Normal"/>
    <w:link w:val="InstructionsChar"/>
    <w:uiPriority w:val="11"/>
    <w:qFormat/>
    <w:rsid w:val="00DB18F0"/>
    <w:rPr>
      <w:i/>
      <w:iCs/>
      <w:color w:val="FF0000"/>
    </w:rPr>
  </w:style>
  <w:style w:type="character" w:customStyle="1" w:styleId="InstructionsChar">
    <w:name w:val="Instructions Char"/>
    <w:basedOn w:val="DefaultParagraphFont"/>
    <w:link w:val="Instructions"/>
    <w:uiPriority w:val="11"/>
    <w:rsid w:val="00DB18F0"/>
    <w:rPr>
      <w:rFonts w:ascii="Calibri" w:hAnsi="Calibri" w:cs="Arial"/>
      <w:i/>
      <w:iCs/>
      <w:color w:val="FF0000"/>
      <w:sz w:val="20"/>
      <w:szCs w:val="20"/>
    </w:rPr>
  </w:style>
  <w:style w:type="paragraph" w:customStyle="1" w:styleId="Instructions-bullet1">
    <w:name w:val="Instructions - bullet 1"/>
    <w:basedOn w:val="Instructions"/>
    <w:uiPriority w:val="12"/>
    <w:qFormat/>
    <w:rsid w:val="00231BC9"/>
    <w:pPr>
      <w:numPr>
        <w:numId w:val="4"/>
      </w:numPr>
      <w:ind w:left="680" w:hanging="340"/>
    </w:pPr>
    <w:rPr>
      <w:rFonts w:cs="Times New Roman"/>
    </w:rPr>
  </w:style>
  <w:style w:type="paragraph" w:customStyle="1" w:styleId="Instructions-numbered">
    <w:name w:val="Instructions - numbered"/>
    <w:basedOn w:val="Normal"/>
    <w:uiPriority w:val="13"/>
    <w:qFormat/>
    <w:rsid w:val="00231BC9"/>
    <w:pPr>
      <w:numPr>
        <w:numId w:val="5"/>
      </w:numPr>
      <w:ind w:left="680" w:hanging="340"/>
    </w:pPr>
    <w:rPr>
      <w:rFonts w:cs="Times New Roman"/>
      <w:i/>
      <w:color w:val="FF0000"/>
    </w:rPr>
  </w:style>
  <w:style w:type="paragraph" w:customStyle="1" w:styleId="Numberlist">
    <w:name w:val="Numberlist"/>
    <w:basedOn w:val="Normal"/>
    <w:uiPriority w:val="1"/>
    <w:qFormat/>
    <w:rsid w:val="00231BC9"/>
    <w:pPr>
      <w:numPr>
        <w:numId w:val="6"/>
      </w:numPr>
      <w:ind w:left="340" w:hanging="340"/>
    </w:pPr>
  </w:style>
  <w:style w:type="paragraph" w:customStyle="1" w:styleId="propertystatement">
    <w:name w:val="property statement"/>
    <w:basedOn w:val="Normal"/>
    <w:uiPriority w:val="14"/>
    <w:qFormat/>
    <w:rsid w:val="00DB18F0"/>
    <w:pPr>
      <w:jc w:val="center"/>
    </w:pPr>
    <w:rPr>
      <w:color w:val="7F7F7F" w:themeColor="text1" w:themeTint="80"/>
      <w:sz w:val="18"/>
      <w:szCs w:val="18"/>
    </w:rPr>
  </w:style>
  <w:style w:type="paragraph" w:customStyle="1" w:styleId="ReferencestootherSOPsQCDs">
    <w:name w:val="References to other SOPs/QCDs"/>
    <w:basedOn w:val="Instructions"/>
    <w:next w:val="Normal"/>
    <w:link w:val="ReferencestootherSOPsQCDsChar"/>
    <w:uiPriority w:val="2"/>
    <w:qFormat/>
    <w:rsid w:val="00DB18F0"/>
    <w:rPr>
      <w:color w:val="943634"/>
    </w:rPr>
  </w:style>
  <w:style w:type="character" w:customStyle="1" w:styleId="ReferencestootherSOPsQCDsChar">
    <w:name w:val="References to other SOPs/QCDs Char"/>
    <w:basedOn w:val="InstructionsChar"/>
    <w:link w:val="ReferencestootherSOPsQCDs"/>
    <w:uiPriority w:val="2"/>
    <w:rsid w:val="00DB18F0"/>
    <w:rPr>
      <w:rFonts w:ascii="Calibri" w:hAnsi="Calibri" w:cs="Arial"/>
      <w:i/>
      <w:iCs/>
      <w:color w:val="943634"/>
      <w:sz w:val="20"/>
      <w:szCs w:val="20"/>
    </w:rPr>
  </w:style>
  <w:style w:type="paragraph" w:styleId="Title">
    <w:name w:val="Title"/>
    <w:basedOn w:val="Normal"/>
    <w:next w:val="Normal"/>
    <w:link w:val="TitleChar"/>
    <w:uiPriority w:val="9"/>
    <w:qFormat/>
    <w:rsid w:val="00DB18F0"/>
    <w:pPr>
      <w:spacing w:before="0" w:after="300"/>
      <w:contextualSpacing/>
      <w:jc w:val="center"/>
    </w:pPr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9"/>
    <w:rsid w:val="00DB18F0"/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numbering" w:customStyle="1" w:styleId="Style1">
    <w:name w:val="Style1"/>
    <w:rsid w:val="00DB18F0"/>
    <w:pPr>
      <w:numPr>
        <w:numId w:val="7"/>
      </w:numPr>
    </w:pPr>
  </w:style>
  <w:style w:type="table" w:styleId="TableGrid">
    <w:name w:val="Table Grid"/>
    <w:basedOn w:val="TableNormal"/>
    <w:uiPriority w:val="39"/>
    <w:rsid w:val="00DB18F0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FE3FB3"/>
    <w:pPr>
      <w:spacing w:after="0" w:line="240" w:lineRule="auto"/>
    </w:pPr>
    <w:rPr>
      <w:rFonts w:ascii="Calibri" w:hAnsi="Calibri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FE3F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FB3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rsid w:val="00B424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4BC"/>
    <w:rPr>
      <w:rFonts w:ascii="Calibri" w:hAnsi="Calibri" w:cs="Arial"/>
      <w:i/>
      <w:iCs/>
      <w:color w:val="404040" w:themeColor="text1" w:themeTint="BF"/>
      <w:sz w:val="20"/>
      <w:szCs w:val="20"/>
    </w:rPr>
  </w:style>
  <w:style w:type="paragraph" w:customStyle="1" w:styleId="bullet4">
    <w:name w:val="bullet 4"/>
    <w:basedOn w:val="Normal"/>
    <w:link w:val="bullet4Char"/>
    <w:uiPriority w:val="19"/>
    <w:rsid w:val="007B78A1"/>
    <w:pPr>
      <w:ind w:left="340" w:hanging="340"/>
    </w:pPr>
  </w:style>
  <w:style w:type="character" w:customStyle="1" w:styleId="bullet4Char">
    <w:name w:val="bullet 4 Char"/>
    <w:basedOn w:val="DefaultParagraphFont"/>
    <w:link w:val="bullet4"/>
    <w:uiPriority w:val="19"/>
    <w:rsid w:val="007B78A1"/>
    <w:rPr>
      <w:rFonts w:ascii="Calibri" w:hAnsi="Calibri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E25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C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7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519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173B"/>
    <w:pPr>
      <w:spacing w:after="0" w:line="240" w:lineRule="auto"/>
    </w:pPr>
    <w:rPr>
      <w:rFonts w:ascii="Calibri" w:hAnsi="Calibri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61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73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73B"/>
    <w:rPr>
      <w:rFonts w:ascii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73B"/>
    <w:rPr>
      <w:rFonts w:ascii="Calibri" w:hAnsi="Calibri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C7E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tranet.birmingham.ac.uk/as/libraryservices/library/research/rdm/Policies/Research-Data-Management-Policy.aspx" TargetMode="External"/><Relationship Id="rId18" Type="http://schemas.openxmlformats.org/officeDocument/2006/relationships/hyperlink" Target="https://eur-lex.europa.eu/LexUriServ/LexUriServ.do?uri=OJ:L:2003:159:0046:0094:en: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irmingham.ac.uk/research/activity/mds/mds-rkto/governance/index.aspx" TargetMode="External"/><Relationship Id="rId12" Type="http://schemas.openxmlformats.org/officeDocument/2006/relationships/hyperlink" Target="https://www.ukri.org/wp-content/uploads/2020/10/UKRI-020920-ConcordatonOpenResearchData.pdf" TargetMode="External"/><Relationship Id="rId17" Type="http://schemas.openxmlformats.org/officeDocument/2006/relationships/hyperlink" Target="https://www.legislation.gov.uk/uksi/2004/1031/pdfs/uksi_20041031_e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xUriServ/LexUriServ.do?uri=OJ:L:2003:159:0046:0094:en:PDF" TargetMode="External"/><Relationship Id="rId20" Type="http://schemas.openxmlformats.org/officeDocument/2006/relationships/hyperlink" Target="https://ec.europa.eu/health/sites/health/files/files/eudralex/vol-10/atmp_guidelines_en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legislation.gov.uk/uksi/2004/1031/pdfs/uksi_20041031_en.pdf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ec.europa.eu/health/sites/health/files/files/eudralex/vol-1/reg_2014_536/reg_2014_536_en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intranet.birmingham.ac.uk/as/libraryservices/library/research/rdm/Policies/Research-Data-Management-Policy.aspx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nscy\Desktop\Work%20stuff%20in%20progress\Archiving\UoB%20QCD%20template%20-%20portrait%20-%20logo%20v9.0%20vd%2019-Jan-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UoB QCD template - portrait - logo v9.0 vd 19-Jan-2022</Template>
  <TotalTime>40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UoB QCD template - portrait - logo v9.0 vd 19-Jan-2022</vt:lpstr>
    </vt:vector>
  </TitlesOfParts>
  <Company>UoB IT Services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UoB QCD template - portrait - logo v9.0 vd 19-Jan-2022</dc:title>
  <dc:subject/>
  <dc:creator>Carole Evans (Advanced Therapies Facility)</dc:creator>
  <cp:keywords/>
  <dc:description/>
  <cp:lastModifiedBy>Kari Bottolfsen (Life and Environmental Sciences)</cp:lastModifiedBy>
  <cp:revision>10</cp:revision>
  <dcterms:created xsi:type="dcterms:W3CDTF">2023-05-10T12:36:00Z</dcterms:created>
  <dcterms:modified xsi:type="dcterms:W3CDTF">2023-08-07T12:47:00Z</dcterms:modified>
</cp:coreProperties>
</file>