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89DCD" w14:textId="77777777" w:rsidR="00C0396F" w:rsidRDefault="008235B1" w:rsidP="00C0396F">
      <w:pPr>
        <w:pStyle w:val="Title"/>
      </w:pPr>
      <w:r w:rsidRPr="00C0396F">
        <w:t>Standard Operating Procedure:</w:t>
      </w:r>
    </w:p>
    <w:p w14:paraId="500A685C" w14:textId="77777777" w:rsidR="00BB72F9" w:rsidRPr="00C0396F" w:rsidRDefault="00BB72F9" w:rsidP="00BB72F9">
      <w:pPr>
        <w:pStyle w:val="Title"/>
      </w:pPr>
      <w:r>
        <w:t>Archiving</w:t>
      </w:r>
    </w:p>
    <w:p w14:paraId="3A5275AD" w14:textId="77777777" w:rsidR="00BB72F9" w:rsidRPr="00BB72F9" w:rsidRDefault="00BB72F9" w:rsidP="00BB72F9"/>
    <w:p w14:paraId="0879490A" w14:textId="77777777" w:rsidR="00512C56" w:rsidRDefault="00512C56" w:rsidP="00C0396F">
      <w:pPr>
        <w:rPr>
          <w:rFonts w:eastAsiaTheme="majorEastAsia"/>
        </w:rPr>
      </w:pPr>
    </w:p>
    <w:p w14:paraId="2FF3BA48" w14:textId="485056B7" w:rsidR="005F1AD8" w:rsidRDefault="005F1AD8">
      <w:pPr>
        <w:pStyle w:val="Heading1"/>
      </w:pPr>
      <w:r w:rsidRPr="00B6322E">
        <w:t>Purpose</w:t>
      </w:r>
    </w:p>
    <w:p w14:paraId="343E3818" w14:textId="28A033FA" w:rsidR="006D7582" w:rsidRPr="0060052C" w:rsidRDefault="006D7582" w:rsidP="006D7582">
      <w:r>
        <w:t xml:space="preserve">This </w:t>
      </w:r>
      <w:r w:rsidR="005E709F">
        <w:t>s</w:t>
      </w:r>
      <w:r>
        <w:t xml:space="preserve">tandard </w:t>
      </w:r>
      <w:r w:rsidR="005E709F">
        <w:t>o</w:t>
      </w:r>
      <w:r>
        <w:t xml:space="preserve">perating </w:t>
      </w:r>
      <w:r w:rsidR="005E709F">
        <w:t>p</w:t>
      </w:r>
      <w:r>
        <w:t>rocedure (SOP) describes the procedures for archiving material relevant to clinical research projects and the activities undertaken by the archivist.</w:t>
      </w:r>
    </w:p>
    <w:p w14:paraId="51FAC5B0" w14:textId="02F21BC2" w:rsidR="005F1AD8" w:rsidRDefault="005F1AD8">
      <w:pPr>
        <w:pStyle w:val="Heading1"/>
      </w:pPr>
      <w:r w:rsidRPr="00B63F21">
        <w:t>Scope</w:t>
      </w:r>
    </w:p>
    <w:p w14:paraId="1C7ECA08" w14:textId="0E653EB1" w:rsidR="006D7582" w:rsidRDefault="006D7582" w:rsidP="006D7582">
      <w:r w:rsidRPr="00F9758B">
        <w:t xml:space="preserve">This SOP is applicable to all clinical </w:t>
      </w:r>
      <w:r>
        <w:t xml:space="preserve">research </w:t>
      </w:r>
      <w:r w:rsidR="005E709F">
        <w:t xml:space="preserve">sponsored by the </w:t>
      </w:r>
      <w:r>
        <w:t xml:space="preserve">University of Birmingham (UoB). Where clinical research is sponsored by another institution, this procedure should be followed as far as possible, and in line with the contractual agreement between the UoB and the other institution. </w:t>
      </w:r>
      <w:r w:rsidRPr="00214C28">
        <w:t xml:space="preserve">This SOP </w:t>
      </w:r>
      <w:r>
        <w:t xml:space="preserve">also applies to clinical research approved by </w:t>
      </w:r>
      <w:r w:rsidR="005E709F">
        <w:t xml:space="preserve">a </w:t>
      </w:r>
      <w:proofErr w:type="spellStart"/>
      <w:r>
        <w:t>UoB</w:t>
      </w:r>
      <w:proofErr w:type="spellEnd"/>
      <w:r>
        <w:t xml:space="preserve"> </w:t>
      </w:r>
      <w:r w:rsidR="008948FE">
        <w:t xml:space="preserve">research ethics committee </w:t>
      </w:r>
      <w:r>
        <w:t xml:space="preserve">(REC) that </w:t>
      </w:r>
      <w:r w:rsidR="008948FE">
        <w:t xml:space="preserve">is </w:t>
      </w:r>
      <w:r>
        <w:t>required to follow</w:t>
      </w:r>
      <w:r w:rsidR="005E709F">
        <w:t xml:space="preserve"> the</w:t>
      </w:r>
      <w:r>
        <w:t xml:space="preserve"> </w:t>
      </w:r>
      <w:r w:rsidRPr="008C3F53">
        <w:rPr>
          <w:rStyle w:val="ReferencestootherSOPsQCDsChar"/>
        </w:rPr>
        <w:t>UoB</w:t>
      </w:r>
      <w:r w:rsidRPr="008A3F2A">
        <w:rPr>
          <w:rStyle w:val="ReferencestootherSOPsQCDsChar"/>
        </w:rPr>
        <w:t xml:space="preserve"> Principles of Good Clinical Practice (GCP) for Clinical Research</w:t>
      </w:r>
      <w:r w:rsidR="005E709F">
        <w:rPr>
          <w:rStyle w:val="ReferencestootherSOPsQCDsChar"/>
        </w:rPr>
        <w:t xml:space="preserve"> (</w:t>
      </w:r>
      <w:r w:rsidR="005E709F" w:rsidRPr="008A3F2A">
        <w:rPr>
          <w:rStyle w:val="ReferencestootherSOPsQCDsChar"/>
        </w:rPr>
        <w:t>UoB</w:t>
      </w:r>
      <w:r w:rsidR="005E709F" w:rsidRPr="008C3F53">
        <w:rPr>
          <w:rStyle w:val="ReferencestootherSOPsQCDsChar"/>
        </w:rPr>
        <w:t>-GCP-POL-001</w:t>
      </w:r>
      <w:r w:rsidR="005E709F">
        <w:rPr>
          <w:rStyle w:val="ReferencestootherSOPsQCDsChar"/>
        </w:rPr>
        <w:t>)</w:t>
      </w:r>
      <w:r>
        <w:t>.</w:t>
      </w:r>
      <w:r w:rsidRPr="00300F34">
        <w:t xml:space="preserve"> </w:t>
      </w:r>
      <w:r w:rsidRPr="005E21B5">
        <w:t>This SOP may be used as a guidance document in all other cases.</w:t>
      </w:r>
      <w:r w:rsidRPr="00300F34">
        <w:t xml:space="preserve"> </w:t>
      </w:r>
    </w:p>
    <w:p w14:paraId="47194742" w14:textId="2DAFC687" w:rsidR="005F1AD8" w:rsidRPr="00C34A3B" w:rsidRDefault="005F1AD8" w:rsidP="00B937B6">
      <w:pPr>
        <w:pStyle w:val="Heading1"/>
      </w:pPr>
      <w:r w:rsidRPr="00B63F21">
        <w:t>Implementation plan</w:t>
      </w:r>
    </w:p>
    <w:p w14:paraId="2FCF8B37" w14:textId="1FADEBDD" w:rsidR="006D7582" w:rsidRPr="00F9758B" w:rsidRDefault="00CC7925" w:rsidP="006D7582">
      <w:r w:rsidRPr="003F30AE">
        <w:rPr>
          <w:bCs/>
        </w:rPr>
        <w:t>This SOP will be implemented in line with this document’s effective date.</w:t>
      </w:r>
    </w:p>
    <w:p w14:paraId="481C8776" w14:textId="539127D1" w:rsidR="005F1AD8" w:rsidRDefault="005F1AD8">
      <w:pPr>
        <w:pStyle w:val="Heading1"/>
      </w:pPr>
      <w:r>
        <w:t>Stakeholders</w:t>
      </w:r>
    </w:p>
    <w:p w14:paraId="0985827A" w14:textId="5D22C88B" w:rsidR="006D7582" w:rsidRPr="00B87D21" w:rsidRDefault="006D7582" w:rsidP="006D7582">
      <w:r w:rsidRPr="00B87D21">
        <w:t xml:space="preserve">Note that where the UoB takes on the </w:t>
      </w:r>
      <w:r w:rsidR="005E709F">
        <w:t>s</w:t>
      </w:r>
      <w:r w:rsidRPr="00B87D21">
        <w:t>ponsor</w:t>
      </w:r>
      <w:r w:rsidR="005E709F">
        <w:t>’s</w:t>
      </w:r>
      <w:r w:rsidRPr="00B87D21">
        <w:t xml:space="preserve"> responsibilit</w:t>
      </w:r>
      <w:r>
        <w:t>y for archiving</w:t>
      </w:r>
      <w:r w:rsidRPr="00B87D21">
        <w:t xml:space="preserve">, the UoB will delegate the majority of these duties to the </w:t>
      </w:r>
      <w:r w:rsidR="005E709F">
        <w:t>c</w:t>
      </w:r>
      <w:r w:rsidRPr="00B87D21">
        <w:t xml:space="preserve">hief </w:t>
      </w:r>
      <w:r w:rsidR="005E709F">
        <w:t>i</w:t>
      </w:r>
      <w:r w:rsidRPr="00B87D21">
        <w:t xml:space="preserve">nvestigator (CI) or to a </w:t>
      </w:r>
      <w:r w:rsidR="005E709F">
        <w:t>c</w:t>
      </w:r>
      <w:r w:rsidRPr="00B87D21">
        <w:t xml:space="preserve">linical </w:t>
      </w:r>
      <w:r w:rsidR="005E709F">
        <w:t>t</w:t>
      </w:r>
      <w:r w:rsidRPr="00B87D21">
        <w:t xml:space="preserve">rials </w:t>
      </w:r>
      <w:r w:rsidR="005E709F">
        <w:t>u</w:t>
      </w:r>
      <w:r w:rsidRPr="00B87D21">
        <w:t xml:space="preserve">nit (CTU), who may delegate these duties further to their team(s). All delegation of duties will be documented </w:t>
      </w:r>
      <w:r>
        <w:t xml:space="preserve">(e.g. </w:t>
      </w:r>
      <w:r w:rsidRPr="00B87D21">
        <w:t xml:space="preserve">using the CI declaration and/or the </w:t>
      </w:r>
      <w:r w:rsidRPr="00444522">
        <w:rPr>
          <w:rStyle w:val="ReferencestootherSOPsQCDsChar"/>
        </w:rPr>
        <w:t>Clinical Trials Task Delegation Log</w:t>
      </w:r>
      <w:r w:rsidR="005E709F" w:rsidRPr="00444522">
        <w:rPr>
          <w:rStyle w:val="ReferencestootherSOPsQCDsChar"/>
        </w:rPr>
        <w:t xml:space="preserve"> (</w:t>
      </w:r>
      <w:r w:rsidRPr="005E709F">
        <w:rPr>
          <w:rStyle w:val="ReferencestootherSOPsQCDsChar"/>
        </w:rPr>
        <w:t>UoB-</w:t>
      </w:r>
      <w:r w:rsidR="00FD172C" w:rsidRPr="005E709F">
        <w:rPr>
          <w:rStyle w:val="ReferencestootherSOPsQCDsChar"/>
        </w:rPr>
        <w:t>SPO-QCD-001</w:t>
      </w:r>
      <w:r w:rsidRPr="00444522">
        <w:rPr>
          <w:rStyle w:val="ReferencestootherSOPsQCDsChar"/>
        </w:rPr>
        <w:t>)</w:t>
      </w:r>
      <w:r w:rsidR="005E709F">
        <w:t>)</w:t>
      </w:r>
      <w:r w:rsidRPr="00B87D21">
        <w:t>.</w:t>
      </w:r>
    </w:p>
    <w:p w14:paraId="61EB362B" w14:textId="7AF43B6C" w:rsidR="006D7582" w:rsidRDefault="006D7582" w:rsidP="006D7582">
      <w:pPr>
        <w:pStyle w:val="bullet1"/>
      </w:pPr>
      <w:r>
        <w:t xml:space="preserve">CI: the CI may delegate activities to members of their team, although evidence of CI oversight and approval is still expected and may not be delegated where ‘no delegation allowed’ is indicated. The SOP will state where delegation is possible. </w:t>
      </w:r>
      <w:r w:rsidRPr="00356A8A">
        <w:t xml:space="preserve">For clinical research approved by </w:t>
      </w:r>
      <w:r w:rsidR="008948FE">
        <w:t xml:space="preserve">a </w:t>
      </w:r>
      <w:proofErr w:type="spellStart"/>
      <w:r w:rsidRPr="00356A8A">
        <w:t>UoB</w:t>
      </w:r>
      <w:proofErr w:type="spellEnd"/>
      <w:r w:rsidRPr="00356A8A">
        <w:t xml:space="preserve"> REC, the role of CI may be referred to as the </w:t>
      </w:r>
      <w:r w:rsidR="00EC24C5">
        <w:t>p</w:t>
      </w:r>
      <w:r w:rsidRPr="00356A8A">
        <w:t xml:space="preserve">rincipal </w:t>
      </w:r>
      <w:r w:rsidR="00EC24C5">
        <w:t>i</w:t>
      </w:r>
      <w:r w:rsidRPr="00356A8A">
        <w:t>nvestigator (PI), or the supervisor for postgraduate research students.</w:t>
      </w:r>
    </w:p>
    <w:p w14:paraId="6EDC6F99" w14:textId="579BD75F" w:rsidR="003A49F2" w:rsidRDefault="003A49F2" w:rsidP="003A49F2">
      <w:pPr>
        <w:pStyle w:val="bullet1"/>
      </w:pPr>
      <w:r>
        <w:t xml:space="preserve">Archivist: the person(s) responsible for archiving for </w:t>
      </w:r>
      <w:r w:rsidR="008948FE">
        <w:t>c</w:t>
      </w:r>
      <w:r w:rsidR="008948FE" w:rsidRPr="00405893">
        <w:t xml:space="preserve">linical </w:t>
      </w:r>
      <w:r w:rsidR="008948FE">
        <w:t>t</w:t>
      </w:r>
      <w:r w:rsidR="008948FE" w:rsidRPr="00405893">
        <w:t xml:space="preserve">rials </w:t>
      </w:r>
      <w:r w:rsidRPr="00405893">
        <w:t xml:space="preserve">of </w:t>
      </w:r>
      <w:r w:rsidR="008948FE">
        <w:t>i</w:t>
      </w:r>
      <w:r w:rsidR="008948FE" w:rsidRPr="00405893">
        <w:t xml:space="preserve">nvestigational </w:t>
      </w:r>
      <w:r w:rsidR="008948FE">
        <w:t>m</w:t>
      </w:r>
      <w:r w:rsidR="008948FE" w:rsidRPr="00405893">
        <w:t xml:space="preserve">edicinal </w:t>
      </w:r>
      <w:r w:rsidR="008948FE">
        <w:t>p</w:t>
      </w:r>
      <w:r w:rsidR="008948FE" w:rsidRPr="00405893">
        <w:t>roducts</w:t>
      </w:r>
      <w:r w:rsidR="008948FE">
        <w:t xml:space="preserve"> </w:t>
      </w:r>
      <w:r>
        <w:t xml:space="preserve">(CTIMPs). In the CTUs the quality assurance (QA) managers take on the responsibilities of the </w:t>
      </w:r>
      <w:r w:rsidR="008948FE">
        <w:t>archivist</w:t>
      </w:r>
      <w:r>
        <w:t xml:space="preserve">. For non-CTIMPs and studies, there is no formal </w:t>
      </w:r>
      <w:r w:rsidR="008948FE">
        <w:t>archivist</w:t>
      </w:r>
      <w:r>
        <w:t>.</w:t>
      </w:r>
    </w:p>
    <w:p w14:paraId="597CA769" w14:textId="18C5AC97" w:rsidR="008948FE" w:rsidRDefault="008948FE" w:rsidP="008948FE">
      <w:pPr>
        <w:pStyle w:val="bullet1"/>
      </w:pPr>
      <w:r>
        <w:t>Research Ethics</w:t>
      </w:r>
      <w:r w:rsidR="005D2D35">
        <w:t>,</w:t>
      </w:r>
      <w:r>
        <w:t xml:space="preserve"> Governance and Integrity Team (REGI).</w:t>
      </w:r>
    </w:p>
    <w:p w14:paraId="178A0423" w14:textId="77777777" w:rsidR="00B940A8" w:rsidRDefault="00B940A8" w:rsidP="00B940A8"/>
    <w:p w14:paraId="24CD7780" w14:textId="77777777"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0645E166" w14:textId="7BDC903A" w:rsidR="005F0420" w:rsidRDefault="005F0420" w:rsidP="0060052C">
      <w:pPr>
        <w:pStyle w:val="Heading1"/>
      </w:pPr>
      <w:bookmarkStart w:id="0" w:name="_Toc320536979"/>
      <w:r>
        <w:lastRenderedPageBreak/>
        <w:t>Background</w:t>
      </w:r>
      <w:r w:rsidR="008D54DF">
        <w:t xml:space="preserve"> and </w:t>
      </w:r>
      <w:r w:rsidR="00FF6CB2">
        <w:t>r</w:t>
      </w:r>
      <w:r w:rsidR="008D54DF">
        <w:t>ationale</w:t>
      </w:r>
    </w:p>
    <w:p w14:paraId="41E4C9F1" w14:textId="01F1267F" w:rsidR="006D7582" w:rsidRDefault="006D7582" w:rsidP="005C39E9">
      <w:r w:rsidRPr="00405893">
        <w:t xml:space="preserve">For the purposes of this SOP the terms ‘clinical </w:t>
      </w:r>
      <w:r>
        <w:t>research’</w:t>
      </w:r>
      <w:r w:rsidRPr="00405893">
        <w:t xml:space="preserve"> </w:t>
      </w:r>
      <w:commentRangeStart w:id="1"/>
      <w:commentRangeEnd w:id="1"/>
      <w:r>
        <w:t>or ‘project’</w:t>
      </w:r>
      <w:r w:rsidRPr="00405893">
        <w:t xml:space="preserve"> will cover CTIMPs, other interventional trials (e.g. surgical trials, device trials and non-CTIMP</w:t>
      </w:r>
      <w:r>
        <w:t>s</w:t>
      </w:r>
      <w:r w:rsidRPr="00405893">
        <w:t xml:space="preserve">, and any other projects deemed to be ‘interventional’ by the </w:t>
      </w:r>
      <w:r w:rsidR="00822F0A">
        <w:t>s</w:t>
      </w:r>
      <w:r w:rsidR="00822F0A" w:rsidRPr="00405893">
        <w:t>ponsor</w:t>
      </w:r>
      <w:r w:rsidRPr="00405893">
        <w:t>) and clinical studies.</w:t>
      </w:r>
      <w:r>
        <w:t xml:space="preserve"> ‘Material’ covers the documents within the </w:t>
      </w:r>
      <w:r w:rsidR="00EC24C5">
        <w:t>s</w:t>
      </w:r>
      <w:r>
        <w:t>tudy/</w:t>
      </w:r>
      <w:r w:rsidR="00EC24C5">
        <w:t>t</w:t>
      </w:r>
      <w:r>
        <w:t xml:space="preserve">rial </w:t>
      </w:r>
      <w:r w:rsidR="004B29A3">
        <w:t>m</w:t>
      </w:r>
      <w:r>
        <w:t xml:space="preserve">aster </w:t>
      </w:r>
      <w:r w:rsidR="004B29A3">
        <w:t>f</w:t>
      </w:r>
      <w:r>
        <w:t xml:space="preserve">ile (S/TMF), as well as electronic data and documents. </w:t>
      </w:r>
    </w:p>
    <w:p w14:paraId="0123EBC3" w14:textId="1B5E83FF" w:rsidR="006D7582" w:rsidRDefault="006D7582" w:rsidP="006D7582">
      <w:r w:rsidRPr="00404499">
        <w:t>Fo</w:t>
      </w:r>
      <w:r>
        <w:t xml:space="preserve">llowing the completion of a project the </w:t>
      </w:r>
      <w:r w:rsidRPr="00404499">
        <w:t xml:space="preserve">essential </w:t>
      </w:r>
      <w:r>
        <w:t>material</w:t>
      </w:r>
      <w:r w:rsidRPr="00404499">
        <w:t xml:space="preserve"> </w:t>
      </w:r>
      <w:r w:rsidR="00E751EB">
        <w:t>that</w:t>
      </w:r>
      <w:r w:rsidR="00E751EB" w:rsidRPr="00404499">
        <w:t xml:space="preserve"> </w:t>
      </w:r>
      <w:r w:rsidRPr="00404499">
        <w:t xml:space="preserve">individually and collectively permit evaluation </w:t>
      </w:r>
      <w:r>
        <w:t>of the conduct of the project</w:t>
      </w:r>
      <w:r w:rsidRPr="00404499">
        <w:t xml:space="preserve"> and the quality of the data produced</w:t>
      </w:r>
      <w:r>
        <w:t>, must be stored securely and be readily accessible for inspection or audit.</w:t>
      </w:r>
      <w:r w:rsidRPr="00404499">
        <w:t xml:space="preserve"> Th</w:t>
      </w:r>
      <w:r>
        <w:t>is</w:t>
      </w:r>
      <w:r w:rsidRPr="00404499">
        <w:t xml:space="preserve"> </w:t>
      </w:r>
      <w:r>
        <w:t xml:space="preserve">material </w:t>
      </w:r>
      <w:r w:rsidRPr="00404499">
        <w:t>serve</w:t>
      </w:r>
      <w:r>
        <w:t>s</w:t>
      </w:r>
      <w:r w:rsidRPr="00404499">
        <w:t xml:space="preserve"> to demonstrate the compliance of the </w:t>
      </w:r>
      <w:r>
        <w:t>CI</w:t>
      </w:r>
      <w:r w:rsidRPr="00404499">
        <w:t xml:space="preserve"> and </w:t>
      </w:r>
      <w:r w:rsidR="00822F0A">
        <w:t>s</w:t>
      </w:r>
      <w:r w:rsidR="00822F0A" w:rsidRPr="00404499">
        <w:t xml:space="preserve">ponsor </w:t>
      </w:r>
      <w:r w:rsidRPr="00404499">
        <w:t>with the standards of GCP and with all applicable regulatory requirements</w:t>
      </w:r>
      <w:r>
        <w:t xml:space="preserve"> and to allow the reconstruction of the project</w:t>
      </w:r>
      <w:r w:rsidRPr="00404499">
        <w:t>.</w:t>
      </w:r>
    </w:p>
    <w:p w14:paraId="3DF51C8B" w14:textId="0D29935A" w:rsidR="006E4150" w:rsidRPr="0022738B" w:rsidRDefault="006D7582" w:rsidP="006E4150">
      <w:pPr>
        <w:rPr>
          <w:rFonts w:ascii="Gill Sans MT" w:hAnsi="Gill Sans MT" w:cs="Tahoma"/>
          <w:bCs/>
          <w:color w:val="943634"/>
          <w:kern w:val="32"/>
          <w:sz w:val="28"/>
          <w:szCs w:val="28"/>
        </w:rPr>
      </w:pPr>
      <w:r>
        <w:t xml:space="preserve">The storage of the project material must be appropriate to ensure materials remain complete and legible throughout the required retention period. The type of storage required can be assessed using a risk-based approach, taking into consideration the type of </w:t>
      </w:r>
      <w:r w:rsidR="00E751EB">
        <w:t xml:space="preserve">project </w:t>
      </w:r>
      <w:r>
        <w:t>(i.e. CTIMP, trial, study) and the length of the required retention period. Long-term storage of material in an office filing cabinet for example may provide a suitably secure environment for the retention period, provided risks around security, location, size, environment and pests have been considered. However, as the retention of documents within the TMF is a legal requirement for CTIMPs, these trials require the most robust level of storage</w:t>
      </w:r>
      <w:r w:rsidR="00E751EB">
        <w:t>,</w:t>
      </w:r>
      <w:r>
        <w:t xml:space="preserve"> and it is recommended that a specialist archive facility is used. For the purpose of this SOP the term ‘</w:t>
      </w:r>
      <w:r w:rsidR="00822F0A">
        <w:t xml:space="preserve">archiving’ </w:t>
      </w:r>
      <w:r>
        <w:t>will be used to refer to both archiving of material from CTIMPs and long-term storage of material related to all other clinical research, where the criteria described above are met. Where it is intended to relate to CTIMPs only this will be specified</w:t>
      </w:r>
      <w:r w:rsidR="0022738B">
        <w:t>.</w:t>
      </w:r>
    </w:p>
    <w:p w14:paraId="0FD6D0F9" w14:textId="77777777" w:rsidR="005B0BAD" w:rsidRDefault="005B0BAD" w:rsidP="005B0BAD">
      <w:pPr>
        <w:pStyle w:val="Heading1"/>
        <w:sectPr w:rsidR="005B0BAD" w:rsidSect="003A24EB">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567" w:footer="397" w:gutter="0"/>
          <w:pgBorders>
            <w:top w:val="single" w:sz="12" w:space="3" w:color="943634"/>
            <w:bottom w:val="single" w:sz="12" w:space="3" w:color="943634"/>
          </w:pgBorders>
          <w:cols w:space="708"/>
          <w:docGrid w:linePitch="360"/>
        </w:sectPr>
      </w:pPr>
    </w:p>
    <w:p w14:paraId="6DD54D0A" w14:textId="7BCD8664" w:rsidR="006E4150" w:rsidRDefault="005B0BAD" w:rsidP="005B0BAD">
      <w:pPr>
        <w:pStyle w:val="Heading1"/>
      </w:pPr>
      <w:r>
        <w:lastRenderedPageBreak/>
        <w:t>Process map</w:t>
      </w:r>
    </w:p>
    <w:p w14:paraId="6771C462" w14:textId="43FA5EAE" w:rsidR="005B0BAD" w:rsidRDefault="005B0BAD" w:rsidP="005B0BAD">
      <w:pPr>
        <w:pStyle w:val="Heading1"/>
        <w:jc w:val="center"/>
        <w:sectPr w:rsidR="005B0BAD"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pPr>
      <w:r>
        <w:rPr>
          <w:noProof/>
        </w:rPr>
        <w:drawing>
          <wp:inline distT="0" distB="0" distL="0" distR="0" wp14:anchorId="797C1C65" wp14:editId="62112F01">
            <wp:extent cx="4563787" cy="8133907"/>
            <wp:effectExtent l="0" t="0" r="8255" b="635"/>
            <wp:docPr id="5" name="Picture 5" descr="Process map outlining the steps detailed in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ocess map outlining the steps detailed in the documen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3253" cy="8150777"/>
                    </a:xfrm>
                    <a:prstGeom prst="rect">
                      <a:avLst/>
                    </a:prstGeom>
                    <a:noFill/>
                  </pic:spPr>
                </pic:pic>
              </a:graphicData>
            </a:graphic>
          </wp:inline>
        </w:drawing>
      </w:r>
    </w:p>
    <w:p w14:paraId="69FEA0B5" w14:textId="7F5366B2" w:rsidR="00E22773" w:rsidRPr="00435EAE" w:rsidRDefault="00C3647F">
      <w:pPr>
        <w:pStyle w:val="Heading1"/>
      </w:pPr>
      <w:r w:rsidRPr="00435EAE">
        <w:lastRenderedPageBreak/>
        <w:t>Procedure</w:t>
      </w:r>
    </w:p>
    <w:p w14:paraId="6868317E" w14:textId="04E0DBFE" w:rsidR="006D7582" w:rsidRDefault="006D7582" w:rsidP="006D7582">
      <w:pPr>
        <w:pStyle w:val="Heading2"/>
      </w:pPr>
      <w:r>
        <w:t xml:space="preserve">Retention </w:t>
      </w:r>
      <w:r w:rsidR="00675F9F">
        <w:t>p</w:t>
      </w:r>
      <w:r>
        <w:t>eriod</w:t>
      </w:r>
    </w:p>
    <w:p w14:paraId="003FA4A4" w14:textId="2EF865AB" w:rsidR="006D7582" w:rsidRDefault="006D7582" w:rsidP="005D2D35">
      <w:pPr>
        <w:pStyle w:val="Numberlist"/>
        <w:numPr>
          <w:ilvl w:val="0"/>
          <w:numId w:val="12"/>
        </w:numPr>
        <w:ind w:left="340" w:hanging="340"/>
      </w:pPr>
      <w:r>
        <w:t>The CI (or delegate) will include the costs for archiving in funding plans at the project set-up stage</w:t>
      </w:r>
      <w:r w:rsidRPr="008E4ABD">
        <w:t>,</w:t>
      </w:r>
      <w:r>
        <w:t xml:space="preserve"> based on an estimate of the quantity of material, the required retention period and type of storage area required (e.g. is an external archive facility required?).</w:t>
      </w:r>
    </w:p>
    <w:p w14:paraId="249BD057" w14:textId="0A611682" w:rsidR="006D7582" w:rsidRDefault="006D7582" w:rsidP="006D7582">
      <w:pPr>
        <w:pStyle w:val="Numberlist"/>
        <w:numPr>
          <w:ilvl w:val="0"/>
          <w:numId w:val="12"/>
        </w:numPr>
        <w:ind w:left="340" w:hanging="340"/>
      </w:pPr>
      <w:r>
        <w:t>The CI (or delegate) will document</w:t>
      </w:r>
      <w:r w:rsidRPr="00877B00">
        <w:t xml:space="preserve"> details of th</w:t>
      </w:r>
      <w:r>
        <w:t>e retention times for all research project material</w:t>
      </w:r>
      <w:r w:rsidRPr="00877B00">
        <w:t xml:space="preserve">, or the process used to determine how long particular </w:t>
      </w:r>
      <w:r>
        <w:t xml:space="preserve">material </w:t>
      </w:r>
      <w:r w:rsidRPr="00877B00">
        <w:t>will be retained and how this will be documented.</w:t>
      </w:r>
      <w:r>
        <w:t xml:space="preserve"> See also </w:t>
      </w:r>
      <w:r w:rsidRPr="00D54543">
        <w:rPr>
          <w:rStyle w:val="ReferencestootherSOPsQCDsChar"/>
        </w:rPr>
        <w:t xml:space="preserve">Guide </w:t>
      </w:r>
      <w:r w:rsidR="00ED7A97">
        <w:rPr>
          <w:rStyle w:val="ReferencestootherSOPsQCDsChar"/>
        </w:rPr>
        <w:t>to</w:t>
      </w:r>
      <w:r w:rsidR="00ED7A97" w:rsidRPr="00D54543">
        <w:rPr>
          <w:rStyle w:val="ReferencestootherSOPsQCDsChar"/>
        </w:rPr>
        <w:t xml:space="preserve"> </w:t>
      </w:r>
      <w:r w:rsidRPr="00D54543">
        <w:rPr>
          <w:rStyle w:val="ReferencestootherSOPsQCDsChar"/>
        </w:rPr>
        <w:t>Retention Times</w:t>
      </w:r>
      <w:r w:rsidR="004B29A3">
        <w:rPr>
          <w:rStyle w:val="ReferencestootherSOPsQCDsChar"/>
        </w:rPr>
        <w:t xml:space="preserve"> (</w:t>
      </w:r>
      <w:r w:rsidR="004B29A3" w:rsidRPr="00D54543">
        <w:rPr>
          <w:rStyle w:val="ReferencestootherSOPsQCDsChar"/>
        </w:rPr>
        <w:t>UoB-ARC-QCD-003</w:t>
      </w:r>
      <w:r w:rsidR="004B29A3">
        <w:rPr>
          <w:rStyle w:val="ReferencestootherSOPsQCDsChar"/>
        </w:rPr>
        <w:t>)</w:t>
      </w:r>
      <w:r>
        <w:t xml:space="preserve">. </w:t>
      </w:r>
    </w:p>
    <w:p w14:paraId="08946C42" w14:textId="49A93458" w:rsidR="006D7582" w:rsidRDefault="006D7582" w:rsidP="006D7582">
      <w:pPr>
        <w:pStyle w:val="bullet2"/>
      </w:pPr>
      <w:r>
        <w:t xml:space="preserve">For all projects, the </w:t>
      </w:r>
      <w:hyperlink r:id="rId18" w:tooltip="link to an online PDF document of the Concordat on Open Research Data" w:history="1">
        <w:r w:rsidRPr="000856A4">
          <w:rPr>
            <w:rStyle w:val="Hyperlink"/>
          </w:rPr>
          <w:t>Concordat on Open Research Dat</w:t>
        </w:r>
        <w:r>
          <w:rPr>
            <w:rStyle w:val="Hyperlink"/>
          </w:rPr>
          <w:t>a (PDF – 180 KB)</w:t>
        </w:r>
      </w:hyperlink>
      <w:r>
        <w:t xml:space="preserve"> and the </w:t>
      </w:r>
      <w:hyperlink r:id="rId19" w:tooltip="Hyperlink to the UoB Research Data Policy" w:history="1">
        <w:r w:rsidRPr="007D69AA">
          <w:rPr>
            <w:rStyle w:val="Hyperlink"/>
          </w:rPr>
          <w:t>UoB Research Data Policy</w:t>
        </w:r>
      </w:hyperlink>
      <w:r>
        <w:t xml:space="preserve"> </w:t>
      </w:r>
      <w:r w:rsidRPr="00952D86">
        <w:t>state</w:t>
      </w:r>
      <w:r>
        <w:t xml:space="preserve"> that primary research data and research evidence should be preserved and accessible for a minimum of 10 years, unless:</w:t>
      </w:r>
    </w:p>
    <w:p w14:paraId="4109C8E3" w14:textId="7B49F9DE" w:rsidR="006D7582" w:rsidRDefault="006D7582" w:rsidP="006D7582">
      <w:pPr>
        <w:pStyle w:val="bullet3"/>
      </w:pPr>
      <w:r>
        <w:t>The project did not open to recruitment. In this case, for clinical trials a 5</w:t>
      </w:r>
      <w:r w:rsidR="00822F0A">
        <w:t>-</w:t>
      </w:r>
      <w:r>
        <w:t>year retention period will be applied in accordance with the</w:t>
      </w:r>
      <w:r w:rsidRPr="00703DC2">
        <w:t xml:space="preserve"> </w:t>
      </w:r>
      <w:hyperlink r:id="rId20" w:tooltip="Link to a PDF document of the Medicines for Human Use (Clinical Trials) Amendment Regulations 2006" w:history="1">
        <w:r w:rsidRPr="00BC2A67">
          <w:rPr>
            <w:rStyle w:val="Hyperlink"/>
          </w:rPr>
          <w:t>Medicines for Human Use (Clinical Trials) Amendment Regulations 2006</w:t>
        </w:r>
        <w:r w:rsidR="00ED7A97">
          <w:rPr>
            <w:rStyle w:val="Hyperlink"/>
          </w:rPr>
          <w:t xml:space="preserve"> </w:t>
        </w:r>
        <w:r w:rsidRPr="00BC2A67">
          <w:rPr>
            <w:rStyle w:val="Hyperlink"/>
          </w:rPr>
          <w:t>(PDF – 71 KB)</w:t>
        </w:r>
      </w:hyperlink>
      <w:r>
        <w:t>.</w:t>
      </w:r>
    </w:p>
    <w:p w14:paraId="2F6C8D0C" w14:textId="0A1DCD9A" w:rsidR="006D7582" w:rsidRDefault="006D7582" w:rsidP="006D7582">
      <w:pPr>
        <w:pStyle w:val="bullet3"/>
      </w:pPr>
      <w:r>
        <w:t xml:space="preserve">The project is of clinical or major social, environmental or heritage importance in which case this is extended to 20 years or longer. </w:t>
      </w:r>
    </w:p>
    <w:p w14:paraId="726BE45E" w14:textId="6564CB6A" w:rsidR="006D7582" w:rsidRDefault="006D7582" w:rsidP="006D7582">
      <w:pPr>
        <w:pStyle w:val="bullet3"/>
      </w:pPr>
      <w:r>
        <w:t>Specified by the funder as requiring a longer retention period.</w:t>
      </w:r>
    </w:p>
    <w:p w14:paraId="3024D047" w14:textId="272CE193" w:rsidR="006D7582" w:rsidRDefault="006D7582" w:rsidP="006D7582">
      <w:pPr>
        <w:pStyle w:val="bullet2"/>
      </w:pPr>
      <w:r>
        <w:t xml:space="preserve">For CTIMPs, the </w:t>
      </w:r>
      <w:hyperlink r:id="rId21" w:tooltip="Hyperlink to the European Directive 2005/63/EC" w:history="1">
        <w:r w:rsidRPr="00D06A59">
          <w:rPr>
            <w:rStyle w:val="Hyperlink"/>
          </w:rPr>
          <w:t xml:space="preserve">European Directive 2003/63/EC, Annex </w:t>
        </w:r>
        <w:r>
          <w:rPr>
            <w:rStyle w:val="Hyperlink"/>
          </w:rPr>
          <w:t>1, Chapter 5.2 (c) (PDF – 366 KB)</w:t>
        </w:r>
      </w:hyperlink>
      <w:r>
        <w:t xml:space="preserve"> states that where trial results are planned to be used for registration purposes, essential clinical trial documents (including </w:t>
      </w:r>
      <w:r w:rsidR="007047CC">
        <w:t>c</w:t>
      </w:r>
      <w:r>
        <w:t xml:space="preserve">ase </w:t>
      </w:r>
      <w:r w:rsidR="007047CC">
        <w:t>r</w:t>
      </w:r>
      <w:r>
        <w:t xml:space="preserve">eport </w:t>
      </w:r>
      <w:r w:rsidR="007047CC">
        <w:t>f</w:t>
      </w:r>
      <w:r>
        <w:t>orms (CRFs)</w:t>
      </w:r>
      <w:r w:rsidR="00822F0A">
        <w:t>)</w:t>
      </w:r>
      <w:r>
        <w:t xml:space="preserve"> are required to be archived either:</w:t>
      </w:r>
    </w:p>
    <w:p w14:paraId="0F56FD73" w14:textId="5DE7BDC0" w:rsidR="006D7582" w:rsidRDefault="00D54147" w:rsidP="006D7582">
      <w:pPr>
        <w:pStyle w:val="bullet3"/>
      </w:pPr>
      <w:r>
        <w:t>f</w:t>
      </w:r>
      <w:r w:rsidR="006D7582">
        <w:t>or at least 15 years after completion or discontinuation of the trial</w:t>
      </w:r>
    </w:p>
    <w:p w14:paraId="1745ED76" w14:textId="1E676404" w:rsidR="006D7582" w:rsidRDefault="00D54147" w:rsidP="006D7582">
      <w:pPr>
        <w:pStyle w:val="bullet3"/>
      </w:pPr>
      <w:r>
        <w:t>f</w:t>
      </w:r>
      <w:r w:rsidR="006D7582">
        <w:t>or at least 2 years after the granting of the last marketing authorisation and when there are no pending or contemplated marketing applications</w:t>
      </w:r>
    </w:p>
    <w:p w14:paraId="70B382AF" w14:textId="39D86A6A" w:rsidR="006D7582" w:rsidRDefault="00D54147" w:rsidP="006D7582">
      <w:pPr>
        <w:pStyle w:val="bullet3"/>
      </w:pPr>
      <w:r>
        <w:t>f</w:t>
      </w:r>
      <w:r w:rsidR="006D7582">
        <w:t>or at least 2 years after formal discontinuation of clinical development of the investigational product</w:t>
      </w:r>
    </w:p>
    <w:p w14:paraId="31A963F8" w14:textId="01321BE7" w:rsidR="006D7582" w:rsidRDefault="00D54147" w:rsidP="006D7582">
      <w:pPr>
        <w:pStyle w:val="bullet3"/>
      </w:pPr>
      <w:r>
        <w:t>f</w:t>
      </w:r>
      <w:r w:rsidR="006D7582">
        <w:t>or as long as the product is authorised for all other documentation pertaining to the trial, i.e. the protocol, SOPs, written opinions on the protocol and procedures, investigators brochure, CRFs, final report and audit certificates (if available)</w:t>
      </w:r>
    </w:p>
    <w:p w14:paraId="36025D1E" w14:textId="7A651E71" w:rsidR="00947DBA" w:rsidRDefault="00D54147" w:rsidP="00947DBA">
      <w:pPr>
        <w:pStyle w:val="bullet3"/>
      </w:pPr>
      <w:r>
        <w:t>f</w:t>
      </w:r>
      <w:r w:rsidR="006D7582">
        <w:t>or 5 years after the product is no longer authorised for the final report.</w:t>
      </w:r>
    </w:p>
    <w:p w14:paraId="4ECA1830" w14:textId="532593E9" w:rsidR="006D7582" w:rsidRDefault="006D7582" w:rsidP="006D7582">
      <w:pPr>
        <w:pStyle w:val="bullet2"/>
      </w:pPr>
      <w:r>
        <w:t xml:space="preserve">For </w:t>
      </w:r>
      <w:r w:rsidRPr="00952D86">
        <w:t>CTIMPs</w:t>
      </w:r>
      <w:r>
        <w:t xml:space="preserve"> run in EU countries </w:t>
      </w:r>
      <w:hyperlink r:id="rId22" w:tooltip="Hyperlink to Clinical Trial Regulation (EU) No536/2014 Article 58" w:history="1">
        <w:r w:rsidRPr="000D570C">
          <w:rPr>
            <w:rStyle w:val="Hyperlink"/>
          </w:rPr>
          <w:t>Clinical Trial Regulation (EU) No</w:t>
        </w:r>
        <w:r w:rsidR="00ED7A97">
          <w:rPr>
            <w:rStyle w:val="Hyperlink"/>
          </w:rPr>
          <w:t xml:space="preserve"> </w:t>
        </w:r>
        <w:r w:rsidRPr="000D570C">
          <w:rPr>
            <w:rStyle w:val="Hyperlink"/>
          </w:rPr>
          <w:t>536/2014 Article 5</w:t>
        </w:r>
        <w:r>
          <w:rPr>
            <w:rStyle w:val="Hyperlink"/>
          </w:rPr>
          <w:t>8 (PDF – 757 KB)</w:t>
        </w:r>
      </w:hyperlink>
      <w:r w:rsidR="006E4150">
        <w:rPr>
          <w:rStyle w:val="Hyperlink"/>
        </w:rPr>
        <w:t xml:space="preserve">, </w:t>
      </w:r>
      <w:r w:rsidR="006E4150" w:rsidRPr="0022738B">
        <w:t>implemented 31-Jan-2022,</w:t>
      </w:r>
      <w:r w:rsidRPr="00ED5F73">
        <w:t xml:space="preserve"> </w:t>
      </w:r>
      <w:r>
        <w:t>state</w:t>
      </w:r>
      <w:r w:rsidR="006E4150">
        <w:t>s</w:t>
      </w:r>
      <w:r>
        <w:t xml:space="preserve"> that the content of the TMF will be archived for at least 25 years after the end of the trial. For international CTIMPs run outside of the EU, trial material will be retained in accordance with national legislation. </w:t>
      </w:r>
    </w:p>
    <w:p w14:paraId="3A0EDBB4" w14:textId="0DE8E648" w:rsidR="006D7582" w:rsidRDefault="006D7582" w:rsidP="006D7582">
      <w:pPr>
        <w:pStyle w:val="bullet2"/>
      </w:pPr>
      <w:r>
        <w:t xml:space="preserve">For </w:t>
      </w:r>
      <w:r w:rsidR="00822F0A">
        <w:t xml:space="preserve">advanced therapy investigational medicinal products </w:t>
      </w:r>
      <w:r>
        <w:t xml:space="preserve">(ATIMPs) trials, the </w:t>
      </w:r>
      <w:r w:rsidR="00822F0A">
        <w:t xml:space="preserve">sponsor </w:t>
      </w:r>
      <w:r>
        <w:t xml:space="preserve">of the trial and the </w:t>
      </w:r>
      <w:r w:rsidRPr="00952D86">
        <w:t>investigator</w:t>
      </w:r>
      <w:r>
        <w:t xml:space="preserve">/institution where the ATMP is used must keep their parts of the traceability records (as per </w:t>
      </w:r>
      <w:hyperlink r:id="rId23" w:tooltip="Hyperlink to EudraLex Volume 10, Chapter 5, ‘Detailed guidelines on good clinical practice specific to advanced therapy medicinal products" w:history="1">
        <w:r w:rsidRPr="0089382F">
          <w:rPr>
            <w:rStyle w:val="Hyperlink"/>
          </w:rPr>
          <w:t>Annex 1 of EudraLex Volume 10, Chapter 5, ‘Detailed guidelines on good clinical practice specific to advanced therapy medicinal product</w:t>
        </w:r>
        <w:r>
          <w:rPr>
            <w:rStyle w:val="Hyperlink"/>
          </w:rPr>
          <w:t>s’ (PDF – 406 KB)</w:t>
        </w:r>
      </w:hyperlink>
      <w:r>
        <w:t>) for a minimum of 30 years after the expiry date of the product.</w:t>
      </w:r>
      <w:r w:rsidRPr="007A5F10">
        <w:t xml:space="preserve"> </w:t>
      </w:r>
    </w:p>
    <w:p w14:paraId="670F624D" w14:textId="3AD70EC8" w:rsidR="006D7582" w:rsidRDefault="006D7582" w:rsidP="006D7582">
      <w:pPr>
        <w:pStyle w:val="Numberlist"/>
        <w:numPr>
          <w:ilvl w:val="0"/>
          <w:numId w:val="12"/>
        </w:numPr>
        <w:ind w:left="340" w:hanging="340"/>
      </w:pPr>
      <w:r>
        <w:t xml:space="preserve">The CI (or delegate) will ensure during the set-up stage of the project that the investigator sites are aware of the archiving arrangements for the </w:t>
      </w:r>
      <w:r w:rsidR="007047CC">
        <w:t>i</w:t>
      </w:r>
      <w:r>
        <w:t xml:space="preserve">nvestigator </w:t>
      </w:r>
      <w:r w:rsidR="007047CC">
        <w:t>s</w:t>
      </w:r>
      <w:r>
        <w:t xml:space="preserve">ite </w:t>
      </w:r>
      <w:r w:rsidR="007047CC">
        <w:t>f</w:t>
      </w:r>
      <w:r>
        <w:t>ile (ISF), including:</w:t>
      </w:r>
    </w:p>
    <w:p w14:paraId="543B22FA" w14:textId="2DDFAC0E" w:rsidR="006D7582" w:rsidRDefault="0057714F" w:rsidP="006D7582">
      <w:pPr>
        <w:pStyle w:val="bullet2"/>
      </w:pPr>
      <w:r>
        <w:t>t</w:t>
      </w:r>
      <w:r w:rsidR="006D7582">
        <w:t xml:space="preserve">hat the retention of the ISF and medical files are the responsibility of the PI at site and that this is captured in a </w:t>
      </w:r>
      <w:r w:rsidR="00C34491">
        <w:t>clinical trial agreement</w:t>
      </w:r>
      <w:r w:rsidR="006D7582">
        <w:t>/</w:t>
      </w:r>
      <w:r w:rsidR="00C34491">
        <w:t>site agreement</w:t>
      </w:r>
    </w:p>
    <w:p w14:paraId="7BB9A616" w14:textId="1A3825E2" w:rsidR="006D7582" w:rsidRPr="00BB081C" w:rsidRDefault="0057714F" w:rsidP="006D7582">
      <w:pPr>
        <w:pStyle w:val="bullet2"/>
        <w:rPr>
          <w:rStyle w:val="ReferencestootherSOPsQCDsChar"/>
          <w:i w:val="0"/>
          <w:iCs w:val="0"/>
          <w:color w:val="auto"/>
        </w:rPr>
      </w:pPr>
      <w:r>
        <w:rPr>
          <w:kern w:val="32"/>
          <w:lang w:val="en-US"/>
        </w:rPr>
        <w:t>t</w:t>
      </w:r>
      <w:r w:rsidR="006D7582">
        <w:rPr>
          <w:kern w:val="32"/>
          <w:lang w:val="en-US"/>
        </w:rPr>
        <w:t>hat the ISF is</w:t>
      </w:r>
      <w:r w:rsidR="006D7582">
        <w:rPr>
          <w:lang w:val="en-US"/>
        </w:rPr>
        <w:t xml:space="preserve"> stored</w:t>
      </w:r>
      <w:r w:rsidR="006D7582" w:rsidRPr="009B6402">
        <w:rPr>
          <w:lang w:val="en-US"/>
        </w:rPr>
        <w:t xml:space="preserve"> </w:t>
      </w:r>
      <w:r w:rsidR="006D7582">
        <w:rPr>
          <w:lang w:val="en-US"/>
        </w:rPr>
        <w:t>separately</w:t>
      </w:r>
      <w:r w:rsidR="006D7582" w:rsidRPr="009B6402">
        <w:rPr>
          <w:lang w:val="en-US"/>
        </w:rPr>
        <w:t xml:space="preserve"> </w:t>
      </w:r>
      <w:r w:rsidR="006D7582">
        <w:rPr>
          <w:lang w:val="en-US"/>
        </w:rPr>
        <w:t xml:space="preserve">to the S/TMF as this will contain participant identifiable information such as the participant identification log, which must not be held in the S/TMF. </w:t>
      </w:r>
      <w:r w:rsidR="007047CC">
        <w:rPr>
          <w:lang w:val="en-US"/>
        </w:rPr>
        <w:t>S</w:t>
      </w:r>
      <w:r w:rsidR="006D7582">
        <w:rPr>
          <w:lang w:val="en-US"/>
        </w:rPr>
        <w:t>ee</w:t>
      </w:r>
      <w:r w:rsidR="007047CC">
        <w:rPr>
          <w:lang w:val="en-US"/>
        </w:rPr>
        <w:t xml:space="preserve"> also</w:t>
      </w:r>
      <w:r w:rsidR="006D7582">
        <w:rPr>
          <w:lang w:val="en-US"/>
        </w:rPr>
        <w:t xml:space="preserve"> </w:t>
      </w:r>
      <w:r w:rsidR="006D7582" w:rsidRPr="00D011F7">
        <w:rPr>
          <w:rStyle w:val="ReferencestootherSOPsQCDsChar"/>
        </w:rPr>
        <w:t>Essential Document</w:t>
      </w:r>
      <w:r w:rsidR="006D7582">
        <w:rPr>
          <w:rStyle w:val="ReferencestootherSOPsQCDsChar"/>
        </w:rPr>
        <w:t xml:space="preserve">s </w:t>
      </w:r>
      <w:r w:rsidR="00C34491">
        <w:rPr>
          <w:rStyle w:val="ReferencestootherSOPsQCDsChar"/>
        </w:rPr>
        <w:t xml:space="preserve">Development </w:t>
      </w:r>
      <w:r w:rsidR="006D7582">
        <w:rPr>
          <w:rStyle w:val="ReferencestootherSOPsQCDsChar"/>
        </w:rPr>
        <w:t xml:space="preserve">and </w:t>
      </w:r>
      <w:r w:rsidR="00C34491">
        <w:rPr>
          <w:rStyle w:val="ReferencestootherSOPsQCDsChar"/>
        </w:rPr>
        <w:t xml:space="preserve">Maintenance </w:t>
      </w:r>
      <w:r w:rsidR="004B29A3">
        <w:rPr>
          <w:rStyle w:val="ReferencestootherSOPsQCDsChar"/>
        </w:rPr>
        <w:t>SOP (</w:t>
      </w:r>
      <w:r w:rsidR="004B29A3" w:rsidRPr="00774B8B">
        <w:rPr>
          <w:rStyle w:val="ReferencestootherSOPsQCDsChar"/>
        </w:rPr>
        <w:t>UoB</w:t>
      </w:r>
      <w:r w:rsidR="004B29A3">
        <w:rPr>
          <w:rStyle w:val="ReferencestootherSOPsQCDsChar"/>
        </w:rPr>
        <w:t>-</w:t>
      </w:r>
      <w:r w:rsidR="004B29A3" w:rsidRPr="00774B8B">
        <w:rPr>
          <w:rStyle w:val="ReferencestootherSOPsQCDsChar"/>
        </w:rPr>
        <w:t>ESD</w:t>
      </w:r>
      <w:r w:rsidR="004B29A3">
        <w:rPr>
          <w:rStyle w:val="ReferencestootherSOPsQCDsChar"/>
        </w:rPr>
        <w:t>-</w:t>
      </w:r>
      <w:r w:rsidR="004B29A3" w:rsidRPr="00D011F7">
        <w:rPr>
          <w:rStyle w:val="ReferencestootherSOPsQCDsChar"/>
        </w:rPr>
        <w:t>SOP-001</w:t>
      </w:r>
      <w:r w:rsidR="004B29A3">
        <w:rPr>
          <w:rStyle w:val="ReferencestootherSOPsQCDsChar"/>
        </w:rPr>
        <w:t>)</w:t>
      </w:r>
    </w:p>
    <w:p w14:paraId="1C258EF5" w14:textId="7711FEE7" w:rsidR="006D7582" w:rsidRDefault="0057714F" w:rsidP="006D7582">
      <w:pPr>
        <w:pStyle w:val="bullet2"/>
      </w:pPr>
      <w:r>
        <w:t>t</w:t>
      </w:r>
      <w:r w:rsidR="006D7582">
        <w:t>he need to store documents</w:t>
      </w:r>
      <w:r w:rsidR="006D7582" w:rsidRPr="00B168B5">
        <w:t xml:space="preserve"> until </w:t>
      </w:r>
      <w:r w:rsidR="006D7582">
        <w:t>a signed agreement</w:t>
      </w:r>
      <w:r w:rsidR="00C34491">
        <w:t>, confirming that they may be destroyed,</w:t>
      </w:r>
      <w:r w:rsidR="006D7582">
        <w:t xml:space="preserve"> has been provided by </w:t>
      </w:r>
      <w:r w:rsidR="006D7582" w:rsidRPr="00B168B5">
        <w:t xml:space="preserve">the </w:t>
      </w:r>
      <w:r w:rsidR="006D7582">
        <w:t xml:space="preserve">CI (or delegate) or the pharmaceutical company if applicable, or by the </w:t>
      </w:r>
      <w:r w:rsidR="00C34491">
        <w:t xml:space="preserve">sponsor </w:t>
      </w:r>
      <w:r w:rsidR="006D7582">
        <w:t>where the CI is no longer available</w:t>
      </w:r>
    </w:p>
    <w:p w14:paraId="67EA154F" w14:textId="60F31C61" w:rsidR="006D7582" w:rsidRPr="00AB1D11" w:rsidRDefault="0057714F" w:rsidP="006D7582">
      <w:pPr>
        <w:pStyle w:val="bullet2"/>
        <w:rPr>
          <w:rStyle w:val="ReferencestootherSOPsQCDsChar"/>
          <w:i w:val="0"/>
          <w:iCs w:val="0"/>
          <w:color w:val="auto"/>
        </w:rPr>
      </w:pPr>
      <w:r>
        <w:t>t</w:t>
      </w:r>
      <w:r w:rsidR="006D7582" w:rsidRPr="00AB1D11">
        <w:t>he need for medical notes to be destroyed according to local policy.</w:t>
      </w:r>
    </w:p>
    <w:p w14:paraId="1A405C68" w14:textId="2D399880" w:rsidR="006D7582" w:rsidRDefault="00F91E36" w:rsidP="006D7582">
      <w:pPr>
        <w:pStyle w:val="Numberlist"/>
        <w:numPr>
          <w:ilvl w:val="0"/>
          <w:numId w:val="12"/>
        </w:numPr>
        <w:ind w:left="340" w:hanging="340"/>
      </w:pPr>
      <w:r>
        <w:lastRenderedPageBreak/>
        <w:t>T</w:t>
      </w:r>
      <w:r w:rsidR="006D7582">
        <w:t xml:space="preserve">he CI (or delegate) will ensure during the set-up stage that laboratories </w:t>
      </w:r>
      <w:r w:rsidR="00461EA2">
        <w:t xml:space="preserve">analysing </w:t>
      </w:r>
      <w:r w:rsidR="003A49F2">
        <w:t xml:space="preserve">clinical research </w:t>
      </w:r>
      <w:r w:rsidR="00C34491">
        <w:t>material</w:t>
      </w:r>
      <w:r w:rsidR="006D7582">
        <w:t xml:space="preserve"> are aware of the archiving requirements, including</w:t>
      </w:r>
      <w:r w:rsidR="00EA6802">
        <w:t>:</w:t>
      </w:r>
    </w:p>
    <w:p w14:paraId="6C5F6E5F" w14:textId="70CB0091" w:rsidR="006D7582" w:rsidRDefault="0057714F" w:rsidP="006D7582">
      <w:pPr>
        <w:pStyle w:val="bullet2"/>
        <w:rPr>
          <w:rStyle w:val="bullet2Char"/>
        </w:rPr>
      </w:pPr>
      <w:r>
        <w:rPr>
          <w:rStyle w:val="bullet2Char"/>
        </w:rPr>
        <w:t>t</w:t>
      </w:r>
      <w:r w:rsidR="006D7582">
        <w:rPr>
          <w:rStyle w:val="bullet2Char"/>
        </w:rPr>
        <w:t>he need to archive the</w:t>
      </w:r>
      <w:r w:rsidR="006D7582" w:rsidRPr="00C11E47">
        <w:rPr>
          <w:rStyle w:val="bullet2Char"/>
        </w:rPr>
        <w:t xml:space="preserve"> </w:t>
      </w:r>
      <w:r w:rsidR="00614CD1">
        <w:rPr>
          <w:rStyle w:val="bullet2Char"/>
        </w:rPr>
        <w:t>l</w:t>
      </w:r>
      <w:r w:rsidR="00614CD1" w:rsidRPr="00C11E47">
        <w:rPr>
          <w:rStyle w:val="bullet2Char"/>
        </w:rPr>
        <w:t xml:space="preserve">aboratory </w:t>
      </w:r>
      <w:r w:rsidR="00614CD1">
        <w:rPr>
          <w:rStyle w:val="bullet2Char"/>
        </w:rPr>
        <w:t>m</w:t>
      </w:r>
      <w:r w:rsidR="00614CD1" w:rsidRPr="00C11E47">
        <w:rPr>
          <w:rStyle w:val="bullet2Char"/>
        </w:rPr>
        <w:t xml:space="preserve">aster </w:t>
      </w:r>
      <w:r w:rsidR="00614CD1">
        <w:rPr>
          <w:rStyle w:val="bullet2Char"/>
        </w:rPr>
        <w:t>f</w:t>
      </w:r>
      <w:r w:rsidR="00614CD1" w:rsidRPr="00C11E47">
        <w:rPr>
          <w:rStyle w:val="bullet2Char"/>
        </w:rPr>
        <w:t xml:space="preserve">ile </w:t>
      </w:r>
      <w:r w:rsidR="00614CD1">
        <w:rPr>
          <w:rStyle w:val="bullet2Char"/>
        </w:rPr>
        <w:t xml:space="preserve">(LMF) </w:t>
      </w:r>
      <w:r w:rsidR="006D7582" w:rsidRPr="00C11E47">
        <w:rPr>
          <w:rStyle w:val="bullet2Char"/>
        </w:rPr>
        <w:t>alongside all source data</w:t>
      </w:r>
      <w:r w:rsidR="006D7582">
        <w:rPr>
          <w:rStyle w:val="bullet2Char"/>
        </w:rPr>
        <w:t xml:space="preserve"> and</w:t>
      </w:r>
      <w:r w:rsidR="006D7582" w:rsidRPr="00C11E47">
        <w:rPr>
          <w:rStyle w:val="bullet2Char"/>
        </w:rPr>
        <w:t xml:space="preserve"> reported data. See </w:t>
      </w:r>
      <w:r w:rsidR="006D7582" w:rsidRPr="00B03963">
        <w:rPr>
          <w:rStyle w:val="ReferencestootherSOPsQCDsChar"/>
        </w:rPr>
        <w:t>Laboratory Set Up and Management</w:t>
      </w:r>
      <w:r w:rsidR="00062FC2">
        <w:rPr>
          <w:rStyle w:val="ReferencestootherSOPsQCDsChar"/>
        </w:rPr>
        <w:t xml:space="preserve"> </w:t>
      </w:r>
      <w:r w:rsidR="00EA6802">
        <w:rPr>
          <w:rStyle w:val="ReferencestootherSOPsQCDsChar"/>
        </w:rPr>
        <w:t>SOP (</w:t>
      </w:r>
      <w:r w:rsidR="00062FC2" w:rsidRPr="00B03963">
        <w:rPr>
          <w:rStyle w:val="ReferencestootherSOPsQCDsChar"/>
        </w:rPr>
        <w:t>UoB-CRL-SOP-001</w:t>
      </w:r>
      <w:r w:rsidR="00EA6802">
        <w:rPr>
          <w:rStyle w:val="ReferencestootherSOPsQCDsChar"/>
        </w:rPr>
        <w:t>)</w:t>
      </w:r>
      <w:r w:rsidR="00EA6802" w:rsidRPr="00B03963">
        <w:rPr>
          <w:rStyle w:val="ReferencestootherSOPsQCDsChar"/>
        </w:rPr>
        <w:t xml:space="preserve"> </w:t>
      </w:r>
      <w:r w:rsidR="00EA6802" w:rsidRPr="00C11E47">
        <w:rPr>
          <w:rStyle w:val="bullet2Char"/>
        </w:rPr>
        <w:t>for</w:t>
      </w:r>
      <w:r w:rsidR="006D7582" w:rsidRPr="00C11E47">
        <w:rPr>
          <w:rStyle w:val="bullet2Char"/>
        </w:rPr>
        <w:t xml:space="preserve"> further information</w:t>
      </w:r>
    </w:p>
    <w:p w14:paraId="241A10B3" w14:textId="67A72401" w:rsidR="006D7582" w:rsidRDefault="0057714F" w:rsidP="006D7582">
      <w:pPr>
        <w:pStyle w:val="bullet2"/>
        <w:rPr>
          <w:rStyle w:val="bullet2Char"/>
        </w:rPr>
      </w:pPr>
      <w:r>
        <w:rPr>
          <w:rStyle w:val="bullet2Char"/>
        </w:rPr>
        <w:t>t</w:t>
      </w:r>
      <w:r w:rsidR="006D7582">
        <w:rPr>
          <w:rStyle w:val="bullet2Char"/>
        </w:rPr>
        <w:t>he need to archive all non-trial</w:t>
      </w:r>
      <w:r w:rsidR="00CC7925">
        <w:rPr>
          <w:rStyle w:val="bullet2Char"/>
        </w:rPr>
        <w:t>/s</w:t>
      </w:r>
      <w:r w:rsidR="001A6F55">
        <w:rPr>
          <w:rStyle w:val="bullet2Char"/>
        </w:rPr>
        <w:t>t</w:t>
      </w:r>
      <w:r w:rsidR="00CC7925">
        <w:rPr>
          <w:rStyle w:val="bullet2Char"/>
        </w:rPr>
        <w:t>udy</w:t>
      </w:r>
      <w:r w:rsidR="006D7582">
        <w:rPr>
          <w:rStyle w:val="bullet2Char"/>
        </w:rPr>
        <w:t>-specific data, e.g. equipment validation and maintenance records, staff training records, quality assurance reports etc.</w:t>
      </w:r>
    </w:p>
    <w:p w14:paraId="62843164" w14:textId="2CDB8FAB" w:rsidR="00CC7925" w:rsidRDefault="00CC7925" w:rsidP="00CC7925">
      <w:pPr>
        <w:pStyle w:val="bullet2"/>
      </w:pPr>
      <w:r>
        <w:t xml:space="preserve">for </w:t>
      </w:r>
      <w:r w:rsidR="00683431">
        <w:t>CTIMPs</w:t>
      </w:r>
      <w:r>
        <w:t xml:space="preserve">, the need to detail who will be responsible for the archiving of laboratory documentation and data at trial closure in </w:t>
      </w:r>
      <w:r w:rsidRPr="00265A25">
        <w:t xml:space="preserve">a </w:t>
      </w:r>
      <w:r w:rsidR="00614CD1">
        <w:t>s</w:t>
      </w:r>
      <w:r w:rsidR="00614CD1" w:rsidRPr="00265A25">
        <w:t xml:space="preserve">ample </w:t>
      </w:r>
      <w:r w:rsidR="00614CD1">
        <w:t>a</w:t>
      </w:r>
      <w:r w:rsidR="00614CD1" w:rsidRPr="00265A25">
        <w:t>nalys</w:t>
      </w:r>
      <w:r w:rsidR="00614CD1">
        <w:t xml:space="preserve">is </w:t>
      </w:r>
      <w:r>
        <w:t xml:space="preserve">for </w:t>
      </w:r>
      <w:r w:rsidR="00614CD1">
        <w:t>clinical trials contract</w:t>
      </w:r>
      <w:r w:rsidR="00614CD1" w:rsidRPr="00265A25">
        <w:t xml:space="preserve"> </w:t>
      </w:r>
      <w:r w:rsidRPr="00265A25">
        <w:t xml:space="preserve">between the laboratory and </w:t>
      </w:r>
      <w:r w:rsidR="00614CD1">
        <w:t>the s</w:t>
      </w:r>
      <w:r w:rsidR="00614CD1" w:rsidRPr="00265A25">
        <w:t xml:space="preserve">ponsor </w:t>
      </w:r>
      <w:r w:rsidRPr="00265A25">
        <w:t>(where the laboratory is not pa</w:t>
      </w:r>
      <w:r>
        <w:t xml:space="preserve">rt of the </w:t>
      </w:r>
      <w:r w:rsidR="00614CD1">
        <w:t xml:space="preserve">sponsor’s </w:t>
      </w:r>
      <w:r>
        <w:t>organisation) or</w:t>
      </w:r>
      <w:r w:rsidRPr="00265A25">
        <w:t xml:space="preserve"> an internal </w:t>
      </w:r>
      <w:r w:rsidR="00614CD1">
        <w:t>m</w:t>
      </w:r>
      <w:r w:rsidR="00614CD1" w:rsidRPr="00265A25">
        <w:t xml:space="preserve">emorandum </w:t>
      </w:r>
      <w:r w:rsidRPr="00265A25">
        <w:t xml:space="preserve">of </w:t>
      </w:r>
      <w:r w:rsidR="00614CD1">
        <w:t>u</w:t>
      </w:r>
      <w:r w:rsidR="00614CD1" w:rsidRPr="00265A25">
        <w:t>nderst</w:t>
      </w:r>
      <w:r w:rsidR="00614CD1">
        <w:t xml:space="preserve">anding </w:t>
      </w:r>
      <w:r>
        <w:t xml:space="preserve">between </w:t>
      </w:r>
      <w:r w:rsidRPr="00265A25">
        <w:t>the laboratory</w:t>
      </w:r>
      <w:r>
        <w:t xml:space="preserve"> and the CI (</w:t>
      </w:r>
      <w:r w:rsidRPr="00265A25">
        <w:t xml:space="preserve">where the laboratory is part of the </w:t>
      </w:r>
      <w:r w:rsidR="00614CD1">
        <w:t>s</w:t>
      </w:r>
      <w:r w:rsidR="00614CD1" w:rsidRPr="00265A25">
        <w:t>ponsor</w:t>
      </w:r>
      <w:r w:rsidR="00614CD1">
        <w:t xml:space="preserve">’s </w:t>
      </w:r>
      <w:r w:rsidRPr="00265A25">
        <w:t>organisation</w:t>
      </w:r>
      <w:r>
        <w:t>).</w:t>
      </w:r>
    </w:p>
    <w:p w14:paraId="16FF62F2" w14:textId="60BC188F" w:rsidR="006D7582" w:rsidRDefault="006D7582" w:rsidP="006D7582">
      <w:pPr>
        <w:pStyle w:val="Numberlist"/>
        <w:numPr>
          <w:ilvl w:val="0"/>
          <w:numId w:val="12"/>
        </w:numPr>
        <w:ind w:left="340" w:hanging="340"/>
      </w:pPr>
      <w:r>
        <w:t>Where appropriate, the CI (or delegate) will document</w:t>
      </w:r>
      <w:r w:rsidR="0022738B">
        <w:t>, in an agreement,</w:t>
      </w:r>
      <w:r>
        <w:t xml:space="preserve"> </w:t>
      </w:r>
      <w:r w:rsidRPr="005B50B9">
        <w:t xml:space="preserve">the requirements </w:t>
      </w:r>
      <w:r w:rsidR="0022738B">
        <w:t>that the sponsor’s vendors or other agents will meet in relation to document retention.</w:t>
      </w:r>
      <w:r w:rsidR="00DF0942">
        <w:t xml:space="preserve"> </w:t>
      </w:r>
      <w:r w:rsidR="0058199C">
        <w:t>Agreements</w:t>
      </w:r>
      <w:r w:rsidRPr="005B50B9">
        <w:t xml:space="preserve"> </w:t>
      </w:r>
      <w:r>
        <w:t xml:space="preserve">will </w:t>
      </w:r>
      <w:r w:rsidRPr="005B50B9">
        <w:t xml:space="preserve">cover </w:t>
      </w:r>
      <w:r w:rsidR="00740C3B">
        <w:t>all</w:t>
      </w:r>
      <w:r w:rsidR="00740C3B" w:rsidRPr="005B50B9">
        <w:t xml:space="preserve"> </w:t>
      </w:r>
      <w:r w:rsidRPr="005B50B9">
        <w:t xml:space="preserve">eventualities to ensure that </w:t>
      </w:r>
      <w:r>
        <w:t>material</w:t>
      </w:r>
      <w:r w:rsidRPr="005B50B9">
        <w:t xml:space="preserve"> remains available for inspection for the specified retention time.</w:t>
      </w:r>
    </w:p>
    <w:p w14:paraId="5E838F11" w14:textId="08A46185" w:rsidR="006D7582" w:rsidRPr="008E750E" w:rsidRDefault="006D7582" w:rsidP="006D7582">
      <w:pPr>
        <w:pStyle w:val="Numberlist"/>
        <w:numPr>
          <w:ilvl w:val="0"/>
          <w:numId w:val="12"/>
        </w:numPr>
        <w:ind w:left="340" w:hanging="340"/>
      </w:pPr>
      <w:r w:rsidRPr="008E750E">
        <w:t>The CI (or delegate) will risk assess t</w:t>
      </w:r>
      <w:r>
        <w:t xml:space="preserve">he need for performing quality checks of archived material and document the decision, for example in the </w:t>
      </w:r>
      <w:r w:rsidR="00606938">
        <w:t xml:space="preserve">archive plan </w:t>
      </w:r>
      <w:r>
        <w:t>(</w:t>
      </w:r>
      <w:r w:rsidR="0056729E">
        <w:t xml:space="preserve">see </w:t>
      </w:r>
      <w:bookmarkStart w:id="2" w:name="_Hlk141797676"/>
      <w:r w:rsidRPr="007C3C2B">
        <w:rPr>
          <w:rStyle w:val="ReferencestootherSOPsQCDsChar"/>
        </w:rPr>
        <w:t>Archiving Plan</w:t>
      </w:r>
      <w:r w:rsidR="00062FC2">
        <w:rPr>
          <w:rStyle w:val="ReferencestootherSOPsQCDsChar"/>
        </w:rPr>
        <w:t xml:space="preserve"> (</w:t>
      </w:r>
      <w:r w:rsidR="00062FC2" w:rsidRPr="007C3C2B">
        <w:rPr>
          <w:rStyle w:val="ReferencestootherSOPsQCDsChar"/>
        </w:rPr>
        <w:t>UoB-ARC-QCD-001</w:t>
      </w:r>
      <w:r w:rsidR="00062FC2">
        <w:rPr>
          <w:rStyle w:val="ReferencestootherSOPsQCDsChar"/>
        </w:rPr>
        <w:t>)</w:t>
      </w:r>
      <w:r w:rsidR="00062FC2" w:rsidRPr="007C3C2B">
        <w:rPr>
          <w:rStyle w:val="ReferencestootherSOPsQCDsChar"/>
        </w:rPr>
        <w:t xml:space="preserve"> </w:t>
      </w:r>
      <w:bookmarkEnd w:id="2"/>
      <w:r>
        <w:t>for further information).</w:t>
      </w:r>
    </w:p>
    <w:p w14:paraId="78145F02" w14:textId="0F5BD2D6" w:rsidR="006D7582" w:rsidRDefault="006D7582" w:rsidP="006D7582">
      <w:pPr>
        <w:pStyle w:val="bullet2"/>
      </w:pPr>
      <w:r>
        <w:t>Consideration should be made to the type of research (e.g. trial, study), the length of retention period, the type of material archived (e.g. electronic</w:t>
      </w:r>
      <w:r w:rsidR="001707DB">
        <w:t xml:space="preserve"> and access to specialist software/files</w:t>
      </w:r>
      <w:r>
        <w:t xml:space="preserve">). </w:t>
      </w:r>
    </w:p>
    <w:p w14:paraId="408DB5C7" w14:textId="3644492E" w:rsidR="006D7582" w:rsidRDefault="006D7582" w:rsidP="006D7582">
      <w:pPr>
        <w:pStyle w:val="Heading3"/>
      </w:pPr>
      <w:r>
        <w:t xml:space="preserve">End of </w:t>
      </w:r>
      <w:r w:rsidR="00675F9F">
        <w:t>r</w:t>
      </w:r>
      <w:r>
        <w:t xml:space="preserve">etention </w:t>
      </w:r>
      <w:r w:rsidR="00675F9F">
        <w:t>p</w:t>
      </w:r>
      <w:r>
        <w:t>eriod</w:t>
      </w:r>
    </w:p>
    <w:p w14:paraId="17837C6C" w14:textId="77777777" w:rsidR="006D7582" w:rsidRDefault="006D7582" w:rsidP="006D7582">
      <w:pPr>
        <w:pStyle w:val="Numberlist"/>
        <w:numPr>
          <w:ilvl w:val="0"/>
          <w:numId w:val="12"/>
        </w:numPr>
        <w:ind w:left="340" w:hanging="340"/>
      </w:pPr>
      <w:r>
        <w:t>The CI (or delegate) will assess whether archived materials may be destroyed, or whether the archive period needs to be extended.</w:t>
      </w:r>
    </w:p>
    <w:p w14:paraId="2A48E8A4" w14:textId="77777777" w:rsidR="006D7582" w:rsidRDefault="006D7582" w:rsidP="006D7582">
      <w:pPr>
        <w:pStyle w:val="bullet2"/>
      </w:pPr>
      <w:r>
        <w:t xml:space="preserve">For </w:t>
      </w:r>
      <w:r w:rsidRPr="00952D86">
        <w:t>CTIMPs</w:t>
      </w:r>
      <w:r>
        <w:t xml:space="preserve">: </w:t>
      </w:r>
    </w:p>
    <w:p w14:paraId="4A11B844" w14:textId="253DD521" w:rsidR="006D7582" w:rsidRDefault="00E1532D" w:rsidP="006D7582">
      <w:pPr>
        <w:pStyle w:val="bullet3"/>
      </w:pPr>
      <w:r>
        <w:t>t</w:t>
      </w:r>
      <w:r w:rsidR="006D7582">
        <w:t xml:space="preserve">his may be in liaison with the </w:t>
      </w:r>
      <w:r w:rsidR="00740C3B">
        <w:t xml:space="preserve">archivist </w:t>
      </w:r>
      <w:r w:rsidR="006D7582">
        <w:t>and pharmaceutical company, where applicable</w:t>
      </w:r>
    </w:p>
    <w:p w14:paraId="24D6D6A1" w14:textId="5FDDFD5D" w:rsidR="006D7582" w:rsidRPr="00197DF8" w:rsidRDefault="00E1532D" w:rsidP="006D7582">
      <w:pPr>
        <w:pStyle w:val="bullet3"/>
        <w:rPr>
          <w:rStyle w:val="bullet2Char"/>
        </w:rPr>
      </w:pPr>
      <w:r>
        <w:rPr>
          <w:rStyle w:val="bullet2Char"/>
        </w:rPr>
        <w:t>t</w:t>
      </w:r>
      <w:r w:rsidR="006D7582">
        <w:rPr>
          <w:rStyle w:val="bullet2Char"/>
        </w:rPr>
        <w:t xml:space="preserve">he </w:t>
      </w:r>
      <w:r w:rsidR="00740C3B">
        <w:rPr>
          <w:rStyle w:val="bullet2Char"/>
        </w:rPr>
        <w:t xml:space="preserve">archivist </w:t>
      </w:r>
      <w:r w:rsidR="006D7582">
        <w:rPr>
          <w:rStyle w:val="bullet2Char"/>
        </w:rPr>
        <w:t>(or delegate) will</w:t>
      </w:r>
      <w:r w:rsidR="006D7582" w:rsidRPr="00197DF8">
        <w:rPr>
          <w:rStyle w:val="bullet2Char"/>
        </w:rPr>
        <w:t xml:space="preserve"> arrange for permanent removal of paper </w:t>
      </w:r>
      <w:r w:rsidR="006D7582">
        <w:rPr>
          <w:rStyle w:val="bullet2Char"/>
        </w:rPr>
        <w:t xml:space="preserve">material </w:t>
      </w:r>
      <w:r w:rsidR="006D7582" w:rsidRPr="00197DF8">
        <w:rPr>
          <w:rStyle w:val="bullet2Char"/>
        </w:rPr>
        <w:t>from the archive</w:t>
      </w:r>
      <w:r w:rsidR="006D7582">
        <w:rPr>
          <w:rStyle w:val="bullet2Char"/>
        </w:rPr>
        <w:t xml:space="preserve"> location</w:t>
      </w:r>
      <w:r w:rsidR="006D7582" w:rsidRPr="00197DF8">
        <w:rPr>
          <w:rStyle w:val="bullet2Char"/>
        </w:rPr>
        <w:t xml:space="preserve">, and </w:t>
      </w:r>
      <w:r w:rsidR="00740C3B">
        <w:rPr>
          <w:rStyle w:val="bullet2Char"/>
        </w:rPr>
        <w:t>its</w:t>
      </w:r>
      <w:r w:rsidR="00740C3B" w:rsidRPr="00197DF8">
        <w:rPr>
          <w:rStyle w:val="bullet2Char"/>
        </w:rPr>
        <w:t xml:space="preserve"> </w:t>
      </w:r>
      <w:r w:rsidR="006D7582" w:rsidRPr="00197DF8">
        <w:rPr>
          <w:rStyle w:val="bullet2Char"/>
        </w:rPr>
        <w:t>subsequent destruction. Alternatively,</w:t>
      </w:r>
      <w:r w:rsidR="006D7582">
        <w:rPr>
          <w:rStyle w:val="bullet2Char"/>
        </w:rPr>
        <w:t xml:space="preserve"> where an external archive facility is used,</w:t>
      </w:r>
      <w:r w:rsidR="006D7582" w:rsidRPr="00197DF8">
        <w:rPr>
          <w:rStyle w:val="bullet2Char"/>
        </w:rPr>
        <w:t xml:space="preserve"> </w:t>
      </w:r>
      <w:r w:rsidR="005D2D35">
        <w:rPr>
          <w:rStyle w:val="bullet2Char"/>
        </w:rPr>
        <w:t xml:space="preserve">the archivist (or delegate) will </w:t>
      </w:r>
      <w:r w:rsidR="006D7582" w:rsidRPr="00197DF8">
        <w:rPr>
          <w:rStyle w:val="bullet2Char"/>
        </w:rPr>
        <w:t>arrange for the facility to securely</w:t>
      </w:r>
      <w:r w:rsidR="006D7582">
        <w:rPr>
          <w:rStyle w:val="bullet2Char"/>
        </w:rPr>
        <w:t xml:space="preserve"> and confidentially</w:t>
      </w:r>
      <w:r w:rsidR="006D7582" w:rsidRPr="00197DF8">
        <w:rPr>
          <w:rStyle w:val="bullet2Char"/>
        </w:rPr>
        <w:t xml:space="preserve"> destroy the </w:t>
      </w:r>
      <w:r w:rsidR="006D7582">
        <w:rPr>
          <w:rStyle w:val="bullet2Char"/>
        </w:rPr>
        <w:t>material</w:t>
      </w:r>
      <w:r w:rsidR="006D7582" w:rsidRPr="00197DF8">
        <w:rPr>
          <w:rStyle w:val="bullet2Char"/>
        </w:rPr>
        <w:t xml:space="preserve"> and ensure that evidence of this destruction is obtained</w:t>
      </w:r>
    </w:p>
    <w:p w14:paraId="60F4B4BB" w14:textId="624DC368" w:rsidR="006D7582" w:rsidRDefault="00E1532D" w:rsidP="006D7582">
      <w:pPr>
        <w:pStyle w:val="bullet3"/>
      </w:pPr>
      <w:r>
        <w:t>t</w:t>
      </w:r>
      <w:r w:rsidR="006D7582" w:rsidRPr="00633EDF">
        <w:t xml:space="preserve">he </w:t>
      </w:r>
      <w:r w:rsidR="002734D0">
        <w:t>a</w:t>
      </w:r>
      <w:r w:rsidR="002734D0" w:rsidRPr="00633EDF">
        <w:t xml:space="preserve">rchivist </w:t>
      </w:r>
      <w:r w:rsidR="006D7582" w:rsidRPr="00633EDF">
        <w:t xml:space="preserve">(or delegate) will ensure </w:t>
      </w:r>
      <w:r w:rsidR="002734D0">
        <w:t xml:space="preserve">that </w:t>
      </w:r>
      <w:r w:rsidR="006D7582" w:rsidRPr="00633EDF">
        <w:t>documentation regarding the destruction of both paper and electronic archived material is retained.</w:t>
      </w:r>
    </w:p>
    <w:p w14:paraId="26C64666" w14:textId="77777777" w:rsidR="006D7582" w:rsidRDefault="006D7582" w:rsidP="006D7582">
      <w:pPr>
        <w:pStyle w:val="Numberlist"/>
        <w:numPr>
          <w:ilvl w:val="0"/>
          <w:numId w:val="12"/>
        </w:numPr>
        <w:ind w:left="340" w:hanging="340"/>
      </w:pPr>
      <w:r>
        <w:t>The CI (or delegate) will provide sites with a signed authorisation when material is no longer needed to be retained and a</w:t>
      </w:r>
      <w:r w:rsidRPr="00525C51">
        <w:t>ppropriate destruction</w:t>
      </w:r>
      <w:r>
        <w:t xml:space="preserve"> can be arranged</w:t>
      </w:r>
      <w:r w:rsidRPr="00525C51">
        <w:t xml:space="preserve">. </w:t>
      </w:r>
    </w:p>
    <w:p w14:paraId="1F877014" w14:textId="5F3075F8" w:rsidR="006D7582" w:rsidRPr="0058165C" w:rsidRDefault="006D7582" w:rsidP="006D7582">
      <w:pPr>
        <w:pStyle w:val="Heading2"/>
      </w:pPr>
      <w:r>
        <w:t xml:space="preserve">Archiving </w:t>
      </w:r>
      <w:r w:rsidR="00675F9F">
        <w:t>p</w:t>
      </w:r>
      <w:r>
        <w:t>lan</w:t>
      </w:r>
    </w:p>
    <w:p w14:paraId="29E36B82" w14:textId="44B29402" w:rsidR="006D7582" w:rsidRDefault="006D7582" w:rsidP="006D7582">
      <w:pPr>
        <w:pStyle w:val="Numberlist"/>
        <w:numPr>
          <w:ilvl w:val="0"/>
          <w:numId w:val="12"/>
        </w:numPr>
        <w:ind w:left="340" w:hanging="340"/>
      </w:pPr>
      <w:r>
        <w:t>The CI (or delegate) will document the details of which project material is to be archived, where it is to be archived and the retention period</w:t>
      </w:r>
      <w:r w:rsidR="007466FD">
        <w:t>.</w:t>
      </w:r>
    </w:p>
    <w:p w14:paraId="14A03591" w14:textId="65D39C78" w:rsidR="006D7582" w:rsidRDefault="006D7582" w:rsidP="006D7582">
      <w:pPr>
        <w:pStyle w:val="bullet2"/>
      </w:pPr>
      <w:r>
        <w:t xml:space="preserve">For projects approved by </w:t>
      </w:r>
      <w:r w:rsidR="002734D0">
        <w:t xml:space="preserve">a </w:t>
      </w:r>
      <w:proofErr w:type="spellStart"/>
      <w:r>
        <w:t>UoB</w:t>
      </w:r>
      <w:proofErr w:type="spellEnd"/>
      <w:r>
        <w:t xml:space="preserve"> REC, details </w:t>
      </w:r>
      <w:r w:rsidR="007466FD">
        <w:t xml:space="preserve">relating to data </w:t>
      </w:r>
      <w:r>
        <w:t>retention will be stipulated in the Application for Ethical Review Form.</w:t>
      </w:r>
    </w:p>
    <w:p w14:paraId="6133BF42" w14:textId="17DFCBD4" w:rsidR="006D7582" w:rsidRDefault="006D7582" w:rsidP="006D7582">
      <w:pPr>
        <w:pStyle w:val="bullet2"/>
      </w:pPr>
      <w:r>
        <w:t>For all HRA</w:t>
      </w:r>
      <w:r w:rsidR="002734D0">
        <w:t>-</w:t>
      </w:r>
      <w:r>
        <w:t>approved projects</w:t>
      </w:r>
      <w:r w:rsidR="007466FD">
        <w:t>,</w:t>
      </w:r>
      <w:r>
        <w:t xml:space="preserve"> development of an </w:t>
      </w:r>
      <w:r w:rsidR="007466FD">
        <w:t xml:space="preserve">archiving plan </w:t>
      </w:r>
      <w:r>
        <w:t>is advised and as a minimum, detail</w:t>
      </w:r>
      <w:r w:rsidR="007466FD">
        <w:t>s</w:t>
      </w:r>
      <w:r>
        <w:t xml:space="preserve"> </w:t>
      </w:r>
      <w:r w:rsidR="007466FD">
        <w:t xml:space="preserve">about data </w:t>
      </w:r>
      <w:r>
        <w:t xml:space="preserve">retention will be stipulated in the protocol. </w:t>
      </w:r>
      <w:r w:rsidR="00554706">
        <w:rPr>
          <w:lang w:val="en-US"/>
        </w:rPr>
        <w:t>S</w:t>
      </w:r>
      <w:r>
        <w:rPr>
          <w:lang w:val="en-US"/>
        </w:rPr>
        <w:t>ee</w:t>
      </w:r>
      <w:r w:rsidR="00554706">
        <w:rPr>
          <w:lang w:val="en-US"/>
        </w:rPr>
        <w:t xml:space="preserve"> also</w:t>
      </w:r>
      <w:r>
        <w:rPr>
          <w:lang w:val="en-US"/>
        </w:rPr>
        <w:t xml:space="preserve"> </w:t>
      </w:r>
      <w:r w:rsidRPr="00D011F7">
        <w:rPr>
          <w:rStyle w:val="ReferencestootherSOPsQCDsChar"/>
        </w:rPr>
        <w:t>Essential Document</w:t>
      </w:r>
      <w:r>
        <w:rPr>
          <w:rStyle w:val="ReferencestootherSOPsQCDsChar"/>
        </w:rPr>
        <w:t xml:space="preserve">s </w:t>
      </w:r>
      <w:r w:rsidR="007466FD">
        <w:rPr>
          <w:rStyle w:val="ReferencestootherSOPsQCDsChar"/>
        </w:rPr>
        <w:t>D</w:t>
      </w:r>
      <w:r>
        <w:rPr>
          <w:rStyle w:val="ReferencestootherSOPsQCDsChar"/>
        </w:rPr>
        <w:t xml:space="preserve">evelopment and </w:t>
      </w:r>
      <w:r w:rsidR="007466FD">
        <w:rPr>
          <w:rStyle w:val="ReferencestootherSOPsQCDsChar"/>
        </w:rPr>
        <w:t>M</w:t>
      </w:r>
      <w:r>
        <w:rPr>
          <w:rStyle w:val="ReferencestootherSOPsQCDsChar"/>
        </w:rPr>
        <w:t>aintenance</w:t>
      </w:r>
      <w:r w:rsidR="007466FD">
        <w:rPr>
          <w:rStyle w:val="ReferencestootherSOPsQCDsChar"/>
        </w:rPr>
        <w:t xml:space="preserve"> </w:t>
      </w:r>
      <w:r w:rsidR="00062FC2">
        <w:rPr>
          <w:rStyle w:val="ReferencestootherSOPsQCDsChar"/>
        </w:rPr>
        <w:t>SOP (</w:t>
      </w:r>
      <w:r w:rsidR="00062FC2" w:rsidRPr="00774B8B">
        <w:rPr>
          <w:rStyle w:val="ReferencestootherSOPsQCDsChar"/>
        </w:rPr>
        <w:t>UoB</w:t>
      </w:r>
      <w:r w:rsidR="00062FC2">
        <w:rPr>
          <w:rStyle w:val="ReferencestootherSOPsQCDsChar"/>
        </w:rPr>
        <w:t>-</w:t>
      </w:r>
      <w:r w:rsidR="00062FC2" w:rsidRPr="00774B8B">
        <w:rPr>
          <w:rStyle w:val="ReferencestootherSOPsQCDsChar"/>
        </w:rPr>
        <w:t>ESD</w:t>
      </w:r>
      <w:r w:rsidR="00062FC2">
        <w:rPr>
          <w:rStyle w:val="ReferencestootherSOPsQCDsChar"/>
        </w:rPr>
        <w:t>-</w:t>
      </w:r>
      <w:r w:rsidR="00062FC2" w:rsidRPr="00D011F7">
        <w:rPr>
          <w:rStyle w:val="ReferencestootherSOPsQCDsChar"/>
        </w:rPr>
        <w:t>SOP-001</w:t>
      </w:r>
      <w:r w:rsidR="00062FC2">
        <w:rPr>
          <w:rStyle w:val="ReferencestootherSOPsQCDsChar"/>
        </w:rPr>
        <w:t>)</w:t>
      </w:r>
      <w:r>
        <w:rPr>
          <w:rStyle w:val="ReferencestootherSOPsQCDsChar"/>
        </w:rPr>
        <w:t xml:space="preserve"> </w:t>
      </w:r>
      <w:r>
        <w:t>for further information.</w:t>
      </w:r>
    </w:p>
    <w:p w14:paraId="193D410A" w14:textId="241E1439" w:rsidR="006D7582" w:rsidRDefault="006D7582" w:rsidP="006D7582">
      <w:pPr>
        <w:pStyle w:val="bullet2"/>
      </w:pPr>
      <w:r>
        <w:t xml:space="preserve">For </w:t>
      </w:r>
      <w:r w:rsidRPr="00952D86">
        <w:t>CTIMPs</w:t>
      </w:r>
      <w:r>
        <w:t xml:space="preserve">, the CI (or delegate) will develop an </w:t>
      </w:r>
      <w:r w:rsidR="007466FD">
        <w:t xml:space="preserve">archiving plan during the </w:t>
      </w:r>
      <w:r>
        <w:t>trial</w:t>
      </w:r>
      <w:r w:rsidR="007466FD">
        <w:t>’s</w:t>
      </w:r>
      <w:r>
        <w:t xml:space="preserve"> set</w:t>
      </w:r>
      <w:r w:rsidR="007466FD">
        <w:t>-</w:t>
      </w:r>
      <w:r>
        <w:t>up</w:t>
      </w:r>
      <w:r w:rsidR="007466FD">
        <w:t xml:space="preserve"> phase</w:t>
      </w:r>
      <w:r>
        <w:t xml:space="preserve">. See </w:t>
      </w:r>
      <w:r w:rsidRPr="007C3C2B">
        <w:rPr>
          <w:rStyle w:val="ReferencestootherSOPsQCDsChar"/>
        </w:rPr>
        <w:t>Archiving Plan</w:t>
      </w:r>
      <w:r w:rsidR="003404B2">
        <w:rPr>
          <w:rStyle w:val="ReferencestootherSOPsQCDsChar"/>
        </w:rPr>
        <w:t xml:space="preserve"> (</w:t>
      </w:r>
      <w:r w:rsidR="003404B2" w:rsidRPr="007C3C2B">
        <w:rPr>
          <w:rStyle w:val="ReferencestootherSOPsQCDsChar"/>
        </w:rPr>
        <w:t>UoB-ARC-QCD-001</w:t>
      </w:r>
      <w:r w:rsidR="003404B2">
        <w:rPr>
          <w:rStyle w:val="ReferencestootherSOPsQCDsChar"/>
        </w:rPr>
        <w:t>)</w:t>
      </w:r>
      <w:r>
        <w:t xml:space="preserve"> for a template.</w:t>
      </w:r>
    </w:p>
    <w:p w14:paraId="5DF4CBFC" w14:textId="10819DF6" w:rsidR="006D7582" w:rsidRDefault="006D7582" w:rsidP="006D7582">
      <w:pPr>
        <w:pStyle w:val="Numberlist"/>
        <w:numPr>
          <w:ilvl w:val="0"/>
          <w:numId w:val="12"/>
        </w:numPr>
        <w:ind w:left="340" w:hanging="340"/>
      </w:pPr>
      <w:r>
        <w:t xml:space="preserve">The CI (or delegate) will ensure the storage location is suitable for the type of </w:t>
      </w:r>
      <w:r w:rsidR="008C5EC8">
        <w:t xml:space="preserve">clinical research </w:t>
      </w:r>
      <w:r>
        <w:t xml:space="preserve">and the duration of the retention period. The </w:t>
      </w:r>
      <w:r w:rsidRPr="006E54EA">
        <w:t xml:space="preserve">risks around security, location, size, environment and pests will be considered when deciding on a </w:t>
      </w:r>
      <w:r>
        <w:t>storage</w:t>
      </w:r>
      <w:r w:rsidRPr="006E54EA">
        <w:t xml:space="preserve"> </w:t>
      </w:r>
      <w:r>
        <w:t>location.</w:t>
      </w:r>
    </w:p>
    <w:p w14:paraId="13427AF6" w14:textId="2AE3BF39" w:rsidR="006D7582" w:rsidRPr="006E54EA" w:rsidRDefault="006D7582" w:rsidP="006D7582">
      <w:pPr>
        <w:pStyle w:val="bullet2"/>
      </w:pPr>
      <w:r>
        <w:t xml:space="preserve">For CTIMPs, it is recommended </w:t>
      </w:r>
      <w:r w:rsidR="003627AD">
        <w:t xml:space="preserve">that </w:t>
      </w:r>
      <w:r>
        <w:t>an external archive facility is used.</w:t>
      </w:r>
    </w:p>
    <w:p w14:paraId="7873DEDE" w14:textId="1B4C0C58" w:rsidR="006D7582" w:rsidRDefault="006D7582" w:rsidP="006D7582">
      <w:pPr>
        <w:pStyle w:val="Numberlist"/>
        <w:numPr>
          <w:ilvl w:val="0"/>
          <w:numId w:val="12"/>
        </w:numPr>
        <w:ind w:left="340" w:hanging="340"/>
      </w:pPr>
      <w:r>
        <w:t xml:space="preserve">For CTIMPs, upon trial closure, the CI (or delegate) will send the </w:t>
      </w:r>
      <w:r w:rsidR="003627AD">
        <w:t xml:space="preserve">archiving plan </w:t>
      </w:r>
      <w:r>
        <w:t xml:space="preserve">to the </w:t>
      </w:r>
      <w:bookmarkStart w:id="3" w:name="_Hlk56768768"/>
      <w:r>
        <w:fldChar w:fldCharType="begin"/>
      </w:r>
      <w:r>
        <w:instrText>HYPERLINK "mailto:researchgovernance@contact.bham.ac.uk" \o "Email address for the Research Governance Team"</w:instrText>
      </w:r>
      <w:r>
        <w:fldChar w:fldCharType="separate"/>
      </w:r>
      <w:r w:rsidRPr="00DF0942">
        <w:t>R</w:t>
      </w:r>
      <w:r w:rsidRPr="00DF0942">
        <w:fldChar w:fldCharType="end"/>
      </w:r>
      <w:bookmarkEnd w:id="3"/>
      <w:r w:rsidR="005D2D35" w:rsidRPr="00DF0942">
        <w:t>E</w:t>
      </w:r>
      <w:r w:rsidRPr="00DF0942">
        <w:t>G</w:t>
      </w:r>
      <w:r w:rsidR="005D2D35" w:rsidRPr="00DF0942">
        <w:t>I</w:t>
      </w:r>
      <w:r>
        <w:t xml:space="preserve">, along with confirmation that the ISFs have been archived in line with the </w:t>
      </w:r>
      <w:r w:rsidR="003627AD">
        <w:t>archiving plan</w:t>
      </w:r>
      <w:r>
        <w:t>.</w:t>
      </w:r>
    </w:p>
    <w:p w14:paraId="1039F100" w14:textId="1FCF1F10" w:rsidR="006D7582" w:rsidRDefault="006D7582" w:rsidP="006D7582">
      <w:pPr>
        <w:pStyle w:val="Heading2"/>
      </w:pPr>
      <w:r>
        <w:lastRenderedPageBreak/>
        <w:t xml:space="preserve">Archiving of paper documents for all projects </w:t>
      </w:r>
    </w:p>
    <w:p w14:paraId="19DF3457" w14:textId="269EA062" w:rsidR="006D7582" w:rsidRDefault="006D7582" w:rsidP="006D7582">
      <w:pPr>
        <w:pStyle w:val="Numberlist"/>
        <w:numPr>
          <w:ilvl w:val="0"/>
          <w:numId w:val="12"/>
        </w:numPr>
        <w:ind w:left="340" w:hanging="340"/>
      </w:pPr>
      <w:r>
        <w:t>The CI (or delegate) will r</w:t>
      </w:r>
      <w:r w:rsidRPr="009A06C8">
        <w:t xml:space="preserve">eview the </w:t>
      </w:r>
      <w:r>
        <w:t>S/T</w:t>
      </w:r>
      <w:r w:rsidRPr="009A06C8">
        <w:t>MF</w:t>
      </w:r>
      <w:r>
        <w:t xml:space="preserve"> to ensure that no files are missing. </w:t>
      </w:r>
      <w:r w:rsidR="00554706">
        <w:t>S</w:t>
      </w:r>
      <w:r>
        <w:t>ee</w:t>
      </w:r>
      <w:r w:rsidR="00554706">
        <w:t xml:space="preserve"> also</w:t>
      </w:r>
      <w:r>
        <w:t xml:space="preserve"> </w:t>
      </w:r>
      <w:r w:rsidRPr="00A819C6">
        <w:rPr>
          <w:rStyle w:val="ReferencestootherSOPsQCDsChar"/>
        </w:rPr>
        <w:t>Essential Documents Checklist</w:t>
      </w:r>
      <w:r w:rsidR="00062FC2">
        <w:rPr>
          <w:rStyle w:val="ReferencestootherSOPsQCDsChar"/>
        </w:rPr>
        <w:t xml:space="preserve"> (</w:t>
      </w:r>
      <w:r w:rsidR="00062FC2" w:rsidRPr="00A819C6">
        <w:rPr>
          <w:rStyle w:val="ReferencestootherSOPsQCDsChar"/>
        </w:rPr>
        <w:t>UoB</w:t>
      </w:r>
      <w:r w:rsidR="00062FC2">
        <w:rPr>
          <w:rStyle w:val="ReferencestootherSOPsQCDsChar"/>
        </w:rPr>
        <w:t>-</w:t>
      </w:r>
      <w:r w:rsidR="00062FC2" w:rsidRPr="00A819C6">
        <w:rPr>
          <w:rStyle w:val="ReferencestootherSOPsQCDsChar"/>
        </w:rPr>
        <w:t>ESD-QCD-001</w:t>
      </w:r>
      <w:r w:rsidR="00062FC2">
        <w:rPr>
          <w:rStyle w:val="ReferencestootherSOPsQCDsChar"/>
        </w:rPr>
        <w:t>)</w:t>
      </w:r>
      <w:r>
        <w:rPr>
          <w:rStyle w:val="ReferencestootherSOPsQCDsChar"/>
        </w:rPr>
        <w:t xml:space="preserve"> </w:t>
      </w:r>
      <w:r w:rsidRPr="00B31C3C">
        <w:t>for further information.</w:t>
      </w:r>
    </w:p>
    <w:p w14:paraId="22E7AEF2" w14:textId="2E7BA2B3" w:rsidR="006D7582" w:rsidRPr="009A06C8" w:rsidRDefault="006D7582" w:rsidP="006D7582">
      <w:pPr>
        <w:pStyle w:val="bullet2"/>
      </w:pPr>
      <w:r>
        <w:t xml:space="preserve">For CTIMPs, the CI (or delegate) will include, as a minimum, all relevant documents as listed in section 8 of the </w:t>
      </w:r>
      <w:hyperlink r:id="rId24" w:tooltip="Link to the ICH Harmonised Tripartite Guideline for Good Clinical Practice" w:history="1">
        <w:r w:rsidRPr="00C16E7A">
          <w:rPr>
            <w:rStyle w:val="Hyperlink"/>
          </w:rPr>
          <w:t>ICH Harmonised Tripartite Guideline for Good Clinical Practic</w:t>
        </w:r>
        <w:r>
          <w:rPr>
            <w:rStyle w:val="Hyperlink"/>
          </w:rPr>
          <w:t>e (PDF – 651 KB)</w:t>
        </w:r>
      </w:hyperlink>
      <w:r>
        <w:t xml:space="preserve"> for archiving.</w:t>
      </w:r>
    </w:p>
    <w:p w14:paraId="2D2F3C60" w14:textId="77777777" w:rsidR="006D7582" w:rsidRDefault="006D7582" w:rsidP="006D7582">
      <w:pPr>
        <w:pStyle w:val="Numberlist"/>
        <w:numPr>
          <w:ilvl w:val="0"/>
          <w:numId w:val="12"/>
        </w:numPr>
        <w:ind w:left="340" w:hanging="340"/>
      </w:pPr>
      <w:r>
        <w:t>The CI (or delegate) will p</w:t>
      </w:r>
      <w:r w:rsidRPr="009A06C8">
        <w:t>repare the documents for storage in</w:t>
      </w:r>
      <w:r>
        <w:t>, for example,</w:t>
      </w:r>
      <w:r w:rsidRPr="009A06C8">
        <w:t xml:space="preserve"> an </w:t>
      </w:r>
      <w:r>
        <w:t>a</w:t>
      </w:r>
      <w:r w:rsidRPr="009A06C8">
        <w:t xml:space="preserve">rchive </w:t>
      </w:r>
      <w:r>
        <w:t>b</w:t>
      </w:r>
      <w:r w:rsidRPr="009A06C8">
        <w:t>ox</w:t>
      </w:r>
      <w:r>
        <w:t>.</w:t>
      </w:r>
    </w:p>
    <w:p w14:paraId="082C0D23" w14:textId="581D715C" w:rsidR="006D7582" w:rsidRPr="00952D86" w:rsidRDefault="006D7582" w:rsidP="006D7582">
      <w:pPr>
        <w:pStyle w:val="bullet2"/>
      </w:pPr>
      <w:r w:rsidRPr="009A06C8">
        <w:t xml:space="preserve">Efforts </w:t>
      </w:r>
      <w:r>
        <w:t>should</w:t>
      </w:r>
      <w:r w:rsidRPr="009A06C8">
        <w:t xml:space="preserve"> be made to maximise the contents of each box whilst ensuring they are </w:t>
      </w:r>
      <w:r w:rsidRPr="00952D86">
        <w:t xml:space="preserve">maintained in good order and not crushed or </w:t>
      </w:r>
      <w:r w:rsidR="00AB260F">
        <w:t>too</w:t>
      </w:r>
      <w:r w:rsidR="00AB260F" w:rsidRPr="00952D86">
        <w:t xml:space="preserve"> </w:t>
      </w:r>
      <w:r w:rsidRPr="00952D86">
        <w:t>tightly packed.</w:t>
      </w:r>
    </w:p>
    <w:p w14:paraId="1D00BE86" w14:textId="2646A08F" w:rsidR="006D7582" w:rsidRPr="00952D86" w:rsidRDefault="006D7582" w:rsidP="006D7582">
      <w:pPr>
        <w:pStyle w:val="bullet2"/>
      </w:pPr>
      <w:r w:rsidRPr="00952D86">
        <w:t xml:space="preserve">Documentation for multiple research projects may be stored in a single </w:t>
      </w:r>
      <w:r w:rsidRPr="0041470B">
        <w:t>archive box as long as it is easy to distinguish between them</w:t>
      </w:r>
      <w:r w:rsidR="00860263">
        <w:t>,</w:t>
      </w:r>
      <w:r w:rsidRPr="0041470B">
        <w:t xml:space="preserve"> and</w:t>
      </w:r>
      <w:r w:rsidR="005D2D35">
        <w:t xml:space="preserve"> </w:t>
      </w:r>
      <w:r w:rsidRPr="0041470B">
        <w:t xml:space="preserve">for CTIMPs this </w:t>
      </w:r>
      <w:r w:rsidR="00671F59">
        <w:t>will be</w:t>
      </w:r>
      <w:r w:rsidR="00671F59" w:rsidRPr="0041470B">
        <w:t xml:space="preserve"> </w:t>
      </w:r>
      <w:r w:rsidRPr="0041470B">
        <w:t>clearly documented in the archive system. In order to maximise space when using boxes, remove bulky storage items such as ring binders or hanging files wherever possible;</w:t>
      </w:r>
      <w:r w:rsidRPr="00213A95">
        <w:t xml:space="preserve"> large envelopes or simple card folders may be used instead to keep grouped items together.</w:t>
      </w:r>
    </w:p>
    <w:p w14:paraId="4099E71B" w14:textId="77777777" w:rsidR="006D7582" w:rsidRPr="00952D86" w:rsidRDefault="006D7582" w:rsidP="006D7582">
      <w:pPr>
        <w:pStyle w:val="bullet2"/>
      </w:pPr>
      <w:r w:rsidRPr="00952D86">
        <w:t>Remove large metal clips where possible, although it is not necessary to remove paper clips or staples.</w:t>
      </w:r>
    </w:p>
    <w:p w14:paraId="6B43DB23" w14:textId="77777777" w:rsidR="006D7582" w:rsidRPr="00952D86" w:rsidRDefault="006D7582" w:rsidP="006D7582">
      <w:pPr>
        <w:pStyle w:val="bullet2"/>
      </w:pPr>
      <w:r w:rsidRPr="00952D86">
        <w:t xml:space="preserve">Remove plastic wallets if possible as they stick to the documents over time and the print will transfer to the inside of the plastic wallet. </w:t>
      </w:r>
    </w:p>
    <w:p w14:paraId="253AAFDF" w14:textId="77777777" w:rsidR="006D7582" w:rsidRPr="00952D86" w:rsidRDefault="006D7582" w:rsidP="006D7582">
      <w:pPr>
        <w:pStyle w:val="bullet2"/>
      </w:pPr>
      <w:r w:rsidRPr="00952D86">
        <w:t>Remove rubber bands as they will cut into paper and become sticky over time.</w:t>
      </w:r>
    </w:p>
    <w:p w14:paraId="5779D60D" w14:textId="77777777" w:rsidR="006D7582" w:rsidRDefault="006D7582" w:rsidP="006D7582">
      <w:pPr>
        <w:pStyle w:val="bullet2"/>
      </w:pPr>
      <w:r w:rsidRPr="00952D86">
        <w:t>Remove</w:t>
      </w:r>
      <w:r>
        <w:t xml:space="preserve"> sticky notes as they will leave residue which will attract dirt and mould.</w:t>
      </w:r>
    </w:p>
    <w:p w14:paraId="78159AF8" w14:textId="7E8A63E3" w:rsidR="006D7582" w:rsidRDefault="006D7582" w:rsidP="006D7582">
      <w:pPr>
        <w:pStyle w:val="Numberlist"/>
        <w:numPr>
          <w:ilvl w:val="0"/>
          <w:numId w:val="12"/>
        </w:numPr>
        <w:ind w:left="340" w:hanging="340"/>
      </w:pPr>
      <w:r>
        <w:t xml:space="preserve">The CI (or delegate) will seal and clearly label the box (see </w:t>
      </w:r>
      <w:bookmarkStart w:id="4" w:name="_Hlk141797735"/>
      <w:r w:rsidRPr="007C3C2B">
        <w:rPr>
          <w:rStyle w:val="ReferencestootherSOPsQCDsChar"/>
        </w:rPr>
        <w:t>Archive Label</w:t>
      </w:r>
      <w:r w:rsidR="00062FC2">
        <w:rPr>
          <w:rStyle w:val="ReferencestootherSOPsQCDsChar"/>
        </w:rPr>
        <w:t xml:space="preserve"> (</w:t>
      </w:r>
      <w:r w:rsidR="00062FC2" w:rsidRPr="007C3C2B">
        <w:rPr>
          <w:rStyle w:val="ReferencestootherSOPsQCDsChar"/>
        </w:rPr>
        <w:t>UoB-ARC-QCD-002</w:t>
      </w:r>
      <w:r w:rsidR="00062FC2">
        <w:rPr>
          <w:rStyle w:val="ReferencestootherSOPsQCDsChar"/>
        </w:rPr>
        <w:t>)</w:t>
      </w:r>
      <w:r w:rsidRPr="007C3C2B">
        <w:rPr>
          <w:rStyle w:val="ReferencestootherSOPsQCDsChar"/>
        </w:rPr>
        <w:t xml:space="preserve"> </w:t>
      </w:r>
      <w:bookmarkEnd w:id="4"/>
      <w:r>
        <w:t>for a template). This will include:</w:t>
      </w:r>
    </w:p>
    <w:p w14:paraId="6FE70BA9" w14:textId="71366534" w:rsidR="006D7582" w:rsidRDefault="001A6F55" w:rsidP="006D7582">
      <w:pPr>
        <w:pStyle w:val="bullet2"/>
      </w:pPr>
      <w:r>
        <w:t>a</w:t>
      </w:r>
      <w:r w:rsidR="006D7582">
        <w:t xml:space="preserve"> </w:t>
      </w:r>
      <w:r w:rsidR="006D7582" w:rsidRPr="00952D86">
        <w:t>brief</w:t>
      </w:r>
      <w:r w:rsidR="006D7582" w:rsidRPr="009A06C8">
        <w:t xml:space="preserve"> description of </w:t>
      </w:r>
      <w:r w:rsidR="003A285E">
        <w:t xml:space="preserve">the </w:t>
      </w:r>
      <w:r w:rsidR="006D7582" w:rsidRPr="009A06C8">
        <w:t xml:space="preserve">contents on the outside (e.g. </w:t>
      </w:r>
      <w:r w:rsidR="006D7582">
        <w:t>project</w:t>
      </w:r>
      <w:r w:rsidR="006D7582" w:rsidRPr="009A06C8">
        <w:t xml:space="preserve"> name/</w:t>
      </w:r>
      <w:r w:rsidR="006D7582">
        <w:t>a</w:t>
      </w:r>
      <w:r w:rsidR="006D7582" w:rsidRPr="009A06C8">
        <w:t xml:space="preserve">cronym, range of </w:t>
      </w:r>
      <w:r w:rsidR="006D7582">
        <w:t>participant identification numbers, document types such as CRFs etc.</w:t>
      </w:r>
      <w:r w:rsidR="006D7582" w:rsidRPr="009A06C8">
        <w:t xml:space="preserve">) </w:t>
      </w:r>
    </w:p>
    <w:p w14:paraId="0DB73E12" w14:textId="3D174C4F" w:rsidR="006D7582" w:rsidRDefault="001A6F55" w:rsidP="006D7582">
      <w:pPr>
        <w:pStyle w:val="bullet2"/>
      </w:pPr>
      <w:r>
        <w:t>n</w:t>
      </w:r>
      <w:r w:rsidR="006D7582">
        <w:t>o</w:t>
      </w:r>
      <w:r w:rsidR="006D7582" w:rsidRPr="009A06C8">
        <w:t xml:space="preserve"> indica</w:t>
      </w:r>
      <w:r w:rsidR="006D7582">
        <w:t xml:space="preserve">tion </w:t>
      </w:r>
      <w:r w:rsidR="006D7582" w:rsidRPr="009A06C8">
        <w:t xml:space="preserve">that </w:t>
      </w:r>
      <w:r w:rsidR="006D7582">
        <w:t xml:space="preserve">it contains </w:t>
      </w:r>
      <w:r w:rsidR="006D7582" w:rsidRPr="009A06C8">
        <w:t xml:space="preserve">confidential </w:t>
      </w:r>
      <w:r w:rsidR="006D7582">
        <w:t>participant</w:t>
      </w:r>
      <w:r w:rsidR="006D7582" w:rsidRPr="009A06C8">
        <w:t xml:space="preserve"> identifiable data</w:t>
      </w:r>
      <w:r w:rsidR="006D7582">
        <w:t>.</w:t>
      </w:r>
    </w:p>
    <w:p w14:paraId="49D4ECC4" w14:textId="4ED56C48" w:rsidR="006D7582" w:rsidRDefault="006D7582" w:rsidP="006D7582">
      <w:pPr>
        <w:pStyle w:val="Numberlist"/>
        <w:numPr>
          <w:ilvl w:val="0"/>
          <w:numId w:val="12"/>
        </w:numPr>
        <w:ind w:left="340" w:hanging="340"/>
      </w:pPr>
      <w:r>
        <w:t xml:space="preserve">The CI (or delegate) will store the material in the archive location for the duration of the retention period. For CTIMPs this will be the responsibility of the </w:t>
      </w:r>
      <w:r w:rsidR="003A285E">
        <w:t xml:space="preserve">archivist </w:t>
      </w:r>
      <w:r>
        <w:t xml:space="preserve">(or delegate). </w:t>
      </w:r>
    </w:p>
    <w:p w14:paraId="088BE5D6" w14:textId="6CA7F1AD" w:rsidR="006D7582" w:rsidRDefault="006D7582" w:rsidP="006D7582">
      <w:pPr>
        <w:pStyle w:val="bullet2"/>
      </w:pPr>
      <w:r>
        <w:t xml:space="preserve">Where an external archive facility is used the material will be transferred to the facility by the </w:t>
      </w:r>
      <w:r w:rsidR="003A285E">
        <w:t xml:space="preserve">archivist </w:t>
      </w:r>
      <w:r>
        <w:t>(or delegate) within 12 months of preparing the material for archiving.</w:t>
      </w:r>
    </w:p>
    <w:p w14:paraId="79FCF2EB" w14:textId="3878DBF5" w:rsidR="006D7582" w:rsidRDefault="006D7582" w:rsidP="006D7582">
      <w:pPr>
        <w:pStyle w:val="Numberlist"/>
        <w:numPr>
          <w:ilvl w:val="0"/>
          <w:numId w:val="12"/>
        </w:numPr>
        <w:ind w:left="340" w:hanging="340"/>
      </w:pPr>
      <w:r w:rsidRPr="00F162B3">
        <w:t>Where appropriate, the CI (or delegate) will document the transfer of custody of data or documents in relation to the research project, e.g. transfer of a marketing authorisation to another organisation</w:t>
      </w:r>
      <w:r>
        <w:t>.</w:t>
      </w:r>
    </w:p>
    <w:p w14:paraId="780019B4" w14:textId="15A2238B" w:rsidR="006D7582" w:rsidRDefault="006D7582" w:rsidP="006D7582">
      <w:pPr>
        <w:pStyle w:val="Heading2"/>
      </w:pPr>
      <w:r>
        <w:t>Electronic archiving for all research projects</w:t>
      </w:r>
    </w:p>
    <w:p w14:paraId="36E703CE" w14:textId="77777777" w:rsidR="006D7582" w:rsidRPr="009D6599" w:rsidRDefault="006D7582" w:rsidP="006D7582">
      <w:pPr>
        <w:pStyle w:val="Heading3"/>
      </w:pPr>
      <w:r>
        <w:t>For study/trial systems and electronic data:</w:t>
      </w:r>
      <w:r w:rsidRPr="009D6599">
        <w:t xml:space="preserve"> </w:t>
      </w:r>
    </w:p>
    <w:p w14:paraId="5789C196" w14:textId="77777777" w:rsidR="006D7582" w:rsidRDefault="006D7582" w:rsidP="006D7582">
      <w:pPr>
        <w:pStyle w:val="Numberlist"/>
        <w:numPr>
          <w:ilvl w:val="0"/>
          <w:numId w:val="12"/>
        </w:numPr>
        <w:ind w:left="340" w:hanging="340"/>
        <w:rPr>
          <w:rStyle w:val="Bullet1Char0"/>
        </w:rPr>
      </w:pPr>
      <w:r>
        <w:rPr>
          <w:rStyle w:val="Bullet1Char0"/>
        </w:rPr>
        <w:t xml:space="preserve">The CI (or delegate) will deactivate study/trial systems where applicable and restrict user access to the system and other electronic data to only certain individuals upon notification that the research project </w:t>
      </w:r>
      <w:r w:rsidRPr="00A819C6">
        <w:rPr>
          <w:rStyle w:val="Bullet1Char0"/>
        </w:rPr>
        <w:t>is co</w:t>
      </w:r>
      <w:r>
        <w:rPr>
          <w:rStyle w:val="Bullet1Char0"/>
        </w:rPr>
        <w:t xml:space="preserve">ncluded. This may involve submitting a request via the </w:t>
      </w:r>
      <w:hyperlink r:id="rId25" w:tooltip="Link to the IT service desk webpage" w:history="1">
        <w:r w:rsidRPr="00020541">
          <w:rPr>
            <w:rStyle w:val="Hyperlink"/>
          </w:rPr>
          <w:t>IT Service Desk</w:t>
        </w:r>
      </w:hyperlink>
      <w:r>
        <w:rPr>
          <w:rStyle w:val="Bullet1Char0"/>
        </w:rPr>
        <w:t>.</w:t>
      </w:r>
    </w:p>
    <w:p w14:paraId="5AD489D5" w14:textId="0485E7C6" w:rsidR="006D7582" w:rsidRPr="00F460FF" w:rsidRDefault="006D7582" w:rsidP="006D7582">
      <w:pPr>
        <w:pStyle w:val="bullet2"/>
        <w:rPr>
          <w:rStyle w:val="Bullet1Char0"/>
        </w:rPr>
      </w:pPr>
      <w:r>
        <w:rPr>
          <w:rStyle w:val="Bullet1Char0"/>
        </w:rPr>
        <w:t xml:space="preserve">For CTIMPs, the </w:t>
      </w:r>
      <w:r w:rsidR="003A285E">
        <w:rPr>
          <w:rStyle w:val="Bullet1Char0"/>
        </w:rPr>
        <w:t xml:space="preserve">archivist </w:t>
      </w:r>
      <w:r>
        <w:rPr>
          <w:rStyle w:val="Bullet1Char0"/>
        </w:rPr>
        <w:t xml:space="preserve">(or delegate) will obtain </w:t>
      </w:r>
      <w:r w:rsidRPr="00A819C6">
        <w:rPr>
          <w:rStyle w:val="Bullet1Char0"/>
        </w:rPr>
        <w:t>confirmation</w:t>
      </w:r>
      <w:r>
        <w:rPr>
          <w:rStyle w:val="Bullet1Char0"/>
        </w:rPr>
        <w:t xml:space="preserve"> of deactivation </w:t>
      </w:r>
      <w:r w:rsidR="00860263">
        <w:rPr>
          <w:rStyle w:val="Bullet1Char0"/>
        </w:rPr>
        <w:t>along</w:t>
      </w:r>
      <w:r w:rsidR="00860263" w:rsidRPr="00A819C6">
        <w:rPr>
          <w:rStyle w:val="Bullet1Char0"/>
        </w:rPr>
        <w:t xml:space="preserve"> </w:t>
      </w:r>
      <w:r w:rsidRPr="00A819C6">
        <w:rPr>
          <w:rStyle w:val="Bullet1Char0"/>
        </w:rPr>
        <w:t>with a table/</w:t>
      </w:r>
      <w:r>
        <w:rPr>
          <w:rStyle w:val="Bullet1Char0"/>
        </w:rPr>
        <w:t xml:space="preserve">record count list for </w:t>
      </w:r>
      <w:r w:rsidR="00860263">
        <w:rPr>
          <w:rStyle w:val="Bullet1Char0"/>
        </w:rPr>
        <w:t>the</w:t>
      </w:r>
      <w:r w:rsidR="00860263" w:rsidRPr="00A819C6">
        <w:rPr>
          <w:rStyle w:val="Bullet1Char0"/>
        </w:rPr>
        <w:t xml:space="preserve"> </w:t>
      </w:r>
      <w:r w:rsidR="00E579BA">
        <w:rPr>
          <w:rStyle w:val="Bullet1Char0"/>
        </w:rPr>
        <w:t xml:space="preserve">project’s </w:t>
      </w:r>
      <w:r w:rsidRPr="00A819C6">
        <w:rPr>
          <w:rStyle w:val="Bullet1Char0"/>
        </w:rPr>
        <w:t>system</w:t>
      </w:r>
      <w:r w:rsidR="00E579BA">
        <w:rPr>
          <w:rStyle w:val="Bullet1Char0"/>
        </w:rPr>
        <w:t xml:space="preserve"> and these</w:t>
      </w:r>
      <w:r>
        <w:rPr>
          <w:rStyle w:val="Bullet1Char0"/>
        </w:rPr>
        <w:t xml:space="preserve"> will</w:t>
      </w:r>
      <w:r w:rsidRPr="00A819C6">
        <w:rPr>
          <w:rStyle w:val="Bullet1Char0"/>
        </w:rPr>
        <w:t xml:space="preserve"> be filed in the archive </w:t>
      </w:r>
      <w:r>
        <w:rPr>
          <w:rStyle w:val="Bullet1Char0"/>
        </w:rPr>
        <w:t xml:space="preserve">system. </w:t>
      </w:r>
      <w:r w:rsidR="005407AA">
        <w:rPr>
          <w:rStyle w:val="Bullet1Char0"/>
        </w:rPr>
        <w:t>See</w:t>
      </w:r>
      <w:r w:rsidR="005407AA" w:rsidRPr="00F460FF">
        <w:t xml:space="preserve"> </w:t>
      </w:r>
      <w:bookmarkStart w:id="5" w:name="_Hlk141797747"/>
      <w:r w:rsidRPr="007C3C2B">
        <w:rPr>
          <w:rStyle w:val="ReferencestootherSOPsQCDsChar"/>
        </w:rPr>
        <w:t>Data Management</w:t>
      </w:r>
      <w:r w:rsidR="00062FC2">
        <w:rPr>
          <w:rStyle w:val="ReferencestootherSOPsQCDsChar"/>
        </w:rPr>
        <w:t xml:space="preserve"> SOP (</w:t>
      </w:r>
      <w:proofErr w:type="spellStart"/>
      <w:r w:rsidR="00062FC2" w:rsidRPr="007C3C2B">
        <w:rPr>
          <w:rStyle w:val="ReferencestootherSOPsQCDsChar"/>
        </w:rPr>
        <w:t>UoB</w:t>
      </w:r>
      <w:proofErr w:type="spellEnd"/>
      <w:r w:rsidR="00832F07" w:rsidRPr="007C3C2B" w:rsidDel="00832F07">
        <w:rPr>
          <w:rStyle w:val="ReferencestootherSOPsQCDsChar"/>
        </w:rPr>
        <w:t xml:space="preserve"> </w:t>
      </w:r>
      <w:r w:rsidR="00062FC2" w:rsidRPr="007C3C2B">
        <w:rPr>
          <w:rStyle w:val="ReferencestootherSOPsQCDsChar"/>
        </w:rPr>
        <w:t>-DMA-SOP-001</w:t>
      </w:r>
      <w:r w:rsidR="00062FC2">
        <w:rPr>
          <w:rStyle w:val="ReferencestootherSOPsQCDsChar"/>
        </w:rPr>
        <w:t>)</w:t>
      </w:r>
      <w:bookmarkEnd w:id="5"/>
      <w:r w:rsidRPr="007C3C2B">
        <w:rPr>
          <w:rStyle w:val="ReferencestootherSOPsQCDsChar"/>
        </w:rPr>
        <w:t xml:space="preserve"> </w:t>
      </w:r>
      <w:r>
        <w:rPr>
          <w:rStyle w:val="Bullet1Char0"/>
        </w:rPr>
        <w:t>for further details.</w:t>
      </w:r>
    </w:p>
    <w:p w14:paraId="26B89143" w14:textId="2660E77E" w:rsidR="006D7582" w:rsidRDefault="006D7582" w:rsidP="006D7582">
      <w:pPr>
        <w:pStyle w:val="Numberlist"/>
        <w:numPr>
          <w:ilvl w:val="0"/>
          <w:numId w:val="12"/>
        </w:numPr>
        <w:ind w:left="340" w:hanging="340"/>
      </w:pPr>
      <w:r>
        <w:t>The CI (or delegate) will assess any requests for study/t</w:t>
      </w:r>
      <w:r w:rsidRPr="009D6599">
        <w:t xml:space="preserve">rial </w:t>
      </w:r>
      <w:r>
        <w:t>system</w:t>
      </w:r>
      <w:r w:rsidRPr="009D6599">
        <w:t xml:space="preserve"> reactivation</w:t>
      </w:r>
      <w:r>
        <w:t xml:space="preserve"> or access to electronic data </w:t>
      </w:r>
      <w:r w:rsidRPr="009D6599">
        <w:t xml:space="preserve">and if </w:t>
      </w:r>
      <w:r>
        <w:t xml:space="preserve">appropriate, </w:t>
      </w:r>
      <w:r w:rsidR="00E579BA">
        <w:t xml:space="preserve">will </w:t>
      </w:r>
      <w:r w:rsidRPr="009D6599">
        <w:t>r</w:t>
      </w:r>
      <w:r>
        <w:t xml:space="preserve">eactivate the system or reinstate access. This may involve submitting a request via the </w:t>
      </w:r>
      <w:hyperlink r:id="rId26" w:tooltip="Link to the IT service desk webpage" w:history="1">
        <w:r w:rsidRPr="00020541">
          <w:rPr>
            <w:rStyle w:val="Hyperlink"/>
          </w:rPr>
          <w:t>IT Service Desk</w:t>
        </w:r>
      </w:hyperlink>
      <w:r>
        <w:t xml:space="preserve">. </w:t>
      </w:r>
    </w:p>
    <w:p w14:paraId="11A98BDD" w14:textId="6C721F6C" w:rsidR="006D7582" w:rsidRDefault="006D7582" w:rsidP="006D7582">
      <w:pPr>
        <w:pStyle w:val="bullet2"/>
      </w:pPr>
      <w:r>
        <w:t xml:space="preserve">Details of the approval and </w:t>
      </w:r>
      <w:r w:rsidR="00E579BA">
        <w:t xml:space="preserve">access </w:t>
      </w:r>
      <w:r>
        <w:t>request will be documented.</w:t>
      </w:r>
    </w:p>
    <w:p w14:paraId="30674C91" w14:textId="5015511C" w:rsidR="006D7582" w:rsidRDefault="006D7582" w:rsidP="006D7582">
      <w:pPr>
        <w:pStyle w:val="bullet2"/>
      </w:pPr>
      <w:r>
        <w:t>For CTIMPs, request</w:t>
      </w:r>
      <w:r w:rsidR="00FC39B3">
        <w:t>s</w:t>
      </w:r>
      <w:r>
        <w:t xml:space="preserve"> for system reactivation or access requests will be assessed by the </w:t>
      </w:r>
      <w:r w:rsidR="003A285E">
        <w:t xml:space="preserve">archivist </w:t>
      </w:r>
      <w:r>
        <w:t>(or delegate)</w:t>
      </w:r>
      <w:r w:rsidR="003A285E">
        <w:t>. E</w:t>
      </w:r>
      <w:r>
        <w:t xml:space="preserve">vidence of </w:t>
      </w:r>
      <w:r w:rsidR="00FC39B3">
        <w:t xml:space="preserve">the </w:t>
      </w:r>
      <w:r>
        <w:t xml:space="preserve">approval </w:t>
      </w:r>
      <w:r w:rsidR="00FC39B3">
        <w:t xml:space="preserve">given </w:t>
      </w:r>
      <w:r>
        <w:t>for such request</w:t>
      </w:r>
      <w:r w:rsidR="00FC39B3">
        <w:t>s</w:t>
      </w:r>
      <w:r>
        <w:t xml:space="preserve"> and details of the reason for access </w:t>
      </w:r>
      <w:r w:rsidR="00FC39B3">
        <w:t xml:space="preserve">will be </w:t>
      </w:r>
      <w:r>
        <w:t>filed in the archiving system.</w:t>
      </w:r>
    </w:p>
    <w:p w14:paraId="05F121C2" w14:textId="77777777" w:rsidR="006D7582" w:rsidRDefault="006D7582" w:rsidP="006D7582">
      <w:pPr>
        <w:pStyle w:val="Numberlist"/>
        <w:numPr>
          <w:ilvl w:val="0"/>
          <w:numId w:val="12"/>
        </w:numPr>
        <w:ind w:left="340" w:hanging="340"/>
      </w:pPr>
      <w:r>
        <w:t>The CI (or delegate) will implement measures to ensure archived electronic data is maintained and accessible for the duration of the retention period.</w:t>
      </w:r>
    </w:p>
    <w:p w14:paraId="0EA8C31B" w14:textId="77777777" w:rsidR="006D7582" w:rsidRDefault="006D7582" w:rsidP="006D7582">
      <w:pPr>
        <w:pStyle w:val="bullet2"/>
      </w:pPr>
      <w:r>
        <w:t>Consideration should be given to the possibility that media, software and hardware could become obsolete over time. If data is transferred to a new media or new format, it is recommended that this transfer is documented, and the transfer process validated.</w:t>
      </w:r>
    </w:p>
    <w:p w14:paraId="7B519C0D" w14:textId="5CD56D78" w:rsidR="006D7582" w:rsidRPr="009D6599" w:rsidRDefault="006D7582" w:rsidP="006D7582">
      <w:pPr>
        <w:pStyle w:val="Heading3"/>
      </w:pPr>
      <w:r>
        <w:lastRenderedPageBreak/>
        <w:t>For project m</w:t>
      </w:r>
      <w:r w:rsidRPr="009D6599">
        <w:t>ailboxes</w:t>
      </w:r>
      <w:r>
        <w:t>:</w:t>
      </w:r>
      <w:r w:rsidRPr="009D6599">
        <w:t xml:space="preserve"> </w:t>
      </w:r>
    </w:p>
    <w:p w14:paraId="04DC963D" w14:textId="02D58DAF" w:rsidR="006D7582" w:rsidRDefault="006D7582" w:rsidP="006D7582">
      <w:pPr>
        <w:pStyle w:val="Numberlist"/>
        <w:numPr>
          <w:ilvl w:val="0"/>
          <w:numId w:val="12"/>
        </w:numPr>
        <w:ind w:left="340" w:hanging="340"/>
      </w:pPr>
      <w:r>
        <w:t xml:space="preserve">To ensure that documents can be accessed, the CI (or delegate) will print key emails and store them as paper material as described above. </w:t>
      </w:r>
    </w:p>
    <w:p w14:paraId="1D7C4AD9" w14:textId="5273B16F" w:rsidR="006D7582" w:rsidRDefault="006D7582" w:rsidP="006D7582">
      <w:pPr>
        <w:pStyle w:val="Numberlist"/>
        <w:numPr>
          <w:ilvl w:val="0"/>
          <w:numId w:val="12"/>
        </w:numPr>
        <w:ind w:left="340" w:hanging="340"/>
      </w:pPr>
      <w:r>
        <w:t>The CI (or delegate) will ensure that upon notification the project is concluded:</w:t>
      </w:r>
    </w:p>
    <w:p w14:paraId="44503282" w14:textId="287170BB" w:rsidR="006D7582" w:rsidRPr="006E1640" w:rsidRDefault="006D7582" w:rsidP="006D7582">
      <w:pPr>
        <w:pStyle w:val="bullet2"/>
      </w:pPr>
      <w:r>
        <w:t>All project</w:t>
      </w:r>
      <w:r w:rsidR="00FC39B3">
        <w:t>-</w:t>
      </w:r>
      <w:r>
        <w:t>essential e</w:t>
      </w:r>
      <w:r w:rsidRPr="006E1640">
        <w:t xml:space="preserve">mails stored </w:t>
      </w:r>
      <w:r>
        <w:t>in staff m</w:t>
      </w:r>
      <w:r w:rsidRPr="006E1640">
        <w:t xml:space="preserve">ailboxes </w:t>
      </w:r>
      <w:r w:rsidR="00FC39B3">
        <w:t>will be</w:t>
      </w:r>
      <w:r>
        <w:t xml:space="preserve"> moved into </w:t>
      </w:r>
      <w:r w:rsidRPr="00952D86">
        <w:t>the</w:t>
      </w:r>
      <w:r>
        <w:t xml:space="preserve"> project m</w:t>
      </w:r>
      <w:r w:rsidRPr="006E1640">
        <w:t xml:space="preserve">ailbox prior to </w:t>
      </w:r>
      <w:r w:rsidR="00FC39B3">
        <w:t xml:space="preserve">implementing access </w:t>
      </w:r>
      <w:r>
        <w:t>restriction</w:t>
      </w:r>
      <w:r w:rsidR="00FC39B3">
        <w:t>s.</w:t>
      </w:r>
    </w:p>
    <w:p w14:paraId="53AE9099" w14:textId="6942FCAC" w:rsidR="006D7582" w:rsidRDefault="006D7582" w:rsidP="006D7582">
      <w:pPr>
        <w:pStyle w:val="bullet2"/>
      </w:pPr>
      <w:r>
        <w:t xml:space="preserve">A request </w:t>
      </w:r>
      <w:r w:rsidR="00FC39B3">
        <w:t xml:space="preserve">will be </w:t>
      </w:r>
      <w:r>
        <w:t xml:space="preserve">made via the </w:t>
      </w:r>
      <w:hyperlink r:id="rId27" w:tooltip="Link to the IT service desk webpage" w:history="1">
        <w:r w:rsidRPr="00020541">
          <w:rPr>
            <w:rStyle w:val="Hyperlink"/>
          </w:rPr>
          <w:t>IT Service Desk</w:t>
        </w:r>
      </w:hyperlink>
      <w:r>
        <w:rPr>
          <w:rStyle w:val="Bullet1Char0"/>
        </w:rPr>
        <w:t xml:space="preserve"> </w:t>
      </w:r>
      <w:r>
        <w:t xml:space="preserve">to restrict access to the </w:t>
      </w:r>
      <w:r w:rsidR="00FC39B3">
        <w:t xml:space="preserve">project </w:t>
      </w:r>
      <w:r>
        <w:t xml:space="preserve">mailbox to designated individuals, e.g. the CI or the </w:t>
      </w:r>
      <w:r w:rsidR="00FC39B3">
        <w:t>trial management team leader</w:t>
      </w:r>
      <w:r w:rsidR="00FC39B3" w:rsidRPr="00FC39B3">
        <w:t xml:space="preserve"> </w:t>
      </w:r>
      <w:r w:rsidR="00FC39B3">
        <w:t>for trials run in a CTU.</w:t>
      </w:r>
    </w:p>
    <w:p w14:paraId="6AEE2295" w14:textId="4BA11423" w:rsidR="006D7582" w:rsidRDefault="006D7582" w:rsidP="006D7582">
      <w:pPr>
        <w:pStyle w:val="bullet2"/>
      </w:pPr>
      <w:r w:rsidRPr="00952D86">
        <w:t>For</w:t>
      </w:r>
      <w:r>
        <w:t xml:space="preserve"> CTIMPs, the size of the m</w:t>
      </w:r>
      <w:r w:rsidRPr="009D6599">
        <w:t>ailbox</w:t>
      </w:r>
      <w:r>
        <w:t xml:space="preserve"> and the number of folders within </w:t>
      </w:r>
      <w:r w:rsidR="00960CB6">
        <w:t>will be</w:t>
      </w:r>
      <w:r>
        <w:t xml:space="preserve"> documented</w:t>
      </w:r>
      <w:r w:rsidR="00960CB6">
        <w:t xml:space="preserve">. The document will include </w:t>
      </w:r>
      <w:r>
        <w:t>a</w:t>
      </w:r>
      <w:r w:rsidRPr="009D6599">
        <w:t xml:space="preserve"> </w:t>
      </w:r>
      <w:r>
        <w:t xml:space="preserve">wet </w:t>
      </w:r>
      <w:r w:rsidRPr="009D6599">
        <w:t>sign</w:t>
      </w:r>
      <w:r>
        <w:t>ature</w:t>
      </w:r>
      <w:r w:rsidRPr="009D6599">
        <w:t xml:space="preserve"> and date</w:t>
      </w:r>
      <w:r>
        <w:t xml:space="preserve">, and </w:t>
      </w:r>
      <w:r w:rsidR="00960CB6">
        <w:t xml:space="preserve">will be </w:t>
      </w:r>
      <w:r>
        <w:t xml:space="preserve">forwarded to the </w:t>
      </w:r>
      <w:r w:rsidR="00960CB6">
        <w:t xml:space="preserve">archivist </w:t>
      </w:r>
      <w:r>
        <w:t>(or delegate) for filing in the archive system.</w:t>
      </w:r>
    </w:p>
    <w:p w14:paraId="4CB1A8A3" w14:textId="41C8C08B" w:rsidR="006D7582" w:rsidRPr="005C2BCB" w:rsidRDefault="006D7582" w:rsidP="006D7582">
      <w:pPr>
        <w:pStyle w:val="Numberlist"/>
        <w:numPr>
          <w:ilvl w:val="0"/>
          <w:numId w:val="12"/>
        </w:numPr>
        <w:ind w:left="340" w:hanging="340"/>
      </w:pPr>
      <w:r w:rsidRPr="005C2BCB">
        <w:rPr>
          <w:rStyle w:val="SOPreferenceChar"/>
          <w:color w:val="auto"/>
        </w:rPr>
        <w:t>The CI (or delegate) will ensure that when individuals are no longer involved with the</w:t>
      </w:r>
      <w:r w:rsidR="00B029A0">
        <w:rPr>
          <w:rStyle w:val="SOPreferenceChar"/>
          <w:color w:val="auto"/>
        </w:rPr>
        <w:t xml:space="preserve"> </w:t>
      </w:r>
      <w:r w:rsidRPr="005C2BCB">
        <w:rPr>
          <w:rStyle w:val="SOPreferenceChar"/>
          <w:color w:val="auto"/>
        </w:rPr>
        <w:t>project any relevant emails are printed and added to the paper material or transferred to the project mailbox.</w:t>
      </w:r>
    </w:p>
    <w:p w14:paraId="569F4E74" w14:textId="77777777" w:rsidR="006D7582" w:rsidRDefault="006D7582" w:rsidP="006D7582">
      <w:pPr>
        <w:pStyle w:val="Numberlist"/>
        <w:numPr>
          <w:ilvl w:val="0"/>
          <w:numId w:val="12"/>
        </w:numPr>
        <w:ind w:left="340" w:hanging="340"/>
      </w:pPr>
      <w:r>
        <w:t>The CI (or delegate) will a</w:t>
      </w:r>
      <w:r w:rsidRPr="009D6599">
        <w:t>ssess</w:t>
      </w:r>
      <w:r>
        <w:t xml:space="preserve"> any request for access to the m</w:t>
      </w:r>
      <w:r w:rsidRPr="009D6599">
        <w:t xml:space="preserve">ailbox after it has been </w:t>
      </w:r>
      <w:r>
        <w:t>deactivated</w:t>
      </w:r>
      <w:r w:rsidRPr="009D6599">
        <w:t xml:space="preserve"> and if </w:t>
      </w:r>
      <w:r w:rsidRPr="00AC057E">
        <w:t>appropriate</w:t>
      </w:r>
      <w:r>
        <w:t xml:space="preserve">, submit a request via the </w:t>
      </w:r>
      <w:hyperlink r:id="rId28" w:tooltip="Link to the IT service desk webpage" w:history="1">
        <w:r w:rsidRPr="00020541">
          <w:rPr>
            <w:rStyle w:val="Hyperlink"/>
          </w:rPr>
          <w:t>IT Service Desk</w:t>
        </w:r>
      </w:hyperlink>
      <w:r>
        <w:t xml:space="preserve">. </w:t>
      </w:r>
      <w:bookmarkStart w:id="6" w:name="_GoBack"/>
      <w:bookmarkEnd w:id="6"/>
    </w:p>
    <w:p w14:paraId="38919ECB" w14:textId="77777777" w:rsidR="006D7582" w:rsidRPr="008A3F2A" w:rsidRDefault="006D7582" w:rsidP="006D7582">
      <w:pPr>
        <w:pStyle w:val="Numberlist"/>
        <w:numPr>
          <w:ilvl w:val="0"/>
          <w:numId w:val="12"/>
        </w:numPr>
        <w:ind w:left="340" w:hanging="340"/>
        <w:rPr>
          <w:rStyle w:val="SOPreferenceChar"/>
          <w:color w:val="auto"/>
        </w:rPr>
      </w:pPr>
      <w:r w:rsidRPr="008A3F2A">
        <w:rPr>
          <w:rStyle w:val="SOPreferenceChar"/>
          <w:color w:val="auto"/>
        </w:rPr>
        <w:t xml:space="preserve">The CI (or delegate) will submit a request via the </w:t>
      </w:r>
      <w:hyperlink r:id="rId29" w:tooltip="Link to the IT service desk webpage" w:history="1">
        <w:r w:rsidRPr="00020541">
          <w:rPr>
            <w:rStyle w:val="Hyperlink"/>
          </w:rPr>
          <w:t>IT Service Desk</w:t>
        </w:r>
      </w:hyperlink>
      <w:r>
        <w:rPr>
          <w:rStyle w:val="Hyperlink"/>
        </w:rPr>
        <w:t xml:space="preserve"> </w:t>
      </w:r>
      <w:r w:rsidRPr="008A3F2A">
        <w:rPr>
          <w:rStyle w:val="SOPreferenceChar"/>
          <w:color w:val="auto"/>
        </w:rPr>
        <w:t>for the mailbox to be deleted when the end of the retention period has been reached</w:t>
      </w:r>
      <w:r>
        <w:rPr>
          <w:rStyle w:val="SOPreferenceChar"/>
          <w:color w:val="auto"/>
        </w:rPr>
        <w:t xml:space="preserve"> </w:t>
      </w:r>
      <w:r w:rsidRPr="008A3F2A">
        <w:rPr>
          <w:rStyle w:val="SOPreferenceChar"/>
          <w:color w:val="auto"/>
        </w:rPr>
        <w:t>unless there is a legitimate purpose requiring longer mailbox retention.</w:t>
      </w:r>
    </w:p>
    <w:p w14:paraId="4585A5BE" w14:textId="77777777" w:rsidR="006D7582" w:rsidRDefault="006D7582" w:rsidP="006D7582">
      <w:pPr>
        <w:pStyle w:val="Heading2"/>
      </w:pPr>
      <w:r>
        <w:t>Archivist responsibilities for CTIMPs*</w:t>
      </w:r>
    </w:p>
    <w:p w14:paraId="33343541" w14:textId="77777777" w:rsidR="006D7582" w:rsidRPr="005818D9" w:rsidRDefault="006D7582" w:rsidP="006D7582">
      <w:r>
        <w:t>*In addition to those mentioned above.</w:t>
      </w:r>
    </w:p>
    <w:p w14:paraId="74EBC02C" w14:textId="74FFE927" w:rsidR="006D7582" w:rsidRDefault="006D7582" w:rsidP="006D7582">
      <w:pPr>
        <w:pStyle w:val="Numberlist"/>
        <w:numPr>
          <w:ilvl w:val="0"/>
          <w:numId w:val="12"/>
        </w:numPr>
        <w:ind w:left="340" w:hanging="340"/>
      </w:pPr>
      <w:r>
        <w:t>The R</w:t>
      </w:r>
      <w:r w:rsidR="005D2D35">
        <w:t>E</w:t>
      </w:r>
      <w:r>
        <w:t>G</w:t>
      </w:r>
      <w:r w:rsidR="005D2D35">
        <w:t>I</w:t>
      </w:r>
      <w:r>
        <w:t xml:space="preserve"> will ensure that a named individual(s) (i.e. an </w:t>
      </w:r>
      <w:r w:rsidR="00960CB6">
        <w:t>archivist</w:t>
      </w:r>
      <w:r>
        <w:t>) is appointed to be responsible for archiving documents and data for CTIMPs.</w:t>
      </w:r>
    </w:p>
    <w:p w14:paraId="133855B8" w14:textId="6A165816" w:rsidR="006D7582" w:rsidRDefault="006D7582" w:rsidP="006D7582">
      <w:pPr>
        <w:pStyle w:val="bullet2"/>
      </w:pPr>
      <w:r>
        <w:t xml:space="preserve">The individual(s) will be appropriately trained, and training will be documented and reviewed on a regular basis. See </w:t>
      </w:r>
      <w:bookmarkStart w:id="7" w:name="_Hlk141797778"/>
      <w:r w:rsidRPr="004B359F">
        <w:rPr>
          <w:rStyle w:val="ReferencestootherSOPsQCDsChar"/>
        </w:rPr>
        <w:t>Training</w:t>
      </w:r>
      <w:r>
        <w:t xml:space="preserve"> </w:t>
      </w:r>
      <w:r w:rsidR="00062FC2" w:rsidRPr="005C39E9">
        <w:rPr>
          <w:rStyle w:val="ReferencestootherSOPsQCDsChar"/>
        </w:rPr>
        <w:t xml:space="preserve">SOP </w:t>
      </w:r>
      <w:r w:rsidR="00062FC2" w:rsidRPr="00DF0942">
        <w:rPr>
          <w:rStyle w:val="ReferencestootherSOPsQCDsChar"/>
        </w:rPr>
        <w:t>(</w:t>
      </w:r>
      <w:r w:rsidR="00062FC2" w:rsidRPr="004B359F">
        <w:rPr>
          <w:rStyle w:val="ReferencestootherSOPsQCDsChar"/>
        </w:rPr>
        <w:t>UoB-</w:t>
      </w:r>
      <w:r w:rsidR="00062FC2">
        <w:rPr>
          <w:rStyle w:val="ReferencestootherSOPsQCDsChar"/>
        </w:rPr>
        <w:t>TRN</w:t>
      </w:r>
      <w:r w:rsidR="00062FC2" w:rsidRPr="004B359F">
        <w:rPr>
          <w:rStyle w:val="ReferencestootherSOPsQCDsChar"/>
        </w:rPr>
        <w:t>-SOP-003</w:t>
      </w:r>
      <w:r w:rsidR="00062FC2">
        <w:rPr>
          <w:rStyle w:val="ReferencestootherSOPsQCDsChar"/>
        </w:rPr>
        <w:t>)</w:t>
      </w:r>
      <w:r w:rsidR="005407AA">
        <w:rPr>
          <w:rStyle w:val="ReferencestootherSOPsQCDsChar"/>
        </w:rPr>
        <w:t xml:space="preserve"> </w:t>
      </w:r>
      <w:bookmarkEnd w:id="7"/>
      <w:r>
        <w:t>for further details.</w:t>
      </w:r>
    </w:p>
    <w:p w14:paraId="733D1F86" w14:textId="76FA367B" w:rsidR="006D7582" w:rsidRDefault="006D7582" w:rsidP="006D7582">
      <w:pPr>
        <w:pStyle w:val="bullet2"/>
      </w:pPr>
      <w:r>
        <w:t xml:space="preserve">The individual(s) will have a clear legal link to the </w:t>
      </w:r>
      <w:r w:rsidR="00960CB6">
        <w:t xml:space="preserve">sponsor </w:t>
      </w:r>
      <w:r>
        <w:t>and clear documentation will be retained to support the appointment.</w:t>
      </w:r>
    </w:p>
    <w:p w14:paraId="0AEF53EA" w14:textId="78091367" w:rsidR="006D7582" w:rsidRDefault="006D7582" w:rsidP="006D7582">
      <w:pPr>
        <w:pStyle w:val="Numberlist"/>
        <w:numPr>
          <w:ilvl w:val="0"/>
          <w:numId w:val="12"/>
        </w:numPr>
        <w:ind w:left="340" w:hanging="340"/>
      </w:pPr>
      <w:r>
        <w:t xml:space="preserve">The </w:t>
      </w:r>
      <w:r w:rsidR="00960CB6">
        <w:t xml:space="preserve">archivist </w:t>
      </w:r>
      <w:r>
        <w:t>(or delegate) will set up and maintain an archive system for the oversight and logging of archived material; both paper and electronic.</w:t>
      </w:r>
    </w:p>
    <w:p w14:paraId="1A72F1C8" w14:textId="77777777" w:rsidR="006D7582" w:rsidRDefault="006D7582" w:rsidP="006D7582">
      <w:pPr>
        <w:pStyle w:val="Heading3"/>
      </w:pPr>
      <w:r>
        <w:t>Data quality checking</w:t>
      </w:r>
    </w:p>
    <w:p w14:paraId="46B23ADB" w14:textId="33CC5309" w:rsidR="006D7582" w:rsidRDefault="006D7582" w:rsidP="006D7582">
      <w:pPr>
        <w:pStyle w:val="Numberlist"/>
        <w:numPr>
          <w:ilvl w:val="0"/>
          <w:numId w:val="12"/>
        </w:numPr>
        <w:ind w:left="340" w:hanging="340"/>
      </w:pPr>
      <w:r>
        <w:t xml:space="preserve">The </w:t>
      </w:r>
      <w:r w:rsidR="00960CB6">
        <w:t xml:space="preserve">archivist </w:t>
      </w:r>
      <w:r>
        <w:t>(or delegate) will use a risk-based approach (e.g. considering the type of material archived, the retention period, type of project and type of archive location used) to determine the frequency at which quality checks of archived data will be performed</w:t>
      </w:r>
      <w:r w:rsidR="00960CB6">
        <w:t>,</w:t>
      </w:r>
      <w:r>
        <w:t xml:space="preserve"> and </w:t>
      </w:r>
      <w:r w:rsidR="00960CB6">
        <w:t xml:space="preserve">will </w:t>
      </w:r>
      <w:r>
        <w:t xml:space="preserve">document the frequency e.g. in the </w:t>
      </w:r>
      <w:r w:rsidR="00960CB6">
        <w:t>archiving plan</w:t>
      </w:r>
      <w:r>
        <w:t xml:space="preserve">. See </w:t>
      </w:r>
      <w:r w:rsidRPr="007C3C2B">
        <w:rPr>
          <w:rStyle w:val="ReferencestootherSOPsQCDsChar"/>
        </w:rPr>
        <w:t>Archiving Plan</w:t>
      </w:r>
      <w:r w:rsidR="00062FC2">
        <w:rPr>
          <w:rStyle w:val="ReferencestootherSOPsQCDsChar"/>
        </w:rPr>
        <w:t xml:space="preserve"> (</w:t>
      </w:r>
      <w:r w:rsidR="00062FC2" w:rsidRPr="007C3C2B">
        <w:rPr>
          <w:rStyle w:val="ReferencestootherSOPsQCDsChar"/>
        </w:rPr>
        <w:t>UoB-ARC-QCD-001</w:t>
      </w:r>
      <w:r w:rsidR="00062FC2">
        <w:rPr>
          <w:rStyle w:val="ReferencestootherSOPsQCDsChar"/>
        </w:rPr>
        <w:t>)</w:t>
      </w:r>
      <w:r>
        <w:rPr>
          <w:rStyle w:val="ReferencestootherSOPsQCDsChar"/>
        </w:rPr>
        <w:t xml:space="preserve"> </w:t>
      </w:r>
      <w:r w:rsidRPr="00D43BF8">
        <w:t>for further details.</w:t>
      </w:r>
      <w:r>
        <w:rPr>
          <w:rStyle w:val="ReferencestootherSOPsQCDsChar"/>
        </w:rPr>
        <w:t xml:space="preserve"> </w:t>
      </w:r>
    </w:p>
    <w:p w14:paraId="3E88BC0D" w14:textId="409A44E7" w:rsidR="006D7582" w:rsidRDefault="006D7582" w:rsidP="006D7582">
      <w:pPr>
        <w:pStyle w:val="Numberlist"/>
        <w:numPr>
          <w:ilvl w:val="0"/>
          <w:numId w:val="12"/>
        </w:numPr>
        <w:ind w:left="340" w:hanging="340"/>
      </w:pPr>
      <w:r>
        <w:t xml:space="preserve">The </w:t>
      </w:r>
      <w:r w:rsidR="00960CB6">
        <w:t xml:space="preserve">archivist </w:t>
      </w:r>
      <w:r>
        <w:t>(or delegate) will identify data to be retrieved for a quality check. The following will be considered when deciding which data is to be retrieved:</w:t>
      </w:r>
    </w:p>
    <w:p w14:paraId="1EA3060F" w14:textId="1650CDE0" w:rsidR="006D7582" w:rsidRPr="003938E9" w:rsidRDefault="006D7582" w:rsidP="006D7582">
      <w:pPr>
        <w:pStyle w:val="bullet2"/>
      </w:pPr>
      <w:r>
        <w:t xml:space="preserve">Findings </w:t>
      </w:r>
      <w:r w:rsidRPr="003D6F41">
        <w:t>from</w:t>
      </w:r>
      <w:r>
        <w:t xml:space="preserve"> previous data</w:t>
      </w:r>
      <w:r w:rsidR="00960CB6">
        <w:t>-</w:t>
      </w:r>
      <w:r>
        <w:t>retrieval quality checks or previous visits to the archive facility (where applicable) that might instigate a reason for document</w:t>
      </w:r>
      <w:r w:rsidR="00960CB6">
        <w:t>-</w:t>
      </w:r>
      <w:r>
        <w:t xml:space="preserve">specific box retrieval; therefore, refer to all </w:t>
      </w:r>
      <w:r w:rsidR="002A3A83">
        <w:t xml:space="preserve">relevant </w:t>
      </w:r>
      <w:r>
        <w:t>reports completed since the last data</w:t>
      </w:r>
      <w:r w:rsidR="00960CB6">
        <w:t>-</w:t>
      </w:r>
      <w:r>
        <w:t>retrieval quality check.</w:t>
      </w:r>
    </w:p>
    <w:p w14:paraId="6F2C1DED" w14:textId="6555BB33" w:rsidR="006D7582" w:rsidRDefault="006D7582" w:rsidP="006D7582">
      <w:pPr>
        <w:pStyle w:val="bullet2"/>
      </w:pPr>
      <w:r>
        <w:t xml:space="preserve">The impact of </w:t>
      </w:r>
      <w:r w:rsidRPr="003D6F41">
        <w:t>time</w:t>
      </w:r>
      <w:r>
        <w:t xml:space="preserve"> on the integrity of the archived material; for example, consider retrieving a selection of </w:t>
      </w:r>
      <w:r w:rsidR="00960CB6">
        <w:t xml:space="preserve">archived </w:t>
      </w:r>
      <w:r>
        <w:t xml:space="preserve">boxes that have been stored for </w:t>
      </w:r>
      <w:r w:rsidR="002A3A83">
        <w:t xml:space="preserve">varying </w:t>
      </w:r>
      <w:r>
        <w:t xml:space="preserve">lengths of time. </w:t>
      </w:r>
    </w:p>
    <w:p w14:paraId="0A84FAF2" w14:textId="24FB8D23" w:rsidR="006D7582" w:rsidRDefault="006D7582" w:rsidP="006D7582">
      <w:pPr>
        <w:pStyle w:val="Numberlist"/>
        <w:numPr>
          <w:ilvl w:val="0"/>
          <w:numId w:val="12"/>
        </w:numPr>
        <w:ind w:left="340" w:hanging="340"/>
      </w:pPr>
      <w:r>
        <w:t xml:space="preserve">The </w:t>
      </w:r>
      <w:r w:rsidR="000A0A13">
        <w:t xml:space="preserve">archivist </w:t>
      </w:r>
      <w:r>
        <w:t xml:space="preserve">(or delegate) will perform the quality check and ensure each quality check is documented. Checks may include: </w:t>
      </w:r>
    </w:p>
    <w:p w14:paraId="2A9BD47B" w14:textId="77777777" w:rsidR="006D7582" w:rsidRDefault="006D7582" w:rsidP="006D7582">
      <w:pPr>
        <w:pStyle w:val="bullet2"/>
      </w:pPr>
      <w:r>
        <w:t xml:space="preserve">For archive </w:t>
      </w:r>
      <w:r w:rsidRPr="003D6F41">
        <w:t>boxes</w:t>
      </w:r>
      <w:r>
        <w:t>, p</w:t>
      </w:r>
      <w:r w:rsidRPr="00142518">
        <w:t>erform a visual inspection to confirm that:</w:t>
      </w:r>
    </w:p>
    <w:p w14:paraId="37333FDC" w14:textId="1BAD9824" w:rsidR="006D7582" w:rsidRPr="00451680" w:rsidDel="00EC4C9F" w:rsidRDefault="005407AA" w:rsidP="006D7582">
      <w:pPr>
        <w:pStyle w:val="bullet3"/>
      </w:pPr>
      <w:r>
        <w:t>t</w:t>
      </w:r>
      <w:r w:rsidR="006D7582" w:rsidRPr="00451680" w:rsidDel="00EC4C9F">
        <w:t>he correct box has been returned</w:t>
      </w:r>
    </w:p>
    <w:p w14:paraId="4425B835" w14:textId="6FB1A7C3" w:rsidR="006D7582" w:rsidRPr="003249F8" w:rsidDel="00EC4C9F" w:rsidRDefault="005407AA" w:rsidP="006D7582">
      <w:pPr>
        <w:pStyle w:val="bullet3"/>
      </w:pPr>
      <w:r>
        <w:t>t</w:t>
      </w:r>
      <w:r w:rsidR="006D7582" w:rsidRPr="003249F8" w:rsidDel="00EC4C9F">
        <w:t>he box was returned in a timely fashion</w:t>
      </w:r>
    </w:p>
    <w:p w14:paraId="7618A88F" w14:textId="0D7DC420" w:rsidR="006D7582" w:rsidRDefault="005407AA" w:rsidP="006D7582">
      <w:pPr>
        <w:pStyle w:val="bullet3"/>
        <w:ind w:left="1021" w:hanging="341"/>
      </w:pPr>
      <w:r>
        <w:t>t</w:t>
      </w:r>
      <w:r w:rsidR="006D7582" w:rsidRPr="00EC4C9F">
        <w:t>he box and its contents are maintained in good condition.</w:t>
      </w:r>
    </w:p>
    <w:p w14:paraId="2B0777F4" w14:textId="77777777" w:rsidR="006D7582" w:rsidRDefault="006D7582" w:rsidP="006D7582">
      <w:pPr>
        <w:pStyle w:val="bullet2"/>
      </w:pPr>
      <w:r>
        <w:t xml:space="preserve">For trial </w:t>
      </w:r>
      <w:r w:rsidRPr="003D6F41">
        <w:t>mailboxes</w:t>
      </w:r>
      <w:r>
        <w:t xml:space="preserve">: </w:t>
      </w:r>
    </w:p>
    <w:p w14:paraId="589184CF" w14:textId="698A976C" w:rsidR="006D7582" w:rsidRDefault="00E1532D" w:rsidP="006D7582">
      <w:pPr>
        <w:pStyle w:val="bullet3"/>
        <w:ind w:left="1021" w:hanging="341"/>
      </w:pPr>
      <w:r>
        <w:t>r</w:t>
      </w:r>
      <w:r w:rsidR="006D7582">
        <w:t xml:space="preserve">econcile the mailbox size and folder list from </w:t>
      </w:r>
      <w:r w:rsidR="000A0A13">
        <w:t xml:space="preserve">the </w:t>
      </w:r>
      <w:r w:rsidR="006D7582">
        <w:t>archive system</w:t>
      </w:r>
    </w:p>
    <w:p w14:paraId="61A0E9BD" w14:textId="5E253B53" w:rsidR="006D7582" w:rsidRDefault="00E1532D" w:rsidP="006D7582">
      <w:pPr>
        <w:pStyle w:val="bullet3"/>
        <w:ind w:left="1021" w:hanging="341"/>
      </w:pPr>
      <w:r>
        <w:t>e</w:t>
      </w:r>
      <w:r w:rsidR="006D7582">
        <w:t>nsure emails are not corrupted by checking a sample.</w:t>
      </w:r>
    </w:p>
    <w:p w14:paraId="7533F11E" w14:textId="77777777" w:rsidR="006D7582" w:rsidRDefault="006D7582" w:rsidP="006D7582">
      <w:pPr>
        <w:pStyle w:val="bullet2"/>
      </w:pPr>
      <w:r>
        <w:lastRenderedPageBreak/>
        <w:t xml:space="preserve">For trial systems: </w:t>
      </w:r>
    </w:p>
    <w:p w14:paraId="64B5F698" w14:textId="1DF12582" w:rsidR="006D7582" w:rsidRDefault="00E1532D" w:rsidP="006D7582">
      <w:pPr>
        <w:pStyle w:val="bullet3"/>
        <w:ind w:left="1021" w:hanging="341"/>
      </w:pPr>
      <w:r>
        <w:t>r</w:t>
      </w:r>
      <w:r w:rsidR="006D7582">
        <w:t>econcile the trial system</w:t>
      </w:r>
      <w:r w:rsidR="000A0A13">
        <w:t>’s</w:t>
      </w:r>
      <w:r w:rsidR="006D7582">
        <w:t xml:space="preserve"> table/record count list from </w:t>
      </w:r>
      <w:r w:rsidR="000A0A13">
        <w:t xml:space="preserve">the </w:t>
      </w:r>
      <w:r w:rsidR="006D7582">
        <w:t>archive system</w:t>
      </w:r>
    </w:p>
    <w:p w14:paraId="33C2183C" w14:textId="1A418C75" w:rsidR="006D7582" w:rsidRDefault="00E1532D" w:rsidP="006D7582">
      <w:pPr>
        <w:pStyle w:val="bullet3"/>
        <w:ind w:left="1021" w:hanging="341"/>
      </w:pPr>
      <w:r>
        <w:t>e</w:t>
      </w:r>
      <w:r w:rsidR="006D7582">
        <w:t>nsure records are not corrupted by checking a sample.</w:t>
      </w:r>
    </w:p>
    <w:p w14:paraId="382888AB" w14:textId="12BD3353" w:rsidR="006D7582" w:rsidRDefault="006D7582" w:rsidP="006D7582">
      <w:pPr>
        <w:pStyle w:val="Heading3"/>
      </w:pPr>
      <w:r>
        <w:t>Post</w:t>
      </w:r>
      <w:r w:rsidR="000A0A13">
        <w:t>-</w:t>
      </w:r>
      <w:r>
        <w:t>data</w:t>
      </w:r>
      <w:r w:rsidR="000A0A13">
        <w:t>-</w:t>
      </w:r>
      <w:r>
        <w:t>checking process</w:t>
      </w:r>
    </w:p>
    <w:p w14:paraId="060FDDEB" w14:textId="1FBE1EE5" w:rsidR="006D7582" w:rsidRPr="00D54543" w:rsidRDefault="006D7582" w:rsidP="006D7582">
      <w:pPr>
        <w:pStyle w:val="Numberlist"/>
        <w:numPr>
          <w:ilvl w:val="0"/>
          <w:numId w:val="12"/>
        </w:numPr>
        <w:ind w:left="340" w:hanging="340"/>
        <w:rPr>
          <w:rStyle w:val="bullet2Char"/>
        </w:rPr>
      </w:pPr>
      <w:r w:rsidRPr="00E4344E">
        <w:t>For</w:t>
      </w:r>
      <w:r>
        <w:t xml:space="preserve"> archive boxes, the </w:t>
      </w:r>
      <w:r w:rsidR="000A0A13">
        <w:t xml:space="preserve">archivist </w:t>
      </w:r>
      <w:r>
        <w:t xml:space="preserve">(or delegate) will return the box to the archive. </w:t>
      </w:r>
      <w:r w:rsidRPr="00D54543">
        <w:rPr>
          <w:rStyle w:val="bullet2Char"/>
        </w:rPr>
        <w:t xml:space="preserve">Where an external archive facility is used, this will be performed </w:t>
      </w:r>
      <w:r w:rsidR="002A3A83">
        <w:rPr>
          <w:rStyle w:val="bullet2Char"/>
        </w:rPr>
        <w:t>in line with their</w:t>
      </w:r>
      <w:r w:rsidRPr="00D54543">
        <w:rPr>
          <w:rStyle w:val="bullet2Char"/>
        </w:rPr>
        <w:t xml:space="preserve"> instructions.</w:t>
      </w:r>
    </w:p>
    <w:p w14:paraId="29C13306" w14:textId="5BB40D6F" w:rsidR="006D7582" w:rsidRDefault="006D7582" w:rsidP="006D7582">
      <w:pPr>
        <w:pStyle w:val="Numberlist"/>
        <w:numPr>
          <w:ilvl w:val="0"/>
          <w:numId w:val="12"/>
        </w:numPr>
        <w:ind w:left="340" w:hanging="340"/>
      </w:pPr>
      <w:r>
        <w:t xml:space="preserve">For mailboxes, the </w:t>
      </w:r>
      <w:r w:rsidR="000A0A13">
        <w:t xml:space="preserve">archivist </w:t>
      </w:r>
      <w:r>
        <w:t xml:space="preserve">(or delegate) will ensure access to the mailbox is removed </w:t>
      </w:r>
      <w:r w:rsidR="000A0A13">
        <w:t xml:space="preserve">by </w:t>
      </w:r>
      <w:r>
        <w:t xml:space="preserve">submitting a request via the </w:t>
      </w:r>
      <w:hyperlink r:id="rId30" w:tooltip="Link to the IT service desk webpage" w:history="1">
        <w:r w:rsidRPr="00020541">
          <w:rPr>
            <w:rStyle w:val="Hyperlink"/>
          </w:rPr>
          <w:t>IT Service Desk</w:t>
        </w:r>
      </w:hyperlink>
      <w:r>
        <w:t xml:space="preserve">. </w:t>
      </w:r>
    </w:p>
    <w:p w14:paraId="73CF3EEC" w14:textId="257437CA" w:rsidR="006D7582" w:rsidRDefault="006D7582" w:rsidP="006D7582">
      <w:pPr>
        <w:pStyle w:val="Numberlist"/>
        <w:numPr>
          <w:ilvl w:val="0"/>
          <w:numId w:val="12"/>
        </w:numPr>
        <w:ind w:left="340" w:hanging="340"/>
        <w:rPr>
          <w:rStyle w:val="Bullet1Char0"/>
        </w:rPr>
      </w:pPr>
      <w:r>
        <w:t xml:space="preserve">For trial systems, the </w:t>
      </w:r>
      <w:r w:rsidR="000A0A13">
        <w:t xml:space="preserve">archivist </w:t>
      </w:r>
      <w:r>
        <w:t xml:space="preserve">(or delegate) will ensure </w:t>
      </w:r>
      <w:r w:rsidR="000A0A13">
        <w:t xml:space="preserve">that </w:t>
      </w:r>
      <w:r>
        <w:t xml:space="preserve">the trial system is deactivated and access </w:t>
      </w:r>
      <w:r w:rsidR="000A0A13">
        <w:t xml:space="preserve">is </w:t>
      </w:r>
      <w:r>
        <w:t xml:space="preserve">revoked. See </w:t>
      </w:r>
      <w:bookmarkStart w:id="8" w:name="_Hlk141797803"/>
      <w:r w:rsidRPr="00F460FF">
        <w:rPr>
          <w:rStyle w:val="ReferencestootherSOPsQCDsChar"/>
        </w:rPr>
        <w:t>Data Management</w:t>
      </w:r>
      <w:r w:rsidR="00062FC2">
        <w:rPr>
          <w:rStyle w:val="ReferencestootherSOPsQCDsChar"/>
        </w:rPr>
        <w:t xml:space="preserve"> SOP (</w:t>
      </w:r>
      <w:r w:rsidR="00062FC2" w:rsidRPr="00F460FF">
        <w:rPr>
          <w:rStyle w:val="ReferencestootherSOPsQCDsChar"/>
        </w:rPr>
        <w:t>UoB-DMA-SOP-001</w:t>
      </w:r>
      <w:r w:rsidR="00062FC2">
        <w:rPr>
          <w:rStyle w:val="ReferencestootherSOPsQCDsChar"/>
        </w:rPr>
        <w:t>)</w:t>
      </w:r>
      <w:bookmarkEnd w:id="8"/>
      <w:r>
        <w:rPr>
          <w:rStyle w:val="ReferencestootherSOPsQCDsChar"/>
        </w:rPr>
        <w:t xml:space="preserve"> </w:t>
      </w:r>
      <w:r w:rsidRPr="007C3C2B">
        <w:rPr>
          <w:rStyle w:val="Bullet1Char0"/>
        </w:rPr>
        <w:t>for further information.</w:t>
      </w:r>
    </w:p>
    <w:p w14:paraId="70ADEA74" w14:textId="77777777" w:rsidR="006D7582" w:rsidRDefault="006D7582" w:rsidP="006D7582">
      <w:pPr>
        <w:pStyle w:val="Heading3"/>
      </w:pPr>
      <w:r>
        <w:t>Data retrieval</w:t>
      </w:r>
    </w:p>
    <w:p w14:paraId="5B0854C2" w14:textId="60C82ED2" w:rsidR="006D7582" w:rsidRDefault="006D7582" w:rsidP="006D7582">
      <w:pPr>
        <w:pStyle w:val="Numberlist"/>
        <w:numPr>
          <w:ilvl w:val="0"/>
          <w:numId w:val="12"/>
        </w:numPr>
        <w:ind w:left="340" w:hanging="340"/>
      </w:pPr>
      <w:r>
        <w:t xml:space="preserve">The </w:t>
      </w:r>
      <w:r w:rsidR="000A0A13">
        <w:t xml:space="preserve">archivist </w:t>
      </w:r>
      <w:r>
        <w:t>(or delegate) will a</w:t>
      </w:r>
      <w:r w:rsidRPr="009D6599">
        <w:t>ssess</w:t>
      </w:r>
      <w:r>
        <w:t xml:space="preserve"> and manage</w:t>
      </w:r>
      <w:r w:rsidRPr="009D6599">
        <w:t xml:space="preserve"> any requests for </w:t>
      </w:r>
      <w:r>
        <w:t>the retrieval</w:t>
      </w:r>
      <w:r w:rsidRPr="009D6599">
        <w:t xml:space="preserve"> of materials</w:t>
      </w:r>
      <w:r>
        <w:t xml:space="preserve">, including the tracking of material, </w:t>
      </w:r>
      <w:r w:rsidR="000A0A13">
        <w:t xml:space="preserve">the </w:t>
      </w:r>
      <w:r>
        <w:t xml:space="preserve">expected duration of retrieval, </w:t>
      </w:r>
      <w:r w:rsidR="000A0A13">
        <w:t xml:space="preserve">and the </w:t>
      </w:r>
      <w:r>
        <w:t>reconciliation of material post-retrieval</w:t>
      </w:r>
      <w:r w:rsidR="000A0A13">
        <w:t xml:space="preserve">. The archivist (or delegate) will </w:t>
      </w:r>
      <w:r w:rsidR="00DF0942">
        <w:t>ensure that</w:t>
      </w:r>
      <w:r>
        <w:t xml:space="preserve"> the request and approval for </w:t>
      </w:r>
      <w:r w:rsidR="000A0A13">
        <w:t xml:space="preserve">the </w:t>
      </w:r>
      <w:r>
        <w:t>retrieval of archived material is documented in the archive system.</w:t>
      </w:r>
    </w:p>
    <w:p w14:paraId="69A8709D" w14:textId="7AB9225A" w:rsidR="006D7582" w:rsidRDefault="006D7582" w:rsidP="006D7582">
      <w:pPr>
        <w:pStyle w:val="Numberlist"/>
        <w:numPr>
          <w:ilvl w:val="0"/>
          <w:numId w:val="12"/>
        </w:numPr>
        <w:ind w:left="340" w:hanging="340"/>
      </w:pPr>
      <w:r>
        <w:t xml:space="preserve">The </w:t>
      </w:r>
      <w:r w:rsidR="000A0A13">
        <w:t xml:space="preserve">archivist </w:t>
      </w:r>
      <w:r>
        <w:t xml:space="preserve">(or delegate) will arrange for </w:t>
      </w:r>
      <w:r w:rsidRPr="009D6599">
        <w:t xml:space="preserve">materials to be </w:t>
      </w:r>
      <w:r>
        <w:t>retrieve</w:t>
      </w:r>
      <w:r w:rsidRPr="009D6599">
        <w:t>d</w:t>
      </w:r>
      <w:r w:rsidR="002C3191">
        <w:t>.</w:t>
      </w:r>
    </w:p>
    <w:p w14:paraId="7DF52494" w14:textId="31352423" w:rsidR="006D7582" w:rsidRDefault="002C3191" w:rsidP="006D7582">
      <w:pPr>
        <w:pStyle w:val="bullet2"/>
        <w:ind w:left="720" w:right="340" w:hanging="360"/>
      </w:pPr>
      <w:r>
        <w:t>F</w:t>
      </w:r>
      <w:r w:rsidR="006D7582">
        <w:t xml:space="preserve">or paper material, retrieve the material from the archive or, where an external archive facility is used, request the retrieval of boxes from the facility as per </w:t>
      </w:r>
      <w:r w:rsidR="000A0A13">
        <w:t xml:space="preserve">the </w:t>
      </w:r>
      <w:r w:rsidR="006D7582">
        <w:t>archive facility’s instruction</w:t>
      </w:r>
      <w:r>
        <w:t>.</w:t>
      </w:r>
    </w:p>
    <w:p w14:paraId="40893109" w14:textId="46001184" w:rsidR="006D7582" w:rsidRDefault="002C3191" w:rsidP="006D7582">
      <w:pPr>
        <w:pStyle w:val="bullet2"/>
        <w:ind w:left="720" w:right="340" w:hanging="360"/>
        <w:rPr>
          <w:rStyle w:val="Bullet1Char0"/>
        </w:rPr>
      </w:pPr>
      <w:r>
        <w:t>F</w:t>
      </w:r>
      <w:r w:rsidR="006D7582">
        <w:t xml:space="preserve">or electronic material, request </w:t>
      </w:r>
      <w:r w:rsidR="000A0A13">
        <w:t xml:space="preserve">that </w:t>
      </w:r>
      <w:r w:rsidR="006D7582">
        <w:t>access to electronic material be granted</w:t>
      </w:r>
      <w:r w:rsidR="006D7582">
        <w:rPr>
          <w:rStyle w:val="Bullet1Char0"/>
        </w:rPr>
        <w:t>.</w:t>
      </w:r>
    </w:p>
    <w:p w14:paraId="6A2AF611" w14:textId="77777777" w:rsidR="006D7582" w:rsidRDefault="006D7582" w:rsidP="006D7582">
      <w:pPr>
        <w:pStyle w:val="Heading3"/>
      </w:pPr>
      <w:r>
        <w:t>External archive facilities</w:t>
      </w:r>
    </w:p>
    <w:p w14:paraId="0D2ED52D" w14:textId="002FABCB" w:rsidR="006D7582" w:rsidRPr="009544BF" w:rsidRDefault="006D7582" w:rsidP="006D7582">
      <w:pPr>
        <w:pStyle w:val="Numberlist"/>
        <w:numPr>
          <w:ilvl w:val="0"/>
          <w:numId w:val="12"/>
        </w:numPr>
        <w:ind w:left="340" w:hanging="340"/>
      </w:pPr>
      <w:r>
        <w:t xml:space="preserve">Where an external archive facility is used, the </w:t>
      </w:r>
      <w:r w:rsidR="000A0A13">
        <w:t xml:space="preserve">archivist </w:t>
      </w:r>
      <w:r>
        <w:t>(or delegate) will a</w:t>
      </w:r>
      <w:r w:rsidRPr="009D6599">
        <w:t xml:space="preserve">rrange for </w:t>
      </w:r>
      <w:r>
        <w:t xml:space="preserve">paper materials to be </w:t>
      </w:r>
      <w:r w:rsidRPr="009544BF">
        <w:t xml:space="preserve">transferred </w:t>
      </w:r>
      <w:r w:rsidR="00543C4E">
        <w:t>there</w:t>
      </w:r>
      <w:r w:rsidRPr="009544BF">
        <w:t xml:space="preserve">. </w:t>
      </w:r>
    </w:p>
    <w:p w14:paraId="58B4E182" w14:textId="3FDE30CF" w:rsidR="006D7582" w:rsidRPr="009544BF" w:rsidRDefault="006D7582" w:rsidP="006D7582">
      <w:pPr>
        <w:pStyle w:val="Numberlist"/>
        <w:numPr>
          <w:ilvl w:val="0"/>
          <w:numId w:val="12"/>
        </w:numPr>
        <w:ind w:left="340" w:hanging="340"/>
      </w:pPr>
      <w:r w:rsidRPr="009544BF">
        <w:t xml:space="preserve">The </w:t>
      </w:r>
      <w:r w:rsidR="00567E8E">
        <w:t>a</w:t>
      </w:r>
      <w:r w:rsidR="00567E8E" w:rsidRPr="009544BF">
        <w:t xml:space="preserve">rchivist </w:t>
      </w:r>
      <w:r w:rsidRPr="009544BF">
        <w:t>(or delegate) will maintain oversight of external archive facilities by:</w:t>
      </w:r>
    </w:p>
    <w:p w14:paraId="2E3C20FA" w14:textId="1509C6CF" w:rsidR="006D7582" w:rsidRPr="005C39E9" w:rsidRDefault="0057714F" w:rsidP="006D7582">
      <w:pPr>
        <w:pStyle w:val="bullet2"/>
      </w:pPr>
      <w:r>
        <w:t>p</w:t>
      </w:r>
      <w:r w:rsidR="006D7582" w:rsidRPr="009544BF">
        <w:t>erforming a pre-cont</w:t>
      </w:r>
      <w:r w:rsidR="0013336B">
        <w:t>r</w:t>
      </w:r>
      <w:r w:rsidR="006D7582" w:rsidRPr="009544BF">
        <w:t xml:space="preserve">act vendor assessment in accordance with </w:t>
      </w:r>
      <w:bookmarkStart w:id="9" w:name="_Hlk141797816"/>
      <w:r w:rsidR="009544BF" w:rsidRPr="005C39E9">
        <w:rPr>
          <w:rStyle w:val="ReferencestootherSOPsQCDsChar"/>
        </w:rPr>
        <w:t>Compliance Review SOP</w:t>
      </w:r>
      <w:r w:rsidR="00062FC2">
        <w:rPr>
          <w:rStyle w:val="ReferencestootherSOPsQCDsChar"/>
        </w:rPr>
        <w:t xml:space="preserve"> (</w:t>
      </w:r>
      <w:r w:rsidR="00062FC2" w:rsidRPr="009544BF">
        <w:rPr>
          <w:rStyle w:val="ReferencestootherSOPsQCDsChar"/>
        </w:rPr>
        <w:t>UoB-</w:t>
      </w:r>
      <w:r w:rsidR="00062FC2">
        <w:rPr>
          <w:rStyle w:val="ReferencestootherSOPsQCDsChar"/>
        </w:rPr>
        <w:t>CPR</w:t>
      </w:r>
      <w:r w:rsidR="00062FC2" w:rsidRPr="009544BF">
        <w:rPr>
          <w:rStyle w:val="ReferencestootherSOPsQCDsChar"/>
        </w:rPr>
        <w:t>-SOP-001</w:t>
      </w:r>
      <w:r w:rsidR="00062FC2">
        <w:rPr>
          <w:rStyle w:val="ReferencestootherSOPsQCDsChar"/>
        </w:rPr>
        <w:t>)</w:t>
      </w:r>
      <w:bookmarkEnd w:id="9"/>
    </w:p>
    <w:p w14:paraId="04C09978" w14:textId="7DC6DE43" w:rsidR="006D7582" w:rsidRDefault="0057714F" w:rsidP="006D7582">
      <w:pPr>
        <w:pStyle w:val="bullet2"/>
      </w:pPr>
      <w:r>
        <w:t>w</w:t>
      </w:r>
      <w:r w:rsidR="006D7582" w:rsidRPr="004C4CE2">
        <w:t xml:space="preserve">orking with the </w:t>
      </w:r>
      <w:hyperlink r:id="rId31" w:tooltip="Link to UoB Contracts Team webpage" w:history="1">
        <w:r w:rsidR="006D7582" w:rsidRPr="00444522">
          <w:rPr>
            <w:rStyle w:val="Hyperlink"/>
          </w:rPr>
          <w:t>UoB Contracts Team</w:t>
        </w:r>
      </w:hyperlink>
      <w:r w:rsidR="006D7582" w:rsidRPr="00444522">
        <w:rPr>
          <w:rStyle w:val="Hyperlink"/>
          <w:color w:val="auto"/>
          <w:u w:val="none"/>
        </w:rPr>
        <w:t xml:space="preserve"> to ensure</w:t>
      </w:r>
      <w:r w:rsidR="006D7582" w:rsidRPr="00DA797A">
        <w:rPr>
          <w:rStyle w:val="Hyperlink"/>
          <w:color w:val="auto"/>
          <w:u w:val="none"/>
        </w:rPr>
        <w:t xml:space="preserve"> </w:t>
      </w:r>
      <w:r w:rsidR="006D7582" w:rsidRPr="00DA797A">
        <w:t>appropriate</w:t>
      </w:r>
      <w:r w:rsidR="006D7582" w:rsidRPr="004C4CE2">
        <w:t xml:space="preserve"> contracts are in place for </w:t>
      </w:r>
      <w:r w:rsidR="00543C4E">
        <w:t xml:space="preserve">the </w:t>
      </w:r>
      <w:r w:rsidR="006D7582" w:rsidRPr="004C4CE2">
        <w:t>use of the external archive</w:t>
      </w:r>
      <w:r w:rsidR="00543C4E">
        <w:t>,</w:t>
      </w:r>
      <w:r w:rsidR="006D7582" w:rsidRPr="004C4CE2">
        <w:t xml:space="preserve"> </w:t>
      </w:r>
      <w:r w:rsidR="006D7582" w:rsidRPr="00952D86">
        <w:t>to</w:t>
      </w:r>
      <w:r w:rsidR="006D7582" w:rsidRPr="004C4CE2">
        <w:t xml:space="preserve"> ensure that the documents are stored appropriately and are, for example, not moved to locations that have not been approved by the </w:t>
      </w:r>
      <w:r w:rsidR="00543C4E">
        <w:t>a</w:t>
      </w:r>
      <w:r w:rsidR="00543C4E" w:rsidRPr="004C4CE2">
        <w:t>rchivist</w:t>
      </w:r>
    </w:p>
    <w:p w14:paraId="6BCC3648" w14:textId="5149AA53" w:rsidR="006D7582" w:rsidRPr="00F460FF" w:rsidRDefault="0057714F" w:rsidP="006D7582">
      <w:pPr>
        <w:pStyle w:val="bullet2"/>
      </w:pPr>
      <w:r>
        <w:t>p</w:t>
      </w:r>
      <w:r w:rsidR="006D7582" w:rsidRPr="00F460FF">
        <w:t xml:space="preserve">erforming </w:t>
      </w:r>
      <w:r w:rsidR="00543C4E">
        <w:t xml:space="preserve">periodic </w:t>
      </w:r>
      <w:r w:rsidR="006D7582" w:rsidRPr="00952D86">
        <w:t>quality</w:t>
      </w:r>
      <w:r w:rsidR="006D7582" w:rsidRPr="00F460FF">
        <w:t xml:space="preserve"> checks to ensure the ongoing integrity of </w:t>
      </w:r>
      <w:r w:rsidR="006D7582">
        <w:t xml:space="preserve">the </w:t>
      </w:r>
      <w:r w:rsidR="006D7582" w:rsidRPr="00F460FF">
        <w:t xml:space="preserve">documents (see </w:t>
      </w:r>
      <w:r w:rsidR="006D7582">
        <w:t>‘</w:t>
      </w:r>
      <w:r w:rsidR="006D7582" w:rsidRPr="00F460FF">
        <w:t>Data quality checking</w:t>
      </w:r>
      <w:r w:rsidR="006D7582">
        <w:t>’ section above</w:t>
      </w:r>
      <w:r w:rsidR="006D7582" w:rsidRPr="00F460FF">
        <w:t>).</w:t>
      </w:r>
      <w:r w:rsidR="006D7582">
        <w:t xml:space="preserve"> </w:t>
      </w:r>
    </w:p>
    <w:p w14:paraId="4D51041C" w14:textId="569B534A" w:rsidR="00692DFA" w:rsidRPr="00CC7925" w:rsidRDefault="00692DFA">
      <w:pPr>
        <w:pStyle w:val="Heading1"/>
      </w:pPr>
      <w:r w:rsidRPr="00CC7925">
        <w:t>List of expected outputs</w:t>
      </w:r>
    </w:p>
    <w:p w14:paraId="381778F8" w14:textId="735D457C" w:rsidR="006D7582" w:rsidRPr="00CC7925" w:rsidRDefault="006D7582" w:rsidP="006D7582">
      <w:pPr>
        <w:pStyle w:val="bullet1"/>
      </w:pPr>
      <w:r w:rsidRPr="00CC7925">
        <w:t xml:space="preserve">Documented evidence of the retention period for project material, and an </w:t>
      </w:r>
      <w:r w:rsidR="00543C4E">
        <w:t>a</w:t>
      </w:r>
      <w:r w:rsidR="00543C4E" w:rsidRPr="00CC7925">
        <w:t xml:space="preserve">rchiving </w:t>
      </w:r>
      <w:r w:rsidR="00543C4E">
        <w:t>p</w:t>
      </w:r>
      <w:r w:rsidR="00543C4E" w:rsidRPr="00CC7925">
        <w:t xml:space="preserve">lan </w:t>
      </w:r>
      <w:r w:rsidRPr="00CC7925">
        <w:t>(where applicable).</w:t>
      </w:r>
    </w:p>
    <w:p w14:paraId="778890EA" w14:textId="45F73390" w:rsidR="006D7582" w:rsidRPr="00CC7925" w:rsidRDefault="006D7582" w:rsidP="006D7582">
      <w:pPr>
        <w:pStyle w:val="bullet1"/>
      </w:pPr>
      <w:r w:rsidRPr="00CC7925">
        <w:t>Where third party vendors are used, evidence that the requirements for retaining records is documented in an agreement.</w:t>
      </w:r>
    </w:p>
    <w:p w14:paraId="4D2C6482" w14:textId="436FC9E7" w:rsidR="006D7582" w:rsidRPr="00CC7925" w:rsidRDefault="00543C4E" w:rsidP="006D7582">
      <w:pPr>
        <w:pStyle w:val="bullet1"/>
      </w:pPr>
      <w:r>
        <w:t>Restricted a</w:t>
      </w:r>
      <w:r w:rsidR="006D7582" w:rsidRPr="00CC7925">
        <w:t xml:space="preserve">ccess to electronic documents, study/trial systems </w:t>
      </w:r>
      <w:r w:rsidR="00DF0942" w:rsidRPr="00CC7925">
        <w:t>and project</w:t>
      </w:r>
      <w:r w:rsidR="006D7582" w:rsidRPr="00CC7925">
        <w:t xml:space="preserve"> mailboxes.</w:t>
      </w:r>
    </w:p>
    <w:p w14:paraId="3B18A0AD" w14:textId="77777777" w:rsidR="006D7582" w:rsidRPr="00CC7925" w:rsidRDefault="006D7582" w:rsidP="006D7582">
      <w:pPr>
        <w:pStyle w:val="bullet1"/>
      </w:pPr>
      <w:r w:rsidRPr="00CC7925">
        <w:t>Details of any requests to access paper or electronic data documented, along with evidence of the approval for such access.</w:t>
      </w:r>
    </w:p>
    <w:p w14:paraId="3AD8D155" w14:textId="2302DB42" w:rsidR="006D7582" w:rsidRPr="00CC7925" w:rsidRDefault="006D7582" w:rsidP="006D7582">
      <w:pPr>
        <w:pStyle w:val="bullet1"/>
      </w:pPr>
      <w:r w:rsidRPr="00CC7925">
        <w:t xml:space="preserve">Where investigator sites are used, requirements for archiving at site documented in a </w:t>
      </w:r>
      <w:r w:rsidR="00543C4E">
        <w:t>c</w:t>
      </w:r>
      <w:r w:rsidR="00543C4E" w:rsidRPr="00CC7925">
        <w:t xml:space="preserve">linical </w:t>
      </w:r>
      <w:r w:rsidR="00543C4E">
        <w:t>t</w:t>
      </w:r>
      <w:r w:rsidR="00543C4E" w:rsidRPr="00CC7925">
        <w:t xml:space="preserve">rial </w:t>
      </w:r>
      <w:r w:rsidR="00543C4E">
        <w:t>a</w:t>
      </w:r>
      <w:r w:rsidR="00543C4E" w:rsidRPr="00CC7925">
        <w:t>greement</w:t>
      </w:r>
      <w:r w:rsidRPr="00CC7925">
        <w:t>/</w:t>
      </w:r>
      <w:r w:rsidR="00543C4E">
        <w:t>s</w:t>
      </w:r>
      <w:r w:rsidR="00543C4E" w:rsidRPr="00CC7925">
        <w:t xml:space="preserve">ite </w:t>
      </w:r>
      <w:r w:rsidR="00543C4E">
        <w:t>a</w:t>
      </w:r>
      <w:r w:rsidR="00543C4E" w:rsidRPr="00CC7925">
        <w:t xml:space="preserve">greement </w:t>
      </w:r>
      <w:r w:rsidRPr="00CC7925">
        <w:t>and signed authorisation from the CI to destroy archived material.</w:t>
      </w:r>
    </w:p>
    <w:p w14:paraId="2AE38478" w14:textId="480F77FB" w:rsidR="006D7582" w:rsidRPr="00CC7925" w:rsidDel="00683431" w:rsidRDefault="006D7582" w:rsidP="006D7582">
      <w:pPr>
        <w:pStyle w:val="bullet1"/>
      </w:pPr>
      <w:r w:rsidRPr="00CC7925" w:rsidDel="00683431">
        <w:t>Where laboratories are used to analyse or process clinical</w:t>
      </w:r>
      <w:r w:rsidR="00543C4E">
        <w:t>-</w:t>
      </w:r>
      <w:r w:rsidRPr="00CC7925" w:rsidDel="00683431">
        <w:t>trial samples</w:t>
      </w:r>
      <w:r w:rsidR="00543C4E">
        <w:t>,</w:t>
      </w:r>
      <w:r w:rsidRPr="00CC7925" w:rsidDel="00683431">
        <w:t xml:space="preserve"> the details </w:t>
      </w:r>
      <w:r w:rsidR="001B127F">
        <w:t>about</w:t>
      </w:r>
      <w:r w:rsidR="001B127F" w:rsidRPr="00CC7925" w:rsidDel="00683431">
        <w:t xml:space="preserve"> </w:t>
      </w:r>
      <w:r w:rsidRPr="00CC7925" w:rsidDel="00683431">
        <w:t xml:space="preserve">who is responsible for </w:t>
      </w:r>
      <w:r w:rsidR="001B127F">
        <w:t xml:space="preserve">the </w:t>
      </w:r>
      <w:r w:rsidRPr="00CC7925" w:rsidDel="00683431">
        <w:t xml:space="preserve">archiving of laboratory documentation are documented in a </w:t>
      </w:r>
      <w:r w:rsidR="001B127F">
        <w:t>s</w:t>
      </w:r>
      <w:r w:rsidR="001B127F" w:rsidRPr="00CC7925" w:rsidDel="00683431">
        <w:t xml:space="preserve">ample </w:t>
      </w:r>
      <w:r w:rsidR="001B127F">
        <w:t>a</w:t>
      </w:r>
      <w:r w:rsidR="001B127F" w:rsidRPr="00CC7925" w:rsidDel="00683431">
        <w:t xml:space="preserve">nalysis </w:t>
      </w:r>
      <w:r w:rsidRPr="00CC7925" w:rsidDel="00683431">
        <w:t xml:space="preserve">for </w:t>
      </w:r>
      <w:r w:rsidR="001B127F">
        <w:t>c</w:t>
      </w:r>
      <w:r w:rsidR="001B127F" w:rsidRPr="00CC7925" w:rsidDel="00683431">
        <w:t xml:space="preserve">linical </w:t>
      </w:r>
      <w:r w:rsidR="001B127F">
        <w:t>t</w:t>
      </w:r>
      <w:r w:rsidR="001B127F" w:rsidRPr="00CC7925" w:rsidDel="00683431">
        <w:t xml:space="preserve">rials </w:t>
      </w:r>
      <w:r w:rsidRPr="00CC7925" w:rsidDel="00683431">
        <w:t>contract/</w:t>
      </w:r>
      <w:r w:rsidR="001B127F">
        <w:t>m</w:t>
      </w:r>
      <w:r w:rsidR="001B127F" w:rsidRPr="00CC7925" w:rsidDel="00683431">
        <w:t xml:space="preserve">emorandum </w:t>
      </w:r>
      <w:r w:rsidRPr="00CC7925" w:rsidDel="00683431">
        <w:t xml:space="preserve">of </w:t>
      </w:r>
      <w:r w:rsidR="001B127F">
        <w:t>u</w:t>
      </w:r>
      <w:r w:rsidR="001B127F" w:rsidRPr="00CC7925" w:rsidDel="00683431">
        <w:t>nderstanding</w:t>
      </w:r>
      <w:r w:rsidRPr="00CC7925" w:rsidDel="00683431">
        <w:t>.</w:t>
      </w:r>
    </w:p>
    <w:p w14:paraId="755DBA38" w14:textId="77777777" w:rsidR="006D7582" w:rsidRPr="00CC7925" w:rsidRDefault="006D7582" w:rsidP="006D7582">
      <w:pPr>
        <w:pStyle w:val="bullet1"/>
      </w:pPr>
      <w:r w:rsidRPr="00CC7925">
        <w:t>Documented assessment of the need to perform quality checks of archived material.</w:t>
      </w:r>
    </w:p>
    <w:p w14:paraId="27BDF340" w14:textId="77777777" w:rsidR="006D7582" w:rsidRPr="00CC7925" w:rsidRDefault="006D7582" w:rsidP="006D7582">
      <w:pPr>
        <w:pStyle w:val="Heading3"/>
      </w:pPr>
      <w:r w:rsidRPr="00CC7925">
        <w:t>For CTIMPs</w:t>
      </w:r>
    </w:p>
    <w:p w14:paraId="3D29B04C" w14:textId="60A76A8C" w:rsidR="006D7582" w:rsidRPr="00CC7925" w:rsidRDefault="006D7582" w:rsidP="006D7582">
      <w:pPr>
        <w:pStyle w:val="bullet1"/>
      </w:pPr>
      <w:r w:rsidRPr="00CC7925">
        <w:t xml:space="preserve">Named individuals </w:t>
      </w:r>
      <w:r w:rsidR="00770813">
        <w:t xml:space="preserve">responsible </w:t>
      </w:r>
      <w:r w:rsidRPr="00CC7925">
        <w:t xml:space="preserve">for archiving, i.e. </w:t>
      </w:r>
      <w:r w:rsidR="001E0334">
        <w:t>a</w:t>
      </w:r>
      <w:r w:rsidR="001E0334" w:rsidRPr="00CC7925">
        <w:t>rchivists</w:t>
      </w:r>
      <w:r w:rsidRPr="00CC7925">
        <w:t xml:space="preserve"> appointed by the </w:t>
      </w:r>
      <w:r w:rsidR="001E0334">
        <w:t>s</w:t>
      </w:r>
      <w:r w:rsidR="001E0334" w:rsidRPr="00CC7925">
        <w:t>ponsor</w:t>
      </w:r>
      <w:r w:rsidR="00770813">
        <w:t>,</w:t>
      </w:r>
      <w:r w:rsidR="001E0334" w:rsidRPr="00CC7925">
        <w:t xml:space="preserve"> </w:t>
      </w:r>
      <w:r w:rsidRPr="00CC7925">
        <w:t xml:space="preserve">and documented evidence that these individuals are appropriately trained and have appropriate links to the </w:t>
      </w:r>
      <w:r w:rsidR="00770813">
        <w:t>s</w:t>
      </w:r>
      <w:r w:rsidR="00770813" w:rsidRPr="00CC7925">
        <w:t>ponsor</w:t>
      </w:r>
      <w:r w:rsidRPr="00CC7925">
        <w:t>.</w:t>
      </w:r>
    </w:p>
    <w:p w14:paraId="035D297B" w14:textId="77777777" w:rsidR="006D7582" w:rsidRPr="00CC7925" w:rsidRDefault="006D7582" w:rsidP="006D7582">
      <w:pPr>
        <w:pStyle w:val="bullet1"/>
      </w:pPr>
      <w:r w:rsidRPr="00CC7925">
        <w:t>Evidence of an archiving system being in place for oversight and logging of archived material.</w:t>
      </w:r>
    </w:p>
    <w:p w14:paraId="280D0D4E" w14:textId="77777777" w:rsidR="006D7582" w:rsidRPr="00CC7925" w:rsidRDefault="006D7582" w:rsidP="006D7582">
      <w:pPr>
        <w:pStyle w:val="bullet1"/>
      </w:pPr>
      <w:r w:rsidRPr="00CC7925">
        <w:lastRenderedPageBreak/>
        <w:t>Evidence of pre-contract assessments and contracts in place for the use of external archive facilities, where applicable.</w:t>
      </w:r>
    </w:p>
    <w:p w14:paraId="17C436F7" w14:textId="15B25D3C" w:rsidR="006D7582" w:rsidRPr="00CC7925" w:rsidRDefault="006D7582" w:rsidP="006D7582">
      <w:pPr>
        <w:pStyle w:val="bullet1"/>
      </w:pPr>
      <w:r w:rsidRPr="00CC7925">
        <w:t xml:space="preserve">Evidence of </w:t>
      </w:r>
      <w:r w:rsidR="00770813">
        <w:t xml:space="preserve">the </w:t>
      </w:r>
      <w:r w:rsidRPr="00CC7925">
        <w:t xml:space="preserve">deactivation of trial systems. </w:t>
      </w:r>
    </w:p>
    <w:p w14:paraId="5D7D5C19" w14:textId="7EDA57EB" w:rsidR="006D7582" w:rsidRPr="00CC7925" w:rsidRDefault="006D7582" w:rsidP="006D7582">
      <w:pPr>
        <w:pStyle w:val="bullet1"/>
      </w:pPr>
      <w:r w:rsidRPr="00CC7925">
        <w:t xml:space="preserve">Evidence of the request and approval for </w:t>
      </w:r>
      <w:r w:rsidR="00770813">
        <w:t xml:space="preserve">the </w:t>
      </w:r>
      <w:r w:rsidRPr="00CC7925">
        <w:t>retrieval of</w:t>
      </w:r>
      <w:r w:rsidR="003D03FB">
        <w:t>,</w:t>
      </w:r>
      <w:r w:rsidRPr="00CC7925">
        <w:t xml:space="preserve"> or access to</w:t>
      </w:r>
      <w:r w:rsidR="003D03FB">
        <w:t>,</w:t>
      </w:r>
      <w:r w:rsidRPr="00CC7925">
        <w:t xml:space="preserve"> archived material.</w:t>
      </w:r>
    </w:p>
    <w:p w14:paraId="2D431807" w14:textId="77777777" w:rsidR="006D7582" w:rsidRDefault="006D7582" w:rsidP="006D7582">
      <w:pPr>
        <w:pStyle w:val="bullet1"/>
      </w:pPr>
      <w:r>
        <w:t>Evidence of quality checks being performed on archived material.</w:t>
      </w:r>
    </w:p>
    <w:p w14:paraId="7A4D2049" w14:textId="0212BC78" w:rsidR="00A5391E" w:rsidRDefault="006D7582" w:rsidP="00F80021">
      <w:pPr>
        <w:pStyle w:val="bullet1"/>
      </w:pPr>
      <w:r>
        <w:t xml:space="preserve">Evidence of </w:t>
      </w:r>
      <w:r w:rsidR="003D03FB">
        <w:t xml:space="preserve">the </w:t>
      </w:r>
      <w:r>
        <w:t xml:space="preserve">destruction of archived material at the end of the retention period. </w:t>
      </w:r>
    </w:p>
    <w:p w14:paraId="7BDC97EA" w14:textId="2E15C949" w:rsidR="007B4836" w:rsidRDefault="007B4836">
      <w:pPr>
        <w:pStyle w:val="Heading1"/>
      </w:pPr>
      <w:r w:rsidRPr="006561C0">
        <w:t>Related</w:t>
      </w:r>
      <w:r>
        <w:t xml:space="preserve"> documents</w:t>
      </w:r>
      <w:bookmarkEnd w:id="0"/>
    </w:p>
    <w:p w14:paraId="58BCE577" w14:textId="77777777" w:rsidR="00D86F1F" w:rsidRDefault="00D86F1F" w:rsidP="00D86F1F">
      <w:pPr>
        <w:pStyle w:val="bullet1"/>
      </w:pPr>
      <w:bookmarkStart w:id="10" w:name="_Hlk141803862"/>
      <w:r>
        <w:t>UoB-ARC-QCD-001 Archiving Plan</w:t>
      </w:r>
    </w:p>
    <w:p w14:paraId="61BBF100" w14:textId="77777777" w:rsidR="00D86F1F" w:rsidRDefault="00D86F1F" w:rsidP="00D86F1F">
      <w:pPr>
        <w:pStyle w:val="bullet1"/>
      </w:pPr>
      <w:r>
        <w:t>UoB-ARC-QCD-002 Archive Label</w:t>
      </w:r>
    </w:p>
    <w:p w14:paraId="021986FD" w14:textId="32A16A7A" w:rsidR="00D86F1F" w:rsidRDefault="00D86F1F" w:rsidP="00D86F1F">
      <w:pPr>
        <w:pStyle w:val="bullet1"/>
      </w:pPr>
      <w:r>
        <w:t xml:space="preserve">UoB-ARC-QCD-003 Guide </w:t>
      </w:r>
      <w:r w:rsidR="00ED7A97">
        <w:t xml:space="preserve">to </w:t>
      </w:r>
      <w:r>
        <w:t>Retention Times</w:t>
      </w:r>
    </w:p>
    <w:p w14:paraId="7D1D75BE" w14:textId="77777777" w:rsidR="00832F07" w:rsidRDefault="00832F07" w:rsidP="00832F07">
      <w:pPr>
        <w:pStyle w:val="bullet1"/>
      </w:pPr>
      <w:r w:rsidRPr="00E535A6">
        <w:t>UoB-CPR-SOP-001</w:t>
      </w:r>
      <w:r>
        <w:t xml:space="preserve"> </w:t>
      </w:r>
      <w:r w:rsidRPr="00E535A6">
        <w:t>Compliance Review</w:t>
      </w:r>
    </w:p>
    <w:p w14:paraId="5DF1F0BA" w14:textId="77777777" w:rsidR="00832F07" w:rsidRDefault="00832F07" w:rsidP="00832F07">
      <w:pPr>
        <w:pStyle w:val="bullet1"/>
      </w:pPr>
      <w:r w:rsidRPr="003D196B">
        <w:t>UoB-CRL-SOP-001 Laboratory Set</w:t>
      </w:r>
      <w:r>
        <w:t>-u</w:t>
      </w:r>
      <w:r w:rsidRPr="003D196B">
        <w:t>p and Management</w:t>
      </w:r>
    </w:p>
    <w:p w14:paraId="7A5DE771" w14:textId="4752D0EB" w:rsidR="00832F07" w:rsidRDefault="00832F07" w:rsidP="00832F07">
      <w:pPr>
        <w:pStyle w:val="bullet1"/>
      </w:pPr>
      <w:r>
        <w:t>UoB-DMA-SOP-001 Data Management</w:t>
      </w:r>
    </w:p>
    <w:p w14:paraId="660D1BDB" w14:textId="77777777" w:rsidR="00832F07" w:rsidRDefault="00832F07" w:rsidP="00832F07">
      <w:pPr>
        <w:pStyle w:val="bullet1"/>
      </w:pPr>
      <w:r>
        <w:t xml:space="preserve">UoB-ESD-QCD-001 Essential Documents Checklist </w:t>
      </w:r>
    </w:p>
    <w:p w14:paraId="78BFDB7F" w14:textId="77777777" w:rsidR="00832F07" w:rsidRDefault="00832F07" w:rsidP="00832F07">
      <w:pPr>
        <w:pStyle w:val="bullet1"/>
      </w:pPr>
      <w:r>
        <w:t>UoB-ESD-SOP-001 Essential Documents Development and Maintenance</w:t>
      </w:r>
    </w:p>
    <w:p w14:paraId="2CC07D21" w14:textId="77777777" w:rsidR="00832F07" w:rsidRDefault="00832F07" w:rsidP="00832F07">
      <w:pPr>
        <w:pStyle w:val="bullet1"/>
      </w:pPr>
      <w:r>
        <w:t xml:space="preserve">UoB-GCP-POL-001 </w:t>
      </w:r>
      <w:proofErr w:type="spellStart"/>
      <w:r>
        <w:t>UoB</w:t>
      </w:r>
      <w:proofErr w:type="spellEnd"/>
      <w:r>
        <w:t xml:space="preserve"> Principles of GCP for Clinical Research</w:t>
      </w:r>
    </w:p>
    <w:p w14:paraId="285C404C" w14:textId="4884DD41" w:rsidR="00D86F1F" w:rsidRDefault="00D86F1F" w:rsidP="00D86F1F">
      <w:pPr>
        <w:pStyle w:val="bullet1"/>
      </w:pPr>
      <w:r w:rsidRPr="00FB7D25">
        <w:t>UoB-</w:t>
      </w:r>
      <w:r w:rsidR="00FD172C">
        <w:t>SOP-QCD-001</w:t>
      </w:r>
      <w:r w:rsidRPr="00FB7D25">
        <w:t xml:space="preserve"> Clinical Trial</w:t>
      </w:r>
      <w:r>
        <w:t>s</w:t>
      </w:r>
      <w:r w:rsidRPr="00FB7D25">
        <w:t xml:space="preserve"> Task Delegation Log</w:t>
      </w:r>
    </w:p>
    <w:p w14:paraId="7BD9F3C0" w14:textId="07AA6616" w:rsidR="00D86F1F" w:rsidRDefault="00D86F1F" w:rsidP="00D86F1F">
      <w:pPr>
        <w:pStyle w:val="bullet1"/>
      </w:pPr>
      <w:r>
        <w:t>UoB-</w:t>
      </w:r>
      <w:r w:rsidR="00FD172C">
        <w:t>TRN</w:t>
      </w:r>
      <w:r>
        <w:t>-SOP-001 Training</w:t>
      </w:r>
    </w:p>
    <w:p w14:paraId="057F64FD" w14:textId="77777777" w:rsidR="00675F9F" w:rsidRDefault="00675F9F" w:rsidP="00444522">
      <w:pPr>
        <w:rPr>
          <w:lang w:eastAsia="en-GB"/>
        </w:rPr>
      </w:pPr>
      <w:bookmarkStart w:id="11" w:name="_Hlk129872723"/>
      <w:bookmarkEnd w:id="10"/>
      <w:r>
        <w:t xml:space="preserve">Access to the full UoB QMS for clinical research is available via the </w:t>
      </w:r>
      <w:hyperlink r:id="rId32" w:tooltip="Website for the Clinical Research Compliance Team" w:history="1">
        <w:r>
          <w:rPr>
            <w:rStyle w:val="Hyperlink"/>
            <w:lang w:eastAsia="en-GB"/>
          </w:rPr>
          <w:t>CRCT website</w:t>
        </w:r>
      </w:hyperlink>
      <w:r>
        <w:rPr>
          <w:lang w:eastAsia="en-GB"/>
        </w:rPr>
        <w:t>.</w:t>
      </w:r>
    </w:p>
    <w:bookmarkEnd w:id="11"/>
    <w:p w14:paraId="1A5464DC" w14:textId="5B01E8DB" w:rsidR="007B4836" w:rsidRDefault="007B4836">
      <w:pPr>
        <w:pStyle w:val="Heading1"/>
      </w:pPr>
      <w:r w:rsidRPr="005D17F6">
        <w:t>References</w:t>
      </w:r>
      <w:r w:rsidR="005F0420">
        <w:t xml:space="preserve"> and </w:t>
      </w:r>
      <w:r w:rsidR="00FF6CB2">
        <w:t>f</w:t>
      </w:r>
      <w:r w:rsidR="005F0420">
        <w:t>rameworks</w:t>
      </w:r>
    </w:p>
    <w:p w14:paraId="32AE11AE" w14:textId="77777777" w:rsidR="00D86F1F" w:rsidRDefault="00D86F1F" w:rsidP="00D86F1F">
      <w:pPr>
        <w:pStyle w:val="bullet1"/>
        <w:numPr>
          <w:ilvl w:val="0"/>
          <w:numId w:val="3"/>
        </w:numPr>
        <w:ind w:left="340" w:hanging="340"/>
      </w:pPr>
      <w:r w:rsidRPr="007C3C2B">
        <w:t>Clinical Trial Regulation (EU) No536/2014 Article 58</w:t>
      </w:r>
      <w:r>
        <w:t>:</w:t>
      </w:r>
      <w:r>
        <w:rPr>
          <w:rStyle w:val="Hyperlink"/>
        </w:rPr>
        <w:t xml:space="preserve"> </w:t>
      </w:r>
      <w:hyperlink r:id="rId33" w:tooltip="Link to Clinical Trial Regulation (EU) No536/2014 " w:history="1">
        <w:r>
          <w:rPr>
            <w:rStyle w:val="Hyperlink"/>
            <w:rFonts w:eastAsiaTheme="minorHAnsi"/>
          </w:rPr>
          <w:t>https://ec.europa.eu/health/sites/health/files/files/eudralex/vol-1/reg_2014_536/reg_2014_536_en.pdf</w:t>
        </w:r>
      </w:hyperlink>
    </w:p>
    <w:p w14:paraId="5AE91E2B" w14:textId="37860DE9" w:rsidR="00D86F1F" w:rsidRPr="00C3647F" w:rsidRDefault="00D86F1F" w:rsidP="00D86F1F">
      <w:pPr>
        <w:pStyle w:val="bullet1"/>
        <w:numPr>
          <w:ilvl w:val="0"/>
          <w:numId w:val="3"/>
        </w:numPr>
        <w:ind w:left="340" w:hanging="340"/>
      </w:pPr>
      <w:r w:rsidRPr="007C3C2B">
        <w:t>Concordat on Open Research Dat</w:t>
      </w:r>
      <w:r>
        <w:t>a:</w:t>
      </w:r>
      <w:r>
        <w:rPr>
          <w:rStyle w:val="Hyperlink"/>
        </w:rPr>
        <w:br/>
      </w:r>
      <w:hyperlink r:id="rId34" w:tooltip="Link to the Concordat on Open Research Data" w:history="1">
        <w:r w:rsidRPr="00701CFC">
          <w:rPr>
            <w:rStyle w:val="Hyperlink"/>
            <w:rFonts w:eastAsiaTheme="minorHAnsi"/>
          </w:rPr>
          <w:t>https://www.ukri.org/wp-content/uploads/2020/10/UKRI-020920-ConcordatonOpenResearchData.pdf</w:t>
        </w:r>
      </w:hyperlink>
    </w:p>
    <w:p w14:paraId="3C374F48" w14:textId="6CCC2194" w:rsidR="00D86F1F" w:rsidRPr="004F21C8" w:rsidRDefault="00D86F1F" w:rsidP="00D86F1F">
      <w:pPr>
        <w:pStyle w:val="bullet1"/>
        <w:numPr>
          <w:ilvl w:val="0"/>
          <w:numId w:val="3"/>
        </w:numPr>
        <w:ind w:left="340" w:hanging="340"/>
        <w:rPr>
          <w:rStyle w:val="Hyperlink"/>
          <w:color w:val="auto"/>
          <w:u w:val="none"/>
        </w:rPr>
      </w:pPr>
      <w:r w:rsidRPr="006E1640">
        <w:t>EudraLex Volume 10, Chapter 5, ‘Recommendation on the content of the trial master file and archiving’</w:t>
      </w:r>
      <w:r>
        <w:t>:</w:t>
      </w:r>
      <w:r w:rsidRPr="000A66CB">
        <w:t xml:space="preserve"> </w:t>
      </w:r>
      <w:hyperlink r:id="rId35" w:tooltip="Link to EudraLex Volume 10, Chapter 5, titled Recommendation on the content of the trial master file and archiving" w:history="1">
        <w:r w:rsidR="000D6978">
          <w:rPr>
            <w:rStyle w:val="Hyperlink"/>
          </w:rPr>
          <w:t>https://health.ec.europa.eu/system/files/2016-11/v10_chap5_en_0.pdf</w:t>
        </w:r>
      </w:hyperlink>
      <w:r w:rsidR="000D6978">
        <w:t xml:space="preserve"> </w:t>
      </w:r>
    </w:p>
    <w:p w14:paraId="30E95A12" w14:textId="6D44D51E" w:rsidR="00D86F1F" w:rsidRPr="008A3F2A" w:rsidRDefault="00D86F1F" w:rsidP="00D86F1F">
      <w:pPr>
        <w:pStyle w:val="bullet1"/>
        <w:numPr>
          <w:ilvl w:val="0"/>
          <w:numId w:val="3"/>
        </w:numPr>
        <w:ind w:left="340" w:hanging="340"/>
        <w:rPr>
          <w:rStyle w:val="Hyperlink"/>
          <w:color w:val="auto"/>
          <w:u w:val="none"/>
        </w:rPr>
      </w:pPr>
      <w:r>
        <w:t>EudraLex Volume 10, Chapter 5, Annex 1, ‘</w:t>
      </w:r>
      <w:r w:rsidRPr="00A45FEF">
        <w:t>Detailed guidelines on good clinical practice specific to advanced therapy medicinal products</w:t>
      </w:r>
      <w:r>
        <w:t>’:</w:t>
      </w:r>
      <w:r>
        <w:br/>
      </w:r>
      <w:hyperlink r:id="rId36" w:tooltip="Link to EudraLex Volume 10, Chapter 5, Annex 1, Detailed guidelines on good clinical practice specific to advanced therapy medicinal products" w:history="1">
        <w:r>
          <w:rPr>
            <w:rStyle w:val="Hyperlink"/>
            <w:rFonts w:eastAsiaTheme="minorHAnsi"/>
          </w:rPr>
          <w:t>https://ec.europa.eu/health/sites/health/files/files/eudralex/vol-10/atmp_guidelines_en.pdf</w:t>
        </w:r>
      </w:hyperlink>
    </w:p>
    <w:p w14:paraId="03312103" w14:textId="0DBDB7C9" w:rsidR="00D86F1F" w:rsidRDefault="00D86F1F" w:rsidP="00D86F1F">
      <w:pPr>
        <w:pStyle w:val="bullet1"/>
        <w:numPr>
          <w:ilvl w:val="0"/>
          <w:numId w:val="3"/>
        </w:numPr>
        <w:ind w:left="340" w:hanging="340"/>
      </w:pPr>
      <w:r w:rsidRPr="00C0511C">
        <w:t>European Directive 2003/63/EC:</w:t>
      </w:r>
      <w:r>
        <w:t xml:space="preserve"> </w:t>
      </w:r>
      <w:hyperlink r:id="rId37" w:tooltip="Link to European Directive 2003/63/EC" w:history="1">
        <w:r w:rsidRPr="00B62EBA">
          <w:rPr>
            <w:rStyle w:val="Hyperlink"/>
          </w:rPr>
          <w:t>https://eur-lex.europa.eu/LexUriServ/LexUriServ.do?uri=OJ:L:2003:159:0046:0094:en:PDF</w:t>
        </w:r>
      </w:hyperlink>
      <w:r>
        <w:t xml:space="preserve"> </w:t>
      </w:r>
    </w:p>
    <w:p w14:paraId="0ECC139C" w14:textId="424056B6" w:rsidR="00D86F1F" w:rsidRPr="00BD0E82" w:rsidRDefault="00D86F1F" w:rsidP="00D86F1F">
      <w:pPr>
        <w:pStyle w:val="bullet1"/>
        <w:numPr>
          <w:ilvl w:val="0"/>
          <w:numId w:val="3"/>
        </w:numPr>
        <w:ind w:left="340" w:hanging="340"/>
        <w:rPr>
          <w:rStyle w:val="Hyperlink"/>
          <w:color w:val="auto"/>
          <w:u w:val="none"/>
        </w:rPr>
      </w:pPr>
      <w:r>
        <w:t>ICH Harmonised Tripartite Guideline for Good Clinical Practice:</w:t>
      </w:r>
      <w:r>
        <w:br/>
      </w:r>
      <w:hyperlink r:id="rId38" w:tooltip="Link to ICH Guideline for Good Clinical Practice" w:history="1">
        <w:r w:rsidRPr="00351EE8">
          <w:rPr>
            <w:rStyle w:val="Hyperlink"/>
          </w:rPr>
          <w:t>https://database.ich.org/sites/default/files/E6_R2_Addendum.pdf</w:t>
        </w:r>
      </w:hyperlink>
    </w:p>
    <w:p w14:paraId="4618FEE5" w14:textId="1C1E0925" w:rsidR="00D86F1F" w:rsidRPr="006E1640" w:rsidRDefault="00D86F1F" w:rsidP="00D86F1F">
      <w:pPr>
        <w:pStyle w:val="bullet1"/>
        <w:numPr>
          <w:ilvl w:val="0"/>
          <w:numId w:val="3"/>
        </w:numPr>
        <w:ind w:left="340" w:hanging="340"/>
      </w:pPr>
      <w:r w:rsidRPr="00BD0E82">
        <w:t>Medicines for Human Use (Clinical Trials) Amendment Regulations 2006</w:t>
      </w:r>
      <w:r w:rsidRPr="00BC2A67">
        <w:t xml:space="preserve">: </w:t>
      </w:r>
      <w:hyperlink r:id="rId39" w:tooltip="Link to a PDF of the Medicines for Human Use (Clinical Trials) Amendment Regulations 2006" w:history="1">
        <w:r w:rsidRPr="00D07194">
          <w:rPr>
            <w:rStyle w:val="Hyperlink"/>
          </w:rPr>
          <w:t>https://www.legislation.gov.uk/uksi/2006/1928/pdfs/uksi_20061928_en.pdf</w:t>
        </w:r>
      </w:hyperlink>
    </w:p>
    <w:p w14:paraId="47F78303" w14:textId="1CA926C5" w:rsidR="00D86F1F" w:rsidRDefault="00D86F1F" w:rsidP="00D86F1F">
      <w:pPr>
        <w:pStyle w:val="bullet1"/>
        <w:numPr>
          <w:ilvl w:val="0"/>
          <w:numId w:val="3"/>
        </w:numPr>
        <w:ind w:left="340" w:hanging="340"/>
      </w:pPr>
      <w:r>
        <w:t xml:space="preserve">Scientific Archivists Group, ‘A Guide to Archiving Electronic Records’: </w:t>
      </w:r>
      <w:hyperlink r:id="rId40" w:tooltip="A link to A Guide to Archiving Electronic Records" w:history="1">
        <w:r w:rsidRPr="001A66CE">
          <w:rPr>
            <w:rStyle w:val="Hyperlink"/>
            <w:rFonts w:eastAsiaTheme="minorHAnsi"/>
          </w:rPr>
          <w:t>https://the-hsraa.org/wp-content/uploads/2017/12/AGuidetoArchivingElectronicRecordsv1.pdf</w:t>
        </w:r>
      </w:hyperlink>
    </w:p>
    <w:p w14:paraId="7D69F289" w14:textId="7D051CA5" w:rsidR="00D86F1F" w:rsidRPr="00AE2473" w:rsidRDefault="00D86F1F" w:rsidP="00D86F1F">
      <w:pPr>
        <w:pStyle w:val="bullet1"/>
        <w:numPr>
          <w:ilvl w:val="0"/>
          <w:numId w:val="3"/>
        </w:numPr>
        <w:ind w:left="340" w:hanging="340"/>
        <w:rPr>
          <w:rStyle w:val="Hyperlink"/>
          <w:color w:val="auto"/>
          <w:u w:val="none"/>
        </w:rPr>
      </w:pPr>
      <w:r w:rsidRPr="006E1640">
        <w:t>Scientific Archivists Group</w:t>
      </w:r>
      <w:r>
        <w:t>, ‘</w:t>
      </w:r>
      <w:r w:rsidRPr="006E1640">
        <w:t>Guidance on the Archiving of Good Clinical Practice Material</w:t>
      </w:r>
      <w:r>
        <w:t>’:</w:t>
      </w:r>
      <w:r>
        <w:br/>
      </w:r>
      <w:hyperlink r:id="rId41" w:tooltip="Link to Guidance on the Archiving of Good Clinical Practice Material by the Scientific Archivists Group" w:history="1">
        <w:r w:rsidRPr="00955402">
          <w:rPr>
            <w:rStyle w:val="Hyperlink"/>
          </w:rPr>
          <w:t>https://the-hsraa.org/resources/publications/good-clinical-practice-guide-archiving</w:t>
        </w:r>
      </w:hyperlink>
    </w:p>
    <w:p w14:paraId="648A79EA" w14:textId="13939513" w:rsidR="00D86F1F" w:rsidRPr="00DA797A" w:rsidRDefault="00D86F1F" w:rsidP="00D86F1F">
      <w:pPr>
        <w:pStyle w:val="bullet1"/>
        <w:numPr>
          <w:ilvl w:val="0"/>
          <w:numId w:val="3"/>
        </w:numPr>
        <w:ind w:left="340" w:hanging="340"/>
        <w:rPr>
          <w:rStyle w:val="Hyperlink"/>
          <w:color w:val="auto"/>
          <w:u w:val="none"/>
        </w:rPr>
      </w:pPr>
      <w:proofErr w:type="spellStart"/>
      <w:r w:rsidRPr="007C3C2B">
        <w:t>UoB</w:t>
      </w:r>
      <w:proofErr w:type="spellEnd"/>
      <w:r w:rsidRPr="007C3C2B">
        <w:t xml:space="preserve"> Research Data </w:t>
      </w:r>
      <w:r w:rsidR="00014678">
        <w:t xml:space="preserve">Management </w:t>
      </w:r>
      <w:r w:rsidRPr="007C3C2B">
        <w:t>Polic</w:t>
      </w:r>
      <w:r>
        <w:t>y:</w:t>
      </w:r>
      <w:r>
        <w:rPr>
          <w:rStyle w:val="Hyperlink"/>
        </w:rPr>
        <w:br/>
      </w:r>
      <w:hyperlink r:id="rId42" w:tooltip="Link to UoB Research Data Management Policy" w:history="1">
        <w:r w:rsidRPr="00DA797A">
          <w:rPr>
            <w:rStyle w:val="Hyperlink"/>
            <w:rFonts w:eastAsiaTheme="minorHAnsi"/>
          </w:rPr>
          <w:t>https://intranet.birmingham.ac.uk/as/libraryservices/library/research/rdm/Policies/Research-Data-Management-Policy.aspx</w:t>
        </w:r>
      </w:hyperlink>
    </w:p>
    <w:p w14:paraId="2F73E17F" w14:textId="77777777" w:rsidR="00D86F1F" w:rsidRPr="00DA797A" w:rsidRDefault="00D86F1F" w:rsidP="00D86F1F">
      <w:pPr>
        <w:pStyle w:val="bullet1"/>
        <w:numPr>
          <w:ilvl w:val="0"/>
          <w:numId w:val="3"/>
        </w:numPr>
        <w:ind w:left="340" w:hanging="340"/>
        <w:rPr>
          <w:rStyle w:val="Hyperlink"/>
          <w:color w:val="auto"/>
          <w:u w:val="none"/>
        </w:rPr>
      </w:pPr>
      <w:r w:rsidRPr="00DA797A">
        <w:rPr>
          <w:rStyle w:val="Hyperlink"/>
          <w:color w:val="auto"/>
          <w:u w:val="none"/>
        </w:rPr>
        <w:t>UoB Services:</w:t>
      </w:r>
    </w:p>
    <w:p w14:paraId="3DF6BF78" w14:textId="77777777" w:rsidR="00DF0942" w:rsidRDefault="00D86F1F" w:rsidP="003D11A3">
      <w:pPr>
        <w:pStyle w:val="bullet2"/>
      </w:pPr>
      <w:r w:rsidRPr="00DA797A">
        <w:t>Contracts Team</w:t>
      </w:r>
      <w:r w:rsidR="00F115F8">
        <w:t xml:space="preserve">: </w:t>
      </w:r>
      <w:hyperlink r:id="rId43" w:history="1">
        <w:r w:rsidR="00F115F8" w:rsidRPr="00F115F8">
          <w:rPr>
            <w:rStyle w:val="Hyperlink"/>
          </w:rPr>
          <w:t>https://intranet.birmingham.ac.uk/rssd/research-support/contracts.aspx</w:t>
        </w:r>
      </w:hyperlink>
    </w:p>
    <w:p w14:paraId="5E069CD9" w14:textId="37547419" w:rsidR="00D86F1F" w:rsidRDefault="00D86F1F" w:rsidP="003D11A3">
      <w:pPr>
        <w:pStyle w:val="bullet2"/>
      </w:pPr>
      <w:r>
        <w:t xml:space="preserve">IT Service Desk: </w:t>
      </w:r>
      <w:hyperlink r:id="rId44" w:tooltip="Link to UoB IT Service Desk" w:history="1">
        <w:r w:rsidRPr="00F87200">
          <w:rPr>
            <w:rStyle w:val="Hyperlink"/>
          </w:rPr>
          <w:t>https://universityofbirmingham.service-now.com/itportal/</w:t>
        </w:r>
      </w:hyperlink>
    </w:p>
    <w:p w14:paraId="4E70DFFA" w14:textId="1AD4EDF8" w:rsidR="00110971" w:rsidRDefault="0073345F" w:rsidP="00444522">
      <w:pPr>
        <w:pStyle w:val="bullet2"/>
      </w:pPr>
      <w:r>
        <w:t>REGI</w:t>
      </w:r>
      <w:r w:rsidR="00D86F1F">
        <w:t xml:space="preserve">: </w:t>
      </w:r>
      <w:hyperlink r:id="rId45" w:tooltip="Email address for the Research Governance Team" w:history="1">
        <w:r w:rsidR="00D86F1F" w:rsidRPr="0045554A">
          <w:rPr>
            <w:rStyle w:val="Hyperlink"/>
          </w:rPr>
          <w:t>researchgovernance@contact.bham.ac.uk</w:t>
        </w:r>
      </w:hyperlink>
      <w:r w:rsidR="00D86F1F">
        <w:t xml:space="preserve"> </w:t>
      </w:r>
    </w:p>
    <w:p w14:paraId="5B4D4CD7" w14:textId="76731184" w:rsidR="00B10C05" w:rsidRDefault="00B10C05">
      <w:pPr>
        <w:pStyle w:val="Heading1"/>
      </w:pPr>
      <w:r w:rsidRPr="00522ABB">
        <w:lastRenderedPageBreak/>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73"/>
        <w:gridCol w:w="6544"/>
      </w:tblGrid>
      <w:tr w:rsidR="00D86F1F" w:rsidRPr="00362535" w14:paraId="3C366373" w14:textId="77777777" w:rsidTr="00606938">
        <w:trPr>
          <w:cantSplit/>
          <w:tblHeader/>
        </w:trPr>
        <w:tc>
          <w:tcPr>
            <w:tcW w:w="2473" w:type="dxa"/>
            <w:vAlign w:val="center"/>
          </w:tcPr>
          <w:p w14:paraId="3F89B7D6" w14:textId="77777777" w:rsidR="00D86F1F" w:rsidRPr="00362535" w:rsidRDefault="00D86F1F" w:rsidP="00606938">
            <w:pPr>
              <w:pStyle w:val="Heading2"/>
              <w:rPr>
                <w:rFonts w:asciiTheme="minorHAnsi" w:hAnsiTheme="minorHAnsi" w:cstheme="minorHAnsi"/>
              </w:rPr>
            </w:pPr>
            <w:r w:rsidRPr="00362535">
              <w:rPr>
                <w:rFonts w:asciiTheme="minorHAnsi" w:hAnsiTheme="minorHAnsi" w:cstheme="minorHAnsi"/>
              </w:rPr>
              <w:t>Term</w:t>
            </w:r>
          </w:p>
        </w:tc>
        <w:tc>
          <w:tcPr>
            <w:tcW w:w="6544" w:type="dxa"/>
            <w:vAlign w:val="center"/>
          </w:tcPr>
          <w:p w14:paraId="215E5D84" w14:textId="77777777" w:rsidR="00D86F1F" w:rsidRPr="00362535" w:rsidRDefault="00D86F1F" w:rsidP="00606938">
            <w:pPr>
              <w:pStyle w:val="Heading2"/>
              <w:rPr>
                <w:rFonts w:asciiTheme="minorHAnsi" w:hAnsiTheme="minorHAnsi" w:cstheme="minorHAnsi"/>
              </w:rPr>
            </w:pPr>
            <w:r w:rsidRPr="00362535">
              <w:rPr>
                <w:rFonts w:asciiTheme="minorHAnsi" w:hAnsiTheme="minorHAnsi" w:cstheme="minorHAnsi"/>
              </w:rPr>
              <w:t>Description</w:t>
            </w:r>
          </w:p>
        </w:tc>
      </w:tr>
      <w:tr w:rsidR="00D86F1F" w:rsidRPr="00362535" w14:paraId="4CC635B2" w14:textId="77777777" w:rsidTr="00606938">
        <w:trPr>
          <w:cantSplit/>
        </w:trPr>
        <w:tc>
          <w:tcPr>
            <w:tcW w:w="2473" w:type="dxa"/>
          </w:tcPr>
          <w:p w14:paraId="0D920C18" w14:textId="77777777" w:rsidR="00D86F1F" w:rsidRPr="00362535" w:rsidRDefault="00D86F1F" w:rsidP="00606938">
            <w:pPr>
              <w:pStyle w:val="AbbreviationsDefinitionsTerm"/>
              <w:rPr>
                <w:rFonts w:asciiTheme="minorHAnsi" w:hAnsiTheme="minorHAnsi" w:cstheme="minorHAnsi"/>
              </w:rPr>
            </w:pPr>
            <w:r w:rsidRPr="00362535">
              <w:rPr>
                <w:rFonts w:asciiTheme="minorHAnsi" w:hAnsiTheme="minorHAnsi" w:cstheme="minorHAnsi"/>
              </w:rPr>
              <w:t>Archive system</w:t>
            </w:r>
          </w:p>
        </w:tc>
        <w:tc>
          <w:tcPr>
            <w:tcW w:w="6544" w:type="dxa"/>
          </w:tcPr>
          <w:p w14:paraId="36E6BBFA" w14:textId="77777777"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A collection of documents detailing the content, location, transfer details and review outcomes of archived documents pertaining to a clinical </w:t>
            </w:r>
            <w:r>
              <w:rPr>
                <w:rFonts w:asciiTheme="minorHAnsi" w:hAnsiTheme="minorHAnsi" w:cstheme="minorHAnsi"/>
              </w:rPr>
              <w:t>trial.</w:t>
            </w:r>
          </w:p>
        </w:tc>
      </w:tr>
      <w:tr w:rsidR="00D86F1F" w:rsidRPr="00362535" w14:paraId="656DD6EE" w14:textId="77777777" w:rsidTr="00606938">
        <w:trPr>
          <w:cantSplit/>
        </w:trPr>
        <w:tc>
          <w:tcPr>
            <w:tcW w:w="2473" w:type="dxa"/>
          </w:tcPr>
          <w:p w14:paraId="6B06B944" w14:textId="77777777"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Archiving</w:t>
            </w:r>
          </w:p>
        </w:tc>
        <w:tc>
          <w:tcPr>
            <w:tcW w:w="6544" w:type="dxa"/>
          </w:tcPr>
          <w:p w14:paraId="7BFE4A1B" w14:textId="7E59C0FC" w:rsidR="00D86F1F" w:rsidRPr="00362535" w:rsidRDefault="00D86F1F" w:rsidP="00606938">
            <w:pPr>
              <w:rPr>
                <w:rFonts w:asciiTheme="minorHAnsi" w:hAnsiTheme="minorHAnsi" w:cstheme="minorHAnsi"/>
              </w:rPr>
            </w:pPr>
            <w:r w:rsidRPr="005F2353">
              <w:rPr>
                <w:rFonts w:asciiTheme="minorHAnsi" w:hAnsiTheme="minorHAnsi" w:cstheme="minorHAnsi"/>
              </w:rPr>
              <w:t>Long</w:t>
            </w:r>
            <w:r>
              <w:rPr>
                <w:rFonts w:asciiTheme="minorHAnsi" w:hAnsiTheme="minorHAnsi" w:cstheme="minorHAnsi"/>
              </w:rPr>
              <w:t>-</w:t>
            </w:r>
            <w:r w:rsidRPr="005F2353">
              <w:rPr>
                <w:rFonts w:asciiTheme="minorHAnsi" w:hAnsiTheme="minorHAnsi" w:cstheme="minorHAnsi"/>
              </w:rPr>
              <w:t>term storage of (</w:t>
            </w:r>
            <w:r>
              <w:rPr>
                <w:rFonts w:asciiTheme="minorHAnsi" w:hAnsiTheme="minorHAnsi" w:cstheme="minorHAnsi"/>
              </w:rPr>
              <w:t>study/</w:t>
            </w:r>
            <w:r w:rsidRPr="005F2353">
              <w:rPr>
                <w:rFonts w:asciiTheme="minorHAnsi" w:hAnsiTheme="minorHAnsi" w:cstheme="minorHAnsi"/>
              </w:rPr>
              <w:t>trial) materials, where those materials are not required to be kept in an active format</w:t>
            </w:r>
            <w:r>
              <w:rPr>
                <w:rFonts w:asciiTheme="minorHAnsi" w:hAnsiTheme="minorHAnsi" w:cstheme="minorHAnsi"/>
              </w:rPr>
              <w:t>. The storage environment must be deemed</w:t>
            </w:r>
            <w:r>
              <w:t xml:space="preserve"> </w:t>
            </w:r>
            <w:r w:rsidR="00F115F8">
              <w:t xml:space="preserve">a </w:t>
            </w:r>
            <w:r>
              <w:t xml:space="preserve">suitably secure environment for the required retention period, with risks around security, location, size, environment and pests having been considered. </w:t>
            </w:r>
            <w:r>
              <w:rPr>
                <w:rFonts w:asciiTheme="minorHAnsi" w:hAnsiTheme="minorHAnsi" w:cstheme="minorHAnsi"/>
              </w:rPr>
              <w:t xml:space="preserve">For CTIMPs, the long-term storage of the materials is </w:t>
            </w:r>
            <w:r w:rsidRPr="005F2353">
              <w:rPr>
                <w:rFonts w:asciiTheme="minorHAnsi" w:hAnsiTheme="minorHAnsi" w:cstheme="minorHAnsi"/>
              </w:rPr>
              <w:t xml:space="preserve">under the control of an </w:t>
            </w:r>
            <w:r w:rsidR="00796C6B">
              <w:rPr>
                <w:rFonts w:asciiTheme="minorHAnsi" w:hAnsiTheme="minorHAnsi" w:cstheme="minorHAnsi"/>
              </w:rPr>
              <w:t>a</w:t>
            </w:r>
            <w:r w:rsidR="00796C6B" w:rsidRPr="005F2353">
              <w:rPr>
                <w:rFonts w:asciiTheme="minorHAnsi" w:hAnsiTheme="minorHAnsi" w:cstheme="minorHAnsi"/>
              </w:rPr>
              <w:t>rchivist</w:t>
            </w:r>
            <w:r w:rsidR="00796C6B">
              <w:rPr>
                <w:rFonts w:asciiTheme="minorHAnsi" w:hAnsiTheme="minorHAnsi" w:cstheme="minorHAnsi"/>
              </w:rPr>
              <w:t xml:space="preserve"> </w:t>
            </w:r>
            <w:r>
              <w:rPr>
                <w:rFonts w:asciiTheme="minorHAnsi" w:hAnsiTheme="minorHAnsi" w:cstheme="minorHAnsi"/>
              </w:rPr>
              <w:t xml:space="preserve">and in an archive fit for the purpose of the specific trial. </w:t>
            </w:r>
          </w:p>
        </w:tc>
      </w:tr>
      <w:tr w:rsidR="00D86F1F" w:rsidRPr="00362535" w14:paraId="7A342518" w14:textId="77777777" w:rsidTr="00606938">
        <w:trPr>
          <w:cantSplit/>
        </w:trPr>
        <w:tc>
          <w:tcPr>
            <w:tcW w:w="2473" w:type="dxa"/>
          </w:tcPr>
          <w:p w14:paraId="41DB62AB" w14:textId="77777777" w:rsidR="00D86F1F" w:rsidRPr="00362535" w:rsidRDefault="00D86F1F" w:rsidP="00606938">
            <w:pPr>
              <w:pStyle w:val="AbbreviationsDefinitionsTerm"/>
              <w:rPr>
                <w:rFonts w:asciiTheme="minorHAnsi" w:hAnsiTheme="minorHAnsi" w:cstheme="minorHAnsi"/>
              </w:rPr>
            </w:pPr>
            <w:r w:rsidRPr="00362535">
              <w:rPr>
                <w:rFonts w:asciiTheme="minorHAnsi" w:hAnsiTheme="minorHAnsi" w:cstheme="minorHAnsi"/>
              </w:rPr>
              <w:t>Archivist</w:t>
            </w:r>
          </w:p>
        </w:tc>
        <w:tc>
          <w:tcPr>
            <w:tcW w:w="6544" w:type="dxa"/>
          </w:tcPr>
          <w:p w14:paraId="18651DC7" w14:textId="1C27220E"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The person who defines and maintains an archive index recording all essential documents that have been entered into the archive, and </w:t>
            </w:r>
            <w:r w:rsidR="00796C6B">
              <w:rPr>
                <w:rFonts w:asciiTheme="minorHAnsi" w:hAnsiTheme="minorHAnsi" w:cstheme="minorHAnsi"/>
              </w:rPr>
              <w:t xml:space="preserve">who </w:t>
            </w:r>
            <w:r w:rsidRPr="00362535">
              <w:rPr>
                <w:rFonts w:asciiTheme="minorHAnsi" w:hAnsiTheme="minorHAnsi" w:cstheme="minorHAnsi"/>
              </w:rPr>
              <w:t>approves, tracks and retrieves documents on loan from the archive</w:t>
            </w:r>
            <w:r>
              <w:rPr>
                <w:rFonts w:asciiTheme="minorHAnsi" w:hAnsiTheme="minorHAnsi" w:cstheme="minorHAnsi"/>
              </w:rPr>
              <w:t>.</w:t>
            </w:r>
          </w:p>
        </w:tc>
      </w:tr>
      <w:tr w:rsidR="00D86F1F" w:rsidRPr="00362535" w14:paraId="23EFC9E0" w14:textId="77777777" w:rsidTr="00606938">
        <w:trPr>
          <w:cantSplit/>
        </w:trPr>
        <w:tc>
          <w:tcPr>
            <w:tcW w:w="2473" w:type="dxa"/>
          </w:tcPr>
          <w:p w14:paraId="3D8006B3" w14:textId="77777777"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ATIMP</w:t>
            </w:r>
          </w:p>
        </w:tc>
        <w:tc>
          <w:tcPr>
            <w:tcW w:w="6544" w:type="dxa"/>
          </w:tcPr>
          <w:p w14:paraId="738DD9F7" w14:textId="61CD9CBD" w:rsidR="00D86F1F" w:rsidRPr="00362535" w:rsidRDefault="00D86F1F" w:rsidP="00606938">
            <w:pPr>
              <w:rPr>
                <w:rFonts w:asciiTheme="minorHAnsi" w:hAnsiTheme="minorHAnsi" w:cstheme="minorHAnsi"/>
              </w:rPr>
            </w:pPr>
            <w:r w:rsidRPr="00E51654">
              <w:rPr>
                <w:rFonts w:asciiTheme="minorHAnsi" w:hAnsiTheme="minorHAnsi" w:cstheme="minorHAnsi"/>
              </w:rPr>
              <w:t xml:space="preserve">Advanced </w:t>
            </w:r>
            <w:r w:rsidR="00796C6B">
              <w:rPr>
                <w:rFonts w:asciiTheme="minorHAnsi" w:hAnsiTheme="minorHAnsi" w:cstheme="minorHAnsi"/>
              </w:rPr>
              <w:t>t</w:t>
            </w:r>
            <w:r w:rsidR="00796C6B" w:rsidRPr="00E51654">
              <w:rPr>
                <w:rFonts w:asciiTheme="minorHAnsi" w:hAnsiTheme="minorHAnsi" w:cstheme="minorHAnsi"/>
              </w:rPr>
              <w:t xml:space="preserve">herapy </w:t>
            </w:r>
            <w:r w:rsidR="00796C6B">
              <w:rPr>
                <w:rFonts w:asciiTheme="minorHAnsi" w:hAnsiTheme="minorHAnsi" w:cstheme="minorHAnsi"/>
              </w:rPr>
              <w:t>i</w:t>
            </w:r>
            <w:r w:rsidR="00796C6B" w:rsidRPr="00E51654">
              <w:rPr>
                <w:rFonts w:asciiTheme="minorHAnsi" w:hAnsiTheme="minorHAnsi" w:cstheme="minorHAnsi"/>
              </w:rPr>
              <w:t xml:space="preserve">nvestigational </w:t>
            </w:r>
            <w:r w:rsidR="00796C6B">
              <w:rPr>
                <w:rFonts w:asciiTheme="minorHAnsi" w:hAnsiTheme="minorHAnsi" w:cstheme="minorHAnsi"/>
              </w:rPr>
              <w:t>m</w:t>
            </w:r>
            <w:r w:rsidR="00796C6B" w:rsidRPr="00E51654">
              <w:rPr>
                <w:rFonts w:asciiTheme="minorHAnsi" w:hAnsiTheme="minorHAnsi" w:cstheme="minorHAnsi"/>
              </w:rPr>
              <w:t xml:space="preserve">edicinal </w:t>
            </w:r>
            <w:r w:rsidR="00796C6B">
              <w:rPr>
                <w:rFonts w:asciiTheme="minorHAnsi" w:hAnsiTheme="minorHAnsi" w:cstheme="minorHAnsi"/>
              </w:rPr>
              <w:t>p</w:t>
            </w:r>
            <w:r w:rsidR="00796C6B" w:rsidRPr="00E51654">
              <w:rPr>
                <w:rFonts w:asciiTheme="minorHAnsi" w:hAnsiTheme="minorHAnsi" w:cstheme="minorHAnsi"/>
              </w:rPr>
              <w:t>roducts</w:t>
            </w:r>
          </w:p>
        </w:tc>
      </w:tr>
      <w:tr w:rsidR="00D86F1F" w:rsidRPr="00362535" w14:paraId="31F60B4B" w14:textId="77777777" w:rsidTr="00606938">
        <w:trPr>
          <w:cantSplit/>
        </w:trPr>
        <w:tc>
          <w:tcPr>
            <w:tcW w:w="2473" w:type="dxa"/>
          </w:tcPr>
          <w:p w14:paraId="412054A4" w14:textId="77777777" w:rsidR="00D86F1F" w:rsidRPr="00362535" w:rsidRDefault="00D86F1F" w:rsidP="00606938">
            <w:pPr>
              <w:pStyle w:val="AbbreviationsDefinitionsTerm"/>
              <w:rPr>
                <w:rFonts w:asciiTheme="minorHAnsi" w:hAnsiTheme="minorHAnsi" w:cstheme="minorHAnsi"/>
              </w:rPr>
            </w:pPr>
            <w:r w:rsidRPr="00362535">
              <w:rPr>
                <w:rFonts w:asciiTheme="minorHAnsi" w:hAnsiTheme="minorHAnsi" w:cstheme="minorHAnsi"/>
                <w:color w:val="auto"/>
              </w:rPr>
              <w:t>CI</w:t>
            </w:r>
          </w:p>
        </w:tc>
        <w:tc>
          <w:tcPr>
            <w:tcW w:w="6544" w:type="dxa"/>
          </w:tcPr>
          <w:p w14:paraId="105BEF3F" w14:textId="10E7D049"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Chief </w:t>
            </w:r>
            <w:r w:rsidR="00796C6B">
              <w:rPr>
                <w:rFonts w:asciiTheme="minorHAnsi" w:hAnsiTheme="minorHAnsi" w:cstheme="minorHAnsi"/>
              </w:rPr>
              <w:t>i</w:t>
            </w:r>
            <w:r w:rsidR="00796C6B" w:rsidRPr="00362535">
              <w:rPr>
                <w:rFonts w:asciiTheme="minorHAnsi" w:hAnsiTheme="minorHAnsi" w:cstheme="minorHAnsi"/>
              </w:rPr>
              <w:t>nvestigator</w:t>
            </w:r>
          </w:p>
        </w:tc>
      </w:tr>
      <w:tr w:rsidR="00D86F1F" w:rsidRPr="00362535" w14:paraId="242E0E5B" w14:textId="77777777" w:rsidTr="00606938">
        <w:trPr>
          <w:cantSplit/>
        </w:trPr>
        <w:tc>
          <w:tcPr>
            <w:tcW w:w="2473" w:type="dxa"/>
          </w:tcPr>
          <w:p w14:paraId="471C1A0E" w14:textId="282E44B5" w:rsidR="00D86F1F" w:rsidRPr="00362535" w:rsidRDefault="00D86F1F" w:rsidP="00606938">
            <w:pPr>
              <w:pStyle w:val="AbbreviationsDefinitionsTerm"/>
              <w:rPr>
                <w:rFonts w:asciiTheme="minorHAnsi" w:hAnsiTheme="minorHAnsi" w:cstheme="minorHAnsi"/>
              </w:rPr>
            </w:pPr>
            <w:r w:rsidRPr="00362535">
              <w:rPr>
                <w:rFonts w:asciiTheme="minorHAnsi" w:hAnsiTheme="minorHAnsi" w:cstheme="minorHAnsi"/>
              </w:rPr>
              <w:t xml:space="preserve">Conclusion of a </w:t>
            </w:r>
            <w:r>
              <w:rPr>
                <w:rFonts w:asciiTheme="minorHAnsi" w:hAnsiTheme="minorHAnsi" w:cstheme="minorHAnsi"/>
              </w:rPr>
              <w:t>project</w:t>
            </w:r>
          </w:p>
        </w:tc>
        <w:tc>
          <w:tcPr>
            <w:tcW w:w="6544" w:type="dxa"/>
          </w:tcPr>
          <w:p w14:paraId="1C2074D0" w14:textId="120E9279"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The point in time where all </w:t>
            </w:r>
            <w:r>
              <w:rPr>
                <w:rFonts w:asciiTheme="minorHAnsi" w:hAnsiTheme="minorHAnsi" w:cstheme="minorHAnsi"/>
              </w:rPr>
              <w:t>project</w:t>
            </w:r>
            <w:r w:rsidRPr="00362535">
              <w:rPr>
                <w:rFonts w:asciiTheme="minorHAnsi" w:hAnsiTheme="minorHAnsi" w:cstheme="minorHAnsi"/>
              </w:rPr>
              <w:t xml:space="preserve"> closure procedures have been completed, including final analysis</w:t>
            </w:r>
            <w:r>
              <w:rPr>
                <w:rFonts w:asciiTheme="minorHAnsi" w:hAnsiTheme="minorHAnsi" w:cstheme="minorHAnsi"/>
              </w:rPr>
              <w:t>.</w:t>
            </w:r>
          </w:p>
        </w:tc>
      </w:tr>
      <w:tr w:rsidR="00D86F1F" w:rsidRPr="00362535" w14:paraId="68B46969" w14:textId="77777777" w:rsidTr="00606938">
        <w:trPr>
          <w:cantSplit/>
        </w:trPr>
        <w:tc>
          <w:tcPr>
            <w:tcW w:w="2473" w:type="dxa"/>
          </w:tcPr>
          <w:p w14:paraId="15E974C8" w14:textId="77777777"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CRF</w:t>
            </w:r>
          </w:p>
        </w:tc>
        <w:tc>
          <w:tcPr>
            <w:tcW w:w="6544" w:type="dxa"/>
          </w:tcPr>
          <w:p w14:paraId="3831C737" w14:textId="665A54CC" w:rsidR="00D86F1F" w:rsidRPr="00362535" w:rsidRDefault="00D86F1F" w:rsidP="00606938">
            <w:pPr>
              <w:rPr>
                <w:rFonts w:asciiTheme="minorHAnsi" w:hAnsiTheme="minorHAnsi" w:cstheme="minorHAnsi"/>
              </w:rPr>
            </w:pPr>
            <w:r>
              <w:rPr>
                <w:rFonts w:asciiTheme="minorHAnsi" w:hAnsiTheme="minorHAnsi" w:cstheme="minorHAnsi"/>
              </w:rPr>
              <w:t xml:space="preserve">Case </w:t>
            </w:r>
            <w:r w:rsidR="00796C6B">
              <w:rPr>
                <w:rFonts w:asciiTheme="minorHAnsi" w:hAnsiTheme="minorHAnsi" w:cstheme="minorHAnsi"/>
              </w:rPr>
              <w:t>report forms</w:t>
            </w:r>
          </w:p>
        </w:tc>
      </w:tr>
      <w:tr w:rsidR="00D86F1F" w:rsidRPr="00362535" w14:paraId="3C38CB9F" w14:textId="77777777" w:rsidTr="00606938">
        <w:trPr>
          <w:cantSplit/>
        </w:trPr>
        <w:tc>
          <w:tcPr>
            <w:tcW w:w="2473" w:type="dxa"/>
          </w:tcPr>
          <w:p w14:paraId="6C3CD894" w14:textId="77777777"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CTIMP</w:t>
            </w:r>
          </w:p>
        </w:tc>
        <w:tc>
          <w:tcPr>
            <w:tcW w:w="6544" w:type="dxa"/>
          </w:tcPr>
          <w:p w14:paraId="754D9422" w14:textId="20EDC42E" w:rsidR="00D86F1F" w:rsidRPr="00362535" w:rsidRDefault="00D86F1F" w:rsidP="00606938">
            <w:pPr>
              <w:rPr>
                <w:rFonts w:asciiTheme="minorHAnsi" w:hAnsiTheme="minorHAnsi" w:cstheme="minorHAnsi"/>
              </w:rPr>
            </w:pPr>
            <w:r w:rsidRPr="00E51654">
              <w:rPr>
                <w:rFonts w:asciiTheme="minorHAnsi" w:hAnsiTheme="minorHAnsi" w:cstheme="minorHAnsi"/>
              </w:rPr>
              <w:t xml:space="preserve">Clinical </w:t>
            </w:r>
            <w:r w:rsidR="00796C6B">
              <w:rPr>
                <w:rFonts w:asciiTheme="minorHAnsi" w:hAnsiTheme="minorHAnsi" w:cstheme="minorHAnsi"/>
              </w:rPr>
              <w:t>t</w:t>
            </w:r>
            <w:r w:rsidR="00796C6B" w:rsidRPr="00E51654">
              <w:rPr>
                <w:rFonts w:asciiTheme="minorHAnsi" w:hAnsiTheme="minorHAnsi" w:cstheme="minorHAnsi"/>
              </w:rPr>
              <w:t xml:space="preserve">rials </w:t>
            </w:r>
            <w:r w:rsidRPr="00E51654">
              <w:rPr>
                <w:rFonts w:asciiTheme="minorHAnsi" w:hAnsiTheme="minorHAnsi" w:cstheme="minorHAnsi"/>
              </w:rPr>
              <w:t xml:space="preserve">of </w:t>
            </w:r>
            <w:r w:rsidR="00796C6B">
              <w:rPr>
                <w:rFonts w:asciiTheme="minorHAnsi" w:hAnsiTheme="minorHAnsi" w:cstheme="minorHAnsi"/>
              </w:rPr>
              <w:t>i</w:t>
            </w:r>
            <w:r w:rsidR="00796C6B" w:rsidRPr="00E51654">
              <w:rPr>
                <w:rFonts w:asciiTheme="minorHAnsi" w:hAnsiTheme="minorHAnsi" w:cstheme="minorHAnsi"/>
              </w:rPr>
              <w:t xml:space="preserve">nvestigational </w:t>
            </w:r>
            <w:r w:rsidR="00796C6B">
              <w:rPr>
                <w:rFonts w:asciiTheme="minorHAnsi" w:hAnsiTheme="minorHAnsi" w:cstheme="minorHAnsi"/>
              </w:rPr>
              <w:t>m</w:t>
            </w:r>
            <w:r w:rsidR="00796C6B" w:rsidRPr="00E51654">
              <w:rPr>
                <w:rFonts w:asciiTheme="minorHAnsi" w:hAnsiTheme="minorHAnsi" w:cstheme="minorHAnsi"/>
              </w:rPr>
              <w:t xml:space="preserve">edicinal </w:t>
            </w:r>
            <w:r w:rsidR="00796C6B">
              <w:rPr>
                <w:rFonts w:asciiTheme="minorHAnsi" w:hAnsiTheme="minorHAnsi" w:cstheme="minorHAnsi"/>
              </w:rPr>
              <w:t>p</w:t>
            </w:r>
            <w:r w:rsidR="00796C6B" w:rsidRPr="00E51654">
              <w:rPr>
                <w:rFonts w:asciiTheme="minorHAnsi" w:hAnsiTheme="minorHAnsi" w:cstheme="minorHAnsi"/>
              </w:rPr>
              <w:t>roducts</w:t>
            </w:r>
          </w:p>
        </w:tc>
      </w:tr>
      <w:tr w:rsidR="00D86F1F" w:rsidRPr="00362535" w14:paraId="658A1670" w14:textId="77777777" w:rsidTr="00606938">
        <w:trPr>
          <w:cantSplit/>
        </w:trPr>
        <w:tc>
          <w:tcPr>
            <w:tcW w:w="2473" w:type="dxa"/>
          </w:tcPr>
          <w:p w14:paraId="69E8628F" w14:textId="77777777"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CTU</w:t>
            </w:r>
          </w:p>
        </w:tc>
        <w:tc>
          <w:tcPr>
            <w:tcW w:w="6544" w:type="dxa"/>
          </w:tcPr>
          <w:p w14:paraId="1319F2F3" w14:textId="7A393E33" w:rsidR="00D86F1F" w:rsidRPr="00362535" w:rsidRDefault="00D86F1F" w:rsidP="00606938">
            <w:pPr>
              <w:rPr>
                <w:rFonts w:asciiTheme="minorHAnsi" w:hAnsiTheme="minorHAnsi" w:cstheme="minorHAnsi"/>
              </w:rPr>
            </w:pPr>
            <w:r>
              <w:rPr>
                <w:rFonts w:asciiTheme="minorHAnsi" w:hAnsiTheme="minorHAnsi" w:cstheme="minorHAnsi"/>
              </w:rPr>
              <w:t xml:space="preserve">Clinical </w:t>
            </w:r>
            <w:r w:rsidR="00796C6B">
              <w:rPr>
                <w:rFonts w:asciiTheme="minorHAnsi" w:hAnsiTheme="minorHAnsi" w:cstheme="minorHAnsi"/>
              </w:rPr>
              <w:t>trials unit</w:t>
            </w:r>
          </w:p>
        </w:tc>
      </w:tr>
      <w:tr w:rsidR="00D86F1F" w:rsidRPr="00362535" w14:paraId="1E6E9230" w14:textId="77777777" w:rsidTr="00606938">
        <w:trPr>
          <w:cantSplit/>
        </w:trPr>
        <w:tc>
          <w:tcPr>
            <w:tcW w:w="2473" w:type="dxa"/>
          </w:tcPr>
          <w:p w14:paraId="7D8BAF6F" w14:textId="77777777" w:rsidR="00D86F1F" w:rsidRPr="00362535" w:rsidRDefault="00D86F1F" w:rsidP="00606938">
            <w:pPr>
              <w:pStyle w:val="AbbreviationsDefinitionsTerm"/>
              <w:rPr>
                <w:rFonts w:asciiTheme="minorHAnsi" w:hAnsiTheme="minorHAnsi" w:cstheme="minorHAnsi"/>
              </w:rPr>
            </w:pPr>
            <w:r w:rsidRPr="00362535">
              <w:rPr>
                <w:rFonts w:asciiTheme="minorHAnsi" w:hAnsiTheme="minorHAnsi" w:cstheme="minorHAnsi"/>
              </w:rPr>
              <w:t>External archive facility</w:t>
            </w:r>
          </w:p>
        </w:tc>
        <w:tc>
          <w:tcPr>
            <w:tcW w:w="6544" w:type="dxa"/>
          </w:tcPr>
          <w:p w14:paraId="72D632FA" w14:textId="02035C3A"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An off-site archive facility that is used to archive materials that are expected to be </w:t>
            </w:r>
            <w:r w:rsidR="00796C6B">
              <w:rPr>
                <w:rFonts w:asciiTheme="minorHAnsi" w:hAnsiTheme="minorHAnsi" w:cstheme="minorHAnsi"/>
              </w:rPr>
              <w:t xml:space="preserve">no longer </w:t>
            </w:r>
            <w:r w:rsidRPr="00362535">
              <w:rPr>
                <w:rFonts w:asciiTheme="minorHAnsi" w:hAnsiTheme="minorHAnsi" w:cstheme="minorHAnsi"/>
              </w:rPr>
              <w:t xml:space="preserve">used, e.g. </w:t>
            </w:r>
            <w:r w:rsidR="00796C6B">
              <w:rPr>
                <w:rFonts w:asciiTheme="minorHAnsi" w:hAnsiTheme="minorHAnsi" w:cstheme="minorHAnsi"/>
              </w:rPr>
              <w:t xml:space="preserve">the </w:t>
            </w:r>
            <w:r w:rsidRPr="00362535">
              <w:rPr>
                <w:rFonts w:asciiTheme="minorHAnsi" w:hAnsiTheme="minorHAnsi" w:cstheme="minorHAnsi"/>
              </w:rPr>
              <w:t xml:space="preserve">TMF after </w:t>
            </w:r>
            <w:r w:rsidR="00796C6B">
              <w:rPr>
                <w:rFonts w:asciiTheme="minorHAnsi" w:hAnsiTheme="minorHAnsi" w:cstheme="minorHAnsi"/>
              </w:rPr>
              <w:t xml:space="preserve">a </w:t>
            </w:r>
            <w:r w:rsidRPr="00362535">
              <w:rPr>
                <w:rFonts w:asciiTheme="minorHAnsi" w:hAnsiTheme="minorHAnsi" w:cstheme="minorHAnsi"/>
              </w:rPr>
              <w:t xml:space="preserve">trial is closed and </w:t>
            </w:r>
            <w:r w:rsidR="00796C6B">
              <w:rPr>
                <w:rFonts w:asciiTheme="minorHAnsi" w:hAnsiTheme="minorHAnsi" w:cstheme="minorHAnsi"/>
              </w:rPr>
              <w:t xml:space="preserve">the </w:t>
            </w:r>
            <w:r w:rsidRPr="00362535">
              <w:rPr>
                <w:rFonts w:asciiTheme="minorHAnsi" w:hAnsiTheme="minorHAnsi" w:cstheme="minorHAnsi"/>
              </w:rPr>
              <w:t>final report is generated</w:t>
            </w:r>
            <w:r>
              <w:rPr>
                <w:rFonts w:asciiTheme="minorHAnsi" w:hAnsiTheme="minorHAnsi" w:cstheme="minorHAnsi"/>
              </w:rPr>
              <w:t>.</w:t>
            </w:r>
          </w:p>
        </w:tc>
      </w:tr>
      <w:tr w:rsidR="00D86F1F" w:rsidRPr="00362535" w14:paraId="3D557276" w14:textId="77777777" w:rsidTr="00606938">
        <w:trPr>
          <w:cantSplit/>
        </w:trPr>
        <w:tc>
          <w:tcPr>
            <w:tcW w:w="2473" w:type="dxa"/>
          </w:tcPr>
          <w:p w14:paraId="12EB0E89" w14:textId="77777777" w:rsidR="00D86F1F" w:rsidRPr="00362535" w:rsidRDefault="00D86F1F" w:rsidP="00606938">
            <w:pPr>
              <w:pStyle w:val="AbbreviationsDefinitionsTerm"/>
              <w:rPr>
                <w:rFonts w:asciiTheme="minorHAnsi" w:hAnsiTheme="minorHAnsi" w:cstheme="minorHAnsi"/>
              </w:rPr>
            </w:pPr>
            <w:r w:rsidRPr="00362535">
              <w:rPr>
                <w:rFonts w:asciiTheme="minorHAnsi" w:hAnsiTheme="minorHAnsi" w:cstheme="minorHAnsi"/>
              </w:rPr>
              <w:t>Final analysis</w:t>
            </w:r>
          </w:p>
        </w:tc>
        <w:tc>
          <w:tcPr>
            <w:tcW w:w="6544" w:type="dxa"/>
          </w:tcPr>
          <w:p w14:paraId="5E99621A" w14:textId="4C86525B"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An analysis of </w:t>
            </w:r>
            <w:r>
              <w:rPr>
                <w:rFonts w:asciiTheme="minorHAnsi" w:hAnsiTheme="minorHAnsi" w:cstheme="minorHAnsi"/>
              </w:rPr>
              <w:t>project</w:t>
            </w:r>
            <w:r w:rsidRPr="00362535">
              <w:rPr>
                <w:rFonts w:asciiTheme="minorHAnsi" w:hAnsiTheme="minorHAnsi" w:cstheme="minorHAnsi"/>
              </w:rPr>
              <w:t xml:space="preserve"> data performed on the final cohort of </w:t>
            </w:r>
            <w:r>
              <w:rPr>
                <w:rFonts w:asciiTheme="minorHAnsi" w:hAnsiTheme="minorHAnsi" w:cstheme="minorHAnsi"/>
              </w:rPr>
              <w:t>participants</w:t>
            </w:r>
            <w:r w:rsidRPr="00362535">
              <w:rPr>
                <w:rFonts w:asciiTheme="minorHAnsi" w:hAnsiTheme="minorHAnsi" w:cstheme="minorHAnsi"/>
              </w:rPr>
              <w:t xml:space="preserve"> with follow-up as defined by the protocol and </w:t>
            </w:r>
            <w:r w:rsidR="00796C6B">
              <w:rPr>
                <w:rFonts w:asciiTheme="minorHAnsi" w:hAnsiTheme="minorHAnsi" w:cstheme="minorHAnsi"/>
              </w:rPr>
              <w:t>s</w:t>
            </w:r>
            <w:r w:rsidR="00796C6B" w:rsidRPr="00362535">
              <w:rPr>
                <w:rFonts w:asciiTheme="minorHAnsi" w:hAnsiTheme="minorHAnsi" w:cstheme="minorHAnsi"/>
              </w:rPr>
              <w:t xml:space="preserve">tatistical </w:t>
            </w:r>
            <w:r w:rsidR="00796C6B">
              <w:rPr>
                <w:rFonts w:asciiTheme="minorHAnsi" w:hAnsiTheme="minorHAnsi" w:cstheme="minorHAnsi"/>
              </w:rPr>
              <w:t>a</w:t>
            </w:r>
            <w:r w:rsidR="00796C6B" w:rsidRPr="00362535">
              <w:rPr>
                <w:rFonts w:asciiTheme="minorHAnsi" w:hAnsiTheme="minorHAnsi" w:cstheme="minorHAnsi"/>
              </w:rPr>
              <w:t xml:space="preserve">nalysis </w:t>
            </w:r>
            <w:r w:rsidR="00796C6B">
              <w:rPr>
                <w:rFonts w:asciiTheme="minorHAnsi" w:hAnsiTheme="minorHAnsi" w:cstheme="minorHAnsi"/>
              </w:rPr>
              <w:t>p</w:t>
            </w:r>
            <w:r w:rsidR="00796C6B" w:rsidRPr="00362535">
              <w:rPr>
                <w:rFonts w:asciiTheme="minorHAnsi" w:hAnsiTheme="minorHAnsi" w:cstheme="minorHAnsi"/>
              </w:rPr>
              <w:t>lan</w:t>
            </w:r>
            <w:r>
              <w:rPr>
                <w:rFonts w:asciiTheme="minorHAnsi" w:hAnsiTheme="minorHAnsi" w:cstheme="minorHAnsi"/>
              </w:rPr>
              <w:t>.</w:t>
            </w:r>
          </w:p>
        </w:tc>
      </w:tr>
      <w:tr w:rsidR="00D86F1F" w:rsidRPr="00362535" w14:paraId="0DED4629" w14:textId="77777777" w:rsidTr="00606938">
        <w:trPr>
          <w:cantSplit/>
        </w:trPr>
        <w:tc>
          <w:tcPr>
            <w:tcW w:w="2473" w:type="dxa"/>
          </w:tcPr>
          <w:p w14:paraId="1214EBBE" w14:textId="77777777"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GCP</w:t>
            </w:r>
          </w:p>
        </w:tc>
        <w:tc>
          <w:tcPr>
            <w:tcW w:w="6544" w:type="dxa"/>
          </w:tcPr>
          <w:p w14:paraId="47A48774" w14:textId="77777777" w:rsidR="00D86F1F" w:rsidRPr="00362535" w:rsidRDefault="00D86F1F" w:rsidP="00606938">
            <w:pPr>
              <w:rPr>
                <w:rFonts w:asciiTheme="minorHAnsi" w:hAnsiTheme="minorHAnsi" w:cstheme="minorHAnsi"/>
              </w:rPr>
            </w:pPr>
            <w:r>
              <w:rPr>
                <w:rFonts w:asciiTheme="minorHAnsi" w:hAnsiTheme="minorHAnsi" w:cstheme="minorHAnsi"/>
              </w:rPr>
              <w:t>Good Clinical Practice</w:t>
            </w:r>
          </w:p>
        </w:tc>
      </w:tr>
      <w:tr w:rsidR="00D86F1F" w:rsidRPr="00362535" w14:paraId="1BDD4446" w14:textId="77777777" w:rsidTr="00606938">
        <w:trPr>
          <w:cantSplit/>
        </w:trPr>
        <w:tc>
          <w:tcPr>
            <w:tcW w:w="2473" w:type="dxa"/>
          </w:tcPr>
          <w:p w14:paraId="62A93E47" w14:textId="77777777" w:rsidR="00D86F1F" w:rsidRDefault="00D86F1F" w:rsidP="00606938">
            <w:pPr>
              <w:pStyle w:val="AbbreviationsDefinitionsTerm"/>
              <w:rPr>
                <w:rFonts w:asciiTheme="minorHAnsi" w:hAnsiTheme="minorHAnsi" w:cstheme="minorHAnsi"/>
              </w:rPr>
            </w:pPr>
            <w:r>
              <w:rPr>
                <w:rFonts w:asciiTheme="minorHAnsi" w:hAnsiTheme="minorHAnsi" w:cstheme="minorHAnsi"/>
              </w:rPr>
              <w:t>ISF</w:t>
            </w:r>
          </w:p>
        </w:tc>
        <w:tc>
          <w:tcPr>
            <w:tcW w:w="6544" w:type="dxa"/>
          </w:tcPr>
          <w:p w14:paraId="11C70A27" w14:textId="26CE24DB" w:rsidR="00D86F1F" w:rsidRDefault="00D86F1F" w:rsidP="00606938">
            <w:pPr>
              <w:rPr>
                <w:rFonts w:asciiTheme="minorHAnsi" w:hAnsiTheme="minorHAnsi" w:cstheme="minorHAnsi"/>
              </w:rPr>
            </w:pPr>
            <w:r>
              <w:rPr>
                <w:rFonts w:asciiTheme="minorHAnsi" w:hAnsiTheme="minorHAnsi" w:cstheme="minorHAnsi"/>
              </w:rPr>
              <w:t xml:space="preserve">Investigator </w:t>
            </w:r>
            <w:r w:rsidR="00796C6B">
              <w:rPr>
                <w:rFonts w:asciiTheme="minorHAnsi" w:hAnsiTheme="minorHAnsi" w:cstheme="minorHAnsi"/>
              </w:rPr>
              <w:t>site file</w:t>
            </w:r>
            <w:r>
              <w:rPr>
                <w:rFonts w:asciiTheme="minorHAnsi" w:hAnsiTheme="minorHAnsi" w:cstheme="minorHAnsi"/>
              </w:rPr>
              <w:t xml:space="preserve">. See ‘Site </w:t>
            </w:r>
            <w:r w:rsidR="00796C6B">
              <w:rPr>
                <w:rFonts w:asciiTheme="minorHAnsi" w:hAnsiTheme="minorHAnsi" w:cstheme="minorHAnsi"/>
              </w:rPr>
              <w:t>file’</w:t>
            </w:r>
            <w:r>
              <w:rPr>
                <w:rFonts w:asciiTheme="minorHAnsi" w:hAnsiTheme="minorHAnsi" w:cstheme="minorHAnsi"/>
              </w:rPr>
              <w:t>.</w:t>
            </w:r>
          </w:p>
        </w:tc>
      </w:tr>
      <w:tr w:rsidR="00D86F1F" w:rsidRPr="00362535" w14:paraId="6C2DA50E" w14:textId="77777777" w:rsidTr="00606938">
        <w:trPr>
          <w:cantSplit/>
        </w:trPr>
        <w:tc>
          <w:tcPr>
            <w:tcW w:w="2473" w:type="dxa"/>
          </w:tcPr>
          <w:p w14:paraId="1290FD8F" w14:textId="44785544"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 xml:space="preserve">Laboratory </w:t>
            </w:r>
            <w:r w:rsidR="00796C6B">
              <w:rPr>
                <w:rFonts w:asciiTheme="minorHAnsi" w:hAnsiTheme="minorHAnsi" w:cstheme="minorHAnsi"/>
              </w:rPr>
              <w:t xml:space="preserve">master file </w:t>
            </w:r>
            <w:r>
              <w:rPr>
                <w:rFonts w:asciiTheme="minorHAnsi" w:hAnsiTheme="minorHAnsi" w:cstheme="minorHAnsi"/>
              </w:rPr>
              <w:t>(LMF)</w:t>
            </w:r>
          </w:p>
        </w:tc>
        <w:tc>
          <w:tcPr>
            <w:tcW w:w="6544" w:type="dxa"/>
          </w:tcPr>
          <w:p w14:paraId="5F5C1F67" w14:textId="576BD9DC" w:rsidR="00D86F1F" w:rsidRPr="00362535" w:rsidRDefault="00D86F1F" w:rsidP="00606938">
            <w:pPr>
              <w:rPr>
                <w:rFonts w:asciiTheme="minorHAnsi" w:hAnsiTheme="minorHAnsi" w:cstheme="minorHAnsi"/>
              </w:rPr>
            </w:pPr>
            <w:r>
              <w:t xml:space="preserve">A file containing evidence of a documented approach to GCP compliance </w:t>
            </w:r>
            <w:r w:rsidR="00796C6B">
              <w:t xml:space="preserve">in </w:t>
            </w:r>
            <w:r>
              <w:t>the laboratory.</w:t>
            </w:r>
          </w:p>
        </w:tc>
      </w:tr>
      <w:tr w:rsidR="00D86F1F" w:rsidRPr="00362535" w14:paraId="7EB91BDF" w14:textId="77777777" w:rsidTr="00606938">
        <w:trPr>
          <w:cantSplit/>
        </w:trPr>
        <w:tc>
          <w:tcPr>
            <w:tcW w:w="2473" w:type="dxa"/>
          </w:tcPr>
          <w:p w14:paraId="2E2206D8" w14:textId="77777777" w:rsidR="00D86F1F" w:rsidRDefault="00D86F1F" w:rsidP="00606938">
            <w:pPr>
              <w:pStyle w:val="AbbreviationsDefinitionsTerm"/>
              <w:rPr>
                <w:rFonts w:asciiTheme="minorHAnsi" w:hAnsiTheme="minorHAnsi" w:cstheme="minorHAnsi"/>
              </w:rPr>
            </w:pPr>
            <w:r>
              <w:rPr>
                <w:rFonts w:asciiTheme="minorHAnsi" w:hAnsiTheme="minorHAnsi" w:cstheme="minorHAnsi"/>
              </w:rPr>
              <w:t>PI</w:t>
            </w:r>
          </w:p>
        </w:tc>
        <w:tc>
          <w:tcPr>
            <w:tcW w:w="6544" w:type="dxa"/>
          </w:tcPr>
          <w:p w14:paraId="6A6D5094" w14:textId="5F91A3B0" w:rsidR="00D86F1F" w:rsidRDefault="00D86F1F" w:rsidP="00606938">
            <w:r>
              <w:t xml:space="preserve">Principal </w:t>
            </w:r>
            <w:r w:rsidR="00796C6B">
              <w:t>investigator</w:t>
            </w:r>
          </w:p>
        </w:tc>
      </w:tr>
      <w:tr w:rsidR="00D86F1F" w:rsidRPr="00362535" w14:paraId="5EFD850E" w14:textId="77777777" w:rsidTr="00606938">
        <w:trPr>
          <w:cantSplit/>
        </w:trPr>
        <w:tc>
          <w:tcPr>
            <w:tcW w:w="2473" w:type="dxa"/>
          </w:tcPr>
          <w:p w14:paraId="1E6F3F9C" w14:textId="4A87651B" w:rsidR="00D86F1F" w:rsidRPr="00362535" w:rsidRDefault="00D86F1F" w:rsidP="00606938">
            <w:pPr>
              <w:pStyle w:val="AbbreviationsDefinitionsTerm"/>
              <w:rPr>
                <w:rFonts w:asciiTheme="minorHAnsi" w:hAnsiTheme="minorHAnsi" w:cstheme="minorHAnsi"/>
              </w:rPr>
            </w:pPr>
            <w:r>
              <w:rPr>
                <w:rFonts w:asciiTheme="minorHAnsi" w:hAnsiTheme="minorHAnsi" w:cstheme="minorHAnsi"/>
              </w:rPr>
              <w:t>Project</w:t>
            </w:r>
            <w:r w:rsidRPr="00362535">
              <w:rPr>
                <w:rFonts w:asciiTheme="minorHAnsi" w:hAnsiTheme="minorHAnsi" w:cstheme="minorHAnsi"/>
              </w:rPr>
              <w:t xml:space="preserve"> </w:t>
            </w:r>
            <w:r>
              <w:rPr>
                <w:rFonts w:asciiTheme="minorHAnsi" w:hAnsiTheme="minorHAnsi" w:cstheme="minorHAnsi"/>
              </w:rPr>
              <w:t>m</w:t>
            </w:r>
            <w:r w:rsidRPr="00362535">
              <w:rPr>
                <w:rFonts w:asciiTheme="minorHAnsi" w:hAnsiTheme="minorHAnsi" w:cstheme="minorHAnsi"/>
              </w:rPr>
              <w:t>ailbox</w:t>
            </w:r>
          </w:p>
        </w:tc>
        <w:tc>
          <w:tcPr>
            <w:tcW w:w="6544" w:type="dxa"/>
          </w:tcPr>
          <w:p w14:paraId="2CE8186B" w14:textId="0DCDFD19" w:rsidR="00D86F1F" w:rsidRPr="00362535" w:rsidRDefault="00D86F1F" w:rsidP="00606938">
            <w:pPr>
              <w:rPr>
                <w:rFonts w:asciiTheme="minorHAnsi" w:hAnsiTheme="minorHAnsi" w:cstheme="minorHAnsi"/>
              </w:rPr>
            </w:pPr>
            <w:r w:rsidRPr="00362535">
              <w:rPr>
                <w:rFonts w:asciiTheme="minorHAnsi" w:hAnsiTheme="minorHAnsi" w:cstheme="minorHAnsi"/>
              </w:rPr>
              <w:t>Central</w:t>
            </w:r>
            <w:r>
              <w:rPr>
                <w:rFonts w:asciiTheme="minorHAnsi" w:hAnsiTheme="minorHAnsi" w:cstheme="minorHAnsi"/>
              </w:rPr>
              <w:t xml:space="preserve"> m</w:t>
            </w:r>
            <w:r w:rsidRPr="00362535">
              <w:rPr>
                <w:rFonts w:asciiTheme="minorHAnsi" w:hAnsiTheme="minorHAnsi" w:cstheme="minorHAnsi"/>
              </w:rPr>
              <w:t>ailbox stored on the University of Birmingham</w:t>
            </w:r>
            <w:r w:rsidR="0056729E">
              <w:rPr>
                <w:rFonts w:asciiTheme="minorHAnsi" w:hAnsiTheme="minorHAnsi" w:cstheme="minorHAnsi"/>
              </w:rPr>
              <w:t>’s</w:t>
            </w:r>
            <w:r w:rsidRPr="00362535">
              <w:rPr>
                <w:rFonts w:asciiTheme="minorHAnsi" w:hAnsiTheme="minorHAnsi" w:cstheme="minorHAnsi"/>
              </w:rPr>
              <w:t xml:space="preserve"> </w:t>
            </w:r>
            <w:r>
              <w:rPr>
                <w:rFonts w:asciiTheme="minorHAnsi" w:hAnsiTheme="minorHAnsi" w:cstheme="minorHAnsi"/>
              </w:rPr>
              <w:t>e</w:t>
            </w:r>
            <w:r w:rsidRPr="00362535">
              <w:rPr>
                <w:rFonts w:asciiTheme="minorHAnsi" w:hAnsiTheme="minorHAnsi" w:cstheme="minorHAnsi"/>
              </w:rPr>
              <w:t xml:space="preserve">mail </w:t>
            </w:r>
            <w:r>
              <w:rPr>
                <w:rFonts w:asciiTheme="minorHAnsi" w:hAnsiTheme="minorHAnsi" w:cstheme="minorHAnsi"/>
              </w:rPr>
              <w:t>s</w:t>
            </w:r>
            <w:r w:rsidRPr="00362535">
              <w:rPr>
                <w:rFonts w:asciiTheme="minorHAnsi" w:hAnsiTheme="minorHAnsi" w:cstheme="minorHAnsi"/>
              </w:rPr>
              <w:t>ystem</w:t>
            </w:r>
            <w:r w:rsidR="0056729E">
              <w:rPr>
                <w:rFonts w:asciiTheme="minorHAnsi" w:hAnsiTheme="minorHAnsi" w:cstheme="minorHAnsi"/>
              </w:rPr>
              <w:t>. U</w:t>
            </w:r>
            <w:r w:rsidRPr="00362535">
              <w:rPr>
                <w:rFonts w:asciiTheme="minorHAnsi" w:hAnsiTheme="minorHAnsi" w:cstheme="minorHAnsi"/>
              </w:rPr>
              <w:t xml:space="preserve">sed as a central </w:t>
            </w:r>
            <w:r>
              <w:rPr>
                <w:rFonts w:asciiTheme="minorHAnsi" w:hAnsiTheme="minorHAnsi" w:cstheme="minorHAnsi"/>
              </w:rPr>
              <w:t>e</w:t>
            </w:r>
            <w:r w:rsidRPr="00362535">
              <w:rPr>
                <w:rFonts w:asciiTheme="minorHAnsi" w:hAnsiTheme="minorHAnsi" w:cstheme="minorHAnsi"/>
              </w:rPr>
              <w:t xml:space="preserve">mail address and storage facility for all </w:t>
            </w:r>
            <w:r>
              <w:rPr>
                <w:rFonts w:asciiTheme="minorHAnsi" w:hAnsiTheme="minorHAnsi" w:cstheme="minorHAnsi"/>
              </w:rPr>
              <w:t>e</w:t>
            </w:r>
            <w:r w:rsidRPr="00362535">
              <w:rPr>
                <w:rFonts w:asciiTheme="minorHAnsi" w:hAnsiTheme="minorHAnsi" w:cstheme="minorHAnsi"/>
              </w:rPr>
              <w:t xml:space="preserve">mails relating to the </w:t>
            </w:r>
            <w:r>
              <w:rPr>
                <w:rFonts w:asciiTheme="minorHAnsi" w:hAnsiTheme="minorHAnsi" w:cstheme="minorHAnsi"/>
              </w:rPr>
              <w:t>project</w:t>
            </w:r>
            <w:r w:rsidRPr="00362535">
              <w:rPr>
                <w:rFonts w:asciiTheme="minorHAnsi" w:hAnsiTheme="minorHAnsi" w:cstheme="minorHAnsi"/>
              </w:rPr>
              <w:t>. Access to the mailbox is allocated to specified staff members as required.</w:t>
            </w:r>
          </w:p>
        </w:tc>
      </w:tr>
      <w:tr w:rsidR="00D86F1F" w:rsidRPr="00362535" w14:paraId="24DAE68F" w14:textId="77777777" w:rsidTr="00606938">
        <w:trPr>
          <w:cantSplit/>
        </w:trPr>
        <w:tc>
          <w:tcPr>
            <w:tcW w:w="2473" w:type="dxa"/>
          </w:tcPr>
          <w:p w14:paraId="3EE64F2A" w14:textId="77777777" w:rsidR="00D86F1F" w:rsidRDefault="00D86F1F" w:rsidP="00606938">
            <w:pPr>
              <w:pStyle w:val="AbbreviationsDefinitionsTerm"/>
              <w:rPr>
                <w:rFonts w:asciiTheme="minorHAnsi" w:hAnsiTheme="minorHAnsi" w:cstheme="minorHAnsi"/>
              </w:rPr>
            </w:pPr>
            <w:r>
              <w:rPr>
                <w:rFonts w:asciiTheme="minorHAnsi" w:hAnsiTheme="minorHAnsi" w:cstheme="minorHAnsi"/>
              </w:rPr>
              <w:t>REC</w:t>
            </w:r>
          </w:p>
        </w:tc>
        <w:tc>
          <w:tcPr>
            <w:tcW w:w="6544" w:type="dxa"/>
          </w:tcPr>
          <w:p w14:paraId="2477D95F" w14:textId="10D6B43E" w:rsidR="00D86F1F" w:rsidRPr="00362535" w:rsidRDefault="00D86F1F" w:rsidP="00606938">
            <w:pPr>
              <w:rPr>
                <w:rFonts w:asciiTheme="minorHAnsi" w:hAnsiTheme="minorHAnsi" w:cstheme="minorHAnsi"/>
              </w:rPr>
            </w:pPr>
            <w:r>
              <w:rPr>
                <w:rFonts w:asciiTheme="minorHAnsi" w:hAnsiTheme="minorHAnsi" w:cstheme="minorHAnsi"/>
              </w:rPr>
              <w:t xml:space="preserve">Research </w:t>
            </w:r>
            <w:r w:rsidR="0056729E">
              <w:rPr>
                <w:rFonts w:asciiTheme="minorHAnsi" w:hAnsiTheme="minorHAnsi" w:cstheme="minorHAnsi"/>
              </w:rPr>
              <w:t>ethics committee</w:t>
            </w:r>
          </w:p>
        </w:tc>
      </w:tr>
      <w:tr w:rsidR="00D86F1F" w:rsidRPr="00362535" w14:paraId="766C1774" w14:textId="77777777" w:rsidTr="00606938">
        <w:trPr>
          <w:cantSplit/>
        </w:trPr>
        <w:tc>
          <w:tcPr>
            <w:tcW w:w="2473" w:type="dxa"/>
          </w:tcPr>
          <w:p w14:paraId="7CCBB5A4" w14:textId="17CD64D9" w:rsidR="00D86F1F" w:rsidRDefault="0056729E" w:rsidP="00606938">
            <w:pPr>
              <w:pStyle w:val="AbbreviationsDefinitionsTerm"/>
              <w:rPr>
                <w:rFonts w:asciiTheme="minorHAnsi" w:hAnsiTheme="minorHAnsi" w:cstheme="minorHAnsi"/>
              </w:rPr>
            </w:pPr>
            <w:r>
              <w:rPr>
                <w:rFonts w:asciiTheme="minorHAnsi" w:hAnsiTheme="minorHAnsi" w:cstheme="minorHAnsi"/>
              </w:rPr>
              <w:t>REGI</w:t>
            </w:r>
          </w:p>
        </w:tc>
        <w:tc>
          <w:tcPr>
            <w:tcW w:w="6544" w:type="dxa"/>
          </w:tcPr>
          <w:p w14:paraId="2E044F89" w14:textId="0F139773" w:rsidR="00D86F1F" w:rsidRDefault="00D86F1F" w:rsidP="00606938">
            <w:pPr>
              <w:rPr>
                <w:rFonts w:asciiTheme="minorHAnsi" w:hAnsiTheme="minorHAnsi" w:cstheme="minorHAnsi"/>
              </w:rPr>
            </w:pPr>
            <w:r>
              <w:rPr>
                <w:rFonts w:asciiTheme="minorHAnsi" w:hAnsiTheme="minorHAnsi" w:cstheme="minorHAnsi"/>
              </w:rPr>
              <w:t xml:space="preserve">Research </w:t>
            </w:r>
            <w:r w:rsidR="0056729E">
              <w:rPr>
                <w:rFonts w:asciiTheme="minorHAnsi" w:hAnsiTheme="minorHAnsi" w:cstheme="minorHAnsi"/>
              </w:rPr>
              <w:t xml:space="preserve">Ethics, </w:t>
            </w:r>
            <w:r>
              <w:rPr>
                <w:rFonts w:asciiTheme="minorHAnsi" w:hAnsiTheme="minorHAnsi" w:cstheme="minorHAnsi"/>
              </w:rPr>
              <w:t xml:space="preserve">Governance </w:t>
            </w:r>
            <w:r w:rsidR="0056729E">
              <w:rPr>
                <w:rFonts w:asciiTheme="minorHAnsi" w:hAnsiTheme="minorHAnsi" w:cstheme="minorHAnsi"/>
              </w:rPr>
              <w:t xml:space="preserve">and Integrity </w:t>
            </w:r>
            <w:r>
              <w:rPr>
                <w:rFonts w:asciiTheme="minorHAnsi" w:hAnsiTheme="minorHAnsi" w:cstheme="minorHAnsi"/>
              </w:rPr>
              <w:t>Team</w:t>
            </w:r>
          </w:p>
        </w:tc>
      </w:tr>
      <w:tr w:rsidR="00D86F1F" w:rsidRPr="00362535" w14:paraId="483BDE14" w14:textId="77777777" w:rsidTr="00606938">
        <w:trPr>
          <w:cantSplit/>
        </w:trPr>
        <w:tc>
          <w:tcPr>
            <w:tcW w:w="2473" w:type="dxa"/>
          </w:tcPr>
          <w:p w14:paraId="2BCCB16E" w14:textId="3DA2A6C2" w:rsidR="00D86F1F" w:rsidRPr="00362535" w:rsidRDefault="00D86F1F" w:rsidP="00606938">
            <w:pPr>
              <w:pStyle w:val="StyleDefinitionsabbreviationsLatinArialAfter0ptLi"/>
            </w:pPr>
            <w:r w:rsidRPr="00362535">
              <w:t xml:space="preserve">Site </w:t>
            </w:r>
            <w:r w:rsidR="0056729E">
              <w:t>f</w:t>
            </w:r>
            <w:r w:rsidR="0056729E" w:rsidRPr="00362535">
              <w:t xml:space="preserve">ile </w:t>
            </w:r>
          </w:p>
          <w:p w14:paraId="66BF9F34" w14:textId="77777777" w:rsidR="00D86F1F" w:rsidRPr="00362535" w:rsidRDefault="00D86F1F" w:rsidP="00606938">
            <w:pPr>
              <w:pStyle w:val="AbbreviationsDefinitionsTerm"/>
              <w:rPr>
                <w:rFonts w:asciiTheme="minorHAnsi" w:hAnsiTheme="minorHAnsi" w:cstheme="minorHAnsi"/>
              </w:rPr>
            </w:pPr>
          </w:p>
        </w:tc>
        <w:tc>
          <w:tcPr>
            <w:tcW w:w="6544" w:type="dxa"/>
          </w:tcPr>
          <w:p w14:paraId="604B6A5A" w14:textId="60AF82BD" w:rsidR="00D86F1F" w:rsidRPr="00362535" w:rsidRDefault="00D86F1F" w:rsidP="00606938">
            <w:pPr>
              <w:rPr>
                <w:rFonts w:asciiTheme="minorHAnsi" w:hAnsiTheme="minorHAnsi" w:cstheme="minorHAnsi"/>
              </w:rPr>
            </w:pPr>
            <w:r w:rsidRPr="002E53DC">
              <w:rPr>
                <w:rFonts w:asciiTheme="minorHAnsi" w:hAnsiTheme="minorHAnsi" w:cstheme="minorHAnsi"/>
              </w:rPr>
              <w:t xml:space="preserve">The </w:t>
            </w:r>
            <w:r w:rsidR="0056729E">
              <w:rPr>
                <w:rFonts w:asciiTheme="minorHAnsi" w:hAnsiTheme="minorHAnsi" w:cstheme="minorHAnsi"/>
              </w:rPr>
              <w:t>s</w:t>
            </w:r>
            <w:r w:rsidR="0056729E" w:rsidRPr="002E53DC">
              <w:rPr>
                <w:rFonts w:asciiTheme="minorHAnsi" w:hAnsiTheme="minorHAnsi" w:cstheme="minorHAnsi"/>
              </w:rPr>
              <w:t xml:space="preserve">ite </w:t>
            </w:r>
            <w:r w:rsidR="0056729E">
              <w:rPr>
                <w:rFonts w:asciiTheme="minorHAnsi" w:hAnsiTheme="minorHAnsi" w:cstheme="minorHAnsi"/>
              </w:rPr>
              <w:t>f</w:t>
            </w:r>
            <w:r w:rsidR="0056729E" w:rsidRPr="002E53DC">
              <w:rPr>
                <w:rFonts w:asciiTheme="minorHAnsi" w:hAnsiTheme="minorHAnsi" w:cstheme="minorHAnsi"/>
              </w:rPr>
              <w:t xml:space="preserve">ile </w:t>
            </w:r>
            <w:r w:rsidRPr="002E53DC">
              <w:rPr>
                <w:rFonts w:asciiTheme="minorHAnsi" w:hAnsiTheme="minorHAnsi" w:cstheme="minorHAnsi"/>
              </w:rPr>
              <w:t xml:space="preserve">contains all essential documents held by </w:t>
            </w:r>
            <w:r w:rsidR="0056729E">
              <w:rPr>
                <w:rFonts w:asciiTheme="minorHAnsi" w:hAnsiTheme="minorHAnsi" w:cstheme="minorHAnsi"/>
              </w:rPr>
              <w:t>p</w:t>
            </w:r>
            <w:r w:rsidR="0056729E" w:rsidRPr="002E53DC">
              <w:rPr>
                <w:rFonts w:asciiTheme="minorHAnsi" w:hAnsiTheme="minorHAnsi" w:cstheme="minorHAnsi"/>
              </w:rPr>
              <w:t xml:space="preserve">rincipal </w:t>
            </w:r>
            <w:r w:rsidR="0056729E">
              <w:rPr>
                <w:rFonts w:asciiTheme="minorHAnsi" w:hAnsiTheme="minorHAnsi" w:cstheme="minorHAnsi"/>
              </w:rPr>
              <w:t>i</w:t>
            </w:r>
            <w:r w:rsidRPr="002E53DC">
              <w:rPr>
                <w:rFonts w:asciiTheme="minorHAnsi" w:hAnsiTheme="minorHAnsi" w:cstheme="minorHAnsi"/>
              </w:rPr>
              <w:t xml:space="preserve">nvestigator(s) conducting a trial which individually and collectively permit the evaluation of the conduct of a trial and the quality of the data produced. Also known as the </w:t>
            </w:r>
            <w:r w:rsidR="0056729E">
              <w:rPr>
                <w:rFonts w:asciiTheme="minorHAnsi" w:hAnsiTheme="minorHAnsi" w:cstheme="minorHAnsi"/>
              </w:rPr>
              <w:t>i</w:t>
            </w:r>
            <w:r w:rsidR="0056729E" w:rsidRPr="002E53DC">
              <w:rPr>
                <w:rFonts w:asciiTheme="minorHAnsi" w:hAnsiTheme="minorHAnsi" w:cstheme="minorHAnsi"/>
              </w:rPr>
              <w:t xml:space="preserve">nvestigator </w:t>
            </w:r>
            <w:r w:rsidR="0056729E">
              <w:rPr>
                <w:rFonts w:asciiTheme="minorHAnsi" w:hAnsiTheme="minorHAnsi" w:cstheme="minorHAnsi"/>
              </w:rPr>
              <w:t>s</w:t>
            </w:r>
            <w:r w:rsidR="0056729E" w:rsidRPr="002E53DC">
              <w:rPr>
                <w:rFonts w:asciiTheme="minorHAnsi" w:hAnsiTheme="minorHAnsi" w:cstheme="minorHAnsi"/>
              </w:rPr>
              <w:t xml:space="preserve">ite </w:t>
            </w:r>
            <w:r w:rsidR="0056729E">
              <w:rPr>
                <w:rFonts w:asciiTheme="minorHAnsi" w:hAnsiTheme="minorHAnsi" w:cstheme="minorHAnsi"/>
              </w:rPr>
              <w:t>f</w:t>
            </w:r>
            <w:r w:rsidR="0056729E" w:rsidRPr="002E53DC">
              <w:rPr>
                <w:rFonts w:asciiTheme="minorHAnsi" w:hAnsiTheme="minorHAnsi" w:cstheme="minorHAnsi"/>
              </w:rPr>
              <w:t xml:space="preserve">ile </w:t>
            </w:r>
            <w:r w:rsidRPr="002E53DC">
              <w:rPr>
                <w:rFonts w:asciiTheme="minorHAnsi" w:hAnsiTheme="minorHAnsi" w:cstheme="minorHAnsi"/>
              </w:rPr>
              <w:t>(ISF).</w:t>
            </w:r>
            <w:r w:rsidRPr="00362535">
              <w:rPr>
                <w:rFonts w:asciiTheme="minorHAnsi" w:hAnsiTheme="minorHAnsi" w:cstheme="minorHAnsi"/>
              </w:rPr>
              <w:t xml:space="preserve"> </w:t>
            </w:r>
          </w:p>
        </w:tc>
      </w:tr>
      <w:tr w:rsidR="00D86F1F" w:rsidRPr="00362535" w14:paraId="597DAD48" w14:textId="77777777" w:rsidTr="00606938">
        <w:trPr>
          <w:cantSplit/>
        </w:trPr>
        <w:tc>
          <w:tcPr>
            <w:tcW w:w="2473" w:type="dxa"/>
          </w:tcPr>
          <w:p w14:paraId="3BC387DF" w14:textId="77777777" w:rsidR="00D86F1F" w:rsidRPr="00362535" w:rsidRDefault="00D86F1F" w:rsidP="00606938">
            <w:pPr>
              <w:pStyle w:val="StyleDefinitionsabbreviationsLatinArialAfter0ptLi"/>
            </w:pPr>
            <w:r>
              <w:t>SOP</w:t>
            </w:r>
          </w:p>
        </w:tc>
        <w:tc>
          <w:tcPr>
            <w:tcW w:w="6544" w:type="dxa"/>
          </w:tcPr>
          <w:p w14:paraId="57405159" w14:textId="1585B313" w:rsidR="00D86F1F" w:rsidRPr="002E53DC" w:rsidRDefault="00D86F1F" w:rsidP="00606938">
            <w:pPr>
              <w:rPr>
                <w:rFonts w:asciiTheme="minorHAnsi" w:hAnsiTheme="minorHAnsi" w:cstheme="minorHAnsi"/>
              </w:rPr>
            </w:pPr>
            <w:r>
              <w:rPr>
                <w:rFonts w:asciiTheme="minorHAnsi" w:hAnsiTheme="minorHAnsi" w:cstheme="minorHAnsi"/>
              </w:rPr>
              <w:t xml:space="preserve">Standard </w:t>
            </w:r>
            <w:r w:rsidR="0056729E">
              <w:rPr>
                <w:rFonts w:asciiTheme="minorHAnsi" w:hAnsiTheme="minorHAnsi" w:cstheme="minorHAnsi"/>
              </w:rPr>
              <w:t>operating procedure</w:t>
            </w:r>
          </w:p>
        </w:tc>
      </w:tr>
      <w:tr w:rsidR="00D86F1F" w:rsidRPr="00362535" w14:paraId="26B333F5" w14:textId="77777777" w:rsidTr="00606938">
        <w:trPr>
          <w:cantSplit/>
        </w:trPr>
        <w:tc>
          <w:tcPr>
            <w:tcW w:w="2473" w:type="dxa"/>
          </w:tcPr>
          <w:p w14:paraId="456D76DA" w14:textId="350F1155" w:rsidR="00D86F1F" w:rsidRPr="00362535" w:rsidRDefault="00D86F1F" w:rsidP="00606938">
            <w:pPr>
              <w:pStyle w:val="StyleDefinitionsabbreviationsLatinArialAfter0ptLi"/>
            </w:pPr>
            <w:r>
              <w:lastRenderedPageBreak/>
              <w:t>Study/</w:t>
            </w:r>
            <w:r w:rsidR="0056729E">
              <w:t>trial</w:t>
            </w:r>
            <w:r w:rsidR="0056729E" w:rsidRPr="00362535">
              <w:t xml:space="preserve"> </w:t>
            </w:r>
            <w:r w:rsidR="0056729E">
              <w:t>m</w:t>
            </w:r>
            <w:r w:rsidR="0056729E" w:rsidRPr="00362535">
              <w:t xml:space="preserve">aster </w:t>
            </w:r>
            <w:r w:rsidR="0056729E">
              <w:t>f</w:t>
            </w:r>
            <w:r w:rsidR="0056729E" w:rsidRPr="00362535">
              <w:t>ile</w:t>
            </w:r>
            <w:r w:rsidR="0056729E">
              <w:t xml:space="preserve"> </w:t>
            </w:r>
            <w:r>
              <w:t>(S/TMF)</w:t>
            </w:r>
          </w:p>
          <w:p w14:paraId="13755EEB" w14:textId="77777777" w:rsidR="00D86F1F" w:rsidRPr="00362535" w:rsidRDefault="00D86F1F" w:rsidP="00606938">
            <w:pPr>
              <w:pStyle w:val="AbbreviationsDefinitionsTerm"/>
              <w:rPr>
                <w:rFonts w:asciiTheme="minorHAnsi" w:hAnsiTheme="minorHAnsi" w:cstheme="minorHAnsi"/>
              </w:rPr>
            </w:pPr>
          </w:p>
        </w:tc>
        <w:tc>
          <w:tcPr>
            <w:tcW w:w="6544" w:type="dxa"/>
          </w:tcPr>
          <w:p w14:paraId="18C7090F" w14:textId="22388DD8" w:rsidR="00D86F1F" w:rsidRPr="00362535" w:rsidRDefault="00D86F1F" w:rsidP="00606938">
            <w:pPr>
              <w:rPr>
                <w:rFonts w:asciiTheme="minorHAnsi" w:hAnsiTheme="minorHAnsi" w:cstheme="minorHAnsi"/>
              </w:rPr>
            </w:pPr>
            <w:r w:rsidRPr="007B40BA">
              <w:t xml:space="preserve">The </w:t>
            </w:r>
            <w:r w:rsidR="0056729E">
              <w:t>s</w:t>
            </w:r>
            <w:r w:rsidR="0056729E" w:rsidRPr="007B40BA">
              <w:t>tudy</w:t>
            </w:r>
            <w:r>
              <w:t>/</w:t>
            </w:r>
            <w:r w:rsidR="0056729E">
              <w:t xml:space="preserve">trial master file </w:t>
            </w:r>
            <w:r>
              <w:t>consists of essential d</w:t>
            </w:r>
            <w:r w:rsidRPr="007B40BA">
              <w:t xml:space="preserve">ocuments kept at the </w:t>
            </w:r>
            <w:r w:rsidR="0056729E">
              <w:t>s</w:t>
            </w:r>
            <w:r w:rsidR="0056729E" w:rsidRPr="007B40BA">
              <w:t xml:space="preserve">ponsor </w:t>
            </w:r>
            <w:r w:rsidRPr="007B40BA">
              <w:t>(or delegate) site, which enable</w:t>
            </w:r>
            <w:r>
              <w:t>s</w:t>
            </w:r>
            <w:r w:rsidRPr="007B40BA">
              <w:t xml:space="preserve"> both the conduc</w:t>
            </w:r>
            <w:r>
              <w:t xml:space="preserve">t of a clinical study/trial </w:t>
            </w:r>
            <w:r w:rsidRPr="007B40BA">
              <w:t>and the quality of the data produced to be evaluated. The filing system can be in the form of a single file or a number of files as deemed most appropriate.</w:t>
            </w:r>
          </w:p>
        </w:tc>
      </w:tr>
      <w:tr w:rsidR="00D86F1F" w:rsidRPr="00362535" w14:paraId="20F8BBA2" w14:textId="77777777" w:rsidTr="00606938">
        <w:trPr>
          <w:cantSplit/>
          <w:trHeight w:val="70"/>
        </w:trPr>
        <w:tc>
          <w:tcPr>
            <w:tcW w:w="2473" w:type="dxa"/>
          </w:tcPr>
          <w:p w14:paraId="43DCF7A0" w14:textId="77777777" w:rsidR="00D86F1F" w:rsidRPr="00362535" w:rsidRDefault="00D86F1F" w:rsidP="00606938">
            <w:pPr>
              <w:pStyle w:val="StyleDefinitionsabbreviationsLatinArialAfter0ptLi"/>
            </w:pPr>
            <w:r>
              <w:t>Study/trial</w:t>
            </w:r>
            <w:r w:rsidRPr="00362535">
              <w:t xml:space="preserve"> system </w:t>
            </w:r>
          </w:p>
          <w:p w14:paraId="0F1482C1" w14:textId="77777777" w:rsidR="00D86F1F" w:rsidRPr="00362535" w:rsidRDefault="00D86F1F" w:rsidP="00606938">
            <w:pPr>
              <w:pStyle w:val="AbbreviationsDefinitionsTerm"/>
              <w:rPr>
                <w:rFonts w:asciiTheme="minorHAnsi" w:hAnsiTheme="minorHAnsi" w:cstheme="minorHAnsi"/>
              </w:rPr>
            </w:pPr>
          </w:p>
        </w:tc>
        <w:tc>
          <w:tcPr>
            <w:tcW w:w="6544" w:type="dxa"/>
          </w:tcPr>
          <w:p w14:paraId="20E8E07C" w14:textId="6EA6634B" w:rsidR="00D86F1F" w:rsidRPr="00362535" w:rsidRDefault="00D86F1F" w:rsidP="00606938">
            <w:pPr>
              <w:rPr>
                <w:rFonts w:asciiTheme="minorHAnsi" w:hAnsiTheme="minorHAnsi" w:cstheme="minorHAnsi"/>
              </w:rPr>
            </w:pPr>
            <w:r w:rsidRPr="00362535">
              <w:rPr>
                <w:rFonts w:asciiTheme="minorHAnsi" w:hAnsiTheme="minorHAnsi" w:cstheme="minorHAnsi"/>
              </w:rPr>
              <w:t xml:space="preserve">The </w:t>
            </w:r>
            <w:r>
              <w:rPr>
                <w:rFonts w:asciiTheme="minorHAnsi" w:hAnsiTheme="minorHAnsi" w:cstheme="minorHAnsi"/>
              </w:rPr>
              <w:t>study/trial</w:t>
            </w:r>
            <w:r w:rsidRPr="00362535">
              <w:rPr>
                <w:rFonts w:asciiTheme="minorHAnsi" w:hAnsiTheme="minorHAnsi" w:cstheme="minorHAnsi"/>
              </w:rPr>
              <w:t xml:space="preserve"> system describes the software and database used to store and manage </w:t>
            </w:r>
            <w:r>
              <w:rPr>
                <w:rFonts w:asciiTheme="minorHAnsi" w:hAnsiTheme="minorHAnsi" w:cstheme="minorHAnsi"/>
              </w:rPr>
              <w:t xml:space="preserve">clinical research </w:t>
            </w:r>
            <w:r w:rsidRPr="00362535">
              <w:rPr>
                <w:rFonts w:asciiTheme="minorHAnsi" w:hAnsiTheme="minorHAnsi" w:cstheme="minorHAnsi"/>
              </w:rPr>
              <w:t>data used for the analysis of outcome measures as defined in the protocol. This may include databases containing data, contact databases and data</w:t>
            </w:r>
            <w:r w:rsidR="0056729E">
              <w:rPr>
                <w:rFonts w:asciiTheme="minorHAnsi" w:hAnsiTheme="minorHAnsi" w:cstheme="minorHAnsi"/>
              </w:rPr>
              <w:t>-</w:t>
            </w:r>
            <w:r w:rsidRPr="00362535">
              <w:rPr>
                <w:rFonts w:asciiTheme="minorHAnsi" w:hAnsiTheme="minorHAnsi" w:cstheme="minorHAnsi"/>
              </w:rPr>
              <w:t>tracking systems.</w:t>
            </w:r>
          </w:p>
        </w:tc>
      </w:tr>
      <w:tr w:rsidR="00D86F1F" w:rsidRPr="00362535" w14:paraId="362719ED" w14:textId="77777777" w:rsidTr="00606938">
        <w:trPr>
          <w:cantSplit/>
          <w:trHeight w:val="70"/>
        </w:trPr>
        <w:tc>
          <w:tcPr>
            <w:tcW w:w="2473" w:type="dxa"/>
          </w:tcPr>
          <w:p w14:paraId="0142ED61" w14:textId="77777777" w:rsidR="00D86F1F" w:rsidRDefault="00D86F1F" w:rsidP="00606938">
            <w:pPr>
              <w:pStyle w:val="StyleDefinitionsabbreviationsLatinArialAfter0ptLi"/>
            </w:pPr>
            <w:r>
              <w:t>UoB</w:t>
            </w:r>
          </w:p>
        </w:tc>
        <w:tc>
          <w:tcPr>
            <w:tcW w:w="6544" w:type="dxa"/>
          </w:tcPr>
          <w:p w14:paraId="7F994633" w14:textId="77777777" w:rsidR="00D86F1F" w:rsidRPr="00362535" w:rsidRDefault="00D86F1F" w:rsidP="00606938">
            <w:pPr>
              <w:rPr>
                <w:rFonts w:asciiTheme="minorHAnsi" w:hAnsiTheme="minorHAnsi" w:cstheme="minorHAnsi"/>
              </w:rPr>
            </w:pPr>
            <w:r>
              <w:rPr>
                <w:rFonts w:asciiTheme="minorHAnsi" w:hAnsiTheme="minorHAnsi" w:cstheme="minorHAnsi"/>
              </w:rPr>
              <w:t>University of Birmingham</w:t>
            </w:r>
          </w:p>
        </w:tc>
      </w:tr>
    </w:tbl>
    <w:p w14:paraId="151A60CF" w14:textId="1FAC7D6D" w:rsidR="000374CB" w:rsidRDefault="00B10C05">
      <w:r w:rsidRPr="009C2C63">
        <w:t xml:space="preserve">See also the </w:t>
      </w:r>
      <w:hyperlink r:id="rId46" w:tooltip="Link to Glossary of Terms" w:history="1">
        <w:r w:rsidRPr="00F12A38">
          <w:rPr>
            <w:rStyle w:val="Hyperlink"/>
          </w:rPr>
          <w:t>Glossary of Terms</w:t>
        </w:r>
      </w:hyperlink>
      <w:r w:rsidRPr="009C2C63">
        <w:t>.</w:t>
      </w:r>
    </w:p>
    <w:p w14:paraId="30009228" w14:textId="77777777" w:rsidR="000374CB" w:rsidRDefault="000374CB"/>
    <w:sectPr w:rsidR="000374CB" w:rsidSect="003A24EB">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DBA37" w16cex:dateUtc="2023-03-16T15:54:00Z"/>
  <w16cex:commentExtensible w16cex:durableId="27E7FF4F" w16cex:dateUtc="2023-04-17T16:24:00Z"/>
  <w16cex:commentExtensible w16cex:durableId="2805FBD4" w16cex:dateUtc="2023-05-10T10:17:00Z"/>
  <w16cex:commentExtensible w16cex:durableId="280622B4" w16cex:dateUtc="2023-05-10T13:03:00Z"/>
  <w16cex:commentExtensible w16cex:durableId="28063502" w16cex:dateUtc="2023-05-10T14:21:00Z"/>
  <w16cex:commentExtensible w16cex:durableId="280634D9" w16cex:dateUtc="2023-05-10T14:20:00Z"/>
  <w16cex:commentExtensible w16cex:durableId="2873C456" w16cex:dateUtc="2023-08-01T16: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700B" w14:textId="77777777" w:rsidR="003D11A3" w:rsidRDefault="003D11A3" w:rsidP="00F46DE6">
      <w:r>
        <w:separator/>
      </w:r>
    </w:p>
    <w:p w14:paraId="6B704244" w14:textId="77777777" w:rsidR="003D11A3" w:rsidRDefault="003D11A3" w:rsidP="00F46DE6"/>
  </w:endnote>
  <w:endnote w:type="continuationSeparator" w:id="0">
    <w:p w14:paraId="5A91BAF2" w14:textId="77777777" w:rsidR="003D11A3" w:rsidRDefault="003D11A3" w:rsidP="00F46DE6">
      <w:r>
        <w:continuationSeparator/>
      </w:r>
    </w:p>
    <w:p w14:paraId="23BDB66C" w14:textId="77777777" w:rsidR="003D11A3" w:rsidRDefault="003D11A3"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08CF" w14:textId="77777777" w:rsidR="003D11A3" w:rsidRDefault="003D11A3" w:rsidP="00276842">
    <w:pPr>
      <w:pStyle w:val="propertystatement"/>
    </w:pPr>
    <w:r w:rsidRPr="002D6577">
      <w:t xml:space="preserve">Property of </w:t>
    </w:r>
    <w:r>
      <w:t xml:space="preserve">the </w:t>
    </w:r>
    <w:r w:rsidRPr="002D6577">
      <w:t>University of Birmingham, Vincent Drive, Edgbaston, Birmingham, B15 2TT, United Kingdom</w:t>
    </w:r>
  </w:p>
  <w:p w14:paraId="108CD43B" w14:textId="77777777" w:rsidR="003D11A3" w:rsidRPr="001348DC" w:rsidRDefault="003D11A3" w:rsidP="00DD3075">
    <w:pPr>
      <w:pStyle w:val="propertystatement"/>
    </w:pPr>
    <w:r w:rsidRPr="001348DC">
      <w:t>Copies are only valid for 14 days and may be subject to amendment a</w:t>
    </w:r>
    <w:r>
      <w:t>t any time. For the latest version refer to:</w:t>
    </w:r>
    <w:r w:rsidRPr="001348DC">
      <w:t xml:space="preserve"> </w:t>
    </w:r>
  </w:p>
  <w:p w14:paraId="05B6858C" w14:textId="1EC702E1" w:rsidR="003D11A3" w:rsidRDefault="003D11A3" w:rsidP="00DD3075">
    <w:pPr>
      <w:pStyle w:val="propertystatement"/>
    </w:pPr>
    <w:hyperlink r:id="rId1" w:history="1">
      <w:r>
        <w:rPr>
          <w:rStyle w:val="Hyperlink"/>
        </w:rPr>
        <w:t>birmingham.ac.uk/</w:t>
      </w:r>
      <w:proofErr w:type="spellStart"/>
      <w:r>
        <w:rPr>
          <w:rStyle w:val="Hyperlink"/>
        </w:rPr>
        <w:t>crct</w:t>
      </w:r>
      <w:proofErr w:type="spellEnd"/>
    </w:hyperlink>
  </w:p>
  <w:p w14:paraId="462E027B" w14:textId="77777777" w:rsidR="003D11A3" w:rsidRPr="002D6577" w:rsidRDefault="003D11A3"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9094A" w14:textId="77777777" w:rsidR="003D11A3" w:rsidRDefault="003D11A3" w:rsidP="009E44AF">
    <w:pPr>
      <w:pStyle w:val="Footer"/>
      <w:jc w:val="center"/>
    </w:pPr>
    <w:r w:rsidRPr="002D6577">
      <w:t xml:space="preserve">Property of </w:t>
    </w:r>
    <w:r>
      <w:t xml:space="preserve">the </w:t>
    </w:r>
    <w:r w:rsidRPr="002D6577">
      <w:t>University of Birmingham, Vincent Drive, Edgbaston, Birmingham, B15 2TT, United Kingdom</w:t>
    </w:r>
    <w:r>
      <w:t>.</w:t>
    </w:r>
  </w:p>
  <w:p w14:paraId="0B362850" w14:textId="77777777" w:rsidR="003D11A3" w:rsidRPr="001348DC" w:rsidRDefault="003D11A3" w:rsidP="009E44AF">
    <w:pPr>
      <w:pStyle w:val="Footer"/>
      <w:jc w:val="center"/>
    </w:pPr>
    <w:r w:rsidRPr="001348DC">
      <w:t>Copies are only valid for 14 days and may be subject to amendment a</w:t>
    </w:r>
    <w:r>
      <w:t>t any time. For the latest version refer to:</w:t>
    </w:r>
  </w:p>
  <w:p w14:paraId="37B54307" w14:textId="77777777" w:rsidR="003D11A3" w:rsidRDefault="003D11A3" w:rsidP="00D17200">
    <w:pPr>
      <w:pStyle w:val="propertystatement"/>
    </w:pPr>
    <w:hyperlink r:id="rId1" w:tooltip="Website for the Clinical Research Compliance Team" w:history="1">
      <w:r>
        <w:rPr>
          <w:rStyle w:val="Hyperlink"/>
        </w:rPr>
        <w:t>birmingham.ac.uk/crct</w:t>
      </w:r>
    </w:hyperlink>
    <w:r>
      <w:t xml:space="preserve"> </w:t>
    </w:r>
  </w:p>
  <w:p w14:paraId="3FD945B3" w14:textId="77777777" w:rsidR="003D11A3" w:rsidRDefault="003D1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42B1" w14:textId="77777777" w:rsidR="003D11A3" w:rsidRDefault="003D11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3D11A3" w:rsidRPr="002D6577" w14:paraId="2280D847" w14:textId="77777777" w:rsidTr="003A24EB">
      <w:trPr>
        <w:trHeight w:val="148"/>
      </w:trPr>
      <w:tc>
        <w:tcPr>
          <w:tcW w:w="1441" w:type="dxa"/>
          <w:tcMar>
            <w:top w:w="0" w:type="dxa"/>
            <w:left w:w="57" w:type="dxa"/>
            <w:bottom w:w="0" w:type="dxa"/>
            <w:right w:w="57" w:type="dxa"/>
          </w:tcMar>
          <w:vAlign w:val="center"/>
        </w:tcPr>
        <w:p w14:paraId="71A0A152" w14:textId="77777777" w:rsidR="003D11A3" w:rsidRPr="001C6EFB" w:rsidRDefault="003D11A3" w:rsidP="00606938">
          <w:pPr>
            <w:pStyle w:val="Footer"/>
          </w:pPr>
          <w:r w:rsidRPr="001C6EFB">
            <w:t>Document code:</w:t>
          </w:r>
        </w:p>
      </w:tc>
      <w:tc>
        <w:tcPr>
          <w:tcW w:w="3073" w:type="dxa"/>
          <w:tcMar>
            <w:top w:w="0" w:type="dxa"/>
            <w:left w:w="57" w:type="dxa"/>
            <w:bottom w:w="0" w:type="dxa"/>
            <w:right w:w="57" w:type="dxa"/>
          </w:tcMar>
          <w:vAlign w:val="center"/>
        </w:tcPr>
        <w:p w14:paraId="3A59C4AB" w14:textId="63FE1544" w:rsidR="003D11A3" w:rsidRPr="001C6EFB" w:rsidRDefault="003D11A3" w:rsidP="0060052C">
          <w:pPr>
            <w:pStyle w:val="Footer"/>
          </w:pPr>
          <w:r>
            <w:t>UoB-ARC-SOP-001</w:t>
          </w:r>
        </w:p>
      </w:tc>
      <w:tc>
        <w:tcPr>
          <w:tcW w:w="3401" w:type="dxa"/>
          <w:tcMar>
            <w:top w:w="0" w:type="dxa"/>
            <w:left w:w="57" w:type="dxa"/>
            <w:bottom w:w="0" w:type="dxa"/>
            <w:right w:w="57" w:type="dxa"/>
          </w:tcMar>
          <w:vAlign w:val="center"/>
        </w:tcPr>
        <w:p w14:paraId="20DAB3F5" w14:textId="77777777" w:rsidR="003D11A3" w:rsidRPr="001C6EFB" w:rsidRDefault="003D11A3" w:rsidP="00163F57">
          <w:pPr>
            <w:pStyle w:val="Footer"/>
            <w:jc w:val="right"/>
          </w:pPr>
          <w:r w:rsidRPr="001C6EFB">
            <w:t>Print Date:</w:t>
          </w:r>
        </w:p>
      </w:tc>
      <w:tc>
        <w:tcPr>
          <w:tcW w:w="1112" w:type="dxa"/>
          <w:tcMar>
            <w:top w:w="0" w:type="dxa"/>
            <w:left w:w="57" w:type="dxa"/>
            <w:bottom w:w="0" w:type="dxa"/>
            <w:right w:w="57" w:type="dxa"/>
          </w:tcMar>
          <w:vAlign w:val="center"/>
        </w:tcPr>
        <w:p w14:paraId="01367DB2" w14:textId="4B7AC7A6" w:rsidR="003D11A3" w:rsidRPr="001C6EFB" w:rsidRDefault="003D11A3" w:rsidP="00163F57">
          <w:pPr>
            <w:pStyle w:val="Footer"/>
            <w:jc w:val="right"/>
          </w:pPr>
          <w:r>
            <w:fldChar w:fldCharType="begin"/>
          </w:r>
          <w:r>
            <w:instrText xml:space="preserve"> DATE  \@ "dd-MMM-yyyy"  \* MERGEFORMAT </w:instrText>
          </w:r>
          <w:r>
            <w:fldChar w:fldCharType="separate"/>
          </w:r>
          <w:r>
            <w:rPr>
              <w:noProof/>
            </w:rPr>
            <w:t>03-Aug-2023</w:t>
          </w:r>
          <w:r>
            <w:fldChar w:fldCharType="end"/>
          </w:r>
        </w:p>
      </w:tc>
    </w:tr>
    <w:tr w:rsidR="003D11A3" w:rsidRPr="002D6577" w14:paraId="4EDAB281" w14:textId="77777777" w:rsidTr="003A24EB">
      <w:tc>
        <w:tcPr>
          <w:tcW w:w="1441" w:type="dxa"/>
          <w:tcMar>
            <w:top w:w="0" w:type="dxa"/>
            <w:left w:w="57" w:type="dxa"/>
            <w:bottom w:w="0" w:type="dxa"/>
            <w:right w:w="57" w:type="dxa"/>
          </w:tcMar>
          <w:vAlign w:val="center"/>
        </w:tcPr>
        <w:p w14:paraId="43F5E1A1" w14:textId="77777777" w:rsidR="003D11A3" w:rsidRPr="001C6EFB" w:rsidRDefault="003D11A3" w:rsidP="00606938">
          <w:pPr>
            <w:pStyle w:val="Footer"/>
          </w:pPr>
          <w:r w:rsidRPr="001C6EFB">
            <w:t>Version no:</w:t>
          </w:r>
        </w:p>
      </w:tc>
      <w:tc>
        <w:tcPr>
          <w:tcW w:w="3073" w:type="dxa"/>
          <w:tcMar>
            <w:top w:w="0" w:type="dxa"/>
            <w:left w:w="57" w:type="dxa"/>
            <w:bottom w:w="0" w:type="dxa"/>
            <w:right w:w="57" w:type="dxa"/>
          </w:tcMar>
          <w:vAlign w:val="center"/>
        </w:tcPr>
        <w:p w14:paraId="4ADDA78E" w14:textId="6794CE03" w:rsidR="003D11A3" w:rsidRPr="001C6EFB" w:rsidRDefault="003D11A3" w:rsidP="00606938">
          <w:pPr>
            <w:pStyle w:val="Footer"/>
          </w:pPr>
          <w:r>
            <w:t>2.0</w:t>
          </w:r>
        </w:p>
      </w:tc>
      <w:tc>
        <w:tcPr>
          <w:tcW w:w="3401" w:type="dxa"/>
          <w:tcMar>
            <w:top w:w="0" w:type="dxa"/>
            <w:left w:w="57" w:type="dxa"/>
            <w:bottom w:w="0" w:type="dxa"/>
            <w:right w:w="57" w:type="dxa"/>
          </w:tcMar>
          <w:vAlign w:val="center"/>
        </w:tcPr>
        <w:p w14:paraId="3471CE73" w14:textId="77777777" w:rsidR="003D11A3" w:rsidRPr="001C6EFB" w:rsidRDefault="003D11A3" w:rsidP="00163F57">
          <w:pPr>
            <w:pStyle w:val="Footer"/>
            <w:jc w:val="right"/>
          </w:pPr>
          <w:r w:rsidRPr="001C6EFB">
            <w:t>Page:</w:t>
          </w:r>
        </w:p>
      </w:tc>
      <w:tc>
        <w:tcPr>
          <w:tcW w:w="1112" w:type="dxa"/>
          <w:tcMar>
            <w:top w:w="0" w:type="dxa"/>
            <w:left w:w="57" w:type="dxa"/>
            <w:bottom w:w="0" w:type="dxa"/>
            <w:right w:w="57" w:type="dxa"/>
          </w:tcMar>
          <w:vAlign w:val="center"/>
        </w:tcPr>
        <w:p w14:paraId="0D09DFC8" w14:textId="77777777" w:rsidR="003D11A3" w:rsidRPr="001C6EFB" w:rsidRDefault="003D11A3" w:rsidP="0060052C">
          <w:pPr>
            <w:pStyle w:val="Footer"/>
            <w:jc w:val="right"/>
          </w:pPr>
          <w:r w:rsidRPr="001C6EFB">
            <w:t xml:space="preserv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36FED734" w14:textId="77777777" w:rsidR="003D11A3" w:rsidRPr="003A24EB" w:rsidRDefault="003D11A3"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D245" w14:textId="77777777" w:rsidR="003D11A3" w:rsidRDefault="003D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ED22" w14:textId="77777777" w:rsidR="003D11A3" w:rsidRDefault="003D11A3" w:rsidP="00F46DE6">
      <w:r>
        <w:separator/>
      </w:r>
    </w:p>
    <w:p w14:paraId="11220A72" w14:textId="77777777" w:rsidR="003D11A3" w:rsidRDefault="003D11A3" w:rsidP="00F46DE6"/>
  </w:footnote>
  <w:footnote w:type="continuationSeparator" w:id="0">
    <w:p w14:paraId="6BA16070" w14:textId="77777777" w:rsidR="003D11A3" w:rsidRDefault="003D11A3" w:rsidP="00F46DE6">
      <w:r>
        <w:continuationSeparator/>
      </w:r>
    </w:p>
    <w:p w14:paraId="28FD9988" w14:textId="77777777" w:rsidR="003D11A3" w:rsidRDefault="003D11A3"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E4CF" w14:textId="77777777" w:rsidR="003D11A3" w:rsidRDefault="003D11A3" w:rsidP="00A91AC7">
    <w:pPr>
      <w:pStyle w:val="propertystatement"/>
      <w:jc w:val="left"/>
    </w:pPr>
    <w:r w:rsidRPr="00F16569">
      <w:rPr>
        <w:noProof/>
        <w:lang w:eastAsia="en-GB"/>
      </w:rPr>
      <w:drawing>
        <wp:anchor distT="0" distB="0" distL="114300" distR="114300" simplePos="0" relativeHeight="251658240" behindDoc="0" locked="0" layoutInCell="1" allowOverlap="1" wp14:anchorId="527DFDB5" wp14:editId="3B2A5A6D">
          <wp:simplePos x="0" y="0"/>
          <wp:positionH relativeFrom="column">
            <wp:posOffset>-301625</wp:posOffset>
          </wp:positionH>
          <wp:positionV relativeFrom="page">
            <wp:posOffset>1050925</wp:posOffset>
          </wp:positionV>
          <wp:extent cx="2705100" cy="106299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3D11A3" w14:paraId="4EF5E395" w14:textId="77777777" w:rsidTr="00606938">
      <w:trPr>
        <w:trHeight w:val="278"/>
        <w:tblHeader/>
      </w:trPr>
      <w:tc>
        <w:tcPr>
          <w:tcW w:w="1668" w:type="dxa"/>
          <w:vAlign w:val="center"/>
        </w:tcPr>
        <w:p w14:paraId="2AF590DF" w14:textId="77777777" w:rsidR="003D11A3" w:rsidRDefault="003D11A3" w:rsidP="00BB72F9">
          <w:pPr>
            <w:pStyle w:val="Footer"/>
          </w:pPr>
          <w:r w:rsidRPr="001C6EFB">
            <w:t>Document code:</w:t>
          </w:r>
        </w:p>
      </w:tc>
      <w:tc>
        <w:tcPr>
          <w:tcW w:w="2310" w:type="dxa"/>
          <w:vAlign w:val="center"/>
        </w:tcPr>
        <w:p w14:paraId="29C39347" w14:textId="77777777" w:rsidR="003D11A3" w:rsidRDefault="003D11A3" w:rsidP="00BB72F9">
          <w:pPr>
            <w:pStyle w:val="Footer"/>
            <w:jc w:val="right"/>
          </w:pPr>
          <w:r>
            <w:t>UoB-ARC-SOP-001</w:t>
          </w:r>
        </w:p>
      </w:tc>
    </w:tr>
    <w:tr w:rsidR="003D11A3" w14:paraId="56F2DFED" w14:textId="77777777" w:rsidTr="00606938">
      <w:trPr>
        <w:trHeight w:val="278"/>
      </w:trPr>
      <w:tc>
        <w:tcPr>
          <w:tcW w:w="1668" w:type="dxa"/>
          <w:vAlign w:val="center"/>
        </w:tcPr>
        <w:p w14:paraId="4A28AE55" w14:textId="77777777" w:rsidR="003D11A3" w:rsidRDefault="003D11A3" w:rsidP="00BB72F9">
          <w:pPr>
            <w:pStyle w:val="Footer"/>
          </w:pPr>
          <w:r w:rsidRPr="001C6EFB">
            <w:t>Version no:</w:t>
          </w:r>
        </w:p>
      </w:tc>
      <w:tc>
        <w:tcPr>
          <w:tcW w:w="2310" w:type="dxa"/>
          <w:vAlign w:val="center"/>
        </w:tcPr>
        <w:p w14:paraId="15B4DF9A" w14:textId="7B7EC214" w:rsidR="003D11A3" w:rsidRDefault="003D11A3" w:rsidP="00BB72F9">
          <w:pPr>
            <w:pStyle w:val="Footer"/>
            <w:jc w:val="right"/>
          </w:pPr>
          <w:r>
            <w:t xml:space="preserve">2.0                               </w:t>
          </w:r>
        </w:p>
      </w:tc>
    </w:tr>
    <w:tr w:rsidR="003D11A3" w14:paraId="50A179E7" w14:textId="77777777" w:rsidTr="00606938">
      <w:trPr>
        <w:trHeight w:val="278"/>
      </w:trPr>
      <w:tc>
        <w:tcPr>
          <w:tcW w:w="1668" w:type="dxa"/>
          <w:vAlign w:val="center"/>
        </w:tcPr>
        <w:p w14:paraId="3E855DCA" w14:textId="77777777" w:rsidR="003D11A3" w:rsidRDefault="003D11A3" w:rsidP="00BB72F9">
          <w:pPr>
            <w:pStyle w:val="Footer"/>
          </w:pPr>
          <w:r>
            <w:t>Effective date:</w:t>
          </w:r>
        </w:p>
      </w:tc>
      <w:tc>
        <w:tcPr>
          <w:tcW w:w="2310" w:type="dxa"/>
          <w:vAlign w:val="center"/>
        </w:tcPr>
        <w:p w14:paraId="1D6BEE4B" w14:textId="48E8853B" w:rsidR="003D11A3" w:rsidRDefault="003D11A3" w:rsidP="00BB72F9">
          <w:pPr>
            <w:pStyle w:val="Footer"/>
            <w:jc w:val="right"/>
          </w:pPr>
          <w:r>
            <w:t>21-Aug-2023</w:t>
          </w:r>
        </w:p>
      </w:tc>
    </w:tr>
    <w:tr w:rsidR="003D11A3" w14:paraId="245FF920" w14:textId="77777777" w:rsidTr="00606938">
      <w:trPr>
        <w:trHeight w:val="278"/>
      </w:trPr>
      <w:tc>
        <w:tcPr>
          <w:tcW w:w="1668" w:type="dxa"/>
          <w:vAlign w:val="center"/>
        </w:tcPr>
        <w:p w14:paraId="5DCE77C5" w14:textId="77777777" w:rsidR="003D11A3" w:rsidRPr="001C6EFB" w:rsidRDefault="003D11A3" w:rsidP="00BB72F9">
          <w:pPr>
            <w:pStyle w:val="Footer"/>
          </w:pPr>
          <w:r>
            <w:t>Print d</w:t>
          </w:r>
          <w:r w:rsidRPr="001C6EFB">
            <w:t>ate:</w:t>
          </w:r>
        </w:p>
      </w:tc>
      <w:tc>
        <w:tcPr>
          <w:tcW w:w="2310" w:type="dxa"/>
          <w:vAlign w:val="center"/>
        </w:tcPr>
        <w:p w14:paraId="54D5AD23" w14:textId="22EE667A" w:rsidR="003D11A3" w:rsidRDefault="003D11A3" w:rsidP="00BB72F9">
          <w:pPr>
            <w:pStyle w:val="Footer"/>
            <w:jc w:val="right"/>
          </w:pPr>
          <w:r>
            <w:fldChar w:fldCharType="begin"/>
          </w:r>
          <w:r>
            <w:instrText xml:space="preserve"> DATE  \@ "dd-MMM-yyyy"  \* MERGEFORMAT </w:instrText>
          </w:r>
          <w:r>
            <w:fldChar w:fldCharType="separate"/>
          </w:r>
          <w:r>
            <w:rPr>
              <w:noProof/>
            </w:rPr>
            <w:t>03-Aug-2023</w:t>
          </w:r>
          <w:r>
            <w:fldChar w:fldCharType="end"/>
          </w:r>
        </w:p>
      </w:tc>
    </w:tr>
    <w:tr w:rsidR="003D11A3" w14:paraId="0DE987DB" w14:textId="77777777" w:rsidTr="00606938">
      <w:trPr>
        <w:trHeight w:val="278"/>
      </w:trPr>
      <w:tc>
        <w:tcPr>
          <w:tcW w:w="1668" w:type="dxa"/>
          <w:vAlign w:val="center"/>
        </w:tcPr>
        <w:p w14:paraId="10E4F933" w14:textId="77777777" w:rsidR="003D11A3" w:rsidRPr="001C6EFB" w:rsidRDefault="003D11A3" w:rsidP="00BB72F9">
          <w:pPr>
            <w:pStyle w:val="Footer"/>
          </w:pPr>
          <w:r w:rsidRPr="001C6EFB">
            <w:t>Page:</w:t>
          </w:r>
        </w:p>
      </w:tc>
      <w:tc>
        <w:tcPr>
          <w:tcW w:w="2310" w:type="dxa"/>
          <w:vAlign w:val="center"/>
        </w:tcPr>
        <w:p w14:paraId="3B38D253" w14:textId="77777777" w:rsidR="003D11A3" w:rsidRDefault="003D11A3" w:rsidP="00BB72F9">
          <w:pPr>
            <w:pStyle w:val="Footer"/>
            <w:jc w:val="right"/>
          </w:pP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r w:rsidRPr="001C6EFB">
            <w:t xml:space="preserve"> </w:t>
          </w:r>
        </w:p>
      </w:tc>
    </w:tr>
  </w:tbl>
  <w:p w14:paraId="530D9DE5" w14:textId="77777777" w:rsidR="003D11A3" w:rsidRDefault="003D11A3" w:rsidP="00EF729E">
    <w:pPr>
      <w:pStyle w:val="Header"/>
      <w:ind w:left="-426"/>
      <w:jc w:val="left"/>
    </w:pPr>
  </w:p>
  <w:p w14:paraId="4C6F4304" w14:textId="77777777" w:rsidR="003D11A3" w:rsidRDefault="003D11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02AE" w14:textId="77777777" w:rsidR="003D11A3" w:rsidRDefault="003D11A3"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F3BAB" w14:textId="77777777" w:rsidR="003D11A3" w:rsidRPr="002135BA" w:rsidRDefault="003D11A3">
    <w:pPr>
      <w:pStyle w:val="Header"/>
    </w:pPr>
    <w:r w:rsidRPr="002135BA">
      <w:t>SOP</w:t>
    </w:r>
    <w:r>
      <w:t>: Archiving</w:t>
    </w:r>
  </w:p>
  <w:p w14:paraId="0180C380" w14:textId="77777777" w:rsidR="003D11A3" w:rsidRPr="001C75D5" w:rsidRDefault="003D11A3">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5064" w14:textId="77777777" w:rsidR="003D11A3" w:rsidRDefault="003D11A3"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1659AD"/>
    <w:multiLevelType w:val="hybridMultilevel"/>
    <w:tmpl w:val="35AE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6"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6"/>
  </w:num>
  <w:num w:numId="2">
    <w:abstractNumId w:val="8"/>
  </w:num>
  <w:num w:numId="3">
    <w:abstractNumId w:val="0"/>
  </w:num>
  <w:num w:numId="4">
    <w:abstractNumId w:val="12"/>
  </w:num>
  <w:num w:numId="5">
    <w:abstractNumId w:val="10"/>
  </w:num>
  <w:num w:numId="6">
    <w:abstractNumId w:val="13"/>
  </w:num>
  <w:num w:numId="7">
    <w:abstractNumId w:val="1"/>
  </w:num>
  <w:num w:numId="8">
    <w:abstractNumId w:val="9"/>
  </w:num>
  <w:num w:numId="9">
    <w:abstractNumId w:val="11"/>
  </w:num>
  <w:num w:numId="10">
    <w:abstractNumId w:val="14"/>
  </w:num>
  <w:num w:numId="11">
    <w:abstractNumId w:val="4"/>
  </w:num>
  <w:num w:numId="12">
    <w:abstractNumId w:val="5"/>
  </w:num>
  <w:num w:numId="13">
    <w:abstractNumId w:val="2"/>
  </w:num>
  <w:num w:numId="14">
    <w:abstractNumId w:val="7"/>
  </w:num>
  <w:num w:numId="15">
    <w:abstractNumId w:val="5"/>
  </w:num>
  <w:num w:numId="16">
    <w:abstractNumId w:val="5"/>
  </w:num>
  <w:num w:numId="17">
    <w:abstractNumId w:val="0"/>
  </w:num>
  <w:num w:numId="18">
    <w:abstractNumId w:val="3"/>
  </w:num>
  <w:num w:numId="19">
    <w:abstractNumId w:val="12"/>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2F9"/>
    <w:rsid w:val="00001923"/>
    <w:rsid w:val="00001A7E"/>
    <w:rsid w:val="000060AE"/>
    <w:rsid w:val="0001086D"/>
    <w:rsid w:val="00010E65"/>
    <w:rsid w:val="00012800"/>
    <w:rsid w:val="00013B08"/>
    <w:rsid w:val="00014678"/>
    <w:rsid w:val="000146F1"/>
    <w:rsid w:val="000229C5"/>
    <w:rsid w:val="00023BC0"/>
    <w:rsid w:val="000374CB"/>
    <w:rsid w:val="000379D7"/>
    <w:rsid w:val="000421FD"/>
    <w:rsid w:val="00043513"/>
    <w:rsid w:val="00044A64"/>
    <w:rsid w:val="00053A54"/>
    <w:rsid w:val="0005610D"/>
    <w:rsid w:val="00056940"/>
    <w:rsid w:val="00062FC2"/>
    <w:rsid w:val="000639EF"/>
    <w:rsid w:val="00064262"/>
    <w:rsid w:val="00064F56"/>
    <w:rsid w:val="00072AD5"/>
    <w:rsid w:val="00072F51"/>
    <w:rsid w:val="0007480B"/>
    <w:rsid w:val="00075A9D"/>
    <w:rsid w:val="00077D41"/>
    <w:rsid w:val="00083C9D"/>
    <w:rsid w:val="0009369B"/>
    <w:rsid w:val="00095EFA"/>
    <w:rsid w:val="00097B78"/>
    <w:rsid w:val="000A0A13"/>
    <w:rsid w:val="000A0DFF"/>
    <w:rsid w:val="000A1324"/>
    <w:rsid w:val="000A1B0F"/>
    <w:rsid w:val="000A7BE6"/>
    <w:rsid w:val="000B1E3E"/>
    <w:rsid w:val="000B442E"/>
    <w:rsid w:val="000B7CBD"/>
    <w:rsid w:val="000C3681"/>
    <w:rsid w:val="000C45B6"/>
    <w:rsid w:val="000C5087"/>
    <w:rsid w:val="000C54A1"/>
    <w:rsid w:val="000D34E7"/>
    <w:rsid w:val="000D3D68"/>
    <w:rsid w:val="000D3E8C"/>
    <w:rsid w:val="000D4912"/>
    <w:rsid w:val="000D677A"/>
    <w:rsid w:val="000D6978"/>
    <w:rsid w:val="000D70AA"/>
    <w:rsid w:val="000D7292"/>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336B"/>
    <w:rsid w:val="00134690"/>
    <w:rsid w:val="00134766"/>
    <w:rsid w:val="00135E89"/>
    <w:rsid w:val="001445C0"/>
    <w:rsid w:val="00163B7C"/>
    <w:rsid w:val="00163F57"/>
    <w:rsid w:val="001653F1"/>
    <w:rsid w:val="00165F48"/>
    <w:rsid w:val="001707DB"/>
    <w:rsid w:val="00174B60"/>
    <w:rsid w:val="00174E0E"/>
    <w:rsid w:val="00176FE0"/>
    <w:rsid w:val="001775A9"/>
    <w:rsid w:val="00182896"/>
    <w:rsid w:val="0018309A"/>
    <w:rsid w:val="001841A1"/>
    <w:rsid w:val="00184BB7"/>
    <w:rsid w:val="00190C93"/>
    <w:rsid w:val="0019111C"/>
    <w:rsid w:val="00194EE8"/>
    <w:rsid w:val="00195717"/>
    <w:rsid w:val="00196565"/>
    <w:rsid w:val="001A024E"/>
    <w:rsid w:val="001A142E"/>
    <w:rsid w:val="001A26D3"/>
    <w:rsid w:val="001A4718"/>
    <w:rsid w:val="001A544B"/>
    <w:rsid w:val="001A561F"/>
    <w:rsid w:val="001A6F55"/>
    <w:rsid w:val="001A723A"/>
    <w:rsid w:val="001B127F"/>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0334"/>
    <w:rsid w:val="001E41A3"/>
    <w:rsid w:val="001E6FE4"/>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2738B"/>
    <w:rsid w:val="00231612"/>
    <w:rsid w:val="0023483C"/>
    <w:rsid w:val="002365F5"/>
    <w:rsid w:val="00244309"/>
    <w:rsid w:val="002444DB"/>
    <w:rsid w:val="0024558E"/>
    <w:rsid w:val="0024670C"/>
    <w:rsid w:val="00247F23"/>
    <w:rsid w:val="00250233"/>
    <w:rsid w:val="002518EA"/>
    <w:rsid w:val="002549E9"/>
    <w:rsid w:val="00254B93"/>
    <w:rsid w:val="0025522A"/>
    <w:rsid w:val="00264399"/>
    <w:rsid w:val="00266CBF"/>
    <w:rsid w:val="00270EA8"/>
    <w:rsid w:val="002734D0"/>
    <w:rsid w:val="002751F6"/>
    <w:rsid w:val="00275BAE"/>
    <w:rsid w:val="00276048"/>
    <w:rsid w:val="00276842"/>
    <w:rsid w:val="00281585"/>
    <w:rsid w:val="00290F8C"/>
    <w:rsid w:val="002937FE"/>
    <w:rsid w:val="002952B5"/>
    <w:rsid w:val="0029582C"/>
    <w:rsid w:val="0029758E"/>
    <w:rsid w:val="002A068A"/>
    <w:rsid w:val="002A25AD"/>
    <w:rsid w:val="002A27DC"/>
    <w:rsid w:val="002A330A"/>
    <w:rsid w:val="002A38A5"/>
    <w:rsid w:val="002A3A83"/>
    <w:rsid w:val="002A57C2"/>
    <w:rsid w:val="002A5FA6"/>
    <w:rsid w:val="002A6563"/>
    <w:rsid w:val="002A68D6"/>
    <w:rsid w:val="002B016B"/>
    <w:rsid w:val="002B10B6"/>
    <w:rsid w:val="002C0E28"/>
    <w:rsid w:val="002C3191"/>
    <w:rsid w:val="002C67A4"/>
    <w:rsid w:val="002D49D7"/>
    <w:rsid w:val="002D6577"/>
    <w:rsid w:val="002E3060"/>
    <w:rsid w:val="002E3BB0"/>
    <w:rsid w:val="002E3E08"/>
    <w:rsid w:val="002E6AE2"/>
    <w:rsid w:val="002E721B"/>
    <w:rsid w:val="002F0ACA"/>
    <w:rsid w:val="002F281C"/>
    <w:rsid w:val="002F490C"/>
    <w:rsid w:val="002F787E"/>
    <w:rsid w:val="00301050"/>
    <w:rsid w:val="003016D5"/>
    <w:rsid w:val="00304179"/>
    <w:rsid w:val="00304754"/>
    <w:rsid w:val="00310F22"/>
    <w:rsid w:val="00314B72"/>
    <w:rsid w:val="0031673C"/>
    <w:rsid w:val="0032079B"/>
    <w:rsid w:val="0032408C"/>
    <w:rsid w:val="00324A19"/>
    <w:rsid w:val="003313C3"/>
    <w:rsid w:val="00333888"/>
    <w:rsid w:val="00335D05"/>
    <w:rsid w:val="003365D9"/>
    <w:rsid w:val="00337B7A"/>
    <w:rsid w:val="003404B2"/>
    <w:rsid w:val="00342788"/>
    <w:rsid w:val="00342C1E"/>
    <w:rsid w:val="00342CC7"/>
    <w:rsid w:val="00343541"/>
    <w:rsid w:val="00345620"/>
    <w:rsid w:val="00350A42"/>
    <w:rsid w:val="00352FD6"/>
    <w:rsid w:val="003607CB"/>
    <w:rsid w:val="0036201D"/>
    <w:rsid w:val="003627AD"/>
    <w:rsid w:val="00364D7A"/>
    <w:rsid w:val="00365D77"/>
    <w:rsid w:val="00372E92"/>
    <w:rsid w:val="0037641D"/>
    <w:rsid w:val="00380579"/>
    <w:rsid w:val="00381B35"/>
    <w:rsid w:val="003854BD"/>
    <w:rsid w:val="00385F25"/>
    <w:rsid w:val="003876D0"/>
    <w:rsid w:val="00387EFA"/>
    <w:rsid w:val="00391A7C"/>
    <w:rsid w:val="00393C4E"/>
    <w:rsid w:val="00395F1E"/>
    <w:rsid w:val="00396CD2"/>
    <w:rsid w:val="003A1879"/>
    <w:rsid w:val="003A2150"/>
    <w:rsid w:val="003A24EB"/>
    <w:rsid w:val="003A285E"/>
    <w:rsid w:val="003A2A2C"/>
    <w:rsid w:val="003A49F2"/>
    <w:rsid w:val="003A4D84"/>
    <w:rsid w:val="003A5879"/>
    <w:rsid w:val="003A70FF"/>
    <w:rsid w:val="003B0005"/>
    <w:rsid w:val="003B15C9"/>
    <w:rsid w:val="003B1F55"/>
    <w:rsid w:val="003B2DA7"/>
    <w:rsid w:val="003B34FB"/>
    <w:rsid w:val="003B56C0"/>
    <w:rsid w:val="003C04AD"/>
    <w:rsid w:val="003C35EE"/>
    <w:rsid w:val="003C720C"/>
    <w:rsid w:val="003D03FB"/>
    <w:rsid w:val="003D11A3"/>
    <w:rsid w:val="003D25C9"/>
    <w:rsid w:val="003D42E3"/>
    <w:rsid w:val="003D4BD6"/>
    <w:rsid w:val="003D51DC"/>
    <w:rsid w:val="003D7997"/>
    <w:rsid w:val="003E073D"/>
    <w:rsid w:val="003E4CF5"/>
    <w:rsid w:val="003F0145"/>
    <w:rsid w:val="003F2345"/>
    <w:rsid w:val="003F4E5F"/>
    <w:rsid w:val="003F608D"/>
    <w:rsid w:val="003F64A9"/>
    <w:rsid w:val="003F7147"/>
    <w:rsid w:val="003F7AD7"/>
    <w:rsid w:val="00401840"/>
    <w:rsid w:val="00403449"/>
    <w:rsid w:val="00404742"/>
    <w:rsid w:val="0040651B"/>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4522"/>
    <w:rsid w:val="00445DD9"/>
    <w:rsid w:val="00454205"/>
    <w:rsid w:val="00461EA2"/>
    <w:rsid w:val="00462B5B"/>
    <w:rsid w:val="00467F74"/>
    <w:rsid w:val="00474B7F"/>
    <w:rsid w:val="00475745"/>
    <w:rsid w:val="00476DB0"/>
    <w:rsid w:val="004773E0"/>
    <w:rsid w:val="004810D9"/>
    <w:rsid w:val="0048194C"/>
    <w:rsid w:val="00485E6A"/>
    <w:rsid w:val="0048641A"/>
    <w:rsid w:val="00497A4C"/>
    <w:rsid w:val="00497E87"/>
    <w:rsid w:val="004A364B"/>
    <w:rsid w:val="004A4882"/>
    <w:rsid w:val="004A75B7"/>
    <w:rsid w:val="004B03A3"/>
    <w:rsid w:val="004B0C68"/>
    <w:rsid w:val="004B0C77"/>
    <w:rsid w:val="004B29A3"/>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DB5"/>
    <w:rsid w:val="005142C2"/>
    <w:rsid w:val="00515F0F"/>
    <w:rsid w:val="00516200"/>
    <w:rsid w:val="005223BE"/>
    <w:rsid w:val="00522ABB"/>
    <w:rsid w:val="00525CA4"/>
    <w:rsid w:val="00527E78"/>
    <w:rsid w:val="005343E6"/>
    <w:rsid w:val="005354C1"/>
    <w:rsid w:val="0053623B"/>
    <w:rsid w:val="00540721"/>
    <w:rsid w:val="005407AA"/>
    <w:rsid w:val="00543C1B"/>
    <w:rsid w:val="00543C4E"/>
    <w:rsid w:val="005500A9"/>
    <w:rsid w:val="0055153E"/>
    <w:rsid w:val="00554706"/>
    <w:rsid w:val="00556B76"/>
    <w:rsid w:val="005636D5"/>
    <w:rsid w:val="005663EA"/>
    <w:rsid w:val="0056729E"/>
    <w:rsid w:val="00567E8E"/>
    <w:rsid w:val="005708FE"/>
    <w:rsid w:val="00571788"/>
    <w:rsid w:val="00571A9B"/>
    <w:rsid w:val="0057714F"/>
    <w:rsid w:val="00577EF6"/>
    <w:rsid w:val="0058199C"/>
    <w:rsid w:val="0058476F"/>
    <w:rsid w:val="00584775"/>
    <w:rsid w:val="00586C5E"/>
    <w:rsid w:val="00587557"/>
    <w:rsid w:val="00592FFB"/>
    <w:rsid w:val="005948ED"/>
    <w:rsid w:val="00594F33"/>
    <w:rsid w:val="005951E3"/>
    <w:rsid w:val="0059568E"/>
    <w:rsid w:val="005A1486"/>
    <w:rsid w:val="005A1CF3"/>
    <w:rsid w:val="005A326E"/>
    <w:rsid w:val="005A6461"/>
    <w:rsid w:val="005B0BAD"/>
    <w:rsid w:val="005B2B90"/>
    <w:rsid w:val="005B5AA9"/>
    <w:rsid w:val="005C2FD5"/>
    <w:rsid w:val="005C38BD"/>
    <w:rsid w:val="005C39E9"/>
    <w:rsid w:val="005C7A45"/>
    <w:rsid w:val="005D085D"/>
    <w:rsid w:val="005D17F6"/>
    <w:rsid w:val="005D2D35"/>
    <w:rsid w:val="005D321A"/>
    <w:rsid w:val="005D40D9"/>
    <w:rsid w:val="005E1F7C"/>
    <w:rsid w:val="005E709F"/>
    <w:rsid w:val="005F0420"/>
    <w:rsid w:val="005F175F"/>
    <w:rsid w:val="005F1AD8"/>
    <w:rsid w:val="00600106"/>
    <w:rsid w:val="0060052C"/>
    <w:rsid w:val="006031E9"/>
    <w:rsid w:val="0060493A"/>
    <w:rsid w:val="00605E24"/>
    <w:rsid w:val="00606938"/>
    <w:rsid w:val="006119AC"/>
    <w:rsid w:val="00613A01"/>
    <w:rsid w:val="006147A9"/>
    <w:rsid w:val="00614CD1"/>
    <w:rsid w:val="006176B2"/>
    <w:rsid w:val="00624B79"/>
    <w:rsid w:val="00630316"/>
    <w:rsid w:val="0063129B"/>
    <w:rsid w:val="00636907"/>
    <w:rsid w:val="00636BD2"/>
    <w:rsid w:val="006372C5"/>
    <w:rsid w:val="00640296"/>
    <w:rsid w:val="0064040D"/>
    <w:rsid w:val="0064360D"/>
    <w:rsid w:val="006452BA"/>
    <w:rsid w:val="00653B3D"/>
    <w:rsid w:val="00654502"/>
    <w:rsid w:val="006561C0"/>
    <w:rsid w:val="00657D72"/>
    <w:rsid w:val="00660DC2"/>
    <w:rsid w:val="00664185"/>
    <w:rsid w:val="00664965"/>
    <w:rsid w:val="0066505A"/>
    <w:rsid w:val="00670599"/>
    <w:rsid w:val="00671F59"/>
    <w:rsid w:val="0067375A"/>
    <w:rsid w:val="00675F9F"/>
    <w:rsid w:val="00683431"/>
    <w:rsid w:val="00684803"/>
    <w:rsid w:val="00684DA0"/>
    <w:rsid w:val="00690BFE"/>
    <w:rsid w:val="00692ACD"/>
    <w:rsid w:val="00692DFA"/>
    <w:rsid w:val="006941D1"/>
    <w:rsid w:val="00696301"/>
    <w:rsid w:val="00696B18"/>
    <w:rsid w:val="006A057F"/>
    <w:rsid w:val="006A52C2"/>
    <w:rsid w:val="006A5B18"/>
    <w:rsid w:val="006B0E53"/>
    <w:rsid w:val="006B270C"/>
    <w:rsid w:val="006B351B"/>
    <w:rsid w:val="006B66EE"/>
    <w:rsid w:val="006C0879"/>
    <w:rsid w:val="006D7582"/>
    <w:rsid w:val="006E32A4"/>
    <w:rsid w:val="006E39DA"/>
    <w:rsid w:val="006E4150"/>
    <w:rsid w:val="006E57D8"/>
    <w:rsid w:val="006F30B1"/>
    <w:rsid w:val="006F6EFF"/>
    <w:rsid w:val="007029A2"/>
    <w:rsid w:val="007047CC"/>
    <w:rsid w:val="00704E9B"/>
    <w:rsid w:val="00705FD1"/>
    <w:rsid w:val="007064B3"/>
    <w:rsid w:val="00712A28"/>
    <w:rsid w:val="00714ABF"/>
    <w:rsid w:val="00715858"/>
    <w:rsid w:val="0072425C"/>
    <w:rsid w:val="007265FC"/>
    <w:rsid w:val="00726D2D"/>
    <w:rsid w:val="00727E41"/>
    <w:rsid w:val="00731E89"/>
    <w:rsid w:val="007327DD"/>
    <w:rsid w:val="0073345F"/>
    <w:rsid w:val="00734CF6"/>
    <w:rsid w:val="007363E6"/>
    <w:rsid w:val="00740C3B"/>
    <w:rsid w:val="0074146D"/>
    <w:rsid w:val="007427DD"/>
    <w:rsid w:val="00743FCE"/>
    <w:rsid w:val="00745292"/>
    <w:rsid w:val="00745CB4"/>
    <w:rsid w:val="007466FD"/>
    <w:rsid w:val="00746BB7"/>
    <w:rsid w:val="00752E2A"/>
    <w:rsid w:val="00754D1F"/>
    <w:rsid w:val="00757628"/>
    <w:rsid w:val="007602C8"/>
    <w:rsid w:val="00760E2A"/>
    <w:rsid w:val="00761F87"/>
    <w:rsid w:val="007642D1"/>
    <w:rsid w:val="007655EC"/>
    <w:rsid w:val="00765A24"/>
    <w:rsid w:val="007668D7"/>
    <w:rsid w:val="00766C73"/>
    <w:rsid w:val="00770813"/>
    <w:rsid w:val="007764EB"/>
    <w:rsid w:val="00780DA8"/>
    <w:rsid w:val="00790CBC"/>
    <w:rsid w:val="00791AC8"/>
    <w:rsid w:val="0079417E"/>
    <w:rsid w:val="00794AB7"/>
    <w:rsid w:val="00796C6B"/>
    <w:rsid w:val="007A272F"/>
    <w:rsid w:val="007A44B0"/>
    <w:rsid w:val="007A6E56"/>
    <w:rsid w:val="007B2EC7"/>
    <w:rsid w:val="007B2EFE"/>
    <w:rsid w:val="007B4836"/>
    <w:rsid w:val="007B53E5"/>
    <w:rsid w:val="007B5831"/>
    <w:rsid w:val="007B58A5"/>
    <w:rsid w:val="007B6DB7"/>
    <w:rsid w:val="007B72E2"/>
    <w:rsid w:val="007C10CF"/>
    <w:rsid w:val="007C2BD5"/>
    <w:rsid w:val="007C5977"/>
    <w:rsid w:val="007C5C93"/>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1195"/>
    <w:rsid w:val="008125A6"/>
    <w:rsid w:val="00812791"/>
    <w:rsid w:val="008129C1"/>
    <w:rsid w:val="00814346"/>
    <w:rsid w:val="00814EC7"/>
    <w:rsid w:val="00815021"/>
    <w:rsid w:val="0081603F"/>
    <w:rsid w:val="0081675C"/>
    <w:rsid w:val="00817FDE"/>
    <w:rsid w:val="00822F0A"/>
    <w:rsid w:val="008235B1"/>
    <w:rsid w:val="0082795A"/>
    <w:rsid w:val="008303A4"/>
    <w:rsid w:val="0083169E"/>
    <w:rsid w:val="00832412"/>
    <w:rsid w:val="00832F07"/>
    <w:rsid w:val="00834888"/>
    <w:rsid w:val="008360D7"/>
    <w:rsid w:val="00840893"/>
    <w:rsid w:val="008424AF"/>
    <w:rsid w:val="008435F5"/>
    <w:rsid w:val="00851971"/>
    <w:rsid w:val="00852323"/>
    <w:rsid w:val="00860263"/>
    <w:rsid w:val="00860FC1"/>
    <w:rsid w:val="00860FC2"/>
    <w:rsid w:val="00862C8C"/>
    <w:rsid w:val="00864335"/>
    <w:rsid w:val="008647F2"/>
    <w:rsid w:val="00870BB2"/>
    <w:rsid w:val="008715F3"/>
    <w:rsid w:val="00875EAE"/>
    <w:rsid w:val="008766D7"/>
    <w:rsid w:val="008823B6"/>
    <w:rsid w:val="00886A0B"/>
    <w:rsid w:val="00893B82"/>
    <w:rsid w:val="00893CC2"/>
    <w:rsid w:val="008948FE"/>
    <w:rsid w:val="008A0005"/>
    <w:rsid w:val="008A053A"/>
    <w:rsid w:val="008A41DE"/>
    <w:rsid w:val="008A5826"/>
    <w:rsid w:val="008A682E"/>
    <w:rsid w:val="008A7373"/>
    <w:rsid w:val="008B1C2E"/>
    <w:rsid w:val="008B4B57"/>
    <w:rsid w:val="008B5A32"/>
    <w:rsid w:val="008B6B2A"/>
    <w:rsid w:val="008C0049"/>
    <w:rsid w:val="008C2F7E"/>
    <w:rsid w:val="008C5EC8"/>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47DBA"/>
    <w:rsid w:val="009544BF"/>
    <w:rsid w:val="00955EE1"/>
    <w:rsid w:val="009576BD"/>
    <w:rsid w:val="00960CB6"/>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B6CE7"/>
    <w:rsid w:val="009C2C63"/>
    <w:rsid w:val="009C4257"/>
    <w:rsid w:val="009C52B9"/>
    <w:rsid w:val="009C5723"/>
    <w:rsid w:val="009D098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27376"/>
    <w:rsid w:val="00A306A4"/>
    <w:rsid w:val="00A308A4"/>
    <w:rsid w:val="00A3465C"/>
    <w:rsid w:val="00A3579A"/>
    <w:rsid w:val="00A35E4F"/>
    <w:rsid w:val="00A46AE5"/>
    <w:rsid w:val="00A5240E"/>
    <w:rsid w:val="00A5391E"/>
    <w:rsid w:val="00A55A06"/>
    <w:rsid w:val="00A5670C"/>
    <w:rsid w:val="00A57390"/>
    <w:rsid w:val="00A6082D"/>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6011"/>
    <w:rsid w:val="00AA74BA"/>
    <w:rsid w:val="00AB260F"/>
    <w:rsid w:val="00AB2EAD"/>
    <w:rsid w:val="00AB566D"/>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29A0"/>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37C7"/>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B72F9"/>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32F5"/>
    <w:rsid w:val="00C16E6D"/>
    <w:rsid w:val="00C20F6B"/>
    <w:rsid w:val="00C24712"/>
    <w:rsid w:val="00C30124"/>
    <w:rsid w:val="00C31D63"/>
    <w:rsid w:val="00C34052"/>
    <w:rsid w:val="00C34491"/>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577C6"/>
    <w:rsid w:val="00C65C41"/>
    <w:rsid w:val="00C67B31"/>
    <w:rsid w:val="00C75D9A"/>
    <w:rsid w:val="00C81ADC"/>
    <w:rsid w:val="00C8467F"/>
    <w:rsid w:val="00C84EEF"/>
    <w:rsid w:val="00C862EE"/>
    <w:rsid w:val="00C87A3B"/>
    <w:rsid w:val="00C91CEB"/>
    <w:rsid w:val="00C93BBD"/>
    <w:rsid w:val="00C942FE"/>
    <w:rsid w:val="00CA03CB"/>
    <w:rsid w:val="00CA098E"/>
    <w:rsid w:val="00CA2C1A"/>
    <w:rsid w:val="00CA68AD"/>
    <w:rsid w:val="00CA7404"/>
    <w:rsid w:val="00CB07E8"/>
    <w:rsid w:val="00CB45BA"/>
    <w:rsid w:val="00CC0682"/>
    <w:rsid w:val="00CC1A24"/>
    <w:rsid w:val="00CC2B7A"/>
    <w:rsid w:val="00CC478A"/>
    <w:rsid w:val="00CC61A6"/>
    <w:rsid w:val="00CC6C2A"/>
    <w:rsid w:val="00CC7722"/>
    <w:rsid w:val="00CC7925"/>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AF0"/>
    <w:rsid w:val="00D33C0E"/>
    <w:rsid w:val="00D33E53"/>
    <w:rsid w:val="00D40E0C"/>
    <w:rsid w:val="00D41A7F"/>
    <w:rsid w:val="00D41CE6"/>
    <w:rsid w:val="00D47970"/>
    <w:rsid w:val="00D501CD"/>
    <w:rsid w:val="00D53B40"/>
    <w:rsid w:val="00D54147"/>
    <w:rsid w:val="00D608A3"/>
    <w:rsid w:val="00D61A38"/>
    <w:rsid w:val="00D63317"/>
    <w:rsid w:val="00D63BBD"/>
    <w:rsid w:val="00D65096"/>
    <w:rsid w:val="00D67824"/>
    <w:rsid w:val="00D72805"/>
    <w:rsid w:val="00D7713D"/>
    <w:rsid w:val="00D82CCF"/>
    <w:rsid w:val="00D85404"/>
    <w:rsid w:val="00D86F1F"/>
    <w:rsid w:val="00D914F3"/>
    <w:rsid w:val="00D930D4"/>
    <w:rsid w:val="00D96D42"/>
    <w:rsid w:val="00DA19A3"/>
    <w:rsid w:val="00DA31DC"/>
    <w:rsid w:val="00DA4D76"/>
    <w:rsid w:val="00DA54AF"/>
    <w:rsid w:val="00DA781F"/>
    <w:rsid w:val="00DA797A"/>
    <w:rsid w:val="00DB0FC0"/>
    <w:rsid w:val="00DB4A98"/>
    <w:rsid w:val="00DB5FB3"/>
    <w:rsid w:val="00DC0548"/>
    <w:rsid w:val="00DC0D2B"/>
    <w:rsid w:val="00DC30B1"/>
    <w:rsid w:val="00DC435D"/>
    <w:rsid w:val="00DC58E9"/>
    <w:rsid w:val="00DD171A"/>
    <w:rsid w:val="00DD3075"/>
    <w:rsid w:val="00DD635E"/>
    <w:rsid w:val="00DE08B9"/>
    <w:rsid w:val="00DE2ACB"/>
    <w:rsid w:val="00DE4B2A"/>
    <w:rsid w:val="00DE6BC6"/>
    <w:rsid w:val="00DF0942"/>
    <w:rsid w:val="00DF77AD"/>
    <w:rsid w:val="00E12A20"/>
    <w:rsid w:val="00E1532D"/>
    <w:rsid w:val="00E16DBD"/>
    <w:rsid w:val="00E21AA2"/>
    <w:rsid w:val="00E2252B"/>
    <w:rsid w:val="00E22773"/>
    <w:rsid w:val="00E234E5"/>
    <w:rsid w:val="00E2670A"/>
    <w:rsid w:val="00E31646"/>
    <w:rsid w:val="00E32E75"/>
    <w:rsid w:val="00E34990"/>
    <w:rsid w:val="00E34BEA"/>
    <w:rsid w:val="00E410D8"/>
    <w:rsid w:val="00E4248D"/>
    <w:rsid w:val="00E461AC"/>
    <w:rsid w:val="00E47E03"/>
    <w:rsid w:val="00E52A33"/>
    <w:rsid w:val="00E53B95"/>
    <w:rsid w:val="00E54F5E"/>
    <w:rsid w:val="00E579BA"/>
    <w:rsid w:val="00E57BDF"/>
    <w:rsid w:val="00E66F7C"/>
    <w:rsid w:val="00E714DD"/>
    <w:rsid w:val="00E751EB"/>
    <w:rsid w:val="00E81F47"/>
    <w:rsid w:val="00E9003F"/>
    <w:rsid w:val="00E935B2"/>
    <w:rsid w:val="00E93A22"/>
    <w:rsid w:val="00E95340"/>
    <w:rsid w:val="00E95906"/>
    <w:rsid w:val="00EA35BA"/>
    <w:rsid w:val="00EA47FF"/>
    <w:rsid w:val="00EA5210"/>
    <w:rsid w:val="00EA62D7"/>
    <w:rsid w:val="00EA6802"/>
    <w:rsid w:val="00EB0C6D"/>
    <w:rsid w:val="00EB122B"/>
    <w:rsid w:val="00EB6B50"/>
    <w:rsid w:val="00EC0950"/>
    <w:rsid w:val="00EC130E"/>
    <w:rsid w:val="00EC24C5"/>
    <w:rsid w:val="00EC3122"/>
    <w:rsid w:val="00EC42B6"/>
    <w:rsid w:val="00EC5810"/>
    <w:rsid w:val="00EC6230"/>
    <w:rsid w:val="00ED1753"/>
    <w:rsid w:val="00ED2C7C"/>
    <w:rsid w:val="00ED6779"/>
    <w:rsid w:val="00ED7A97"/>
    <w:rsid w:val="00EE1837"/>
    <w:rsid w:val="00EE35DE"/>
    <w:rsid w:val="00EE47E5"/>
    <w:rsid w:val="00EE6CA5"/>
    <w:rsid w:val="00EF1B60"/>
    <w:rsid w:val="00EF30F1"/>
    <w:rsid w:val="00EF5E08"/>
    <w:rsid w:val="00EF729E"/>
    <w:rsid w:val="00F013DE"/>
    <w:rsid w:val="00F03A30"/>
    <w:rsid w:val="00F04052"/>
    <w:rsid w:val="00F115F8"/>
    <w:rsid w:val="00F12A38"/>
    <w:rsid w:val="00F13ED0"/>
    <w:rsid w:val="00F17811"/>
    <w:rsid w:val="00F210C4"/>
    <w:rsid w:val="00F21898"/>
    <w:rsid w:val="00F21A50"/>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3811"/>
    <w:rsid w:val="00F7576E"/>
    <w:rsid w:val="00F7764F"/>
    <w:rsid w:val="00F77B3A"/>
    <w:rsid w:val="00F80021"/>
    <w:rsid w:val="00F81EA8"/>
    <w:rsid w:val="00F83916"/>
    <w:rsid w:val="00F86FE3"/>
    <w:rsid w:val="00F9033A"/>
    <w:rsid w:val="00F90381"/>
    <w:rsid w:val="00F91E36"/>
    <w:rsid w:val="00F949D7"/>
    <w:rsid w:val="00FA2705"/>
    <w:rsid w:val="00FA3166"/>
    <w:rsid w:val="00FA41BA"/>
    <w:rsid w:val="00FA7B7C"/>
    <w:rsid w:val="00FB0787"/>
    <w:rsid w:val="00FB3238"/>
    <w:rsid w:val="00FB5172"/>
    <w:rsid w:val="00FB6771"/>
    <w:rsid w:val="00FC05BD"/>
    <w:rsid w:val="00FC1903"/>
    <w:rsid w:val="00FC39B3"/>
    <w:rsid w:val="00FD05D4"/>
    <w:rsid w:val="00FD172C"/>
    <w:rsid w:val="00FD2699"/>
    <w:rsid w:val="00FD58A1"/>
    <w:rsid w:val="00FD689E"/>
    <w:rsid w:val="00FE1FEC"/>
    <w:rsid w:val="00FE259F"/>
    <w:rsid w:val="00FE324F"/>
    <w:rsid w:val="00FE32F0"/>
    <w:rsid w:val="00FE50DE"/>
    <w:rsid w:val="00FE587B"/>
    <w:rsid w:val="00FE6B73"/>
    <w:rsid w:val="00FF0711"/>
    <w:rsid w:val="00FF33E7"/>
    <w:rsid w:val="00FF390F"/>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2C8CD7"/>
  <w15:docId w15:val="{CE5D819A-C65D-4800-9D98-98AE6EE0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link w:val="SOPreferenceChar"/>
    <w:uiPriority w:val="99"/>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qFormat/>
    <w:rsid w:val="00475745"/>
    <w:pPr>
      <w:ind w:left="340" w:hanging="340"/>
    </w:pPr>
  </w:style>
  <w:style w:type="character" w:customStyle="1" w:styleId="Bullet1Char0">
    <w:name w:val="Bullet 1 Char"/>
    <w:basedOn w:val="DefaultParagraphFont"/>
    <w:link w:val="Bullet10"/>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character" w:customStyle="1" w:styleId="SOPreferenceChar">
    <w:name w:val="SOP reference Char"/>
    <w:link w:val="SOPreference"/>
    <w:uiPriority w:val="99"/>
    <w:rsid w:val="006D7582"/>
    <w:rPr>
      <w:rFonts w:ascii="Calibri" w:hAnsi="Calibri" w:cs="Arial"/>
      <w:color w:val="0000FF"/>
      <w:sz w:val="20"/>
      <w:szCs w:val="20"/>
      <w:lang w:eastAsia="en-US"/>
    </w:rPr>
  </w:style>
  <w:style w:type="paragraph" w:customStyle="1" w:styleId="StyleDefinitionsabbreviationsLatinArialAfter0ptLi">
    <w:name w:val="Style Definitions &amp; abbreviations + (Latin) Arial After:  0 pt Li..."/>
    <w:basedOn w:val="Normal"/>
    <w:autoRedefine/>
    <w:rsid w:val="00D86F1F"/>
    <w:pPr>
      <w:spacing w:after="0"/>
      <w:contextualSpacing/>
    </w:pPr>
    <w:rPr>
      <w:rFonts w:asciiTheme="minorHAnsi" w:hAnsiTheme="minorHAnsi" w:cstheme="minorHAnsi"/>
      <w:b/>
      <w:bCs/>
      <w:color w:val="000000" w:themeColor="text1"/>
      <w:spacing w:val="5"/>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676226719">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ukri.org/wp-content/uploads/2020/10/UKRI-020920-ConcordatonOpenResearchData.pdf" TargetMode="External"/><Relationship Id="rId26" Type="http://schemas.openxmlformats.org/officeDocument/2006/relationships/hyperlink" Target="https://universityofbirmingham.service-now.com/itportal/" TargetMode="External"/><Relationship Id="rId39" Type="http://schemas.openxmlformats.org/officeDocument/2006/relationships/hyperlink" Target="https://www.legislation.gov.uk/uksi/2006/1928/pdfs/uksi_20061928_en.pdf" TargetMode="External"/><Relationship Id="rId3" Type="http://schemas.openxmlformats.org/officeDocument/2006/relationships/styles" Target="styles.xml"/><Relationship Id="rId21" Type="http://schemas.openxmlformats.org/officeDocument/2006/relationships/hyperlink" Target="https://eur-lex.europa.eu/LexUriServ/LexUriServ.do?uri=OJ:L:2003:159:0046:0094:en:PDF" TargetMode="External"/><Relationship Id="rId34" Type="http://schemas.openxmlformats.org/officeDocument/2006/relationships/hyperlink" Target="https://www.ukri.org/wp-content/uploads/2020/10/UKRI-020920-ConcordatonOpenResearchData.pdf" TargetMode="External"/><Relationship Id="rId42" Type="http://schemas.openxmlformats.org/officeDocument/2006/relationships/hyperlink" Target="https://intranet.birmingham.ac.uk/as/libraryservices/library/research/rdm/Policies/Research-Data-Management-Policy.aspx"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universityofbirmingham.service-now.com/itportal/" TargetMode="External"/><Relationship Id="rId33" Type="http://schemas.openxmlformats.org/officeDocument/2006/relationships/hyperlink" Target="https://ec.europa.eu/health/sites/health/files/files/eudralex/vol-1/reg_2014_536/reg_2014_536_en.pdf" TargetMode="External"/><Relationship Id="rId38" Type="http://schemas.openxmlformats.org/officeDocument/2006/relationships/hyperlink" Target="https://database.ich.org/sites/default/files/E6_R2_Addendum.pdf" TargetMode="External"/><Relationship Id="rId46" Type="http://schemas.openxmlformats.org/officeDocument/2006/relationships/hyperlink" Target="https://www.birmingham.ac.uk/research/activity/mds/mds-rkto/governance/Glossary-of-Terms.asp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legislation.gov.uk/uksi/2006/1928/pdfs/uksi_20061928_en.pdf" TargetMode="External"/><Relationship Id="rId29" Type="http://schemas.openxmlformats.org/officeDocument/2006/relationships/hyperlink" Target="https://universityofbirmingham.service-now.com/itportal/" TargetMode="External"/><Relationship Id="rId41" Type="http://schemas.openxmlformats.org/officeDocument/2006/relationships/hyperlink" Target="https://the-hsraa.org/resources/publications/good-clinical-practice-guide-archiv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atabase.ich.org/sites/default/files/E6_R2_Addendum.pdf" TargetMode="External"/><Relationship Id="rId32" Type="http://schemas.openxmlformats.org/officeDocument/2006/relationships/hyperlink" Target="https://www.birmingham.ac.uk/research/activity/mds/mds-rkto/governance/index.aspx" TargetMode="External"/><Relationship Id="rId37" Type="http://schemas.openxmlformats.org/officeDocument/2006/relationships/hyperlink" Target="https://eur-lex.europa.eu/LexUriServ/LexUriServ.do?uri=OJ:L:2003:159:0046:0094:en:PDF" TargetMode="External"/><Relationship Id="rId40" Type="http://schemas.openxmlformats.org/officeDocument/2006/relationships/hyperlink" Target="https://the-hsraa.org/wp-content/uploads/2017/12/AGuidetoArchivingElectronicRecordsv1.pdf" TargetMode="External"/><Relationship Id="rId45" Type="http://schemas.openxmlformats.org/officeDocument/2006/relationships/hyperlink" Target="mailto:researchgovernance@contact.bham.ac.uk"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ec.europa.eu/health/sites/health/files/files/eudralex/vol-10/atmp_guidelines_en.pdf" TargetMode="External"/><Relationship Id="rId28" Type="http://schemas.openxmlformats.org/officeDocument/2006/relationships/hyperlink" Target="https://universityofbirmingham.service-now.com/itportal/" TargetMode="External"/><Relationship Id="rId36" Type="http://schemas.openxmlformats.org/officeDocument/2006/relationships/hyperlink" Target="https://ec.europa.eu/health/sites/health/files/files/eudralex/vol-10/atmp_guidelines_en.pdf" TargetMode="External"/><Relationship Id="rId49" Type="http://schemas.microsoft.com/office/2018/08/relationships/commentsExtensible" Target="commentsExtensible.xml"/><Relationship Id="rId10" Type="http://schemas.openxmlformats.org/officeDocument/2006/relationships/footer" Target="footer2.xml"/><Relationship Id="rId19" Type="http://schemas.openxmlformats.org/officeDocument/2006/relationships/hyperlink" Target="https://intranet.birmingham.ac.uk/as/libraryservices/library/research/rdm/Policies/Research-Data-Management-Policy.aspx" TargetMode="External"/><Relationship Id="rId31" Type="http://schemas.openxmlformats.org/officeDocument/2006/relationships/hyperlink" Target="https://intranet.birmingham.ac.uk/finance/rss/contracts/index.aspx" TargetMode="External"/><Relationship Id="rId44" Type="http://schemas.openxmlformats.org/officeDocument/2006/relationships/hyperlink" Target="https://universityofbirmingham.service-now.com/it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ec.europa.eu/health/sites/health/files/files/eudralex/vol-1/reg_2014_536/reg_2014_536_en.pdf" TargetMode="External"/><Relationship Id="rId27" Type="http://schemas.openxmlformats.org/officeDocument/2006/relationships/hyperlink" Target="https://universityofbirmingham.service-now.com/itportal/" TargetMode="External"/><Relationship Id="rId30" Type="http://schemas.openxmlformats.org/officeDocument/2006/relationships/hyperlink" Target="https://universityofbirmingham.service-now.com/itportal/" TargetMode="External"/><Relationship Id="rId35" Type="http://schemas.openxmlformats.org/officeDocument/2006/relationships/hyperlink" Target="https://health.ec.europa.eu/system/files/2016-11/v10_chap5_en_0.pdf" TargetMode="External"/><Relationship Id="rId43" Type="http://schemas.openxmlformats.org/officeDocument/2006/relationships/hyperlink" Target="https://intranet.birmingham.ac.uk/rssd/research-support/contracts.aspx" TargetMode="External"/><Relationship Id="rId48" Type="http://schemas.openxmlformats.org/officeDocument/2006/relationships/theme" Target="theme/theme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cy\Desktop\Work%20stuff%20in%20progress\Archiving\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1513-6D35-4744-85A7-966739B6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448</TotalTime>
  <Pages>11</Pages>
  <Words>4958</Words>
  <Characters>28265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Carole Evans (Advanced Therapies Facility)</dc:creator>
  <cp:lastModifiedBy>Kari Bottolfsen (Life and Environmental Sciences)</cp:lastModifiedBy>
  <cp:revision>20</cp:revision>
  <cp:lastPrinted>2019-05-31T11:18:00Z</cp:lastPrinted>
  <dcterms:created xsi:type="dcterms:W3CDTF">2023-05-10T14:23:00Z</dcterms:created>
  <dcterms:modified xsi:type="dcterms:W3CDTF">2023-08-03T11:22:00Z</dcterms:modified>
</cp:coreProperties>
</file>