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5BED0" w14:textId="77777777" w:rsidR="00D7036B" w:rsidRDefault="00D7036B" w:rsidP="00D7036B"/>
    <w:p w14:paraId="0075F0F5" w14:textId="77777777" w:rsidR="00895128" w:rsidRDefault="00895128" w:rsidP="00D7036B"/>
    <w:p w14:paraId="47A98DBE" w14:textId="77777777" w:rsidR="00895128" w:rsidRPr="00895128" w:rsidRDefault="00895128" w:rsidP="00895128">
      <w:pPr>
        <w:rPr>
          <w:b/>
          <w:bCs/>
          <w:sz w:val="28"/>
          <w:szCs w:val="28"/>
        </w:rPr>
      </w:pPr>
      <w:r w:rsidRPr="00895128">
        <w:rPr>
          <w:b/>
          <w:bCs/>
          <w:sz w:val="28"/>
          <w:szCs w:val="28"/>
        </w:rPr>
        <w:t>Standard Operating Procedure</w:t>
      </w:r>
      <w:r>
        <w:rPr>
          <w:b/>
          <w:bCs/>
          <w:sz w:val="28"/>
          <w:szCs w:val="28"/>
        </w:rPr>
        <w:t>:</w:t>
      </w:r>
    </w:p>
    <w:p w14:paraId="4EAF8857" w14:textId="0E261AE2" w:rsidR="00895128" w:rsidRDefault="00ED425A" w:rsidP="00A75686">
      <w:pPr>
        <w:pStyle w:val="Title"/>
      </w:pPr>
      <w:r>
        <w:t>medicinal product management</w:t>
      </w:r>
    </w:p>
    <w:p w14:paraId="3F0E6080" w14:textId="77777777" w:rsidR="00A31C6D" w:rsidRDefault="00A31C6D" w:rsidP="00A31C6D"/>
    <w:p w14:paraId="2598E1BF" w14:textId="77777777" w:rsidR="00D7036B" w:rsidRDefault="00D7036B" w:rsidP="00A31C6D"/>
    <w:tbl>
      <w:tblPr>
        <w:tblStyle w:val="TableGrid"/>
        <w:tblW w:w="0" w:type="auto"/>
        <w:tblBorders>
          <w:insideH w:val="dotted" w:sz="4" w:space="0" w:color="auto"/>
          <w:insideV w:val="dotted" w:sz="4" w:space="0" w:color="auto"/>
        </w:tblBorders>
        <w:tblLook w:val="04A0" w:firstRow="1" w:lastRow="0" w:firstColumn="1" w:lastColumn="0" w:noHBand="0" w:noVBand="1"/>
        <w:tblCaption w:val="Review Information"/>
        <w:tblDescription w:val="This table details which document the current document has superseded, when it was last reviewed and when the next review is due"/>
      </w:tblPr>
      <w:tblGrid>
        <w:gridCol w:w="1696"/>
        <w:gridCol w:w="7321"/>
      </w:tblGrid>
      <w:tr w:rsidR="00895128" w14:paraId="79272B87" w14:textId="77777777" w:rsidTr="00C90371">
        <w:tc>
          <w:tcPr>
            <w:tcW w:w="1696" w:type="dxa"/>
          </w:tcPr>
          <w:p w14:paraId="75192EA8" w14:textId="77777777" w:rsidR="00895128" w:rsidRPr="00895128" w:rsidRDefault="00895128" w:rsidP="00A31C6D">
            <w:pPr>
              <w:rPr>
                <w:b/>
                <w:bCs/>
              </w:rPr>
            </w:pPr>
            <w:r w:rsidRPr="00895128">
              <w:rPr>
                <w:b/>
                <w:bCs/>
              </w:rPr>
              <w:t>Supersedes:</w:t>
            </w:r>
          </w:p>
        </w:tc>
        <w:tc>
          <w:tcPr>
            <w:tcW w:w="7321" w:type="dxa"/>
          </w:tcPr>
          <w:p w14:paraId="621FCDCD" w14:textId="11E43692" w:rsidR="00895128" w:rsidRDefault="00EE4201" w:rsidP="00A31C6D">
            <w:r>
              <w:t>Medicinal Product Management SOP (UoB-MED-SOP-001</w:t>
            </w:r>
            <w:r w:rsidR="001460A9">
              <w:t>, v1.0</w:t>
            </w:r>
            <w:r>
              <w:t>)</w:t>
            </w:r>
          </w:p>
        </w:tc>
      </w:tr>
      <w:tr w:rsidR="00895128" w14:paraId="51E5AB6D" w14:textId="77777777" w:rsidTr="00C90371">
        <w:tc>
          <w:tcPr>
            <w:tcW w:w="1696" w:type="dxa"/>
          </w:tcPr>
          <w:p w14:paraId="6EBDD61F" w14:textId="77777777" w:rsidR="00895128" w:rsidRPr="00895128" w:rsidRDefault="00895128" w:rsidP="00A31C6D">
            <w:pPr>
              <w:rPr>
                <w:b/>
                <w:bCs/>
              </w:rPr>
            </w:pPr>
            <w:r w:rsidRPr="00895128">
              <w:rPr>
                <w:b/>
                <w:bCs/>
              </w:rPr>
              <w:t>Last reviewed:</w:t>
            </w:r>
          </w:p>
        </w:tc>
        <w:tc>
          <w:tcPr>
            <w:tcW w:w="7321" w:type="dxa"/>
          </w:tcPr>
          <w:p w14:paraId="03CC5BAD" w14:textId="50038CE6" w:rsidR="00895128" w:rsidRDefault="004B0EA8" w:rsidP="00A31C6D">
            <w:r>
              <w:t>Nov</w:t>
            </w:r>
            <w:r w:rsidR="002503A5">
              <w:t>-</w:t>
            </w:r>
            <w:r w:rsidR="007C0969">
              <w:t>2025</w:t>
            </w:r>
          </w:p>
        </w:tc>
      </w:tr>
      <w:tr w:rsidR="00895128" w14:paraId="1A8B35C1" w14:textId="77777777" w:rsidTr="00C90371">
        <w:tc>
          <w:tcPr>
            <w:tcW w:w="1696" w:type="dxa"/>
          </w:tcPr>
          <w:p w14:paraId="72EE5B8C" w14:textId="77777777" w:rsidR="00895128" w:rsidRPr="00895128" w:rsidRDefault="00895128" w:rsidP="00A31C6D">
            <w:pPr>
              <w:rPr>
                <w:b/>
                <w:bCs/>
              </w:rPr>
            </w:pPr>
            <w:r w:rsidRPr="00895128">
              <w:rPr>
                <w:b/>
                <w:bCs/>
              </w:rPr>
              <w:t>Next review in:</w:t>
            </w:r>
          </w:p>
        </w:tc>
        <w:tc>
          <w:tcPr>
            <w:tcW w:w="7321" w:type="dxa"/>
          </w:tcPr>
          <w:p w14:paraId="3D3AF9BA" w14:textId="1D62A119" w:rsidR="00895128" w:rsidRDefault="002503A5" w:rsidP="00A31C6D">
            <w:r>
              <w:t>20</w:t>
            </w:r>
            <w:r w:rsidR="00967671">
              <w:t>2</w:t>
            </w:r>
            <w:r>
              <w:t>8, Quarter 4 (Oct-Dec)</w:t>
            </w:r>
          </w:p>
        </w:tc>
      </w:tr>
    </w:tbl>
    <w:p w14:paraId="6999F724" w14:textId="77777777" w:rsidR="00895128" w:rsidRDefault="00895128" w:rsidP="00A31C6D"/>
    <w:p w14:paraId="52AB0B99" w14:textId="77777777" w:rsidR="00895128" w:rsidRDefault="00895128" w:rsidP="00A31C6D"/>
    <w:p w14:paraId="06E8DF87" w14:textId="77777777" w:rsidR="00895128" w:rsidRDefault="00895128" w:rsidP="00A31C6D"/>
    <w:p w14:paraId="2ED3E395" w14:textId="77777777" w:rsidR="00A86630" w:rsidRPr="00A86630" w:rsidRDefault="00A86630" w:rsidP="00895128">
      <w:pPr>
        <w:tabs>
          <w:tab w:val="left" w:pos="3654"/>
        </w:tabs>
        <w:rPr>
          <w:lang w:val="en-US"/>
        </w:rPr>
      </w:pPr>
      <w:r>
        <w:rPr>
          <w:lang w:val="en-US"/>
        </w:rPr>
        <w:t>A</w:t>
      </w:r>
      <w:r w:rsidRPr="00A86630">
        <w:rPr>
          <w:lang w:val="en-US"/>
        </w:rPr>
        <w:t xml:space="preserve">ccess the </w:t>
      </w:r>
      <w:hyperlink r:id="rId12" w:tooltip="Link to the Clinical Research e-Pathway" w:history="1">
        <w:r w:rsidR="00FC026F" w:rsidRPr="00A86630">
          <w:rPr>
            <w:rStyle w:val="Hyperlink"/>
            <w:lang w:val="en-US"/>
          </w:rPr>
          <w:t>Clinical Research e-Pathway</w:t>
        </w:r>
      </w:hyperlink>
      <w:r w:rsidRPr="00A86630">
        <w:rPr>
          <w:lang w:val="en-US"/>
        </w:rPr>
        <w:t xml:space="preserve"> for a roadmap to </w:t>
      </w:r>
      <w:r>
        <w:rPr>
          <w:lang w:val="en-US"/>
        </w:rPr>
        <w:t xml:space="preserve">help </w:t>
      </w:r>
      <w:r w:rsidRPr="00A86630">
        <w:rPr>
          <w:lang w:val="en-US"/>
        </w:rPr>
        <w:t xml:space="preserve">navigate a </w:t>
      </w:r>
      <w:r w:rsidR="007862F4">
        <w:rPr>
          <w:lang w:val="en-US"/>
        </w:rPr>
        <w:t xml:space="preserve">complete project </w:t>
      </w:r>
      <w:r w:rsidRPr="00A86630">
        <w:rPr>
          <w:lang w:val="en-US"/>
        </w:rPr>
        <w:t>lifecycle</w:t>
      </w:r>
      <w:r>
        <w:rPr>
          <w:lang w:val="en-US"/>
        </w:rPr>
        <w:t>.</w:t>
      </w:r>
    </w:p>
    <w:p w14:paraId="11CEA50C" w14:textId="77777777" w:rsidR="00A86630" w:rsidRDefault="00A86630" w:rsidP="007773B9">
      <w:pPr>
        <w:tabs>
          <w:tab w:val="left" w:pos="3654"/>
        </w:tabs>
      </w:pPr>
    </w:p>
    <w:p w14:paraId="3F9E6FA3" w14:textId="77777777" w:rsidR="00A86630" w:rsidRDefault="00A86630" w:rsidP="007773B9">
      <w:pPr>
        <w:tabs>
          <w:tab w:val="left" w:pos="3654"/>
        </w:tabs>
      </w:pPr>
    </w:p>
    <w:p w14:paraId="3C2D957C" w14:textId="77777777" w:rsidR="0097056C" w:rsidRPr="007773B9" w:rsidRDefault="0097056C" w:rsidP="007773B9">
      <w:pPr>
        <w:tabs>
          <w:tab w:val="left" w:pos="3654"/>
        </w:tabs>
        <w:sectPr w:rsidR="0097056C" w:rsidRPr="007773B9" w:rsidSect="00D7036B">
          <w:footerReference w:type="default" r:id="rId13"/>
          <w:headerReference w:type="first" r:id="rId14"/>
          <w:footerReference w:type="first" r:id="rId15"/>
          <w:pgSz w:w="11907" w:h="16839" w:code="9"/>
          <w:pgMar w:top="4253" w:right="1440" w:bottom="1440" w:left="1440" w:header="1438" w:footer="452" w:gutter="0"/>
          <w:pgBorders w:display="notFirstPage">
            <w:top w:val="single" w:sz="12" w:space="3" w:color="17365D" w:themeColor="text2" w:themeShade="BF"/>
            <w:bottom w:val="single" w:sz="12" w:space="3" w:color="17365D" w:themeColor="text2" w:themeShade="BF"/>
          </w:pgBorders>
          <w:cols w:space="708"/>
          <w:titlePg/>
          <w:docGrid w:linePitch="360"/>
        </w:sectPr>
      </w:pPr>
    </w:p>
    <w:bookmarkStart w:id="0" w:name="_Toc320536979" w:displacedByCustomXml="next"/>
    <w:sdt>
      <w:sdtPr>
        <w:rPr>
          <w:rFonts w:ascii="Calibri" w:eastAsia="Times New Roman" w:hAnsi="Calibri" w:cs="Arial"/>
          <w:color w:val="auto"/>
          <w:sz w:val="20"/>
          <w:szCs w:val="20"/>
          <w:lang w:val="en-GB"/>
        </w:rPr>
        <w:id w:val="1097441873"/>
        <w:docPartObj>
          <w:docPartGallery w:val="Table of Contents"/>
          <w:docPartUnique/>
        </w:docPartObj>
      </w:sdtPr>
      <w:sdtEndPr>
        <w:rPr>
          <w:b/>
          <w:bCs/>
          <w:noProof/>
        </w:rPr>
      </w:sdtEndPr>
      <w:sdtContent>
        <w:p w14:paraId="3BCC84A6" w14:textId="77777777" w:rsidR="000317D8" w:rsidRPr="00646D09" w:rsidRDefault="000317D8" w:rsidP="003F499F">
          <w:pPr>
            <w:pStyle w:val="TOCHeading"/>
            <w:spacing w:before="0"/>
            <w:rPr>
              <w:rStyle w:val="Heading1Char"/>
              <w:rFonts w:asciiTheme="minorHAnsi" w:hAnsiTheme="minorHAnsi"/>
            </w:rPr>
          </w:pPr>
          <w:r w:rsidRPr="00646D09">
            <w:rPr>
              <w:rStyle w:val="Heading1Char"/>
              <w:rFonts w:asciiTheme="minorHAnsi" w:hAnsiTheme="minorHAnsi"/>
            </w:rPr>
            <w:t>Contents</w:t>
          </w:r>
        </w:p>
        <w:p w14:paraId="5A2699CF" w14:textId="4F5DB0A0" w:rsidR="0060586E" w:rsidRDefault="000317D8">
          <w:pPr>
            <w:pStyle w:val="TOC1"/>
            <w:rPr>
              <w:rFonts w:asciiTheme="minorHAnsi" w:eastAsiaTheme="minorEastAsia" w:hAnsiTheme="minorHAnsi" w:cstheme="minorBidi"/>
              <w:b w:val="0"/>
              <w:bCs w:val="0"/>
              <w:kern w:val="2"/>
              <w:sz w:val="24"/>
              <w:szCs w:val="24"/>
              <w:lang w:eastAsia="en-GB"/>
              <w14:ligatures w14:val="standardContextual"/>
            </w:rPr>
          </w:pPr>
          <w:r>
            <w:fldChar w:fldCharType="begin"/>
          </w:r>
          <w:r>
            <w:instrText xml:space="preserve"> TOC \o "1-3" \h \z \u </w:instrText>
          </w:r>
          <w:r>
            <w:fldChar w:fldCharType="separate"/>
          </w:r>
          <w:hyperlink w:anchor="_Toc214623566" w:history="1">
            <w:r w:rsidR="0060586E" w:rsidRPr="007C33FB">
              <w:rPr>
                <w:rStyle w:val="Hyperlink"/>
              </w:rPr>
              <w:t>Purpose</w:t>
            </w:r>
            <w:r w:rsidR="0060586E">
              <w:rPr>
                <w:webHidden/>
              </w:rPr>
              <w:tab/>
            </w:r>
            <w:r w:rsidR="0060586E">
              <w:rPr>
                <w:webHidden/>
              </w:rPr>
              <w:fldChar w:fldCharType="begin"/>
            </w:r>
            <w:r w:rsidR="0060586E">
              <w:rPr>
                <w:webHidden/>
              </w:rPr>
              <w:instrText xml:space="preserve"> PAGEREF _Toc214623566 \h </w:instrText>
            </w:r>
            <w:r w:rsidR="0060586E">
              <w:rPr>
                <w:webHidden/>
              </w:rPr>
            </w:r>
            <w:r w:rsidR="0060586E">
              <w:rPr>
                <w:webHidden/>
              </w:rPr>
              <w:fldChar w:fldCharType="separate"/>
            </w:r>
            <w:r w:rsidR="000B3BED">
              <w:rPr>
                <w:webHidden/>
              </w:rPr>
              <w:t>3</w:t>
            </w:r>
            <w:r w:rsidR="0060586E">
              <w:rPr>
                <w:webHidden/>
              </w:rPr>
              <w:fldChar w:fldCharType="end"/>
            </w:r>
          </w:hyperlink>
        </w:p>
        <w:p w14:paraId="15E77F81" w14:textId="36DCA5FA" w:rsidR="0060586E" w:rsidRDefault="0060586E">
          <w:pPr>
            <w:pStyle w:val="TOC1"/>
            <w:rPr>
              <w:rFonts w:asciiTheme="minorHAnsi" w:eastAsiaTheme="minorEastAsia" w:hAnsiTheme="minorHAnsi" w:cstheme="minorBidi"/>
              <w:b w:val="0"/>
              <w:bCs w:val="0"/>
              <w:kern w:val="2"/>
              <w:sz w:val="24"/>
              <w:szCs w:val="24"/>
              <w:lang w:eastAsia="en-GB"/>
              <w14:ligatures w14:val="standardContextual"/>
            </w:rPr>
          </w:pPr>
          <w:hyperlink w:anchor="_Toc214623567" w:history="1">
            <w:r w:rsidRPr="007C33FB">
              <w:rPr>
                <w:rStyle w:val="Hyperlink"/>
              </w:rPr>
              <w:t>Scope</w:t>
            </w:r>
            <w:r>
              <w:rPr>
                <w:webHidden/>
              </w:rPr>
              <w:tab/>
            </w:r>
            <w:r>
              <w:rPr>
                <w:webHidden/>
              </w:rPr>
              <w:fldChar w:fldCharType="begin"/>
            </w:r>
            <w:r>
              <w:rPr>
                <w:webHidden/>
              </w:rPr>
              <w:instrText xml:space="preserve"> PAGEREF _Toc214623567 \h </w:instrText>
            </w:r>
            <w:r>
              <w:rPr>
                <w:webHidden/>
              </w:rPr>
            </w:r>
            <w:r>
              <w:rPr>
                <w:webHidden/>
              </w:rPr>
              <w:fldChar w:fldCharType="separate"/>
            </w:r>
            <w:r w:rsidR="000B3BED">
              <w:rPr>
                <w:webHidden/>
              </w:rPr>
              <w:t>3</w:t>
            </w:r>
            <w:r>
              <w:rPr>
                <w:webHidden/>
              </w:rPr>
              <w:fldChar w:fldCharType="end"/>
            </w:r>
          </w:hyperlink>
        </w:p>
        <w:p w14:paraId="6D134184" w14:textId="0439F1AA" w:rsidR="0060586E" w:rsidRDefault="0060586E">
          <w:pPr>
            <w:pStyle w:val="TOC1"/>
            <w:rPr>
              <w:rFonts w:asciiTheme="minorHAnsi" w:eastAsiaTheme="minorEastAsia" w:hAnsiTheme="minorHAnsi" w:cstheme="minorBidi"/>
              <w:b w:val="0"/>
              <w:bCs w:val="0"/>
              <w:kern w:val="2"/>
              <w:sz w:val="24"/>
              <w:szCs w:val="24"/>
              <w:lang w:eastAsia="en-GB"/>
              <w14:ligatures w14:val="standardContextual"/>
            </w:rPr>
          </w:pPr>
          <w:hyperlink w:anchor="_Toc214623568" w:history="1">
            <w:r w:rsidRPr="007C33FB">
              <w:rPr>
                <w:rStyle w:val="Hyperlink"/>
              </w:rPr>
              <w:t>Implementation plan</w:t>
            </w:r>
            <w:r>
              <w:rPr>
                <w:webHidden/>
              </w:rPr>
              <w:tab/>
            </w:r>
            <w:r>
              <w:rPr>
                <w:webHidden/>
              </w:rPr>
              <w:fldChar w:fldCharType="begin"/>
            </w:r>
            <w:r>
              <w:rPr>
                <w:webHidden/>
              </w:rPr>
              <w:instrText xml:space="preserve"> PAGEREF _Toc214623568 \h </w:instrText>
            </w:r>
            <w:r>
              <w:rPr>
                <w:webHidden/>
              </w:rPr>
            </w:r>
            <w:r>
              <w:rPr>
                <w:webHidden/>
              </w:rPr>
              <w:fldChar w:fldCharType="separate"/>
            </w:r>
            <w:r w:rsidR="000B3BED">
              <w:rPr>
                <w:webHidden/>
              </w:rPr>
              <w:t>3</w:t>
            </w:r>
            <w:r>
              <w:rPr>
                <w:webHidden/>
              </w:rPr>
              <w:fldChar w:fldCharType="end"/>
            </w:r>
          </w:hyperlink>
        </w:p>
        <w:p w14:paraId="16C55400" w14:textId="074A4149" w:rsidR="0060586E" w:rsidRDefault="0060586E">
          <w:pPr>
            <w:pStyle w:val="TOC1"/>
            <w:rPr>
              <w:rFonts w:asciiTheme="minorHAnsi" w:eastAsiaTheme="minorEastAsia" w:hAnsiTheme="minorHAnsi" w:cstheme="minorBidi"/>
              <w:b w:val="0"/>
              <w:bCs w:val="0"/>
              <w:kern w:val="2"/>
              <w:sz w:val="24"/>
              <w:szCs w:val="24"/>
              <w:lang w:eastAsia="en-GB"/>
              <w14:ligatures w14:val="standardContextual"/>
            </w:rPr>
          </w:pPr>
          <w:hyperlink w:anchor="_Toc214623569" w:history="1">
            <w:r w:rsidRPr="007C33FB">
              <w:rPr>
                <w:rStyle w:val="Hyperlink"/>
              </w:rPr>
              <w:t>Stakeholders</w:t>
            </w:r>
            <w:r>
              <w:rPr>
                <w:webHidden/>
              </w:rPr>
              <w:tab/>
            </w:r>
            <w:r>
              <w:rPr>
                <w:webHidden/>
              </w:rPr>
              <w:fldChar w:fldCharType="begin"/>
            </w:r>
            <w:r>
              <w:rPr>
                <w:webHidden/>
              </w:rPr>
              <w:instrText xml:space="preserve"> PAGEREF _Toc214623569 \h </w:instrText>
            </w:r>
            <w:r>
              <w:rPr>
                <w:webHidden/>
              </w:rPr>
            </w:r>
            <w:r>
              <w:rPr>
                <w:webHidden/>
              </w:rPr>
              <w:fldChar w:fldCharType="separate"/>
            </w:r>
            <w:r w:rsidR="000B3BED">
              <w:rPr>
                <w:webHidden/>
              </w:rPr>
              <w:t>3</w:t>
            </w:r>
            <w:r>
              <w:rPr>
                <w:webHidden/>
              </w:rPr>
              <w:fldChar w:fldCharType="end"/>
            </w:r>
          </w:hyperlink>
        </w:p>
        <w:p w14:paraId="2B343EF8" w14:textId="01A6ACE5" w:rsidR="0060586E" w:rsidRDefault="0060586E">
          <w:pPr>
            <w:pStyle w:val="TOC1"/>
            <w:rPr>
              <w:rFonts w:asciiTheme="minorHAnsi" w:eastAsiaTheme="minorEastAsia" w:hAnsiTheme="minorHAnsi" w:cstheme="minorBidi"/>
              <w:b w:val="0"/>
              <w:bCs w:val="0"/>
              <w:kern w:val="2"/>
              <w:sz w:val="24"/>
              <w:szCs w:val="24"/>
              <w:lang w:eastAsia="en-GB"/>
              <w14:ligatures w14:val="standardContextual"/>
            </w:rPr>
          </w:pPr>
          <w:hyperlink w:anchor="_Toc214623570" w:history="1">
            <w:r w:rsidRPr="007C33FB">
              <w:rPr>
                <w:rStyle w:val="Hyperlink"/>
              </w:rPr>
              <w:t>Background</w:t>
            </w:r>
            <w:r>
              <w:rPr>
                <w:webHidden/>
              </w:rPr>
              <w:tab/>
            </w:r>
            <w:r>
              <w:rPr>
                <w:webHidden/>
              </w:rPr>
              <w:fldChar w:fldCharType="begin"/>
            </w:r>
            <w:r>
              <w:rPr>
                <w:webHidden/>
              </w:rPr>
              <w:instrText xml:space="preserve"> PAGEREF _Toc214623570 \h </w:instrText>
            </w:r>
            <w:r>
              <w:rPr>
                <w:webHidden/>
              </w:rPr>
            </w:r>
            <w:r>
              <w:rPr>
                <w:webHidden/>
              </w:rPr>
              <w:fldChar w:fldCharType="separate"/>
            </w:r>
            <w:r w:rsidR="000B3BED">
              <w:rPr>
                <w:webHidden/>
              </w:rPr>
              <w:t>4</w:t>
            </w:r>
            <w:r>
              <w:rPr>
                <w:webHidden/>
              </w:rPr>
              <w:fldChar w:fldCharType="end"/>
            </w:r>
          </w:hyperlink>
        </w:p>
        <w:p w14:paraId="0E608810" w14:textId="23E82392" w:rsidR="0060586E" w:rsidRDefault="0060586E">
          <w:pPr>
            <w:pStyle w:val="TOC2"/>
            <w:rPr>
              <w:rFonts w:asciiTheme="minorHAnsi" w:eastAsiaTheme="minorEastAsia" w:hAnsiTheme="minorHAnsi" w:cstheme="minorBidi"/>
              <w:noProof/>
              <w:kern w:val="2"/>
              <w:sz w:val="24"/>
              <w:szCs w:val="24"/>
              <w:lang w:eastAsia="en-GB"/>
              <w14:ligatures w14:val="standardContextual"/>
            </w:rPr>
          </w:pPr>
          <w:hyperlink w:anchor="_Toc214623571" w:history="1">
            <w:r w:rsidRPr="007C33FB">
              <w:rPr>
                <w:rStyle w:val="Hyperlink"/>
                <w:noProof/>
              </w:rPr>
              <w:t>Arranging the supply of medicinal products</w:t>
            </w:r>
            <w:r>
              <w:rPr>
                <w:noProof/>
                <w:webHidden/>
              </w:rPr>
              <w:tab/>
            </w:r>
            <w:r>
              <w:rPr>
                <w:noProof/>
                <w:webHidden/>
              </w:rPr>
              <w:fldChar w:fldCharType="begin"/>
            </w:r>
            <w:r>
              <w:rPr>
                <w:noProof/>
                <w:webHidden/>
              </w:rPr>
              <w:instrText xml:space="preserve"> PAGEREF _Toc214623571 \h </w:instrText>
            </w:r>
            <w:r>
              <w:rPr>
                <w:noProof/>
                <w:webHidden/>
              </w:rPr>
            </w:r>
            <w:r>
              <w:rPr>
                <w:noProof/>
                <w:webHidden/>
              </w:rPr>
              <w:fldChar w:fldCharType="separate"/>
            </w:r>
            <w:r w:rsidR="000B3BED">
              <w:rPr>
                <w:noProof/>
                <w:webHidden/>
              </w:rPr>
              <w:t>4</w:t>
            </w:r>
            <w:r>
              <w:rPr>
                <w:noProof/>
                <w:webHidden/>
              </w:rPr>
              <w:fldChar w:fldCharType="end"/>
            </w:r>
          </w:hyperlink>
        </w:p>
        <w:p w14:paraId="28508ABB" w14:textId="4B7A7954" w:rsidR="0060586E" w:rsidRDefault="0060586E">
          <w:pPr>
            <w:pStyle w:val="TOC3"/>
            <w:rPr>
              <w:rFonts w:asciiTheme="minorHAnsi" w:eastAsiaTheme="minorEastAsia" w:hAnsiTheme="minorHAnsi" w:cstheme="minorBidi"/>
              <w:noProof/>
              <w:kern w:val="2"/>
              <w:sz w:val="24"/>
              <w:szCs w:val="24"/>
              <w:lang w:eastAsia="en-GB"/>
              <w14:ligatures w14:val="standardContextual"/>
            </w:rPr>
          </w:pPr>
          <w:hyperlink w:anchor="_Toc214623572" w:history="1">
            <w:r w:rsidRPr="007C33FB">
              <w:rPr>
                <w:rStyle w:val="Hyperlink"/>
                <w:noProof/>
              </w:rPr>
              <w:t>Commercial supply</w:t>
            </w:r>
            <w:r>
              <w:rPr>
                <w:noProof/>
                <w:webHidden/>
              </w:rPr>
              <w:tab/>
            </w:r>
            <w:r>
              <w:rPr>
                <w:noProof/>
                <w:webHidden/>
              </w:rPr>
              <w:fldChar w:fldCharType="begin"/>
            </w:r>
            <w:r>
              <w:rPr>
                <w:noProof/>
                <w:webHidden/>
              </w:rPr>
              <w:instrText xml:space="preserve"> PAGEREF _Toc214623572 \h </w:instrText>
            </w:r>
            <w:r>
              <w:rPr>
                <w:noProof/>
                <w:webHidden/>
              </w:rPr>
            </w:r>
            <w:r>
              <w:rPr>
                <w:noProof/>
                <w:webHidden/>
              </w:rPr>
              <w:fldChar w:fldCharType="separate"/>
            </w:r>
            <w:r w:rsidR="000B3BED">
              <w:rPr>
                <w:noProof/>
                <w:webHidden/>
              </w:rPr>
              <w:t>4</w:t>
            </w:r>
            <w:r>
              <w:rPr>
                <w:noProof/>
                <w:webHidden/>
              </w:rPr>
              <w:fldChar w:fldCharType="end"/>
            </w:r>
          </w:hyperlink>
        </w:p>
        <w:p w14:paraId="34E6F543" w14:textId="2F6AA640" w:rsidR="0060586E" w:rsidRDefault="0060586E">
          <w:pPr>
            <w:pStyle w:val="TOC3"/>
            <w:rPr>
              <w:rFonts w:asciiTheme="minorHAnsi" w:eastAsiaTheme="minorEastAsia" w:hAnsiTheme="minorHAnsi" w:cstheme="minorBidi"/>
              <w:noProof/>
              <w:kern w:val="2"/>
              <w:sz w:val="24"/>
              <w:szCs w:val="24"/>
              <w:lang w:eastAsia="en-GB"/>
              <w14:ligatures w14:val="standardContextual"/>
            </w:rPr>
          </w:pPr>
          <w:hyperlink w:anchor="_Toc214623573" w:history="1">
            <w:r w:rsidRPr="007C33FB">
              <w:rPr>
                <w:rStyle w:val="Hyperlink"/>
                <w:noProof/>
              </w:rPr>
              <w:t>Generic vs. branded products</w:t>
            </w:r>
            <w:r>
              <w:rPr>
                <w:noProof/>
                <w:webHidden/>
              </w:rPr>
              <w:tab/>
            </w:r>
            <w:r>
              <w:rPr>
                <w:noProof/>
                <w:webHidden/>
              </w:rPr>
              <w:fldChar w:fldCharType="begin"/>
            </w:r>
            <w:r>
              <w:rPr>
                <w:noProof/>
                <w:webHidden/>
              </w:rPr>
              <w:instrText xml:space="preserve"> PAGEREF _Toc214623573 \h </w:instrText>
            </w:r>
            <w:r>
              <w:rPr>
                <w:noProof/>
                <w:webHidden/>
              </w:rPr>
            </w:r>
            <w:r>
              <w:rPr>
                <w:noProof/>
                <w:webHidden/>
              </w:rPr>
              <w:fldChar w:fldCharType="separate"/>
            </w:r>
            <w:r w:rsidR="000B3BED">
              <w:rPr>
                <w:noProof/>
                <w:webHidden/>
              </w:rPr>
              <w:t>4</w:t>
            </w:r>
            <w:r>
              <w:rPr>
                <w:noProof/>
                <w:webHidden/>
              </w:rPr>
              <w:fldChar w:fldCharType="end"/>
            </w:r>
          </w:hyperlink>
        </w:p>
        <w:p w14:paraId="1B5BD034" w14:textId="14EF0D92" w:rsidR="0060586E" w:rsidRDefault="0060586E">
          <w:pPr>
            <w:pStyle w:val="TOC2"/>
            <w:rPr>
              <w:rFonts w:asciiTheme="minorHAnsi" w:eastAsiaTheme="minorEastAsia" w:hAnsiTheme="minorHAnsi" w:cstheme="minorBidi"/>
              <w:noProof/>
              <w:kern w:val="2"/>
              <w:sz w:val="24"/>
              <w:szCs w:val="24"/>
              <w:lang w:eastAsia="en-GB"/>
              <w14:ligatures w14:val="standardContextual"/>
            </w:rPr>
          </w:pPr>
          <w:hyperlink w:anchor="_Toc214623574" w:history="1">
            <w:r w:rsidRPr="007C33FB">
              <w:rPr>
                <w:rStyle w:val="Hyperlink"/>
                <w:noProof/>
              </w:rPr>
              <w:t>Manufacture and assembly of an IMP: the need for MIA(IMP) authorisation</w:t>
            </w:r>
            <w:r>
              <w:rPr>
                <w:noProof/>
                <w:webHidden/>
              </w:rPr>
              <w:tab/>
            </w:r>
            <w:r>
              <w:rPr>
                <w:noProof/>
                <w:webHidden/>
              </w:rPr>
              <w:fldChar w:fldCharType="begin"/>
            </w:r>
            <w:r>
              <w:rPr>
                <w:noProof/>
                <w:webHidden/>
              </w:rPr>
              <w:instrText xml:space="preserve"> PAGEREF _Toc214623574 \h </w:instrText>
            </w:r>
            <w:r>
              <w:rPr>
                <w:noProof/>
                <w:webHidden/>
              </w:rPr>
            </w:r>
            <w:r>
              <w:rPr>
                <w:noProof/>
                <w:webHidden/>
              </w:rPr>
              <w:fldChar w:fldCharType="separate"/>
            </w:r>
            <w:r w:rsidR="000B3BED">
              <w:rPr>
                <w:noProof/>
                <w:webHidden/>
              </w:rPr>
              <w:t>5</w:t>
            </w:r>
            <w:r>
              <w:rPr>
                <w:noProof/>
                <w:webHidden/>
              </w:rPr>
              <w:fldChar w:fldCharType="end"/>
            </w:r>
          </w:hyperlink>
        </w:p>
        <w:p w14:paraId="2C4F0B98" w14:textId="37F292A0" w:rsidR="0060586E" w:rsidRDefault="0060586E">
          <w:pPr>
            <w:pStyle w:val="TOC3"/>
            <w:rPr>
              <w:rFonts w:asciiTheme="minorHAnsi" w:eastAsiaTheme="minorEastAsia" w:hAnsiTheme="minorHAnsi" w:cstheme="minorBidi"/>
              <w:noProof/>
              <w:kern w:val="2"/>
              <w:sz w:val="24"/>
              <w:szCs w:val="24"/>
              <w:lang w:eastAsia="en-GB"/>
              <w14:ligatures w14:val="standardContextual"/>
            </w:rPr>
          </w:pPr>
          <w:hyperlink w:anchor="_Toc214623575" w:history="1">
            <w:r w:rsidRPr="007C33FB">
              <w:rPr>
                <w:rStyle w:val="Hyperlink"/>
                <w:noProof/>
              </w:rPr>
              <w:t>Labelling</w:t>
            </w:r>
            <w:r>
              <w:rPr>
                <w:noProof/>
                <w:webHidden/>
              </w:rPr>
              <w:tab/>
            </w:r>
            <w:r>
              <w:rPr>
                <w:noProof/>
                <w:webHidden/>
              </w:rPr>
              <w:fldChar w:fldCharType="begin"/>
            </w:r>
            <w:r>
              <w:rPr>
                <w:noProof/>
                <w:webHidden/>
              </w:rPr>
              <w:instrText xml:space="preserve"> PAGEREF _Toc214623575 \h </w:instrText>
            </w:r>
            <w:r>
              <w:rPr>
                <w:noProof/>
                <w:webHidden/>
              </w:rPr>
            </w:r>
            <w:r>
              <w:rPr>
                <w:noProof/>
                <w:webHidden/>
              </w:rPr>
              <w:fldChar w:fldCharType="separate"/>
            </w:r>
            <w:r w:rsidR="000B3BED">
              <w:rPr>
                <w:noProof/>
                <w:webHidden/>
              </w:rPr>
              <w:t>5</w:t>
            </w:r>
            <w:r>
              <w:rPr>
                <w:noProof/>
                <w:webHidden/>
              </w:rPr>
              <w:fldChar w:fldCharType="end"/>
            </w:r>
          </w:hyperlink>
        </w:p>
        <w:p w14:paraId="6F7CA29A" w14:textId="6011DF2D" w:rsidR="0060586E" w:rsidRDefault="0060586E">
          <w:pPr>
            <w:pStyle w:val="TOC3"/>
            <w:rPr>
              <w:rFonts w:asciiTheme="minorHAnsi" w:eastAsiaTheme="minorEastAsia" w:hAnsiTheme="minorHAnsi" w:cstheme="minorBidi"/>
              <w:noProof/>
              <w:kern w:val="2"/>
              <w:sz w:val="24"/>
              <w:szCs w:val="24"/>
              <w:lang w:eastAsia="en-GB"/>
              <w14:ligatures w14:val="standardContextual"/>
            </w:rPr>
          </w:pPr>
          <w:hyperlink w:anchor="_Toc214623576" w:history="1">
            <w:r w:rsidRPr="007C33FB">
              <w:rPr>
                <w:rStyle w:val="Hyperlink"/>
                <w:noProof/>
              </w:rPr>
              <w:t>Exemptions from MIA(IMP)</w:t>
            </w:r>
            <w:r>
              <w:rPr>
                <w:noProof/>
                <w:webHidden/>
              </w:rPr>
              <w:tab/>
            </w:r>
            <w:r>
              <w:rPr>
                <w:noProof/>
                <w:webHidden/>
              </w:rPr>
              <w:fldChar w:fldCharType="begin"/>
            </w:r>
            <w:r>
              <w:rPr>
                <w:noProof/>
                <w:webHidden/>
              </w:rPr>
              <w:instrText xml:space="preserve"> PAGEREF _Toc214623576 \h </w:instrText>
            </w:r>
            <w:r>
              <w:rPr>
                <w:noProof/>
                <w:webHidden/>
              </w:rPr>
            </w:r>
            <w:r>
              <w:rPr>
                <w:noProof/>
                <w:webHidden/>
              </w:rPr>
              <w:fldChar w:fldCharType="separate"/>
            </w:r>
            <w:r w:rsidR="000B3BED">
              <w:rPr>
                <w:noProof/>
                <w:webHidden/>
              </w:rPr>
              <w:t>5</w:t>
            </w:r>
            <w:r>
              <w:rPr>
                <w:noProof/>
                <w:webHidden/>
              </w:rPr>
              <w:fldChar w:fldCharType="end"/>
            </w:r>
          </w:hyperlink>
        </w:p>
        <w:p w14:paraId="1B76ECBA" w14:textId="5E10A835" w:rsidR="0060586E" w:rsidRDefault="0060586E">
          <w:pPr>
            <w:pStyle w:val="TOC1"/>
            <w:rPr>
              <w:rFonts w:asciiTheme="minorHAnsi" w:eastAsiaTheme="minorEastAsia" w:hAnsiTheme="minorHAnsi" w:cstheme="minorBidi"/>
              <w:b w:val="0"/>
              <w:bCs w:val="0"/>
              <w:kern w:val="2"/>
              <w:sz w:val="24"/>
              <w:szCs w:val="24"/>
              <w:lang w:eastAsia="en-GB"/>
              <w14:ligatures w14:val="standardContextual"/>
            </w:rPr>
          </w:pPr>
          <w:hyperlink w:anchor="_Toc214623577" w:history="1">
            <w:r w:rsidRPr="007C33FB">
              <w:rPr>
                <w:rStyle w:val="Hyperlink"/>
              </w:rPr>
              <w:t>Process map</w:t>
            </w:r>
            <w:r>
              <w:rPr>
                <w:webHidden/>
              </w:rPr>
              <w:tab/>
            </w:r>
            <w:r>
              <w:rPr>
                <w:webHidden/>
              </w:rPr>
              <w:fldChar w:fldCharType="begin"/>
            </w:r>
            <w:r>
              <w:rPr>
                <w:webHidden/>
              </w:rPr>
              <w:instrText xml:space="preserve"> PAGEREF _Toc214623577 \h </w:instrText>
            </w:r>
            <w:r>
              <w:rPr>
                <w:webHidden/>
              </w:rPr>
            </w:r>
            <w:r>
              <w:rPr>
                <w:webHidden/>
              </w:rPr>
              <w:fldChar w:fldCharType="separate"/>
            </w:r>
            <w:r w:rsidR="000B3BED">
              <w:rPr>
                <w:webHidden/>
              </w:rPr>
              <w:t>6</w:t>
            </w:r>
            <w:r>
              <w:rPr>
                <w:webHidden/>
              </w:rPr>
              <w:fldChar w:fldCharType="end"/>
            </w:r>
          </w:hyperlink>
        </w:p>
        <w:p w14:paraId="3C645BEF" w14:textId="07EA453D" w:rsidR="0060586E" w:rsidRDefault="0060586E">
          <w:pPr>
            <w:pStyle w:val="TOC1"/>
            <w:rPr>
              <w:rFonts w:asciiTheme="minorHAnsi" w:eastAsiaTheme="minorEastAsia" w:hAnsiTheme="minorHAnsi" w:cstheme="minorBidi"/>
              <w:b w:val="0"/>
              <w:bCs w:val="0"/>
              <w:kern w:val="2"/>
              <w:sz w:val="24"/>
              <w:szCs w:val="24"/>
              <w:lang w:eastAsia="en-GB"/>
              <w14:ligatures w14:val="standardContextual"/>
            </w:rPr>
          </w:pPr>
          <w:hyperlink w:anchor="_Toc214623578" w:history="1">
            <w:r w:rsidRPr="007C33FB">
              <w:rPr>
                <w:rStyle w:val="Hyperlink"/>
              </w:rPr>
              <w:t>Procedure</w:t>
            </w:r>
            <w:r>
              <w:rPr>
                <w:webHidden/>
              </w:rPr>
              <w:tab/>
            </w:r>
            <w:r>
              <w:rPr>
                <w:webHidden/>
              </w:rPr>
              <w:fldChar w:fldCharType="begin"/>
            </w:r>
            <w:r>
              <w:rPr>
                <w:webHidden/>
              </w:rPr>
              <w:instrText xml:space="preserve"> PAGEREF _Toc214623578 \h </w:instrText>
            </w:r>
            <w:r>
              <w:rPr>
                <w:webHidden/>
              </w:rPr>
            </w:r>
            <w:r>
              <w:rPr>
                <w:webHidden/>
              </w:rPr>
              <w:fldChar w:fldCharType="separate"/>
            </w:r>
            <w:r w:rsidR="000B3BED">
              <w:rPr>
                <w:webHidden/>
              </w:rPr>
              <w:t>8</w:t>
            </w:r>
            <w:r>
              <w:rPr>
                <w:webHidden/>
              </w:rPr>
              <w:fldChar w:fldCharType="end"/>
            </w:r>
          </w:hyperlink>
        </w:p>
        <w:p w14:paraId="7127BAC9" w14:textId="563E8E21" w:rsidR="0060586E" w:rsidRDefault="0060586E">
          <w:pPr>
            <w:pStyle w:val="TOC2"/>
            <w:rPr>
              <w:rFonts w:asciiTheme="minorHAnsi" w:eastAsiaTheme="minorEastAsia" w:hAnsiTheme="minorHAnsi" w:cstheme="minorBidi"/>
              <w:noProof/>
              <w:kern w:val="2"/>
              <w:sz w:val="24"/>
              <w:szCs w:val="24"/>
              <w:lang w:eastAsia="en-GB"/>
              <w14:ligatures w14:val="standardContextual"/>
            </w:rPr>
          </w:pPr>
          <w:hyperlink w:anchor="_Toc214623579" w:history="1">
            <w:r w:rsidRPr="007C33FB">
              <w:rPr>
                <w:rStyle w:val="Hyperlink"/>
                <w:noProof/>
              </w:rPr>
              <w:t>1.</w:t>
            </w:r>
            <w:r>
              <w:rPr>
                <w:rFonts w:asciiTheme="minorHAnsi" w:eastAsiaTheme="minorEastAsia" w:hAnsiTheme="minorHAnsi" w:cstheme="minorBidi"/>
                <w:noProof/>
                <w:kern w:val="2"/>
                <w:sz w:val="24"/>
                <w:szCs w:val="24"/>
                <w:lang w:eastAsia="en-GB"/>
                <w14:ligatures w14:val="standardContextual"/>
              </w:rPr>
              <w:tab/>
            </w:r>
            <w:r w:rsidRPr="007C33FB">
              <w:rPr>
                <w:rStyle w:val="Hyperlink"/>
                <w:noProof/>
              </w:rPr>
              <w:t>Project classification</w:t>
            </w:r>
            <w:r>
              <w:rPr>
                <w:noProof/>
                <w:webHidden/>
              </w:rPr>
              <w:tab/>
            </w:r>
            <w:r>
              <w:rPr>
                <w:noProof/>
                <w:webHidden/>
              </w:rPr>
              <w:fldChar w:fldCharType="begin"/>
            </w:r>
            <w:r>
              <w:rPr>
                <w:noProof/>
                <w:webHidden/>
              </w:rPr>
              <w:instrText xml:space="preserve"> PAGEREF _Toc214623579 \h </w:instrText>
            </w:r>
            <w:r>
              <w:rPr>
                <w:noProof/>
                <w:webHidden/>
              </w:rPr>
            </w:r>
            <w:r>
              <w:rPr>
                <w:noProof/>
                <w:webHidden/>
              </w:rPr>
              <w:fldChar w:fldCharType="separate"/>
            </w:r>
            <w:r w:rsidR="000B3BED">
              <w:rPr>
                <w:noProof/>
                <w:webHidden/>
              </w:rPr>
              <w:t>8</w:t>
            </w:r>
            <w:r>
              <w:rPr>
                <w:noProof/>
                <w:webHidden/>
              </w:rPr>
              <w:fldChar w:fldCharType="end"/>
            </w:r>
          </w:hyperlink>
        </w:p>
        <w:p w14:paraId="1C359E7E" w14:textId="6CBE936D" w:rsidR="0060586E" w:rsidRDefault="0060586E">
          <w:pPr>
            <w:pStyle w:val="TOC2"/>
            <w:rPr>
              <w:rFonts w:asciiTheme="minorHAnsi" w:eastAsiaTheme="minorEastAsia" w:hAnsiTheme="minorHAnsi" w:cstheme="minorBidi"/>
              <w:noProof/>
              <w:kern w:val="2"/>
              <w:sz w:val="24"/>
              <w:szCs w:val="24"/>
              <w:lang w:eastAsia="en-GB"/>
              <w14:ligatures w14:val="standardContextual"/>
            </w:rPr>
          </w:pPr>
          <w:hyperlink w:anchor="_Toc214623580" w:history="1">
            <w:r w:rsidRPr="007C33FB">
              <w:rPr>
                <w:rStyle w:val="Hyperlink"/>
                <w:noProof/>
              </w:rPr>
              <w:t>2.</w:t>
            </w:r>
            <w:r>
              <w:rPr>
                <w:rFonts w:asciiTheme="minorHAnsi" w:eastAsiaTheme="minorEastAsia" w:hAnsiTheme="minorHAnsi" w:cstheme="minorBidi"/>
                <w:noProof/>
                <w:kern w:val="2"/>
                <w:sz w:val="24"/>
                <w:szCs w:val="24"/>
                <w:lang w:eastAsia="en-GB"/>
                <w14:ligatures w14:val="standardContextual"/>
              </w:rPr>
              <w:tab/>
            </w:r>
            <w:r w:rsidRPr="007C33FB">
              <w:rPr>
                <w:rStyle w:val="Hyperlink"/>
                <w:noProof/>
              </w:rPr>
              <w:t>During project setup</w:t>
            </w:r>
            <w:r>
              <w:rPr>
                <w:noProof/>
                <w:webHidden/>
              </w:rPr>
              <w:tab/>
            </w:r>
            <w:r>
              <w:rPr>
                <w:noProof/>
                <w:webHidden/>
              </w:rPr>
              <w:fldChar w:fldCharType="begin"/>
            </w:r>
            <w:r>
              <w:rPr>
                <w:noProof/>
                <w:webHidden/>
              </w:rPr>
              <w:instrText xml:space="preserve"> PAGEREF _Toc214623580 \h </w:instrText>
            </w:r>
            <w:r>
              <w:rPr>
                <w:noProof/>
                <w:webHidden/>
              </w:rPr>
            </w:r>
            <w:r>
              <w:rPr>
                <w:noProof/>
                <w:webHidden/>
              </w:rPr>
              <w:fldChar w:fldCharType="separate"/>
            </w:r>
            <w:r w:rsidR="000B3BED">
              <w:rPr>
                <w:noProof/>
                <w:webHidden/>
              </w:rPr>
              <w:t>8</w:t>
            </w:r>
            <w:r>
              <w:rPr>
                <w:noProof/>
                <w:webHidden/>
              </w:rPr>
              <w:fldChar w:fldCharType="end"/>
            </w:r>
          </w:hyperlink>
        </w:p>
        <w:p w14:paraId="500E09C9" w14:textId="0F4C6539" w:rsidR="0060586E" w:rsidRDefault="0060586E">
          <w:pPr>
            <w:pStyle w:val="TOC3"/>
            <w:rPr>
              <w:rFonts w:asciiTheme="minorHAnsi" w:eastAsiaTheme="minorEastAsia" w:hAnsiTheme="minorHAnsi" w:cstheme="minorBidi"/>
              <w:noProof/>
              <w:kern w:val="2"/>
              <w:sz w:val="24"/>
              <w:szCs w:val="24"/>
              <w:lang w:eastAsia="en-GB"/>
              <w14:ligatures w14:val="standardContextual"/>
            </w:rPr>
          </w:pPr>
          <w:hyperlink w:anchor="_Toc214623581" w:history="1">
            <w:r w:rsidRPr="007C33FB">
              <w:rPr>
                <w:rStyle w:val="Hyperlink"/>
                <w:noProof/>
              </w:rPr>
              <w:t>Project design and protocol development</w:t>
            </w:r>
            <w:r>
              <w:rPr>
                <w:noProof/>
                <w:webHidden/>
              </w:rPr>
              <w:tab/>
            </w:r>
            <w:r>
              <w:rPr>
                <w:noProof/>
                <w:webHidden/>
              </w:rPr>
              <w:fldChar w:fldCharType="begin"/>
            </w:r>
            <w:r>
              <w:rPr>
                <w:noProof/>
                <w:webHidden/>
              </w:rPr>
              <w:instrText xml:space="preserve"> PAGEREF _Toc214623581 \h </w:instrText>
            </w:r>
            <w:r>
              <w:rPr>
                <w:noProof/>
                <w:webHidden/>
              </w:rPr>
            </w:r>
            <w:r>
              <w:rPr>
                <w:noProof/>
                <w:webHidden/>
              </w:rPr>
              <w:fldChar w:fldCharType="separate"/>
            </w:r>
            <w:r w:rsidR="000B3BED">
              <w:rPr>
                <w:noProof/>
                <w:webHidden/>
              </w:rPr>
              <w:t>8</w:t>
            </w:r>
            <w:r>
              <w:rPr>
                <w:noProof/>
                <w:webHidden/>
              </w:rPr>
              <w:fldChar w:fldCharType="end"/>
            </w:r>
          </w:hyperlink>
        </w:p>
        <w:p w14:paraId="459A3ED5" w14:textId="612C25F9" w:rsidR="0060586E" w:rsidRDefault="0060586E">
          <w:pPr>
            <w:pStyle w:val="TOC3"/>
            <w:rPr>
              <w:rFonts w:asciiTheme="minorHAnsi" w:eastAsiaTheme="minorEastAsia" w:hAnsiTheme="minorHAnsi" w:cstheme="minorBidi"/>
              <w:noProof/>
              <w:kern w:val="2"/>
              <w:sz w:val="24"/>
              <w:szCs w:val="24"/>
              <w:lang w:eastAsia="en-GB"/>
              <w14:ligatures w14:val="standardContextual"/>
            </w:rPr>
          </w:pPr>
          <w:hyperlink w:anchor="_Toc214623582" w:history="1">
            <w:r w:rsidRPr="007C33FB">
              <w:rPr>
                <w:rStyle w:val="Hyperlink"/>
                <w:noProof/>
              </w:rPr>
              <w:t>Responsibilities and contracts / agreements</w:t>
            </w:r>
            <w:r>
              <w:rPr>
                <w:noProof/>
                <w:webHidden/>
              </w:rPr>
              <w:tab/>
            </w:r>
            <w:r>
              <w:rPr>
                <w:noProof/>
                <w:webHidden/>
              </w:rPr>
              <w:fldChar w:fldCharType="begin"/>
            </w:r>
            <w:r>
              <w:rPr>
                <w:noProof/>
                <w:webHidden/>
              </w:rPr>
              <w:instrText xml:space="preserve"> PAGEREF _Toc214623582 \h </w:instrText>
            </w:r>
            <w:r>
              <w:rPr>
                <w:noProof/>
                <w:webHidden/>
              </w:rPr>
            </w:r>
            <w:r>
              <w:rPr>
                <w:noProof/>
                <w:webHidden/>
              </w:rPr>
              <w:fldChar w:fldCharType="separate"/>
            </w:r>
            <w:r w:rsidR="000B3BED">
              <w:rPr>
                <w:noProof/>
                <w:webHidden/>
              </w:rPr>
              <w:t>9</w:t>
            </w:r>
            <w:r>
              <w:rPr>
                <w:noProof/>
                <w:webHidden/>
              </w:rPr>
              <w:fldChar w:fldCharType="end"/>
            </w:r>
          </w:hyperlink>
        </w:p>
        <w:p w14:paraId="496950EA" w14:textId="6E33DC79" w:rsidR="0060586E" w:rsidRDefault="0060586E">
          <w:pPr>
            <w:pStyle w:val="TOC3"/>
            <w:rPr>
              <w:rFonts w:asciiTheme="minorHAnsi" w:eastAsiaTheme="minorEastAsia" w:hAnsiTheme="minorHAnsi" w:cstheme="minorBidi"/>
              <w:noProof/>
              <w:kern w:val="2"/>
              <w:sz w:val="24"/>
              <w:szCs w:val="24"/>
              <w:lang w:eastAsia="en-GB"/>
              <w14:ligatures w14:val="standardContextual"/>
            </w:rPr>
          </w:pPr>
          <w:hyperlink w:anchor="_Toc214623583" w:history="1">
            <w:r w:rsidRPr="007C33FB">
              <w:rPr>
                <w:rStyle w:val="Hyperlink"/>
                <w:noProof/>
              </w:rPr>
              <w:t>Medicinal-product labelling</w:t>
            </w:r>
            <w:r>
              <w:rPr>
                <w:noProof/>
                <w:webHidden/>
              </w:rPr>
              <w:tab/>
            </w:r>
            <w:r>
              <w:rPr>
                <w:noProof/>
                <w:webHidden/>
              </w:rPr>
              <w:fldChar w:fldCharType="begin"/>
            </w:r>
            <w:r>
              <w:rPr>
                <w:noProof/>
                <w:webHidden/>
              </w:rPr>
              <w:instrText xml:space="preserve"> PAGEREF _Toc214623583 \h </w:instrText>
            </w:r>
            <w:r>
              <w:rPr>
                <w:noProof/>
                <w:webHidden/>
              </w:rPr>
            </w:r>
            <w:r>
              <w:rPr>
                <w:noProof/>
                <w:webHidden/>
              </w:rPr>
              <w:fldChar w:fldCharType="separate"/>
            </w:r>
            <w:r w:rsidR="000B3BED">
              <w:rPr>
                <w:noProof/>
                <w:webHidden/>
              </w:rPr>
              <w:t>10</w:t>
            </w:r>
            <w:r>
              <w:rPr>
                <w:noProof/>
                <w:webHidden/>
              </w:rPr>
              <w:fldChar w:fldCharType="end"/>
            </w:r>
          </w:hyperlink>
        </w:p>
        <w:p w14:paraId="6851EB2F" w14:textId="07449BA6" w:rsidR="0060586E" w:rsidRDefault="0060586E">
          <w:pPr>
            <w:pStyle w:val="TOC3"/>
            <w:rPr>
              <w:rFonts w:asciiTheme="minorHAnsi" w:eastAsiaTheme="minorEastAsia" w:hAnsiTheme="minorHAnsi" w:cstheme="minorBidi"/>
              <w:noProof/>
              <w:kern w:val="2"/>
              <w:sz w:val="24"/>
              <w:szCs w:val="24"/>
              <w:lang w:eastAsia="en-GB"/>
              <w14:ligatures w14:val="standardContextual"/>
            </w:rPr>
          </w:pPr>
          <w:hyperlink w:anchor="_Toc214623584" w:history="1">
            <w:r w:rsidRPr="007C33FB">
              <w:rPr>
                <w:rStyle w:val="Hyperlink"/>
                <w:noProof/>
              </w:rPr>
              <w:t>Medicinal product ordering, shipment, storage, and accountability</w:t>
            </w:r>
            <w:r>
              <w:rPr>
                <w:noProof/>
                <w:webHidden/>
              </w:rPr>
              <w:tab/>
            </w:r>
            <w:r>
              <w:rPr>
                <w:noProof/>
                <w:webHidden/>
              </w:rPr>
              <w:fldChar w:fldCharType="begin"/>
            </w:r>
            <w:r>
              <w:rPr>
                <w:noProof/>
                <w:webHidden/>
              </w:rPr>
              <w:instrText xml:space="preserve"> PAGEREF _Toc214623584 \h </w:instrText>
            </w:r>
            <w:r>
              <w:rPr>
                <w:noProof/>
                <w:webHidden/>
              </w:rPr>
            </w:r>
            <w:r>
              <w:rPr>
                <w:noProof/>
                <w:webHidden/>
              </w:rPr>
              <w:fldChar w:fldCharType="separate"/>
            </w:r>
            <w:r w:rsidR="000B3BED">
              <w:rPr>
                <w:noProof/>
                <w:webHidden/>
              </w:rPr>
              <w:t>11</w:t>
            </w:r>
            <w:r>
              <w:rPr>
                <w:noProof/>
                <w:webHidden/>
              </w:rPr>
              <w:fldChar w:fldCharType="end"/>
            </w:r>
          </w:hyperlink>
        </w:p>
        <w:p w14:paraId="29B86389" w14:textId="09D09CC6" w:rsidR="0060586E" w:rsidRDefault="0060586E">
          <w:pPr>
            <w:pStyle w:val="TOC3"/>
            <w:rPr>
              <w:rFonts w:asciiTheme="minorHAnsi" w:eastAsiaTheme="minorEastAsia" w:hAnsiTheme="minorHAnsi" w:cstheme="minorBidi"/>
              <w:noProof/>
              <w:kern w:val="2"/>
              <w:sz w:val="24"/>
              <w:szCs w:val="24"/>
              <w:lang w:eastAsia="en-GB"/>
              <w14:ligatures w14:val="standardContextual"/>
            </w:rPr>
          </w:pPr>
          <w:hyperlink w:anchor="_Toc214623585" w:history="1">
            <w:r w:rsidRPr="007C33FB">
              <w:rPr>
                <w:rStyle w:val="Hyperlink"/>
                <w:noProof/>
              </w:rPr>
              <w:t>Medicinal product recalls</w:t>
            </w:r>
            <w:r>
              <w:rPr>
                <w:noProof/>
                <w:webHidden/>
              </w:rPr>
              <w:tab/>
            </w:r>
            <w:r>
              <w:rPr>
                <w:noProof/>
                <w:webHidden/>
              </w:rPr>
              <w:fldChar w:fldCharType="begin"/>
            </w:r>
            <w:r>
              <w:rPr>
                <w:noProof/>
                <w:webHidden/>
              </w:rPr>
              <w:instrText xml:space="preserve"> PAGEREF _Toc214623585 \h </w:instrText>
            </w:r>
            <w:r>
              <w:rPr>
                <w:noProof/>
                <w:webHidden/>
              </w:rPr>
            </w:r>
            <w:r>
              <w:rPr>
                <w:noProof/>
                <w:webHidden/>
              </w:rPr>
              <w:fldChar w:fldCharType="separate"/>
            </w:r>
            <w:r w:rsidR="000B3BED">
              <w:rPr>
                <w:noProof/>
                <w:webHidden/>
              </w:rPr>
              <w:t>12</w:t>
            </w:r>
            <w:r>
              <w:rPr>
                <w:noProof/>
                <w:webHidden/>
              </w:rPr>
              <w:fldChar w:fldCharType="end"/>
            </w:r>
          </w:hyperlink>
        </w:p>
        <w:p w14:paraId="21CF431B" w14:textId="6140930D" w:rsidR="0060586E" w:rsidRDefault="0060586E">
          <w:pPr>
            <w:pStyle w:val="TOC3"/>
            <w:rPr>
              <w:rFonts w:asciiTheme="minorHAnsi" w:eastAsiaTheme="minorEastAsia" w:hAnsiTheme="minorHAnsi" w:cstheme="minorBidi"/>
              <w:noProof/>
              <w:kern w:val="2"/>
              <w:sz w:val="24"/>
              <w:szCs w:val="24"/>
              <w:lang w:eastAsia="en-GB"/>
              <w14:ligatures w14:val="standardContextual"/>
            </w:rPr>
          </w:pPr>
          <w:hyperlink w:anchor="_Toc214623586" w:history="1">
            <w:r w:rsidRPr="007C33FB">
              <w:rPr>
                <w:rStyle w:val="Hyperlink"/>
                <w:noProof/>
              </w:rPr>
              <w:t>Medicinal product temperature deviations</w:t>
            </w:r>
            <w:r>
              <w:rPr>
                <w:noProof/>
                <w:webHidden/>
              </w:rPr>
              <w:tab/>
            </w:r>
            <w:r>
              <w:rPr>
                <w:noProof/>
                <w:webHidden/>
              </w:rPr>
              <w:fldChar w:fldCharType="begin"/>
            </w:r>
            <w:r>
              <w:rPr>
                <w:noProof/>
                <w:webHidden/>
              </w:rPr>
              <w:instrText xml:space="preserve"> PAGEREF _Toc214623586 \h </w:instrText>
            </w:r>
            <w:r>
              <w:rPr>
                <w:noProof/>
                <w:webHidden/>
              </w:rPr>
            </w:r>
            <w:r>
              <w:rPr>
                <w:noProof/>
                <w:webHidden/>
              </w:rPr>
              <w:fldChar w:fldCharType="separate"/>
            </w:r>
            <w:r w:rsidR="000B3BED">
              <w:rPr>
                <w:noProof/>
                <w:webHidden/>
              </w:rPr>
              <w:t>12</w:t>
            </w:r>
            <w:r>
              <w:rPr>
                <w:noProof/>
                <w:webHidden/>
              </w:rPr>
              <w:fldChar w:fldCharType="end"/>
            </w:r>
          </w:hyperlink>
        </w:p>
        <w:p w14:paraId="274E2F76" w14:textId="5C0CB30C" w:rsidR="0060586E" w:rsidRDefault="0060586E">
          <w:pPr>
            <w:pStyle w:val="TOC3"/>
            <w:rPr>
              <w:rFonts w:asciiTheme="minorHAnsi" w:eastAsiaTheme="minorEastAsia" w:hAnsiTheme="minorHAnsi" w:cstheme="minorBidi"/>
              <w:noProof/>
              <w:kern w:val="2"/>
              <w:sz w:val="24"/>
              <w:szCs w:val="24"/>
              <w:lang w:eastAsia="en-GB"/>
              <w14:ligatures w14:val="standardContextual"/>
            </w:rPr>
          </w:pPr>
          <w:hyperlink w:anchor="_Toc214623587" w:history="1">
            <w:r w:rsidRPr="007C33FB">
              <w:rPr>
                <w:rStyle w:val="Hyperlink"/>
                <w:noProof/>
              </w:rPr>
              <w:t>Transfer of medicinal product between study/trial locations</w:t>
            </w:r>
            <w:r>
              <w:rPr>
                <w:noProof/>
                <w:webHidden/>
              </w:rPr>
              <w:tab/>
            </w:r>
            <w:r>
              <w:rPr>
                <w:noProof/>
                <w:webHidden/>
              </w:rPr>
              <w:fldChar w:fldCharType="begin"/>
            </w:r>
            <w:r>
              <w:rPr>
                <w:noProof/>
                <w:webHidden/>
              </w:rPr>
              <w:instrText xml:space="preserve"> PAGEREF _Toc214623587 \h </w:instrText>
            </w:r>
            <w:r>
              <w:rPr>
                <w:noProof/>
                <w:webHidden/>
              </w:rPr>
            </w:r>
            <w:r>
              <w:rPr>
                <w:noProof/>
                <w:webHidden/>
              </w:rPr>
              <w:fldChar w:fldCharType="separate"/>
            </w:r>
            <w:r w:rsidR="000B3BED">
              <w:rPr>
                <w:noProof/>
                <w:webHidden/>
              </w:rPr>
              <w:t>12</w:t>
            </w:r>
            <w:r>
              <w:rPr>
                <w:noProof/>
                <w:webHidden/>
              </w:rPr>
              <w:fldChar w:fldCharType="end"/>
            </w:r>
          </w:hyperlink>
        </w:p>
        <w:p w14:paraId="7D7F94BC" w14:textId="4E611840" w:rsidR="0060586E" w:rsidRDefault="0060586E">
          <w:pPr>
            <w:pStyle w:val="TOC2"/>
            <w:rPr>
              <w:rFonts w:asciiTheme="minorHAnsi" w:eastAsiaTheme="minorEastAsia" w:hAnsiTheme="minorHAnsi" w:cstheme="minorBidi"/>
              <w:noProof/>
              <w:kern w:val="2"/>
              <w:sz w:val="24"/>
              <w:szCs w:val="24"/>
              <w:lang w:eastAsia="en-GB"/>
              <w14:ligatures w14:val="standardContextual"/>
            </w:rPr>
          </w:pPr>
          <w:hyperlink w:anchor="_Toc214623588" w:history="1">
            <w:r w:rsidRPr="007C33FB">
              <w:rPr>
                <w:rStyle w:val="Hyperlink"/>
                <w:noProof/>
              </w:rPr>
              <w:t>3.</w:t>
            </w:r>
            <w:r>
              <w:rPr>
                <w:rFonts w:asciiTheme="minorHAnsi" w:eastAsiaTheme="minorEastAsia" w:hAnsiTheme="minorHAnsi" w:cstheme="minorBidi"/>
                <w:noProof/>
                <w:kern w:val="2"/>
                <w:sz w:val="24"/>
                <w:szCs w:val="24"/>
                <w:lang w:eastAsia="en-GB"/>
                <w14:ligatures w14:val="standardContextual"/>
              </w:rPr>
              <w:tab/>
            </w:r>
            <w:r w:rsidRPr="007C33FB">
              <w:rPr>
                <w:rStyle w:val="Hyperlink"/>
                <w:noProof/>
              </w:rPr>
              <w:t>During the project</w:t>
            </w:r>
            <w:r>
              <w:rPr>
                <w:noProof/>
                <w:webHidden/>
              </w:rPr>
              <w:tab/>
            </w:r>
            <w:r>
              <w:rPr>
                <w:noProof/>
                <w:webHidden/>
              </w:rPr>
              <w:fldChar w:fldCharType="begin"/>
            </w:r>
            <w:r>
              <w:rPr>
                <w:noProof/>
                <w:webHidden/>
              </w:rPr>
              <w:instrText xml:space="preserve"> PAGEREF _Toc214623588 \h </w:instrText>
            </w:r>
            <w:r>
              <w:rPr>
                <w:noProof/>
                <w:webHidden/>
              </w:rPr>
            </w:r>
            <w:r>
              <w:rPr>
                <w:noProof/>
                <w:webHidden/>
              </w:rPr>
              <w:fldChar w:fldCharType="separate"/>
            </w:r>
            <w:r w:rsidR="000B3BED">
              <w:rPr>
                <w:noProof/>
                <w:webHidden/>
              </w:rPr>
              <w:t>13</w:t>
            </w:r>
            <w:r>
              <w:rPr>
                <w:noProof/>
                <w:webHidden/>
              </w:rPr>
              <w:fldChar w:fldCharType="end"/>
            </w:r>
          </w:hyperlink>
        </w:p>
        <w:p w14:paraId="2279EC75" w14:textId="6ADC8766" w:rsidR="0060586E" w:rsidRDefault="0060586E">
          <w:pPr>
            <w:pStyle w:val="TOC2"/>
            <w:rPr>
              <w:rFonts w:asciiTheme="minorHAnsi" w:eastAsiaTheme="minorEastAsia" w:hAnsiTheme="minorHAnsi" w:cstheme="minorBidi"/>
              <w:noProof/>
              <w:kern w:val="2"/>
              <w:sz w:val="24"/>
              <w:szCs w:val="24"/>
              <w:lang w:eastAsia="en-GB"/>
              <w14:ligatures w14:val="standardContextual"/>
            </w:rPr>
          </w:pPr>
          <w:hyperlink w:anchor="_Toc214623589" w:history="1">
            <w:r w:rsidRPr="007C33FB">
              <w:rPr>
                <w:rStyle w:val="Hyperlink"/>
                <w:noProof/>
              </w:rPr>
              <w:t>4.</w:t>
            </w:r>
            <w:r>
              <w:rPr>
                <w:rFonts w:asciiTheme="minorHAnsi" w:eastAsiaTheme="minorEastAsia" w:hAnsiTheme="minorHAnsi" w:cstheme="minorBidi"/>
                <w:noProof/>
                <w:kern w:val="2"/>
                <w:sz w:val="24"/>
                <w:szCs w:val="24"/>
                <w:lang w:eastAsia="en-GB"/>
                <w14:ligatures w14:val="standardContextual"/>
              </w:rPr>
              <w:tab/>
            </w:r>
            <w:r w:rsidRPr="007C33FB">
              <w:rPr>
                <w:rStyle w:val="Hyperlink"/>
                <w:noProof/>
              </w:rPr>
              <w:t>After the project</w:t>
            </w:r>
            <w:r>
              <w:rPr>
                <w:noProof/>
                <w:webHidden/>
              </w:rPr>
              <w:tab/>
            </w:r>
            <w:r>
              <w:rPr>
                <w:noProof/>
                <w:webHidden/>
              </w:rPr>
              <w:fldChar w:fldCharType="begin"/>
            </w:r>
            <w:r>
              <w:rPr>
                <w:noProof/>
                <w:webHidden/>
              </w:rPr>
              <w:instrText xml:space="preserve"> PAGEREF _Toc214623589 \h </w:instrText>
            </w:r>
            <w:r>
              <w:rPr>
                <w:noProof/>
                <w:webHidden/>
              </w:rPr>
            </w:r>
            <w:r>
              <w:rPr>
                <w:noProof/>
                <w:webHidden/>
              </w:rPr>
              <w:fldChar w:fldCharType="separate"/>
            </w:r>
            <w:r w:rsidR="000B3BED">
              <w:rPr>
                <w:noProof/>
                <w:webHidden/>
              </w:rPr>
              <w:t>13</w:t>
            </w:r>
            <w:r>
              <w:rPr>
                <w:noProof/>
                <w:webHidden/>
              </w:rPr>
              <w:fldChar w:fldCharType="end"/>
            </w:r>
          </w:hyperlink>
        </w:p>
        <w:p w14:paraId="3A70F73B" w14:textId="17603596" w:rsidR="0060586E" w:rsidRDefault="0060586E">
          <w:pPr>
            <w:pStyle w:val="TOC3"/>
            <w:rPr>
              <w:rFonts w:asciiTheme="minorHAnsi" w:eastAsiaTheme="minorEastAsia" w:hAnsiTheme="minorHAnsi" w:cstheme="minorBidi"/>
              <w:noProof/>
              <w:kern w:val="2"/>
              <w:sz w:val="24"/>
              <w:szCs w:val="24"/>
              <w:lang w:eastAsia="en-GB"/>
              <w14:ligatures w14:val="standardContextual"/>
            </w:rPr>
          </w:pPr>
          <w:hyperlink w:anchor="_Toc214623590" w:history="1">
            <w:r w:rsidRPr="007C33FB">
              <w:rPr>
                <w:rStyle w:val="Hyperlink"/>
                <w:noProof/>
              </w:rPr>
              <w:t>Use of project material after project completion (if appropriate)</w:t>
            </w:r>
            <w:r>
              <w:rPr>
                <w:noProof/>
                <w:webHidden/>
              </w:rPr>
              <w:tab/>
            </w:r>
            <w:r>
              <w:rPr>
                <w:noProof/>
                <w:webHidden/>
              </w:rPr>
              <w:fldChar w:fldCharType="begin"/>
            </w:r>
            <w:r>
              <w:rPr>
                <w:noProof/>
                <w:webHidden/>
              </w:rPr>
              <w:instrText xml:space="preserve"> PAGEREF _Toc214623590 \h </w:instrText>
            </w:r>
            <w:r>
              <w:rPr>
                <w:noProof/>
                <w:webHidden/>
              </w:rPr>
            </w:r>
            <w:r>
              <w:rPr>
                <w:noProof/>
                <w:webHidden/>
              </w:rPr>
              <w:fldChar w:fldCharType="separate"/>
            </w:r>
            <w:r w:rsidR="000B3BED">
              <w:rPr>
                <w:noProof/>
                <w:webHidden/>
              </w:rPr>
              <w:t>13</w:t>
            </w:r>
            <w:r>
              <w:rPr>
                <w:noProof/>
                <w:webHidden/>
              </w:rPr>
              <w:fldChar w:fldCharType="end"/>
            </w:r>
          </w:hyperlink>
        </w:p>
        <w:p w14:paraId="1AC96B27" w14:textId="2087E145" w:rsidR="0060586E" w:rsidRDefault="0060586E">
          <w:pPr>
            <w:pStyle w:val="TOC1"/>
            <w:rPr>
              <w:rFonts w:asciiTheme="minorHAnsi" w:eastAsiaTheme="minorEastAsia" w:hAnsiTheme="minorHAnsi" w:cstheme="minorBidi"/>
              <w:b w:val="0"/>
              <w:bCs w:val="0"/>
              <w:kern w:val="2"/>
              <w:sz w:val="24"/>
              <w:szCs w:val="24"/>
              <w:lang w:eastAsia="en-GB"/>
              <w14:ligatures w14:val="standardContextual"/>
            </w:rPr>
          </w:pPr>
          <w:hyperlink w:anchor="_Toc214623591" w:history="1">
            <w:r w:rsidRPr="007C33FB">
              <w:rPr>
                <w:rStyle w:val="Hyperlink"/>
              </w:rPr>
              <w:t>List of expected outputs</w:t>
            </w:r>
            <w:r>
              <w:rPr>
                <w:webHidden/>
              </w:rPr>
              <w:tab/>
            </w:r>
            <w:r>
              <w:rPr>
                <w:webHidden/>
              </w:rPr>
              <w:fldChar w:fldCharType="begin"/>
            </w:r>
            <w:r>
              <w:rPr>
                <w:webHidden/>
              </w:rPr>
              <w:instrText xml:space="preserve"> PAGEREF _Toc214623591 \h </w:instrText>
            </w:r>
            <w:r>
              <w:rPr>
                <w:webHidden/>
              </w:rPr>
            </w:r>
            <w:r>
              <w:rPr>
                <w:webHidden/>
              </w:rPr>
              <w:fldChar w:fldCharType="separate"/>
            </w:r>
            <w:r w:rsidR="000B3BED">
              <w:rPr>
                <w:webHidden/>
              </w:rPr>
              <w:t>15</w:t>
            </w:r>
            <w:r>
              <w:rPr>
                <w:webHidden/>
              </w:rPr>
              <w:fldChar w:fldCharType="end"/>
            </w:r>
          </w:hyperlink>
        </w:p>
        <w:p w14:paraId="3C206D0B" w14:textId="1CD6A27C" w:rsidR="0060586E" w:rsidRDefault="0060586E">
          <w:pPr>
            <w:pStyle w:val="TOC1"/>
            <w:rPr>
              <w:rFonts w:asciiTheme="minorHAnsi" w:eastAsiaTheme="minorEastAsia" w:hAnsiTheme="minorHAnsi" w:cstheme="minorBidi"/>
              <w:b w:val="0"/>
              <w:bCs w:val="0"/>
              <w:kern w:val="2"/>
              <w:sz w:val="24"/>
              <w:szCs w:val="24"/>
              <w:lang w:eastAsia="en-GB"/>
              <w14:ligatures w14:val="standardContextual"/>
            </w:rPr>
          </w:pPr>
          <w:hyperlink w:anchor="_Toc214623592" w:history="1">
            <w:r w:rsidRPr="007C33FB">
              <w:rPr>
                <w:rStyle w:val="Hyperlink"/>
              </w:rPr>
              <w:t>Related documents</w:t>
            </w:r>
            <w:r>
              <w:rPr>
                <w:webHidden/>
              </w:rPr>
              <w:tab/>
            </w:r>
            <w:r>
              <w:rPr>
                <w:webHidden/>
              </w:rPr>
              <w:fldChar w:fldCharType="begin"/>
            </w:r>
            <w:r>
              <w:rPr>
                <w:webHidden/>
              </w:rPr>
              <w:instrText xml:space="preserve"> PAGEREF _Toc214623592 \h </w:instrText>
            </w:r>
            <w:r>
              <w:rPr>
                <w:webHidden/>
              </w:rPr>
            </w:r>
            <w:r>
              <w:rPr>
                <w:webHidden/>
              </w:rPr>
              <w:fldChar w:fldCharType="separate"/>
            </w:r>
            <w:r w:rsidR="000B3BED">
              <w:rPr>
                <w:webHidden/>
              </w:rPr>
              <w:t>16</w:t>
            </w:r>
            <w:r>
              <w:rPr>
                <w:webHidden/>
              </w:rPr>
              <w:fldChar w:fldCharType="end"/>
            </w:r>
          </w:hyperlink>
        </w:p>
        <w:p w14:paraId="4304097A" w14:textId="1380D284" w:rsidR="0060586E" w:rsidRDefault="0060586E">
          <w:pPr>
            <w:pStyle w:val="TOC2"/>
            <w:rPr>
              <w:rFonts w:asciiTheme="minorHAnsi" w:eastAsiaTheme="minorEastAsia" w:hAnsiTheme="minorHAnsi" w:cstheme="minorBidi"/>
              <w:noProof/>
              <w:kern w:val="2"/>
              <w:sz w:val="24"/>
              <w:szCs w:val="24"/>
              <w:lang w:eastAsia="en-GB"/>
              <w14:ligatures w14:val="standardContextual"/>
            </w:rPr>
          </w:pPr>
          <w:hyperlink w:anchor="_Toc214623593" w:history="1">
            <w:r w:rsidRPr="007C33FB">
              <w:rPr>
                <w:rStyle w:val="Hyperlink"/>
                <w:noProof/>
              </w:rPr>
              <w:t>Associated QMS documents</w:t>
            </w:r>
            <w:r>
              <w:rPr>
                <w:noProof/>
                <w:webHidden/>
              </w:rPr>
              <w:tab/>
            </w:r>
            <w:r>
              <w:rPr>
                <w:noProof/>
                <w:webHidden/>
              </w:rPr>
              <w:fldChar w:fldCharType="begin"/>
            </w:r>
            <w:r>
              <w:rPr>
                <w:noProof/>
                <w:webHidden/>
              </w:rPr>
              <w:instrText xml:space="preserve"> PAGEREF _Toc214623593 \h </w:instrText>
            </w:r>
            <w:r>
              <w:rPr>
                <w:noProof/>
                <w:webHidden/>
              </w:rPr>
            </w:r>
            <w:r>
              <w:rPr>
                <w:noProof/>
                <w:webHidden/>
              </w:rPr>
              <w:fldChar w:fldCharType="separate"/>
            </w:r>
            <w:r w:rsidR="000B3BED">
              <w:rPr>
                <w:noProof/>
                <w:webHidden/>
              </w:rPr>
              <w:t>16</w:t>
            </w:r>
            <w:r>
              <w:rPr>
                <w:noProof/>
                <w:webHidden/>
              </w:rPr>
              <w:fldChar w:fldCharType="end"/>
            </w:r>
          </w:hyperlink>
        </w:p>
        <w:p w14:paraId="0CEC55EE" w14:textId="6434FDC8" w:rsidR="0060586E" w:rsidRDefault="0060586E">
          <w:pPr>
            <w:pStyle w:val="TOC2"/>
            <w:rPr>
              <w:rFonts w:asciiTheme="minorHAnsi" w:eastAsiaTheme="minorEastAsia" w:hAnsiTheme="minorHAnsi" w:cstheme="minorBidi"/>
              <w:noProof/>
              <w:kern w:val="2"/>
              <w:sz w:val="24"/>
              <w:szCs w:val="24"/>
              <w:lang w:eastAsia="en-GB"/>
              <w14:ligatures w14:val="standardContextual"/>
            </w:rPr>
          </w:pPr>
          <w:hyperlink w:anchor="_Toc214623594" w:history="1">
            <w:r w:rsidRPr="007C33FB">
              <w:rPr>
                <w:rStyle w:val="Hyperlink"/>
                <w:noProof/>
              </w:rPr>
              <w:t>Additional QMS documents</w:t>
            </w:r>
            <w:r>
              <w:rPr>
                <w:noProof/>
                <w:webHidden/>
              </w:rPr>
              <w:tab/>
            </w:r>
            <w:r>
              <w:rPr>
                <w:noProof/>
                <w:webHidden/>
              </w:rPr>
              <w:fldChar w:fldCharType="begin"/>
            </w:r>
            <w:r>
              <w:rPr>
                <w:noProof/>
                <w:webHidden/>
              </w:rPr>
              <w:instrText xml:space="preserve"> PAGEREF _Toc214623594 \h </w:instrText>
            </w:r>
            <w:r>
              <w:rPr>
                <w:noProof/>
                <w:webHidden/>
              </w:rPr>
            </w:r>
            <w:r>
              <w:rPr>
                <w:noProof/>
                <w:webHidden/>
              </w:rPr>
              <w:fldChar w:fldCharType="separate"/>
            </w:r>
            <w:r w:rsidR="000B3BED">
              <w:rPr>
                <w:noProof/>
                <w:webHidden/>
              </w:rPr>
              <w:t>16</w:t>
            </w:r>
            <w:r>
              <w:rPr>
                <w:noProof/>
                <w:webHidden/>
              </w:rPr>
              <w:fldChar w:fldCharType="end"/>
            </w:r>
          </w:hyperlink>
        </w:p>
        <w:p w14:paraId="61A93F4F" w14:textId="68489A40" w:rsidR="0060586E" w:rsidRDefault="0060586E">
          <w:pPr>
            <w:pStyle w:val="TOC1"/>
            <w:rPr>
              <w:rFonts w:asciiTheme="minorHAnsi" w:eastAsiaTheme="minorEastAsia" w:hAnsiTheme="minorHAnsi" w:cstheme="minorBidi"/>
              <w:b w:val="0"/>
              <w:bCs w:val="0"/>
              <w:kern w:val="2"/>
              <w:sz w:val="24"/>
              <w:szCs w:val="24"/>
              <w:lang w:eastAsia="en-GB"/>
              <w14:ligatures w14:val="standardContextual"/>
            </w:rPr>
          </w:pPr>
          <w:hyperlink w:anchor="_Toc214623595" w:history="1">
            <w:r w:rsidRPr="007C33FB">
              <w:rPr>
                <w:rStyle w:val="Hyperlink"/>
              </w:rPr>
              <w:t>References &amp; frameworks</w:t>
            </w:r>
            <w:r>
              <w:rPr>
                <w:webHidden/>
              </w:rPr>
              <w:tab/>
            </w:r>
            <w:r>
              <w:rPr>
                <w:webHidden/>
              </w:rPr>
              <w:fldChar w:fldCharType="begin"/>
            </w:r>
            <w:r>
              <w:rPr>
                <w:webHidden/>
              </w:rPr>
              <w:instrText xml:space="preserve"> PAGEREF _Toc214623595 \h </w:instrText>
            </w:r>
            <w:r>
              <w:rPr>
                <w:webHidden/>
              </w:rPr>
            </w:r>
            <w:r>
              <w:rPr>
                <w:webHidden/>
              </w:rPr>
              <w:fldChar w:fldCharType="separate"/>
            </w:r>
            <w:r w:rsidR="000B3BED">
              <w:rPr>
                <w:webHidden/>
              </w:rPr>
              <w:t>16</w:t>
            </w:r>
            <w:r>
              <w:rPr>
                <w:webHidden/>
              </w:rPr>
              <w:fldChar w:fldCharType="end"/>
            </w:r>
          </w:hyperlink>
        </w:p>
        <w:p w14:paraId="34EEAE37" w14:textId="2981E614" w:rsidR="0060586E" w:rsidRDefault="0060586E">
          <w:pPr>
            <w:pStyle w:val="TOC1"/>
            <w:rPr>
              <w:rFonts w:asciiTheme="minorHAnsi" w:eastAsiaTheme="minorEastAsia" w:hAnsiTheme="minorHAnsi" w:cstheme="minorBidi"/>
              <w:b w:val="0"/>
              <w:bCs w:val="0"/>
              <w:kern w:val="2"/>
              <w:sz w:val="24"/>
              <w:szCs w:val="24"/>
              <w:lang w:eastAsia="en-GB"/>
              <w14:ligatures w14:val="standardContextual"/>
            </w:rPr>
          </w:pPr>
          <w:hyperlink w:anchor="_Toc214623596" w:history="1">
            <w:r w:rsidRPr="007C33FB">
              <w:rPr>
                <w:rStyle w:val="Hyperlink"/>
              </w:rPr>
              <w:t>Abbreviations</w:t>
            </w:r>
            <w:r>
              <w:rPr>
                <w:webHidden/>
              </w:rPr>
              <w:tab/>
            </w:r>
            <w:r>
              <w:rPr>
                <w:webHidden/>
              </w:rPr>
              <w:fldChar w:fldCharType="begin"/>
            </w:r>
            <w:r>
              <w:rPr>
                <w:webHidden/>
              </w:rPr>
              <w:instrText xml:space="preserve"> PAGEREF _Toc214623596 \h </w:instrText>
            </w:r>
            <w:r>
              <w:rPr>
                <w:webHidden/>
              </w:rPr>
            </w:r>
            <w:r>
              <w:rPr>
                <w:webHidden/>
              </w:rPr>
              <w:fldChar w:fldCharType="separate"/>
            </w:r>
            <w:r w:rsidR="000B3BED">
              <w:rPr>
                <w:webHidden/>
              </w:rPr>
              <w:t>18</w:t>
            </w:r>
            <w:r>
              <w:rPr>
                <w:webHidden/>
              </w:rPr>
              <w:fldChar w:fldCharType="end"/>
            </w:r>
          </w:hyperlink>
        </w:p>
        <w:p w14:paraId="439E38C4" w14:textId="5F72E3E5" w:rsidR="0060586E" w:rsidRDefault="0060586E">
          <w:pPr>
            <w:pStyle w:val="TOC1"/>
            <w:rPr>
              <w:rFonts w:asciiTheme="minorHAnsi" w:eastAsiaTheme="minorEastAsia" w:hAnsiTheme="minorHAnsi" w:cstheme="minorBidi"/>
              <w:b w:val="0"/>
              <w:bCs w:val="0"/>
              <w:kern w:val="2"/>
              <w:sz w:val="24"/>
              <w:szCs w:val="24"/>
              <w:lang w:eastAsia="en-GB"/>
              <w14:ligatures w14:val="standardContextual"/>
            </w:rPr>
          </w:pPr>
          <w:hyperlink w:anchor="_Toc214623597" w:history="1">
            <w:r w:rsidRPr="007C33FB">
              <w:rPr>
                <w:rStyle w:val="Hyperlink"/>
              </w:rPr>
              <w:t>Document contributors</w:t>
            </w:r>
            <w:r>
              <w:rPr>
                <w:webHidden/>
              </w:rPr>
              <w:tab/>
            </w:r>
            <w:r>
              <w:rPr>
                <w:webHidden/>
              </w:rPr>
              <w:fldChar w:fldCharType="begin"/>
            </w:r>
            <w:r>
              <w:rPr>
                <w:webHidden/>
              </w:rPr>
              <w:instrText xml:space="preserve"> PAGEREF _Toc214623597 \h </w:instrText>
            </w:r>
            <w:r>
              <w:rPr>
                <w:webHidden/>
              </w:rPr>
            </w:r>
            <w:r>
              <w:rPr>
                <w:webHidden/>
              </w:rPr>
              <w:fldChar w:fldCharType="separate"/>
            </w:r>
            <w:r w:rsidR="000B3BED">
              <w:rPr>
                <w:webHidden/>
              </w:rPr>
              <w:t>19</w:t>
            </w:r>
            <w:r>
              <w:rPr>
                <w:webHidden/>
              </w:rPr>
              <w:fldChar w:fldCharType="end"/>
            </w:r>
          </w:hyperlink>
        </w:p>
        <w:p w14:paraId="27F4874E" w14:textId="1FC4ABE2" w:rsidR="0060586E" w:rsidRDefault="0060586E">
          <w:pPr>
            <w:pStyle w:val="TOC1"/>
            <w:rPr>
              <w:rFonts w:asciiTheme="minorHAnsi" w:eastAsiaTheme="minorEastAsia" w:hAnsiTheme="minorHAnsi" w:cstheme="minorBidi"/>
              <w:b w:val="0"/>
              <w:bCs w:val="0"/>
              <w:kern w:val="2"/>
              <w:sz w:val="24"/>
              <w:szCs w:val="24"/>
              <w:lang w:eastAsia="en-GB"/>
              <w14:ligatures w14:val="standardContextual"/>
            </w:rPr>
          </w:pPr>
          <w:hyperlink w:anchor="_Toc214623598" w:history="1">
            <w:r w:rsidRPr="007C33FB">
              <w:rPr>
                <w:rStyle w:val="Hyperlink"/>
              </w:rPr>
              <w:t>Document history</w:t>
            </w:r>
            <w:r>
              <w:rPr>
                <w:webHidden/>
              </w:rPr>
              <w:tab/>
            </w:r>
            <w:r>
              <w:rPr>
                <w:webHidden/>
              </w:rPr>
              <w:fldChar w:fldCharType="begin"/>
            </w:r>
            <w:r>
              <w:rPr>
                <w:webHidden/>
              </w:rPr>
              <w:instrText xml:space="preserve"> PAGEREF _Toc214623598 \h </w:instrText>
            </w:r>
            <w:r>
              <w:rPr>
                <w:webHidden/>
              </w:rPr>
            </w:r>
            <w:r>
              <w:rPr>
                <w:webHidden/>
              </w:rPr>
              <w:fldChar w:fldCharType="separate"/>
            </w:r>
            <w:r w:rsidR="000B3BED">
              <w:rPr>
                <w:webHidden/>
              </w:rPr>
              <w:t>20</w:t>
            </w:r>
            <w:r>
              <w:rPr>
                <w:webHidden/>
              </w:rPr>
              <w:fldChar w:fldCharType="end"/>
            </w:r>
          </w:hyperlink>
        </w:p>
        <w:p w14:paraId="6AF7757A" w14:textId="224A753E" w:rsidR="0060586E" w:rsidRDefault="0060586E">
          <w:pPr>
            <w:pStyle w:val="TOC2"/>
            <w:rPr>
              <w:rFonts w:asciiTheme="minorHAnsi" w:eastAsiaTheme="minorEastAsia" w:hAnsiTheme="minorHAnsi" w:cstheme="minorBidi"/>
              <w:noProof/>
              <w:kern w:val="2"/>
              <w:sz w:val="24"/>
              <w:szCs w:val="24"/>
              <w:lang w:eastAsia="en-GB"/>
              <w14:ligatures w14:val="standardContextual"/>
            </w:rPr>
          </w:pPr>
          <w:hyperlink w:anchor="_Toc214623599" w:history="1">
            <w:r w:rsidRPr="007C33FB">
              <w:rPr>
                <w:rStyle w:val="Hyperlink"/>
                <w:noProof/>
              </w:rPr>
              <w:t>Document version log</w:t>
            </w:r>
            <w:r>
              <w:rPr>
                <w:noProof/>
                <w:webHidden/>
              </w:rPr>
              <w:tab/>
            </w:r>
            <w:r>
              <w:rPr>
                <w:noProof/>
                <w:webHidden/>
              </w:rPr>
              <w:fldChar w:fldCharType="begin"/>
            </w:r>
            <w:r>
              <w:rPr>
                <w:noProof/>
                <w:webHidden/>
              </w:rPr>
              <w:instrText xml:space="preserve"> PAGEREF _Toc214623599 \h </w:instrText>
            </w:r>
            <w:r>
              <w:rPr>
                <w:noProof/>
                <w:webHidden/>
              </w:rPr>
            </w:r>
            <w:r>
              <w:rPr>
                <w:noProof/>
                <w:webHidden/>
              </w:rPr>
              <w:fldChar w:fldCharType="separate"/>
            </w:r>
            <w:r w:rsidR="000B3BED">
              <w:rPr>
                <w:noProof/>
                <w:webHidden/>
              </w:rPr>
              <w:t>20</w:t>
            </w:r>
            <w:r>
              <w:rPr>
                <w:noProof/>
                <w:webHidden/>
              </w:rPr>
              <w:fldChar w:fldCharType="end"/>
            </w:r>
          </w:hyperlink>
        </w:p>
        <w:p w14:paraId="3262C7BA" w14:textId="694F49BC" w:rsidR="0060586E" w:rsidRDefault="0060586E">
          <w:pPr>
            <w:pStyle w:val="TOC2"/>
            <w:rPr>
              <w:rFonts w:asciiTheme="minorHAnsi" w:eastAsiaTheme="minorEastAsia" w:hAnsiTheme="minorHAnsi" w:cstheme="minorBidi"/>
              <w:noProof/>
              <w:kern w:val="2"/>
              <w:sz w:val="24"/>
              <w:szCs w:val="24"/>
              <w:lang w:eastAsia="en-GB"/>
              <w14:ligatures w14:val="standardContextual"/>
            </w:rPr>
          </w:pPr>
          <w:hyperlink w:anchor="_Toc214623600" w:history="1">
            <w:r w:rsidRPr="007C33FB">
              <w:rPr>
                <w:rStyle w:val="Hyperlink"/>
                <w:noProof/>
              </w:rPr>
              <w:t>Document revision log</w:t>
            </w:r>
            <w:r>
              <w:rPr>
                <w:noProof/>
                <w:webHidden/>
              </w:rPr>
              <w:tab/>
            </w:r>
            <w:r>
              <w:rPr>
                <w:noProof/>
                <w:webHidden/>
              </w:rPr>
              <w:fldChar w:fldCharType="begin"/>
            </w:r>
            <w:r>
              <w:rPr>
                <w:noProof/>
                <w:webHidden/>
              </w:rPr>
              <w:instrText xml:space="preserve"> PAGEREF _Toc214623600 \h </w:instrText>
            </w:r>
            <w:r>
              <w:rPr>
                <w:noProof/>
                <w:webHidden/>
              </w:rPr>
            </w:r>
            <w:r>
              <w:rPr>
                <w:noProof/>
                <w:webHidden/>
              </w:rPr>
              <w:fldChar w:fldCharType="separate"/>
            </w:r>
            <w:r w:rsidR="000B3BED">
              <w:rPr>
                <w:noProof/>
                <w:webHidden/>
              </w:rPr>
              <w:t>20</w:t>
            </w:r>
            <w:r>
              <w:rPr>
                <w:noProof/>
                <w:webHidden/>
              </w:rPr>
              <w:fldChar w:fldCharType="end"/>
            </w:r>
          </w:hyperlink>
        </w:p>
        <w:p w14:paraId="676D4B2F" w14:textId="1294EE89" w:rsidR="000317D8" w:rsidRDefault="000317D8">
          <w:r>
            <w:rPr>
              <w:b/>
              <w:bCs/>
              <w:noProof/>
            </w:rPr>
            <w:fldChar w:fldCharType="end"/>
          </w:r>
        </w:p>
      </w:sdtContent>
    </w:sdt>
    <w:p w14:paraId="66EA2A21" w14:textId="77777777" w:rsidR="003F499F" w:rsidRPr="00B95EBA" w:rsidRDefault="003F499F" w:rsidP="00B95EBA">
      <w:pPr>
        <w:pStyle w:val="Footer"/>
        <w:rPr>
          <w:rStyle w:val="BTable2Char"/>
          <w:sz w:val="18"/>
        </w:rPr>
      </w:pPr>
      <w:r w:rsidRPr="00B95EBA">
        <w:rPr>
          <w:rStyle w:val="BTable2Char"/>
          <w:sz w:val="18"/>
        </w:rPr>
        <w:br w:type="page"/>
      </w:r>
    </w:p>
    <w:p w14:paraId="405F2EF2" w14:textId="77777777" w:rsidR="00944528" w:rsidRPr="003F499F" w:rsidRDefault="00B946B0" w:rsidP="003F499F">
      <w:pPr>
        <w:pStyle w:val="Heading1"/>
      </w:pPr>
      <w:bookmarkStart w:id="1" w:name="_Toc214623566"/>
      <w:r>
        <w:lastRenderedPageBreak/>
        <w:t>Purpose</w:t>
      </w:r>
      <w:bookmarkEnd w:id="1"/>
    </w:p>
    <w:p w14:paraId="1E98D687" w14:textId="47F96269" w:rsidR="00944528" w:rsidRPr="0060052C" w:rsidRDefault="00EE4201" w:rsidP="00514C20">
      <w:bookmarkStart w:id="2" w:name="_Hlk90463817"/>
      <w:bookmarkStart w:id="3" w:name="_Hlk156815142"/>
      <w:r w:rsidRPr="00EE4201">
        <w:t xml:space="preserve">This standard operating procedure (SOP) describes the product management processes for the use of medicinal products in clinical research, including </w:t>
      </w:r>
      <w:r w:rsidR="004A2657">
        <w:t>c</w:t>
      </w:r>
      <w:r w:rsidRPr="00EE4201">
        <w:t xml:space="preserve">linical </w:t>
      </w:r>
      <w:r w:rsidR="004A2657">
        <w:t>t</w:t>
      </w:r>
      <w:r w:rsidRPr="00EE4201">
        <w:t xml:space="preserve">rials of </w:t>
      </w:r>
      <w:r w:rsidR="004A2657">
        <w:t>i</w:t>
      </w:r>
      <w:r w:rsidRPr="00EE4201">
        <w:t xml:space="preserve">nvestigational </w:t>
      </w:r>
      <w:r w:rsidR="004A2657">
        <w:t>m</w:t>
      </w:r>
      <w:r w:rsidRPr="00EE4201">
        <w:t xml:space="preserve">edicinal </w:t>
      </w:r>
      <w:r w:rsidR="004A2657">
        <w:t>p</w:t>
      </w:r>
      <w:r w:rsidRPr="00EE4201">
        <w:t xml:space="preserve">roducts (CTIMPs) and </w:t>
      </w:r>
      <w:r w:rsidR="004A2657">
        <w:t>a</w:t>
      </w:r>
      <w:r w:rsidRPr="00EE4201">
        <w:t xml:space="preserve">dvanced </w:t>
      </w:r>
      <w:r w:rsidR="004A2657">
        <w:t>t</w:t>
      </w:r>
      <w:r w:rsidRPr="00EE4201">
        <w:t xml:space="preserve">herapy </w:t>
      </w:r>
      <w:r w:rsidR="004A2657">
        <w:t>i</w:t>
      </w:r>
      <w:r w:rsidRPr="00EE4201">
        <w:t xml:space="preserve">nvestigational </w:t>
      </w:r>
      <w:r w:rsidR="004A2657">
        <w:t>m</w:t>
      </w:r>
      <w:r w:rsidRPr="00EE4201">
        <w:t xml:space="preserve">edicinal </w:t>
      </w:r>
      <w:r w:rsidR="004A2657">
        <w:t>p</w:t>
      </w:r>
      <w:r w:rsidRPr="00EE4201">
        <w:t xml:space="preserve">roducts (ATIMPs). It covers arrangement, ordering, labelling, shipment, storage, monitoring, accountability, and reconciliation procedures. By following this SOP researchers can help to ensure the quality and safety of the medicinal products used in their research. </w:t>
      </w:r>
      <w:bookmarkEnd w:id="2"/>
    </w:p>
    <w:p w14:paraId="686ABFFF" w14:textId="193544BB" w:rsidR="00944528" w:rsidRDefault="00944528" w:rsidP="005C7D15">
      <w:pPr>
        <w:pStyle w:val="Heading1"/>
      </w:pPr>
      <w:bookmarkStart w:id="4" w:name="_Toc214623567"/>
      <w:bookmarkEnd w:id="3"/>
      <w:r w:rsidRPr="00B63F21">
        <w:t>Scope</w:t>
      </w:r>
      <w:bookmarkEnd w:id="4"/>
    </w:p>
    <w:p w14:paraId="2E2CF4AE" w14:textId="7CDE7444" w:rsidR="001F23BF" w:rsidRDefault="00EE4201" w:rsidP="001F23BF">
      <w:r w:rsidRPr="00EE4201">
        <w:t xml:space="preserve">This SOP </w:t>
      </w:r>
      <w:r w:rsidR="001F23BF">
        <w:t xml:space="preserve">applies to: (1) clinical research sponsored by the University of Birmingham (UoB); (2) clinical research sponsored by another institution, except to the extent that the SOP is inconsistent with any contract between UoB and that institution; and (3) clinical research approved by a UoB research ethics committee (REC) in circumstances where the REC requires that the clinical research conform with the </w:t>
      </w:r>
      <w:r w:rsidR="001F23BF" w:rsidRPr="0088072B">
        <w:rPr>
          <w:rStyle w:val="DocrefChar"/>
        </w:rPr>
        <w:t>UoB Principles of Good Clinical Practice (GCP) for Clinical Research (UoB-GCP-POL-001)</w:t>
      </w:r>
      <w:r w:rsidR="001F23BF">
        <w:t>.</w:t>
      </w:r>
    </w:p>
    <w:p w14:paraId="709EE3D4" w14:textId="3750CB49" w:rsidR="001F23BF" w:rsidRPr="00205E61" w:rsidRDefault="001F23BF" w:rsidP="001F23BF">
      <w:r>
        <w:t>Where this SOP does not apply, the chief investigator (CI) of a clinical research project may at their discretion refer to it as a non-binding source of guidance.</w:t>
      </w:r>
    </w:p>
    <w:p w14:paraId="62B2BDDF" w14:textId="31938683" w:rsidR="00944528" w:rsidRPr="00C34A3B" w:rsidRDefault="00944528" w:rsidP="005C7D15">
      <w:pPr>
        <w:pStyle w:val="Heading1"/>
      </w:pPr>
      <w:bookmarkStart w:id="5" w:name="_Toc214623568"/>
      <w:r w:rsidRPr="00B63F21">
        <w:t>Implementation plan</w:t>
      </w:r>
      <w:bookmarkEnd w:id="5"/>
    </w:p>
    <w:p w14:paraId="7E2AF6EA" w14:textId="413137B9" w:rsidR="00944528" w:rsidRPr="00C34A3B" w:rsidRDefault="00EE4201" w:rsidP="00EE4201">
      <w:pPr>
        <w:jc w:val="left"/>
      </w:pPr>
      <w:r w:rsidRPr="00EE4201">
        <w:t>This SOP will be implemented in line with this document’s effective date</w:t>
      </w:r>
      <w:r w:rsidR="00D6245D">
        <w:t>,</w:t>
      </w:r>
      <w:r w:rsidR="00BA3323">
        <w:t xml:space="preserve"> with the </w:t>
      </w:r>
      <w:r w:rsidR="00D6245D">
        <w:t>exception of procedural point 2.3</w:t>
      </w:r>
      <w:r w:rsidR="00207DAB">
        <w:t xml:space="preserve"> that</w:t>
      </w:r>
      <w:r w:rsidR="00D6245D">
        <w:t xml:space="preserve"> will be subject to a three</w:t>
      </w:r>
      <w:r w:rsidR="00207DAB">
        <w:t>-</w:t>
      </w:r>
      <w:r w:rsidR="00D6245D">
        <w:t xml:space="preserve">month </w:t>
      </w:r>
      <w:r w:rsidR="000E446C">
        <w:t>implementation pe</w:t>
      </w:r>
      <w:r w:rsidR="00E134EF">
        <w:t>r</w:t>
      </w:r>
      <w:r w:rsidR="000E446C">
        <w:t>iod</w:t>
      </w:r>
      <w:r w:rsidR="00A3374F">
        <w:t>.</w:t>
      </w:r>
    </w:p>
    <w:p w14:paraId="514F6638" w14:textId="434F3C1D" w:rsidR="00944528" w:rsidRDefault="00944528" w:rsidP="005C7D15">
      <w:pPr>
        <w:pStyle w:val="Heading1"/>
      </w:pPr>
      <w:bookmarkStart w:id="6" w:name="_Ref153523581"/>
      <w:bookmarkStart w:id="7" w:name="_Toc214623569"/>
      <w:r>
        <w:t>Stakeholders</w:t>
      </w:r>
      <w:bookmarkEnd w:id="6"/>
      <w:bookmarkEnd w:id="7"/>
    </w:p>
    <w:p w14:paraId="4FB4418D" w14:textId="626A9C80" w:rsidR="00514C20" w:rsidRDefault="007B451B" w:rsidP="00514C20">
      <w:r>
        <w:t>Note that w</w:t>
      </w:r>
      <w:r w:rsidR="00EE4201" w:rsidRPr="00EE4201">
        <w:t>here the UoB takes on the sponsor’s responsibility for medicinal product management, the UoB will delegate the majority of these duties to the chief investigator (CI) and/or a clinical trials unit (CTU)</w:t>
      </w:r>
      <w:r>
        <w:t>, who may delegate these duties further to their trials team(s)</w:t>
      </w:r>
      <w:r w:rsidR="00EE4201" w:rsidRPr="00EE4201">
        <w:t xml:space="preserve">. All delegation of duties will be documented </w:t>
      </w:r>
      <w:r>
        <w:t>(</w:t>
      </w:r>
      <w:r w:rsidR="00EE4201" w:rsidRPr="00EE4201">
        <w:t>e.g.</w:t>
      </w:r>
      <w:r>
        <w:t xml:space="preserve">, using </w:t>
      </w:r>
      <w:r w:rsidR="00EE4201" w:rsidRPr="00EE4201">
        <w:t xml:space="preserve">the CI declaration and/or the clinical trials task delegation log (see </w:t>
      </w:r>
      <w:r w:rsidR="00EE4201" w:rsidRPr="0088072B">
        <w:rPr>
          <w:rStyle w:val="DocrefChar"/>
        </w:rPr>
        <w:t>Clinical Trial</w:t>
      </w:r>
      <w:r w:rsidR="001F1CED" w:rsidRPr="0088072B">
        <w:rPr>
          <w:rStyle w:val="DocrefChar"/>
        </w:rPr>
        <w:t>s</w:t>
      </w:r>
      <w:r w:rsidR="00EE4201" w:rsidRPr="0088072B">
        <w:rPr>
          <w:rStyle w:val="DocrefChar"/>
        </w:rPr>
        <w:t xml:space="preserve"> Task Delegation Log</w:t>
      </w:r>
      <w:r w:rsidR="00134157" w:rsidRPr="0088072B">
        <w:rPr>
          <w:rStyle w:val="DocrefChar"/>
        </w:rPr>
        <w:t xml:space="preserve"> (UoB-</w:t>
      </w:r>
      <w:r w:rsidR="001F1CED" w:rsidRPr="0088072B">
        <w:rPr>
          <w:rStyle w:val="DocrefChar"/>
        </w:rPr>
        <w:t>SPO</w:t>
      </w:r>
      <w:r w:rsidR="00134157" w:rsidRPr="0088072B">
        <w:rPr>
          <w:rStyle w:val="DocrefChar"/>
        </w:rPr>
        <w:t>-QCD-00</w:t>
      </w:r>
      <w:r w:rsidR="001F1CED" w:rsidRPr="0088072B">
        <w:rPr>
          <w:rStyle w:val="DocrefChar"/>
        </w:rPr>
        <w:t>1</w:t>
      </w:r>
      <w:r w:rsidR="00134157" w:rsidRPr="0088072B">
        <w:rPr>
          <w:rStyle w:val="DocrefChar"/>
        </w:rPr>
        <w:t>)</w:t>
      </w:r>
      <w:r w:rsidR="00EE4201" w:rsidRPr="00EE4201">
        <w:t>).</w:t>
      </w:r>
    </w:p>
    <w:p w14:paraId="0DDE070A" w14:textId="786EED1E" w:rsidR="00EE4201" w:rsidRPr="00EE4201" w:rsidRDefault="00EE4201" w:rsidP="00514C20">
      <w:pPr>
        <w:pStyle w:val="bullet10"/>
      </w:pPr>
      <w:r w:rsidRPr="00EE4201">
        <w:t>Chief investigator (CI): the CI may delegate some activities to members of their research team, however evidence of CI oversight and approval is still required. It is highlighted within this SOP where activities are, and are not, appropriate to delegate to a team member. For clinical research approved by a UoB REC, the role of CI may be referred to as the UoB principal investigator (PI), or the supervisor for postgraduate research students.</w:t>
      </w:r>
    </w:p>
    <w:p w14:paraId="19C0C4C8" w14:textId="1D15417B" w:rsidR="00EE4201" w:rsidRPr="00EE4201" w:rsidRDefault="00EE4201" w:rsidP="00514C20">
      <w:pPr>
        <w:pStyle w:val="bullet10"/>
      </w:pPr>
      <w:r w:rsidRPr="00EE4201">
        <w:t xml:space="preserve">Principal Investigator (PI): an individual responsible for the conduct of the research at a </w:t>
      </w:r>
      <w:r w:rsidR="00C66CCD">
        <w:t>study</w:t>
      </w:r>
      <w:r w:rsidR="003B4470">
        <w:t>/trial</w:t>
      </w:r>
      <w:r w:rsidR="00C66CCD" w:rsidRPr="00EE4201">
        <w:t xml:space="preserve"> </w:t>
      </w:r>
      <w:r w:rsidR="00C66CCD">
        <w:t>location</w:t>
      </w:r>
      <w:r w:rsidRPr="00EE4201">
        <w:t xml:space="preserve">. </w:t>
      </w:r>
      <w:r w:rsidR="00AA412E">
        <w:t>Where there is only one study/trial location</w:t>
      </w:r>
      <w:r w:rsidRPr="00EE4201">
        <w:t xml:space="preserve">, the chief investigator and the PI </w:t>
      </w:r>
      <w:r w:rsidR="00AA412E">
        <w:t>may</w:t>
      </w:r>
      <w:r w:rsidRPr="00EE4201">
        <w:t xml:space="preserve"> be the same person.</w:t>
      </w:r>
    </w:p>
    <w:p w14:paraId="1349DE56" w14:textId="77777777" w:rsidR="00EE4201" w:rsidRPr="00EE4201" w:rsidRDefault="00EE4201" w:rsidP="00514C20">
      <w:pPr>
        <w:pStyle w:val="bullet10"/>
      </w:pPr>
      <w:r w:rsidRPr="00EE4201">
        <w:t>UoB CTU.</w:t>
      </w:r>
    </w:p>
    <w:p w14:paraId="364D73E6" w14:textId="77777777" w:rsidR="00514C20" w:rsidRDefault="00EE4201" w:rsidP="00514C20">
      <w:pPr>
        <w:pStyle w:val="bullet10"/>
      </w:pPr>
      <w:r w:rsidRPr="00EE4201">
        <w:t xml:space="preserve">UoB Research </w:t>
      </w:r>
      <w:r w:rsidR="00D05DD4">
        <w:t xml:space="preserve">Ethics, </w:t>
      </w:r>
      <w:r w:rsidRPr="00EE4201">
        <w:t>Governance</w:t>
      </w:r>
      <w:r w:rsidR="00D05DD4">
        <w:t xml:space="preserve"> &amp; Integrity (REGI)</w:t>
      </w:r>
      <w:r w:rsidRPr="00EE4201">
        <w:t xml:space="preserve"> Team.</w:t>
      </w:r>
    </w:p>
    <w:p w14:paraId="0764C995" w14:textId="2114CEC7" w:rsidR="00A773D7" w:rsidRPr="00514C20" w:rsidRDefault="00A773D7" w:rsidP="00514C20">
      <w:r>
        <w:br w:type="page"/>
      </w:r>
    </w:p>
    <w:p w14:paraId="7199EF72" w14:textId="1796987E" w:rsidR="005F0420" w:rsidRDefault="005F0420" w:rsidP="005F2DE3">
      <w:pPr>
        <w:pStyle w:val="Heading1"/>
      </w:pPr>
      <w:bookmarkStart w:id="8" w:name="_Toc214623570"/>
      <w:r>
        <w:lastRenderedPageBreak/>
        <w:t>Background</w:t>
      </w:r>
      <w:bookmarkEnd w:id="8"/>
    </w:p>
    <w:p w14:paraId="0D65F815" w14:textId="5E88B8C5" w:rsidR="003A42F2" w:rsidRDefault="003A42F2" w:rsidP="00AA48D7">
      <w:r>
        <w:t>For the purposes of this SOP the terms ‘clinical research’ or ‘project’ will cover CTIMPs, other interventional trials (e.g. surgical trials, device trial</w:t>
      </w:r>
      <w:r w:rsidR="0064528D">
        <w:t xml:space="preserve">s and </w:t>
      </w:r>
      <w:r>
        <w:t>non-CTIMPs, and any other projects deemed to be ‘interventional’ by the Sponsor) and clinical studies.</w:t>
      </w:r>
    </w:p>
    <w:p w14:paraId="30630FC7" w14:textId="4C0EBD31" w:rsidR="00EE4201" w:rsidRPr="00EE4201" w:rsidRDefault="00EE4201" w:rsidP="00AA48D7">
      <w:r w:rsidRPr="00EE4201">
        <w:t xml:space="preserve">The management of medicinal products used in </w:t>
      </w:r>
      <w:r w:rsidR="004F1E9C">
        <w:t xml:space="preserve">clinical </w:t>
      </w:r>
      <w:r w:rsidRPr="00EE4201">
        <w:t xml:space="preserve">research is critical to safeguard the participant. The sponsor must ensure and guarantee both the quality and the safety of any products and substances used in </w:t>
      </w:r>
      <w:r w:rsidR="004F1E9C">
        <w:t xml:space="preserve">the </w:t>
      </w:r>
      <w:r w:rsidRPr="00EE4201">
        <w:t xml:space="preserve">project. It is critical to maintain any medicinal product’s traceability </w:t>
      </w:r>
      <w:r w:rsidR="004F1E9C">
        <w:t>to be able to track</w:t>
      </w:r>
      <w:r w:rsidRPr="00EE4201">
        <w:t xml:space="preserve"> its movement and administration. </w:t>
      </w:r>
      <w:r w:rsidR="004F1E9C">
        <w:t>T</w:t>
      </w:r>
      <w:r w:rsidRPr="00EE4201">
        <w:t xml:space="preserve">o facilitate an accurate audit trail, researchers must implement an accountability procedure to correctly record all data on medicinal products used within the project; this should include actual-use data received from participants. Researchers should require all participants, for the duration of their involvement in the project, to accurately record all medicinal products taken. </w:t>
      </w:r>
    </w:p>
    <w:p w14:paraId="63610CB3" w14:textId="5D7636CC" w:rsidR="00EE4201" w:rsidRPr="00EE4201" w:rsidRDefault="00EE4201" w:rsidP="00AA48D7">
      <w:r w:rsidRPr="00EE4201">
        <w:t xml:space="preserve">Investigational </w:t>
      </w:r>
      <w:r w:rsidR="00017C13">
        <w:t>m</w:t>
      </w:r>
      <w:r w:rsidRPr="00EE4201">
        <w:t xml:space="preserve">edicinal </w:t>
      </w:r>
      <w:r w:rsidR="00017C13">
        <w:t>p</w:t>
      </w:r>
      <w:r w:rsidRPr="00EE4201">
        <w:t xml:space="preserve">roducts (IMPs) are </w:t>
      </w:r>
      <w:r w:rsidRPr="00EE4201">
        <w:rPr>
          <w:rFonts w:eastAsia="Calibri"/>
        </w:rPr>
        <w:t xml:space="preserve">pharmaceutical forms of an active substance, or placebo, being tested or used as reference in clinical trials. This covers products with an existing marketing authorisation that are being used or assembled (formulated or packaged) in a different way to their authorised form. It also includes products being used for an unauthorised indication, or when products are being used to gain further information about their authorised form. </w:t>
      </w:r>
      <w:r w:rsidRPr="00EE4201">
        <w:t xml:space="preserve">Legislation relating to IMPs requires the product to be of sufficient quality, and to be manufactured and labelled in accordance with the terms of the Clinical </w:t>
      </w:r>
      <w:r w:rsidR="00017C13">
        <w:t>T</w:t>
      </w:r>
      <w:r w:rsidRPr="00EE4201">
        <w:t xml:space="preserve">rial </w:t>
      </w:r>
      <w:r w:rsidR="00017C13">
        <w:t>A</w:t>
      </w:r>
      <w:r w:rsidRPr="00EE4201">
        <w:t>uthorisation (CTA). This ensures both the safety of the participant, and the quality of the data. CTIMP</w:t>
      </w:r>
      <w:r w:rsidR="00017C13">
        <w:t>s</w:t>
      </w:r>
      <w:r w:rsidRPr="00EE4201">
        <w:t xml:space="preserve"> have additional requirements contained within </w:t>
      </w:r>
      <w:r w:rsidR="006120A6">
        <w:t>the UK Clinical Trials Regulations (</w:t>
      </w:r>
      <w:hyperlink r:id="rId16" w:tooltip="The Medicines for Human Use (Clinical Trials) Regulations 2004 (as amended)" w:history="1">
        <w:r w:rsidR="006120A6">
          <w:rPr>
            <w:rStyle w:val="Hyperlink"/>
          </w:rPr>
          <w:t>The Medicines for Human Use (Clinical Trials) Regulations 2004 (as amended)</w:t>
        </w:r>
      </w:hyperlink>
      <w:r w:rsidR="006120A6">
        <w:t>.</w:t>
      </w:r>
      <w:r w:rsidRPr="00EE4201">
        <w:t xml:space="preserve"> Where CTIMPs also use non-investigational medicinal products (NIMPs), the IMP procedures stated within this SOP will apply. Where research only involves authorised NIMPs, please follow the procedures for medicinal products. Advanced Therapy Medicinal Products (ATMPs) are those </w:t>
      </w:r>
      <w:r w:rsidR="00017C13">
        <w:t>that</w:t>
      </w:r>
      <w:r w:rsidR="00017C13" w:rsidRPr="00EE4201">
        <w:t xml:space="preserve"> </w:t>
      </w:r>
      <w:r w:rsidRPr="00EE4201">
        <w:t xml:space="preserve">are prepared or manufactured, fully or partially, by a method involving an industrial process. ATMPs fall into three categories: gene therapies, somatic cell therapies and tissue engineered products. ATMPs that are tested or used in clinical trials are called </w:t>
      </w:r>
      <w:r w:rsidR="00641043">
        <w:t>advanced therapy investigational medicinal products (</w:t>
      </w:r>
      <w:r w:rsidRPr="00EE4201">
        <w:t>ATIMPs</w:t>
      </w:r>
      <w:r w:rsidR="00641043">
        <w:t>)</w:t>
      </w:r>
      <w:r w:rsidRPr="00EE4201">
        <w:t xml:space="preserve">. ATIMPs fall under the same regulations as all other clinical trials, but there are some additional factors that should be considered when developing a project and these are clearly indicated within this SOP. The term ‘medicinal product’ will be used within this document to refer to all medicinal products including IMPs, NIMPs and ATMPs as appropriate, unless otherwise stated. There are a number of key considerations that should be addressed as early as possible when setting up a project in order to avoid funding shortfalls, and to facilitate the most appropriate medication procedure. For further information on IMP considerations, see the </w:t>
      </w:r>
      <w:hyperlink r:id="rId17" w:tooltip="Link to the Clinical Trials Toolkit: Trial Supplies" w:history="1">
        <w:r w:rsidRPr="00EE4201">
          <w:rPr>
            <w:color w:val="0000FF"/>
            <w:u w:val="single"/>
          </w:rPr>
          <w:t>Clinical Trials Toolkit: Trial Supplies</w:t>
        </w:r>
      </w:hyperlink>
      <w:r w:rsidRPr="00EE4201">
        <w:t>.</w:t>
      </w:r>
    </w:p>
    <w:p w14:paraId="1D310CD7" w14:textId="77777777" w:rsidR="00EE4201" w:rsidRPr="00EE4201" w:rsidRDefault="00EE4201" w:rsidP="00951015">
      <w:pPr>
        <w:pStyle w:val="Heading2"/>
      </w:pPr>
      <w:bookmarkStart w:id="9" w:name="_Toc214623571"/>
      <w:r w:rsidRPr="00EE4201">
        <w:t>Arranging the supply of medicinal products</w:t>
      </w:r>
      <w:bookmarkEnd w:id="9"/>
      <w:r w:rsidRPr="00EE4201">
        <w:t xml:space="preserve"> </w:t>
      </w:r>
    </w:p>
    <w:p w14:paraId="7DC65776" w14:textId="77777777" w:rsidR="00EE4201" w:rsidRPr="00EE4201" w:rsidRDefault="00EE4201" w:rsidP="00951015">
      <w:r w:rsidRPr="00EE4201">
        <w:t>There are various supply sources for medicinal products. They may come directly from a standard commercial supplier, may be provided to the investigator by a pharmaceutical company, or could be supplied by another marketing authorisation holder (MAH). A third-party vendor may be contracted to undertake medicinal-product management. Each of these scenarios involves different degrees of risk.</w:t>
      </w:r>
    </w:p>
    <w:p w14:paraId="3D165562" w14:textId="77777777" w:rsidR="00EE4201" w:rsidRPr="00EE4201" w:rsidRDefault="00EE4201" w:rsidP="002A6E32">
      <w:pPr>
        <w:pStyle w:val="Heading3"/>
      </w:pPr>
      <w:bookmarkStart w:id="10" w:name="_Toc214623572"/>
      <w:r w:rsidRPr="00EE4201">
        <w:t xml:space="preserve">Commercial </w:t>
      </w:r>
      <w:r w:rsidRPr="002A6E32">
        <w:t>supply</w:t>
      </w:r>
      <w:bookmarkEnd w:id="10"/>
    </w:p>
    <w:p w14:paraId="1CD672D6" w14:textId="6BA6D683" w:rsidR="00EE4201" w:rsidRPr="00EE4201" w:rsidRDefault="00EE4201" w:rsidP="00951015">
      <w:r w:rsidRPr="00EE4201">
        <w:t xml:space="preserve">If the medicinal product is an authorised product within the UK, medicinal-product management is relatively straightforward as products can be dispensed from general pharmacy stock or from contracted external commercial suppliers. Commercial suppliers may supply medicinal products for a project, either free of charge or at a cost. </w:t>
      </w:r>
    </w:p>
    <w:p w14:paraId="6A00343C" w14:textId="77777777" w:rsidR="00EE4201" w:rsidRPr="00EE4201" w:rsidRDefault="00EE4201" w:rsidP="00951015">
      <w:pPr>
        <w:pStyle w:val="Heading3"/>
      </w:pPr>
      <w:bookmarkStart w:id="11" w:name="_Toc214623573"/>
      <w:r w:rsidRPr="00EE4201">
        <w:t>Generic vs. branded products</w:t>
      </w:r>
      <w:bookmarkEnd w:id="11"/>
    </w:p>
    <w:p w14:paraId="24E0E05A" w14:textId="77777777" w:rsidR="00EE4201" w:rsidRPr="00EE4201" w:rsidRDefault="00EE4201" w:rsidP="00B01D2A">
      <w:r w:rsidRPr="00EE4201">
        <w:t xml:space="preserve">Many medicinal products have two names because more than one version is available. </w:t>
      </w:r>
    </w:p>
    <w:p w14:paraId="3C764EEF" w14:textId="77777777" w:rsidR="00B56CF8" w:rsidRPr="00B56CF8" w:rsidRDefault="00B56CF8" w:rsidP="00B01D2A">
      <w:r w:rsidRPr="00B56CF8">
        <w:t xml:space="preserve">The brand name is the name given to a medicinal product by the patent holder, usually the originating pharmaceutical company. This is also called the "proprietary name". Generics is the term used for non-branded medicinal products. Names of these non-branded products are generic or scientific names derived from a product’s characteristics such as active ingredients and use. The generic name is agreed by an expert committee and is understood internationally. This is also called the "non-proprietary name". For example, sildenafil is the generic name of a medicine used to treat erectile dysfunction. Pfizer, the company that makes sildenafil, sells it under the brand name Viagra. </w:t>
      </w:r>
    </w:p>
    <w:p w14:paraId="21BEF7AD" w14:textId="0EAA72AE" w:rsidR="00B56CF8" w:rsidRPr="00B56CF8" w:rsidRDefault="00B56CF8" w:rsidP="00B01D2A">
      <w:r w:rsidRPr="00B56CF8">
        <w:t xml:space="preserve">If the medicinal product is a branded product that has only one supplier and one standard formulation, there is no risk of a </w:t>
      </w:r>
      <w:r w:rsidR="008B14A1">
        <w:t>study/trial location</w:t>
      </w:r>
      <w:r w:rsidRPr="00B56CF8">
        <w:t xml:space="preserve"> sourcing an incorrect product. When generics or multiple formulations are </w:t>
      </w:r>
      <w:r w:rsidRPr="00B56CF8">
        <w:lastRenderedPageBreak/>
        <w:t xml:space="preserve">available, there is a risk of the </w:t>
      </w:r>
      <w:r w:rsidR="008B14A1">
        <w:t xml:space="preserve">study/trial location </w:t>
      </w:r>
      <w:r w:rsidRPr="00B56CF8">
        <w:t>sourcing an incorrect product. This risk is further compounded by different NHS Trusts across the UK having their own local supply contracts. These contracts are usually renewed annually</w:t>
      </w:r>
      <w:r w:rsidR="002A6E32">
        <w:t>;</w:t>
      </w:r>
      <w:r w:rsidRPr="00B56CF8">
        <w:t xml:space="preserve"> </w:t>
      </w:r>
      <w:r w:rsidR="00334118" w:rsidRPr="00B56CF8">
        <w:t>therefore,</w:t>
      </w:r>
      <w:r w:rsidRPr="00B56CF8">
        <w:t xml:space="preserve"> the supplier or brand </w:t>
      </w:r>
      <w:r w:rsidR="002A6E32">
        <w:t>could</w:t>
      </w:r>
      <w:r w:rsidR="002A6E32" w:rsidRPr="00B56CF8">
        <w:t xml:space="preserve"> </w:t>
      </w:r>
      <w:r w:rsidRPr="00B56CF8">
        <w:t>change during a project</w:t>
      </w:r>
      <w:r w:rsidR="002A6E32">
        <w:t xml:space="preserve"> and may have an impact on it</w:t>
      </w:r>
      <w:r w:rsidRPr="00B56CF8">
        <w:t>.</w:t>
      </w:r>
    </w:p>
    <w:p w14:paraId="36305AF3" w14:textId="77777777" w:rsidR="00B56CF8" w:rsidRPr="00B56CF8" w:rsidRDefault="00B56CF8" w:rsidP="00B55943">
      <w:pPr>
        <w:pStyle w:val="Heading2"/>
      </w:pPr>
      <w:bookmarkStart w:id="12" w:name="_Toc214623574"/>
      <w:r w:rsidRPr="00B56CF8">
        <w:t>Manufacture and assembly of an IMP: the need for MIA(IMP) authorisation</w:t>
      </w:r>
      <w:bookmarkEnd w:id="12"/>
    </w:p>
    <w:p w14:paraId="781DF178" w14:textId="77777777" w:rsidR="00B56CF8" w:rsidRPr="00B56CF8" w:rsidRDefault="00B56CF8" w:rsidP="00B55943">
      <w:r w:rsidRPr="00B56CF8">
        <w:t>An IMP will always need to go through a manufacturing and/or importation step, irrespective of its source. Within the UK, any organisation engaged in manufacturing and/or importation activities must hold a manufacturer’s/importer’s authorisation for IMPs, known as a MIA(IMP). The definition of ‘manufacturing’ in this context includes any manipulations performed on an IMP. Manipulations include assembly (i.e. packaging and labelling), re-packaging, and additional labelling of products with marketing authorisations. Each batch of IMP must be certified by a qualified person (QP) after manufacture/assembly, and prior to its release for use in a clinical trial (for exemptions, see “Exemptions from MIA(IMP)” below).</w:t>
      </w:r>
    </w:p>
    <w:p w14:paraId="2FC57697" w14:textId="3693EB4C" w:rsidR="00B56CF8" w:rsidRPr="00B56CF8" w:rsidRDefault="00B56CF8" w:rsidP="00B55943">
      <w:r w:rsidRPr="00B56CF8">
        <w:t xml:space="preserve">The definition of “importation” in this case means the bringing of an IMP into Great Britain from outside the UK. This may be from a country on the ‘approved country for import list’ (which initially includes all European Union (EU) and European Economic Area (EEA) countries). IMPs imported into Great Britain from outside the UK that have been QP certified in a listed country will not require recertification in Great Britain. If the exporting country is not on the ‘approved country for import list’ the IMPs will require QP certification in the UK by the MIA(IMP) holder upon importation, in a manner equivalent to IMPs manufactured in the UK. The QP will also need to know whether EU </w:t>
      </w:r>
      <w:r w:rsidR="00BE1652">
        <w:t>G</w:t>
      </w:r>
      <w:r w:rsidR="000207F5">
        <w:t xml:space="preserve">ood </w:t>
      </w:r>
      <w:r w:rsidR="00BE1652">
        <w:t>M</w:t>
      </w:r>
      <w:r w:rsidR="000207F5">
        <w:t xml:space="preserve">anufacturing </w:t>
      </w:r>
      <w:r w:rsidR="00BE1652">
        <w:t>P</w:t>
      </w:r>
      <w:r w:rsidR="000207F5">
        <w:t>ractice (</w:t>
      </w:r>
      <w:r w:rsidRPr="00B56CF8">
        <w:t>GMP</w:t>
      </w:r>
      <w:r w:rsidR="000207F5">
        <w:t>)</w:t>
      </w:r>
      <w:r w:rsidRPr="00B56CF8">
        <w:t xml:space="preserve"> has been followed throughout the supply chain. If the IMP is an existing authorised medicine either within the EEA, or within an International Council on Harmonisation (ICH) country (e.g. United States of America or Japan) it is accepted that EU GMP, or an equivalent standard, has been followed. For further information please see Schedule 3, Part 2 (7-8) </w:t>
      </w:r>
      <w:bookmarkStart w:id="13" w:name="_Hlk83673900"/>
      <w:r w:rsidRPr="00B56CF8">
        <w:t>of the</w:t>
      </w:r>
      <w:r w:rsidR="00F354A5">
        <w:t xml:space="preserve"> UK Clinical Trials Regulations </w:t>
      </w:r>
      <w:r w:rsidR="00334118">
        <w:t>(</w:t>
      </w:r>
      <w:hyperlink r:id="rId18" w:tooltip="Medicines for Human Use (Clinical Trials) Regulations 2004 (as amended)" w:history="1">
        <w:r w:rsidR="00334118">
          <w:rPr>
            <w:color w:val="0000FF"/>
            <w:u w:val="single"/>
          </w:rPr>
          <w:t>The Medicines for Human Use (Clinical Trials) Regulations 2004 (as amended)</w:t>
        </w:r>
      </w:hyperlink>
      <w:bookmarkEnd w:id="13"/>
      <w:r w:rsidR="00DF6663">
        <w:t xml:space="preserve">) </w:t>
      </w:r>
      <w:r w:rsidRPr="00B56CF8">
        <w:t xml:space="preserve">and Article 13 of </w:t>
      </w:r>
      <w:hyperlink r:id="rId19" w:tooltip="Link to Article 13 of Directive 2001/20 EC" w:history="1">
        <w:r w:rsidR="00755FA2">
          <w:rPr>
            <w:color w:val="0000FF"/>
            <w:u w:val="single"/>
          </w:rPr>
          <w:t>Directive 2001/20 EC</w:t>
        </w:r>
      </w:hyperlink>
      <w:r w:rsidR="00670C81">
        <w:t xml:space="preserve"> (PDF – 93 KB)</w:t>
      </w:r>
      <w:r w:rsidRPr="00B56CF8">
        <w:t xml:space="preserve">. </w:t>
      </w:r>
    </w:p>
    <w:p w14:paraId="45634B35" w14:textId="77777777" w:rsidR="00B56CF8" w:rsidRPr="00B56CF8" w:rsidRDefault="00B56CF8" w:rsidP="00F354A5">
      <w:pPr>
        <w:pStyle w:val="Heading3"/>
      </w:pPr>
      <w:bookmarkStart w:id="14" w:name="_Toc214623575"/>
      <w:r w:rsidRPr="00B56CF8">
        <w:t>Labelling</w:t>
      </w:r>
      <w:bookmarkEnd w:id="14"/>
    </w:p>
    <w:p w14:paraId="0D490D9E" w14:textId="54E6826B" w:rsidR="00B56CF8" w:rsidRPr="00B56CF8" w:rsidRDefault="00B56CF8" w:rsidP="00F354A5">
      <w:r w:rsidRPr="00B56CF8">
        <w:t>Regulation 46 of the</w:t>
      </w:r>
      <w:r w:rsidR="00FA1B4A">
        <w:t xml:space="preserve"> UK Clinical Trials Regulations </w:t>
      </w:r>
      <w:r w:rsidR="00B203FB">
        <w:t>(</w:t>
      </w:r>
      <w:hyperlink r:id="rId20" w:tooltip="Medicines for Human Use (Clinical Trials) Regulations 2004 (as amended)" w:history="1">
        <w:r w:rsidR="00B203FB">
          <w:rPr>
            <w:color w:val="0000FF"/>
            <w:u w:val="single"/>
          </w:rPr>
          <w:t>The Medicines for Human Use (Clinical Trials) Regulations 2004 (as amended)</w:t>
        </w:r>
      </w:hyperlink>
      <w:r w:rsidR="00B203FB">
        <w:rPr>
          <w:color w:val="0000FF"/>
          <w:u w:val="single"/>
        </w:rPr>
        <w:t>)</w:t>
      </w:r>
      <w:r w:rsidRPr="00B56CF8">
        <w:t xml:space="preserve"> applies to CTIMPS and ATIMPs and covers the requirements for clinical trial labelling. Clinical trial labels must abide by the requirements in Articles 26 to 31 of </w:t>
      </w:r>
      <w:hyperlink r:id="rId21" w:tooltip="Link to Annex 13" w:history="1">
        <w:r w:rsidR="00D974AB">
          <w:rPr>
            <w:color w:val="0000FF"/>
            <w:u w:val="single"/>
          </w:rPr>
          <w:t>Annex 13: Manufacture of IMP</w:t>
        </w:r>
      </w:hyperlink>
      <w:r w:rsidRPr="00B56CF8">
        <w:t xml:space="preserve"> </w:t>
      </w:r>
      <w:r w:rsidR="006A26B5">
        <w:t xml:space="preserve">(PDF – 66 KB) </w:t>
      </w:r>
      <w:r w:rsidRPr="00B56CF8">
        <w:t>(Volume 4 of The Rules Governing Medicinal Products in the EU: GMP Guidelines (hereon referred to as ‘Annex 13’)). Labelling of an IMP is an assembly activity, it is required to be performed by an MIA(IMP) holder, unless exemptions apply as stated in Regulation 37 of the</w:t>
      </w:r>
      <w:r w:rsidR="00762FAB">
        <w:t xml:space="preserve"> </w:t>
      </w:r>
      <w:r w:rsidR="00464F35">
        <w:t>UK Clinical Trials Regulations</w:t>
      </w:r>
      <w:r w:rsidR="00B075A6">
        <w:t xml:space="preserve"> (</w:t>
      </w:r>
      <w:hyperlink r:id="rId22" w:tooltip="The Medicines for Human Use (Clinical Trials) Regulations 2004 (as amended)" w:history="1">
        <w:r w:rsidR="00464F35">
          <w:rPr>
            <w:color w:val="0000FF"/>
            <w:u w:val="single"/>
          </w:rPr>
          <w:t>The Medicines for Human Use (Clinical Trials) Regulations 2004 (as amended)</w:t>
        </w:r>
      </w:hyperlink>
      <w:r w:rsidR="00B075A6">
        <w:t>).</w:t>
      </w:r>
    </w:p>
    <w:p w14:paraId="469C2650" w14:textId="75564CB7" w:rsidR="00B56CF8" w:rsidRPr="00B56CF8" w:rsidRDefault="00B56CF8" w:rsidP="00F354A5">
      <w:pPr>
        <w:pStyle w:val="Heading3"/>
      </w:pPr>
      <w:bookmarkStart w:id="15" w:name="_Toc214623576"/>
      <w:r w:rsidRPr="00B56CF8">
        <w:t>Exemptions from MIA(IMP)</w:t>
      </w:r>
      <w:bookmarkEnd w:id="15"/>
    </w:p>
    <w:p w14:paraId="6F76A294" w14:textId="16613EAD" w:rsidR="00B56CF8" w:rsidRPr="00B56CF8" w:rsidRDefault="00B56CF8" w:rsidP="00F354A5">
      <w:r w:rsidRPr="00B56CF8">
        <w:t xml:space="preserve">A specific exemption from the need for an MIA(IMP) applies to hospitals or health centres engaged in assembly activities only (e.g. labelling). Such institutions do not require an MIA(IMP) if the assembled IMP is to be used within that specific hospital or health centre, or another hospital or health centre named as </w:t>
      </w:r>
      <w:r w:rsidR="00140835">
        <w:t>a trial location</w:t>
      </w:r>
      <w:r w:rsidRPr="00B56CF8">
        <w:t xml:space="preserve"> within that same trial. The assembly must be carried out by a doctor or pharmacist, or a person under the supervision of a pharmacist. For more detail see Regulation 37 of the</w:t>
      </w:r>
      <w:r w:rsidR="00DF6663">
        <w:t xml:space="preserve"> UK Clinical Trials Regulations</w:t>
      </w:r>
      <w:r w:rsidR="00334118">
        <w:t xml:space="preserve"> (</w:t>
      </w:r>
      <w:hyperlink r:id="rId23" w:tooltip="The Medicines for Human Use (Clinical Trials) Regulations 2004 (as amended)" w:history="1">
        <w:r w:rsidR="00464F35">
          <w:rPr>
            <w:color w:val="0000FF"/>
            <w:u w:val="single"/>
          </w:rPr>
          <w:t>The Medicines for Human Use (Clinical Trials) Regulations 2004 (as amended)</w:t>
        </w:r>
      </w:hyperlink>
      <w:r w:rsidR="006C2451">
        <w:t>).</w:t>
      </w:r>
      <w:r w:rsidRPr="00B56CF8">
        <w:t xml:space="preserve"> </w:t>
      </w:r>
    </w:p>
    <w:p w14:paraId="3547E79A" w14:textId="77777777" w:rsidR="00B56CF8" w:rsidRPr="00B56CF8" w:rsidRDefault="00B56CF8" w:rsidP="00F354A5">
      <w:r w:rsidRPr="00B56CF8">
        <w:t>Note: No IMP manufacture/assembly/importation activities may be carried out by a CTU, or an independent investigator, unless they specifically hold a MIA(IMP).</w:t>
      </w:r>
    </w:p>
    <w:p w14:paraId="3983E060" w14:textId="52C1A5EF" w:rsidR="00F04CAB" w:rsidRDefault="00F04CAB" w:rsidP="007773B9"/>
    <w:p w14:paraId="13439560" w14:textId="77777777" w:rsidR="008440FA" w:rsidRPr="007773B9" w:rsidRDefault="008440FA" w:rsidP="007773B9">
      <w:r>
        <w:br w:type="page"/>
      </w:r>
    </w:p>
    <w:p w14:paraId="5CF6AA74" w14:textId="77777777" w:rsidR="0029339E" w:rsidRDefault="0029339E" w:rsidP="0029339E">
      <w:pPr>
        <w:pStyle w:val="Heading1"/>
      </w:pPr>
      <w:bookmarkStart w:id="16" w:name="_Toc214623577"/>
      <w:r>
        <w:lastRenderedPageBreak/>
        <w:t>Process map</w:t>
      </w:r>
      <w:bookmarkEnd w:id="16"/>
    </w:p>
    <w:p w14:paraId="414D436F" w14:textId="6DA802DC" w:rsidR="0029339E" w:rsidRDefault="004A4FF8" w:rsidP="007B0EA9">
      <w:r>
        <w:t xml:space="preserve">The process map below outlines the keys steps </w:t>
      </w:r>
      <w:r w:rsidR="00037A9C">
        <w:t>descri</w:t>
      </w:r>
      <w:r w:rsidR="000650E5">
        <w:t>bed</w:t>
      </w:r>
      <w:r w:rsidR="00037A9C">
        <w:t xml:space="preserve"> in the procedure section. </w:t>
      </w:r>
    </w:p>
    <w:p w14:paraId="336CE21A" w14:textId="5F1B554F" w:rsidR="00260F99" w:rsidRDefault="00E20691" w:rsidP="007B0EA9">
      <w:r>
        <w:object w:dxaOrig="10350" w:dyaOrig="11565" w14:anchorId="557E2D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rocess map outlining the steps detailed in the document (part 1 of 2)." style="width:453.6pt;height:7in" o:ole="">
            <v:imagedata r:id="rId24" o:title=""/>
          </v:shape>
          <o:OLEObject Type="Embed" ProgID="Visio.Drawing.15" ShapeID="_x0000_i1025" DrawAspect="Content" ObjectID="_1826785083" r:id="rId25"/>
        </w:object>
      </w:r>
    </w:p>
    <w:p w14:paraId="1ACEF7A0" w14:textId="34B6DEA2" w:rsidR="004609F4" w:rsidRPr="007B0EA9" w:rsidRDefault="00E20691" w:rsidP="004609F4">
      <w:pPr>
        <w:jc w:val="center"/>
      </w:pPr>
      <w:r>
        <w:object w:dxaOrig="10350" w:dyaOrig="8641" w14:anchorId="2F38C0CA">
          <v:shape id="_x0000_i1026" type="#_x0000_t75" alt="Process map outlining the steps detailed in the document (part 2 of 2)." style="width:453.6pt;height:374.4pt" o:ole="">
            <v:imagedata r:id="rId26" o:title=""/>
          </v:shape>
          <o:OLEObject Type="Embed" ProgID="Visio.Drawing.15" ShapeID="_x0000_i1026" DrawAspect="Content" ObjectID="_1826785084" r:id="rId27"/>
        </w:object>
      </w:r>
    </w:p>
    <w:p w14:paraId="506D2D01" w14:textId="77777777" w:rsidR="005A50E8" w:rsidRDefault="005A50E8">
      <w:pPr>
        <w:spacing w:before="0" w:after="200" w:line="276" w:lineRule="auto"/>
        <w:jc w:val="left"/>
        <w:rPr>
          <w:rFonts w:asciiTheme="minorHAnsi" w:hAnsiTheme="minorHAnsi" w:cstheme="minorHAnsi"/>
          <w:b/>
          <w:caps/>
          <w:color w:val="1F497D" w:themeColor="text2"/>
          <w:kern w:val="32"/>
          <w:sz w:val="28"/>
          <w:szCs w:val="28"/>
        </w:rPr>
      </w:pPr>
      <w:r>
        <w:br w:type="page"/>
      </w:r>
    </w:p>
    <w:p w14:paraId="1E46D198" w14:textId="3BEEBA48" w:rsidR="00E22773" w:rsidRDefault="00C3647F" w:rsidP="00D27F72">
      <w:pPr>
        <w:pStyle w:val="Heading1"/>
      </w:pPr>
      <w:bookmarkStart w:id="17" w:name="_Toc214623578"/>
      <w:r w:rsidRPr="00435EAE">
        <w:lastRenderedPageBreak/>
        <w:t>Procedure</w:t>
      </w:r>
      <w:bookmarkEnd w:id="17"/>
    </w:p>
    <w:p w14:paraId="1DE376FB" w14:textId="748E617A" w:rsidR="00C62D7F" w:rsidRDefault="001460A9" w:rsidP="00F04CAB">
      <w:pPr>
        <w:pStyle w:val="PN1"/>
      </w:pPr>
      <w:bookmarkStart w:id="18" w:name="_Toc214623579"/>
      <w:bookmarkStart w:id="19" w:name="_Hlk78457132"/>
      <w:r>
        <w:t>P</w:t>
      </w:r>
      <w:r w:rsidR="00B56CF8">
        <w:t>roject classification</w:t>
      </w:r>
      <w:bookmarkEnd w:id="18"/>
    </w:p>
    <w:p w14:paraId="5F08DE46" w14:textId="583C2F67" w:rsidR="00B56CF8" w:rsidRDefault="00B56CF8" w:rsidP="00B56CF8">
      <w:pPr>
        <w:pStyle w:val="PN11"/>
      </w:pPr>
      <w:bookmarkStart w:id="20" w:name="_Hlk78457159"/>
      <w:r w:rsidRPr="00B56CF8">
        <w:t xml:space="preserve">The CI (or delegate) will determine whether the medicinal product is an IMP and whether the project is classified as a CTIMP or ATIMP. Refer to the </w:t>
      </w:r>
      <w:r w:rsidRPr="00DF405E">
        <w:rPr>
          <w:rStyle w:val="DocrefChar"/>
        </w:rPr>
        <w:t>UoB Clinical Research Definitions</w:t>
      </w:r>
      <w:r w:rsidR="006B15E2" w:rsidRPr="00DF405E">
        <w:rPr>
          <w:rStyle w:val="DocrefChar"/>
        </w:rPr>
        <w:t xml:space="preserve"> (UoB-DEF-POL-001)</w:t>
      </w:r>
      <w:r w:rsidRPr="00B56CF8">
        <w:t xml:space="preserve">.  </w:t>
      </w:r>
    </w:p>
    <w:p w14:paraId="4A2DB7DE" w14:textId="19E76BB8" w:rsidR="00B56CF8" w:rsidRDefault="00B56CF8" w:rsidP="00B56CF8">
      <w:pPr>
        <w:pStyle w:val="PN1"/>
      </w:pPr>
      <w:bookmarkStart w:id="21" w:name="_Toc214623580"/>
      <w:bookmarkEnd w:id="19"/>
      <w:r>
        <w:t xml:space="preserve">During </w:t>
      </w:r>
      <w:r w:rsidR="00FD62E3">
        <w:t>project</w:t>
      </w:r>
      <w:r>
        <w:t xml:space="preserve"> setup</w:t>
      </w:r>
      <w:bookmarkEnd w:id="21"/>
    </w:p>
    <w:p w14:paraId="4A561802" w14:textId="2A1CF88C" w:rsidR="00B56CF8" w:rsidRPr="00B56CF8" w:rsidRDefault="00D82326" w:rsidP="00B56CF8">
      <w:pPr>
        <w:pStyle w:val="Heading3"/>
      </w:pPr>
      <w:bookmarkStart w:id="22" w:name="_Toc214623581"/>
      <w:r>
        <w:t>P</w:t>
      </w:r>
      <w:r w:rsidR="00B56CF8">
        <w:t>roject design and protocol development</w:t>
      </w:r>
      <w:bookmarkEnd w:id="22"/>
    </w:p>
    <w:bookmarkEnd w:id="20"/>
    <w:p w14:paraId="5C10AB75" w14:textId="5E1C2A6A" w:rsidR="00B56CF8" w:rsidRPr="00B56CF8" w:rsidRDefault="00B56CF8" w:rsidP="00B56CF8">
      <w:pPr>
        <w:pStyle w:val="PN11"/>
      </w:pPr>
      <w:r w:rsidRPr="00B56CF8">
        <w:t>The CI (or delegate) will design the project and develop the protocol for medicinal-product management, covering the aspects listed below.</w:t>
      </w:r>
    </w:p>
    <w:p w14:paraId="068E7CA0" w14:textId="77777777" w:rsidR="00B56CF8" w:rsidRPr="00B56CF8" w:rsidRDefault="00B56CF8" w:rsidP="00B56CF8">
      <w:pPr>
        <w:pStyle w:val="PB1"/>
      </w:pPr>
      <w:r w:rsidRPr="00B56CF8">
        <w:t>Details of all medicinal products being used.</w:t>
      </w:r>
    </w:p>
    <w:p w14:paraId="234FC6CA" w14:textId="77777777" w:rsidR="00B56CF8" w:rsidRPr="00B56CF8" w:rsidRDefault="00B56CF8" w:rsidP="00B56CF8">
      <w:pPr>
        <w:pStyle w:val="PB2"/>
      </w:pPr>
      <w:r w:rsidRPr="00B56CF8">
        <w:t xml:space="preserve">A description of the medicinal product (including components) and justification for its choice. </w:t>
      </w:r>
    </w:p>
    <w:p w14:paraId="468A03DB" w14:textId="77777777" w:rsidR="00B56CF8" w:rsidRPr="00B56CF8" w:rsidRDefault="00B56CF8" w:rsidP="00B56CF8">
      <w:pPr>
        <w:pStyle w:val="PB2"/>
      </w:pPr>
      <w:r w:rsidRPr="00B56CF8">
        <w:t>Clear instructions with respect to dose, dose schedules and dose regime.</w:t>
      </w:r>
    </w:p>
    <w:p w14:paraId="37C2C58C" w14:textId="77777777" w:rsidR="00B56CF8" w:rsidRPr="00B56CF8" w:rsidRDefault="00B56CF8" w:rsidP="00B56CF8">
      <w:pPr>
        <w:pStyle w:val="PB2"/>
      </w:pPr>
      <w:r w:rsidRPr="00B56CF8">
        <w:t>A description of the delivery method (e.g. tablet, liquid), and mode of administration.</w:t>
      </w:r>
    </w:p>
    <w:p w14:paraId="46214F4B" w14:textId="77777777" w:rsidR="00B56CF8" w:rsidRPr="00B56CF8" w:rsidRDefault="00B56CF8" w:rsidP="00B56CF8">
      <w:pPr>
        <w:pStyle w:val="PB2"/>
      </w:pPr>
      <w:r w:rsidRPr="00B56CF8">
        <w:t>The packaging and labelling of the medicinal product.</w:t>
      </w:r>
    </w:p>
    <w:p w14:paraId="06EBDC5F" w14:textId="77777777" w:rsidR="00B56CF8" w:rsidRPr="00B56CF8" w:rsidRDefault="00B56CF8" w:rsidP="00B56CF8">
      <w:pPr>
        <w:pStyle w:val="PB2"/>
      </w:pPr>
      <w:r w:rsidRPr="00B56CF8">
        <w:t xml:space="preserve">Medicinal-product ordering. </w:t>
      </w:r>
    </w:p>
    <w:p w14:paraId="2171E01C" w14:textId="77777777" w:rsidR="00B56CF8" w:rsidRPr="00B56CF8" w:rsidRDefault="00B56CF8" w:rsidP="00B56CF8">
      <w:pPr>
        <w:pStyle w:val="PB2"/>
      </w:pPr>
      <w:r w:rsidRPr="00B56CF8">
        <w:t>The transportation and storage of the medicinal product.</w:t>
      </w:r>
    </w:p>
    <w:p w14:paraId="28AF6379" w14:textId="799403AA" w:rsidR="00B56CF8" w:rsidRPr="00B56CF8" w:rsidRDefault="00B56CF8" w:rsidP="00B56CF8">
      <w:pPr>
        <w:pStyle w:val="PB2"/>
      </w:pPr>
      <w:r w:rsidRPr="00B56CF8">
        <w:t>Where relevant, the medicinal product’s brand name. This is to ensure the same medicinal product is tested throughout the project, as different brands of certain drugs can exhibit different bioavailability (e.g. ciclosporin).</w:t>
      </w:r>
    </w:p>
    <w:p w14:paraId="6B87CF81" w14:textId="77777777" w:rsidR="00B56CF8" w:rsidRPr="00B56CF8" w:rsidRDefault="00B56CF8" w:rsidP="00B56CF8">
      <w:pPr>
        <w:pStyle w:val="PB1"/>
      </w:pPr>
      <w:r w:rsidRPr="00B56CF8">
        <w:t>Information, or reference to pre-existing information (e.g. pharmacy manual), regarding:</w:t>
      </w:r>
    </w:p>
    <w:p w14:paraId="54306AB1" w14:textId="3E5D84D2" w:rsidR="00B56CF8" w:rsidRPr="00B56CF8" w:rsidRDefault="00B56CF8" w:rsidP="00B56CF8">
      <w:pPr>
        <w:pStyle w:val="PB2"/>
      </w:pPr>
      <w:r w:rsidRPr="00B56CF8">
        <w:t xml:space="preserve">medicinal-product accountability </w:t>
      </w:r>
    </w:p>
    <w:p w14:paraId="6079F89E" w14:textId="0E4ED99C" w:rsidR="00B56CF8" w:rsidRPr="00B56CF8" w:rsidRDefault="00B56CF8" w:rsidP="00B56CF8">
      <w:pPr>
        <w:pStyle w:val="PB2"/>
      </w:pPr>
      <w:r w:rsidRPr="00B56CF8">
        <w:t xml:space="preserve">implementation and maintenance of blinding (if applicable, see </w:t>
      </w:r>
      <w:bookmarkStart w:id="23" w:name="_Hlk78446046"/>
      <w:r w:rsidRPr="00DF405E">
        <w:rPr>
          <w:rStyle w:val="DocrefChar"/>
        </w:rPr>
        <w:t>Randomisation and Blinding</w:t>
      </w:r>
      <w:bookmarkEnd w:id="23"/>
      <w:r w:rsidR="00B8167F" w:rsidRPr="00DF405E">
        <w:rPr>
          <w:rStyle w:val="DocrefChar"/>
        </w:rPr>
        <w:t xml:space="preserve"> SOP (UoB-RND-SOP-001)</w:t>
      </w:r>
      <w:r w:rsidRPr="00B56CF8">
        <w:t>)</w:t>
      </w:r>
    </w:p>
    <w:p w14:paraId="4243A9F4" w14:textId="77777777" w:rsidR="00B56CF8" w:rsidRPr="00B56CF8" w:rsidRDefault="00B56CF8" w:rsidP="00B56CF8">
      <w:pPr>
        <w:pStyle w:val="PB2"/>
      </w:pPr>
      <w:r w:rsidRPr="00B56CF8">
        <w:t>plan for compliance monitoring.</w:t>
      </w:r>
    </w:p>
    <w:p w14:paraId="38DBC657" w14:textId="6C56A20E" w:rsidR="00B56CF8" w:rsidRPr="00B56CF8" w:rsidRDefault="00B56CF8" w:rsidP="00B56CF8">
      <w:pPr>
        <w:pStyle w:val="PB1"/>
      </w:pPr>
      <w:r w:rsidRPr="00B56CF8">
        <w:t xml:space="preserve">The end of the project is clearly defined as well as the follow-up period for the participants especially if this is to continue after the end of the project. </w:t>
      </w:r>
    </w:p>
    <w:p w14:paraId="6254C322" w14:textId="63EED933" w:rsidR="00B56CF8" w:rsidRPr="00B56CF8" w:rsidRDefault="00B56CF8" w:rsidP="00B56CF8">
      <w:pPr>
        <w:pStyle w:val="PB1"/>
      </w:pPr>
      <w:r w:rsidRPr="00B56CF8">
        <w:t xml:space="preserve">For CTIMPs and ATIMPs only: a list of IMPs, ATMPs and NIMPs with a statement on the authorised status of each product, along with their proposed use, as included in the trial’s CTA application. For unauthorised NIMPs, a justification for use in the trial will be included.  </w:t>
      </w:r>
    </w:p>
    <w:p w14:paraId="62AC3C96" w14:textId="5293D611" w:rsidR="001D4BC5" w:rsidRPr="001D4BC5" w:rsidRDefault="001D4BC5" w:rsidP="001D4BC5">
      <w:pPr>
        <w:pStyle w:val="PN11"/>
      </w:pPr>
      <w:r w:rsidRPr="001D4BC5">
        <w:t xml:space="preserve">The CI (or delegate) will document medicinal-product management in the risk assessment (see </w:t>
      </w:r>
      <w:r w:rsidRPr="00DF405E">
        <w:rPr>
          <w:rStyle w:val="DocrefChar"/>
        </w:rPr>
        <w:t>Project Oversight and Quality Management</w:t>
      </w:r>
      <w:r w:rsidR="006C7333" w:rsidRPr="00DF405E">
        <w:rPr>
          <w:rStyle w:val="DocrefChar"/>
        </w:rPr>
        <w:t xml:space="preserve"> SOP (UoB-POS-SOP-001)</w:t>
      </w:r>
      <w:r w:rsidRPr="001D4BC5">
        <w:t xml:space="preserve"> and </w:t>
      </w:r>
      <w:bookmarkStart w:id="24" w:name="_Hlk95315305"/>
      <w:r w:rsidRPr="00DF405E">
        <w:rPr>
          <w:rStyle w:val="DocrefChar"/>
        </w:rPr>
        <w:t xml:space="preserve">Risk Assessment </w:t>
      </w:r>
      <w:bookmarkEnd w:id="24"/>
      <w:r w:rsidRPr="00DF405E">
        <w:rPr>
          <w:rStyle w:val="DocrefChar"/>
        </w:rPr>
        <w:t>Report</w:t>
      </w:r>
      <w:r w:rsidR="006C7333" w:rsidRPr="00DF405E">
        <w:rPr>
          <w:rStyle w:val="DocrefChar"/>
        </w:rPr>
        <w:t xml:space="preserve"> (UoB-POS-QCD-001)</w:t>
      </w:r>
      <w:r w:rsidRPr="001D4BC5">
        <w:t xml:space="preserve">). </w:t>
      </w:r>
      <w:r w:rsidR="008A13D8">
        <w:t>The list below are examples of the questions</w:t>
      </w:r>
      <w:r w:rsidR="00823A05">
        <w:t xml:space="preserve"> that may be relevant to</w:t>
      </w:r>
      <w:r w:rsidR="008A13D8">
        <w:t xml:space="preserve"> considered w</w:t>
      </w:r>
      <w:r w:rsidRPr="001D4BC5">
        <w:t>hen carrying out the risk assessment.</w:t>
      </w:r>
    </w:p>
    <w:p w14:paraId="049D3DA2" w14:textId="77777777" w:rsidR="001D4BC5" w:rsidRPr="001D4BC5" w:rsidRDefault="001D4BC5" w:rsidP="001D4BC5">
      <w:pPr>
        <w:pStyle w:val="PB1"/>
      </w:pPr>
      <w:r w:rsidRPr="001D4BC5">
        <w:t>How will the medicinal product be sourced?</w:t>
      </w:r>
    </w:p>
    <w:p w14:paraId="1F521BFD" w14:textId="77777777" w:rsidR="001D4BC5" w:rsidRPr="001D4BC5" w:rsidRDefault="001D4BC5" w:rsidP="001D4BC5">
      <w:pPr>
        <w:pStyle w:val="PB1"/>
      </w:pPr>
      <w:r w:rsidRPr="001D4BC5">
        <w:t>Does the medicinal product have any special handling restrictions?</w:t>
      </w:r>
    </w:p>
    <w:p w14:paraId="2C086BDD" w14:textId="77777777" w:rsidR="001D4BC5" w:rsidRPr="001D4BC5" w:rsidRDefault="001D4BC5" w:rsidP="001D4BC5">
      <w:pPr>
        <w:pStyle w:val="PB1"/>
      </w:pPr>
      <w:r w:rsidRPr="001D4BC5">
        <w:t>Does the medicinal product require temperature monitoring?</w:t>
      </w:r>
    </w:p>
    <w:p w14:paraId="5A1EC48A" w14:textId="77777777" w:rsidR="001D4BC5" w:rsidRPr="001D4BC5" w:rsidRDefault="001D4BC5" w:rsidP="001D4BC5">
      <w:pPr>
        <w:pStyle w:val="PB1"/>
      </w:pPr>
      <w:r w:rsidRPr="001D4BC5">
        <w:t>What transport and storage arrangements are in place for the medicinal product?</w:t>
      </w:r>
    </w:p>
    <w:p w14:paraId="6966D85E" w14:textId="77777777" w:rsidR="001D4BC5" w:rsidRPr="001D4BC5" w:rsidRDefault="001D4BC5" w:rsidP="00BD434C">
      <w:pPr>
        <w:pStyle w:val="PB1"/>
      </w:pPr>
      <w:r w:rsidRPr="001D4BC5">
        <w:t>What medicinal-product management experience and qualifications do research staff have?</w:t>
      </w:r>
    </w:p>
    <w:p w14:paraId="2987801E" w14:textId="77777777" w:rsidR="001D4BC5" w:rsidRPr="001D4BC5" w:rsidRDefault="001D4BC5" w:rsidP="00BD434C">
      <w:pPr>
        <w:pStyle w:val="PB1"/>
      </w:pPr>
      <w:r w:rsidRPr="001D4BC5">
        <w:t xml:space="preserve">Where will the medicinal product be administered to participants? </w:t>
      </w:r>
    </w:p>
    <w:p w14:paraId="4E4ABCF0" w14:textId="63C5991D" w:rsidR="001D4BC5" w:rsidRPr="001D4BC5" w:rsidRDefault="001D4BC5" w:rsidP="00BD434C">
      <w:pPr>
        <w:pStyle w:val="PB1"/>
      </w:pPr>
      <w:r w:rsidRPr="001D4BC5">
        <w:t>Is the project running in the EU?</w:t>
      </w:r>
    </w:p>
    <w:p w14:paraId="2693CCD6" w14:textId="44E9FC46" w:rsidR="001D4BC5" w:rsidRPr="001D4BC5" w:rsidRDefault="001D4BC5" w:rsidP="00B050E2">
      <w:pPr>
        <w:pStyle w:val="PB1"/>
      </w:pPr>
      <w:r w:rsidRPr="001D4BC5">
        <w:t>Is the project running in Northern Ireland and importing medicinal products from Great Britain?</w:t>
      </w:r>
      <w:r w:rsidR="008A13D8">
        <w:t xml:space="preserve"> </w:t>
      </w:r>
      <w:r w:rsidRPr="001D4BC5">
        <w:t xml:space="preserve">If yes, </w:t>
      </w:r>
      <w:r w:rsidR="008A13D8">
        <w:t xml:space="preserve">see the MHRA guidance on </w:t>
      </w:r>
      <w:hyperlink r:id="rId28" w:tooltip="MHRA guidance on supplying authorised medicines to Northern Ireland" w:history="1">
        <w:r w:rsidR="008A13D8" w:rsidRPr="008A13D8">
          <w:rPr>
            <w:rStyle w:val="Hyperlink"/>
          </w:rPr>
          <w:t>supplying authorised medicines to Northern Ireland</w:t>
        </w:r>
      </w:hyperlink>
      <w:r w:rsidRPr="001D4BC5">
        <w:t>.</w:t>
      </w:r>
    </w:p>
    <w:p w14:paraId="0F25E412" w14:textId="2E8FE93E" w:rsidR="001D4BC5" w:rsidRPr="001D4BC5" w:rsidRDefault="001D4BC5" w:rsidP="00B050E2">
      <w:pPr>
        <w:ind w:firstLine="567"/>
      </w:pPr>
      <w:r w:rsidRPr="001D4BC5">
        <w:t>In addition, the issues</w:t>
      </w:r>
      <w:r w:rsidR="00266C21">
        <w:t xml:space="preserve"> listed below</w:t>
      </w:r>
      <w:r w:rsidRPr="001D4BC5">
        <w:t xml:space="preserve"> should be considered for CTIMPs and ATIMPs.</w:t>
      </w:r>
    </w:p>
    <w:p w14:paraId="3BAB2E1A" w14:textId="77777777" w:rsidR="001D4BC5" w:rsidRPr="001D4BC5" w:rsidRDefault="001D4BC5" w:rsidP="00B050E2">
      <w:pPr>
        <w:pStyle w:val="PB1"/>
      </w:pPr>
      <w:r w:rsidRPr="001D4BC5">
        <w:t>Is the IMP licensed, is it licensed for use within the UK, and is it being used in accordance with the license?</w:t>
      </w:r>
    </w:p>
    <w:p w14:paraId="311471B0" w14:textId="77777777" w:rsidR="001D4BC5" w:rsidRDefault="001D4BC5" w:rsidP="00B050E2">
      <w:pPr>
        <w:pStyle w:val="PB1"/>
      </w:pPr>
      <w:r w:rsidRPr="001D4BC5">
        <w:t>Will an approved list of brands be created?</w:t>
      </w:r>
    </w:p>
    <w:p w14:paraId="7B2EEDC1" w14:textId="77777777" w:rsidR="000B204E" w:rsidRPr="000B204E" w:rsidRDefault="000B204E" w:rsidP="00B050E2">
      <w:pPr>
        <w:pStyle w:val="PB1"/>
      </w:pPr>
      <w:r w:rsidRPr="000B204E">
        <w:t>Will generics be used?</w:t>
      </w:r>
    </w:p>
    <w:p w14:paraId="5264034B" w14:textId="77777777" w:rsidR="000B204E" w:rsidRPr="000B204E" w:rsidRDefault="000B204E" w:rsidP="00B050E2">
      <w:pPr>
        <w:pStyle w:val="PB1"/>
      </w:pPr>
      <w:r w:rsidRPr="000B204E">
        <w:t>Is IMP management achievable locally, or will a vendor be appointed?</w:t>
      </w:r>
    </w:p>
    <w:p w14:paraId="61DF2996" w14:textId="52247900" w:rsidR="000B204E" w:rsidRPr="000B204E" w:rsidRDefault="000B204E" w:rsidP="00B050E2">
      <w:pPr>
        <w:pStyle w:val="PB1"/>
      </w:pPr>
      <w:r w:rsidRPr="000B204E">
        <w:lastRenderedPageBreak/>
        <w:t>What level of IMP accountability will be used? Refer to the joint paper from the Medical Research Council / Department of Health / Medical Healthcare Regulatory Agency’s (MHRA) ‘</w:t>
      </w:r>
      <w:hyperlink r:id="rId29" w:tooltip="Link to MRC/DH/MHRA's paper titled 'Risk-adapted approaches to the management of clinical trials of Investigational medicinal products'." w:history="1">
        <w:r w:rsidRPr="000B204E">
          <w:rPr>
            <w:color w:val="0000FF"/>
            <w:u w:val="single"/>
          </w:rPr>
          <w:t>Risk-adapted approaches to the management of clinical trials of investigational medicinal product</w:t>
        </w:r>
        <w:r w:rsidR="00CB1F82">
          <w:rPr>
            <w:color w:val="0000FF"/>
            <w:u w:val="single"/>
          </w:rPr>
          <w:t>s</w:t>
        </w:r>
      </w:hyperlink>
      <w:r w:rsidR="006A26B5">
        <w:t xml:space="preserve">’ </w:t>
      </w:r>
      <w:r w:rsidR="003516FC">
        <w:t>(PDF – 4.5 MB)</w:t>
      </w:r>
      <w:r w:rsidRPr="000B204E">
        <w:t>.</w:t>
      </w:r>
    </w:p>
    <w:p w14:paraId="494B5B6C" w14:textId="77777777" w:rsidR="000B204E" w:rsidRPr="000B204E" w:rsidRDefault="000B204E" w:rsidP="00B050E2">
      <w:pPr>
        <w:pStyle w:val="PB1"/>
      </w:pPr>
      <w:r w:rsidRPr="000B204E">
        <w:t>What level of compliance review will be conducted to ensure participants take their prescribed medicinal products?</w:t>
      </w:r>
    </w:p>
    <w:p w14:paraId="6AFF28B5" w14:textId="270C46F1" w:rsidR="000B204E" w:rsidRPr="000B204E" w:rsidRDefault="000B204E" w:rsidP="00CF6CA3">
      <w:pPr>
        <w:ind w:firstLine="567"/>
      </w:pPr>
      <w:r w:rsidRPr="000B204E">
        <w:t>For ATIMPs</w:t>
      </w:r>
      <w:r w:rsidR="00266C21">
        <w:t xml:space="preserve"> only, the items listed below may also need to be considered.</w:t>
      </w:r>
    </w:p>
    <w:p w14:paraId="59C985DD" w14:textId="57BE062A" w:rsidR="000B204E" w:rsidRPr="000B204E" w:rsidRDefault="00266C21" w:rsidP="00CF6CA3">
      <w:pPr>
        <w:pStyle w:val="PB1"/>
      </w:pPr>
      <w:r>
        <w:t xml:space="preserve">The </w:t>
      </w:r>
      <w:r w:rsidR="000B204E" w:rsidRPr="000B204E">
        <w:t>need for, duration and nature of any follow-up with participants</w:t>
      </w:r>
      <w:r>
        <w:t>.</w:t>
      </w:r>
    </w:p>
    <w:p w14:paraId="23214E85" w14:textId="4110F5E1" w:rsidR="000B204E" w:rsidRPr="000B204E" w:rsidRDefault="00266C21" w:rsidP="00CF6CA3">
      <w:pPr>
        <w:pStyle w:val="PB1"/>
      </w:pPr>
      <w:r>
        <w:t xml:space="preserve">How the </w:t>
      </w:r>
      <w:r w:rsidR="000B204E" w:rsidRPr="000B204E">
        <w:t>disposal of waste products</w:t>
      </w:r>
      <w:r>
        <w:t xml:space="preserve"> will be management.</w:t>
      </w:r>
    </w:p>
    <w:p w14:paraId="4FCE18FC" w14:textId="047C8863" w:rsidR="000B204E" w:rsidRDefault="00266C21" w:rsidP="00CF6CA3">
      <w:pPr>
        <w:pStyle w:val="PB1"/>
      </w:pPr>
      <w:r>
        <w:t>The n</w:t>
      </w:r>
      <w:r w:rsidR="000B204E" w:rsidRPr="000B204E">
        <w:t>eed to perform an environmental risk assessment if viral vectors are used.</w:t>
      </w:r>
    </w:p>
    <w:p w14:paraId="0451C40F" w14:textId="620E7CE7" w:rsidR="00216805" w:rsidRDefault="00981635" w:rsidP="00216805">
      <w:pPr>
        <w:pStyle w:val="PN11"/>
      </w:pPr>
      <w:r>
        <w:t>For blinded projects, the CI (or delegate) will a</w:t>
      </w:r>
      <w:r w:rsidRPr="00981635">
        <w:t xml:space="preserve">dequately detail </w:t>
      </w:r>
      <w:r>
        <w:t xml:space="preserve">the </w:t>
      </w:r>
      <w:r w:rsidRPr="00981635">
        <w:t xml:space="preserve">risks and mitigations associated with blinding in the </w:t>
      </w:r>
      <w:r>
        <w:t>r</w:t>
      </w:r>
      <w:r w:rsidRPr="00981635">
        <w:t xml:space="preserve">isk </w:t>
      </w:r>
      <w:r>
        <w:t>a</w:t>
      </w:r>
      <w:r w:rsidRPr="00981635">
        <w:t>ssessment</w:t>
      </w:r>
      <w:r>
        <w:t>.</w:t>
      </w:r>
      <w:r w:rsidRPr="00981635">
        <w:t xml:space="preserve"> This </w:t>
      </w:r>
      <w:r>
        <w:t>will</w:t>
      </w:r>
      <w:r w:rsidRPr="00981635">
        <w:t xml:space="preserve"> cover specific risks related to the blinding methods and ability to maintain the blind throughout the trial</w:t>
      </w:r>
      <w:r w:rsidR="00216805">
        <w:t xml:space="preserve">. If applicable, this will also include where a trial location (under Regulation 37 exemption) carries out IMP assembly activities. </w:t>
      </w:r>
    </w:p>
    <w:p w14:paraId="441AEB1D" w14:textId="30345DC8" w:rsidR="000B204E" w:rsidRPr="000B204E" w:rsidRDefault="000B204E" w:rsidP="000B204E">
      <w:pPr>
        <w:pStyle w:val="PN11"/>
      </w:pPr>
      <w:r w:rsidRPr="000B204E">
        <w:t xml:space="preserve">The CI (or delegate) will ensure that individuals working on activities relating to medicinal-product management are appropriately trained and qualified. See also </w:t>
      </w:r>
      <w:r w:rsidRPr="002C0D4C">
        <w:rPr>
          <w:rStyle w:val="DocrefChar"/>
          <w:color w:val="1F497D"/>
        </w:rPr>
        <w:t>Training</w:t>
      </w:r>
      <w:r w:rsidR="00F80808" w:rsidRPr="00412F8B">
        <w:rPr>
          <w:rStyle w:val="DocrefChar"/>
        </w:rPr>
        <w:t xml:space="preserve"> SOP (UoB-TRN-SOP-001)</w:t>
      </w:r>
      <w:r w:rsidRPr="000B204E">
        <w:t xml:space="preserve">. </w:t>
      </w:r>
    </w:p>
    <w:p w14:paraId="32B81C7F" w14:textId="2C87446F" w:rsidR="000B204E" w:rsidRDefault="000B204E" w:rsidP="000B204E">
      <w:pPr>
        <w:pStyle w:val="PB1"/>
      </w:pPr>
      <w:r w:rsidRPr="000B204E">
        <w:t>Where ATMPs are used the medical care given, and the medical decisions made, must be by a medically qualified doctor or dentist.</w:t>
      </w:r>
    </w:p>
    <w:p w14:paraId="2997DD73" w14:textId="40575987" w:rsidR="00517B3F" w:rsidRDefault="000B204E" w:rsidP="00517B3F">
      <w:pPr>
        <w:pStyle w:val="PN11"/>
      </w:pPr>
      <w:r w:rsidRPr="000B204E">
        <w:t xml:space="preserve">The CI (or delegate) will obtain the summary of product characteristics (SmPC) if the medicinal product is being used in accordance with the terms of the marketing authorisation. When the conditions of use in the project significantly differ from those authorised, it is expected that the SmPC will be complemented with a summary of relevant data. The summary should support the use of the medicinal product in the </w:t>
      </w:r>
      <w:r w:rsidR="00CF6CA3" w:rsidRPr="000B204E">
        <w:t>project and</w:t>
      </w:r>
      <w:r w:rsidRPr="000B204E">
        <w:t xml:space="preserve"> may be incorporated into the protocol. It is expected that any additional information to support the medicinal product’s use will be included within the protocol (as detailed in </w:t>
      </w:r>
      <w:r w:rsidR="00DC43AB">
        <w:t xml:space="preserve">procedure </w:t>
      </w:r>
      <w:r w:rsidRPr="000B204E">
        <w:t>2</w:t>
      </w:r>
      <w:r w:rsidR="005D170C">
        <w:t>.1</w:t>
      </w:r>
      <w:r w:rsidRPr="000B204E">
        <w:t>).</w:t>
      </w:r>
    </w:p>
    <w:p w14:paraId="1A58FB8B" w14:textId="468F7323" w:rsidR="00517B3F" w:rsidRDefault="00517B3F" w:rsidP="00517B3F">
      <w:pPr>
        <w:pStyle w:val="PN11"/>
      </w:pPr>
      <w:r w:rsidRPr="00517B3F">
        <w:t>For CTIMPs and ATIMPs, the CI (or delegate) will create an investigator’s brochure (IB)</w:t>
      </w:r>
      <w:r w:rsidR="00D75C68">
        <w:t xml:space="preserve"> or obtain the IB from</w:t>
      </w:r>
      <w:r w:rsidR="00184F77">
        <w:t xml:space="preserve"> the manufacturer, as appropriate</w:t>
      </w:r>
      <w:r w:rsidRPr="00517B3F">
        <w:t xml:space="preserve">. See also </w:t>
      </w:r>
      <w:r w:rsidRPr="00412F8B">
        <w:rPr>
          <w:rStyle w:val="DocrefChar"/>
        </w:rPr>
        <w:t>Essential Documents Development and Maintenance</w:t>
      </w:r>
      <w:r w:rsidR="00E972B6" w:rsidRPr="00412F8B">
        <w:rPr>
          <w:rStyle w:val="DocrefChar"/>
        </w:rPr>
        <w:t xml:space="preserve"> SOP (UoB-ESD-SOP-001)</w:t>
      </w:r>
      <w:r w:rsidRPr="00517B3F">
        <w:t>.</w:t>
      </w:r>
    </w:p>
    <w:p w14:paraId="5F4FCBB4" w14:textId="523522DE" w:rsidR="00517B3F" w:rsidRPr="00517B3F" w:rsidRDefault="00517B3F" w:rsidP="00517B3F">
      <w:pPr>
        <w:pStyle w:val="PN11"/>
      </w:pPr>
      <w:r w:rsidRPr="00517B3F">
        <w:t>The CI (or delegate) will ensure a process is established for obtaining and documenting any medicinal-product alerts, or updates to the SmPC or IB, as appropriate.</w:t>
      </w:r>
    </w:p>
    <w:p w14:paraId="5786C9A4" w14:textId="2A8C5E83" w:rsidR="00D50813" w:rsidRDefault="00517B3F" w:rsidP="00C559A4">
      <w:pPr>
        <w:pStyle w:val="PB1"/>
      </w:pPr>
      <w:r w:rsidRPr="00517B3F">
        <w:t>Where the medicinal product is being supplied by the manufacturer, it is expected that it will be the responsibility of the medicinal-product supplier (as outlined in a contractual agreement) to notify the CI/CTU of any updates to the SmPC/IB.</w:t>
      </w:r>
    </w:p>
    <w:p w14:paraId="4289A172" w14:textId="12DD86BD" w:rsidR="00C66061" w:rsidRDefault="00517B3F" w:rsidP="0060586E">
      <w:pPr>
        <w:pStyle w:val="PB1"/>
      </w:pPr>
      <w:r w:rsidRPr="00517B3F">
        <w:t xml:space="preserve">Where the above is not applicable, the CI (or delegate) will develop a process to ensure checks for updates to the SmPC/IB are made with evidence of at least yearly checks being conducted. </w:t>
      </w:r>
    </w:p>
    <w:p w14:paraId="059AABA2" w14:textId="6682BB39" w:rsidR="00517B3F" w:rsidRPr="00517B3F" w:rsidRDefault="00517B3F" w:rsidP="00C66061">
      <w:pPr>
        <w:pStyle w:val="PN11"/>
      </w:pPr>
      <w:r w:rsidRPr="00517B3F">
        <w:t>For ATIMPs, the CI (or delegate) will ensure that an alert card for participants is developed. The CI (or delegate) will obtain approval from both the sponsor and the REC prior to use. As a minimum, the alert card will contain:</w:t>
      </w:r>
    </w:p>
    <w:p w14:paraId="19B71F53" w14:textId="77777777" w:rsidR="00517B3F" w:rsidRPr="00517B3F" w:rsidRDefault="00517B3F" w:rsidP="00C66061">
      <w:pPr>
        <w:pStyle w:val="PB1"/>
      </w:pPr>
      <w:r w:rsidRPr="00517B3F">
        <w:t xml:space="preserve">the participant’s name </w:t>
      </w:r>
    </w:p>
    <w:p w14:paraId="213972D8" w14:textId="77777777" w:rsidR="00517B3F" w:rsidRPr="00517B3F" w:rsidRDefault="00517B3F" w:rsidP="00C66061">
      <w:pPr>
        <w:pStyle w:val="PB1"/>
      </w:pPr>
      <w:r w:rsidRPr="00517B3F">
        <w:t>the investigator’s contact number</w:t>
      </w:r>
    </w:p>
    <w:p w14:paraId="33F78B15" w14:textId="77777777" w:rsidR="00517B3F" w:rsidRPr="00517B3F" w:rsidRDefault="00517B3F" w:rsidP="00C66061">
      <w:pPr>
        <w:pStyle w:val="PB1"/>
      </w:pPr>
      <w:r w:rsidRPr="00517B3F">
        <w:t>information regarding the medical treatment being received.</w:t>
      </w:r>
    </w:p>
    <w:p w14:paraId="17393E07" w14:textId="59650EF9" w:rsidR="00517B3F" w:rsidRDefault="00C66061" w:rsidP="00C66061">
      <w:pPr>
        <w:pStyle w:val="Heading3"/>
      </w:pPr>
      <w:bookmarkStart w:id="25" w:name="_Toc214623582"/>
      <w:r>
        <w:t>Responsibilities and contracts / agreements</w:t>
      </w:r>
      <w:bookmarkEnd w:id="25"/>
    </w:p>
    <w:p w14:paraId="620244F3" w14:textId="14FC3FA0" w:rsidR="00C66061" w:rsidRPr="00C66061" w:rsidRDefault="00C66061" w:rsidP="00C66061">
      <w:pPr>
        <w:pStyle w:val="PN11"/>
      </w:pPr>
      <w:r w:rsidRPr="00C66061">
        <w:t xml:space="preserve">The CI (or delegate), in collaboration with </w:t>
      </w:r>
      <w:r w:rsidR="0036563E">
        <w:t>REGI</w:t>
      </w:r>
      <w:r w:rsidRPr="00C66061">
        <w:t>, will define the division of responsibilities between the medicinal-product supplier and the sponsor. The agreement will include details of a number of relevant considerations.</w:t>
      </w:r>
    </w:p>
    <w:p w14:paraId="0C1BFE1D" w14:textId="77777777" w:rsidR="00C66061" w:rsidRPr="00C66061" w:rsidRDefault="00C66061" w:rsidP="00CF6CA3">
      <w:pPr>
        <w:pStyle w:val="PB1"/>
      </w:pPr>
      <w:r w:rsidRPr="00C66061">
        <w:t>Costs of the trial medication (e.g. percentage reduction, free).</w:t>
      </w:r>
    </w:p>
    <w:p w14:paraId="28F05E3A" w14:textId="77777777" w:rsidR="00C66061" w:rsidRPr="00C66061" w:rsidRDefault="00C66061" w:rsidP="00CF6CA3">
      <w:pPr>
        <w:pStyle w:val="PB1"/>
      </w:pPr>
      <w:r w:rsidRPr="00C66061">
        <w:t>Provision of advice to the sponsor regarding the medicinal product’s stability, the potential for an extension to the expiry date and associated relabelling.</w:t>
      </w:r>
    </w:p>
    <w:p w14:paraId="285B99AF" w14:textId="77777777" w:rsidR="00C66061" w:rsidRPr="00C66061" w:rsidRDefault="00C66061" w:rsidP="00CF6CA3">
      <w:pPr>
        <w:pStyle w:val="PB1"/>
      </w:pPr>
      <w:r w:rsidRPr="00C66061">
        <w:t>Responsibilities for decision making on product stability in the event of a temperature excursion.</w:t>
      </w:r>
    </w:p>
    <w:p w14:paraId="6603DE09" w14:textId="4420046C" w:rsidR="00875BD0" w:rsidRDefault="00C66061" w:rsidP="00CF6CA3">
      <w:pPr>
        <w:pStyle w:val="PB1"/>
      </w:pPr>
      <w:r w:rsidRPr="00C66061">
        <w:t>Responsibilities for QP release/certification; medicinal-product labelling, ordering and shipment; product recalls and defect reporting.</w:t>
      </w:r>
    </w:p>
    <w:p w14:paraId="1A979251" w14:textId="77777777" w:rsidR="00875BD0" w:rsidRPr="00875BD0" w:rsidRDefault="00875BD0" w:rsidP="00875BD0">
      <w:pPr>
        <w:pStyle w:val="PB1"/>
      </w:pPr>
      <w:r w:rsidRPr="00875BD0">
        <w:t>Where the supplier is the MAH, provision of safety information to the sponsor.</w:t>
      </w:r>
    </w:p>
    <w:p w14:paraId="43D4FB34" w14:textId="77777777" w:rsidR="00875BD0" w:rsidRPr="00875BD0" w:rsidRDefault="00875BD0" w:rsidP="00875BD0">
      <w:pPr>
        <w:pStyle w:val="PB1"/>
      </w:pPr>
      <w:r w:rsidRPr="00875BD0">
        <w:lastRenderedPageBreak/>
        <w:t>Responsibilities for medicinal-product accountability, reconciliation, and destruction.</w:t>
      </w:r>
    </w:p>
    <w:p w14:paraId="5CB5C232" w14:textId="77777777" w:rsidR="00875BD0" w:rsidRPr="00875BD0" w:rsidRDefault="00875BD0" w:rsidP="00875BD0">
      <w:pPr>
        <w:pStyle w:val="PB1"/>
      </w:pPr>
      <w:r w:rsidRPr="00875BD0">
        <w:t>Provision of documentation from the supplier for filing in the Study/Trial Master File (S/TMF), including drug shipment forms/overviews, certificates of analysis, QP certificates (if applicable).</w:t>
      </w:r>
    </w:p>
    <w:p w14:paraId="43E7DCDE" w14:textId="77777777" w:rsidR="00875BD0" w:rsidRPr="00875BD0" w:rsidRDefault="00875BD0" w:rsidP="00875BD0">
      <w:pPr>
        <w:pStyle w:val="PB1"/>
      </w:pPr>
      <w:r w:rsidRPr="00875BD0">
        <w:t>The required standards of service (all applicable laws, guidance, and procedures to be adhered to e.g. GMP), and the procedures for informing the sponsor of any incidence of protocol non-compliance/ serious breaches.</w:t>
      </w:r>
    </w:p>
    <w:p w14:paraId="31110F49" w14:textId="77777777" w:rsidR="00875BD0" w:rsidRPr="00875BD0" w:rsidRDefault="00875BD0" w:rsidP="00875BD0">
      <w:pPr>
        <w:pStyle w:val="PB1"/>
      </w:pPr>
      <w:r w:rsidRPr="00875BD0">
        <w:t>Any other expectations from the medicinal-product supplier.</w:t>
      </w:r>
    </w:p>
    <w:p w14:paraId="768426CD" w14:textId="77777777" w:rsidR="00875BD0" w:rsidRDefault="00875BD0" w:rsidP="00875BD0">
      <w:pPr>
        <w:pStyle w:val="PB1"/>
      </w:pPr>
      <w:r w:rsidRPr="00875BD0">
        <w:t xml:space="preserve">For ATIMPs only, the manufacturer will provide a 30-year guarantee for the maintenance of traceability systems. </w:t>
      </w:r>
    </w:p>
    <w:p w14:paraId="2C0137B5" w14:textId="3C629589" w:rsidR="00CB6604" w:rsidRDefault="00861B78" w:rsidP="00861B78">
      <w:pPr>
        <w:pStyle w:val="PN11"/>
      </w:pPr>
      <w:r w:rsidRPr="00861B78">
        <w:t xml:space="preserve">For blinded CTIMPs and ATIMPs only, </w:t>
      </w:r>
      <w:r w:rsidR="00CB6604">
        <w:t xml:space="preserve">where applicable, </w:t>
      </w:r>
      <w:r w:rsidRPr="00861B78">
        <w:t>the CI (or delegate) will ensure</w:t>
      </w:r>
      <w:r w:rsidR="00CB6604">
        <w:t>:</w:t>
      </w:r>
    </w:p>
    <w:p w14:paraId="1827C032" w14:textId="424C0FF5" w:rsidR="00CB6604" w:rsidRDefault="00861B78" w:rsidP="009F0581">
      <w:pPr>
        <w:pStyle w:val="PB1"/>
      </w:pPr>
      <w:r w:rsidRPr="00861B78">
        <w:t>the IMP is provided to the trial</w:t>
      </w:r>
      <w:r w:rsidR="00CB6604">
        <w:t xml:space="preserve"> location</w:t>
      </w:r>
      <w:r w:rsidRPr="00861B78">
        <w:t xml:space="preserve"> in a final blinded format</w:t>
      </w:r>
      <w:r w:rsidR="00CB6604">
        <w:t xml:space="preserve"> by </w:t>
      </w:r>
      <w:r w:rsidRPr="00861B78">
        <w:t>assign</w:t>
      </w:r>
      <w:r w:rsidR="00CB6604">
        <w:t>ing</w:t>
      </w:r>
      <w:r w:rsidRPr="00861B78">
        <w:t xml:space="preserve"> the IMP supplier/MAH the responsibility of blinding the IMP</w:t>
      </w:r>
      <w:r w:rsidR="00CB6604">
        <w:t xml:space="preserve"> or </w:t>
      </w:r>
      <w:r w:rsidRPr="00861B78">
        <w:t>appoint</w:t>
      </w:r>
      <w:r w:rsidR="00CB6604">
        <w:t>ing</w:t>
      </w:r>
      <w:r w:rsidRPr="00861B78">
        <w:t xml:space="preserve"> a third-party vendor to blind the IMP</w:t>
      </w:r>
      <w:r w:rsidR="00CB6604">
        <w:t>, or</w:t>
      </w:r>
    </w:p>
    <w:p w14:paraId="19092F72" w14:textId="38D96B67" w:rsidR="00861B78" w:rsidRDefault="00461A6F" w:rsidP="00461A6F">
      <w:pPr>
        <w:pStyle w:val="PB1"/>
      </w:pPr>
      <w:r>
        <w:t xml:space="preserve">that the trial location (if Regulation 37 exemption is applied) is </w:t>
      </w:r>
      <w:r w:rsidRPr="00461A6F">
        <w:t>provide</w:t>
      </w:r>
      <w:r>
        <w:t>d with</w:t>
      </w:r>
      <w:r w:rsidRPr="00461A6F">
        <w:t xml:space="preserve"> guidance or processes on how labelling </w:t>
      </w:r>
      <w:r>
        <w:t>is to</w:t>
      </w:r>
      <w:r w:rsidRPr="00461A6F">
        <w:t xml:space="preserve"> be conducted, what records should be kept </w:t>
      </w:r>
      <w:r>
        <w:t>and the</w:t>
      </w:r>
      <w:r w:rsidRPr="00461A6F">
        <w:t xml:space="preserve"> minimum GMP standards required (for example line clearance or QC checks).</w:t>
      </w:r>
    </w:p>
    <w:p w14:paraId="38AC166C" w14:textId="2A3D8AF7" w:rsidR="00AA31D6" w:rsidRPr="00AA31D6" w:rsidRDefault="00AA31D6" w:rsidP="00AA31D6">
      <w:pPr>
        <w:pStyle w:val="PN11"/>
      </w:pPr>
      <w:r w:rsidRPr="00AA31D6">
        <w:t>If a vendor is required for (elements of) medicinal-product management, the CI (or delegate) will perform a vendor assessment as detailed in</w:t>
      </w:r>
      <w:r w:rsidR="00DC70AF">
        <w:t xml:space="preserve"> the</w:t>
      </w:r>
      <w:r w:rsidRPr="00AA31D6">
        <w:t xml:space="preserve"> </w:t>
      </w:r>
      <w:r w:rsidRPr="006B0DE3">
        <w:rPr>
          <w:rStyle w:val="DocrefChar"/>
          <w:rFonts w:eastAsiaTheme="minorHAnsi"/>
        </w:rPr>
        <w:t>Compliance Review</w:t>
      </w:r>
      <w:r w:rsidR="000330F0" w:rsidRPr="006B0DE3">
        <w:rPr>
          <w:rStyle w:val="DocrefChar"/>
          <w:rFonts w:eastAsiaTheme="minorHAnsi"/>
        </w:rPr>
        <w:t xml:space="preserve"> SOP (UoB-CPR-SOP-001)</w:t>
      </w:r>
      <w:r w:rsidRPr="00AA31D6">
        <w:t>.</w:t>
      </w:r>
    </w:p>
    <w:p w14:paraId="3CE4FA90" w14:textId="77777777" w:rsidR="00AA31D6" w:rsidRDefault="00AA31D6" w:rsidP="00AA31D6">
      <w:pPr>
        <w:pStyle w:val="PB1"/>
      </w:pPr>
      <w:r w:rsidRPr="00AA31D6">
        <w:t>A technical agreement will be put in place between the sponsor and the vendor to document respective responsibilities and must include the quality standards that will be adhered to (e.g. GMP).</w:t>
      </w:r>
    </w:p>
    <w:p w14:paraId="1C2C170F" w14:textId="1434BC08" w:rsidR="00AA31D6" w:rsidRPr="00AA31D6" w:rsidRDefault="00AA31D6" w:rsidP="00AA31D6">
      <w:pPr>
        <w:pStyle w:val="PN11"/>
      </w:pPr>
      <w:r w:rsidRPr="00AA31D6">
        <w:t xml:space="preserve">The CI (or delegate) will ensure that all </w:t>
      </w:r>
      <w:bookmarkStart w:id="26" w:name="_Hlk206065349"/>
      <w:r w:rsidRPr="00AA31D6">
        <w:t xml:space="preserve">contracts and technical agreements are signed and in place before related work begins. Signed copies will be shared with </w:t>
      </w:r>
      <w:r w:rsidR="0036563E">
        <w:t>REGI</w:t>
      </w:r>
      <w:r w:rsidRPr="00AA31D6">
        <w:t xml:space="preserve">. </w:t>
      </w:r>
      <w:r w:rsidR="00D25740">
        <w:t xml:space="preserve">See </w:t>
      </w:r>
      <w:hyperlink r:id="rId30" w:history="1">
        <w:r w:rsidR="00D25740" w:rsidRPr="00D25740">
          <w:rPr>
            <w:rStyle w:val="Hyperlink"/>
          </w:rPr>
          <w:t>Contracts and Agreements</w:t>
        </w:r>
      </w:hyperlink>
      <w:r w:rsidR="00D25740">
        <w:t xml:space="preserve"> for further information, and contact the relevant </w:t>
      </w:r>
      <w:hyperlink r:id="rId31" w:history="1">
        <w:r w:rsidR="00D25740" w:rsidRPr="00D25740">
          <w:rPr>
            <w:rStyle w:val="Hyperlink"/>
          </w:rPr>
          <w:t>College Hub</w:t>
        </w:r>
      </w:hyperlink>
      <w:r w:rsidR="00D25740">
        <w:t xml:space="preserve"> </w:t>
      </w:r>
      <w:r w:rsidR="005C19EB">
        <w:t xml:space="preserve">(UoB login required) </w:t>
      </w:r>
      <w:r w:rsidR="00D25740">
        <w:t xml:space="preserve">for support. </w:t>
      </w:r>
    </w:p>
    <w:p w14:paraId="0F5F29CD" w14:textId="77777777" w:rsidR="00977C32" w:rsidRDefault="00977C32" w:rsidP="00977C32">
      <w:pPr>
        <w:pStyle w:val="Heading3"/>
      </w:pPr>
      <w:bookmarkStart w:id="27" w:name="_Toc214623583"/>
      <w:bookmarkEnd w:id="26"/>
      <w:r w:rsidRPr="00977C32">
        <w:t>Medicinal-product labelling</w:t>
      </w:r>
      <w:bookmarkEnd w:id="27"/>
    </w:p>
    <w:p w14:paraId="1A97AD0E" w14:textId="17BE8A7A" w:rsidR="00977C32" w:rsidRDefault="00977C32" w:rsidP="00977C32">
      <w:pPr>
        <w:pStyle w:val="PN11"/>
      </w:pPr>
      <w:r w:rsidRPr="00977C32">
        <w:t xml:space="preserve">The CI (or delegate) will ensure that medicinal-product labels include, as a minimum, the project reference code. This allows identification of the project and participant (and if applicable </w:t>
      </w:r>
      <w:r w:rsidR="007E0D22">
        <w:t>study/trial location</w:t>
      </w:r>
      <w:r w:rsidRPr="00977C32">
        <w:t>).</w:t>
      </w:r>
    </w:p>
    <w:p w14:paraId="04F6DFC2" w14:textId="057A734C" w:rsidR="00977C32" w:rsidRPr="00977C32" w:rsidRDefault="00977C32" w:rsidP="00977C32">
      <w:pPr>
        <w:pStyle w:val="PN11"/>
      </w:pPr>
      <w:r w:rsidRPr="00977C32">
        <w:t>Where prescription</w:t>
      </w:r>
      <w:r w:rsidR="00F33A49">
        <w:t>-</w:t>
      </w:r>
      <w:r w:rsidRPr="00977C32">
        <w:t>only medicines (POM</w:t>
      </w:r>
      <w:r w:rsidR="00F33A49">
        <w:t>s</w:t>
      </w:r>
      <w:r w:rsidRPr="00977C32">
        <w:t xml:space="preserve">) are used, the CI (or delegate) will ensure that the prescribed labelling remains visible. See also </w:t>
      </w:r>
      <w:r w:rsidR="000048F9">
        <w:t xml:space="preserve">Part 13 of </w:t>
      </w:r>
      <w:bookmarkStart w:id="28" w:name="_Hlk210651009"/>
      <w:r w:rsidR="000048F9">
        <w:fldChar w:fldCharType="begin"/>
      </w:r>
      <w:r w:rsidR="000048F9">
        <w:instrText>HYPERLINK "https://www.legislation.gov.uk/uksi/2012/1916/contents" \o "The Human Medicines Regulations 2012 (as amended)"</w:instrText>
      </w:r>
      <w:r w:rsidR="000048F9">
        <w:fldChar w:fldCharType="separate"/>
      </w:r>
      <w:r w:rsidR="000048F9" w:rsidRPr="000048F9">
        <w:rPr>
          <w:rStyle w:val="Hyperlink"/>
        </w:rPr>
        <w:t>The Human Medicines Regulations 2012 (as amended)</w:t>
      </w:r>
      <w:r w:rsidR="000048F9">
        <w:fldChar w:fldCharType="end"/>
      </w:r>
      <w:r w:rsidR="000048F9">
        <w:t>.</w:t>
      </w:r>
    </w:p>
    <w:bookmarkEnd w:id="28"/>
    <w:p w14:paraId="0DF2CDC0" w14:textId="77777777" w:rsidR="00977C32" w:rsidRPr="00977C32" w:rsidRDefault="00977C32" w:rsidP="00977C32">
      <w:pPr>
        <w:pStyle w:val="PN11"/>
      </w:pPr>
      <w:r w:rsidRPr="00977C32">
        <w:t>Where appropriate, the CI (or delegate) will provide the participants with the following information in relation to the medicinal product:</w:t>
      </w:r>
    </w:p>
    <w:p w14:paraId="36CC0209" w14:textId="77777777" w:rsidR="00977C32" w:rsidRPr="00977C32" w:rsidRDefault="00977C32" w:rsidP="00553F00">
      <w:pPr>
        <w:pStyle w:val="PB1"/>
      </w:pPr>
      <w:r w:rsidRPr="00977C32">
        <w:t>name of medicine</w:t>
      </w:r>
    </w:p>
    <w:p w14:paraId="4B76F174" w14:textId="77777777" w:rsidR="00977C32" w:rsidRPr="00977C32" w:rsidRDefault="00977C32" w:rsidP="00553F00">
      <w:pPr>
        <w:pStyle w:val="PB1"/>
      </w:pPr>
      <w:r w:rsidRPr="00977C32">
        <w:t xml:space="preserve">route of administration </w:t>
      </w:r>
    </w:p>
    <w:p w14:paraId="2D19D558" w14:textId="77777777" w:rsidR="00977C32" w:rsidRPr="00977C32" w:rsidRDefault="00977C32" w:rsidP="00553F00">
      <w:pPr>
        <w:pStyle w:val="PB1"/>
      </w:pPr>
      <w:r w:rsidRPr="00977C32">
        <w:t>posology (detailing the dosage and quantity required)</w:t>
      </w:r>
    </w:p>
    <w:p w14:paraId="531A6184" w14:textId="77777777" w:rsidR="00977C32" w:rsidRPr="00977C32" w:rsidRDefault="00977C32" w:rsidP="00553F00">
      <w:pPr>
        <w:pStyle w:val="PB1"/>
      </w:pPr>
      <w:r w:rsidRPr="00977C32">
        <w:t>name and contact details for the CI (or delegate)</w:t>
      </w:r>
    </w:p>
    <w:p w14:paraId="361BE8E9" w14:textId="77777777" w:rsidR="00977C32" w:rsidRPr="00977C32" w:rsidRDefault="00977C32" w:rsidP="00553F00">
      <w:pPr>
        <w:pStyle w:val="PB1"/>
      </w:pPr>
      <w:r w:rsidRPr="00977C32">
        <w:t>any applicable warnings.</w:t>
      </w:r>
    </w:p>
    <w:p w14:paraId="67C2F1F5" w14:textId="4408647E" w:rsidR="00977C32" w:rsidRPr="00977C32" w:rsidRDefault="006638F1" w:rsidP="00977C32">
      <w:pPr>
        <w:pStyle w:val="PN11"/>
      </w:pPr>
      <w:r>
        <w:t>For blinded products</w:t>
      </w:r>
      <w:r w:rsidR="00977C32" w:rsidRPr="00977C32">
        <w:t xml:space="preserve">, the CI (or delegate) will ensure the labelling protects the blinding of the medicinal product. </w:t>
      </w:r>
    </w:p>
    <w:p w14:paraId="3CC93080" w14:textId="661299A2" w:rsidR="00977C32" w:rsidRPr="00977C32" w:rsidRDefault="00977C32" w:rsidP="00977C32">
      <w:pPr>
        <w:pStyle w:val="PN11"/>
      </w:pPr>
      <w:r w:rsidRPr="00977C32">
        <w:t xml:space="preserve">For CTIMPs and ATIMPs, the CI (or delegate) will design the trial-specific labels and submit the designs to the MHRA (as the competent authority (CA)) on application for a CTA. Trial-specific labels will be designed in accordance with Articles 26 to 31 of </w:t>
      </w:r>
      <w:hyperlink r:id="rId32" w:tooltip="Link to Annex 13" w:history="1">
        <w:r w:rsidR="00BA4C94" w:rsidRPr="00977C32">
          <w:rPr>
            <w:color w:val="0000FF"/>
            <w:u w:val="single"/>
          </w:rPr>
          <w:t>Annex 1</w:t>
        </w:r>
        <w:r w:rsidR="00BA4C94">
          <w:rPr>
            <w:color w:val="0000FF"/>
            <w:u w:val="single"/>
          </w:rPr>
          <w:t>3</w:t>
        </w:r>
      </w:hyperlink>
      <w:r w:rsidR="00D15512">
        <w:t xml:space="preserve"> (PDF</w:t>
      </w:r>
      <w:r w:rsidR="003516FC">
        <w:t xml:space="preserve"> – 66 KB)</w:t>
      </w:r>
      <w:r w:rsidRPr="00977C32">
        <w:t xml:space="preserve">, except where conditions listed below are met. </w:t>
      </w:r>
    </w:p>
    <w:p w14:paraId="79CFE1EE" w14:textId="606F963E" w:rsidR="00977C32" w:rsidRPr="00977C32" w:rsidRDefault="00977C32" w:rsidP="00553F00">
      <w:pPr>
        <w:pStyle w:val="PB1"/>
      </w:pPr>
      <w:r w:rsidRPr="00977C32">
        <w:t xml:space="preserve">Adaptive labelling requirements as specified in Article 32 of </w:t>
      </w:r>
      <w:hyperlink r:id="rId33" w:tooltip="Link to Annex 13" w:history="1">
        <w:r w:rsidRPr="00977C32">
          <w:rPr>
            <w:color w:val="0000FF"/>
            <w:u w:val="single"/>
          </w:rPr>
          <w:t>Annex 1</w:t>
        </w:r>
        <w:r w:rsidR="00282765">
          <w:rPr>
            <w:color w:val="0000FF"/>
            <w:u w:val="single"/>
          </w:rPr>
          <w:t>3</w:t>
        </w:r>
      </w:hyperlink>
      <w:r w:rsidRPr="00977C32">
        <w:t xml:space="preserve"> </w:t>
      </w:r>
      <w:r w:rsidR="003516FC">
        <w:t xml:space="preserve">(PDF – 66 KB) </w:t>
      </w:r>
      <w:r w:rsidRPr="00977C32">
        <w:t>applies where Article 14 (2) of Direction 2001/20/EC is met, i.e.:</w:t>
      </w:r>
    </w:p>
    <w:p w14:paraId="371B5E39" w14:textId="77777777" w:rsidR="00977C32" w:rsidRPr="00977C32" w:rsidRDefault="00977C32" w:rsidP="00553F00">
      <w:pPr>
        <w:pStyle w:val="PB2"/>
      </w:pPr>
      <w:r w:rsidRPr="00977C32">
        <w:t>the product does not require particular manufacturing or packaging processes</w:t>
      </w:r>
    </w:p>
    <w:p w14:paraId="2FFA86CD" w14:textId="77777777" w:rsidR="00977C32" w:rsidRPr="00977C32" w:rsidRDefault="00977C32" w:rsidP="00553F00">
      <w:pPr>
        <w:pStyle w:val="PB2"/>
      </w:pPr>
      <w:r w:rsidRPr="00977C32">
        <w:t>the product has a market authorisation in the UK</w:t>
      </w:r>
    </w:p>
    <w:p w14:paraId="39123500" w14:textId="77777777" w:rsidR="00977C32" w:rsidRPr="00977C32" w:rsidRDefault="00977C32" w:rsidP="00553F00">
      <w:pPr>
        <w:pStyle w:val="PB2"/>
      </w:pPr>
      <w:r w:rsidRPr="00977C32">
        <w:t xml:space="preserve">the product is being used within the terms of its marketing authorisation. </w:t>
      </w:r>
    </w:p>
    <w:p w14:paraId="0A880244" w14:textId="77777777" w:rsidR="00977C32" w:rsidRPr="00977C32" w:rsidRDefault="00977C32" w:rsidP="00553F00">
      <w:pPr>
        <w:pStyle w:val="PB1"/>
      </w:pPr>
      <w:r w:rsidRPr="00977C32">
        <w:t>No additional clinical trial-specific labelling (including Article 32 of Annex 13) is required where Regulation 46 (2) of the Medicines for Human Use (Clinical Trials) Regulations 2004 is met, i.e.:</w:t>
      </w:r>
    </w:p>
    <w:p w14:paraId="1ECBA633" w14:textId="77777777" w:rsidR="00977C32" w:rsidRPr="00977C32" w:rsidRDefault="00977C32" w:rsidP="00553F00">
      <w:pPr>
        <w:pStyle w:val="PB2"/>
      </w:pPr>
      <w:r w:rsidRPr="00977C32">
        <w:t>the product does not require particular manufacturing or packaging processes</w:t>
      </w:r>
    </w:p>
    <w:p w14:paraId="71BD1516" w14:textId="4DF442A0" w:rsidR="00D15512" w:rsidRPr="00977C32" w:rsidRDefault="00977C32" w:rsidP="00153453">
      <w:pPr>
        <w:pStyle w:val="PB2"/>
      </w:pPr>
      <w:r w:rsidRPr="00977C32">
        <w:lastRenderedPageBreak/>
        <w:t>the product has a market authorisation in the UK</w:t>
      </w:r>
    </w:p>
    <w:p w14:paraId="593BF74A" w14:textId="77777777" w:rsidR="00977C32" w:rsidRPr="00977C32" w:rsidRDefault="00977C32" w:rsidP="00153453">
      <w:pPr>
        <w:pStyle w:val="PB2"/>
      </w:pPr>
      <w:r w:rsidRPr="00977C32">
        <w:t>the product is being used within the terms of its marketing authorisation, and</w:t>
      </w:r>
    </w:p>
    <w:p w14:paraId="60C847DE" w14:textId="77777777" w:rsidR="00662750" w:rsidRPr="00662750" w:rsidRDefault="00977C32" w:rsidP="00C05C7D">
      <w:pPr>
        <w:pStyle w:val="PB2"/>
      </w:pPr>
      <w:r w:rsidRPr="00977C32">
        <w:t xml:space="preserve">the product is dispensed in accordance with a prescription given by a healthcare professional and a dispensing label is applied. See </w:t>
      </w:r>
      <w:r w:rsidR="007D551E" w:rsidRPr="007D551E">
        <w:t xml:space="preserve">Part 13 of </w:t>
      </w:r>
      <w:hyperlink r:id="rId34" w:tooltip="The Human Medicines Regulations 2012 (as amended)" w:history="1">
        <w:r w:rsidR="00662750" w:rsidRPr="00662750">
          <w:rPr>
            <w:color w:val="0000FF"/>
            <w:u w:val="single"/>
          </w:rPr>
          <w:t>The Human Medicines Regulations 2012 (as amended)</w:t>
        </w:r>
      </w:hyperlink>
      <w:r w:rsidR="00662750" w:rsidRPr="00662750">
        <w:t>.</w:t>
      </w:r>
    </w:p>
    <w:p w14:paraId="1A1A1B0F" w14:textId="77777777" w:rsidR="00553F00" w:rsidRDefault="00553F00" w:rsidP="00517358">
      <w:pPr>
        <w:pStyle w:val="Heading3"/>
      </w:pPr>
      <w:bookmarkStart w:id="29" w:name="_Toc214623584"/>
      <w:r w:rsidRPr="00553F00">
        <w:t>Medicinal product ordering, shipment, storage, and accountability</w:t>
      </w:r>
      <w:bookmarkEnd w:id="29"/>
    </w:p>
    <w:p w14:paraId="42D2BD47" w14:textId="4E757B11" w:rsidR="00B30443" w:rsidRPr="00B30443" w:rsidRDefault="00B30443" w:rsidP="00B30443">
      <w:pPr>
        <w:pStyle w:val="PN11"/>
      </w:pPr>
      <w:r w:rsidRPr="00B30443">
        <w:t xml:space="preserve">The CI (or delegate) will set up the medicinal-product ordering process for </w:t>
      </w:r>
      <w:r w:rsidR="00A04C42">
        <w:t>the study/trial locations</w:t>
      </w:r>
      <w:r w:rsidRPr="00B30443">
        <w:t xml:space="preserve"> and ensure that each </w:t>
      </w:r>
      <w:r w:rsidR="00266081">
        <w:t>department</w:t>
      </w:r>
      <w:r w:rsidR="00A04C42" w:rsidRPr="00B30443">
        <w:t xml:space="preserve"> </w:t>
      </w:r>
      <w:r w:rsidRPr="00B30443">
        <w:t xml:space="preserve">(e.g. pharmacy) has the correct equipment (e.g. fridge) and space to accommodate the medicinal product for the duration of the project. </w:t>
      </w:r>
    </w:p>
    <w:p w14:paraId="29B41F11" w14:textId="77777777" w:rsidR="00B30443" w:rsidRPr="00B30443" w:rsidRDefault="00B30443" w:rsidP="00B30443">
      <w:pPr>
        <w:pStyle w:val="PN11"/>
      </w:pPr>
      <w:bookmarkStart w:id="30" w:name="_Hlk72744301"/>
      <w:r w:rsidRPr="00B30443">
        <w:t>The CI (or delegate) will develop and implement a process for medicinal-product shipment, including a process for monitoring conditions during shipment (if necessary).</w:t>
      </w:r>
    </w:p>
    <w:p w14:paraId="7E189395" w14:textId="3A95AE5A" w:rsidR="00B30443" w:rsidRPr="00B30443" w:rsidRDefault="00B30443" w:rsidP="00B30443">
      <w:pPr>
        <w:pStyle w:val="PB1"/>
      </w:pPr>
      <w:r w:rsidRPr="00B30443">
        <w:t xml:space="preserve">If the project is running in </w:t>
      </w:r>
      <w:r w:rsidR="00D55DE4" w:rsidRPr="00B30443">
        <w:t>N</w:t>
      </w:r>
      <w:r w:rsidR="00D55DE4">
        <w:t>o</w:t>
      </w:r>
      <w:r w:rsidR="00D55DE4" w:rsidRPr="00B30443">
        <w:t>rthern</w:t>
      </w:r>
      <w:r w:rsidRPr="00B30443">
        <w:t xml:space="preserve"> Ireland (NI) and importing medicinal products from Great Britain or a country outside of the EU, the CI (or delegate) will follow the Northern Ireland </w:t>
      </w:r>
      <w:r w:rsidR="0052313A">
        <w:t>p</w:t>
      </w:r>
      <w:r w:rsidRPr="00B30443">
        <w:t>rotocol regarding importing medicinal products.</w:t>
      </w:r>
    </w:p>
    <w:p w14:paraId="0FE2B51E" w14:textId="79A4B885" w:rsidR="00B30443" w:rsidRDefault="00B30443" w:rsidP="00B30443">
      <w:pPr>
        <w:pStyle w:val="PB1"/>
      </w:pPr>
      <w:r w:rsidRPr="00B30443">
        <w:t>If the project is running in the EU consider using local medicinal-product suppliers and follow EU legislation for medicinal-product shipment.</w:t>
      </w:r>
    </w:p>
    <w:p w14:paraId="210BC760" w14:textId="14D7AFA4" w:rsidR="0043195A" w:rsidRPr="00B30443" w:rsidRDefault="0043195A" w:rsidP="00D55DE4">
      <w:pPr>
        <w:pStyle w:val="PN11"/>
      </w:pPr>
      <w:r>
        <w:t>Where a deviation to the documented process for medicinal-product shipment is required (e.g. for ad hoc shipments of the product direct to participants’ instead of trial locations), the CI (or delegate) will ensure that the new process is risk assessed</w:t>
      </w:r>
      <w:r w:rsidR="00CB6604">
        <w:t xml:space="preserve"> and documented before implementation. </w:t>
      </w:r>
    </w:p>
    <w:bookmarkEnd w:id="30"/>
    <w:p w14:paraId="074AE84A" w14:textId="3F47C10D" w:rsidR="00B30443" w:rsidRPr="00B30443" w:rsidRDefault="00B30443" w:rsidP="00B30443">
      <w:pPr>
        <w:pStyle w:val="PN11"/>
      </w:pPr>
      <w:r w:rsidRPr="00B30443">
        <w:t>As per the risk assessment (and also to allow future reconstruction of the project), the CI (or delegate) will set up medicinal-product accountability procedures (e.g. through drug accountability logs) to document the following:</w:t>
      </w:r>
    </w:p>
    <w:p w14:paraId="5FBE0EAF" w14:textId="3A1CE6A9" w:rsidR="00B30443" w:rsidRPr="00B30443" w:rsidRDefault="00B30443" w:rsidP="00D55DE4">
      <w:pPr>
        <w:pStyle w:val="PB1"/>
      </w:pPr>
      <w:r w:rsidRPr="00B30443">
        <w:t xml:space="preserve">the medication received by the </w:t>
      </w:r>
      <w:r w:rsidR="00266081">
        <w:t>study/trial locations</w:t>
      </w:r>
    </w:p>
    <w:p w14:paraId="19464B6F" w14:textId="77777777" w:rsidR="00B30443" w:rsidRPr="00B30443" w:rsidRDefault="00B30443" w:rsidP="00D55DE4">
      <w:pPr>
        <w:pStyle w:val="PB1"/>
      </w:pPr>
      <w:r w:rsidRPr="00B30443">
        <w:t>the medication received by each participant, and when and where this was received</w:t>
      </w:r>
    </w:p>
    <w:p w14:paraId="38C89E77" w14:textId="77777777" w:rsidR="00B30443" w:rsidRPr="00B30443" w:rsidRDefault="00B30443" w:rsidP="00D55DE4">
      <w:pPr>
        <w:pStyle w:val="PB1"/>
      </w:pPr>
      <w:r w:rsidRPr="00B30443">
        <w:t>the medication returned and/or destroyed.</w:t>
      </w:r>
    </w:p>
    <w:p w14:paraId="03741D77" w14:textId="77777777" w:rsidR="00B30443" w:rsidRPr="00B30443" w:rsidRDefault="00B30443" w:rsidP="00D55DE4">
      <w:pPr>
        <w:pStyle w:val="PN11"/>
      </w:pPr>
      <w:r w:rsidRPr="00B30443">
        <w:t>For ATIMPs, where human cells or tissues are used, the CI (or delegate) will ensure it is possible to link anonymously the donor/source to the donation, to link the donation to the product and then to link the product to the participant. Traceability has to work in both directions, e.g. from source to participant and from participant to source.</w:t>
      </w:r>
    </w:p>
    <w:p w14:paraId="189B16BB" w14:textId="77777777" w:rsidR="00B30443" w:rsidRPr="00B30443" w:rsidRDefault="00B30443" w:rsidP="00B30443">
      <w:pPr>
        <w:pStyle w:val="PN11"/>
      </w:pPr>
      <w:r w:rsidRPr="00B30443">
        <w:t>The CI (or delegate) will develop and implement procedures for monitoring medicinal-product compliance (e.g. drug accountability logs, or participant diaries for take-home medication).</w:t>
      </w:r>
    </w:p>
    <w:p w14:paraId="10C3B5C4" w14:textId="4B56C2D1" w:rsidR="00B30443" w:rsidRPr="00B30443" w:rsidRDefault="00B30443" w:rsidP="00D55DE4">
      <w:pPr>
        <w:pStyle w:val="PB1"/>
        <w:rPr>
          <w:i/>
          <w:iCs/>
          <w:color w:val="943634"/>
        </w:rPr>
      </w:pPr>
      <w:r w:rsidRPr="00B30443">
        <w:t xml:space="preserve">The plan for monitoring medicinal-product compliance may be discussed as part of the project-specific risk assessment, and the procedures put in place may be detailed in the project-specific monitoring plan. See also </w:t>
      </w:r>
      <w:r w:rsidRPr="00D55DE4">
        <w:rPr>
          <w:rStyle w:val="DocrefChar"/>
        </w:rPr>
        <w:t>Project Oversight and Quality Management</w:t>
      </w:r>
      <w:r w:rsidR="00CA6A76" w:rsidRPr="00D55DE4">
        <w:rPr>
          <w:rStyle w:val="DocrefChar"/>
        </w:rPr>
        <w:t xml:space="preserve"> SOP (UoB-POS-SOP-001)</w:t>
      </w:r>
      <w:r w:rsidRPr="00B30443">
        <w:rPr>
          <w:i/>
          <w:iCs/>
          <w:color w:val="943634"/>
        </w:rPr>
        <w:t xml:space="preserve">. </w:t>
      </w:r>
    </w:p>
    <w:p w14:paraId="3F20CBA9" w14:textId="77777777" w:rsidR="00B30443" w:rsidRPr="00B30443" w:rsidRDefault="00B30443" w:rsidP="00B30443">
      <w:pPr>
        <w:pStyle w:val="PN11"/>
      </w:pPr>
      <w:r w:rsidRPr="00B30443">
        <w:t>The CI (or delegate) will ensure that the participant is trained according to the protocol where the medicinal product is self-administered by the participant at home. Participants will be trained in:</w:t>
      </w:r>
    </w:p>
    <w:p w14:paraId="6831F9B8" w14:textId="77777777" w:rsidR="00B30443" w:rsidRPr="00B30443" w:rsidRDefault="00B30443" w:rsidP="00B30443">
      <w:pPr>
        <w:pStyle w:val="PB1"/>
      </w:pPr>
      <w:r w:rsidRPr="00B30443">
        <w:t>storage</w:t>
      </w:r>
    </w:p>
    <w:p w14:paraId="6045F430" w14:textId="77777777" w:rsidR="00B30443" w:rsidRPr="00B30443" w:rsidRDefault="00B30443" w:rsidP="00B30443">
      <w:pPr>
        <w:pStyle w:val="PB1"/>
      </w:pPr>
      <w:r w:rsidRPr="00B30443">
        <w:t>reconstitution</w:t>
      </w:r>
    </w:p>
    <w:p w14:paraId="76B5C84D" w14:textId="77777777" w:rsidR="00B30443" w:rsidRPr="00B30443" w:rsidRDefault="00B30443" w:rsidP="00B30443">
      <w:pPr>
        <w:pStyle w:val="PB1"/>
      </w:pPr>
      <w:r w:rsidRPr="00B30443">
        <w:t>administration method</w:t>
      </w:r>
    </w:p>
    <w:p w14:paraId="36D21D45" w14:textId="77777777" w:rsidR="00B30443" w:rsidRPr="00B30443" w:rsidRDefault="00B30443" w:rsidP="00B30443">
      <w:pPr>
        <w:pStyle w:val="PB1"/>
      </w:pPr>
      <w:r w:rsidRPr="00B30443">
        <w:t>record keeping (e.g. subject diary)</w:t>
      </w:r>
    </w:p>
    <w:p w14:paraId="35B9BE1A" w14:textId="77777777" w:rsidR="00B30443" w:rsidRPr="00B30443" w:rsidRDefault="00B30443" w:rsidP="00B30443">
      <w:pPr>
        <w:pStyle w:val="PB1"/>
      </w:pPr>
      <w:r w:rsidRPr="00B30443">
        <w:t>retention of used receptacles (e.g. bottles)</w:t>
      </w:r>
    </w:p>
    <w:p w14:paraId="31BEC3B6" w14:textId="77777777" w:rsidR="00B30443" w:rsidRDefault="00B30443" w:rsidP="00B30443">
      <w:pPr>
        <w:pStyle w:val="PB1"/>
      </w:pPr>
      <w:r w:rsidRPr="00B30443">
        <w:t xml:space="preserve">the use of any equipment provided. </w:t>
      </w:r>
    </w:p>
    <w:p w14:paraId="36EF5D9A" w14:textId="01C9B252" w:rsidR="00FB38F8" w:rsidRPr="00FB38F8" w:rsidRDefault="00FB38F8" w:rsidP="00FB38F8">
      <w:pPr>
        <w:pStyle w:val="PN11"/>
      </w:pPr>
      <w:r w:rsidRPr="00FB38F8">
        <w:t xml:space="preserve">The CI (or delegate) will have procedures in place to monitor the medicinal product’s storage conditions (e.g. temperature, humidity, protection from light etc.) both at </w:t>
      </w:r>
      <w:r w:rsidR="000F29B9">
        <w:t xml:space="preserve">the study/trial locations </w:t>
      </w:r>
      <w:r w:rsidRPr="00FB38F8">
        <w:t xml:space="preserve">and at coordinating centres (where applicable) in accordance with the IB/SmPC and risk assessment. </w:t>
      </w:r>
    </w:p>
    <w:p w14:paraId="17E6B5F7" w14:textId="77777777" w:rsidR="00FB38F8" w:rsidRPr="00FB38F8" w:rsidRDefault="00FB38F8" w:rsidP="00FB38F8">
      <w:pPr>
        <w:pStyle w:val="PN11"/>
      </w:pPr>
      <w:r w:rsidRPr="00FB38F8">
        <w:t xml:space="preserve">The CI (or delegate) will set up a documented process to assess the effect on the medicinal product should a deviation from these storage conditions occur (e.g. a temperature deviation). This will include: </w:t>
      </w:r>
    </w:p>
    <w:p w14:paraId="08DF701E" w14:textId="77777777" w:rsidR="00FB38F8" w:rsidRPr="00FB38F8" w:rsidRDefault="00FB38F8" w:rsidP="00FB38F8">
      <w:pPr>
        <w:pStyle w:val="PB1"/>
      </w:pPr>
      <w:r w:rsidRPr="00FB38F8">
        <w:t>the extent of the deviation (e.g. 1ᵒC vs 20ᵒC, 1-minute deviation vs 2-day deviation)</w:t>
      </w:r>
    </w:p>
    <w:p w14:paraId="7EDCE8E4" w14:textId="31CAADDC" w:rsidR="00FB38F8" w:rsidRPr="00FB38F8" w:rsidRDefault="00FB38F8" w:rsidP="00FB38F8">
      <w:pPr>
        <w:pStyle w:val="PB1"/>
      </w:pPr>
      <w:r w:rsidRPr="00FB38F8">
        <w:t xml:space="preserve">contact details of the person(s) responsible for making the final decision about action required in the event of a deviation (e.g. medicinal product supplier, sponsor or CTU </w:t>
      </w:r>
      <w:r w:rsidR="0014518E">
        <w:t>D</w:t>
      </w:r>
      <w:r w:rsidRPr="00FB38F8">
        <w:t xml:space="preserve">irector of </w:t>
      </w:r>
      <w:r w:rsidR="0014518E">
        <w:t>O</w:t>
      </w:r>
      <w:r w:rsidRPr="00FB38F8">
        <w:t>perations).</w:t>
      </w:r>
    </w:p>
    <w:p w14:paraId="7BDF634B" w14:textId="6E67CE74" w:rsidR="00FB38F8" w:rsidRPr="00FB38F8" w:rsidRDefault="00FB38F8" w:rsidP="00FB38F8">
      <w:pPr>
        <w:pStyle w:val="PN11"/>
      </w:pPr>
      <w:r w:rsidRPr="00FB38F8">
        <w:lastRenderedPageBreak/>
        <w:t xml:space="preserve">The CI (or delegate) will decide and document whether project-specific or hospital-standard prescriptions will be used for prescribing the medicinal product. Where required, create project-specific prescriptions in accordance with </w:t>
      </w:r>
      <w:hyperlink r:id="rId35" w:tooltip="Link to NICE guidance on UK prescriptions" w:history="1">
        <w:r w:rsidRPr="00FB38F8">
          <w:rPr>
            <w:color w:val="0000FF"/>
            <w:u w:val="single"/>
          </w:rPr>
          <w:t>UK prescribing law</w:t>
        </w:r>
      </w:hyperlink>
      <w:r w:rsidRPr="00FB38F8">
        <w:t>. The prescription should identify the project, the name of the PI and the participant’s project number.</w:t>
      </w:r>
    </w:p>
    <w:p w14:paraId="43F126D0" w14:textId="135F92A6" w:rsidR="00FB38F8" w:rsidRPr="00FB38F8" w:rsidRDefault="00FB38F8" w:rsidP="00FB38F8">
      <w:pPr>
        <w:pStyle w:val="PN11"/>
      </w:pPr>
      <w:r w:rsidRPr="00FB38F8">
        <w:t xml:space="preserve">The CI (or delegate) will assess and document the suitability of </w:t>
      </w:r>
      <w:r w:rsidR="00726A4D">
        <w:t>study/trial location</w:t>
      </w:r>
      <w:r w:rsidR="00726A4D" w:rsidRPr="00FB38F8" w:rsidDel="00726A4D">
        <w:t xml:space="preserve"> </w:t>
      </w:r>
      <w:r w:rsidRPr="00FB38F8">
        <w:t xml:space="preserve">(pharmacy) processes and storage facilities at (each) </w:t>
      </w:r>
      <w:r w:rsidR="00467BDA">
        <w:t>location</w:t>
      </w:r>
      <w:r w:rsidRPr="00FB38F8">
        <w:t xml:space="preserve">. Note that this may form part of the pharmacy assurance process. See the Health Research Authority (HRA) for more details on </w:t>
      </w:r>
      <w:hyperlink r:id="rId36" w:tooltip="Link to HRA guidance on Pharmacy Assurance" w:history="1">
        <w:r w:rsidRPr="00FB38F8">
          <w:rPr>
            <w:color w:val="0000FF"/>
            <w:u w:val="single"/>
          </w:rPr>
          <w:t>Pharmacy Assurance</w:t>
        </w:r>
      </w:hyperlink>
      <w:r w:rsidRPr="00FB38F8">
        <w:t xml:space="preserve">. </w:t>
      </w:r>
    </w:p>
    <w:p w14:paraId="156AC910" w14:textId="5489AA11" w:rsidR="00FB38F8" w:rsidRPr="00FB38F8" w:rsidRDefault="00FB38F8" w:rsidP="00FB38F8">
      <w:pPr>
        <w:pStyle w:val="PN11"/>
      </w:pPr>
      <w:r w:rsidRPr="00FB38F8">
        <w:t>The CI (or delegate) will train staff</w:t>
      </w:r>
      <w:r w:rsidR="00467BDA">
        <w:t xml:space="preserve"> </w:t>
      </w:r>
      <w:r w:rsidRPr="00FB38F8">
        <w:t>(investigators and pharmacy staff, as appropriate)</w:t>
      </w:r>
      <w:r w:rsidR="00467BDA">
        <w:t xml:space="preserve"> at each study/trial location</w:t>
      </w:r>
      <w:r w:rsidRPr="00FB38F8">
        <w:t xml:space="preserve"> in the project-specific medicinal-product management procedures.</w:t>
      </w:r>
    </w:p>
    <w:p w14:paraId="3CB039F0" w14:textId="14B1ECFA" w:rsidR="00FB38F8" w:rsidRPr="00FB38F8" w:rsidRDefault="00FB38F8" w:rsidP="00FB38F8">
      <w:pPr>
        <w:pStyle w:val="PN11"/>
      </w:pPr>
      <w:r w:rsidRPr="00FB38F8">
        <w:t xml:space="preserve">Where medicinal products require shipping to </w:t>
      </w:r>
      <w:r w:rsidR="00467BDA">
        <w:t>study/trial locations</w:t>
      </w:r>
      <w:r w:rsidRPr="00FB38F8">
        <w:t xml:space="preserve">, the CI (or delegate) will ensure the following is clearly documented and retained in the S/TMF, prior to the release of medicinal products to </w:t>
      </w:r>
      <w:r w:rsidR="00467BDA">
        <w:t>the locations</w:t>
      </w:r>
      <w:r w:rsidRPr="00FB38F8">
        <w:t>.</w:t>
      </w:r>
    </w:p>
    <w:p w14:paraId="4FAB7ED5" w14:textId="77777777" w:rsidR="00FB38F8" w:rsidRPr="00FB38F8" w:rsidRDefault="00FB38F8" w:rsidP="00FB38F8">
      <w:pPr>
        <w:pStyle w:val="PB1"/>
      </w:pPr>
      <w:r w:rsidRPr="00FB38F8">
        <w:t>Appropriate contract/agreement in place with the IMP supplier.</w:t>
      </w:r>
    </w:p>
    <w:p w14:paraId="012D98A2" w14:textId="7C7FD720" w:rsidR="00FB38F8" w:rsidRPr="00FB38F8" w:rsidRDefault="00FB38F8" w:rsidP="00FB38F8">
      <w:pPr>
        <w:pStyle w:val="PB1"/>
      </w:pPr>
      <w:r w:rsidRPr="00FB38F8">
        <w:t xml:space="preserve">Technical release: certification by a QP that the medicinal product is suitable for use in the project. For off-the-shelf drugs this will already be in place. </w:t>
      </w:r>
    </w:p>
    <w:p w14:paraId="4D453DDE" w14:textId="77777777" w:rsidR="00FB38F8" w:rsidRPr="00FB38F8" w:rsidRDefault="00FB38F8" w:rsidP="00FB38F8">
      <w:pPr>
        <w:pStyle w:val="PB1"/>
      </w:pPr>
      <w:r w:rsidRPr="00FB38F8">
        <w:t>Regulatory release: required approvals and agreements are in place to allow recruitment to begin. As a minimum, a favourable REC opinion is required. For CTIMPS and ATIMPs a CTA is needed.</w:t>
      </w:r>
    </w:p>
    <w:p w14:paraId="74633E45" w14:textId="08DCF1C4" w:rsidR="00FB38F8" w:rsidRPr="00FB38F8" w:rsidRDefault="00FB38F8" w:rsidP="00FB38F8">
      <w:pPr>
        <w:pStyle w:val="PN11"/>
      </w:pPr>
      <w:r w:rsidRPr="00FB38F8">
        <w:t xml:space="preserve">The CI (or delegate) will refer to </w:t>
      </w:r>
      <w:r w:rsidRPr="00BD50EB">
        <w:rPr>
          <w:rStyle w:val="DocrefChar"/>
        </w:rPr>
        <w:t>Investigator Site Management</w:t>
      </w:r>
      <w:r w:rsidR="00646451" w:rsidRPr="00BD50EB">
        <w:rPr>
          <w:rStyle w:val="DocrefChar"/>
        </w:rPr>
        <w:t xml:space="preserve"> SOP (UoB-SMA-SOP-001)</w:t>
      </w:r>
      <w:r w:rsidRPr="00FB38F8">
        <w:rPr>
          <w:i/>
          <w:iCs/>
          <w:color w:val="943634"/>
        </w:rPr>
        <w:t>.</w:t>
      </w:r>
      <w:r w:rsidRPr="00FB38F8">
        <w:t xml:space="preserve"> They will inform the </w:t>
      </w:r>
      <w:r w:rsidR="00C9255D">
        <w:t>study/trial location(s)</w:t>
      </w:r>
      <w:r w:rsidRPr="00FB38F8">
        <w:t xml:space="preserve"> in writing of the regulatory green light and confirm that recruitment can begin. </w:t>
      </w:r>
    </w:p>
    <w:p w14:paraId="7B3CFBF9" w14:textId="6D9B8C18" w:rsidR="00FB38F8" w:rsidRDefault="00FB38F8" w:rsidP="00FB38F8">
      <w:pPr>
        <w:pStyle w:val="Heading3"/>
      </w:pPr>
      <w:bookmarkStart w:id="31" w:name="_Toc214623585"/>
      <w:r w:rsidRPr="00FB38F8">
        <w:t>Medicinal product recalls</w:t>
      </w:r>
      <w:bookmarkEnd w:id="31"/>
    </w:p>
    <w:p w14:paraId="00CDA2BC" w14:textId="77777777" w:rsidR="00FB38F8" w:rsidRPr="00FB38F8" w:rsidRDefault="00FB38F8" w:rsidP="00FB38F8">
      <w:pPr>
        <w:pStyle w:val="PN11"/>
      </w:pPr>
      <w:r w:rsidRPr="00FB38F8">
        <w:t>The CI (or delegate) will document a process for use in the event of a medicinal product’s recall.</w:t>
      </w:r>
    </w:p>
    <w:p w14:paraId="6BE8AFF4" w14:textId="6A6CB2E0" w:rsidR="00FB38F8" w:rsidRPr="00FB38F8" w:rsidRDefault="00FB38F8" w:rsidP="00FB38F8">
      <w:pPr>
        <w:pStyle w:val="PB1"/>
      </w:pPr>
      <w:r w:rsidRPr="00FB38F8">
        <w:t xml:space="preserve">For CTIMPs and ATIMPs, the CI (or delegate) will set up a process for identifying IMP recall notifications from the </w:t>
      </w:r>
      <w:hyperlink r:id="rId37" w:tooltip="Link to MHRA alerts and recalls for drugs and medical devices" w:history="1">
        <w:r w:rsidRPr="00FB38F8">
          <w:rPr>
            <w:color w:val="0000FF"/>
            <w:u w:val="single"/>
          </w:rPr>
          <w:t>MHRA</w:t>
        </w:r>
      </w:hyperlink>
      <w:r w:rsidRPr="00FB38F8">
        <w:t xml:space="preserve">. </w:t>
      </w:r>
    </w:p>
    <w:p w14:paraId="58B3238B" w14:textId="521C0960" w:rsidR="00FB38F8" w:rsidRPr="00FB38F8" w:rsidRDefault="00FB38F8" w:rsidP="00FB38F8">
      <w:pPr>
        <w:pStyle w:val="PN11"/>
      </w:pPr>
      <w:r w:rsidRPr="00FB38F8">
        <w:t>Where the medicinal product is manufactured specifically for the project, the CI (or delegate) will ensure that the agreement between the manufacturer and the sponsor documents a requirement for the manufacturer to inform the CI (or delegate) of the medicinal product’s recall.</w:t>
      </w:r>
    </w:p>
    <w:p w14:paraId="6B677345" w14:textId="77777777" w:rsidR="00FB38F8" w:rsidRPr="00FB38F8" w:rsidRDefault="00FB38F8" w:rsidP="00FB38F8">
      <w:pPr>
        <w:pStyle w:val="PB1"/>
      </w:pPr>
      <w:r w:rsidRPr="00FB38F8">
        <w:t xml:space="preserve">The CI (or delegate) will liaise with the CA prior to any recall being initiated.  </w:t>
      </w:r>
    </w:p>
    <w:p w14:paraId="7ABE0DDB" w14:textId="77777777" w:rsidR="00FB38F8" w:rsidRPr="00FB38F8" w:rsidRDefault="00FB38F8" w:rsidP="00FB38F8">
      <w:pPr>
        <w:pStyle w:val="PB2"/>
      </w:pPr>
      <w:r w:rsidRPr="00FB38F8">
        <w:t>For CTIMPS, they will contact the CA’s Clinical Trials Unit.</w:t>
      </w:r>
    </w:p>
    <w:p w14:paraId="68268B0F" w14:textId="77777777" w:rsidR="00FB38F8" w:rsidRPr="00FB38F8" w:rsidRDefault="00FB38F8" w:rsidP="00FB38F8">
      <w:pPr>
        <w:pStyle w:val="PB2"/>
      </w:pPr>
      <w:r w:rsidRPr="00FB38F8">
        <w:t xml:space="preserve">For ATIMPS, they will contact the CA’s Defective Medicines Report Centre. </w:t>
      </w:r>
    </w:p>
    <w:p w14:paraId="29B1AC12" w14:textId="1F338F7F" w:rsidR="00FB38F8" w:rsidRPr="00FB38F8" w:rsidRDefault="00FB38F8" w:rsidP="00FB38F8">
      <w:pPr>
        <w:pStyle w:val="PN11"/>
      </w:pPr>
      <w:r w:rsidRPr="00FB38F8">
        <w:t xml:space="preserve">The CI (or delegate) will document and maintain up-to-date contact details for each </w:t>
      </w:r>
      <w:r w:rsidR="00C9255D">
        <w:t xml:space="preserve">study/trial location </w:t>
      </w:r>
      <w:r w:rsidRPr="00FB38F8">
        <w:t>in order to manage a medicinal product’s recall (e.g. pharmacy etc.).</w:t>
      </w:r>
    </w:p>
    <w:p w14:paraId="2022FE6A" w14:textId="1814C3D2" w:rsidR="00FB38F8" w:rsidRPr="00FB38F8" w:rsidRDefault="00FB38F8" w:rsidP="00FB38F8">
      <w:pPr>
        <w:pStyle w:val="PN11"/>
      </w:pPr>
      <w:r w:rsidRPr="00FB38F8">
        <w:t xml:space="preserve">In the event of a medicinal product’s recall, the CI (or delegate) will contact </w:t>
      </w:r>
      <w:r w:rsidR="00C9255D">
        <w:t xml:space="preserve">the study/trial location </w:t>
      </w:r>
      <w:r w:rsidRPr="00FB38F8">
        <w:t xml:space="preserve">as soon as possible with instructions for the recall, as per project-specific processes. </w:t>
      </w:r>
    </w:p>
    <w:p w14:paraId="28D2F22D" w14:textId="42F59E34" w:rsidR="00FB38F8" w:rsidRDefault="00FB38F8" w:rsidP="00FB38F8">
      <w:pPr>
        <w:pStyle w:val="PN11"/>
      </w:pPr>
      <w:r w:rsidRPr="00FB38F8">
        <w:t xml:space="preserve">The CI (or delegate) will document the decisions made and actions taken; they will retain all relevant documentation in the S/TMF and relevant </w:t>
      </w:r>
      <w:r w:rsidR="00826D90">
        <w:t>investigator</w:t>
      </w:r>
      <w:r w:rsidR="00826D90" w:rsidRPr="00FB38F8">
        <w:t xml:space="preserve"> </w:t>
      </w:r>
      <w:r w:rsidRPr="00FB38F8">
        <w:t>files</w:t>
      </w:r>
      <w:r w:rsidR="00826D90">
        <w:t xml:space="preserve"> at each study/trial location</w:t>
      </w:r>
      <w:r w:rsidRPr="00FB38F8">
        <w:t xml:space="preserve"> as applicable.</w:t>
      </w:r>
    </w:p>
    <w:p w14:paraId="7986F41B" w14:textId="2F6B9B5F" w:rsidR="00FB38F8" w:rsidRDefault="00FB38F8" w:rsidP="00FB38F8">
      <w:pPr>
        <w:pStyle w:val="Heading3"/>
      </w:pPr>
      <w:r w:rsidRPr="00FB38F8">
        <w:t xml:space="preserve"> </w:t>
      </w:r>
      <w:bookmarkStart w:id="32" w:name="_Toc214623586"/>
      <w:r>
        <w:t>Medicinal product temperature deviations</w:t>
      </w:r>
      <w:bookmarkEnd w:id="32"/>
    </w:p>
    <w:p w14:paraId="13258C41" w14:textId="77777777" w:rsidR="00FB38F8" w:rsidRPr="00FB38F8" w:rsidRDefault="00FB38F8" w:rsidP="00FB38F8">
      <w:pPr>
        <w:pStyle w:val="PN11"/>
      </w:pPr>
      <w:r w:rsidRPr="00FB38F8">
        <w:t>Upon assessment, the PI (or delegate) will report any medicinal product’s temperature deviations to the CI (or delegate).</w:t>
      </w:r>
    </w:p>
    <w:p w14:paraId="22824287" w14:textId="0643340F" w:rsidR="00FB38F8" w:rsidRPr="00FB38F8" w:rsidRDefault="00FB38F8" w:rsidP="00FB38F8">
      <w:pPr>
        <w:pStyle w:val="PN11"/>
      </w:pPr>
      <w:r w:rsidRPr="00FB38F8">
        <w:t xml:space="preserve">The CI (or delegate) will liaise with the medicinal product’s manufacturer for advice on the impact of the deviation. For UoB-sponsored </w:t>
      </w:r>
      <w:r w:rsidR="006F3B1C">
        <w:t>projects</w:t>
      </w:r>
      <w:r w:rsidRPr="00FB38F8">
        <w:t xml:space="preserve"> outside of a CTU, and in the event that the medicinal product’s manufacturer cannot give any conclusive advice, the CI (or delegate) will contact </w:t>
      </w:r>
      <w:r w:rsidR="00945F62">
        <w:t>REGI</w:t>
      </w:r>
      <w:r w:rsidRPr="00FB38F8">
        <w:t xml:space="preserve"> as the sponsor. </w:t>
      </w:r>
      <w:r w:rsidR="00945F62">
        <w:t>REGI</w:t>
      </w:r>
      <w:r w:rsidRPr="00FB38F8">
        <w:t xml:space="preserve"> will contact an expert in that area and confirm the conclusive advice to the CI. See also </w:t>
      </w:r>
      <w:r w:rsidRPr="00EB48FC">
        <w:rPr>
          <w:rStyle w:val="DocrefChar"/>
        </w:rPr>
        <w:t xml:space="preserve">Sponsor Oversight </w:t>
      </w:r>
      <w:r w:rsidR="00AB41D0" w:rsidRPr="00EB48FC">
        <w:rPr>
          <w:rStyle w:val="DocrefChar"/>
        </w:rPr>
        <w:t>for</w:t>
      </w:r>
      <w:r w:rsidRPr="00EB48FC">
        <w:rPr>
          <w:rStyle w:val="DocrefChar"/>
        </w:rPr>
        <w:t xml:space="preserve"> Clinical </w:t>
      </w:r>
      <w:r w:rsidR="00AB41D0" w:rsidRPr="00EB48FC">
        <w:rPr>
          <w:rStyle w:val="DocrefChar"/>
        </w:rPr>
        <w:t>Research (UoB-SPO-SOP-001)</w:t>
      </w:r>
      <w:r w:rsidRPr="00FB38F8">
        <w:t xml:space="preserve">. </w:t>
      </w:r>
    </w:p>
    <w:p w14:paraId="35F09992" w14:textId="607D5647" w:rsidR="00FB38F8" w:rsidRPr="00FB38F8" w:rsidRDefault="00FB38F8" w:rsidP="00FB38F8">
      <w:pPr>
        <w:pStyle w:val="PB1"/>
      </w:pPr>
      <w:r w:rsidRPr="00FB38F8">
        <w:t xml:space="preserve">UoB CTUs, will escalate temperature deviations, as per their local processes to an appropriately trained person. Where this is not possible, the UoB CTU will contact </w:t>
      </w:r>
      <w:r w:rsidR="00A533EC">
        <w:t xml:space="preserve">REGI </w:t>
      </w:r>
      <w:r w:rsidRPr="00FB38F8">
        <w:t>as the sponsor.</w:t>
      </w:r>
    </w:p>
    <w:p w14:paraId="6A4057D1" w14:textId="475ED9E1" w:rsidR="00FB38F8" w:rsidRDefault="00FB38F8" w:rsidP="00FB38F8">
      <w:pPr>
        <w:pStyle w:val="PN11"/>
      </w:pPr>
      <w:r w:rsidRPr="00FB38F8">
        <w:t xml:space="preserve">The CI (or delegate) will document the decisions made and actions </w:t>
      </w:r>
      <w:r w:rsidR="0052128A" w:rsidRPr="00FB38F8">
        <w:t>taken and</w:t>
      </w:r>
      <w:r w:rsidRPr="00FB38F8">
        <w:t xml:space="preserve"> will retain all relevant documentation in the S/TMF and relevant </w:t>
      </w:r>
      <w:r w:rsidR="001D6E60">
        <w:t>investigator</w:t>
      </w:r>
      <w:r w:rsidR="001D6E60" w:rsidRPr="00FB38F8">
        <w:t xml:space="preserve"> </w:t>
      </w:r>
      <w:r w:rsidRPr="00FB38F8">
        <w:t>files</w:t>
      </w:r>
      <w:r w:rsidR="001D6E60">
        <w:t xml:space="preserve"> at study/trial location</w:t>
      </w:r>
      <w:r w:rsidRPr="00FB38F8">
        <w:t xml:space="preserve"> as applicable.</w:t>
      </w:r>
    </w:p>
    <w:p w14:paraId="092B16D6" w14:textId="1CD954F9" w:rsidR="00FB38F8" w:rsidRDefault="00FB38F8" w:rsidP="00FB38F8">
      <w:pPr>
        <w:pStyle w:val="Heading3"/>
      </w:pPr>
      <w:bookmarkStart w:id="33" w:name="_Toc214623587"/>
      <w:r w:rsidRPr="00FB38F8">
        <w:t xml:space="preserve">Transfer of medicinal product between </w:t>
      </w:r>
      <w:r w:rsidR="001D6E60">
        <w:t>study/trial locations</w:t>
      </w:r>
      <w:bookmarkEnd w:id="33"/>
    </w:p>
    <w:p w14:paraId="5F427C15" w14:textId="6509869E" w:rsidR="00FB38F8" w:rsidRPr="00FB38F8" w:rsidRDefault="00FB38F8" w:rsidP="00FB38F8">
      <w:pPr>
        <w:pStyle w:val="PN11"/>
      </w:pPr>
      <w:r w:rsidRPr="00FB38F8">
        <w:t xml:space="preserve">The CI (or delegate) will have a formal process in place prior to the transfer of any medicinal product between the </w:t>
      </w:r>
      <w:r w:rsidR="001D6E60">
        <w:t>study/trial location</w:t>
      </w:r>
      <w:r w:rsidR="00C9490A">
        <w:t>s</w:t>
      </w:r>
      <w:r w:rsidRPr="00FB38F8">
        <w:t xml:space="preserve">. The following will be clearly documented: </w:t>
      </w:r>
    </w:p>
    <w:p w14:paraId="149F1C08" w14:textId="0433BA6B" w:rsidR="00FB38F8" w:rsidRPr="00FB38F8" w:rsidRDefault="00FB38F8" w:rsidP="00FB38F8">
      <w:pPr>
        <w:pStyle w:val="PB1"/>
      </w:pPr>
      <w:r w:rsidRPr="00FB38F8">
        <w:lastRenderedPageBreak/>
        <w:t>details of the medicinal products that have been transferred (including batch numbers and quantities</w:t>
      </w:r>
      <w:r w:rsidR="00F663AE">
        <w:t xml:space="preserve"> of the product</w:t>
      </w:r>
      <w:r w:rsidRPr="00FB38F8">
        <w:t>))</w:t>
      </w:r>
    </w:p>
    <w:p w14:paraId="37030FAF" w14:textId="39C49738" w:rsidR="00FB38F8" w:rsidRPr="00FB38F8" w:rsidRDefault="00FB38F8" w:rsidP="00FB38F8">
      <w:pPr>
        <w:pStyle w:val="PB1"/>
      </w:pPr>
      <w:r w:rsidRPr="00FB38F8">
        <w:t xml:space="preserve">evidence that the medicinal product’s storage conditions were maintained both by the originating </w:t>
      </w:r>
      <w:r w:rsidR="00C9490A">
        <w:t>location</w:t>
      </w:r>
      <w:r w:rsidRPr="00FB38F8">
        <w:t xml:space="preserve">, and during shipment to the receiving </w:t>
      </w:r>
      <w:r w:rsidR="00C9490A">
        <w:t>location</w:t>
      </w:r>
      <w:r w:rsidR="00C9490A" w:rsidRPr="00FB38F8">
        <w:t xml:space="preserve"> </w:t>
      </w:r>
      <w:r w:rsidRPr="00FB38F8">
        <w:t>(as per the risk assessment).</w:t>
      </w:r>
    </w:p>
    <w:p w14:paraId="4882D292" w14:textId="37E4A0B0" w:rsidR="00636715" w:rsidRPr="00204434" w:rsidRDefault="000E7DD8" w:rsidP="00EB48FC">
      <w:r w:rsidRPr="00EB48FC">
        <w:rPr>
          <w:b/>
          <w:bCs/>
        </w:rPr>
        <w:t>For IMPs only</w:t>
      </w:r>
      <w:r>
        <w:t xml:space="preserve"> – t</w:t>
      </w:r>
      <w:r w:rsidR="00FB38F8" w:rsidRPr="00FB38F8">
        <w:t xml:space="preserve">he transfer of IMPs between </w:t>
      </w:r>
      <w:r w:rsidR="00DC1E1F">
        <w:t>trial locations</w:t>
      </w:r>
      <w:r w:rsidR="00DC1E1F" w:rsidRPr="00FB38F8">
        <w:t xml:space="preserve"> </w:t>
      </w:r>
      <w:r w:rsidR="00FB38F8" w:rsidRPr="00FB38F8">
        <w:t xml:space="preserve">is only allowed in exceptional circumstances (as per Article 47 of </w:t>
      </w:r>
      <w:hyperlink r:id="rId38" w:tooltip="Link to Annex 13" w:history="1">
        <w:r w:rsidR="00FB38F8" w:rsidRPr="00FB38F8">
          <w:rPr>
            <w:color w:val="0000FF"/>
            <w:u w:val="single"/>
          </w:rPr>
          <w:t>Annex 1</w:t>
        </w:r>
        <w:r w:rsidR="007D1E48">
          <w:rPr>
            <w:color w:val="0000FF"/>
            <w:u w:val="single"/>
          </w:rPr>
          <w:t>3</w:t>
        </w:r>
      </w:hyperlink>
      <w:r w:rsidR="00C56C51">
        <w:t xml:space="preserve"> (PDF – 66 KB)</w:t>
      </w:r>
      <w:r w:rsidR="00FB38F8" w:rsidRPr="00FB38F8">
        <w:t xml:space="preserve">). </w:t>
      </w:r>
      <w:r w:rsidR="000F76FB">
        <w:t xml:space="preserve">Exceptional circumstances are indicated for example, where participant safety is at risk if supplies cannot be provided from another </w:t>
      </w:r>
      <w:r w:rsidR="00C9490A">
        <w:t xml:space="preserve">study/trial location </w:t>
      </w:r>
      <w:r w:rsidR="00F663AE">
        <w:t xml:space="preserve">and </w:t>
      </w:r>
      <w:r w:rsidR="00B54B7E">
        <w:t xml:space="preserve">is </w:t>
      </w:r>
      <w:r w:rsidR="00F663AE">
        <w:t>not due to inadequate oversight of the manufacturing or supply of the product</w:t>
      </w:r>
      <w:r w:rsidR="000F76FB">
        <w:t>.</w:t>
      </w:r>
      <w:r w:rsidR="00636715">
        <w:rPr>
          <w:b/>
          <w:bCs/>
        </w:rPr>
        <w:t xml:space="preserve"> </w:t>
      </w:r>
      <w:r w:rsidR="00636715" w:rsidRPr="00636715">
        <w:t>Note</w:t>
      </w:r>
      <w:r w:rsidR="00636715" w:rsidRPr="00204434">
        <w:t xml:space="preserve">: </w:t>
      </w:r>
      <w:r w:rsidR="00204434" w:rsidRPr="00EB48FC">
        <w:t xml:space="preserve">transfer </w:t>
      </w:r>
      <w:r w:rsidR="00204434">
        <w:t xml:space="preserve">of IMPs </w:t>
      </w:r>
      <w:r w:rsidR="00DC1E1F">
        <w:t xml:space="preserve">between trial locations </w:t>
      </w:r>
      <w:r w:rsidR="00204434" w:rsidRPr="00EB48FC">
        <w:t xml:space="preserve">for </w:t>
      </w:r>
      <w:r w:rsidR="00204434">
        <w:t xml:space="preserve">recruitment of </w:t>
      </w:r>
      <w:r w:rsidR="00204434" w:rsidRPr="00EB48FC">
        <w:t xml:space="preserve">new patients should not be permit. </w:t>
      </w:r>
      <w:r w:rsidR="00636715" w:rsidRPr="00204434">
        <w:t xml:space="preserve"> </w:t>
      </w:r>
    </w:p>
    <w:p w14:paraId="6A34A229" w14:textId="255B842B" w:rsidR="00636715" w:rsidRDefault="00FB38F8" w:rsidP="00636715">
      <w:pPr>
        <w:pStyle w:val="PN11"/>
      </w:pPr>
      <w:r w:rsidRPr="00FB38F8">
        <w:t xml:space="preserve">Where transfer of an IMP between </w:t>
      </w:r>
      <w:r w:rsidR="00DC1E1F">
        <w:t>trial locations</w:t>
      </w:r>
      <w:r w:rsidR="00DC1E1F" w:rsidRPr="00FB38F8">
        <w:t xml:space="preserve"> </w:t>
      </w:r>
      <w:r w:rsidRPr="00FB38F8">
        <w:t>is required, the CI (or delegate) will have a formal process in place</w:t>
      </w:r>
      <w:r w:rsidR="00636715">
        <w:t xml:space="preserve"> as described in procedure point 2.</w:t>
      </w:r>
      <w:r w:rsidR="00891E19">
        <w:t>40</w:t>
      </w:r>
      <w:r w:rsidR="00636715">
        <w:t>. It is also expected that:</w:t>
      </w:r>
    </w:p>
    <w:p w14:paraId="17E4920B" w14:textId="643D0056" w:rsidR="000479EE" w:rsidRDefault="000479EE" w:rsidP="00636715">
      <w:pPr>
        <w:pStyle w:val="PB1"/>
      </w:pPr>
      <w:r>
        <w:t xml:space="preserve">the activity is conducted under the supervision of a </w:t>
      </w:r>
      <w:r w:rsidR="000721B6">
        <w:t xml:space="preserve">person </w:t>
      </w:r>
      <w:r>
        <w:t>suitably qualified and, if required, advice from a QP obtained</w:t>
      </w:r>
    </w:p>
    <w:p w14:paraId="61091F35" w14:textId="2BABF06B" w:rsidR="000479EE" w:rsidRDefault="000721B6" w:rsidP="000479EE">
      <w:pPr>
        <w:pStyle w:val="PB1"/>
      </w:pPr>
      <w:r>
        <w:t>(</w:t>
      </w:r>
      <w:r w:rsidR="000479EE">
        <w:t>where time permits</w:t>
      </w:r>
      <w:r>
        <w:t>)</w:t>
      </w:r>
      <w:r w:rsidR="000479EE">
        <w:t xml:space="preserve"> materials </w:t>
      </w:r>
      <w:r w:rsidR="00636715">
        <w:t>are</w:t>
      </w:r>
      <w:r w:rsidR="000479EE">
        <w:t xml:space="preserve"> returned to the manufacturer for re-labelling</w:t>
      </w:r>
      <w:r>
        <w:t xml:space="preserve"> (if required), and</w:t>
      </w:r>
      <w:r w:rsidR="000479EE">
        <w:t xml:space="preserve"> to ensure the integrity of the IMP.</w:t>
      </w:r>
    </w:p>
    <w:p w14:paraId="04DD756D" w14:textId="3ED6AB11" w:rsidR="00FB38F8" w:rsidRDefault="00DC1E1F" w:rsidP="00EB48FC">
      <w:pPr>
        <w:pStyle w:val="PN11"/>
      </w:pPr>
      <w:r>
        <w:t xml:space="preserve">For projects managed outside a UoB CTU, </w:t>
      </w:r>
      <w:r w:rsidR="00FB38F8" w:rsidRPr="00FB38F8">
        <w:t>the CI (or delegate</w:t>
      </w:r>
      <w:r w:rsidR="008743BA">
        <w:t>)</w:t>
      </w:r>
      <w:r w:rsidR="00FB38F8" w:rsidRPr="00FB38F8">
        <w:t xml:space="preserve"> will obtain approval from the </w:t>
      </w:r>
      <w:r>
        <w:t>REGI</w:t>
      </w:r>
      <w:r w:rsidRPr="00FB38F8">
        <w:t xml:space="preserve"> </w:t>
      </w:r>
      <w:r w:rsidR="00FB38F8" w:rsidRPr="00FB38F8">
        <w:t>as the sponsor</w:t>
      </w:r>
      <w:r>
        <w:t xml:space="preserve"> p</w:t>
      </w:r>
      <w:r w:rsidRPr="00FB38F8">
        <w:t xml:space="preserve">rior to the transfer of IMP between </w:t>
      </w:r>
      <w:r>
        <w:t>trial locations</w:t>
      </w:r>
      <w:r w:rsidR="00FB38F8" w:rsidRPr="00FB38F8">
        <w:t xml:space="preserve">. </w:t>
      </w:r>
    </w:p>
    <w:p w14:paraId="2E5B566F" w14:textId="1906765E" w:rsidR="00FB38F8" w:rsidRDefault="00FB38F8" w:rsidP="00FB38F8">
      <w:pPr>
        <w:pStyle w:val="PN1"/>
      </w:pPr>
      <w:bookmarkStart w:id="34" w:name="_Toc214623588"/>
      <w:r>
        <w:t xml:space="preserve">During the </w:t>
      </w:r>
      <w:r w:rsidR="00FD62E3">
        <w:t>project</w:t>
      </w:r>
      <w:bookmarkEnd w:id="34"/>
    </w:p>
    <w:p w14:paraId="0B436E16" w14:textId="4C6D8C95" w:rsidR="00FB38F8" w:rsidRPr="00FB38F8" w:rsidRDefault="00FB38F8" w:rsidP="00FB38F8">
      <w:pPr>
        <w:pStyle w:val="PN11"/>
      </w:pPr>
      <w:r w:rsidRPr="00FB38F8">
        <w:t xml:space="preserve">Where stock is delivered to </w:t>
      </w:r>
      <w:r w:rsidR="00405A17">
        <w:t xml:space="preserve">study/trial location </w:t>
      </w:r>
      <w:r w:rsidRPr="00FB38F8">
        <w:t>for the project, the CI (or delegate) will:</w:t>
      </w:r>
    </w:p>
    <w:p w14:paraId="34E2F518" w14:textId="21B70F11" w:rsidR="00FB38F8" w:rsidRPr="00FB38F8" w:rsidRDefault="00FB38F8" w:rsidP="00FB38F8">
      <w:pPr>
        <w:pStyle w:val="PB1"/>
      </w:pPr>
      <w:r w:rsidRPr="00FB38F8">
        <w:t xml:space="preserve">ensure the receipting </w:t>
      </w:r>
      <w:r w:rsidR="00405A17">
        <w:t>location</w:t>
      </w:r>
      <w:r w:rsidR="00405A17" w:rsidRPr="00FB38F8">
        <w:t xml:space="preserve"> </w:t>
      </w:r>
      <w:r w:rsidRPr="00FB38F8">
        <w:t>(e.g. pharmacy) checks and documents the quantity and condition of any medicinal products /treatment packs at the time of arrival</w:t>
      </w:r>
    </w:p>
    <w:p w14:paraId="01E16EEB" w14:textId="77777777" w:rsidR="00FB38F8" w:rsidRPr="00FB38F8" w:rsidRDefault="00FB38F8" w:rsidP="00FB38F8">
      <w:pPr>
        <w:pStyle w:val="PB1"/>
      </w:pPr>
      <w:r w:rsidRPr="00FB38F8">
        <w:t>monitor the expiry dates of medicinal products</w:t>
      </w:r>
    </w:p>
    <w:p w14:paraId="4068CEA4" w14:textId="45601B75" w:rsidR="00FB38F8" w:rsidRPr="00FB38F8" w:rsidRDefault="00FB38F8" w:rsidP="00FB38F8">
      <w:pPr>
        <w:pStyle w:val="PB1"/>
      </w:pPr>
      <w:r w:rsidRPr="00FB38F8">
        <w:t xml:space="preserve">for CTIMPs and ATIMPs, relabel the IMP in accordance with Article 33 of </w:t>
      </w:r>
      <w:hyperlink r:id="rId39" w:tooltip="Link to Annex 13." w:history="1">
        <w:r w:rsidRPr="00FB38F8">
          <w:rPr>
            <w:color w:val="0000FF"/>
            <w:u w:val="single"/>
          </w:rPr>
          <w:t>Annex 1</w:t>
        </w:r>
        <w:r w:rsidR="007D1E48">
          <w:rPr>
            <w:color w:val="0000FF"/>
            <w:u w:val="single"/>
          </w:rPr>
          <w:t>3</w:t>
        </w:r>
      </w:hyperlink>
      <w:r w:rsidR="00C56C51">
        <w:t xml:space="preserve"> (PDF – 66 KB)</w:t>
      </w:r>
      <w:r w:rsidRPr="00FB38F8">
        <w:t>,where it becomes necessary to change the use-by date.</w:t>
      </w:r>
    </w:p>
    <w:p w14:paraId="0FCC35F0" w14:textId="64AE9CFE" w:rsidR="00FB38F8" w:rsidRPr="00FB38F8" w:rsidRDefault="00FB38F8" w:rsidP="00F019F1">
      <w:pPr>
        <w:pStyle w:val="PN11"/>
      </w:pPr>
      <w:r w:rsidRPr="00FB38F8">
        <w:t xml:space="preserve">The CI (or delegate) will maintain oversight of stock levels and expiry </w:t>
      </w:r>
      <w:r w:rsidR="00DD76C5" w:rsidRPr="00FB38F8">
        <w:t>dates and</w:t>
      </w:r>
      <w:r w:rsidRPr="00FB38F8">
        <w:t xml:space="preserve"> will ensure that the medicinal product is restocked in a timely manner throughout the </w:t>
      </w:r>
      <w:r w:rsidR="007B3053">
        <w:t>project</w:t>
      </w:r>
      <w:r w:rsidRPr="00FB38F8">
        <w:t>.</w:t>
      </w:r>
    </w:p>
    <w:p w14:paraId="283DDFD4" w14:textId="06C9B7FA" w:rsidR="00FB38F8" w:rsidRPr="00FB38F8" w:rsidRDefault="00FB38F8" w:rsidP="00F019F1">
      <w:pPr>
        <w:pStyle w:val="PN11"/>
      </w:pPr>
      <w:r w:rsidRPr="00FB38F8">
        <w:t xml:space="preserve">The CI (or delegate) will maintain an up-to-date list of project-specific contacts (e.g. project-specific pharmacists) at each </w:t>
      </w:r>
      <w:r w:rsidR="00046ABA">
        <w:t xml:space="preserve">study/trial location </w:t>
      </w:r>
      <w:r w:rsidRPr="00FB38F8">
        <w:t>for use in the event of an emergency.</w:t>
      </w:r>
    </w:p>
    <w:p w14:paraId="68C07EDC" w14:textId="03A39929" w:rsidR="00FB38F8" w:rsidRDefault="00FB38F8" w:rsidP="00F019F1">
      <w:pPr>
        <w:pStyle w:val="PN11"/>
      </w:pPr>
      <w:r w:rsidRPr="00FB38F8">
        <w:t xml:space="preserve">The CI (or delegate) will ensure that the </w:t>
      </w:r>
      <w:r w:rsidR="00046ABA">
        <w:t xml:space="preserve">study/trial location </w:t>
      </w:r>
      <w:r w:rsidRPr="00FB38F8">
        <w:t xml:space="preserve">has the ability to unblind a participant immediately in the case of a medical emergency, see </w:t>
      </w:r>
      <w:r w:rsidRPr="00DD76C5">
        <w:rPr>
          <w:rStyle w:val="DocrefChar"/>
        </w:rPr>
        <w:t>Randomisation and Blinding</w:t>
      </w:r>
      <w:r w:rsidR="0052128A" w:rsidRPr="00DD76C5">
        <w:rPr>
          <w:rStyle w:val="DocrefChar"/>
        </w:rPr>
        <w:t xml:space="preserve"> SOP (UoB-RND-SOP-001)</w:t>
      </w:r>
      <w:r w:rsidRPr="00FB38F8">
        <w:t>.</w:t>
      </w:r>
    </w:p>
    <w:p w14:paraId="0B3E1F75" w14:textId="78D9B428" w:rsidR="00F019F1" w:rsidRDefault="00F019F1" w:rsidP="00F019F1">
      <w:pPr>
        <w:pStyle w:val="PN1"/>
      </w:pPr>
      <w:bookmarkStart w:id="35" w:name="_Toc214623589"/>
      <w:r>
        <w:t xml:space="preserve">After the </w:t>
      </w:r>
      <w:r w:rsidR="00FD62E3">
        <w:t>project</w:t>
      </w:r>
      <w:bookmarkEnd w:id="35"/>
    </w:p>
    <w:p w14:paraId="13F430D4" w14:textId="2A99F703" w:rsidR="00F019F1" w:rsidRPr="00F019F1" w:rsidRDefault="00F019F1" w:rsidP="00F019F1">
      <w:pPr>
        <w:pStyle w:val="PN11"/>
      </w:pPr>
      <w:r w:rsidRPr="00F019F1">
        <w:t>The CI (or delegate) will ensure medicinal-product reconciliation is performed as per the project-specific monitoring plan (where appropriate).</w:t>
      </w:r>
    </w:p>
    <w:p w14:paraId="1A01E725" w14:textId="6FA5E682" w:rsidR="00F019F1" w:rsidRPr="00F019F1" w:rsidRDefault="00F019F1" w:rsidP="00F019F1">
      <w:pPr>
        <w:pStyle w:val="PN11"/>
      </w:pPr>
      <w:r w:rsidRPr="00F019F1">
        <w:t xml:space="preserve">The CI (or delegate) will ensure any remaining medicinal product is destroyed (where appropriate) and retain documentation of its destruction. It is recommended that, where possible, the medicinal product is only destroyed after the project report has been written. </w:t>
      </w:r>
    </w:p>
    <w:p w14:paraId="560D3DC6" w14:textId="4A8900D0" w:rsidR="00F019F1" w:rsidRPr="00F019F1" w:rsidRDefault="00F019F1" w:rsidP="00F019F1">
      <w:pPr>
        <w:pStyle w:val="PB1"/>
      </w:pPr>
      <w:r w:rsidRPr="00F019F1">
        <w:t xml:space="preserve">Under some circumstances it is possible to re-use medicinal products, see section ‘Use of project material after project completion’ below for details. </w:t>
      </w:r>
    </w:p>
    <w:p w14:paraId="1450FCFA" w14:textId="36377B3C" w:rsidR="00586DF0" w:rsidRDefault="00F019F1" w:rsidP="00F817DC">
      <w:pPr>
        <w:pStyle w:val="PN11"/>
      </w:pPr>
      <w:r w:rsidRPr="00DD76C5">
        <w:rPr>
          <w:rStyle w:val="PN11Char"/>
        </w:rPr>
        <w:t xml:space="preserve">The CI (or delegate) will archive documentation relating to the medicinal product’s management (including pharmacy documentation) with the S/TMF and relevant </w:t>
      </w:r>
      <w:r w:rsidR="00046ABA">
        <w:rPr>
          <w:rStyle w:val="PN11Char"/>
        </w:rPr>
        <w:t>investigator</w:t>
      </w:r>
      <w:r w:rsidR="00046ABA" w:rsidRPr="00DD76C5">
        <w:rPr>
          <w:rStyle w:val="PN11Char"/>
        </w:rPr>
        <w:t xml:space="preserve"> </w:t>
      </w:r>
      <w:r w:rsidRPr="00DD76C5">
        <w:rPr>
          <w:rStyle w:val="PN11Char"/>
        </w:rPr>
        <w:t>files at</w:t>
      </w:r>
      <w:r w:rsidR="00046ABA">
        <w:rPr>
          <w:rStyle w:val="PN11Char"/>
        </w:rPr>
        <w:t xml:space="preserve"> each </w:t>
      </w:r>
      <w:r w:rsidR="00046ABA">
        <w:t>study/trial location</w:t>
      </w:r>
      <w:r w:rsidRPr="00DD76C5">
        <w:rPr>
          <w:rStyle w:val="PN11Char"/>
        </w:rPr>
        <w:t xml:space="preserve"> </w:t>
      </w:r>
      <w:r w:rsidR="00046ABA">
        <w:rPr>
          <w:rStyle w:val="PN11Char"/>
        </w:rPr>
        <w:t xml:space="preserve">at </w:t>
      </w:r>
      <w:r w:rsidRPr="00DD76C5">
        <w:rPr>
          <w:rStyle w:val="PN11Char"/>
        </w:rPr>
        <w:t xml:space="preserve">the end of the project, in accordance with </w:t>
      </w:r>
      <w:r w:rsidRPr="00DD76C5">
        <w:rPr>
          <w:rStyle w:val="DocrefChar"/>
        </w:rPr>
        <w:t>Archiving</w:t>
      </w:r>
      <w:r w:rsidR="00D45651" w:rsidRPr="00DD76C5">
        <w:rPr>
          <w:rStyle w:val="DocrefChar"/>
        </w:rPr>
        <w:t xml:space="preserve"> SOP (UoB-ARC-SOP-001)</w:t>
      </w:r>
      <w:r w:rsidRPr="00F019F1">
        <w:t>.</w:t>
      </w:r>
    </w:p>
    <w:p w14:paraId="29AEE90F" w14:textId="4C8DDA36" w:rsidR="00586DF0" w:rsidRDefault="00586DF0" w:rsidP="00586DF0">
      <w:pPr>
        <w:pStyle w:val="Heading3"/>
      </w:pPr>
      <w:bookmarkStart w:id="36" w:name="_Toc214623590"/>
      <w:r w:rsidRPr="00586DF0">
        <w:t>Use of project material after project completion (if appropriate)</w:t>
      </w:r>
      <w:bookmarkEnd w:id="36"/>
    </w:p>
    <w:p w14:paraId="4791BB11" w14:textId="78F92554" w:rsidR="00586DF0" w:rsidRPr="00586DF0" w:rsidRDefault="00586DF0" w:rsidP="00586DF0">
      <w:pPr>
        <w:pStyle w:val="PN11"/>
      </w:pPr>
      <w:r w:rsidRPr="00586DF0">
        <w:t xml:space="preserve">For licenced products with no modifications, the CI (or delegate) will remove any research project-specific labelling without damaging the underlying package and instructions. They will then transfer the stock to the </w:t>
      </w:r>
      <w:r w:rsidR="00D45651" w:rsidRPr="00586DF0">
        <w:t>pharmacy and</w:t>
      </w:r>
      <w:r w:rsidRPr="00586DF0">
        <w:t xml:space="preserve"> retain documentation of the transfer.  </w:t>
      </w:r>
    </w:p>
    <w:p w14:paraId="3CC25A56" w14:textId="77777777" w:rsidR="00586DF0" w:rsidRPr="00586DF0" w:rsidRDefault="00586DF0" w:rsidP="00586DF0">
      <w:pPr>
        <w:pStyle w:val="PN11"/>
      </w:pPr>
      <w:r w:rsidRPr="00586DF0">
        <w:t>For CTIMPs and ATIMPs only: for material manufactured as an IMP, the CI (or delegate) will ensure the protocol allows for extended use outside of the specific research project before re-use. The CI (or delegate) will amend the IMP labelling (if required) and will retain documentation of the transfer of stock to the pharmacy.</w:t>
      </w:r>
    </w:p>
    <w:p w14:paraId="071062F2" w14:textId="77777777" w:rsidR="00586DF0" w:rsidRPr="00586DF0" w:rsidRDefault="00586DF0" w:rsidP="00586DF0">
      <w:pPr>
        <w:pStyle w:val="PB1"/>
      </w:pPr>
      <w:r w:rsidRPr="00586DF0">
        <w:lastRenderedPageBreak/>
        <w:t xml:space="preserve">For continued use of the IMP to treat patients after the research project has been completed, or terminated early, the product is no longer an IMP and becomes an unlicensed relevant medicinal product and the responsibility of the prescriber. </w:t>
      </w:r>
    </w:p>
    <w:p w14:paraId="1AB09F41" w14:textId="77777777" w:rsidR="00586DF0" w:rsidRPr="00586DF0" w:rsidRDefault="00586DF0" w:rsidP="00586DF0">
      <w:pPr>
        <w:pStyle w:val="PB1"/>
      </w:pPr>
      <w:r w:rsidRPr="00586DF0">
        <w:t>For transfer of the surplus IMP to another trial, the IMP must be appropriately re-labelled and prepared for re-assessment for QP release against the new CTA(s).</w:t>
      </w:r>
    </w:p>
    <w:p w14:paraId="0E825B6F" w14:textId="77777777" w:rsidR="002077C5" w:rsidRDefault="002077C5">
      <w:pPr>
        <w:spacing w:before="0" w:after="200" w:line="276" w:lineRule="auto"/>
        <w:jc w:val="left"/>
        <w:rPr>
          <w:rFonts w:asciiTheme="minorHAnsi" w:hAnsiTheme="minorHAnsi" w:cstheme="minorHAnsi"/>
          <w:b/>
          <w:caps/>
          <w:color w:val="1F497D" w:themeColor="text2"/>
          <w:kern w:val="32"/>
          <w:sz w:val="28"/>
          <w:szCs w:val="28"/>
        </w:rPr>
      </w:pPr>
      <w:bookmarkStart w:id="37" w:name="_Toc214623591"/>
      <w:r>
        <w:br w:type="page"/>
      </w:r>
    </w:p>
    <w:p w14:paraId="05273B72" w14:textId="2953CA3D" w:rsidR="00692DFA" w:rsidRPr="00435EAE" w:rsidRDefault="00692DFA" w:rsidP="005F2DE3">
      <w:pPr>
        <w:pStyle w:val="Heading1"/>
      </w:pPr>
      <w:r w:rsidRPr="00435EAE">
        <w:lastRenderedPageBreak/>
        <w:t>List of expected outputs</w:t>
      </w:r>
      <w:bookmarkEnd w:id="37"/>
    </w:p>
    <w:p w14:paraId="1FC76931" w14:textId="77777777" w:rsidR="008C484F" w:rsidRPr="008C484F" w:rsidRDefault="008C484F" w:rsidP="008C484F">
      <w:pPr>
        <w:pStyle w:val="bullet10"/>
      </w:pPr>
      <w:r w:rsidRPr="008C484F">
        <w:t>Evidence of the medicinal product’s management and appropriate justification detailed in the protocol.</w:t>
      </w:r>
    </w:p>
    <w:p w14:paraId="401B37FF" w14:textId="77777777" w:rsidR="008C484F" w:rsidRPr="008C484F" w:rsidRDefault="008C484F" w:rsidP="008C484F">
      <w:pPr>
        <w:pStyle w:val="bullet10"/>
      </w:pPr>
      <w:r w:rsidRPr="008C484F">
        <w:t xml:space="preserve">Evidence of the medicinal product’s management documented in the risk assessment. </w:t>
      </w:r>
    </w:p>
    <w:p w14:paraId="6F3FF824" w14:textId="77777777" w:rsidR="008C484F" w:rsidRPr="008C484F" w:rsidRDefault="008C484F" w:rsidP="008C484F">
      <w:pPr>
        <w:pStyle w:val="bullet10"/>
      </w:pPr>
      <w:r w:rsidRPr="008C484F">
        <w:t>Evidence of staff training on activities relating to medicinal-product management.</w:t>
      </w:r>
    </w:p>
    <w:p w14:paraId="041F7A5D" w14:textId="77777777" w:rsidR="008C484F" w:rsidRPr="008C484F" w:rsidRDefault="008C484F" w:rsidP="008C484F">
      <w:pPr>
        <w:pStyle w:val="bullet10"/>
      </w:pPr>
      <w:r w:rsidRPr="008C484F">
        <w:t>Evidence of an SmPC, with appropriate notification systems in place for updates.</w:t>
      </w:r>
    </w:p>
    <w:p w14:paraId="46A5E9DF" w14:textId="77777777" w:rsidR="008C484F" w:rsidRPr="008C484F" w:rsidRDefault="008C484F" w:rsidP="008C484F">
      <w:pPr>
        <w:pStyle w:val="bullet10"/>
      </w:pPr>
      <w:r w:rsidRPr="008C484F">
        <w:t xml:space="preserve">Evidence of all required contracts and agreements to be in place e.g. between sponsor and the medicinal product’s supplier. </w:t>
      </w:r>
    </w:p>
    <w:p w14:paraId="6609F0AB" w14:textId="77777777" w:rsidR="008C484F" w:rsidRPr="008C484F" w:rsidRDefault="008C484F" w:rsidP="008C484F">
      <w:pPr>
        <w:pStyle w:val="bullet10"/>
      </w:pPr>
      <w:r w:rsidRPr="008C484F">
        <w:t xml:space="preserve">Evidence of appropriate medicinal-product labelling, and relevant information about the medicinal product being made available to the participant. </w:t>
      </w:r>
    </w:p>
    <w:p w14:paraId="2662B61A" w14:textId="097F6F43" w:rsidR="008C484F" w:rsidRPr="008C484F" w:rsidRDefault="008C484F" w:rsidP="008C484F">
      <w:pPr>
        <w:pStyle w:val="bullet10"/>
      </w:pPr>
      <w:r w:rsidRPr="008C484F">
        <w:t xml:space="preserve">Evidence of </w:t>
      </w:r>
      <w:r w:rsidR="007856A7">
        <w:t xml:space="preserve">a </w:t>
      </w:r>
      <w:r w:rsidRPr="008C484F">
        <w:t>documented proces</w:t>
      </w:r>
      <w:r w:rsidR="007856A7">
        <w:t>s</w:t>
      </w:r>
      <w:r w:rsidRPr="008C484F">
        <w:t xml:space="preserve"> for medicinal-product ordering, shipping, storing and destroying</w:t>
      </w:r>
      <w:r w:rsidR="007856A7">
        <w:t xml:space="preserve"> and, where there is a deviation to this, documented evidence of a risk assessment prior to implementation</w:t>
      </w:r>
      <w:r w:rsidRPr="008C484F">
        <w:t>.</w:t>
      </w:r>
    </w:p>
    <w:p w14:paraId="33F0BF17" w14:textId="77777777" w:rsidR="008C484F" w:rsidRPr="008C484F" w:rsidRDefault="008C484F" w:rsidP="008C484F">
      <w:pPr>
        <w:pStyle w:val="bullet10"/>
      </w:pPr>
      <w:r w:rsidRPr="008C484F">
        <w:t xml:space="preserve">Evidence of clear medicinal-product accountability and monitoring of medicinal-product compliance.  </w:t>
      </w:r>
    </w:p>
    <w:p w14:paraId="35DF9F50" w14:textId="78DC153C" w:rsidR="008C484F" w:rsidRPr="008C484F" w:rsidRDefault="008C484F" w:rsidP="008C484F">
      <w:pPr>
        <w:pStyle w:val="bullet10"/>
      </w:pPr>
      <w:r w:rsidRPr="008C484F">
        <w:t xml:space="preserve">Where appropriate, evidence of technical and regulatory release prior to shipping the medicinal product to </w:t>
      </w:r>
      <w:r w:rsidR="006C3775">
        <w:t xml:space="preserve">study/trial locations </w:t>
      </w:r>
      <w:r w:rsidRPr="008C484F">
        <w:t xml:space="preserve">and recruiting participants. </w:t>
      </w:r>
    </w:p>
    <w:p w14:paraId="5EEF7E40" w14:textId="77777777" w:rsidR="008C484F" w:rsidRPr="008C484F" w:rsidRDefault="008C484F" w:rsidP="008C484F">
      <w:pPr>
        <w:pStyle w:val="bullet10"/>
      </w:pPr>
      <w:r w:rsidRPr="008C484F">
        <w:t>Evidence of procedures to monitor and act in response to a medicinal product’s recall.</w:t>
      </w:r>
    </w:p>
    <w:p w14:paraId="24CB5450" w14:textId="77777777" w:rsidR="008C484F" w:rsidRPr="008C484F" w:rsidRDefault="008C484F" w:rsidP="008C484F">
      <w:pPr>
        <w:pStyle w:val="bullet10"/>
      </w:pPr>
      <w:r w:rsidRPr="008C484F">
        <w:t xml:space="preserve">Evidence of temperature monitoring and a documented procedure to follow in the event of a medicinal product’s temperature deviation. </w:t>
      </w:r>
    </w:p>
    <w:p w14:paraId="276E4C98" w14:textId="2E278BF8" w:rsidR="008C484F" w:rsidRPr="008C484F" w:rsidRDefault="008C484F" w:rsidP="008C484F">
      <w:pPr>
        <w:pStyle w:val="bullet10"/>
      </w:pPr>
      <w:r w:rsidRPr="008C484F">
        <w:t xml:space="preserve">Evidence of a documented procedure for a medicinal product’s transfer between </w:t>
      </w:r>
      <w:r w:rsidR="006C3775">
        <w:t>study/trial locations</w:t>
      </w:r>
      <w:r w:rsidRPr="008C484F">
        <w:t xml:space="preserve">. </w:t>
      </w:r>
    </w:p>
    <w:p w14:paraId="4D7D1A4A" w14:textId="77777777" w:rsidR="008C484F" w:rsidRPr="008C484F" w:rsidRDefault="008C484F" w:rsidP="008C484F">
      <w:pPr>
        <w:pStyle w:val="bullet10"/>
      </w:pPr>
      <w:r w:rsidRPr="008C484F">
        <w:t xml:space="preserve">Evidence of medicinal-product reconciliation and destruction/reuse of any remaining medicinal product. </w:t>
      </w:r>
    </w:p>
    <w:p w14:paraId="53667621" w14:textId="5EA409D3" w:rsidR="008C484F" w:rsidRDefault="008C484F" w:rsidP="008C484F">
      <w:pPr>
        <w:pStyle w:val="bullet10"/>
      </w:pPr>
      <w:r w:rsidRPr="008C484F">
        <w:t xml:space="preserve">Evidence that the documentation related to IMP management has been stored at the end of the trial as per </w:t>
      </w:r>
      <w:r w:rsidRPr="00346083">
        <w:rPr>
          <w:rStyle w:val="DocrefChar"/>
        </w:rPr>
        <w:t>Archiving</w:t>
      </w:r>
      <w:r w:rsidR="00D45651" w:rsidRPr="00346083">
        <w:rPr>
          <w:rStyle w:val="DocrefChar"/>
        </w:rPr>
        <w:t xml:space="preserve"> SOP (UoB-ARC-SOP-001)</w:t>
      </w:r>
      <w:r w:rsidRPr="008C484F">
        <w:t>.</w:t>
      </w:r>
    </w:p>
    <w:p w14:paraId="78D34105" w14:textId="64EBB99D" w:rsidR="00401491" w:rsidRPr="008C484F" w:rsidRDefault="00401491" w:rsidP="008C484F">
      <w:pPr>
        <w:pStyle w:val="bullet10"/>
      </w:pPr>
      <w:r>
        <w:t>Documented evidence of blinding risks and mitigations in risk assessments for blinded projects.</w:t>
      </w:r>
    </w:p>
    <w:p w14:paraId="3B325F08" w14:textId="77777777" w:rsidR="008C484F" w:rsidRDefault="008C484F" w:rsidP="008C484F">
      <w:pPr>
        <w:jc w:val="left"/>
      </w:pPr>
      <w:r w:rsidRPr="008C484F">
        <w:t>Additional requirements, for CTIMPs and ATIMPs.</w:t>
      </w:r>
    </w:p>
    <w:p w14:paraId="08C0EB57" w14:textId="77777777" w:rsidR="008C484F" w:rsidRPr="008C484F" w:rsidRDefault="008C484F" w:rsidP="008C484F">
      <w:pPr>
        <w:pStyle w:val="bullet10"/>
      </w:pPr>
      <w:r w:rsidRPr="008C484F">
        <w:t xml:space="preserve">A list of IMPs, ATMPs and NIMPs with a statement on the authorised status of each product in the protocol. </w:t>
      </w:r>
    </w:p>
    <w:p w14:paraId="6C1118B5" w14:textId="77777777" w:rsidR="008C484F" w:rsidRPr="008C484F" w:rsidRDefault="008C484F" w:rsidP="008C484F">
      <w:pPr>
        <w:pStyle w:val="bullet10"/>
      </w:pPr>
      <w:r w:rsidRPr="008C484F">
        <w:t>CTIMP and ATIMP considerations documented in the risk assessment.</w:t>
      </w:r>
    </w:p>
    <w:p w14:paraId="66EDC91E" w14:textId="77777777" w:rsidR="008C484F" w:rsidRPr="008C484F" w:rsidRDefault="008C484F" w:rsidP="008C484F">
      <w:pPr>
        <w:pStyle w:val="bullet10"/>
      </w:pPr>
      <w:r w:rsidRPr="008C484F">
        <w:t>Evidence of IB (if needed).</w:t>
      </w:r>
    </w:p>
    <w:p w14:paraId="4B497D5B" w14:textId="77777777" w:rsidR="008C484F" w:rsidRPr="008C484F" w:rsidRDefault="008C484F" w:rsidP="008C484F">
      <w:pPr>
        <w:pStyle w:val="bullet10"/>
      </w:pPr>
      <w:r w:rsidRPr="008C484F">
        <w:t>For blinded CTIMPs or ATIMPs, evidence that the IMP is provided in a final blinded format.</w:t>
      </w:r>
    </w:p>
    <w:p w14:paraId="5D5AF6C1" w14:textId="1F556388" w:rsidR="008C484F" w:rsidRPr="008C484F" w:rsidRDefault="008C484F" w:rsidP="008C484F">
      <w:pPr>
        <w:pStyle w:val="bullet10"/>
      </w:pPr>
      <w:r w:rsidRPr="008C484F">
        <w:t xml:space="preserve">Trial-specific labels designed, and any necessary changes to the label made, in accordance with </w:t>
      </w:r>
      <w:hyperlink r:id="rId40" w:tooltip="Link to Annex 13" w:history="1">
        <w:r w:rsidRPr="008C484F">
          <w:rPr>
            <w:color w:val="0000FF"/>
            <w:u w:val="single"/>
          </w:rPr>
          <w:t>Annex 1</w:t>
        </w:r>
        <w:r w:rsidR="007D1E48">
          <w:rPr>
            <w:color w:val="0000FF"/>
            <w:u w:val="single"/>
          </w:rPr>
          <w:t xml:space="preserve">3 </w:t>
        </w:r>
      </w:hyperlink>
      <w:r w:rsidR="00C56C51">
        <w:t>(PDF – 66 KB)</w:t>
      </w:r>
      <w:r w:rsidRPr="008C484F">
        <w:t>.</w:t>
      </w:r>
    </w:p>
    <w:p w14:paraId="05B93D22" w14:textId="14537BC7" w:rsidR="008C484F" w:rsidRPr="008C484F" w:rsidRDefault="008C484F" w:rsidP="008C484F">
      <w:pPr>
        <w:pStyle w:val="bullet10"/>
      </w:pPr>
      <w:r w:rsidRPr="008C484F">
        <w:t xml:space="preserve">Where appropriate, evidence of documentation regarding extended use of an IMP outside the </w:t>
      </w:r>
      <w:r w:rsidR="006C3775">
        <w:t>trial</w:t>
      </w:r>
      <w:r w:rsidRPr="008C484F">
        <w:t>.</w:t>
      </w:r>
    </w:p>
    <w:p w14:paraId="2E6AEDDC" w14:textId="3B641341" w:rsidR="008C484F" w:rsidRPr="008C484F" w:rsidRDefault="008C484F" w:rsidP="008C484F">
      <w:pPr>
        <w:pStyle w:val="bullet10"/>
      </w:pPr>
      <w:r w:rsidRPr="008C484F">
        <w:t xml:space="preserve">Evidence of a process for an IMP’s recall notification from the </w:t>
      </w:r>
      <w:hyperlink r:id="rId41" w:tooltip="Link to MHRA alerts and recalls for drugs and medical devices" w:history="1">
        <w:r w:rsidRPr="008C484F">
          <w:rPr>
            <w:color w:val="0000FF"/>
            <w:u w:val="single"/>
          </w:rPr>
          <w:t>MHRA</w:t>
        </w:r>
      </w:hyperlink>
      <w:r w:rsidRPr="008C484F">
        <w:t>.</w:t>
      </w:r>
    </w:p>
    <w:p w14:paraId="5733E6B7" w14:textId="0F5CBE2E" w:rsidR="008C484F" w:rsidRDefault="008C484F" w:rsidP="008C484F">
      <w:pPr>
        <w:pStyle w:val="bullet10"/>
      </w:pPr>
      <w:r w:rsidRPr="008C484F">
        <w:t xml:space="preserve">Evidence of a documented process of an IMP’s transfer between </w:t>
      </w:r>
      <w:r w:rsidR="00726A4D">
        <w:t>trial locations</w:t>
      </w:r>
      <w:r w:rsidR="00726A4D" w:rsidRPr="008C484F">
        <w:t xml:space="preserve"> </w:t>
      </w:r>
      <w:r w:rsidRPr="008C484F">
        <w:t xml:space="preserve">(if applicable), with evidence of the </w:t>
      </w:r>
      <w:r w:rsidR="002C2BCD">
        <w:t>REGI’s</w:t>
      </w:r>
      <w:r w:rsidRPr="008C484F">
        <w:t xml:space="preserve"> approval </w:t>
      </w:r>
      <w:r w:rsidR="00BF5A79">
        <w:t>prior to</w:t>
      </w:r>
      <w:r w:rsidRPr="008C484F">
        <w:t xml:space="preserve"> transfer</w:t>
      </w:r>
      <w:r w:rsidR="00BF5A79">
        <w:t xml:space="preserve"> for projects managed outside of a CTU</w:t>
      </w:r>
      <w:r w:rsidRPr="008C484F">
        <w:t>.</w:t>
      </w:r>
    </w:p>
    <w:p w14:paraId="21087FBC" w14:textId="77777777" w:rsidR="008C484F" w:rsidRDefault="008C484F" w:rsidP="008C484F">
      <w:pPr>
        <w:jc w:val="left"/>
      </w:pPr>
      <w:r w:rsidRPr="008C484F">
        <w:t>Additional requirements for ATIMPs only.</w:t>
      </w:r>
    </w:p>
    <w:p w14:paraId="620D65FD" w14:textId="77777777" w:rsidR="008C484F" w:rsidRPr="008C484F" w:rsidRDefault="008C484F" w:rsidP="008C484F">
      <w:pPr>
        <w:pStyle w:val="bullet10"/>
      </w:pPr>
      <w:r w:rsidRPr="008C484F">
        <w:t>Evidence that all medical decisions are made by a medically qualified doctor or dentist, and evidence that they are also responsible for the medical care given.</w:t>
      </w:r>
    </w:p>
    <w:p w14:paraId="370E8143" w14:textId="77777777" w:rsidR="008C484F" w:rsidRPr="008C484F" w:rsidRDefault="008C484F" w:rsidP="008C484F">
      <w:pPr>
        <w:pStyle w:val="bullet10"/>
      </w:pPr>
      <w:r w:rsidRPr="008C484F">
        <w:t>Evidence of an alert card, with sponsor and REC approval.</w:t>
      </w:r>
    </w:p>
    <w:p w14:paraId="4281C5D3" w14:textId="77777777" w:rsidR="008C484F" w:rsidRPr="008C484F" w:rsidRDefault="008C484F" w:rsidP="008C484F">
      <w:pPr>
        <w:pStyle w:val="bullet10"/>
      </w:pPr>
      <w:r w:rsidRPr="008C484F">
        <w:t>Evidence in the contract/agreement that the manufacturer will guarantee the maintenance of traceability systems for 30 years.</w:t>
      </w:r>
    </w:p>
    <w:p w14:paraId="702170FA" w14:textId="0DC41FBA" w:rsidR="007F5EFA" w:rsidRDefault="007F5EFA" w:rsidP="002C0D4C">
      <w:r>
        <w:br w:type="page"/>
      </w:r>
    </w:p>
    <w:p w14:paraId="274BE824" w14:textId="62EAB6EF" w:rsidR="007B4836" w:rsidRDefault="007B4836" w:rsidP="005F2DE3">
      <w:pPr>
        <w:pStyle w:val="Heading1"/>
      </w:pPr>
      <w:bookmarkStart w:id="38" w:name="_Toc214623592"/>
      <w:r w:rsidRPr="006561C0">
        <w:lastRenderedPageBreak/>
        <w:t>Related</w:t>
      </w:r>
      <w:r>
        <w:t xml:space="preserve"> documents</w:t>
      </w:r>
      <w:bookmarkEnd w:id="0"/>
      <w:bookmarkEnd w:id="38"/>
    </w:p>
    <w:p w14:paraId="26156953" w14:textId="77777777" w:rsidR="00935A62" w:rsidRDefault="00120959" w:rsidP="00935A62">
      <w:pPr>
        <w:pStyle w:val="Heading2"/>
      </w:pPr>
      <w:bookmarkStart w:id="39" w:name="_Toc214623593"/>
      <w:r>
        <w:t>A</w:t>
      </w:r>
      <w:r w:rsidR="00F9580A">
        <w:t>ssociated</w:t>
      </w:r>
      <w:r w:rsidR="00462CF7">
        <w:t xml:space="preserve"> </w:t>
      </w:r>
      <w:r>
        <w:t>QMS documents</w:t>
      </w:r>
      <w:bookmarkEnd w:id="39"/>
    </w:p>
    <w:p w14:paraId="3B069793" w14:textId="77777777" w:rsidR="00C01637" w:rsidRDefault="00C01637" w:rsidP="00CB39B4">
      <w:pPr>
        <w:pStyle w:val="bullet10"/>
      </w:pPr>
      <w:r>
        <w:t xml:space="preserve">No associated </w:t>
      </w:r>
      <w:r w:rsidR="0098039B">
        <w:t>document</w:t>
      </w:r>
    </w:p>
    <w:p w14:paraId="01E3B2CE" w14:textId="77777777" w:rsidR="00935A62" w:rsidRPr="00935A62" w:rsidRDefault="00462CF7" w:rsidP="00935A62">
      <w:pPr>
        <w:pStyle w:val="Heading2"/>
      </w:pPr>
      <w:bookmarkStart w:id="40" w:name="_Toc214623594"/>
      <w:r>
        <w:t xml:space="preserve">Additional QMS </w:t>
      </w:r>
      <w:r w:rsidR="00515191">
        <w:t>d</w:t>
      </w:r>
      <w:r w:rsidR="00935A62">
        <w:t>ocuments</w:t>
      </w:r>
      <w:bookmarkEnd w:id="40"/>
    </w:p>
    <w:p w14:paraId="0AFBBF8D" w14:textId="77777777" w:rsidR="00446338" w:rsidRPr="00D51656" w:rsidRDefault="00446338" w:rsidP="00D51656">
      <w:pPr>
        <w:pStyle w:val="bullet10"/>
      </w:pPr>
      <w:r w:rsidRPr="00D51656">
        <w:t>UoB-ARC-SOP-001 Archiving</w:t>
      </w:r>
    </w:p>
    <w:p w14:paraId="7800266C" w14:textId="77777777" w:rsidR="00446338" w:rsidRPr="00D51656" w:rsidRDefault="00446338" w:rsidP="00D51656">
      <w:pPr>
        <w:pStyle w:val="bullet10"/>
      </w:pPr>
      <w:r w:rsidRPr="00D51656">
        <w:t>UoB-CPR-SOP-001 Compliance Review</w:t>
      </w:r>
    </w:p>
    <w:p w14:paraId="38CEED41" w14:textId="77777777" w:rsidR="00446338" w:rsidRPr="00D51656" w:rsidRDefault="00446338" w:rsidP="00D51656">
      <w:pPr>
        <w:pStyle w:val="bullet10"/>
        <w:rPr>
          <w:i/>
        </w:rPr>
      </w:pPr>
      <w:r w:rsidRPr="00D51656">
        <w:rPr>
          <w:iCs/>
        </w:rPr>
        <w:t>UoB-</w:t>
      </w:r>
      <w:r>
        <w:rPr>
          <w:iCs/>
        </w:rPr>
        <w:t>DEF</w:t>
      </w:r>
      <w:r w:rsidRPr="00D51656">
        <w:rPr>
          <w:iCs/>
        </w:rPr>
        <w:t>-POL-00</w:t>
      </w:r>
      <w:r>
        <w:rPr>
          <w:iCs/>
        </w:rPr>
        <w:t>1</w:t>
      </w:r>
      <w:r w:rsidRPr="00D51656">
        <w:rPr>
          <w:iCs/>
        </w:rPr>
        <w:t xml:space="preserve"> UoB Clinical Research Definitions</w:t>
      </w:r>
    </w:p>
    <w:p w14:paraId="75709F5E" w14:textId="77777777" w:rsidR="00446338" w:rsidRPr="00D51656" w:rsidRDefault="00446338" w:rsidP="00D51656">
      <w:pPr>
        <w:pStyle w:val="bullet10"/>
      </w:pPr>
      <w:r w:rsidRPr="00D51656">
        <w:t>UoB-ESD-SOP-001 Essential Documents Development and Maintenance</w:t>
      </w:r>
    </w:p>
    <w:p w14:paraId="7C9EC14C" w14:textId="77777777" w:rsidR="00446338" w:rsidRPr="00D51656" w:rsidRDefault="00446338" w:rsidP="00D51656">
      <w:pPr>
        <w:pStyle w:val="bullet10"/>
      </w:pPr>
      <w:r w:rsidRPr="00D51656">
        <w:t>UoB-GCP-POL-001 UoB Principles of GCP for Clinical Research</w:t>
      </w:r>
    </w:p>
    <w:p w14:paraId="716A6D07" w14:textId="77777777" w:rsidR="00446338" w:rsidRPr="00D51656" w:rsidRDefault="00446338" w:rsidP="00D51656">
      <w:pPr>
        <w:pStyle w:val="bullet10"/>
      </w:pPr>
      <w:r w:rsidRPr="00D51656">
        <w:t>UoB-</w:t>
      </w:r>
      <w:r>
        <w:t>POS</w:t>
      </w:r>
      <w:r w:rsidRPr="00D51656">
        <w:t xml:space="preserve">-QCD-001 Risk Assessment Report </w:t>
      </w:r>
    </w:p>
    <w:p w14:paraId="1AE59F74" w14:textId="77777777" w:rsidR="00446338" w:rsidRPr="00D51656" w:rsidRDefault="00446338" w:rsidP="00D51656">
      <w:pPr>
        <w:pStyle w:val="bullet10"/>
      </w:pPr>
      <w:r w:rsidRPr="00D51656">
        <w:t>UoB-POS-SOP-001 Project Oversight and Quality Management</w:t>
      </w:r>
    </w:p>
    <w:p w14:paraId="7622ECFE" w14:textId="77777777" w:rsidR="00446338" w:rsidRPr="00D51656" w:rsidRDefault="00446338" w:rsidP="00D51656">
      <w:pPr>
        <w:pStyle w:val="bullet10"/>
      </w:pPr>
      <w:r w:rsidRPr="00D51656">
        <w:t>UoB-RND-SOP-001 Randomisation and Blinding</w:t>
      </w:r>
    </w:p>
    <w:p w14:paraId="34EAD3E5" w14:textId="77777777" w:rsidR="00446338" w:rsidRPr="00D51656" w:rsidRDefault="00446338" w:rsidP="00D51656">
      <w:pPr>
        <w:pStyle w:val="bullet10"/>
      </w:pPr>
      <w:r w:rsidRPr="00D51656">
        <w:t>UoB-SMA-SOP-001 Investigator Site Management</w:t>
      </w:r>
    </w:p>
    <w:p w14:paraId="2FCFC957" w14:textId="77777777" w:rsidR="00446338" w:rsidRPr="00D51656" w:rsidRDefault="00446338" w:rsidP="00D51656">
      <w:pPr>
        <w:pStyle w:val="bullet10"/>
      </w:pPr>
      <w:r w:rsidRPr="00D51656">
        <w:t>UoB-</w:t>
      </w:r>
      <w:r>
        <w:t>SPO</w:t>
      </w:r>
      <w:r w:rsidRPr="00D51656">
        <w:t>-QCD-00</w:t>
      </w:r>
      <w:r>
        <w:t>1</w:t>
      </w:r>
      <w:r w:rsidRPr="00D51656">
        <w:t xml:space="preserve"> Clinical Trial</w:t>
      </w:r>
      <w:r>
        <w:t>s</w:t>
      </w:r>
      <w:r w:rsidRPr="00D51656">
        <w:t xml:space="preserve"> Task Delegation Log</w:t>
      </w:r>
    </w:p>
    <w:p w14:paraId="516BDD94" w14:textId="77777777" w:rsidR="00446338" w:rsidRPr="00D51656" w:rsidRDefault="00446338" w:rsidP="00D51656">
      <w:pPr>
        <w:pStyle w:val="bullet10"/>
      </w:pPr>
      <w:r w:rsidRPr="00D51656">
        <w:t>UoB-</w:t>
      </w:r>
      <w:r>
        <w:t>SPO</w:t>
      </w:r>
      <w:r w:rsidRPr="00D51656">
        <w:t xml:space="preserve">-SOP-001 Sponsor Oversight </w:t>
      </w:r>
      <w:r>
        <w:t>for</w:t>
      </w:r>
      <w:r w:rsidRPr="00D51656">
        <w:t xml:space="preserve"> Clinical Trials</w:t>
      </w:r>
    </w:p>
    <w:p w14:paraId="322061D7" w14:textId="77777777" w:rsidR="00446338" w:rsidRPr="00D51656" w:rsidRDefault="00446338" w:rsidP="00D51656">
      <w:pPr>
        <w:pStyle w:val="bullet10"/>
      </w:pPr>
      <w:r w:rsidRPr="00D51656">
        <w:t>UoB-TRN-SOP-001 Training</w:t>
      </w:r>
    </w:p>
    <w:p w14:paraId="549EA830" w14:textId="77777777" w:rsidR="00A86630" w:rsidRDefault="00A86630" w:rsidP="00A86630">
      <w:r>
        <w:t xml:space="preserve">Access to the full UoB QMS for clinical research is available via the </w:t>
      </w:r>
      <w:hyperlink r:id="rId42" w:tooltip="Link to CRCT website" w:history="1">
        <w:r w:rsidR="00FC026F">
          <w:rPr>
            <w:rStyle w:val="Hyperlink"/>
            <w:lang w:eastAsia="en-GB"/>
          </w:rPr>
          <w:t>CRCT website</w:t>
        </w:r>
      </w:hyperlink>
      <w:r>
        <w:rPr>
          <w:lang w:eastAsia="en-GB"/>
        </w:rPr>
        <w:t>.</w:t>
      </w:r>
    </w:p>
    <w:p w14:paraId="65A70A0F" w14:textId="493C22CC" w:rsidR="007B4836" w:rsidRDefault="007B4836" w:rsidP="00DF1197">
      <w:pPr>
        <w:pStyle w:val="Heading1"/>
        <w:tabs>
          <w:tab w:val="right" w:pos="9027"/>
        </w:tabs>
      </w:pPr>
      <w:bookmarkStart w:id="41" w:name="_Toc214623595"/>
      <w:r w:rsidRPr="005D17F6">
        <w:t>References</w:t>
      </w:r>
      <w:r w:rsidR="005F0420">
        <w:t xml:space="preserve"> </w:t>
      </w:r>
      <w:r w:rsidR="00A6537A">
        <w:t>&amp;</w:t>
      </w:r>
      <w:r w:rsidR="005F0420">
        <w:t xml:space="preserve"> </w:t>
      </w:r>
      <w:r w:rsidR="00FF6CB2">
        <w:t>f</w:t>
      </w:r>
      <w:r w:rsidR="005F0420">
        <w:t>rameworks</w:t>
      </w:r>
      <w:bookmarkEnd w:id="41"/>
      <w:r w:rsidR="009E1105">
        <w:tab/>
      </w:r>
    </w:p>
    <w:p w14:paraId="64B7D883" w14:textId="7AFD8AD3" w:rsidR="00171315" w:rsidRPr="00171315" w:rsidRDefault="00171315" w:rsidP="00E258DE">
      <w:pPr>
        <w:pStyle w:val="References"/>
      </w:pPr>
      <w:r w:rsidRPr="00171315">
        <w:t>European Commission</w:t>
      </w:r>
      <w:r w:rsidR="00D1091F">
        <w:t>.</w:t>
      </w:r>
      <w:r w:rsidRPr="00171315">
        <w:t xml:space="preserve"> (2009) </w:t>
      </w:r>
      <w:r w:rsidRPr="00DF1197">
        <w:rPr>
          <w:i/>
          <w:iCs/>
        </w:rPr>
        <w:t>Annex 13: Manufacture of IMP. Volume 4 of The Rules Governing Medicinal Products in the EU: GMP Guidelines</w:t>
      </w:r>
      <w:r w:rsidRPr="00171315">
        <w:t xml:space="preserve">. Available at: </w:t>
      </w:r>
      <w:hyperlink r:id="rId43" w:tgtFrame="_new" w:tooltip="Annex 13: Manufacture of IMP. Volume 4 of The Rules Governing Medicinal Products in the EU: GMP Guidelines" w:history="1">
        <w:r w:rsidR="00763A47" w:rsidRPr="00DF1197">
          <w:rPr>
            <w:rStyle w:val="Hyperlink"/>
          </w:rPr>
          <w:t>https://health.ec.europa.eu/document/download/eb43a2ab-4691-4cab-938e-874f2307dca3_en</w:t>
        </w:r>
      </w:hyperlink>
      <w:r w:rsidRPr="00171315">
        <w:t xml:space="preserve"> (Accessed: </w:t>
      </w:r>
      <w:r w:rsidR="000D69AA">
        <w:t>21-Nov</w:t>
      </w:r>
      <w:r w:rsidR="00763A47">
        <w:t>-2025</w:t>
      </w:r>
      <w:r w:rsidRPr="00171315">
        <w:t>).</w:t>
      </w:r>
    </w:p>
    <w:p w14:paraId="7BF9FF7D" w14:textId="50853AD3" w:rsidR="00171315" w:rsidRPr="00171315" w:rsidRDefault="00171315" w:rsidP="00E258DE">
      <w:pPr>
        <w:pStyle w:val="References"/>
      </w:pPr>
      <w:r w:rsidRPr="00171315">
        <w:t>European Parliament and Council</w:t>
      </w:r>
      <w:r w:rsidR="00D1091F">
        <w:t>.</w:t>
      </w:r>
      <w:r w:rsidRPr="00171315">
        <w:t xml:space="preserve"> (2001) </w:t>
      </w:r>
      <w:r w:rsidRPr="00DF1197">
        <w:rPr>
          <w:i/>
          <w:iCs/>
        </w:rPr>
        <w:t>Directive 2001/20/EC</w:t>
      </w:r>
      <w:r w:rsidRPr="00171315">
        <w:t xml:space="preserve">. Available at: </w:t>
      </w:r>
      <w:hyperlink r:id="rId44" w:tooltip="EU Directive 2001/20/EC" w:history="1">
        <w:r w:rsidR="00755FA2" w:rsidRPr="00755FA2">
          <w:rPr>
            <w:rStyle w:val="Hyperlink"/>
          </w:rPr>
          <w:t>https://health.ec.europa.eu/system/files/2016-11/dir_2001_20_en_0.pdf</w:t>
        </w:r>
      </w:hyperlink>
      <w:r w:rsidRPr="00171315">
        <w:t xml:space="preserve"> (Accessed: </w:t>
      </w:r>
      <w:r w:rsidR="005B2025">
        <w:t>21-Nov</w:t>
      </w:r>
      <w:r w:rsidR="002749C3">
        <w:t>-2025</w:t>
      </w:r>
      <w:r w:rsidRPr="00171315">
        <w:t>).</w:t>
      </w:r>
    </w:p>
    <w:p w14:paraId="66E83D43" w14:textId="7853A0F2" w:rsidR="00171315" w:rsidRPr="00171315" w:rsidRDefault="001A3D01" w:rsidP="00E258DE">
      <w:pPr>
        <w:pStyle w:val="References"/>
      </w:pPr>
      <w:r>
        <w:t>HRA</w:t>
      </w:r>
      <w:r w:rsidR="00D1091F">
        <w:t>.</w:t>
      </w:r>
      <w:r w:rsidR="00171315" w:rsidRPr="00171315">
        <w:t xml:space="preserve"> (</w:t>
      </w:r>
      <w:r w:rsidR="002766D7">
        <w:t>2024</w:t>
      </w:r>
      <w:r w:rsidR="00171315" w:rsidRPr="00171315">
        <w:t xml:space="preserve">) </w:t>
      </w:r>
      <w:r w:rsidR="00171315" w:rsidRPr="00DF1197">
        <w:rPr>
          <w:i/>
          <w:iCs/>
        </w:rPr>
        <w:t>Pharmacy Assurance</w:t>
      </w:r>
      <w:r w:rsidR="00171315" w:rsidRPr="00171315">
        <w:t xml:space="preserve">. Available at: </w:t>
      </w:r>
      <w:hyperlink r:id="rId45" w:tgtFrame="_new" w:tooltip="HRA guidance on Pharmacy Assurance" w:history="1">
        <w:r w:rsidR="00171315" w:rsidRPr="00DF1197">
          <w:rPr>
            <w:rStyle w:val="Hyperlink"/>
          </w:rPr>
          <w:t>https://www.hra.nhs.uk/approvals-amendments/what-approvals-do-i-need/technical-assurances/pharmacy-assurance/</w:t>
        </w:r>
      </w:hyperlink>
      <w:r w:rsidR="00171315" w:rsidRPr="00171315">
        <w:t xml:space="preserve"> (Accessed: </w:t>
      </w:r>
      <w:r w:rsidR="007F005B">
        <w:t>21-Nov</w:t>
      </w:r>
      <w:r w:rsidR="002766D7">
        <w:t>-2025</w:t>
      </w:r>
      <w:r w:rsidR="00171315" w:rsidRPr="00171315">
        <w:t>).</w:t>
      </w:r>
    </w:p>
    <w:p w14:paraId="768329CC" w14:textId="5FAA292B" w:rsidR="00171315" w:rsidRPr="00171315" w:rsidRDefault="00171315" w:rsidP="00E258DE">
      <w:pPr>
        <w:pStyle w:val="References"/>
      </w:pPr>
      <w:bookmarkStart w:id="42" w:name="_Hlk212470577"/>
      <w:r w:rsidRPr="00171315">
        <w:t>MHRA</w:t>
      </w:r>
      <w:r w:rsidR="00D1091F">
        <w:t>.</w:t>
      </w:r>
      <w:r w:rsidRPr="00171315">
        <w:t xml:space="preserve"> (</w:t>
      </w:r>
      <w:r w:rsidR="0070694B">
        <w:t>2011</w:t>
      </w:r>
      <w:r w:rsidRPr="00171315">
        <w:t xml:space="preserve">) </w:t>
      </w:r>
      <w:r w:rsidRPr="00DF1197">
        <w:rPr>
          <w:i/>
          <w:iCs/>
        </w:rPr>
        <w:t>Risk-adapted approaches to the management of clinical trials of investigational medicinal products</w:t>
      </w:r>
      <w:r w:rsidRPr="00171315">
        <w:t xml:space="preserve">. </w:t>
      </w:r>
      <w:r w:rsidR="0070694B">
        <w:t xml:space="preserve">Available at: </w:t>
      </w:r>
      <w:hyperlink r:id="rId46" w:tooltip="MRC/DH/MHRA's paper titled 'Risk-adapted approaches to the management of clinical trials of Investigational medicinal products'." w:history="1">
        <w:r w:rsidR="0070694B" w:rsidRPr="0070694B">
          <w:rPr>
            <w:rStyle w:val="Hyperlink"/>
          </w:rPr>
          <w:t>https://assets.publishing.service.gov.uk/government/uploads/system/uploads/attachment_data/file/343677/Risk-adapted_approaches_to_the_management_of_clinical_trials_of_investigational_medicinal_products.pdf</w:t>
        </w:r>
      </w:hyperlink>
      <w:r w:rsidR="0070694B" w:rsidRPr="0070694B">
        <w:t xml:space="preserve"> </w:t>
      </w:r>
      <w:r w:rsidR="0070694B">
        <w:t>(Accessed</w:t>
      </w:r>
      <w:r w:rsidR="005B2025">
        <w:t>:</w:t>
      </w:r>
      <w:r w:rsidR="0070694B">
        <w:t xml:space="preserve"> </w:t>
      </w:r>
      <w:r w:rsidR="005B2025">
        <w:t>21-Nov</w:t>
      </w:r>
      <w:r w:rsidR="0070694B">
        <w:t>-2025)</w:t>
      </w:r>
      <w:r w:rsidRPr="00171315">
        <w:t>.</w:t>
      </w:r>
    </w:p>
    <w:bookmarkEnd w:id="42"/>
    <w:p w14:paraId="6BD8DE39" w14:textId="1DEE2715" w:rsidR="00171315" w:rsidRDefault="00FD62E3" w:rsidP="00E258DE">
      <w:pPr>
        <w:pStyle w:val="References"/>
      </w:pPr>
      <w:r>
        <w:t>MHRA</w:t>
      </w:r>
      <w:r w:rsidR="00197671">
        <w:t>.</w:t>
      </w:r>
      <w:r w:rsidR="00171315" w:rsidRPr="00171315">
        <w:t xml:space="preserve"> (2012) </w:t>
      </w:r>
      <w:r w:rsidR="00171315" w:rsidRPr="00DF1197">
        <w:rPr>
          <w:i/>
          <w:iCs/>
        </w:rPr>
        <w:t>Good Clinical Practice Guide</w:t>
      </w:r>
      <w:r w:rsidR="00171315" w:rsidRPr="00171315">
        <w:t xml:space="preserve">. </w:t>
      </w:r>
      <w:r w:rsidR="007534C8">
        <w:t xml:space="preserve">First Edition. </w:t>
      </w:r>
      <w:r w:rsidR="00171315" w:rsidRPr="00171315">
        <w:t>London: The Stationery Office.</w:t>
      </w:r>
    </w:p>
    <w:p w14:paraId="376D6044" w14:textId="326D3DDF" w:rsidR="00130E39" w:rsidRDefault="00130E39" w:rsidP="00E258DE">
      <w:pPr>
        <w:pStyle w:val="References"/>
      </w:pPr>
      <w:r>
        <w:t>MHRA</w:t>
      </w:r>
      <w:r w:rsidR="00197671">
        <w:t>.</w:t>
      </w:r>
      <w:r>
        <w:t xml:space="preserve"> (2025) </w:t>
      </w:r>
      <w:r w:rsidRPr="003345E1">
        <w:rPr>
          <w:i/>
          <w:iCs/>
        </w:rPr>
        <w:t>Supplying authorised medicines to Northern Ireland</w:t>
      </w:r>
      <w:r>
        <w:t xml:space="preserve">. Available at: </w:t>
      </w:r>
      <w:hyperlink r:id="rId47" w:tooltip="MHRA guidance on supplying authorised medicines to Northern Ireland" w:history="1">
        <w:r w:rsidR="00CF6CA3" w:rsidRPr="00CF6CA3">
          <w:rPr>
            <w:rStyle w:val="Hyperlink"/>
          </w:rPr>
          <w:t>https://www.gov.uk/guidance/supplying-authorised-medicines-to-northern-ireland</w:t>
        </w:r>
      </w:hyperlink>
      <w:r w:rsidR="00CF6CA3">
        <w:t xml:space="preserve"> (Accessed</w:t>
      </w:r>
      <w:r w:rsidR="007F005B">
        <w:t>:</w:t>
      </w:r>
      <w:r w:rsidR="00CF6CA3">
        <w:t xml:space="preserve"> </w:t>
      </w:r>
      <w:r w:rsidR="007F005B">
        <w:t>21-Nov</w:t>
      </w:r>
      <w:r w:rsidR="00CF6CA3">
        <w:t>-2025).</w:t>
      </w:r>
    </w:p>
    <w:p w14:paraId="45839E71" w14:textId="392E559F" w:rsidR="00705A65" w:rsidRPr="00171315" w:rsidRDefault="00705A65" w:rsidP="00705A65">
      <w:pPr>
        <w:pStyle w:val="References"/>
      </w:pPr>
      <w:r w:rsidRPr="00171315">
        <w:t>M</w:t>
      </w:r>
      <w:r>
        <w:t>HRA.</w:t>
      </w:r>
      <w:r w:rsidRPr="00171315">
        <w:t xml:space="preserve"> (n</w:t>
      </w:r>
      <w:r>
        <w:t xml:space="preserve">o </w:t>
      </w:r>
      <w:r w:rsidRPr="00171315">
        <w:t>d</w:t>
      </w:r>
      <w:r>
        <w:t>ate</w:t>
      </w:r>
      <w:r w:rsidRPr="00171315">
        <w:t xml:space="preserve">) </w:t>
      </w:r>
      <w:r w:rsidRPr="00DF1197">
        <w:rPr>
          <w:i/>
          <w:iCs/>
        </w:rPr>
        <w:t>Alerts and recalls for drugs and medical devices</w:t>
      </w:r>
      <w:r w:rsidRPr="00171315">
        <w:t xml:space="preserve">. Available at: </w:t>
      </w:r>
      <w:hyperlink r:id="rId48" w:tgtFrame="_new" w:tooltip="MHRA alerts and recalls for drugs and medical devices" w:history="1">
        <w:r w:rsidRPr="00DF1197">
          <w:rPr>
            <w:rStyle w:val="Hyperlink"/>
          </w:rPr>
          <w:t>https://www.gov.uk/drug-device-alerts</w:t>
        </w:r>
      </w:hyperlink>
      <w:r w:rsidRPr="00171315">
        <w:t xml:space="preserve"> (Accessed: </w:t>
      </w:r>
      <w:r w:rsidR="000D69AA">
        <w:t>21-Nov</w:t>
      </w:r>
      <w:r>
        <w:t>-2025</w:t>
      </w:r>
      <w:r w:rsidRPr="00171315">
        <w:t>).</w:t>
      </w:r>
    </w:p>
    <w:p w14:paraId="75C0FDF0" w14:textId="4E1D5A6F" w:rsidR="00A16820" w:rsidRPr="00171315" w:rsidRDefault="00A16820" w:rsidP="00E258DE">
      <w:pPr>
        <w:pStyle w:val="References"/>
      </w:pPr>
      <w:r>
        <w:t>NIHR</w:t>
      </w:r>
      <w:r w:rsidR="00197671">
        <w:t>.</w:t>
      </w:r>
      <w:r>
        <w:t xml:space="preserve"> (no date) </w:t>
      </w:r>
      <w:r w:rsidRPr="00DF1197">
        <w:rPr>
          <w:i/>
          <w:iCs/>
        </w:rPr>
        <w:t xml:space="preserve">Clinical Trials Toolkit </w:t>
      </w:r>
      <w:r w:rsidR="005F70CD">
        <w:rPr>
          <w:i/>
          <w:iCs/>
        </w:rPr>
        <w:t xml:space="preserve">– </w:t>
      </w:r>
      <w:r w:rsidRPr="00DF1197">
        <w:rPr>
          <w:i/>
          <w:iCs/>
        </w:rPr>
        <w:t>Trial Supplies</w:t>
      </w:r>
      <w:r w:rsidRPr="00171315">
        <w:t>.</w:t>
      </w:r>
      <w:r>
        <w:t xml:space="preserve"> Available at: </w:t>
      </w:r>
      <w:hyperlink r:id="rId49" w:tooltip="Clinical Trials Toolkit - Trial Supplies" w:history="1">
        <w:r w:rsidRPr="00FC14B4">
          <w:rPr>
            <w:rStyle w:val="Hyperlink"/>
          </w:rPr>
          <w:t>https://www.ct-toolkit.ac.uk/routemap/trial-supplies</w:t>
        </w:r>
      </w:hyperlink>
      <w:r>
        <w:t xml:space="preserve"> (Accessed: </w:t>
      </w:r>
      <w:r w:rsidR="00F513CC">
        <w:t>21-Nov</w:t>
      </w:r>
      <w:r>
        <w:t>-2025).</w:t>
      </w:r>
    </w:p>
    <w:p w14:paraId="79D21AF4" w14:textId="7C91E8B6" w:rsidR="00171315" w:rsidRPr="00171315" w:rsidRDefault="00171315" w:rsidP="00E258DE">
      <w:pPr>
        <w:pStyle w:val="References"/>
      </w:pPr>
      <w:bookmarkStart w:id="43" w:name="_Hlk78376733"/>
      <w:r w:rsidRPr="00171315">
        <w:t>National Institute for Health and Care Excellence</w:t>
      </w:r>
      <w:r w:rsidR="004948FF">
        <w:t>.</w:t>
      </w:r>
      <w:r w:rsidRPr="00171315">
        <w:t xml:space="preserve"> (n</w:t>
      </w:r>
      <w:r w:rsidR="00D35BA8">
        <w:t xml:space="preserve">o </w:t>
      </w:r>
      <w:r w:rsidRPr="00171315">
        <w:t>d</w:t>
      </w:r>
      <w:r w:rsidR="00D35BA8">
        <w:t>ate</w:t>
      </w:r>
      <w:r w:rsidRPr="00171315">
        <w:t xml:space="preserve">) </w:t>
      </w:r>
      <w:r w:rsidRPr="00DF1197">
        <w:rPr>
          <w:i/>
          <w:iCs/>
        </w:rPr>
        <w:t>Prescription Writing</w:t>
      </w:r>
      <w:r w:rsidRPr="00171315">
        <w:t xml:space="preserve">. Available at: </w:t>
      </w:r>
      <w:hyperlink r:id="rId50" w:tgtFrame="_new" w:tooltip="NICE guidance on UK prescriptions" w:history="1">
        <w:r w:rsidR="00D35BA8" w:rsidRPr="00DF1197">
          <w:rPr>
            <w:rStyle w:val="Hyperlink"/>
          </w:rPr>
          <w:t>https://bnf.nice.org.uk/medicines-guidance/prescription-writing/</w:t>
        </w:r>
      </w:hyperlink>
      <w:r w:rsidRPr="00171315">
        <w:t xml:space="preserve"> (Accessed: </w:t>
      </w:r>
      <w:r w:rsidR="00F513CC">
        <w:t>21-Nov</w:t>
      </w:r>
      <w:r w:rsidR="000D7D9F">
        <w:t>-2025</w:t>
      </w:r>
      <w:r w:rsidRPr="00171315">
        <w:t>).</w:t>
      </w:r>
    </w:p>
    <w:p w14:paraId="1530071D" w14:textId="41825B23" w:rsidR="004948FF" w:rsidRDefault="00676C21" w:rsidP="00E258DE">
      <w:pPr>
        <w:pStyle w:val="References"/>
      </w:pPr>
      <w:r>
        <w:t xml:space="preserve">UK Legislation. (2004) </w:t>
      </w:r>
      <w:bookmarkStart w:id="44" w:name="_Hlk79591427"/>
      <w:r w:rsidRPr="003345E1">
        <w:rPr>
          <w:i/>
          <w:iCs/>
        </w:rPr>
        <w:t xml:space="preserve">The Medicines for Human Use (Clinical Trials) Regulations </w:t>
      </w:r>
      <w:bookmarkEnd w:id="44"/>
      <w:r w:rsidRPr="003345E1">
        <w:rPr>
          <w:i/>
          <w:iCs/>
        </w:rPr>
        <w:t>(as amended)</w:t>
      </w:r>
      <w:r>
        <w:t xml:space="preserve">. Available at: </w:t>
      </w:r>
      <w:hyperlink r:id="rId51" w:tooltip="The Medicines for Human Use (Clinical Trials) Regulations (as amended)" w:history="1">
        <w:r w:rsidR="00A72AD8" w:rsidRPr="006F2415">
          <w:rPr>
            <w:rStyle w:val="Hyperlink"/>
          </w:rPr>
          <w:t>https://www.legislation.gov.uk/uksi/2004/1031/contents</w:t>
        </w:r>
      </w:hyperlink>
      <w:r w:rsidR="00A72AD8">
        <w:t xml:space="preserve"> </w:t>
      </w:r>
      <w:r w:rsidR="005C058E">
        <w:t xml:space="preserve">(Accessed: </w:t>
      </w:r>
      <w:r w:rsidR="00A72AD8">
        <w:t>21-Nov</w:t>
      </w:r>
      <w:r w:rsidR="005C058E">
        <w:t>-2025).</w:t>
      </w:r>
      <w:bookmarkEnd w:id="43"/>
    </w:p>
    <w:p w14:paraId="02DF69B3" w14:textId="37035F26" w:rsidR="001F0787" w:rsidRDefault="00451932" w:rsidP="00E258DE">
      <w:pPr>
        <w:pStyle w:val="References"/>
      </w:pPr>
      <w:r>
        <w:lastRenderedPageBreak/>
        <w:t xml:space="preserve">UK Legislation. </w:t>
      </w:r>
      <w:r w:rsidR="002875DA">
        <w:t xml:space="preserve">(2012) </w:t>
      </w:r>
      <w:r w:rsidR="002875DA" w:rsidRPr="007C4952">
        <w:rPr>
          <w:i/>
          <w:iCs/>
        </w:rPr>
        <w:t>The Human Medicines Regulations</w:t>
      </w:r>
      <w:r w:rsidR="00206294" w:rsidRPr="007C4952">
        <w:rPr>
          <w:i/>
          <w:iCs/>
        </w:rPr>
        <w:t xml:space="preserve"> (as amended)</w:t>
      </w:r>
      <w:r w:rsidR="00206294">
        <w:t xml:space="preserve">. Available at: </w:t>
      </w:r>
      <w:hyperlink r:id="rId52" w:tooltip="The Human Medicines Regulations (as amended)" w:history="1">
        <w:r w:rsidR="00081198" w:rsidRPr="00081198">
          <w:rPr>
            <w:rStyle w:val="Hyperlink"/>
          </w:rPr>
          <w:t>https://www.legislation.gov.uk/uksi/2012/1916/contents</w:t>
        </w:r>
      </w:hyperlink>
      <w:r w:rsidR="00A456DF">
        <w:t xml:space="preserve"> (Accessed: </w:t>
      </w:r>
      <w:r w:rsidR="00A72AD8">
        <w:t>21-Nov</w:t>
      </w:r>
      <w:r w:rsidR="005C7CF1">
        <w:t>-2025).</w:t>
      </w:r>
    </w:p>
    <w:p w14:paraId="3FC12065" w14:textId="3E9500E9" w:rsidR="00171315" w:rsidRDefault="00171315" w:rsidP="00E258DE">
      <w:pPr>
        <w:pStyle w:val="References"/>
      </w:pPr>
      <w:r w:rsidRPr="00171315">
        <w:t>U</w:t>
      </w:r>
      <w:r w:rsidR="002370BA">
        <w:t>oB</w:t>
      </w:r>
      <w:r w:rsidR="004948FF">
        <w:t>.</w:t>
      </w:r>
      <w:r w:rsidR="002370BA">
        <w:t xml:space="preserve"> </w:t>
      </w:r>
      <w:r w:rsidRPr="00171315">
        <w:t>(n</w:t>
      </w:r>
      <w:r w:rsidR="002370BA">
        <w:t>o date)</w:t>
      </w:r>
      <w:r w:rsidRPr="00171315">
        <w:t xml:space="preserve"> </w:t>
      </w:r>
      <w:r w:rsidRPr="00DF1197">
        <w:rPr>
          <w:i/>
          <w:iCs/>
        </w:rPr>
        <w:t xml:space="preserve">Contracts </w:t>
      </w:r>
      <w:r w:rsidR="002370BA" w:rsidRPr="00DF1197">
        <w:rPr>
          <w:i/>
          <w:iCs/>
        </w:rPr>
        <w:t>and Agreements</w:t>
      </w:r>
      <w:r w:rsidR="002370BA">
        <w:t xml:space="preserve">. </w:t>
      </w:r>
      <w:r w:rsidRPr="00171315">
        <w:t xml:space="preserve">Available at: </w:t>
      </w:r>
      <w:hyperlink r:id="rId53" w:tooltip="UoB Contracts and Agreements" w:history="1">
        <w:r w:rsidR="002370BA" w:rsidRPr="00FC14B4">
          <w:rPr>
            <w:rStyle w:val="Hyperlink"/>
          </w:rPr>
          <w:t>https://www.birmingham.ac.uk/research/environment-culture/research-integrity/research-governance/contracts-agreements</w:t>
        </w:r>
      </w:hyperlink>
      <w:r w:rsidR="002370BA">
        <w:t xml:space="preserve"> (Accessed</w:t>
      </w:r>
      <w:r w:rsidR="00B54227">
        <w:t>:</w:t>
      </w:r>
      <w:r w:rsidR="002370BA">
        <w:t xml:space="preserve"> </w:t>
      </w:r>
      <w:r w:rsidR="009850EF">
        <w:t>21-Nov</w:t>
      </w:r>
      <w:r w:rsidR="002370BA">
        <w:t>-2025).</w:t>
      </w:r>
    </w:p>
    <w:p w14:paraId="36234EA8" w14:textId="36779BC1" w:rsidR="00B54227" w:rsidRPr="00171315" w:rsidRDefault="00B54227" w:rsidP="00B54227">
      <w:pPr>
        <w:pStyle w:val="References"/>
      </w:pPr>
      <w:r>
        <w:t>UoB</w:t>
      </w:r>
      <w:r w:rsidR="004948FF">
        <w:t>.</w:t>
      </w:r>
      <w:r>
        <w:t xml:space="preserve"> (no date) </w:t>
      </w:r>
      <w:r w:rsidRPr="00CA2D0C">
        <w:rPr>
          <w:i/>
          <w:iCs/>
        </w:rPr>
        <w:t>Your College Research Support Hubs</w:t>
      </w:r>
      <w:r>
        <w:t xml:space="preserve">. Available at: </w:t>
      </w:r>
      <w:hyperlink r:id="rId54" w:tooltip="UoB College Research Support Hubs" w:history="1">
        <w:r w:rsidRPr="00846603">
          <w:rPr>
            <w:rStyle w:val="Hyperlink"/>
          </w:rPr>
          <w:t>https://bham.sharepoint.com/sites/rssd/SitePages/research-support-hubs.aspx</w:t>
        </w:r>
      </w:hyperlink>
      <w:r>
        <w:t xml:space="preserve"> (Accessed: </w:t>
      </w:r>
      <w:r w:rsidR="00DC6EDC">
        <w:t>21-Nov</w:t>
      </w:r>
      <w:r>
        <w:t>-2025).</w:t>
      </w:r>
    </w:p>
    <w:p w14:paraId="4BA2805F" w14:textId="77777777" w:rsidR="00B54227" w:rsidRPr="00171315" w:rsidRDefault="00B54227" w:rsidP="00E258DE">
      <w:pPr>
        <w:pStyle w:val="References"/>
      </w:pPr>
    </w:p>
    <w:p w14:paraId="5439CC5F" w14:textId="0DD1F45B" w:rsidR="001A4A77" w:rsidRDefault="00B31D84" w:rsidP="00747905">
      <w:pPr>
        <w:pStyle w:val="References"/>
      </w:pPr>
      <w:r>
        <w:t xml:space="preserve"> </w:t>
      </w:r>
    </w:p>
    <w:p w14:paraId="48623A11" w14:textId="77777777" w:rsidR="003C3654" w:rsidRDefault="003C3654">
      <w:pPr>
        <w:spacing w:before="0" w:after="200" w:line="276" w:lineRule="auto"/>
        <w:rPr>
          <w:rFonts w:asciiTheme="minorHAnsi" w:hAnsiTheme="minorHAnsi" w:cstheme="minorHAnsi"/>
          <w:b/>
          <w:caps/>
          <w:color w:val="1F497D" w:themeColor="text2"/>
          <w:kern w:val="32"/>
          <w:sz w:val="28"/>
          <w:szCs w:val="28"/>
        </w:rPr>
      </w:pPr>
      <w:r>
        <w:br w:type="page"/>
      </w:r>
    </w:p>
    <w:p w14:paraId="7B5A8B0B" w14:textId="61AD7A69" w:rsidR="00B10C05" w:rsidRDefault="00B10C05" w:rsidP="005F2DE3">
      <w:pPr>
        <w:pStyle w:val="Heading1"/>
      </w:pPr>
      <w:bookmarkStart w:id="45" w:name="_Toc214623596"/>
      <w:r w:rsidRPr="00522ABB">
        <w:lastRenderedPageBreak/>
        <w:t>Abbreviations</w:t>
      </w:r>
      <w:bookmarkEnd w:id="45"/>
    </w:p>
    <w:tbl>
      <w:tblPr>
        <w:tblStyle w:val="TableGrid"/>
        <w:tblW w:w="0" w:type="auto"/>
        <w:tblBorders>
          <w:insideH w:val="dotted" w:sz="4" w:space="0" w:color="auto"/>
          <w:insideV w:val="dotted" w:sz="4" w:space="0" w:color="auto"/>
        </w:tblBorders>
        <w:tblLook w:val="04A0" w:firstRow="1" w:lastRow="0" w:firstColumn="1" w:lastColumn="0" w:noHBand="0" w:noVBand="1"/>
        <w:tblCaption w:val="Abbreviations and Definitions"/>
        <w:tblDescription w:val="List of abbreviations and Definitions used in this document."/>
      </w:tblPr>
      <w:tblGrid>
        <w:gridCol w:w="1413"/>
        <w:gridCol w:w="7604"/>
      </w:tblGrid>
      <w:tr w:rsidR="00A55C72" w14:paraId="4DB8472E" w14:textId="77777777" w:rsidTr="00432B0E">
        <w:trPr>
          <w:cantSplit/>
        </w:trPr>
        <w:tc>
          <w:tcPr>
            <w:tcW w:w="1413" w:type="dxa"/>
          </w:tcPr>
          <w:p w14:paraId="5B952246" w14:textId="6058CE59" w:rsidR="00A55C72" w:rsidRPr="00043513" w:rsidRDefault="0089080A" w:rsidP="00A55C72">
            <w:r>
              <w:t>ATIMP</w:t>
            </w:r>
          </w:p>
        </w:tc>
        <w:tc>
          <w:tcPr>
            <w:tcW w:w="7604" w:type="dxa"/>
          </w:tcPr>
          <w:p w14:paraId="0350CC3F" w14:textId="5A1A2250" w:rsidR="008961C3" w:rsidRPr="00A67675" w:rsidRDefault="0089080A" w:rsidP="0089080A">
            <w:pPr>
              <w:pStyle w:val="AbbreviationsDefinitionsTerm"/>
              <w:rPr>
                <w:b w:val="0"/>
                <w:bCs w:val="0"/>
              </w:rPr>
            </w:pPr>
            <w:r w:rsidRPr="00A67675">
              <w:rPr>
                <w:b w:val="0"/>
                <w:bCs w:val="0"/>
              </w:rPr>
              <w:t xml:space="preserve">Advanced </w:t>
            </w:r>
            <w:r w:rsidR="00641043">
              <w:rPr>
                <w:b w:val="0"/>
                <w:bCs w:val="0"/>
              </w:rPr>
              <w:t>t</w:t>
            </w:r>
            <w:r w:rsidRPr="00A67675">
              <w:rPr>
                <w:b w:val="0"/>
                <w:bCs w:val="0"/>
              </w:rPr>
              <w:t xml:space="preserve">herapy </w:t>
            </w:r>
            <w:r w:rsidR="00641043">
              <w:rPr>
                <w:b w:val="0"/>
                <w:bCs w:val="0"/>
              </w:rPr>
              <w:t>i</w:t>
            </w:r>
            <w:r w:rsidRPr="00A67675">
              <w:rPr>
                <w:b w:val="0"/>
                <w:bCs w:val="0"/>
              </w:rPr>
              <w:t xml:space="preserve">nvestigational </w:t>
            </w:r>
            <w:r w:rsidR="00641043">
              <w:rPr>
                <w:b w:val="0"/>
                <w:bCs w:val="0"/>
              </w:rPr>
              <w:t>m</w:t>
            </w:r>
            <w:r w:rsidRPr="00A67675">
              <w:rPr>
                <w:b w:val="0"/>
                <w:bCs w:val="0"/>
              </w:rPr>
              <w:t xml:space="preserve">edicinal </w:t>
            </w:r>
            <w:r w:rsidR="00641043">
              <w:rPr>
                <w:b w:val="0"/>
                <w:bCs w:val="0"/>
              </w:rPr>
              <w:t>p</w:t>
            </w:r>
            <w:r w:rsidRPr="00A67675">
              <w:rPr>
                <w:b w:val="0"/>
                <w:bCs w:val="0"/>
              </w:rPr>
              <w:t>roduct</w:t>
            </w:r>
          </w:p>
        </w:tc>
      </w:tr>
      <w:tr w:rsidR="00641043" w14:paraId="6D4B7B9A" w14:textId="77777777" w:rsidTr="00432B0E">
        <w:trPr>
          <w:cantSplit/>
        </w:trPr>
        <w:tc>
          <w:tcPr>
            <w:tcW w:w="1413" w:type="dxa"/>
          </w:tcPr>
          <w:p w14:paraId="7257B359" w14:textId="2D6D7257" w:rsidR="00641043" w:rsidRDefault="00641043" w:rsidP="00A55C72">
            <w:r>
              <w:t>ATMP</w:t>
            </w:r>
          </w:p>
        </w:tc>
        <w:tc>
          <w:tcPr>
            <w:tcW w:w="7604" w:type="dxa"/>
          </w:tcPr>
          <w:p w14:paraId="29884F00" w14:textId="2499B5CF" w:rsidR="00641043" w:rsidRPr="00A67675" w:rsidRDefault="00641043" w:rsidP="0089080A">
            <w:pPr>
              <w:pStyle w:val="AbbreviationsDefinitionsTerm"/>
              <w:rPr>
                <w:b w:val="0"/>
                <w:bCs w:val="0"/>
              </w:rPr>
            </w:pPr>
            <w:r>
              <w:rPr>
                <w:b w:val="0"/>
                <w:bCs w:val="0"/>
              </w:rPr>
              <w:t>Advanced therapy medicinal product</w:t>
            </w:r>
          </w:p>
        </w:tc>
      </w:tr>
      <w:tr w:rsidR="008961C3" w14:paraId="686984A2" w14:textId="77777777" w:rsidTr="00432B0E">
        <w:trPr>
          <w:cantSplit/>
        </w:trPr>
        <w:tc>
          <w:tcPr>
            <w:tcW w:w="1413" w:type="dxa"/>
          </w:tcPr>
          <w:p w14:paraId="259E8D0D" w14:textId="50C52539" w:rsidR="008961C3" w:rsidRDefault="008961C3" w:rsidP="00A55C72">
            <w:r>
              <w:t>CI</w:t>
            </w:r>
          </w:p>
        </w:tc>
        <w:tc>
          <w:tcPr>
            <w:tcW w:w="7604" w:type="dxa"/>
          </w:tcPr>
          <w:p w14:paraId="4E95EB1D" w14:textId="4F514D5C" w:rsidR="008961C3" w:rsidRPr="00A67675" w:rsidRDefault="008961C3" w:rsidP="0089080A">
            <w:pPr>
              <w:pStyle w:val="AbbreviationsDefinitionsTerm"/>
              <w:rPr>
                <w:b w:val="0"/>
                <w:bCs w:val="0"/>
              </w:rPr>
            </w:pPr>
            <w:r>
              <w:rPr>
                <w:b w:val="0"/>
                <w:bCs w:val="0"/>
              </w:rPr>
              <w:t>Chief investigator</w:t>
            </w:r>
          </w:p>
        </w:tc>
      </w:tr>
      <w:tr w:rsidR="00ED1688" w14:paraId="3745730D" w14:textId="77777777" w:rsidTr="00432B0E">
        <w:trPr>
          <w:cantSplit/>
        </w:trPr>
        <w:tc>
          <w:tcPr>
            <w:tcW w:w="1413" w:type="dxa"/>
          </w:tcPr>
          <w:p w14:paraId="7B3AC3A6" w14:textId="0620E278" w:rsidR="00ED1688" w:rsidRDefault="00ED1688" w:rsidP="00A55C72">
            <w:r>
              <w:t>CTA</w:t>
            </w:r>
          </w:p>
        </w:tc>
        <w:tc>
          <w:tcPr>
            <w:tcW w:w="7604" w:type="dxa"/>
          </w:tcPr>
          <w:p w14:paraId="1870B7BC" w14:textId="4FB86988" w:rsidR="00ED1688" w:rsidRDefault="00ED1688" w:rsidP="0089080A">
            <w:pPr>
              <w:pStyle w:val="AbbreviationsDefinitionsTerm"/>
              <w:rPr>
                <w:b w:val="0"/>
                <w:bCs w:val="0"/>
              </w:rPr>
            </w:pPr>
            <w:r>
              <w:rPr>
                <w:b w:val="0"/>
                <w:bCs w:val="0"/>
              </w:rPr>
              <w:t xml:space="preserve">Clinical </w:t>
            </w:r>
            <w:r w:rsidR="00352B59">
              <w:rPr>
                <w:b w:val="0"/>
                <w:bCs w:val="0"/>
              </w:rPr>
              <w:t>T</w:t>
            </w:r>
            <w:r>
              <w:rPr>
                <w:b w:val="0"/>
                <w:bCs w:val="0"/>
              </w:rPr>
              <w:t xml:space="preserve">rial </w:t>
            </w:r>
            <w:r w:rsidR="00352B59">
              <w:rPr>
                <w:b w:val="0"/>
                <w:bCs w:val="0"/>
              </w:rPr>
              <w:t>A</w:t>
            </w:r>
            <w:r>
              <w:rPr>
                <w:b w:val="0"/>
                <w:bCs w:val="0"/>
              </w:rPr>
              <w:t>uthorisation</w:t>
            </w:r>
          </w:p>
        </w:tc>
      </w:tr>
      <w:tr w:rsidR="008961C3" w14:paraId="04BDF5D3" w14:textId="77777777" w:rsidTr="00432B0E">
        <w:trPr>
          <w:cantSplit/>
        </w:trPr>
        <w:tc>
          <w:tcPr>
            <w:tcW w:w="1413" w:type="dxa"/>
          </w:tcPr>
          <w:p w14:paraId="4ADE60B6" w14:textId="4322A1FD" w:rsidR="008961C3" w:rsidRDefault="008961C3" w:rsidP="00A55C72">
            <w:r>
              <w:t>CTIMP</w:t>
            </w:r>
          </w:p>
        </w:tc>
        <w:tc>
          <w:tcPr>
            <w:tcW w:w="7604" w:type="dxa"/>
          </w:tcPr>
          <w:p w14:paraId="50310C9E" w14:textId="11FA6C09" w:rsidR="008961C3" w:rsidRPr="00A67675" w:rsidRDefault="008961C3" w:rsidP="0089080A">
            <w:pPr>
              <w:pStyle w:val="AbbreviationsDefinitionsTerm"/>
              <w:rPr>
                <w:b w:val="0"/>
                <w:bCs w:val="0"/>
              </w:rPr>
            </w:pPr>
            <w:r>
              <w:rPr>
                <w:b w:val="0"/>
                <w:bCs w:val="0"/>
              </w:rPr>
              <w:t xml:space="preserve">Clinical </w:t>
            </w:r>
            <w:r w:rsidR="00641043">
              <w:rPr>
                <w:b w:val="0"/>
                <w:bCs w:val="0"/>
              </w:rPr>
              <w:t>t</w:t>
            </w:r>
            <w:r>
              <w:rPr>
                <w:b w:val="0"/>
                <w:bCs w:val="0"/>
              </w:rPr>
              <w:t xml:space="preserve">rials of </w:t>
            </w:r>
            <w:r w:rsidR="00641043">
              <w:rPr>
                <w:b w:val="0"/>
                <w:bCs w:val="0"/>
              </w:rPr>
              <w:t>i</w:t>
            </w:r>
            <w:r>
              <w:rPr>
                <w:b w:val="0"/>
                <w:bCs w:val="0"/>
              </w:rPr>
              <w:t xml:space="preserve">nvestigational </w:t>
            </w:r>
            <w:r w:rsidR="00641043">
              <w:rPr>
                <w:b w:val="0"/>
                <w:bCs w:val="0"/>
              </w:rPr>
              <w:t>m</w:t>
            </w:r>
            <w:r>
              <w:rPr>
                <w:b w:val="0"/>
                <w:bCs w:val="0"/>
              </w:rPr>
              <w:t xml:space="preserve">edicinal </w:t>
            </w:r>
            <w:r w:rsidR="00641043">
              <w:rPr>
                <w:b w:val="0"/>
                <w:bCs w:val="0"/>
              </w:rPr>
              <w:t>p</w:t>
            </w:r>
            <w:r>
              <w:rPr>
                <w:b w:val="0"/>
                <w:bCs w:val="0"/>
              </w:rPr>
              <w:t>roduct</w:t>
            </w:r>
          </w:p>
        </w:tc>
      </w:tr>
      <w:tr w:rsidR="00E12C74" w14:paraId="12140637" w14:textId="77777777" w:rsidTr="00432B0E">
        <w:trPr>
          <w:cantSplit/>
        </w:trPr>
        <w:tc>
          <w:tcPr>
            <w:tcW w:w="1413" w:type="dxa"/>
          </w:tcPr>
          <w:p w14:paraId="0C507233" w14:textId="4F0F607F" w:rsidR="00E12C74" w:rsidRDefault="00E12C74" w:rsidP="00A55C72">
            <w:r>
              <w:t>CTU</w:t>
            </w:r>
          </w:p>
        </w:tc>
        <w:tc>
          <w:tcPr>
            <w:tcW w:w="7604" w:type="dxa"/>
          </w:tcPr>
          <w:p w14:paraId="0539B651" w14:textId="047A4746" w:rsidR="00E12C74" w:rsidRDefault="00E12C74" w:rsidP="00A55C72">
            <w:r>
              <w:t>Clinical trials unit</w:t>
            </w:r>
          </w:p>
        </w:tc>
      </w:tr>
      <w:tr w:rsidR="00C94448" w14:paraId="1DD908E0" w14:textId="77777777" w:rsidTr="00432B0E">
        <w:trPr>
          <w:cantSplit/>
        </w:trPr>
        <w:tc>
          <w:tcPr>
            <w:tcW w:w="1413" w:type="dxa"/>
          </w:tcPr>
          <w:p w14:paraId="068B6781" w14:textId="30D51592" w:rsidR="00C94448" w:rsidRDefault="00C94448" w:rsidP="00A55C72">
            <w:r>
              <w:t>EEA</w:t>
            </w:r>
          </w:p>
        </w:tc>
        <w:tc>
          <w:tcPr>
            <w:tcW w:w="7604" w:type="dxa"/>
          </w:tcPr>
          <w:p w14:paraId="2D0E6F85" w14:textId="7B41DBE6" w:rsidR="00C94448" w:rsidRDefault="00C94448" w:rsidP="00A55C72">
            <w:r>
              <w:t>European Economic Area</w:t>
            </w:r>
          </w:p>
        </w:tc>
      </w:tr>
      <w:tr w:rsidR="00C94448" w14:paraId="515077F8" w14:textId="77777777" w:rsidTr="00432B0E">
        <w:trPr>
          <w:cantSplit/>
        </w:trPr>
        <w:tc>
          <w:tcPr>
            <w:tcW w:w="1413" w:type="dxa"/>
          </w:tcPr>
          <w:p w14:paraId="68028520" w14:textId="2404103A" w:rsidR="00C94448" w:rsidRDefault="00C94448" w:rsidP="00A55C72">
            <w:r>
              <w:t>EU</w:t>
            </w:r>
          </w:p>
        </w:tc>
        <w:tc>
          <w:tcPr>
            <w:tcW w:w="7604" w:type="dxa"/>
          </w:tcPr>
          <w:p w14:paraId="43B9FDF5" w14:textId="5A6B3DA1" w:rsidR="00C94448" w:rsidRDefault="00C94448" w:rsidP="00A55C72">
            <w:r>
              <w:t>European Union</w:t>
            </w:r>
          </w:p>
        </w:tc>
      </w:tr>
      <w:tr w:rsidR="0088202F" w14:paraId="4C16CF12" w14:textId="77777777" w:rsidTr="00432B0E">
        <w:trPr>
          <w:cantSplit/>
        </w:trPr>
        <w:tc>
          <w:tcPr>
            <w:tcW w:w="1413" w:type="dxa"/>
          </w:tcPr>
          <w:p w14:paraId="6FEB7BB0" w14:textId="0908D3B3" w:rsidR="0088202F" w:rsidRDefault="0088202F" w:rsidP="00A55C72">
            <w:r>
              <w:t>GCP</w:t>
            </w:r>
          </w:p>
        </w:tc>
        <w:tc>
          <w:tcPr>
            <w:tcW w:w="7604" w:type="dxa"/>
          </w:tcPr>
          <w:p w14:paraId="37F4F990" w14:textId="2BE683E4" w:rsidR="0088202F" w:rsidRPr="00A67675" w:rsidRDefault="0088202F" w:rsidP="00A55C72">
            <w:r>
              <w:t>Good Clinical Practice</w:t>
            </w:r>
          </w:p>
        </w:tc>
      </w:tr>
      <w:tr w:rsidR="00577707" w14:paraId="65054F4A" w14:textId="77777777" w:rsidTr="00432B0E">
        <w:trPr>
          <w:cantSplit/>
        </w:trPr>
        <w:tc>
          <w:tcPr>
            <w:tcW w:w="1413" w:type="dxa"/>
          </w:tcPr>
          <w:p w14:paraId="6FB25E9D" w14:textId="74A842D1" w:rsidR="00577707" w:rsidRDefault="005E5E30" w:rsidP="00A55C72">
            <w:r>
              <w:t>GMP</w:t>
            </w:r>
          </w:p>
        </w:tc>
        <w:tc>
          <w:tcPr>
            <w:tcW w:w="7604" w:type="dxa"/>
          </w:tcPr>
          <w:p w14:paraId="28E49A6F" w14:textId="7C537EDC" w:rsidR="00577707" w:rsidRDefault="00577707" w:rsidP="00A55C72">
            <w:r>
              <w:t xml:space="preserve">Good </w:t>
            </w:r>
            <w:r w:rsidR="00352B59">
              <w:t>M</w:t>
            </w:r>
            <w:r>
              <w:t xml:space="preserve">anufacturing </w:t>
            </w:r>
            <w:r w:rsidR="00352B59">
              <w:t>P</w:t>
            </w:r>
            <w:r>
              <w:t>ractice</w:t>
            </w:r>
          </w:p>
        </w:tc>
      </w:tr>
      <w:tr w:rsidR="00AA03B6" w14:paraId="65362612" w14:textId="77777777" w:rsidTr="00432B0E">
        <w:trPr>
          <w:cantSplit/>
        </w:trPr>
        <w:tc>
          <w:tcPr>
            <w:tcW w:w="1413" w:type="dxa"/>
          </w:tcPr>
          <w:p w14:paraId="306DA19B" w14:textId="55A4FED8" w:rsidR="00AA03B6" w:rsidRDefault="00AA03B6" w:rsidP="00A55C72">
            <w:r>
              <w:t>HRA</w:t>
            </w:r>
          </w:p>
        </w:tc>
        <w:tc>
          <w:tcPr>
            <w:tcW w:w="7604" w:type="dxa"/>
          </w:tcPr>
          <w:p w14:paraId="78DD84A2" w14:textId="483A3753" w:rsidR="00AA03B6" w:rsidRDefault="00AA03B6" w:rsidP="00A55C72">
            <w:r>
              <w:t>Health Research Authority</w:t>
            </w:r>
          </w:p>
        </w:tc>
      </w:tr>
      <w:tr w:rsidR="005E5E30" w14:paraId="3A0BAE2C" w14:textId="77777777" w:rsidTr="00432B0E">
        <w:trPr>
          <w:cantSplit/>
        </w:trPr>
        <w:tc>
          <w:tcPr>
            <w:tcW w:w="1413" w:type="dxa"/>
          </w:tcPr>
          <w:p w14:paraId="530650D8" w14:textId="444738AF" w:rsidR="005E5E30" w:rsidRDefault="005E5E30" w:rsidP="00A55C72">
            <w:r>
              <w:t>IB</w:t>
            </w:r>
          </w:p>
        </w:tc>
        <w:tc>
          <w:tcPr>
            <w:tcW w:w="7604" w:type="dxa"/>
          </w:tcPr>
          <w:p w14:paraId="34584995" w14:textId="3DC91465" w:rsidR="005E5E30" w:rsidRDefault="005E5E30" w:rsidP="00A55C72">
            <w:r>
              <w:t>Investigator</w:t>
            </w:r>
            <w:r w:rsidR="00C705EE">
              <w:t>’s</w:t>
            </w:r>
            <w:r>
              <w:t xml:space="preserve"> brochure</w:t>
            </w:r>
          </w:p>
        </w:tc>
      </w:tr>
      <w:tr w:rsidR="002D252F" w14:paraId="4F21E217" w14:textId="77777777" w:rsidTr="00432B0E">
        <w:trPr>
          <w:cantSplit/>
        </w:trPr>
        <w:tc>
          <w:tcPr>
            <w:tcW w:w="1413" w:type="dxa"/>
          </w:tcPr>
          <w:p w14:paraId="2F31423B" w14:textId="190C9E09" w:rsidR="002D252F" w:rsidRDefault="002D252F" w:rsidP="00A55C72">
            <w:r>
              <w:t>ICH</w:t>
            </w:r>
          </w:p>
        </w:tc>
        <w:tc>
          <w:tcPr>
            <w:tcW w:w="7604" w:type="dxa"/>
          </w:tcPr>
          <w:p w14:paraId="0FC68D28" w14:textId="67639393" w:rsidR="002D252F" w:rsidRDefault="002D252F" w:rsidP="00A55C72">
            <w:r>
              <w:t>International Council of Harmonisation</w:t>
            </w:r>
          </w:p>
        </w:tc>
      </w:tr>
      <w:tr w:rsidR="00370D28" w14:paraId="2C7DC602" w14:textId="77777777" w:rsidTr="00432B0E">
        <w:trPr>
          <w:cantSplit/>
        </w:trPr>
        <w:tc>
          <w:tcPr>
            <w:tcW w:w="1413" w:type="dxa"/>
          </w:tcPr>
          <w:p w14:paraId="71AB1931" w14:textId="40CFD7F5" w:rsidR="00370D28" w:rsidRDefault="00370D28" w:rsidP="00A55C72">
            <w:r>
              <w:t>IMP</w:t>
            </w:r>
          </w:p>
        </w:tc>
        <w:tc>
          <w:tcPr>
            <w:tcW w:w="7604" w:type="dxa"/>
          </w:tcPr>
          <w:p w14:paraId="4BF260F0" w14:textId="009CA04F" w:rsidR="00370D28" w:rsidRPr="00A67675" w:rsidRDefault="00370D28" w:rsidP="00A55C72">
            <w:r>
              <w:t>Investigational medicinal product</w:t>
            </w:r>
          </w:p>
        </w:tc>
      </w:tr>
      <w:tr w:rsidR="001913D3" w14:paraId="6251C370" w14:textId="77777777" w:rsidTr="00432B0E">
        <w:trPr>
          <w:cantSplit/>
        </w:trPr>
        <w:tc>
          <w:tcPr>
            <w:tcW w:w="1413" w:type="dxa"/>
          </w:tcPr>
          <w:p w14:paraId="3CB61D93" w14:textId="128D4F19" w:rsidR="001913D3" w:rsidRDefault="001913D3" w:rsidP="00A55C72">
            <w:r>
              <w:t>MAH</w:t>
            </w:r>
          </w:p>
        </w:tc>
        <w:tc>
          <w:tcPr>
            <w:tcW w:w="7604" w:type="dxa"/>
          </w:tcPr>
          <w:p w14:paraId="319954AA" w14:textId="0C57159D" w:rsidR="001913D3" w:rsidRPr="00A67675" w:rsidRDefault="001913D3" w:rsidP="00A55C72">
            <w:r>
              <w:t>Marketing authorisation holder</w:t>
            </w:r>
          </w:p>
        </w:tc>
      </w:tr>
      <w:tr w:rsidR="00A55C72" w14:paraId="6549202A" w14:textId="77777777" w:rsidTr="00432B0E">
        <w:trPr>
          <w:cantSplit/>
        </w:trPr>
        <w:tc>
          <w:tcPr>
            <w:tcW w:w="1413" w:type="dxa"/>
          </w:tcPr>
          <w:p w14:paraId="318F95B1" w14:textId="1377410B" w:rsidR="00A55C72" w:rsidRPr="00043513" w:rsidRDefault="0089080A" w:rsidP="00A55C72">
            <w:r>
              <w:t>MHRA</w:t>
            </w:r>
          </w:p>
        </w:tc>
        <w:tc>
          <w:tcPr>
            <w:tcW w:w="7604" w:type="dxa"/>
          </w:tcPr>
          <w:p w14:paraId="6C6E79F2" w14:textId="47232D2F" w:rsidR="00A55C72" w:rsidRPr="00A67675" w:rsidRDefault="0089080A" w:rsidP="00A55C72">
            <w:r w:rsidRPr="00A67675">
              <w:t>Medicines and Healthcare Products Regulatory Agency</w:t>
            </w:r>
          </w:p>
        </w:tc>
      </w:tr>
      <w:tr w:rsidR="00A55C72" w14:paraId="133D4973" w14:textId="77777777" w:rsidTr="00432B0E">
        <w:trPr>
          <w:cantSplit/>
        </w:trPr>
        <w:tc>
          <w:tcPr>
            <w:tcW w:w="1413" w:type="dxa"/>
          </w:tcPr>
          <w:p w14:paraId="4163D0C9" w14:textId="27DD0C08" w:rsidR="00A55C72" w:rsidRPr="00043513" w:rsidRDefault="0089080A" w:rsidP="00A55C72">
            <w:r w:rsidRPr="0042700D">
              <w:t>MIA(IMP)</w:t>
            </w:r>
          </w:p>
        </w:tc>
        <w:tc>
          <w:tcPr>
            <w:tcW w:w="7604" w:type="dxa"/>
          </w:tcPr>
          <w:p w14:paraId="2D4D8D95" w14:textId="48D745AD" w:rsidR="00A55C72" w:rsidRPr="00A67675" w:rsidRDefault="00A67675" w:rsidP="00A55C72">
            <w:r w:rsidRPr="00A67675">
              <w:t>Manufacture/importation of investigational medicinal products for human use</w:t>
            </w:r>
          </w:p>
        </w:tc>
      </w:tr>
      <w:tr w:rsidR="00A55C72" w14:paraId="19C68E8E" w14:textId="77777777" w:rsidTr="00432B0E">
        <w:trPr>
          <w:cantSplit/>
        </w:trPr>
        <w:tc>
          <w:tcPr>
            <w:tcW w:w="1413" w:type="dxa"/>
          </w:tcPr>
          <w:p w14:paraId="31377CB9" w14:textId="6DCF550C" w:rsidR="00A55C72" w:rsidRPr="00043513" w:rsidRDefault="0089080A" w:rsidP="00A55C72">
            <w:r w:rsidRPr="0042700D">
              <w:t>NIMP</w:t>
            </w:r>
          </w:p>
        </w:tc>
        <w:tc>
          <w:tcPr>
            <w:tcW w:w="7604" w:type="dxa"/>
          </w:tcPr>
          <w:p w14:paraId="38B884AC" w14:textId="49C10031" w:rsidR="00A55C72" w:rsidRPr="00A67675" w:rsidRDefault="00A67675" w:rsidP="00A55C72">
            <w:r w:rsidRPr="00A67675">
              <w:rPr>
                <w:rFonts w:cs="Tahoma"/>
                <w:color w:val="000000" w:themeColor="text1"/>
                <w:spacing w:val="5"/>
                <w:kern w:val="28"/>
                <w:szCs w:val="26"/>
              </w:rPr>
              <w:t>Non-</w:t>
            </w:r>
            <w:r w:rsidR="00352B59">
              <w:rPr>
                <w:rFonts w:cs="Tahoma"/>
                <w:color w:val="000000" w:themeColor="text1"/>
                <w:spacing w:val="5"/>
                <w:kern w:val="28"/>
                <w:szCs w:val="26"/>
              </w:rPr>
              <w:t>i</w:t>
            </w:r>
            <w:r w:rsidRPr="00A67675">
              <w:rPr>
                <w:rFonts w:cs="Tahoma"/>
                <w:color w:val="000000" w:themeColor="text1"/>
                <w:spacing w:val="5"/>
                <w:kern w:val="28"/>
                <w:szCs w:val="26"/>
              </w:rPr>
              <w:t xml:space="preserve">nvestigational </w:t>
            </w:r>
            <w:r w:rsidR="00352B59">
              <w:rPr>
                <w:rFonts w:cs="Tahoma"/>
                <w:color w:val="000000" w:themeColor="text1"/>
                <w:spacing w:val="5"/>
                <w:kern w:val="28"/>
                <w:szCs w:val="26"/>
              </w:rPr>
              <w:t>m</w:t>
            </w:r>
            <w:r w:rsidRPr="00A67675">
              <w:rPr>
                <w:rFonts w:cs="Tahoma"/>
                <w:color w:val="000000" w:themeColor="text1"/>
                <w:spacing w:val="5"/>
                <w:kern w:val="28"/>
                <w:szCs w:val="26"/>
              </w:rPr>
              <w:t xml:space="preserve">edicinal </w:t>
            </w:r>
            <w:r w:rsidR="00352B59">
              <w:rPr>
                <w:rFonts w:cs="Tahoma"/>
                <w:color w:val="000000" w:themeColor="text1"/>
                <w:spacing w:val="5"/>
                <w:kern w:val="28"/>
                <w:szCs w:val="26"/>
              </w:rPr>
              <w:t>p</w:t>
            </w:r>
            <w:r w:rsidRPr="00A67675">
              <w:rPr>
                <w:rFonts w:cs="Tahoma"/>
                <w:color w:val="000000" w:themeColor="text1"/>
                <w:spacing w:val="5"/>
                <w:kern w:val="28"/>
                <w:szCs w:val="26"/>
              </w:rPr>
              <w:t>roduct</w:t>
            </w:r>
          </w:p>
        </w:tc>
      </w:tr>
      <w:tr w:rsidR="00A55C72" w14:paraId="2163D99C" w14:textId="77777777" w:rsidTr="00432B0E">
        <w:trPr>
          <w:cantSplit/>
        </w:trPr>
        <w:tc>
          <w:tcPr>
            <w:tcW w:w="1413" w:type="dxa"/>
          </w:tcPr>
          <w:p w14:paraId="7157AFC8" w14:textId="507F1F20" w:rsidR="00A55C72" w:rsidRPr="00043513" w:rsidRDefault="0089080A" w:rsidP="00A55C72">
            <w:r>
              <w:t>PI</w:t>
            </w:r>
          </w:p>
        </w:tc>
        <w:tc>
          <w:tcPr>
            <w:tcW w:w="7604" w:type="dxa"/>
          </w:tcPr>
          <w:p w14:paraId="4BFF6F76" w14:textId="4F2A2143" w:rsidR="00A55C72" w:rsidRPr="0027215E" w:rsidRDefault="0089080A" w:rsidP="00A55C72">
            <w:r>
              <w:t>Principal investigator</w:t>
            </w:r>
          </w:p>
        </w:tc>
      </w:tr>
      <w:tr w:rsidR="00B9429C" w14:paraId="50C272FE" w14:textId="77777777" w:rsidTr="00432B0E">
        <w:trPr>
          <w:cantSplit/>
        </w:trPr>
        <w:tc>
          <w:tcPr>
            <w:tcW w:w="1413" w:type="dxa"/>
          </w:tcPr>
          <w:p w14:paraId="48045567" w14:textId="1999174A" w:rsidR="00B9429C" w:rsidRDefault="00B9429C" w:rsidP="00A55C72">
            <w:r>
              <w:t>POM</w:t>
            </w:r>
            <w:r w:rsidR="00F33A49">
              <w:t>s</w:t>
            </w:r>
          </w:p>
        </w:tc>
        <w:tc>
          <w:tcPr>
            <w:tcW w:w="7604" w:type="dxa"/>
          </w:tcPr>
          <w:p w14:paraId="694D2CF4" w14:textId="4290E282" w:rsidR="00B9429C" w:rsidRDefault="00B9429C" w:rsidP="00A55C72">
            <w:r>
              <w:t>Prescription</w:t>
            </w:r>
            <w:r w:rsidR="00352B59">
              <w:t>-</w:t>
            </w:r>
            <w:r>
              <w:t>only medicine</w:t>
            </w:r>
            <w:r w:rsidR="00F33A49">
              <w:t>s</w:t>
            </w:r>
          </w:p>
        </w:tc>
      </w:tr>
      <w:tr w:rsidR="00A55C72" w14:paraId="369C2875" w14:textId="77777777" w:rsidTr="00432B0E">
        <w:trPr>
          <w:cantSplit/>
        </w:trPr>
        <w:tc>
          <w:tcPr>
            <w:tcW w:w="1413" w:type="dxa"/>
          </w:tcPr>
          <w:p w14:paraId="0EA0040D" w14:textId="01710B2A" w:rsidR="00A55C72" w:rsidRPr="00043513" w:rsidRDefault="0089080A" w:rsidP="00A55C72">
            <w:r w:rsidRPr="0042700D">
              <w:t>QP</w:t>
            </w:r>
          </w:p>
        </w:tc>
        <w:tc>
          <w:tcPr>
            <w:tcW w:w="7604" w:type="dxa"/>
          </w:tcPr>
          <w:p w14:paraId="2BC81A0D" w14:textId="79805DAE" w:rsidR="00A55C72" w:rsidRDefault="0089080A" w:rsidP="00A55C72">
            <w:r>
              <w:t>Qualified person</w:t>
            </w:r>
          </w:p>
        </w:tc>
      </w:tr>
      <w:tr w:rsidR="0088202F" w14:paraId="7027DB7E" w14:textId="77777777" w:rsidTr="00432B0E">
        <w:trPr>
          <w:cantSplit/>
        </w:trPr>
        <w:tc>
          <w:tcPr>
            <w:tcW w:w="1413" w:type="dxa"/>
          </w:tcPr>
          <w:p w14:paraId="6CE3BAE7" w14:textId="2DEBCCCD" w:rsidR="0088202F" w:rsidRPr="0042700D" w:rsidRDefault="0088202F" w:rsidP="00A55C72">
            <w:r>
              <w:t>REC</w:t>
            </w:r>
          </w:p>
        </w:tc>
        <w:tc>
          <w:tcPr>
            <w:tcW w:w="7604" w:type="dxa"/>
          </w:tcPr>
          <w:p w14:paraId="77862434" w14:textId="665C6CAA" w:rsidR="0088202F" w:rsidRDefault="0088202F" w:rsidP="00A55C72">
            <w:r>
              <w:t>Research Ethics Committee</w:t>
            </w:r>
          </w:p>
        </w:tc>
      </w:tr>
      <w:tr w:rsidR="00A55C72" w14:paraId="7BDA8898" w14:textId="77777777" w:rsidTr="00432B0E">
        <w:trPr>
          <w:cantSplit/>
        </w:trPr>
        <w:tc>
          <w:tcPr>
            <w:tcW w:w="1413" w:type="dxa"/>
          </w:tcPr>
          <w:p w14:paraId="1FC8F223" w14:textId="407C70A0" w:rsidR="00A55C72" w:rsidRPr="00043513" w:rsidRDefault="0089080A" w:rsidP="00A55C72">
            <w:r>
              <w:t>REGI</w:t>
            </w:r>
          </w:p>
        </w:tc>
        <w:tc>
          <w:tcPr>
            <w:tcW w:w="7604" w:type="dxa"/>
          </w:tcPr>
          <w:p w14:paraId="7AFDF630" w14:textId="0D057161" w:rsidR="00A55C72" w:rsidRDefault="0089080A" w:rsidP="00A55C72">
            <w:r>
              <w:t>Research Ethics, Governance and Integrity</w:t>
            </w:r>
            <w:r w:rsidR="00C62579">
              <w:t xml:space="preserve"> Team</w:t>
            </w:r>
          </w:p>
        </w:tc>
      </w:tr>
      <w:tr w:rsidR="00A55C72" w14:paraId="4E1A0081" w14:textId="77777777" w:rsidTr="00432B0E">
        <w:trPr>
          <w:cantSplit/>
          <w:trHeight w:val="70"/>
        </w:trPr>
        <w:tc>
          <w:tcPr>
            <w:tcW w:w="1413" w:type="dxa"/>
          </w:tcPr>
          <w:p w14:paraId="09B7247C" w14:textId="5958638B" w:rsidR="00A55C72" w:rsidRDefault="0089080A" w:rsidP="00A55C72">
            <w:r>
              <w:t>SmPC</w:t>
            </w:r>
          </w:p>
        </w:tc>
        <w:tc>
          <w:tcPr>
            <w:tcW w:w="7604" w:type="dxa"/>
          </w:tcPr>
          <w:p w14:paraId="51FF66DD" w14:textId="10EC89FD" w:rsidR="00A55C72" w:rsidRPr="007B64F6" w:rsidRDefault="0089080A" w:rsidP="00A55C72">
            <w:pPr>
              <w:rPr>
                <w:rFonts w:asciiTheme="minorHAnsi" w:hAnsiTheme="minorHAnsi"/>
              </w:rPr>
            </w:pPr>
            <w:r w:rsidRPr="00FC76FA">
              <w:t>Sum</w:t>
            </w:r>
            <w:r>
              <w:t>mary of product characteristics</w:t>
            </w:r>
          </w:p>
        </w:tc>
      </w:tr>
      <w:tr w:rsidR="009B24BA" w14:paraId="75ADD37B" w14:textId="77777777" w:rsidTr="00432B0E">
        <w:trPr>
          <w:cantSplit/>
          <w:trHeight w:val="70"/>
        </w:trPr>
        <w:tc>
          <w:tcPr>
            <w:tcW w:w="1413" w:type="dxa"/>
          </w:tcPr>
          <w:p w14:paraId="08AFFEF0" w14:textId="74571D40" w:rsidR="009B24BA" w:rsidRDefault="009B24BA" w:rsidP="00A55C72">
            <w:r>
              <w:t>SOP</w:t>
            </w:r>
          </w:p>
        </w:tc>
        <w:tc>
          <w:tcPr>
            <w:tcW w:w="7604" w:type="dxa"/>
          </w:tcPr>
          <w:p w14:paraId="62D3E2BA" w14:textId="5C03F2CB" w:rsidR="009B24BA" w:rsidRPr="00FC76FA" w:rsidRDefault="009B24BA" w:rsidP="00A55C72">
            <w:r>
              <w:t>Standard operating procedure</w:t>
            </w:r>
          </w:p>
        </w:tc>
      </w:tr>
      <w:tr w:rsidR="00A55C72" w14:paraId="467CDB05" w14:textId="77777777" w:rsidTr="00432B0E">
        <w:trPr>
          <w:cantSplit/>
          <w:trHeight w:val="70"/>
        </w:trPr>
        <w:tc>
          <w:tcPr>
            <w:tcW w:w="1413" w:type="dxa"/>
          </w:tcPr>
          <w:p w14:paraId="569234FF" w14:textId="2B9523EC" w:rsidR="00A55C72" w:rsidRDefault="0089080A" w:rsidP="00A55C72">
            <w:r>
              <w:t>S/TMF</w:t>
            </w:r>
          </w:p>
        </w:tc>
        <w:tc>
          <w:tcPr>
            <w:tcW w:w="7604" w:type="dxa"/>
          </w:tcPr>
          <w:p w14:paraId="4207F633" w14:textId="3D847598" w:rsidR="00A55C72" w:rsidRPr="006D57DE" w:rsidRDefault="0089080A" w:rsidP="00A55C72">
            <w:r>
              <w:t>Study / trial master file</w:t>
            </w:r>
          </w:p>
        </w:tc>
      </w:tr>
      <w:tr w:rsidR="00A55C72" w14:paraId="10E355CA" w14:textId="77777777" w:rsidTr="00432B0E">
        <w:trPr>
          <w:cantSplit/>
          <w:trHeight w:val="70"/>
        </w:trPr>
        <w:tc>
          <w:tcPr>
            <w:tcW w:w="1413" w:type="dxa"/>
          </w:tcPr>
          <w:p w14:paraId="3EEB1626" w14:textId="46F1E88A" w:rsidR="00A55C72" w:rsidRDefault="00D02891" w:rsidP="00A55C72">
            <w:r>
              <w:t>UoB</w:t>
            </w:r>
          </w:p>
        </w:tc>
        <w:tc>
          <w:tcPr>
            <w:tcW w:w="7604" w:type="dxa"/>
          </w:tcPr>
          <w:p w14:paraId="5BBD86A5" w14:textId="1DA02FFF" w:rsidR="00A55C72" w:rsidRDefault="00D02891" w:rsidP="00A55C72">
            <w:r>
              <w:t>University of Birmingham</w:t>
            </w:r>
          </w:p>
        </w:tc>
      </w:tr>
    </w:tbl>
    <w:p w14:paraId="20151A81" w14:textId="0E65D852" w:rsidR="000374CB" w:rsidRDefault="00B10C05">
      <w:r w:rsidRPr="009C2C63">
        <w:t xml:space="preserve">See also </w:t>
      </w:r>
      <w:hyperlink r:id="rId55" w:tooltip="Link to Glossary of Terms" w:history="1">
        <w:r w:rsidRPr="00F12A38">
          <w:rPr>
            <w:rStyle w:val="Hyperlink"/>
          </w:rPr>
          <w:t>Glossary of Term</w:t>
        </w:r>
        <w:r w:rsidR="00B37374">
          <w:rPr>
            <w:rStyle w:val="Hyperlink"/>
          </w:rPr>
          <w:t>s</w:t>
        </w:r>
      </w:hyperlink>
      <w:r w:rsidR="00225D8E">
        <w:t xml:space="preserve"> for a full list of abbreviations and definitions</w:t>
      </w:r>
      <w:r w:rsidR="00367496">
        <w:t>.</w:t>
      </w:r>
      <w:r w:rsidR="00225D8E">
        <w:t xml:space="preserve"> </w:t>
      </w:r>
    </w:p>
    <w:p w14:paraId="64A6832E" w14:textId="77777777" w:rsidR="00FC026F" w:rsidRDefault="00FC026F"/>
    <w:p w14:paraId="63035E04" w14:textId="77777777" w:rsidR="00901562" w:rsidRDefault="00901562" w:rsidP="00901562">
      <w:pPr>
        <w:spacing w:before="0" w:after="200" w:line="276" w:lineRule="auto"/>
        <w:sectPr w:rsidR="00901562" w:rsidSect="00BB1019">
          <w:headerReference w:type="even" r:id="rId56"/>
          <w:headerReference w:type="default" r:id="rId57"/>
          <w:footerReference w:type="even" r:id="rId58"/>
          <w:footerReference w:type="default" r:id="rId59"/>
          <w:headerReference w:type="first" r:id="rId60"/>
          <w:footerReference w:type="first" r:id="rId61"/>
          <w:pgSz w:w="11907" w:h="16839" w:code="9"/>
          <w:pgMar w:top="1440" w:right="1440" w:bottom="1440" w:left="1440" w:header="567" w:footer="397" w:gutter="0"/>
          <w:pgBorders>
            <w:top w:val="single" w:sz="12" w:space="3" w:color="17365D" w:themeColor="text2" w:themeShade="BF"/>
            <w:bottom w:val="single" w:sz="12" w:space="3" w:color="17365D" w:themeColor="text2" w:themeShade="BF"/>
          </w:pgBorders>
          <w:cols w:space="708"/>
          <w:docGrid w:linePitch="360"/>
        </w:sectPr>
      </w:pPr>
    </w:p>
    <w:p w14:paraId="133AA549" w14:textId="77777777" w:rsidR="00234600" w:rsidRPr="00901562" w:rsidRDefault="00234600" w:rsidP="00901562">
      <w:pPr>
        <w:pStyle w:val="Heading1"/>
      </w:pPr>
      <w:bookmarkStart w:id="46" w:name="_Toc214623597"/>
      <w:r>
        <w:lastRenderedPageBreak/>
        <w:t xml:space="preserve">Document </w:t>
      </w:r>
      <w:r w:rsidR="003E6162">
        <w:t>contributors</w:t>
      </w:r>
      <w:bookmarkEnd w:id="46"/>
    </w:p>
    <w:tbl>
      <w:tblPr>
        <w:tblStyle w:val="TableGrid"/>
        <w:tblW w:w="5000" w:type="pct"/>
        <w:tblBorders>
          <w:insideH w:val="dotted" w:sz="4" w:space="0" w:color="auto"/>
          <w:insideV w:val="dotted" w:sz="4" w:space="0" w:color="auto"/>
        </w:tblBorders>
        <w:tblLook w:val="04A0" w:firstRow="1" w:lastRow="0" w:firstColumn="1" w:lastColumn="0" w:noHBand="0" w:noVBand="1"/>
        <w:tblCaption w:val="Document contributors"/>
        <w:tblDescription w:val="This table contains details of the author(s), reviewer(s) and authorisor(s) of this document. "/>
      </w:tblPr>
      <w:tblGrid>
        <w:gridCol w:w="9017"/>
      </w:tblGrid>
      <w:tr w:rsidR="00D242C8" w:rsidRPr="003713E4" w14:paraId="73FA7644" w14:textId="77777777" w:rsidTr="00D242C8">
        <w:trPr>
          <w:trHeight w:val="454"/>
        </w:trPr>
        <w:tc>
          <w:tcPr>
            <w:tcW w:w="5000" w:type="pct"/>
            <w:shd w:val="clear" w:color="auto" w:fill="DBE5F1" w:themeFill="accent1" w:themeFillTint="33"/>
            <w:vAlign w:val="center"/>
          </w:tcPr>
          <w:p w14:paraId="4BE38F3A" w14:textId="77777777" w:rsidR="00D242C8" w:rsidRPr="002B6735" w:rsidRDefault="00D242C8" w:rsidP="002B6735">
            <w:pPr>
              <w:pStyle w:val="Contributorstabletext"/>
              <w:rPr>
                <w:b/>
                <w:bCs/>
              </w:rPr>
            </w:pPr>
            <w:bookmarkStart w:id="47" w:name="_Toc143768371"/>
            <w:r w:rsidRPr="002B6735">
              <w:rPr>
                <w:b/>
                <w:bCs/>
              </w:rPr>
              <w:t>Author</w:t>
            </w:r>
            <w:r w:rsidR="002B6735" w:rsidRPr="002B6735">
              <w:rPr>
                <w:b/>
                <w:bCs/>
              </w:rPr>
              <w:t>(s)</w:t>
            </w:r>
          </w:p>
        </w:tc>
      </w:tr>
      <w:tr w:rsidR="00D242C8" w14:paraId="623F3CF7" w14:textId="77777777" w:rsidTr="00F6365D">
        <w:trPr>
          <w:trHeight w:val="454"/>
        </w:trPr>
        <w:tc>
          <w:tcPr>
            <w:tcW w:w="5000" w:type="pct"/>
            <w:vAlign w:val="center"/>
          </w:tcPr>
          <w:p w14:paraId="6A97F281" w14:textId="25C440D3" w:rsidR="00D242C8" w:rsidRDefault="00E258DE" w:rsidP="00F6365D">
            <w:pPr>
              <w:pStyle w:val="Contributorstabletext"/>
            </w:pPr>
            <w:r>
              <w:t>Sarah Campbell (Senior Compliance Facilitator)</w:t>
            </w:r>
          </w:p>
        </w:tc>
      </w:tr>
      <w:tr w:rsidR="00D242C8" w14:paraId="7E080948" w14:textId="77777777" w:rsidTr="002B6735">
        <w:trPr>
          <w:trHeight w:val="454"/>
        </w:trPr>
        <w:tc>
          <w:tcPr>
            <w:tcW w:w="5000" w:type="pct"/>
            <w:shd w:val="clear" w:color="auto" w:fill="DBE5F1" w:themeFill="accent1" w:themeFillTint="33"/>
          </w:tcPr>
          <w:p w14:paraId="2F12C478" w14:textId="77777777" w:rsidR="00D242C8" w:rsidRPr="002B6735" w:rsidRDefault="002B6735" w:rsidP="002B6735">
            <w:pPr>
              <w:pStyle w:val="Contributorstabletext"/>
              <w:rPr>
                <w:b/>
                <w:bCs/>
              </w:rPr>
            </w:pPr>
            <w:r w:rsidRPr="002B6735">
              <w:rPr>
                <w:b/>
                <w:bCs/>
              </w:rPr>
              <w:t>Reviewer(s)</w:t>
            </w:r>
          </w:p>
        </w:tc>
      </w:tr>
      <w:tr w:rsidR="002B6735" w14:paraId="6195D7F4" w14:textId="77777777" w:rsidTr="00D242C8">
        <w:trPr>
          <w:trHeight w:val="454"/>
        </w:trPr>
        <w:tc>
          <w:tcPr>
            <w:tcW w:w="5000" w:type="pct"/>
          </w:tcPr>
          <w:p w14:paraId="115F143F" w14:textId="77777777" w:rsidR="002B6735" w:rsidRPr="00747905" w:rsidRDefault="000B6210" w:rsidP="00F6365D">
            <w:pPr>
              <w:pStyle w:val="Contributorstabletext"/>
              <w:rPr>
                <w:i/>
                <w:iCs/>
              </w:rPr>
            </w:pPr>
            <w:r>
              <w:rPr>
                <w:i/>
                <w:iCs/>
              </w:rPr>
              <w:t>Version</w:t>
            </w:r>
            <w:r w:rsidR="002B6735" w:rsidRPr="00747905">
              <w:rPr>
                <w:i/>
                <w:iCs/>
              </w:rPr>
              <w:t xml:space="preserve"> by – </w:t>
            </w:r>
          </w:p>
          <w:p w14:paraId="0798825E" w14:textId="77777777" w:rsidR="00283ED8" w:rsidRDefault="00283ED8" w:rsidP="003F499F">
            <w:pPr>
              <w:pStyle w:val="bulletT1"/>
            </w:pPr>
            <w:r>
              <w:t>Clinical Research Compliance Team (CRCT)</w:t>
            </w:r>
          </w:p>
          <w:p w14:paraId="00CDFC96" w14:textId="77777777" w:rsidR="002B6735" w:rsidRPr="005405BD" w:rsidRDefault="002B6735" w:rsidP="003F499F">
            <w:pPr>
              <w:pStyle w:val="bulletT1"/>
            </w:pPr>
            <w:r w:rsidRPr="005405BD">
              <w:t>Research Ethics, Governance &amp; Integrity Team (REGI)</w:t>
            </w:r>
          </w:p>
          <w:p w14:paraId="795FAEF3" w14:textId="77777777" w:rsidR="002B6735" w:rsidRPr="005405BD" w:rsidRDefault="002B6735" w:rsidP="003F499F">
            <w:pPr>
              <w:pStyle w:val="bulletT1"/>
            </w:pPr>
            <w:r w:rsidRPr="005405BD">
              <w:t>University of Birmingham Clinical Trials Units (UoB CTUs)</w:t>
            </w:r>
          </w:p>
          <w:p w14:paraId="66C7A3C7" w14:textId="77777777" w:rsidR="002B6735" w:rsidRPr="005405BD" w:rsidRDefault="002B6735" w:rsidP="003F499F">
            <w:pPr>
              <w:pStyle w:val="bulletT1"/>
            </w:pPr>
            <w:r w:rsidRPr="005405BD">
              <w:t>Clinical Trials Oversight Committee (CTOC)</w:t>
            </w:r>
          </w:p>
          <w:p w14:paraId="02A91B99" w14:textId="01E2A3B0" w:rsidR="002B6735" w:rsidRPr="0070323D" w:rsidRDefault="002B6735" w:rsidP="003F499F">
            <w:pPr>
              <w:pStyle w:val="bulletT1"/>
            </w:pPr>
            <w:r w:rsidRPr="005405BD">
              <w:t>Any</w:t>
            </w:r>
            <w:r w:rsidRPr="00CB39B4">
              <w:t xml:space="preserve"> other stakeholders (see stakeholders</w:t>
            </w:r>
            <w:r w:rsidRPr="0070323D">
              <w:t xml:space="preserve"> </w:t>
            </w:r>
            <w:r w:rsidR="004827DE" w:rsidRPr="004827DE">
              <w:rPr>
                <w:rStyle w:val="DocrefChar"/>
                <w:u w:val="single"/>
              </w:rPr>
              <w:fldChar w:fldCharType="begin"/>
            </w:r>
            <w:r w:rsidR="004827DE" w:rsidRPr="004827DE">
              <w:rPr>
                <w:rStyle w:val="DocrefChar"/>
                <w:u w:val="single"/>
              </w:rPr>
              <w:instrText xml:space="preserve"> REF _Ref153523581 \p \h  \* MERGEFORMAT </w:instrText>
            </w:r>
            <w:r w:rsidR="004827DE" w:rsidRPr="004827DE">
              <w:rPr>
                <w:rStyle w:val="DocrefChar"/>
                <w:u w:val="single"/>
              </w:rPr>
            </w:r>
            <w:r w:rsidR="004827DE" w:rsidRPr="004827DE">
              <w:rPr>
                <w:rStyle w:val="DocrefChar"/>
                <w:u w:val="single"/>
              </w:rPr>
              <w:fldChar w:fldCharType="separate"/>
            </w:r>
            <w:r w:rsidR="000B3BED">
              <w:rPr>
                <w:rStyle w:val="DocrefChar"/>
                <w:u w:val="single"/>
              </w:rPr>
              <w:t>above</w:t>
            </w:r>
            <w:r w:rsidR="004827DE" w:rsidRPr="004827DE">
              <w:rPr>
                <w:rStyle w:val="DocrefChar"/>
                <w:u w:val="single"/>
              </w:rPr>
              <w:fldChar w:fldCharType="end"/>
            </w:r>
            <w:r w:rsidRPr="0070323D">
              <w:t>)</w:t>
            </w:r>
          </w:p>
          <w:p w14:paraId="2C945BFA" w14:textId="77777777" w:rsidR="002B6735" w:rsidRPr="0070323D" w:rsidRDefault="001D13C0" w:rsidP="002B6735">
            <w:pPr>
              <w:pStyle w:val="Contributorstabletext"/>
            </w:pPr>
            <w:r>
              <w:rPr>
                <w:i/>
                <w:iCs/>
              </w:rPr>
              <w:t>R</w:t>
            </w:r>
            <w:r w:rsidR="002B6735" w:rsidRPr="0070323D">
              <w:rPr>
                <w:i/>
                <w:iCs/>
              </w:rPr>
              <w:t>evisions by</w:t>
            </w:r>
            <w:r w:rsidR="002B6735" w:rsidRPr="0070323D">
              <w:t xml:space="preserve"> –</w:t>
            </w:r>
          </w:p>
          <w:p w14:paraId="529963C8" w14:textId="2FAE9314" w:rsidR="002B6735" w:rsidRDefault="002B6735" w:rsidP="00120959">
            <w:pPr>
              <w:pStyle w:val="bulletT1"/>
            </w:pPr>
            <w:r w:rsidRPr="0070323D">
              <w:t>CRCT (see</w:t>
            </w:r>
            <w:r>
              <w:t xml:space="preserve"> </w:t>
            </w:r>
            <w:r w:rsidR="004827DE">
              <w:t>d</w:t>
            </w:r>
            <w:r>
              <w:t>ocument revision log</w:t>
            </w:r>
            <w:r w:rsidR="004827DE">
              <w:t xml:space="preserve"> </w:t>
            </w:r>
            <w:r w:rsidR="004827DE" w:rsidRPr="004827DE">
              <w:rPr>
                <w:rStyle w:val="SectionrefChar"/>
              </w:rPr>
              <w:fldChar w:fldCharType="begin"/>
            </w:r>
            <w:r w:rsidR="004827DE" w:rsidRPr="004827DE">
              <w:rPr>
                <w:rStyle w:val="SectionrefChar"/>
              </w:rPr>
              <w:instrText xml:space="preserve"> REF _Ref153523697 \p \h </w:instrText>
            </w:r>
            <w:r w:rsidR="004827DE">
              <w:rPr>
                <w:rStyle w:val="SectionrefChar"/>
              </w:rPr>
              <w:instrText xml:space="preserve"> \* MERGEFORMAT </w:instrText>
            </w:r>
            <w:r w:rsidR="004827DE" w:rsidRPr="004827DE">
              <w:rPr>
                <w:rStyle w:val="SectionrefChar"/>
              </w:rPr>
            </w:r>
            <w:r w:rsidR="004827DE" w:rsidRPr="004827DE">
              <w:rPr>
                <w:rStyle w:val="SectionrefChar"/>
              </w:rPr>
              <w:fldChar w:fldCharType="separate"/>
            </w:r>
            <w:r w:rsidR="000B3BED">
              <w:rPr>
                <w:rStyle w:val="SectionrefChar"/>
              </w:rPr>
              <w:t>below</w:t>
            </w:r>
            <w:r w:rsidR="004827DE" w:rsidRPr="004827DE">
              <w:rPr>
                <w:rStyle w:val="SectionrefChar"/>
              </w:rPr>
              <w:fldChar w:fldCharType="end"/>
            </w:r>
            <w:r w:rsidRPr="0070323D">
              <w:t>)</w:t>
            </w:r>
          </w:p>
        </w:tc>
      </w:tr>
      <w:tr w:rsidR="00D242C8" w14:paraId="7E09597C" w14:textId="77777777" w:rsidTr="002B6735">
        <w:trPr>
          <w:trHeight w:val="454"/>
        </w:trPr>
        <w:tc>
          <w:tcPr>
            <w:tcW w:w="5000" w:type="pct"/>
            <w:shd w:val="clear" w:color="auto" w:fill="DBE5F1" w:themeFill="accent1" w:themeFillTint="33"/>
          </w:tcPr>
          <w:p w14:paraId="4C8AA5D9" w14:textId="77777777" w:rsidR="00D242C8" w:rsidRPr="002B6735" w:rsidRDefault="002B6735" w:rsidP="002B6735">
            <w:pPr>
              <w:pStyle w:val="Contributorstabletext"/>
              <w:rPr>
                <w:b/>
                <w:bCs/>
              </w:rPr>
            </w:pPr>
            <w:r w:rsidRPr="002B6735">
              <w:rPr>
                <w:b/>
                <w:bCs/>
              </w:rPr>
              <w:t>Authoriser(s)</w:t>
            </w:r>
          </w:p>
        </w:tc>
      </w:tr>
      <w:tr w:rsidR="00D242C8" w14:paraId="665246AC" w14:textId="77777777" w:rsidTr="00D242C8">
        <w:trPr>
          <w:trHeight w:val="454"/>
        </w:trPr>
        <w:tc>
          <w:tcPr>
            <w:tcW w:w="5000" w:type="pct"/>
          </w:tcPr>
          <w:p w14:paraId="1CA110D1" w14:textId="77777777" w:rsidR="00E258DE" w:rsidRDefault="00E258DE" w:rsidP="00E258DE">
            <w:pPr>
              <w:pStyle w:val="Contributorstabletext"/>
            </w:pPr>
            <w:r>
              <w:t>Jamie Douglas-Pugh (Clinical Research Compliance Manager / QMS Manager)</w:t>
            </w:r>
          </w:p>
          <w:p w14:paraId="47BADA37" w14:textId="6A0EE61C" w:rsidR="005505A0" w:rsidRDefault="00E258DE" w:rsidP="00E258DE">
            <w:pPr>
              <w:pStyle w:val="Contributorstabletext"/>
            </w:pPr>
            <w:r>
              <w:t>Colin Watts (Chair of CTOC)</w:t>
            </w:r>
          </w:p>
        </w:tc>
      </w:tr>
    </w:tbl>
    <w:p w14:paraId="7D6E1464" w14:textId="77777777" w:rsidR="00FC026F" w:rsidRDefault="00FC026F" w:rsidP="004827DE">
      <w:pPr>
        <w:pStyle w:val="Sectionref"/>
      </w:pPr>
    </w:p>
    <w:p w14:paraId="03112D5A" w14:textId="77777777" w:rsidR="003E6162" w:rsidRPr="004827DE" w:rsidRDefault="003E6162" w:rsidP="004827DE">
      <w:pPr>
        <w:pStyle w:val="Sectionref"/>
        <w:rPr>
          <w:rFonts w:asciiTheme="minorHAnsi" w:eastAsiaTheme="minorHAnsi" w:hAnsiTheme="minorHAnsi" w:cstheme="minorHAnsi"/>
          <w:bCs/>
          <w:caps/>
          <w:sz w:val="24"/>
          <w:szCs w:val="24"/>
        </w:rPr>
      </w:pPr>
      <w:r w:rsidRPr="004827DE">
        <w:br w:type="page"/>
      </w:r>
    </w:p>
    <w:p w14:paraId="45059443" w14:textId="77777777" w:rsidR="002B6735" w:rsidRDefault="003E6162" w:rsidP="003E6162">
      <w:pPr>
        <w:pStyle w:val="Heading1"/>
      </w:pPr>
      <w:bookmarkStart w:id="48" w:name="_Toc214623598"/>
      <w:r>
        <w:lastRenderedPageBreak/>
        <w:t xml:space="preserve">Document </w:t>
      </w:r>
      <w:r w:rsidR="001976C1">
        <w:t>h</w:t>
      </w:r>
      <w:r>
        <w:t>istory</w:t>
      </w:r>
      <w:bookmarkEnd w:id="48"/>
    </w:p>
    <w:p w14:paraId="02159B86" w14:textId="77777777" w:rsidR="00234600" w:rsidRPr="00710D7B" w:rsidRDefault="00120959" w:rsidP="00234600">
      <w:pPr>
        <w:pStyle w:val="Heading2"/>
      </w:pPr>
      <w:bookmarkStart w:id="49" w:name="_Toc214623599"/>
      <w:bookmarkEnd w:id="47"/>
      <w:r>
        <w:t>Document version log</w:t>
      </w:r>
      <w:bookmarkEnd w:id="49"/>
    </w:p>
    <w:p w14:paraId="11FC0B3F" w14:textId="77777777" w:rsidR="001D13C0" w:rsidRDefault="00234600" w:rsidP="001D13C0">
      <w:r>
        <w:t xml:space="preserve">The </w:t>
      </w:r>
      <w:r w:rsidR="006F7027">
        <w:t>table below</w:t>
      </w:r>
      <w:r>
        <w:t xml:space="preserve"> summarise the changes made to this document compared to its superseded version</w:t>
      </w:r>
      <w:r w:rsidR="006F7027">
        <w:t>s</w:t>
      </w:r>
      <w:r>
        <w:t xml:space="preserve">. </w:t>
      </w:r>
      <w:r w:rsidR="002A0B65">
        <w:t xml:space="preserve">For information on earlier versions not shown, please </w:t>
      </w:r>
      <w:r w:rsidR="001E07D8">
        <w:t>email</w:t>
      </w:r>
      <w:r w:rsidR="002A0B65">
        <w:t xml:space="preserve"> the CRCT</w:t>
      </w:r>
      <w:r w:rsidR="001E07D8">
        <w:t xml:space="preserve"> (</w:t>
      </w:r>
      <w:hyperlink r:id="rId62" w:tooltip="Email the CRCT" w:history="1">
        <w:r w:rsidR="001E07D8" w:rsidRPr="00986664">
          <w:rPr>
            <w:rStyle w:val="Hyperlink"/>
          </w:rPr>
          <w:t>crct@contacts.bham.ac.uk</w:t>
        </w:r>
      </w:hyperlink>
      <w:r w:rsidR="001E07D8">
        <w:t>)</w:t>
      </w:r>
      <w:r w:rsidR="002A0B65">
        <w:t>.</w:t>
      </w:r>
      <w:r w:rsidR="001E07D8">
        <w:t xml:space="preserve"> </w:t>
      </w:r>
      <w:r w:rsidR="002A0B65">
        <w:t xml:space="preserve"> </w:t>
      </w:r>
    </w:p>
    <w:tbl>
      <w:tblPr>
        <w:tblStyle w:val="TableGrid"/>
        <w:tblW w:w="5000" w:type="pct"/>
        <w:tblBorders>
          <w:insideH w:val="dotted" w:sz="4" w:space="0" w:color="auto"/>
          <w:insideV w:val="dotted" w:sz="4" w:space="0" w:color="auto"/>
        </w:tblBorders>
        <w:tblLook w:val="04A0" w:firstRow="1" w:lastRow="0" w:firstColumn="1" w:lastColumn="0" w:noHBand="0" w:noVBand="1"/>
        <w:tblCaption w:val="Document version log"/>
        <w:tblDescription w:val="This table summarise the changes made to this document compared to its superseded versions."/>
      </w:tblPr>
      <w:tblGrid>
        <w:gridCol w:w="1414"/>
        <w:gridCol w:w="7603"/>
      </w:tblGrid>
      <w:tr w:rsidR="006F7027" w:rsidRPr="003713E4" w14:paraId="0F359771" w14:textId="77777777" w:rsidTr="00F6365D">
        <w:trPr>
          <w:trHeight w:val="454"/>
          <w:tblHeader/>
        </w:trPr>
        <w:tc>
          <w:tcPr>
            <w:tcW w:w="784" w:type="pct"/>
            <w:shd w:val="clear" w:color="auto" w:fill="DBE5F1" w:themeFill="accent1" w:themeFillTint="33"/>
            <w:vAlign w:val="center"/>
          </w:tcPr>
          <w:p w14:paraId="0D481FC6" w14:textId="77777777" w:rsidR="006F7027" w:rsidRPr="003713E4" w:rsidRDefault="006F7027" w:rsidP="008051E9">
            <w:pPr>
              <w:jc w:val="center"/>
              <w:rPr>
                <w:b/>
                <w:bCs/>
              </w:rPr>
            </w:pPr>
            <w:r>
              <w:rPr>
                <w:b/>
                <w:bCs/>
              </w:rPr>
              <w:t>Version</w:t>
            </w:r>
          </w:p>
        </w:tc>
        <w:tc>
          <w:tcPr>
            <w:tcW w:w="4216" w:type="pct"/>
            <w:shd w:val="clear" w:color="auto" w:fill="DBE5F1" w:themeFill="accent1" w:themeFillTint="33"/>
            <w:vAlign w:val="center"/>
          </w:tcPr>
          <w:p w14:paraId="22F795AB" w14:textId="77777777" w:rsidR="006F7027" w:rsidRPr="003713E4" w:rsidRDefault="006F7027" w:rsidP="008051E9">
            <w:pPr>
              <w:rPr>
                <w:b/>
                <w:bCs/>
              </w:rPr>
            </w:pPr>
            <w:r>
              <w:rPr>
                <w:b/>
                <w:bCs/>
              </w:rPr>
              <w:t>Reason for update</w:t>
            </w:r>
          </w:p>
        </w:tc>
      </w:tr>
      <w:tr w:rsidR="002A0B65" w14:paraId="4EA94131" w14:textId="77777777" w:rsidTr="00747905">
        <w:trPr>
          <w:trHeight w:val="440"/>
        </w:trPr>
        <w:tc>
          <w:tcPr>
            <w:tcW w:w="784" w:type="pct"/>
          </w:tcPr>
          <w:p w14:paraId="15FF871F" w14:textId="15F52D22" w:rsidR="00A5347A" w:rsidRDefault="00091288" w:rsidP="00A5347A">
            <w:pPr>
              <w:jc w:val="center"/>
            </w:pPr>
            <w:r>
              <w:t>2.0</w:t>
            </w:r>
          </w:p>
          <w:p w14:paraId="06EF652A" w14:textId="5962A5DB" w:rsidR="002A0B65" w:rsidRDefault="002A0B65" w:rsidP="00A5347A">
            <w:pPr>
              <w:jc w:val="center"/>
            </w:pPr>
            <w:r>
              <w:t>(</w:t>
            </w:r>
            <w:r w:rsidR="0035120D">
              <w:t>05-Jan-2026</w:t>
            </w:r>
            <w:r>
              <w:t>)</w:t>
            </w:r>
          </w:p>
        </w:tc>
        <w:tc>
          <w:tcPr>
            <w:tcW w:w="4216" w:type="pct"/>
          </w:tcPr>
          <w:p w14:paraId="7E9C556D" w14:textId="77777777" w:rsidR="009A673E" w:rsidRDefault="009A673E" w:rsidP="009A673E">
            <w:pPr>
              <w:pStyle w:val="bulletT1"/>
            </w:pPr>
            <w:r>
              <w:t>New SOP template, improving readability and updates to hyperlinks.</w:t>
            </w:r>
          </w:p>
          <w:p w14:paraId="1081E203" w14:textId="77777777" w:rsidR="009A673E" w:rsidRPr="002C16FF" w:rsidRDefault="009A673E" w:rsidP="009A673E">
            <w:pPr>
              <w:pStyle w:val="bulletT1"/>
              <w:rPr>
                <w:lang w:eastAsia="en-GB"/>
              </w:rPr>
            </w:pPr>
            <w:r w:rsidRPr="002C16FF">
              <w:rPr>
                <w:lang w:eastAsia="en-GB"/>
              </w:rPr>
              <w:t>Added requirement to document blinding risks and mitigations in risk assessments for blinded trials.</w:t>
            </w:r>
          </w:p>
          <w:p w14:paraId="173A01AB" w14:textId="77777777" w:rsidR="009A673E" w:rsidRPr="002D47BD" w:rsidRDefault="009A673E" w:rsidP="009A673E">
            <w:pPr>
              <w:pStyle w:val="bulletT1"/>
              <w:rPr>
                <w:lang w:eastAsia="en-GB"/>
              </w:rPr>
            </w:pPr>
            <w:r w:rsidRPr="002D47BD">
              <w:rPr>
                <w:lang w:eastAsia="en-GB"/>
              </w:rPr>
              <w:t>Added guidance on ensuring IMP is blinded appropriately for blinded CTIMPs and ATIMP.</w:t>
            </w:r>
          </w:p>
          <w:p w14:paraId="43AE887F" w14:textId="77777777" w:rsidR="009A673E" w:rsidRPr="00595424" w:rsidRDefault="009A673E" w:rsidP="009A673E">
            <w:pPr>
              <w:pStyle w:val="bulletT1"/>
              <w:rPr>
                <w:lang w:eastAsia="en-GB"/>
              </w:rPr>
            </w:pPr>
            <w:r w:rsidRPr="00595424">
              <w:rPr>
                <w:lang w:eastAsia="en-GB"/>
              </w:rPr>
              <w:t>Added requirement to risk assess and document deviations from standard medicinal-product shipment processes.</w:t>
            </w:r>
          </w:p>
          <w:p w14:paraId="7B94CE9E" w14:textId="639544CD" w:rsidR="009A673E" w:rsidRPr="006026BD" w:rsidRDefault="009A673E" w:rsidP="009A673E">
            <w:pPr>
              <w:pStyle w:val="bulletT1"/>
              <w:rPr>
                <w:lang w:eastAsia="en-GB"/>
              </w:rPr>
            </w:pPr>
            <w:r w:rsidRPr="006026BD">
              <w:rPr>
                <w:lang w:eastAsia="en-GB"/>
              </w:rPr>
              <w:t xml:space="preserve">Added </w:t>
            </w:r>
            <w:r w:rsidR="00D41735">
              <w:rPr>
                <w:lang w:eastAsia="en-GB"/>
              </w:rPr>
              <w:t>further details on the process for</w:t>
            </w:r>
            <w:r w:rsidRPr="006026BD">
              <w:rPr>
                <w:lang w:eastAsia="en-GB"/>
              </w:rPr>
              <w:t xml:space="preserve"> IMP transfers between trial </w:t>
            </w:r>
            <w:r w:rsidR="007A077D">
              <w:rPr>
                <w:lang w:eastAsia="en-GB"/>
              </w:rPr>
              <w:t>locations</w:t>
            </w:r>
            <w:r w:rsidRPr="006026BD">
              <w:rPr>
                <w:lang w:eastAsia="en-GB"/>
              </w:rPr>
              <w:t>.</w:t>
            </w:r>
          </w:p>
          <w:p w14:paraId="6736F32E" w14:textId="77777777" w:rsidR="002A0B65" w:rsidRDefault="009A673E" w:rsidP="009A673E">
            <w:pPr>
              <w:pStyle w:val="bulletT1"/>
            </w:pPr>
            <w:r>
              <w:t>Update to reflect process for contracts to be managed via the relevant College Hub.</w:t>
            </w:r>
          </w:p>
          <w:p w14:paraId="2908B8E0" w14:textId="7F1C5DF8" w:rsidR="00E845D0" w:rsidRDefault="00E845D0" w:rsidP="009A673E">
            <w:pPr>
              <w:pStyle w:val="bulletT1"/>
            </w:pPr>
            <w:r>
              <w:t xml:space="preserve">Terminology update: </w:t>
            </w:r>
            <w:r w:rsidR="005034E2">
              <w:t xml:space="preserve">research site change to study/trial location. </w:t>
            </w:r>
          </w:p>
        </w:tc>
      </w:tr>
    </w:tbl>
    <w:p w14:paraId="4E36CA25" w14:textId="77777777" w:rsidR="00234600" w:rsidRDefault="00234600" w:rsidP="00234600">
      <w:pPr>
        <w:pStyle w:val="Heading2"/>
      </w:pPr>
      <w:bookmarkStart w:id="50" w:name="_Toc143768372"/>
      <w:bookmarkStart w:id="51" w:name="_Ref152852855"/>
      <w:bookmarkStart w:id="52" w:name="_Ref152852890"/>
      <w:bookmarkStart w:id="53" w:name="_Ref153523697"/>
      <w:bookmarkStart w:id="54" w:name="_Toc214623600"/>
      <w:r>
        <w:t xml:space="preserve">Document </w:t>
      </w:r>
      <w:r w:rsidR="00413F0A">
        <w:t>r</w:t>
      </w:r>
      <w:r>
        <w:t xml:space="preserve">evision </w:t>
      </w:r>
      <w:r w:rsidR="00413F0A">
        <w:t>l</w:t>
      </w:r>
      <w:r>
        <w:t>og</w:t>
      </w:r>
      <w:bookmarkEnd w:id="50"/>
      <w:bookmarkEnd w:id="51"/>
      <w:bookmarkEnd w:id="52"/>
      <w:bookmarkEnd w:id="53"/>
      <w:bookmarkEnd w:id="54"/>
    </w:p>
    <w:p w14:paraId="26F5C303" w14:textId="77777777" w:rsidR="001D13C0" w:rsidRDefault="00234600" w:rsidP="005505A0">
      <w:r>
        <w:t>The table below summaries the reason for any revisions made to th</w:t>
      </w:r>
      <w:r w:rsidR="00FC026F">
        <w:t xml:space="preserve">e latest </w:t>
      </w:r>
      <w:r>
        <w:t>version of this document. Revisions do not affect the key content and/or requirements outline</w:t>
      </w:r>
      <w:r w:rsidR="00426CB9">
        <w:t>d</w:t>
      </w:r>
      <w:r>
        <w:t xml:space="preserve"> in the document.</w:t>
      </w:r>
    </w:p>
    <w:tbl>
      <w:tblPr>
        <w:tblStyle w:val="TableGrid"/>
        <w:tblW w:w="0" w:type="auto"/>
        <w:tblBorders>
          <w:insideH w:val="dotted" w:sz="4" w:space="0" w:color="auto"/>
          <w:insideV w:val="dotted" w:sz="4" w:space="0" w:color="auto"/>
        </w:tblBorders>
        <w:tblLook w:val="04A0" w:firstRow="1" w:lastRow="0" w:firstColumn="1" w:lastColumn="0" w:noHBand="0" w:noVBand="1"/>
        <w:tblCaption w:val="Document revision log"/>
        <w:tblDescription w:val="This able summaries the reason for any revisions made to the latest version of this document."/>
      </w:tblPr>
      <w:tblGrid>
        <w:gridCol w:w="1413"/>
        <w:gridCol w:w="3544"/>
        <w:gridCol w:w="2030"/>
        <w:gridCol w:w="2030"/>
      </w:tblGrid>
      <w:tr w:rsidR="00234600" w14:paraId="09696D00" w14:textId="77777777" w:rsidTr="00F6365D">
        <w:trPr>
          <w:trHeight w:val="454"/>
          <w:tblHeader/>
        </w:trPr>
        <w:tc>
          <w:tcPr>
            <w:tcW w:w="1413" w:type="dxa"/>
            <w:shd w:val="clear" w:color="auto" w:fill="DBE5F1" w:themeFill="accent1" w:themeFillTint="33"/>
            <w:vAlign w:val="center"/>
          </w:tcPr>
          <w:p w14:paraId="3D470E33" w14:textId="77777777" w:rsidR="00234600" w:rsidRPr="003713E4" w:rsidRDefault="00234600" w:rsidP="008051E9">
            <w:pPr>
              <w:jc w:val="center"/>
              <w:rPr>
                <w:b/>
                <w:bCs/>
              </w:rPr>
            </w:pPr>
            <w:r w:rsidRPr="003713E4">
              <w:rPr>
                <w:b/>
                <w:bCs/>
              </w:rPr>
              <w:t>Revision</w:t>
            </w:r>
          </w:p>
        </w:tc>
        <w:tc>
          <w:tcPr>
            <w:tcW w:w="3544" w:type="dxa"/>
            <w:shd w:val="clear" w:color="auto" w:fill="DBE5F1" w:themeFill="accent1" w:themeFillTint="33"/>
            <w:vAlign w:val="center"/>
          </w:tcPr>
          <w:p w14:paraId="69F898A3" w14:textId="77777777" w:rsidR="00234600" w:rsidRPr="003713E4" w:rsidRDefault="00234600" w:rsidP="008051E9">
            <w:pPr>
              <w:rPr>
                <w:b/>
                <w:bCs/>
              </w:rPr>
            </w:pPr>
            <w:r>
              <w:rPr>
                <w:b/>
                <w:bCs/>
              </w:rPr>
              <w:t>Reason for revision</w:t>
            </w:r>
          </w:p>
        </w:tc>
        <w:tc>
          <w:tcPr>
            <w:tcW w:w="2030" w:type="dxa"/>
            <w:shd w:val="clear" w:color="auto" w:fill="DBE5F1" w:themeFill="accent1" w:themeFillTint="33"/>
            <w:vAlign w:val="center"/>
          </w:tcPr>
          <w:p w14:paraId="01048474" w14:textId="77777777" w:rsidR="00234600" w:rsidRPr="003713E4" w:rsidRDefault="00234600" w:rsidP="008051E9">
            <w:pPr>
              <w:rPr>
                <w:b/>
                <w:bCs/>
              </w:rPr>
            </w:pPr>
            <w:r w:rsidRPr="003713E4">
              <w:rPr>
                <w:b/>
                <w:bCs/>
              </w:rPr>
              <w:t>Editor/reviewer</w:t>
            </w:r>
          </w:p>
        </w:tc>
        <w:tc>
          <w:tcPr>
            <w:tcW w:w="2030" w:type="dxa"/>
            <w:shd w:val="clear" w:color="auto" w:fill="DBE5F1" w:themeFill="accent1" w:themeFillTint="33"/>
            <w:vAlign w:val="center"/>
          </w:tcPr>
          <w:p w14:paraId="255A0473" w14:textId="77777777" w:rsidR="00234600" w:rsidRPr="003713E4" w:rsidRDefault="00234600" w:rsidP="008051E9">
            <w:pPr>
              <w:rPr>
                <w:b/>
                <w:bCs/>
              </w:rPr>
            </w:pPr>
            <w:r w:rsidRPr="003713E4">
              <w:rPr>
                <w:b/>
                <w:bCs/>
              </w:rPr>
              <w:t>Authoriser</w:t>
            </w:r>
          </w:p>
        </w:tc>
      </w:tr>
      <w:tr w:rsidR="001D13C0" w14:paraId="2D5C413A" w14:textId="77777777" w:rsidTr="00515191">
        <w:trPr>
          <w:trHeight w:val="907"/>
        </w:trPr>
        <w:tc>
          <w:tcPr>
            <w:tcW w:w="1413" w:type="dxa"/>
          </w:tcPr>
          <w:p w14:paraId="2C8740FA" w14:textId="77777777" w:rsidR="001D13C0" w:rsidRDefault="001D13C0" w:rsidP="001D13C0">
            <w:pPr>
              <w:jc w:val="center"/>
            </w:pPr>
            <w:r>
              <w:t>-</w:t>
            </w:r>
          </w:p>
        </w:tc>
        <w:tc>
          <w:tcPr>
            <w:tcW w:w="3544" w:type="dxa"/>
          </w:tcPr>
          <w:p w14:paraId="5BD479D8" w14:textId="77777777" w:rsidR="001D13C0" w:rsidRDefault="001D13C0" w:rsidP="001D13C0">
            <w:pPr>
              <w:pStyle w:val="bulletT1"/>
              <w:numPr>
                <w:ilvl w:val="0"/>
                <w:numId w:val="0"/>
              </w:numPr>
              <w:ind w:left="170"/>
            </w:pPr>
            <w:r>
              <w:t>-</w:t>
            </w:r>
          </w:p>
        </w:tc>
        <w:tc>
          <w:tcPr>
            <w:tcW w:w="2030" w:type="dxa"/>
          </w:tcPr>
          <w:p w14:paraId="01532C73" w14:textId="77777777" w:rsidR="001D13C0" w:rsidRDefault="001D13C0" w:rsidP="001D13C0">
            <w:pPr>
              <w:jc w:val="left"/>
            </w:pPr>
            <w:r>
              <w:t>-</w:t>
            </w:r>
          </w:p>
        </w:tc>
        <w:tc>
          <w:tcPr>
            <w:tcW w:w="2030" w:type="dxa"/>
          </w:tcPr>
          <w:p w14:paraId="6EDCF2D1" w14:textId="77777777" w:rsidR="001D13C0" w:rsidRDefault="001D13C0" w:rsidP="001D13C0">
            <w:pPr>
              <w:jc w:val="left"/>
            </w:pPr>
            <w:r>
              <w:t>-</w:t>
            </w:r>
          </w:p>
        </w:tc>
      </w:tr>
    </w:tbl>
    <w:p w14:paraId="584991D3" w14:textId="5464D056" w:rsidR="00A41A16" w:rsidRDefault="00A41A16" w:rsidP="003036F0">
      <w:pPr>
        <w:pStyle w:val="Instructions"/>
      </w:pPr>
    </w:p>
    <w:sectPr w:rsidR="00A41A16" w:rsidSect="00BB1019">
      <w:pgSz w:w="11907" w:h="16839" w:code="9"/>
      <w:pgMar w:top="1440" w:right="1440" w:bottom="1440" w:left="1440" w:header="567" w:footer="397" w:gutter="0"/>
      <w:pgBorders>
        <w:top w:val="single" w:sz="12" w:space="3" w:color="17365D" w:themeColor="text2" w:themeShade="BF"/>
        <w:bottom w:val="single" w:sz="12" w:space="3" w:color="17365D" w:themeColor="text2"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095B5" w14:textId="77777777" w:rsidR="000F7FF2" w:rsidRDefault="000F7FF2" w:rsidP="00F46DE6">
      <w:r>
        <w:separator/>
      </w:r>
    </w:p>
    <w:p w14:paraId="26AC059D" w14:textId="77777777" w:rsidR="000F7FF2" w:rsidRDefault="000F7FF2" w:rsidP="00F46DE6"/>
  </w:endnote>
  <w:endnote w:type="continuationSeparator" w:id="0">
    <w:p w14:paraId="74FBD4D4" w14:textId="77777777" w:rsidR="000F7FF2" w:rsidRDefault="000F7FF2" w:rsidP="00F46DE6">
      <w:r>
        <w:continuationSeparator/>
      </w:r>
    </w:p>
    <w:p w14:paraId="7C20C7CA" w14:textId="77777777" w:rsidR="000F7FF2" w:rsidRDefault="000F7FF2" w:rsidP="00F46D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Pro Cond Semibold">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B868A" w14:textId="77777777" w:rsidR="00DD3075" w:rsidRDefault="00276842" w:rsidP="00276842">
    <w:r w:rsidRPr="002D6577">
      <w:t xml:space="preserve">Property of </w:t>
    </w:r>
    <w:r>
      <w:t xml:space="preserve">the </w:t>
    </w:r>
    <w:r w:rsidRPr="002D6577">
      <w:t>University of Birmingham, Vincent Drive, Edgbaston, Birmingham, B15 2TT, United Kingdom</w:t>
    </w:r>
  </w:p>
  <w:p w14:paraId="540554FE" w14:textId="77777777" w:rsidR="00DD3075" w:rsidRPr="001348DC" w:rsidRDefault="00DD3075" w:rsidP="00DD3075">
    <w:r w:rsidRPr="001348DC">
      <w:t>Copies are only valid for 14 days and may be subject to amendment a</w:t>
    </w:r>
    <w:r>
      <w:t>t any time. For the latest version refer to:</w:t>
    </w:r>
    <w:r w:rsidRPr="001348DC">
      <w:t xml:space="preserve"> </w:t>
    </w:r>
  </w:p>
  <w:p w14:paraId="6B9A6DA9" w14:textId="77777777" w:rsidR="00276842" w:rsidRDefault="00DD3075" w:rsidP="00DD3075">
    <w:hyperlink r:id="rId1" w:history="1">
      <w:r w:rsidRPr="00D317E8">
        <w:rPr>
          <w:rStyle w:val="Hyperlink"/>
        </w:rPr>
        <w:t>http://www.birmingham.ac.uk/research/activity/mds/mds-rkto/governance/index.aspx</w:t>
      </w:r>
    </w:hyperlink>
  </w:p>
  <w:p w14:paraId="1E6DE0FC" w14:textId="77777777" w:rsidR="00D33108" w:rsidRPr="002D6577" w:rsidRDefault="00D33108" w:rsidP="00F64F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6E1D6" w14:textId="77777777" w:rsidR="007773B9" w:rsidRPr="0097056C" w:rsidRDefault="007773B9" w:rsidP="00C56078">
    <w:pPr>
      <w:pStyle w:val="Footer"/>
    </w:pPr>
    <w:r w:rsidRPr="0097056C">
      <w:t>Property of the University of Birmingham, Vincent Drive, Edgbaston, Birmingham, B15 2TT, United Kingdom.</w:t>
    </w:r>
  </w:p>
  <w:p w14:paraId="2462BE9D" w14:textId="77777777" w:rsidR="007773B9" w:rsidRPr="0097056C" w:rsidRDefault="007773B9" w:rsidP="00C56078">
    <w:pPr>
      <w:pStyle w:val="Footer"/>
    </w:pPr>
    <w:r w:rsidRPr="0097056C">
      <w:t>This is a controlled document. Any unauthorised prints/downloads of this document will be classed as uncontrolled.</w:t>
    </w:r>
  </w:p>
  <w:p w14:paraId="7B3747C7" w14:textId="77777777" w:rsidR="0097056C" w:rsidRDefault="007773B9" w:rsidP="00C56078">
    <w:pPr>
      <w:pStyle w:val="Footer"/>
      <w:rPr>
        <w:rStyle w:val="Hyperlink"/>
      </w:rPr>
    </w:pPr>
    <w:r w:rsidRPr="0097056C">
      <w:t xml:space="preserve">For the latest version refer to: </w:t>
    </w:r>
    <w:hyperlink r:id="rId1" w:tooltip="Link to the CRCT website" w:history="1">
      <w:r w:rsidR="00D7036B" w:rsidRPr="0097056C">
        <w:rPr>
          <w:rStyle w:val="Hyperlink"/>
        </w:rPr>
        <w:t>birmingham.ac.uk/crct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0F75C" w14:textId="77777777" w:rsidR="00DD3075" w:rsidRDefault="00DD3075" w:rsidP="00F64F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A0" w:firstRow="1" w:lastRow="0" w:firstColumn="1" w:lastColumn="0" w:noHBand="0" w:noVBand="0"/>
      <w:tblCaption w:val="Document Information"/>
      <w:tblDescription w:val="This includes the document code, version number, print date and page number. "/>
    </w:tblPr>
    <w:tblGrid>
      <w:gridCol w:w="1441"/>
      <w:gridCol w:w="3073"/>
      <w:gridCol w:w="3283"/>
      <w:gridCol w:w="1230"/>
    </w:tblGrid>
    <w:tr w:rsidR="00A668FC" w:rsidRPr="002D6577" w14:paraId="6AA30CF8" w14:textId="77777777" w:rsidTr="00A5347A">
      <w:trPr>
        <w:trHeight w:val="148"/>
      </w:trPr>
      <w:tc>
        <w:tcPr>
          <w:tcW w:w="1441" w:type="dxa"/>
          <w:tcMar>
            <w:top w:w="0" w:type="dxa"/>
            <w:left w:w="57" w:type="dxa"/>
            <w:bottom w:w="0" w:type="dxa"/>
            <w:right w:w="57" w:type="dxa"/>
          </w:tcMar>
          <w:vAlign w:val="center"/>
        </w:tcPr>
        <w:p w14:paraId="648CEB40" w14:textId="77777777" w:rsidR="00A668FC" w:rsidRPr="001C6EFB" w:rsidRDefault="00A668FC" w:rsidP="00A5347A">
          <w:pPr>
            <w:pStyle w:val="Footer"/>
            <w:jc w:val="left"/>
          </w:pPr>
          <w:r w:rsidRPr="001C6EFB">
            <w:t>Document code:</w:t>
          </w:r>
        </w:p>
      </w:tc>
      <w:tc>
        <w:tcPr>
          <w:tcW w:w="3073" w:type="dxa"/>
          <w:tcMar>
            <w:top w:w="0" w:type="dxa"/>
            <w:left w:w="57" w:type="dxa"/>
            <w:bottom w:w="0" w:type="dxa"/>
            <w:right w:w="57" w:type="dxa"/>
          </w:tcMar>
          <w:vAlign w:val="center"/>
        </w:tcPr>
        <w:p w14:paraId="0D29D364" w14:textId="5FD6061D" w:rsidR="00A668FC" w:rsidRPr="001C6EFB" w:rsidRDefault="00E258DE" w:rsidP="00A5347A">
          <w:pPr>
            <w:pStyle w:val="Footer"/>
            <w:jc w:val="left"/>
          </w:pPr>
          <w:r>
            <w:t>UoB-MED-SOP-001</w:t>
          </w:r>
        </w:p>
      </w:tc>
      <w:tc>
        <w:tcPr>
          <w:tcW w:w="3283" w:type="dxa"/>
          <w:tcMar>
            <w:top w:w="0" w:type="dxa"/>
            <w:left w:w="57" w:type="dxa"/>
            <w:bottom w:w="0" w:type="dxa"/>
            <w:right w:w="57" w:type="dxa"/>
          </w:tcMar>
          <w:vAlign w:val="center"/>
        </w:tcPr>
        <w:p w14:paraId="189F4E57" w14:textId="77777777" w:rsidR="00A668FC" w:rsidRPr="001C6EFB" w:rsidRDefault="00A668FC" w:rsidP="00A5347A">
          <w:pPr>
            <w:pStyle w:val="Footer"/>
            <w:jc w:val="right"/>
          </w:pPr>
          <w:r w:rsidRPr="001C6EFB">
            <w:t>Print Date:</w:t>
          </w:r>
        </w:p>
      </w:tc>
      <w:tc>
        <w:tcPr>
          <w:tcW w:w="1230" w:type="dxa"/>
          <w:tcMar>
            <w:top w:w="0" w:type="dxa"/>
            <w:left w:w="57" w:type="dxa"/>
            <w:bottom w:w="0" w:type="dxa"/>
            <w:right w:w="57" w:type="dxa"/>
          </w:tcMar>
          <w:vAlign w:val="center"/>
        </w:tcPr>
        <w:p w14:paraId="328D1D1F" w14:textId="73391C13" w:rsidR="00A668FC" w:rsidRPr="001C6EFB" w:rsidRDefault="00044A64" w:rsidP="00A5347A">
          <w:pPr>
            <w:pStyle w:val="Footer"/>
            <w:jc w:val="right"/>
          </w:pPr>
          <w:r>
            <w:fldChar w:fldCharType="begin"/>
          </w:r>
          <w:r>
            <w:instrText xml:space="preserve"> DATE  \@ "dd-MMM-yyyy"  \* MERGEFORMAT </w:instrText>
          </w:r>
          <w:r>
            <w:fldChar w:fldCharType="separate"/>
          </w:r>
          <w:r w:rsidR="000B3BED">
            <w:rPr>
              <w:noProof/>
            </w:rPr>
            <w:t>09-Dec-2025</w:t>
          </w:r>
          <w:r>
            <w:fldChar w:fldCharType="end"/>
          </w:r>
        </w:p>
      </w:tc>
    </w:tr>
    <w:tr w:rsidR="00A668FC" w:rsidRPr="002D6577" w14:paraId="4DE369DD" w14:textId="77777777" w:rsidTr="00A5347A">
      <w:tc>
        <w:tcPr>
          <w:tcW w:w="1441" w:type="dxa"/>
          <w:tcMar>
            <w:top w:w="0" w:type="dxa"/>
            <w:left w:w="57" w:type="dxa"/>
            <w:bottom w:w="0" w:type="dxa"/>
            <w:right w:w="57" w:type="dxa"/>
          </w:tcMar>
          <w:vAlign w:val="center"/>
        </w:tcPr>
        <w:p w14:paraId="0C3576B7" w14:textId="77777777" w:rsidR="00A668FC" w:rsidRPr="001C6EFB" w:rsidRDefault="00A668FC" w:rsidP="00A5347A">
          <w:pPr>
            <w:pStyle w:val="Footer"/>
            <w:jc w:val="left"/>
          </w:pPr>
          <w:r w:rsidRPr="001C6EFB">
            <w:t>Version no:</w:t>
          </w:r>
        </w:p>
      </w:tc>
      <w:tc>
        <w:tcPr>
          <w:tcW w:w="3073" w:type="dxa"/>
          <w:tcMar>
            <w:top w:w="0" w:type="dxa"/>
            <w:left w:w="57" w:type="dxa"/>
            <w:bottom w:w="0" w:type="dxa"/>
            <w:right w:w="57" w:type="dxa"/>
          </w:tcMar>
          <w:vAlign w:val="center"/>
        </w:tcPr>
        <w:p w14:paraId="7A17FE2E" w14:textId="53F9B6DB" w:rsidR="00A668FC" w:rsidRPr="001C6EFB" w:rsidRDefault="00967671" w:rsidP="00A5347A">
          <w:pPr>
            <w:pStyle w:val="Footer"/>
            <w:jc w:val="left"/>
          </w:pPr>
          <w:r>
            <w:t>2.0</w:t>
          </w:r>
        </w:p>
      </w:tc>
      <w:tc>
        <w:tcPr>
          <w:tcW w:w="3283" w:type="dxa"/>
          <w:tcMar>
            <w:top w:w="0" w:type="dxa"/>
            <w:left w:w="57" w:type="dxa"/>
            <w:bottom w:w="0" w:type="dxa"/>
            <w:right w:w="57" w:type="dxa"/>
          </w:tcMar>
          <w:vAlign w:val="center"/>
        </w:tcPr>
        <w:p w14:paraId="057F114B" w14:textId="77777777" w:rsidR="00A668FC" w:rsidRPr="001C6EFB" w:rsidRDefault="00A668FC" w:rsidP="00A5347A">
          <w:pPr>
            <w:pStyle w:val="Footer"/>
            <w:jc w:val="right"/>
          </w:pPr>
          <w:r w:rsidRPr="001C6EFB">
            <w:t>Page:</w:t>
          </w:r>
        </w:p>
      </w:tc>
      <w:tc>
        <w:tcPr>
          <w:tcW w:w="1230" w:type="dxa"/>
          <w:tcMar>
            <w:top w:w="0" w:type="dxa"/>
            <w:left w:w="57" w:type="dxa"/>
            <w:bottom w:w="0" w:type="dxa"/>
            <w:right w:w="57" w:type="dxa"/>
          </w:tcMar>
          <w:vAlign w:val="center"/>
        </w:tcPr>
        <w:p w14:paraId="76C710FB" w14:textId="77777777" w:rsidR="00A668FC" w:rsidRPr="001C6EFB" w:rsidRDefault="00A668FC" w:rsidP="00A5347A">
          <w:pPr>
            <w:pStyle w:val="Footer"/>
            <w:jc w:val="right"/>
          </w:pPr>
          <w:r w:rsidRPr="001C6EFB">
            <w:t xml:space="preserve"> </w:t>
          </w:r>
          <w:r w:rsidR="0060052C">
            <w:fldChar w:fldCharType="begin"/>
          </w:r>
          <w:r w:rsidR="0060052C">
            <w:instrText xml:space="preserve"> PAGE   \* MERGEFORMAT </w:instrText>
          </w:r>
          <w:r w:rsidR="0060052C">
            <w:fldChar w:fldCharType="separate"/>
          </w:r>
          <w:r w:rsidR="00B940A8">
            <w:rPr>
              <w:noProof/>
            </w:rPr>
            <w:t>2</w:t>
          </w:r>
          <w:r w:rsidR="0060052C">
            <w:fldChar w:fldCharType="end"/>
          </w:r>
          <w:r w:rsidRPr="001C6EFB">
            <w:t xml:space="preserve"> of </w:t>
          </w:r>
          <w:fldSimple w:instr=" NUMPAGES   \* MERGEFORMAT ">
            <w:r w:rsidR="00B940A8">
              <w:rPr>
                <w:noProof/>
              </w:rPr>
              <w:t>2</w:t>
            </w:r>
          </w:fldSimple>
        </w:p>
      </w:tc>
    </w:tr>
  </w:tbl>
  <w:p w14:paraId="286126B7" w14:textId="77777777" w:rsidR="00DD3075" w:rsidRPr="003A24EB" w:rsidRDefault="00DD3075" w:rsidP="00F64FE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0A50E" w14:textId="77777777" w:rsidR="00DD3075" w:rsidRDefault="00DD3075" w:rsidP="00F64F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FA4AF" w14:textId="77777777" w:rsidR="000F7FF2" w:rsidRDefault="000F7FF2" w:rsidP="00F46DE6">
      <w:r>
        <w:separator/>
      </w:r>
    </w:p>
    <w:p w14:paraId="13DDA95D" w14:textId="77777777" w:rsidR="000F7FF2" w:rsidRDefault="000F7FF2" w:rsidP="00F46DE6"/>
  </w:footnote>
  <w:footnote w:type="continuationSeparator" w:id="0">
    <w:p w14:paraId="40B30242" w14:textId="77777777" w:rsidR="000F7FF2" w:rsidRDefault="000F7FF2" w:rsidP="00F46DE6">
      <w:r>
        <w:continuationSeparator/>
      </w:r>
    </w:p>
    <w:p w14:paraId="2E6A75F2" w14:textId="77777777" w:rsidR="000F7FF2" w:rsidRDefault="000F7FF2" w:rsidP="00F46D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528F4" w14:textId="77777777" w:rsidR="00A91AC7" w:rsidRDefault="00FF0711" w:rsidP="00A91AC7">
    <w:pPr>
      <w:jc w:val="left"/>
    </w:pPr>
    <w:r w:rsidRPr="00F16569">
      <w:rPr>
        <w:noProof/>
        <w:lang w:eastAsia="en-GB"/>
      </w:rPr>
      <w:drawing>
        <wp:anchor distT="0" distB="0" distL="114300" distR="114300" simplePos="0" relativeHeight="251658240" behindDoc="0" locked="0" layoutInCell="1" allowOverlap="1" wp14:anchorId="59BAE730" wp14:editId="7243FBAB">
          <wp:simplePos x="0" y="0"/>
          <wp:positionH relativeFrom="column">
            <wp:posOffset>-301625</wp:posOffset>
          </wp:positionH>
          <wp:positionV relativeFrom="page">
            <wp:posOffset>1050925</wp:posOffset>
          </wp:positionV>
          <wp:extent cx="2705100" cy="1062990"/>
          <wp:effectExtent l="0" t="0" r="0" b="0"/>
          <wp:wrapNone/>
          <wp:docPr id="244253374" name="Picture 2442533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05100" cy="10629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XSpec="right" w:tblpY="-88"/>
      <w:tblW w:w="0" w:type="auto"/>
      <w:tblBorders>
        <w:insideH w:val="none" w:sz="0" w:space="0" w:color="auto"/>
        <w:insideV w:val="none" w:sz="0" w:space="0" w:color="auto"/>
      </w:tblBorders>
      <w:tblLook w:val="04A0" w:firstRow="1" w:lastRow="0" w:firstColumn="1" w:lastColumn="0" w:noHBand="0" w:noVBand="1"/>
      <w:tblCaption w:val="Document Information"/>
      <w:tblDescription w:val="This includes the document code, version number, effective date, print date and page number. "/>
    </w:tblPr>
    <w:tblGrid>
      <w:gridCol w:w="1555"/>
      <w:gridCol w:w="2154"/>
    </w:tblGrid>
    <w:tr w:rsidR="00A91AC7" w14:paraId="7280AC14" w14:textId="77777777" w:rsidTr="00901562">
      <w:trPr>
        <w:trHeight w:val="278"/>
        <w:tblHeader/>
      </w:trPr>
      <w:tc>
        <w:tcPr>
          <w:tcW w:w="1555" w:type="dxa"/>
          <w:vAlign w:val="center"/>
        </w:tcPr>
        <w:p w14:paraId="7E10D34E" w14:textId="77777777" w:rsidR="00A91AC7" w:rsidRDefault="00A91AC7" w:rsidP="005405BD">
          <w:pPr>
            <w:pStyle w:val="Footer"/>
            <w:jc w:val="left"/>
          </w:pPr>
          <w:r w:rsidRPr="001C6EFB">
            <w:t>Document code:</w:t>
          </w:r>
        </w:p>
      </w:tc>
      <w:tc>
        <w:tcPr>
          <w:tcW w:w="2154" w:type="dxa"/>
          <w:vAlign w:val="center"/>
        </w:tcPr>
        <w:p w14:paraId="66876027" w14:textId="3CC763E7" w:rsidR="00A91AC7" w:rsidRDefault="00ED425A" w:rsidP="005405BD">
          <w:pPr>
            <w:pStyle w:val="Footer"/>
            <w:jc w:val="right"/>
          </w:pPr>
          <w:r>
            <w:t>UoB-MED-SOP-001</w:t>
          </w:r>
        </w:p>
      </w:tc>
    </w:tr>
    <w:tr w:rsidR="00A91AC7" w14:paraId="702A6BF1" w14:textId="77777777" w:rsidTr="00901562">
      <w:trPr>
        <w:trHeight w:val="278"/>
      </w:trPr>
      <w:tc>
        <w:tcPr>
          <w:tcW w:w="1555" w:type="dxa"/>
          <w:vAlign w:val="center"/>
        </w:tcPr>
        <w:p w14:paraId="4D567B64" w14:textId="77777777" w:rsidR="00A91AC7" w:rsidRDefault="00A91AC7" w:rsidP="005405BD">
          <w:pPr>
            <w:pStyle w:val="Footer"/>
            <w:jc w:val="left"/>
          </w:pPr>
          <w:r w:rsidRPr="001C6EFB">
            <w:t>Version no:</w:t>
          </w:r>
        </w:p>
      </w:tc>
      <w:tc>
        <w:tcPr>
          <w:tcW w:w="2154" w:type="dxa"/>
          <w:vAlign w:val="center"/>
        </w:tcPr>
        <w:p w14:paraId="09C89C8C" w14:textId="61FD4855" w:rsidR="00A91AC7" w:rsidRDefault="00EB3FEF" w:rsidP="005405BD">
          <w:pPr>
            <w:pStyle w:val="Footer"/>
            <w:jc w:val="right"/>
          </w:pPr>
          <w:r>
            <w:t>2.0</w:t>
          </w:r>
        </w:p>
      </w:tc>
    </w:tr>
    <w:tr w:rsidR="00A91AC7" w14:paraId="2186AECE" w14:textId="77777777" w:rsidTr="00901562">
      <w:trPr>
        <w:trHeight w:val="278"/>
      </w:trPr>
      <w:tc>
        <w:tcPr>
          <w:tcW w:w="1555" w:type="dxa"/>
          <w:vAlign w:val="center"/>
        </w:tcPr>
        <w:p w14:paraId="267BE886" w14:textId="77777777" w:rsidR="00A91AC7" w:rsidRDefault="00A91AC7" w:rsidP="005405BD">
          <w:pPr>
            <w:pStyle w:val="Footer"/>
            <w:jc w:val="left"/>
          </w:pPr>
          <w:r>
            <w:t>Effective date:</w:t>
          </w:r>
        </w:p>
      </w:tc>
      <w:tc>
        <w:tcPr>
          <w:tcW w:w="2154" w:type="dxa"/>
          <w:vAlign w:val="center"/>
        </w:tcPr>
        <w:p w14:paraId="7A942CC6" w14:textId="4CCCDB44" w:rsidR="00A91AC7" w:rsidRDefault="006951F9" w:rsidP="005405BD">
          <w:pPr>
            <w:pStyle w:val="Footer"/>
            <w:jc w:val="right"/>
          </w:pPr>
          <w:r>
            <w:t>05-Jan-2026</w:t>
          </w:r>
        </w:p>
      </w:tc>
    </w:tr>
    <w:tr w:rsidR="00A91AC7" w14:paraId="02B6F651" w14:textId="77777777" w:rsidTr="00901562">
      <w:trPr>
        <w:trHeight w:val="278"/>
      </w:trPr>
      <w:tc>
        <w:tcPr>
          <w:tcW w:w="1555" w:type="dxa"/>
          <w:vAlign w:val="center"/>
        </w:tcPr>
        <w:p w14:paraId="46ECC683" w14:textId="77777777" w:rsidR="00A91AC7" w:rsidRPr="001C6EFB" w:rsidRDefault="00A91AC7" w:rsidP="005405BD">
          <w:pPr>
            <w:pStyle w:val="Footer"/>
            <w:jc w:val="left"/>
          </w:pPr>
          <w:r>
            <w:t>Print d</w:t>
          </w:r>
          <w:r w:rsidRPr="001C6EFB">
            <w:t>ate:</w:t>
          </w:r>
        </w:p>
      </w:tc>
      <w:tc>
        <w:tcPr>
          <w:tcW w:w="2154" w:type="dxa"/>
          <w:vAlign w:val="center"/>
        </w:tcPr>
        <w:p w14:paraId="048879D8" w14:textId="66E4F62B" w:rsidR="00A91AC7" w:rsidRDefault="00A91AC7" w:rsidP="005405BD">
          <w:pPr>
            <w:pStyle w:val="Footer"/>
            <w:jc w:val="right"/>
          </w:pPr>
          <w:r>
            <w:fldChar w:fldCharType="begin"/>
          </w:r>
          <w:r>
            <w:instrText xml:space="preserve"> DATE  \@ "dd-MMM-yyyy"  \* MERGEFORMAT </w:instrText>
          </w:r>
          <w:r>
            <w:fldChar w:fldCharType="separate"/>
          </w:r>
          <w:r w:rsidR="000B3BED">
            <w:rPr>
              <w:noProof/>
            </w:rPr>
            <w:t>09-Dec-2025</w:t>
          </w:r>
          <w:r>
            <w:fldChar w:fldCharType="end"/>
          </w:r>
        </w:p>
      </w:tc>
    </w:tr>
    <w:tr w:rsidR="00A91AC7" w14:paraId="1675F852" w14:textId="77777777" w:rsidTr="00901562">
      <w:trPr>
        <w:trHeight w:val="278"/>
      </w:trPr>
      <w:tc>
        <w:tcPr>
          <w:tcW w:w="1555" w:type="dxa"/>
          <w:vAlign w:val="center"/>
        </w:tcPr>
        <w:p w14:paraId="4014204C" w14:textId="77777777" w:rsidR="00A91AC7" w:rsidRPr="001C6EFB" w:rsidRDefault="00A91AC7" w:rsidP="005405BD">
          <w:pPr>
            <w:pStyle w:val="Footer"/>
            <w:jc w:val="left"/>
          </w:pPr>
          <w:r w:rsidRPr="001C6EFB">
            <w:t>Page:</w:t>
          </w:r>
        </w:p>
      </w:tc>
      <w:tc>
        <w:tcPr>
          <w:tcW w:w="2154" w:type="dxa"/>
          <w:vAlign w:val="center"/>
        </w:tcPr>
        <w:p w14:paraId="5F27D728" w14:textId="77777777" w:rsidR="00A91AC7" w:rsidRDefault="00A91AC7" w:rsidP="005405BD">
          <w:pPr>
            <w:pStyle w:val="Footer"/>
            <w:jc w:val="right"/>
          </w:pPr>
          <w:r>
            <w:fldChar w:fldCharType="begin"/>
          </w:r>
          <w:r>
            <w:instrText xml:space="preserve"> PAGE   \* MERGEFORMAT </w:instrText>
          </w:r>
          <w:r>
            <w:fldChar w:fldCharType="separate"/>
          </w:r>
          <w:r w:rsidR="00B940A8">
            <w:rPr>
              <w:noProof/>
            </w:rPr>
            <w:t>1</w:t>
          </w:r>
          <w:r>
            <w:fldChar w:fldCharType="end"/>
          </w:r>
          <w:r>
            <w:t xml:space="preserve"> of </w:t>
          </w:r>
          <w:fldSimple w:instr=" NUMPAGES   \* MERGEFORMAT ">
            <w:r w:rsidR="00B940A8">
              <w:rPr>
                <w:noProof/>
              </w:rPr>
              <w:t>2</w:t>
            </w:r>
          </w:fldSimple>
          <w:r w:rsidRPr="001C6EFB">
            <w:t xml:space="preserve"> </w:t>
          </w:r>
        </w:p>
      </w:tc>
    </w:tr>
  </w:tbl>
  <w:p w14:paraId="46C40CA6" w14:textId="77777777" w:rsidR="00A91AC7" w:rsidRDefault="00A91AC7" w:rsidP="00F540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20A33" w14:textId="77777777" w:rsidR="00DD3075" w:rsidRDefault="00DD3075" w:rsidP="00F540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CB354" w14:textId="328A2EE4" w:rsidR="00DD3075" w:rsidRPr="00F64FE9" w:rsidRDefault="00462CF7" w:rsidP="00F5404A">
    <w:pPr>
      <w:pStyle w:val="Header"/>
    </w:pPr>
    <w:r w:rsidRPr="00F64FE9">
      <w:t xml:space="preserve">SOP: </w:t>
    </w:r>
    <w:r w:rsidR="00EE4201">
      <w:t>medicinal product management</w:t>
    </w:r>
  </w:p>
  <w:p w14:paraId="10F88C7D" w14:textId="77777777" w:rsidR="007D79E6" w:rsidRPr="001C75D5" w:rsidRDefault="007D79E6">
    <w:pPr>
      <w:rPr>
        <w:noProof/>
        <w:sz w:val="8"/>
        <w:szCs w:val="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9FD01" w14:textId="77777777" w:rsidR="00DD3075" w:rsidRDefault="00DD3075" w:rsidP="00F540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03BE"/>
    <w:multiLevelType w:val="hybridMultilevel"/>
    <w:tmpl w:val="7F06A2EC"/>
    <w:lvl w:ilvl="0" w:tplc="B0E61B14">
      <w:start w:val="1"/>
      <w:numFmt w:val="bullet"/>
      <w:pStyle w:val="bulletT1"/>
      <w:lvlText w:val=""/>
      <w:lvlJc w:val="left"/>
      <w:pPr>
        <w:ind w:left="36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95874"/>
    <w:multiLevelType w:val="multilevel"/>
    <w:tmpl w:val="31AA8C6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5C74AC1"/>
    <w:multiLevelType w:val="hybridMultilevel"/>
    <w:tmpl w:val="0242E1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CD72B9"/>
    <w:multiLevelType w:val="multilevel"/>
    <w:tmpl w:val="F89C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8C14EF"/>
    <w:multiLevelType w:val="multilevel"/>
    <w:tmpl w:val="658E95DC"/>
    <w:numStyleLink w:val="Style2"/>
  </w:abstractNum>
  <w:abstractNum w:abstractNumId="5" w15:restartNumberingAfterBreak="0">
    <w:nsid w:val="0B585F2A"/>
    <w:multiLevelType w:val="multilevel"/>
    <w:tmpl w:val="20F60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A02114"/>
    <w:multiLevelType w:val="hybridMultilevel"/>
    <w:tmpl w:val="DC565846"/>
    <w:lvl w:ilvl="0" w:tplc="61C088EA">
      <w:start w:val="1"/>
      <w:numFmt w:val="bullet"/>
      <w:pStyle w:val="Instructions-bullet1"/>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652179"/>
    <w:multiLevelType w:val="multilevel"/>
    <w:tmpl w:val="CEE26C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F195FCC"/>
    <w:multiLevelType w:val="hybridMultilevel"/>
    <w:tmpl w:val="4904997C"/>
    <w:lvl w:ilvl="0" w:tplc="64603A4E">
      <w:numFmt w:val="bullet"/>
      <w:lvlText w:val="-"/>
      <w:lvlJc w:val="left"/>
      <w:pPr>
        <w:ind w:left="405" w:hanging="360"/>
      </w:pPr>
      <w:rPr>
        <w:rFonts w:ascii="Calibri" w:eastAsia="Times New Roman"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9" w15:restartNumberingAfterBreak="0">
    <w:nsid w:val="14924B9B"/>
    <w:multiLevelType w:val="hybridMultilevel"/>
    <w:tmpl w:val="E3AE0E1C"/>
    <w:lvl w:ilvl="0" w:tplc="AD80755C">
      <w:start w:val="1"/>
      <w:numFmt w:val="bullet"/>
      <w:lvlText w:val=""/>
      <w:lvlJc w:val="left"/>
      <w:pPr>
        <w:ind w:left="360" w:hanging="360"/>
      </w:pPr>
      <w:rPr>
        <w:rFonts w:ascii="Wingdings" w:hAnsi="Wingdings" w:hint="default"/>
      </w:rPr>
    </w:lvl>
    <w:lvl w:ilvl="1" w:tplc="9DA081D6">
      <w:start w:val="1"/>
      <w:numFmt w:val="bullet"/>
      <w:lvlText w:val="o"/>
      <w:lvlJc w:val="left"/>
      <w:pPr>
        <w:ind w:left="1080" w:hanging="360"/>
      </w:pPr>
      <w:rPr>
        <w:rFonts w:ascii="Courier New" w:hAnsi="Courier New" w:cs="Courier New" w:hint="default"/>
      </w:rPr>
    </w:lvl>
    <w:lvl w:ilvl="2" w:tplc="C340FC4C">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5F47863"/>
    <w:multiLevelType w:val="multilevel"/>
    <w:tmpl w:val="9D7C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CA1AA0"/>
    <w:multiLevelType w:val="hybridMultilevel"/>
    <w:tmpl w:val="37B47F5A"/>
    <w:lvl w:ilvl="0" w:tplc="F73C7BAE">
      <w:start w:val="1"/>
      <w:numFmt w:val="decimal"/>
      <w:lvlText w:val="%1.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172550"/>
    <w:multiLevelType w:val="multilevel"/>
    <w:tmpl w:val="F2B49BAE"/>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heme="minorHAnsi" w:hAnsiTheme="minorHAnsi" w:cstheme="minorHAns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5C4824"/>
    <w:multiLevelType w:val="hybridMultilevel"/>
    <w:tmpl w:val="7E86468A"/>
    <w:lvl w:ilvl="0" w:tplc="C98EDA8A">
      <w:start w:val="1"/>
      <w:numFmt w:val="decimal"/>
      <w:pStyle w:val="Numberlist"/>
      <w:lvlText w:val="%1."/>
      <w:lvlJc w:val="left"/>
      <w:pPr>
        <w:ind w:left="360" w:hanging="360"/>
      </w:pPr>
      <w:rPr>
        <w:rFonts w:hint="default"/>
        <w:color w:val="auto"/>
      </w:rPr>
    </w:lvl>
    <w:lvl w:ilvl="1" w:tplc="7554898E">
      <w:start w:val="1"/>
      <w:numFmt w:val="lowerLetter"/>
      <w:lvlText w:val="%2."/>
      <w:lvlJc w:val="left"/>
      <w:pPr>
        <w:tabs>
          <w:tab w:val="num" w:pos="1440"/>
        </w:tabs>
        <w:ind w:left="1440" w:hanging="360"/>
      </w:pPr>
    </w:lvl>
    <w:lvl w:ilvl="2" w:tplc="785E4974" w:tentative="1">
      <w:start w:val="1"/>
      <w:numFmt w:val="lowerRoman"/>
      <w:lvlText w:val="%3."/>
      <w:lvlJc w:val="right"/>
      <w:pPr>
        <w:tabs>
          <w:tab w:val="num" w:pos="2160"/>
        </w:tabs>
        <w:ind w:left="2160" w:hanging="180"/>
      </w:pPr>
    </w:lvl>
    <w:lvl w:ilvl="3" w:tplc="3BBAC876" w:tentative="1">
      <w:start w:val="1"/>
      <w:numFmt w:val="decimal"/>
      <w:lvlText w:val="%4."/>
      <w:lvlJc w:val="left"/>
      <w:pPr>
        <w:tabs>
          <w:tab w:val="num" w:pos="2880"/>
        </w:tabs>
        <w:ind w:left="2880" w:hanging="360"/>
      </w:pPr>
    </w:lvl>
    <w:lvl w:ilvl="4" w:tplc="F6C441AC" w:tentative="1">
      <w:start w:val="1"/>
      <w:numFmt w:val="lowerLetter"/>
      <w:lvlText w:val="%5."/>
      <w:lvlJc w:val="left"/>
      <w:pPr>
        <w:tabs>
          <w:tab w:val="num" w:pos="3600"/>
        </w:tabs>
        <w:ind w:left="3600" w:hanging="360"/>
      </w:pPr>
    </w:lvl>
    <w:lvl w:ilvl="5" w:tplc="B050A130" w:tentative="1">
      <w:start w:val="1"/>
      <w:numFmt w:val="lowerRoman"/>
      <w:lvlText w:val="%6."/>
      <w:lvlJc w:val="right"/>
      <w:pPr>
        <w:tabs>
          <w:tab w:val="num" w:pos="4320"/>
        </w:tabs>
        <w:ind w:left="4320" w:hanging="180"/>
      </w:pPr>
    </w:lvl>
    <w:lvl w:ilvl="6" w:tplc="4CAE014A" w:tentative="1">
      <w:start w:val="1"/>
      <w:numFmt w:val="decimal"/>
      <w:lvlText w:val="%7."/>
      <w:lvlJc w:val="left"/>
      <w:pPr>
        <w:tabs>
          <w:tab w:val="num" w:pos="5040"/>
        </w:tabs>
        <w:ind w:left="5040" w:hanging="360"/>
      </w:pPr>
    </w:lvl>
    <w:lvl w:ilvl="7" w:tplc="E0E67DE8" w:tentative="1">
      <w:start w:val="1"/>
      <w:numFmt w:val="lowerLetter"/>
      <w:lvlText w:val="%8."/>
      <w:lvlJc w:val="left"/>
      <w:pPr>
        <w:tabs>
          <w:tab w:val="num" w:pos="5760"/>
        </w:tabs>
        <w:ind w:left="5760" w:hanging="360"/>
      </w:pPr>
    </w:lvl>
    <w:lvl w:ilvl="8" w:tplc="B53428EA" w:tentative="1">
      <w:start w:val="1"/>
      <w:numFmt w:val="lowerRoman"/>
      <w:lvlText w:val="%9."/>
      <w:lvlJc w:val="right"/>
      <w:pPr>
        <w:tabs>
          <w:tab w:val="num" w:pos="6480"/>
        </w:tabs>
        <w:ind w:left="6480" w:hanging="180"/>
      </w:pPr>
    </w:lvl>
  </w:abstractNum>
  <w:abstractNum w:abstractNumId="14" w15:restartNumberingAfterBreak="0">
    <w:nsid w:val="2D9A217D"/>
    <w:multiLevelType w:val="multilevel"/>
    <w:tmpl w:val="89004E84"/>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2E263662"/>
    <w:multiLevelType w:val="hybridMultilevel"/>
    <w:tmpl w:val="73EA375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5E1E45"/>
    <w:multiLevelType w:val="multilevel"/>
    <w:tmpl w:val="FF66B4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3CD7F2D"/>
    <w:multiLevelType w:val="multilevel"/>
    <w:tmpl w:val="CEE26C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BC70A3B"/>
    <w:multiLevelType w:val="multilevel"/>
    <w:tmpl w:val="658E95DC"/>
    <w:styleLink w:val="Style2"/>
    <w:lvl w:ilvl="0">
      <w:start w:val="1"/>
      <w:numFmt w:val="decimal"/>
      <w:lvlText w:val="%1."/>
      <w:lvlJc w:val="left"/>
      <w:pPr>
        <w:ind w:left="340" w:hanging="340"/>
      </w:pPr>
      <w:rPr>
        <w:rFonts w:hint="default"/>
        <w:color w:val="auto"/>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3C443C74"/>
    <w:multiLevelType w:val="hybridMultilevel"/>
    <w:tmpl w:val="784A547C"/>
    <w:lvl w:ilvl="0" w:tplc="A814AD26">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0705812"/>
    <w:multiLevelType w:val="hybridMultilevel"/>
    <w:tmpl w:val="0980AC84"/>
    <w:lvl w:ilvl="0" w:tplc="F2C653CE">
      <w:start w:val="1"/>
      <w:numFmt w:val="decimal"/>
      <w:pStyle w:val="Instructions-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286E4D"/>
    <w:multiLevelType w:val="multilevel"/>
    <w:tmpl w:val="9B601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16504BE"/>
    <w:multiLevelType w:val="multilevel"/>
    <w:tmpl w:val="CEE26C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BE549AB"/>
    <w:multiLevelType w:val="hybridMultilevel"/>
    <w:tmpl w:val="FC5A8DAE"/>
    <w:lvl w:ilvl="0" w:tplc="CE18074C">
      <w:start w:val="1"/>
      <w:numFmt w:val="bullet"/>
      <w:pStyle w:val="bullet3"/>
      <w:lvlText w:val=""/>
      <w:lvlJc w:val="left"/>
      <w:pPr>
        <w:ind w:left="1040" w:hanging="360"/>
      </w:pPr>
      <w:rPr>
        <w:rFonts w:ascii="Wingdings" w:hAnsi="Wingdings" w:hint="default"/>
      </w:rPr>
    </w:lvl>
    <w:lvl w:ilvl="1" w:tplc="CFA20C1A" w:tentative="1">
      <w:start w:val="1"/>
      <w:numFmt w:val="lowerLetter"/>
      <w:lvlText w:val="%2."/>
      <w:lvlJc w:val="left"/>
      <w:pPr>
        <w:tabs>
          <w:tab w:val="num" w:pos="1780"/>
        </w:tabs>
        <w:ind w:left="1780" w:hanging="360"/>
      </w:pPr>
    </w:lvl>
    <w:lvl w:ilvl="2" w:tplc="0809001B" w:tentative="1">
      <w:start w:val="1"/>
      <w:numFmt w:val="lowerRoman"/>
      <w:lvlText w:val="%3."/>
      <w:lvlJc w:val="right"/>
      <w:pPr>
        <w:tabs>
          <w:tab w:val="num" w:pos="2500"/>
        </w:tabs>
        <w:ind w:left="2500" w:hanging="180"/>
      </w:pPr>
    </w:lvl>
    <w:lvl w:ilvl="3" w:tplc="0809000F" w:tentative="1">
      <w:start w:val="1"/>
      <w:numFmt w:val="decimal"/>
      <w:lvlText w:val="%4."/>
      <w:lvlJc w:val="left"/>
      <w:pPr>
        <w:tabs>
          <w:tab w:val="num" w:pos="3220"/>
        </w:tabs>
        <w:ind w:left="3220" w:hanging="360"/>
      </w:pPr>
    </w:lvl>
    <w:lvl w:ilvl="4" w:tplc="08090019" w:tentative="1">
      <w:start w:val="1"/>
      <w:numFmt w:val="lowerLetter"/>
      <w:lvlText w:val="%5."/>
      <w:lvlJc w:val="left"/>
      <w:pPr>
        <w:tabs>
          <w:tab w:val="num" w:pos="3940"/>
        </w:tabs>
        <w:ind w:left="3940" w:hanging="360"/>
      </w:pPr>
    </w:lvl>
    <w:lvl w:ilvl="5" w:tplc="0809001B" w:tentative="1">
      <w:start w:val="1"/>
      <w:numFmt w:val="lowerRoman"/>
      <w:lvlText w:val="%6."/>
      <w:lvlJc w:val="right"/>
      <w:pPr>
        <w:tabs>
          <w:tab w:val="num" w:pos="4660"/>
        </w:tabs>
        <w:ind w:left="4660" w:hanging="180"/>
      </w:pPr>
    </w:lvl>
    <w:lvl w:ilvl="6" w:tplc="0809000F" w:tentative="1">
      <w:start w:val="1"/>
      <w:numFmt w:val="decimal"/>
      <w:lvlText w:val="%7."/>
      <w:lvlJc w:val="left"/>
      <w:pPr>
        <w:tabs>
          <w:tab w:val="num" w:pos="5380"/>
        </w:tabs>
        <w:ind w:left="5380" w:hanging="360"/>
      </w:pPr>
    </w:lvl>
    <w:lvl w:ilvl="7" w:tplc="08090019" w:tentative="1">
      <w:start w:val="1"/>
      <w:numFmt w:val="lowerLetter"/>
      <w:lvlText w:val="%8."/>
      <w:lvlJc w:val="left"/>
      <w:pPr>
        <w:tabs>
          <w:tab w:val="num" w:pos="6100"/>
        </w:tabs>
        <w:ind w:left="6100" w:hanging="360"/>
      </w:pPr>
    </w:lvl>
    <w:lvl w:ilvl="8" w:tplc="0809001B" w:tentative="1">
      <w:start w:val="1"/>
      <w:numFmt w:val="lowerRoman"/>
      <w:lvlText w:val="%9."/>
      <w:lvlJc w:val="right"/>
      <w:pPr>
        <w:tabs>
          <w:tab w:val="num" w:pos="6820"/>
        </w:tabs>
        <w:ind w:left="6820" w:hanging="180"/>
      </w:pPr>
    </w:lvl>
  </w:abstractNum>
  <w:abstractNum w:abstractNumId="24" w15:restartNumberingAfterBreak="0">
    <w:nsid w:val="4E0D03B0"/>
    <w:multiLevelType w:val="multilevel"/>
    <w:tmpl w:val="65003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B5215C5"/>
    <w:multiLevelType w:val="hybridMultilevel"/>
    <w:tmpl w:val="828E20A6"/>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C6B3E05"/>
    <w:multiLevelType w:val="multilevel"/>
    <w:tmpl w:val="D14A9AB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15:restartNumberingAfterBreak="0">
    <w:nsid w:val="5DAF433B"/>
    <w:multiLevelType w:val="hybridMultilevel"/>
    <w:tmpl w:val="FA7CF612"/>
    <w:lvl w:ilvl="0" w:tplc="08090001">
      <w:numFmt w:val="bullet"/>
      <w:pStyle w:val="ListBullet"/>
      <w:lvlText w:val=""/>
      <w:lvlJc w:val="left"/>
      <w:pPr>
        <w:ind w:left="720" w:hanging="360"/>
      </w:pPr>
      <w:rPr>
        <w:rFonts w:ascii="Symbol" w:eastAsia="Times New Roman" w:hAnsi="Symbol" w:hint="default"/>
      </w:rPr>
    </w:lvl>
    <w:lvl w:ilvl="1" w:tplc="DB9A5D18"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BF1824"/>
    <w:multiLevelType w:val="multilevel"/>
    <w:tmpl w:val="8A160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5856D6C"/>
    <w:multiLevelType w:val="multilevel"/>
    <w:tmpl w:val="44C6C70E"/>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heme="minorHAnsi" w:hAnsiTheme="minorHAnsi" w:cstheme="minorHAns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92E4DF5"/>
    <w:multiLevelType w:val="hybridMultilevel"/>
    <w:tmpl w:val="F2204F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A0A55E8"/>
    <w:multiLevelType w:val="multilevel"/>
    <w:tmpl w:val="0AE2D9B2"/>
    <w:lvl w:ilvl="0">
      <w:start w:val="1"/>
      <w:numFmt w:val="decimal"/>
      <w:pStyle w:val="PN1"/>
      <w:lvlText w:val="%1."/>
      <w:lvlJc w:val="left"/>
      <w:pPr>
        <w:ind w:left="360" w:hanging="360"/>
      </w:pPr>
      <w:rPr>
        <w:rFonts w:hint="default"/>
      </w:rPr>
    </w:lvl>
    <w:lvl w:ilvl="1">
      <w:start w:val="1"/>
      <w:numFmt w:val="decimal"/>
      <w:pStyle w:val="PN11"/>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B579D5"/>
    <w:multiLevelType w:val="hybridMultilevel"/>
    <w:tmpl w:val="F18C0B52"/>
    <w:lvl w:ilvl="0" w:tplc="C78832EA">
      <w:start w:val="1"/>
      <w:numFmt w:val="bullet"/>
      <w:pStyle w:val="bullet2"/>
      <w:lvlText w:val="○"/>
      <w:lvlJc w:val="left"/>
      <w:pPr>
        <w:ind w:left="700" w:hanging="360"/>
      </w:pPr>
      <w:rPr>
        <w:rFonts w:ascii="Verdana Pro Cond Semibold" w:hAnsi="Verdana Pro Cond Semibold" w:hint="default"/>
      </w:rPr>
    </w:lvl>
    <w:lvl w:ilvl="1" w:tplc="3E1C1D58">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DC0651"/>
    <w:multiLevelType w:val="hybridMultilevel"/>
    <w:tmpl w:val="F04E9858"/>
    <w:lvl w:ilvl="0" w:tplc="1D721EEE">
      <w:start w:val="202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814814"/>
    <w:multiLevelType w:val="multilevel"/>
    <w:tmpl w:val="70D4DC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D03340C"/>
    <w:multiLevelType w:val="multilevel"/>
    <w:tmpl w:val="4CEEBA04"/>
    <w:lvl w:ilvl="0">
      <w:start w:val="1"/>
      <w:numFmt w:val="decimal"/>
      <w:lvlText w:val="%1."/>
      <w:lvlJc w:val="left"/>
      <w:pPr>
        <w:ind w:left="360" w:hanging="360"/>
      </w:pPr>
      <w:rPr>
        <w:rFonts w:hint="default"/>
        <w:b/>
        <w:bCs w:val="0"/>
        <w:i w:val="0"/>
        <w:iCs w:val="0"/>
        <w:caps w:val="0"/>
        <w:smallCaps w:val="0"/>
        <w:strike w:val="0"/>
        <w:dstrike w:val="0"/>
        <w:noProof w:val="0"/>
        <w:vanish w:val="0"/>
        <w:color w:val="943634" w:themeColor="accent2" w:themeShade="BF"/>
        <w:spacing w:val="0"/>
        <w:kern w:val="0"/>
        <w:position w:val="0"/>
        <w:sz w:val="24"/>
        <w:u w:val="none"/>
        <w:vertAlign w:val="baseline"/>
        <w:em w:val="none"/>
      </w:rPr>
    </w:lvl>
    <w:lvl w:ilvl="1">
      <w:start w:val="1"/>
      <w:numFmt w:val="decimal"/>
      <w:lvlText w:val="%1.%2"/>
      <w:lvlJc w:val="left"/>
      <w:pPr>
        <w:tabs>
          <w:tab w:val="num" w:pos="567"/>
        </w:tabs>
        <w:ind w:left="567" w:hanging="567"/>
      </w:pPr>
      <w:rPr>
        <w:rFonts w:ascii="Arial" w:hAnsi="Arial" w:hint="default"/>
        <w:b/>
        <w:i w:val="0"/>
        <w:caps w:val="0"/>
        <w:color w:val="0000FF"/>
        <w:sz w:val="22"/>
      </w:rPr>
    </w:lvl>
    <w:lvl w:ilvl="2">
      <w:start w:val="1"/>
      <w:numFmt w:val="decimal"/>
      <w:lvlText w:val="%1.%2.%3"/>
      <w:lvlJc w:val="left"/>
      <w:pPr>
        <w:tabs>
          <w:tab w:val="num" w:pos="680"/>
        </w:tabs>
        <w:ind w:left="680" w:hanging="680"/>
      </w:pPr>
      <w:rPr>
        <w:rFonts w:ascii="Arial" w:hAnsi="Arial" w:hint="default"/>
        <w:b/>
        <w:i w:val="0"/>
        <w:caps w:val="0"/>
        <w:sz w:val="20"/>
      </w:rPr>
    </w:lvl>
    <w:lvl w:ilvl="3">
      <w:start w:val="1"/>
      <w:numFmt w:val="decimal"/>
      <w:lvlText w:val="%1.%2.%3.%4"/>
      <w:lvlJc w:val="left"/>
      <w:pPr>
        <w:tabs>
          <w:tab w:val="num" w:pos="880"/>
        </w:tabs>
        <w:ind w:left="680" w:hanging="680"/>
      </w:pPr>
      <w:rPr>
        <w:rFonts w:ascii="Arial Bold" w:hAnsi="Arial Bold" w:hint="default"/>
        <w:b/>
        <w:i w:val="0"/>
        <w:sz w:val="20"/>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16cid:durableId="654262897">
    <w:abstractNumId w:val="14"/>
  </w:num>
  <w:num w:numId="2" w16cid:durableId="1739474749">
    <w:abstractNumId w:val="19"/>
  </w:num>
  <w:num w:numId="3" w16cid:durableId="1854150415">
    <w:abstractNumId w:val="0"/>
  </w:num>
  <w:num w:numId="4" w16cid:durableId="215943045">
    <w:abstractNumId w:val="32"/>
  </w:num>
  <w:num w:numId="5" w16cid:durableId="2125686376">
    <w:abstractNumId w:val="23"/>
  </w:num>
  <w:num w:numId="6" w16cid:durableId="2092387593">
    <w:abstractNumId w:val="34"/>
  </w:num>
  <w:num w:numId="7" w16cid:durableId="223492826">
    <w:abstractNumId w:val="6"/>
  </w:num>
  <w:num w:numId="8" w16cid:durableId="731470395">
    <w:abstractNumId w:val="20"/>
  </w:num>
  <w:num w:numId="9" w16cid:durableId="2105565099">
    <w:abstractNumId w:val="27"/>
  </w:num>
  <w:num w:numId="10" w16cid:durableId="1768579366">
    <w:abstractNumId w:val="35"/>
  </w:num>
  <w:num w:numId="11" w16cid:durableId="377358866">
    <w:abstractNumId w:val="11"/>
  </w:num>
  <w:num w:numId="12" w16cid:durableId="2095010244">
    <w:abstractNumId w:val="13"/>
  </w:num>
  <w:num w:numId="13" w16cid:durableId="2058551307">
    <w:abstractNumId w:val="9"/>
  </w:num>
  <w:num w:numId="14" w16cid:durableId="1890919626">
    <w:abstractNumId w:val="16"/>
  </w:num>
  <w:num w:numId="15" w16cid:durableId="701518233">
    <w:abstractNumId w:val="13"/>
  </w:num>
  <w:num w:numId="16" w16cid:durableId="1555506712">
    <w:abstractNumId w:val="13"/>
  </w:num>
  <w:num w:numId="17" w16cid:durableId="1065487552">
    <w:abstractNumId w:val="0"/>
  </w:num>
  <w:num w:numId="18" w16cid:durableId="72357749">
    <w:abstractNumId w:val="33"/>
  </w:num>
  <w:num w:numId="19" w16cid:durableId="366568144">
    <w:abstractNumId w:val="0"/>
  </w:num>
  <w:num w:numId="20" w16cid:durableId="2100324454">
    <w:abstractNumId w:val="26"/>
  </w:num>
  <w:num w:numId="21" w16cid:durableId="2129202077">
    <w:abstractNumId w:val="13"/>
    <w:lvlOverride w:ilvl="0">
      <w:startOverride w:val="1"/>
    </w:lvlOverride>
  </w:num>
  <w:num w:numId="22" w16cid:durableId="1954165539">
    <w:abstractNumId w:val="13"/>
    <w:lvlOverride w:ilvl="0">
      <w:startOverride w:val="1"/>
    </w:lvlOverride>
  </w:num>
  <w:num w:numId="23" w16cid:durableId="560099238">
    <w:abstractNumId w:val="13"/>
    <w:lvlOverride w:ilvl="0">
      <w:startOverride w:val="1"/>
    </w:lvlOverride>
  </w:num>
  <w:num w:numId="24" w16cid:durableId="1946960506">
    <w:abstractNumId w:val="13"/>
    <w:lvlOverride w:ilvl="0">
      <w:startOverride w:val="1"/>
    </w:lvlOverride>
  </w:num>
  <w:num w:numId="25" w16cid:durableId="1730835557">
    <w:abstractNumId w:val="0"/>
  </w:num>
  <w:num w:numId="26" w16cid:durableId="967080295">
    <w:abstractNumId w:val="8"/>
  </w:num>
  <w:num w:numId="27" w16cid:durableId="455682754">
    <w:abstractNumId w:val="12"/>
  </w:num>
  <w:num w:numId="28" w16cid:durableId="1084448835">
    <w:abstractNumId w:val="1"/>
  </w:num>
  <w:num w:numId="29" w16cid:durableId="905992767">
    <w:abstractNumId w:val="31"/>
  </w:num>
  <w:num w:numId="30" w16cid:durableId="658921717">
    <w:abstractNumId w:val="2"/>
  </w:num>
  <w:num w:numId="31" w16cid:durableId="1615671213">
    <w:abstractNumId w:val="25"/>
  </w:num>
  <w:num w:numId="32" w16cid:durableId="58675607">
    <w:abstractNumId w:val="7"/>
  </w:num>
  <w:num w:numId="33" w16cid:durableId="1008018007">
    <w:abstractNumId w:val="29"/>
  </w:num>
  <w:num w:numId="34" w16cid:durableId="1129473326">
    <w:abstractNumId w:val="17"/>
  </w:num>
  <w:num w:numId="35" w16cid:durableId="660040120">
    <w:abstractNumId w:val="22"/>
  </w:num>
  <w:num w:numId="36" w16cid:durableId="12288657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4266467">
    <w:abstractNumId w:val="13"/>
    <w:lvlOverride w:ilvl="0">
      <w:startOverride w:val="1"/>
    </w:lvlOverride>
  </w:num>
  <w:num w:numId="38" w16cid:durableId="833684335">
    <w:abstractNumId w:val="13"/>
    <w:lvlOverride w:ilvl="0">
      <w:startOverride w:val="1"/>
    </w:lvlOverride>
  </w:num>
  <w:num w:numId="39" w16cid:durableId="529488213">
    <w:abstractNumId w:val="18"/>
  </w:num>
  <w:num w:numId="40" w16cid:durableId="378089861">
    <w:abstractNumId w:val="4"/>
  </w:num>
  <w:num w:numId="41" w16cid:durableId="144588217">
    <w:abstractNumId w:val="13"/>
    <w:lvlOverride w:ilvl="0">
      <w:startOverride w:val="1"/>
    </w:lvlOverride>
  </w:num>
  <w:num w:numId="42" w16cid:durableId="274756452">
    <w:abstractNumId w:val="13"/>
    <w:lvlOverride w:ilvl="0">
      <w:startOverride w:val="1"/>
    </w:lvlOverride>
  </w:num>
  <w:num w:numId="43" w16cid:durableId="1932926703">
    <w:abstractNumId w:val="10"/>
  </w:num>
  <w:num w:numId="44" w16cid:durableId="1641570019">
    <w:abstractNumId w:val="30"/>
  </w:num>
  <w:num w:numId="45" w16cid:durableId="1928148019">
    <w:abstractNumId w:val="15"/>
  </w:num>
  <w:num w:numId="46" w16cid:durableId="912857500">
    <w:abstractNumId w:val="28"/>
  </w:num>
  <w:num w:numId="47" w16cid:durableId="864370136">
    <w:abstractNumId w:val="3"/>
  </w:num>
  <w:num w:numId="48" w16cid:durableId="511578247">
    <w:abstractNumId w:val="24"/>
  </w:num>
  <w:num w:numId="49" w16cid:durableId="1390885610">
    <w:abstractNumId w:val="5"/>
  </w:num>
  <w:num w:numId="50" w16cid:durableId="1269699490">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25A"/>
    <w:rsid w:val="00001923"/>
    <w:rsid w:val="00001A7E"/>
    <w:rsid w:val="00001C6B"/>
    <w:rsid w:val="000048F9"/>
    <w:rsid w:val="00005171"/>
    <w:rsid w:val="000060AE"/>
    <w:rsid w:val="0001086D"/>
    <w:rsid w:val="0001152B"/>
    <w:rsid w:val="00012800"/>
    <w:rsid w:val="00013B08"/>
    <w:rsid w:val="000146F1"/>
    <w:rsid w:val="000146F9"/>
    <w:rsid w:val="00017C13"/>
    <w:rsid w:val="000207F5"/>
    <w:rsid w:val="000226EC"/>
    <w:rsid w:val="000229C5"/>
    <w:rsid w:val="00023007"/>
    <w:rsid w:val="00023BC0"/>
    <w:rsid w:val="000317D8"/>
    <w:rsid w:val="00031A7C"/>
    <w:rsid w:val="000330F0"/>
    <w:rsid w:val="000374CB"/>
    <w:rsid w:val="000379D7"/>
    <w:rsid w:val="00037A9C"/>
    <w:rsid w:val="000421FD"/>
    <w:rsid w:val="00043513"/>
    <w:rsid w:val="00044A64"/>
    <w:rsid w:val="00046ABA"/>
    <w:rsid w:val="000470AB"/>
    <w:rsid w:val="000479EE"/>
    <w:rsid w:val="000510FA"/>
    <w:rsid w:val="0005369A"/>
    <w:rsid w:val="00053A54"/>
    <w:rsid w:val="00055E8C"/>
    <w:rsid w:val="0005610D"/>
    <w:rsid w:val="00056940"/>
    <w:rsid w:val="00056FF1"/>
    <w:rsid w:val="000579C6"/>
    <w:rsid w:val="00061C34"/>
    <w:rsid w:val="000639EF"/>
    <w:rsid w:val="00064262"/>
    <w:rsid w:val="00064F56"/>
    <w:rsid w:val="000650E5"/>
    <w:rsid w:val="000721B6"/>
    <w:rsid w:val="00072AD5"/>
    <w:rsid w:val="00072F51"/>
    <w:rsid w:val="000746E9"/>
    <w:rsid w:val="0007480B"/>
    <w:rsid w:val="00075A9D"/>
    <w:rsid w:val="0007643A"/>
    <w:rsid w:val="00077D41"/>
    <w:rsid w:val="00081198"/>
    <w:rsid w:val="00082A5C"/>
    <w:rsid w:val="00083C9D"/>
    <w:rsid w:val="00086F17"/>
    <w:rsid w:val="00091288"/>
    <w:rsid w:val="0009369B"/>
    <w:rsid w:val="00095EFA"/>
    <w:rsid w:val="00095FF7"/>
    <w:rsid w:val="00097B78"/>
    <w:rsid w:val="000A0DFF"/>
    <w:rsid w:val="000A1324"/>
    <w:rsid w:val="000A1B0F"/>
    <w:rsid w:val="000A56BF"/>
    <w:rsid w:val="000A74A5"/>
    <w:rsid w:val="000A7BE6"/>
    <w:rsid w:val="000B105F"/>
    <w:rsid w:val="000B1E3E"/>
    <w:rsid w:val="000B204E"/>
    <w:rsid w:val="000B3BED"/>
    <w:rsid w:val="000B442E"/>
    <w:rsid w:val="000B6210"/>
    <w:rsid w:val="000C1A19"/>
    <w:rsid w:val="000C1E55"/>
    <w:rsid w:val="000C3681"/>
    <w:rsid w:val="000C45B6"/>
    <w:rsid w:val="000C5087"/>
    <w:rsid w:val="000C54A1"/>
    <w:rsid w:val="000D34E7"/>
    <w:rsid w:val="000D3D68"/>
    <w:rsid w:val="000D3E8C"/>
    <w:rsid w:val="000D43A3"/>
    <w:rsid w:val="000D4912"/>
    <w:rsid w:val="000D5EEC"/>
    <w:rsid w:val="000D677A"/>
    <w:rsid w:val="000D69AA"/>
    <w:rsid w:val="000D7081"/>
    <w:rsid w:val="000D70AA"/>
    <w:rsid w:val="000D7D37"/>
    <w:rsid w:val="000D7D9F"/>
    <w:rsid w:val="000E2B7C"/>
    <w:rsid w:val="000E2EAB"/>
    <w:rsid w:val="000E3D24"/>
    <w:rsid w:val="000E446C"/>
    <w:rsid w:val="000E5841"/>
    <w:rsid w:val="000E72C5"/>
    <w:rsid w:val="000E7DD8"/>
    <w:rsid w:val="000F2380"/>
    <w:rsid w:val="000F29B9"/>
    <w:rsid w:val="000F2ECE"/>
    <w:rsid w:val="000F391A"/>
    <w:rsid w:val="000F76FB"/>
    <w:rsid w:val="000F7FF2"/>
    <w:rsid w:val="00100541"/>
    <w:rsid w:val="00100D71"/>
    <w:rsid w:val="00101773"/>
    <w:rsid w:val="00101B2B"/>
    <w:rsid w:val="001034FC"/>
    <w:rsid w:val="00103FD0"/>
    <w:rsid w:val="00104D42"/>
    <w:rsid w:val="00105091"/>
    <w:rsid w:val="001053F2"/>
    <w:rsid w:val="001056E1"/>
    <w:rsid w:val="001057FB"/>
    <w:rsid w:val="001064D3"/>
    <w:rsid w:val="00110971"/>
    <w:rsid w:val="00110CB3"/>
    <w:rsid w:val="00111968"/>
    <w:rsid w:val="00111ED7"/>
    <w:rsid w:val="00113E78"/>
    <w:rsid w:val="0011620F"/>
    <w:rsid w:val="00116646"/>
    <w:rsid w:val="001206F6"/>
    <w:rsid w:val="00120959"/>
    <w:rsid w:val="0012184A"/>
    <w:rsid w:val="00121F28"/>
    <w:rsid w:val="00122579"/>
    <w:rsid w:val="00123C6B"/>
    <w:rsid w:val="00124792"/>
    <w:rsid w:val="00125667"/>
    <w:rsid w:val="00127D56"/>
    <w:rsid w:val="001300C8"/>
    <w:rsid w:val="0013051D"/>
    <w:rsid w:val="0013059D"/>
    <w:rsid w:val="00130E39"/>
    <w:rsid w:val="00130E43"/>
    <w:rsid w:val="00134157"/>
    <w:rsid w:val="00134690"/>
    <w:rsid w:val="00134766"/>
    <w:rsid w:val="00135E89"/>
    <w:rsid w:val="00137CF8"/>
    <w:rsid w:val="00140835"/>
    <w:rsid w:val="001410D0"/>
    <w:rsid w:val="0014385C"/>
    <w:rsid w:val="001445C0"/>
    <w:rsid w:val="0014518E"/>
    <w:rsid w:val="001460A9"/>
    <w:rsid w:val="001466FC"/>
    <w:rsid w:val="001515ED"/>
    <w:rsid w:val="001526FE"/>
    <w:rsid w:val="00163B7C"/>
    <w:rsid w:val="00163F57"/>
    <w:rsid w:val="00164168"/>
    <w:rsid w:val="001653F1"/>
    <w:rsid w:val="00165B5B"/>
    <w:rsid w:val="00165F48"/>
    <w:rsid w:val="001675F9"/>
    <w:rsid w:val="001710E5"/>
    <w:rsid w:val="00171315"/>
    <w:rsid w:val="0017137F"/>
    <w:rsid w:val="0017215F"/>
    <w:rsid w:val="00172BF3"/>
    <w:rsid w:val="00174B60"/>
    <w:rsid w:val="00174E0E"/>
    <w:rsid w:val="001775A9"/>
    <w:rsid w:val="00180B87"/>
    <w:rsid w:val="0018193A"/>
    <w:rsid w:val="00182896"/>
    <w:rsid w:val="0018309A"/>
    <w:rsid w:val="001841A1"/>
    <w:rsid w:val="00184BB7"/>
    <w:rsid w:val="00184F73"/>
    <w:rsid w:val="00184F77"/>
    <w:rsid w:val="001856A7"/>
    <w:rsid w:val="00186F75"/>
    <w:rsid w:val="00190C93"/>
    <w:rsid w:val="001913D3"/>
    <w:rsid w:val="00194EE8"/>
    <w:rsid w:val="001950CE"/>
    <w:rsid w:val="00195717"/>
    <w:rsid w:val="00196364"/>
    <w:rsid w:val="00196565"/>
    <w:rsid w:val="00197671"/>
    <w:rsid w:val="001976C1"/>
    <w:rsid w:val="001A024E"/>
    <w:rsid w:val="001A070D"/>
    <w:rsid w:val="001A142E"/>
    <w:rsid w:val="001A2089"/>
    <w:rsid w:val="001A26D3"/>
    <w:rsid w:val="001A37EE"/>
    <w:rsid w:val="001A3D01"/>
    <w:rsid w:val="001A4718"/>
    <w:rsid w:val="001A4A77"/>
    <w:rsid w:val="001A50F1"/>
    <w:rsid w:val="001A544B"/>
    <w:rsid w:val="001A561F"/>
    <w:rsid w:val="001A6228"/>
    <w:rsid w:val="001A723A"/>
    <w:rsid w:val="001B17B1"/>
    <w:rsid w:val="001B1E29"/>
    <w:rsid w:val="001B2717"/>
    <w:rsid w:val="001B30AD"/>
    <w:rsid w:val="001B3B91"/>
    <w:rsid w:val="001B412F"/>
    <w:rsid w:val="001B4AF2"/>
    <w:rsid w:val="001B4B12"/>
    <w:rsid w:val="001B5617"/>
    <w:rsid w:val="001C314A"/>
    <w:rsid w:val="001C614D"/>
    <w:rsid w:val="001C6EFB"/>
    <w:rsid w:val="001C75D5"/>
    <w:rsid w:val="001D0B50"/>
    <w:rsid w:val="001D1245"/>
    <w:rsid w:val="001D13C0"/>
    <w:rsid w:val="001D17A5"/>
    <w:rsid w:val="001D1986"/>
    <w:rsid w:val="001D28AC"/>
    <w:rsid w:val="001D3B22"/>
    <w:rsid w:val="001D3DB7"/>
    <w:rsid w:val="001D42DD"/>
    <w:rsid w:val="001D4BC5"/>
    <w:rsid w:val="001D4BF4"/>
    <w:rsid w:val="001D6728"/>
    <w:rsid w:val="001D6E60"/>
    <w:rsid w:val="001D6F89"/>
    <w:rsid w:val="001D7813"/>
    <w:rsid w:val="001E07D8"/>
    <w:rsid w:val="001E0A09"/>
    <w:rsid w:val="001E16FE"/>
    <w:rsid w:val="001E4117"/>
    <w:rsid w:val="001E41A3"/>
    <w:rsid w:val="001E4D18"/>
    <w:rsid w:val="001E6E8E"/>
    <w:rsid w:val="001E6EB5"/>
    <w:rsid w:val="001F0787"/>
    <w:rsid w:val="001F0840"/>
    <w:rsid w:val="001F1CED"/>
    <w:rsid w:val="001F23BF"/>
    <w:rsid w:val="001F4082"/>
    <w:rsid w:val="001F4FC3"/>
    <w:rsid w:val="001F62A2"/>
    <w:rsid w:val="001F6EDC"/>
    <w:rsid w:val="001F7B4E"/>
    <w:rsid w:val="002002DA"/>
    <w:rsid w:val="00202189"/>
    <w:rsid w:val="00202B32"/>
    <w:rsid w:val="00202B8D"/>
    <w:rsid w:val="002041BC"/>
    <w:rsid w:val="0020434B"/>
    <w:rsid w:val="00204434"/>
    <w:rsid w:val="002061D4"/>
    <w:rsid w:val="00206294"/>
    <w:rsid w:val="00206578"/>
    <w:rsid w:val="00206D6F"/>
    <w:rsid w:val="002077C5"/>
    <w:rsid w:val="00207DAB"/>
    <w:rsid w:val="002106E5"/>
    <w:rsid w:val="00210C1A"/>
    <w:rsid w:val="0021165B"/>
    <w:rsid w:val="00211B96"/>
    <w:rsid w:val="002135BA"/>
    <w:rsid w:val="00214128"/>
    <w:rsid w:val="00214550"/>
    <w:rsid w:val="00216805"/>
    <w:rsid w:val="0022018B"/>
    <w:rsid w:val="00220406"/>
    <w:rsid w:val="00221D9B"/>
    <w:rsid w:val="002227A2"/>
    <w:rsid w:val="00222EDF"/>
    <w:rsid w:val="0022356E"/>
    <w:rsid w:val="00225D8E"/>
    <w:rsid w:val="00226024"/>
    <w:rsid w:val="00231612"/>
    <w:rsid w:val="00234600"/>
    <w:rsid w:val="0023483C"/>
    <w:rsid w:val="002365F5"/>
    <w:rsid w:val="002370BA"/>
    <w:rsid w:val="00243432"/>
    <w:rsid w:val="002444DB"/>
    <w:rsid w:val="0024558E"/>
    <w:rsid w:val="00245BE3"/>
    <w:rsid w:val="00246623"/>
    <w:rsid w:val="0024670C"/>
    <w:rsid w:val="00247206"/>
    <w:rsid w:val="00247F23"/>
    <w:rsid w:val="00250233"/>
    <w:rsid w:val="002503A5"/>
    <w:rsid w:val="002518EA"/>
    <w:rsid w:val="002549E9"/>
    <w:rsid w:val="00254B93"/>
    <w:rsid w:val="0025522A"/>
    <w:rsid w:val="0025786C"/>
    <w:rsid w:val="00260007"/>
    <w:rsid w:val="0026080C"/>
    <w:rsid w:val="00260F99"/>
    <w:rsid w:val="00261A83"/>
    <w:rsid w:val="00262E9F"/>
    <w:rsid w:val="00264399"/>
    <w:rsid w:val="00265D19"/>
    <w:rsid w:val="00266081"/>
    <w:rsid w:val="00266C21"/>
    <w:rsid w:val="00266CBF"/>
    <w:rsid w:val="00270EA8"/>
    <w:rsid w:val="00272F58"/>
    <w:rsid w:val="002749C3"/>
    <w:rsid w:val="00275A3E"/>
    <w:rsid w:val="00275BAE"/>
    <w:rsid w:val="00276048"/>
    <w:rsid w:val="002766D7"/>
    <w:rsid w:val="00276842"/>
    <w:rsid w:val="00281585"/>
    <w:rsid w:val="00282765"/>
    <w:rsid w:val="00282C10"/>
    <w:rsid w:val="00283490"/>
    <w:rsid w:val="00283ED8"/>
    <w:rsid w:val="002875DA"/>
    <w:rsid w:val="00290F8C"/>
    <w:rsid w:val="0029339E"/>
    <w:rsid w:val="002937FE"/>
    <w:rsid w:val="00293BDD"/>
    <w:rsid w:val="00294BC6"/>
    <w:rsid w:val="002952B5"/>
    <w:rsid w:val="0029582C"/>
    <w:rsid w:val="00297DEB"/>
    <w:rsid w:val="002A036F"/>
    <w:rsid w:val="002A068A"/>
    <w:rsid w:val="002A0B65"/>
    <w:rsid w:val="002A2680"/>
    <w:rsid w:val="002A27DC"/>
    <w:rsid w:val="002A330A"/>
    <w:rsid w:val="002A38A5"/>
    <w:rsid w:val="002A3EF7"/>
    <w:rsid w:val="002A57C2"/>
    <w:rsid w:val="002A5FA6"/>
    <w:rsid w:val="002A6563"/>
    <w:rsid w:val="002A68D6"/>
    <w:rsid w:val="002A6E32"/>
    <w:rsid w:val="002A759A"/>
    <w:rsid w:val="002B016B"/>
    <w:rsid w:val="002B10B6"/>
    <w:rsid w:val="002B6735"/>
    <w:rsid w:val="002C0D4C"/>
    <w:rsid w:val="002C0E28"/>
    <w:rsid w:val="002C16FF"/>
    <w:rsid w:val="002C2BCD"/>
    <w:rsid w:val="002C3B21"/>
    <w:rsid w:val="002C67A4"/>
    <w:rsid w:val="002D1707"/>
    <w:rsid w:val="002D252F"/>
    <w:rsid w:val="002D47BD"/>
    <w:rsid w:val="002D49D7"/>
    <w:rsid w:val="002D6396"/>
    <w:rsid w:val="002D6577"/>
    <w:rsid w:val="002D71C7"/>
    <w:rsid w:val="002D7DCC"/>
    <w:rsid w:val="002E3060"/>
    <w:rsid w:val="002E3BB0"/>
    <w:rsid w:val="002E4AEA"/>
    <w:rsid w:val="002E6857"/>
    <w:rsid w:val="002E6AE2"/>
    <w:rsid w:val="002E6CD6"/>
    <w:rsid w:val="002E721B"/>
    <w:rsid w:val="002F0ACA"/>
    <w:rsid w:val="002F281C"/>
    <w:rsid w:val="002F35CA"/>
    <w:rsid w:val="002F4844"/>
    <w:rsid w:val="002F490C"/>
    <w:rsid w:val="002F787E"/>
    <w:rsid w:val="002F7AD6"/>
    <w:rsid w:val="00301050"/>
    <w:rsid w:val="003016D5"/>
    <w:rsid w:val="003036F0"/>
    <w:rsid w:val="00304754"/>
    <w:rsid w:val="0030746E"/>
    <w:rsid w:val="00310F22"/>
    <w:rsid w:val="0031106D"/>
    <w:rsid w:val="00311CCC"/>
    <w:rsid w:val="00314B72"/>
    <w:rsid w:val="0031673C"/>
    <w:rsid w:val="0032079B"/>
    <w:rsid w:val="003225C3"/>
    <w:rsid w:val="00323A54"/>
    <w:rsid w:val="0032408C"/>
    <w:rsid w:val="00324A19"/>
    <w:rsid w:val="003313C3"/>
    <w:rsid w:val="00333707"/>
    <w:rsid w:val="00333888"/>
    <w:rsid w:val="00334118"/>
    <w:rsid w:val="003345E1"/>
    <w:rsid w:val="00335D05"/>
    <w:rsid w:val="003360D1"/>
    <w:rsid w:val="00337B7A"/>
    <w:rsid w:val="00340F17"/>
    <w:rsid w:val="00342788"/>
    <w:rsid w:val="00342C1E"/>
    <w:rsid w:val="00342CC7"/>
    <w:rsid w:val="00343541"/>
    <w:rsid w:val="00345620"/>
    <w:rsid w:val="00346083"/>
    <w:rsid w:val="00346BC4"/>
    <w:rsid w:val="00350A42"/>
    <w:rsid w:val="00350D8C"/>
    <w:rsid w:val="0035120D"/>
    <w:rsid w:val="003516FC"/>
    <w:rsid w:val="00351A2D"/>
    <w:rsid w:val="00352B59"/>
    <w:rsid w:val="00352FD6"/>
    <w:rsid w:val="0035437E"/>
    <w:rsid w:val="003578F4"/>
    <w:rsid w:val="003607CB"/>
    <w:rsid w:val="0036201D"/>
    <w:rsid w:val="00363E3C"/>
    <w:rsid w:val="0036563E"/>
    <w:rsid w:val="00365D77"/>
    <w:rsid w:val="00367496"/>
    <w:rsid w:val="00370061"/>
    <w:rsid w:val="00370D28"/>
    <w:rsid w:val="003713E4"/>
    <w:rsid w:val="00371A01"/>
    <w:rsid w:val="00372C0F"/>
    <w:rsid w:val="00372E92"/>
    <w:rsid w:val="003730A6"/>
    <w:rsid w:val="00373A28"/>
    <w:rsid w:val="0037641D"/>
    <w:rsid w:val="00380579"/>
    <w:rsid w:val="00381B35"/>
    <w:rsid w:val="003854BD"/>
    <w:rsid w:val="003876D0"/>
    <w:rsid w:val="00387EFA"/>
    <w:rsid w:val="003905D3"/>
    <w:rsid w:val="00391A7C"/>
    <w:rsid w:val="00393C4E"/>
    <w:rsid w:val="00395F1E"/>
    <w:rsid w:val="00396CD2"/>
    <w:rsid w:val="003A09F8"/>
    <w:rsid w:val="003A1879"/>
    <w:rsid w:val="003A2150"/>
    <w:rsid w:val="003A24EB"/>
    <w:rsid w:val="003A2A2C"/>
    <w:rsid w:val="003A42F2"/>
    <w:rsid w:val="003A4D84"/>
    <w:rsid w:val="003A5879"/>
    <w:rsid w:val="003A6E92"/>
    <w:rsid w:val="003A70FF"/>
    <w:rsid w:val="003A7897"/>
    <w:rsid w:val="003B0005"/>
    <w:rsid w:val="003B15C9"/>
    <w:rsid w:val="003B1F55"/>
    <w:rsid w:val="003B1FA8"/>
    <w:rsid w:val="003B2DA7"/>
    <w:rsid w:val="003B34FB"/>
    <w:rsid w:val="003B4470"/>
    <w:rsid w:val="003B56C0"/>
    <w:rsid w:val="003B64F8"/>
    <w:rsid w:val="003C04AD"/>
    <w:rsid w:val="003C35EE"/>
    <w:rsid w:val="003C3654"/>
    <w:rsid w:val="003C720C"/>
    <w:rsid w:val="003D25C9"/>
    <w:rsid w:val="003D35BF"/>
    <w:rsid w:val="003D3E7C"/>
    <w:rsid w:val="003D4188"/>
    <w:rsid w:val="003D42E3"/>
    <w:rsid w:val="003D4405"/>
    <w:rsid w:val="003D4BD6"/>
    <w:rsid w:val="003D51DC"/>
    <w:rsid w:val="003D7997"/>
    <w:rsid w:val="003E073D"/>
    <w:rsid w:val="003E6162"/>
    <w:rsid w:val="003E772E"/>
    <w:rsid w:val="003F0145"/>
    <w:rsid w:val="003F1F10"/>
    <w:rsid w:val="003F2345"/>
    <w:rsid w:val="003F499F"/>
    <w:rsid w:val="003F4E5F"/>
    <w:rsid w:val="003F57FA"/>
    <w:rsid w:val="003F608D"/>
    <w:rsid w:val="003F60DC"/>
    <w:rsid w:val="003F64A9"/>
    <w:rsid w:val="003F7147"/>
    <w:rsid w:val="003F7AD7"/>
    <w:rsid w:val="0040021B"/>
    <w:rsid w:val="00401491"/>
    <w:rsid w:val="00401840"/>
    <w:rsid w:val="00403449"/>
    <w:rsid w:val="00404742"/>
    <w:rsid w:val="00405A17"/>
    <w:rsid w:val="0040651B"/>
    <w:rsid w:val="00410682"/>
    <w:rsid w:val="0041265B"/>
    <w:rsid w:val="00412F8B"/>
    <w:rsid w:val="00413F0A"/>
    <w:rsid w:val="00414858"/>
    <w:rsid w:val="00414F68"/>
    <w:rsid w:val="0041536E"/>
    <w:rsid w:val="00417854"/>
    <w:rsid w:val="00420EB6"/>
    <w:rsid w:val="004212A8"/>
    <w:rsid w:val="00422A7E"/>
    <w:rsid w:val="004233AD"/>
    <w:rsid w:val="0042380D"/>
    <w:rsid w:val="00423A0A"/>
    <w:rsid w:val="00423E00"/>
    <w:rsid w:val="004243C4"/>
    <w:rsid w:val="00424C48"/>
    <w:rsid w:val="00424D85"/>
    <w:rsid w:val="0042684B"/>
    <w:rsid w:val="00426CB9"/>
    <w:rsid w:val="00427189"/>
    <w:rsid w:val="00430AD0"/>
    <w:rsid w:val="00431633"/>
    <w:rsid w:val="0043195A"/>
    <w:rsid w:val="00432B0E"/>
    <w:rsid w:val="00432B85"/>
    <w:rsid w:val="00433584"/>
    <w:rsid w:val="00433725"/>
    <w:rsid w:val="00434072"/>
    <w:rsid w:val="004342B5"/>
    <w:rsid w:val="00435EAE"/>
    <w:rsid w:val="004405BD"/>
    <w:rsid w:val="00441DE6"/>
    <w:rsid w:val="0044401B"/>
    <w:rsid w:val="00445DD9"/>
    <w:rsid w:val="00446338"/>
    <w:rsid w:val="00447DE8"/>
    <w:rsid w:val="00451932"/>
    <w:rsid w:val="004535CD"/>
    <w:rsid w:val="00454205"/>
    <w:rsid w:val="0046056C"/>
    <w:rsid w:val="004609F4"/>
    <w:rsid w:val="00461A6F"/>
    <w:rsid w:val="00462B5B"/>
    <w:rsid w:val="00462CF7"/>
    <w:rsid w:val="00464F35"/>
    <w:rsid w:val="00466780"/>
    <w:rsid w:val="00467BDA"/>
    <w:rsid w:val="00467D79"/>
    <w:rsid w:val="00467F74"/>
    <w:rsid w:val="00474B7F"/>
    <w:rsid w:val="00475745"/>
    <w:rsid w:val="0047658C"/>
    <w:rsid w:val="00476DB0"/>
    <w:rsid w:val="004773E0"/>
    <w:rsid w:val="004810D9"/>
    <w:rsid w:val="0048194C"/>
    <w:rsid w:val="004827DE"/>
    <w:rsid w:val="00482B0E"/>
    <w:rsid w:val="00485E6A"/>
    <w:rsid w:val="0048641A"/>
    <w:rsid w:val="00490084"/>
    <w:rsid w:val="0049154B"/>
    <w:rsid w:val="004948FF"/>
    <w:rsid w:val="00494B31"/>
    <w:rsid w:val="00496C83"/>
    <w:rsid w:val="00497A4C"/>
    <w:rsid w:val="00497E87"/>
    <w:rsid w:val="004A1B2A"/>
    <w:rsid w:val="004A2657"/>
    <w:rsid w:val="004A364B"/>
    <w:rsid w:val="004A4882"/>
    <w:rsid w:val="004A4FF8"/>
    <w:rsid w:val="004A5346"/>
    <w:rsid w:val="004A6DB9"/>
    <w:rsid w:val="004A75B7"/>
    <w:rsid w:val="004B03A3"/>
    <w:rsid w:val="004B09E5"/>
    <w:rsid w:val="004B0C68"/>
    <w:rsid w:val="004B0C77"/>
    <w:rsid w:val="004B0EA8"/>
    <w:rsid w:val="004B3DB9"/>
    <w:rsid w:val="004B685D"/>
    <w:rsid w:val="004B7034"/>
    <w:rsid w:val="004C2253"/>
    <w:rsid w:val="004C2279"/>
    <w:rsid w:val="004C366B"/>
    <w:rsid w:val="004C46FF"/>
    <w:rsid w:val="004C526D"/>
    <w:rsid w:val="004C560A"/>
    <w:rsid w:val="004C5E89"/>
    <w:rsid w:val="004C6631"/>
    <w:rsid w:val="004D05BE"/>
    <w:rsid w:val="004D1948"/>
    <w:rsid w:val="004E21EE"/>
    <w:rsid w:val="004E44F2"/>
    <w:rsid w:val="004E4840"/>
    <w:rsid w:val="004E4D87"/>
    <w:rsid w:val="004E5613"/>
    <w:rsid w:val="004E5F84"/>
    <w:rsid w:val="004E6841"/>
    <w:rsid w:val="004E7EB2"/>
    <w:rsid w:val="004F1E9C"/>
    <w:rsid w:val="004F28BC"/>
    <w:rsid w:val="00500409"/>
    <w:rsid w:val="00502047"/>
    <w:rsid w:val="005024F4"/>
    <w:rsid w:val="00502A82"/>
    <w:rsid w:val="005030FC"/>
    <w:rsid w:val="005034E2"/>
    <w:rsid w:val="00504BB2"/>
    <w:rsid w:val="00505B74"/>
    <w:rsid w:val="00512112"/>
    <w:rsid w:val="00512BE1"/>
    <w:rsid w:val="00512C56"/>
    <w:rsid w:val="00512EEE"/>
    <w:rsid w:val="0051320C"/>
    <w:rsid w:val="00513DB5"/>
    <w:rsid w:val="00514285"/>
    <w:rsid w:val="005142C2"/>
    <w:rsid w:val="00514C20"/>
    <w:rsid w:val="00515191"/>
    <w:rsid w:val="00515DE2"/>
    <w:rsid w:val="00515F0F"/>
    <w:rsid w:val="00516200"/>
    <w:rsid w:val="00517358"/>
    <w:rsid w:val="00517B3F"/>
    <w:rsid w:val="00520C5B"/>
    <w:rsid w:val="0052128A"/>
    <w:rsid w:val="005223BE"/>
    <w:rsid w:val="00522648"/>
    <w:rsid w:val="00522ABB"/>
    <w:rsid w:val="0052313A"/>
    <w:rsid w:val="005244FB"/>
    <w:rsid w:val="00525CA4"/>
    <w:rsid w:val="0052745F"/>
    <w:rsid w:val="00527E78"/>
    <w:rsid w:val="005343E6"/>
    <w:rsid w:val="005354C1"/>
    <w:rsid w:val="0053623B"/>
    <w:rsid w:val="005405BD"/>
    <w:rsid w:val="005431BE"/>
    <w:rsid w:val="00543C1B"/>
    <w:rsid w:val="005449F7"/>
    <w:rsid w:val="005505A0"/>
    <w:rsid w:val="0055153E"/>
    <w:rsid w:val="00551BB9"/>
    <w:rsid w:val="0055342C"/>
    <w:rsid w:val="00553F00"/>
    <w:rsid w:val="00556B76"/>
    <w:rsid w:val="0055740E"/>
    <w:rsid w:val="005636D5"/>
    <w:rsid w:val="005645EC"/>
    <w:rsid w:val="005663EA"/>
    <w:rsid w:val="00566BD6"/>
    <w:rsid w:val="005708FE"/>
    <w:rsid w:val="00571788"/>
    <w:rsid w:val="00571A9B"/>
    <w:rsid w:val="00577707"/>
    <w:rsid w:val="005823E1"/>
    <w:rsid w:val="0058476F"/>
    <w:rsid w:val="00584775"/>
    <w:rsid w:val="00586C5E"/>
    <w:rsid w:val="00586DF0"/>
    <w:rsid w:val="00587557"/>
    <w:rsid w:val="00587B5C"/>
    <w:rsid w:val="005900EE"/>
    <w:rsid w:val="005918F7"/>
    <w:rsid w:val="00592FFB"/>
    <w:rsid w:val="00593FA9"/>
    <w:rsid w:val="005948ED"/>
    <w:rsid w:val="005951E3"/>
    <w:rsid w:val="00595424"/>
    <w:rsid w:val="0059568E"/>
    <w:rsid w:val="005956FD"/>
    <w:rsid w:val="00595DD0"/>
    <w:rsid w:val="0059652D"/>
    <w:rsid w:val="00597FED"/>
    <w:rsid w:val="005A1486"/>
    <w:rsid w:val="005A198D"/>
    <w:rsid w:val="005A1CF3"/>
    <w:rsid w:val="005A2F9F"/>
    <w:rsid w:val="005A50E8"/>
    <w:rsid w:val="005A6461"/>
    <w:rsid w:val="005A6FB0"/>
    <w:rsid w:val="005B2025"/>
    <w:rsid w:val="005B2B90"/>
    <w:rsid w:val="005B2E43"/>
    <w:rsid w:val="005B371D"/>
    <w:rsid w:val="005B5AA9"/>
    <w:rsid w:val="005C058E"/>
    <w:rsid w:val="005C19EB"/>
    <w:rsid w:val="005C38BD"/>
    <w:rsid w:val="005C7A45"/>
    <w:rsid w:val="005C7CF1"/>
    <w:rsid w:val="005C7D15"/>
    <w:rsid w:val="005D085D"/>
    <w:rsid w:val="005D170C"/>
    <w:rsid w:val="005D17F6"/>
    <w:rsid w:val="005D321A"/>
    <w:rsid w:val="005D40D9"/>
    <w:rsid w:val="005E1F7C"/>
    <w:rsid w:val="005E25FB"/>
    <w:rsid w:val="005E529C"/>
    <w:rsid w:val="005E5E30"/>
    <w:rsid w:val="005F0420"/>
    <w:rsid w:val="005F175F"/>
    <w:rsid w:val="005F1AD8"/>
    <w:rsid w:val="005F2DE3"/>
    <w:rsid w:val="005F520A"/>
    <w:rsid w:val="005F70CD"/>
    <w:rsid w:val="00600106"/>
    <w:rsid w:val="0060052C"/>
    <w:rsid w:val="0060197E"/>
    <w:rsid w:val="006026BD"/>
    <w:rsid w:val="006031E9"/>
    <w:rsid w:val="0060493A"/>
    <w:rsid w:val="0060586E"/>
    <w:rsid w:val="00605E24"/>
    <w:rsid w:val="006119AC"/>
    <w:rsid w:val="006120A6"/>
    <w:rsid w:val="00613A01"/>
    <w:rsid w:val="006147A9"/>
    <w:rsid w:val="006176B2"/>
    <w:rsid w:val="00617A5C"/>
    <w:rsid w:val="00624B79"/>
    <w:rsid w:val="00630316"/>
    <w:rsid w:val="0063129B"/>
    <w:rsid w:val="00632FA5"/>
    <w:rsid w:val="00634CA3"/>
    <w:rsid w:val="00636715"/>
    <w:rsid w:val="00636907"/>
    <w:rsid w:val="00636BD2"/>
    <w:rsid w:val="006372C5"/>
    <w:rsid w:val="0064006B"/>
    <w:rsid w:val="00640296"/>
    <w:rsid w:val="00641043"/>
    <w:rsid w:val="006427DD"/>
    <w:rsid w:val="0064299F"/>
    <w:rsid w:val="0064327C"/>
    <w:rsid w:val="0064360D"/>
    <w:rsid w:val="0064528D"/>
    <w:rsid w:val="006452BA"/>
    <w:rsid w:val="00646451"/>
    <w:rsid w:val="00646D09"/>
    <w:rsid w:val="00651CD9"/>
    <w:rsid w:val="00653B3D"/>
    <w:rsid w:val="00654502"/>
    <w:rsid w:val="006561C0"/>
    <w:rsid w:val="00657D72"/>
    <w:rsid w:val="0066036B"/>
    <w:rsid w:val="00660DC2"/>
    <w:rsid w:val="00661BE3"/>
    <w:rsid w:val="00662750"/>
    <w:rsid w:val="006638F1"/>
    <w:rsid w:val="00663FDE"/>
    <w:rsid w:val="00664185"/>
    <w:rsid w:val="00665030"/>
    <w:rsid w:val="0066505A"/>
    <w:rsid w:val="00666EDB"/>
    <w:rsid w:val="00670599"/>
    <w:rsid w:val="00670C81"/>
    <w:rsid w:val="0067375A"/>
    <w:rsid w:val="00676181"/>
    <w:rsid w:val="00676C21"/>
    <w:rsid w:val="00683DC5"/>
    <w:rsid w:val="00684803"/>
    <w:rsid w:val="00684DA0"/>
    <w:rsid w:val="00684E7A"/>
    <w:rsid w:val="00686458"/>
    <w:rsid w:val="006869BA"/>
    <w:rsid w:val="006879FC"/>
    <w:rsid w:val="00690BFE"/>
    <w:rsid w:val="00692ACD"/>
    <w:rsid w:val="00692DFA"/>
    <w:rsid w:val="0069367A"/>
    <w:rsid w:val="006941D1"/>
    <w:rsid w:val="0069449C"/>
    <w:rsid w:val="006946B5"/>
    <w:rsid w:val="006951F9"/>
    <w:rsid w:val="00696301"/>
    <w:rsid w:val="006968C9"/>
    <w:rsid w:val="00696B18"/>
    <w:rsid w:val="006A057F"/>
    <w:rsid w:val="006A0825"/>
    <w:rsid w:val="006A0A4C"/>
    <w:rsid w:val="006A26B5"/>
    <w:rsid w:val="006A52C2"/>
    <w:rsid w:val="006A5B18"/>
    <w:rsid w:val="006B0DE3"/>
    <w:rsid w:val="006B0E53"/>
    <w:rsid w:val="006B15E2"/>
    <w:rsid w:val="006B270C"/>
    <w:rsid w:val="006B351B"/>
    <w:rsid w:val="006B66EE"/>
    <w:rsid w:val="006C0879"/>
    <w:rsid w:val="006C1279"/>
    <w:rsid w:val="006C2451"/>
    <w:rsid w:val="006C3775"/>
    <w:rsid w:val="006C7333"/>
    <w:rsid w:val="006D09C7"/>
    <w:rsid w:val="006D4977"/>
    <w:rsid w:val="006E32A4"/>
    <w:rsid w:val="006E39DA"/>
    <w:rsid w:val="006E57D8"/>
    <w:rsid w:val="006E6777"/>
    <w:rsid w:val="006F30B1"/>
    <w:rsid w:val="006F3B1C"/>
    <w:rsid w:val="006F3CB0"/>
    <w:rsid w:val="006F424C"/>
    <w:rsid w:val="006F6EFF"/>
    <w:rsid w:val="006F7027"/>
    <w:rsid w:val="007029A2"/>
    <w:rsid w:val="0070323D"/>
    <w:rsid w:val="00704E9B"/>
    <w:rsid w:val="00705708"/>
    <w:rsid w:val="00705A65"/>
    <w:rsid w:val="00705FD1"/>
    <w:rsid w:val="007064B3"/>
    <w:rsid w:val="0070694B"/>
    <w:rsid w:val="00710D7B"/>
    <w:rsid w:val="00712A28"/>
    <w:rsid w:val="00714235"/>
    <w:rsid w:val="00714ABF"/>
    <w:rsid w:val="00715858"/>
    <w:rsid w:val="007213A3"/>
    <w:rsid w:val="0072425C"/>
    <w:rsid w:val="007265FC"/>
    <w:rsid w:val="00726A4D"/>
    <w:rsid w:val="00726D2D"/>
    <w:rsid w:val="00727E41"/>
    <w:rsid w:val="007302DF"/>
    <w:rsid w:val="00731E89"/>
    <w:rsid w:val="007327DD"/>
    <w:rsid w:val="00734266"/>
    <w:rsid w:val="00734CF6"/>
    <w:rsid w:val="00735EBD"/>
    <w:rsid w:val="007363D1"/>
    <w:rsid w:val="007363E6"/>
    <w:rsid w:val="00740312"/>
    <w:rsid w:val="0074146D"/>
    <w:rsid w:val="007427DD"/>
    <w:rsid w:val="00743FCE"/>
    <w:rsid w:val="00745292"/>
    <w:rsid w:val="00745CB4"/>
    <w:rsid w:val="00746BB7"/>
    <w:rsid w:val="00747905"/>
    <w:rsid w:val="00750D05"/>
    <w:rsid w:val="00752E2A"/>
    <w:rsid w:val="007534C8"/>
    <w:rsid w:val="00754D1F"/>
    <w:rsid w:val="00755FA2"/>
    <w:rsid w:val="00756A71"/>
    <w:rsid w:val="00757628"/>
    <w:rsid w:val="00757A1A"/>
    <w:rsid w:val="00760212"/>
    <w:rsid w:val="007602C8"/>
    <w:rsid w:val="00760E2A"/>
    <w:rsid w:val="00761F87"/>
    <w:rsid w:val="00762FAB"/>
    <w:rsid w:val="00763A47"/>
    <w:rsid w:val="007642D1"/>
    <w:rsid w:val="007655EC"/>
    <w:rsid w:val="00765A24"/>
    <w:rsid w:val="00765C85"/>
    <w:rsid w:val="00766627"/>
    <w:rsid w:val="007668D7"/>
    <w:rsid w:val="00766C73"/>
    <w:rsid w:val="007752F5"/>
    <w:rsid w:val="007764EB"/>
    <w:rsid w:val="00776870"/>
    <w:rsid w:val="007773B9"/>
    <w:rsid w:val="007804F5"/>
    <w:rsid w:val="00780DA8"/>
    <w:rsid w:val="00784A51"/>
    <w:rsid w:val="007856A7"/>
    <w:rsid w:val="007862F4"/>
    <w:rsid w:val="00787B34"/>
    <w:rsid w:val="00790CBC"/>
    <w:rsid w:val="00791AC8"/>
    <w:rsid w:val="0079417E"/>
    <w:rsid w:val="00794AB7"/>
    <w:rsid w:val="00795FC7"/>
    <w:rsid w:val="007A077D"/>
    <w:rsid w:val="007A1485"/>
    <w:rsid w:val="007A1F8D"/>
    <w:rsid w:val="007A44B0"/>
    <w:rsid w:val="007A5D2C"/>
    <w:rsid w:val="007A6C6F"/>
    <w:rsid w:val="007A6E56"/>
    <w:rsid w:val="007A73D9"/>
    <w:rsid w:val="007B0EA9"/>
    <w:rsid w:val="007B1246"/>
    <w:rsid w:val="007B2EC7"/>
    <w:rsid w:val="007B2EFE"/>
    <w:rsid w:val="007B3053"/>
    <w:rsid w:val="007B420F"/>
    <w:rsid w:val="007B451B"/>
    <w:rsid w:val="007B4836"/>
    <w:rsid w:val="007B53E5"/>
    <w:rsid w:val="007B5831"/>
    <w:rsid w:val="007B58A5"/>
    <w:rsid w:val="007B6DB7"/>
    <w:rsid w:val="007B72E2"/>
    <w:rsid w:val="007B743E"/>
    <w:rsid w:val="007C0969"/>
    <w:rsid w:val="007C0C1C"/>
    <w:rsid w:val="007C10CF"/>
    <w:rsid w:val="007C1AD3"/>
    <w:rsid w:val="007C2BD5"/>
    <w:rsid w:val="007C3ED9"/>
    <w:rsid w:val="007C400B"/>
    <w:rsid w:val="007C4952"/>
    <w:rsid w:val="007C5977"/>
    <w:rsid w:val="007C5C93"/>
    <w:rsid w:val="007D1E48"/>
    <w:rsid w:val="007D3863"/>
    <w:rsid w:val="007D5093"/>
    <w:rsid w:val="007D551E"/>
    <w:rsid w:val="007D68C1"/>
    <w:rsid w:val="007D79E6"/>
    <w:rsid w:val="007E0D22"/>
    <w:rsid w:val="007E29FF"/>
    <w:rsid w:val="007E56D4"/>
    <w:rsid w:val="007E625E"/>
    <w:rsid w:val="007E6F36"/>
    <w:rsid w:val="007F005B"/>
    <w:rsid w:val="007F0D44"/>
    <w:rsid w:val="007F25E4"/>
    <w:rsid w:val="007F2FCF"/>
    <w:rsid w:val="007F539A"/>
    <w:rsid w:val="007F5EFA"/>
    <w:rsid w:val="007F62D4"/>
    <w:rsid w:val="007F73CA"/>
    <w:rsid w:val="007F7FAC"/>
    <w:rsid w:val="008008A5"/>
    <w:rsid w:val="008016C1"/>
    <w:rsid w:val="0080244D"/>
    <w:rsid w:val="0080264D"/>
    <w:rsid w:val="00802A77"/>
    <w:rsid w:val="008036AB"/>
    <w:rsid w:val="0080371D"/>
    <w:rsid w:val="00803F0F"/>
    <w:rsid w:val="008044C3"/>
    <w:rsid w:val="00804525"/>
    <w:rsid w:val="00804622"/>
    <w:rsid w:val="00806E77"/>
    <w:rsid w:val="008076E5"/>
    <w:rsid w:val="00810AA9"/>
    <w:rsid w:val="00811045"/>
    <w:rsid w:val="00811195"/>
    <w:rsid w:val="008125A6"/>
    <w:rsid w:val="008129C1"/>
    <w:rsid w:val="00814346"/>
    <w:rsid w:val="00814575"/>
    <w:rsid w:val="00814EC7"/>
    <w:rsid w:val="00815021"/>
    <w:rsid w:val="0081603F"/>
    <w:rsid w:val="0081675C"/>
    <w:rsid w:val="00816D29"/>
    <w:rsid w:val="00817FDE"/>
    <w:rsid w:val="00820C0F"/>
    <w:rsid w:val="008228EB"/>
    <w:rsid w:val="008235B1"/>
    <w:rsid w:val="00823A05"/>
    <w:rsid w:val="0082632B"/>
    <w:rsid w:val="00826D90"/>
    <w:rsid w:val="0082795A"/>
    <w:rsid w:val="0083169E"/>
    <w:rsid w:val="0083191D"/>
    <w:rsid w:val="00831C3E"/>
    <w:rsid w:val="00832412"/>
    <w:rsid w:val="00834888"/>
    <w:rsid w:val="00836ED2"/>
    <w:rsid w:val="00837331"/>
    <w:rsid w:val="00840893"/>
    <w:rsid w:val="008424AF"/>
    <w:rsid w:val="008435F5"/>
    <w:rsid w:val="008440FA"/>
    <w:rsid w:val="0084432A"/>
    <w:rsid w:val="00851971"/>
    <w:rsid w:val="00852323"/>
    <w:rsid w:val="008526DE"/>
    <w:rsid w:val="00854593"/>
    <w:rsid w:val="0085664E"/>
    <w:rsid w:val="00860FC1"/>
    <w:rsid w:val="00860FC2"/>
    <w:rsid w:val="00861B78"/>
    <w:rsid w:val="00862C8C"/>
    <w:rsid w:val="00864335"/>
    <w:rsid w:val="008647F2"/>
    <w:rsid w:val="00866A6B"/>
    <w:rsid w:val="00870070"/>
    <w:rsid w:val="00870BB2"/>
    <w:rsid w:val="008715F3"/>
    <w:rsid w:val="008743BA"/>
    <w:rsid w:val="00875BD0"/>
    <w:rsid w:val="00875EAE"/>
    <w:rsid w:val="008766D7"/>
    <w:rsid w:val="0088072B"/>
    <w:rsid w:val="0088202F"/>
    <w:rsid w:val="008823B6"/>
    <w:rsid w:val="00882FC2"/>
    <w:rsid w:val="0088403E"/>
    <w:rsid w:val="008855AB"/>
    <w:rsid w:val="00886A0B"/>
    <w:rsid w:val="0088774C"/>
    <w:rsid w:val="0089080A"/>
    <w:rsid w:val="00891E19"/>
    <w:rsid w:val="00893B82"/>
    <w:rsid w:val="00893CC2"/>
    <w:rsid w:val="00895128"/>
    <w:rsid w:val="0089518E"/>
    <w:rsid w:val="00895C8E"/>
    <w:rsid w:val="008961C3"/>
    <w:rsid w:val="008A0005"/>
    <w:rsid w:val="008A053A"/>
    <w:rsid w:val="008A13D8"/>
    <w:rsid w:val="008A13DF"/>
    <w:rsid w:val="008A1ABC"/>
    <w:rsid w:val="008A41DE"/>
    <w:rsid w:val="008A5826"/>
    <w:rsid w:val="008A682E"/>
    <w:rsid w:val="008A7373"/>
    <w:rsid w:val="008A7F4B"/>
    <w:rsid w:val="008B14A1"/>
    <w:rsid w:val="008B1692"/>
    <w:rsid w:val="008B1C2E"/>
    <w:rsid w:val="008B4B57"/>
    <w:rsid w:val="008B564A"/>
    <w:rsid w:val="008B5A32"/>
    <w:rsid w:val="008B60E7"/>
    <w:rsid w:val="008B6B2A"/>
    <w:rsid w:val="008B7387"/>
    <w:rsid w:val="008C0049"/>
    <w:rsid w:val="008C1E6A"/>
    <w:rsid w:val="008C2F7E"/>
    <w:rsid w:val="008C2FE2"/>
    <w:rsid w:val="008C484F"/>
    <w:rsid w:val="008C57AF"/>
    <w:rsid w:val="008C75C7"/>
    <w:rsid w:val="008C7BEB"/>
    <w:rsid w:val="008C7F8E"/>
    <w:rsid w:val="008D2369"/>
    <w:rsid w:val="008D31AF"/>
    <w:rsid w:val="008D54DF"/>
    <w:rsid w:val="008D6C84"/>
    <w:rsid w:val="008E013D"/>
    <w:rsid w:val="008E2669"/>
    <w:rsid w:val="008E30FD"/>
    <w:rsid w:val="008E4568"/>
    <w:rsid w:val="008E466A"/>
    <w:rsid w:val="008E5302"/>
    <w:rsid w:val="008E5C88"/>
    <w:rsid w:val="008E601E"/>
    <w:rsid w:val="008E6119"/>
    <w:rsid w:val="008E79D2"/>
    <w:rsid w:val="008F089A"/>
    <w:rsid w:val="008F0D57"/>
    <w:rsid w:val="008F29E9"/>
    <w:rsid w:val="008F3747"/>
    <w:rsid w:val="008F3D6E"/>
    <w:rsid w:val="008F3DCA"/>
    <w:rsid w:val="008F40D0"/>
    <w:rsid w:val="008F5FE0"/>
    <w:rsid w:val="008F795D"/>
    <w:rsid w:val="00901445"/>
    <w:rsid w:val="00901562"/>
    <w:rsid w:val="00901F59"/>
    <w:rsid w:val="00902F90"/>
    <w:rsid w:val="00907B94"/>
    <w:rsid w:val="00913142"/>
    <w:rsid w:val="0091437E"/>
    <w:rsid w:val="00914FF9"/>
    <w:rsid w:val="009157C3"/>
    <w:rsid w:val="009161CB"/>
    <w:rsid w:val="0091627A"/>
    <w:rsid w:val="009212E1"/>
    <w:rsid w:val="009218BC"/>
    <w:rsid w:val="00924799"/>
    <w:rsid w:val="009271F8"/>
    <w:rsid w:val="00927957"/>
    <w:rsid w:val="00927EDB"/>
    <w:rsid w:val="00931ABA"/>
    <w:rsid w:val="0093373D"/>
    <w:rsid w:val="00935A62"/>
    <w:rsid w:val="00935ADD"/>
    <w:rsid w:val="00937647"/>
    <w:rsid w:val="00937A31"/>
    <w:rsid w:val="0094272E"/>
    <w:rsid w:val="00944528"/>
    <w:rsid w:val="0094547A"/>
    <w:rsid w:val="00945F62"/>
    <w:rsid w:val="0094639E"/>
    <w:rsid w:val="00946465"/>
    <w:rsid w:val="00951015"/>
    <w:rsid w:val="0095294F"/>
    <w:rsid w:val="00955EE1"/>
    <w:rsid w:val="00957180"/>
    <w:rsid w:val="009576BD"/>
    <w:rsid w:val="009579F8"/>
    <w:rsid w:val="00961343"/>
    <w:rsid w:val="009621CB"/>
    <w:rsid w:val="00962995"/>
    <w:rsid w:val="00962BA7"/>
    <w:rsid w:val="009665CF"/>
    <w:rsid w:val="00967671"/>
    <w:rsid w:val="0097056C"/>
    <w:rsid w:val="00971826"/>
    <w:rsid w:val="009719C3"/>
    <w:rsid w:val="00971F1C"/>
    <w:rsid w:val="009725E3"/>
    <w:rsid w:val="009739A7"/>
    <w:rsid w:val="00975188"/>
    <w:rsid w:val="0097653D"/>
    <w:rsid w:val="00977586"/>
    <w:rsid w:val="00977C32"/>
    <w:rsid w:val="0098039B"/>
    <w:rsid w:val="00981635"/>
    <w:rsid w:val="00982575"/>
    <w:rsid w:val="00983431"/>
    <w:rsid w:val="00983AB7"/>
    <w:rsid w:val="00984F87"/>
    <w:rsid w:val="009850EF"/>
    <w:rsid w:val="009920AF"/>
    <w:rsid w:val="00993592"/>
    <w:rsid w:val="009946CD"/>
    <w:rsid w:val="0099679E"/>
    <w:rsid w:val="009A1D08"/>
    <w:rsid w:val="009A2040"/>
    <w:rsid w:val="009A221B"/>
    <w:rsid w:val="009A3446"/>
    <w:rsid w:val="009A362A"/>
    <w:rsid w:val="009A3DF8"/>
    <w:rsid w:val="009A673E"/>
    <w:rsid w:val="009B24BA"/>
    <w:rsid w:val="009B26BA"/>
    <w:rsid w:val="009B3478"/>
    <w:rsid w:val="009B4522"/>
    <w:rsid w:val="009C19EF"/>
    <w:rsid w:val="009C2C63"/>
    <w:rsid w:val="009C4257"/>
    <w:rsid w:val="009C52B9"/>
    <w:rsid w:val="009C5723"/>
    <w:rsid w:val="009C7DA9"/>
    <w:rsid w:val="009D0F66"/>
    <w:rsid w:val="009D1B13"/>
    <w:rsid w:val="009D2891"/>
    <w:rsid w:val="009D6F1F"/>
    <w:rsid w:val="009E08FF"/>
    <w:rsid w:val="009E1105"/>
    <w:rsid w:val="009E11DD"/>
    <w:rsid w:val="009E3DFA"/>
    <w:rsid w:val="009E44AF"/>
    <w:rsid w:val="009E45A3"/>
    <w:rsid w:val="009E6361"/>
    <w:rsid w:val="009F0638"/>
    <w:rsid w:val="009F1369"/>
    <w:rsid w:val="009F16DA"/>
    <w:rsid w:val="009F2327"/>
    <w:rsid w:val="009F2F77"/>
    <w:rsid w:val="009F4AC7"/>
    <w:rsid w:val="009F4EA9"/>
    <w:rsid w:val="009F5D63"/>
    <w:rsid w:val="009F627E"/>
    <w:rsid w:val="009F6F16"/>
    <w:rsid w:val="00A00156"/>
    <w:rsid w:val="00A00BE8"/>
    <w:rsid w:val="00A01C93"/>
    <w:rsid w:val="00A0271E"/>
    <w:rsid w:val="00A03037"/>
    <w:rsid w:val="00A034B2"/>
    <w:rsid w:val="00A04C42"/>
    <w:rsid w:val="00A06B2E"/>
    <w:rsid w:val="00A11FDD"/>
    <w:rsid w:val="00A123E1"/>
    <w:rsid w:val="00A13CB0"/>
    <w:rsid w:val="00A140D5"/>
    <w:rsid w:val="00A1609B"/>
    <w:rsid w:val="00A16820"/>
    <w:rsid w:val="00A16E29"/>
    <w:rsid w:val="00A179CC"/>
    <w:rsid w:val="00A21EF3"/>
    <w:rsid w:val="00A24347"/>
    <w:rsid w:val="00A247F2"/>
    <w:rsid w:val="00A264AD"/>
    <w:rsid w:val="00A26E2C"/>
    <w:rsid w:val="00A30674"/>
    <w:rsid w:val="00A306A4"/>
    <w:rsid w:val="00A308A4"/>
    <w:rsid w:val="00A31C6D"/>
    <w:rsid w:val="00A3374F"/>
    <w:rsid w:val="00A3465C"/>
    <w:rsid w:val="00A3579A"/>
    <w:rsid w:val="00A35E4F"/>
    <w:rsid w:val="00A41A16"/>
    <w:rsid w:val="00A41AB2"/>
    <w:rsid w:val="00A4204F"/>
    <w:rsid w:val="00A42EC9"/>
    <w:rsid w:val="00A43B2E"/>
    <w:rsid w:val="00A456DF"/>
    <w:rsid w:val="00A45F7D"/>
    <w:rsid w:val="00A45F8D"/>
    <w:rsid w:val="00A46AE5"/>
    <w:rsid w:val="00A50D27"/>
    <w:rsid w:val="00A50EC9"/>
    <w:rsid w:val="00A5240E"/>
    <w:rsid w:val="00A52879"/>
    <w:rsid w:val="00A52BD0"/>
    <w:rsid w:val="00A533EC"/>
    <w:rsid w:val="00A5347A"/>
    <w:rsid w:val="00A5391E"/>
    <w:rsid w:val="00A54B6D"/>
    <w:rsid w:val="00A554FF"/>
    <w:rsid w:val="00A55A06"/>
    <w:rsid w:val="00A55C72"/>
    <w:rsid w:val="00A5613D"/>
    <w:rsid w:val="00A5670C"/>
    <w:rsid w:val="00A57390"/>
    <w:rsid w:val="00A607DE"/>
    <w:rsid w:val="00A6082D"/>
    <w:rsid w:val="00A60989"/>
    <w:rsid w:val="00A6339F"/>
    <w:rsid w:val="00A64163"/>
    <w:rsid w:val="00A64B4F"/>
    <w:rsid w:val="00A651E8"/>
    <w:rsid w:val="00A6537A"/>
    <w:rsid w:val="00A66148"/>
    <w:rsid w:val="00A667C1"/>
    <w:rsid w:val="00A668FC"/>
    <w:rsid w:val="00A675E2"/>
    <w:rsid w:val="00A67675"/>
    <w:rsid w:val="00A72562"/>
    <w:rsid w:val="00A72AD8"/>
    <w:rsid w:val="00A7409C"/>
    <w:rsid w:val="00A74DB6"/>
    <w:rsid w:val="00A74E71"/>
    <w:rsid w:val="00A75686"/>
    <w:rsid w:val="00A7704C"/>
    <w:rsid w:val="00A773D7"/>
    <w:rsid w:val="00A80207"/>
    <w:rsid w:val="00A822DC"/>
    <w:rsid w:val="00A8317B"/>
    <w:rsid w:val="00A84701"/>
    <w:rsid w:val="00A85421"/>
    <w:rsid w:val="00A86313"/>
    <w:rsid w:val="00A86548"/>
    <w:rsid w:val="00A86630"/>
    <w:rsid w:val="00A91AC7"/>
    <w:rsid w:val="00A93988"/>
    <w:rsid w:val="00A9456D"/>
    <w:rsid w:val="00A95C65"/>
    <w:rsid w:val="00A95D0D"/>
    <w:rsid w:val="00A95F02"/>
    <w:rsid w:val="00AA03B6"/>
    <w:rsid w:val="00AA1665"/>
    <w:rsid w:val="00AA2061"/>
    <w:rsid w:val="00AA31D6"/>
    <w:rsid w:val="00AA3234"/>
    <w:rsid w:val="00AA412E"/>
    <w:rsid w:val="00AA48D7"/>
    <w:rsid w:val="00AA6011"/>
    <w:rsid w:val="00AA74BA"/>
    <w:rsid w:val="00AB0766"/>
    <w:rsid w:val="00AB0B8E"/>
    <w:rsid w:val="00AB2EAD"/>
    <w:rsid w:val="00AB41D0"/>
    <w:rsid w:val="00AB566D"/>
    <w:rsid w:val="00AB6F8E"/>
    <w:rsid w:val="00AB704E"/>
    <w:rsid w:val="00AC0978"/>
    <w:rsid w:val="00AC13AF"/>
    <w:rsid w:val="00AC1646"/>
    <w:rsid w:val="00AC215A"/>
    <w:rsid w:val="00AC429A"/>
    <w:rsid w:val="00AC590E"/>
    <w:rsid w:val="00AC5EAA"/>
    <w:rsid w:val="00AC767F"/>
    <w:rsid w:val="00AC7BE0"/>
    <w:rsid w:val="00AD13D7"/>
    <w:rsid w:val="00AD4665"/>
    <w:rsid w:val="00AD57CC"/>
    <w:rsid w:val="00AD6081"/>
    <w:rsid w:val="00AD65E0"/>
    <w:rsid w:val="00AE0AC8"/>
    <w:rsid w:val="00AE2516"/>
    <w:rsid w:val="00AE5591"/>
    <w:rsid w:val="00AE5780"/>
    <w:rsid w:val="00AE6309"/>
    <w:rsid w:val="00AE744B"/>
    <w:rsid w:val="00AF0C85"/>
    <w:rsid w:val="00AF10D0"/>
    <w:rsid w:val="00AF2C90"/>
    <w:rsid w:val="00AF3F3D"/>
    <w:rsid w:val="00AF4334"/>
    <w:rsid w:val="00AF7CD2"/>
    <w:rsid w:val="00B01D2A"/>
    <w:rsid w:val="00B02D76"/>
    <w:rsid w:val="00B048BC"/>
    <w:rsid w:val="00B050E2"/>
    <w:rsid w:val="00B07094"/>
    <w:rsid w:val="00B07452"/>
    <w:rsid w:val="00B075A6"/>
    <w:rsid w:val="00B07B04"/>
    <w:rsid w:val="00B1052F"/>
    <w:rsid w:val="00B10C05"/>
    <w:rsid w:val="00B10C4E"/>
    <w:rsid w:val="00B134F0"/>
    <w:rsid w:val="00B13B5E"/>
    <w:rsid w:val="00B14826"/>
    <w:rsid w:val="00B160CF"/>
    <w:rsid w:val="00B16E7D"/>
    <w:rsid w:val="00B203FB"/>
    <w:rsid w:val="00B22AD7"/>
    <w:rsid w:val="00B27204"/>
    <w:rsid w:val="00B30443"/>
    <w:rsid w:val="00B30806"/>
    <w:rsid w:val="00B31A7C"/>
    <w:rsid w:val="00B31D84"/>
    <w:rsid w:val="00B349F5"/>
    <w:rsid w:val="00B35770"/>
    <w:rsid w:val="00B3606D"/>
    <w:rsid w:val="00B370FD"/>
    <w:rsid w:val="00B37374"/>
    <w:rsid w:val="00B40C5F"/>
    <w:rsid w:val="00B452AE"/>
    <w:rsid w:val="00B46A0D"/>
    <w:rsid w:val="00B47B5B"/>
    <w:rsid w:val="00B537AE"/>
    <w:rsid w:val="00B53A1C"/>
    <w:rsid w:val="00B53C9D"/>
    <w:rsid w:val="00B54227"/>
    <w:rsid w:val="00B543B2"/>
    <w:rsid w:val="00B54B7E"/>
    <w:rsid w:val="00B55943"/>
    <w:rsid w:val="00B55F4C"/>
    <w:rsid w:val="00B56CF8"/>
    <w:rsid w:val="00B6064B"/>
    <w:rsid w:val="00B62B9C"/>
    <w:rsid w:val="00B6322E"/>
    <w:rsid w:val="00B63D6B"/>
    <w:rsid w:val="00B63F21"/>
    <w:rsid w:val="00B72E42"/>
    <w:rsid w:val="00B730DD"/>
    <w:rsid w:val="00B747FB"/>
    <w:rsid w:val="00B7682F"/>
    <w:rsid w:val="00B76ACC"/>
    <w:rsid w:val="00B7757E"/>
    <w:rsid w:val="00B7758F"/>
    <w:rsid w:val="00B77B48"/>
    <w:rsid w:val="00B800D8"/>
    <w:rsid w:val="00B80F8D"/>
    <w:rsid w:val="00B8167F"/>
    <w:rsid w:val="00B8229A"/>
    <w:rsid w:val="00B837C7"/>
    <w:rsid w:val="00B84799"/>
    <w:rsid w:val="00B86A0E"/>
    <w:rsid w:val="00B8709F"/>
    <w:rsid w:val="00B8795F"/>
    <w:rsid w:val="00B90D1F"/>
    <w:rsid w:val="00B92012"/>
    <w:rsid w:val="00B928F6"/>
    <w:rsid w:val="00B937B6"/>
    <w:rsid w:val="00B940A8"/>
    <w:rsid w:val="00B9429C"/>
    <w:rsid w:val="00B946B0"/>
    <w:rsid w:val="00B952E8"/>
    <w:rsid w:val="00B956B7"/>
    <w:rsid w:val="00B95C60"/>
    <w:rsid w:val="00B95EBA"/>
    <w:rsid w:val="00B967BD"/>
    <w:rsid w:val="00B9696A"/>
    <w:rsid w:val="00B97A9E"/>
    <w:rsid w:val="00BA3323"/>
    <w:rsid w:val="00BA4C94"/>
    <w:rsid w:val="00BA5529"/>
    <w:rsid w:val="00BA59CF"/>
    <w:rsid w:val="00BB00E3"/>
    <w:rsid w:val="00BB1019"/>
    <w:rsid w:val="00BB16B3"/>
    <w:rsid w:val="00BB21B7"/>
    <w:rsid w:val="00BB27E5"/>
    <w:rsid w:val="00BB2AF0"/>
    <w:rsid w:val="00BB30D5"/>
    <w:rsid w:val="00BB3A6F"/>
    <w:rsid w:val="00BB3BBB"/>
    <w:rsid w:val="00BB57AD"/>
    <w:rsid w:val="00BB6ABD"/>
    <w:rsid w:val="00BC1224"/>
    <w:rsid w:val="00BD15D7"/>
    <w:rsid w:val="00BD1740"/>
    <w:rsid w:val="00BD3F7D"/>
    <w:rsid w:val="00BD434C"/>
    <w:rsid w:val="00BD4DD3"/>
    <w:rsid w:val="00BD50EB"/>
    <w:rsid w:val="00BD5C7E"/>
    <w:rsid w:val="00BD7BE6"/>
    <w:rsid w:val="00BE1652"/>
    <w:rsid w:val="00BE1BAC"/>
    <w:rsid w:val="00BE1DB1"/>
    <w:rsid w:val="00BE21F4"/>
    <w:rsid w:val="00BE2845"/>
    <w:rsid w:val="00BE3FB9"/>
    <w:rsid w:val="00BE5AE5"/>
    <w:rsid w:val="00BE756F"/>
    <w:rsid w:val="00BE7A6F"/>
    <w:rsid w:val="00BF27CF"/>
    <w:rsid w:val="00BF3278"/>
    <w:rsid w:val="00BF3496"/>
    <w:rsid w:val="00BF4151"/>
    <w:rsid w:val="00BF4265"/>
    <w:rsid w:val="00BF5A79"/>
    <w:rsid w:val="00BF623C"/>
    <w:rsid w:val="00BF6B08"/>
    <w:rsid w:val="00BF6D4D"/>
    <w:rsid w:val="00BF724F"/>
    <w:rsid w:val="00C01637"/>
    <w:rsid w:val="00C02B76"/>
    <w:rsid w:val="00C036D8"/>
    <w:rsid w:val="00C0382A"/>
    <w:rsid w:val="00C0396F"/>
    <w:rsid w:val="00C04D64"/>
    <w:rsid w:val="00C05C7D"/>
    <w:rsid w:val="00C06441"/>
    <w:rsid w:val="00C11049"/>
    <w:rsid w:val="00C126C0"/>
    <w:rsid w:val="00C13E05"/>
    <w:rsid w:val="00C15AAD"/>
    <w:rsid w:val="00C16E6D"/>
    <w:rsid w:val="00C20F6B"/>
    <w:rsid w:val="00C23402"/>
    <w:rsid w:val="00C24712"/>
    <w:rsid w:val="00C24E36"/>
    <w:rsid w:val="00C26572"/>
    <w:rsid w:val="00C30124"/>
    <w:rsid w:val="00C30231"/>
    <w:rsid w:val="00C31D63"/>
    <w:rsid w:val="00C32D64"/>
    <w:rsid w:val="00C34052"/>
    <w:rsid w:val="00C348CA"/>
    <w:rsid w:val="00C34A3B"/>
    <w:rsid w:val="00C34E3D"/>
    <w:rsid w:val="00C3647F"/>
    <w:rsid w:val="00C3695A"/>
    <w:rsid w:val="00C36AE0"/>
    <w:rsid w:val="00C40F55"/>
    <w:rsid w:val="00C4132E"/>
    <w:rsid w:val="00C41B4E"/>
    <w:rsid w:val="00C435CC"/>
    <w:rsid w:val="00C43BEC"/>
    <w:rsid w:val="00C4454A"/>
    <w:rsid w:val="00C45C15"/>
    <w:rsid w:val="00C47A51"/>
    <w:rsid w:val="00C51ECE"/>
    <w:rsid w:val="00C52E37"/>
    <w:rsid w:val="00C534D8"/>
    <w:rsid w:val="00C5401C"/>
    <w:rsid w:val="00C55413"/>
    <w:rsid w:val="00C56078"/>
    <w:rsid w:val="00C56ADA"/>
    <w:rsid w:val="00C56C51"/>
    <w:rsid w:val="00C56C83"/>
    <w:rsid w:val="00C57921"/>
    <w:rsid w:val="00C60A74"/>
    <w:rsid w:val="00C620C3"/>
    <w:rsid w:val="00C62579"/>
    <w:rsid w:val="00C62D7F"/>
    <w:rsid w:val="00C64616"/>
    <w:rsid w:val="00C64CFB"/>
    <w:rsid w:val="00C64E7F"/>
    <w:rsid w:val="00C64EED"/>
    <w:rsid w:val="00C6506E"/>
    <w:rsid w:val="00C65C41"/>
    <w:rsid w:val="00C66061"/>
    <w:rsid w:val="00C66BF2"/>
    <w:rsid w:val="00C66CCD"/>
    <w:rsid w:val="00C67B31"/>
    <w:rsid w:val="00C705EE"/>
    <w:rsid w:val="00C71579"/>
    <w:rsid w:val="00C75D9A"/>
    <w:rsid w:val="00C81ADC"/>
    <w:rsid w:val="00C820FF"/>
    <w:rsid w:val="00C8467F"/>
    <w:rsid w:val="00C84EEF"/>
    <w:rsid w:val="00C862EE"/>
    <w:rsid w:val="00C87A3B"/>
    <w:rsid w:val="00C90371"/>
    <w:rsid w:val="00C90385"/>
    <w:rsid w:val="00C90F29"/>
    <w:rsid w:val="00C91CEB"/>
    <w:rsid w:val="00C9255D"/>
    <w:rsid w:val="00C93BBD"/>
    <w:rsid w:val="00C942FE"/>
    <w:rsid w:val="00C94448"/>
    <w:rsid w:val="00C9490A"/>
    <w:rsid w:val="00C94C24"/>
    <w:rsid w:val="00CA03CB"/>
    <w:rsid w:val="00CA098E"/>
    <w:rsid w:val="00CA2A3E"/>
    <w:rsid w:val="00CA2C1A"/>
    <w:rsid w:val="00CA5E9A"/>
    <w:rsid w:val="00CA6A76"/>
    <w:rsid w:val="00CA7404"/>
    <w:rsid w:val="00CB07E8"/>
    <w:rsid w:val="00CB108C"/>
    <w:rsid w:val="00CB1F82"/>
    <w:rsid w:val="00CB2918"/>
    <w:rsid w:val="00CB39B4"/>
    <w:rsid w:val="00CB4365"/>
    <w:rsid w:val="00CB45BA"/>
    <w:rsid w:val="00CB6604"/>
    <w:rsid w:val="00CC00EC"/>
    <w:rsid w:val="00CC0682"/>
    <w:rsid w:val="00CC1A24"/>
    <w:rsid w:val="00CC1DEC"/>
    <w:rsid w:val="00CC2B7A"/>
    <w:rsid w:val="00CC478A"/>
    <w:rsid w:val="00CC61A6"/>
    <w:rsid w:val="00CC6C2A"/>
    <w:rsid w:val="00CD1532"/>
    <w:rsid w:val="00CD16CF"/>
    <w:rsid w:val="00CD2F93"/>
    <w:rsid w:val="00CD3E66"/>
    <w:rsid w:val="00CD5B93"/>
    <w:rsid w:val="00CD773E"/>
    <w:rsid w:val="00CE116E"/>
    <w:rsid w:val="00CE2541"/>
    <w:rsid w:val="00CE2C58"/>
    <w:rsid w:val="00CE3B06"/>
    <w:rsid w:val="00CE5EFE"/>
    <w:rsid w:val="00CE7D01"/>
    <w:rsid w:val="00CF124E"/>
    <w:rsid w:val="00CF2072"/>
    <w:rsid w:val="00CF2082"/>
    <w:rsid w:val="00CF3B39"/>
    <w:rsid w:val="00CF4298"/>
    <w:rsid w:val="00CF6CA3"/>
    <w:rsid w:val="00CF6E6B"/>
    <w:rsid w:val="00D00C72"/>
    <w:rsid w:val="00D017DD"/>
    <w:rsid w:val="00D01F82"/>
    <w:rsid w:val="00D0237D"/>
    <w:rsid w:val="00D027D4"/>
    <w:rsid w:val="00D02891"/>
    <w:rsid w:val="00D028CF"/>
    <w:rsid w:val="00D04619"/>
    <w:rsid w:val="00D05063"/>
    <w:rsid w:val="00D05DA4"/>
    <w:rsid w:val="00D05DD4"/>
    <w:rsid w:val="00D067DF"/>
    <w:rsid w:val="00D07134"/>
    <w:rsid w:val="00D07256"/>
    <w:rsid w:val="00D07D11"/>
    <w:rsid w:val="00D1091F"/>
    <w:rsid w:val="00D145FC"/>
    <w:rsid w:val="00D15512"/>
    <w:rsid w:val="00D157F1"/>
    <w:rsid w:val="00D17200"/>
    <w:rsid w:val="00D17544"/>
    <w:rsid w:val="00D215C8"/>
    <w:rsid w:val="00D23782"/>
    <w:rsid w:val="00D242C8"/>
    <w:rsid w:val="00D244EF"/>
    <w:rsid w:val="00D25740"/>
    <w:rsid w:val="00D26749"/>
    <w:rsid w:val="00D269AF"/>
    <w:rsid w:val="00D270BD"/>
    <w:rsid w:val="00D27D10"/>
    <w:rsid w:val="00D27F72"/>
    <w:rsid w:val="00D30131"/>
    <w:rsid w:val="00D31164"/>
    <w:rsid w:val="00D31668"/>
    <w:rsid w:val="00D32CE1"/>
    <w:rsid w:val="00D33108"/>
    <w:rsid w:val="00D339FA"/>
    <w:rsid w:val="00D33C0E"/>
    <w:rsid w:val="00D33CB4"/>
    <w:rsid w:val="00D33E53"/>
    <w:rsid w:val="00D35BA8"/>
    <w:rsid w:val="00D369B3"/>
    <w:rsid w:val="00D41735"/>
    <w:rsid w:val="00D41A7F"/>
    <w:rsid w:val="00D41CE6"/>
    <w:rsid w:val="00D4519A"/>
    <w:rsid w:val="00D45651"/>
    <w:rsid w:val="00D47970"/>
    <w:rsid w:val="00D50813"/>
    <w:rsid w:val="00D51656"/>
    <w:rsid w:val="00D5232F"/>
    <w:rsid w:val="00D53B40"/>
    <w:rsid w:val="00D55D3D"/>
    <w:rsid w:val="00D55DE4"/>
    <w:rsid w:val="00D608A3"/>
    <w:rsid w:val="00D61A38"/>
    <w:rsid w:val="00D6245D"/>
    <w:rsid w:val="00D63317"/>
    <w:rsid w:val="00D63BBD"/>
    <w:rsid w:val="00D65096"/>
    <w:rsid w:val="00D67293"/>
    <w:rsid w:val="00D67824"/>
    <w:rsid w:val="00D7036B"/>
    <w:rsid w:val="00D70821"/>
    <w:rsid w:val="00D71769"/>
    <w:rsid w:val="00D72805"/>
    <w:rsid w:val="00D74590"/>
    <w:rsid w:val="00D759A0"/>
    <w:rsid w:val="00D75C68"/>
    <w:rsid w:val="00D76450"/>
    <w:rsid w:val="00D7713D"/>
    <w:rsid w:val="00D82326"/>
    <w:rsid w:val="00D82CCF"/>
    <w:rsid w:val="00D8467F"/>
    <w:rsid w:val="00D85404"/>
    <w:rsid w:val="00D914F3"/>
    <w:rsid w:val="00D930D4"/>
    <w:rsid w:val="00D974AB"/>
    <w:rsid w:val="00DA0B0D"/>
    <w:rsid w:val="00DA19A3"/>
    <w:rsid w:val="00DA3041"/>
    <w:rsid w:val="00DA31DC"/>
    <w:rsid w:val="00DA44C8"/>
    <w:rsid w:val="00DA4D76"/>
    <w:rsid w:val="00DA54AF"/>
    <w:rsid w:val="00DA56DE"/>
    <w:rsid w:val="00DA5CC8"/>
    <w:rsid w:val="00DA781F"/>
    <w:rsid w:val="00DB1FF3"/>
    <w:rsid w:val="00DB4A98"/>
    <w:rsid w:val="00DB5FB3"/>
    <w:rsid w:val="00DB6514"/>
    <w:rsid w:val="00DC0111"/>
    <w:rsid w:val="00DC0548"/>
    <w:rsid w:val="00DC0D2B"/>
    <w:rsid w:val="00DC1E1F"/>
    <w:rsid w:val="00DC30B1"/>
    <w:rsid w:val="00DC3F6E"/>
    <w:rsid w:val="00DC435D"/>
    <w:rsid w:val="00DC43AB"/>
    <w:rsid w:val="00DC5396"/>
    <w:rsid w:val="00DC58E9"/>
    <w:rsid w:val="00DC6EDC"/>
    <w:rsid w:val="00DC70AF"/>
    <w:rsid w:val="00DC70CC"/>
    <w:rsid w:val="00DD0C65"/>
    <w:rsid w:val="00DD171A"/>
    <w:rsid w:val="00DD2080"/>
    <w:rsid w:val="00DD3075"/>
    <w:rsid w:val="00DD52A6"/>
    <w:rsid w:val="00DD6266"/>
    <w:rsid w:val="00DD635E"/>
    <w:rsid w:val="00DD73BE"/>
    <w:rsid w:val="00DD76C5"/>
    <w:rsid w:val="00DE079A"/>
    <w:rsid w:val="00DE08B9"/>
    <w:rsid w:val="00DE2ACB"/>
    <w:rsid w:val="00DE4B2A"/>
    <w:rsid w:val="00DE6BC6"/>
    <w:rsid w:val="00DE6D02"/>
    <w:rsid w:val="00DF1197"/>
    <w:rsid w:val="00DF405E"/>
    <w:rsid w:val="00DF6585"/>
    <w:rsid w:val="00DF6663"/>
    <w:rsid w:val="00DF6939"/>
    <w:rsid w:val="00DF77AD"/>
    <w:rsid w:val="00E01B3B"/>
    <w:rsid w:val="00E01DDB"/>
    <w:rsid w:val="00E04C12"/>
    <w:rsid w:val="00E054F7"/>
    <w:rsid w:val="00E06B04"/>
    <w:rsid w:val="00E1021D"/>
    <w:rsid w:val="00E12A20"/>
    <w:rsid w:val="00E12C74"/>
    <w:rsid w:val="00E134EF"/>
    <w:rsid w:val="00E15486"/>
    <w:rsid w:val="00E16DBD"/>
    <w:rsid w:val="00E20691"/>
    <w:rsid w:val="00E21D4F"/>
    <w:rsid w:val="00E2252B"/>
    <w:rsid w:val="00E22773"/>
    <w:rsid w:val="00E234E5"/>
    <w:rsid w:val="00E255B4"/>
    <w:rsid w:val="00E258DE"/>
    <w:rsid w:val="00E258E6"/>
    <w:rsid w:val="00E26267"/>
    <w:rsid w:val="00E26338"/>
    <w:rsid w:val="00E31646"/>
    <w:rsid w:val="00E32E75"/>
    <w:rsid w:val="00E33948"/>
    <w:rsid w:val="00E34990"/>
    <w:rsid w:val="00E34BEA"/>
    <w:rsid w:val="00E40539"/>
    <w:rsid w:val="00E410D8"/>
    <w:rsid w:val="00E4248D"/>
    <w:rsid w:val="00E435AD"/>
    <w:rsid w:val="00E474A2"/>
    <w:rsid w:val="00E47E03"/>
    <w:rsid w:val="00E51E91"/>
    <w:rsid w:val="00E52A33"/>
    <w:rsid w:val="00E53761"/>
    <w:rsid w:val="00E53B95"/>
    <w:rsid w:val="00E54F5E"/>
    <w:rsid w:val="00E56554"/>
    <w:rsid w:val="00E57BDF"/>
    <w:rsid w:val="00E6032E"/>
    <w:rsid w:val="00E60FEB"/>
    <w:rsid w:val="00E645C8"/>
    <w:rsid w:val="00E6656F"/>
    <w:rsid w:val="00E66F7C"/>
    <w:rsid w:val="00E714DD"/>
    <w:rsid w:val="00E77481"/>
    <w:rsid w:val="00E81D37"/>
    <w:rsid w:val="00E81F47"/>
    <w:rsid w:val="00E82516"/>
    <w:rsid w:val="00E82B1F"/>
    <w:rsid w:val="00E82BFD"/>
    <w:rsid w:val="00E845D0"/>
    <w:rsid w:val="00E860DB"/>
    <w:rsid w:val="00E9003F"/>
    <w:rsid w:val="00E935B2"/>
    <w:rsid w:val="00E93A22"/>
    <w:rsid w:val="00E95087"/>
    <w:rsid w:val="00E95340"/>
    <w:rsid w:val="00E95906"/>
    <w:rsid w:val="00E972B6"/>
    <w:rsid w:val="00E9787B"/>
    <w:rsid w:val="00EA2624"/>
    <w:rsid w:val="00EA35BA"/>
    <w:rsid w:val="00EA47FF"/>
    <w:rsid w:val="00EA5210"/>
    <w:rsid w:val="00EA551B"/>
    <w:rsid w:val="00EA62D7"/>
    <w:rsid w:val="00EA7A95"/>
    <w:rsid w:val="00EB0C6D"/>
    <w:rsid w:val="00EB122B"/>
    <w:rsid w:val="00EB3FEF"/>
    <w:rsid w:val="00EB48FC"/>
    <w:rsid w:val="00EB6B50"/>
    <w:rsid w:val="00EB7183"/>
    <w:rsid w:val="00EC0950"/>
    <w:rsid w:val="00EC0DDF"/>
    <w:rsid w:val="00EC130E"/>
    <w:rsid w:val="00EC3122"/>
    <w:rsid w:val="00EC42B6"/>
    <w:rsid w:val="00EC5810"/>
    <w:rsid w:val="00EC6230"/>
    <w:rsid w:val="00EC7BA1"/>
    <w:rsid w:val="00ED0CD9"/>
    <w:rsid w:val="00ED0FC4"/>
    <w:rsid w:val="00ED11D5"/>
    <w:rsid w:val="00ED1688"/>
    <w:rsid w:val="00ED1753"/>
    <w:rsid w:val="00ED2C7C"/>
    <w:rsid w:val="00ED425A"/>
    <w:rsid w:val="00ED6779"/>
    <w:rsid w:val="00ED732F"/>
    <w:rsid w:val="00ED7A8E"/>
    <w:rsid w:val="00EE1837"/>
    <w:rsid w:val="00EE35DE"/>
    <w:rsid w:val="00EE3A2A"/>
    <w:rsid w:val="00EE4201"/>
    <w:rsid w:val="00EE47E5"/>
    <w:rsid w:val="00EE4E97"/>
    <w:rsid w:val="00EE6CA5"/>
    <w:rsid w:val="00EE7554"/>
    <w:rsid w:val="00EF1B60"/>
    <w:rsid w:val="00EF24F6"/>
    <w:rsid w:val="00EF30F1"/>
    <w:rsid w:val="00EF5182"/>
    <w:rsid w:val="00EF5E08"/>
    <w:rsid w:val="00EF729E"/>
    <w:rsid w:val="00F013DE"/>
    <w:rsid w:val="00F019F1"/>
    <w:rsid w:val="00F02320"/>
    <w:rsid w:val="00F03A30"/>
    <w:rsid w:val="00F04052"/>
    <w:rsid w:val="00F04CAB"/>
    <w:rsid w:val="00F1112E"/>
    <w:rsid w:val="00F122B6"/>
    <w:rsid w:val="00F12A38"/>
    <w:rsid w:val="00F13ED0"/>
    <w:rsid w:val="00F14374"/>
    <w:rsid w:val="00F17811"/>
    <w:rsid w:val="00F210C4"/>
    <w:rsid w:val="00F21898"/>
    <w:rsid w:val="00F21A50"/>
    <w:rsid w:val="00F2558E"/>
    <w:rsid w:val="00F268F7"/>
    <w:rsid w:val="00F26CFB"/>
    <w:rsid w:val="00F31B22"/>
    <w:rsid w:val="00F31D4F"/>
    <w:rsid w:val="00F327D6"/>
    <w:rsid w:val="00F33A49"/>
    <w:rsid w:val="00F34657"/>
    <w:rsid w:val="00F354A5"/>
    <w:rsid w:val="00F355FB"/>
    <w:rsid w:val="00F40DCF"/>
    <w:rsid w:val="00F424DA"/>
    <w:rsid w:val="00F42AD1"/>
    <w:rsid w:val="00F43764"/>
    <w:rsid w:val="00F46DE6"/>
    <w:rsid w:val="00F47D41"/>
    <w:rsid w:val="00F506E3"/>
    <w:rsid w:val="00F513CC"/>
    <w:rsid w:val="00F52128"/>
    <w:rsid w:val="00F52638"/>
    <w:rsid w:val="00F53172"/>
    <w:rsid w:val="00F5404A"/>
    <w:rsid w:val="00F55561"/>
    <w:rsid w:val="00F57A7B"/>
    <w:rsid w:val="00F602A2"/>
    <w:rsid w:val="00F629BC"/>
    <w:rsid w:val="00F62C5B"/>
    <w:rsid w:val="00F62EB2"/>
    <w:rsid w:val="00F632BB"/>
    <w:rsid w:val="00F6365D"/>
    <w:rsid w:val="00F6375C"/>
    <w:rsid w:val="00F64FE9"/>
    <w:rsid w:val="00F663AE"/>
    <w:rsid w:val="00F70A26"/>
    <w:rsid w:val="00F73811"/>
    <w:rsid w:val="00F73CA6"/>
    <w:rsid w:val="00F742F9"/>
    <w:rsid w:val="00F74F8F"/>
    <w:rsid w:val="00F7576E"/>
    <w:rsid w:val="00F76849"/>
    <w:rsid w:val="00F7764F"/>
    <w:rsid w:val="00F776C4"/>
    <w:rsid w:val="00F77B3A"/>
    <w:rsid w:val="00F80808"/>
    <w:rsid w:val="00F80BE1"/>
    <w:rsid w:val="00F817DC"/>
    <w:rsid w:val="00F81EA8"/>
    <w:rsid w:val="00F83916"/>
    <w:rsid w:val="00F83EB3"/>
    <w:rsid w:val="00F8529C"/>
    <w:rsid w:val="00F86FE3"/>
    <w:rsid w:val="00F9033A"/>
    <w:rsid w:val="00F90381"/>
    <w:rsid w:val="00F93E04"/>
    <w:rsid w:val="00F949D7"/>
    <w:rsid w:val="00F9580A"/>
    <w:rsid w:val="00F963D0"/>
    <w:rsid w:val="00FA1B4A"/>
    <w:rsid w:val="00FA2034"/>
    <w:rsid w:val="00FA2705"/>
    <w:rsid w:val="00FA3166"/>
    <w:rsid w:val="00FA41BA"/>
    <w:rsid w:val="00FA5E31"/>
    <w:rsid w:val="00FA68ED"/>
    <w:rsid w:val="00FA7B7C"/>
    <w:rsid w:val="00FB0787"/>
    <w:rsid w:val="00FB15CB"/>
    <w:rsid w:val="00FB2C59"/>
    <w:rsid w:val="00FB3238"/>
    <w:rsid w:val="00FB38F8"/>
    <w:rsid w:val="00FB5172"/>
    <w:rsid w:val="00FB69C4"/>
    <w:rsid w:val="00FC026F"/>
    <w:rsid w:val="00FC05BD"/>
    <w:rsid w:val="00FC1903"/>
    <w:rsid w:val="00FC6A22"/>
    <w:rsid w:val="00FD05D4"/>
    <w:rsid w:val="00FD0A8D"/>
    <w:rsid w:val="00FD1CEC"/>
    <w:rsid w:val="00FD5538"/>
    <w:rsid w:val="00FD58A1"/>
    <w:rsid w:val="00FD6156"/>
    <w:rsid w:val="00FD62E3"/>
    <w:rsid w:val="00FD6351"/>
    <w:rsid w:val="00FD689E"/>
    <w:rsid w:val="00FD7DB5"/>
    <w:rsid w:val="00FE1F35"/>
    <w:rsid w:val="00FE1FEC"/>
    <w:rsid w:val="00FE2273"/>
    <w:rsid w:val="00FE259F"/>
    <w:rsid w:val="00FE2720"/>
    <w:rsid w:val="00FE315B"/>
    <w:rsid w:val="00FE324F"/>
    <w:rsid w:val="00FE32F0"/>
    <w:rsid w:val="00FE50DE"/>
    <w:rsid w:val="00FE587B"/>
    <w:rsid w:val="00FE6417"/>
    <w:rsid w:val="00FE6B73"/>
    <w:rsid w:val="00FE771F"/>
    <w:rsid w:val="00FE7DCF"/>
    <w:rsid w:val="00FE7E70"/>
    <w:rsid w:val="00FF0711"/>
    <w:rsid w:val="00FF33E7"/>
    <w:rsid w:val="00FF514D"/>
    <w:rsid w:val="00FF611B"/>
    <w:rsid w:val="00FF61AE"/>
    <w:rsid w:val="00FF6C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9D153"/>
  <w15:docId w15:val="{BCD6CBED-A3F7-4271-99F4-5D30A3929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unhideWhenUsed="1" w:qFormat="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lsdException w:name="Intense Emphasis" w:uiPriority="21"/>
    <w:lsdException w:name="Subtle Reference" w:uiPriority="31"/>
    <w:lsdException w:name="Intense Reference" w:uiPriority="32"/>
    <w:lsdException w:name="Book Title" w:uiPriority="3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C20"/>
    <w:pPr>
      <w:spacing w:before="60" w:after="60" w:line="240" w:lineRule="auto"/>
      <w:jc w:val="both"/>
    </w:pPr>
    <w:rPr>
      <w:rFonts w:ascii="Calibri" w:hAnsi="Calibri" w:cs="Arial"/>
      <w:sz w:val="20"/>
      <w:szCs w:val="20"/>
      <w:lang w:eastAsia="en-US"/>
    </w:rPr>
  </w:style>
  <w:style w:type="paragraph" w:styleId="Heading1">
    <w:name w:val="heading 1"/>
    <w:basedOn w:val="Normal"/>
    <w:next w:val="Normal"/>
    <w:link w:val="Heading1Char"/>
    <w:uiPriority w:val="2"/>
    <w:qFormat/>
    <w:rsid w:val="005F2DE3"/>
    <w:pPr>
      <w:keepNext/>
      <w:spacing w:before="240"/>
      <w:outlineLvl w:val="0"/>
    </w:pPr>
    <w:rPr>
      <w:rFonts w:asciiTheme="minorHAnsi" w:hAnsiTheme="minorHAnsi" w:cstheme="minorHAnsi"/>
      <w:b/>
      <w:caps/>
      <w:color w:val="1F497D" w:themeColor="text2"/>
      <w:kern w:val="32"/>
      <w:sz w:val="28"/>
      <w:szCs w:val="28"/>
    </w:rPr>
  </w:style>
  <w:style w:type="paragraph" w:styleId="Heading2">
    <w:name w:val="heading 2"/>
    <w:basedOn w:val="Normal"/>
    <w:next w:val="Normal"/>
    <w:link w:val="Heading2Char"/>
    <w:uiPriority w:val="2"/>
    <w:qFormat/>
    <w:rsid w:val="002F35CA"/>
    <w:pPr>
      <w:keepNext/>
      <w:spacing w:before="120"/>
      <w:outlineLvl w:val="1"/>
    </w:pPr>
    <w:rPr>
      <w:rFonts w:asciiTheme="minorHAnsi" w:eastAsiaTheme="minorHAnsi" w:hAnsiTheme="minorHAnsi" w:cstheme="minorHAnsi"/>
      <w:bCs/>
      <w:iCs/>
      <w:caps/>
      <w:color w:val="1F497D" w:themeColor="text2"/>
      <w:sz w:val="24"/>
      <w:szCs w:val="24"/>
    </w:rPr>
  </w:style>
  <w:style w:type="paragraph" w:styleId="Heading3">
    <w:name w:val="heading 3"/>
    <w:basedOn w:val="Normal"/>
    <w:next w:val="Normal"/>
    <w:link w:val="Heading3Char"/>
    <w:uiPriority w:val="3"/>
    <w:qFormat/>
    <w:rsid w:val="005F2DE3"/>
    <w:pPr>
      <w:keepNext/>
      <w:spacing w:before="120"/>
      <w:outlineLvl w:val="2"/>
    </w:pPr>
    <w:rPr>
      <w:b/>
      <w:bCs/>
      <w:sz w:val="22"/>
      <w:szCs w:val="22"/>
    </w:rPr>
  </w:style>
  <w:style w:type="paragraph" w:styleId="Heading4">
    <w:name w:val="heading 4"/>
    <w:basedOn w:val="Heading3"/>
    <w:next w:val="Normal"/>
    <w:link w:val="Heading4Char"/>
    <w:semiHidden/>
    <w:qFormat/>
    <w:locked/>
    <w:rsid w:val="0013059D"/>
    <w:pPr>
      <w:spacing w:before="240"/>
      <w:outlineLvl w:val="3"/>
    </w:pPr>
    <w:rPr>
      <w:b w:val="0"/>
      <w:bCs w:val="0"/>
      <w:i/>
      <w:szCs w:val="28"/>
    </w:rPr>
  </w:style>
  <w:style w:type="paragraph" w:styleId="Heading5">
    <w:name w:val="heading 5"/>
    <w:basedOn w:val="Normal"/>
    <w:next w:val="Normal"/>
    <w:link w:val="Heading5Char"/>
    <w:uiPriority w:val="9"/>
    <w:semiHidden/>
    <w:qFormat/>
    <w:rsid w:val="00C43BE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C43BE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locked/>
    <w:rsid w:val="001D3DB7"/>
    <w:rPr>
      <w:rFonts w:cstheme="minorHAnsi"/>
      <w:b/>
      <w:caps/>
      <w:color w:val="1F497D" w:themeColor="text2"/>
      <w:kern w:val="32"/>
      <w:sz w:val="28"/>
      <w:szCs w:val="28"/>
      <w:lang w:eastAsia="en-US"/>
    </w:rPr>
  </w:style>
  <w:style w:type="character" w:customStyle="1" w:styleId="Heading2Char">
    <w:name w:val="Heading 2 Char"/>
    <w:basedOn w:val="DefaultParagraphFont"/>
    <w:link w:val="Heading2"/>
    <w:uiPriority w:val="2"/>
    <w:locked/>
    <w:rsid w:val="001D3DB7"/>
    <w:rPr>
      <w:rFonts w:eastAsiaTheme="minorHAnsi" w:cstheme="minorHAnsi"/>
      <w:bCs/>
      <w:iCs/>
      <w:caps/>
      <w:color w:val="1F497D" w:themeColor="text2"/>
      <w:sz w:val="24"/>
      <w:szCs w:val="24"/>
      <w:lang w:eastAsia="en-US"/>
    </w:rPr>
  </w:style>
  <w:style w:type="character" w:customStyle="1" w:styleId="Heading3Char">
    <w:name w:val="Heading 3 Char"/>
    <w:basedOn w:val="DefaultParagraphFont"/>
    <w:link w:val="Heading3"/>
    <w:uiPriority w:val="3"/>
    <w:locked/>
    <w:rsid w:val="001D3DB7"/>
    <w:rPr>
      <w:rFonts w:ascii="Calibri" w:hAnsi="Calibri" w:cs="Arial"/>
      <w:b/>
      <w:bCs/>
      <w:lang w:eastAsia="en-US"/>
    </w:rPr>
  </w:style>
  <w:style w:type="paragraph" w:customStyle="1" w:styleId="Instructions-bullet1">
    <w:name w:val="Instructions - bullet 1"/>
    <w:basedOn w:val="Instructions"/>
    <w:uiPriority w:val="11"/>
    <w:qFormat/>
    <w:rsid w:val="009F16DA"/>
    <w:pPr>
      <w:numPr>
        <w:numId w:val="7"/>
      </w:numPr>
      <w:tabs>
        <w:tab w:val="num" w:pos="360"/>
      </w:tabs>
      <w:ind w:left="341" w:hanging="284"/>
    </w:pPr>
    <w:rPr>
      <w:rFonts w:cs="Times New Roman"/>
    </w:rPr>
  </w:style>
  <w:style w:type="paragraph" w:customStyle="1" w:styleId="Instructions-numbered">
    <w:name w:val="Instructions - numbered"/>
    <w:basedOn w:val="Normal"/>
    <w:uiPriority w:val="11"/>
    <w:qFormat/>
    <w:rsid w:val="009F16DA"/>
    <w:pPr>
      <w:numPr>
        <w:numId w:val="8"/>
      </w:numPr>
      <w:tabs>
        <w:tab w:val="num" w:pos="360"/>
      </w:tabs>
      <w:ind w:left="340" w:hanging="340"/>
    </w:pPr>
    <w:rPr>
      <w:rFonts w:cs="Times New Roman"/>
      <w:i/>
      <w:color w:val="C00000"/>
    </w:rPr>
  </w:style>
  <w:style w:type="paragraph" w:customStyle="1" w:styleId="bulletT1">
    <w:name w:val="bullet T1"/>
    <w:basedOn w:val="Normal"/>
    <w:link w:val="bulletT1Char"/>
    <w:uiPriority w:val="9"/>
    <w:qFormat/>
    <w:rsid w:val="003B1FA8"/>
    <w:pPr>
      <w:numPr>
        <w:numId w:val="17"/>
      </w:numPr>
      <w:ind w:left="170" w:hanging="170"/>
    </w:pPr>
  </w:style>
  <w:style w:type="paragraph" w:styleId="BalloonText">
    <w:name w:val="Balloon Text"/>
    <w:basedOn w:val="Normal"/>
    <w:link w:val="BalloonTextChar"/>
    <w:uiPriority w:val="99"/>
    <w:semiHidden/>
    <w:unhideWhenUsed/>
    <w:rsid w:val="003A70F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0FF"/>
    <w:rPr>
      <w:rFonts w:ascii="Segoe UI" w:hAnsi="Segoe UI" w:cs="Segoe UI"/>
      <w:sz w:val="18"/>
      <w:szCs w:val="18"/>
      <w:lang w:eastAsia="en-US"/>
    </w:rPr>
  </w:style>
  <w:style w:type="paragraph" w:styleId="Footer">
    <w:name w:val="footer"/>
    <w:basedOn w:val="Normal"/>
    <w:link w:val="FooterChar"/>
    <w:uiPriority w:val="17"/>
    <w:qFormat/>
    <w:rsid w:val="0055740E"/>
    <w:pPr>
      <w:spacing w:before="0" w:after="0"/>
      <w:contextualSpacing/>
      <w:jc w:val="center"/>
    </w:pPr>
    <w:rPr>
      <w:sz w:val="18"/>
      <w:lang w:val="en-US"/>
    </w:rPr>
  </w:style>
  <w:style w:type="character" w:customStyle="1" w:styleId="FooterChar">
    <w:name w:val="Footer Char"/>
    <w:basedOn w:val="DefaultParagraphFont"/>
    <w:link w:val="Footer"/>
    <w:uiPriority w:val="17"/>
    <w:locked/>
    <w:rsid w:val="00F64FE9"/>
    <w:rPr>
      <w:rFonts w:ascii="Calibri" w:hAnsi="Calibri" w:cs="Arial"/>
      <w:sz w:val="18"/>
      <w:szCs w:val="20"/>
      <w:lang w:val="en-US" w:eastAsia="en-US"/>
    </w:rPr>
  </w:style>
  <w:style w:type="paragraph" w:styleId="Header">
    <w:name w:val="header"/>
    <w:aliases w:val="Header - SOP"/>
    <w:basedOn w:val="Normal"/>
    <w:link w:val="HeaderChar"/>
    <w:uiPriority w:val="99"/>
    <w:qFormat/>
    <w:rsid w:val="00F5404A"/>
    <w:pPr>
      <w:tabs>
        <w:tab w:val="center" w:pos="4153"/>
        <w:tab w:val="right" w:pos="8306"/>
      </w:tabs>
      <w:spacing w:before="240"/>
      <w:jc w:val="center"/>
    </w:pPr>
    <w:rPr>
      <w:rFonts w:asciiTheme="minorHAnsi" w:hAnsiTheme="minorHAnsi" w:cstheme="minorHAnsi"/>
      <w:b/>
      <w:bCs/>
      <w:caps/>
      <w:noProof/>
      <w:color w:val="1F497D" w:themeColor="text2"/>
      <w:sz w:val="32"/>
    </w:rPr>
  </w:style>
  <w:style w:type="character" w:customStyle="1" w:styleId="HeaderChar">
    <w:name w:val="Header Char"/>
    <w:aliases w:val="Header - SOP Char"/>
    <w:basedOn w:val="DefaultParagraphFont"/>
    <w:link w:val="Header"/>
    <w:uiPriority w:val="99"/>
    <w:locked/>
    <w:rsid w:val="00F5404A"/>
    <w:rPr>
      <w:rFonts w:cstheme="minorHAnsi"/>
      <w:b/>
      <w:bCs/>
      <w:caps/>
      <w:noProof/>
      <w:color w:val="1F497D" w:themeColor="text2"/>
      <w:sz w:val="32"/>
      <w:szCs w:val="20"/>
      <w:lang w:eastAsia="en-US"/>
    </w:rPr>
  </w:style>
  <w:style w:type="table" w:styleId="TableGrid">
    <w:name w:val="Table Grid"/>
    <w:basedOn w:val="TableNormal"/>
    <w:uiPriority w:val="59"/>
    <w:rsid w:val="00130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7"/>
    <w:qFormat/>
    <w:rsid w:val="00A75686"/>
    <w:pPr>
      <w:spacing w:before="240" w:after="300"/>
      <w:jc w:val="left"/>
    </w:pPr>
    <w:rPr>
      <w:rFonts w:asciiTheme="minorHAnsi" w:eastAsiaTheme="majorEastAsia" w:hAnsiTheme="minorHAnsi" w:cstheme="minorHAnsi"/>
      <w:b/>
      <w:bCs/>
      <w:caps/>
      <w:color w:val="1F497D" w:themeColor="text2"/>
      <w:spacing w:val="5"/>
      <w:kern w:val="28"/>
      <w:sz w:val="72"/>
      <w:szCs w:val="56"/>
    </w:rPr>
  </w:style>
  <w:style w:type="character" w:customStyle="1" w:styleId="TitleChar">
    <w:name w:val="Title Char"/>
    <w:basedOn w:val="DefaultParagraphFont"/>
    <w:link w:val="Title"/>
    <w:uiPriority w:val="7"/>
    <w:locked/>
    <w:rsid w:val="00A75686"/>
    <w:rPr>
      <w:rFonts w:eastAsiaTheme="majorEastAsia" w:cstheme="minorHAnsi"/>
      <w:b/>
      <w:bCs/>
      <w:caps/>
      <w:color w:val="1F497D" w:themeColor="text2"/>
      <w:spacing w:val="5"/>
      <w:kern w:val="28"/>
      <w:sz w:val="72"/>
      <w:szCs w:val="56"/>
      <w:lang w:eastAsia="en-US"/>
    </w:rPr>
  </w:style>
  <w:style w:type="paragraph" w:customStyle="1" w:styleId="bulletT2">
    <w:name w:val="bullet T2"/>
    <w:basedOn w:val="PB2"/>
    <w:link w:val="bulletT2Char"/>
    <w:uiPriority w:val="9"/>
    <w:qFormat/>
    <w:rsid w:val="001D3DB7"/>
    <w:pPr>
      <w:ind w:left="397" w:hanging="227"/>
    </w:pPr>
  </w:style>
  <w:style w:type="paragraph" w:styleId="Revision">
    <w:name w:val="Revision"/>
    <w:hidden/>
    <w:uiPriority w:val="99"/>
    <w:semiHidden/>
    <w:rsid w:val="002D6577"/>
    <w:rPr>
      <w:rFonts w:ascii="Arial" w:hAnsi="Arial" w:cs="Arial"/>
      <w:lang w:eastAsia="en-US"/>
    </w:rPr>
  </w:style>
  <w:style w:type="paragraph" w:customStyle="1" w:styleId="Table">
    <w:name w:val="Table"/>
    <w:basedOn w:val="Normal"/>
    <w:autoRedefine/>
    <w:semiHidden/>
    <w:qFormat/>
    <w:rsid w:val="00B10C05"/>
    <w:pPr>
      <w:framePr w:hSpace="181" w:wrap="around" w:vAnchor="text" w:hAnchor="margin" w:y="239"/>
    </w:pPr>
  </w:style>
  <w:style w:type="character" w:customStyle="1" w:styleId="bulletT2Char">
    <w:name w:val="bullet T2 Char"/>
    <w:basedOn w:val="PB2Char"/>
    <w:link w:val="bulletT2"/>
    <w:uiPriority w:val="9"/>
    <w:rsid w:val="00B95EBA"/>
    <w:rPr>
      <w:rFonts w:ascii="Calibri" w:hAnsi="Calibri" w:cs="Arial"/>
      <w:sz w:val="20"/>
      <w:szCs w:val="20"/>
      <w:lang w:eastAsia="en-US"/>
    </w:rPr>
  </w:style>
  <w:style w:type="paragraph" w:styleId="List">
    <w:name w:val="List"/>
    <w:aliases w:val="Numberlist 1"/>
    <w:basedOn w:val="Normal"/>
    <w:autoRedefine/>
    <w:semiHidden/>
    <w:qFormat/>
    <w:rsid w:val="00C43BEC"/>
    <w:pPr>
      <w:spacing w:before="120"/>
      <w:ind w:left="717" w:hanging="360"/>
    </w:pPr>
  </w:style>
  <w:style w:type="paragraph" w:styleId="ListBullet">
    <w:name w:val="List Bullet"/>
    <w:basedOn w:val="Normal"/>
    <w:uiPriority w:val="99"/>
    <w:semiHidden/>
    <w:rsid w:val="00C43BEC"/>
    <w:pPr>
      <w:numPr>
        <w:numId w:val="9"/>
      </w:numPr>
      <w:contextualSpacing/>
    </w:pPr>
  </w:style>
  <w:style w:type="numbering" w:customStyle="1" w:styleId="Style1">
    <w:name w:val="Style1"/>
    <w:rsid w:val="001F581B"/>
    <w:pPr>
      <w:numPr>
        <w:numId w:val="1"/>
      </w:numPr>
    </w:pPr>
  </w:style>
  <w:style w:type="character" w:customStyle="1" w:styleId="Heading4Char">
    <w:name w:val="Heading 4 Char"/>
    <w:basedOn w:val="DefaultParagraphFont"/>
    <w:link w:val="Heading4"/>
    <w:semiHidden/>
    <w:rsid w:val="0013059D"/>
    <w:rPr>
      <w:rFonts w:ascii="Arial" w:hAnsi="Arial" w:cs="Arial"/>
      <w:i/>
      <w:sz w:val="20"/>
      <w:szCs w:val="28"/>
      <w:lang w:eastAsia="en-US"/>
    </w:rPr>
  </w:style>
  <w:style w:type="paragraph" w:customStyle="1" w:styleId="Instructions">
    <w:name w:val="Instructions"/>
    <w:basedOn w:val="Normal"/>
    <w:link w:val="InstructionsChar"/>
    <w:uiPriority w:val="11"/>
    <w:qFormat/>
    <w:rsid w:val="00D244EF"/>
    <w:rPr>
      <w:i/>
      <w:iCs/>
      <w:color w:val="C00000"/>
    </w:rPr>
  </w:style>
  <w:style w:type="character" w:customStyle="1" w:styleId="InstructionsChar">
    <w:name w:val="Instructions Char"/>
    <w:basedOn w:val="DefaultParagraphFont"/>
    <w:link w:val="Instructions"/>
    <w:uiPriority w:val="11"/>
    <w:rsid w:val="00D244EF"/>
    <w:rPr>
      <w:rFonts w:ascii="Calibri" w:hAnsi="Calibri" w:cs="Arial"/>
      <w:i/>
      <w:iCs/>
      <w:color w:val="C00000"/>
      <w:sz w:val="20"/>
      <w:szCs w:val="20"/>
      <w:lang w:eastAsia="en-US"/>
    </w:rPr>
  </w:style>
  <w:style w:type="paragraph" w:customStyle="1" w:styleId="bullet2">
    <w:name w:val="bullet 2"/>
    <w:basedOn w:val="Normal"/>
    <w:link w:val="bullet2Char"/>
    <w:uiPriority w:val="4"/>
    <w:qFormat/>
    <w:rsid w:val="003A7897"/>
    <w:pPr>
      <w:numPr>
        <w:numId w:val="4"/>
      </w:numPr>
      <w:ind w:left="624" w:hanging="284"/>
    </w:pPr>
  </w:style>
  <w:style w:type="character" w:customStyle="1" w:styleId="bullet2Char">
    <w:name w:val="bullet 2 Char"/>
    <w:basedOn w:val="DefaultParagraphFont"/>
    <w:link w:val="bullet2"/>
    <w:uiPriority w:val="4"/>
    <w:locked/>
    <w:rsid w:val="00B95EBA"/>
    <w:rPr>
      <w:rFonts w:ascii="Calibri" w:hAnsi="Calibri" w:cs="Arial"/>
      <w:sz w:val="20"/>
      <w:szCs w:val="20"/>
      <w:lang w:eastAsia="en-US"/>
    </w:rPr>
  </w:style>
  <w:style w:type="paragraph" w:customStyle="1" w:styleId="bullet3">
    <w:name w:val="bullet 3"/>
    <w:basedOn w:val="Normal"/>
    <w:link w:val="bullet3Char"/>
    <w:uiPriority w:val="5"/>
    <w:qFormat/>
    <w:rsid w:val="003A7897"/>
    <w:pPr>
      <w:numPr>
        <w:numId w:val="5"/>
      </w:numPr>
      <w:ind w:left="908" w:hanging="284"/>
    </w:pPr>
  </w:style>
  <w:style w:type="character" w:customStyle="1" w:styleId="Heading5Char">
    <w:name w:val="Heading 5 Char"/>
    <w:basedOn w:val="DefaultParagraphFont"/>
    <w:link w:val="Heading5"/>
    <w:uiPriority w:val="9"/>
    <w:semiHidden/>
    <w:rsid w:val="00104D42"/>
    <w:rPr>
      <w:rFonts w:asciiTheme="majorHAnsi" w:eastAsiaTheme="majorEastAsia" w:hAnsiTheme="majorHAnsi" w:cstheme="majorBidi"/>
      <w:color w:val="243F60" w:themeColor="accent1" w:themeShade="7F"/>
      <w:sz w:val="20"/>
      <w:szCs w:val="20"/>
      <w:lang w:eastAsia="en-US"/>
    </w:rPr>
  </w:style>
  <w:style w:type="character" w:customStyle="1" w:styleId="Heading6Char">
    <w:name w:val="Heading 6 Char"/>
    <w:basedOn w:val="DefaultParagraphFont"/>
    <w:link w:val="Heading6"/>
    <w:uiPriority w:val="9"/>
    <w:semiHidden/>
    <w:rsid w:val="00104D42"/>
    <w:rPr>
      <w:rFonts w:asciiTheme="majorHAnsi" w:eastAsiaTheme="majorEastAsia" w:hAnsiTheme="majorHAnsi" w:cstheme="majorBidi"/>
      <w:i/>
      <w:iCs/>
      <w:color w:val="243F60" w:themeColor="accent1" w:themeShade="7F"/>
      <w:sz w:val="20"/>
      <w:szCs w:val="20"/>
      <w:lang w:eastAsia="en-US"/>
    </w:rPr>
  </w:style>
  <w:style w:type="paragraph" w:styleId="Quote">
    <w:name w:val="Quote"/>
    <w:basedOn w:val="Normal"/>
    <w:next w:val="Normal"/>
    <w:link w:val="QuoteChar"/>
    <w:uiPriority w:val="29"/>
    <w:semiHidden/>
    <w:qFormat/>
    <w:rsid w:val="00C43BEC"/>
    <w:rPr>
      <w:i/>
      <w:iCs/>
      <w:color w:val="000000" w:themeColor="text1"/>
    </w:rPr>
  </w:style>
  <w:style w:type="character" w:customStyle="1" w:styleId="QuoteChar">
    <w:name w:val="Quote Char"/>
    <w:basedOn w:val="DefaultParagraphFont"/>
    <w:link w:val="Quote"/>
    <w:uiPriority w:val="29"/>
    <w:semiHidden/>
    <w:rsid w:val="00104D42"/>
    <w:rPr>
      <w:rFonts w:ascii="Arial" w:hAnsi="Arial" w:cs="Arial"/>
      <w:i/>
      <w:iCs/>
      <w:color w:val="000000" w:themeColor="text1"/>
      <w:sz w:val="20"/>
      <w:szCs w:val="20"/>
      <w:lang w:eastAsia="en-US"/>
    </w:rPr>
  </w:style>
  <w:style w:type="paragraph" w:customStyle="1" w:styleId="SOPreference">
    <w:name w:val="SOP reference"/>
    <w:basedOn w:val="Normal"/>
    <w:uiPriority w:val="99"/>
    <w:semiHidden/>
    <w:rsid w:val="00C43BEC"/>
    <w:rPr>
      <w:color w:val="0000FF"/>
    </w:rPr>
  </w:style>
  <w:style w:type="paragraph" w:customStyle="1" w:styleId="StyleBoldDarkBlueCentered">
    <w:name w:val="Style Bold Dark Blue Centered"/>
    <w:basedOn w:val="Normal"/>
    <w:semiHidden/>
    <w:rsid w:val="00C43BEC"/>
    <w:pPr>
      <w:spacing w:before="40" w:after="40"/>
      <w:jc w:val="center"/>
    </w:pPr>
    <w:rPr>
      <w:b/>
      <w:bCs/>
      <w:color w:val="000080"/>
    </w:rPr>
  </w:style>
  <w:style w:type="paragraph" w:customStyle="1" w:styleId="StyleBoldDarkRedCentered">
    <w:name w:val="Style Bold Dark Red Centered"/>
    <w:basedOn w:val="Normal"/>
    <w:semiHidden/>
    <w:rsid w:val="00C43BEC"/>
    <w:pPr>
      <w:spacing w:before="40" w:after="40"/>
      <w:jc w:val="center"/>
    </w:pPr>
    <w:rPr>
      <w:b/>
      <w:bCs/>
      <w:color w:val="632423" w:themeColor="accent2" w:themeShade="80"/>
    </w:rPr>
  </w:style>
  <w:style w:type="paragraph" w:customStyle="1" w:styleId="StyleDarkBlueCentered">
    <w:name w:val="Style Dark Blue Centered"/>
    <w:basedOn w:val="Normal"/>
    <w:semiHidden/>
    <w:rsid w:val="00C43BEC"/>
    <w:pPr>
      <w:spacing w:before="40" w:after="40"/>
      <w:jc w:val="center"/>
    </w:pPr>
    <w:rPr>
      <w:color w:val="000080"/>
    </w:rPr>
  </w:style>
  <w:style w:type="paragraph" w:customStyle="1" w:styleId="StyleDarkRedCentered">
    <w:name w:val="Style Dark Red Centered"/>
    <w:basedOn w:val="Normal"/>
    <w:semiHidden/>
    <w:rsid w:val="00C43BEC"/>
    <w:pPr>
      <w:spacing w:before="40" w:after="40"/>
      <w:jc w:val="center"/>
    </w:pPr>
    <w:rPr>
      <w:color w:val="632423" w:themeColor="accent2" w:themeShade="80"/>
    </w:rPr>
  </w:style>
  <w:style w:type="paragraph" w:customStyle="1" w:styleId="Header-QCDs">
    <w:name w:val="Header - QCDs"/>
    <w:basedOn w:val="Header"/>
    <w:uiPriority w:val="19"/>
    <w:rsid w:val="006E32A4"/>
    <w:pPr>
      <w:jc w:val="right"/>
    </w:pPr>
  </w:style>
  <w:style w:type="paragraph" w:customStyle="1" w:styleId="Docref">
    <w:name w:val="Doc ref"/>
    <w:basedOn w:val="Instructions"/>
    <w:next w:val="Normal"/>
    <w:link w:val="DocrefChar"/>
    <w:uiPriority w:val="5"/>
    <w:qFormat/>
    <w:rsid w:val="00410682"/>
    <w:rPr>
      <w:i w:val="0"/>
      <w:color w:val="1F497D" w:themeColor="text2"/>
    </w:rPr>
  </w:style>
  <w:style w:type="character" w:customStyle="1" w:styleId="DocrefChar">
    <w:name w:val="Doc ref Char"/>
    <w:basedOn w:val="InstructionsChar"/>
    <w:link w:val="Docref"/>
    <w:uiPriority w:val="5"/>
    <w:rsid w:val="00B95EBA"/>
    <w:rPr>
      <w:rFonts w:ascii="Calibri" w:hAnsi="Calibri" w:cs="Arial"/>
      <w:i w:val="0"/>
      <w:iCs/>
      <w:color w:val="1F497D" w:themeColor="text2"/>
      <w:sz w:val="20"/>
      <w:szCs w:val="20"/>
      <w:lang w:eastAsia="en-US"/>
    </w:rPr>
  </w:style>
  <w:style w:type="character" w:customStyle="1" w:styleId="bulletT1Char">
    <w:name w:val="bullet T1 Char"/>
    <w:basedOn w:val="DefaultParagraphFont"/>
    <w:link w:val="bulletT1"/>
    <w:uiPriority w:val="9"/>
    <w:locked/>
    <w:rsid w:val="00B95EBA"/>
    <w:rPr>
      <w:rFonts w:ascii="Calibri" w:hAnsi="Calibri" w:cs="Arial"/>
      <w:sz w:val="20"/>
      <w:szCs w:val="20"/>
      <w:lang w:eastAsia="en-US"/>
    </w:rPr>
  </w:style>
  <w:style w:type="character" w:styleId="Hyperlink">
    <w:name w:val="Hyperlink"/>
    <w:basedOn w:val="DefaultParagraphFont"/>
    <w:uiPriority w:val="99"/>
    <w:rsid w:val="00692DFA"/>
    <w:rPr>
      <w:color w:val="0000FF"/>
      <w:u w:val="single"/>
    </w:rPr>
  </w:style>
  <w:style w:type="paragraph" w:customStyle="1" w:styleId="Bullet1">
    <w:name w:val="Bullet 1"/>
    <w:basedOn w:val="Normal"/>
    <w:link w:val="Bullet1Char"/>
    <w:uiPriority w:val="19"/>
    <w:rsid w:val="00475745"/>
    <w:pPr>
      <w:ind w:left="340" w:hanging="340"/>
    </w:pPr>
  </w:style>
  <w:style w:type="character" w:customStyle="1" w:styleId="Bullet1Char">
    <w:name w:val="Bullet 1 Char"/>
    <w:basedOn w:val="DefaultParagraphFont"/>
    <w:link w:val="Bullet1"/>
    <w:uiPriority w:val="19"/>
    <w:rsid w:val="00475745"/>
    <w:rPr>
      <w:rFonts w:ascii="Calibri" w:hAnsi="Calibri" w:cs="Arial"/>
      <w:sz w:val="20"/>
      <w:szCs w:val="20"/>
      <w:lang w:eastAsia="en-US"/>
    </w:rPr>
  </w:style>
  <w:style w:type="paragraph" w:customStyle="1" w:styleId="Numberlist">
    <w:name w:val="Numberlist"/>
    <w:basedOn w:val="Normal"/>
    <w:uiPriority w:val="1"/>
    <w:qFormat/>
    <w:rsid w:val="003A7897"/>
    <w:pPr>
      <w:numPr>
        <w:numId w:val="16"/>
      </w:numPr>
      <w:ind w:left="340" w:hanging="340"/>
    </w:p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rFonts w:ascii="Calibri" w:hAnsi="Calibri" w:cs="Arial"/>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1165B"/>
    <w:rPr>
      <w:b/>
      <w:bCs/>
    </w:rPr>
  </w:style>
  <w:style w:type="character" w:customStyle="1" w:styleId="CommentSubjectChar">
    <w:name w:val="Comment Subject Char"/>
    <w:basedOn w:val="CommentTextChar"/>
    <w:link w:val="CommentSubject"/>
    <w:uiPriority w:val="99"/>
    <w:semiHidden/>
    <w:rsid w:val="0021165B"/>
    <w:rPr>
      <w:rFonts w:ascii="Calibri" w:hAnsi="Calibri" w:cs="Arial"/>
      <w:b/>
      <w:bCs/>
      <w:sz w:val="20"/>
      <w:szCs w:val="20"/>
      <w:lang w:eastAsia="en-US"/>
    </w:rPr>
  </w:style>
  <w:style w:type="character" w:styleId="FollowedHyperlink">
    <w:name w:val="FollowedHyperlink"/>
    <w:basedOn w:val="DefaultParagraphFont"/>
    <w:semiHidden/>
    <w:unhideWhenUsed/>
    <w:rsid w:val="00043513"/>
    <w:rPr>
      <w:color w:val="800080" w:themeColor="followedHyperlink"/>
      <w:u w:val="single"/>
    </w:rPr>
  </w:style>
  <w:style w:type="paragraph" w:customStyle="1" w:styleId="Bold">
    <w:name w:val="Bold"/>
    <w:basedOn w:val="Normal"/>
    <w:uiPriority w:val="18"/>
    <w:rsid w:val="00F013DE"/>
    <w:rPr>
      <w:b/>
    </w:rPr>
  </w:style>
  <w:style w:type="character" w:styleId="UnresolvedMention">
    <w:name w:val="Unresolved Mention"/>
    <w:basedOn w:val="DefaultParagraphFont"/>
    <w:uiPriority w:val="99"/>
    <w:unhideWhenUsed/>
    <w:rsid w:val="00396CD2"/>
    <w:rPr>
      <w:color w:val="605E5C"/>
      <w:shd w:val="clear" w:color="auto" w:fill="E1DFDD"/>
    </w:rPr>
  </w:style>
  <w:style w:type="paragraph" w:styleId="ListParagraph">
    <w:name w:val="List Paragraph"/>
    <w:basedOn w:val="Normal"/>
    <w:link w:val="ListParagraphChar"/>
    <w:uiPriority w:val="34"/>
    <w:rsid w:val="007E625E"/>
    <w:pPr>
      <w:ind w:left="720"/>
      <w:contextualSpacing/>
    </w:pPr>
  </w:style>
  <w:style w:type="paragraph" w:styleId="TOCHeading">
    <w:name w:val="TOC Heading"/>
    <w:basedOn w:val="Heading1"/>
    <w:next w:val="Normal"/>
    <w:uiPriority w:val="39"/>
    <w:unhideWhenUsed/>
    <w:rsid w:val="000317D8"/>
    <w:pPr>
      <w:keepLines/>
      <w:spacing w:after="0" w:line="259" w:lineRule="auto"/>
      <w:outlineLvl w:val="9"/>
    </w:pPr>
    <w:rPr>
      <w:rFonts w:asciiTheme="majorHAnsi" w:eastAsiaTheme="majorEastAsia" w:hAnsiTheme="majorHAnsi" w:cstheme="majorBidi"/>
      <w:b w:val="0"/>
      <w:caps w:val="0"/>
      <w:color w:val="365F91" w:themeColor="accent1" w:themeShade="BF"/>
      <w:kern w:val="0"/>
      <w:sz w:val="32"/>
      <w:szCs w:val="32"/>
      <w:lang w:val="en-US"/>
    </w:rPr>
  </w:style>
  <w:style w:type="paragraph" w:styleId="TOC1">
    <w:name w:val="toc 1"/>
    <w:basedOn w:val="Normal"/>
    <w:next w:val="Normal"/>
    <w:autoRedefine/>
    <w:uiPriority w:val="39"/>
    <w:unhideWhenUsed/>
    <w:locked/>
    <w:rsid w:val="003E6162"/>
    <w:pPr>
      <w:tabs>
        <w:tab w:val="right" w:leader="dot" w:pos="9017"/>
      </w:tabs>
      <w:spacing w:after="100"/>
    </w:pPr>
    <w:rPr>
      <w:b/>
      <w:bCs/>
      <w:noProof/>
    </w:rPr>
  </w:style>
  <w:style w:type="paragraph" w:styleId="TOC2">
    <w:name w:val="toc 2"/>
    <w:basedOn w:val="Normal"/>
    <w:next w:val="Normal"/>
    <w:autoRedefine/>
    <w:uiPriority w:val="39"/>
    <w:unhideWhenUsed/>
    <w:locked/>
    <w:rsid w:val="00FA2034"/>
    <w:pPr>
      <w:tabs>
        <w:tab w:val="left" w:pos="426"/>
        <w:tab w:val="right" w:leader="dot" w:pos="9017"/>
      </w:tabs>
      <w:spacing w:after="100"/>
      <w:ind w:left="142"/>
    </w:pPr>
  </w:style>
  <w:style w:type="paragraph" w:styleId="TOC3">
    <w:name w:val="toc 3"/>
    <w:basedOn w:val="Normal"/>
    <w:next w:val="Normal"/>
    <w:autoRedefine/>
    <w:uiPriority w:val="39"/>
    <w:unhideWhenUsed/>
    <w:locked/>
    <w:rsid w:val="00FA2034"/>
    <w:pPr>
      <w:tabs>
        <w:tab w:val="right" w:leader="dot" w:pos="9017"/>
      </w:tabs>
      <w:spacing w:after="100"/>
      <w:ind w:left="567"/>
    </w:pPr>
  </w:style>
  <w:style w:type="paragraph" w:customStyle="1" w:styleId="bullet10">
    <w:name w:val="bullet 1"/>
    <w:basedOn w:val="bulletT1"/>
    <w:link w:val="bullet1Char0"/>
    <w:uiPriority w:val="3"/>
    <w:qFormat/>
    <w:rsid w:val="003A7897"/>
    <w:pPr>
      <w:ind w:left="341" w:hanging="284"/>
    </w:pPr>
  </w:style>
  <w:style w:type="character" w:customStyle="1" w:styleId="bullet1Char0">
    <w:name w:val="bullet 1 Char"/>
    <w:basedOn w:val="bulletT1Char"/>
    <w:link w:val="bullet10"/>
    <w:uiPriority w:val="3"/>
    <w:rsid w:val="00B95EBA"/>
    <w:rPr>
      <w:rFonts w:ascii="Calibri" w:hAnsi="Calibri" w:cs="Arial"/>
      <w:sz w:val="20"/>
      <w:szCs w:val="20"/>
      <w:lang w:eastAsia="en-US"/>
    </w:rPr>
  </w:style>
  <w:style w:type="paragraph" w:customStyle="1" w:styleId="PN11">
    <w:name w:val="PN1.1"/>
    <w:basedOn w:val="ListParagraph"/>
    <w:link w:val="PN11Char"/>
    <w:uiPriority w:val="1"/>
    <w:qFormat/>
    <w:rsid w:val="00B370FD"/>
    <w:pPr>
      <w:numPr>
        <w:ilvl w:val="1"/>
        <w:numId w:val="29"/>
      </w:numPr>
      <w:ind w:left="567" w:hanging="567"/>
      <w:contextualSpacing w:val="0"/>
    </w:pPr>
  </w:style>
  <w:style w:type="character" w:customStyle="1" w:styleId="ListParagraphChar">
    <w:name w:val="List Paragraph Char"/>
    <w:basedOn w:val="DefaultParagraphFont"/>
    <w:link w:val="ListParagraph"/>
    <w:uiPriority w:val="34"/>
    <w:rsid w:val="00C62D7F"/>
    <w:rPr>
      <w:rFonts w:ascii="Calibri" w:hAnsi="Calibri" w:cs="Arial"/>
      <w:sz w:val="20"/>
      <w:szCs w:val="20"/>
      <w:lang w:eastAsia="en-US"/>
    </w:rPr>
  </w:style>
  <w:style w:type="character" w:customStyle="1" w:styleId="PN11Char">
    <w:name w:val="PN1.1 Char"/>
    <w:basedOn w:val="ListParagraphChar"/>
    <w:link w:val="PN11"/>
    <w:uiPriority w:val="1"/>
    <w:rsid w:val="001D3DB7"/>
    <w:rPr>
      <w:rFonts w:ascii="Calibri" w:hAnsi="Calibri" w:cs="Arial"/>
      <w:sz w:val="20"/>
      <w:szCs w:val="20"/>
      <w:lang w:eastAsia="en-US"/>
    </w:rPr>
  </w:style>
  <w:style w:type="paragraph" w:customStyle="1" w:styleId="PN1">
    <w:name w:val="PN1"/>
    <w:basedOn w:val="Heading2"/>
    <w:link w:val="PN1Char"/>
    <w:uiPriority w:val="1"/>
    <w:qFormat/>
    <w:rsid w:val="00FA2034"/>
    <w:pPr>
      <w:numPr>
        <w:numId w:val="29"/>
      </w:numPr>
    </w:pPr>
  </w:style>
  <w:style w:type="character" w:customStyle="1" w:styleId="PN1Char">
    <w:name w:val="PN1 Char"/>
    <w:basedOn w:val="Heading2Char"/>
    <w:link w:val="PN1"/>
    <w:uiPriority w:val="1"/>
    <w:rsid w:val="001D3DB7"/>
    <w:rPr>
      <w:rFonts w:eastAsiaTheme="minorHAnsi" w:cstheme="minorHAnsi"/>
      <w:bCs/>
      <w:iCs/>
      <w:caps/>
      <w:color w:val="1F497D" w:themeColor="text2"/>
      <w:sz w:val="24"/>
      <w:szCs w:val="24"/>
      <w:lang w:eastAsia="en-US"/>
    </w:rPr>
  </w:style>
  <w:style w:type="paragraph" w:customStyle="1" w:styleId="PB1">
    <w:name w:val="PB1"/>
    <w:basedOn w:val="bullet10"/>
    <w:link w:val="PB1Char"/>
    <w:uiPriority w:val="4"/>
    <w:qFormat/>
    <w:rsid w:val="003A7897"/>
    <w:pPr>
      <w:ind w:left="851"/>
    </w:pPr>
  </w:style>
  <w:style w:type="character" w:customStyle="1" w:styleId="PB1Char">
    <w:name w:val="PB1 Char"/>
    <w:basedOn w:val="bullet2Char"/>
    <w:link w:val="PB1"/>
    <w:uiPriority w:val="4"/>
    <w:rsid w:val="003A7897"/>
    <w:rPr>
      <w:rFonts w:ascii="Calibri" w:hAnsi="Calibri" w:cs="Arial"/>
      <w:sz w:val="20"/>
      <w:szCs w:val="20"/>
      <w:lang w:eastAsia="en-US"/>
    </w:rPr>
  </w:style>
  <w:style w:type="paragraph" w:customStyle="1" w:styleId="PB2">
    <w:name w:val="PB2"/>
    <w:basedOn w:val="bullet2"/>
    <w:link w:val="PB2Char"/>
    <w:uiPriority w:val="4"/>
    <w:qFormat/>
    <w:rsid w:val="007C400B"/>
    <w:pPr>
      <w:ind w:left="1135"/>
    </w:pPr>
  </w:style>
  <w:style w:type="character" w:customStyle="1" w:styleId="bullet3Char">
    <w:name w:val="bullet 3 Char"/>
    <w:basedOn w:val="DefaultParagraphFont"/>
    <w:link w:val="bullet3"/>
    <w:uiPriority w:val="6"/>
    <w:rsid w:val="00B95EBA"/>
    <w:rPr>
      <w:rFonts w:ascii="Calibri" w:hAnsi="Calibri" w:cs="Arial"/>
      <w:sz w:val="20"/>
      <w:szCs w:val="20"/>
      <w:lang w:eastAsia="en-US"/>
    </w:rPr>
  </w:style>
  <w:style w:type="character" w:customStyle="1" w:styleId="PB2Char">
    <w:name w:val="PB2 Char"/>
    <w:basedOn w:val="bullet3Char"/>
    <w:link w:val="PB2"/>
    <w:uiPriority w:val="4"/>
    <w:rsid w:val="001D3DB7"/>
    <w:rPr>
      <w:rFonts w:ascii="Calibri" w:hAnsi="Calibri" w:cs="Arial"/>
      <w:sz w:val="20"/>
      <w:szCs w:val="20"/>
      <w:lang w:eastAsia="en-US"/>
    </w:rPr>
  </w:style>
  <w:style w:type="paragraph" w:customStyle="1" w:styleId="PB3">
    <w:name w:val="PB3"/>
    <w:basedOn w:val="bullet3"/>
    <w:link w:val="PB3Char"/>
    <w:uiPriority w:val="4"/>
    <w:qFormat/>
    <w:rsid w:val="007C400B"/>
    <w:pPr>
      <w:ind w:left="1418"/>
    </w:pPr>
  </w:style>
  <w:style w:type="character" w:customStyle="1" w:styleId="PB3Char">
    <w:name w:val="PB3 Char"/>
    <w:basedOn w:val="bullet3Char"/>
    <w:link w:val="PB3"/>
    <w:uiPriority w:val="4"/>
    <w:rsid w:val="001D3DB7"/>
    <w:rPr>
      <w:rFonts w:ascii="Calibri" w:hAnsi="Calibri" w:cs="Arial"/>
      <w:sz w:val="20"/>
      <w:szCs w:val="20"/>
      <w:lang w:eastAsia="en-US"/>
    </w:rPr>
  </w:style>
  <w:style w:type="paragraph" w:customStyle="1" w:styleId="Contributorstabletext">
    <w:name w:val="Contributors table text"/>
    <w:basedOn w:val="Normal"/>
    <w:link w:val="ContributorstabletextChar"/>
    <w:uiPriority w:val="8"/>
    <w:qFormat/>
    <w:rsid w:val="00A5347A"/>
    <w:pPr>
      <w:spacing w:before="120" w:after="120"/>
    </w:pPr>
  </w:style>
  <w:style w:type="character" w:customStyle="1" w:styleId="ContributorstabletextChar">
    <w:name w:val="Contributors table text Char"/>
    <w:basedOn w:val="DefaultParagraphFont"/>
    <w:link w:val="Contributorstabletext"/>
    <w:uiPriority w:val="8"/>
    <w:rsid w:val="00B95EBA"/>
    <w:rPr>
      <w:rFonts w:ascii="Calibri" w:hAnsi="Calibri" w:cs="Arial"/>
      <w:sz w:val="20"/>
      <w:szCs w:val="20"/>
      <w:lang w:eastAsia="en-US"/>
    </w:rPr>
  </w:style>
  <w:style w:type="paragraph" w:customStyle="1" w:styleId="References">
    <w:name w:val="References"/>
    <w:basedOn w:val="Normal"/>
    <w:link w:val="ReferencesChar"/>
    <w:uiPriority w:val="5"/>
    <w:qFormat/>
    <w:rsid w:val="00A5347A"/>
    <w:pPr>
      <w:spacing w:after="120"/>
      <w:ind w:left="142" w:hanging="142"/>
      <w:jc w:val="left"/>
    </w:pPr>
  </w:style>
  <w:style w:type="character" w:customStyle="1" w:styleId="ReferencesChar">
    <w:name w:val="References Char"/>
    <w:basedOn w:val="DefaultParagraphFont"/>
    <w:link w:val="References"/>
    <w:uiPriority w:val="5"/>
    <w:rsid w:val="00B95EBA"/>
    <w:rPr>
      <w:rFonts w:ascii="Calibri" w:hAnsi="Calibri" w:cs="Arial"/>
      <w:sz w:val="20"/>
      <w:szCs w:val="20"/>
      <w:lang w:eastAsia="en-US"/>
    </w:rPr>
  </w:style>
  <w:style w:type="character" w:customStyle="1" w:styleId="BTable2Char">
    <w:name w:val="B.Table.2 Char"/>
    <w:basedOn w:val="bullet2Char"/>
    <w:uiPriority w:val="99"/>
    <w:rsid w:val="00A5347A"/>
    <w:rPr>
      <w:rFonts w:ascii="Calibri" w:hAnsi="Calibri" w:cs="Arial"/>
      <w:sz w:val="20"/>
      <w:szCs w:val="20"/>
      <w:lang w:eastAsia="en-US"/>
    </w:rPr>
  </w:style>
  <w:style w:type="paragraph" w:customStyle="1" w:styleId="bulletT3">
    <w:name w:val="bullet T3"/>
    <w:basedOn w:val="bullet3"/>
    <w:link w:val="bulletT3Char"/>
    <w:uiPriority w:val="9"/>
    <w:qFormat/>
    <w:rsid w:val="00A5347A"/>
    <w:pPr>
      <w:ind w:left="624" w:hanging="227"/>
    </w:pPr>
  </w:style>
  <w:style w:type="character" w:customStyle="1" w:styleId="bulletT3Char">
    <w:name w:val="bullet T3 Char"/>
    <w:basedOn w:val="bullet3Char"/>
    <w:link w:val="bulletT3"/>
    <w:uiPriority w:val="9"/>
    <w:rsid w:val="00B95EBA"/>
    <w:rPr>
      <w:rFonts w:ascii="Calibri" w:hAnsi="Calibri" w:cs="Arial"/>
      <w:sz w:val="20"/>
      <w:szCs w:val="20"/>
      <w:lang w:eastAsia="en-US"/>
    </w:rPr>
  </w:style>
  <w:style w:type="paragraph" w:customStyle="1" w:styleId="Sectionref">
    <w:name w:val="Section ref"/>
    <w:basedOn w:val="Docref"/>
    <w:link w:val="SectionrefChar"/>
    <w:uiPriority w:val="5"/>
    <w:qFormat/>
    <w:rsid w:val="004827DE"/>
    <w:rPr>
      <w:u w:val="single"/>
    </w:rPr>
  </w:style>
  <w:style w:type="character" w:customStyle="1" w:styleId="SectionrefChar">
    <w:name w:val="Section ref Char"/>
    <w:basedOn w:val="DocrefChar"/>
    <w:link w:val="Sectionref"/>
    <w:uiPriority w:val="5"/>
    <w:rsid w:val="00B95EBA"/>
    <w:rPr>
      <w:rFonts w:ascii="Calibri" w:hAnsi="Calibri" w:cs="Arial"/>
      <w:i w:val="0"/>
      <w:iCs/>
      <w:color w:val="1F497D" w:themeColor="text2"/>
      <w:sz w:val="20"/>
      <w:szCs w:val="20"/>
      <w:u w:val="single"/>
      <w:lang w:eastAsia="en-US"/>
    </w:rPr>
  </w:style>
  <w:style w:type="numbering" w:customStyle="1" w:styleId="Style2">
    <w:name w:val="Style2"/>
    <w:uiPriority w:val="99"/>
    <w:rsid w:val="005B2E43"/>
    <w:pPr>
      <w:numPr>
        <w:numId w:val="39"/>
      </w:numPr>
    </w:pPr>
  </w:style>
  <w:style w:type="paragraph" w:customStyle="1" w:styleId="propertystatement">
    <w:name w:val="property statement"/>
    <w:basedOn w:val="Normal"/>
    <w:uiPriority w:val="14"/>
    <w:qFormat/>
    <w:rsid w:val="00EE4201"/>
    <w:pPr>
      <w:jc w:val="center"/>
    </w:pPr>
    <w:rPr>
      <w:color w:val="7F7F7F" w:themeColor="text1" w:themeTint="80"/>
      <w:sz w:val="18"/>
      <w:szCs w:val="18"/>
    </w:rPr>
  </w:style>
  <w:style w:type="paragraph" w:customStyle="1" w:styleId="AbbreviationsDefinitionsTerm">
    <w:name w:val="Abbreviations &amp; Definitions 'Term'"/>
    <w:link w:val="AbbreviationsDefinitionsTermChar"/>
    <w:uiPriority w:val="14"/>
    <w:qFormat/>
    <w:rsid w:val="0089080A"/>
    <w:pPr>
      <w:spacing w:before="60" w:after="60" w:line="240" w:lineRule="auto"/>
    </w:pPr>
    <w:rPr>
      <w:rFonts w:ascii="Calibri" w:hAnsi="Calibri" w:cs="Tahoma"/>
      <w:b/>
      <w:bCs/>
      <w:color w:val="000000" w:themeColor="text1"/>
      <w:spacing w:val="5"/>
      <w:kern w:val="28"/>
      <w:sz w:val="20"/>
      <w:szCs w:val="26"/>
      <w:lang w:eastAsia="en-US"/>
    </w:rPr>
  </w:style>
  <w:style w:type="character" w:customStyle="1" w:styleId="AbbreviationsDefinitionsTermChar">
    <w:name w:val="Abbreviations &amp; Definitions 'Term' Char"/>
    <w:basedOn w:val="DefaultParagraphFont"/>
    <w:link w:val="AbbreviationsDefinitionsTerm"/>
    <w:uiPriority w:val="14"/>
    <w:rsid w:val="0089080A"/>
    <w:rPr>
      <w:rFonts w:ascii="Calibri" w:hAnsi="Calibri" w:cs="Tahoma"/>
      <w:b/>
      <w:bCs/>
      <w:color w:val="000000" w:themeColor="text1"/>
      <w:spacing w:val="5"/>
      <w:kern w:val="28"/>
      <w:sz w:val="20"/>
      <w:szCs w:val="26"/>
      <w:lang w:eastAsia="en-US"/>
    </w:rPr>
  </w:style>
  <w:style w:type="paragraph" w:customStyle="1" w:styleId="ReferencestootherSOPsQCDs">
    <w:name w:val="References to other SOPs/QCDs"/>
    <w:basedOn w:val="Instructions"/>
    <w:next w:val="Normal"/>
    <w:link w:val="ReferencestootherSOPsQCDsChar"/>
    <w:qFormat/>
    <w:pPr>
      <w:jc w:val="left"/>
    </w:pPr>
    <w:rPr>
      <w:color w:val="943634"/>
    </w:rPr>
  </w:style>
  <w:style w:type="character" w:customStyle="1" w:styleId="ReferencestootherSOPsQCDsChar">
    <w:name w:val="References to other SOPs/QCDs Char"/>
    <w:basedOn w:val="InstructionsChar"/>
    <w:link w:val="ReferencestootherSOPsQCDs"/>
    <w:rPr>
      <w:rFonts w:ascii="Calibri" w:hAnsi="Calibri" w:cs="Arial"/>
      <w:i/>
      <w:iCs/>
      <w:color w:val="943634"/>
      <w:sz w:val="20"/>
      <w:szCs w:val="20"/>
      <w:lang w:eastAsia="en-US"/>
    </w:rPr>
  </w:style>
  <w:style w:type="character" w:styleId="Mention">
    <w:name w:val="Mention"/>
    <w:basedOn w:val="DefaultParagraphFont"/>
    <w:uiPriority w:val="99"/>
    <w:unhideWhenUsed/>
    <w:rsid w:val="00661BE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91821">
      <w:bodyDiv w:val="1"/>
      <w:marLeft w:val="0"/>
      <w:marRight w:val="0"/>
      <w:marTop w:val="0"/>
      <w:marBottom w:val="0"/>
      <w:divBdr>
        <w:top w:val="none" w:sz="0" w:space="0" w:color="auto"/>
        <w:left w:val="none" w:sz="0" w:space="0" w:color="auto"/>
        <w:bottom w:val="none" w:sz="0" w:space="0" w:color="auto"/>
        <w:right w:val="none" w:sz="0" w:space="0" w:color="auto"/>
      </w:divBdr>
    </w:div>
    <w:div w:id="593635293">
      <w:bodyDiv w:val="1"/>
      <w:marLeft w:val="0"/>
      <w:marRight w:val="0"/>
      <w:marTop w:val="0"/>
      <w:marBottom w:val="0"/>
      <w:divBdr>
        <w:top w:val="none" w:sz="0" w:space="0" w:color="auto"/>
        <w:left w:val="none" w:sz="0" w:space="0" w:color="auto"/>
        <w:bottom w:val="none" w:sz="0" w:space="0" w:color="auto"/>
        <w:right w:val="none" w:sz="0" w:space="0" w:color="auto"/>
      </w:divBdr>
    </w:div>
    <w:div w:id="720635838">
      <w:bodyDiv w:val="1"/>
      <w:marLeft w:val="0"/>
      <w:marRight w:val="0"/>
      <w:marTop w:val="0"/>
      <w:marBottom w:val="0"/>
      <w:divBdr>
        <w:top w:val="none" w:sz="0" w:space="0" w:color="auto"/>
        <w:left w:val="none" w:sz="0" w:space="0" w:color="auto"/>
        <w:bottom w:val="none" w:sz="0" w:space="0" w:color="auto"/>
        <w:right w:val="none" w:sz="0" w:space="0" w:color="auto"/>
      </w:divBdr>
    </w:div>
    <w:div w:id="1076517569">
      <w:bodyDiv w:val="1"/>
      <w:marLeft w:val="0"/>
      <w:marRight w:val="0"/>
      <w:marTop w:val="0"/>
      <w:marBottom w:val="0"/>
      <w:divBdr>
        <w:top w:val="none" w:sz="0" w:space="0" w:color="auto"/>
        <w:left w:val="none" w:sz="0" w:space="0" w:color="auto"/>
        <w:bottom w:val="none" w:sz="0" w:space="0" w:color="auto"/>
        <w:right w:val="none" w:sz="0" w:space="0" w:color="auto"/>
      </w:divBdr>
    </w:div>
    <w:div w:id="1128280163">
      <w:bodyDiv w:val="1"/>
      <w:marLeft w:val="0"/>
      <w:marRight w:val="0"/>
      <w:marTop w:val="0"/>
      <w:marBottom w:val="0"/>
      <w:divBdr>
        <w:top w:val="none" w:sz="0" w:space="0" w:color="auto"/>
        <w:left w:val="none" w:sz="0" w:space="0" w:color="auto"/>
        <w:bottom w:val="none" w:sz="0" w:space="0" w:color="auto"/>
        <w:right w:val="none" w:sz="0" w:space="0" w:color="auto"/>
      </w:divBdr>
    </w:div>
    <w:div w:id="1289703582">
      <w:marLeft w:val="0"/>
      <w:marRight w:val="0"/>
      <w:marTop w:val="0"/>
      <w:marBottom w:val="0"/>
      <w:divBdr>
        <w:top w:val="none" w:sz="0" w:space="0" w:color="auto"/>
        <w:left w:val="none" w:sz="0" w:space="0" w:color="auto"/>
        <w:bottom w:val="none" w:sz="0" w:space="0" w:color="auto"/>
        <w:right w:val="none" w:sz="0" w:space="0" w:color="auto"/>
      </w:divBdr>
    </w:div>
    <w:div w:id="1289703583">
      <w:marLeft w:val="0"/>
      <w:marRight w:val="0"/>
      <w:marTop w:val="0"/>
      <w:marBottom w:val="0"/>
      <w:divBdr>
        <w:top w:val="none" w:sz="0" w:space="0" w:color="auto"/>
        <w:left w:val="none" w:sz="0" w:space="0" w:color="auto"/>
        <w:bottom w:val="none" w:sz="0" w:space="0" w:color="auto"/>
        <w:right w:val="none" w:sz="0" w:space="0" w:color="auto"/>
      </w:divBdr>
    </w:div>
    <w:div w:id="1289703584">
      <w:marLeft w:val="0"/>
      <w:marRight w:val="0"/>
      <w:marTop w:val="0"/>
      <w:marBottom w:val="0"/>
      <w:divBdr>
        <w:top w:val="none" w:sz="0" w:space="0" w:color="auto"/>
        <w:left w:val="none" w:sz="0" w:space="0" w:color="auto"/>
        <w:bottom w:val="none" w:sz="0" w:space="0" w:color="auto"/>
        <w:right w:val="none" w:sz="0" w:space="0" w:color="auto"/>
      </w:divBdr>
    </w:div>
    <w:div w:id="1289703587">
      <w:marLeft w:val="0"/>
      <w:marRight w:val="0"/>
      <w:marTop w:val="0"/>
      <w:marBottom w:val="0"/>
      <w:divBdr>
        <w:top w:val="none" w:sz="0" w:space="0" w:color="auto"/>
        <w:left w:val="none" w:sz="0" w:space="0" w:color="auto"/>
        <w:bottom w:val="none" w:sz="0" w:space="0" w:color="auto"/>
        <w:right w:val="none" w:sz="0" w:space="0" w:color="auto"/>
      </w:divBdr>
    </w:div>
    <w:div w:id="1289703589">
      <w:marLeft w:val="0"/>
      <w:marRight w:val="0"/>
      <w:marTop w:val="0"/>
      <w:marBottom w:val="0"/>
      <w:divBdr>
        <w:top w:val="none" w:sz="0" w:space="0" w:color="auto"/>
        <w:left w:val="none" w:sz="0" w:space="0" w:color="auto"/>
        <w:bottom w:val="none" w:sz="0" w:space="0" w:color="auto"/>
        <w:right w:val="none" w:sz="0" w:space="0" w:color="auto"/>
      </w:divBdr>
    </w:div>
    <w:div w:id="1289703590">
      <w:marLeft w:val="0"/>
      <w:marRight w:val="0"/>
      <w:marTop w:val="0"/>
      <w:marBottom w:val="0"/>
      <w:divBdr>
        <w:top w:val="none" w:sz="0" w:space="0" w:color="auto"/>
        <w:left w:val="none" w:sz="0" w:space="0" w:color="auto"/>
        <w:bottom w:val="none" w:sz="0" w:space="0" w:color="auto"/>
        <w:right w:val="none" w:sz="0" w:space="0" w:color="auto"/>
      </w:divBdr>
    </w:div>
    <w:div w:id="1289703594">
      <w:marLeft w:val="0"/>
      <w:marRight w:val="0"/>
      <w:marTop w:val="0"/>
      <w:marBottom w:val="0"/>
      <w:divBdr>
        <w:top w:val="none" w:sz="0" w:space="0" w:color="auto"/>
        <w:left w:val="none" w:sz="0" w:space="0" w:color="auto"/>
        <w:bottom w:val="none" w:sz="0" w:space="0" w:color="auto"/>
        <w:right w:val="none" w:sz="0" w:space="0" w:color="auto"/>
      </w:divBdr>
      <w:divsChild>
        <w:div w:id="1289703591">
          <w:marLeft w:val="0"/>
          <w:marRight w:val="0"/>
          <w:marTop w:val="0"/>
          <w:marBottom w:val="0"/>
          <w:divBdr>
            <w:top w:val="none" w:sz="0" w:space="0" w:color="auto"/>
            <w:left w:val="none" w:sz="0" w:space="0" w:color="auto"/>
            <w:bottom w:val="none" w:sz="0" w:space="0" w:color="auto"/>
            <w:right w:val="none" w:sz="0" w:space="0" w:color="auto"/>
          </w:divBdr>
          <w:divsChild>
            <w:div w:id="1289703593">
              <w:marLeft w:val="0"/>
              <w:marRight w:val="0"/>
              <w:marTop w:val="0"/>
              <w:marBottom w:val="0"/>
              <w:divBdr>
                <w:top w:val="none" w:sz="0" w:space="0" w:color="auto"/>
                <w:left w:val="none" w:sz="0" w:space="0" w:color="auto"/>
                <w:bottom w:val="none" w:sz="0" w:space="0" w:color="auto"/>
                <w:right w:val="none" w:sz="0" w:space="0" w:color="auto"/>
              </w:divBdr>
              <w:divsChild>
                <w:div w:id="1289703602">
                  <w:marLeft w:val="0"/>
                  <w:marRight w:val="0"/>
                  <w:marTop w:val="0"/>
                  <w:marBottom w:val="0"/>
                  <w:divBdr>
                    <w:top w:val="none" w:sz="0" w:space="0" w:color="auto"/>
                    <w:left w:val="none" w:sz="0" w:space="0" w:color="auto"/>
                    <w:bottom w:val="none" w:sz="0" w:space="0" w:color="auto"/>
                    <w:right w:val="none" w:sz="0" w:space="0" w:color="auto"/>
                  </w:divBdr>
                  <w:divsChild>
                    <w:div w:id="1289703600">
                      <w:marLeft w:val="230"/>
                      <w:marRight w:val="230"/>
                      <w:marTop w:val="0"/>
                      <w:marBottom w:val="115"/>
                      <w:divBdr>
                        <w:top w:val="none" w:sz="0" w:space="0" w:color="auto"/>
                        <w:left w:val="none" w:sz="0" w:space="0" w:color="auto"/>
                        <w:bottom w:val="none" w:sz="0" w:space="0" w:color="auto"/>
                        <w:right w:val="none" w:sz="0" w:space="0" w:color="auto"/>
                      </w:divBdr>
                      <w:divsChild>
                        <w:div w:id="1289703598">
                          <w:marLeft w:val="0"/>
                          <w:marRight w:val="0"/>
                          <w:marTop w:val="0"/>
                          <w:marBottom w:val="0"/>
                          <w:divBdr>
                            <w:top w:val="none" w:sz="0" w:space="0" w:color="auto"/>
                            <w:left w:val="none" w:sz="0" w:space="0" w:color="auto"/>
                            <w:bottom w:val="none" w:sz="0" w:space="0" w:color="auto"/>
                            <w:right w:val="none" w:sz="0" w:space="0" w:color="auto"/>
                          </w:divBdr>
                          <w:divsChild>
                            <w:div w:id="1289703586">
                              <w:marLeft w:val="0"/>
                              <w:marRight w:val="0"/>
                              <w:marTop w:val="0"/>
                              <w:marBottom w:val="0"/>
                              <w:divBdr>
                                <w:top w:val="none" w:sz="0" w:space="0" w:color="auto"/>
                                <w:left w:val="none" w:sz="0" w:space="0" w:color="auto"/>
                                <w:bottom w:val="none" w:sz="0" w:space="0" w:color="auto"/>
                                <w:right w:val="none" w:sz="0" w:space="0" w:color="auto"/>
                              </w:divBdr>
                              <w:divsChild>
                                <w:div w:id="1289703595">
                                  <w:marLeft w:val="0"/>
                                  <w:marRight w:val="0"/>
                                  <w:marTop w:val="0"/>
                                  <w:marBottom w:val="0"/>
                                  <w:divBdr>
                                    <w:top w:val="none" w:sz="0" w:space="0" w:color="auto"/>
                                    <w:left w:val="none" w:sz="0" w:space="0" w:color="auto"/>
                                    <w:bottom w:val="none" w:sz="0" w:space="0" w:color="auto"/>
                                    <w:right w:val="none" w:sz="0" w:space="0" w:color="auto"/>
                                  </w:divBdr>
                                  <w:divsChild>
                                    <w:div w:id="1289703588">
                                      <w:marLeft w:val="0"/>
                                      <w:marRight w:val="0"/>
                                      <w:marTop w:val="0"/>
                                      <w:marBottom w:val="0"/>
                                      <w:divBdr>
                                        <w:top w:val="none" w:sz="0" w:space="0" w:color="auto"/>
                                        <w:left w:val="none" w:sz="0" w:space="0" w:color="auto"/>
                                        <w:bottom w:val="none" w:sz="0" w:space="0" w:color="auto"/>
                                        <w:right w:val="none" w:sz="0" w:space="0" w:color="auto"/>
                                      </w:divBdr>
                                      <w:divsChild>
                                        <w:div w:id="1289703597">
                                          <w:marLeft w:val="184"/>
                                          <w:marRight w:val="0"/>
                                          <w:marTop w:val="0"/>
                                          <w:marBottom w:val="138"/>
                                          <w:divBdr>
                                            <w:top w:val="none" w:sz="0" w:space="0" w:color="auto"/>
                                            <w:left w:val="none" w:sz="0" w:space="0" w:color="auto"/>
                                            <w:bottom w:val="none" w:sz="0" w:space="0" w:color="auto"/>
                                            <w:right w:val="none" w:sz="0" w:space="0" w:color="auto"/>
                                          </w:divBdr>
                                          <w:divsChild>
                                            <w:div w:id="1289703585">
                                              <w:marLeft w:val="0"/>
                                              <w:marRight w:val="0"/>
                                              <w:marTop w:val="0"/>
                                              <w:marBottom w:val="0"/>
                                              <w:divBdr>
                                                <w:top w:val="none" w:sz="0" w:space="0" w:color="auto"/>
                                                <w:left w:val="none" w:sz="0" w:space="0" w:color="auto"/>
                                                <w:bottom w:val="none" w:sz="0" w:space="0" w:color="auto"/>
                                                <w:right w:val="none" w:sz="0" w:space="0" w:color="auto"/>
                                              </w:divBdr>
                                              <w:divsChild>
                                                <w:div w:id="128970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9703596">
      <w:marLeft w:val="0"/>
      <w:marRight w:val="0"/>
      <w:marTop w:val="0"/>
      <w:marBottom w:val="0"/>
      <w:divBdr>
        <w:top w:val="none" w:sz="0" w:space="0" w:color="auto"/>
        <w:left w:val="none" w:sz="0" w:space="0" w:color="auto"/>
        <w:bottom w:val="none" w:sz="0" w:space="0" w:color="auto"/>
        <w:right w:val="none" w:sz="0" w:space="0" w:color="auto"/>
      </w:divBdr>
    </w:div>
    <w:div w:id="1289703599">
      <w:marLeft w:val="0"/>
      <w:marRight w:val="0"/>
      <w:marTop w:val="0"/>
      <w:marBottom w:val="0"/>
      <w:divBdr>
        <w:top w:val="none" w:sz="0" w:space="0" w:color="auto"/>
        <w:left w:val="none" w:sz="0" w:space="0" w:color="auto"/>
        <w:bottom w:val="none" w:sz="0" w:space="0" w:color="auto"/>
        <w:right w:val="none" w:sz="0" w:space="0" w:color="auto"/>
      </w:divBdr>
    </w:div>
    <w:div w:id="1289703601">
      <w:marLeft w:val="0"/>
      <w:marRight w:val="0"/>
      <w:marTop w:val="0"/>
      <w:marBottom w:val="0"/>
      <w:divBdr>
        <w:top w:val="none" w:sz="0" w:space="0" w:color="auto"/>
        <w:left w:val="none" w:sz="0" w:space="0" w:color="auto"/>
        <w:bottom w:val="none" w:sz="0" w:space="0" w:color="auto"/>
        <w:right w:val="none" w:sz="0" w:space="0" w:color="auto"/>
      </w:divBdr>
    </w:div>
    <w:div w:id="1707221153">
      <w:bodyDiv w:val="1"/>
      <w:marLeft w:val="0"/>
      <w:marRight w:val="0"/>
      <w:marTop w:val="0"/>
      <w:marBottom w:val="0"/>
      <w:divBdr>
        <w:top w:val="none" w:sz="0" w:space="0" w:color="auto"/>
        <w:left w:val="none" w:sz="0" w:space="0" w:color="auto"/>
        <w:bottom w:val="none" w:sz="0" w:space="0" w:color="auto"/>
        <w:right w:val="none" w:sz="0" w:space="0" w:color="auto"/>
      </w:divBdr>
    </w:div>
    <w:div w:id="1844008498">
      <w:bodyDiv w:val="1"/>
      <w:marLeft w:val="0"/>
      <w:marRight w:val="0"/>
      <w:marTop w:val="0"/>
      <w:marBottom w:val="0"/>
      <w:divBdr>
        <w:top w:val="none" w:sz="0" w:space="0" w:color="auto"/>
        <w:left w:val="none" w:sz="0" w:space="0" w:color="auto"/>
        <w:bottom w:val="none" w:sz="0" w:space="0" w:color="auto"/>
        <w:right w:val="none" w:sz="0" w:space="0" w:color="auto"/>
      </w:divBdr>
    </w:div>
    <w:div w:id="1990092204">
      <w:bodyDiv w:val="1"/>
      <w:marLeft w:val="0"/>
      <w:marRight w:val="0"/>
      <w:marTop w:val="0"/>
      <w:marBottom w:val="0"/>
      <w:divBdr>
        <w:top w:val="none" w:sz="0" w:space="0" w:color="auto"/>
        <w:left w:val="none" w:sz="0" w:space="0" w:color="auto"/>
        <w:bottom w:val="none" w:sz="0" w:space="0" w:color="auto"/>
        <w:right w:val="none" w:sz="0" w:space="0" w:color="auto"/>
      </w:divBdr>
      <w:divsChild>
        <w:div w:id="1913275970">
          <w:marLeft w:val="0"/>
          <w:marRight w:val="0"/>
          <w:marTop w:val="0"/>
          <w:marBottom w:val="0"/>
          <w:divBdr>
            <w:top w:val="none" w:sz="0" w:space="0" w:color="auto"/>
            <w:left w:val="none" w:sz="0" w:space="0" w:color="auto"/>
            <w:bottom w:val="none" w:sz="0" w:space="0" w:color="auto"/>
            <w:right w:val="none" w:sz="0" w:space="0" w:color="auto"/>
          </w:divBdr>
          <w:divsChild>
            <w:div w:id="1577327034">
              <w:marLeft w:val="0"/>
              <w:marRight w:val="0"/>
              <w:marTop w:val="0"/>
              <w:marBottom w:val="0"/>
              <w:divBdr>
                <w:top w:val="none" w:sz="0" w:space="0" w:color="auto"/>
                <w:left w:val="none" w:sz="0" w:space="0" w:color="auto"/>
                <w:bottom w:val="none" w:sz="0" w:space="0" w:color="auto"/>
                <w:right w:val="none" w:sz="0" w:space="0" w:color="auto"/>
              </w:divBdr>
              <w:divsChild>
                <w:div w:id="703359860">
                  <w:marLeft w:val="0"/>
                  <w:marRight w:val="0"/>
                  <w:marTop w:val="0"/>
                  <w:marBottom w:val="0"/>
                  <w:divBdr>
                    <w:top w:val="none" w:sz="0" w:space="0" w:color="auto"/>
                    <w:left w:val="none" w:sz="0" w:space="0" w:color="auto"/>
                    <w:bottom w:val="none" w:sz="0" w:space="0" w:color="auto"/>
                    <w:right w:val="none" w:sz="0" w:space="0" w:color="auto"/>
                  </w:divBdr>
                  <w:divsChild>
                    <w:div w:id="965163433">
                      <w:marLeft w:val="0"/>
                      <w:marRight w:val="0"/>
                      <w:marTop w:val="0"/>
                      <w:marBottom w:val="0"/>
                      <w:divBdr>
                        <w:top w:val="none" w:sz="0" w:space="0" w:color="auto"/>
                        <w:left w:val="none" w:sz="0" w:space="0" w:color="auto"/>
                        <w:bottom w:val="none" w:sz="0" w:space="0" w:color="auto"/>
                        <w:right w:val="none" w:sz="0" w:space="0" w:color="auto"/>
                      </w:divBdr>
                      <w:divsChild>
                        <w:div w:id="239415494">
                          <w:marLeft w:val="0"/>
                          <w:marRight w:val="0"/>
                          <w:marTop w:val="0"/>
                          <w:marBottom w:val="0"/>
                          <w:divBdr>
                            <w:top w:val="none" w:sz="0" w:space="0" w:color="auto"/>
                            <w:left w:val="none" w:sz="0" w:space="0" w:color="auto"/>
                            <w:bottom w:val="none" w:sz="0" w:space="0" w:color="auto"/>
                            <w:right w:val="none" w:sz="0" w:space="0" w:color="auto"/>
                          </w:divBdr>
                          <w:divsChild>
                            <w:div w:id="375593669">
                              <w:marLeft w:val="0"/>
                              <w:marRight w:val="0"/>
                              <w:marTop w:val="0"/>
                              <w:marBottom w:val="0"/>
                              <w:divBdr>
                                <w:top w:val="none" w:sz="0" w:space="0" w:color="auto"/>
                                <w:left w:val="none" w:sz="0" w:space="0" w:color="auto"/>
                                <w:bottom w:val="none" w:sz="0" w:space="0" w:color="auto"/>
                                <w:right w:val="none" w:sz="0" w:space="0" w:color="auto"/>
                              </w:divBdr>
                              <w:divsChild>
                                <w:div w:id="535508236">
                                  <w:marLeft w:val="0"/>
                                  <w:marRight w:val="0"/>
                                  <w:marTop w:val="0"/>
                                  <w:marBottom w:val="0"/>
                                  <w:divBdr>
                                    <w:top w:val="none" w:sz="0" w:space="0" w:color="auto"/>
                                    <w:left w:val="none" w:sz="0" w:space="0" w:color="auto"/>
                                    <w:bottom w:val="none" w:sz="0" w:space="0" w:color="auto"/>
                                    <w:right w:val="none" w:sz="0" w:space="0" w:color="auto"/>
                                  </w:divBdr>
                                  <w:divsChild>
                                    <w:div w:id="163472709">
                                      <w:marLeft w:val="0"/>
                                      <w:marRight w:val="0"/>
                                      <w:marTop w:val="0"/>
                                      <w:marBottom w:val="0"/>
                                      <w:divBdr>
                                        <w:top w:val="none" w:sz="0" w:space="0" w:color="auto"/>
                                        <w:left w:val="none" w:sz="0" w:space="0" w:color="auto"/>
                                        <w:bottom w:val="none" w:sz="0" w:space="0" w:color="auto"/>
                                        <w:right w:val="none" w:sz="0" w:space="0" w:color="auto"/>
                                      </w:divBdr>
                                      <w:divsChild>
                                        <w:div w:id="1561407064">
                                          <w:marLeft w:val="0"/>
                                          <w:marRight w:val="0"/>
                                          <w:marTop w:val="0"/>
                                          <w:marBottom w:val="0"/>
                                          <w:divBdr>
                                            <w:top w:val="none" w:sz="0" w:space="0" w:color="auto"/>
                                            <w:left w:val="none" w:sz="0" w:space="0" w:color="auto"/>
                                            <w:bottom w:val="none" w:sz="0" w:space="0" w:color="auto"/>
                                            <w:right w:val="none" w:sz="0" w:space="0" w:color="auto"/>
                                          </w:divBdr>
                                          <w:divsChild>
                                            <w:div w:id="1295910778">
                                              <w:marLeft w:val="0"/>
                                              <w:marRight w:val="0"/>
                                              <w:marTop w:val="0"/>
                                              <w:marBottom w:val="0"/>
                                              <w:divBdr>
                                                <w:top w:val="none" w:sz="0" w:space="0" w:color="auto"/>
                                                <w:left w:val="none" w:sz="0" w:space="0" w:color="auto"/>
                                                <w:bottom w:val="none" w:sz="0" w:space="0" w:color="auto"/>
                                                <w:right w:val="none" w:sz="0" w:space="0" w:color="auto"/>
                                              </w:divBdr>
                                              <w:divsChild>
                                                <w:div w:id="2021614778">
                                                  <w:marLeft w:val="0"/>
                                                  <w:marRight w:val="0"/>
                                                  <w:marTop w:val="0"/>
                                                  <w:marBottom w:val="0"/>
                                                  <w:divBdr>
                                                    <w:top w:val="none" w:sz="0" w:space="0" w:color="auto"/>
                                                    <w:left w:val="none" w:sz="0" w:space="0" w:color="auto"/>
                                                    <w:bottom w:val="none" w:sz="0" w:space="0" w:color="auto"/>
                                                    <w:right w:val="none" w:sz="0" w:space="0" w:color="auto"/>
                                                  </w:divBdr>
                                                  <w:divsChild>
                                                    <w:div w:id="2028409500">
                                                      <w:marLeft w:val="0"/>
                                                      <w:marRight w:val="0"/>
                                                      <w:marTop w:val="0"/>
                                                      <w:marBottom w:val="0"/>
                                                      <w:divBdr>
                                                        <w:top w:val="none" w:sz="0" w:space="0" w:color="auto"/>
                                                        <w:left w:val="none" w:sz="0" w:space="0" w:color="auto"/>
                                                        <w:bottom w:val="none" w:sz="0" w:space="0" w:color="auto"/>
                                                        <w:right w:val="none" w:sz="0" w:space="0" w:color="auto"/>
                                                      </w:divBdr>
                                                      <w:divsChild>
                                                        <w:div w:id="755788043">
                                                          <w:marLeft w:val="0"/>
                                                          <w:marRight w:val="0"/>
                                                          <w:marTop w:val="0"/>
                                                          <w:marBottom w:val="0"/>
                                                          <w:divBdr>
                                                            <w:top w:val="none" w:sz="0" w:space="0" w:color="auto"/>
                                                            <w:left w:val="none" w:sz="0" w:space="0" w:color="auto"/>
                                                            <w:bottom w:val="none" w:sz="0" w:space="0" w:color="auto"/>
                                                            <w:right w:val="none" w:sz="0" w:space="0" w:color="auto"/>
                                                          </w:divBdr>
                                                          <w:divsChild>
                                                            <w:div w:id="172991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legislation.gov.uk/uksi/2004/1031/contents" TargetMode="External"/><Relationship Id="rId26" Type="http://schemas.openxmlformats.org/officeDocument/2006/relationships/image" Target="media/image3.emf"/><Relationship Id="rId39" Type="http://schemas.openxmlformats.org/officeDocument/2006/relationships/hyperlink" Target="https://ec.europa.eu/health/sites/default/files/files/eudralex/vol-4/2009_06_annex13.pdf" TargetMode="External"/><Relationship Id="rId21" Type="http://schemas.openxmlformats.org/officeDocument/2006/relationships/hyperlink" Target="https://ec.europa.eu/health/sites/health/files/files/eudralex/vol-4/2009_06_annex13.pdf" TargetMode="External"/><Relationship Id="rId34" Type="http://schemas.openxmlformats.org/officeDocument/2006/relationships/hyperlink" Target="https://www.legislation.gov.uk/uksi/2012/1916/contents" TargetMode="External"/><Relationship Id="rId42" Type="http://schemas.openxmlformats.org/officeDocument/2006/relationships/hyperlink" Target="https://www.birmingham.ac.uk/research/activity/mds/mds-rkto/governance/index.aspx" TargetMode="External"/><Relationship Id="rId47" Type="http://schemas.openxmlformats.org/officeDocument/2006/relationships/hyperlink" Target="https://www.gov.uk/guidance/supplying-authorised-medicines-to-northern-ireland" TargetMode="External"/><Relationship Id="rId50" Type="http://schemas.openxmlformats.org/officeDocument/2006/relationships/hyperlink" Target="https://bnf.nice.org.uk/medicines-guidance/prescription-writing/" TargetMode="External"/><Relationship Id="rId55" Type="http://schemas.openxmlformats.org/officeDocument/2006/relationships/hyperlink" Target="https://www.birmingham.ac.uk/research/activity/mds/mds-rkto/governance/Glossary-of-Terms.aspx"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legislation.gov.uk/uksi/2004/1031/contents" TargetMode="External"/><Relationship Id="rId29" Type="http://schemas.openxmlformats.org/officeDocument/2006/relationships/hyperlink" Target="https://assets.publishing.service.gov.uk/government/uploads/system/uploads/attachment_data/file/343677/Risk-adapted_approaches_to_the_management_of_clinical_trials_of_investigational_medicinal_products.pdf" TargetMode="External"/><Relationship Id="rId11" Type="http://schemas.openxmlformats.org/officeDocument/2006/relationships/endnotes" Target="endnotes.xml"/><Relationship Id="rId24" Type="http://schemas.openxmlformats.org/officeDocument/2006/relationships/image" Target="media/image2.emf"/><Relationship Id="rId32" Type="http://schemas.openxmlformats.org/officeDocument/2006/relationships/hyperlink" Target="https://ec.europa.eu/health/sites/default/files/files/eudralex/vol-4/2009_06_annex13.pdf" TargetMode="External"/><Relationship Id="rId37" Type="http://schemas.openxmlformats.org/officeDocument/2006/relationships/hyperlink" Target="https://www.gov.uk/drug-device-alerts" TargetMode="External"/><Relationship Id="rId40" Type="http://schemas.openxmlformats.org/officeDocument/2006/relationships/hyperlink" Target="https://ec.europa.eu/health/sites/health/files/files/eudralex/vol-4/2009_06_annex13.pdf" TargetMode="External"/><Relationship Id="rId45" Type="http://schemas.openxmlformats.org/officeDocument/2006/relationships/hyperlink" Target="https://www.hra.nhs.uk/approvals-amendments/what-approvals-do-i-need/technical-assurances/pharmacy-assurance/" TargetMode="External"/><Relationship Id="rId53" Type="http://schemas.openxmlformats.org/officeDocument/2006/relationships/hyperlink" Target="https://www.birmingham.ac.uk/research/environment-culture/research-integrity/research-governance/contracts-agreements" TargetMode="External"/><Relationship Id="rId58" Type="http://schemas.openxmlformats.org/officeDocument/2006/relationships/footer" Target="footer3.xml"/><Relationship Id="rId5" Type="http://schemas.openxmlformats.org/officeDocument/2006/relationships/customXml" Target="../customXml/item5.xml"/><Relationship Id="rId61" Type="http://schemas.openxmlformats.org/officeDocument/2006/relationships/footer" Target="footer5.xml"/><Relationship Id="rId19" Type="http://schemas.openxmlformats.org/officeDocument/2006/relationships/hyperlink" Target="https://ec.europa.eu/health/system/files/2016-11/dir_2001_20_en_0.pdf" TargetMode="External"/><Relationship Id="rId14" Type="http://schemas.openxmlformats.org/officeDocument/2006/relationships/header" Target="header1.xml"/><Relationship Id="rId22" Type="http://schemas.openxmlformats.org/officeDocument/2006/relationships/hyperlink" Target="https://www.legislation.gov.uk/uksi/2004/1031/contents" TargetMode="External"/><Relationship Id="rId27" Type="http://schemas.openxmlformats.org/officeDocument/2006/relationships/package" Target="embeddings/Microsoft_Visio_Drawing1.vsdx"/><Relationship Id="rId30" Type="http://schemas.openxmlformats.org/officeDocument/2006/relationships/hyperlink" Target="https://www.birmingham.ac.uk/research/environment-culture/research-integrity/research-governance/contracts-agreements" TargetMode="External"/><Relationship Id="rId35" Type="http://schemas.openxmlformats.org/officeDocument/2006/relationships/hyperlink" Target="https://bnf.nice.org.uk/guidance/prescription-writing.html" TargetMode="External"/><Relationship Id="rId43" Type="http://schemas.openxmlformats.org/officeDocument/2006/relationships/hyperlink" Target="https://health.ec.europa.eu/document/download/eb43a2ab-4691-4cab-938e-874f2307dca3_en" TargetMode="External"/><Relationship Id="rId48" Type="http://schemas.openxmlformats.org/officeDocument/2006/relationships/hyperlink" Target="https://www.gov.uk/drug-device-alerts" TargetMode="External"/><Relationship Id="rId56" Type="http://schemas.openxmlformats.org/officeDocument/2006/relationships/header" Target="header2.xm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legislation.gov.uk/uksi/2004/1031/contents" TargetMode="External"/><Relationship Id="rId3" Type="http://schemas.openxmlformats.org/officeDocument/2006/relationships/customXml" Target="../customXml/item3.xml"/><Relationship Id="rId12" Type="http://schemas.openxmlformats.org/officeDocument/2006/relationships/hyperlink" Target="https://www.birmingham.ac.uk/research/activity/mds/mds-rkto/governance/e-pathway/overview.aspx" TargetMode="External"/><Relationship Id="rId17" Type="http://schemas.openxmlformats.org/officeDocument/2006/relationships/hyperlink" Target="http://www.ct-toolkit.ac.uk/routemap/trial-supplies/" TargetMode="External"/><Relationship Id="rId25" Type="http://schemas.openxmlformats.org/officeDocument/2006/relationships/package" Target="embeddings/Microsoft_Visio_Drawing.vsdx"/><Relationship Id="rId33" Type="http://schemas.openxmlformats.org/officeDocument/2006/relationships/hyperlink" Target="https://ec.europa.eu/health/sites/default/files/files/eudralex/vol-4/2009_06_annex13.pdf" TargetMode="External"/><Relationship Id="rId38" Type="http://schemas.openxmlformats.org/officeDocument/2006/relationships/hyperlink" Target="https://ec.europa.eu/health/sites/health/files/files/eudralex/vol-4/2009_06_annex13.pdf" TargetMode="External"/><Relationship Id="rId46" Type="http://schemas.openxmlformats.org/officeDocument/2006/relationships/hyperlink" Target="https://assets.publishing.service.gov.uk/government/uploads/system/uploads/attachment_data/file/343677/Risk-adapted_approaches_to_the_management_of_clinical_trials_of_investigational_medicinal_products.pdf" TargetMode="External"/><Relationship Id="rId59" Type="http://schemas.openxmlformats.org/officeDocument/2006/relationships/footer" Target="footer4.xml"/><Relationship Id="rId20" Type="http://schemas.openxmlformats.org/officeDocument/2006/relationships/hyperlink" Target="https://www.legislation.gov.uk/uksi/2004/1031/contents" TargetMode="External"/><Relationship Id="rId41" Type="http://schemas.openxmlformats.org/officeDocument/2006/relationships/hyperlink" Target="https://www.gov.uk/drug-device-alerts" TargetMode="External"/><Relationship Id="rId54" Type="http://schemas.openxmlformats.org/officeDocument/2006/relationships/hyperlink" Target="https://bham.sharepoint.com/sites/rssd/SitePages/research-support-hubs.aspx" TargetMode="External"/><Relationship Id="rId62" Type="http://schemas.openxmlformats.org/officeDocument/2006/relationships/hyperlink" Target="mailto:crct@contacts.bham.ac.uk"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legislation.gov.uk/uksi/2004/1031/contents" TargetMode="External"/><Relationship Id="rId28" Type="http://schemas.openxmlformats.org/officeDocument/2006/relationships/hyperlink" Target="https://www.gov.uk/guidance/supplying-authorised-medicines-to-northern-ireland" TargetMode="External"/><Relationship Id="rId36" Type="http://schemas.openxmlformats.org/officeDocument/2006/relationships/hyperlink" Target="https://www.hra.nhs.uk/approvals-amendments/what-approvals-do-i-need/technical-assurances/pharmacy-assurance/" TargetMode="External"/><Relationship Id="rId49" Type="http://schemas.openxmlformats.org/officeDocument/2006/relationships/hyperlink" Target="https://www.ct-toolkit.ac.uk/routemap/trial-supplies" TargetMode="External"/><Relationship Id="rId57" Type="http://schemas.openxmlformats.org/officeDocument/2006/relationships/header" Target="header3.xml"/><Relationship Id="rId10" Type="http://schemas.openxmlformats.org/officeDocument/2006/relationships/footnotes" Target="footnotes.xml"/><Relationship Id="rId31" Type="http://schemas.openxmlformats.org/officeDocument/2006/relationships/hyperlink" Target="https://bham.sharepoint.com/sites/rssd/SitePages/research-support-hubs.aspx" TargetMode="External"/><Relationship Id="rId44" Type="http://schemas.openxmlformats.org/officeDocument/2006/relationships/hyperlink" Target="https://health.ec.europa.eu/system/files/2016-11/dir_2001_20_en_0.pdf" TargetMode="External"/><Relationship Id="rId52" Type="http://schemas.openxmlformats.org/officeDocument/2006/relationships/hyperlink" Target="https://www.legislation.gov.uk/uksi/2012/1916/contents" TargetMode="External"/><Relationship Id="rId60"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http://www.birmingham.ac.uk/research/activity/mds/mds-rkto/governance/index.asp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birmingham.ac.uk/cr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type xmlns="adba401f-eabd-4c47-b36d-42f7c29cc8bb" xsi:nil="true"/>
    <GCPlabsupport xmlns="adba401f-eabd-4c47-b36d-42f7c29cc8bb" xsi:nil="true"/>
    <lcf76f155ced4ddcb4097134ff3c332f xmlns="adba401f-eabd-4c47-b36d-42f7c29cc8bb">
      <Terms xmlns="http://schemas.microsoft.com/office/infopath/2007/PartnerControls"/>
    </lcf76f155ced4ddcb4097134ff3c332f>
    <Department xmlns="adba401f-eabd-4c47-b36d-42f7c29cc8bb" xsi:nil="true"/>
    <Shorttitle xmlns="adba401f-eabd-4c47-b36d-42f7c29cc8bb" xsi:nil="true"/>
    <Investigator xmlns="adba401f-eabd-4c47-b36d-42f7c29cc8bb" xsi:nil="true"/>
    <TaxCatchAll xmlns="e199f33f-ad08-4efa-857b-79f1236642b3" xsi:nil="true"/>
    <TaxKeywordTaxHTField xmlns="e199f33f-ad08-4efa-857b-79f1236642b3">
      <Terms xmlns="http://schemas.microsoft.com/office/infopath/2007/PartnerControls"/>
    </TaxKeywordTaxHTField>
    <TrainingFormat xmlns="adba401f-eabd-4c47-b36d-42f7c29cc8b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A39C3642CC0A14F83E7E5D425D671A3" ma:contentTypeVersion="29" ma:contentTypeDescription="Create a new document." ma:contentTypeScope="" ma:versionID="e17d66970b789bc84e98d56c5eeb5031">
  <xsd:schema xmlns:xsd="http://www.w3.org/2001/XMLSchema" xmlns:xs="http://www.w3.org/2001/XMLSchema" xmlns:p="http://schemas.microsoft.com/office/2006/metadata/properties" xmlns:ns2="e199f33f-ad08-4efa-857b-79f1236642b3" xmlns:ns3="adba401f-eabd-4c47-b36d-42f7c29cc8bb" targetNamespace="http://schemas.microsoft.com/office/2006/metadata/properties" ma:root="true" ma:fieldsID="8e49cc2d749844dc19cde7f30431e44c" ns2:_="" ns3:_="">
    <xsd:import namespace="e199f33f-ad08-4efa-857b-79f1236642b3"/>
    <xsd:import namespace="adba401f-eabd-4c47-b36d-42f7c29cc8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2:TaxKeywordTaxHTField" minOccurs="0"/>
                <xsd:element ref="ns2:TaxCatchAll" minOccurs="0"/>
                <xsd:element ref="ns3:Investigator" minOccurs="0"/>
                <xsd:element ref="ns3:Project_x0020_type" minOccurs="0"/>
                <xsd:element ref="ns3:Department" minOccurs="0"/>
                <xsd:element ref="ns3:lcf76f155ced4ddcb4097134ff3c332f" minOccurs="0"/>
                <xsd:element ref="ns3:MediaServiceObjectDetectorVersions" minOccurs="0"/>
                <xsd:element ref="ns3:MediaServiceSearchProperties" minOccurs="0"/>
                <xsd:element ref="ns3:GCPlabsupport" minOccurs="0"/>
                <xsd:element ref="ns3:Shorttitle" minOccurs="0"/>
                <xsd:element ref="ns3:MediaLengthInSeconds" minOccurs="0"/>
                <xsd:element ref="ns3:TrainingForma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9f33f-ad08-4efa-857b-79f1236642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KeywordTaxHTField" ma:index="21" nillable="true" ma:taxonomy="true" ma:internalName="TaxKeywordTaxHTField" ma:taxonomyFieldName="TaxKeyword" ma:displayName="Enterprise Keywords" ma:fieldId="{23f27201-bee3-471e-b2e7-b64fd8b7ca38}" ma:taxonomyMulti="true" ma:sspId="ac7af76c-f141-45ca-ae1a-4959eb0cbd43" ma:termSetId="00000000-0000-0000-0000-000000000000" ma:anchorId="00000000-0000-0000-0000-000000000000" ma:open="true" ma:isKeyword="true">
      <xsd:complexType>
        <xsd:sequence>
          <xsd:element ref="pc:Terms" minOccurs="0" maxOccurs="1"/>
        </xsd:sequence>
      </xsd:complexType>
    </xsd:element>
    <xsd:element name="TaxCatchAll" ma:index="22" nillable="true" ma:displayName="Taxonomy Catch All Column" ma:hidden="true" ma:list="{38a996dc-6dd3-4a58-b879-30e6f413dcb1}" ma:internalName="TaxCatchAll" ma:showField="CatchAllData" ma:web="e199f33f-ad08-4efa-857b-79f1236642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dba401f-eabd-4c47-b36d-42f7c29cc8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Investigator" ma:index="23" nillable="true" ma:displayName="Investigator" ma:internalName="Investigator">
      <xsd:simpleType>
        <xsd:restriction base="dms:Text">
          <xsd:maxLength value="255"/>
        </xsd:restriction>
      </xsd:simpleType>
    </xsd:element>
    <xsd:element name="Project_x0020_type" ma:index="24" nillable="true" ma:displayName="Project type" ma:format="Dropdown" ma:internalName="Project_x0020_type">
      <xsd:simpleType>
        <xsd:restriction base="dms:Choice">
          <xsd:enumeration value="CTIMP"/>
          <xsd:enumeration value="non-CTIMP / study"/>
          <xsd:enumeration value="UoB ethics project"/>
          <xsd:enumeration value="Devices"/>
          <xsd:enumeration value="HBRC project"/>
          <xsd:enumeration value="DRTB project"/>
        </xsd:restriction>
      </xsd:simpleType>
    </xsd:element>
    <xsd:element name="Department" ma:index="25" nillable="true" ma:displayName="CTU" ma:format="Dropdown" ma:internalName="Department">
      <xsd:simpleType>
        <xsd:restriction base="dms:Choice">
          <xsd:enumeration value="BCTU"/>
          <xsd:enumeration value="CRCTU"/>
          <xsd:enumeration value="N/A"/>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GCPlabsupport" ma:index="30" nillable="true" ma:displayName="GCP lab support" ma:format="Dropdown" ma:internalName="GCPlabsupport">
      <xsd:complexType>
        <xsd:complexContent>
          <xsd:extension base="dms:MultiChoice">
            <xsd:sequence>
              <xsd:element name="Value" maxOccurs="unbounded" minOccurs="0" nillable="true">
                <xsd:simpleType>
                  <xsd:restriction base="dms:Choice">
                    <xsd:enumeration value="Questionnaire"/>
                    <xsd:enumeration value="Setup"/>
                    <xsd:enumeration value="Audit"/>
                    <xsd:enumeration value="Assay validation"/>
                    <xsd:enumeration value="Vendor audit"/>
                  </xsd:restriction>
                </xsd:simpleType>
              </xsd:element>
            </xsd:sequence>
          </xsd:extension>
        </xsd:complexContent>
      </xsd:complexType>
    </xsd:element>
    <xsd:element name="Shorttitle" ma:index="31" nillable="true" ma:displayName="Short title" ma:description="The project's short title or acronym" ma:format="Dropdown" ma:internalName="Shorttitle">
      <xsd:simpleType>
        <xsd:restriction base="dms:Text">
          <xsd:maxLength value="255"/>
        </xsd:restriction>
      </xsd:simpleType>
    </xsd:element>
    <xsd:element name="MediaLengthInSeconds" ma:index="32" nillable="true" ma:displayName="MediaLengthInSeconds" ma:hidden="true" ma:internalName="MediaLengthInSeconds" ma:readOnly="true">
      <xsd:simpleType>
        <xsd:restriction base="dms:Unknown"/>
      </xsd:simpleType>
    </xsd:element>
    <xsd:element name="TrainingFormat" ma:index="33" nillable="true" ma:displayName="Training Format" ma:format="Dropdown" ma:internalName="TrainingFormat">
      <xsd:simpleType>
        <xsd:restriction base="dms:Choice">
          <xsd:enumeration value="Canvas"/>
          <xsd:enumeration value="Workshop"/>
          <xsd:enumeration value="Lectu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F7CE66-EDF1-4B3E-B87C-CD324E880C36}">
  <ds:schemaRefs>
    <ds:schemaRef ds:uri="http://schemas.microsoft.com/office/2006/metadata/properties"/>
    <ds:schemaRef ds:uri="http://schemas.microsoft.com/office/infopath/2007/PartnerControls"/>
    <ds:schemaRef ds:uri="adba401f-eabd-4c47-b36d-42f7c29cc8bb"/>
    <ds:schemaRef ds:uri="e199f33f-ad08-4efa-857b-79f1236642b3"/>
  </ds:schemaRefs>
</ds:datastoreItem>
</file>

<file path=customXml/itemProps2.xml><?xml version="1.0" encoding="utf-8"?>
<ds:datastoreItem xmlns:ds="http://schemas.openxmlformats.org/officeDocument/2006/customXml" ds:itemID="{02AD14D3-279F-46D6-9282-3C6AE18320EC}">
  <ds:schemaRefs>
    <ds:schemaRef ds:uri="http://schemas.openxmlformats.org/officeDocument/2006/bibliography"/>
  </ds:schemaRefs>
</ds:datastoreItem>
</file>

<file path=customXml/itemProps3.xml><?xml version="1.0" encoding="utf-8"?>
<ds:datastoreItem xmlns:ds="http://schemas.openxmlformats.org/officeDocument/2006/customXml" ds:itemID="{1A327F75-6744-4B0A-ADA2-A68A36BB5AA6}">
  <ds:schemaRefs>
    <ds:schemaRef ds:uri="http://schemas.microsoft.com/sharepoint/v3/contenttype/forms"/>
  </ds:schemaRefs>
</ds:datastoreItem>
</file>

<file path=customXml/itemProps4.xml><?xml version="1.0" encoding="utf-8"?>
<ds:datastoreItem xmlns:ds="http://schemas.openxmlformats.org/officeDocument/2006/customXml" ds:itemID="{E3D9CDC2-3B0C-429B-B8CD-93D7EAFAB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9f33f-ad08-4efa-857b-79f1236642b3"/>
    <ds:schemaRef ds:uri="adba401f-eabd-4c47-b36d-42f7c29cc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AAAE475-2144-4B70-A7EA-265A97817B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20</Pages>
  <Words>8108</Words>
  <Characters>45245</Characters>
  <Application>Microsoft Office Word</Application>
  <DocSecurity>2</DocSecurity>
  <Lines>853</Lines>
  <Paragraphs>573</Paragraphs>
  <ScaleCrop>false</ScaleCrop>
  <HeadingPairs>
    <vt:vector size="2" baseType="variant">
      <vt:variant>
        <vt:lpstr>Title</vt:lpstr>
      </vt:variant>
      <vt:variant>
        <vt:i4>1</vt:i4>
      </vt:variant>
    </vt:vector>
  </HeadingPairs>
  <TitlesOfParts>
    <vt:vector size="1" baseType="lpstr">
      <vt:lpstr/>
    </vt:vector>
  </TitlesOfParts>
  <Company>MDS</Company>
  <LinksUpToDate>false</LinksUpToDate>
  <CharactersWithSpaces>52780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Campbesz</dc:creator>
  <cp:lastModifiedBy>Katy Smith (CMH - Research and Knowledge Transfer)</cp:lastModifiedBy>
  <cp:revision>91</cp:revision>
  <cp:lastPrinted>2025-12-09T11:32:00Z</cp:lastPrinted>
  <dcterms:created xsi:type="dcterms:W3CDTF">2025-10-27T11:08:00Z</dcterms:created>
  <dcterms:modified xsi:type="dcterms:W3CDTF">2025-12-09T11:32:00Z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0x010100EA39C3642CC0A14F83E7E5D425D671A3</vt:lpwstr>
  </property>
  <property fmtid="{D5CDD505-2E9C-101B-9397-08002B2CF9AE}" pid="3" name="TaxKeyword">
    <vt:lpwstr/>
  </property>
  <property fmtid="{D5CDD505-2E9C-101B-9397-08002B2CF9AE}" pid="4" name="MediaServiceImageTags">
    <vt:lpwstr/>
  </property>
</Properties>
</file>