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3" w:rsidRDefault="00E563C3" w:rsidP="00C72DB4">
      <w:pPr>
        <w:jc w:val="center"/>
        <w:rPr>
          <w:rFonts w:cs="Arial"/>
          <w:b/>
          <w:sz w:val="24"/>
          <w:szCs w:val="24"/>
        </w:rPr>
      </w:pPr>
      <w:r>
        <w:rPr>
          <w:rFonts w:cs="Arial"/>
          <w:b/>
          <w:sz w:val="24"/>
          <w:szCs w:val="24"/>
        </w:rPr>
        <w:t xml:space="preserve">Cultural Intern Scheme </w:t>
      </w:r>
      <w:r w:rsidR="00C72DB4">
        <w:rPr>
          <w:rFonts w:cs="Arial"/>
          <w:b/>
          <w:sz w:val="24"/>
          <w:szCs w:val="24"/>
        </w:rPr>
        <w:t>Placement Proposal</w:t>
      </w:r>
      <w:r w:rsidR="00D50B88">
        <w:rPr>
          <w:rFonts w:cs="Arial"/>
          <w:b/>
          <w:sz w:val="24"/>
          <w:szCs w:val="24"/>
        </w:rPr>
        <w:t xml:space="preserve"> // 2015 </w:t>
      </w:r>
      <w:r w:rsidR="001D2AE4">
        <w:rPr>
          <w:rFonts w:cs="Arial"/>
          <w:b/>
          <w:sz w:val="24"/>
          <w:szCs w:val="24"/>
        </w:rPr>
        <w:t>–</w:t>
      </w:r>
      <w:r w:rsidR="00D50B88">
        <w:rPr>
          <w:rFonts w:cs="Arial"/>
          <w:b/>
          <w:sz w:val="24"/>
          <w:szCs w:val="24"/>
        </w:rPr>
        <w:t xml:space="preserve"> 16</w:t>
      </w:r>
    </w:p>
    <w:p w:rsidR="001D2AE4" w:rsidRPr="00822359" w:rsidRDefault="001D2AE4" w:rsidP="00C72DB4">
      <w:pPr>
        <w:jc w:val="center"/>
        <w:rPr>
          <w:rFonts w:cs="Arial"/>
          <w:b/>
          <w:sz w:val="24"/>
          <w:szCs w:val="24"/>
        </w:rPr>
      </w:pPr>
      <w:r>
        <w:rPr>
          <w:rFonts w:cs="Arial"/>
          <w:b/>
          <w:sz w:val="24"/>
          <w:szCs w:val="24"/>
        </w:rPr>
        <w:t>PERFORMANCES BIRMINGHAM (TOWN HALL SYMPHONY HALL)</w:t>
      </w:r>
    </w:p>
    <w:p w:rsidR="00E563C3" w:rsidRPr="0080348B" w:rsidRDefault="00E563C3" w:rsidP="00E95313">
      <w:pPr>
        <w:rPr>
          <w:rFonts w:cs="Arial"/>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797"/>
      </w:tblGrid>
      <w:tr w:rsidR="00E563C3" w:rsidRPr="0080348B" w:rsidTr="001D2AE4">
        <w:trPr>
          <w:cantSplit/>
          <w:trHeight w:val="278"/>
        </w:trPr>
        <w:tc>
          <w:tcPr>
            <w:tcW w:w="1843" w:type="dxa"/>
          </w:tcPr>
          <w:p w:rsidR="00E563C3" w:rsidRPr="0080348B" w:rsidRDefault="00C72DB4" w:rsidP="0052049D">
            <w:pPr>
              <w:rPr>
                <w:rFonts w:cs="Arial"/>
                <w:b/>
                <w:bCs/>
              </w:rPr>
            </w:pPr>
            <w:r>
              <w:rPr>
                <w:rFonts w:cs="Arial"/>
                <w:b/>
                <w:bCs/>
              </w:rPr>
              <w:t xml:space="preserve">Proposed </w:t>
            </w:r>
            <w:r w:rsidR="008C6A00">
              <w:rPr>
                <w:rFonts w:cs="Arial"/>
                <w:b/>
                <w:bCs/>
              </w:rPr>
              <w:t>p</w:t>
            </w:r>
            <w:r w:rsidR="00E563C3">
              <w:rPr>
                <w:rFonts w:cs="Arial"/>
                <w:b/>
                <w:bCs/>
              </w:rPr>
              <w:t xml:space="preserve">lacement </w:t>
            </w:r>
            <w:r w:rsidR="008C6A00">
              <w:rPr>
                <w:rFonts w:cs="Arial"/>
                <w:b/>
                <w:bCs/>
              </w:rPr>
              <w:t>p</w:t>
            </w:r>
            <w:r w:rsidR="00E563C3" w:rsidRPr="0080348B">
              <w:rPr>
                <w:rFonts w:cs="Arial"/>
                <w:b/>
                <w:bCs/>
              </w:rPr>
              <w:t>eriod</w:t>
            </w:r>
          </w:p>
          <w:p w:rsidR="00E563C3" w:rsidRPr="007B61B9" w:rsidRDefault="00E563C3" w:rsidP="0052049D">
            <w:pPr>
              <w:rPr>
                <w:rFonts w:cs="Arial"/>
                <w:bCs/>
              </w:rPr>
            </w:pPr>
          </w:p>
        </w:tc>
        <w:tc>
          <w:tcPr>
            <w:tcW w:w="6797" w:type="dxa"/>
          </w:tcPr>
          <w:p w:rsidR="00E563C3" w:rsidRPr="0080348B" w:rsidRDefault="00E563C3" w:rsidP="0052049D">
            <w:pPr>
              <w:rPr>
                <w:rFonts w:cs="Arial"/>
              </w:rPr>
            </w:pPr>
            <w:r w:rsidRPr="0080348B">
              <w:rPr>
                <w:rFonts w:cs="Arial"/>
              </w:rPr>
              <w:t>From:</w:t>
            </w:r>
            <w:r w:rsidR="00D50B88">
              <w:rPr>
                <w:rFonts w:cs="Arial"/>
              </w:rPr>
              <w:t xml:space="preserve"> 05 October 2015</w:t>
            </w:r>
          </w:p>
          <w:p w:rsidR="00E563C3" w:rsidRPr="0080348B" w:rsidRDefault="00E563C3" w:rsidP="0052049D">
            <w:pPr>
              <w:rPr>
                <w:rFonts w:cs="Arial"/>
              </w:rPr>
            </w:pPr>
            <w:r w:rsidRPr="0080348B">
              <w:rPr>
                <w:rFonts w:cs="Arial"/>
              </w:rPr>
              <w:t>To:</w:t>
            </w:r>
            <w:r w:rsidR="00D50B88">
              <w:rPr>
                <w:rFonts w:cs="Arial"/>
              </w:rPr>
              <w:t xml:space="preserve"> 25 March 2016</w:t>
            </w:r>
          </w:p>
          <w:p w:rsidR="00E563C3" w:rsidRPr="0080348B" w:rsidRDefault="00E563C3" w:rsidP="0052049D">
            <w:pPr>
              <w:rPr>
                <w:rFonts w:cs="Arial"/>
              </w:rPr>
            </w:pPr>
          </w:p>
        </w:tc>
      </w:tr>
      <w:tr w:rsidR="00E563C3" w:rsidRPr="0080348B" w:rsidTr="001D2AE4">
        <w:tc>
          <w:tcPr>
            <w:tcW w:w="1843" w:type="dxa"/>
          </w:tcPr>
          <w:p w:rsidR="00E563C3" w:rsidRDefault="00E563C3" w:rsidP="00DB04E3">
            <w:pPr>
              <w:rPr>
                <w:rFonts w:cs="Arial"/>
                <w:b/>
                <w:bCs/>
              </w:rPr>
            </w:pPr>
            <w:r>
              <w:rPr>
                <w:rFonts w:cs="Arial"/>
                <w:b/>
                <w:bCs/>
              </w:rPr>
              <w:t>Address</w:t>
            </w:r>
            <w:r w:rsidRPr="0080348B">
              <w:rPr>
                <w:rFonts w:cs="Arial"/>
                <w:b/>
                <w:bCs/>
              </w:rPr>
              <w:t xml:space="preserve"> </w:t>
            </w:r>
            <w:r w:rsidR="00755A47">
              <w:rPr>
                <w:rFonts w:cs="Arial"/>
                <w:b/>
                <w:bCs/>
              </w:rPr>
              <w:t>where</w:t>
            </w:r>
            <w:r w:rsidRPr="0080348B">
              <w:rPr>
                <w:rFonts w:cs="Arial"/>
                <w:b/>
                <w:bCs/>
              </w:rPr>
              <w:t xml:space="preserve"> </w:t>
            </w:r>
            <w:r w:rsidR="008C6A00">
              <w:rPr>
                <w:rFonts w:cs="Arial"/>
                <w:b/>
                <w:bCs/>
              </w:rPr>
              <w:t>p</w:t>
            </w:r>
            <w:r>
              <w:rPr>
                <w:rFonts w:cs="Arial"/>
                <w:b/>
                <w:bCs/>
              </w:rPr>
              <w:t xml:space="preserve">lacement </w:t>
            </w:r>
            <w:r w:rsidR="00755A47">
              <w:rPr>
                <w:rFonts w:cs="Arial"/>
                <w:b/>
                <w:bCs/>
              </w:rPr>
              <w:t>would be carried out</w:t>
            </w:r>
          </w:p>
          <w:p w:rsidR="00C72DB4" w:rsidRPr="0080348B" w:rsidRDefault="00C72DB4" w:rsidP="00DB04E3">
            <w:pPr>
              <w:rPr>
                <w:rFonts w:cs="Arial"/>
                <w:b/>
                <w:bCs/>
              </w:rPr>
            </w:pPr>
          </w:p>
        </w:tc>
        <w:tc>
          <w:tcPr>
            <w:tcW w:w="6797" w:type="dxa"/>
          </w:tcPr>
          <w:p w:rsidR="00E563C3" w:rsidRPr="0080348B" w:rsidRDefault="001E5FAC" w:rsidP="0052049D">
            <w:pPr>
              <w:rPr>
                <w:rFonts w:cs="Arial"/>
                <w:bCs/>
                <w:i/>
              </w:rPr>
            </w:pPr>
            <w:r>
              <w:rPr>
                <w:rFonts w:cs="Arial"/>
                <w:bCs/>
                <w:i/>
              </w:rPr>
              <w:t>Symphony Hall, Broad street, Birmingham B1 2EA</w:t>
            </w:r>
          </w:p>
        </w:tc>
      </w:tr>
      <w:tr w:rsidR="00C72DB4" w:rsidRPr="0080348B" w:rsidTr="001D2AE4">
        <w:tc>
          <w:tcPr>
            <w:tcW w:w="1843" w:type="dxa"/>
          </w:tcPr>
          <w:p w:rsidR="00C72DB4" w:rsidRDefault="008C6A00" w:rsidP="00C72DB4">
            <w:pPr>
              <w:rPr>
                <w:rFonts w:cs="Arial"/>
                <w:b/>
                <w:bCs/>
              </w:rPr>
            </w:pPr>
            <w:r>
              <w:rPr>
                <w:rFonts w:cs="Arial"/>
                <w:b/>
                <w:bCs/>
              </w:rPr>
              <w:t>Department responsible for the p</w:t>
            </w:r>
            <w:r w:rsidR="00C72DB4">
              <w:rPr>
                <w:rFonts w:cs="Arial"/>
                <w:b/>
                <w:bCs/>
              </w:rPr>
              <w:t>lacement</w:t>
            </w:r>
          </w:p>
        </w:tc>
        <w:tc>
          <w:tcPr>
            <w:tcW w:w="6797" w:type="dxa"/>
          </w:tcPr>
          <w:p w:rsidR="00C72DB4" w:rsidRDefault="001E5FAC" w:rsidP="0052049D">
            <w:pPr>
              <w:rPr>
                <w:rFonts w:cs="Arial"/>
                <w:bCs/>
                <w:i/>
              </w:rPr>
            </w:pPr>
            <w:r>
              <w:rPr>
                <w:rFonts w:cs="Arial"/>
                <w:bCs/>
                <w:i/>
              </w:rPr>
              <w:t>Marketing &amp; Communications</w:t>
            </w:r>
          </w:p>
          <w:p w:rsidR="00C72DB4" w:rsidRPr="0080348B" w:rsidDel="00151FA6" w:rsidRDefault="00C72DB4" w:rsidP="0052049D">
            <w:pPr>
              <w:rPr>
                <w:rFonts w:cs="Arial"/>
                <w:bCs/>
                <w:i/>
              </w:rPr>
            </w:pPr>
          </w:p>
        </w:tc>
      </w:tr>
      <w:tr w:rsidR="00E563C3" w:rsidRPr="0080348B" w:rsidTr="001D2AE4">
        <w:tc>
          <w:tcPr>
            <w:tcW w:w="1843" w:type="dxa"/>
          </w:tcPr>
          <w:p w:rsidR="00C72DB4" w:rsidRPr="001D2AE4" w:rsidRDefault="00E563C3" w:rsidP="00C72DB4">
            <w:pPr>
              <w:rPr>
                <w:rFonts w:cs="Arial"/>
                <w:b/>
                <w:bCs/>
              </w:rPr>
            </w:pPr>
            <w:r>
              <w:rPr>
                <w:rFonts w:cs="Arial"/>
                <w:b/>
                <w:bCs/>
              </w:rPr>
              <w:t xml:space="preserve">Placement </w:t>
            </w:r>
            <w:r w:rsidR="008C6A00">
              <w:rPr>
                <w:rFonts w:cs="Arial"/>
                <w:b/>
                <w:bCs/>
              </w:rPr>
              <w:t>s</w:t>
            </w:r>
            <w:r w:rsidR="00C72DB4">
              <w:rPr>
                <w:rFonts w:cs="Arial"/>
                <w:b/>
                <w:bCs/>
              </w:rPr>
              <w:t>upervisor</w:t>
            </w:r>
          </w:p>
        </w:tc>
        <w:tc>
          <w:tcPr>
            <w:tcW w:w="6797" w:type="dxa"/>
          </w:tcPr>
          <w:p w:rsidR="000177A2" w:rsidRPr="0080348B" w:rsidDel="00151FA6" w:rsidRDefault="001E5FAC" w:rsidP="001D2AE4">
            <w:pPr>
              <w:rPr>
                <w:rFonts w:cs="Arial"/>
                <w:bCs/>
                <w:i/>
              </w:rPr>
            </w:pPr>
            <w:r>
              <w:rPr>
                <w:rFonts w:cs="Arial"/>
                <w:bCs/>
                <w:i/>
              </w:rPr>
              <w:t xml:space="preserve">Antony </w:t>
            </w:r>
            <w:proofErr w:type="spellStart"/>
            <w:r>
              <w:rPr>
                <w:rFonts w:cs="Arial"/>
                <w:bCs/>
                <w:i/>
              </w:rPr>
              <w:t>Pickthall</w:t>
            </w:r>
            <w:proofErr w:type="spellEnd"/>
            <w:r w:rsidR="001D2AE4">
              <w:rPr>
                <w:rFonts w:cs="Arial"/>
                <w:bCs/>
                <w:i/>
              </w:rPr>
              <w:t>, Head of Marketing and Communications</w:t>
            </w:r>
          </w:p>
        </w:tc>
      </w:tr>
      <w:tr w:rsidR="00E563C3" w:rsidRPr="0080348B" w:rsidTr="001D2AE4">
        <w:tc>
          <w:tcPr>
            <w:tcW w:w="1843" w:type="dxa"/>
          </w:tcPr>
          <w:p w:rsidR="00E563C3" w:rsidRDefault="00C72DB4" w:rsidP="00C72DB4">
            <w:pPr>
              <w:rPr>
                <w:rFonts w:cs="Arial"/>
                <w:b/>
                <w:bCs/>
              </w:rPr>
            </w:pPr>
            <w:r>
              <w:rPr>
                <w:rFonts w:cs="Arial"/>
                <w:b/>
                <w:bCs/>
              </w:rPr>
              <w:t>Description of the project/s</w:t>
            </w:r>
            <w:r w:rsidR="00E563C3" w:rsidRPr="0080348B">
              <w:rPr>
                <w:rFonts w:cs="Arial"/>
                <w:b/>
                <w:bCs/>
              </w:rPr>
              <w:t xml:space="preserve"> to be undertaken</w:t>
            </w:r>
          </w:p>
          <w:p w:rsidR="00755A47" w:rsidRPr="00755A47" w:rsidRDefault="00755A47" w:rsidP="00C72DB4">
            <w:pPr>
              <w:rPr>
                <w:rFonts w:cs="Arial"/>
                <w:bCs/>
              </w:rPr>
            </w:pPr>
          </w:p>
        </w:tc>
        <w:tc>
          <w:tcPr>
            <w:tcW w:w="6797" w:type="dxa"/>
          </w:tcPr>
          <w:p w:rsidR="001D2AE4" w:rsidRDefault="001D2AE4" w:rsidP="001D2AE4">
            <w:r>
              <w:rPr>
                <w:b/>
                <w:bCs/>
                <w:i/>
                <w:iCs/>
                <w:lang w:val="en-US"/>
              </w:rPr>
              <w:t>Specific details of the project/s to be delivered, with any associated milestones and targets.</w:t>
            </w:r>
          </w:p>
          <w:p w:rsidR="001D2AE4" w:rsidRDefault="001D2AE4" w:rsidP="001D2AE4">
            <w:r>
              <w:rPr>
                <w:b/>
                <w:bCs/>
                <w:lang w:val="en-US"/>
              </w:rPr>
              <w:t> </w:t>
            </w:r>
          </w:p>
          <w:p w:rsidR="001D2AE4" w:rsidRDefault="001D2AE4" w:rsidP="001D2AE4">
            <w:r>
              <w:rPr>
                <w:lang w:val="en-US"/>
              </w:rPr>
              <w:t xml:space="preserve">THSH is developing a new audience development strategy across its entire </w:t>
            </w:r>
            <w:proofErr w:type="spellStart"/>
            <w:r>
              <w:rPr>
                <w:lang w:val="en-US"/>
              </w:rPr>
              <w:t>programme</w:t>
            </w:r>
            <w:proofErr w:type="spellEnd"/>
            <w:r>
              <w:rPr>
                <w:lang w:val="en-US"/>
              </w:rPr>
              <w:t xml:space="preserve"> and the University of Birmingham cultural intern will play a key role in </w:t>
            </w:r>
            <w:proofErr w:type="gramStart"/>
            <w:r>
              <w:rPr>
                <w:lang w:val="en-US"/>
              </w:rPr>
              <w:t>progressing</w:t>
            </w:r>
            <w:proofErr w:type="gramEnd"/>
            <w:r>
              <w:rPr>
                <w:lang w:val="en-US"/>
              </w:rPr>
              <w:t xml:space="preserve"> this exciting development project. This placement is a great opportunity to work between marketing/communications and programming in busy UK music venues.</w:t>
            </w:r>
          </w:p>
          <w:p w:rsidR="001D2AE4" w:rsidRDefault="001D2AE4" w:rsidP="001D2AE4">
            <w:r>
              <w:rPr>
                <w:b/>
                <w:bCs/>
                <w:lang w:val="en-US"/>
              </w:rPr>
              <w:t> </w:t>
            </w:r>
          </w:p>
          <w:p w:rsidR="001D2AE4" w:rsidRPr="001D2AE4" w:rsidRDefault="001D2AE4" w:rsidP="001D2AE4">
            <w:pPr>
              <w:rPr>
                <w:i/>
              </w:rPr>
            </w:pPr>
            <w:r w:rsidRPr="001D2AE4">
              <w:rPr>
                <w:b/>
                <w:bCs/>
                <w:i/>
                <w:lang w:val="en-US"/>
              </w:rPr>
              <w:t xml:space="preserve">Key responsibilities will include: </w:t>
            </w:r>
          </w:p>
          <w:p w:rsidR="001D2AE4" w:rsidRDefault="001D2AE4" w:rsidP="001D2AE4">
            <w:r>
              <w:rPr>
                <w:lang w:val="en-US"/>
              </w:rPr>
              <w:t> </w:t>
            </w:r>
          </w:p>
          <w:p w:rsidR="001D2AE4" w:rsidRDefault="001D2AE4" w:rsidP="001D2AE4">
            <w:r>
              <w:rPr>
                <w:b/>
                <w:bCs/>
                <w:lang w:val="en-US"/>
              </w:rPr>
              <w:t>Audience Development mobile app</w:t>
            </w:r>
          </w:p>
          <w:p w:rsidR="001D2AE4" w:rsidRDefault="001D2AE4" w:rsidP="001D2AE4">
            <w:r>
              <w:rPr>
                <w:i/>
                <w:iCs/>
                <w:lang w:val="en-US"/>
              </w:rPr>
              <w:t>Pollen</w:t>
            </w:r>
            <w:r>
              <w:rPr>
                <w:lang w:val="en-US"/>
              </w:rPr>
              <w:t xml:space="preserve"> is THSH’s audience discovery mobile application. The app </w:t>
            </w:r>
            <w:r>
              <w:rPr>
                <w:color w:val="222222"/>
              </w:rPr>
              <w:t xml:space="preserve">enables the public to sign up for tickets from varied performing arts venues, helping to break down barriers to new audiences and give those not already engaged the chance to try something new. After attending events, visitors are asked to give feedback on their experience and this information is used to help incentivise a return visit. The app was developed in partnership with </w:t>
            </w:r>
            <w:r>
              <w:rPr>
                <w:color w:val="000000"/>
                <w:lang w:val="en-US"/>
              </w:rPr>
              <w:t xml:space="preserve">Birmingham Rep, The Drum, and CBSO, with a view to rolling it out across other member </w:t>
            </w:r>
            <w:proofErr w:type="spellStart"/>
            <w:r>
              <w:rPr>
                <w:color w:val="000000"/>
                <w:lang w:val="en-US"/>
              </w:rPr>
              <w:t>organisatio</w:t>
            </w:r>
            <w:bookmarkStart w:id="0" w:name="_GoBack"/>
            <w:bookmarkEnd w:id="0"/>
            <w:r>
              <w:rPr>
                <w:color w:val="000000"/>
                <w:lang w:val="en-US"/>
              </w:rPr>
              <w:t>ns</w:t>
            </w:r>
            <w:proofErr w:type="spellEnd"/>
            <w:r>
              <w:rPr>
                <w:color w:val="000000"/>
                <w:lang w:val="en-US"/>
              </w:rPr>
              <w:t xml:space="preserve"> of Birmingham Arts Partnership, </w:t>
            </w:r>
            <w:r>
              <w:t>a group of creative organisations seeking to strengthen every aspect of the city of Birmingham by maximising the benefits of culture.</w:t>
            </w:r>
          </w:p>
          <w:p w:rsidR="001D2AE4" w:rsidRDefault="001D2AE4" w:rsidP="001D2AE4">
            <w:r>
              <w:t> </w:t>
            </w:r>
          </w:p>
          <w:p w:rsidR="001D2AE4" w:rsidRPr="001D2AE4" w:rsidRDefault="001D2AE4" w:rsidP="001D2AE4">
            <w:r w:rsidRPr="001D2AE4">
              <w:rPr>
                <w:iCs/>
              </w:rPr>
              <w:t xml:space="preserve">The Cultural Intern will work closely with members of the Marketing team and colleagues across THSH to </w:t>
            </w:r>
            <w:proofErr w:type="gramStart"/>
            <w:r w:rsidRPr="001D2AE4">
              <w:rPr>
                <w:iCs/>
              </w:rPr>
              <w:t>plan,</w:t>
            </w:r>
            <w:proofErr w:type="gramEnd"/>
            <w:r w:rsidRPr="001D2AE4">
              <w:rPr>
                <w:iCs/>
              </w:rPr>
              <w:t xml:space="preserve"> implement and evaluate a series of emails to different customer groups over the 6 months of their placement. At the end of the placement the Cultural Intern will present </w:t>
            </w:r>
            <w:r w:rsidRPr="001D2AE4">
              <w:rPr>
                <w:iCs/>
              </w:rPr>
              <w:lastRenderedPageBreak/>
              <w:t>the findings of their project to colleagues, including a recommended action plan.</w:t>
            </w:r>
          </w:p>
          <w:p w:rsidR="001D2AE4" w:rsidRDefault="001D2AE4" w:rsidP="001D2AE4">
            <w:r>
              <w:rPr>
                <w:i/>
                <w:iCs/>
                <w:color w:val="FF0000"/>
                <w:lang w:val="en-US"/>
              </w:rPr>
              <w:t> </w:t>
            </w:r>
          </w:p>
          <w:p w:rsidR="001D2AE4" w:rsidRDefault="001D2AE4" w:rsidP="001D2AE4">
            <w:r>
              <w:rPr>
                <w:b/>
                <w:bCs/>
              </w:rPr>
              <w:t>Arts Champions Audience Development Project</w:t>
            </w:r>
          </w:p>
          <w:p w:rsidR="001D2AE4" w:rsidRDefault="001D2AE4" w:rsidP="001D2AE4">
            <w:r>
              <w:t xml:space="preserve">The first project is to assist in the planning and delivery of activity aimed at increasing event attendances from new audience groups in Sutton Coldfield, as part of PBL’s Arts Champions project.  </w:t>
            </w:r>
          </w:p>
          <w:p w:rsidR="001D2AE4" w:rsidRDefault="001D2AE4" w:rsidP="001D2AE4">
            <w:r>
              <w:t> </w:t>
            </w:r>
          </w:p>
          <w:p w:rsidR="001D2AE4" w:rsidRDefault="001D2AE4" w:rsidP="001D2AE4">
            <w:r>
              <w:t xml:space="preserve">From April 2014 to March 2017, Performances Birmingham Ltd is the ‘Arts Champion’ for Sutton Coldfield and will be undertaking a range of education and community and audience development projects in the area. The Arts Champions scheme is run in partnership with Birmingham City Council (BCC) aimed at those living in ‘priority neighbourhoods’ in Birmingham, offering residents the opportunity to engage with the city’s arts organisations.  Priority neighbourhoods are council wards that have been identified by Birmingham City Council as falling within the worst 5% of the UK for multiple deprivations. </w:t>
            </w:r>
          </w:p>
          <w:p w:rsidR="001D2AE4" w:rsidRDefault="001D2AE4" w:rsidP="001D2AE4">
            <w:r>
              <w:t> </w:t>
            </w:r>
          </w:p>
          <w:p w:rsidR="001D2AE4" w:rsidRDefault="001D2AE4" w:rsidP="001D2AE4">
            <w:r>
              <w:t xml:space="preserve">Working in partnership with BCC and community members, PBL delivers a range of education and community projects to our nominated priority neighbourhood, including schemes to encourage attendance at events at Town Hall and Symphony Hall. </w:t>
            </w:r>
          </w:p>
          <w:p w:rsidR="001D2AE4" w:rsidRPr="001D2AE4" w:rsidRDefault="001D2AE4" w:rsidP="001D2AE4">
            <w:r w:rsidRPr="001D2AE4">
              <w:t> </w:t>
            </w:r>
          </w:p>
          <w:p w:rsidR="001D2AE4" w:rsidRPr="001D2AE4" w:rsidRDefault="001D2AE4" w:rsidP="001D2AE4">
            <w:r w:rsidRPr="001D2AE4">
              <w:rPr>
                <w:iCs/>
              </w:rPr>
              <w:t>Initial planning of the Sutton Coldfield ticket scheme is underway, but it will be for the Cultural Intern to complete the planning and launch of the scheme, working with the Marketing team and members of PBL’s Education and Community team.</w:t>
            </w:r>
          </w:p>
          <w:p w:rsidR="001D2AE4" w:rsidRDefault="001D2AE4" w:rsidP="001D2AE4">
            <w:r>
              <w:rPr>
                <w:i/>
                <w:iCs/>
              </w:rPr>
              <w:t> </w:t>
            </w:r>
          </w:p>
          <w:p w:rsidR="001D2AE4" w:rsidRDefault="001D2AE4" w:rsidP="001D2AE4">
            <w:r>
              <w:t>In addition to their two principal projects, the Cultural Intern will also have the opportunity to work alongside members of the Marketing team across the range of marketing activities and events at Town Hall and Symphony Hall. This will give them an insight into arts marketing in a wider context which will underpin their delivery of their two main projects.</w:t>
            </w:r>
          </w:p>
          <w:p w:rsidR="00E563C3" w:rsidRPr="00DB04E3" w:rsidRDefault="00E563C3" w:rsidP="0052049D">
            <w:pPr>
              <w:rPr>
                <w:rFonts w:cs="Arial"/>
                <w:bCs/>
              </w:rPr>
            </w:pPr>
          </w:p>
        </w:tc>
      </w:tr>
      <w:tr w:rsidR="00D704CA" w:rsidRPr="0080348B" w:rsidTr="001D2AE4">
        <w:tc>
          <w:tcPr>
            <w:tcW w:w="1843" w:type="dxa"/>
          </w:tcPr>
          <w:p w:rsidR="00D704CA" w:rsidRDefault="00D704CA" w:rsidP="00C72DB4">
            <w:pPr>
              <w:rPr>
                <w:rFonts w:cs="Arial"/>
                <w:b/>
                <w:bCs/>
              </w:rPr>
            </w:pPr>
            <w:r>
              <w:rPr>
                <w:rFonts w:cs="Arial"/>
                <w:b/>
                <w:bCs/>
              </w:rPr>
              <w:lastRenderedPageBreak/>
              <w:t xml:space="preserve">Intern’s role within the main placement project </w:t>
            </w:r>
          </w:p>
        </w:tc>
        <w:tc>
          <w:tcPr>
            <w:tcW w:w="6797" w:type="dxa"/>
          </w:tcPr>
          <w:p w:rsidR="00D704CA" w:rsidRPr="001D2AE4" w:rsidRDefault="00D704CA" w:rsidP="00D704CA">
            <w:pPr>
              <w:rPr>
                <w:rFonts w:cs="Arial"/>
                <w:b/>
                <w:bCs/>
                <w:i/>
              </w:rPr>
            </w:pPr>
            <w:r w:rsidRPr="001D2AE4">
              <w:rPr>
                <w:rFonts w:cs="Arial"/>
                <w:b/>
                <w:bCs/>
                <w:i/>
              </w:rPr>
              <w:t>Specific details of the role to be undertaken by the intern and details of the activities that the individual will undertake.</w:t>
            </w:r>
          </w:p>
          <w:p w:rsidR="007B61B9" w:rsidRDefault="007B61B9" w:rsidP="00D704CA">
            <w:pPr>
              <w:rPr>
                <w:rFonts w:cs="Arial"/>
                <w:bCs/>
                <w:i/>
              </w:rPr>
            </w:pPr>
          </w:p>
          <w:p w:rsidR="007B61B9" w:rsidRDefault="00102AB2" w:rsidP="00D704CA">
            <w:pPr>
              <w:rPr>
                <w:rFonts w:cs="Arial"/>
                <w:bCs/>
              </w:rPr>
            </w:pPr>
            <w:r w:rsidRPr="001D2AE4">
              <w:rPr>
                <w:rFonts w:cs="Arial"/>
                <w:bCs/>
              </w:rPr>
              <w:t>The intern will be the lead person for taking the audience development strategy forwar</w:t>
            </w:r>
            <w:r w:rsidR="001D2AE4" w:rsidRPr="001D2AE4">
              <w:rPr>
                <w:rFonts w:cs="Arial"/>
                <w:bCs/>
              </w:rPr>
              <w:t>d</w:t>
            </w:r>
            <w:r w:rsidRPr="001D2AE4">
              <w:rPr>
                <w:rFonts w:cs="Arial"/>
                <w:bCs/>
              </w:rPr>
              <w:t>, working with the head of marketing &amp; Communications and the Heads of Artistic and Commercial Programming.</w:t>
            </w:r>
          </w:p>
          <w:p w:rsidR="001D2AE4" w:rsidRPr="001D2AE4" w:rsidRDefault="001D2AE4" w:rsidP="00D704CA">
            <w:pPr>
              <w:rPr>
                <w:rFonts w:cs="Arial"/>
                <w:bCs/>
              </w:rPr>
            </w:pPr>
          </w:p>
          <w:p w:rsidR="007B61B9" w:rsidRPr="0080348B" w:rsidRDefault="007B61B9" w:rsidP="00D704CA">
            <w:pPr>
              <w:rPr>
                <w:rFonts w:cs="Arial"/>
                <w:bCs/>
                <w:i/>
              </w:rPr>
            </w:pPr>
          </w:p>
        </w:tc>
      </w:tr>
      <w:tr w:rsidR="00C72DB4" w:rsidRPr="0080348B" w:rsidTr="001D2AE4">
        <w:tc>
          <w:tcPr>
            <w:tcW w:w="1843" w:type="dxa"/>
          </w:tcPr>
          <w:p w:rsidR="00C72DB4" w:rsidRPr="0080348B" w:rsidRDefault="00C72DB4" w:rsidP="00D37335">
            <w:pPr>
              <w:rPr>
                <w:rFonts w:cs="Arial"/>
                <w:b/>
                <w:bCs/>
              </w:rPr>
            </w:pPr>
            <w:r w:rsidRPr="0080348B">
              <w:rPr>
                <w:rFonts w:cs="Arial"/>
                <w:b/>
                <w:bCs/>
              </w:rPr>
              <w:lastRenderedPageBreak/>
              <w:t xml:space="preserve">Purpose of the </w:t>
            </w:r>
            <w:r w:rsidR="008C6A00">
              <w:rPr>
                <w:rFonts w:cs="Arial"/>
                <w:b/>
                <w:bCs/>
              </w:rPr>
              <w:t>p</w:t>
            </w:r>
            <w:r>
              <w:rPr>
                <w:rFonts w:cs="Arial"/>
                <w:b/>
                <w:bCs/>
              </w:rPr>
              <w:t>lacement</w:t>
            </w:r>
          </w:p>
        </w:tc>
        <w:tc>
          <w:tcPr>
            <w:tcW w:w="6797" w:type="dxa"/>
          </w:tcPr>
          <w:p w:rsidR="00C72DB4" w:rsidRPr="001D2AE4" w:rsidRDefault="00C72DB4" w:rsidP="00D37335">
            <w:pPr>
              <w:rPr>
                <w:rFonts w:cs="Arial"/>
                <w:b/>
                <w:bCs/>
                <w:i/>
              </w:rPr>
            </w:pPr>
            <w:r w:rsidRPr="001D2AE4">
              <w:rPr>
                <w:rFonts w:cs="Arial"/>
                <w:b/>
                <w:bCs/>
                <w:i/>
              </w:rPr>
              <w:t>What will the intern gain from the placement, to be described in</w:t>
            </w:r>
            <w:r w:rsidR="000177A2" w:rsidRPr="001D2AE4">
              <w:rPr>
                <w:rFonts w:cs="Arial"/>
                <w:b/>
                <w:bCs/>
                <w:i/>
              </w:rPr>
              <w:t xml:space="preserve"> terms </w:t>
            </w:r>
            <w:r w:rsidR="001D2AE4">
              <w:rPr>
                <w:rFonts w:cs="Arial"/>
                <w:b/>
                <w:bCs/>
                <w:i/>
              </w:rPr>
              <w:t xml:space="preserve">of skills, knowledge, </w:t>
            </w:r>
            <w:proofErr w:type="gramStart"/>
            <w:r w:rsidR="001D2AE4">
              <w:rPr>
                <w:rFonts w:cs="Arial"/>
                <w:b/>
                <w:bCs/>
                <w:i/>
              </w:rPr>
              <w:t>experience</w:t>
            </w:r>
            <w:r w:rsidR="000177A2" w:rsidRPr="001D2AE4">
              <w:rPr>
                <w:rFonts w:cs="Arial"/>
                <w:b/>
                <w:bCs/>
                <w:i/>
              </w:rPr>
              <w:t xml:space="preserve"> ,</w:t>
            </w:r>
            <w:proofErr w:type="gramEnd"/>
            <w:r w:rsidR="000177A2" w:rsidRPr="001D2AE4">
              <w:rPr>
                <w:rFonts w:cs="Arial"/>
                <w:b/>
                <w:bCs/>
                <w:i/>
              </w:rPr>
              <w:t xml:space="preserve"> </w:t>
            </w:r>
            <w:r w:rsidRPr="001D2AE4">
              <w:rPr>
                <w:rFonts w:cs="Arial"/>
                <w:b/>
                <w:bCs/>
                <w:i/>
              </w:rPr>
              <w:t>competencies</w:t>
            </w:r>
            <w:r w:rsidR="000177A2" w:rsidRPr="001D2AE4">
              <w:rPr>
                <w:rFonts w:cs="Arial"/>
                <w:b/>
                <w:bCs/>
                <w:i/>
              </w:rPr>
              <w:t xml:space="preserve"> and networks </w:t>
            </w:r>
            <w:r w:rsidRPr="001D2AE4">
              <w:rPr>
                <w:rFonts w:cs="Arial"/>
                <w:b/>
                <w:bCs/>
                <w:i/>
              </w:rPr>
              <w:t>to be developed</w:t>
            </w:r>
            <w:r w:rsidR="000177A2" w:rsidRPr="001D2AE4">
              <w:rPr>
                <w:rFonts w:cs="Arial"/>
                <w:b/>
                <w:bCs/>
                <w:i/>
              </w:rPr>
              <w:t>.</w:t>
            </w:r>
          </w:p>
          <w:p w:rsidR="00C72DB4" w:rsidRDefault="00C72DB4" w:rsidP="00D37335">
            <w:pPr>
              <w:rPr>
                <w:rFonts w:cs="Arial"/>
                <w:bCs/>
                <w:i/>
              </w:rPr>
            </w:pPr>
          </w:p>
          <w:p w:rsidR="00D504BD" w:rsidRPr="001D2AE4" w:rsidRDefault="00D504BD" w:rsidP="00D37335">
            <w:pPr>
              <w:rPr>
                <w:rFonts w:cs="Arial"/>
                <w:bCs/>
              </w:rPr>
            </w:pPr>
            <w:r w:rsidRPr="001D2AE4">
              <w:rPr>
                <w:rFonts w:cs="Arial"/>
                <w:bCs/>
              </w:rPr>
              <w:t>The intern will gain valuable insight into the development of audience development strategies design to encourage new audiences from key target groups. The intern will acquire strong marketing, communications and Customer Insight skills alongside an appreciation of the role of programming.</w:t>
            </w:r>
          </w:p>
          <w:p w:rsidR="00D504BD" w:rsidRPr="001D2AE4" w:rsidRDefault="00D504BD" w:rsidP="00D37335">
            <w:pPr>
              <w:rPr>
                <w:rFonts w:cs="Arial"/>
                <w:bCs/>
              </w:rPr>
            </w:pPr>
          </w:p>
          <w:p w:rsidR="00D504BD" w:rsidRPr="001D2AE4" w:rsidRDefault="00D504BD" w:rsidP="00D37335">
            <w:pPr>
              <w:rPr>
                <w:rFonts w:cs="Arial"/>
                <w:bCs/>
              </w:rPr>
            </w:pPr>
            <w:r w:rsidRPr="001D2AE4">
              <w:rPr>
                <w:rFonts w:cs="Arial"/>
                <w:bCs/>
              </w:rPr>
              <w:t>The role will also develop the intern’s research and report writing skills.</w:t>
            </w:r>
          </w:p>
          <w:p w:rsidR="00C72DB4" w:rsidRPr="0080348B" w:rsidRDefault="00C72DB4" w:rsidP="00D37335">
            <w:pPr>
              <w:rPr>
                <w:rFonts w:cs="Arial"/>
                <w:bCs/>
                <w:i/>
              </w:rPr>
            </w:pPr>
          </w:p>
        </w:tc>
      </w:tr>
      <w:tr w:rsidR="00E563C3" w:rsidRPr="0080348B" w:rsidTr="001D2AE4">
        <w:tc>
          <w:tcPr>
            <w:tcW w:w="1843" w:type="dxa"/>
          </w:tcPr>
          <w:p w:rsidR="00E563C3" w:rsidRPr="0080348B" w:rsidRDefault="00E563C3" w:rsidP="006D621C">
            <w:pPr>
              <w:rPr>
                <w:rFonts w:cs="Arial"/>
                <w:b/>
                <w:bCs/>
              </w:rPr>
            </w:pPr>
            <w:r w:rsidRPr="0080348B">
              <w:rPr>
                <w:rFonts w:cs="Arial"/>
                <w:b/>
                <w:bCs/>
              </w:rPr>
              <w:t xml:space="preserve">Benefit to </w:t>
            </w:r>
            <w:r>
              <w:rPr>
                <w:rFonts w:cs="Arial"/>
                <w:b/>
                <w:bCs/>
              </w:rPr>
              <w:t>the</w:t>
            </w:r>
            <w:r w:rsidR="008C6A00">
              <w:rPr>
                <w:rFonts w:cs="Arial"/>
                <w:b/>
                <w:bCs/>
              </w:rPr>
              <w:t xml:space="preserve"> o</w:t>
            </w:r>
            <w:r w:rsidRPr="0080348B">
              <w:rPr>
                <w:rFonts w:cs="Arial"/>
                <w:b/>
                <w:bCs/>
              </w:rPr>
              <w:t>rganisation</w:t>
            </w:r>
          </w:p>
        </w:tc>
        <w:tc>
          <w:tcPr>
            <w:tcW w:w="6797" w:type="dxa"/>
          </w:tcPr>
          <w:p w:rsidR="00E563C3" w:rsidRDefault="00E563C3" w:rsidP="006D621C">
            <w:pPr>
              <w:rPr>
                <w:rFonts w:cs="Arial"/>
                <w:b/>
                <w:bCs/>
                <w:i/>
              </w:rPr>
            </w:pPr>
            <w:r w:rsidRPr="001D2AE4">
              <w:rPr>
                <w:rFonts w:cs="Arial"/>
                <w:b/>
                <w:bCs/>
                <w:i/>
              </w:rPr>
              <w:t>Describe how the organisation  will benefit from the placement</w:t>
            </w:r>
          </w:p>
          <w:p w:rsidR="001D2AE4" w:rsidRPr="001D2AE4" w:rsidRDefault="001D2AE4" w:rsidP="006D621C">
            <w:pPr>
              <w:rPr>
                <w:rFonts w:cs="Arial"/>
                <w:b/>
                <w:bCs/>
                <w:i/>
              </w:rPr>
            </w:pPr>
          </w:p>
          <w:p w:rsidR="00C72DB4" w:rsidRPr="001D2AE4" w:rsidRDefault="00D504BD" w:rsidP="006D621C">
            <w:pPr>
              <w:rPr>
                <w:rFonts w:cs="Arial"/>
                <w:bCs/>
              </w:rPr>
            </w:pPr>
            <w:r w:rsidRPr="001D2AE4">
              <w:rPr>
                <w:rFonts w:cs="Arial"/>
                <w:bCs/>
              </w:rPr>
              <w:t>THSH will be able to ensure it has the capacity to develop a new audience develop strategy and to focus some of that activity on key geographical areas e.g. Sutton Coldfield and Ladywood.</w:t>
            </w:r>
          </w:p>
          <w:p w:rsidR="00C72DB4" w:rsidRPr="0080348B" w:rsidRDefault="00C72DB4" w:rsidP="006D621C">
            <w:pPr>
              <w:rPr>
                <w:rFonts w:cs="Arial"/>
                <w:bCs/>
                <w:i/>
              </w:rPr>
            </w:pPr>
          </w:p>
        </w:tc>
      </w:tr>
    </w:tbl>
    <w:p w:rsidR="00E563C3" w:rsidRPr="0080348B" w:rsidRDefault="00E563C3" w:rsidP="008C6A00">
      <w:pPr>
        <w:jc w:val="both"/>
        <w:rPr>
          <w:rFonts w:cs="Arial"/>
        </w:rPr>
      </w:pPr>
      <w:r w:rsidRPr="0080348B">
        <w:rPr>
          <w:rFonts w:cs="Arial"/>
        </w:rPr>
        <w:t> </w:t>
      </w:r>
    </w:p>
    <w:p w:rsidR="001D2AE4" w:rsidRDefault="00E563C3" w:rsidP="00E95313">
      <w:pPr>
        <w:rPr>
          <w:rFonts w:cs="Arial"/>
          <w:b/>
          <w:i/>
          <w:color w:val="FF0000"/>
        </w:rPr>
      </w:pPr>
      <w:r>
        <w:rPr>
          <w:rFonts w:cs="Arial"/>
          <w:b/>
        </w:rPr>
        <w:t>Training Activity Ch</w:t>
      </w:r>
      <w:r w:rsidRPr="0080348B">
        <w:rPr>
          <w:rFonts w:cs="Arial"/>
          <w:b/>
        </w:rPr>
        <w:t>ecklist</w:t>
      </w:r>
      <w:r w:rsidR="00C72DB4">
        <w:rPr>
          <w:rFonts w:cs="Arial"/>
          <w:b/>
        </w:rPr>
        <w:t xml:space="preserve"> </w:t>
      </w:r>
      <w:r>
        <w:rPr>
          <w:rFonts w:cs="Arial"/>
          <w:b/>
        </w:rPr>
        <w:t xml:space="preserve"> </w:t>
      </w:r>
    </w:p>
    <w:p w:rsidR="001D2AE4" w:rsidRPr="001D2AE4" w:rsidRDefault="001D2AE4" w:rsidP="00E95313">
      <w:pPr>
        <w:rPr>
          <w:rFonts w:cs="Arial"/>
          <w:b/>
          <w:i/>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E563C3" w:rsidRPr="0080348B" w:rsidTr="008C6A00">
        <w:trPr>
          <w:cantSplit/>
        </w:trPr>
        <w:tc>
          <w:tcPr>
            <w:tcW w:w="3369" w:type="dxa"/>
            <w:shd w:val="clear" w:color="auto" w:fill="92CDDC" w:themeFill="accent5" w:themeFillTint="99"/>
          </w:tcPr>
          <w:p w:rsidR="00E563C3" w:rsidRPr="0080348B" w:rsidRDefault="00E563C3" w:rsidP="006C1D43">
            <w:pPr>
              <w:rPr>
                <w:rFonts w:cs="Arial"/>
                <w:b/>
                <w:bCs/>
              </w:rPr>
            </w:pPr>
            <w:r>
              <w:rPr>
                <w:rFonts w:cs="Arial"/>
                <w:b/>
                <w:bCs/>
              </w:rPr>
              <w:t>Category :</w:t>
            </w:r>
          </w:p>
        </w:tc>
        <w:tc>
          <w:tcPr>
            <w:tcW w:w="5386" w:type="dxa"/>
            <w:shd w:val="clear" w:color="auto" w:fill="92CDDC" w:themeFill="accent5" w:themeFillTint="99"/>
          </w:tcPr>
          <w:p w:rsidR="00E563C3" w:rsidRPr="0080348B" w:rsidRDefault="00E563C3" w:rsidP="0052049D">
            <w:pPr>
              <w:rPr>
                <w:rFonts w:cs="Arial"/>
                <w:b/>
                <w:bCs/>
              </w:rPr>
            </w:pPr>
            <w:r>
              <w:rPr>
                <w:rFonts w:cs="Arial"/>
                <w:b/>
                <w:bCs/>
              </w:rPr>
              <w:t>Training Activities</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Marketing and publicity</w:t>
            </w:r>
          </w:p>
        </w:tc>
        <w:tc>
          <w:tcPr>
            <w:tcW w:w="5386" w:type="dxa"/>
          </w:tcPr>
          <w:p w:rsidR="008C6A00" w:rsidRPr="0080348B" w:rsidRDefault="008C6A00" w:rsidP="0052049D">
            <w:pPr>
              <w:rPr>
                <w:rFonts w:cs="Arial"/>
              </w:rPr>
            </w:pPr>
            <w:r w:rsidRPr="0080348B">
              <w:rPr>
                <w:rFonts w:cs="Arial"/>
              </w:rPr>
              <w:t>Market research</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Marketing and promotions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Audience development</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E37C2C" w:rsidP="0052049D">
            <w:pPr>
              <w:rPr>
                <w:rFonts w:cs="Arial"/>
              </w:rPr>
            </w:pPr>
            <w:r w:rsidRPr="00E37C2C">
              <w:rPr>
                <w:rFonts w:cs="Arial"/>
              </w:rPr>
              <w:t>Managing or maintaining database</w:t>
            </w:r>
          </w:p>
        </w:tc>
      </w:tr>
      <w:tr w:rsidR="008C6A00" w:rsidRPr="0080348B" w:rsidTr="006C1D43">
        <w:trPr>
          <w:cantSplit/>
        </w:trPr>
        <w:tc>
          <w:tcPr>
            <w:tcW w:w="3369" w:type="dxa"/>
            <w:vMerge w:val="restart"/>
          </w:tcPr>
          <w:p w:rsidR="008C6A00" w:rsidRPr="0080348B" w:rsidRDefault="008C6A00" w:rsidP="0052049D">
            <w:pPr>
              <w:rPr>
                <w:rFonts w:cs="Arial"/>
              </w:rPr>
            </w:pPr>
            <w:r w:rsidRPr="0080348B">
              <w:rPr>
                <w:rFonts w:cs="Arial"/>
              </w:rPr>
              <w:t>Events</w:t>
            </w:r>
          </w:p>
        </w:tc>
        <w:tc>
          <w:tcPr>
            <w:tcW w:w="5386" w:type="dxa"/>
          </w:tcPr>
          <w:p w:rsidR="008C6A00" w:rsidRPr="0080348B" w:rsidRDefault="008C6A00" w:rsidP="0052049D">
            <w:pPr>
              <w:rPr>
                <w:rFonts w:cs="Arial"/>
              </w:rPr>
            </w:pPr>
            <w:r w:rsidRPr="0080348B">
              <w:rPr>
                <w:rFonts w:cs="Arial"/>
              </w:rPr>
              <w:t>Event coordination</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Event delivery</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Production assistance (performing arts)</w:t>
            </w:r>
          </w:p>
        </w:tc>
      </w:tr>
      <w:tr w:rsidR="008C6A00" w:rsidRPr="0080348B" w:rsidTr="006C1D43">
        <w:trPr>
          <w:cantSplit/>
        </w:trPr>
        <w:tc>
          <w:tcPr>
            <w:tcW w:w="3369" w:type="dxa"/>
            <w:vMerge w:val="restart"/>
          </w:tcPr>
          <w:p w:rsidR="008C6A00" w:rsidRDefault="008C6A00" w:rsidP="0052049D">
            <w:pPr>
              <w:rPr>
                <w:rFonts w:cs="Arial"/>
              </w:rPr>
            </w:pPr>
            <w:r w:rsidRPr="0080348B">
              <w:rPr>
                <w:rFonts w:cs="Arial"/>
              </w:rPr>
              <w:t>Access and Interpretation</w:t>
            </w:r>
          </w:p>
          <w:p w:rsidR="008C6A00" w:rsidRDefault="008C6A00" w:rsidP="0052049D">
            <w:pPr>
              <w:rPr>
                <w:rFonts w:cs="Arial"/>
              </w:rPr>
            </w:pPr>
          </w:p>
          <w:p w:rsidR="008C6A00" w:rsidRDefault="008C6A00" w:rsidP="0052049D">
            <w:pPr>
              <w:rPr>
                <w:rFonts w:cs="Arial"/>
              </w:rPr>
            </w:pPr>
          </w:p>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To deliver or assist with the delivery of education and outreach programmes</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 xml:space="preserve">Population of website </w:t>
            </w:r>
          </w:p>
        </w:tc>
      </w:tr>
      <w:tr w:rsidR="008C6A00" w:rsidRPr="0080348B" w:rsidTr="006C1D43">
        <w:trPr>
          <w:cantSplit/>
        </w:trPr>
        <w:tc>
          <w:tcPr>
            <w:tcW w:w="3369" w:type="dxa"/>
            <w:vMerge/>
          </w:tcPr>
          <w:p w:rsidR="008C6A00" w:rsidRPr="0080348B" w:rsidRDefault="008C6A00" w:rsidP="0052049D">
            <w:pPr>
              <w:rPr>
                <w:rFonts w:cs="Arial"/>
              </w:rPr>
            </w:pPr>
          </w:p>
        </w:tc>
        <w:tc>
          <w:tcPr>
            <w:tcW w:w="5386" w:type="dxa"/>
          </w:tcPr>
          <w:p w:rsidR="008C6A00" w:rsidRPr="0080348B" w:rsidRDefault="008C6A00" w:rsidP="0052049D">
            <w:pPr>
              <w:rPr>
                <w:rFonts w:cs="Arial"/>
              </w:rPr>
            </w:pPr>
            <w:r w:rsidRPr="0080348B">
              <w:rPr>
                <w:rFonts w:cs="Arial"/>
              </w:rPr>
              <w:t>Social media</w:t>
            </w:r>
          </w:p>
        </w:tc>
      </w:tr>
      <w:tr w:rsidR="008C6A00" w:rsidRPr="0080348B" w:rsidTr="006C1D43">
        <w:trPr>
          <w:cantSplit/>
        </w:trPr>
        <w:tc>
          <w:tcPr>
            <w:tcW w:w="3369" w:type="dxa"/>
          </w:tcPr>
          <w:p w:rsidR="008C6A00" w:rsidRPr="0080348B" w:rsidRDefault="008C6A00" w:rsidP="0052049D">
            <w:pPr>
              <w:rPr>
                <w:rFonts w:cs="Arial"/>
              </w:rPr>
            </w:pPr>
            <w:r w:rsidRPr="0080348B">
              <w:rPr>
                <w:rFonts w:cs="Arial"/>
              </w:rPr>
              <w:t>Policy and Finance</w:t>
            </w:r>
          </w:p>
        </w:tc>
        <w:tc>
          <w:tcPr>
            <w:tcW w:w="5386" w:type="dxa"/>
          </w:tcPr>
          <w:p w:rsidR="008C6A00" w:rsidRPr="0080348B" w:rsidRDefault="00E37C2C" w:rsidP="0052049D">
            <w:pPr>
              <w:rPr>
                <w:rFonts w:cs="Arial"/>
              </w:rPr>
            </w:pPr>
            <w:r>
              <w:rPr>
                <w:rFonts w:cs="Arial"/>
              </w:rPr>
              <w:t>Development of policy associated with audience development and the ability to target under represented audiences/participants</w:t>
            </w:r>
          </w:p>
        </w:tc>
      </w:tr>
      <w:tr w:rsidR="00D504BD" w:rsidRPr="0080348B" w:rsidTr="006C1D43">
        <w:trPr>
          <w:cantSplit/>
        </w:trPr>
        <w:tc>
          <w:tcPr>
            <w:tcW w:w="3369" w:type="dxa"/>
            <w:vMerge w:val="restart"/>
          </w:tcPr>
          <w:p w:rsidR="00D504BD" w:rsidRPr="0080348B" w:rsidRDefault="00D504BD" w:rsidP="0052049D">
            <w:pPr>
              <w:rPr>
                <w:rFonts w:cs="Arial"/>
              </w:rPr>
            </w:pPr>
            <w:r w:rsidRPr="0080348B">
              <w:rPr>
                <w:rFonts w:cs="Arial"/>
              </w:rPr>
              <w:t>Administration and Other</w:t>
            </w:r>
          </w:p>
        </w:tc>
        <w:tc>
          <w:tcPr>
            <w:tcW w:w="5386" w:type="dxa"/>
          </w:tcPr>
          <w:p w:rsidR="00D504BD" w:rsidRPr="0080348B" w:rsidRDefault="00D504BD" w:rsidP="0052049D">
            <w:pPr>
              <w:rPr>
                <w:rFonts w:cs="Arial"/>
              </w:rPr>
            </w:pPr>
            <w:r w:rsidRPr="0080348B">
              <w:rPr>
                <w:rFonts w:cs="Arial"/>
              </w:rPr>
              <w:t>Project management</w:t>
            </w:r>
          </w:p>
        </w:tc>
      </w:tr>
      <w:tr w:rsidR="00D504BD" w:rsidRPr="0080348B" w:rsidTr="006C1D43">
        <w:trPr>
          <w:cantSplit/>
        </w:trPr>
        <w:tc>
          <w:tcPr>
            <w:tcW w:w="3369" w:type="dxa"/>
            <w:vMerge/>
          </w:tcPr>
          <w:p w:rsidR="00D504BD" w:rsidRPr="0080348B" w:rsidRDefault="00D504BD" w:rsidP="0052049D">
            <w:pPr>
              <w:rPr>
                <w:rFonts w:cs="Arial"/>
              </w:rPr>
            </w:pPr>
          </w:p>
        </w:tc>
        <w:tc>
          <w:tcPr>
            <w:tcW w:w="5386" w:type="dxa"/>
          </w:tcPr>
          <w:p w:rsidR="00D504BD" w:rsidRPr="0080348B" w:rsidRDefault="00D504BD" w:rsidP="0052049D">
            <w:pPr>
              <w:rPr>
                <w:rFonts w:cs="Arial"/>
              </w:rPr>
            </w:pPr>
            <w:r w:rsidRPr="0080348B">
              <w:rPr>
                <w:rFonts w:cs="Arial"/>
              </w:rPr>
              <w:t>Writing or editing</w:t>
            </w:r>
          </w:p>
        </w:tc>
      </w:tr>
      <w:tr w:rsidR="00D504BD" w:rsidRPr="0080348B" w:rsidTr="006C1D43">
        <w:trPr>
          <w:cantSplit/>
        </w:trPr>
        <w:tc>
          <w:tcPr>
            <w:tcW w:w="3369" w:type="dxa"/>
            <w:vMerge/>
          </w:tcPr>
          <w:p w:rsidR="00D504BD" w:rsidRPr="0080348B" w:rsidRDefault="00D504BD" w:rsidP="0052049D">
            <w:pPr>
              <w:rPr>
                <w:rFonts w:cs="Arial"/>
              </w:rPr>
            </w:pPr>
          </w:p>
        </w:tc>
        <w:tc>
          <w:tcPr>
            <w:tcW w:w="5386" w:type="dxa"/>
          </w:tcPr>
          <w:p w:rsidR="00D504BD" w:rsidRPr="0080348B" w:rsidRDefault="00D504BD" w:rsidP="0052049D">
            <w:pPr>
              <w:rPr>
                <w:rFonts w:cs="Arial"/>
              </w:rPr>
            </w:pPr>
            <w:r w:rsidRPr="0080348B">
              <w:rPr>
                <w:rFonts w:cs="Arial"/>
              </w:rPr>
              <w:t>Organising meetings</w:t>
            </w:r>
          </w:p>
        </w:tc>
      </w:tr>
    </w:tbl>
    <w:p w:rsidR="001D2AE4" w:rsidRDefault="001D2AE4" w:rsidP="00E95313">
      <w:pPr>
        <w:rPr>
          <w:rFonts w:cs="Arial"/>
        </w:rPr>
      </w:pPr>
    </w:p>
    <w:p w:rsidR="001D2AE4" w:rsidRDefault="001D2AE4" w:rsidP="00E95313">
      <w:pPr>
        <w:rPr>
          <w:rFonts w:cs="Arial"/>
        </w:rPr>
      </w:pPr>
    </w:p>
    <w:p w:rsidR="001D2AE4" w:rsidRDefault="001D2AE4" w:rsidP="00E95313">
      <w:pPr>
        <w:rPr>
          <w:rFonts w:cs="Arial"/>
        </w:rPr>
      </w:pPr>
    </w:p>
    <w:p w:rsidR="001D2AE4" w:rsidRDefault="001D2AE4" w:rsidP="00E95313">
      <w:pPr>
        <w:rPr>
          <w:rFonts w:cs="Arial"/>
        </w:rPr>
      </w:pPr>
    </w:p>
    <w:p w:rsidR="00E563C3" w:rsidRPr="0080348B" w:rsidRDefault="00E563C3" w:rsidP="00E95313">
      <w:pPr>
        <w:rPr>
          <w:rFonts w:cs="Arial"/>
          <w:b/>
        </w:rPr>
      </w:pPr>
      <w:r w:rsidRPr="0080348B">
        <w:rPr>
          <w:rFonts w:cs="Arial"/>
          <w:b/>
        </w:rPr>
        <w:lastRenderedPageBreak/>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p>
    <w:p w:rsidR="00E563C3" w:rsidRPr="0080348B" w:rsidRDefault="00E563C3" w:rsidP="00E95313">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563C3" w:rsidRPr="0080348B" w:rsidTr="0052049D">
        <w:trPr>
          <w:cantSplit/>
        </w:trPr>
        <w:tc>
          <w:tcPr>
            <w:tcW w:w="4968" w:type="dxa"/>
          </w:tcPr>
          <w:p w:rsidR="00E563C3" w:rsidRPr="0080348B" w:rsidRDefault="00E563C3" w:rsidP="0052049D">
            <w:pPr>
              <w:rPr>
                <w:rFonts w:cs="Arial"/>
                <w:b/>
                <w:bCs/>
              </w:rPr>
            </w:pPr>
          </w:p>
        </w:tc>
        <w:tc>
          <w:tcPr>
            <w:tcW w:w="1800" w:type="dxa"/>
          </w:tcPr>
          <w:p w:rsidR="00E563C3" w:rsidRPr="0080348B" w:rsidRDefault="00E563C3" w:rsidP="0052049D">
            <w:pPr>
              <w:rPr>
                <w:rFonts w:cs="Arial"/>
                <w:b/>
                <w:bCs/>
              </w:rPr>
            </w:pPr>
            <w:r w:rsidRPr="0080348B">
              <w:rPr>
                <w:rFonts w:cs="Arial"/>
                <w:b/>
                <w:bCs/>
              </w:rPr>
              <w:t>Some relevance</w:t>
            </w:r>
          </w:p>
        </w:tc>
        <w:tc>
          <w:tcPr>
            <w:tcW w:w="1800" w:type="dxa"/>
          </w:tcPr>
          <w:p w:rsidR="00E563C3" w:rsidRPr="0080348B" w:rsidRDefault="00E563C3" w:rsidP="0052049D">
            <w:pPr>
              <w:rPr>
                <w:rFonts w:cs="Arial"/>
                <w:b/>
                <w:bCs/>
              </w:rPr>
            </w:pPr>
            <w:r w:rsidRPr="0080348B">
              <w:rPr>
                <w:rFonts w:cs="Arial"/>
                <w:b/>
                <w:bCs/>
              </w:rPr>
              <w:t>Very relevant</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Oral communication (including telephone)</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Written communication</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Writing/editing for publication (e.g. web, promotional materials)</w:t>
            </w:r>
          </w:p>
        </w:tc>
        <w:tc>
          <w:tcPr>
            <w:tcW w:w="1800" w:type="dxa"/>
          </w:tcPr>
          <w:p w:rsidR="00E563C3" w:rsidRPr="0080348B" w:rsidRDefault="00E37C2C"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Team working</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Finance</w:t>
            </w:r>
          </w:p>
        </w:tc>
        <w:tc>
          <w:tcPr>
            <w:tcW w:w="1800"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Marketing</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Public relations</w:t>
            </w:r>
          </w:p>
        </w:tc>
        <w:tc>
          <w:tcPr>
            <w:tcW w:w="1800" w:type="dxa"/>
          </w:tcPr>
          <w:p w:rsidR="00E563C3" w:rsidRPr="0080348B" w:rsidRDefault="00E37C2C"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Social networking</w:t>
            </w:r>
          </w:p>
        </w:tc>
        <w:tc>
          <w:tcPr>
            <w:tcW w:w="1800" w:type="dxa"/>
          </w:tcPr>
          <w:p w:rsidR="00E563C3" w:rsidRPr="0080348B" w:rsidRDefault="00E37C2C"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Research skills</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Problem solving</w:t>
            </w:r>
          </w:p>
        </w:tc>
        <w:tc>
          <w:tcPr>
            <w:tcW w:w="1800" w:type="dxa"/>
          </w:tcPr>
          <w:p w:rsidR="00E563C3" w:rsidRPr="0080348B" w:rsidRDefault="00E37C2C"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 xml:space="preserve">Innovation (e.g. helping organization to develop its services) </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Entrepreneurship</w:t>
            </w:r>
          </w:p>
        </w:tc>
        <w:tc>
          <w:tcPr>
            <w:tcW w:w="1800" w:type="dxa"/>
          </w:tcPr>
          <w:p w:rsidR="00E563C3" w:rsidRPr="0080348B" w:rsidRDefault="00E563C3" w:rsidP="0052049D">
            <w:pPr>
              <w:rPr>
                <w:rFonts w:cs="Arial"/>
              </w:rPr>
            </w:pP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Personal initiative</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Use of a second language</w:t>
            </w:r>
          </w:p>
        </w:tc>
        <w:tc>
          <w:tcPr>
            <w:tcW w:w="1800" w:type="dxa"/>
          </w:tcPr>
          <w:p w:rsidR="00E563C3" w:rsidRPr="0080348B" w:rsidRDefault="00E37C2C" w:rsidP="0052049D">
            <w:pPr>
              <w:rPr>
                <w:rFonts w:cs="Arial"/>
              </w:rPr>
            </w:pPr>
            <w:r>
              <w:rPr>
                <w:rFonts w:cs="Arial"/>
              </w:rPr>
              <w:t>x</w:t>
            </w:r>
          </w:p>
        </w:tc>
        <w:tc>
          <w:tcPr>
            <w:tcW w:w="1800" w:type="dxa"/>
          </w:tcPr>
          <w:p w:rsidR="00E563C3" w:rsidRPr="0080348B" w:rsidRDefault="00E563C3" w:rsidP="0052049D">
            <w:pPr>
              <w:rPr>
                <w:rFonts w:cs="Arial"/>
              </w:rPr>
            </w:pPr>
          </w:p>
        </w:tc>
      </w:tr>
      <w:tr w:rsidR="00E563C3" w:rsidRPr="0080348B" w:rsidTr="0052049D">
        <w:trPr>
          <w:cantSplit/>
        </w:trPr>
        <w:tc>
          <w:tcPr>
            <w:tcW w:w="4968" w:type="dxa"/>
          </w:tcPr>
          <w:p w:rsidR="00E563C3" w:rsidRPr="0080348B" w:rsidRDefault="00E563C3" w:rsidP="0052049D">
            <w:pPr>
              <w:rPr>
                <w:rFonts w:cs="Arial"/>
              </w:rPr>
            </w:pPr>
            <w:r w:rsidRPr="0080348B">
              <w:rPr>
                <w:rFonts w:cs="Arial"/>
              </w:rPr>
              <w:t>IT skills</w:t>
            </w:r>
          </w:p>
        </w:tc>
        <w:tc>
          <w:tcPr>
            <w:tcW w:w="1800" w:type="dxa"/>
          </w:tcPr>
          <w:p w:rsidR="00E563C3" w:rsidRPr="0080348B" w:rsidRDefault="00E563C3" w:rsidP="0052049D">
            <w:pPr>
              <w:rPr>
                <w:rFonts w:cs="Arial"/>
              </w:rPr>
            </w:pPr>
          </w:p>
        </w:tc>
        <w:tc>
          <w:tcPr>
            <w:tcW w:w="1800" w:type="dxa"/>
          </w:tcPr>
          <w:p w:rsidR="00E563C3" w:rsidRPr="0080348B" w:rsidRDefault="00E37C2C" w:rsidP="0052049D">
            <w:pPr>
              <w:rPr>
                <w:rFonts w:cs="Arial"/>
              </w:rPr>
            </w:pPr>
            <w:r>
              <w:rPr>
                <w:rFonts w:cs="Arial"/>
              </w:rPr>
              <w:t>x</w:t>
            </w:r>
          </w:p>
        </w:tc>
      </w:tr>
    </w:tbl>
    <w:p w:rsidR="00E563C3" w:rsidRPr="0080348B" w:rsidRDefault="00E563C3" w:rsidP="00E95313">
      <w:pPr>
        <w:rPr>
          <w:rFonts w:cs="Arial"/>
        </w:rPr>
      </w:pPr>
    </w:p>
    <w:p w:rsidR="00E563C3" w:rsidRPr="0080348B" w:rsidRDefault="00E563C3" w:rsidP="00E95313">
      <w:pPr>
        <w:rPr>
          <w:rFonts w:cs="Arial"/>
        </w:rPr>
      </w:pPr>
    </w:p>
    <w:sectPr w:rsidR="00E563C3" w:rsidRPr="0080348B"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F34" w:rsidRDefault="006D2F34" w:rsidP="0052049D">
      <w:r>
        <w:separator/>
      </w:r>
    </w:p>
  </w:endnote>
  <w:endnote w:type="continuationSeparator" w:id="0">
    <w:p w:rsidR="006D2F34" w:rsidRDefault="006D2F34"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C3" w:rsidRDefault="00E563C3">
    <w:pPr>
      <w:pStyle w:val="Footer"/>
    </w:pPr>
    <w:r>
      <w:tab/>
      <w:t xml:space="preserve">                                                                                                              </w:t>
    </w:r>
  </w:p>
  <w:p w:rsidR="00E563C3" w:rsidRPr="00DB04E3" w:rsidRDefault="00E563C3">
    <w:pPr>
      <w:pStyle w:val="Footer"/>
      <w:rPr>
        <w:rFonts w:ascii="Times New Roman" w:hAnsi="Times New Roman"/>
      </w:rPr>
    </w:pPr>
    <w:r>
      <w:tab/>
      <w:t xml:space="preserve">                                                                                                                </w:t>
    </w:r>
    <w:r w:rsidRPr="00DB04E3">
      <w:rPr>
        <w:rFonts w:ascii="Times New Roman" w:hAnsi="Times New Roman"/>
      </w:rPr>
      <w:t xml:space="preserve">In association with the </w:t>
    </w:r>
  </w:p>
  <w:p w:rsidR="00E563C3" w:rsidRDefault="00B915E6" w:rsidP="0052049D">
    <w:pPr>
      <w:pStyle w:val="Footer"/>
      <w:jc w:val="right"/>
    </w:pPr>
    <w:r>
      <w:rPr>
        <w:noProof/>
        <w:lang w:eastAsia="en-GB"/>
      </w:rPr>
      <w:drawing>
        <wp:inline distT="0" distB="0" distL="0" distR="0">
          <wp:extent cx="1905000" cy="619125"/>
          <wp:effectExtent l="19050" t="0" r="0" b="0"/>
          <wp:docPr id="1" name="Picture 1" descr="Birming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University Logo"/>
                  <pic:cNvPicPr>
                    <a:picLocks noChangeAspect="1" noChangeArrowheads="1"/>
                  </pic:cNvPicPr>
                </pic:nvPicPr>
                <pic:blipFill>
                  <a:blip r:embed="rId1"/>
                  <a:srcRect/>
                  <a:stretch>
                    <a:fillRect/>
                  </a:stretch>
                </pic:blipFill>
                <pic:spPr bwMode="auto">
                  <a:xfrm>
                    <a:off x="0" y="0"/>
                    <a:ext cx="1905000" cy="619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F34" w:rsidRDefault="006D2F34" w:rsidP="0052049D">
      <w:r>
        <w:separator/>
      </w:r>
    </w:p>
  </w:footnote>
  <w:footnote w:type="continuationSeparator" w:id="0">
    <w:p w:rsidR="006D2F34" w:rsidRDefault="006D2F34"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13"/>
    <w:rsid w:val="00003874"/>
    <w:rsid w:val="00011894"/>
    <w:rsid w:val="00016A53"/>
    <w:rsid w:val="000177A2"/>
    <w:rsid w:val="00023251"/>
    <w:rsid w:val="00030686"/>
    <w:rsid w:val="00033BA3"/>
    <w:rsid w:val="000403A5"/>
    <w:rsid w:val="00040667"/>
    <w:rsid w:val="00057C3E"/>
    <w:rsid w:val="0006368A"/>
    <w:rsid w:val="000760F9"/>
    <w:rsid w:val="00086C8F"/>
    <w:rsid w:val="00091FF0"/>
    <w:rsid w:val="00097D9E"/>
    <w:rsid w:val="000A344A"/>
    <w:rsid w:val="000A5262"/>
    <w:rsid w:val="000B06ED"/>
    <w:rsid w:val="000B4A16"/>
    <w:rsid w:val="000C35CB"/>
    <w:rsid w:val="000C4803"/>
    <w:rsid w:val="000D70C8"/>
    <w:rsid w:val="000F0893"/>
    <w:rsid w:val="000F467B"/>
    <w:rsid w:val="000F7D20"/>
    <w:rsid w:val="00102AB2"/>
    <w:rsid w:val="00111FE6"/>
    <w:rsid w:val="00151FA6"/>
    <w:rsid w:val="00155D50"/>
    <w:rsid w:val="00172413"/>
    <w:rsid w:val="00180266"/>
    <w:rsid w:val="00180925"/>
    <w:rsid w:val="0018397D"/>
    <w:rsid w:val="001A18E8"/>
    <w:rsid w:val="001A4E73"/>
    <w:rsid w:val="001A63B5"/>
    <w:rsid w:val="001A6C99"/>
    <w:rsid w:val="001B5943"/>
    <w:rsid w:val="001C14ED"/>
    <w:rsid w:val="001D2AE4"/>
    <w:rsid w:val="001D7DCA"/>
    <w:rsid w:val="001E5FAC"/>
    <w:rsid w:val="001F26BA"/>
    <w:rsid w:val="00202DE1"/>
    <w:rsid w:val="00205111"/>
    <w:rsid w:val="0020668F"/>
    <w:rsid w:val="002120B8"/>
    <w:rsid w:val="00214A8E"/>
    <w:rsid w:val="0022245A"/>
    <w:rsid w:val="00237D42"/>
    <w:rsid w:val="00243880"/>
    <w:rsid w:val="00262634"/>
    <w:rsid w:val="0029557F"/>
    <w:rsid w:val="002B4A0A"/>
    <w:rsid w:val="002B56A9"/>
    <w:rsid w:val="002C0AD8"/>
    <w:rsid w:val="002D043B"/>
    <w:rsid w:val="002D265E"/>
    <w:rsid w:val="002F2279"/>
    <w:rsid w:val="002F5A36"/>
    <w:rsid w:val="00303C03"/>
    <w:rsid w:val="00303DF3"/>
    <w:rsid w:val="00327524"/>
    <w:rsid w:val="00342862"/>
    <w:rsid w:val="00345362"/>
    <w:rsid w:val="003575B1"/>
    <w:rsid w:val="003603FA"/>
    <w:rsid w:val="0036381F"/>
    <w:rsid w:val="00367433"/>
    <w:rsid w:val="00382E25"/>
    <w:rsid w:val="003A146E"/>
    <w:rsid w:val="003D0742"/>
    <w:rsid w:val="003D080F"/>
    <w:rsid w:val="003F1C12"/>
    <w:rsid w:val="003F5C00"/>
    <w:rsid w:val="0040692C"/>
    <w:rsid w:val="004079CB"/>
    <w:rsid w:val="00417592"/>
    <w:rsid w:val="00421A33"/>
    <w:rsid w:val="00424755"/>
    <w:rsid w:val="00435FE8"/>
    <w:rsid w:val="00443F12"/>
    <w:rsid w:val="00453366"/>
    <w:rsid w:val="004537F5"/>
    <w:rsid w:val="00457F13"/>
    <w:rsid w:val="0047402A"/>
    <w:rsid w:val="004A1120"/>
    <w:rsid w:val="004B5EEA"/>
    <w:rsid w:val="004C0943"/>
    <w:rsid w:val="004C6622"/>
    <w:rsid w:val="004E2829"/>
    <w:rsid w:val="004E6CF0"/>
    <w:rsid w:val="004F4E68"/>
    <w:rsid w:val="005003C6"/>
    <w:rsid w:val="00502AF4"/>
    <w:rsid w:val="00512E4A"/>
    <w:rsid w:val="00515DF0"/>
    <w:rsid w:val="005169B5"/>
    <w:rsid w:val="0052049D"/>
    <w:rsid w:val="00560402"/>
    <w:rsid w:val="0057068F"/>
    <w:rsid w:val="0057175C"/>
    <w:rsid w:val="005839CC"/>
    <w:rsid w:val="00590CD0"/>
    <w:rsid w:val="0059131E"/>
    <w:rsid w:val="005A172A"/>
    <w:rsid w:val="005A31FE"/>
    <w:rsid w:val="005C191C"/>
    <w:rsid w:val="005C1F45"/>
    <w:rsid w:val="005C3E51"/>
    <w:rsid w:val="005D3303"/>
    <w:rsid w:val="005E2B60"/>
    <w:rsid w:val="005E7AB7"/>
    <w:rsid w:val="005F3249"/>
    <w:rsid w:val="006031EE"/>
    <w:rsid w:val="006046BD"/>
    <w:rsid w:val="006050B6"/>
    <w:rsid w:val="00620D3F"/>
    <w:rsid w:val="00621983"/>
    <w:rsid w:val="00622515"/>
    <w:rsid w:val="00622B3A"/>
    <w:rsid w:val="00645D84"/>
    <w:rsid w:val="00651C20"/>
    <w:rsid w:val="00652FE6"/>
    <w:rsid w:val="00664CA0"/>
    <w:rsid w:val="006652DC"/>
    <w:rsid w:val="0068611A"/>
    <w:rsid w:val="006955B6"/>
    <w:rsid w:val="006B49D6"/>
    <w:rsid w:val="006C0C01"/>
    <w:rsid w:val="006C1D43"/>
    <w:rsid w:val="006C7328"/>
    <w:rsid w:val="006D00BA"/>
    <w:rsid w:val="006D2F34"/>
    <w:rsid w:val="006D5AD0"/>
    <w:rsid w:val="006D621C"/>
    <w:rsid w:val="006D7DE1"/>
    <w:rsid w:val="006F0EF1"/>
    <w:rsid w:val="006F3E0E"/>
    <w:rsid w:val="00700BAC"/>
    <w:rsid w:val="007051A5"/>
    <w:rsid w:val="00715838"/>
    <w:rsid w:val="00731E2A"/>
    <w:rsid w:val="00733693"/>
    <w:rsid w:val="00745046"/>
    <w:rsid w:val="0074510B"/>
    <w:rsid w:val="00755A47"/>
    <w:rsid w:val="00763039"/>
    <w:rsid w:val="007702A6"/>
    <w:rsid w:val="00775BA6"/>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7112E"/>
    <w:rsid w:val="0088288A"/>
    <w:rsid w:val="008B70BD"/>
    <w:rsid w:val="008C0912"/>
    <w:rsid w:val="008C6A00"/>
    <w:rsid w:val="008D4B82"/>
    <w:rsid w:val="008E5902"/>
    <w:rsid w:val="008F06F9"/>
    <w:rsid w:val="00913C8E"/>
    <w:rsid w:val="00921516"/>
    <w:rsid w:val="009252C6"/>
    <w:rsid w:val="009258A7"/>
    <w:rsid w:val="00925A92"/>
    <w:rsid w:val="009373D9"/>
    <w:rsid w:val="00951894"/>
    <w:rsid w:val="00954441"/>
    <w:rsid w:val="00956A30"/>
    <w:rsid w:val="00967758"/>
    <w:rsid w:val="00985E1A"/>
    <w:rsid w:val="009921EB"/>
    <w:rsid w:val="00993362"/>
    <w:rsid w:val="00995210"/>
    <w:rsid w:val="009A1F2C"/>
    <w:rsid w:val="009C1BC7"/>
    <w:rsid w:val="009C55B8"/>
    <w:rsid w:val="009D0BE3"/>
    <w:rsid w:val="009D584C"/>
    <w:rsid w:val="009D7883"/>
    <w:rsid w:val="009E0FA8"/>
    <w:rsid w:val="009E1DE9"/>
    <w:rsid w:val="00A13092"/>
    <w:rsid w:val="00A15B01"/>
    <w:rsid w:val="00A16421"/>
    <w:rsid w:val="00A2057A"/>
    <w:rsid w:val="00A2419C"/>
    <w:rsid w:val="00A409C8"/>
    <w:rsid w:val="00A437F1"/>
    <w:rsid w:val="00A57160"/>
    <w:rsid w:val="00A6646D"/>
    <w:rsid w:val="00A766A6"/>
    <w:rsid w:val="00A8694C"/>
    <w:rsid w:val="00A93F1D"/>
    <w:rsid w:val="00A95D1C"/>
    <w:rsid w:val="00A97F70"/>
    <w:rsid w:val="00AA5AE1"/>
    <w:rsid w:val="00AB0B83"/>
    <w:rsid w:val="00AC4009"/>
    <w:rsid w:val="00AD14D5"/>
    <w:rsid w:val="00AD2AF8"/>
    <w:rsid w:val="00AD4CF6"/>
    <w:rsid w:val="00AE455C"/>
    <w:rsid w:val="00AF15ED"/>
    <w:rsid w:val="00AF5193"/>
    <w:rsid w:val="00B02E81"/>
    <w:rsid w:val="00B232F3"/>
    <w:rsid w:val="00B243AD"/>
    <w:rsid w:val="00B35FA8"/>
    <w:rsid w:val="00B526BB"/>
    <w:rsid w:val="00B569E8"/>
    <w:rsid w:val="00B61719"/>
    <w:rsid w:val="00B704A4"/>
    <w:rsid w:val="00B74FE8"/>
    <w:rsid w:val="00B7645F"/>
    <w:rsid w:val="00B77166"/>
    <w:rsid w:val="00B915E6"/>
    <w:rsid w:val="00B978C6"/>
    <w:rsid w:val="00BA0BED"/>
    <w:rsid w:val="00BA228C"/>
    <w:rsid w:val="00BB08B1"/>
    <w:rsid w:val="00BC0F14"/>
    <w:rsid w:val="00BC15E3"/>
    <w:rsid w:val="00BC6D80"/>
    <w:rsid w:val="00BE6748"/>
    <w:rsid w:val="00BF2515"/>
    <w:rsid w:val="00BF2AF9"/>
    <w:rsid w:val="00C0045D"/>
    <w:rsid w:val="00C006F7"/>
    <w:rsid w:val="00C00DA9"/>
    <w:rsid w:val="00C02AA8"/>
    <w:rsid w:val="00C13579"/>
    <w:rsid w:val="00C23CB7"/>
    <w:rsid w:val="00C2715F"/>
    <w:rsid w:val="00C332D4"/>
    <w:rsid w:val="00C36F6C"/>
    <w:rsid w:val="00C5082C"/>
    <w:rsid w:val="00C50993"/>
    <w:rsid w:val="00C50B24"/>
    <w:rsid w:val="00C57B5B"/>
    <w:rsid w:val="00C62096"/>
    <w:rsid w:val="00C64AA2"/>
    <w:rsid w:val="00C72DB4"/>
    <w:rsid w:val="00C82361"/>
    <w:rsid w:val="00C92B89"/>
    <w:rsid w:val="00C95A16"/>
    <w:rsid w:val="00C96DAD"/>
    <w:rsid w:val="00CB0EAE"/>
    <w:rsid w:val="00CE4FDB"/>
    <w:rsid w:val="00CE61A0"/>
    <w:rsid w:val="00CF27EB"/>
    <w:rsid w:val="00CF4C4C"/>
    <w:rsid w:val="00D06799"/>
    <w:rsid w:val="00D1007E"/>
    <w:rsid w:val="00D109DB"/>
    <w:rsid w:val="00D122A8"/>
    <w:rsid w:val="00D139B5"/>
    <w:rsid w:val="00D265D9"/>
    <w:rsid w:val="00D331C3"/>
    <w:rsid w:val="00D41079"/>
    <w:rsid w:val="00D42D18"/>
    <w:rsid w:val="00D443CC"/>
    <w:rsid w:val="00D45341"/>
    <w:rsid w:val="00D4742A"/>
    <w:rsid w:val="00D504BD"/>
    <w:rsid w:val="00D50B88"/>
    <w:rsid w:val="00D625DE"/>
    <w:rsid w:val="00D704CA"/>
    <w:rsid w:val="00D72E18"/>
    <w:rsid w:val="00D73502"/>
    <w:rsid w:val="00D74001"/>
    <w:rsid w:val="00D7466C"/>
    <w:rsid w:val="00DA049A"/>
    <w:rsid w:val="00DA3114"/>
    <w:rsid w:val="00DB04E3"/>
    <w:rsid w:val="00DB46BA"/>
    <w:rsid w:val="00DC5407"/>
    <w:rsid w:val="00DF023A"/>
    <w:rsid w:val="00DF1580"/>
    <w:rsid w:val="00DF35B5"/>
    <w:rsid w:val="00E014C2"/>
    <w:rsid w:val="00E1596F"/>
    <w:rsid w:val="00E251C8"/>
    <w:rsid w:val="00E37C2C"/>
    <w:rsid w:val="00E41A9F"/>
    <w:rsid w:val="00E467AE"/>
    <w:rsid w:val="00E50F5B"/>
    <w:rsid w:val="00E52A59"/>
    <w:rsid w:val="00E563C3"/>
    <w:rsid w:val="00E67ECC"/>
    <w:rsid w:val="00E70F34"/>
    <w:rsid w:val="00E71CB1"/>
    <w:rsid w:val="00E721B7"/>
    <w:rsid w:val="00E8073B"/>
    <w:rsid w:val="00E83102"/>
    <w:rsid w:val="00E83852"/>
    <w:rsid w:val="00E95313"/>
    <w:rsid w:val="00EA09AC"/>
    <w:rsid w:val="00EA4703"/>
    <w:rsid w:val="00EC5EA9"/>
    <w:rsid w:val="00ED238E"/>
    <w:rsid w:val="00ED5830"/>
    <w:rsid w:val="00EE0072"/>
    <w:rsid w:val="00EF2508"/>
    <w:rsid w:val="00F20DD4"/>
    <w:rsid w:val="00F239E3"/>
    <w:rsid w:val="00F251D7"/>
    <w:rsid w:val="00F27D9E"/>
    <w:rsid w:val="00F35D27"/>
    <w:rsid w:val="00F50F09"/>
    <w:rsid w:val="00F606D3"/>
    <w:rsid w:val="00F66B6F"/>
    <w:rsid w:val="00F75D29"/>
    <w:rsid w:val="00F80512"/>
    <w:rsid w:val="00F83CAA"/>
    <w:rsid w:val="00F83CC4"/>
    <w:rsid w:val="00F95D18"/>
    <w:rsid w:val="00F9723E"/>
    <w:rsid w:val="00FA1BA1"/>
    <w:rsid w:val="00FC25A8"/>
    <w:rsid w:val="00FC6045"/>
    <w:rsid w:val="00FC7BE0"/>
    <w:rsid w:val="00FD2675"/>
    <w:rsid w:val="00FD2BB9"/>
    <w:rsid w:val="00FE3321"/>
    <w:rsid w:val="00FE7F21"/>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2</cp:revision>
  <dcterms:created xsi:type="dcterms:W3CDTF">2015-05-27T11:20:00Z</dcterms:created>
  <dcterms:modified xsi:type="dcterms:W3CDTF">2015-05-27T11:20:00Z</dcterms:modified>
</cp:coreProperties>
</file>