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3" w:rsidRDefault="00E563C3" w:rsidP="00C72DB4">
      <w:pPr>
        <w:jc w:val="center"/>
        <w:rPr>
          <w:rFonts w:cs="Arial"/>
          <w:b/>
          <w:sz w:val="24"/>
          <w:szCs w:val="24"/>
        </w:rPr>
      </w:pPr>
      <w:r>
        <w:rPr>
          <w:rFonts w:cs="Arial"/>
          <w:b/>
          <w:sz w:val="24"/>
          <w:szCs w:val="24"/>
        </w:rPr>
        <w:t xml:space="preserve">Cultural Intern Scheme </w:t>
      </w:r>
      <w:r w:rsidR="00C72DB4">
        <w:rPr>
          <w:rFonts w:cs="Arial"/>
          <w:b/>
          <w:sz w:val="24"/>
          <w:szCs w:val="24"/>
        </w:rPr>
        <w:t>Placement Proposal</w:t>
      </w:r>
      <w:r w:rsidR="00D50B88">
        <w:rPr>
          <w:rFonts w:cs="Arial"/>
          <w:b/>
          <w:sz w:val="24"/>
          <w:szCs w:val="24"/>
        </w:rPr>
        <w:t xml:space="preserve"> // 2015 </w:t>
      </w:r>
      <w:r w:rsidR="005D1B54">
        <w:rPr>
          <w:rFonts w:cs="Arial"/>
          <w:b/>
          <w:sz w:val="24"/>
          <w:szCs w:val="24"/>
        </w:rPr>
        <w:t>–</w:t>
      </w:r>
      <w:r w:rsidR="00D50B88">
        <w:rPr>
          <w:rFonts w:cs="Arial"/>
          <w:b/>
          <w:sz w:val="24"/>
          <w:szCs w:val="24"/>
        </w:rPr>
        <w:t xml:space="preserve"> 16</w:t>
      </w:r>
    </w:p>
    <w:p w:rsidR="005D1B54" w:rsidRPr="00822359" w:rsidRDefault="005D1B54" w:rsidP="00C72DB4">
      <w:pPr>
        <w:jc w:val="center"/>
        <w:rPr>
          <w:rFonts w:cs="Arial"/>
          <w:b/>
          <w:sz w:val="24"/>
          <w:szCs w:val="24"/>
        </w:rPr>
      </w:pPr>
      <w:r>
        <w:rPr>
          <w:rFonts w:cs="Arial"/>
          <w:b/>
          <w:sz w:val="24"/>
          <w:szCs w:val="24"/>
        </w:rPr>
        <w:t>BIRMINGHAM REPERTORY THEATRE</w:t>
      </w:r>
    </w:p>
    <w:p w:rsidR="00E563C3" w:rsidRPr="0080348B" w:rsidRDefault="00E563C3" w:rsidP="00E95313">
      <w:pPr>
        <w:rPr>
          <w:rFonts w:cs="Arial"/>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513"/>
      </w:tblGrid>
      <w:tr w:rsidR="00E563C3" w:rsidRPr="0080348B" w:rsidTr="005D1B54">
        <w:trPr>
          <w:cantSplit/>
          <w:trHeight w:val="278"/>
        </w:trPr>
        <w:tc>
          <w:tcPr>
            <w:tcW w:w="2127" w:type="dxa"/>
          </w:tcPr>
          <w:p w:rsidR="00E563C3" w:rsidRPr="0080348B" w:rsidRDefault="00C72DB4" w:rsidP="0052049D">
            <w:pPr>
              <w:rPr>
                <w:rFonts w:cs="Arial"/>
                <w:b/>
                <w:bCs/>
              </w:rPr>
            </w:pPr>
            <w:r>
              <w:rPr>
                <w:rFonts w:cs="Arial"/>
                <w:b/>
                <w:bCs/>
              </w:rPr>
              <w:t xml:space="preserve">Proposed </w:t>
            </w:r>
            <w:r w:rsidR="008C6A00">
              <w:rPr>
                <w:rFonts w:cs="Arial"/>
                <w:b/>
                <w:bCs/>
              </w:rPr>
              <w:t>p</w:t>
            </w:r>
            <w:r w:rsidR="00E563C3">
              <w:rPr>
                <w:rFonts w:cs="Arial"/>
                <w:b/>
                <w:bCs/>
              </w:rPr>
              <w:t xml:space="preserve">lacement </w:t>
            </w:r>
            <w:r w:rsidR="008C6A00">
              <w:rPr>
                <w:rFonts w:cs="Arial"/>
                <w:b/>
                <w:bCs/>
              </w:rPr>
              <w:t>p</w:t>
            </w:r>
            <w:r w:rsidR="00E563C3" w:rsidRPr="0080348B">
              <w:rPr>
                <w:rFonts w:cs="Arial"/>
                <w:b/>
                <w:bCs/>
              </w:rPr>
              <w:t>eriod</w:t>
            </w:r>
          </w:p>
          <w:p w:rsidR="00E563C3" w:rsidRPr="007B61B9" w:rsidRDefault="00E563C3" w:rsidP="0052049D">
            <w:pPr>
              <w:rPr>
                <w:rFonts w:cs="Arial"/>
                <w:bCs/>
              </w:rPr>
            </w:pPr>
          </w:p>
        </w:tc>
        <w:tc>
          <w:tcPr>
            <w:tcW w:w="6513" w:type="dxa"/>
          </w:tcPr>
          <w:p w:rsidR="00E563C3" w:rsidRPr="005D1B54" w:rsidRDefault="00E563C3" w:rsidP="0052049D">
            <w:pPr>
              <w:rPr>
                <w:rFonts w:asciiTheme="minorHAnsi" w:hAnsiTheme="minorHAnsi" w:cs="Arial"/>
              </w:rPr>
            </w:pPr>
            <w:r w:rsidRPr="005D1B54">
              <w:rPr>
                <w:rFonts w:asciiTheme="minorHAnsi" w:hAnsiTheme="minorHAnsi" w:cs="Arial"/>
              </w:rPr>
              <w:t>From:</w:t>
            </w:r>
            <w:r w:rsidR="00D50B88" w:rsidRPr="005D1B54">
              <w:rPr>
                <w:rFonts w:asciiTheme="minorHAnsi" w:hAnsiTheme="minorHAnsi" w:cs="Arial"/>
              </w:rPr>
              <w:t xml:space="preserve"> 05 October 2015</w:t>
            </w:r>
          </w:p>
          <w:p w:rsidR="00E563C3" w:rsidRPr="005D1B54" w:rsidRDefault="00E563C3" w:rsidP="0052049D">
            <w:pPr>
              <w:rPr>
                <w:rFonts w:asciiTheme="minorHAnsi" w:hAnsiTheme="minorHAnsi" w:cs="Arial"/>
              </w:rPr>
            </w:pPr>
            <w:r w:rsidRPr="005D1B54">
              <w:rPr>
                <w:rFonts w:asciiTheme="minorHAnsi" w:hAnsiTheme="minorHAnsi" w:cs="Arial"/>
              </w:rPr>
              <w:t>To:</w:t>
            </w:r>
            <w:r w:rsidR="00D50B88" w:rsidRPr="005D1B54">
              <w:rPr>
                <w:rFonts w:asciiTheme="minorHAnsi" w:hAnsiTheme="minorHAnsi" w:cs="Arial"/>
              </w:rPr>
              <w:t xml:space="preserve"> 25 March 2016</w:t>
            </w:r>
          </w:p>
          <w:p w:rsidR="00E563C3" w:rsidRPr="005D1B54" w:rsidRDefault="00E563C3" w:rsidP="0052049D">
            <w:pPr>
              <w:rPr>
                <w:rFonts w:asciiTheme="minorHAnsi" w:hAnsiTheme="minorHAnsi" w:cs="Arial"/>
              </w:rPr>
            </w:pPr>
          </w:p>
        </w:tc>
      </w:tr>
      <w:tr w:rsidR="00E563C3" w:rsidRPr="0080348B" w:rsidTr="005D1B54">
        <w:tc>
          <w:tcPr>
            <w:tcW w:w="2127" w:type="dxa"/>
          </w:tcPr>
          <w:p w:rsidR="00C72DB4" w:rsidRPr="0080348B" w:rsidRDefault="00E563C3" w:rsidP="00DB04E3">
            <w:pPr>
              <w:rPr>
                <w:rFonts w:cs="Arial"/>
                <w:b/>
                <w:bCs/>
              </w:rPr>
            </w:pPr>
            <w:r>
              <w:rPr>
                <w:rFonts w:cs="Arial"/>
                <w:b/>
                <w:bCs/>
              </w:rPr>
              <w:t>Address</w:t>
            </w:r>
            <w:r w:rsidRPr="0080348B">
              <w:rPr>
                <w:rFonts w:cs="Arial"/>
                <w:b/>
                <w:bCs/>
              </w:rPr>
              <w:t xml:space="preserve"> </w:t>
            </w:r>
            <w:r w:rsidR="00755A47">
              <w:rPr>
                <w:rFonts w:cs="Arial"/>
                <w:b/>
                <w:bCs/>
              </w:rPr>
              <w:t>where</w:t>
            </w:r>
            <w:r w:rsidRPr="0080348B">
              <w:rPr>
                <w:rFonts w:cs="Arial"/>
                <w:b/>
                <w:bCs/>
              </w:rPr>
              <w:t xml:space="preserve"> </w:t>
            </w:r>
            <w:r w:rsidR="008C6A00">
              <w:rPr>
                <w:rFonts w:cs="Arial"/>
                <w:b/>
                <w:bCs/>
              </w:rPr>
              <w:t>p</w:t>
            </w:r>
            <w:r>
              <w:rPr>
                <w:rFonts w:cs="Arial"/>
                <w:b/>
                <w:bCs/>
              </w:rPr>
              <w:t xml:space="preserve">lacement </w:t>
            </w:r>
            <w:r w:rsidR="00755A47">
              <w:rPr>
                <w:rFonts w:cs="Arial"/>
                <w:b/>
                <w:bCs/>
              </w:rPr>
              <w:t>would be carried out</w:t>
            </w:r>
          </w:p>
        </w:tc>
        <w:tc>
          <w:tcPr>
            <w:tcW w:w="6513" w:type="dxa"/>
          </w:tcPr>
          <w:p w:rsidR="00E563C3" w:rsidRPr="005D1B54" w:rsidRDefault="00E22B90" w:rsidP="0052049D">
            <w:pPr>
              <w:rPr>
                <w:rFonts w:asciiTheme="minorHAnsi" w:hAnsiTheme="minorHAnsi" w:cs="Arial"/>
                <w:bCs/>
                <w:i/>
              </w:rPr>
            </w:pPr>
            <w:r w:rsidRPr="005D1B54">
              <w:rPr>
                <w:rFonts w:asciiTheme="minorHAnsi" w:hAnsiTheme="minorHAnsi" w:cs="Arial"/>
                <w:bCs/>
                <w:i/>
              </w:rPr>
              <w:t>The REP</w:t>
            </w:r>
          </w:p>
          <w:p w:rsidR="00E22B90" w:rsidRPr="005D1B54" w:rsidRDefault="00E22B90" w:rsidP="0052049D">
            <w:pPr>
              <w:rPr>
                <w:rFonts w:asciiTheme="minorHAnsi" w:hAnsiTheme="minorHAnsi" w:cs="Arial"/>
                <w:bCs/>
                <w:i/>
              </w:rPr>
            </w:pPr>
            <w:r w:rsidRPr="005D1B54">
              <w:rPr>
                <w:rFonts w:asciiTheme="minorHAnsi" w:hAnsiTheme="minorHAnsi" w:cs="Arial"/>
                <w:bCs/>
                <w:i/>
              </w:rPr>
              <w:t>Broad Street</w:t>
            </w:r>
            <w:r w:rsidR="005D1B54" w:rsidRPr="005D1B54">
              <w:rPr>
                <w:rFonts w:asciiTheme="minorHAnsi" w:hAnsiTheme="minorHAnsi" w:cs="Arial"/>
                <w:bCs/>
                <w:i/>
              </w:rPr>
              <w:t xml:space="preserve">, Birmingham, </w:t>
            </w:r>
            <w:r w:rsidRPr="005D1B54">
              <w:rPr>
                <w:rFonts w:asciiTheme="minorHAnsi" w:hAnsiTheme="minorHAnsi" w:cs="Arial"/>
                <w:bCs/>
                <w:i/>
              </w:rPr>
              <w:t>B1 2EP</w:t>
            </w:r>
          </w:p>
        </w:tc>
      </w:tr>
      <w:tr w:rsidR="00C72DB4" w:rsidRPr="0080348B" w:rsidTr="005D1B54">
        <w:tc>
          <w:tcPr>
            <w:tcW w:w="2127" w:type="dxa"/>
          </w:tcPr>
          <w:p w:rsidR="00C72DB4" w:rsidRDefault="008C6A00" w:rsidP="00C72DB4">
            <w:pPr>
              <w:rPr>
                <w:rFonts w:cs="Arial"/>
                <w:b/>
                <w:bCs/>
              </w:rPr>
            </w:pPr>
            <w:r>
              <w:rPr>
                <w:rFonts w:cs="Arial"/>
                <w:b/>
                <w:bCs/>
              </w:rPr>
              <w:t>Department responsible for the p</w:t>
            </w:r>
            <w:r w:rsidR="00C72DB4">
              <w:rPr>
                <w:rFonts w:cs="Arial"/>
                <w:b/>
                <w:bCs/>
              </w:rPr>
              <w:t>lacement</w:t>
            </w:r>
          </w:p>
        </w:tc>
        <w:tc>
          <w:tcPr>
            <w:tcW w:w="6513" w:type="dxa"/>
          </w:tcPr>
          <w:p w:rsidR="00C72DB4" w:rsidRPr="005D1B54" w:rsidRDefault="00E22B90" w:rsidP="0052049D">
            <w:pPr>
              <w:rPr>
                <w:rFonts w:asciiTheme="minorHAnsi" w:hAnsiTheme="minorHAnsi" w:cs="Arial"/>
                <w:bCs/>
                <w:i/>
              </w:rPr>
            </w:pPr>
            <w:r w:rsidRPr="005D1B54">
              <w:rPr>
                <w:rFonts w:asciiTheme="minorHAnsi" w:hAnsiTheme="minorHAnsi" w:cs="Arial"/>
                <w:bCs/>
                <w:i/>
              </w:rPr>
              <w:t>Learning and Particpation</w:t>
            </w:r>
          </w:p>
          <w:p w:rsidR="00C72DB4" w:rsidRPr="005D1B54" w:rsidDel="00151FA6" w:rsidRDefault="00C72DB4" w:rsidP="0052049D">
            <w:pPr>
              <w:rPr>
                <w:rFonts w:asciiTheme="minorHAnsi" w:hAnsiTheme="minorHAnsi" w:cs="Arial"/>
                <w:bCs/>
                <w:i/>
              </w:rPr>
            </w:pPr>
          </w:p>
        </w:tc>
      </w:tr>
      <w:tr w:rsidR="00E563C3" w:rsidRPr="0080348B" w:rsidTr="005D1B54">
        <w:tc>
          <w:tcPr>
            <w:tcW w:w="2127" w:type="dxa"/>
          </w:tcPr>
          <w:p w:rsidR="00C72DB4" w:rsidRPr="005D1B54" w:rsidRDefault="00E563C3" w:rsidP="00C72DB4">
            <w:pPr>
              <w:rPr>
                <w:rFonts w:cs="Arial"/>
                <w:b/>
                <w:bCs/>
              </w:rPr>
            </w:pPr>
            <w:r>
              <w:rPr>
                <w:rFonts w:cs="Arial"/>
                <w:b/>
                <w:bCs/>
              </w:rPr>
              <w:t xml:space="preserve">Placement </w:t>
            </w:r>
            <w:r w:rsidR="008C6A00">
              <w:rPr>
                <w:rFonts w:cs="Arial"/>
                <w:b/>
                <w:bCs/>
              </w:rPr>
              <w:t>s</w:t>
            </w:r>
            <w:r w:rsidR="00C72DB4">
              <w:rPr>
                <w:rFonts w:cs="Arial"/>
                <w:b/>
                <w:bCs/>
              </w:rPr>
              <w:t>upervisor</w:t>
            </w:r>
          </w:p>
        </w:tc>
        <w:tc>
          <w:tcPr>
            <w:tcW w:w="6513" w:type="dxa"/>
          </w:tcPr>
          <w:p w:rsidR="00E563C3" w:rsidRPr="005D1B54" w:rsidRDefault="00E22B90" w:rsidP="0052049D">
            <w:pPr>
              <w:rPr>
                <w:rFonts w:asciiTheme="minorHAnsi" w:hAnsiTheme="minorHAnsi" w:cs="Arial"/>
                <w:bCs/>
                <w:i/>
              </w:rPr>
            </w:pPr>
            <w:r w:rsidRPr="005D1B54">
              <w:rPr>
                <w:rFonts w:asciiTheme="minorHAnsi" w:hAnsiTheme="minorHAnsi" w:cs="Arial"/>
                <w:bCs/>
                <w:i/>
              </w:rPr>
              <w:t>Steve Ball, Associate Director</w:t>
            </w:r>
          </w:p>
          <w:p w:rsidR="000177A2" w:rsidRPr="005D1B54" w:rsidDel="00151FA6" w:rsidRDefault="000177A2" w:rsidP="0052049D">
            <w:pPr>
              <w:rPr>
                <w:rFonts w:asciiTheme="minorHAnsi" w:hAnsiTheme="minorHAnsi" w:cs="Arial"/>
                <w:bCs/>
                <w:i/>
              </w:rPr>
            </w:pPr>
          </w:p>
        </w:tc>
      </w:tr>
      <w:tr w:rsidR="00E563C3" w:rsidRPr="0080348B" w:rsidTr="005D1B54">
        <w:tc>
          <w:tcPr>
            <w:tcW w:w="2127" w:type="dxa"/>
          </w:tcPr>
          <w:p w:rsidR="00E563C3" w:rsidRDefault="00C72DB4" w:rsidP="00C72DB4">
            <w:pPr>
              <w:rPr>
                <w:rFonts w:cs="Arial"/>
                <w:b/>
                <w:bCs/>
              </w:rPr>
            </w:pPr>
            <w:r>
              <w:rPr>
                <w:rFonts w:cs="Arial"/>
                <w:b/>
                <w:bCs/>
              </w:rPr>
              <w:t>Description of the project/s</w:t>
            </w:r>
            <w:r w:rsidR="00E563C3" w:rsidRPr="0080348B">
              <w:rPr>
                <w:rFonts w:cs="Arial"/>
                <w:b/>
                <w:bCs/>
              </w:rPr>
              <w:t xml:space="preserve"> to be undertaken</w:t>
            </w:r>
          </w:p>
          <w:p w:rsidR="00755A47" w:rsidRPr="00755A47" w:rsidRDefault="00755A47" w:rsidP="005D1B54">
            <w:pPr>
              <w:rPr>
                <w:rFonts w:cs="Arial"/>
                <w:bCs/>
              </w:rPr>
            </w:pPr>
          </w:p>
        </w:tc>
        <w:tc>
          <w:tcPr>
            <w:tcW w:w="6513" w:type="dxa"/>
          </w:tcPr>
          <w:p w:rsidR="00E563C3" w:rsidRPr="005D1B54" w:rsidRDefault="00E563C3" w:rsidP="0052049D">
            <w:pPr>
              <w:rPr>
                <w:rFonts w:asciiTheme="minorHAnsi" w:hAnsiTheme="minorHAnsi" w:cs="Arial"/>
                <w:b/>
                <w:bCs/>
                <w:i/>
              </w:rPr>
            </w:pPr>
            <w:r w:rsidRPr="005D1B54">
              <w:rPr>
                <w:rFonts w:asciiTheme="minorHAnsi" w:hAnsiTheme="minorHAnsi" w:cs="Arial"/>
                <w:b/>
                <w:bCs/>
                <w:i/>
              </w:rPr>
              <w:t>Specific details of the project</w:t>
            </w:r>
            <w:r w:rsidR="00C72DB4" w:rsidRPr="005D1B54">
              <w:rPr>
                <w:rFonts w:asciiTheme="minorHAnsi" w:hAnsiTheme="minorHAnsi" w:cs="Arial"/>
                <w:b/>
                <w:bCs/>
                <w:i/>
              </w:rPr>
              <w:t>/s</w:t>
            </w:r>
            <w:r w:rsidRPr="005D1B54">
              <w:rPr>
                <w:rFonts w:asciiTheme="minorHAnsi" w:hAnsiTheme="minorHAnsi" w:cs="Arial"/>
                <w:b/>
                <w:bCs/>
                <w:i/>
              </w:rPr>
              <w:t xml:space="preserve"> to be delivered, </w:t>
            </w:r>
            <w:r w:rsidR="00D704CA" w:rsidRPr="005D1B54">
              <w:rPr>
                <w:rFonts w:asciiTheme="minorHAnsi" w:hAnsiTheme="minorHAnsi" w:cs="Arial"/>
                <w:b/>
                <w:bCs/>
                <w:i/>
              </w:rPr>
              <w:t>with any associated milestones and targets.</w:t>
            </w:r>
          </w:p>
          <w:p w:rsidR="00E22B90" w:rsidRPr="005D1B54" w:rsidRDefault="00E22B90" w:rsidP="0052049D">
            <w:pPr>
              <w:rPr>
                <w:rFonts w:asciiTheme="minorHAnsi" w:hAnsiTheme="minorHAnsi" w:cs="Arial"/>
                <w:bCs/>
                <w:i/>
              </w:rPr>
            </w:pP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The ON THE EDGE World Festival</w:t>
            </w:r>
            <w:r w:rsidR="009A4B3B" w:rsidRPr="005D1B54">
              <w:rPr>
                <w:rFonts w:asciiTheme="minorHAnsi" w:hAnsiTheme="minorHAnsi" w:cs="Arial"/>
                <w:color w:val="222222"/>
              </w:rPr>
              <w:t xml:space="preserve"> of Theatre for Young Audiences</w:t>
            </w:r>
            <w:r w:rsidRPr="005D1B54">
              <w:rPr>
                <w:rFonts w:asciiTheme="minorHAnsi" w:hAnsiTheme="minorHAnsi" w:cs="Arial"/>
                <w:color w:val="222222"/>
              </w:rPr>
              <w:t xml:space="preserve"> will take place from 2-10th July 2016 in Birmingham.  It will provide an unprecedented opportunity for the TYA sector in the UK and provide unique cultural and artistic opportunities for young people, families and schools. The festival will increase the profile of performing arts for children and young people amongst the wider sector, the media, schools, families, politicians and decision makers. It will encourage opportunities for international exchange and collaboration, promote UK work internationally and provide exceptional networking opportunities.   This will be the first time that an ASSITEJ Festival has been held in the UK.</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ON THE EDGE is led</w:t>
            </w:r>
            <w:r w:rsidR="005D1B54">
              <w:rPr>
                <w:rFonts w:asciiTheme="minorHAnsi" w:hAnsiTheme="minorHAnsi" w:cs="Arial"/>
                <w:color w:val="222222"/>
              </w:rPr>
              <w:t xml:space="preserve"> by a steering group made up of:</w:t>
            </w:r>
          </w:p>
          <w:p w:rsidR="00E22B90" w:rsidRPr="005D1B54" w:rsidRDefault="00E22B90" w:rsidP="00E22B90">
            <w:pPr>
              <w:numPr>
                <w:ilvl w:val="0"/>
                <w:numId w:val="3"/>
              </w:numPr>
              <w:shd w:val="clear" w:color="auto" w:fill="FFFFFF"/>
              <w:rPr>
                <w:rFonts w:asciiTheme="minorHAnsi" w:hAnsiTheme="minorHAnsi" w:cs="Arial"/>
                <w:color w:val="222222"/>
              </w:rPr>
            </w:pPr>
            <w:r w:rsidRPr="005D1B54">
              <w:rPr>
                <w:rFonts w:asciiTheme="minorHAnsi" w:hAnsiTheme="minorHAnsi" w:cs="Arial"/>
                <w:color w:val="222222"/>
              </w:rPr>
              <w:t>Executive Producer; Steve Ball, Associate Director at The REP</w:t>
            </w:r>
          </w:p>
          <w:p w:rsidR="00E22B90" w:rsidRPr="005D1B54" w:rsidRDefault="00E22B90" w:rsidP="00E22B90">
            <w:pPr>
              <w:numPr>
                <w:ilvl w:val="0"/>
                <w:numId w:val="3"/>
              </w:numPr>
              <w:shd w:val="clear" w:color="auto" w:fill="FFFFFF"/>
              <w:rPr>
                <w:rFonts w:asciiTheme="minorHAnsi" w:hAnsiTheme="minorHAnsi" w:cs="Arial"/>
                <w:color w:val="222222"/>
              </w:rPr>
            </w:pPr>
            <w:r w:rsidRPr="005D1B54">
              <w:rPr>
                <w:rFonts w:asciiTheme="minorHAnsi" w:hAnsiTheme="minorHAnsi" w:cs="Arial"/>
                <w:color w:val="222222"/>
              </w:rPr>
              <w:t>Artistic Director, Purni Morell, Unicorn Theatre</w:t>
            </w:r>
          </w:p>
          <w:p w:rsidR="00E22B90" w:rsidRPr="005D1B54" w:rsidRDefault="00E22B90" w:rsidP="00E22B90">
            <w:pPr>
              <w:numPr>
                <w:ilvl w:val="0"/>
                <w:numId w:val="3"/>
              </w:numPr>
              <w:shd w:val="clear" w:color="auto" w:fill="FFFFFF"/>
              <w:rPr>
                <w:rFonts w:asciiTheme="minorHAnsi" w:hAnsiTheme="minorHAnsi" w:cs="Arial"/>
                <w:color w:val="222222"/>
              </w:rPr>
            </w:pPr>
            <w:r w:rsidRPr="005D1B54">
              <w:rPr>
                <w:rFonts w:asciiTheme="minorHAnsi" w:hAnsiTheme="minorHAnsi" w:cs="Arial"/>
                <w:color w:val="222222"/>
              </w:rPr>
              <w:t xml:space="preserve">Communications Director </w:t>
            </w:r>
            <w:r w:rsidR="009A4B3B" w:rsidRPr="005D1B54">
              <w:rPr>
                <w:rFonts w:asciiTheme="minorHAnsi" w:hAnsiTheme="minorHAnsi" w:cs="Arial"/>
                <w:color w:val="222222"/>
              </w:rPr>
              <w:t xml:space="preserve"> </w:t>
            </w:r>
            <w:r w:rsidRPr="005D1B54">
              <w:rPr>
                <w:rFonts w:asciiTheme="minorHAnsi" w:hAnsiTheme="minorHAnsi" w:cs="Arial"/>
                <w:color w:val="222222"/>
              </w:rPr>
              <w:t xml:space="preserve">Nina </w:t>
            </w:r>
            <w:proofErr w:type="spellStart"/>
            <w:r w:rsidRPr="005D1B54">
              <w:rPr>
                <w:rFonts w:asciiTheme="minorHAnsi" w:hAnsiTheme="minorHAnsi" w:cs="Arial"/>
                <w:color w:val="222222"/>
              </w:rPr>
              <w:t>Hajiyinanni</w:t>
            </w:r>
            <w:proofErr w:type="spellEnd"/>
            <w:r w:rsidRPr="005D1B54">
              <w:rPr>
                <w:rFonts w:asciiTheme="minorHAnsi" w:hAnsiTheme="minorHAnsi" w:cs="Arial"/>
                <w:color w:val="222222"/>
              </w:rPr>
              <w:t>, Action Transport Theatre</w:t>
            </w:r>
          </w:p>
          <w:p w:rsidR="00E22B90" w:rsidRPr="005D1B54" w:rsidRDefault="00E22B90" w:rsidP="00E22B90">
            <w:pPr>
              <w:numPr>
                <w:ilvl w:val="0"/>
                <w:numId w:val="3"/>
              </w:numPr>
              <w:shd w:val="clear" w:color="auto" w:fill="FFFFFF"/>
              <w:rPr>
                <w:rFonts w:asciiTheme="minorHAnsi" w:hAnsiTheme="minorHAnsi" w:cs="Arial"/>
                <w:color w:val="222222"/>
              </w:rPr>
            </w:pPr>
            <w:r w:rsidRPr="005D1B54">
              <w:rPr>
                <w:rFonts w:asciiTheme="minorHAnsi" w:hAnsiTheme="minorHAnsi" w:cs="Arial"/>
                <w:color w:val="222222"/>
              </w:rPr>
              <w:t>Symposium Director, Philip Hardy, TYA Ireland</w:t>
            </w:r>
          </w:p>
          <w:p w:rsidR="00E22B90" w:rsidRPr="005D1B54" w:rsidRDefault="00E22B90" w:rsidP="00E22B90">
            <w:pPr>
              <w:numPr>
                <w:ilvl w:val="0"/>
                <w:numId w:val="3"/>
              </w:numPr>
              <w:shd w:val="clear" w:color="auto" w:fill="FFFFFF"/>
              <w:rPr>
                <w:rFonts w:asciiTheme="minorHAnsi" w:hAnsiTheme="minorHAnsi" w:cs="Arial"/>
                <w:color w:val="222222"/>
              </w:rPr>
            </w:pPr>
            <w:r w:rsidRPr="005D1B54">
              <w:rPr>
                <w:rFonts w:asciiTheme="minorHAnsi" w:hAnsiTheme="minorHAnsi" w:cs="Arial"/>
                <w:color w:val="222222"/>
              </w:rPr>
              <w:t>Welcome Director, Paul McEneaney, TYA N. Ireland and Cahoots Theatre</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563C3" w:rsidRDefault="00E22B90" w:rsidP="005D1B54">
            <w:pPr>
              <w:shd w:val="clear" w:color="auto" w:fill="FFFFFF"/>
              <w:rPr>
                <w:rFonts w:asciiTheme="minorHAnsi" w:hAnsiTheme="minorHAnsi" w:cs="Arial"/>
                <w:color w:val="222222"/>
              </w:rPr>
            </w:pPr>
            <w:r w:rsidRPr="005D1B54">
              <w:rPr>
                <w:rFonts w:asciiTheme="minorHAnsi" w:hAnsiTheme="minorHAnsi" w:cs="Arial"/>
                <w:color w:val="222222"/>
              </w:rPr>
              <w:t>The team is looking for an Assistant Producer/Intern to assist the Producer of the 2016 ON THE EDGE festival</w:t>
            </w:r>
            <w:r w:rsidR="005D1B54">
              <w:rPr>
                <w:rFonts w:asciiTheme="minorHAnsi" w:hAnsiTheme="minorHAnsi" w:cs="Arial"/>
                <w:color w:val="222222"/>
              </w:rPr>
              <w:t>.</w:t>
            </w:r>
          </w:p>
          <w:p w:rsidR="005D1B54" w:rsidRDefault="005D1B54" w:rsidP="005D1B54">
            <w:pPr>
              <w:shd w:val="clear" w:color="auto" w:fill="FFFFFF"/>
              <w:rPr>
                <w:rFonts w:asciiTheme="minorHAnsi" w:hAnsiTheme="minorHAnsi" w:cs="Arial"/>
                <w:color w:val="222222"/>
              </w:rPr>
            </w:pPr>
          </w:p>
          <w:p w:rsidR="005D1B54" w:rsidRDefault="005D1B54" w:rsidP="005D1B54">
            <w:pPr>
              <w:shd w:val="clear" w:color="auto" w:fill="FFFFFF"/>
              <w:rPr>
                <w:rFonts w:asciiTheme="minorHAnsi" w:hAnsiTheme="minorHAnsi" w:cs="Arial"/>
                <w:color w:val="222222"/>
              </w:rPr>
            </w:pPr>
          </w:p>
          <w:p w:rsidR="005D1B54" w:rsidRPr="005D1B54" w:rsidRDefault="005D1B54" w:rsidP="005D1B54">
            <w:pPr>
              <w:shd w:val="clear" w:color="auto" w:fill="FFFFFF"/>
              <w:rPr>
                <w:rFonts w:asciiTheme="minorHAnsi" w:hAnsiTheme="minorHAnsi" w:cs="Arial"/>
                <w:color w:val="222222"/>
              </w:rPr>
            </w:pPr>
          </w:p>
        </w:tc>
      </w:tr>
      <w:tr w:rsidR="00D704CA" w:rsidRPr="0080348B" w:rsidTr="005D1B54">
        <w:tc>
          <w:tcPr>
            <w:tcW w:w="2127" w:type="dxa"/>
          </w:tcPr>
          <w:p w:rsidR="00D704CA" w:rsidRDefault="00D704CA" w:rsidP="00C72DB4">
            <w:pPr>
              <w:rPr>
                <w:rFonts w:cs="Arial"/>
                <w:b/>
                <w:bCs/>
              </w:rPr>
            </w:pPr>
            <w:r>
              <w:rPr>
                <w:rFonts w:cs="Arial"/>
                <w:b/>
                <w:bCs/>
              </w:rPr>
              <w:lastRenderedPageBreak/>
              <w:t xml:space="preserve">Intern’s role within the main placement project </w:t>
            </w:r>
          </w:p>
        </w:tc>
        <w:tc>
          <w:tcPr>
            <w:tcW w:w="6513" w:type="dxa"/>
          </w:tcPr>
          <w:p w:rsidR="00D704CA" w:rsidRPr="005D1B54" w:rsidRDefault="00D704CA" w:rsidP="00D704CA">
            <w:pPr>
              <w:rPr>
                <w:rFonts w:asciiTheme="minorHAnsi" w:hAnsiTheme="minorHAnsi" w:cs="Arial"/>
                <w:b/>
                <w:bCs/>
                <w:i/>
              </w:rPr>
            </w:pPr>
            <w:r w:rsidRPr="005D1B54">
              <w:rPr>
                <w:rFonts w:asciiTheme="minorHAnsi" w:hAnsiTheme="minorHAnsi" w:cs="Arial"/>
                <w:b/>
                <w:bCs/>
                <w:i/>
              </w:rPr>
              <w:t>Specific details of the role to be undertaken by the intern and details of the activities that the individual will undertake.</w:t>
            </w:r>
          </w:p>
          <w:p w:rsidR="007B61B9" w:rsidRPr="005D1B54" w:rsidRDefault="007B61B9" w:rsidP="00D704CA">
            <w:pPr>
              <w:rPr>
                <w:rFonts w:asciiTheme="minorHAnsi" w:hAnsiTheme="minorHAnsi" w:cs="Arial"/>
                <w:bCs/>
                <w:i/>
              </w:rPr>
            </w:pP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To support the producer with the production and planning of the 2016 festival which may include the raising of funds, development and implementation of management, financial and operational structures and systems for the ON THE EDGE FESTIVAL which inform, support and are appropriate to the needs of the Festival's artistic aims, educational strands and programme.</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9A4B3B" w:rsidP="00E22B90">
            <w:pPr>
              <w:shd w:val="clear" w:color="auto" w:fill="FFFFFF"/>
              <w:rPr>
                <w:rFonts w:asciiTheme="minorHAnsi" w:hAnsiTheme="minorHAnsi" w:cs="Arial"/>
                <w:color w:val="222222"/>
              </w:rPr>
            </w:pPr>
            <w:r w:rsidRPr="005D1B54">
              <w:rPr>
                <w:rFonts w:asciiTheme="minorHAnsi" w:hAnsiTheme="minorHAnsi" w:cs="Arial"/>
                <w:color w:val="222222"/>
              </w:rPr>
              <w:t>To</w:t>
            </w:r>
            <w:r w:rsidR="00E22B90" w:rsidRPr="005D1B54">
              <w:rPr>
                <w:rFonts w:asciiTheme="minorHAnsi" w:hAnsiTheme="minorHAnsi" w:cs="Arial"/>
                <w:color w:val="222222"/>
              </w:rPr>
              <w:t xml:space="preserve"> be part of a delivery team that will include a Marketing Officer, Production Manager and a Volunteers Coordinator (all to be recruited).</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To assist with liaison with the Festival's funding bodies, prepare and supply all information required by them and ensure that the Festival is at all times complying with the terms and conditions of funding.</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To assist with ensuring an adequate standard of care and support for the Festival’s public customers.</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To assist with liaison with existing Festival partners and venues negotiating and agreeing partnership terms and ensuring that appropriate contracts or agreements are in place and signed.</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To assist with liaison with and contract visiting artists to the festival, including supporting the arrangement of their travel and accommodation ensuring that appropriate contracts or agreements are in place and signed.</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9A4B3B" w:rsidP="00E22B90">
            <w:pPr>
              <w:shd w:val="clear" w:color="auto" w:fill="FFFFFF"/>
              <w:rPr>
                <w:rFonts w:asciiTheme="minorHAnsi" w:hAnsiTheme="minorHAnsi" w:cs="Arial"/>
                <w:color w:val="222222"/>
              </w:rPr>
            </w:pPr>
            <w:r w:rsidRPr="005D1B54">
              <w:rPr>
                <w:rFonts w:asciiTheme="minorHAnsi" w:hAnsiTheme="minorHAnsi" w:cs="Arial"/>
                <w:color w:val="222222"/>
              </w:rPr>
              <w:t>To a</w:t>
            </w:r>
            <w:r w:rsidR="00E22B90" w:rsidRPr="005D1B54">
              <w:rPr>
                <w:rFonts w:asciiTheme="minorHAnsi" w:hAnsiTheme="minorHAnsi" w:cs="Arial"/>
                <w:color w:val="222222"/>
              </w:rPr>
              <w:t>ssist with Liaison with Marketing Birmingham and partner hotels in the city regarding accommodation requirements for the festival</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9A4B3B" w:rsidP="00E22B90">
            <w:pPr>
              <w:shd w:val="clear" w:color="auto" w:fill="FFFFFF"/>
              <w:rPr>
                <w:rFonts w:asciiTheme="minorHAnsi" w:hAnsiTheme="minorHAnsi" w:cs="Arial"/>
                <w:color w:val="222222"/>
              </w:rPr>
            </w:pPr>
            <w:r w:rsidRPr="005D1B54">
              <w:rPr>
                <w:rFonts w:asciiTheme="minorHAnsi" w:hAnsiTheme="minorHAnsi" w:cs="Arial"/>
                <w:color w:val="222222"/>
              </w:rPr>
              <w:t>To a</w:t>
            </w:r>
            <w:r w:rsidR="00E22B90" w:rsidRPr="005D1B54">
              <w:rPr>
                <w:rFonts w:asciiTheme="minorHAnsi" w:hAnsiTheme="minorHAnsi" w:cs="Arial"/>
                <w:color w:val="222222"/>
              </w:rPr>
              <w:t>ssist with Liaison with the wider team regarding areas of the programme, eg, prop and set requirements with the production manager, FOH requirements and stewarding with the volunteers coordinator, assist with PR strategy and marketing requirements with the Marketing Officer (eg, purchase of delegate bags etc) support and manage the intern.</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To attend meetings of the steering group and updating on areas of responsibility and relevant reports.</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lastRenderedPageBreak/>
              <w:t>Assist with the evaluation of the festival with the external evaluator.</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 </w:t>
            </w:r>
          </w:p>
          <w:p w:rsidR="00E22B90" w:rsidRPr="005D1B54" w:rsidRDefault="00E22B90" w:rsidP="00E22B90">
            <w:pPr>
              <w:shd w:val="clear" w:color="auto" w:fill="FFFFFF"/>
              <w:rPr>
                <w:rFonts w:asciiTheme="minorHAnsi" w:hAnsiTheme="minorHAnsi" w:cs="Arial"/>
                <w:color w:val="222222"/>
              </w:rPr>
            </w:pPr>
            <w:r w:rsidRPr="005D1B54">
              <w:rPr>
                <w:rFonts w:asciiTheme="minorHAnsi" w:hAnsiTheme="minorHAnsi" w:cs="Arial"/>
                <w:color w:val="222222"/>
              </w:rPr>
              <w:t>Assist with ticketing and delegate packages for the festival.</w:t>
            </w:r>
          </w:p>
          <w:p w:rsidR="007B61B9" w:rsidRPr="005D1B54" w:rsidRDefault="00E22B90" w:rsidP="005D1B54">
            <w:pPr>
              <w:shd w:val="clear" w:color="auto" w:fill="FFFFFF"/>
              <w:rPr>
                <w:rFonts w:asciiTheme="minorHAnsi" w:hAnsiTheme="minorHAnsi" w:cs="Arial"/>
                <w:color w:val="222222"/>
              </w:rPr>
            </w:pPr>
            <w:r w:rsidRPr="005D1B54">
              <w:rPr>
                <w:rFonts w:asciiTheme="minorHAnsi" w:hAnsiTheme="minorHAnsi" w:cs="Arial"/>
                <w:color w:val="222222"/>
              </w:rPr>
              <w:t> </w:t>
            </w:r>
          </w:p>
        </w:tc>
      </w:tr>
      <w:tr w:rsidR="00C72DB4" w:rsidRPr="0080348B" w:rsidTr="005D1B54">
        <w:tc>
          <w:tcPr>
            <w:tcW w:w="2127" w:type="dxa"/>
          </w:tcPr>
          <w:p w:rsidR="00C72DB4" w:rsidRPr="0080348B" w:rsidRDefault="00C72DB4" w:rsidP="00D37335">
            <w:pPr>
              <w:rPr>
                <w:rFonts w:cs="Arial"/>
                <w:b/>
                <w:bCs/>
              </w:rPr>
            </w:pPr>
            <w:r w:rsidRPr="0080348B">
              <w:rPr>
                <w:rFonts w:cs="Arial"/>
                <w:b/>
                <w:bCs/>
              </w:rPr>
              <w:lastRenderedPageBreak/>
              <w:t xml:space="preserve">Purpose of the </w:t>
            </w:r>
            <w:r w:rsidR="008C6A00">
              <w:rPr>
                <w:rFonts w:cs="Arial"/>
                <w:b/>
                <w:bCs/>
              </w:rPr>
              <w:t>p</w:t>
            </w:r>
            <w:r>
              <w:rPr>
                <w:rFonts w:cs="Arial"/>
                <w:b/>
                <w:bCs/>
              </w:rPr>
              <w:t>lacement</w:t>
            </w:r>
          </w:p>
        </w:tc>
        <w:tc>
          <w:tcPr>
            <w:tcW w:w="6513" w:type="dxa"/>
          </w:tcPr>
          <w:p w:rsidR="00C72DB4" w:rsidRPr="005D1B54" w:rsidRDefault="00C72DB4" w:rsidP="00D37335">
            <w:pPr>
              <w:rPr>
                <w:rFonts w:asciiTheme="minorHAnsi" w:hAnsiTheme="minorHAnsi" w:cs="Arial"/>
                <w:bCs/>
                <w:i/>
              </w:rPr>
            </w:pPr>
            <w:r w:rsidRPr="005D1B54">
              <w:rPr>
                <w:rFonts w:asciiTheme="minorHAnsi" w:hAnsiTheme="minorHAnsi" w:cs="Arial"/>
                <w:bCs/>
                <w:i/>
              </w:rPr>
              <w:t>What will the intern gain from the placement, to be described in</w:t>
            </w:r>
            <w:r w:rsidR="000177A2" w:rsidRPr="005D1B54">
              <w:rPr>
                <w:rFonts w:asciiTheme="minorHAnsi" w:hAnsiTheme="minorHAnsi" w:cs="Arial"/>
                <w:bCs/>
                <w:i/>
              </w:rPr>
              <w:t xml:space="preserve"> terms of skills, knowledge, </w:t>
            </w:r>
            <w:proofErr w:type="gramStart"/>
            <w:r w:rsidR="000177A2" w:rsidRPr="005D1B54">
              <w:rPr>
                <w:rFonts w:asciiTheme="minorHAnsi" w:hAnsiTheme="minorHAnsi" w:cs="Arial"/>
                <w:bCs/>
                <w:i/>
              </w:rPr>
              <w:t>experience ,</w:t>
            </w:r>
            <w:proofErr w:type="gramEnd"/>
            <w:r w:rsidR="000177A2" w:rsidRPr="005D1B54">
              <w:rPr>
                <w:rFonts w:asciiTheme="minorHAnsi" w:hAnsiTheme="minorHAnsi" w:cs="Arial"/>
                <w:bCs/>
                <w:i/>
              </w:rPr>
              <w:t xml:space="preserve"> </w:t>
            </w:r>
            <w:r w:rsidRPr="005D1B54">
              <w:rPr>
                <w:rFonts w:asciiTheme="minorHAnsi" w:hAnsiTheme="minorHAnsi" w:cs="Arial"/>
                <w:bCs/>
                <w:i/>
              </w:rPr>
              <w:t>competencies</w:t>
            </w:r>
            <w:r w:rsidR="000177A2" w:rsidRPr="005D1B54">
              <w:rPr>
                <w:rFonts w:asciiTheme="minorHAnsi" w:hAnsiTheme="minorHAnsi" w:cs="Arial"/>
                <w:bCs/>
                <w:i/>
              </w:rPr>
              <w:t xml:space="preserve"> and networks </w:t>
            </w:r>
            <w:r w:rsidRPr="005D1B54">
              <w:rPr>
                <w:rFonts w:asciiTheme="minorHAnsi" w:hAnsiTheme="minorHAnsi" w:cs="Arial"/>
                <w:bCs/>
                <w:i/>
              </w:rPr>
              <w:t>to be developed</w:t>
            </w:r>
            <w:r w:rsidR="000177A2" w:rsidRPr="005D1B54">
              <w:rPr>
                <w:rFonts w:asciiTheme="minorHAnsi" w:hAnsiTheme="minorHAnsi" w:cs="Arial"/>
                <w:bCs/>
                <w:i/>
              </w:rPr>
              <w:t>.</w:t>
            </w:r>
          </w:p>
          <w:p w:rsidR="00C72DB4" w:rsidRPr="005D1B54" w:rsidRDefault="00C72DB4" w:rsidP="00D37335">
            <w:pPr>
              <w:rPr>
                <w:rFonts w:asciiTheme="minorHAnsi" w:hAnsiTheme="minorHAnsi" w:cs="Arial"/>
                <w:bCs/>
                <w:i/>
              </w:rPr>
            </w:pPr>
          </w:p>
          <w:p w:rsidR="00C72DB4" w:rsidRPr="005D1B54" w:rsidRDefault="009A4B3B" w:rsidP="00D37335">
            <w:pPr>
              <w:rPr>
                <w:rFonts w:asciiTheme="minorHAnsi" w:hAnsiTheme="minorHAnsi" w:cs="Arial"/>
                <w:bCs/>
              </w:rPr>
            </w:pPr>
            <w:r w:rsidRPr="005D1B54">
              <w:rPr>
                <w:rFonts w:asciiTheme="minorHAnsi" w:hAnsiTheme="minorHAnsi" w:cs="Arial"/>
                <w:bCs/>
              </w:rPr>
              <w:t xml:space="preserve">The intern will gain first hand experience of working on a high profile international festival </w:t>
            </w:r>
          </w:p>
          <w:p w:rsidR="00C72DB4" w:rsidRPr="005D1B54" w:rsidRDefault="00C72DB4" w:rsidP="00D37335">
            <w:pPr>
              <w:rPr>
                <w:rFonts w:asciiTheme="minorHAnsi" w:hAnsiTheme="minorHAnsi" w:cs="Arial"/>
                <w:bCs/>
                <w:i/>
              </w:rPr>
            </w:pPr>
          </w:p>
        </w:tc>
      </w:tr>
      <w:tr w:rsidR="00E563C3" w:rsidRPr="0080348B" w:rsidTr="005D1B54">
        <w:tc>
          <w:tcPr>
            <w:tcW w:w="2127" w:type="dxa"/>
          </w:tcPr>
          <w:p w:rsidR="00E563C3" w:rsidRPr="0080348B" w:rsidRDefault="00E563C3" w:rsidP="006D621C">
            <w:pPr>
              <w:rPr>
                <w:rFonts w:cs="Arial"/>
                <w:b/>
                <w:bCs/>
              </w:rPr>
            </w:pPr>
            <w:r w:rsidRPr="0080348B">
              <w:rPr>
                <w:rFonts w:cs="Arial"/>
                <w:b/>
                <w:bCs/>
              </w:rPr>
              <w:t xml:space="preserve">Benefit to </w:t>
            </w:r>
            <w:r>
              <w:rPr>
                <w:rFonts w:cs="Arial"/>
                <w:b/>
                <w:bCs/>
              </w:rPr>
              <w:t>the</w:t>
            </w:r>
            <w:r w:rsidR="008C6A00">
              <w:rPr>
                <w:rFonts w:cs="Arial"/>
                <w:b/>
                <w:bCs/>
              </w:rPr>
              <w:t xml:space="preserve"> o</w:t>
            </w:r>
            <w:r w:rsidRPr="0080348B">
              <w:rPr>
                <w:rFonts w:cs="Arial"/>
                <w:b/>
                <w:bCs/>
              </w:rPr>
              <w:t>rganisation</w:t>
            </w:r>
          </w:p>
        </w:tc>
        <w:tc>
          <w:tcPr>
            <w:tcW w:w="6513" w:type="dxa"/>
          </w:tcPr>
          <w:p w:rsidR="00E563C3" w:rsidRPr="005D1B54" w:rsidRDefault="00E563C3" w:rsidP="006D621C">
            <w:pPr>
              <w:rPr>
                <w:rFonts w:asciiTheme="minorHAnsi" w:hAnsiTheme="minorHAnsi" w:cs="Arial"/>
                <w:bCs/>
                <w:i/>
              </w:rPr>
            </w:pPr>
            <w:r w:rsidRPr="005D1B54">
              <w:rPr>
                <w:rFonts w:asciiTheme="minorHAnsi" w:hAnsiTheme="minorHAnsi" w:cs="Arial"/>
                <w:bCs/>
                <w:i/>
              </w:rPr>
              <w:t>Describe how the organisation  will benefit from the placement</w:t>
            </w:r>
          </w:p>
          <w:p w:rsidR="00C72DB4" w:rsidRDefault="009A4B3B" w:rsidP="005D1B54">
            <w:pPr>
              <w:spacing w:before="100" w:beforeAutospacing="1" w:after="100" w:afterAutospacing="1"/>
              <w:rPr>
                <w:rFonts w:asciiTheme="minorHAnsi" w:hAnsiTheme="minorHAnsi" w:cs="Arial"/>
              </w:rPr>
            </w:pPr>
            <w:r w:rsidRPr="005D1B54">
              <w:rPr>
                <w:rFonts w:asciiTheme="minorHAnsi" w:hAnsiTheme="minorHAnsi" w:cs="Arial"/>
                <w:iCs/>
              </w:rPr>
              <w:t xml:space="preserve">The REP and the </w:t>
            </w:r>
            <w:proofErr w:type="gramStart"/>
            <w:r w:rsidRPr="005D1B54">
              <w:rPr>
                <w:rFonts w:asciiTheme="minorHAnsi" w:hAnsiTheme="minorHAnsi" w:cs="Arial"/>
                <w:iCs/>
              </w:rPr>
              <w:t>festival  will</w:t>
            </w:r>
            <w:proofErr w:type="gramEnd"/>
            <w:r w:rsidRPr="005D1B54">
              <w:rPr>
                <w:rFonts w:asciiTheme="minorHAnsi" w:hAnsiTheme="minorHAnsi" w:cs="Arial"/>
                <w:iCs/>
              </w:rPr>
              <w:t xml:space="preserve"> benefit from  the young person’s input into the project management and delivery of a theatre festival for young audiences as well, as  benefiting from the extra support in the delive</w:t>
            </w:r>
            <w:r w:rsidR="005D1B54">
              <w:rPr>
                <w:rFonts w:asciiTheme="minorHAnsi" w:hAnsiTheme="minorHAnsi" w:cs="Arial"/>
                <w:iCs/>
              </w:rPr>
              <w:t>ry of the festival and symposium.</w:t>
            </w:r>
          </w:p>
          <w:p w:rsidR="005D1B54" w:rsidRPr="005D1B54" w:rsidRDefault="005D1B54" w:rsidP="005D1B54">
            <w:pPr>
              <w:spacing w:before="100" w:beforeAutospacing="1" w:after="100" w:afterAutospacing="1"/>
              <w:rPr>
                <w:rFonts w:asciiTheme="minorHAnsi" w:hAnsiTheme="minorHAnsi" w:cs="Arial"/>
              </w:rPr>
            </w:pPr>
          </w:p>
        </w:tc>
      </w:tr>
    </w:tbl>
    <w:p w:rsidR="00E563C3" w:rsidRPr="0080348B" w:rsidRDefault="00E563C3" w:rsidP="008C6A00">
      <w:pPr>
        <w:jc w:val="both"/>
        <w:rPr>
          <w:rFonts w:cs="Arial"/>
        </w:rPr>
      </w:pPr>
      <w:r w:rsidRPr="0080348B">
        <w:rPr>
          <w:rFonts w:cs="Arial"/>
        </w:rPr>
        <w:t> </w:t>
      </w:r>
    </w:p>
    <w:p w:rsidR="00E563C3" w:rsidRPr="00C72DB4" w:rsidRDefault="00E563C3" w:rsidP="00E95313">
      <w:pPr>
        <w:rPr>
          <w:rFonts w:cs="Arial"/>
          <w:b/>
          <w:color w:val="FF0000"/>
        </w:rPr>
      </w:pPr>
      <w:r>
        <w:rPr>
          <w:rFonts w:cs="Arial"/>
          <w:b/>
        </w:rPr>
        <w:t>Training Activity Ch</w:t>
      </w:r>
      <w:r w:rsidRPr="0080348B">
        <w:rPr>
          <w:rFonts w:cs="Arial"/>
          <w:b/>
        </w:rPr>
        <w:t>ecklist</w:t>
      </w:r>
      <w:r w:rsidR="00C72DB4">
        <w:rPr>
          <w:rFonts w:cs="Arial"/>
          <w:b/>
        </w:rPr>
        <w:t xml:space="preserve"> </w:t>
      </w:r>
      <w:r>
        <w:rPr>
          <w:rFonts w:cs="Arial"/>
          <w:b/>
        </w:rPr>
        <w:t xml:space="preserve"> </w:t>
      </w:r>
    </w:p>
    <w:p w:rsidR="00E563C3" w:rsidRPr="0080348B" w:rsidRDefault="00E563C3" w:rsidP="00E95313">
      <w:pPr>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E563C3" w:rsidRPr="0080348B" w:rsidTr="008C6A00">
        <w:trPr>
          <w:cantSplit/>
        </w:trPr>
        <w:tc>
          <w:tcPr>
            <w:tcW w:w="3369" w:type="dxa"/>
            <w:shd w:val="clear" w:color="auto" w:fill="92CDDC" w:themeFill="accent5" w:themeFillTint="99"/>
          </w:tcPr>
          <w:p w:rsidR="00E563C3" w:rsidRPr="0080348B" w:rsidRDefault="00E563C3" w:rsidP="006C1D43">
            <w:pPr>
              <w:rPr>
                <w:rFonts w:cs="Arial"/>
                <w:b/>
                <w:bCs/>
              </w:rPr>
            </w:pPr>
            <w:r>
              <w:rPr>
                <w:rFonts w:cs="Arial"/>
                <w:b/>
                <w:bCs/>
              </w:rPr>
              <w:t>Category :</w:t>
            </w:r>
          </w:p>
        </w:tc>
        <w:tc>
          <w:tcPr>
            <w:tcW w:w="5386" w:type="dxa"/>
            <w:shd w:val="clear" w:color="auto" w:fill="92CDDC" w:themeFill="accent5" w:themeFillTint="99"/>
          </w:tcPr>
          <w:p w:rsidR="00E563C3" w:rsidRPr="0080348B" w:rsidRDefault="00E563C3" w:rsidP="0052049D">
            <w:pPr>
              <w:rPr>
                <w:rFonts w:cs="Arial"/>
                <w:b/>
                <w:bCs/>
              </w:rPr>
            </w:pPr>
            <w:r>
              <w:rPr>
                <w:rFonts w:cs="Arial"/>
                <w:b/>
                <w:bCs/>
              </w:rPr>
              <w:t>Training Activities</w:t>
            </w:r>
          </w:p>
        </w:tc>
      </w:tr>
      <w:tr w:rsidR="008C6A00" w:rsidRPr="0080348B" w:rsidTr="006C1D43">
        <w:trPr>
          <w:cantSplit/>
        </w:trPr>
        <w:tc>
          <w:tcPr>
            <w:tcW w:w="3369" w:type="dxa"/>
          </w:tcPr>
          <w:p w:rsidR="008C6A00" w:rsidRPr="0080348B" w:rsidRDefault="008C6A00" w:rsidP="0052049D">
            <w:pPr>
              <w:rPr>
                <w:rFonts w:cs="Arial"/>
              </w:rPr>
            </w:pPr>
            <w:r w:rsidRPr="0080348B">
              <w:rPr>
                <w:rFonts w:cs="Arial"/>
              </w:rPr>
              <w:t>Collections Management and Care</w:t>
            </w:r>
          </w:p>
        </w:tc>
        <w:tc>
          <w:tcPr>
            <w:tcW w:w="5386" w:type="dxa"/>
          </w:tcPr>
          <w:p w:rsidR="008C6A00" w:rsidRPr="0080348B" w:rsidRDefault="008C6A00" w:rsidP="0052049D">
            <w:pPr>
              <w:rPr>
                <w:rFonts w:cs="Arial"/>
              </w:rPr>
            </w:pPr>
            <w:r w:rsidRPr="0080348B">
              <w:rPr>
                <w:rFonts w:cs="Arial"/>
              </w:rPr>
              <w:t xml:space="preserve">Managing or maintaining database </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Exhibition and Display</w:t>
            </w:r>
          </w:p>
        </w:tc>
        <w:tc>
          <w:tcPr>
            <w:tcW w:w="5386" w:type="dxa"/>
          </w:tcPr>
          <w:p w:rsidR="008C6A00" w:rsidRPr="0080348B" w:rsidRDefault="00E22B90" w:rsidP="00E22B90">
            <w:pPr>
              <w:rPr>
                <w:rFonts w:cs="Arial"/>
              </w:rPr>
            </w:pPr>
            <w:r>
              <w:rPr>
                <w:rFonts w:cs="Arial"/>
              </w:rPr>
              <w:t xml:space="preserve">Exhibition coordination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Assisting with the installation/de</w:t>
            </w:r>
            <w:r>
              <w:rPr>
                <w:rFonts w:cs="Arial"/>
              </w:rPr>
              <w:t>-</w:t>
            </w:r>
            <w:r w:rsidRPr="0080348B">
              <w:rPr>
                <w:rFonts w:cs="Arial"/>
              </w:rPr>
              <w:t>installation of exhibitions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Artist liaison</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Marketing and publicity</w:t>
            </w:r>
          </w:p>
        </w:tc>
        <w:tc>
          <w:tcPr>
            <w:tcW w:w="5386" w:type="dxa"/>
          </w:tcPr>
          <w:p w:rsidR="008C6A00" w:rsidRPr="0080348B" w:rsidRDefault="008C6A00" w:rsidP="0052049D">
            <w:pPr>
              <w:rPr>
                <w:rFonts w:cs="Arial"/>
              </w:rPr>
            </w:pPr>
            <w:r w:rsidRPr="0080348B">
              <w:rPr>
                <w:rFonts w:cs="Arial"/>
              </w:rPr>
              <w:t>Market research</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Marketing and promotions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Audience development</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Events</w:t>
            </w:r>
          </w:p>
        </w:tc>
        <w:tc>
          <w:tcPr>
            <w:tcW w:w="5386" w:type="dxa"/>
          </w:tcPr>
          <w:p w:rsidR="008C6A00" w:rsidRPr="0080348B" w:rsidRDefault="008C6A00" w:rsidP="0052049D">
            <w:pPr>
              <w:rPr>
                <w:rFonts w:cs="Arial"/>
              </w:rPr>
            </w:pPr>
            <w:r w:rsidRPr="0080348B">
              <w:rPr>
                <w:rFonts w:cs="Arial"/>
              </w:rPr>
              <w:t>Event coordination</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Event delivery</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Production assistance (performing arts)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val="restart"/>
          </w:tcPr>
          <w:p w:rsidR="008C6A00" w:rsidRDefault="008C6A00" w:rsidP="0052049D">
            <w:pPr>
              <w:rPr>
                <w:rFonts w:cs="Arial"/>
              </w:rPr>
            </w:pPr>
            <w:r w:rsidRPr="0080348B">
              <w:rPr>
                <w:rFonts w:cs="Arial"/>
              </w:rPr>
              <w:t>Access and Interpretation</w:t>
            </w:r>
          </w:p>
          <w:p w:rsidR="008C6A00" w:rsidRDefault="008C6A00" w:rsidP="0052049D">
            <w:pPr>
              <w:rPr>
                <w:rFonts w:cs="Arial"/>
              </w:rPr>
            </w:pPr>
          </w:p>
          <w:p w:rsidR="008C6A00" w:rsidRDefault="008C6A00" w:rsidP="0052049D">
            <w:pPr>
              <w:rPr>
                <w:rFonts w:cs="Arial"/>
              </w:rPr>
            </w:pPr>
          </w:p>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To deliver or assist with the delivery of education and outreach programmes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 xml:space="preserve">Population of website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Social media</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lastRenderedPageBreak/>
              <w:t>Policy and Finance</w:t>
            </w:r>
          </w:p>
        </w:tc>
        <w:tc>
          <w:tcPr>
            <w:tcW w:w="5386" w:type="dxa"/>
          </w:tcPr>
          <w:p w:rsidR="008C6A00" w:rsidRPr="0080348B" w:rsidRDefault="008C6A00" w:rsidP="0052049D">
            <w:pPr>
              <w:rPr>
                <w:rFonts w:cs="Arial"/>
              </w:rPr>
            </w:pPr>
            <w:r w:rsidRPr="0080348B">
              <w:rPr>
                <w:rFonts w:cs="Arial"/>
              </w:rPr>
              <w:t>Fundraising and development</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Policy-making</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Grant/award administration</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Administration and Other</w:t>
            </w:r>
          </w:p>
        </w:tc>
        <w:tc>
          <w:tcPr>
            <w:tcW w:w="5386" w:type="dxa"/>
          </w:tcPr>
          <w:p w:rsidR="008C6A00" w:rsidRPr="0080348B" w:rsidRDefault="008C6A00" w:rsidP="0052049D">
            <w:pPr>
              <w:rPr>
                <w:rFonts w:cs="Arial"/>
              </w:rPr>
            </w:pPr>
            <w:r w:rsidRPr="0080348B">
              <w:rPr>
                <w:rFonts w:cs="Arial"/>
              </w:rPr>
              <w:t>Responding to curatorial enquiries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Project management</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Membership scheme liaison/management</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Customer service</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Writing or editing</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Clerical assistance (photocopying etc)</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Organising meetings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Other (please state)</w:t>
            </w:r>
          </w:p>
        </w:tc>
      </w:tr>
    </w:tbl>
    <w:p w:rsidR="00C72DB4" w:rsidRDefault="00C72DB4" w:rsidP="00E95313">
      <w:pPr>
        <w:rPr>
          <w:rFonts w:cs="Arial"/>
        </w:rPr>
      </w:pPr>
    </w:p>
    <w:p w:rsidR="00E563C3" w:rsidRPr="0080348B" w:rsidRDefault="00E563C3" w:rsidP="00E95313">
      <w:pPr>
        <w:rPr>
          <w:rFonts w:cs="Arial"/>
          <w:b/>
        </w:rPr>
      </w:pPr>
      <w:r>
        <w:rPr>
          <w:rFonts w:cs="Arial"/>
          <w:b/>
        </w:rPr>
        <w:t xml:space="preserve"> </w:t>
      </w:r>
      <w:r w:rsidRPr="0080348B">
        <w:rPr>
          <w:rFonts w:cs="Arial"/>
          <w:b/>
        </w:rPr>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p>
    <w:p w:rsidR="00E563C3" w:rsidRPr="0080348B" w:rsidRDefault="00E563C3" w:rsidP="00E95313">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563C3" w:rsidRPr="0080348B" w:rsidTr="0052049D">
        <w:trPr>
          <w:cantSplit/>
        </w:trPr>
        <w:tc>
          <w:tcPr>
            <w:tcW w:w="4968" w:type="dxa"/>
          </w:tcPr>
          <w:p w:rsidR="00E563C3" w:rsidRPr="0080348B" w:rsidRDefault="00E563C3" w:rsidP="0052049D">
            <w:pPr>
              <w:rPr>
                <w:rFonts w:cs="Arial"/>
                <w:b/>
                <w:bCs/>
              </w:rPr>
            </w:pPr>
          </w:p>
        </w:tc>
        <w:tc>
          <w:tcPr>
            <w:tcW w:w="1800" w:type="dxa"/>
          </w:tcPr>
          <w:p w:rsidR="00E563C3" w:rsidRPr="0080348B" w:rsidRDefault="00E563C3" w:rsidP="0052049D">
            <w:pPr>
              <w:rPr>
                <w:rFonts w:cs="Arial"/>
                <w:b/>
                <w:bCs/>
              </w:rPr>
            </w:pPr>
            <w:r w:rsidRPr="0080348B">
              <w:rPr>
                <w:rFonts w:cs="Arial"/>
                <w:b/>
                <w:bCs/>
              </w:rPr>
              <w:t>Some relevance</w:t>
            </w:r>
          </w:p>
        </w:tc>
        <w:tc>
          <w:tcPr>
            <w:tcW w:w="1800" w:type="dxa"/>
          </w:tcPr>
          <w:p w:rsidR="00E563C3" w:rsidRPr="0080348B" w:rsidRDefault="00E563C3" w:rsidP="0052049D">
            <w:pPr>
              <w:rPr>
                <w:rFonts w:cs="Arial"/>
                <w:b/>
                <w:bCs/>
              </w:rPr>
            </w:pPr>
            <w:r w:rsidRPr="0080348B">
              <w:rPr>
                <w:rFonts w:cs="Arial"/>
                <w:b/>
                <w:bCs/>
              </w:rPr>
              <w:t>Very relevant</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Oral communication (including telephone)</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Written communication</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Writing/editing for publication (e.g. web, promotional materials)</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Team working</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Finance</w:t>
            </w:r>
          </w:p>
        </w:tc>
        <w:tc>
          <w:tcPr>
            <w:tcW w:w="1800" w:type="dxa"/>
          </w:tcPr>
          <w:p w:rsidR="00E563C3" w:rsidRPr="0080348B" w:rsidRDefault="00E22B90"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Marketing</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Public relations</w:t>
            </w:r>
          </w:p>
        </w:tc>
        <w:tc>
          <w:tcPr>
            <w:tcW w:w="1800" w:type="dxa"/>
          </w:tcPr>
          <w:p w:rsidR="00E563C3" w:rsidRPr="0080348B" w:rsidRDefault="00E22B90"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Social networking</w:t>
            </w:r>
          </w:p>
        </w:tc>
        <w:tc>
          <w:tcPr>
            <w:tcW w:w="1800" w:type="dxa"/>
          </w:tcPr>
          <w:p w:rsidR="00E563C3" w:rsidRPr="0080348B" w:rsidRDefault="00E22B90"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Research skills</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Problem solving</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 xml:space="preserve">Innovation (e.g. helping organization to develop its services) </w:t>
            </w:r>
          </w:p>
        </w:tc>
        <w:tc>
          <w:tcPr>
            <w:tcW w:w="1800" w:type="dxa"/>
          </w:tcPr>
          <w:p w:rsidR="00E563C3" w:rsidRPr="0080348B" w:rsidRDefault="00E22B90"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Personal initiative</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Use of a second language</w:t>
            </w:r>
          </w:p>
        </w:tc>
        <w:tc>
          <w:tcPr>
            <w:tcW w:w="1800" w:type="dxa"/>
          </w:tcPr>
          <w:p w:rsidR="00E563C3" w:rsidRPr="0080348B" w:rsidRDefault="00E22B90"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IT skills</w:t>
            </w:r>
          </w:p>
        </w:tc>
        <w:tc>
          <w:tcPr>
            <w:tcW w:w="1800" w:type="dxa"/>
          </w:tcPr>
          <w:p w:rsidR="00E563C3" w:rsidRPr="0080348B" w:rsidRDefault="00E563C3" w:rsidP="0052049D">
            <w:pPr>
              <w:rPr>
                <w:rFonts w:cs="Arial"/>
              </w:rPr>
            </w:pPr>
          </w:p>
        </w:tc>
        <w:tc>
          <w:tcPr>
            <w:tcW w:w="1800" w:type="dxa"/>
          </w:tcPr>
          <w:p w:rsidR="00E563C3" w:rsidRPr="0080348B" w:rsidRDefault="00E22B90"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bookmarkStart w:id="0" w:name="_GoBack"/>
            <w:bookmarkEnd w:id="0"/>
          </w:p>
        </w:tc>
        <w:tc>
          <w:tcPr>
            <w:tcW w:w="1800"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r>
    </w:tbl>
    <w:p w:rsidR="00E563C3" w:rsidRPr="0080348B" w:rsidRDefault="00E563C3" w:rsidP="00E95313">
      <w:pPr>
        <w:rPr>
          <w:rFonts w:cs="Arial"/>
        </w:rPr>
      </w:pPr>
    </w:p>
    <w:sectPr w:rsidR="00E563C3" w:rsidRPr="0080348B"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E8C" w:rsidRDefault="00C02E8C" w:rsidP="0052049D">
      <w:r>
        <w:separator/>
      </w:r>
    </w:p>
  </w:endnote>
  <w:endnote w:type="continuationSeparator" w:id="0">
    <w:p w:rsidR="00C02E8C" w:rsidRDefault="00C02E8C"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Footer"/>
    </w:pPr>
    <w:r>
      <w:tab/>
      <w:t xml:space="preserve">                                                                                                              </w:t>
    </w:r>
  </w:p>
  <w:p w:rsidR="00E563C3" w:rsidRPr="00DB04E3" w:rsidRDefault="00E563C3">
    <w:pPr>
      <w:pStyle w:val="Footer"/>
      <w:rPr>
        <w:rFonts w:ascii="Times New Roman" w:hAnsi="Times New Roman"/>
      </w:rPr>
    </w:pPr>
    <w:r>
      <w:tab/>
      <w:t xml:space="preserve">                                                                                                                </w:t>
    </w:r>
    <w:r w:rsidRPr="00DB04E3">
      <w:rPr>
        <w:rFonts w:ascii="Times New Roman" w:hAnsi="Times New Roman"/>
      </w:rPr>
      <w:t xml:space="preserve">In association with the </w:t>
    </w:r>
  </w:p>
  <w:p w:rsidR="00E563C3" w:rsidRDefault="00B915E6" w:rsidP="0052049D">
    <w:pPr>
      <w:pStyle w:val="Footer"/>
      <w:jc w:val="right"/>
    </w:pPr>
    <w:r>
      <w:rPr>
        <w:noProof/>
        <w:lang w:eastAsia="en-GB"/>
      </w:rPr>
      <w:drawing>
        <wp:inline distT="0" distB="0" distL="0" distR="0">
          <wp:extent cx="1905000" cy="619125"/>
          <wp:effectExtent l="19050" t="0" r="0" b="0"/>
          <wp:docPr id="1" name="Picture 1" descr="Birming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University Logo"/>
                  <pic:cNvPicPr>
                    <a:picLocks noChangeAspect="1" noChangeArrowheads="1"/>
                  </pic:cNvPicPr>
                </pic:nvPicPr>
                <pic:blipFill>
                  <a:blip r:embed="rId1"/>
                  <a:srcRect/>
                  <a:stretch>
                    <a:fillRect/>
                  </a:stretch>
                </pic:blipFill>
                <pic:spPr bwMode="auto">
                  <a:xfrm>
                    <a:off x="0" y="0"/>
                    <a:ext cx="1905000" cy="619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E8C" w:rsidRDefault="00C02E8C" w:rsidP="0052049D">
      <w:r>
        <w:separator/>
      </w:r>
    </w:p>
  </w:footnote>
  <w:footnote w:type="continuationSeparator" w:id="0">
    <w:p w:rsidR="00C02E8C" w:rsidRDefault="00C02E8C"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5060419A"/>
    <w:multiLevelType w:val="hybridMultilevel"/>
    <w:tmpl w:val="0126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E95313"/>
    <w:rsid w:val="00003874"/>
    <w:rsid w:val="00011894"/>
    <w:rsid w:val="00016A53"/>
    <w:rsid w:val="000177A2"/>
    <w:rsid w:val="00023251"/>
    <w:rsid w:val="00030686"/>
    <w:rsid w:val="00033BA3"/>
    <w:rsid w:val="000403A5"/>
    <w:rsid w:val="00040667"/>
    <w:rsid w:val="00057C3E"/>
    <w:rsid w:val="0006368A"/>
    <w:rsid w:val="000760F9"/>
    <w:rsid w:val="00086C8F"/>
    <w:rsid w:val="00091FF0"/>
    <w:rsid w:val="00097D9E"/>
    <w:rsid w:val="000A344A"/>
    <w:rsid w:val="000A5262"/>
    <w:rsid w:val="000B06ED"/>
    <w:rsid w:val="000B4A16"/>
    <w:rsid w:val="000C35CB"/>
    <w:rsid w:val="000C4803"/>
    <w:rsid w:val="000D70C8"/>
    <w:rsid w:val="000F0893"/>
    <w:rsid w:val="000F467B"/>
    <w:rsid w:val="000F7D20"/>
    <w:rsid w:val="00111FE6"/>
    <w:rsid w:val="00151FA6"/>
    <w:rsid w:val="00155D50"/>
    <w:rsid w:val="00172413"/>
    <w:rsid w:val="00180266"/>
    <w:rsid w:val="00180925"/>
    <w:rsid w:val="0018397D"/>
    <w:rsid w:val="001A18E8"/>
    <w:rsid w:val="001A4E73"/>
    <w:rsid w:val="001A63B5"/>
    <w:rsid w:val="001A6C99"/>
    <w:rsid w:val="001B5943"/>
    <w:rsid w:val="001C14ED"/>
    <w:rsid w:val="001D7DCA"/>
    <w:rsid w:val="001F26BA"/>
    <w:rsid w:val="00202DE1"/>
    <w:rsid w:val="00205111"/>
    <w:rsid w:val="0020668F"/>
    <w:rsid w:val="002120B8"/>
    <w:rsid w:val="00214A8E"/>
    <w:rsid w:val="0022245A"/>
    <w:rsid w:val="00237D42"/>
    <w:rsid w:val="00243880"/>
    <w:rsid w:val="00262634"/>
    <w:rsid w:val="0029557F"/>
    <w:rsid w:val="002A3EDD"/>
    <w:rsid w:val="002B4A0A"/>
    <w:rsid w:val="002B56A9"/>
    <w:rsid w:val="002C0AD8"/>
    <w:rsid w:val="002D043B"/>
    <w:rsid w:val="002D265E"/>
    <w:rsid w:val="002E7E7C"/>
    <w:rsid w:val="002F2279"/>
    <w:rsid w:val="002F5A36"/>
    <w:rsid w:val="00303C03"/>
    <w:rsid w:val="00303DF3"/>
    <w:rsid w:val="00327524"/>
    <w:rsid w:val="00342862"/>
    <w:rsid w:val="00345362"/>
    <w:rsid w:val="003575B1"/>
    <w:rsid w:val="003603FA"/>
    <w:rsid w:val="0036381F"/>
    <w:rsid w:val="00367433"/>
    <w:rsid w:val="00382E25"/>
    <w:rsid w:val="003A0C78"/>
    <w:rsid w:val="003A146E"/>
    <w:rsid w:val="003D0742"/>
    <w:rsid w:val="003D080F"/>
    <w:rsid w:val="003F1C12"/>
    <w:rsid w:val="003F5C00"/>
    <w:rsid w:val="0040692C"/>
    <w:rsid w:val="004079CB"/>
    <w:rsid w:val="00417592"/>
    <w:rsid w:val="00421A33"/>
    <w:rsid w:val="00424755"/>
    <w:rsid w:val="00435FE8"/>
    <w:rsid w:val="00443F12"/>
    <w:rsid w:val="00453366"/>
    <w:rsid w:val="004537F5"/>
    <w:rsid w:val="00457F13"/>
    <w:rsid w:val="0047402A"/>
    <w:rsid w:val="004A1120"/>
    <w:rsid w:val="004B5EEA"/>
    <w:rsid w:val="004C6622"/>
    <w:rsid w:val="004E2829"/>
    <w:rsid w:val="004E6CF0"/>
    <w:rsid w:val="004F4E68"/>
    <w:rsid w:val="005003C6"/>
    <w:rsid w:val="00502AF4"/>
    <w:rsid w:val="00512E4A"/>
    <w:rsid w:val="00515DF0"/>
    <w:rsid w:val="005169B5"/>
    <w:rsid w:val="0052049D"/>
    <w:rsid w:val="00560402"/>
    <w:rsid w:val="0057068F"/>
    <w:rsid w:val="0057175C"/>
    <w:rsid w:val="005839CC"/>
    <w:rsid w:val="0059131E"/>
    <w:rsid w:val="005A172A"/>
    <w:rsid w:val="005A31FE"/>
    <w:rsid w:val="005C191C"/>
    <w:rsid w:val="005C1F45"/>
    <w:rsid w:val="005C3E51"/>
    <w:rsid w:val="005D1B54"/>
    <w:rsid w:val="005D3303"/>
    <w:rsid w:val="005E2B60"/>
    <w:rsid w:val="005E7AB7"/>
    <w:rsid w:val="005F3249"/>
    <w:rsid w:val="006031EE"/>
    <w:rsid w:val="006046BD"/>
    <w:rsid w:val="006050B6"/>
    <w:rsid w:val="00620D3F"/>
    <w:rsid w:val="00621983"/>
    <w:rsid w:val="00622515"/>
    <w:rsid w:val="00622B3A"/>
    <w:rsid w:val="00645D84"/>
    <w:rsid w:val="00651C20"/>
    <w:rsid w:val="00652FE6"/>
    <w:rsid w:val="00664CA0"/>
    <w:rsid w:val="006652DC"/>
    <w:rsid w:val="0068611A"/>
    <w:rsid w:val="006955B6"/>
    <w:rsid w:val="006B49D6"/>
    <w:rsid w:val="006C0C01"/>
    <w:rsid w:val="006C1D43"/>
    <w:rsid w:val="006C7328"/>
    <w:rsid w:val="006D00BA"/>
    <w:rsid w:val="006D2F34"/>
    <w:rsid w:val="006D5AD0"/>
    <w:rsid w:val="006D621C"/>
    <w:rsid w:val="006D7DE1"/>
    <w:rsid w:val="006F0EF1"/>
    <w:rsid w:val="00700BAC"/>
    <w:rsid w:val="007051A5"/>
    <w:rsid w:val="00715838"/>
    <w:rsid w:val="00731E2A"/>
    <w:rsid w:val="00733693"/>
    <w:rsid w:val="00745046"/>
    <w:rsid w:val="0074510B"/>
    <w:rsid w:val="00755A47"/>
    <w:rsid w:val="00763039"/>
    <w:rsid w:val="007702A6"/>
    <w:rsid w:val="00775BA6"/>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7112E"/>
    <w:rsid w:val="0088288A"/>
    <w:rsid w:val="008B70BD"/>
    <w:rsid w:val="008C0912"/>
    <w:rsid w:val="008C6A00"/>
    <w:rsid w:val="008D4B82"/>
    <w:rsid w:val="008E5902"/>
    <w:rsid w:val="008F06F9"/>
    <w:rsid w:val="00913C8E"/>
    <w:rsid w:val="00921516"/>
    <w:rsid w:val="009252C6"/>
    <w:rsid w:val="009258A7"/>
    <w:rsid w:val="00925A92"/>
    <w:rsid w:val="009373D9"/>
    <w:rsid w:val="00951894"/>
    <w:rsid w:val="00954441"/>
    <w:rsid w:val="00956A30"/>
    <w:rsid w:val="00967758"/>
    <w:rsid w:val="00985E1A"/>
    <w:rsid w:val="009921EB"/>
    <w:rsid w:val="00993362"/>
    <w:rsid w:val="00995210"/>
    <w:rsid w:val="009A1F2C"/>
    <w:rsid w:val="009A4B3B"/>
    <w:rsid w:val="009C1BC7"/>
    <w:rsid w:val="009C55B8"/>
    <w:rsid w:val="009D584C"/>
    <w:rsid w:val="009D7883"/>
    <w:rsid w:val="009E0FA8"/>
    <w:rsid w:val="009E1DE9"/>
    <w:rsid w:val="00A13092"/>
    <w:rsid w:val="00A15B01"/>
    <w:rsid w:val="00A16421"/>
    <w:rsid w:val="00A2057A"/>
    <w:rsid w:val="00A2419C"/>
    <w:rsid w:val="00A409C8"/>
    <w:rsid w:val="00A437F1"/>
    <w:rsid w:val="00A57160"/>
    <w:rsid w:val="00A6646D"/>
    <w:rsid w:val="00A766A6"/>
    <w:rsid w:val="00A8694C"/>
    <w:rsid w:val="00A93F1D"/>
    <w:rsid w:val="00A95D1C"/>
    <w:rsid w:val="00A97F70"/>
    <w:rsid w:val="00AA5AE1"/>
    <w:rsid w:val="00AB0B83"/>
    <w:rsid w:val="00AC4009"/>
    <w:rsid w:val="00AD14D5"/>
    <w:rsid w:val="00AD2AF8"/>
    <w:rsid w:val="00AD4CF6"/>
    <w:rsid w:val="00AE455C"/>
    <w:rsid w:val="00AF15ED"/>
    <w:rsid w:val="00AF5193"/>
    <w:rsid w:val="00B02E81"/>
    <w:rsid w:val="00B232F3"/>
    <w:rsid w:val="00B243AD"/>
    <w:rsid w:val="00B35FA8"/>
    <w:rsid w:val="00B526BB"/>
    <w:rsid w:val="00B569E8"/>
    <w:rsid w:val="00B61719"/>
    <w:rsid w:val="00B704A4"/>
    <w:rsid w:val="00B74FE8"/>
    <w:rsid w:val="00B7645F"/>
    <w:rsid w:val="00B77166"/>
    <w:rsid w:val="00B915E6"/>
    <w:rsid w:val="00B978C6"/>
    <w:rsid w:val="00BA0BED"/>
    <w:rsid w:val="00BA228C"/>
    <w:rsid w:val="00BB08B1"/>
    <w:rsid w:val="00BC0F14"/>
    <w:rsid w:val="00BC15E3"/>
    <w:rsid w:val="00BC6D80"/>
    <w:rsid w:val="00BE6748"/>
    <w:rsid w:val="00BF2515"/>
    <w:rsid w:val="00BF2AF9"/>
    <w:rsid w:val="00C0045D"/>
    <w:rsid w:val="00C006F7"/>
    <w:rsid w:val="00C00DA9"/>
    <w:rsid w:val="00C02AA8"/>
    <w:rsid w:val="00C02E8C"/>
    <w:rsid w:val="00C13579"/>
    <w:rsid w:val="00C23CB7"/>
    <w:rsid w:val="00C2715F"/>
    <w:rsid w:val="00C332D4"/>
    <w:rsid w:val="00C36F6C"/>
    <w:rsid w:val="00C5082C"/>
    <w:rsid w:val="00C50993"/>
    <w:rsid w:val="00C50B24"/>
    <w:rsid w:val="00C57B5B"/>
    <w:rsid w:val="00C62096"/>
    <w:rsid w:val="00C64AA2"/>
    <w:rsid w:val="00C72DB4"/>
    <w:rsid w:val="00C82361"/>
    <w:rsid w:val="00C92B89"/>
    <w:rsid w:val="00C95A16"/>
    <w:rsid w:val="00C96DAD"/>
    <w:rsid w:val="00CB0EAE"/>
    <w:rsid w:val="00CE4FDB"/>
    <w:rsid w:val="00CE61A0"/>
    <w:rsid w:val="00CF27EB"/>
    <w:rsid w:val="00CF4C4C"/>
    <w:rsid w:val="00D06799"/>
    <w:rsid w:val="00D1007E"/>
    <w:rsid w:val="00D109DB"/>
    <w:rsid w:val="00D122A8"/>
    <w:rsid w:val="00D139B5"/>
    <w:rsid w:val="00D265D9"/>
    <w:rsid w:val="00D331C3"/>
    <w:rsid w:val="00D41079"/>
    <w:rsid w:val="00D42D18"/>
    <w:rsid w:val="00D443CC"/>
    <w:rsid w:val="00D45341"/>
    <w:rsid w:val="00D4742A"/>
    <w:rsid w:val="00D50B88"/>
    <w:rsid w:val="00D625DE"/>
    <w:rsid w:val="00D704CA"/>
    <w:rsid w:val="00D72E18"/>
    <w:rsid w:val="00D73502"/>
    <w:rsid w:val="00D74001"/>
    <w:rsid w:val="00D7466C"/>
    <w:rsid w:val="00DA049A"/>
    <w:rsid w:val="00DA3114"/>
    <w:rsid w:val="00DB04E3"/>
    <w:rsid w:val="00DB46BA"/>
    <w:rsid w:val="00DC5407"/>
    <w:rsid w:val="00DF023A"/>
    <w:rsid w:val="00DF1580"/>
    <w:rsid w:val="00DF35B5"/>
    <w:rsid w:val="00E014C2"/>
    <w:rsid w:val="00E1596F"/>
    <w:rsid w:val="00E22B90"/>
    <w:rsid w:val="00E251C8"/>
    <w:rsid w:val="00E41A9F"/>
    <w:rsid w:val="00E467AE"/>
    <w:rsid w:val="00E50F5B"/>
    <w:rsid w:val="00E52A59"/>
    <w:rsid w:val="00E563C3"/>
    <w:rsid w:val="00E67ECC"/>
    <w:rsid w:val="00E70F34"/>
    <w:rsid w:val="00E71CB1"/>
    <w:rsid w:val="00E721B7"/>
    <w:rsid w:val="00E8073B"/>
    <w:rsid w:val="00E83102"/>
    <w:rsid w:val="00E83852"/>
    <w:rsid w:val="00E95313"/>
    <w:rsid w:val="00EA09AC"/>
    <w:rsid w:val="00EA4703"/>
    <w:rsid w:val="00EC5EA9"/>
    <w:rsid w:val="00ED238E"/>
    <w:rsid w:val="00ED5830"/>
    <w:rsid w:val="00EE0072"/>
    <w:rsid w:val="00EF2508"/>
    <w:rsid w:val="00F20DD4"/>
    <w:rsid w:val="00F239E3"/>
    <w:rsid w:val="00F251D7"/>
    <w:rsid w:val="00F27D9E"/>
    <w:rsid w:val="00F35D27"/>
    <w:rsid w:val="00F50F09"/>
    <w:rsid w:val="00F606D3"/>
    <w:rsid w:val="00F66B6F"/>
    <w:rsid w:val="00F75D29"/>
    <w:rsid w:val="00F83CAA"/>
    <w:rsid w:val="00F83CC4"/>
    <w:rsid w:val="00F95D18"/>
    <w:rsid w:val="00F9723E"/>
    <w:rsid w:val="00FA1BA1"/>
    <w:rsid w:val="00FC25A8"/>
    <w:rsid w:val="00FC6045"/>
    <w:rsid w:val="00FC7BE0"/>
    <w:rsid w:val="00FD2675"/>
    <w:rsid w:val="00FD2BB9"/>
    <w:rsid w:val="00FE3321"/>
    <w:rsid w:val="00FF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2</cp:revision>
  <dcterms:created xsi:type="dcterms:W3CDTF">2015-05-27T11:27:00Z</dcterms:created>
  <dcterms:modified xsi:type="dcterms:W3CDTF">2015-05-27T11:27:00Z</dcterms:modified>
</cp:coreProperties>
</file>