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93F52" w14:textId="77777777" w:rsidR="004922C1" w:rsidRPr="004922C1" w:rsidRDefault="00290491" w:rsidP="004922C1">
      <w:pPr>
        <w:pStyle w:val="Title"/>
        <w:rPr>
          <w:rFonts w:ascii="Arial" w:hAnsi="Arial" w:cs="Arial"/>
          <w:b/>
          <w:bCs/>
          <w:sz w:val="96"/>
          <w:szCs w:val="96"/>
        </w:rPr>
      </w:pPr>
      <w:r>
        <w:rPr>
          <w:rFonts w:ascii="Georgia" w:hAnsi="Georgia"/>
          <w:noProof/>
          <w:color w:val="2F5496" w:themeColor="accent1" w:themeShade="BF"/>
          <w:sz w:val="96"/>
          <w:szCs w:val="96"/>
        </w:rPr>
        <w:drawing>
          <wp:inline distT="0" distB="0" distL="0" distR="0" wp14:anchorId="358EC7AE" wp14:editId="418F2DDC">
            <wp:extent cx="2592070" cy="646733"/>
            <wp:effectExtent l="0" t="0" r="0" b="1270"/>
            <wp:docPr id="20638128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409676" name="Picture 1"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8556" cy="658331"/>
                    </a:xfrm>
                    <a:prstGeom prst="rect">
                      <a:avLst/>
                    </a:prstGeom>
                  </pic:spPr>
                </pic:pic>
              </a:graphicData>
            </a:graphic>
          </wp:inline>
        </w:drawing>
      </w:r>
      <w:r w:rsidR="006B0702">
        <w:rPr>
          <w:rFonts w:ascii="Georgia" w:hAnsi="Georgia"/>
          <w:color w:val="2F5496" w:themeColor="accent1" w:themeShade="BF"/>
          <w:sz w:val="96"/>
          <w:szCs w:val="96"/>
        </w:rPr>
        <w:br/>
      </w:r>
      <w:r w:rsidR="006B0702">
        <w:rPr>
          <w:rFonts w:ascii="Georgia" w:hAnsi="Georgia"/>
          <w:color w:val="2F5496" w:themeColor="accent1" w:themeShade="BF"/>
          <w:sz w:val="96"/>
          <w:szCs w:val="96"/>
        </w:rPr>
        <w:br/>
      </w:r>
      <w:r w:rsidR="004922C1" w:rsidRPr="004922C1">
        <w:rPr>
          <w:rFonts w:ascii="Arial" w:hAnsi="Arial" w:cs="Arial"/>
          <w:b/>
          <w:bCs/>
          <w:sz w:val="96"/>
          <w:szCs w:val="96"/>
        </w:rPr>
        <w:t>Co-producing a Community of Practice</w:t>
      </w:r>
    </w:p>
    <w:p w14:paraId="6FE2131A" w14:textId="78EF330F" w:rsidR="006B0702" w:rsidRPr="006B0702" w:rsidRDefault="006B0702" w:rsidP="004922C1">
      <w:pPr>
        <w:pStyle w:val="Title"/>
      </w:pPr>
    </w:p>
    <w:p w14:paraId="5F89D127" w14:textId="4529BBB4" w:rsidR="006B0702" w:rsidRPr="006B0702" w:rsidRDefault="006B0702" w:rsidP="006B0702"/>
    <w:p w14:paraId="1E8260E9" w14:textId="77777777" w:rsidR="004922C1" w:rsidRPr="004922C1" w:rsidRDefault="004922C1" w:rsidP="004922C1">
      <w:pPr>
        <w:rPr>
          <w:rFonts w:ascii="Arial" w:hAnsi="Arial" w:cs="Arial"/>
          <w:sz w:val="32"/>
        </w:rPr>
      </w:pPr>
      <w:r w:rsidRPr="004922C1">
        <w:rPr>
          <w:rFonts w:ascii="Arial" w:hAnsi="Arial" w:cs="Arial"/>
          <w:sz w:val="32"/>
        </w:rPr>
        <w:t>Transforming wellbeing inequalities by building community assets</w:t>
      </w:r>
    </w:p>
    <w:p w14:paraId="6D12CFDD" w14:textId="57A5160B" w:rsidR="006B0702" w:rsidRPr="006B0702" w:rsidRDefault="006B0702" w:rsidP="006B0702">
      <w:pPr>
        <w:sectPr w:rsidR="006B0702" w:rsidRPr="006B0702" w:rsidSect="004759FB">
          <w:pgSz w:w="11900" w:h="16840"/>
          <w:pgMar w:top="1440" w:right="1440" w:bottom="1440" w:left="1440" w:header="708" w:footer="708" w:gutter="0"/>
          <w:cols w:space="708"/>
          <w:docGrid w:linePitch="360"/>
        </w:sectPr>
      </w:pPr>
    </w:p>
    <w:p w14:paraId="01745F69" w14:textId="61B70C53" w:rsidR="004C6327" w:rsidRPr="001A431B" w:rsidRDefault="004C6327" w:rsidP="004C6327">
      <w:pPr>
        <w:pStyle w:val="Heading1"/>
        <w:rPr>
          <w:rFonts w:ascii="Arial" w:hAnsi="Arial" w:cs="Arial"/>
          <w:b/>
          <w:sz w:val="44"/>
          <w:szCs w:val="44"/>
        </w:rPr>
      </w:pPr>
    </w:p>
    <w:p w14:paraId="65A3E998" w14:textId="77777777" w:rsidR="004922C1" w:rsidRPr="004922C1" w:rsidRDefault="004922C1" w:rsidP="004922C1">
      <w:pPr>
        <w:rPr>
          <w:rFonts w:ascii="Arial" w:hAnsi="Arial" w:cs="Arial"/>
          <w:sz w:val="28"/>
        </w:rPr>
      </w:pPr>
      <w:r w:rsidRPr="004922C1">
        <w:rPr>
          <w:rFonts w:ascii="Arial" w:hAnsi="Arial" w:cs="Arial"/>
          <w:sz w:val="28"/>
        </w:rPr>
        <w:t xml:space="preserve">In this Policy Brief, we explain how we created a Community of Practice (CoP) and how it can be sustained. We show how the CoP’s focus on a local community’s wellbeing and building assets can transform inequalities in wellbeing by creating three fundamental shifts in practices. </w:t>
      </w:r>
    </w:p>
    <w:p w14:paraId="361E194A" w14:textId="77777777" w:rsidR="004C6327" w:rsidRDefault="004C6327" w:rsidP="004C6327"/>
    <w:p w14:paraId="09F375FA" w14:textId="77777777" w:rsidR="004922C1" w:rsidRPr="004922C1" w:rsidRDefault="004922C1" w:rsidP="004F0A3B">
      <w:pPr>
        <w:pStyle w:val="HeadingH2"/>
      </w:pPr>
      <w:r w:rsidRPr="004922C1">
        <w:t xml:space="preserve">What we wanted to find out  </w:t>
      </w:r>
      <w:r w:rsidRPr="004922C1">
        <w:br/>
      </w:r>
    </w:p>
    <w:p w14:paraId="3191B770" w14:textId="77777777" w:rsidR="004922C1" w:rsidRPr="004922C1" w:rsidRDefault="004922C1" w:rsidP="004922C1">
      <w:pPr>
        <w:spacing w:line="312" w:lineRule="auto"/>
        <w:rPr>
          <w:rFonts w:ascii="Arial" w:hAnsi="Arial" w:cs="Arial"/>
          <w:color w:val="000000" w:themeColor="text1"/>
        </w:rPr>
      </w:pPr>
      <w:r w:rsidRPr="004922C1">
        <w:rPr>
          <w:rFonts w:ascii="Arial" w:hAnsi="Arial" w:cs="Arial"/>
          <w:color w:val="000000" w:themeColor="text1"/>
        </w:rPr>
        <w:t xml:space="preserve">Social Prescribing is a growing health care innovation that addresses the wider determinants of health by connecting people to community-based activities and services. What we wanted to find out was: </w:t>
      </w:r>
    </w:p>
    <w:p w14:paraId="3E3724A5" w14:textId="77777777" w:rsidR="004922C1" w:rsidRPr="004922C1" w:rsidRDefault="004922C1" w:rsidP="004F0A3B">
      <w:pPr>
        <w:pStyle w:val="HeadingH3"/>
      </w:pPr>
      <w:r w:rsidRPr="004922C1">
        <w:br/>
        <w:t>Whether and how can Social Prescribing change inequalities in different communities’ wellbeing?</w:t>
      </w:r>
    </w:p>
    <w:p w14:paraId="6485A96D" w14:textId="77777777" w:rsidR="004922C1" w:rsidRPr="004922C1" w:rsidRDefault="004922C1" w:rsidP="004922C1">
      <w:pPr>
        <w:spacing w:line="312" w:lineRule="auto"/>
        <w:rPr>
          <w:rFonts w:ascii="Arial" w:hAnsi="Arial" w:cs="Arial"/>
          <w:color w:val="000000" w:themeColor="text1"/>
        </w:rPr>
      </w:pPr>
    </w:p>
    <w:p w14:paraId="76C1B27B" w14:textId="77777777" w:rsidR="004922C1" w:rsidRPr="004922C1" w:rsidRDefault="004922C1" w:rsidP="004922C1">
      <w:pPr>
        <w:spacing w:line="312" w:lineRule="auto"/>
        <w:rPr>
          <w:rFonts w:ascii="Arial" w:hAnsi="Arial" w:cs="Arial"/>
          <w:color w:val="000000" w:themeColor="text1"/>
        </w:rPr>
      </w:pPr>
      <w:r w:rsidRPr="004922C1">
        <w:rPr>
          <w:rFonts w:ascii="Arial" w:hAnsi="Arial" w:cs="Arial"/>
          <w:color w:val="000000" w:themeColor="text1"/>
        </w:rPr>
        <w:t xml:space="preserve">Both the Centre for Urban Wellbeing at the University of Birmingham and The Active Wellbeing Society (TAWS) believe that building communities’ assets enables people to sustain and enhance their wellbeing. Using action research, we combined our asset-based approaches to stimulate mutual learning and immediate change by creating a Community of Practice (CoP). </w:t>
      </w:r>
    </w:p>
    <w:p w14:paraId="7FE90A7F" w14:textId="77777777" w:rsidR="004922C1" w:rsidRPr="004922C1" w:rsidRDefault="004922C1" w:rsidP="004922C1">
      <w:pPr>
        <w:spacing w:line="312" w:lineRule="auto"/>
        <w:rPr>
          <w:rFonts w:ascii="Arial" w:hAnsi="Arial" w:cs="Arial"/>
          <w:color w:val="000000" w:themeColor="text1"/>
        </w:rPr>
      </w:pPr>
    </w:p>
    <w:p w14:paraId="6BA4D134" w14:textId="2A44A70B" w:rsidR="004C6327" w:rsidRDefault="004922C1" w:rsidP="004922C1">
      <w:pPr>
        <w:spacing w:line="312" w:lineRule="auto"/>
        <w:rPr>
          <w:rFonts w:ascii="Arial" w:hAnsi="Arial" w:cs="Arial"/>
          <w:color w:val="000000" w:themeColor="text1"/>
        </w:rPr>
      </w:pPr>
      <w:r w:rsidRPr="004922C1">
        <w:rPr>
          <w:rFonts w:ascii="Arial" w:hAnsi="Arial" w:cs="Arial"/>
          <w:color w:val="000000" w:themeColor="text1"/>
        </w:rPr>
        <w:t>We took a hyper-local approach to understand how individuals’ experiences interact with the community’s assets, focussing on Stechford in East Birmingham, where TAWS deliver a Social Prescribing programme.</w:t>
      </w:r>
    </w:p>
    <w:p w14:paraId="21A1B200" w14:textId="77777777" w:rsidR="004922C1" w:rsidRDefault="004922C1" w:rsidP="004922C1">
      <w:pPr>
        <w:spacing w:line="312" w:lineRule="auto"/>
        <w:rPr>
          <w:rFonts w:ascii="Arial" w:hAnsi="Arial" w:cs="Arial"/>
          <w:color w:val="000000" w:themeColor="text1"/>
        </w:rPr>
      </w:pPr>
    </w:p>
    <w:p w14:paraId="3778A266" w14:textId="5FD5A181" w:rsidR="004922C1" w:rsidRDefault="004922C1" w:rsidP="004922C1">
      <w:pPr>
        <w:spacing w:line="312" w:lineRule="auto"/>
        <w:rPr>
          <w:rFonts w:ascii="Arial" w:hAnsi="Arial" w:cs="Arial"/>
          <w:color w:val="000000" w:themeColor="text1"/>
        </w:rPr>
      </w:pPr>
      <w:r w:rsidRPr="004922C1">
        <w:rPr>
          <w:rFonts w:ascii="Arial" w:hAnsi="Arial" w:cs="Arial"/>
          <w:color w:val="000000" w:themeColor="text1"/>
        </w:rPr>
        <w:t>The ward of Yardley West &amp; Stechford includes diverse communities and a wealth of community assets. However, it is in the 10% most deprived in the UK. Compared to other wards in the city, the population has low levels of qualifications, higher levels of language barriers, high levels of child poverty and low levels of economic output. These factors all contribute to the wider social determinants of health and wellbeing.</w:t>
      </w:r>
    </w:p>
    <w:p w14:paraId="67EF0004" w14:textId="77777777" w:rsidR="004922C1" w:rsidRDefault="004922C1" w:rsidP="004922C1">
      <w:pPr>
        <w:spacing w:line="312" w:lineRule="auto"/>
        <w:rPr>
          <w:rFonts w:ascii="Arial" w:hAnsi="Arial" w:cs="Arial"/>
          <w:color w:val="000000" w:themeColor="text1"/>
        </w:rPr>
      </w:pPr>
    </w:p>
    <w:p w14:paraId="7EAD93A5" w14:textId="4CC919B3" w:rsidR="004922C1" w:rsidRDefault="004922C1" w:rsidP="004922C1">
      <w:pPr>
        <w:spacing w:line="312" w:lineRule="auto"/>
        <w:rPr>
          <w:rFonts w:ascii="Arial" w:hAnsi="Arial" w:cs="Arial"/>
          <w:color w:val="000000" w:themeColor="text1"/>
        </w:rPr>
      </w:pPr>
      <w:r w:rsidRPr="004922C1">
        <w:rPr>
          <w:rFonts w:ascii="Arial" w:hAnsi="Arial" w:cs="Arial"/>
          <w:color w:val="000000" w:themeColor="text1"/>
        </w:rPr>
        <w:t>During our 12-month project (in 2023/24), we convened a series of 4 workshops to build a Community of Practice around one Social Prescribing activity, the ‘Walking Wednesdays’ group. Engaging in this small group’s weekly ‘walk and talk’ helped us to gain detailed insight into the wider community’s assets and needs.</w:t>
      </w:r>
    </w:p>
    <w:p w14:paraId="43D27AD2" w14:textId="77777777" w:rsidR="004922C1" w:rsidRDefault="004922C1" w:rsidP="004922C1">
      <w:pPr>
        <w:spacing w:line="312" w:lineRule="auto"/>
        <w:rPr>
          <w:rFonts w:ascii="Arial" w:hAnsi="Arial" w:cs="Arial"/>
          <w:color w:val="000000" w:themeColor="text1"/>
        </w:rPr>
      </w:pPr>
    </w:p>
    <w:p w14:paraId="41F47161" w14:textId="77777777" w:rsidR="004922C1" w:rsidRDefault="004922C1" w:rsidP="004922C1">
      <w:pPr>
        <w:spacing w:line="312" w:lineRule="auto"/>
        <w:rPr>
          <w:rFonts w:ascii="Arial" w:hAnsi="Arial" w:cs="Arial"/>
          <w:b/>
          <w:bCs/>
          <w:color w:val="000000" w:themeColor="text1"/>
        </w:rPr>
      </w:pPr>
      <w:r>
        <w:rPr>
          <w:rFonts w:ascii="Arial" w:hAnsi="Arial" w:cs="Arial"/>
          <w:b/>
          <w:bCs/>
          <w:color w:val="000000" w:themeColor="text1"/>
        </w:rPr>
        <w:lastRenderedPageBreak/>
        <w:t>“</w:t>
      </w:r>
      <w:r w:rsidRPr="004922C1">
        <w:rPr>
          <w:rFonts w:ascii="Arial" w:hAnsi="Arial" w:cs="Arial"/>
          <w:b/>
          <w:bCs/>
          <w:color w:val="000000" w:themeColor="text1"/>
        </w:rPr>
        <w:t xml:space="preserve">When we meet, we discuss and we share, and it gives you that </w:t>
      </w:r>
      <w:proofErr w:type="gramStart"/>
      <w:r w:rsidRPr="004922C1">
        <w:rPr>
          <w:rFonts w:ascii="Arial" w:hAnsi="Arial" w:cs="Arial"/>
          <w:b/>
          <w:bCs/>
          <w:color w:val="000000" w:themeColor="text1"/>
        </w:rPr>
        <w:t>connection</w:t>
      </w:r>
      <w:r>
        <w:rPr>
          <w:rFonts w:ascii="Arial" w:hAnsi="Arial" w:cs="Arial"/>
          <w:b/>
          <w:bCs/>
          <w:color w:val="000000" w:themeColor="text1"/>
        </w:rPr>
        <w:t>”</w:t>
      </w:r>
      <w:proofErr w:type="gramEnd"/>
      <w:r>
        <w:rPr>
          <w:rFonts w:ascii="Arial" w:hAnsi="Arial" w:cs="Arial"/>
          <w:b/>
          <w:bCs/>
          <w:color w:val="000000" w:themeColor="text1"/>
        </w:rPr>
        <w:t xml:space="preserve"> </w:t>
      </w:r>
    </w:p>
    <w:p w14:paraId="7ABC0EB1" w14:textId="18D51788" w:rsidR="004922C1" w:rsidRDefault="004922C1" w:rsidP="004922C1">
      <w:pPr>
        <w:spacing w:line="312" w:lineRule="auto"/>
        <w:rPr>
          <w:rFonts w:ascii="Arial" w:hAnsi="Arial" w:cs="Arial"/>
          <w:b/>
          <w:bCs/>
          <w:color w:val="000000" w:themeColor="text1"/>
        </w:rPr>
      </w:pPr>
      <w:r>
        <w:rPr>
          <w:rFonts w:ascii="Arial" w:hAnsi="Arial" w:cs="Arial"/>
          <w:b/>
          <w:bCs/>
          <w:color w:val="000000" w:themeColor="text1"/>
        </w:rPr>
        <w:t>– Social Prescribing facilitator</w:t>
      </w:r>
    </w:p>
    <w:p w14:paraId="16788523" w14:textId="77777777" w:rsidR="004922C1" w:rsidRDefault="004922C1" w:rsidP="004922C1">
      <w:pPr>
        <w:spacing w:line="312" w:lineRule="auto"/>
        <w:rPr>
          <w:rFonts w:ascii="Arial" w:hAnsi="Arial" w:cs="Arial"/>
          <w:b/>
          <w:bCs/>
          <w:color w:val="000000" w:themeColor="text1"/>
        </w:rPr>
      </w:pPr>
    </w:p>
    <w:p w14:paraId="711E502E" w14:textId="6459F3E1" w:rsidR="004922C1" w:rsidRDefault="004922C1" w:rsidP="004922C1">
      <w:pPr>
        <w:spacing w:line="312" w:lineRule="auto"/>
        <w:rPr>
          <w:rFonts w:ascii="Arial" w:hAnsi="Arial" w:cs="Arial"/>
          <w:b/>
          <w:bCs/>
          <w:color w:val="000000" w:themeColor="text1"/>
        </w:rPr>
      </w:pPr>
      <w:r>
        <w:rPr>
          <w:rFonts w:ascii="Arial" w:hAnsi="Arial" w:cs="Arial"/>
          <w:b/>
          <w:bCs/>
          <w:color w:val="000000" w:themeColor="text1"/>
        </w:rPr>
        <w:t>“</w:t>
      </w:r>
      <w:r w:rsidRPr="004922C1">
        <w:rPr>
          <w:rFonts w:ascii="Arial" w:hAnsi="Arial" w:cs="Arial"/>
          <w:b/>
          <w:bCs/>
          <w:color w:val="000000" w:themeColor="text1"/>
        </w:rPr>
        <w:t xml:space="preserve">I think partnering with organisations with shared interests is </w:t>
      </w:r>
      <w:proofErr w:type="gramStart"/>
      <w:r w:rsidRPr="004922C1">
        <w:rPr>
          <w:rFonts w:ascii="Arial" w:hAnsi="Arial" w:cs="Arial"/>
          <w:b/>
          <w:bCs/>
          <w:color w:val="000000" w:themeColor="text1"/>
        </w:rPr>
        <w:t>really important</w:t>
      </w:r>
      <w:proofErr w:type="gramEnd"/>
      <w:r w:rsidRPr="004922C1">
        <w:rPr>
          <w:rFonts w:ascii="Arial" w:hAnsi="Arial" w:cs="Arial"/>
          <w:b/>
          <w:bCs/>
          <w:color w:val="000000" w:themeColor="text1"/>
        </w:rPr>
        <w:t>. You can’t really do effective community engagement without it.</w:t>
      </w:r>
      <w:r>
        <w:rPr>
          <w:rFonts w:ascii="Arial" w:hAnsi="Arial" w:cs="Arial"/>
          <w:b/>
          <w:bCs/>
          <w:color w:val="000000" w:themeColor="text1"/>
        </w:rPr>
        <w:t xml:space="preserve">” – </w:t>
      </w:r>
      <w:proofErr w:type="spellStart"/>
      <w:r w:rsidRPr="004922C1">
        <w:rPr>
          <w:rFonts w:ascii="Arial" w:hAnsi="Arial" w:cs="Arial"/>
          <w:b/>
          <w:bCs/>
          <w:color w:val="000000" w:themeColor="text1"/>
        </w:rPr>
        <w:t>Earthwatch</w:t>
      </w:r>
      <w:proofErr w:type="spellEnd"/>
      <w:r w:rsidRPr="004922C1">
        <w:rPr>
          <w:rFonts w:ascii="Arial" w:hAnsi="Arial" w:cs="Arial"/>
          <w:b/>
          <w:bCs/>
          <w:color w:val="000000" w:themeColor="text1"/>
        </w:rPr>
        <w:t xml:space="preserve"> Researcher </w:t>
      </w:r>
    </w:p>
    <w:p w14:paraId="79FE62B1" w14:textId="77777777" w:rsidR="004922C1" w:rsidRDefault="004922C1" w:rsidP="004922C1">
      <w:pPr>
        <w:spacing w:line="312" w:lineRule="auto"/>
        <w:rPr>
          <w:rFonts w:ascii="Arial" w:hAnsi="Arial" w:cs="Arial"/>
          <w:b/>
          <w:bCs/>
          <w:color w:val="000000" w:themeColor="text1"/>
        </w:rPr>
      </w:pPr>
    </w:p>
    <w:p w14:paraId="041C3F80" w14:textId="77777777" w:rsidR="004922C1" w:rsidRDefault="004922C1" w:rsidP="004F0A3B">
      <w:pPr>
        <w:pStyle w:val="HeadingH2"/>
      </w:pPr>
      <w:r w:rsidRPr="004922C1">
        <w:t xml:space="preserve">How we co-produced a </w:t>
      </w:r>
      <w:proofErr w:type="gramStart"/>
      <w:r w:rsidRPr="004922C1">
        <w:t>CoP</w:t>
      </w:r>
      <w:proofErr w:type="gramEnd"/>
    </w:p>
    <w:p w14:paraId="169204EF" w14:textId="77777777" w:rsidR="004922C1" w:rsidRDefault="004922C1" w:rsidP="004922C1">
      <w:pPr>
        <w:spacing w:line="312" w:lineRule="auto"/>
        <w:rPr>
          <w:rFonts w:ascii="Arial" w:eastAsiaTheme="majorEastAsia" w:hAnsi="Arial" w:cs="Arial"/>
          <w:b/>
          <w:bCs/>
          <w:color w:val="2F5496" w:themeColor="accent1" w:themeShade="BF"/>
          <w:szCs w:val="26"/>
        </w:rPr>
      </w:pPr>
    </w:p>
    <w:p w14:paraId="24694C9A" w14:textId="168821F7" w:rsidR="004922C1" w:rsidRPr="004922C1" w:rsidRDefault="004922C1" w:rsidP="004922C1">
      <w:pPr>
        <w:spacing w:line="312" w:lineRule="auto"/>
        <w:rPr>
          <w:rFonts w:ascii="Arial" w:hAnsi="Arial" w:cs="Arial"/>
          <w:color w:val="000000" w:themeColor="text1"/>
        </w:rPr>
      </w:pPr>
      <w:r w:rsidRPr="004922C1">
        <w:rPr>
          <w:rFonts w:ascii="Arial" w:hAnsi="Arial" w:cs="Arial"/>
          <w:color w:val="000000" w:themeColor="text1"/>
        </w:rPr>
        <w:t>Community members, public and third sector organisations, and academic researchers co-created four main outputs through our workshops:</w:t>
      </w:r>
    </w:p>
    <w:p w14:paraId="76AC6883" w14:textId="77777777" w:rsidR="004922C1" w:rsidRPr="004922C1" w:rsidRDefault="004922C1" w:rsidP="004922C1">
      <w:pPr>
        <w:spacing w:line="312" w:lineRule="auto"/>
        <w:rPr>
          <w:rFonts w:ascii="Arial" w:hAnsi="Arial" w:cs="Arial"/>
          <w:color w:val="000000" w:themeColor="text1"/>
        </w:rPr>
      </w:pPr>
    </w:p>
    <w:p w14:paraId="4F326F1D" w14:textId="2F6491B8" w:rsidR="004922C1" w:rsidRPr="004922C1" w:rsidRDefault="004922C1" w:rsidP="004922C1">
      <w:pPr>
        <w:spacing w:line="312" w:lineRule="auto"/>
        <w:rPr>
          <w:rFonts w:ascii="Arial" w:hAnsi="Arial" w:cs="Arial"/>
          <w:color w:val="000000" w:themeColor="text1"/>
        </w:rPr>
      </w:pPr>
      <w:r w:rsidRPr="004922C1">
        <w:rPr>
          <w:rFonts w:ascii="Arial" w:hAnsi="Arial" w:cs="Arial"/>
          <w:b/>
          <w:bCs/>
          <w:color w:val="000000" w:themeColor="text1"/>
        </w:rPr>
        <w:t xml:space="preserve">Rich pictures </w:t>
      </w:r>
      <w:r w:rsidRPr="004922C1">
        <w:rPr>
          <w:rFonts w:ascii="Arial" w:hAnsi="Arial" w:cs="Arial"/>
          <w:color w:val="000000" w:themeColor="text1"/>
        </w:rPr>
        <w:t>– community participants drew images to depict how green spaces contribute to their wellbeing and how various changes could enhance enjoyment of these assets.</w:t>
      </w:r>
    </w:p>
    <w:p w14:paraId="5CDD7962" w14:textId="77777777" w:rsidR="004922C1" w:rsidRPr="004922C1" w:rsidRDefault="004922C1" w:rsidP="004922C1">
      <w:pPr>
        <w:spacing w:line="312" w:lineRule="auto"/>
        <w:rPr>
          <w:rFonts w:ascii="Arial" w:hAnsi="Arial" w:cs="Arial"/>
          <w:color w:val="000000" w:themeColor="text1"/>
        </w:rPr>
      </w:pPr>
    </w:p>
    <w:p w14:paraId="37869A3D" w14:textId="77777777" w:rsidR="004922C1" w:rsidRPr="004922C1" w:rsidRDefault="004922C1" w:rsidP="004922C1">
      <w:pPr>
        <w:spacing w:line="312" w:lineRule="auto"/>
        <w:rPr>
          <w:rFonts w:ascii="Arial" w:hAnsi="Arial" w:cs="Arial"/>
          <w:color w:val="000000" w:themeColor="text1"/>
        </w:rPr>
      </w:pPr>
      <w:r w:rsidRPr="004922C1">
        <w:rPr>
          <w:rFonts w:ascii="Arial" w:hAnsi="Arial" w:cs="Arial"/>
          <w:b/>
          <w:bCs/>
          <w:color w:val="000000" w:themeColor="text1"/>
        </w:rPr>
        <w:t xml:space="preserve">Shared vision </w:t>
      </w:r>
      <w:r w:rsidRPr="004922C1">
        <w:rPr>
          <w:rFonts w:ascii="Arial" w:hAnsi="Arial" w:cs="Arial"/>
          <w:color w:val="000000" w:themeColor="text1"/>
        </w:rPr>
        <w:t xml:space="preserve">– We agreed we would like green space to be accessible (safe, </w:t>
      </w:r>
      <w:proofErr w:type="gramStart"/>
      <w:r w:rsidRPr="004922C1">
        <w:rPr>
          <w:rFonts w:ascii="Arial" w:hAnsi="Arial" w:cs="Arial"/>
          <w:color w:val="000000" w:themeColor="text1"/>
        </w:rPr>
        <w:t>clean</w:t>
      </w:r>
      <w:proofErr w:type="gramEnd"/>
      <w:r w:rsidRPr="004922C1">
        <w:rPr>
          <w:rFonts w:ascii="Arial" w:hAnsi="Arial" w:cs="Arial"/>
          <w:color w:val="000000" w:themeColor="text1"/>
        </w:rPr>
        <w:t xml:space="preserve"> and interesting), to achieve this collectively, and that this would create a shared sense of purpose, enhancing wellbeing in Stechford.</w:t>
      </w:r>
    </w:p>
    <w:p w14:paraId="41D7F6BE" w14:textId="77777777" w:rsidR="004922C1" w:rsidRPr="004922C1" w:rsidRDefault="004922C1" w:rsidP="004922C1">
      <w:pPr>
        <w:spacing w:line="312" w:lineRule="auto"/>
        <w:rPr>
          <w:rFonts w:ascii="Arial" w:hAnsi="Arial" w:cs="Arial"/>
          <w:color w:val="000000" w:themeColor="text1"/>
        </w:rPr>
      </w:pPr>
      <w:r w:rsidRPr="004922C1">
        <w:rPr>
          <w:rFonts w:ascii="Arial" w:hAnsi="Arial" w:cs="Arial"/>
          <w:color w:val="000000" w:themeColor="text1"/>
        </w:rPr>
        <w:t xml:space="preserve"> </w:t>
      </w:r>
    </w:p>
    <w:p w14:paraId="1521B609" w14:textId="77777777" w:rsidR="004922C1" w:rsidRPr="004922C1" w:rsidRDefault="004922C1" w:rsidP="004922C1">
      <w:pPr>
        <w:spacing w:line="312" w:lineRule="auto"/>
        <w:rPr>
          <w:rFonts w:ascii="Arial" w:hAnsi="Arial" w:cs="Arial"/>
          <w:color w:val="000000" w:themeColor="text1"/>
        </w:rPr>
      </w:pPr>
      <w:r w:rsidRPr="004922C1">
        <w:rPr>
          <w:rFonts w:ascii="Arial" w:hAnsi="Arial" w:cs="Arial"/>
          <w:b/>
          <w:bCs/>
          <w:color w:val="000000" w:themeColor="text1"/>
        </w:rPr>
        <w:t>Action plan</w:t>
      </w:r>
      <w:r w:rsidRPr="004922C1">
        <w:rPr>
          <w:rFonts w:ascii="Arial" w:hAnsi="Arial" w:cs="Arial"/>
          <w:color w:val="000000" w:themeColor="text1"/>
        </w:rPr>
        <w:t xml:space="preserve"> – we identified four strands of work </w:t>
      </w:r>
      <w:r w:rsidRPr="004922C1">
        <w:rPr>
          <w:rFonts w:ascii="Arial" w:hAnsi="Arial" w:cs="Arial"/>
          <w:color w:val="000000" w:themeColor="text1"/>
        </w:rPr>
        <w:br/>
        <w:t>to achieve the shared vision: activities, information sharing, communication channels, collaborative projects.</w:t>
      </w:r>
    </w:p>
    <w:p w14:paraId="49513709" w14:textId="77777777" w:rsidR="004922C1" w:rsidRPr="004922C1" w:rsidRDefault="004922C1" w:rsidP="004922C1">
      <w:pPr>
        <w:spacing w:line="312" w:lineRule="auto"/>
        <w:rPr>
          <w:rFonts w:ascii="Arial" w:hAnsi="Arial" w:cs="Arial"/>
          <w:color w:val="000000" w:themeColor="text1"/>
        </w:rPr>
      </w:pPr>
    </w:p>
    <w:p w14:paraId="4BB91DD9" w14:textId="7F8BC07E" w:rsidR="004922C1" w:rsidRDefault="004922C1" w:rsidP="004922C1">
      <w:pPr>
        <w:spacing w:line="312" w:lineRule="auto"/>
        <w:rPr>
          <w:rFonts w:ascii="Arial" w:hAnsi="Arial" w:cs="Arial"/>
          <w:color w:val="000000" w:themeColor="text1"/>
        </w:rPr>
      </w:pPr>
      <w:r w:rsidRPr="004922C1">
        <w:rPr>
          <w:rFonts w:ascii="Arial" w:hAnsi="Arial" w:cs="Arial"/>
          <w:b/>
          <w:bCs/>
          <w:color w:val="000000" w:themeColor="text1"/>
        </w:rPr>
        <w:t xml:space="preserve">Strategy to pool resources </w:t>
      </w:r>
      <w:r w:rsidRPr="004922C1">
        <w:rPr>
          <w:rFonts w:ascii="Arial" w:hAnsi="Arial" w:cs="Arial"/>
          <w:color w:val="000000" w:themeColor="text1"/>
        </w:rPr>
        <w:t xml:space="preserve">– we identified how each of us could contribute to, benefit </w:t>
      </w:r>
      <w:proofErr w:type="gramStart"/>
      <w:r w:rsidRPr="004922C1">
        <w:rPr>
          <w:rFonts w:ascii="Arial" w:hAnsi="Arial" w:cs="Arial"/>
          <w:color w:val="000000" w:themeColor="text1"/>
        </w:rPr>
        <w:t>from</w:t>
      </w:r>
      <w:proofErr w:type="gramEnd"/>
      <w:r w:rsidRPr="004922C1">
        <w:rPr>
          <w:rFonts w:ascii="Arial" w:hAnsi="Arial" w:cs="Arial"/>
          <w:color w:val="000000" w:themeColor="text1"/>
        </w:rPr>
        <w:t xml:space="preserve"> and support each other in a CoP to continue to work together to deliver the action plan and shared vision.</w:t>
      </w:r>
    </w:p>
    <w:p w14:paraId="64F8797D" w14:textId="77777777" w:rsidR="00F1449A" w:rsidRDefault="00F1449A" w:rsidP="004922C1">
      <w:pPr>
        <w:spacing w:line="312" w:lineRule="auto"/>
        <w:rPr>
          <w:rFonts w:ascii="Arial" w:hAnsi="Arial" w:cs="Arial"/>
          <w:color w:val="000000" w:themeColor="text1"/>
        </w:rPr>
      </w:pPr>
    </w:p>
    <w:p w14:paraId="6D7CB0DB" w14:textId="77777777" w:rsidR="00F1449A" w:rsidRPr="00F1449A" w:rsidRDefault="00F1449A" w:rsidP="004F0A3B">
      <w:pPr>
        <w:pStyle w:val="HeadingH2"/>
      </w:pPr>
      <w:r w:rsidRPr="00F1449A">
        <w:t xml:space="preserve">What we recommend </w:t>
      </w:r>
    </w:p>
    <w:p w14:paraId="7915542D" w14:textId="77777777" w:rsidR="00F1449A" w:rsidRDefault="00F1449A" w:rsidP="00F1449A">
      <w:pPr>
        <w:spacing w:line="312" w:lineRule="auto"/>
        <w:rPr>
          <w:rFonts w:ascii="Arial" w:eastAsiaTheme="majorEastAsia" w:hAnsi="Arial" w:cs="Arial"/>
          <w:b/>
          <w:bCs/>
          <w:color w:val="2F5496" w:themeColor="accent1" w:themeShade="BF"/>
          <w:szCs w:val="26"/>
        </w:rPr>
      </w:pPr>
    </w:p>
    <w:p w14:paraId="1EE82BA8" w14:textId="77777777" w:rsidR="00F1449A" w:rsidRPr="00F1449A" w:rsidRDefault="00F1449A" w:rsidP="00F1449A">
      <w:pPr>
        <w:spacing w:line="312" w:lineRule="auto"/>
        <w:rPr>
          <w:rFonts w:ascii="Arial" w:hAnsi="Arial" w:cs="Arial"/>
          <w:color w:val="000000" w:themeColor="text1"/>
        </w:rPr>
      </w:pPr>
      <w:r w:rsidRPr="00F1449A">
        <w:rPr>
          <w:rFonts w:ascii="Arial" w:hAnsi="Arial" w:cs="Arial"/>
          <w:b/>
          <w:bCs/>
          <w:color w:val="000000" w:themeColor="text1"/>
        </w:rPr>
        <w:t>Sustain the Community of Practice:</w:t>
      </w:r>
      <w:r w:rsidRPr="00F1449A">
        <w:rPr>
          <w:rFonts w:ascii="Arial" w:hAnsi="Arial" w:cs="Arial"/>
          <w:color w:val="000000" w:themeColor="text1"/>
        </w:rPr>
        <w:t xml:space="preserve"> Existing and new CoP members need to meet regularly to enable us to </w:t>
      </w:r>
      <w:proofErr w:type="gramStart"/>
      <w:r w:rsidRPr="00F1449A">
        <w:rPr>
          <w:rFonts w:ascii="Arial" w:hAnsi="Arial" w:cs="Arial"/>
          <w:color w:val="000000" w:themeColor="text1"/>
        </w:rPr>
        <w:t>take action</w:t>
      </w:r>
      <w:proofErr w:type="gramEnd"/>
      <w:r w:rsidRPr="00F1449A">
        <w:rPr>
          <w:rFonts w:ascii="Arial" w:hAnsi="Arial" w:cs="Arial"/>
          <w:color w:val="000000" w:themeColor="text1"/>
        </w:rPr>
        <w:t xml:space="preserve"> together for change. </w:t>
      </w:r>
    </w:p>
    <w:p w14:paraId="4BDF7F6F" w14:textId="77777777" w:rsidR="00F1449A" w:rsidRPr="00F1449A" w:rsidRDefault="00F1449A" w:rsidP="00F1449A">
      <w:pPr>
        <w:spacing w:line="312" w:lineRule="auto"/>
        <w:rPr>
          <w:rFonts w:ascii="Arial" w:hAnsi="Arial" w:cs="Arial"/>
          <w:color w:val="000000" w:themeColor="text1"/>
        </w:rPr>
      </w:pPr>
    </w:p>
    <w:p w14:paraId="58289007" w14:textId="77777777" w:rsidR="00F1449A" w:rsidRPr="00F1449A" w:rsidRDefault="00F1449A" w:rsidP="00F1449A">
      <w:pPr>
        <w:spacing w:line="312" w:lineRule="auto"/>
        <w:rPr>
          <w:rFonts w:ascii="Arial" w:hAnsi="Arial" w:cs="Arial"/>
          <w:color w:val="000000" w:themeColor="text1"/>
        </w:rPr>
      </w:pPr>
      <w:r w:rsidRPr="00F1449A">
        <w:rPr>
          <w:rFonts w:ascii="Arial" w:hAnsi="Arial" w:cs="Arial"/>
          <w:b/>
          <w:bCs/>
          <w:color w:val="000000" w:themeColor="text1"/>
        </w:rPr>
        <w:t xml:space="preserve">Shared meeting coordination: </w:t>
      </w:r>
      <w:r w:rsidRPr="00F1449A">
        <w:rPr>
          <w:rFonts w:ascii="Arial" w:hAnsi="Arial" w:cs="Arial"/>
          <w:color w:val="000000" w:themeColor="text1"/>
        </w:rPr>
        <w:t>CoP members can pool skills to facilitate engagement, learning and co-production in meetings and joint action.</w:t>
      </w:r>
    </w:p>
    <w:p w14:paraId="272A3A0E" w14:textId="77777777" w:rsidR="00F1449A" w:rsidRPr="00F1449A" w:rsidRDefault="00F1449A" w:rsidP="00F1449A">
      <w:pPr>
        <w:spacing w:line="312" w:lineRule="auto"/>
        <w:rPr>
          <w:rFonts w:ascii="Arial" w:hAnsi="Arial" w:cs="Arial"/>
          <w:color w:val="000000" w:themeColor="text1"/>
        </w:rPr>
      </w:pPr>
    </w:p>
    <w:p w14:paraId="1A01F8F0" w14:textId="76D9647D" w:rsidR="00F1449A" w:rsidRPr="00F1449A" w:rsidRDefault="00F1449A" w:rsidP="00F1449A">
      <w:pPr>
        <w:spacing w:line="312" w:lineRule="auto"/>
        <w:rPr>
          <w:rFonts w:ascii="Arial" w:hAnsi="Arial" w:cs="Arial"/>
          <w:color w:val="000000" w:themeColor="text1"/>
        </w:rPr>
      </w:pPr>
      <w:r w:rsidRPr="00F1449A">
        <w:rPr>
          <w:rFonts w:ascii="Arial" w:hAnsi="Arial" w:cs="Arial"/>
          <w:b/>
          <w:bCs/>
          <w:color w:val="000000" w:themeColor="text1"/>
        </w:rPr>
        <w:lastRenderedPageBreak/>
        <w:t>Focus on community assets and needs:</w:t>
      </w:r>
      <w:r>
        <w:rPr>
          <w:rFonts w:ascii="Arial" w:hAnsi="Arial" w:cs="Arial"/>
          <w:color w:val="000000" w:themeColor="text1"/>
        </w:rPr>
        <w:t xml:space="preserve"> </w:t>
      </w:r>
      <w:r w:rsidRPr="00F1449A">
        <w:rPr>
          <w:rFonts w:ascii="Arial" w:hAnsi="Arial" w:cs="Arial"/>
          <w:color w:val="000000" w:themeColor="text1"/>
        </w:rPr>
        <w:t xml:space="preserve">The CoP needs to work closely with Social Prescribing programmes to sustain a shared focus on what matters locally. </w:t>
      </w:r>
    </w:p>
    <w:p w14:paraId="58B7DE76" w14:textId="77777777" w:rsidR="00F1449A" w:rsidRPr="00F1449A" w:rsidRDefault="00F1449A" w:rsidP="00F1449A">
      <w:pPr>
        <w:spacing w:line="312" w:lineRule="auto"/>
        <w:rPr>
          <w:rFonts w:ascii="Arial" w:hAnsi="Arial" w:cs="Arial"/>
          <w:b/>
          <w:bCs/>
          <w:color w:val="000000" w:themeColor="text1"/>
        </w:rPr>
      </w:pPr>
    </w:p>
    <w:p w14:paraId="20DE3574" w14:textId="77777777" w:rsidR="00F1449A" w:rsidRPr="00F1449A" w:rsidRDefault="00F1449A" w:rsidP="00F1449A">
      <w:pPr>
        <w:spacing w:line="312" w:lineRule="auto"/>
        <w:rPr>
          <w:rFonts w:ascii="Arial" w:hAnsi="Arial" w:cs="Arial"/>
          <w:color w:val="000000" w:themeColor="text1"/>
        </w:rPr>
      </w:pPr>
      <w:r w:rsidRPr="00F1449A">
        <w:rPr>
          <w:rFonts w:ascii="Arial" w:hAnsi="Arial" w:cs="Arial"/>
          <w:b/>
          <w:bCs/>
          <w:color w:val="000000" w:themeColor="text1"/>
        </w:rPr>
        <w:t xml:space="preserve">Reciprocal benefit: </w:t>
      </w:r>
      <w:r w:rsidRPr="00F1449A">
        <w:rPr>
          <w:rFonts w:ascii="Arial" w:hAnsi="Arial" w:cs="Arial"/>
          <w:color w:val="000000" w:themeColor="text1"/>
        </w:rPr>
        <w:t xml:space="preserve">Ensure that delivering the action plan and shared vision contributes to each participant’s personal wellbeing and work priorities to justify the time and resource required to attend the </w:t>
      </w:r>
      <w:proofErr w:type="spellStart"/>
      <w:r w:rsidRPr="00F1449A">
        <w:rPr>
          <w:rFonts w:ascii="Arial" w:hAnsi="Arial" w:cs="Arial"/>
          <w:color w:val="000000" w:themeColor="text1"/>
        </w:rPr>
        <w:t>CoP.</w:t>
      </w:r>
      <w:proofErr w:type="spellEnd"/>
    </w:p>
    <w:p w14:paraId="07B55BCA" w14:textId="77777777" w:rsidR="00F1449A" w:rsidRPr="00F1449A" w:rsidRDefault="00F1449A" w:rsidP="00F1449A">
      <w:pPr>
        <w:spacing w:line="312" w:lineRule="auto"/>
        <w:rPr>
          <w:rFonts w:ascii="Arial" w:hAnsi="Arial" w:cs="Arial"/>
          <w:color w:val="000000" w:themeColor="text1"/>
        </w:rPr>
      </w:pPr>
    </w:p>
    <w:p w14:paraId="58386D2D" w14:textId="0B0AF2E6" w:rsidR="008804D4" w:rsidRDefault="00F1449A" w:rsidP="00F1449A">
      <w:pPr>
        <w:spacing w:line="312" w:lineRule="auto"/>
        <w:rPr>
          <w:rFonts w:ascii="Arial" w:hAnsi="Arial" w:cs="Arial"/>
          <w:color w:val="000000" w:themeColor="text1"/>
        </w:rPr>
      </w:pPr>
      <w:r w:rsidRPr="00F1449A">
        <w:rPr>
          <w:rFonts w:ascii="Arial" w:hAnsi="Arial" w:cs="Arial"/>
          <w:b/>
          <w:bCs/>
          <w:color w:val="000000" w:themeColor="text1"/>
        </w:rPr>
        <w:t xml:space="preserve">Mutual learning &amp; joint action: </w:t>
      </w:r>
      <w:r w:rsidRPr="00F1449A">
        <w:rPr>
          <w:rFonts w:ascii="Arial" w:hAnsi="Arial" w:cs="Arial"/>
          <w:color w:val="000000" w:themeColor="text1"/>
        </w:rPr>
        <w:t>Engage in three strands of action to create mutual benefits to CoP members and wider stakeholders:</w:t>
      </w:r>
    </w:p>
    <w:p w14:paraId="1A9FA391" w14:textId="77777777" w:rsidR="008804D4" w:rsidRDefault="008804D4" w:rsidP="00F1449A">
      <w:pPr>
        <w:spacing w:line="312" w:lineRule="auto"/>
        <w:rPr>
          <w:rFonts w:ascii="Arial" w:hAnsi="Arial" w:cs="Arial"/>
          <w:color w:val="000000" w:themeColor="text1"/>
        </w:rPr>
      </w:pPr>
    </w:p>
    <w:tbl>
      <w:tblPr>
        <w:tblStyle w:val="TableGrid"/>
        <w:tblW w:w="0" w:type="auto"/>
        <w:tblLook w:val="04A0" w:firstRow="1" w:lastRow="0" w:firstColumn="1" w:lastColumn="0" w:noHBand="0" w:noVBand="1"/>
        <w:tblCaption w:val="Table"/>
        <w:tblDescription w:val="Table showing actions and benefits to participants, engaging in three strands of action to create mutual benefits to CoP members and wider stakeholders. "/>
      </w:tblPr>
      <w:tblGrid>
        <w:gridCol w:w="4505"/>
        <w:gridCol w:w="4505"/>
      </w:tblGrid>
      <w:tr w:rsidR="008804D4" w14:paraId="2065C902" w14:textId="77777777" w:rsidTr="008804D4">
        <w:tc>
          <w:tcPr>
            <w:tcW w:w="4505" w:type="dxa"/>
          </w:tcPr>
          <w:p w14:paraId="2EC2BAE1" w14:textId="253DC872" w:rsidR="008804D4" w:rsidRPr="008804D4" w:rsidRDefault="008804D4" w:rsidP="004F0A3B">
            <w:pPr>
              <w:pStyle w:val="HeadingH3"/>
            </w:pPr>
            <w:r w:rsidRPr="008804D4">
              <w:t>Action</w:t>
            </w:r>
          </w:p>
        </w:tc>
        <w:tc>
          <w:tcPr>
            <w:tcW w:w="4505" w:type="dxa"/>
          </w:tcPr>
          <w:p w14:paraId="7F880647" w14:textId="56AE9D0A" w:rsidR="008804D4" w:rsidRPr="008804D4" w:rsidRDefault="008804D4" w:rsidP="004F0A3B">
            <w:pPr>
              <w:pStyle w:val="HeadingH3"/>
            </w:pPr>
            <w:r w:rsidRPr="008804D4">
              <w:t>Benefits to participants</w:t>
            </w:r>
          </w:p>
        </w:tc>
      </w:tr>
      <w:tr w:rsidR="008804D4" w14:paraId="6FE75F49" w14:textId="77777777" w:rsidTr="008804D4">
        <w:tc>
          <w:tcPr>
            <w:tcW w:w="4505" w:type="dxa"/>
          </w:tcPr>
          <w:p w14:paraId="5238725D" w14:textId="77777777" w:rsidR="008804D4" w:rsidRPr="008804D4" w:rsidRDefault="008804D4" w:rsidP="004F0A3B">
            <w:pPr>
              <w:pStyle w:val="HeadingH3"/>
            </w:pPr>
            <w:r w:rsidRPr="008804D4">
              <w:t>Activities &amp; information-sharing</w:t>
            </w:r>
          </w:p>
          <w:p w14:paraId="7BDD04E6" w14:textId="5A883233" w:rsidR="008804D4" w:rsidRDefault="008804D4" w:rsidP="008804D4">
            <w:pPr>
              <w:spacing w:line="312" w:lineRule="auto"/>
              <w:rPr>
                <w:rFonts w:ascii="Arial" w:hAnsi="Arial" w:cs="Arial"/>
                <w:color w:val="000000" w:themeColor="text1"/>
              </w:rPr>
            </w:pPr>
            <w:r w:rsidRPr="008804D4">
              <w:rPr>
                <w:rFonts w:ascii="Arial" w:hAnsi="Arial" w:cs="Arial"/>
                <w:color w:val="000000" w:themeColor="text1"/>
              </w:rPr>
              <w:t>Share information with each other and disseminate to communities</w:t>
            </w:r>
          </w:p>
        </w:tc>
        <w:tc>
          <w:tcPr>
            <w:tcW w:w="4505" w:type="dxa"/>
          </w:tcPr>
          <w:p w14:paraId="6911EE14" w14:textId="2A5A6E25" w:rsidR="008804D4" w:rsidRPr="004F0A3B" w:rsidRDefault="004F0A3B" w:rsidP="008804D4">
            <w:pPr>
              <w:spacing w:line="312" w:lineRule="auto"/>
              <w:rPr>
                <w:rFonts w:ascii="Arial" w:hAnsi="Arial" w:cs="Arial"/>
                <w:color w:val="000000" w:themeColor="text1"/>
              </w:rPr>
            </w:pPr>
            <w:r w:rsidRPr="004F0A3B">
              <w:rPr>
                <w:rFonts w:ascii="Arial" w:hAnsi="Arial" w:cs="Arial"/>
                <w:color w:val="000000" w:themeColor="text1"/>
              </w:rPr>
              <w:t>Increases participation</w:t>
            </w:r>
            <w:r>
              <w:rPr>
                <w:rFonts w:ascii="Arial" w:hAnsi="Arial" w:cs="Arial"/>
                <w:color w:val="000000" w:themeColor="text1"/>
              </w:rPr>
              <w:t xml:space="preserve">; </w:t>
            </w:r>
            <w:r w:rsidRPr="004F0A3B">
              <w:rPr>
                <w:rFonts w:ascii="Arial" w:hAnsi="Arial" w:cs="Arial"/>
                <w:color w:val="000000" w:themeColor="text1"/>
              </w:rPr>
              <w:t>Supports link workers;</w:t>
            </w:r>
            <w:r>
              <w:rPr>
                <w:rFonts w:ascii="Arial" w:hAnsi="Arial" w:cs="Arial"/>
                <w:color w:val="000000" w:themeColor="text1"/>
              </w:rPr>
              <w:t xml:space="preserve"> </w:t>
            </w:r>
            <w:r w:rsidRPr="004F0A3B">
              <w:rPr>
                <w:rFonts w:ascii="Arial" w:hAnsi="Arial" w:cs="Arial"/>
                <w:color w:val="000000" w:themeColor="text1"/>
              </w:rPr>
              <w:t>Connects resources;</w:t>
            </w:r>
            <w:r>
              <w:rPr>
                <w:rFonts w:ascii="Arial" w:hAnsi="Arial" w:cs="Arial"/>
                <w:color w:val="000000" w:themeColor="text1"/>
              </w:rPr>
              <w:t xml:space="preserve"> </w:t>
            </w:r>
            <w:r w:rsidRPr="004F0A3B">
              <w:rPr>
                <w:rFonts w:ascii="Arial" w:hAnsi="Arial" w:cs="Arial"/>
                <w:color w:val="000000" w:themeColor="text1"/>
              </w:rPr>
              <w:t>Builds existing assets.</w:t>
            </w:r>
          </w:p>
        </w:tc>
      </w:tr>
      <w:tr w:rsidR="008804D4" w14:paraId="7B294AAA" w14:textId="77777777" w:rsidTr="008804D4">
        <w:tc>
          <w:tcPr>
            <w:tcW w:w="4505" w:type="dxa"/>
          </w:tcPr>
          <w:p w14:paraId="31293B36" w14:textId="77777777" w:rsidR="004F0A3B" w:rsidRPr="004F0A3B" w:rsidRDefault="004F0A3B" w:rsidP="004F0A3B">
            <w:pPr>
              <w:pStyle w:val="HeadingH3"/>
            </w:pPr>
            <w:r w:rsidRPr="004F0A3B">
              <w:t>Communication &amp; co-production</w:t>
            </w:r>
          </w:p>
          <w:p w14:paraId="1A3F748C" w14:textId="15D16122" w:rsidR="008804D4" w:rsidRPr="004F0A3B" w:rsidRDefault="004F0A3B" w:rsidP="004F0A3B">
            <w:pPr>
              <w:spacing w:line="312" w:lineRule="auto"/>
              <w:rPr>
                <w:rFonts w:ascii="Arial" w:hAnsi="Arial" w:cs="Arial"/>
                <w:color w:val="000000" w:themeColor="text1"/>
              </w:rPr>
            </w:pPr>
            <w:r w:rsidRPr="004F0A3B">
              <w:rPr>
                <w:rFonts w:ascii="Arial" w:hAnsi="Arial" w:cs="Arial"/>
                <w:color w:val="000000" w:themeColor="text1"/>
              </w:rPr>
              <w:t>Engage in design and delivery of each other’s projects</w:t>
            </w:r>
          </w:p>
        </w:tc>
        <w:tc>
          <w:tcPr>
            <w:tcW w:w="4505" w:type="dxa"/>
          </w:tcPr>
          <w:p w14:paraId="0F66F09C" w14:textId="23D1BECD" w:rsidR="008804D4" w:rsidRPr="004F0A3B" w:rsidRDefault="004F0A3B" w:rsidP="004F0A3B">
            <w:pPr>
              <w:spacing w:line="312" w:lineRule="auto"/>
              <w:rPr>
                <w:rFonts w:ascii="Arial" w:hAnsi="Arial" w:cs="Arial"/>
                <w:color w:val="000000" w:themeColor="text1"/>
              </w:rPr>
            </w:pPr>
            <w:r w:rsidRPr="004F0A3B">
              <w:rPr>
                <w:rFonts w:ascii="Arial" w:hAnsi="Arial" w:cs="Arial"/>
                <w:color w:val="000000" w:themeColor="text1"/>
              </w:rPr>
              <w:t>Enables co-design and delivery of activities; Pools diverse expertise of citizens and organisations;</w:t>
            </w:r>
            <w:r>
              <w:rPr>
                <w:rFonts w:ascii="Arial" w:hAnsi="Arial" w:cs="Arial"/>
                <w:color w:val="000000" w:themeColor="text1"/>
              </w:rPr>
              <w:t xml:space="preserve"> </w:t>
            </w:r>
            <w:r w:rsidRPr="004F0A3B">
              <w:rPr>
                <w:rFonts w:ascii="Arial" w:hAnsi="Arial" w:cs="Arial"/>
                <w:color w:val="000000" w:themeColor="text1"/>
              </w:rPr>
              <w:t>Includes diverse community groups.</w:t>
            </w:r>
          </w:p>
        </w:tc>
      </w:tr>
      <w:tr w:rsidR="008804D4" w14:paraId="0D7D61EF" w14:textId="77777777" w:rsidTr="008804D4">
        <w:tc>
          <w:tcPr>
            <w:tcW w:w="4505" w:type="dxa"/>
          </w:tcPr>
          <w:p w14:paraId="30BBD71E" w14:textId="77777777" w:rsidR="004F0A3B" w:rsidRPr="004F0A3B" w:rsidRDefault="004F0A3B" w:rsidP="004F0A3B">
            <w:pPr>
              <w:pStyle w:val="HeadingH3"/>
            </w:pPr>
            <w:r w:rsidRPr="004F0A3B">
              <w:t>Collaboration &amp; pooled resources</w:t>
            </w:r>
          </w:p>
          <w:p w14:paraId="7A224C39" w14:textId="31386919" w:rsidR="008804D4" w:rsidRPr="004F0A3B" w:rsidRDefault="004F0A3B" w:rsidP="004F0A3B">
            <w:pPr>
              <w:spacing w:line="312" w:lineRule="auto"/>
              <w:rPr>
                <w:rFonts w:ascii="Arial" w:hAnsi="Arial" w:cs="Arial"/>
                <w:color w:val="000000" w:themeColor="text1"/>
              </w:rPr>
            </w:pPr>
            <w:r w:rsidRPr="004F0A3B">
              <w:rPr>
                <w:rFonts w:ascii="Arial" w:hAnsi="Arial" w:cs="Arial"/>
                <w:color w:val="000000" w:themeColor="text1"/>
              </w:rPr>
              <w:t>Identify how multiple strategies contribute to the ‘shared statement’ and design joint projects</w:t>
            </w:r>
          </w:p>
        </w:tc>
        <w:tc>
          <w:tcPr>
            <w:tcW w:w="4505" w:type="dxa"/>
          </w:tcPr>
          <w:p w14:paraId="10D31947" w14:textId="6666A669" w:rsidR="008804D4" w:rsidRPr="004F0A3B" w:rsidRDefault="004F0A3B" w:rsidP="008804D4">
            <w:pPr>
              <w:spacing w:line="312" w:lineRule="auto"/>
              <w:rPr>
                <w:rFonts w:ascii="Arial" w:hAnsi="Arial" w:cs="Arial"/>
                <w:color w:val="000000" w:themeColor="text1"/>
              </w:rPr>
            </w:pPr>
            <w:r w:rsidRPr="004F0A3B">
              <w:rPr>
                <w:rFonts w:ascii="Arial" w:hAnsi="Arial" w:cs="Arial"/>
                <w:color w:val="000000" w:themeColor="text1"/>
              </w:rPr>
              <w:t>Identifies strategies’ contributions to each other and to community wellbeing; Aligns policies to create longer term plans;</w:t>
            </w:r>
            <w:r>
              <w:rPr>
                <w:rFonts w:ascii="Arial" w:hAnsi="Arial" w:cs="Arial"/>
                <w:color w:val="000000" w:themeColor="text1"/>
              </w:rPr>
              <w:t xml:space="preserve"> </w:t>
            </w:r>
            <w:r w:rsidRPr="004F0A3B">
              <w:rPr>
                <w:rFonts w:ascii="Arial" w:hAnsi="Arial" w:cs="Arial"/>
                <w:color w:val="000000" w:themeColor="text1"/>
              </w:rPr>
              <w:t>Builds capacity to achieve a joint aim.</w:t>
            </w:r>
          </w:p>
        </w:tc>
      </w:tr>
    </w:tbl>
    <w:p w14:paraId="094CDF72" w14:textId="77777777" w:rsidR="004922C1" w:rsidRPr="004922C1" w:rsidRDefault="004922C1" w:rsidP="004922C1">
      <w:pPr>
        <w:spacing w:line="312" w:lineRule="auto"/>
        <w:rPr>
          <w:rFonts w:ascii="Arial" w:hAnsi="Arial" w:cs="Arial"/>
          <w:b/>
          <w:bCs/>
          <w:color w:val="000000" w:themeColor="text1"/>
        </w:rPr>
      </w:pPr>
    </w:p>
    <w:p w14:paraId="17C5B597" w14:textId="62B8D3EA" w:rsidR="00F1449A" w:rsidRDefault="00F1449A" w:rsidP="00F1449A">
      <w:pPr>
        <w:spacing w:line="312" w:lineRule="auto"/>
        <w:rPr>
          <w:rFonts w:ascii="Arial" w:hAnsi="Arial" w:cs="Arial"/>
          <w:b/>
          <w:bCs/>
          <w:color w:val="000000" w:themeColor="text1"/>
        </w:rPr>
      </w:pPr>
      <w:r>
        <w:rPr>
          <w:rFonts w:ascii="Arial" w:hAnsi="Arial" w:cs="Arial"/>
          <w:b/>
          <w:bCs/>
          <w:color w:val="000000" w:themeColor="text1"/>
        </w:rPr>
        <w:t>“</w:t>
      </w:r>
      <w:r w:rsidRPr="00F1449A">
        <w:rPr>
          <w:rFonts w:ascii="Arial" w:hAnsi="Arial" w:cs="Arial"/>
          <w:b/>
          <w:bCs/>
          <w:color w:val="000000" w:themeColor="text1"/>
        </w:rPr>
        <w:t>I’m</w:t>
      </w:r>
      <w:r>
        <w:rPr>
          <w:rFonts w:ascii="Arial" w:hAnsi="Arial" w:cs="Arial"/>
          <w:b/>
          <w:bCs/>
          <w:color w:val="000000" w:themeColor="text1"/>
        </w:rPr>
        <w:t xml:space="preserve"> </w:t>
      </w:r>
      <w:r w:rsidRPr="00F1449A">
        <w:rPr>
          <w:rFonts w:ascii="Arial" w:hAnsi="Arial" w:cs="Arial"/>
          <w:b/>
          <w:bCs/>
          <w:color w:val="000000" w:themeColor="text1"/>
        </w:rPr>
        <w:t>hopeful you’ll find ways to use scarce funding by joining up and</w:t>
      </w:r>
      <w:r>
        <w:rPr>
          <w:rFonts w:ascii="Arial" w:hAnsi="Arial" w:cs="Arial"/>
          <w:b/>
          <w:bCs/>
          <w:color w:val="000000" w:themeColor="text1"/>
        </w:rPr>
        <w:t xml:space="preserve"> </w:t>
      </w:r>
      <w:r w:rsidRPr="00F1449A">
        <w:rPr>
          <w:rFonts w:ascii="Arial" w:hAnsi="Arial" w:cs="Arial"/>
          <w:b/>
          <w:bCs/>
          <w:color w:val="000000" w:themeColor="text1"/>
        </w:rPr>
        <w:t>collaborating.</w:t>
      </w:r>
      <w:r>
        <w:rPr>
          <w:rFonts w:ascii="Arial" w:hAnsi="Arial" w:cs="Arial"/>
          <w:b/>
          <w:bCs/>
          <w:color w:val="000000" w:themeColor="text1"/>
        </w:rPr>
        <w:t xml:space="preserve">” – </w:t>
      </w:r>
      <w:r w:rsidRPr="00F1449A">
        <w:rPr>
          <w:rFonts w:ascii="Arial" w:hAnsi="Arial" w:cs="Arial"/>
          <w:b/>
          <w:bCs/>
          <w:color w:val="000000" w:themeColor="text1"/>
        </w:rPr>
        <w:t>‘Margaret’, Walking Wednesdays member</w:t>
      </w:r>
    </w:p>
    <w:p w14:paraId="70287217" w14:textId="77777777" w:rsidR="00F1449A" w:rsidRDefault="00F1449A" w:rsidP="00F1449A">
      <w:pPr>
        <w:spacing w:line="312" w:lineRule="auto"/>
        <w:rPr>
          <w:rFonts w:ascii="Arial" w:hAnsi="Arial" w:cs="Arial"/>
          <w:b/>
          <w:bCs/>
          <w:color w:val="000000" w:themeColor="text1"/>
        </w:rPr>
      </w:pPr>
    </w:p>
    <w:p w14:paraId="4C624B59" w14:textId="77777777" w:rsidR="00F1449A" w:rsidRPr="00F1449A" w:rsidRDefault="00F1449A" w:rsidP="004F0A3B">
      <w:pPr>
        <w:pStyle w:val="HeadingH2"/>
      </w:pPr>
      <w:r w:rsidRPr="00F1449A">
        <w:t>What else needs to happen</w:t>
      </w:r>
    </w:p>
    <w:p w14:paraId="0A888074" w14:textId="77777777" w:rsidR="00F1449A" w:rsidRDefault="00F1449A" w:rsidP="00F1449A">
      <w:pPr>
        <w:spacing w:line="312" w:lineRule="auto"/>
        <w:rPr>
          <w:rFonts w:ascii="Arial" w:eastAsiaTheme="majorEastAsia" w:hAnsi="Arial" w:cs="Arial"/>
          <w:b/>
          <w:bCs/>
          <w:color w:val="2F5496" w:themeColor="accent1" w:themeShade="BF"/>
          <w:szCs w:val="26"/>
        </w:rPr>
      </w:pPr>
    </w:p>
    <w:p w14:paraId="1CB68FD8" w14:textId="77777777" w:rsidR="00F1449A" w:rsidRPr="00F1449A" w:rsidRDefault="00F1449A" w:rsidP="00F1449A">
      <w:pPr>
        <w:spacing w:line="312" w:lineRule="auto"/>
        <w:rPr>
          <w:rFonts w:ascii="Arial" w:hAnsi="Arial" w:cs="Arial"/>
          <w:color w:val="000000" w:themeColor="text1"/>
        </w:rPr>
      </w:pPr>
      <w:r w:rsidRPr="00F1449A">
        <w:rPr>
          <w:rFonts w:ascii="Arial" w:hAnsi="Arial" w:cs="Arial"/>
          <w:color w:val="000000" w:themeColor="text1"/>
        </w:rPr>
        <w:t>Workshop participants identified further support needed which may lie outside the existing CoP membership:</w:t>
      </w:r>
    </w:p>
    <w:p w14:paraId="22B915E1" w14:textId="77777777" w:rsidR="00F1449A" w:rsidRPr="00F1449A" w:rsidRDefault="00F1449A" w:rsidP="00F1449A">
      <w:pPr>
        <w:spacing w:line="312" w:lineRule="auto"/>
        <w:rPr>
          <w:rFonts w:ascii="Arial" w:hAnsi="Arial" w:cs="Arial"/>
          <w:color w:val="000000" w:themeColor="text1"/>
        </w:rPr>
      </w:pPr>
    </w:p>
    <w:p w14:paraId="31892C5C" w14:textId="065783C1" w:rsidR="00F1449A" w:rsidRPr="00F1449A" w:rsidRDefault="00F1449A" w:rsidP="00F1449A">
      <w:pPr>
        <w:spacing w:line="312" w:lineRule="auto"/>
        <w:rPr>
          <w:rFonts w:ascii="Arial" w:hAnsi="Arial" w:cs="Arial"/>
          <w:color w:val="000000" w:themeColor="text1"/>
        </w:rPr>
      </w:pPr>
      <w:r w:rsidRPr="00F1449A">
        <w:rPr>
          <w:rFonts w:ascii="Arial" w:hAnsi="Arial" w:cs="Arial"/>
          <w:b/>
          <w:bCs/>
          <w:color w:val="000000" w:themeColor="text1"/>
        </w:rPr>
        <w:t>Manage power and relationships:</w:t>
      </w:r>
      <w:r>
        <w:rPr>
          <w:rFonts w:ascii="Arial" w:hAnsi="Arial" w:cs="Arial"/>
          <w:color w:val="000000" w:themeColor="text1"/>
        </w:rPr>
        <w:t xml:space="preserve"> </w:t>
      </w:r>
      <w:r w:rsidRPr="00F1449A">
        <w:rPr>
          <w:rFonts w:ascii="Arial" w:hAnsi="Arial" w:cs="Arial"/>
          <w:color w:val="000000" w:themeColor="text1"/>
        </w:rPr>
        <w:t xml:space="preserve">In addition to coordination, support is also needed from a skilled community researcher to sustain trusting and empowered relationships in the </w:t>
      </w:r>
      <w:proofErr w:type="spellStart"/>
      <w:r w:rsidRPr="00F1449A">
        <w:rPr>
          <w:rFonts w:ascii="Arial" w:hAnsi="Arial" w:cs="Arial"/>
          <w:color w:val="000000" w:themeColor="text1"/>
        </w:rPr>
        <w:t>CoP.</w:t>
      </w:r>
      <w:proofErr w:type="spellEnd"/>
      <w:r w:rsidRPr="00F1449A">
        <w:rPr>
          <w:rFonts w:ascii="Arial" w:hAnsi="Arial" w:cs="Arial"/>
          <w:color w:val="000000" w:themeColor="text1"/>
        </w:rPr>
        <w:t xml:space="preserve"> </w:t>
      </w:r>
    </w:p>
    <w:p w14:paraId="7677942B" w14:textId="77777777" w:rsidR="00F1449A" w:rsidRPr="00F1449A" w:rsidRDefault="00F1449A" w:rsidP="00F1449A">
      <w:pPr>
        <w:spacing w:line="312" w:lineRule="auto"/>
        <w:rPr>
          <w:rFonts w:ascii="Arial" w:hAnsi="Arial" w:cs="Arial"/>
          <w:color w:val="000000" w:themeColor="text1"/>
        </w:rPr>
      </w:pPr>
    </w:p>
    <w:p w14:paraId="647C3226" w14:textId="13D176D1" w:rsidR="00F1449A" w:rsidRPr="00F1449A" w:rsidRDefault="00F1449A" w:rsidP="00F1449A">
      <w:pPr>
        <w:spacing w:line="312" w:lineRule="auto"/>
        <w:rPr>
          <w:rFonts w:ascii="Arial" w:hAnsi="Arial" w:cs="Arial"/>
          <w:color w:val="000000" w:themeColor="text1"/>
        </w:rPr>
      </w:pPr>
      <w:r w:rsidRPr="00F1449A">
        <w:rPr>
          <w:rFonts w:ascii="Arial" w:hAnsi="Arial" w:cs="Arial"/>
          <w:b/>
          <w:bCs/>
          <w:color w:val="000000" w:themeColor="text1"/>
        </w:rPr>
        <w:lastRenderedPageBreak/>
        <w:t>Include more community participants:</w:t>
      </w:r>
      <w:r w:rsidRPr="00F1449A">
        <w:rPr>
          <w:rFonts w:ascii="Arial" w:hAnsi="Arial" w:cs="Arial"/>
          <w:color w:val="000000" w:themeColor="text1"/>
        </w:rPr>
        <w:t xml:space="preserve"> Draw on each other’s expertise to develop a whole community approach to diversify referral routes into Social Prescribing activities and CoP meetings. </w:t>
      </w:r>
    </w:p>
    <w:p w14:paraId="0B9CD7D1" w14:textId="77777777" w:rsidR="00F1449A" w:rsidRPr="00F1449A" w:rsidRDefault="00F1449A" w:rsidP="00F1449A">
      <w:pPr>
        <w:spacing w:line="312" w:lineRule="auto"/>
        <w:rPr>
          <w:rFonts w:ascii="Arial" w:hAnsi="Arial" w:cs="Arial"/>
          <w:color w:val="000000" w:themeColor="text1"/>
        </w:rPr>
      </w:pPr>
    </w:p>
    <w:p w14:paraId="1B1011A5" w14:textId="069163E4" w:rsidR="00F1449A" w:rsidRPr="00F1449A" w:rsidRDefault="00F1449A" w:rsidP="00F1449A">
      <w:pPr>
        <w:spacing w:line="312" w:lineRule="auto"/>
        <w:rPr>
          <w:rFonts w:ascii="Arial" w:hAnsi="Arial" w:cs="Arial"/>
          <w:color w:val="000000" w:themeColor="text1"/>
        </w:rPr>
      </w:pPr>
      <w:r w:rsidRPr="00F1449A">
        <w:rPr>
          <w:rFonts w:ascii="Arial" w:hAnsi="Arial" w:cs="Arial"/>
          <w:b/>
          <w:bCs/>
          <w:color w:val="000000" w:themeColor="text1"/>
        </w:rPr>
        <w:t>Diversify participating organisations:</w:t>
      </w:r>
      <w:r>
        <w:rPr>
          <w:rFonts w:ascii="Arial" w:hAnsi="Arial" w:cs="Arial"/>
          <w:color w:val="000000" w:themeColor="text1"/>
        </w:rPr>
        <w:t xml:space="preserve"> </w:t>
      </w:r>
      <w:r w:rsidRPr="00F1449A">
        <w:rPr>
          <w:rFonts w:ascii="Arial" w:hAnsi="Arial" w:cs="Arial"/>
          <w:color w:val="000000" w:themeColor="text1"/>
        </w:rPr>
        <w:t>CoP facilitators can connect to a wide range of community organisations through Birmingham Voluntary Sector Council.</w:t>
      </w:r>
    </w:p>
    <w:p w14:paraId="52819A91" w14:textId="77777777" w:rsidR="00F1449A" w:rsidRPr="00F1449A" w:rsidRDefault="00F1449A" w:rsidP="00F1449A">
      <w:pPr>
        <w:spacing w:line="312" w:lineRule="auto"/>
        <w:rPr>
          <w:rFonts w:ascii="Arial" w:hAnsi="Arial" w:cs="Arial"/>
          <w:color w:val="000000" w:themeColor="text1"/>
        </w:rPr>
      </w:pPr>
    </w:p>
    <w:p w14:paraId="51138C49" w14:textId="18907FCD" w:rsidR="00F1449A" w:rsidRPr="00F1449A" w:rsidRDefault="00F1449A" w:rsidP="00F1449A">
      <w:pPr>
        <w:spacing w:line="312" w:lineRule="auto"/>
        <w:rPr>
          <w:rFonts w:ascii="Arial" w:hAnsi="Arial" w:cs="Arial"/>
          <w:color w:val="000000" w:themeColor="text1"/>
        </w:rPr>
      </w:pPr>
      <w:r w:rsidRPr="00F1449A">
        <w:rPr>
          <w:rFonts w:ascii="Arial" w:hAnsi="Arial" w:cs="Arial"/>
          <w:b/>
          <w:bCs/>
          <w:color w:val="000000" w:themeColor="text1"/>
        </w:rPr>
        <w:t>Create a constituted group:</w:t>
      </w:r>
      <w:r>
        <w:rPr>
          <w:rFonts w:ascii="Arial" w:hAnsi="Arial" w:cs="Arial"/>
          <w:b/>
          <w:bCs/>
          <w:color w:val="000000" w:themeColor="text1"/>
        </w:rPr>
        <w:t xml:space="preserve"> </w:t>
      </w:r>
      <w:r w:rsidRPr="00F1449A">
        <w:rPr>
          <w:rFonts w:ascii="Arial" w:hAnsi="Arial" w:cs="Arial"/>
          <w:color w:val="000000" w:themeColor="text1"/>
        </w:rPr>
        <w:t>Approach Birmingham Community Matters to</w:t>
      </w:r>
      <w:r w:rsidRPr="00F1449A">
        <w:rPr>
          <w:rFonts w:ascii="Arial" w:hAnsi="Arial" w:cs="Arial"/>
          <w:color w:val="000000" w:themeColor="text1"/>
        </w:rPr>
        <w:br/>
        <w:t>support the CoP to enable access to funding streams.</w:t>
      </w:r>
    </w:p>
    <w:p w14:paraId="75F99DAA" w14:textId="77777777" w:rsidR="00F1449A" w:rsidRPr="00F1449A" w:rsidRDefault="00F1449A" w:rsidP="00F1449A">
      <w:pPr>
        <w:spacing w:line="312" w:lineRule="auto"/>
        <w:rPr>
          <w:rFonts w:ascii="Arial" w:hAnsi="Arial" w:cs="Arial"/>
          <w:color w:val="000000" w:themeColor="text1"/>
        </w:rPr>
      </w:pPr>
    </w:p>
    <w:p w14:paraId="04227819" w14:textId="0A947842" w:rsidR="00F1449A" w:rsidRDefault="00F1449A" w:rsidP="00F1449A">
      <w:pPr>
        <w:spacing w:line="312" w:lineRule="auto"/>
        <w:rPr>
          <w:rFonts w:ascii="Arial" w:hAnsi="Arial" w:cs="Arial"/>
          <w:color w:val="000000" w:themeColor="text1"/>
        </w:rPr>
      </w:pPr>
      <w:r w:rsidRPr="00F1449A">
        <w:rPr>
          <w:rFonts w:ascii="Arial" w:hAnsi="Arial" w:cs="Arial"/>
          <w:b/>
          <w:bCs/>
          <w:color w:val="000000" w:themeColor="text1"/>
        </w:rPr>
        <w:t>Wider strategic enablers:</w:t>
      </w:r>
      <w:r>
        <w:rPr>
          <w:rFonts w:ascii="Arial" w:hAnsi="Arial" w:cs="Arial"/>
          <w:b/>
          <w:bCs/>
          <w:color w:val="000000" w:themeColor="text1"/>
        </w:rPr>
        <w:t xml:space="preserve"> </w:t>
      </w:r>
      <w:r w:rsidRPr="00F1449A">
        <w:rPr>
          <w:rFonts w:ascii="Arial" w:hAnsi="Arial" w:cs="Arial"/>
          <w:color w:val="000000" w:themeColor="text1"/>
        </w:rPr>
        <w:t xml:space="preserve">Changes in the CoP’s external environment will </w:t>
      </w:r>
      <w:r w:rsidRPr="00F1449A">
        <w:rPr>
          <w:rFonts w:ascii="Arial" w:hAnsi="Arial" w:cs="Arial"/>
          <w:color w:val="000000" w:themeColor="text1"/>
        </w:rPr>
        <w:br/>
        <w:t>also facilitate change, such as NICE guidance to recommend timely referrals into social activities; the Council’s willingness to shift from commissioning</w:t>
      </w:r>
      <w:r>
        <w:rPr>
          <w:rFonts w:ascii="Arial" w:hAnsi="Arial" w:cs="Arial"/>
          <w:color w:val="000000" w:themeColor="text1"/>
        </w:rPr>
        <w:t xml:space="preserve"> </w:t>
      </w:r>
      <w:r w:rsidRPr="00F1449A">
        <w:rPr>
          <w:rFonts w:ascii="Arial" w:hAnsi="Arial" w:cs="Arial"/>
          <w:color w:val="000000" w:themeColor="text1"/>
        </w:rPr>
        <w:t xml:space="preserve">to co-production; links to strategic boards &amp; neighbourhood plans. </w:t>
      </w:r>
    </w:p>
    <w:p w14:paraId="261C9521" w14:textId="77777777" w:rsidR="00F1449A" w:rsidRDefault="00F1449A" w:rsidP="00F1449A">
      <w:pPr>
        <w:spacing w:line="312" w:lineRule="auto"/>
        <w:rPr>
          <w:rFonts w:ascii="Arial" w:hAnsi="Arial" w:cs="Arial"/>
          <w:color w:val="000000" w:themeColor="text1"/>
        </w:rPr>
      </w:pPr>
    </w:p>
    <w:p w14:paraId="514CDDA8" w14:textId="6681BFCF" w:rsidR="00F1449A" w:rsidRPr="00F1449A" w:rsidRDefault="00F1449A" w:rsidP="004F0A3B">
      <w:pPr>
        <w:pStyle w:val="HeadingH2"/>
      </w:pPr>
      <w:r w:rsidRPr="00F1449A">
        <w:t xml:space="preserve">How this can change inequalities </w:t>
      </w:r>
    </w:p>
    <w:p w14:paraId="4E5C3189" w14:textId="77777777" w:rsidR="00F1449A" w:rsidRDefault="00F1449A" w:rsidP="00F1449A">
      <w:pPr>
        <w:spacing w:line="312" w:lineRule="auto"/>
        <w:rPr>
          <w:rFonts w:ascii="Arial" w:eastAsiaTheme="majorEastAsia" w:hAnsi="Arial" w:cs="Arial"/>
          <w:b/>
          <w:bCs/>
          <w:color w:val="2F5496" w:themeColor="accent1" w:themeShade="BF"/>
          <w:szCs w:val="26"/>
        </w:rPr>
      </w:pPr>
    </w:p>
    <w:p w14:paraId="763C392D" w14:textId="69DC9565" w:rsidR="00F1449A" w:rsidRDefault="00F1449A" w:rsidP="00F1449A">
      <w:pPr>
        <w:spacing w:line="312" w:lineRule="auto"/>
        <w:rPr>
          <w:rFonts w:ascii="Arial" w:hAnsi="Arial" w:cs="Arial"/>
          <w:color w:val="000000" w:themeColor="text1"/>
        </w:rPr>
      </w:pPr>
      <w:r w:rsidRPr="00F1449A">
        <w:rPr>
          <w:rFonts w:ascii="Arial" w:hAnsi="Arial" w:cs="Arial"/>
          <w:color w:val="000000" w:themeColor="text1"/>
        </w:rPr>
        <w:t>Workshop participants identified that co-producing action for change through a CoP could transform inequalities and build assets for wellbeing by creating three fundamental shifts in practice:</w:t>
      </w:r>
    </w:p>
    <w:p w14:paraId="3526B292" w14:textId="77777777" w:rsidR="00F1449A" w:rsidRDefault="00F1449A" w:rsidP="00F1449A">
      <w:pPr>
        <w:spacing w:line="312" w:lineRule="auto"/>
        <w:rPr>
          <w:rFonts w:ascii="Arial" w:eastAsiaTheme="majorEastAsia" w:hAnsi="Arial" w:cs="Arial"/>
          <w:b/>
          <w:bCs/>
          <w:color w:val="2F5496" w:themeColor="accent1" w:themeShade="BF"/>
          <w:szCs w:val="26"/>
        </w:rPr>
      </w:pPr>
    </w:p>
    <w:p w14:paraId="06FA2C3B" w14:textId="77777777" w:rsidR="00F1449A" w:rsidRPr="00F1449A" w:rsidRDefault="00F1449A" w:rsidP="00F1449A">
      <w:pPr>
        <w:spacing w:line="312" w:lineRule="auto"/>
        <w:rPr>
          <w:rFonts w:ascii="Arial" w:eastAsiaTheme="majorEastAsia" w:hAnsi="Arial" w:cs="Arial"/>
          <w:b/>
          <w:bCs/>
          <w:color w:val="2F5496" w:themeColor="accent1" w:themeShade="BF"/>
          <w:szCs w:val="26"/>
        </w:rPr>
      </w:pPr>
      <w:r w:rsidRPr="00F1449A">
        <w:rPr>
          <w:rFonts w:ascii="Arial" w:eastAsiaTheme="majorEastAsia" w:hAnsi="Arial" w:cs="Arial"/>
          <w:b/>
          <w:bCs/>
          <w:color w:val="2F5496" w:themeColor="accent1" w:themeShade="BF"/>
          <w:szCs w:val="26"/>
        </w:rPr>
        <w:t>From competition to mutual understanding</w:t>
      </w:r>
    </w:p>
    <w:p w14:paraId="3699126B" w14:textId="77777777" w:rsidR="00F1449A" w:rsidRPr="00F1449A" w:rsidRDefault="00F1449A" w:rsidP="00F1449A">
      <w:pPr>
        <w:spacing w:line="312" w:lineRule="auto"/>
        <w:rPr>
          <w:rFonts w:ascii="Arial" w:eastAsiaTheme="majorEastAsia" w:hAnsi="Arial" w:cs="Arial"/>
          <w:b/>
          <w:bCs/>
          <w:color w:val="2F5496" w:themeColor="accent1" w:themeShade="BF"/>
          <w:szCs w:val="26"/>
        </w:rPr>
      </w:pPr>
    </w:p>
    <w:p w14:paraId="337615FD" w14:textId="0ACB4964" w:rsidR="00F1449A" w:rsidRPr="004F0A3B" w:rsidRDefault="00F1449A" w:rsidP="004F0A3B">
      <w:pPr>
        <w:pStyle w:val="ListParagraph"/>
        <w:numPr>
          <w:ilvl w:val="0"/>
          <w:numId w:val="2"/>
        </w:numPr>
        <w:spacing w:line="312" w:lineRule="auto"/>
        <w:rPr>
          <w:rFonts w:ascii="Arial" w:hAnsi="Arial" w:cs="Arial"/>
          <w:color w:val="000000" w:themeColor="text1"/>
        </w:rPr>
      </w:pPr>
      <w:r w:rsidRPr="004F0A3B">
        <w:rPr>
          <w:rFonts w:ascii="Arial" w:hAnsi="Arial" w:cs="Arial"/>
          <w:b/>
          <w:bCs/>
          <w:color w:val="000000" w:themeColor="text1"/>
        </w:rPr>
        <w:t>The challenge</w:t>
      </w:r>
      <w:r w:rsidRPr="004F0A3B">
        <w:rPr>
          <w:rFonts w:ascii="Arial" w:hAnsi="Arial" w:cs="Arial"/>
          <w:color w:val="000000" w:themeColor="text1"/>
        </w:rPr>
        <w:t xml:space="preserve">: a lack of information-sharing undermines community assets by creating competition, </w:t>
      </w:r>
      <w:proofErr w:type="gramStart"/>
      <w:r w:rsidRPr="004F0A3B">
        <w:rPr>
          <w:rFonts w:ascii="Arial" w:hAnsi="Arial" w:cs="Arial"/>
          <w:color w:val="000000" w:themeColor="text1"/>
        </w:rPr>
        <w:t>duplication</w:t>
      </w:r>
      <w:proofErr w:type="gramEnd"/>
      <w:r w:rsidRPr="004F0A3B">
        <w:rPr>
          <w:rFonts w:ascii="Arial" w:hAnsi="Arial" w:cs="Arial"/>
          <w:color w:val="000000" w:themeColor="text1"/>
        </w:rPr>
        <w:t xml:space="preserve"> and gaps.</w:t>
      </w:r>
    </w:p>
    <w:p w14:paraId="0F5E4503" w14:textId="6A508A07" w:rsidR="00F1449A" w:rsidRPr="004F0A3B" w:rsidRDefault="00F1449A" w:rsidP="004F0A3B">
      <w:pPr>
        <w:pStyle w:val="ListParagraph"/>
        <w:numPr>
          <w:ilvl w:val="0"/>
          <w:numId w:val="2"/>
        </w:numPr>
        <w:spacing w:line="312" w:lineRule="auto"/>
        <w:rPr>
          <w:rFonts w:ascii="Arial" w:hAnsi="Arial" w:cs="Arial"/>
          <w:color w:val="000000" w:themeColor="text1"/>
        </w:rPr>
      </w:pPr>
      <w:r w:rsidRPr="004F0A3B">
        <w:rPr>
          <w:rFonts w:ascii="Arial" w:hAnsi="Arial" w:cs="Arial"/>
          <w:b/>
          <w:bCs/>
          <w:color w:val="000000" w:themeColor="text1"/>
        </w:rPr>
        <w:br/>
        <w:t>Transformation</w:t>
      </w:r>
      <w:r w:rsidRPr="004F0A3B">
        <w:rPr>
          <w:rFonts w:ascii="Arial" w:hAnsi="Arial" w:cs="Arial"/>
          <w:color w:val="000000" w:themeColor="text1"/>
        </w:rPr>
        <w:t>: CoP information-sharing directs resources to support existing assets.</w:t>
      </w:r>
    </w:p>
    <w:p w14:paraId="7E5ACD02" w14:textId="77777777" w:rsidR="00F1449A" w:rsidRDefault="00F1449A" w:rsidP="00F1449A">
      <w:pPr>
        <w:spacing w:line="312" w:lineRule="auto"/>
        <w:rPr>
          <w:rFonts w:ascii="Arial" w:hAnsi="Arial" w:cs="Arial"/>
          <w:color w:val="000000" w:themeColor="text1"/>
        </w:rPr>
      </w:pPr>
    </w:p>
    <w:p w14:paraId="04CF4FF6" w14:textId="72674A95" w:rsidR="00F1449A" w:rsidRDefault="00F1449A" w:rsidP="00F1449A">
      <w:pPr>
        <w:spacing w:line="312" w:lineRule="auto"/>
        <w:rPr>
          <w:rFonts w:ascii="Arial" w:eastAsiaTheme="majorEastAsia" w:hAnsi="Arial" w:cs="Arial"/>
          <w:b/>
          <w:bCs/>
          <w:color w:val="2F5496" w:themeColor="accent1" w:themeShade="BF"/>
          <w:szCs w:val="26"/>
        </w:rPr>
      </w:pPr>
      <w:r w:rsidRPr="00F1449A">
        <w:rPr>
          <w:rFonts w:ascii="Arial" w:eastAsiaTheme="majorEastAsia" w:hAnsi="Arial" w:cs="Arial"/>
          <w:b/>
          <w:bCs/>
          <w:color w:val="2F5496" w:themeColor="accent1" w:themeShade="BF"/>
          <w:szCs w:val="26"/>
        </w:rPr>
        <w:t>From distrust to co-production</w:t>
      </w:r>
    </w:p>
    <w:p w14:paraId="26E1A9A0" w14:textId="77777777" w:rsidR="004F0A3B" w:rsidRPr="00F1449A" w:rsidRDefault="004F0A3B" w:rsidP="00F1449A">
      <w:pPr>
        <w:spacing w:line="312" w:lineRule="auto"/>
        <w:rPr>
          <w:rFonts w:ascii="Arial" w:eastAsiaTheme="majorEastAsia" w:hAnsi="Arial" w:cs="Arial"/>
          <w:b/>
          <w:bCs/>
          <w:color w:val="2F5496" w:themeColor="accent1" w:themeShade="BF"/>
          <w:szCs w:val="26"/>
        </w:rPr>
      </w:pPr>
    </w:p>
    <w:p w14:paraId="63AD4031" w14:textId="30FA367F" w:rsidR="00F1449A" w:rsidRPr="004F0A3B" w:rsidRDefault="00F1449A" w:rsidP="004F0A3B">
      <w:pPr>
        <w:pStyle w:val="ListParagraph"/>
        <w:numPr>
          <w:ilvl w:val="0"/>
          <w:numId w:val="3"/>
        </w:numPr>
        <w:spacing w:line="312" w:lineRule="auto"/>
        <w:rPr>
          <w:rFonts w:ascii="Arial" w:hAnsi="Arial" w:cs="Arial"/>
          <w:b/>
          <w:bCs/>
          <w:color w:val="000000" w:themeColor="text1"/>
        </w:rPr>
      </w:pPr>
      <w:r w:rsidRPr="004F0A3B">
        <w:rPr>
          <w:rFonts w:ascii="Arial" w:hAnsi="Arial" w:cs="Arial"/>
          <w:b/>
          <w:bCs/>
          <w:color w:val="000000" w:themeColor="text1"/>
        </w:rPr>
        <w:t xml:space="preserve">The challenge: </w:t>
      </w:r>
      <w:r w:rsidRPr="004F0A3B">
        <w:rPr>
          <w:rFonts w:ascii="Arial" w:hAnsi="Arial" w:cs="Arial"/>
          <w:color w:val="000000" w:themeColor="text1"/>
        </w:rPr>
        <w:t xml:space="preserve">commissioning creates power imbalances and distrust between citizens, </w:t>
      </w:r>
      <w:proofErr w:type="gramStart"/>
      <w:r w:rsidRPr="004F0A3B">
        <w:rPr>
          <w:rFonts w:ascii="Arial" w:hAnsi="Arial" w:cs="Arial"/>
          <w:color w:val="000000" w:themeColor="text1"/>
        </w:rPr>
        <w:t>organisations</w:t>
      </w:r>
      <w:proofErr w:type="gramEnd"/>
      <w:r w:rsidRPr="004F0A3B">
        <w:rPr>
          <w:rFonts w:ascii="Arial" w:hAnsi="Arial" w:cs="Arial"/>
          <w:color w:val="000000" w:themeColor="text1"/>
        </w:rPr>
        <w:t xml:space="preserve"> and the City Council.</w:t>
      </w:r>
    </w:p>
    <w:p w14:paraId="4AD77EE9" w14:textId="77777777" w:rsidR="00F1449A" w:rsidRPr="00F1449A" w:rsidRDefault="00F1449A" w:rsidP="00F1449A">
      <w:pPr>
        <w:spacing w:line="312" w:lineRule="auto"/>
        <w:rPr>
          <w:rFonts w:ascii="Arial" w:hAnsi="Arial" w:cs="Arial"/>
          <w:b/>
          <w:bCs/>
          <w:color w:val="000000" w:themeColor="text1"/>
        </w:rPr>
      </w:pPr>
    </w:p>
    <w:p w14:paraId="17A98764" w14:textId="482C9BF1" w:rsidR="00F1449A" w:rsidRPr="004F0A3B" w:rsidRDefault="00F1449A" w:rsidP="004F0A3B">
      <w:pPr>
        <w:pStyle w:val="ListParagraph"/>
        <w:numPr>
          <w:ilvl w:val="0"/>
          <w:numId w:val="3"/>
        </w:numPr>
        <w:spacing w:line="312" w:lineRule="auto"/>
        <w:rPr>
          <w:rFonts w:ascii="Arial" w:hAnsi="Arial" w:cs="Arial"/>
          <w:color w:val="000000" w:themeColor="text1"/>
        </w:rPr>
      </w:pPr>
      <w:r w:rsidRPr="004F0A3B">
        <w:rPr>
          <w:rFonts w:ascii="Arial" w:hAnsi="Arial" w:cs="Arial"/>
          <w:b/>
          <w:bCs/>
          <w:color w:val="000000" w:themeColor="text1"/>
        </w:rPr>
        <w:t xml:space="preserve">Transformation: </w:t>
      </w:r>
      <w:r w:rsidRPr="004F0A3B">
        <w:rPr>
          <w:rFonts w:ascii="Arial" w:hAnsi="Arial" w:cs="Arial"/>
          <w:color w:val="000000" w:themeColor="text1"/>
        </w:rPr>
        <w:t>CoP communication that gives citizens more agency enables</w:t>
      </w:r>
      <w:r w:rsidRPr="004F0A3B">
        <w:rPr>
          <w:rFonts w:ascii="Arial" w:hAnsi="Arial" w:cs="Arial"/>
          <w:color w:val="000000" w:themeColor="text1"/>
        </w:rPr>
        <w:br/>
        <w:t>co-production and builds trust.</w:t>
      </w:r>
    </w:p>
    <w:p w14:paraId="574950B0" w14:textId="77777777" w:rsidR="00F1449A" w:rsidRDefault="00F1449A" w:rsidP="00F1449A">
      <w:pPr>
        <w:spacing w:line="312" w:lineRule="auto"/>
        <w:rPr>
          <w:rFonts w:ascii="Arial" w:hAnsi="Arial" w:cs="Arial"/>
          <w:color w:val="000000" w:themeColor="text1"/>
        </w:rPr>
      </w:pPr>
    </w:p>
    <w:p w14:paraId="512294B3" w14:textId="77777777" w:rsidR="00F1449A" w:rsidRDefault="00F1449A" w:rsidP="00F1449A">
      <w:pPr>
        <w:spacing w:line="312" w:lineRule="auto"/>
        <w:rPr>
          <w:rFonts w:ascii="Arial" w:eastAsiaTheme="majorEastAsia" w:hAnsi="Arial" w:cs="Arial"/>
          <w:b/>
          <w:bCs/>
          <w:color w:val="2F5496" w:themeColor="accent1" w:themeShade="BF"/>
          <w:szCs w:val="26"/>
        </w:rPr>
      </w:pPr>
      <w:r w:rsidRPr="00F1449A">
        <w:rPr>
          <w:rFonts w:ascii="Arial" w:eastAsiaTheme="majorEastAsia" w:hAnsi="Arial" w:cs="Arial"/>
          <w:b/>
          <w:bCs/>
          <w:color w:val="2F5496" w:themeColor="accent1" w:themeShade="BF"/>
          <w:szCs w:val="26"/>
        </w:rPr>
        <w:t>From funding constraints to pooled resources</w:t>
      </w:r>
    </w:p>
    <w:p w14:paraId="6553C775" w14:textId="77777777" w:rsidR="004F0A3B" w:rsidRPr="00F1449A" w:rsidRDefault="004F0A3B" w:rsidP="00F1449A">
      <w:pPr>
        <w:spacing w:line="312" w:lineRule="auto"/>
        <w:rPr>
          <w:rFonts w:ascii="Arial" w:eastAsiaTheme="majorEastAsia" w:hAnsi="Arial" w:cs="Arial"/>
          <w:b/>
          <w:bCs/>
          <w:color w:val="2F5496" w:themeColor="accent1" w:themeShade="BF"/>
          <w:szCs w:val="26"/>
        </w:rPr>
      </w:pPr>
    </w:p>
    <w:p w14:paraId="035F213F" w14:textId="6DA93F9B" w:rsidR="00F1449A" w:rsidRPr="004F0A3B" w:rsidRDefault="00F1449A" w:rsidP="004F0A3B">
      <w:pPr>
        <w:pStyle w:val="ListParagraph"/>
        <w:numPr>
          <w:ilvl w:val="0"/>
          <w:numId w:val="4"/>
        </w:numPr>
        <w:spacing w:line="312" w:lineRule="auto"/>
        <w:rPr>
          <w:rFonts w:ascii="Arial" w:hAnsi="Arial" w:cs="Arial"/>
          <w:color w:val="000000" w:themeColor="text1"/>
        </w:rPr>
      </w:pPr>
      <w:r w:rsidRPr="004F0A3B">
        <w:rPr>
          <w:rFonts w:ascii="Arial" w:hAnsi="Arial" w:cs="Arial"/>
          <w:b/>
          <w:bCs/>
          <w:color w:val="000000" w:themeColor="text1"/>
        </w:rPr>
        <w:t xml:space="preserve">The challenge: </w:t>
      </w:r>
      <w:r w:rsidR="00A77C4E" w:rsidRPr="004F0A3B">
        <w:rPr>
          <w:rFonts w:ascii="Arial" w:hAnsi="Arial" w:cs="Arial"/>
          <w:color w:val="000000" w:themeColor="text1"/>
        </w:rPr>
        <w:t>funding criteria limit the capacity of single strategies to address wellbeing holistically.</w:t>
      </w:r>
    </w:p>
    <w:p w14:paraId="738B2542" w14:textId="77777777" w:rsidR="00F1449A" w:rsidRPr="00F1449A" w:rsidRDefault="00F1449A" w:rsidP="00F1449A">
      <w:pPr>
        <w:spacing w:line="312" w:lineRule="auto"/>
        <w:rPr>
          <w:rFonts w:ascii="Arial" w:hAnsi="Arial" w:cs="Arial"/>
          <w:b/>
          <w:bCs/>
          <w:color w:val="000000" w:themeColor="text1"/>
        </w:rPr>
      </w:pPr>
    </w:p>
    <w:p w14:paraId="7D55CD13" w14:textId="507C0DD5" w:rsidR="00A77C4E" w:rsidRPr="004F0A3B" w:rsidRDefault="00F1449A" w:rsidP="004F0A3B">
      <w:pPr>
        <w:pStyle w:val="ListParagraph"/>
        <w:numPr>
          <w:ilvl w:val="0"/>
          <w:numId w:val="4"/>
        </w:numPr>
        <w:spacing w:line="312" w:lineRule="auto"/>
        <w:rPr>
          <w:rFonts w:ascii="Arial" w:hAnsi="Arial" w:cs="Arial"/>
          <w:color w:val="000000" w:themeColor="text1"/>
        </w:rPr>
      </w:pPr>
      <w:r w:rsidRPr="004F0A3B">
        <w:rPr>
          <w:rFonts w:ascii="Arial" w:hAnsi="Arial" w:cs="Arial"/>
          <w:b/>
          <w:bCs/>
          <w:color w:val="000000" w:themeColor="text1"/>
        </w:rPr>
        <w:t xml:space="preserve">Transformation: </w:t>
      </w:r>
      <w:r w:rsidR="00A77C4E" w:rsidRPr="004F0A3B">
        <w:rPr>
          <w:rFonts w:ascii="Arial" w:hAnsi="Arial" w:cs="Arial"/>
          <w:color w:val="000000" w:themeColor="text1"/>
        </w:rPr>
        <w:t xml:space="preserve">the CoP focus on local assets and wellbeing creates the shared purpose that connects diverse strategic plans, motivating joint place-based projects that leverage resources from multiple strategic work programmes. </w:t>
      </w:r>
    </w:p>
    <w:p w14:paraId="4F0FDC67" w14:textId="77777777" w:rsidR="00A77C4E" w:rsidRDefault="00A77C4E" w:rsidP="00A77C4E">
      <w:pPr>
        <w:spacing w:line="312" w:lineRule="auto"/>
        <w:rPr>
          <w:rFonts w:ascii="Arial" w:hAnsi="Arial" w:cs="Arial"/>
          <w:color w:val="000000" w:themeColor="text1"/>
        </w:rPr>
      </w:pPr>
    </w:p>
    <w:p w14:paraId="4F4EDA40" w14:textId="5EA42CFD" w:rsidR="00A77C4E" w:rsidRPr="004F0A3B" w:rsidRDefault="00A77C4E" w:rsidP="004F0A3B">
      <w:pPr>
        <w:pStyle w:val="HeadingH2"/>
      </w:pPr>
      <w:r w:rsidRPr="004F0A3B">
        <w:t xml:space="preserve">Questions for further research and learning </w:t>
      </w:r>
    </w:p>
    <w:p w14:paraId="1DC84FDD" w14:textId="77777777" w:rsidR="00A77C4E" w:rsidRDefault="00A77C4E" w:rsidP="00A77C4E">
      <w:pPr>
        <w:spacing w:line="312" w:lineRule="auto"/>
        <w:rPr>
          <w:rFonts w:ascii="Arial" w:eastAsiaTheme="majorEastAsia" w:hAnsi="Arial" w:cs="Arial"/>
          <w:b/>
          <w:bCs/>
          <w:color w:val="2F5496" w:themeColor="accent1" w:themeShade="BF"/>
          <w:szCs w:val="26"/>
        </w:rPr>
      </w:pPr>
    </w:p>
    <w:p w14:paraId="2A75992C" w14:textId="77777777" w:rsidR="00A77C4E" w:rsidRPr="00A77C4E" w:rsidRDefault="00A77C4E" w:rsidP="00A77C4E">
      <w:pPr>
        <w:spacing w:line="312" w:lineRule="auto"/>
        <w:rPr>
          <w:rFonts w:ascii="Arial" w:hAnsi="Arial" w:cs="Arial"/>
          <w:color w:val="000000" w:themeColor="text1"/>
        </w:rPr>
      </w:pPr>
      <w:r w:rsidRPr="00A77C4E">
        <w:rPr>
          <w:rFonts w:ascii="Arial" w:hAnsi="Arial" w:cs="Arial"/>
          <w:color w:val="000000" w:themeColor="text1"/>
        </w:rPr>
        <w:t>Sustaining the CoP raises further questions for research and joint learning:</w:t>
      </w:r>
    </w:p>
    <w:p w14:paraId="7C81EDA5" w14:textId="77777777" w:rsidR="00A77C4E" w:rsidRPr="00A77C4E" w:rsidRDefault="00A77C4E" w:rsidP="00A77C4E">
      <w:pPr>
        <w:spacing w:line="312" w:lineRule="auto"/>
        <w:rPr>
          <w:rFonts w:ascii="Arial" w:hAnsi="Arial" w:cs="Arial"/>
          <w:color w:val="000000" w:themeColor="text1"/>
        </w:rPr>
      </w:pPr>
    </w:p>
    <w:p w14:paraId="1F86C9C8" w14:textId="77777777" w:rsidR="00A77C4E" w:rsidRPr="00A77C4E" w:rsidRDefault="00A77C4E" w:rsidP="00A77C4E">
      <w:pPr>
        <w:spacing w:line="312" w:lineRule="auto"/>
        <w:rPr>
          <w:rFonts w:ascii="Arial" w:hAnsi="Arial" w:cs="Arial"/>
          <w:color w:val="000000" w:themeColor="text1"/>
        </w:rPr>
      </w:pPr>
      <w:r w:rsidRPr="00A77C4E">
        <w:rPr>
          <w:rFonts w:ascii="Arial" w:hAnsi="Arial" w:cs="Arial"/>
          <w:b/>
          <w:bCs/>
          <w:color w:val="000000" w:themeColor="text1"/>
        </w:rPr>
        <w:t>Impact:</w:t>
      </w:r>
      <w:r w:rsidRPr="00A77C4E">
        <w:rPr>
          <w:rFonts w:ascii="Arial" w:hAnsi="Arial" w:cs="Arial"/>
          <w:color w:val="000000" w:themeColor="text1"/>
        </w:rPr>
        <w:t xml:space="preserve"> Evaluate the CoP’s relationships and outputs to assess power-sharing and impact.</w:t>
      </w:r>
    </w:p>
    <w:p w14:paraId="10F7B46F" w14:textId="77777777" w:rsidR="00A77C4E" w:rsidRPr="00A77C4E" w:rsidRDefault="00A77C4E" w:rsidP="00A77C4E">
      <w:pPr>
        <w:spacing w:line="312" w:lineRule="auto"/>
        <w:rPr>
          <w:rFonts w:ascii="Arial" w:hAnsi="Arial" w:cs="Arial"/>
          <w:color w:val="000000" w:themeColor="text1"/>
        </w:rPr>
      </w:pPr>
    </w:p>
    <w:p w14:paraId="09D1B156" w14:textId="77777777" w:rsidR="00A77C4E" w:rsidRPr="00A77C4E" w:rsidRDefault="00A77C4E" w:rsidP="00A77C4E">
      <w:pPr>
        <w:spacing w:line="312" w:lineRule="auto"/>
        <w:rPr>
          <w:rFonts w:ascii="Arial" w:hAnsi="Arial" w:cs="Arial"/>
          <w:color w:val="000000" w:themeColor="text1"/>
        </w:rPr>
      </w:pPr>
      <w:r w:rsidRPr="00A77C4E">
        <w:rPr>
          <w:rFonts w:ascii="Arial" w:hAnsi="Arial" w:cs="Arial"/>
          <w:b/>
          <w:bCs/>
          <w:color w:val="000000" w:themeColor="text1"/>
        </w:rPr>
        <w:t>Inequalities:</w:t>
      </w:r>
      <w:r w:rsidRPr="00A77C4E">
        <w:rPr>
          <w:rFonts w:ascii="Arial" w:hAnsi="Arial" w:cs="Arial"/>
          <w:color w:val="000000" w:themeColor="text1"/>
        </w:rPr>
        <w:t xml:space="preserve"> Develop a context-specific framework to measure changes in community wellbeing.</w:t>
      </w:r>
    </w:p>
    <w:p w14:paraId="4C8CEDC2" w14:textId="77777777" w:rsidR="00A77C4E" w:rsidRPr="00A77C4E" w:rsidRDefault="00A77C4E" w:rsidP="00A77C4E">
      <w:pPr>
        <w:spacing w:line="312" w:lineRule="auto"/>
        <w:rPr>
          <w:rFonts w:ascii="Arial" w:hAnsi="Arial" w:cs="Arial"/>
          <w:color w:val="000000" w:themeColor="text1"/>
        </w:rPr>
      </w:pPr>
    </w:p>
    <w:p w14:paraId="558A0A2F" w14:textId="77777777" w:rsidR="00A77C4E" w:rsidRPr="00A77C4E" w:rsidRDefault="00A77C4E" w:rsidP="00A77C4E">
      <w:pPr>
        <w:spacing w:line="312" w:lineRule="auto"/>
        <w:rPr>
          <w:rFonts w:ascii="Arial" w:hAnsi="Arial" w:cs="Arial"/>
          <w:color w:val="000000" w:themeColor="text1"/>
        </w:rPr>
      </w:pPr>
      <w:r w:rsidRPr="00A77C4E">
        <w:rPr>
          <w:rFonts w:ascii="Arial" w:hAnsi="Arial" w:cs="Arial"/>
          <w:b/>
          <w:bCs/>
          <w:color w:val="000000" w:themeColor="text1"/>
        </w:rPr>
        <w:t xml:space="preserve">Systems change: </w:t>
      </w:r>
      <w:r w:rsidRPr="00A77C4E">
        <w:rPr>
          <w:rFonts w:ascii="Arial" w:hAnsi="Arial" w:cs="Arial"/>
          <w:color w:val="000000" w:themeColor="text1"/>
        </w:rPr>
        <w:t>Analyse how interactions between the CoP and its governance environment advance an assets-based approach to wellbeing inequalities.</w:t>
      </w:r>
    </w:p>
    <w:p w14:paraId="2BB59DB1" w14:textId="77777777" w:rsidR="00A77C4E" w:rsidRPr="00A77C4E" w:rsidRDefault="00A77C4E" w:rsidP="00A77C4E">
      <w:pPr>
        <w:spacing w:line="312" w:lineRule="auto"/>
        <w:rPr>
          <w:rFonts w:ascii="Arial" w:hAnsi="Arial" w:cs="Arial"/>
          <w:color w:val="000000" w:themeColor="text1"/>
        </w:rPr>
      </w:pPr>
    </w:p>
    <w:p w14:paraId="126C69AA" w14:textId="716F695D" w:rsidR="00A77C4E" w:rsidRDefault="00A77C4E" w:rsidP="00A77C4E">
      <w:pPr>
        <w:spacing w:line="312" w:lineRule="auto"/>
        <w:rPr>
          <w:rFonts w:ascii="Arial" w:hAnsi="Arial" w:cs="Arial"/>
          <w:color w:val="000000" w:themeColor="text1"/>
        </w:rPr>
      </w:pPr>
      <w:r w:rsidRPr="00A77C4E">
        <w:rPr>
          <w:rFonts w:ascii="Arial" w:hAnsi="Arial" w:cs="Arial"/>
          <w:b/>
          <w:bCs/>
          <w:color w:val="000000" w:themeColor="text1"/>
        </w:rPr>
        <w:t>Resource shifts:</w:t>
      </w:r>
      <w:r w:rsidRPr="00A77C4E">
        <w:rPr>
          <w:rFonts w:ascii="Arial" w:hAnsi="Arial" w:cs="Arial"/>
          <w:color w:val="000000" w:themeColor="text1"/>
        </w:rPr>
        <w:t xml:space="preserve"> Trace long-term shifts in resources from </w:t>
      </w:r>
      <w:proofErr w:type="gramStart"/>
      <w:r w:rsidRPr="00A77C4E">
        <w:rPr>
          <w:rFonts w:ascii="Arial" w:hAnsi="Arial" w:cs="Arial"/>
          <w:color w:val="000000" w:themeColor="text1"/>
        </w:rPr>
        <w:t>health-care</w:t>
      </w:r>
      <w:proofErr w:type="gramEnd"/>
      <w:r w:rsidRPr="00A77C4E">
        <w:rPr>
          <w:rFonts w:ascii="Arial" w:hAnsi="Arial" w:cs="Arial"/>
          <w:color w:val="000000" w:themeColor="text1"/>
        </w:rPr>
        <w:t xml:space="preserve"> to community assets.</w:t>
      </w:r>
    </w:p>
    <w:p w14:paraId="27514A17" w14:textId="77777777" w:rsidR="00A77C4E" w:rsidRDefault="00A77C4E" w:rsidP="00A77C4E">
      <w:pPr>
        <w:spacing w:line="312" w:lineRule="auto"/>
        <w:rPr>
          <w:rFonts w:ascii="Arial" w:hAnsi="Arial" w:cs="Arial"/>
          <w:color w:val="000000" w:themeColor="text1"/>
        </w:rPr>
      </w:pPr>
    </w:p>
    <w:p w14:paraId="0B6D515D" w14:textId="6909A6B1" w:rsidR="004C6327" w:rsidRPr="00A77C4E" w:rsidRDefault="00A77C4E" w:rsidP="004C6327">
      <w:pPr>
        <w:pStyle w:val="Heading1"/>
        <w:rPr>
          <w:rFonts w:ascii="Arial" w:hAnsi="Arial" w:cs="Arial"/>
          <w:b/>
          <w:bCs/>
          <w:sz w:val="44"/>
          <w:szCs w:val="44"/>
        </w:rPr>
      </w:pPr>
      <w:r w:rsidRPr="00A77C4E">
        <w:rPr>
          <w:rFonts w:ascii="Arial" w:hAnsi="Arial" w:cs="Arial"/>
          <w:b/>
          <w:bCs/>
          <w:sz w:val="44"/>
          <w:szCs w:val="44"/>
        </w:rPr>
        <w:t>Thank you to our participants</w:t>
      </w:r>
      <w:r w:rsidR="004C6327" w:rsidRPr="001A431B">
        <w:rPr>
          <w:rFonts w:ascii="Arial" w:hAnsi="Arial" w:cs="Arial"/>
          <w:b/>
          <w:sz w:val="44"/>
          <w:szCs w:val="44"/>
        </w:rPr>
        <w:br/>
      </w:r>
    </w:p>
    <w:p w14:paraId="319AB625" w14:textId="77777777" w:rsidR="00A77C4E" w:rsidRPr="00A77C4E" w:rsidRDefault="00A77C4E" w:rsidP="00A77C4E">
      <w:pPr>
        <w:spacing w:line="312" w:lineRule="auto"/>
        <w:rPr>
          <w:rFonts w:ascii="Arial" w:hAnsi="Arial" w:cs="Arial"/>
          <w:szCs w:val="16"/>
        </w:rPr>
      </w:pPr>
      <w:r w:rsidRPr="00A77C4E">
        <w:rPr>
          <w:rFonts w:ascii="Arial" w:hAnsi="Arial" w:cs="Arial"/>
          <w:b/>
          <w:bCs/>
          <w:szCs w:val="16"/>
        </w:rPr>
        <w:t>The following organisations and community groups took part in the workshops:</w:t>
      </w:r>
      <w:r w:rsidRPr="00A77C4E">
        <w:rPr>
          <w:rFonts w:ascii="Arial" w:hAnsi="Arial" w:cs="Arial"/>
          <w:b/>
          <w:bCs/>
          <w:szCs w:val="16"/>
        </w:rPr>
        <w:br/>
      </w:r>
    </w:p>
    <w:p w14:paraId="174A8814" w14:textId="77777777" w:rsidR="00A77C4E" w:rsidRPr="00A77C4E" w:rsidRDefault="00A77C4E" w:rsidP="00A77C4E">
      <w:pPr>
        <w:spacing w:line="312" w:lineRule="auto"/>
        <w:rPr>
          <w:rFonts w:ascii="Arial" w:hAnsi="Arial" w:cs="Arial"/>
          <w:szCs w:val="16"/>
        </w:rPr>
      </w:pPr>
      <w:r w:rsidRPr="00A77C4E">
        <w:rPr>
          <w:rFonts w:ascii="Arial" w:hAnsi="Arial" w:cs="Arial"/>
          <w:szCs w:val="16"/>
        </w:rPr>
        <w:t xml:space="preserve">Walking </w:t>
      </w:r>
      <w:proofErr w:type="gramStart"/>
      <w:r w:rsidRPr="00A77C4E">
        <w:rPr>
          <w:rFonts w:ascii="Arial" w:hAnsi="Arial" w:cs="Arial"/>
          <w:szCs w:val="16"/>
        </w:rPr>
        <w:t>Wednesdays</w:t>
      </w:r>
      <w:proofErr w:type="gramEnd"/>
      <w:r w:rsidRPr="00A77C4E">
        <w:rPr>
          <w:rFonts w:ascii="Arial" w:hAnsi="Arial" w:cs="Arial"/>
          <w:szCs w:val="16"/>
        </w:rPr>
        <w:t xml:space="preserve"> members</w:t>
      </w:r>
    </w:p>
    <w:p w14:paraId="21532A8E" w14:textId="77777777" w:rsidR="00A77C4E" w:rsidRPr="00A77C4E" w:rsidRDefault="00A77C4E" w:rsidP="00A77C4E">
      <w:pPr>
        <w:spacing w:line="312" w:lineRule="auto"/>
        <w:rPr>
          <w:rFonts w:ascii="Arial" w:hAnsi="Arial" w:cs="Arial"/>
          <w:szCs w:val="16"/>
        </w:rPr>
      </w:pPr>
      <w:r w:rsidRPr="00A77C4E">
        <w:rPr>
          <w:rFonts w:ascii="Arial" w:hAnsi="Arial" w:cs="Arial"/>
          <w:szCs w:val="16"/>
        </w:rPr>
        <w:t>The Active Wellbeing Society</w:t>
      </w:r>
    </w:p>
    <w:p w14:paraId="0E944169" w14:textId="77777777" w:rsidR="00A77C4E" w:rsidRPr="00A77C4E" w:rsidRDefault="00A77C4E" w:rsidP="00A77C4E">
      <w:pPr>
        <w:spacing w:line="312" w:lineRule="auto"/>
        <w:rPr>
          <w:rFonts w:ascii="Arial" w:hAnsi="Arial" w:cs="Arial"/>
          <w:szCs w:val="16"/>
        </w:rPr>
      </w:pPr>
      <w:proofErr w:type="spellStart"/>
      <w:r w:rsidRPr="00A77C4E">
        <w:rPr>
          <w:rFonts w:ascii="Arial" w:hAnsi="Arial" w:cs="Arial"/>
          <w:szCs w:val="16"/>
        </w:rPr>
        <w:t>Streetscene</w:t>
      </w:r>
      <w:proofErr w:type="spellEnd"/>
      <w:r w:rsidRPr="00A77C4E">
        <w:rPr>
          <w:rFonts w:ascii="Arial" w:hAnsi="Arial" w:cs="Arial"/>
          <w:szCs w:val="16"/>
        </w:rPr>
        <w:t xml:space="preserve"> &amp; District Parks services, Birmingham City Council (BCC)</w:t>
      </w:r>
    </w:p>
    <w:p w14:paraId="689E18FB" w14:textId="77777777" w:rsidR="00A77C4E" w:rsidRPr="00A77C4E" w:rsidRDefault="00A77C4E" w:rsidP="00A77C4E">
      <w:pPr>
        <w:spacing w:line="312" w:lineRule="auto"/>
        <w:rPr>
          <w:rFonts w:ascii="Arial" w:hAnsi="Arial" w:cs="Arial"/>
          <w:szCs w:val="16"/>
        </w:rPr>
      </w:pPr>
      <w:r w:rsidRPr="00A77C4E">
        <w:rPr>
          <w:rFonts w:ascii="Arial" w:hAnsi="Arial" w:cs="Arial"/>
          <w:szCs w:val="16"/>
        </w:rPr>
        <w:lastRenderedPageBreak/>
        <w:t>Public Health teams (Adults, Communities, Children &amp; Young People), BCC</w:t>
      </w:r>
    </w:p>
    <w:p w14:paraId="14314C19" w14:textId="77777777" w:rsidR="00A77C4E" w:rsidRPr="00A77C4E" w:rsidRDefault="00A77C4E" w:rsidP="00A77C4E">
      <w:pPr>
        <w:spacing w:line="312" w:lineRule="auto"/>
        <w:rPr>
          <w:rFonts w:ascii="Arial" w:hAnsi="Arial" w:cs="Arial"/>
          <w:szCs w:val="16"/>
        </w:rPr>
      </w:pPr>
      <w:r w:rsidRPr="00A77C4E">
        <w:rPr>
          <w:rFonts w:ascii="Arial" w:hAnsi="Arial" w:cs="Arial"/>
          <w:szCs w:val="16"/>
        </w:rPr>
        <w:t>Birmingham Museums Trust</w:t>
      </w:r>
    </w:p>
    <w:p w14:paraId="424118AC" w14:textId="77777777" w:rsidR="00A77C4E" w:rsidRPr="00A77C4E" w:rsidRDefault="00A77C4E" w:rsidP="00A77C4E">
      <w:pPr>
        <w:spacing w:line="312" w:lineRule="auto"/>
        <w:rPr>
          <w:rFonts w:ascii="Arial" w:hAnsi="Arial" w:cs="Arial"/>
          <w:szCs w:val="16"/>
        </w:rPr>
      </w:pPr>
      <w:r w:rsidRPr="00A77C4E">
        <w:rPr>
          <w:rFonts w:ascii="Arial" w:hAnsi="Arial" w:cs="Arial"/>
          <w:szCs w:val="16"/>
        </w:rPr>
        <w:t>City of Nature</w:t>
      </w:r>
    </w:p>
    <w:p w14:paraId="565C6429" w14:textId="77777777" w:rsidR="00A77C4E" w:rsidRPr="00A77C4E" w:rsidRDefault="00A77C4E" w:rsidP="00A77C4E">
      <w:pPr>
        <w:spacing w:line="312" w:lineRule="auto"/>
        <w:rPr>
          <w:rFonts w:ascii="Arial" w:hAnsi="Arial" w:cs="Arial"/>
          <w:szCs w:val="16"/>
        </w:rPr>
      </w:pPr>
      <w:proofErr w:type="spellStart"/>
      <w:r w:rsidRPr="00A77C4E">
        <w:rPr>
          <w:rFonts w:ascii="Arial" w:hAnsi="Arial" w:cs="Arial"/>
          <w:szCs w:val="16"/>
        </w:rPr>
        <w:t>Earthwatch</w:t>
      </w:r>
      <w:proofErr w:type="spellEnd"/>
    </w:p>
    <w:p w14:paraId="317B6564" w14:textId="77777777" w:rsidR="00A77C4E" w:rsidRPr="00A77C4E" w:rsidRDefault="00A77C4E" w:rsidP="00A77C4E">
      <w:pPr>
        <w:spacing w:line="312" w:lineRule="auto"/>
        <w:rPr>
          <w:rFonts w:ascii="Arial" w:hAnsi="Arial" w:cs="Arial"/>
          <w:szCs w:val="16"/>
        </w:rPr>
      </w:pPr>
      <w:r w:rsidRPr="00A77C4E">
        <w:rPr>
          <w:rFonts w:ascii="Arial" w:hAnsi="Arial" w:cs="Arial"/>
          <w:szCs w:val="16"/>
        </w:rPr>
        <w:t>City-REDI community researcher</w:t>
      </w:r>
    </w:p>
    <w:p w14:paraId="65ED87C4" w14:textId="77777777" w:rsidR="00A77C4E" w:rsidRPr="00A77C4E" w:rsidRDefault="00A77C4E" w:rsidP="00A77C4E">
      <w:pPr>
        <w:spacing w:line="312" w:lineRule="auto"/>
        <w:rPr>
          <w:rFonts w:ascii="Arial" w:hAnsi="Arial" w:cs="Arial"/>
          <w:szCs w:val="16"/>
        </w:rPr>
      </w:pPr>
      <w:proofErr w:type="spellStart"/>
      <w:r w:rsidRPr="00A77C4E">
        <w:rPr>
          <w:rFonts w:ascii="Arial" w:hAnsi="Arial" w:cs="Arial"/>
          <w:szCs w:val="16"/>
        </w:rPr>
        <w:t>Ecopark</w:t>
      </w:r>
      <w:proofErr w:type="spellEnd"/>
      <w:r w:rsidRPr="00A77C4E">
        <w:rPr>
          <w:rFonts w:ascii="Arial" w:hAnsi="Arial" w:cs="Arial"/>
          <w:szCs w:val="16"/>
        </w:rPr>
        <w:t>, Birmingham &amp; Black Country Wildlife Trust</w:t>
      </w:r>
    </w:p>
    <w:p w14:paraId="647E4D42" w14:textId="77777777" w:rsidR="00A77C4E" w:rsidRPr="00A77C4E" w:rsidRDefault="00A77C4E" w:rsidP="00A77C4E">
      <w:pPr>
        <w:spacing w:line="312" w:lineRule="auto"/>
        <w:rPr>
          <w:rFonts w:ascii="Arial" w:hAnsi="Arial" w:cs="Arial"/>
          <w:szCs w:val="16"/>
        </w:rPr>
      </w:pPr>
      <w:r w:rsidRPr="00A77C4E">
        <w:rPr>
          <w:rFonts w:ascii="Arial" w:hAnsi="Arial" w:cs="Arial"/>
          <w:szCs w:val="16"/>
        </w:rPr>
        <w:t>Disability Resource Centre</w:t>
      </w:r>
    </w:p>
    <w:p w14:paraId="07AB4895" w14:textId="5C66BBC2" w:rsidR="004C6327" w:rsidRDefault="00A77C4E" w:rsidP="00A77C4E">
      <w:pPr>
        <w:spacing w:line="312" w:lineRule="auto"/>
        <w:rPr>
          <w:rFonts w:ascii="Arial" w:hAnsi="Arial" w:cs="Arial"/>
          <w:szCs w:val="16"/>
        </w:rPr>
      </w:pPr>
      <w:r w:rsidRPr="00A77C4E">
        <w:rPr>
          <w:rFonts w:ascii="Arial" w:hAnsi="Arial" w:cs="Arial"/>
          <w:szCs w:val="16"/>
        </w:rPr>
        <w:t>University of Birmingham</w:t>
      </w:r>
    </w:p>
    <w:p w14:paraId="6C092EA2" w14:textId="77777777" w:rsidR="00A77C4E" w:rsidRDefault="00A77C4E" w:rsidP="00A77C4E">
      <w:pPr>
        <w:spacing w:line="312" w:lineRule="auto"/>
        <w:rPr>
          <w:rFonts w:ascii="Arial" w:hAnsi="Arial" w:cs="Arial"/>
          <w:szCs w:val="16"/>
        </w:rPr>
      </w:pPr>
    </w:p>
    <w:p w14:paraId="0139D072" w14:textId="77777777" w:rsidR="00A77C4E" w:rsidRPr="00A77C4E" w:rsidRDefault="00A77C4E" w:rsidP="00A77C4E">
      <w:pPr>
        <w:spacing w:line="312" w:lineRule="auto"/>
        <w:rPr>
          <w:rFonts w:ascii="Arial" w:hAnsi="Arial" w:cs="Arial"/>
          <w:szCs w:val="16"/>
        </w:rPr>
      </w:pPr>
      <w:r w:rsidRPr="00A77C4E">
        <w:rPr>
          <w:rFonts w:ascii="Arial" w:hAnsi="Arial" w:cs="Arial"/>
          <w:b/>
          <w:bCs/>
          <w:szCs w:val="16"/>
        </w:rPr>
        <w:t xml:space="preserve">Suggested citation: </w:t>
      </w:r>
      <w:r w:rsidRPr="00A77C4E">
        <w:rPr>
          <w:rFonts w:ascii="Arial" w:hAnsi="Arial" w:cs="Arial"/>
          <w:szCs w:val="16"/>
        </w:rPr>
        <w:t xml:space="preserve">Woodcock, E.M., Bartels, K.P.R., Wood, H., Gabriel, D., </w:t>
      </w:r>
      <w:proofErr w:type="spellStart"/>
      <w:r w:rsidRPr="00A77C4E">
        <w:rPr>
          <w:rFonts w:ascii="Arial" w:hAnsi="Arial" w:cs="Arial"/>
          <w:szCs w:val="16"/>
        </w:rPr>
        <w:t>Pykett</w:t>
      </w:r>
      <w:proofErr w:type="spellEnd"/>
      <w:r w:rsidRPr="00A77C4E">
        <w:rPr>
          <w:rFonts w:ascii="Arial" w:hAnsi="Arial" w:cs="Arial"/>
          <w:szCs w:val="16"/>
        </w:rPr>
        <w:t>, J., Gilchrist, A. (2024) ‘Co-producing a Community of Practice. Transforming wellbeing inequalities by building community assets.’ University of Birmingham</w:t>
      </w:r>
    </w:p>
    <w:p w14:paraId="177AC583" w14:textId="77777777" w:rsidR="00A77C4E" w:rsidRDefault="00A77C4E" w:rsidP="00A77C4E">
      <w:pPr>
        <w:spacing w:line="312" w:lineRule="auto"/>
        <w:rPr>
          <w:rFonts w:ascii="Arial" w:hAnsi="Arial" w:cs="Arial"/>
          <w:szCs w:val="16"/>
        </w:rPr>
      </w:pPr>
    </w:p>
    <w:p w14:paraId="7280D14A" w14:textId="11FC9010" w:rsidR="00A77C4E" w:rsidRPr="00A77C4E" w:rsidRDefault="00000000" w:rsidP="00A77C4E">
      <w:pPr>
        <w:spacing w:line="312" w:lineRule="auto"/>
        <w:rPr>
          <w:rFonts w:ascii="Arial" w:hAnsi="Arial" w:cs="Arial"/>
          <w:sz w:val="22"/>
          <w:szCs w:val="16"/>
        </w:rPr>
      </w:pPr>
      <w:hyperlink r:id="rId9" w:history="1">
        <w:r w:rsidR="00A77C4E" w:rsidRPr="00A77C4E">
          <w:rPr>
            <w:rStyle w:val="Hyperlink"/>
            <w:rFonts w:ascii="Arial" w:hAnsi="Arial" w:cs="Arial"/>
            <w:sz w:val="22"/>
            <w:szCs w:val="16"/>
          </w:rPr>
          <w:t>https://www.birmingham.ac.uk/research/centre-urban-wellbeing/themes/social-prescribing-assets-and-relationships-in-communities-sparc-network</w:t>
        </w:r>
      </w:hyperlink>
    </w:p>
    <w:p w14:paraId="0164D367" w14:textId="07D52EE8" w:rsidR="004C6327" w:rsidRDefault="004C6327" w:rsidP="004C6327">
      <w:pPr>
        <w:rPr>
          <w:rFonts w:ascii="Arial" w:hAnsi="Arial" w:cs="Arial"/>
        </w:rPr>
      </w:pPr>
    </w:p>
    <w:p w14:paraId="719C0438" w14:textId="095AD152" w:rsidR="00290491" w:rsidRDefault="00290491" w:rsidP="004C6327">
      <w:pPr>
        <w:rPr>
          <w:rFonts w:ascii="Arial" w:hAnsi="Arial" w:cs="Arial"/>
        </w:rPr>
      </w:pPr>
      <w:r>
        <w:rPr>
          <w:rFonts w:ascii="Georgia" w:hAnsi="Georgia"/>
          <w:noProof/>
          <w:color w:val="2F5496" w:themeColor="accent1" w:themeShade="BF"/>
          <w:sz w:val="96"/>
          <w:szCs w:val="96"/>
        </w:rPr>
        <w:drawing>
          <wp:inline distT="0" distB="0" distL="0" distR="0" wp14:anchorId="7C1CE11F" wp14:editId="7AF55426">
            <wp:extent cx="2592070" cy="646733"/>
            <wp:effectExtent l="0" t="0" r="0" b="1270"/>
            <wp:docPr id="861825475"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409676" name="Picture 1"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8556" cy="658331"/>
                    </a:xfrm>
                    <a:prstGeom prst="rect">
                      <a:avLst/>
                    </a:prstGeom>
                  </pic:spPr>
                </pic:pic>
              </a:graphicData>
            </a:graphic>
          </wp:inline>
        </w:drawing>
      </w:r>
    </w:p>
    <w:p w14:paraId="72A67164" w14:textId="77777777" w:rsidR="008112D7" w:rsidRPr="00D030B4" w:rsidRDefault="008112D7" w:rsidP="004C6327">
      <w:pPr>
        <w:rPr>
          <w:rFonts w:ascii="Arial" w:hAnsi="Arial" w:cs="Arial"/>
        </w:rPr>
      </w:pPr>
    </w:p>
    <w:p w14:paraId="7CE6F5A2" w14:textId="11BEB5F2" w:rsidR="00870759" w:rsidRPr="004C6327" w:rsidRDefault="00000000" w:rsidP="004C6327">
      <w:hyperlink r:id="rId10" w:history="1">
        <w:r w:rsidR="004C6327" w:rsidRPr="00D542B7">
          <w:rPr>
            <w:rStyle w:val="Hyperlink"/>
            <w:rFonts w:ascii="Arial" w:hAnsi="Arial" w:cs="Arial"/>
          </w:rPr>
          <w:t>University of Birmingham</w:t>
        </w:r>
      </w:hyperlink>
      <w:r w:rsidR="004C6327">
        <w:rPr>
          <w:rFonts w:ascii="Arial" w:hAnsi="Arial" w:cs="Arial"/>
        </w:rPr>
        <w:t xml:space="preserve"> | Edgbaston, Birmingham, B15 2TT, United Kingdom.</w:t>
      </w:r>
    </w:p>
    <w:sectPr w:rsidR="00870759" w:rsidRPr="004C6327" w:rsidSect="004759FB">
      <w:headerReference w:type="default" r:id="rId11"/>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4641C" w14:textId="77777777" w:rsidR="004759FB" w:rsidRDefault="004759FB" w:rsidP="00095F30">
      <w:r>
        <w:separator/>
      </w:r>
    </w:p>
  </w:endnote>
  <w:endnote w:type="continuationSeparator" w:id="0">
    <w:p w14:paraId="79761FA4" w14:textId="77777777" w:rsidR="004759FB" w:rsidRDefault="004759FB" w:rsidP="0009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2040503050306020203"/>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460F2" w14:textId="77777777" w:rsidR="004759FB" w:rsidRDefault="004759FB" w:rsidP="00095F30">
      <w:r>
        <w:separator/>
      </w:r>
    </w:p>
  </w:footnote>
  <w:footnote w:type="continuationSeparator" w:id="0">
    <w:p w14:paraId="64F24980" w14:textId="77777777" w:rsidR="004759FB" w:rsidRDefault="004759FB" w:rsidP="00095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423CE" w14:textId="77777777" w:rsidR="00095F30" w:rsidRDefault="00095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184"/>
    <w:multiLevelType w:val="hybridMultilevel"/>
    <w:tmpl w:val="0C00A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F7F05"/>
    <w:multiLevelType w:val="hybridMultilevel"/>
    <w:tmpl w:val="673CC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1E335A"/>
    <w:multiLevelType w:val="hybridMultilevel"/>
    <w:tmpl w:val="9634A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824786"/>
    <w:multiLevelType w:val="hybridMultilevel"/>
    <w:tmpl w:val="373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6202485">
    <w:abstractNumId w:val="3"/>
  </w:num>
  <w:num w:numId="2" w16cid:durableId="1882553153">
    <w:abstractNumId w:val="2"/>
  </w:num>
  <w:num w:numId="3" w16cid:durableId="1469470668">
    <w:abstractNumId w:val="1"/>
  </w:num>
  <w:num w:numId="4" w16cid:durableId="1499151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30"/>
    <w:rsid w:val="00050AC0"/>
    <w:rsid w:val="0008520F"/>
    <w:rsid w:val="00095F30"/>
    <w:rsid w:val="000A50BB"/>
    <w:rsid w:val="000B0CFF"/>
    <w:rsid w:val="000C5A49"/>
    <w:rsid w:val="000E73A4"/>
    <w:rsid w:val="00226EDB"/>
    <w:rsid w:val="00237BEA"/>
    <w:rsid w:val="002674C4"/>
    <w:rsid w:val="00290491"/>
    <w:rsid w:val="002C4CC0"/>
    <w:rsid w:val="00302987"/>
    <w:rsid w:val="00320A33"/>
    <w:rsid w:val="00375BA4"/>
    <w:rsid w:val="0037607B"/>
    <w:rsid w:val="003878FD"/>
    <w:rsid w:val="003A5053"/>
    <w:rsid w:val="004343B7"/>
    <w:rsid w:val="004759FB"/>
    <w:rsid w:val="00477FB0"/>
    <w:rsid w:val="00491EED"/>
    <w:rsid w:val="004922C1"/>
    <w:rsid w:val="00492D17"/>
    <w:rsid w:val="004C6327"/>
    <w:rsid w:val="004D6203"/>
    <w:rsid w:val="004F0A3B"/>
    <w:rsid w:val="00516C95"/>
    <w:rsid w:val="00543FA7"/>
    <w:rsid w:val="00625ECD"/>
    <w:rsid w:val="00670B13"/>
    <w:rsid w:val="00670D76"/>
    <w:rsid w:val="00677B34"/>
    <w:rsid w:val="00680C36"/>
    <w:rsid w:val="00692F13"/>
    <w:rsid w:val="00696DB0"/>
    <w:rsid w:val="006B0702"/>
    <w:rsid w:val="006C415F"/>
    <w:rsid w:val="006C60F7"/>
    <w:rsid w:val="006C6B06"/>
    <w:rsid w:val="006D7285"/>
    <w:rsid w:val="006F7ACB"/>
    <w:rsid w:val="00726363"/>
    <w:rsid w:val="007275F2"/>
    <w:rsid w:val="00766311"/>
    <w:rsid w:val="007B2815"/>
    <w:rsid w:val="007F1CAC"/>
    <w:rsid w:val="008112D7"/>
    <w:rsid w:val="00822AF1"/>
    <w:rsid w:val="00870759"/>
    <w:rsid w:val="008804D4"/>
    <w:rsid w:val="008C6BF8"/>
    <w:rsid w:val="009248F7"/>
    <w:rsid w:val="00966CDA"/>
    <w:rsid w:val="009B6E18"/>
    <w:rsid w:val="009E4427"/>
    <w:rsid w:val="00A41C0F"/>
    <w:rsid w:val="00A430A5"/>
    <w:rsid w:val="00A77C4E"/>
    <w:rsid w:val="00AD7311"/>
    <w:rsid w:val="00B126F9"/>
    <w:rsid w:val="00B2196E"/>
    <w:rsid w:val="00B35D75"/>
    <w:rsid w:val="00BD35BE"/>
    <w:rsid w:val="00C63DE9"/>
    <w:rsid w:val="00D030B4"/>
    <w:rsid w:val="00D36723"/>
    <w:rsid w:val="00D542B7"/>
    <w:rsid w:val="00D83587"/>
    <w:rsid w:val="00DA1BCA"/>
    <w:rsid w:val="00E007DA"/>
    <w:rsid w:val="00E02971"/>
    <w:rsid w:val="00E44979"/>
    <w:rsid w:val="00E631AD"/>
    <w:rsid w:val="00E84C26"/>
    <w:rsid w:val="00EA0B5C"/>
    <w:rsid w:val="00ED2BED"/>
    <w:rsid w:val="00EE4FF4"/>
    <w:rsid w:val="00F1449A"/>
    <w:rsid w:val="00F43AA5"/>
    <w:rsid w:val="00FC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0034C"/>
  <w15:chartTrackingRefBased/>
  <w15:docId w15:val="{121E7398-4AD9-4648-AA2F-E267324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4D4"/>
  </w:style>
  <w:style w:type="paragraph" w:styleId="Heading1">
    <w:name w:val="heading 1"/>
    <w:basedOn w:val="Normal"/>
    <w:next w:val="Normal"/>
    <w:link w:val="Heading1Char"/>
    <w:uiPriority w:val="9"/>
    <w:qFormat/>
    <w:rsid w:val="00ED2B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0D7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ED2B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D2B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70D7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 w:type="paragraph" w:customStyle="1" w:styleId="BasicParagraph">
    <w:name w:val="[Basic Paragraph]"/>
    <w:basedOn w:val="Normal"/>
    <w:uiPriority w:val="99"/>
    <w:rsid w:val="004922C1"/>
    <w:pPr>
      <w:autoSpaceDE w:val="0"/>
      <w:autoSpaceDN w:val="0"/>
      <w:adjustRightInd w:val="0"/>
      <w:spacing w:line="288" w:lineRule="auto"/>
      <w:textAlignment w:val="center"/>
    </w:pPr>
    <w:rPr>
      <w:rFonts w:ascii="MinionPro-Regular" w:hAnsi="MinionPro-Regular" w:cs="MinionPro-Regular"/>
      <w:color w:val="000000"/>
    </w:rPr>
  </w:style>
  <w:style w:type="character" w:styleId="UnresolvedMention">
    <w:name w:val="Unresolved Mention"/>
    <w:basedOn w:val="DefaultParagraphFont"/>
    <w:uiPriority w:val="99"/>
    <w:semiHidden/>
    <w:unhideWhenUsed/>
    <w:rsid w:val="00A77C4E"/>
    <w:rPr>
      <w:color w:val="605E5C"/>
      <w:shd w:val="clear" w:color="auto" w:fill="E1DFDD"/>
    </w:rPr>
  </w:style>
  <w:style w:type="table" w:styleId="TableGrid">
    <w:name w:val="Table Grid"/>
    <w:basedOn w:val="TableNormal"/>
    <w:uiPriority w:val="39"/>
    <w:rsid w:val="00880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H3">
    <w:name w:val="Heading H3"/>
    <w:basedOn w:val="Normal"/>
    <w:qFormat/>
    <w:rsid w:val="004F0A3B"/>
    <w:pPr>
      <w:spacing w:line="312" w:lineRule="auto"/>
    </w:pPr>
    <w:rPr>
      <w:rFonts w:ascii="Arial" w:eastAsiaTheme="majorEastAsia" w:hAnsi="Arial" w:cs="Arial"/>
      <w:b/>
      <w:bCs/>
      <w:color w:val="2F5496" w:themeColor="accent1" w:themeShade="BF"/>
      <w:szCs w:val="26"/>
    </w:rPr>
  </w:style>
  <w:style w:type="paragraph" w:customStyle="1" w:styleId="HeadingH2">
    <w:name w:val="Heading H2"/>
    <w:basedOn w:val="Heading1"/>
    <w:qFormat/>
    <w:rsid w:val="004F0A3B"/>
    <w:rPr>
      <w:rFonts w:ascii="Arial" w:hAnsi="Arial" w:cs="Arial"/>
      <w:b/>
      <w:bCs/>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irmingham.ac.uk" TargetMode="External"/><Relationship Id="rId4" Type="http://schemas.openxmlformats.org/officeDocument/2006/relationships/settings" Target="settings.xml"/><Relationship Id="rId9" Type="http://schemas.openxmlformats.org/officeDocument/2006/relationships/hyperlink" Target="https://www.birmingham.ac.uk/research/centre-urban-wellbeing/themes/social-prescribing-assets-and-relationships-in-communities-sparc-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1A0B1-B100-4002-B130-27AF30FF9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Shivaramakrishna Parmar (Creative Media)</cp:lastModifiedBy>
  <cp:revision>3</cp:revision>
  <cp:lastPrinted>2019-08-08T13:58:00Z</cp:lastPrinted>
  <dcterms:created xsi:type="dcterms:W3CDTF">2024-04-12T12:25:00Z</dcterms:created>
  <dcterms:modified xsi:type="dcterms:W3CDTF">2024-04-12T12:27:00Z</dcterms:modified>
</cp:coreProperties>
</file>