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84CB2" w14:textId="77777777" w:rsidR="00972CDF" w:rsidRPr="00C0396F" w:rsidRDefault="00972CDF" w:rsidP="00972CDF">
      <w:pPr>
        <w:pStyle w:val="Title"/>
      </w:pPr>
      <w:r>
        <w:t>Standard Operating Pr</w:t>
      </w:r>
      <w:r w:rsidRPr="00C0396F">
        <w:t>ocedure:</w:t>
      </w:r>
    </w:p>
    <w:p w14:paraId="52632D84" w14:textId="77777777" w:rsidR="00972CDF" w:rsidRDefault="00972CDF" w:rsidP="00972CDF">
      <w:pPr>
        <w:pStyle w:val="Title"/>
      </w:pPr>
      <w:r>
        <w:t>Sample Management</w:t>
      </w:r>
    </w:p>
    <w:p w14:paraId="41D60DAD" w14:textId="77777777" w:rsidR="00972CDF" w:rsidRDefault="00972CDF" w:rsidP="00972CDF">
      <w:pPr>
        <w:rPr>
          <w:rFonts w:eastAsiaTheme="majorEastAsia"/>
        </w:rPr>
      </w:pPr>
    </w:p>
    <w:p w14:paraId="4BD76ED4" w14:textId="77777777" w:rsidR="00972CDF" w:rsidRDefault="00972CDF" w:rsidP="00972CDF">
      <w:pPr>
        <w:rPr>
          <w:rFonts w:eastAsiaTheme="majorEastAsia"/>
        </w:rPr>
      </w:pPr>
    </w:p>
    <w:p w14:paraId="22C391B6" w14:textId="77777777" w:rsidR="00972CDF" w:rsidRDefault="00972CDF" w:rsidP="00972CDF">
      <w:pPr>
        <w:pStyle w:val="Heading1"/>
      </w:pPr>
      <w:r w:rsidRPr="00B6322E">
        <w:t>Purpose</w:t>
      </w:r>
      <w:r w:rsidRPr="001C6EFB">
        <w:t>:</w:t>
      </w:r>
    </w:p>
    <w:p w14:paraId="43B9ACAA" w14:textId="77777777" w:rsidR="00972CDF" w:rsidRPr="00F91C87" w:rsidRDefault="00972CDF" w:rsidP="00972CDF">
      <w:r w:rsidRPr="00170A8C">
        <w:t xml:space="preserve">The purpose of this </w:t>
      </w:r>
      <w:r>
        <w:t>standard operating procedure (</w:t>
      </w:r>
      <w:r w:rsidRPr="00170A8C">
        <w:t>SOP</w:t>
      </w:r>
      <w:r>
        <w:t>)</w:t>
      </w:r>
      <w:r w:rsidRPr="00170A8C">
        <w:t xml:space="preserve"> is to describe procedures which will ensure that </w:t>
      </w:r>
      <w:r>
        <w:t>human biomaterial management</w:t>
      </w:r>
      <w:r w:rsidRPr="00170A8C">
        <w:t xml:space="preserve"> within laboratories (either for clinical trials or </w:t>
      </w:r>
      <w:r>
        <w:t>for clinical studies) is</w:t>
      </w:r>
      <w:r w:rsidRPr="00170A8C">
        <w:t xml:space="preserve"> set up and managed correctly </w:t>
      </w:r>
      <w:r>
        <w:t>t</w:t>
      </w:r>
      <w:r w:rsidRPr="00170A8C">
        <w:t>o meet the appropriate standard ensuring that patient safety is not compromised, that data is reliable and accurately reported, and in accordance with applicable law, and with established policies at the University of Birmingham</w:t>
      </w:r>
      <w:r>
        <w:t xml:space="preserve"> (UoB)</w:t>
      </w:r>
      <w:r w:rsidRPr="00170A8C">
        <w:t xml:space="preserve">. </w:t>
      </w:r>
    </w:p>
    <w:p w14:paraId="4521BC6A" w14:textId="77777777" w:rsidR="00972CDF" w:rsidRDefault="00972CDF" w:rsidP="00972CDF">
      <w:pPr>
        <w:pStyle w:val="Heading1"/>
      </w:pPr>
      <w:r w:rsidRPr="00B63F21">
        <w:t>Scope:</w:t>
      </w:r>
    </w:p>
    <w:p w14:paraId="3A46135D" w14:textId="77777777" w:rsidR="00972CDF" w:rsidRDefault="00972CDF" w:rsidP="00972CDF">
      <w:r>
        <w:t>The SOP is applicable to all UoB staff involved in the analysis</w:t>
      </w:r>
      <w:r w:rsidDel="000D2B72">
        <w:t xml:space="preserve"> </w:t>
      </w:r>
      <w:r>
        <w:t xml:space="preserve">of human biomaterials (see Definitions) for clinical trials of investigational medicinal products (CTIMPs) whether these are sponsored by the UoB or sponsored/co-sponsored by another institution. </w:t>
      </w:r>
    </w:p>
    <w:p w14:paraId="2D619CFF" w14:textId="77777777" w:rsidR="00972CDF" w:rsidRDefault="00972CDF" w:rsidP="00972CDF">
      <w:r>
        <w:t xml:space="preserve">The SOP is applicable to UoB staff involved in the handling, processing, receipt, </w:t>
      </w:r>
      <w:proofErr w:type="gramStart"/>
      <w:r>
        <w:t>storage</w:t>
      </w:r>
      <w:proofErr w:type="gramEnd"/>
      <w:r>
        <w:t xml:space="preserve"> or analysis of samples of human tissue (see Definitions) for clinical studies and non-CTIMP trials. </w:t>
      </w:r>
    </w:p>
    <w:p w14:paraId="14D09DAF" w14:textId="77777777" w:rsidR="00972CDF" w:rsidRDefault="00972CDF" w:rsidP="00972CDF">
      <w:r>
        <w:t>See ‘Decision Map’ on page 3 below to determine if this SOP is applicable.</w:t>
      </w:r>
    </w:p>
    <w:p w14:paraId="223DFB26" w14:textId="77777777" w:rsidR="00972CDF" w:rsidRDefault="00972CDF" w:rsidP="00972CDF">
      <w:pPr>
        <w:pStyle w:val="Heading1"/>
      </w:pPr>
      <w:r w:rsidRPr="00B63F21">
        <w:t>Implementation plan:</w:t>
      </w:r>
    </w:p>
    <w:p w14:paraId="3ED8999A" w14:textId="77777777" w:rsidR="00972CDF" w:rsidRPr="00C34A3B" w:rsidRDefault="00972CDF" w:rsidP="00972CDF">
      <w:r w:rsidRPr="00A01A0C">
        <w:t xml:space="preserve">This SOP will be implemented </w:t>
      </w:r>
      <w:r>
        <w:t>in line with</w:t>
      </w:r>
      <w:r w:rsidRPr="00A01A0C">
        <w:t xml:space="preserve"> th</w:t>
      </w:r>
      <w:r>
        <w:t>is document’s</w:t>
      </w:r>
      <w:r w:rsidRPr="00A01A0C">
        <w:t xml:space="preserve"> effective date.</w:t>
      </w:r>
    </w:p>
    <w:p w14:paraId="168976A6" w14:textId="77777777" w:rsidR="00972CDF" w:rsidRDefault="00972CDF" w:rsidP="00972CDF">
      <w:pPr>
        <w:pStyle w:val="Heading1"/>
      </w:pPr>
      <w:r>
        <w:t>Stakeholders</w:t>
      </w:r>
      <w:r w:rsidRPr="00B63F21">
        <w:t>:</w:t>
      </w:r>
    </w:p>
    <w:p w14:paraId="19C6B514" w14:textId="32997FA5" w:rsidR="004C46FF" w:rsidRPr="00342C1E" w:rsidRDefault="00972CDF" w:rsidP="00972CDF">
      <w:pPr>
        <w:pStyle w:val="bullet1"/>
        <w:sectPr w:rsidR="004C46FF" w:rsidRPr="00342C1E" w:rsidSect="00512C56">
          <w:footerReference w:type="default" r:id="rId8"/>
          <w:headerReference w:type="first" r:id="rId9"/>
          <w:footerReference w:type="first" r:id="rId10"/>
          <w:pgSz w:w="11907" w:h="16839" w:code="9"/>
          <w:pgMar w:top="5211" w:right="1440" w:bottom="1440" w:left="1440" w:header="1438" w:footer="283" w:gutter="0"/>
          <w:cols w:space="708"/>
          <w:titlePg/>
          <w:docGrid w:linePitch="360"/>
        </w:sectPr>
      </w:pPr>
      <w:r w:rsidRPr="0094222F">
        <w:t xml:space="preserve">Laboratory </w:t>
      </w:r>
      <w:r>
        <w:t>a</w:t>
      </w:r>
      <w:r w:rsidRPr="0094222F">
        <w:t xml:space="preserve">cademic </w:t>
      </w:r>
      <w:r>
        <w:t>l</w:t>
      </w:r>
      <w:r w:rsidRPr="0094222F">
        <w:t>ead (LAL)</w:t>
      </w:r>
    </w:p>
    <w:p w14:paraId="28CC136F" w14:textId="77777777" w:rsidR="00972CDF" w:rsidRDefault="00972CDF" w:rsidP="00972CDF">
      <w:pPr>
        <w:pStyle w:val="Heading1"/>
      </w:pPr>
      <w:bookmarkStart w:id="0" w:name="_Toc320536979"/>
      <w:r>
        <w:lastRenderedPageBreak/>
        <w:t>Background and rationale:</w:t>
      </w:r>
    </w:p>
    <w:p w14:paraId="38124E69" w14:textId="77777777" w:rsidR="00972CDF" w:rsidRDefault="00972CDF" w:rsidP="00972CDF">
      <w:r>
        <w:t>The Human Tissue Authority (HTA) governs the storage of ‘relevant material’ (as defined by the Human Tissue Act) for research and so dictates the standard that must be applied to their management in the laboratory. For the purposes of this SOP, human tissue that falls outside of the licensing requirements of the Human Tissue Act, for example tissue stored for less than 7 days incidental to transport or rendering acellular, will be treated in the same way as that which falls under the licensing requirements (i.e. tissue that will be stored prior to analysis), until such a time as it is either rendered acellular and so no longer considered to be ‘tissue’ or until it is leaves the laboratory (see Decision Map below).</w:t>
      </w:r>
    </w:p>
    <w:p w14:paraId="3156D7C1" w14:textId="77777777" w:rsidR="00972CDF" w:rsidRDefault="00972CDF" w:rsidP="00972CDF">
      <w:r>
        <w:t xml:space="preserve">The analysis of human biomaterials (see Definitions) which contributes to the endpoints of CTIMPs is regulated by the </w:t>
      </w:r>
      <w:r w:rsidRPr="00A44AA1">
        <w:t>Medicines and Healthcare products Regulatory Agency</w:t>
      </w:r>
      <w:r>
        <w:t xml:space="preserve"> (MHRA) and must be conducted to Good Clinical Practice (GCP) in the laboratory standards as described in the </w:t>
      </w:r>
      <w:hyperlink r:id="rId11" w:tooltip="Link to Europen Medical Agency (EMA) reflection paper for laboratories that perform the analyses or evaluation of clinical trial samples" w:history="1">
        <w:r w:rsidRPr="0046163F">
          <w:rPr>
            <w:rStyle w:val="Hyperlink"/>
          </w:rPr>
          <w:t>E</w:t>
        </w:r>
        <w:r>
          <w:rPr>
            <w:rStyle w:val="Hyperlink"/>
          </w:rPr>
          <w:t>uropean Medical Agency (E</w:t>
        </w:r>
        <w:r w:rsidRPr="0046163F">
          <w:rPr>
            <w:rStyle w:val="Hyperlink"/>
          </w:rPr>
          <w:t>MA</w:t>
        </w:r>
        <w:r>
          <w:rPr>
            <w:rStyle w:val="Hyperlink"/>
          </w:rPr>
          <w:t>)</w:t>
        </w:r>
        <w:r w:rsidRPr="0046163F">
          <w:rPr>
            <w:rStyle w:val="Hyperlink"/>
          </w:rPr>
          <w:t xml:space="preserve"> reflection paper for laboratories that perform the analyses or evaluation of clinical trial sample</w:t>
        </w:r>
        <w:r>
          <w:rPr>
            <w:rStyle w:val="Hyperlink"/>
          </w:rPr>
          <w:t>s (PDF - 136 KB)</w:t>
        </w:r>
      </w:hyperlink>
      <w:r>
        <w:t>.</w:t>
      </w:r>
    </w:p>
    <w:p w14:paraId="6B9FD722" w14:textId="77777777" w:rsidR="00972CDF" w:rsidRDefault="00972CDF" w:rsidP="00972CDF">
      <w:r>
        <w:t xml:space="preserve">Samples collected as part of clinical research need to be managed appropriately to maintain their integrity and ensure that any analytical analyses produce results that are accurate, reliable and in line with the study protocol. Careful consideration needs to be given to the complete sample-management process, from collection, including receipt, processing, </w:t>
      </w:r>
      <w:proofErr w:type="gramStart"/>
      <w:r>
        <w:t>storage</w:t>
      </w:r>
      <w:proofErr w:type="gramEnd"/>
      <w:r>
        <w:t xml:space="preserve"> and analysis, and including any transfer steps.</w:t>
      </w:r>
    </w:p>
    <w:p w14:paraId="6E0D3340" w14:textId="77777777" w:rsidR="00972CDF" w:rsidRDefault="00972CDF" w:rsidP="00972CDF">
      <w:pPr>
        <w:spacing w:before="0" w:after="200" w:line="276" w:lineRule="auto"/>
        <w:rPr>
          <w:rFonts w:ascii="Gill Sans MT" w:hAnsi="Gill Sans MT" w:cs="Tahoma"/>
          <w:bCs/>
          <w:color w:val="943634"/>
          <w:kern w:val="32"/>
          <w:sz w:val="28"/>
          <w:szCs w:val="28"/>
        </w:rPr>
      </w:pPr>
      <w:r>
        <w:br w:type="page"/>
      </w:r>
    </w:p>
    <w:p w14:paraId="0B7420DB" w14:textId="77777777" w:rsidR="00972CDF" w:rsidRPr="00435EAE" w:rsidRDefault="00972CDF" w:rsidP="00972CDF">
      <w:pPr>
        <w:pStyle w:val="Heading1"/>
      </w:pPr>
      <w:r w:rsidRPr="00435EAE">
        <w:lastRenderedPageBreak/>
        <w:t>Procedure:</w:t>
      </w:r>
    </w:p>
    <w:p w14:paraId="011D15C1" w14:textId="77777777" w:rsidR="00972CDF" w:rsidRDefault="00972CDF" w:rsidP="00972CDF">
      <w:r>
        <w:t>Follow the Decision Map to determine the requirements within this SOP for your research.</w:t>
      </w:r>
    </w:p>
    <w:p w14:paraId="53D83653" w14:textId="77777777" w:rsidR="00972CDF" w:rsidRDefault="00972CDF" w:rsidP="00972CDF">
      <w:pPr>
        <w:pStyle w:val="Heading2"/>
      </w:pPr>
      <w:r>
        <w:t xml:space="preserve">Decision Map </w:t>
      </w:r>
    </w:p>
    <w:p w14:paraId="28A8E43F" w14:textId="77777777" w:rsidR="00972CDF" w:rsidRDefault="00972CDF" w:rsidP="00972CDF">
      <w:r>
        <w:object w:dxaOrig="9946" w:dyaOrig="7905" w14:anchorId="0FCC39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359.25pt" o:ole="">
            <v:imagedata r:id="rId12" o:title=""/>
          </v:shape>
          <o:OLEObject Type="Embed" ProgID="Visio.Drawing.15" ShapeID="_x0000_i1025" DrawAspect="Content" ObjectID="_1706508050" r:id="rId13"/>
        </w:object>
      </w:r>
    </w:p>
    <w:p w14:paraId="72491EDF" w14:textId="77777777" w:rsidR="00972CDF" w:rsidRDefault="00972CDF" w:rsidP="00972CDF"/>
    <w:p w14:paraId="7A3256FB" w14:textId="77777777" w:rsidR="00972CDF" w:rsidRDefault="00972CDF" w:rsidP="00972CDF">
      <w:r>
        <w:t>See ‘Abbreviations and definitions’ below for more information on relevant material.</w:t>
      </w:r>
    </w:p>
    <w:p w14:paraId="783FD2B1" w14:textId="77777777" w:rsidR="00972CDF" w:rsidRDefault="00972CDF" w:rsidP="00972CDF"/>
    <w:p w14:paraId="4382C5B7" w14:textId="77777777" w:rsidR="00972CDF" w:rsidRDefault="00972CDF" w:rsidP="00972CDF">
      <w:r>
        <w:t xml:space="preserve">Processes described below that apply to ALL laboratories receiving and managing human tissue for clinical research are in </w:t>
      </w:r>
      <w:r w:rsidRPr="00972CDF">
        <w:rPr>
          <w:rStyle w:val="BoldChar"/>
          <w:color w:val="auto"/>
        </w:rPr>
        <w:t>BOLD</w:t>
      </w:r>
      <w:r w:rsidRPr="00972CDF">
        <w:t xml:space="preserve"> </w:t>
      </w:r>
      <w:r>
        <w:t>text.</w:t>
      </w:r>
    </w:p>
    <w:p w14:paraId="0AE7C93D" w14:textId="77777777" w:rsidR="00972CDF" w:rsidRDefault="00972CDF" w:rsidP="00972CDF">
      <w:r>
        <w:t xml:space="preserve">Additional processes applying to laboratories required to be compliant with GCP standards are written in </w:t>
      </w:r>
      <w:proofErr w:type="gramStart"/>
      <w:r>
        <w:t>NON-BOLD</w:t>
      </w:r>
      <w:proofErr w:type="gramEnd"/>
      <w:r>
        <w:t xml:space="preserve"> text.</w:t>
      </w:r>
    </w:p>
    <w:p w14:paraId="791FCEC5" w14:textId="77777777" w:rsidR="00972CDF" w:rsidRDefault="00972CDF" w:rsidP="00972CDF">
      <w:pPr>
        <w:pStyle w:val="Heading2"/>
      </w:pPr>
      <w:r>
        <w:t>Preparation and distribution of clinical sample kits (where applicable)</w:t>
      </w:r>
    </w:p>
    <w:p w14:paraId="544C62D0" w14:textId="77777777" w:rsidR="00972CDF" w:rsidRPr="00D075A6" w:rsidRDefault="00972CDF" w:rsidP="00972CDF">
      <w:r>
        <w:t xml:space="preserve">Some laboratories or departments may prepare and dispatch clinical sample kits to sites. Where this is the </w:t>
      </w:r>
      <w:proofErr w:type="gramStart"/>
      <w:r>
        <w:t>case</w:t>
      </w:r>
      <w:proofErr w:type="gramEnd"/>
      <w:r>
        <w:t xml:space="preserve"> the points listed below will be followed.</w:t>
      </w:r>
    </w:p>
    <w:p w14:paraId="11779A29" w14:textId="77777777" w:rsidR="00972CDF" w:rsidRDefault="00972CDF" w:rsidP="00972CDF">
      <w:pPr>
        <w:pStyle w:val="NumberlistforSOPs"/>
        <w:numPr>
          <w:ilvl w:val="0"/>
          <w:numId w:val="12"/>
        </w:numPr>
      </w:pPr>
      <w:r>
        <w:t>The LAL (or delegate) in liaison with the chief investigator (CI) will set up robust processes to ensure sites order sample kits in a timely fashion.</w:t>
      </w:r>
    </w:p>
    <w:p w14:paraId="3461CD25" w14:textId="77777777" w:rsidR="00972CDF" w:rsidRDefault="00972CDF" w:rsidP="00972CDF">
      <w:pPr>
        <w:pStyle w:val="NumberlistforSOPs"/>
        <w:numPr>
          <w:ilvl w:val="0"/>
          <w:numId w:val="12"/>
        </w:numPr>
      </w:pPr>
      <w:r>
        <w:t>The LAL (or delegate) will arrange for a designated area for the preparation of clinical sample kits (and the storage of components thereof), which will be large enough to allow an adequate degree of separation between this and other activities.</w:t>
      </w:r>
    </w:p>
    <w:p w14:paraId="2707CB66" w14:textId="77777777" w:rsidR="00972CDF" w:rsidRDefault="00972CDF" w:rsidP="00972CDF">
      <w:pPr>
        <w:pStyle w:val="Numberlist"/>
        <w:numPr>
          <w:ilvl w:val="0"/>
          <w:numId w:val="12"/>
        </w:numPr>
        <w:ind w:left="340" w:hanging="340"/>
      </w:pPr>
      <w:r>
        <w:t xml:space="preserve">The LAL (or delegate) will develop a monitoring schedule for areas where clinical-sample-kit components are stored to confirm their integrity is maintained </w:t>
      </w:r>
      <w:r w:rsidRPr="00885181">
        <w:t>(</w:t>
      </w:r>
      <w:r>
        <w:t>s</w:t>
      </w:r>
      <w:r w:rsidRPr="00274ECC">
        <w:t xml:space="preserve">ee </w:t>
      </w:r>
      <w:bookmarkStart w:id="1" w:name="_Hlk93683796"/>
      <w:r w:rsidRPr="00274ECC">
        <w:rPr>
          <w:rStyle w:val="ReferencestootherSOPsQCDsChar"/>
        </w:rPr>
        <w:t>UoB-</w:t>
      </w:r>
      <w:r>
        <w:rPr>
          <w:rStyle w:val="ReferencestootherSOPsQCDsChar"/>
        </w:rPr>
        <w:t>CRL-QCD-006 Housekeeping Schedule</w:t>
      </w:r>
      <w:bookmarkEnd w:id="1"/>
      <w:r w:rsidRPr="00062A89">
        <w:t>)</w:t>
      </w:r>
      <w:r>
        <w:t>.</w:t>
      </w:r>
    </w:p>
    <w:p w14:paraId="7112E26A" w14:textId="77777777" w:rsidR="00972CDF" w:rsidRPr="0098547D" w:rsidRDefault="00972CDF" w:rsidP="00972CDF">
      <w:pPr>
        <w:pStyle w:val="bullet2"/>
        <w:ind w:left="720" w:hanging="360"/>
      </w:pPr>
      <w:r w:rsidRPr="0098547D">
        <w:t>This will include, for example, monitoring the temperatures of any refrigerators or freezers used to store clinical</w:t>
      </w:r>
      <w:r>
        <w:t>-</w:t>
      </w:r>
      <w:r w:rsidRPr="0098547D">
        <w:t>sample</w:t>
      </w:r>
      <w:r>
        <w:t>-</w:t>
      </w:r>
      <w:r w:rsidRPr="0098547D">
        <w:t xml:space="preserve">kit components (see </w:t>
      </w:r>
      <w:bookmarkStart w:id="2" w:name="_Hlk93683804"/>
      <w:r w:rsidRPr="0098547D">
        <w:rPr>
          <w:rStyle w:val="ReferencestootherSOPsQCDsChar"/>
        </w:rPr>
        <w:t xml:space="preserve">UoB-CRL-QCD-007 Temperature </w:t>
      </w:r>
      <w:r>
        <w:rPr>
          <w:rStyle w:val="ReferencestootherSOPsQCDsChar"/>
        </w:rPr>
        <w:t>Monitoring</w:t>
      </w:r>
      <w:bookmarkEnd w:id="2"/>
      <w:r w:rsidRPr="0098547D">
        <w:t>)</w:t>
      </w:r>
      <w:r w:rsidRPr="0098547D">
        <w:rPr>
          <w:i/>
        </w:rPr>
        <w:t xml:space="preserve">.                                                                                                                                                                                                                                                                                                                                                                                                                                                                                                                                                                                                                                                               </w:t>
      </w:r>
    </w:p>
    <w:p w14:paraId="7C84FEF4" w14:textId="77777777" w:rsidR="00972CDF" w:rsidRDefault="00972CDF" w:rsidP="00972CDF">
      <w:pPr>
        <w:pStyle w:val="NumberlistforSOPs"/>
        <w:numPr>
          <w:ilvl w:val="0"/>
          <w:numId w:val="12"/>
        </w:numPr>
      </w:pPr>
      <w:r>
        <w:lastRenderedPageBreak/>
        <w:t xml:space="preserve">The LAL (or delegate) will create a ‘sample kit preparation and dispatch record’ (see for an example </w:t>
      </w:r>
      <w:bookmarkStart w:id="3" w:name="_Hlk93683820"/>
      <w:r>
        <w:rPr>
          <w:rStyle w:val="ReferencestootherSOPsQCDsChar"/>
        </w:rPr>
        <w:t>UoB-CRL-QCD-015 Clinical Sample Kits</w:t>
      </w:r>
      <w:bookmarkEnd w:id="3"/>
      <w:r>
        <w:rPr>
          <w:rStyle w:val="ReferencestootherSOPsQCDsChar"/>
          <w:i w:val="0"/>
          <w:color w:val="auto"/>
        </w:rPr>
        <w:t>)</w:t>
      </w:r>
      <w:r>
        <w:t>, this will include:</w:t>
      </w:r>
    </w:p>
    <w:p w14:paraId="1535DFFD" w14:textId="77777777" w:rsidR="00972CDF" w:rsidRPr="0094222F" w:rsidRDefault="00972CDF" w:rsidP="00972CDF">
      <w:pPr>
        <w:pStyle w:val="bullet2"/>
        <w:ind w:left="720" w:hanging="360"/>
        <w:rPr>
          <w:b/>
        </w:rPr>
      </w:pPr>
      <w:r>
        <w:t>t</w:t>
      </w:r>
      <w:r w:rsidRPr="0094222F">
        <w:t>he components to include in a clinical sample kit</w:t>
      </w:r>
    </w:p>
    <w:p w14:paraId="4EDE9E70" w14:textId="77777777" w:rsidR="00972CDF" w:rsidRPr="0094222F" w:rsidRDefault="00972CDF" w:rsidP="00972CDF">
      <w:pPr>
        <w:pStyle w:val="bullet2"/>
        <w:ind w:left="720" w:hanging="360"/>
        <w:rPr>
          <w:b/>
        </w:rPr>
      </w:pPr>
      <w:r>
        <w:t>d</w:t>
      </w:r>
      <w:r w:rsidRPr="0094222F">
        <w:t>ocumented quality checks to perform, for example</w:t>
      </w:r>
    </w:p>
    <w:p w14:paraId="4D710B00" w14:textId="77777777" w:rsidR="00972CDF" w:rsidRPr="0098547D" w:rsidRDefault="00972CDF" w:rsidP="00972CDF">
      <w:pPr>
        <w:pStyle w:val="bullet3"/>
        <w:ind w:left="1021" w:hanging="341"/>
      </w:pPr>
      <w:r>
        <w:t>r</w:t>
      </w:r>
      <w:r w:rsidRPr="0098547D">
        <w:t>eviewing expiry dates of components</w:t>
      </w:r>
    </w:p>
    <w:p w14:paraId="04BFD073" w14:textId="77777777" w:rsidR="00972CDF" w:rsidRPr="00E15697" w:rsidRDefault="00972CDF" w:rsidP="00972CDF">
      <w:pPr>
        <w:pStyle w:val="bullet3"/>
        <w:ind w:left="1021" w:hanging="341"/>
      </w:pPr>
      <w:r>
        <w:t>c</w:t>
      </w:r>
      <w:r w:rsidRPr="0098547D">
        <w:t>onfirming the correct components are present in the clinical sample kit</w:t>
      </w:r>
    </w:p>
    <w:p w14:paraId="4DAC9043" w14:textId="77777777" w:rsidR="00972CDF" w:rsidRPr="00730506" w:rsidRDefault="00972CDF" w:rsidP="00972CDF">
      <w:pPr>
        <w:pStyle w:val="bullet2"/>
        <w:ind w:left="720" w:hanging="360"/>
        <w:rPr>
          <w:b/>
        </w:rPr>
      </w:pPr>
      <w:r>
        <w:t>t</w:t>
      </w:r>
      <w:r w:rsidRPr="00E15697">
        <w:t>he need to document who prepared the clinical sample kits</w:t>
      </w:r>
      <w:r>
        <w:t>.</w:t>
      </w:r>
    </w:p>
    <w:p w14:paraId="702734ED" w14:textId="77777777" w:rsidR="00972CDF" w:rsidRDefault="00972CDF" w:rsidP="00972CDF">
      <w:pPr>
        <w:pStyle w:val="NumberlistforSOPs"/>
        <w:numPr>
          <w:ilvl w:val="0"/>
          <w:numId w:val="12"/>
        </w:numPr>
      </w:pPr>
      <w:r>
        <w:t xml:space="preserve">The LAL (or delegate) will make appropriate provisions for the resupply of clinical kits at short notice, for example, if a component is found to be faulty or is recalled by the supplier. </w:t>
      </w:r>
    </w:p>
    <w:p w14:paraId="2B265917" w14:textId="77777777" w:rsidR="00972CDF" w:rsidRDefault="00972CDF" w:rsidP="00972CDF">
      <w:pPr>
        <w:pStyle w:val="bullet2"/>
      </w:pPr>
      <w:r w:rsidRPr="008E325C">
        <w:t>Consider assigning a stock level ‘trigger number’ to each clinical kit component which, if reached, would instigate more of the component to be ordered.</w:t>
      </w:r>
    </w:p>
    <w:p w14:paraId="79349DE5" w14:textId="77777777" w:rsidR="00972CDF" w:rsidRDefault="00972CDF" w:rsidP="00972CDF">
      <w:pPr>
        <w:pStyle w:val="NumberlistforSOPs"/>
        <w:numPr>
          <w:ilvl w:val="0"/>
          <w:numId w:val="12"/>
        </w:numPr>
      </w:pPr>
      <w:r>
        <w:t>If it becomes necessary to source a product from a different supplier, the LAL (no delegation allowed) will assess the need for cross validation of the product.</w:t>
      </w:r>
    </w:p>
    <w:p w14:paraId="729A5286" w14:textId="77777777" w:rsidR="00972CDF" w:rsidRDefault="00972CDF" w:rsidP="00972CDF">
      <w:pPr>
        <w:pStyle w:val="Heading2"/>
      </w:pPr>
      <w:r>
        <w:t>Consent</w:t>
      </w:r>
    </w:p>
    <w:p w14:paraId="255CD418" w14:textId="77777777" w:rsidR="00972CDF" w:rsidRDefault="00972CDF" w:rsidP="00972CDF">
      <w:pPr>
        <w:pStyle w:val="NumberlistforSOPs"/>
        <w:numPr>
          <w:ilvl w:val="0"/>
          <w:numId w:val="12"/>
        </w:numPr>
        <w:rPr>
          <w:b/>
        </w:rPr>
      </w:pPr>
      <w:r w:rsidRPr="00AF1D10">
        <w:rPr>
          <w:b/>
        </w:rPr>
        <w:t>The</w:t>
      </w:r>
      <w:r>
        <w:t xml:space="preserve"> </w:t>
      </w:r>
      <w:r>
        <w:rPr>
          <w:b/>
        </w:rPr>
        <w:t>LAL</w:t>
      </w:r>
      <w:r w:rsidRPr="00AF1D10">
        <w:rPr>
          <w:b/>
        </w:rPr>
        <w:t xml:space="preserve"> (or delegate) </w:t>
      </w:r>
      <w:r>
        <w:rPr>
          <w:b/>
        </w:rPr>
        <w:t>in liaison with the CI (if UoB sponsored) or sponsor (if externally sponsored) will establish a process</w:t>
      </w:r>
      <w:r w:rsidRPr="00AF1D10">
        <w:rPr>
          <w:b/>
        </w:rPr>
        <w:t xml:space="preserve"> </w:t>
      </w:r>
      <w:r>
        <w:rPr>
          <w:b/>
        </w:rPr>
        <w:t>for</w:t>
      </w:r>
      <w:r w:rsidRPr="00AF1D10">
        <w:rPr>
          <w:b/>
        </w:rPr>
        <w:t xml:space="preserve"> laboratory staff to confirm that full and appropriate consent was obtained for any given sample</w:t>
      </w:r>
      <w:r>
        <w:rPr>
          <w:b/>
        </w:rPr>
        <w:t>.</w:t>
      </w:r>
    </w:p>
    <w:p w14:paraId="75416878" w14:textId="77777777" w:rsidR="00972CDF" w:rsidRPr="00062A89" w:rsidRDefault="00972CDF" w:rsidP="00972CDF">
      <w:pPr>
        <w:pStyle w:val="bullet2"/>
        <w:ind w:left="720" w:hanging="360"/>
        <w:rPr>
          <w:b/>
        </w:rPr>
      </w:pPr>
      <w:r w:rsidRPr="00062A89">
        <w:rPr>
          <w:b/>
        </w:rPr>
        <w:t>Where samples are moved under the ethical approval of another trial/study, consider filing a blank copy of</w:t>
      </w:r>
      <w:r>
        <w:rPr>
          <w:b/>
        </w:rPr>
        <w:t xml:space="preserve"> all relevant versions of</w:t>
      </w:r>
      <w:r w:rsidRPr="00062A89">
        <w:rPr>
          <w:b/>
        </w:rPr>
        <w:t xml:space="preserve"> the </w:t>
      </w:r>
      <w:r>
        <w:rPr>
          <w:b/>
        </w:rPr>
        <w:t xml:space="preserve">patient information sheet and </w:t>
      </w:r>
      <w:r w:rsidRPr="00062A89">
        <w:rPr>
          <w:b/>
        </w:rPr>
        <w:t xml:space="preserve">consent form under which the samples were originally collected in the </w:t>
      </w:r>
      <w:r>
        <w:rPr>
          <w:b/>
        </w:rPr>
        <w:t>l</w:t>
      </w:r>
      <w:r w:rsidRPr="00062A89">
        <w:rPr>
          <w:b/>
        </w:rPr>
        <w:t xml:space="preserve">aboratory </w:t>
      </w:r>
      <w:r>
        <w:rPr>
          <w:b/>
        </w:rPr>
        <w:t>m</w:t>
      </w:r>
      <w:r w:rsidRPr="00062A89">
        <w:rPr>
          <w:b/>
        </w:rPr>
        <w:t xml:space="preserve">aster </w:t>
      </w:r>
      <w:r>
        <w:rPr>
          <w:b/>
        </w:rPr>
        <w:t>f</w:t>
      </w:r>
      <w:r w:rsidRPr="00062A89">
        <w:rPr>
          <w:b/>
        </w:rPr>
        <w:t>ile along with details of the original REC number.</w:t>
      </w:r>
    </w:p>
    <w:p w14:paraId="6951B5EF" w14:textId="77777777" w:rsidR="00972CDF" w:rsidRPr="00E15697" w:rsidRDefault="00972CDF" w:rsidP="00972CDF">
      <w:pPr>
        <w:pStyle w:val="NumberlistforSOPs"/>
        <w:numPr>
          <w:ilvl w:val="0"/>
          <w:numId w:val="12"/>
        </w:numPr>
        <w:rPr>
          <w:b/>
        </w:rPr>
      </w:pPr>
      <w:r w:rsidRPr="00E15697">
        <w:rPr>
          <w:b/>
        </w:rPr>
        <w:t xml:space="preserve">The LAL (or delegate) will agree a communication plan for confirmation of consent with </w:t>
      </w:r>
      <w:r>
        <w:rPr>
          <w:b/>
        </w:rPr>
        <w:t xml:space="preserve">the </w:t>
      </w:r>
      <w:r w:rsidRPr="00E15697">
        <w:rPr>
          <w:b/>
        </w:rPr>
        <w:t>trial team at trial set up. This will include:</w:t>
      </w:r>
    </w:p>
    <w:p w14:paraId="7EBD72DA" w14:textId="77777777" w:rsidR="00972CDF" w:rsidRPr="00062A89" w:rsidRDefault="00972CDF" w:rsidP="00972CDF">
      <w:pPr>
        <w:pStyle w:val="bullet2"/>
        <w:ind w:left="720" w:right="340" w:hanging="360"/>
        <w:rPr>
          <w:b/>
        </w:rPr>
      </w:pPr>
      <w:r>
        <w:rPr>
          <w:b/>
        </w:rPr>
        <w:t>h</w:t>
      </w:r>
      <w:r w:rsidRPr="00062A89">
        <w:rPr>
          <w:b/>
        </w:rPr>
        <w:t>ow the laboratory will be informed of consent being obtained</w:t>
      </w:r>
    </w:p>
    <w:p w14:paraId="44EC1E04" w14:textId="77777777" w:rsidR="00972CDF" w:rsidRPr="00062A89" w:rsidRDefault="00972CDF" w:rsidP="00972CDF">
      <w:pPr>
        <w:pStyle w:val="bullet2"/>
        <w:ind w:left="720" w:right="340" w:hanging="360"/>
        <w:rPr>
          <w:b/>
        </w:rPr>
      </w:pPr>
      <w:r>
        <w:rPr>
          <w:b/>
        </w:rPr>
        <w:t>w</w:t>
      </w:r>
      <w:r w:rsidRPr="00062A89">
        <w:rPr>
          <w:b/>
        </w:rPr>
        <w:t xml:space="preserve">ho the laboratory should contact for any queries regarding </w:t>
      </w:r>
      <w:proofErr w:type="gramStart"/>
      <w:r w:rsidRPr="00062A89">
        <w:rPr>
          <w:b/>
        </w:rPr>
        <w:t>consent</w:t>
      </w:r>
      <w:proofErr w:type="gramEnd"/>
    </w:p>
    <w:p w14:paraId="31484D01" w14:textId="77777777" w:rsidR="00972CDF" w:rsidRPr="00062A89" w:rsidRDefault="00972CDF" w:rsidP="00972CDF">
      <w:pPr>
        <w:pStyle w:val="bullet2"/>
        <w:ind w:left="720" w:right="340" w:hanging="360"/>
        <w:rPr>
          <w:b/>
        </w:rPr>
      </w:pPr>
      <w:r>
        <w:rPr>
          <w:b/>
        </w:rPr>
        <w:t>t</w:t>
      </w:r>
      <w:r w:rsidRPr="00062A89">
        <w:rPr>
          <w:b/>
        </w:rPr>
        <w:t xml:space="preserve">he need to file the communication plan in the </w:t>
      </w:r>
      <w:r>
        <w:rPr>
          <w:b/>
        </w:rPr>
        <w:t>‘</w:t>
      </w:r>
      <w:r w:rsidRPr="00062A89">
        <w:rPr>
          <w:b/>
        </w:rPr>
        <w:t xml:space="preserve">Consent’ section of the Laboratory Master File (LMF) (see </w:t>
      </w:r>
      <w:bookmarkStart w:id="4" w:name="_Hlk93683863"/>
      <w:r w:rsidRPr="00062A89">
        <w:rPr>
          <w:rStyle w:val="ReferencestootherSOPsQCDsChar"/>
          <w:b/>
        </w:rPr>
        <w:t>UoB-CRL-QCD-001 Setting Up a Laboratory Master File</w:t>
      </w:r>
      <w:bookmarkEnd w:id="4"/>
      <w:r w:rsidRPr="00062A89">
        <w:rPr>
          <w:b/>
        </w:rPr>
        <w:t>).</w:t>
      </w:r>
    </w:p>
    <w:p w14:paraId="3DBEF921" w14:textId="77777777" w:rsidR="00972CDF" w:rsidRDefault="00972CDF" w:rsidP="00972CDF">
      <w:pPr>
        <w:pStyle w:val="NumberlistforSOPs"/>
        <w:numPr>
          <w:ilvl w:val="0"/>
          <w:numId w:val="12"/>
        </w:numPr>
        <w:rPr>
          <w:b/>
        </w:rPr>
      </w:pPr>
      <w:r>
        <w:rPr>
          <w:b/>
        </w:rPr>
        <w:t>The LAL (or delegate) will s</w:t>
      </w:r>
      <w:r w:rsidRPr="005E0164">
        <w:rPr>
          <w:b/>
        </w:rPr>
        <w:t>et up a process to capture confirmation of consent in the laboratory</w:t>
      </w:r>
      <w:r>
        <w:rPr>
          <w:b/>
        </w:rPr>
        <w:t>.</w:t>
      </w:r>
    </w:p>
    <w:p w14:paraId="626831B1" w14:textId="77777777" w:rsidR="00972CDF" w:rsidRPr="00062A89" w:rsidRDefault="00972CDF" w:rsidP="00972CDF">
      <w:pPr>
        <w:pStyle w:val="bullet2"/>
        <w:ind w:left="720" w:hanging="360"/>
        <w:rPr>
          <w:b/>
        </w:rPr>
      </w:pPr>
      <w:r w:rsidRPr="00062A89">
        <w:rPr>
          <w:b/>
        </w:rPr>
        <w:t xml:space="preserve">This will include how laboratory staff will document their review, </w:t>
      </w:r>
      <w:proofErr w:type="gramStart"/>
      <w:r w:rsidRPr="00062A89">
        <w:rPr>
          <w:b/>
        </w:rPr>
        <w:t>e.g.</w:t>
      </w:r>
      <w:proofErr w:type="gramEnd"/>
      <w:r w:rsidRPr="00062A89">
        <w:rPr>
          <w:b/>
        </w:rPr>
        <w:t xml:space="preserve"> on a worksheet</w:t>
      </w:r>
      <w:r>
        <w:rPr>
          <w:b/>
        </w:rPr>
        <w:t>.</w:t>
      </w:r>
    </w:p>
    <w:p w14:paraId="524730CF" w14:textId="77777777" w:rsidR="00972CDF" w:rsidRPr="005E0164" w:rsidRDefault="00972CDF" w:rsidP="00972CDF">
      <w:pPr>
        <w:pStyle w:val="NumberlistforSOPs"/>
        <w:numPr>
          <w:ilvl w:val="0"/>
          <w:numId w:val="12"/>
        </w:numPr>
        <w:rPr>
          <w:b/>
        </w:rPr>
      </w:pPr>
      <w:r w:rsidRPr="00E15697">
        <w:rPr>
          <w:b/>
        </w:rPr>
        <w:t xml:space="preserve">The LAL </w:t>
      </w:r>
      <w:r>
        <w:rPr>
          <w:b/>
        </w:rPr>
        <w:t>(</w:t>
      </w:r>
      <w:r w:rsidRPr="00E15697">
        <w:rPr>
          <w:b/>
        </w:rPr>
        <w:t>or delegate</w:t>
      </w:r>
      <w:r>
        <w:rPr>
          <w:b/>
        </w:rPr>
        <w:t>)</w:t>
      </w:r>
      <w:r w:rsidRPr="00E15697">
        <w:rPr>
          <w:b/>
        </w:rPr>
        <w:t xml:space="preserve"> will ensure that contact details are completed in the Key Contacts form (see </w:t>
      </w:r>
      <w:bookmarkStart w:id="5" w:name="_Hlk93683877"/>
      <w:r w:rsidRPr="00E15697">
        <w:rPr>
          <w:rStyle w:val="ReferencestootherSOPsQCDsChar"/>
          <w:b/>
        </w:rPr>
        <w:t>UoB-CRL-QCD-005 Key Contacts</w:t>
      </w:r>
      <w:bookmarkEnd w:id="5"/>
      <w:r w:rsidRPr="00E15697">
        <w:rPr>
          <w:b/>
        </w:rPr>
        <w:t xml:space="preserve">) to allow </w:t>
      </w:r>
      <w:r>
        <w:rPr>
          <w:b/>
        </w:rPr>
        <w:t>the LAL (or delegate)</w:t>
      </w:r>
      <w:r w:rsidRPr="00E15697">
        <w:rPr>
          <w:b/>
        </w:rPr>
        <w:t xml:space="preserve"> to address any issues of consent with the originating site in a timely manner. </w:t>
      </w:r>
    </w:p>
    <w:p w14:paraId="1028696B" w14:textId="77777777" w:rsidR="00972CDF" w:rsidRPr="00347B17" w:rsidRDefault="00972CDF" w:rsidP="00972CDF">
      <w:pPr>
        <w:pStyle w:val="NumberlistforSOPs"/>
        <w:numPr>
          <w:ilvl w:val="0"/>
          <w:numId w:val="12"/>
        </w:numPr>
        <w:rPr>
          <w:b/>
        </w:rPr>
      </w:pPr>
      <w:r w:rsidRPr="00347B17">
        <w:rPr>
          <w:b/>
        </w:rPr>
        <w:t xml:space="preserve">The LAL (or delegate) will develop a documented procedure for participant withdrawal from the trial, where the participant wishes for their samples and/or data to be removed (see </w:t>
      </w:r>
      <w:bookmarkStart w:id="6" w:name="_Hlk93683888"/>
      <w:r w:rsidRPr="00347B17">
        <w:rPr>
          <w:rStyle w:val="ReferencestootherSOPsQCDsChar"/>
          <w:b/>
        </w:rPr>
        <w:t>UoB-CRL-QCD-01</w:t>
      </w:r>
      <w:r>
        <w:rPr>
          <w:rStyle w:val="ReferencestootherSOPsQCDsChar"/>
          <w:b/>
        </w:rPr>
        <w:t>6</w:t>
      </w:r>
      <w:r w:rsidRPr="00347B17">
        <w:rPr>
          <w:rStyle w:val="ReferencestootherSOPsQCDsChar"/>
          <w:b/>
        </w:rPr>
        <w:t xml:space="preserve"> Managing Withdrawal of Consent in the Laboratory</w:t>
      </w:r>
      <w:bookmarkEnd w:id="6"/>
      <w:r w:rsidRPr="00347B17">
        <w:rPr>
          <w:b/>
        </w:rPr>
        <w:t>)</w:t>
      </w:r>
      <w:r>
        <w:rPr>
          <w:b/>
        </w:rPr>
        <w:t>. The</w:t>
      </w:r>
      <w:r w:rsidRPr="00347B17">
        <w:rPr>
          <w:b/>
        </w:rPr>
        <w:t xml:space="preserve"> procedure will include</w:t>
      </w:r>
      <w:r>
        <w:rPr>
          <w:b/>
        </w:rPr>
        <w:t xml:space="preserve"> the points listed below.</w:t>
      </w:r>
    </w:p>
    <w:p w14:paraId="7960D6C7" w14:textId="77777777" w:rsidR="00972CDF" w:rsidRPr="00062A89" w:rsidRDefault="00972CDF" w:rsidP="00972CDF">
      <w:pPr>
        <w:pStyle w:val="bullet2"/>
        <w:ind w:left="720" w:hanging="360"/>
        <w:rPr>
          <w:b/>
        </w:rPr>
      </w:pPr>
      <w:r w:rsidRPr="00062A89">
        <w:rPr>
          <w:b/>
        </w:rPr>
        <w:t>A clear description of lines of communication between the laboratory, the sites responsible for enrolling participants and the CI (if UoB sponsored) or Sponsor (if externally sponsored)</w:t>
      </w:r>
      <w:r>
        <w:rPr>
          <w:b/>
        </w:rPr>
        <w:t>.</w:t>
      </w:r>
    </w:p>
    <w:p w14:paraId="131C973E" w14:textId="77777777" w:rsidR="00972CDF" w:rsidRPr="00062A89" w:rsidRDefault="00972CDF" w:rsidP="00972CDF">
      <w:pPr>
        <w:pStyle w:val="bullet2"/>
        <w:ind w:left="720" w:hanging="360"/>
        <w:rPr>
          <w:b/>
        </w:rPr>
      </w:pPr>
      <w:r w:rsidRPr="00062A89">
        <w:rPr>
          <w:b/>
        </w:rPr>
        <w:t>The laboratory specific processes to be followed when a participant withdraws their consent, including:</w:t>
      </w:r>
    </w:p>
    <w:p w14:paraId="4AE2DE3E" w14:textId="77777777" w:rsidR="00972CDF" w:rsidRPr="003A4E50" w:rsidRDefault="00972CDF" w:rsidP="00972CDF">
      <w:pPr>
        <w:pStyle w:val="bullet3"/>
        <w:rPr>
          <w:b/>
        </w:rPr>
      </w:pPr>
      <w:r>
        <w:rPr>
          <w:b/>
        </w:rPr>
        <w:t>h</w:t>
      </w:r>
      <w:r w:rsidRPr="005578C4">
        <w:rPr>
          <w:b/>
        </w:rPr>
        <w:t xml:space="preserve">ow the laboratory will be informed of consent being </w:t>
      </w:r>
      <w:r>
        <w:rPr>
          <w:b/>
        </w:rPr>
        <w:t>withdrawn</w:t>
      </w:r>
    </w:p>
    <w:p w14:paraId="7C74DD9E" w14:textId="77777777" w:rsidR="00972CDF" w:rsidRPr="00062A89" w:rsidRDefault="00972CDF" w:rsidP="00972CDF">
      <w:pPr>
        <w:pStyle w:val="bullet3"/>
        <w:ind w:left="1021" w:hanging="341"/>
        <w:rPr>
          <w:b/>
        </w:rPr>
      </w:pPr>
      <w:r>
        <w:rPr>
          <w:b/>
        </w:rPr>
        <w:t>h</w:t>
      </w:r>
      <w:r w:rsidRPr="00062A89">
        <w:rPr>
          <w:b/>
        </w:rPr>
        <w:t>ow samples should be destroyed, for example via a clinical waste route</w:t>
      </w:r>
    </w:p>
    <w:p w14:paraId="2A66E239" w14:textId="77777777" w:rsidR="00972CDF" w:rsidRPr="00062A89" w:rsidRDefault="00972CDF" w:rsidP="00972CDF">
      <w:pPr>
        <w:pStyle w:val="bullet3"/>
        <w:ind w:left="1021" w:hanging="341"/>
        <w:rPr>
          <w:b/>
        </w:rPr>
      </w:pPr>
      <w:r>
        <w:rPr>
          <w:b/>
        </w:rPr>
        <w:t>w</w:t>
      </w:r>
      <w:r w:rsidRPr="00062A89">
        <w:rPr>
          <w:b/>
        </w:rPr>
        <w:t>here analytical data will be stored and who has access</w:t>
      </w:r>
      <w:r>
        <w:rPr>
          <w:b/>
        </w:rPr>
        <w:t>.</w:t>
      </w:r>
    </w:p>
    <w:p w14:paraId="480166DE" w14:textId="77777777" w:rsidR="00972CDF" w:rsidRPr="00062A89" w:rsidRDefault="00972CDF" w:rsidP="00972CDF">
      <w:pPr>
        <w:pStyle w:val="bullet2"/>
        <w:ind w:left="720" w:hanging="360"/>
        <w:rPr>
          <w:b/>
        </w:rPr>
      </w:pPr>
      <w:r w:rsidRPr="00062A89">
        <w:rPr>
          <w:b/>
        </w:rPr>
        <w:t xml:space="preserve">A clear description </w:t>
      </w:r>
      <w:r>
        <w:rPr>
          <w:b/>
        </w:rPr>
        <w:t xml:space="preserve">of </w:t>
      </w:r>
      <w:r w:rsidRPr="00062A89">
        <w:rPr>
          <w:b/>
        </w:rPr>
        <w:t xml:space="preserve">how the removal (and destruction) of samples and/or data will be documented and whether confirmation of removal (and destruction) must be sent to site </w:t>
      </w:r>
      <w:r>
        <w:rPr>
          <w:b/>
        </w:rPr>
        <w:t>and/</w:t>
      </w:r>
      <w:r w:rsidRPr="00062A89">
        <w:rPr>
          <w:b/>
        </w:rPr>
        <w:t>or coordinating centre</w:t>
      </w:r>
      <w:r>
        <w:rPr>
          <w:b/>
        </w:rPr>
        <w:t>.</w:t>
      </w:r>
    </w:p>
    <w:p w14:paraId="78D43B65" w14:textId="77777777" w:rsidR="00972CDF" w:rsidRPr="00062A89" w:rsidRDefault="00972CDF" w:rsidP="00972CDF">
      <w:pPr>
        <w:pStyle w:val="bullet2"/>
        <w:ind w:left="720" w:hanging="360"/>
        <w:rPr>
          <w:b/>
        </w:rPr>
      </w:pPr>
      <w:r w:rsidRPr="00062A89">
        <w:rPr>
          <w:b/>
        </w:rPr>
        <w:t xml:space="preserve">The need to store the </w:t>
      </w:r>
      <w:r w:rsidRPr="00347B17">
        <w:rPr>
          <w:b/>
        </w:rPr>
        <w:t xml:space="preserve">procedure for participant withdrawal </w:t>
      </w:r>
      <w:r w:rsidRPr="00062A89">
        <w:rPr>
          <w:b/>
        </w:rPr>
        <w:t xml:space="preserve">in the ‘Consent’ section of the </w:t>
      </w:r>
      <w:r>
        <w:rPr>
          <w:b/>
        </w:rPr>
        <w:t>l</w:t>
      </w:r>
      <w:r w:rsidRPr="00062A89">
        <w:rPr>
          <w:b/>
        </w:rPr>
        <w:t xml:space="preserve">aboratory </w:t>
      </w:r>
      <w:r>
        <w:rPr>
          <w:b/>
        </w:rPr>
        <w:t>m</w:t>
      </w:r>
      <w:r w:rsidRPr="00062A89">
        <w:rPr>
          <w:b/>
        </w:rPr>
        <w:t xml:space="preserve">aster </w:t>
      </w:r>
      <w:r>
        <w:rPr>
          <w:b/>
        </w:rPr>
        <w:t>f</w:t>
      </w:r>
      <w:r w:rsidRPr="00062A89">
        <w:rPr>
          <w:b/>
        </w:rPr>
        <w:t xml:space="preserve">ile (LMF) (see </w:t>
      </w:r>
      <w:bookmarkStart w:id="7" w:name="_Hlk93683903"/>
      <w:r w:rsidRPr="00062A89">
        <w:rPr>
          <w:rStyle w:val="ReferencestootherSOPsQCDsChar"/>
          <w:b/>
        </w:rPr>
        <w:t>UoB-CRL-QCD-001 Setting up a Laboratory Master File</w:t>
      </w:r>
      <w:bookmarkEnd w:id="7"/>
      <w:r w:rsidRPr="00062A89">
        <w:rPr>
          <w:b/>
        </w:rPr>
        <w:t>).</w:t>
      </w:r>
    </w:p>
    <w:p w14:paraId="00F78F5A" w14:textId="77777777" w:rsidR="00972CDF" w:rsidRDefault="00972CDF" w:rsidP="00972CDF">
      <w:pPr>
        <w:pStyle w:val="Heading2"/>
      </w:pPr>
      <w:r>
        <w:lastRenderedPageBreak/>
        <w:t>Sample receipt into the laboratory</w:t>
      </w:r>
    </w:p>
    <w:p w14:paraId="34431456" w14:textId="77777777" w:rsidR="00972CDF" w:rsidRPr="00A2709A" w:rsidRDefault="00972CDF" w:rsidP="00972CDF">
      <w:pPr>
        <w:pStyle w:val="NumberlistforSOPs"/>
        <w:numPr>
          <w:ilvl w:val="0"/>
          <w:numId w:val="12"/>
        </w:numPr>
        <w:rPr>
          <w:b/>
        </w:rPr>
      </w:pPr>
      <w:r w:rsidRPr="00AF1D10">
        <w:rPr>
          <w:b/>
        </w:rPr>
        <w:t xml:space="preserve">The </w:t>
      </w:r>
      <w:r>
        <w:rPr>
          <w:b/>
        </w:rPr>
        <w:t>LAL</w:t>
      </w:r>
      <w:r w:rsidRPr="00AF1D10">
        <w:rPr>
          <w:b/>
        </w:rPr>
        <w:t xml:space="preserve"> (or delegate) will </w:t>
      </w:r>
      <w:r>
        <w:rPr>
          <w:b/>
        </w:rPr>
        <w:t xml:space="preserve">set up processes for </w:t>
      </w:r>
      <w:r w:rsidRPr="00AF1D10">
        <w:rPr>
          <w:b/>
        </w:rPr>
        <w:t xml:space="preserve">samples </w:t>
      </w:r>
      <w:r>
        <w:rPr>
          <w:b/>
        </w:rPr>
        <w:t>to be</w:t>
      </w:r>
      <w:r w:rsidRPr="00AF1D10">
        <w:rPr>
          <w:b/>
        </w:rPr>
        <w:t xml:space="preserve"> transported to the laboratory in such a way as to preserve their integrity and viability</w:t>
      </w:r>
      <w:r>
        <w:rPr>
          <w:b/>
        </w:rPr>
        <w:t xml:space="preserve"> </w:t>
      </w:r>
      <w:r w:rsidRPr="00AF1D10">
        <w:rPr>
          <w:b/>
        </w:rPr>
        <w:t xml:space="preserve">(see </w:t>
      </w:r>
      <w:bookmarkStart w:id="8" w:name="_Hlk93683913"/>
      <w:r w:rsidRPr="00AF1D10">
        <w:rPr>
          <w:rStyle w:val="ReferencestootherSOPsQCDsChar"/>
          <w:b/>
        </w:rPr>
        <w:t>UoB-CRL-QCD-01</w:t>
      </w:r>
      <w:r>
        <w:rPr>
          <w:rStyle w:val="ReferencestootherSOPsQCDsChar"/>
          <w:b/>
        </w:rPr>
        <w:t>7</w:t>
      </w:r>
      <w:r w:rsidRPr="00AF1D10">
        <w:rPr>
          <w:rStyle w:val="ReferencestootherSOPsQCDsChar"/>
          <w:b/>
        </w:rPr>
        <w:t xml:space="preserve"> Sample </w:t>
      </w:r>
      <w:r>
        <w:rPr>
          <w:rStyle w:val="ReferencestootherSOPsQCDsChar"/>
          <w:b/>
        </w:rPr>
        <w:t>T</w:t>
      </w:r>
      <w:r w:rsidRPr="00AF1D10">
        <w:rPr>
          <w:rStyle w:val="ReferencestootherSOPsQCDsChar"/>
          <w:b/>
        </w:rPr>
        <w:t>ransport</w:t>
      </w:r>
      <w:bookmarkEnd w:id="8"/>
      <w:r w:rsidRPr="00AF1D10">
        <w:rPr>
          <w:b/>
        </w:rPr>
        <w:t>)</w:t>
      </w:r>
      <w:r w:rsidRPr="003F542D">
        <w:rPr>
          <w:b/>
        </w:rPr>
        <w:t xml:space="preserve"> which will include, but will not be limited to:</w:t>
      </w:r>
    </w:p>
    <w:p w14:paraId="0C6FFA44" w14:textId="77777777" w:rsidR="00972CDF" w:rsidRPr="00062A89" w:rsidRDefault="00972CDF" w:rsidP="00972CDF">
      <w:pPr>
        <w:pStyle w:val="bullet2"/>
        <w:ind w:left="720" w:hanging="360"/>
        <w:rPr>
          <w:b/>
        </w:rPr>
      </w:pPr>
      <w:r>
        <w:rPr>
          <w:b/>
        </w:rPr>
        <w:t>s</w:t>
      </w:r>
      <w:r w:rsidRPr="00062A89">
        <w:rPr>
          <w:b/>
        </w:rPr>
        <w:t>ample information, including type of sample and quantity</w:t>
      </w:r>
    </w:p>
    <w:p w14:paraId="3EE0CB92" w14:textId="77777777" w:rsidR="00972CDF" w:rsidRPr="00062A89" w:rsidRDefault="00972CDF" w:rsidP="00972CDF">
      <w:pPr>
        <w:pStyle w:val="bullet2"/>
        <w:ind w:left="720" w:hanging="360"/>
        <w:rPr>
          <w:b/>
        </w:rPr>
      </w:pPr>
      <w:r>
        <w:rPr>
          <w:b/>
        </w:rPr>
        <w:t>t</w:t>
      </w:r>
      <w:r w:rsidRPr="00062A89">
        <w:rPr>
          <w:b/>
        </w:rPr>
        <w:t xml:space="preserve">ransport information, including type of transport, time in transit, </w:t>
      </w:r>
      <w:proofErr w:type="gramStart"/>
      <w:r w:rsidRPr="00062A89">
        <w:rPr>
          <w:b/>
        </w:rPr>
        <w:t>dispatch</w:t>
      </w:r>
      <w:proofErr w:type="gramEnd"/>
      <w:r w:rsidRPr="00062A89">
        <w:rPr>
          <w:b/>
        </w:rPr>
        <w:t xml:space="preserve"> and destination addresses</w:t>
      </w:r>
    </w:p>
    <w:p w14:paraId="50EE7F76" w14:textId="77777777" w:rsidR="00972CDF" w:rsidRPr="00062A89" w:rsidRDefault="00972CDF" w:rsidP="00972CDF">
      <w:pPr>
        <w:pStyle w:val="bullet2"/>
        <w:ind w:left="720" w:hanging="360"/>
        <w:rPr>
          <w:b/>
        </w:rPr>
      </w:pPr>
      <w:r>
        <w:rPr>
          <w:b/>
        </w:rPr>
        <w:t>m</w:t>
      </w:r>
      <w:r w:rsidRPr="00062A89">
        <w:rPr>
          <w:b/>
        </w:rPr>
        <w:t>easures to ensure sample integrity, including temperature monitoring and packaging requirements.</w:t>
      </w:r>
    </w:p>
    <w:p w14:paraId="689CA4BC" w14:textId="77777777" w:rsidR="00972CDF" w:rsidRPr="008E325C" w:rsidRDefault="00972CDF" w:rsidP="00972CDF">
      <w:pPr>
        <w:pStyle w:val="bullet2"/>
        <w:rPr>
          <w:b/>
        </w:rPr>
      </w:pPr>
      <w:r>
        <w:rPr>
          <w:b/>
        </w:rPr>
        <w:t>t</w:t>
      </w:r>
      <w:r w:rsidRPr="008E325C">
        <w:rPr>
          <w:b/>
        </w:rPr>
        <w:t xml:space="preserve">he transport of samples will meet all biological safety requirements, see the </w:t>
      </w:r>
      <w:hyperlink r:id="rId14" w:history="1">
        <w:r w:rsidRPr="00DF03FE">
          <w:rPr>
            <w:rStyle w:val="Hyperlink"/>
            <w:b/>
            <w:color w:val="auto"/>
            <w:u w:val="none"/>
          </w:rPr>
          <w:t>University of Birmingham Biological Safety webpage</w:t>
        </w:r>
      </w:hyperlink>
      <w:r w:rsidRPr="008E325C">
        <w:rPr>
          <w:b/>
        </w:rPr>
        <w:t xml:space="preserve"> or contact your local shipping advisor.</w:t>
      </w:r>
    </w:p>
    <w:p w14:paraId="5C68BC74" w14:textId="77777777" w:rsidR="00972CDF" w:rsidRPr="00AF1D10" w:rsidRDefault="00972CDF" w:rsidP="00972CDF">
      <w:pPr>
        <w:pStyle w:val="NumberlistforSOPs"/>
        <w:numPr>
          <w:ilvl w:val="0"/>
          <w:numId w:val="12"/>
        </w:numPr>
        <w:rPr>
          <w:b/>
        </w:rPr>
      </w:pPr>
      <w:r w:rsidRPr="003F542D">
        <w:rPr>
          <w:b/>
        </w:rPr>
        <w:t xml:space="preserve">The LAL (or delegate) will ensure that a </w:t>
      </w:r>
      <w:r>
        <w:rPr>
          <w:b/>
        </w:rPr>
        <w:t>m</w:t>
      </w:r>
      <w:r w:rsidRPr="003F542D">
        <w:rPr>
          <w:b/>
        </w:rPr>
        <w:t xml:space="preserve">aterial </w:t>
      </w:r>
      <w:r>
        <w:rPr>
          <w:b/>
        </w:rPr>
        <w:t>t</w:t>
      </w:r>
      <w:r w:rsidRPr="003F542D">
        <w:rPr>
          <w:b/>
        </w:rPr>
        <w:t xml:space="preserve">ransfer </w:t>
      </w:r>
      <w:r>
        <w:rPr>
          <w:b/>
        </w:rPr>
        <w:t>a</w:t>
      </w:r>
      <w:r w:rsidRPr="003F542D">
        <w:rPr>
          <w:b/>
        </w:rPr>
        <w:t xml:space="preserve">greement (MTA) is in place </w:t>
      </w:r>
      <w:r>
        <w:rPr>
          <w:b/>
        </w:rPr>
        <w:t xml:space="preserve">for </w:t>
      </w:r>
      <w:r w:rsidRPr="003F542D">
        <w:rPr>
          <w:b/>
        </w:rPr>
        <w:t xml:space="preserve">incoming samples. The LAL (or delegate) will </w:t>
      </w:r>
      <w:r>
        <w:rPr>
          <w:b/>
        </w:rPr>
        <w:t xml:space="preserve">work with the </w:t>
      </w:r>
      <w:hyperlink r:id="rId15" w:tooltip="Link to UoB Contracts Team" w:history="1">
        <w:r w:rsidRPr="008252A7">
          <w:rPr>
            <w:rStyle w:val="Hyperlink"/>
            <w:b/>
          </w:rPr>
          <w:t>UoB Contracts Team</w:t>
        </w:r>
      </w:hyperlink>
      <w:r>
        <w:rPr>
          <w:b/>
        </w:rPr>
        <w:t xml:space="preserve"> to </w:t>
      </w:r>
      <w:r w:rsidRPr="003F542D">
        <w:rPr>
          <w:b/>
        </w:rPr>
        <w:t>set up an MTA for outgoing samples</w:t>
      </w:r>
      <w:r>
        <w:rPr>
          <w:b/>
        </w:rPr>
        <w:t>.</w:t>
      </w:r>
    </w:p>
    <w:p w14:paraId="39128728" w14:textId="77777777" w:rsidR="00972CDF" w:rsidRPr="00AF1D10" w:rsidRDefault="00972CDF" w:rsidP="00972CDF">
      <w:pPr>
        <w:pStyle w:val="NumberlistforSOPs"/>
        <w:numPr>
          <w:ilvl w:val="0"/>
          <w:numId w:val="12"/>
        </w:numPr>
        <w:rPr>
          <w:b/>
        </w:rPr>
      </w:pPr>
      <w:r w:rsidRPr="00AF1D10">
        <w:rPr>
          <w:b/>
        </w:rPr>
        <w:t xml:space="preserve">The </w:t>
      </w:r>
      <w:r>
        <w:rPr>
          <w:b/>
        </w:rPr>
        <w:t>LAL</w:t>
      </w:r>
      <w:r w:rsidRPr="00AF1D10">
        <w:rPr>
          <w:b/>
        </w:rPr>
        <w:t xml:space="preserve"> (or delegate) will develop a </w:t>
      </w:r>
      <w:r>
        <w:rPr>
          <w:b/>
        </w:rPr>
        <w:t xml:space="preserve">sample receipt form to be used when receiving samples into the laboratory </w:t>
      </w:r>
      <w:r w:rsidRPr="00074703">
        <w:rPr>
          <w:b/>
        </w:rPr>
        <w:t>(see</w:t>
      </w:r>
      <w:r>
        <w:rPr>
          <w:rStyle w:val="ReferencestootherSOPsQCDsChar"/>
          <w:b/>
        </w:rPr>
        <w:t xml:space="preserve"> </w:t>
      </w:r>
      <w:bookmarkStart w:id="9" w:name="_Hlk93683935"/>
      <w:r>
        <w:rPr>
          <w:rStyle w:val="ReferencestootherSOPsQCDsChar"/>
          <w:b/>
        </w:rPr>
        <w:t>UoB-CRL-QCD-</w:t>
      </w:r>
      <w:r w:rsidRPr="00A75075">
        <w:rPr>
          <w:b/>
          <w:i/>
          <w:iCs/>
          <w:color w:val="943634"/>
        </w:rPr>
        <w:t>018 Sample Receipt, Labelling, Tracking and Storage</w:t>
      </w:r>
      <w:bookmarkEnd w:id="9"/>
      <w:r w:rsidRPr="00AF1D10">
        <w:rPr>
          <w:b/>
        </w:rPr>
        <w:t xml:space="preserve">). The aspects </w:t>
      </w:r>
      <w:r>
        <w:rPr>
          <w:b/>
        </w:rPr>
        <w:t xml:space="preserve">listed below </w:t>
      </w:r>
      <w:r w:rsidRPr="00AF1D10">
        <w:rPr>
          <w:b/>
        </w:rPr>
        <w:t>will be included</w:t>
      </w:r>
      <w:r>
        <w:rPr>
          <w:b/>
        </w:rPr>
        <w:t>.</w:t>
      </w:r>
    </w:p>
    <w:p w14:paraId="16D7DB48" w14:textId="77777777" w:rsidR="00972CDF" w:rsidRPr="00062A89" w:rsidRDefault="00972CDF" w:rsidP="00972CDF">
      <w:pPr>
        <w:pStyle w:val="bullet2"/>
        <w:ind w:left="720" w:hanging="360"/>
        <w:rPr>
          <w:b/>
        </w:rPr>
      </w:pPr>
      <w:r w:rsidRPr="00062A89">
        <w:rPr>
          <w:b/>
        </w:rPr>
        <w:t>The need to record details of the samples, including type, identification and originating site</w:t>
      </w:r>
      <w:r>
        <w:rPr>
          <w:b/>
        </w:rPr>
        <w:t>.</w:t>
      </w:r>
    </w:p>
    <w:p w14:paraId="72041326" w14:textId="77777777" w:rsidR="00972CDF" w:rsidRPr="00062A89" w:rsidRDefault="00972CDF" w:rsidP="00972CDF">
      <w:pPr>
        <w:pStyle w:val="bullet2"/>
        <w:ind w:left="720" w:hanging="360"/>
        <w:rPr>
          <w:b/>
        </w:rPr>
      </w:pPr>
      <w:r w:rsidRPr="00062A89">
        <w:rPr>
          <w:b/>
        </w:rPr>
        <w:t>Checking the physical integrity of the sample</w:t>
      </w:r>
      <w:r>
        <w:rPr>
          <w:b/>
        </w:rPr>
        <w:t>.</w:t>
      </w:r>
    </w:p>
    <w:p w14:paraId="215F8946" w14:textId="77777777" w:rsidR="00972CDF" w:rsidRPr="00062A89" w:rsidRDefault="00972CDF" w:rsidP="00972CDF">
      <w:pPr>
        <w:pStyle w:val="bullet2"/>
        <w:ind w:left="720" w:hanging="360"/>
        <w:rPr>
          <w:b/>
        </w:rPr>
      </w:pPr>
      <w:r w:rsidRPr="00062A89">
        <w:rPr>
          <w:b/>
        </w:rPr>
        <w:t>Where samples require temperature</w:t>
      </w:r>
      <w:r>
        <w:rPr>
          <w:b/>
        </w:rPr>
        <w:t>-</w:t>
      </w:r>
      <w:r w:rsidRPr="00062A89">
        <w:rPr>
          <w:b/>
        </w:rPr>
        <w:t>controlled transport, checking that these conditions were maintained</w:t>
      </w:r>
      <w:r>
        <w:rPr>
          <w:b/>
        </w:rPr>
        <w:t>.</w:t>
      </w:r>
    </w:p>
    <w:p w14:paraId="69220EA1" w14:textId="77777777" w:rsidR="00972CDF" w:rsidRPr="00062A89" w:rsidRDefault="00972CDF" w:rsidP="00972CDF">
      <w:pPr>
        <w:pStyle w:val="bullet2"/>
        <w:ind w:left="720" w:hanging="360"/>
        <w:rPr>
          <w:b/>
        </w:rPr>
      </w:pPr>
      <w:r w:rsidRPr="00062A89">
        <w:rPr>
          <w:b/>
        </w:rPr>
        <w:t>Ensuring that all samples are accounted for</w:t>
      </w:r>
      <w:r>
        <w:rPr>
          <w:b/>
        </w:rPr>
        <w:t>.</w:t>
      </w:r>
    </w:p>
    <w:p w14:paraId="5A982C46" w14:textId="77777777" w:rsidR="00972CDF" w:rsidRPr="00062A89" w:rsidRDefault="00972CDF" w:rsidP="00972CDF">
      <w:pPr>
        <w:pStyle w:val="bullet2"/>
        <w:ind w:left="720" w:hanging="360"/>
        <w:rPr>
          <w:b/>
        </w:rPr>
      </w:pPr>
      <w:r w:rsidRPr="00062A89">
        <w:rPr>
          <w:b/>
        </w:rPr>
        <w:t xml:space="preserve">Confirming that no patient identifiers are present on the sample (unless this </w:t>
      </w:r>
      <w:proofErr w:type="gramStart"/>
      <w:r w:rsidRPr="00062A89">
        <w:rPr>
          <w:b/>
        </w:rPr>
        <w:t>is in compliance with</w:t>
      </w:r>
      <w:proofErr w:type="gramEnd"/>
      <w:r w:rsidRPr="00062A89">
        <w:rPr>
          <w:b/>
        </w:rPr>
        <w:t xml:space="preserve"> the protocol and explicit consent has been obtained for this)</w:t>
      </w:r>
      <w:r>
        <w:rPr>
          <w:b/>
        </w:rPr>
        <w:t>.</w:t>
      </w:r>
    </w:p>
    <w:p w14:paraId="1AE767F4" w14:textId="77777777" w:rsidR="00972CDF" w:rsidRPr="00062A89" w:rsidRDefault="00972CDF" w:rsidP="00972CDF">
      <w:pPr>
        <w:pStyle w:val="bullet2"/>
        <w:ind w:left="720" w:hanging="360"/>
        <w:rPr>
          <w:b/>
        </w:rPr>
      </w:pPr>
      <w:r w:rsidRPr="00062A89">
        <w:rPr>
          <w:b/>
        </w:rPr>
        <w:t xml:space="preserve">Confirmation that samples have been accepted into the laboratory or whether the process for damaged, </w:t>
      </w:r>
      <w:proofErr w:type="gramStart"/>
      <w:r w:rsidRPr="00062A89">
        <w:rPr>
          <w:b/>
        </w:rPr>
        <w:t>unexpected</w:t>
      </w:r>
      <w:proofErr w:type="gramEnd"/>
      <w:r w:rsidRPr="00062A89">
        <w:rPr>
          <w:b/>
        </w:rPr>
        <w:t xml:space="preserve"> or mislabelled samples was followed (see </w:t>
      </w:r>
      <w:bookmarkStart w:id="10" w:name="_Hlk93683955"/>
      <w:r w:rsidRPr="00062A89">
        <w:rPr>
          <w:rStyle w:val="ReferencestootherSOPsQCDsChar"/>
          <w:b/>
        </w:rPr>
        <w:t>UoB-CRL-QCD-019 Processing of Damaged, Unexpected or Mislabelled Samples</w:t>
      </w:r>
      <w:bookmarkEnd w:id="10"/>
      <w:r w:rsidRPr="00062A89">
        <w:rPr>
          <w:b/>
        </w:rPr>
        <w:t>)</w:t>
      </w:r>
      <w:r>
        <w:rPr>
          <w:b/>
        </w:rPr>
        <w:t>.</w:t>
      </w:r>
      <w:r w:rsidRPr="00062A89">
        <w:rPr>
          <w:b/>
        </w:rPr>
        <w:t xml:space="preserve"> </w:t>
      </w:r>
    </w:p>
    <w:p w14:paraId="3A8BAC0C" w14:textId="77777777" w:rsidR="00972CDF" w:rsidRPr="00062A89" w:rsidRDefault="00972CDF" w:rsidP="00972CDF">
      <w:pPr>
        <w:pStyle w:val="bullet2"/>
        <w:ind w:left="720" w:hanging="360"/>
        <w:rPr>
          <w:b/>
        </w:rPr>
      </w:pPr>
      <w:r w:rsidRPr="00062A89">
        <w:rPr>
          <w:b/>
        </w:rPr>
        <w:t>Confirmation of sample</w:t>
      </w:r>
      <w:r>
        <w:rPr>
          <w:b/>
        </w:rPr>
        <w:t>s’</w:t>
      </w:r>
      <w:r w:rsidRPr="00062A89">
        <w:rPr>
          <w:b/>
        </w:rPr>
        <w:t xml:space="preserve"> receipt with the sender of the samples to ensure complete sample traceability</w:t>
      </w:r>
      <w:r>
        <w:rPr>
          <w:b/>
        </w:rPr>
        <w:t>.</w:t>
      </w:r>
    </w:p>
    <w:p w14:paraId="1B5408E0" w14:textId="77777777" w:rsidR="00972CDF" w:rsidRPr="00062A89" w:rsidRDefault="00972CDF" w:rsidP="00972CDF">
      <w:pPr>
        <w:pStyle w:val="bullet2"/>
        <w:ind w:left="720" w:hanging="360"/>
        <w:rPr>
          <w:b/>
        </w:rPr>
      </w:pPr>
      <w:r>
        <w:rPr>
          <w:b/>
        </w:rPr>
        <w:t>The need to d</w:t>
      </w:r>
      <w:r w:rsidRPr="00062A89">
        <w:rPr>
          <w:b/>
        </w:rPr>
        <w:t>ocument</w:t>
      </w:r>
      <w:r>
        <w:rPr>
          <w:b/>
        </w:rPr>
        <w:t xml:space="preserve"> that the above</w:t>
      </w:r>
      <w:r w:rsidRPr="00062A89">
        <w:rPr>
          <w:b/>
        </w:rPr>
        <w:t xml:space="preserve"> step</w:t>
      </w:r>
      <w:r>
        <w:rPr>
          <w:b/>
        </w:rPr>
        <w:t>s have been followed.</w:t>
      </w:r>
    </w:p>
    <w:p w14:paraId="01E53BEA" w14:textId="77777777" w:rsidR="00972CDF" w:rsidRPr="00062A89" w:rsidRDefault="00972CDF" w:rsidP="00972CDF">
      <w:pPr>
        <w:pStyle w:val="bullet2"/>
        <w:ind w:left="720" w:hanging="360"/>
        <w:rPr>
          <w:b/>
        </w:rPr>
      </w:pPr>
      <w:r w:rsidRPr="00062A89">
        <w:rPr>
          <w:b/>
        </w:rPr>
        <w:t xml:space="preserve">Documented checks of the use of sample receipt forms will occur. </w:t>
      </w:r>
    </w:p>
    <w:p w14:paraId="52383EDF" w14:textId="77777777" w:rsidR="00972CDF" w:rsidRPr="00A2709A" w:rsidRDefault="00972CDF" w:rsidP="00972CDF">
      <w:pPr>
        <w:pStyle w:val="Numberlist"/>
        <w:numPr>
          <w:ilvl w:val="0"/>
          <w:numId w:val="12"/>
        </w:numPr>
        <w:ind w:left="340" w:hanging="340"/>
        <w:rPr>
          <w:rStyle w:val="ReferencestootherSOPsQCDsChar"/>
          <w:b/>
          <w:i w:val="0"/>
        </w:rPr>
      </w:pPr>
      <w:r w:rsidRPr="00062A89">
        <w:rPr>
          <w:b/>
        </w:rPr>
        <w:t xml:space="preserve">The LAL (or delegate) will create a documented procedure for the processing of damaged, </w:t>
      </w:r>
      <w:proofErr w:type="gramStart"/>
      <w:r w:rsidRPr="00062A89">
        <w:rPr>
          <w:b/>
        </w:rPr>
        <w:t>unexpected</w:t>
      </w:r>
      <w:proofErr w:type="gramEnd"/>
      <w:r w:rsidRPr="00062A89">
        <w:rPr>
          <w:b/>
        </w:rPr>
        <w:t xml:space="preserve"> or incorrectly labelled samples (see </w:t>
      </w:r>
      <w:r w:rsidRPr="00A2709A">
        <w:rPr>
          <w:rStyle w:val="ReferencestootherSOPsQCDsChar"/>
          <w:b/>
        </w:rPr>
        <w:t xml:space="preserve">UoB-CRL-QCD-019 Processing of </w:t>
      </w:r>
      <w:r w:rsidRPr="0001268C">
        <w:rPr>
          <w:rStyle w:val="ReferencestootherSOPsQCDsChar"/>
          <w:b/>
        </w:rPr>
        <w:t>Damaged, Unexpected or Mislabelled samples</w:t>
      </w:r>
      <w:r w:rsidRPr="00062A89">
        <w:rPr>
          <w:b/>
        </w:rPr>
        <w:t>)</w:t>
      </w:r>
      <w:r>
        <w:rPr>
          <w:b/>
        </w:rPr>
        <w:t>. The aspects listed below will be included.</w:t>
      </w:r>
      <w:r w:rsidRPr="00062A89">
        <w:rPr>
          <w:b/>
        </w:rPr>
        <w:t xml:space="preserve"> </w:t>
      </w:r>
    </w:p>
    <w:p w14:paraId="52D0DA10" w14:textId="77777777" w:rsidR="00972CDF" w:rsidRPr="00062A89" w:rsidRDefault="00972CDF" w:rsidP="00972CDF">
      <w:pPr>
        <w:pStyle w:val="bullet2"/>
        <w:ind w:left="720" w:hanging="360"/>
        <w:rPr>
          <w:b/>
        </w:rPr>
      </w:pPr>
      <w:r w:rsidRPr="00062A89">
        <w:rPr>
          <w:b/>
        </w:rPr>
        <w:t>The need to store, but not analyse, samples until confirmation of sample ID is received</w:t>
      </w:r>
      <w:r>
        <w:rPr>
          <w:b/>
        </w:rPr>
        <w:t>.</w:t>
      </w:r>
    </w:p>
    <w:p w14:paraId="314A7B9E" w14:textId="77777777" w:rsidR="00972CDF" w:rsidRPr="00062A89" w:rsidRDefault="00972CDF" w:rsidP="00972CDF">
      <w:pPr>
        <w:pStyle w:val="bullet2"/>
        <w:ind w:left="720" w:hanging="360"/>
        <w:rPr>
          <w:b/>
        </w:rPr>
      </w:pPr>
      <w:r w:rsidRPr="00062A89">
        <w:rPr>
          <w:b/>
        </w:rPr>
        <w:t xml:space="preserve">Action to be taken </w:t>
      </w:r>
      <w:proofErr w:type="gramStart"/>
      <w:r w:rsidRPr="00062A89">
        <w:rPr>
          <w:b/>
        </w:rPr>
        <w:t>in the event that</w:t>
      </w:r>
      <w:proofErr w:type="gramEnd"/>
      <w:r w:rsidRPr="00062A89">
        <w:rPr>
          <w:b/>
        </w:rPr>
        <w:t xml:space="preserve"> the sample ID cannot be confirmed</w:t>
      </w:r>
      <w:r>
        <w:rPr>
          <w:b/>
        </w:rPr>
        <w:t>.</w:t>
      </w:r>
    </w:p>
    <w:p w14:paraId="11753425" w14:textId="77777777" w:rsidR="00972CDF" w:rsidRPr="00062A89" w:rsidRDefault="00972CDF" w:rsidP="00972CDF">
      <w:pPr>
        <w:pStyle w:val="bullet2"/>
        <w:ind w:left="720" w:hanging="360"/>
        <w:rPr>
          <w:b/>
        </w:rPr>
      </w:pPr>
      <w:r w:rsidRPr="00062A89">
        <w:rPr>
          <w:b/>
        </w:rPr>
        <w:t xml:space="preserve">Action to be taken </w:t>
      </w:r>
      <w:proofErr w:type="gramStart"/>
      <w:r w:rsidRPr="00062A89">
        <w:rPr>
          <w:b/>
        </w:rPr>
        <w:t>in the event that</w:t>
      </w:r>
      <w:proofErr w:type="gramEnd"/>
      <w:r w:rsidRPr="00062A89">
        <w:rPr>
          <w:b/>
        </w:rPr>
        <w:t xml:space="preserve"> damaged samples may pose a biological safety risk</w:t>
      </w:r>
      <w:r>
        <w:rPr>
          <w:b/>
        </w:rPr>
        <w:t>.</w:t>
      </w:r>
    </w:p>
    <w:p w14:paraId="585E1774" w14:textId="77777777" w:rsidR="00972CDF" w:rsidRPr="00062A89" w:rsidRDefault="00972CDF" w:rsidP="00972CDF">
      <w:pPr>
        <w:pStyle w:val="bullet2"/>
        <w:ind w:left="720" w:hanging="360"/>
        <w:rPr>
          <w:b/>
        </w:rPr>
      </w:pPr>
      <w:r w:rsidRPr="00062A89">
        <w:rPr>
          <w:b/>
        </w:rPr>
        <w:t xml:space="preserve">Who should be contacted in the event of receiving damaged, unexpected or incorrectly labelled </w:t>
      </w:r>
      <w:proofErr w:type="gramStart"/>
      <w:r w:rsidRPr="00062A89">
        <w:rPr>
          <w:b/>
        </w:rPr>
        <w:t>samples</w:t>
      </w:r>
      <w:r>
        <w:rPr>
          <w:b/>
        </w:rPr>
        <w:t>.</w:t>
      </w:r>
      <w:proofErr w:type="gramEnd"/>
    </w:p>
    <w:p w14:paraId="2CB696D5" w14:textId="77777777" w:rsidR="00972CDF" w:rsidRPr="00062A89" w:rsidRDefault="00972CDF" w:rsidP="00972CDF">
      <w:pPr>
        <w:pStyle w:val="bullet2"/>
        <w:ind w:left="720" w:hanging="360"/>
        <w:rPr>
          <w:b/>
        </w:rPr>
      </w:pPr>
      <w:r w:rsidRPr="00062A89">
        <w:rPr>
          <w:b/>
        </w:rPr>
        <w:t xml:space="preserve">In the event that a delay in analysis would compromise the viability of the sample, it will be processed as per standard work </w:t>
      </w:r>
      <w:proofErr w:type="gramStart"/>
      <w:r w:rsidRPr="00062A89">
        <w:rPr>
          <w:b/>
        </w:rPr>
        <w:t>instructions</w:t>
      </w:r>
      <w:proofErr w:type="gramEnd"/>
      <w:r w:rsidRPr="00062A89">
        <w:rPr>
          <w:b/>
        </w:rPr>
        <w:t xml:space="preserve"> but the results quarantined until the identity of the sample is confirmed. If the sample cannot be identified the results should not be reported</w:t>
      </w:r>
      <w:r>
        <w:rPr>
          <w:b/>
        </w:rPr>
        <w:t>.</w:t>
      </w:r>
    </w:p>
    <w:p w14:paraId="73C52D1C" w14:textId="77777777" w:rsidR="00972CDF" w:rsidRPr="00062A89" w:rsidRDefault="00972CDF" w:rsidP="00972CDF">
      <w:pPr>
        <w:pStyle w:val="bullet2"/>
        <w:ind w:left="720" w:hanging="360"/>
        <w:rPr>
          <w:b/>
        </w:rPr>
      </w:pPr>
      <w:r w:rsidRPr="00062A89">
        <w:rPr>
          <w:b/>
        </w:rPr>
        <w:t xml:space="preserve">Who will authorise closure of the </w:t>
      </w:r>
      <w:proofErr w:type="gramStart"/>
      <w:r w:rsidRPr="00062A89">
        <w:rPr>
          <w:b/>
        </w:rPr>
        <w:t>incident</w:t>
      </w:r>
      <w:r>
        <w:rPr>
          <w:b/>
        </w:rPr>
        <w:t>.</w:t>
      </w:r>
      <w:proofErr w:type="gramEnd"/>
    </w:p>
    <w:p w14:paraId="6E60932A" w14:textId="77777777" w:rsidR="00972CDF" w:rsidRDefault="00972CDF" w:rsidP="00972CDF">
      <w:pPr>
        <w:pStyle w:val="bullet2"/>
        <w:ind w:left="720" w:hanging="360"/>
        <w:rPr>
          <w:b/>
        </w:rPr>
      </w:pPr>
      <w:r w:rsidRPr="00062A89">
        <w:rPr>
          <w:b/>
        </w:rPr>
        <w:t>The need to document the steps followed for each incorrectly labelled sample received.</w:t>
      </w:r>
    </w:p>
    <w:p w14:paraId="09FAA62D" w14:textId="77777777" w:rsidR="00972CDF" w:rsidRPr="00972CDF" w:rsidRDefault="00972CDF" w:rsidP="00972CDF">
      <w:pPr>
        <w:pStyle w:val="Numberlist"/>
        <w:numPr>
          <w:ilvl w:val="0"/>
          <w:numId w:val="12"/>
        </w:numPr>
        <w:ind w:left="340" w:hanging="340"/>
      </w:pPr>
      <w:r w:rsidRPr="00972CDF">
        <w:t xml:space="preserve">The LAL (or delegate) will ensure that where samples from blinded trials are handled by the laboratory, processes are in place to prevent inadvertent compromise of the blind (see </w:t>
      </w:r>
      <w:bookmarkStart w:id="11" w:name="_Hlk93684081"/>
      <w:r w:rsidRPr="00972CDF">
        <w:rPr>
          <w:rStyle w:val="ReferencestootherSOPsQCDsChar"/>
        </w:rPr>
        <w:t xml:space="preserve">UoB-RND-SOP-001 Randomisation and Blinding </w:t>
      </w:r>
      <w:r w:rsidRPr="00972CDF">
        <w:t>and</w:t>
      </w:r>
      <w:r w:rsidRPr="00972CDF">
        <w:rPr>
          <w:rStyle w:val="ReferencestootherSOPsQCDsChar"/>
        </w:rPr>
        <w:t xml:space="preserve"> UoB-CRL-SOP-001 Laboratory Set Up and Management</w:t>
      </w:r>
      <w:r w:rsidRPr="00972CDF">
        <w:t xml:space="preserve"> </w:t>
      </w:r>
      <w:bookmarkEnd w:id="11"/>
      <w:r w:rsidRPr="00972CDF">
        <w:t>for further information).</w:t>
      </w:r>
    </w:p>
    <w:p w14:paraId="6FC5BFD2" w14:textId="77777777" w:rsidR="00972CDF" w:rsidRDefault="00972CDF" w:rsidP="00972CDF">
      <w:pPr>
        <w:pStyle w:val="Heading2"/>
      </w:pPr>
      <w:r>
        <w:lastRenderedPageBreak/>
        <w:t>Sample traceability and storage</w:t>
      </w:r>
    </w:p>
    <w:p w14:paraId="105CD354" w14:textId="77777777" w:rsidR="00972CDF" w:rsidRPr="00AF1D10" w:rsidRDefault="00972CDF" w:rsidP="00972CDF">
      <w:pPr>
        <w:pStyle w:val="NumberlistforSOPs"/>
        <w:numPr>
          <w:ilvl w:val="0"/>
          <w:numId w:val="12"/>
        </w:numPr>
        <w:rPr>
          <w:b/>
        </w:rPr>
      </w:pPr>
      <w:r w:rsidRPr="00AF1D10">
        <w:rPr>
          <w:b/>
        </w:rPr>
        <w:t xml:space="preserve">The </w:t>
      </w:r>
      <w:r>
        <w:rPr>
          <w:b/>
        </w:rPr>
        <w:t>LAL</w:t>
      </w:r>
      <w:r w:rsidRPr="00AF1D10">
        <w:rPr>
          <w:b/>
        </w:rPr>
        <w:t xml:space="preserve"> (or delegate) will create a </w:t>
      </w:r>
      <w:r>
        <w:rPr>
          <w:b/>
        </w:rPr>
        <w:t>sample management plan</w:t>
      </w:r>
      <w:r w:rsidRPr="00AF1D10">
        <w:rPr>
          <w:b/>
        </w:rPr>
        <w:t xml:space="preserve"> </w:t>
      </w:r>
      <w:r w:rsidRPr="00074703">
        <w:rPr>
          <w:b/>
        </w:rPr>
        <w:t>(see</w:t>
      </w:r>
      <w:r w:rsidRPr="002B2D8D">
        <w:rPr>
          <w:rFonts w:asciiTheme="minorHAnsi" w:eastAsiaTheme="minorHAnsi" w:hAnsiTheme="minorHAnsi" w:cstheme="minorBidi"/>
          <w:b/>
          <w:sz w:val="22"/>
          <w:szCs w:val="22"/>
        </w:rPr>
        <w:t xml:space="preserve"> </w:t>
      </w:r>
      <w:r w:rsidRPr="002B2D8D">
        <w:rPr>
          <w:rStyle w:val="ReferencestootherSOPsQCDsChar"/>
          <w:b/>
        </w:rPr>
        <w:t>UoB-CRL-QCD-018 Sample Receipt, Labelling, Tracking and Storage</w:t>
      </w:r>
      <w:r w:rsidRPr="00E15697">
        <w:rPr>
          <w:b/>
        </w:rPr>
        <w:t>)</w:t>
      </w:r>
      <w:r w:rsidRPr="005947F8">
        <w:rPr>
          <w:b/>
        </w:rPr>
        <w:t xml:space="preserve"> </w:t>
      </w:r>
      <w:r w:rsidRPr="00AF1D10">
        <w:rPr>
          <w:b/>
        </w:rPr>
        <w:t>that will include (but not be limited to):</w:t>
      </w:r>
    </w:p>
    <w:p w14:paraId="5423F0B1" w14:textId="77777777" w:rsidR="00972CDF" w:rsidRPr="00062A89" w:rsidRDefault="00972CDF" w:rsidP="00972CDF">
      <w:pPr>
        <w:pStyle w:val="bullet2"/>
        <w:ind w:left="720" w:hanging="360"/>
        <w:rPr>
          <w:b/>
        </w:rPr>
      </w:pPr>
      <w:r>
        <w:rPr>
          <w:b/>
        </w:rPr>
        <w:t>s</w:t>
      </w:r>
      <w:r w:rsidRPr="00062A89">
        <w:rPr>
          <w:b/>
        </w:rPr>
        <w:t>ample labelling</w:t>
      </w:r>
    </w:p>
    <w:p w14:paraId="01D59277" w14:textId="77777777" w:rsidR="00972CDF" w:rsidRPr="00062A89" w:rsidRDefault="00972CDF" w:rsidP="00972CDF">
      <w:pPr>
        <w:pStyle w:val="bullet2"/>
        <w:ind w:left="720" w:hanging="360"/>
        <w:rPr>
          <w:b/>
        </w:rPr>
      </w:pPr>
      <w:r>
        <w:rPr>
          <w:b/>
        </w:rPr>
        <w:t>s</w:t>
      </w:r>
      <w:r w:rsidRPr="00062A89">
        <w:rPr>
          <w:b/>
        </w:rPr>
        <w:t xml:space="preserve">ample storage (see </w:t>
      </w:r>
      <w:bookmarkStart w:id="12" w:name="_Hlk93684103"/>
      <w:r w:rsidRPr="00062A89">
        <w:rPr>
          <w:rStyle w:val="ReferencestootherSOPsQCDsChar"/>
          <w:b/>
        </w:rPr>
        <w:t>UoB-CRL-SOP-002 Laboratory Facilities</w:t>
      </w:r>
      <w:bookmarkEnd w:id="12"/>
      <w:r w:rsidRPr="00062A89">
        <w:rPr>
          <w:b/>
        </w:rPr>
        <w:t>)</w:t>
      </w:r>
    </w:p>
    <w:p w14:paraId="7960A2BD" w14:textId="77777777" w:rsidR="00972CDF" w:rsidRPr="00062A89" w:rsidRDefault="00972CDF" w:rsidP="00972CDF">
      <w:pPr>
        <w:pStyle w:val="bullet2"/>
        <w:ind w:left="720" w:hanging="360"/>
        <w:rPr>
          <w:b/>
        </w:rPr>
      </w:pPr>
      <w:r>
        <w:rPr>
          <w:b/>
        </w:rPr>
        <w:t>t</w:t>
      </w:r>
      <w:r w:rsidRPr="00062A89">
        <w:rPr>
          <w:b/>
        </w:rPr>
        <w:t>racking of all samples and their derivatives through receipt into the laboratory, storage, analysis, transfer out of laboratory, and/or destruction</w:t>
      </w:r>
    </w:p>
    <w:p w14:paraId="0B501FC2" w14:textId="77777777" w:rsidR="00972CDF" w:rsidRPr="00062A89" w:rsidRDefault="00972CDF" w:rsidP="00972CDF">
      <w:pPr>
        <w:pStyle w:val="bullet2"/>
        <w:ind w:left="720" w:hanging="360"/>
        <w:rPr>
          <w:b/>
        </w:rPr>
      </w:pPr>
      <w:r>
        <w:rPr>
          <w:b/>
        </w:rPr>
        <w:t>p</w:t>
      </w:r>
      <w:r w:rsidRPr="00062A89">
        <w:rPr>
          <w:b/>
        </w:rPr>
        <w:t>eriodic documented checks of the tracking system, for example, a vertical sample audit, whereby a sample is traced from its arrival into the laboratory through any processing to analysis or storage.</w:t>
      </w:r>
    </w:p>
    <w:p w14:paraId="1BDEF9AB" w14:textId="77777777" w:rsidR="00972CDF" w:rsidRPr="00435EAE" w:rsidRDefault="00972CDF" w:rsidP="00972CDF">
      <w:pPr>
        <w:pStyle w:val="Heading1"/>
      </w:pPr>
      <w:r w:rsidRPr="00435EAE">
        <w:t>List of expected outputs:</w:t>
      </w:r>
    </w:p>
    <w:p w14:paraId="541CE4B2" w14:textId="77777777" w:rsidR="00972CDF" w:rsidRPr="0094222F" w:rsidRDefault="00972CDF" w:rsidP="00972CDF">
      <w:pPr>
        <w:pStyle w:val="bullet1"/>
        <w:numPr>
          <w:ilvl w:val="0"/>
          <w:numId w:val="3"/>
        </w:numPr>
        <w:ind w:left="340" w:hanging="340"/>
        <w:rPr>
          <w:b/>
        </w:rPr>
      </w:pPr>
      <w:r w:rsidRPr="0094222F">
        <w:t xml:space="preserve">Information relating to the contents, destination and quantity of clinical sample kits appropriately shared with recruiting sites (see </w:t>
      </w:r>
      <w:r w:rsidRPr="00083DA2">
        <w:rPr>
          <w:rStyle w:val="ReferencestootherSOPsQCDsChar"/>
        </w:rPr>
        <w:t>UoB-CRL-QCD-01</w:t>
      </w:r>
      <w:r>
        <w:rPr>
          <w:rStyle w:val="ReferencestootherSOPsQCDsChar"/>
        </w:rPr>
        <w:t>5</w:t>
      </w:r>
      <w:r w:rsidRPr="00083DA2">
        <w:rPr>
          <w:rStyle w:val="ReferencestootherSOPsQCDsChar"/>
        </w:rPr>
        <w:t xml:space="preserve"> Clinical Sample Kits</w:t>
      </w:r>
      <w:r w:rsidRPr="0094222F">
        <w:t>), if applicable</w:t>
      </w:r>
      <w:r>
        <w:t>.</w:t>
      </w:r>
    </w:p>
    <w:p w14:paraId="737E56C1" w14:textId="77777777" w:rsidR="00972CDF" w:rsidRPr="0094222F" w:rsidRDefault="00972CDF" w:rsidP="00972CDF">
      <w:pPr>
        <w:pStyle w:val="bullet1"/>
        <w:numPr>
          <w:ilvl w:val="0"/>
          <w:numId w:val="3"/>
        </w:numPr>
        <w:ind w:left="340" w:hanging="340"/>
        <w:rPr>
          <w:b/>
        </w:rPr>
      </w:pPr>
      <w:r w:rsidRPr="0094222F">
        <w:t>Designated area for the preparation of clinical sample kits</w:t>
      </w:r>
      <w:r>
        <w:t>.</w:t>
      </w:r>
    </w:p>
    <w:p w14:paraId="50D31F00" w14:textId="77777777" w:rsidR="00972CDF" w:rsidRPr="0094222F" w:rsidRDefault="00972CDF" w:rsidP="00972CDF">
      <w:pPr>
        <w:pStyle w:val="bullet1"/>
        <w:numPr>
          <w:ilvl w:val="0"/>
          <w:numId w:val="3"/>
        </w:numPr>
        <w:ind w:left="340" w:hanging="340"/>
        <w:rPr>
          <w:b/>
        </w:rPr>
      </w:pPr>
      <w:r w:rsidRPr="0094222F">
        <w:t>Monitoring schedule for clinical sample kit prep</w:t>
      </w:r>
      <w:r w:rsidRPr="00074703">
        <w:t xml:space="preserve">aration and storage areas and evidence of its use (see </w:t>
      </w:r>
      <w:r w:rsidRPr="00E15697">
        <w:rPr>
          <w:rStyle w:val="ReferencestootherSOPsQCDsChar"/>
        </w:rPr>
        <w:t>UoB-CRL-QCD-006 Housekeeping Schedule</w:t>
      </w:r>
      <w:r>
        <w:rPr>
          <w:rStyle w:val="ReferencestootherSOPsQCDsChar"/>
          <w:b/>
        </w:rPr>
        <w:t xml:space="preserve"> </w:t>
      </w:r>
      <w:r w:rsidRPr="00074703">
        <w:rPr>
          <w:rStyle w:val="ReferencestootherSOPsQCDsChar"/>
        </w:rPr>
        <w:t>and</w:t>
      </w:r>
      <w:r w:rsidRPr="0094222F">
        <w:t xml:space="preserve"> </w:t>
      </w:r>
      <w:r w:rsidRPr="00E15697">
        <w:rPr>
          <w:rStyle w:val="ReferencestootherSOPsQCDsChar"/>
        </w:rPr>
        <w:t>UoB-CRL-QCD-007 Temperature Monitoring</w:t>
      </w:r>
      <w:r w:rsidRPr="0094222F">
        <w:t>)</w:t>
      </w:r>
      <w:r>
        <w:t>.</w:t>
      </w:r>
    </w:p>
    <w:p w14:paraId="4E592AA0" w14:textId="77777777" w:rsidR="00972CDF" w:rsidRPr="007F3CB1" w:rsidRDefault="00972CDF" w:rsidP="00972CDF">
      <w:pPr>
        <w:pStyle w:val="bullet1"/>
        <w:numPr>
          <w:ilvl w:val="0"/>
          <w:numId w:val="3"/>
        </w:numPr>
        <w:ind w:left="340" w:hanging="340"/>
        <w:rPr>
          <w:b/>
        </w:rPr>
      </w:pPr>
      <w:r w:rsidRPr="0094222F">
        <w:t xml:space="preserve">A clinical sample kit preparation and dispatch record and evidence of its use (see </w:t>
      </w:r>
      <w:r w:rsidRPr="007F3A1E">
        <w:rPr>
          <w:rStyle w:val="ReferencestootherSOPsQCDsChar"/>
        </w:rPr>
        <w:t>UoB-CRL-QCD-01</w:t>
      </w:r>
      <w:r>
        <w:rPr>
          <w:rStyle w:val="ReferencestootherSOPsQCDsChar"/>
        </w:rPr>
        <w:t>5</w:t>
      </w:r>
      <w:r w:rsidRPr="007F3A1E">
        <w:rPr>
          <w:rStyle w:val="ReferencestootherSOPsQCDsChar"/>
        </w:rPr>
        <w:t xml:space="preserve"> Clinical Sample Kits</w:t>
      </w:r>
      <w:r>
        <w:t>)</w:t>
      </w:r>
      <w:r w:rsidRPr="007F3CB1">
        <w:t>, if applicable</w:t>
      </w:r>
      <w:r>
        <w:t>.</w:t>
      </w:r>
    </w:p>
    <w:p w14:paraId="4DC51DFB" w14:textId="77777777" w:rsidR="00972CDF" w:rsidRPr="0094222F" w:rsidRDefault="00972CDF" w:rsidP="00972CDF">
      <w:pPr>
        <w:pStyle w:val="bullet1"/>
        <w:numPr>
          <w:ilvl w:val="0"/>
          <w:numId w:val="3"/>
        </w:numPr>
        <w:ind w:left="340" w:hanging="340"/>
        <w:rPr>
          <w:b/>
        </w:rPr>
      </w:pPr>
      <w:r w:rsidRPr="0094222F">
        <w:t>Evidence that components of clinical kits can be re-supplied at short notice, if applicable</w:t>
      </w:r>
      <w:r>
        <w:t>.</w:t>
      </w:r>
    </w:p>
    <w:p w14:paraId="1E1C0891" w14:textId="77777777" w:rsidR="00972CDF" w:rsidRPr="00062A89" w:rsidRDefault="00972CDF" w:rsidP="00972CDF">
      <w:pPr>
        <w:pStyle w:val="bullet1"/>
        <w:numPr>
          <w:ilvl w:val="0"/>
          <w:numId w:val="3"/>
        </w:numPr>
        <w:ind w:left="340" w:hanging="340"/>
        <w:rPr>
          <w:b/>
        </w:rPr>
      </w:pPr>
      <w:r w:rsidRPr="00062A89">
        <w:rPr>
          <w:b/>
        </w:rPr>
        <w:t>A process for laboratory staff to confirm appropriate consent was obtained for each sample and evidence of its implementation</w:t>
      </w:r>
      <w:r>
        <w:rPr>
          <w:b/>
        </w:rPr>
        <w:t>.</w:t>
      </w:r>
    </w:p>
    <w:p w14:paraId="3481691C" w14:textId="77777777" w:rsidR="00972CDF" w:rsidRPr="00062A89" w:rsidRDefault="00972CDF" w:rsidP="00972CDF">
      <w:pPr>
        <w:pStyle w:val="bullet1"/>
        <w:numPr>
          <w:ilvl w:val="0"/>
          <w:numId w:val="3"/>
        </w:numPr>
        <w:ind w:left="340" w:hanging="340"/>
        <w:rPr>
          <w:b/>
        </w:rPr>
      </w:pPr>
      <w:r w:rsidRPr="00062A89">
        <w:rPr>
          <w:b/>
        </w:rPr>
        <w:t>A documented procedure for</w:t>
      </w:r>
      <w:r w:rsidRPr="00062A89" w:rsidDel="008F3385">
        <w:rPr>
          <w:b/>
        </w:rPr>
        <w:t xml:space="preserve"> </w:t>
      </w:r>
      <w:r w:rsidRPr="00062A89">
        <w:rPr>
          <w:b/>
        </w:rPr>
        <w:t xml:space="preserve">withdrawal of consent (see </w:t>
      </w:r>
      <w:r w:rsidRPr="00A2709A">
        <w:rPr>
          <w:rStyle w:val="ReferencestootherSOPsQCDsChar"/>
          <w:b/>
        </w:rPr>
        <w:t>UoB-CRL-QCD-016 Managing Withdrawal of Consent in the Laboratory</w:t>
      </w:r>
      <w:r w:rsidRPr="00062A89">
        <w:rPr>
          <w:b/>
        </w:rPr>
        <w:t>) and evidence of its implementation, where applicable</w:t>
      </w:r>
      <w:r>
        <w:rPr>
          <w:b/>
        </w:rPr>
        <w:t>.</w:t>
      </w:r>
    </w:p>
    <w:p w14:paraId="63AA271E" w14:textId="77777777" w:rsidR="00972CDF" w:rsidRPr="00062A89" w:rsidRDefault="00972CDF" w:rsidP="00972CDF">
      <w:pPr>
        <w:pStyle w:val="bullet1"/>
        <w:numPr>
          <w:ilvl w:val="0"/>
          <w:numId w:val="3"/>
        </w:numPr>
        <w:ind w:left="340" w:hanging="340"/>
        <w:rPr>
          <w:b/>
        </w:rPr>
      </w:pPr>
      <w:r w:rsidRPr="00062A89">
        <w:rPr>
          <w:b/>
        </w:rPr>
        <w:t xml:space="preserve">Evidence that samples are transported to the laboratory correctly (see </w:t>
      </w:r>
      <w:r w:rsidRPr="00A2709A">
        <w:rPr>
          <w:rStyle w:val="ReferencestootherSOPsQCDsChar"/>
          <w:b/>
        </w:rPr>
        <w:t>UoB-CRL-QCD-017 Sample Transport</w:t>
      </w:r>
      <w:r w:rsidRPr="00062A89">
        <w:rPr>
          <w:b/>
        </w:rPr>
        <w:t>)</w:t>
      </w:r>
      <w:r>
        <w:rPr>
          <w:b/>
        </w:rPr>
        <w:t>.</w:t>
      </w:r>
      <w:r w:rsidRPr="00062A89">
        <w:rPr>
          <w:b/>
        </w:rPr>
        <w:t xml:space="preserve"> </w:t>
      </w:r>
    </w:p>
    <w:p w14:paraId="11ABA2D6" w14:textId="77777777" w:rsidR="00972CDF" w:rsidRPr="00062A89" w:rsidRDefault="00972CDF" w:rsidP="00972CDF">
      <w:pPr>
        <w:pStyle w:val="bullet1"/>
        <w:numPr>
          <w:ilvl w:val="0"/>
          <w:numId w:val="3"/>
        </w:numPr>
        <w:ind w:left="340" w:hanging="340"/>
        <w:rPr>
          <w:b/>
        </w:rPr>
      </w:pPr>
      <w:r w:rsidRPr="00062A89">
        <w:rPr>
          <w:b/>
        </w:rPr>
        <w:t xml:space="preserve">Use of a </w:t>
      </w:r>
      <w:r>
        <w:rPr>
          <w:b/>
        </w:rPr>
        <w:t>s</w:t>
      </w:r>
      <w:r w:rsidRPr="00062A89">
        <w:rPr>
          <w:b/>
        </w:rPr>
        <w:t xml:space="preserve">ample </w:t>
      </w:r>
      <w:r>
        <w:rPr>
          <w:b/>
        </w:rPr>
        <w:t>r</w:t>
      </w:r>
      <w:r w:rsidRPr="00062A89">
        <w:rPr>
          <w:b/>
        </w:rPr>
        <w:t xml:space="preserve">eceipt </w:t>
      </w:r>
      <w:r>
        <w:rPr>
          <w:b/>
        </w:rPr>
        <w:t>f</w:t>
      </w:r>
      <w:r w:rsidRPr="00062A89">
        <w:rPr>
          <w:b/>
        </w:rPr>
        <w:t>orm (</w:t>
      </w:r>
      <w:r>
        <w:rPr>
          <w:b/>
        </w:rPr>
        <w:t>that</w:t>
      </w:r>
      <w:r w:rsidRPr="00062A89">
        <w:rPr>
          <w:b/>
        </w:rPr>
        <w:t xml:space="preserve"> includes all the quality checks listed in ‘Procedure’) when samples are received into the laboratory (see </w:t>
      </w:r>
      <w:r w:rsidRPr="00A2709A">
        <w:rPr>
          <w:rStyle w:val="ReferencestootherSOPsQCDsChar"/>
          <w:b/>
        </w:rPr>
        <w:t>UoB-CRL-QCD-018 Sample Receipt, Labelling, Tracking and Storage</w:t>
      </w:r>
      <w:r w:rsidRPr="00062A89">
        <w:rPr>
          <w:b/>
        </w:rPr>
        <w:t>)</w:t>
      </w:r>
      <w:r>
        <w:rPr>
          <w:b/>
        </w:rPr>
        <w:t>.</w:t>
      </w:r>
    </w:p>
    <w:p w14:paraId="0092A5AA" w14:textId="77777777" w:rsidR="00972CDF" w:rsidRPr="00A2709A" w:rsidRDefault="00972CDF" w:rsidP="00972CDF">
      <w:pPr>
        <w:pStyle w:val="bullet1"/>
        <w:numPr>
          <w:ilvl w:val="0"/>
          <w:numId w:val="3"/>
        </w:numPr>
        <w:ind w:left="340" w:hanging="340"/>
        <w:rPr>
          <w:rStyle w:val="ReferencestootherSOPsQCDsChar"/>
          <w:b/>
          <w:i w:val="0"/>
          <w:iCs w:val="0"/>
        </w:rPr>
      </w:pPr>
      <w:r w:rsidRPr="00062A89">
        <w:rPr>
          <w:b/>
        </w:rPr>
        <w:t xml:space="preserve">A documented procedure for the processing of damaged, </w:t>
      </w:r>
      <w:proofErr w:type="gramStart"/>
      <w:r w:rsidRPr="00062A89">
        <w:rPr>
          <w:b/>
        </w:rPr>
        <w:t>unexpected</w:t>
      </w:r>
      <w:proofErr w:type="gramEnd"/>
      <w:r w:rsidRPr="00062A89">
        <w:rPr>
          <w:b/>
        </w:rPr>
        <w:t xml:space="preserve"> or incorrectly labelled samples (see </w:t>
      </w:r>
      <w:r w:rsidRPr="00A2709A">
        <w:rPr>
          <w:rStyle w:val="ReferencestootherSOPsQCDsChar"/>
          <w:b/>
        </w:rPr>
        <w:t>UoB-CRL-QCD-019 Processing of Damaged, Unexpected or Mislabelled Samples</w:t>
      </w:r>
      <w:r w:rsidRPr="00062A89">
        <w:rPr>
          <w:b/>
        </w:rPr>
        <w:t>) and evidence of its implementation, where applicable</w:t>
      </w:r>
      <w:r>
        <w:rPr>
          <w:b/>
        </w:rPr>
        <w:t>.</w:t>
      </w:r>
    </w:p>
    <w:p w14:paraId="14EA2DE6" w14:textId="77777777" w:rsidR="00972CDF" w:rsidRPr="00062A89" w:rsidRDefault="00972CDF" w:rsidP="00972CDF">
      <w:pPr>
        <w:pStyle w:val="bullet1"/>
        <w:numPr>
          <w:ilvl w:val="0"/>
          <w:numId w:val="3"/>
        </w:numPr>
        <w:ind w:left="340" w:hanging="340"/>
        <w:rPr>
          <w:b/>
        </w:rPr>
      </w:pPr>
      <w:r w:rsidRPr="00062A89">
        <w:rPr>
          <w:b/>
        </w:rPr>
        <w:t xml:space="preserve">A tracking system to allow sample traceability (see </w:t>
      </w:r>
      <w:r w:rsidRPr="00A2709A">
        <w:rPr>
          <w:rStyle w:val="ReferencestootherSOPsQCDsChar"/>
          <w:b/>
        </w:rPr>
        <w:t>UoB-CRL-QCD-018 Sample Receipt, Labelling, Tracking and Storage</w:t>
      </w:r>
      <w:r w:rsidRPr="00062A89">
        <w:rPr>
          <w:b/>
        </w:rPr>
        <w:t>) and evidence of its implementation</w:t>
      </w:r>
      <w:r>
        <w:rPr>
          <w:b/>
        </w:rPr>
        <w:t>.</w:t>
      </w:r>
    </w:p>
    <w:p w14:paraId="76EF7A70" w14:textId="77777777" w:rsidR="00972CDF" w:rsidRDefault="00972CDF" w:rsidP="00972CDF">
      <w:pPr>
        <w:pStyle w:val="Heading1"/>
      </w:pPr>
      <w:r w:rsidRPr="006561C0">
        <w:t>Related</w:t>
      </w:r>
      <w:r>
        <w:t xml:space="preserve"> documents:</w:t>
      </w:r>
      <w:bookmarkEnd w:id="0"/>
    </w:p>
    <w:p w14:paraId="5C3914A2" w14:textId="77777777" w:rsidR="00972CDF" w:rsidRPr="00062A89" w:rsidRDefault="00972CDF" w:rsidP="00972CDF">
      <w:pPr>
        <w:pStyle w:val="bullet1"/>
        <w:numPr>
          <w:ilvl w:val="0"/>
          <w:numId w:val="3"/>
        </w:numPr>
        <w:ind w:left="340" w:hanging="340"/>
        <w:rPr>
          <w:rStyle w:val="ReferencestootherSOPsQCDsChar"/>
          <w:b/>
          <w:i w:val="0"/>
          <w:iCs w:val="0"/>
          <w:color w:val="auto"/>
        </w:rPr>
      </w:pPr>
      <w:r w:rsidRPr="00062A89">
        <w:rPr>
          <w:rStyle w:val="ReferencestootherSOPsQCDsChar"/>
          <w:i w:val="0"/>
          <w:color w:val="auto"/>
        </w:rPr>
        <w:t>UoB-CRL-QCD-001 Setting Up a Laboratory Master File</w:t>
      </w:r>
    </w:p>
    <w:p w14:paraId="14D96957" w14:textId="77777777" w:rsidR="00972CDF" w:rsidRPr="00062A89" w:rsidRDefault="00972CDF" w:rsidP="00972CDF">
      <w:pPr>
        <w:pStyle w:val="bullet1"/>
        <w:numPr>
          <w:ilvl w:val="0"/>
          <w:numId w:val="3"/>
        </w:numPr>
        <w:ind w:left="340" w:hanging="340"/>
        <w:rPr>
          <w:rStyle w:val="ReferencestootherSOPsQCDsChar"/>
          <w:b/>
          <w:i w:val="0"/>
          <w:iCs w:val="0"/>
          <w:color w:val="auto"/>
        </w:rPr>
      </w:pPr>
      <w:r>
        <w:rPr>
          <w:rStyle w:val="ReferencestootherSOPsQCDsChar"/>
          <w:i w:val="0"/>
          <w:color w:val="auto"/>
        </w:rPr>
        <w:t>UoB-CRL-QCD-005 Key Cont</w:t>
      </w:r>
      <w:r w:rsidRPr="00062A89">
        <w:rPr>
          <w:rStyle w:val="ReferencestootherSOPsQCDsChar"/>
          <w:i w:val="0"/>
          <w:color w:val="auto"/>
        </w:rPr>
        <w:t>acts</w:t>
      </w:r>
    </w:p>
    <w:p w14:paraId="73AAE3F4" w14:textId="77777777" w:rsidR="00972CDF" w:rsidRPr="00A2709A" w:rsidRDefault="00972CDF" w:rsidP="00972CDF">
      <w:pPr>
        <w:pStyle w:val="bullet1"/>
        <w:numPr>
          <w:ilvl w:val="0"/>
          <w:numId w:val="3"/>
        </w:numPr>
        <w:ind w:left="340" w:hanging="340"/>
        <w:rPr>
          <w:b/>
        </w:rPr>
      </w:pPr>
      <w:r w:rsidRPr="00062A89">
        <w:rPr>
          <w:rStyle w:val="ReferencestootherSOPsQCDsChar"/>
          <w:i w:val="0"/>
          <w:color w:val="auto"/>
        </w:rPr>
        <w:t>UoB-CRL-QCD-006 Housekeeping Schedule</w:t>
      </w:r>
    </w:p>
    <w:p w14:paraId="7DF7EE10" w14:textId="77777777" w:rsidR="00972CDF" w:rsidRPr="0001268C" w:rsidRDefault="00972CDF" w:rsidP="00972CDF">
      <w:pPr>
        <w:pStyle w:val="bullet1"/>
        <w:numPr>
          <w:ilvl w:val="0"/>
          <w:numId w:val="3"/>
        </w:numPr>
        <w:ind w:left="340" w:hanging="340"/>
      </w:pPr>
      <w:r w:rsidRPr="0001268C">
        <w:t>UoB-CRL-QCD-007 Temperature Monitoring</w:t>
      </w:r>
    </w:p>
    <w:p w14:paraId="2B74E7B5" w14:textId="77777777" w:rsidR="00972CDF" w:rsidRPr="0001268C" w:rsidRDefault="00972CDF" w:rsidP="00972CDF">
      <w:pPr>
        <w:pStyle w:val="bullet1"/>
        <w:numPr>
          <w:ilvl w:val="0"/>
          <w:numId w:val="3"/>
        </w:numPr>
        <w:ind w:left="340" w:hanging="340"/>
        <w:rPr>
          <w:b/>
        </w:rPr>
      </w:pPr>
      <w:r w:rsidRPr="0001268C">
        <w:t>UoB-CRL-QCD-015 Clinical Sample Kits</w:t>
      </w:r>
      <w:r w:rsidRPr="0001268C" w:rsidDel="00083DA2">
        <w:t xml:space="preserve"> </w:t>
      </w:r>
    </w:p>
    <w:p w14:paraId="3EE9C307" w14:textId="77777777" w:rsidR="00972CDF" w:rsidRPr="00A2709A" w:rsidRDefault="00972CDF" w:rsidP="00972CDF">
      <w:pPr>
        <w:pStyle w:val="bullet1"/>
        <w:numPr>
          <w:ilvl w:val="0"/>
          <w:numId w:val="3"/>
        </w:numPr>
        <w:ind w:left="340" w:hanging="340"/>
        <w:rPr>
          <w:b/>
        </w:rPr>
      </w:pPr>
      <w:r w:rsidRPr="00062A89">
        <w:rPr>
          <w:rStyle w:val="ReferencestootherSOPsQCDsChar"/>
          <w:i w:val="0"/>
          <w:color w:val="auto"/>
        </w:rPr>
        <w:t>UoB-CRL-QCD-016 Managing Withdrawal of Consent in the Laboratory</w:t>
      </w:r>
    </w:p>
    <w:p w14:paraId="28EBA6D5" w14:textId="77777777" w:rsidR="00972CDF" w:rsidRPr="00A2709A" w:rsidRDefault="00972CDF" w:rsidP="00972CDF">
      <w:pPr>
        <w:pStyle w:val="bullet1"/>
        <w:numPr>
          <w:ilvl w:val="0"/>
          <w:numId w:val="3"/>
        </w:numPr>
        <w:ind w:left="340" w:hanging="340"/>
        <w:rPr>
          <w:b/>
        </w:rPr>
      </w:pPr>
      <w:r w:rsidRPr="00062A89">
        <w:rPr>
          <w:rStyle w:val="ReferencestootherSOPsQCDsChar"/>
          <w:i w:val="0"/>
          <w:color w:val="auto"/>
        </w:rPr>
        <w:t>UoB-CRL-QCD-017 Sample Transport</w:t>
      </w:r>
    </w:p>
    <w:p w14:paraId="736BF133" w14:textId="77777777" w:rsidR="00972CDF" w:rsidRPr="0001268C" w:rsidRDefault="00972CDF" w:rsidP="00972CDF">
      <w:pPr>
        <w:pStyle w:val="bullet1"/>
        <w:numPr>
          <w:ilvl w:val="0"/>
          <w:numId w:val="3"/>
        </w:numPr>
        <w:ind w:left="340" w:hanging="340"/>
        <w:rPr>
          <w:rStyle w:val="ReferencestootherSOPsQCDsChar"/>
          <w:b/>
          <w:i w:val="0"/>
          <w:iCs w:val="0"/>
          <w:color w:val="auto"/>
        </w:rPr>
      </w:pPr>
      <w:r w:rsidRPr="00062A89">
        <w:t>UoB-CRL-QCD-018 Sample Receipt, Labelling, Tracking and Storage</w:t>
      </w:r>
    </w:p>
    <w:p w14:paraId="0F1117BC" w14:textId="77777777" w:rsidR="00972CDF" w:rsidRPr="00A2709A" w:rsidRDefault="00972CDF" w:rsidP="00972CDF">
      <w:pPr>
        <w:pStyle w:val="bullet1"/>
        <w:numPr>
          <w:ilvl w:val="0"/>
          <w:numId w:val="3"/>
        </w:numPr>
        <w:ind w:left="340" w:hanging="340"/>
        <w:rPr>
          <w:b/>
        </w:rPr>
      </w:pPr>
      <w:r w:rsidRPr="00062A89">
        <w:rPr>
          <w:rStyle w:val="ReferencestootherSOPsQCDsChar"/>
          <w:i w:val="0"/>
          <w:color w:val="auto"/>
        </w:rPr>
        <w:t xml:space="preserve">UoB-CRL-QCD-019 Processing of Damaged, Unexpected or Mislabelled Samples </w:t>
      </w:r>
    </w:p>
    <w:p w14:paraId="1DC8317C" w14:textId="77777777" w:rsidR="00972CDF" w:rsidRPr="0001268C" w:rsidRDefault="00972CDF" w:rsidP="00972CDF">
      <w:pPr>
        <w:pStyle w:val="bullet1"/>
        <w:numPr>
          <w:ilvl w:val="0"/>
          <w:numId w:val="3"/>
        </w:numPr>
        <w:ind w:left="340" w:hanging="340"/>
        <w:rPr>
          <w:b/>
        </w:rPr>
      </w:pPr>
      <w:r w:rsidRPr="00A2709A">
        <w:t>UoB-CRL-SOP-001 Laboratory Set Up and Management</w:t>
      </w:r>
    </w:p>
    <w:p w14:paraId="241F1FA4" w14:textId="77777777" w:rsidR="00972CDF" w:rsidRPr="0001268C" w:rsidRDefault="00972CDF" w:rsidP="00972CDF">
      <w:pPr>
        <w:pStyle w:val="bullet1"/>
        <w:numPr>
          <w:ilvl w:val="0"/>
          <w:numId w:val="3"/>
        </w:numPr>
        <w:ind w:left="340" w:hanging="340"/>
        <w:rPr>
          <w:b/>
        </w:rPr>
      </w:pPr>
      <w:r w:rsidRPr="0001268C">
        <w:t>UoB-CRL-SOP-002 Laboratory Facilities</w:t>
      </w:r>
    </w:p>
    <w:p w14:paraId="590D95E4" w14:textId="77777777" w:rsidR="00972CDF" w:rsidRPr="00C85691" w:rsidRDefault="00972CDF" w:rsidP="00972CDF">
      <w:pPr>
        <w:pStyle w:val="bullet1"/>
        <w:numPr>
          <w:ilvl w:val="0"/>
          <w:numId w:val="3"/>
        </w:numPr>
        <w:ind w:left="340" w:hanging="340"/>
        <w:rPr>
          <w:b/>
        </w:rPr>
      </w:pPr>
      <w:r w:rsidRPr="0001268C">
        <w:t>UoB-CRL-SOP-004 Laboratory Analysis</w:t>
      </w:r>
    </w:p>
    <w:p w14:paraId="793C3852" w14:textId="0B93138B" w:rsidR="00972CDF" w:rsidRPr="00D94851" w:rsidRDefault="00972CDF" w:rsidP="00972CDF">
      <w:pPr>
        <w:pStyle w:val="bullet1"/>
        <w:numPr>
          <w:ilvl w:val="0"/>
          <w:numId w:val="3"/>
        </w:numPr>
        <w:ind w:left="340" w:hanging="340"/>
        <w:rPr>
          <w:b/>
        </w:rPr>
      </w:pPr>
      <w:bookmarkStart w:id="13" w:name="_Hlk93684331"/>
      <w:r w:rsidRPr="0001268C">
        <w:t>UoB-CRL-SOP-005 Reportable Issues</w:t>
      </w:r>
    </w:p>
    <w:p w14:paraId="246160D0" w14:textId="1E91E046" w:rsidR="00D94851" w:rsidRPr="00D94851" w:rsidRDefault="00D94851" w:rsidP="00D94851">
      <w:pPr>
        <w:pStyle w:val="bullet1"/>
      </w:pPr>
      <w:r w:rsidRPr="00D94851">
        <w:rPr>
          <w:rStyle w:val="ReferencestootherSOPsQCDsChar"/>
          <w:i w:val="0"/>
          <w:iCs w:val="0"/>
          <w:color w:val="auto"/>
        </w:rPr>
        <w:t>UoB-CRL-SOP-006 External Laboratory Set-up and Oversight</w:t>
      </w:r>
    </w:p>
    <w:p w14:paraId="1649A298" w14:textId="77777777" w:rsidR="00972CDF" w:rsidRPr="00C85691" w:rsidRDefault="00972CDF" w:rsidP="00972CDF">
      <w:pPr>
        <w:pStyle w:val="bullet1"/>
        <w:numPr>
          <w:ilvl w:val="0"/>
          <w:numId w:val="3"/>
        </w:numPr>
        <w:ind w:left="340" w:hanging="340"/>
        <w:rPr>
          <w:b/>
          <w:i/>
        </w:rPr>
      </w:pPr>
      <w:r w:rsidRPr="00C85691">
        <w:rPr>
          <w:rStyle w:val="ReferencestootherSOPsQCDsChar"/>
          <w:i w:val="0"/>
          <w:color w:val="auto"/>
        </w:rPr>
        <w:lastRenderedPageBreak/>
        <w:t>UoB-RND-SOP-001 Randomisation and Blinding</w:t>
      </w:r>
    </w:p>
    <w:p w14:paraId="21EF5DFD" w14:textId="77777777" w:rsidR="00972CDF" w:rsidRDefault="00972CDF" w:rsidP="00972CDF">
      <w:bookmarkStart w:id="14" w:name="_Hlk83653731"/>
      <w:bookmarkEnd w:id="13"/>
      <w:r>
        <w:t xml:space="preserve">Note the UoB QMS documents can be found on the </w:t>
      </w:r>
      <w:hyperlink r:id="rId16" w:history="1">
        <w:r w:rsidRPr="001D5446">
          <w:rPr>
            <w:rStyle w:val="Hyperlink"/>
            <w:lang w:eastAsia="en-GB"/>
          </w:rPr>
          <w:t>CRCT website</w:t>
        </w:r>
      </w:hyperlink>
      <w:r>
        <w:rPr>
          <w:lang w:eastAsia="en-GB"/>
        </w:rPr>
        <w:t>. Internal work instructions can be obtained from the CRCT (</w:t>
      </w:r>
      <w:hyperlink r:id="rId17" w:tooltip="Email address for the Clinical Research Compliance Team" w:history="1">
        <w:r w:rsidRPr="00212E62">
          <w:rPr>
            <w:rStyle w:val="Hyperlink"/>
            <w:lang w:eastAsia="en-GB"/>
          </w:rPr>
          <w:t>crct@contacts.bham.ac.uk</w:t>
        </w:r>
      </w:hyperlink>
      <w:r>
        <w:rPr>
          <w:lang w:eastAsia="en-GB"/>
        </w:rPr>
        <w:t>) and/or from the RGT (</w:t>
      </w:r>
      <w:hyperlink r:id="rId18" w:tooltip="Email address for the Research Governance Team" w:history="1">
        <w:r w:rsidRPr="00212E62">
          <w:rPr>
            <w:rStyle w:val="Hyperlink"/>
            <w:lang w:eastAsia="en-GB"/>
          </w:rPr>
          <w:t>researchgovernance@contacts.bham.ac.uk</w:t>
        </w:r>
      </w:hyperlink>
      <w:r>
        <w:t>).</w:t>
      </w:r>
      <w:bookmarkEnd w:id="14"/>
    </w:p>
    <w:p w14:paraId="76F5724C" w14:textId="77777777" w:rsidR="00972CDF" w:rsidRDefault="00972CDF" w:rsidP="00972CDF">
      <w:pPr>
        <w:pStyle w:val="Heading1"/>
      </w:pPr>
      <w:r w:rsidRPr="005D17F6">
        <w:t>References</w:t>
      </w:r>
      <w:r>
        <w:t xml:space="preserve"> and frameworks: </w:t>
      </w:r>
    </w:p>
    <w:p w14:paraId="412EC113" w14:textId="77777777" w:rsidR="00972CDF" w:rsidRPr="00B33DC2" w:rsidRDefault="00972CDF" w:rsidP="00972CDF">
      <w:pPr>
        <w:pStyle w:val="bullet1"/>
        <w:numPr>
          <w:ilvl w:val="0"/>
          <w:numId w:val="3"/>
        </w:numPr>
        <w:ind w:left="357" w:hanging="357"/>
        <w:rPr>
          <w:b/>
        </w:rPr>
      </w:pPr>
      <w:r w:rsidRPr="00B33DC2">
        <w:t xml:space="preserve">Reflection paper for laboratories that perform the analyses or evaluation of clinical trial samples (2012), European Medical Agency: </w:t>
      </w:r>
      <w:hyperlink r:id="rId19" w:tooltip="Link to Reflection paper for laboratories that perform the analyses or evaluation of clinical trial samples (2012), European Medical Agency" w:history="1">
        <w:r w:rsidRPr="00B33DC2">
          <w:rPr>
            <w:rStyle w:val="Hyperlink"/>
          </w:rPr>
          <w:t>www.ema.europa.eu/docs/en_GB/document_library/Regulatory_and_procedural_guideline/2012/05/WC500127124.pdf</w:t>
        </w:r>
      </w:hyperlink>
    </w:p>
    <w:p w14:paraId="39B1CC4C" w14:textId="77777777" w:rsidR="00972CDF" w:rsidRPr="00237C4E" w:rsidRDefault="00972CDF" w:rsidP="00972CDF">
      <w:pPr>
        <w:pStyle w:val="bullet1"/>
        <w:numPr>
          <w:ilvl w:val="0"/>
          <w:numId w:val="3"/>
        </w:numPr>
        <w:ind w:left="357" w:hanging="357"/>
        <w:rPr>
          <w:rStyle w:val="Hyperlink"/>
        </w:rPr>
      </w:pPr>
      <w:r w:rsidRPr="00237C4E">
        <w:t xml:space="preserve">The Human Tissue Act (2004): </w:t>
      </w:r>
      <w:hyperlink r:id="rId20" w:tooltip="Link to The Human Tissue Act (2004)" w:history="1">
        <w:r w:rsidRPr="00237C4E">
          <w:rPr>
            <w:rStyle w:val="Hyperlink"/>
          </w:rPr>
          <w:t>http://www.legislation.gov.uk/ukpga/2004/30/contents</w:t>
        </w:r>
      </w:hyperlink>
    </w:p>
    <w:p w14:paraId="74F743A4" w14:textId="77777777" w:rsidR="00972CDF" w:rsidRPr="00B33DC2" w:rsidRDefault="00972CDF" w:rsidP="00972CDF">
      <w:pPr>
        <w:pStyle w:val="bullet1"/>
        <w:numPr>
          <w:ilvl w:val="0"/>
          <w:numId w:val="3"/>
        </w:numPr>
        <w:ind w:left="357" w:hanging="357"/>
        <w:rPr>
          <w:b/>
        </w:rPr>
      </w:pPr>
      <w:r w:rsidRPr="00B33DC2">
        <w:t>The Medicines for Human Use (Clinical Trials) Regulations 2004</w:t>
      </w:r>
      <w:r>
        <w:t xml:space="preserve"> and amendments</w:t>
      </w:r>
      <w:r w:rsidRPr="00B33DC2">
        <w:t xml:space="preserve">: </w:t>
      </w:r>
      <w:hyperlink r:id="rId21" w:tooltip="Link to The Medicines for Human Use (Clinical Trials) Regulations 2004 and amendments" w:history="1">
        <w:r w:rsidRPr="00B33DC2">
          <w:rPr>
            <w:rStyle w:val="Hyperlink"/>
          </w:rPr>
          <w:t>http://www.legislation.gov.uk/uksi/2004/1031/contents/made</w:t>
        </w:r>
      </w:hyperlink>
    </w:p>
    <w:p w14:paraId="4CEAE815" w14:textId="77777777" w:rsidR="00972CDF" w:rsidRDefault="00972CDF" w:rsidP="00972CDF">
      <w:pPr>
        <w:pStyle w:val="bullet1"/>
        <w:numPr>
          <w:ilvl w:val="0"/>
          <w:numId w:val="3"/>
        </w:numPr>
        <w:ind w:left="357" w:hanging="357"/>
      </w:pPr>
      <w:r w:rsidRPr="002B2D8D">
        <w:t xml:space="preserve">UoB </w:t>
      </w:r>
      <w:r>
        <w:t xml:space="preserve">Contracts Team: </w:t>
      </w:r>
      <w:hyperlink r:id="rId22" w:tooltip="Link to UoB Contracts Team" w:history="1">
        <w:r>
          <w:rPr>
            <w:rStyle w:val="Hyperlink"/>
          </w:rPr>
          <w:t>https://intranet.birmingham.ac.uk/finance/rss/contracts/index.aspx</w:t>
        </w:r>
      </w:hyperlink>
      <w:r>
        <w:t xml:space="preserve"> </w:t>
      </w:r>
    </w:p>
    <w:p w14:paraId="6AD6510E" w14:textId="77777777" w:rsidR="00972CDF" w:rsidRPr="002B2D8D" w:rsidRDefault="00972CDF" w:rsidP="00972CDF">
      <w:pPr>
        <w:pStyle w:val="bullet1"/>
        <w:numPr>
          <w:ilvl w:val="0"/>
          <w:numId w:val="3"/>
        </w:numPr>
        <w:ind w:left="357" w:hanging="357"/>
      </w:pPr>
      <w:r>
        <w:t xml:space="preserve">UoB Biological Safety: </w:t>
      </w:r>
      <w:hyperlink r:id="rId23" w:tooltip="Link to UoB Biological Safety" w:history="1">
        <w:r w:rsidRPr="00F821BE">
          <w:rPr>
            <w:rStyle w:val="Hyperlink"/>
          </w:rPr>
          <w:t>https://intranet.birmingham.ac.uk/hr/wellbeing/worksafe/biological/index.aspx</w:t>
        </w:r>
      </w:hyperlink>
      <w:r>
        <w:t xml:space="preserve"> </w:t>
      </w:r>
    </w:p>
    <w:p w14:paraId="3AF087B6" w14:textId="77777777" w:rsidR="00972CDF" w:rsidRDefault="00972CDF" w:rsidP="00972CDF">
      <w:pPr>
        <w:pStyle w:val="Heading1"/>
      </w:pPr>
      <w:r w:rsidRPr="00522ABB">
        <w:t>Abbreviations</w:t>
      </w:r>
      <w:r>
        <w:t xml:space="preserve"> and definitions:</w:t>
      </w:r>
    </w:p>
    <w:tbl>
      <w:tblPr>
        <w:tblStyle w:val="TableGrid"/>
        <w:tblW w:w="0" w:type="auto"/>
        <w:tblBorders>
          <w:insideH w:val="dotted" w:sz="4" w:space="0" w:color="auto"/>
          <w:insideV w:val="dotted" w:sz="4" w:space="0" w:color="auto"/>
        </w:tblBorders>
        <w:tblLook w:val="04A0" w:firstRow="1" w:lastRow="0" w:firstColumn="1" w:lastColumn="0" w:noHBand="0" w:noVBand="1"/>
        <w:tblCaption w:val="Abbreviations and Definitions"/>
        <w:tblDescription w:val="List of abbreviations and Definitions used in this document."/>
      </w:tblPr>
      <w:tblGrid>
        <w:gridCol w:w="2462"/>
        <w:gridCol w:w="6555"/>
      </w:tblGrid>
      <w:tr w:rsidR="00972CDF" w14:paraId="27FE72AE" w14:textId="77777777" w:rsidTr="006900B0">
        <w:trPr>
          <w:cantSplit/>
          <w:tblHeader/>
        </w:trPr>
        <w:tc>
          <w:tcPr>
            <w:tcW w:w="2462" w:type="dxa"/>
            <w:vAlign w:val="center"/>
          </w:tcPr>
          <w:p w14:paraId="38933440" w14:textId="77777777" w:rsidR="00972CDF" w:rsidRPr="003D5BFC" w:rsidRDefault="00972CDF" w:rsidP="006900B0">
            <w:pPr>
              <w:pStyle w:val="Heading2"/>
            </w:pPr>
            <w:r w:rsidRPr="003D5BFC">
              <w:t>Term</w:t>
            </w:r>
          </w:p>
        </w:tc>
        <w:tc>
          <w:tcPr>
            <w:tcW w:w="6555" w:type="dxa"/>
            <w:vAlign w:val="center"/>
          </w:tcPr>
          <w:p w14:paraId="02483AA5" w14:textId="77777777" w:rsidR="00972CDF" w:rsidRPr="003D5BFC" w:rsidRDefault="00972CDF" w:rsidP="006900B0">
            <w:pPr>
              <w:pStyle w:val="Heading2"/>
            </w:pPr>
            <w:r w:rsidRPr="003D5BFC">
              <w:t>Description</w:t>
            </w:r>
          </w:p>
        </w:tc>
      </w:tr>
      <w:tr w:rsidR="00972CDF" w14:paraId="7DDC0DAE" w14:textId="77777777" w:rsidTr="006900B0">
        <w:trPr>
          <w:cantSplit/>
        </w:trPr>
        <w:tc>
          <w:tcPr>
            <w:tcW w:w="2462" w:type="dxa"/>
          </w:tcPr>
          <w:p w14:paraId="67825387" w14:textId="77777777" w:rsidR="00972CDF" w:rsidRPr="00DF03FE" w:rsidRDefault="00972CDF" w:rsidP="00101E4A">
            <w:pPr>
              <w:pStyle w:val="AbbreviationsDefinitionsTerm"/>
            </w:pPr>
            <w:r>
              <w:t>Blinding</w:t>
            </w:r>
          </w:p>
          <w:p w14:paraId="0DCB5C7B" w14:textId="77777777" w:rsidR="00972CDF" w:rsidRPr="00DF03FE" w:rsidRDefault="00972CDF" w:rsidP="00101E4A">
            <w:pPr>
              <w:pStyle w:val="AbbreviationsDefinitionsTerm"/>
            </w:pPr>
          </w:p>
          <w:p w14:paraId="4DA78684" w14:textId="77777777" w:rsidR="00972CDF" w:rsidRPr="00DF03FE" w:rsidRDefault="00972CDF" w:rsidP="00101E4A">
            <w:pPr>
              <w:pStyle w:val="AbbreviationsDefinitionsTerm"/>
            </w:pPr>
          </w:p>
          <w:p w14:paraId="2EE059C2" w14:textId="77777777" w:rsidR="00972CDF" w:rsidRPr="00DF03FE" w:rsidRDefault="00972CDF" w:rsidP="00101E4A">
            <w:pPr>
              <w:pStyle w:val="AbbreviationsDefinitionsTerm"/>
            </w:pPr>
          </w:p>
          <w:p w14:paraId="6FE03F37" w14:textId="77777777" w:rsidR="00972CDF" w:rsidRPr="00DF03FE" w:rsidRDefault="00972CDF" w:rsidP="00101E4A">
            <w:pPr>
              <w:pStyle w:val="AbbreviationsDefinitionsTerm"/>
            </w:pPr>
          </w:p>
        </w:tc>
        <w:tc>
          <w:tcPr>
            <w:tcW w:w="6555" w:type="dxa"/>
          </w:tcPr>
          <w:p w14:paraId="08E615B9" w14:textId="77777777" w:rsidR="00972CDF" w:rsidRPr="007A2552" w:rsidRDefault="00972CDF" w:rsidP="006900B0">
            <w:pPr>
              <w:rPr>
                <w:bCs/>
              </w:rPr>
            </w:pPr>
            <w:r w:rsidRPr="0009008F">
              <w:rPr>
                <w:lang w:eastAsia="en-GB"/>
              </w:rPr>
              <w:t xml:space="preserve">Blinding is the process that keeps one or more parties involved in a clinical research project (for example, the sponsor, the investigator team, and/or the participants) unaware of what treatment arm participants have been randomised to. In relation to an </w:t>
            </w:r>
            <w:r>
              <w:rPr>
                <w:lang w:eastAsia="en-GB"/>
              </w:rPr>
              <w:t>i</w:t>
            </w:r>
            <w:r w:rsidRPr="0009008F">
              <w:rPr>
                <w:lang w:eastAsia="en-GB"/>
              </w:rPr>
              <w:t xml:space="preserve">nvestigational </w:t>
            </w:r>
            <w:r>
              <w:rPr>
                <w:lang w:eastAsia="en-GB"/>
              </w:rPr>
              <w:t>m</w:t>
            </w:r>
            <w:r w:rsidRPr="0009008F">
              <w:rPr>
                <w:lang w:eastAsia="en-GB"/>
              </w:rPr>
              <w:t xml:space="preserve">edicinal </w:t>
            </w:r>
            <w:r>
              <w:rPr>
                <w:lang w:eastAsia="en-GB"/>
              </w:rPr>
              <w:t>p</w:t>
            </w:r>
            <w:r w:rsidRPr="0009008F">
              <w:rPr>
                <w:lang w:eastAsia="en-GB"/>
              </w:rPr>
              <w:t>roduct, blinding is the deliberate disguising of the identity of the product in accordance with the instructions of the sponsor.</w:t>
            </w:r>
            <w:r w:rsidRPr="0009008F" w:rsidDel="0009008F">
              <w:rPr>
                <w:lang w:eastAsia="en-GB"/>
              </w:rPr>
              <w:t xml:space="preserve"> </w:t>
            </w:r>
          </w:p>
        </w:tc>
      </w:tr>
      <w:tr w:rsidR="00972CDF" w14:paraId="3C6C9739" w14:textId="77777777" w:rsidTr="006900B0">
        <w:trPr>
          <w:cantSplit/>
        </w:trPr>
        <w:tc>
          <w:tcPr>
            <w:tcW w:w="2462" w:type="dxa"/>
          </w:tcPr>
          <w:p w14:paraId="7E05C43E" w14:textId="77777777" w:rsidR="00972CDF" w:rsidRPr="00DF03FE" w:rsidRDefault="00972CDF" w:rsidP="00101E4A">
            <w:pPr>
              <w:pStyle w:val="AbbreviationsDefinitionsTerm"/>
            </w:pPr>
            <w:r w:rsidRPr="00A2709A">
              <w:t>Clinical sample kit</w:t>
            </w:r>
          </w:p>
          <w:p w14:paraId="3E467E6D" w14:textId="77777777" w:rsidR="00972CDF" w:rsidRPr="00DF03FE" w:rsidRDefault="00972CDF" w:rsidP="00101E4A">
            <w:pPr>
              <w:pStyle w:val="AbbreviationsDefinitionsTerm"/>
            </w:pPr>
          </w:p>
        </w:tc>
        <w:tc>
          <w:tcPr>
            <w:tcW w:w="6555" w:type="dxa"/>
          </w:tcPr>
          <w:p w14:paraId="316CF7D6" w14:textId="77777777" w:rsidR="00972CDF" w:rsidRPr="006D57DE" w:rsidRDefault="00972CDF" w:rsidP="006900B0">
            <w:pPr>
              <w:jc w:val="both"/>
              <w:rPr>
                <w:lang w:eastAsia="en-GB"/>
              </w:rPr>
            </w:pPr>
            <w:r>
              <w:t>The necessary components required to collect clinical samples prior to their analysis or evaluation in a laboratory.</w:t>
            </w:r>
          </w:p>
        </w:tc>
      </w:tr>
      <w:tr w:rsidR="00972CDF" w14:paraId="013309A8" w14:textId="77777777" w:rsidTr="006900B0">
        <w:trPr>
          <w:cantSplit/>
        </w:trPr>
        <w:tc>
          <w:tcPr>
            <w:tcW w:w="2462" w:type="dxa"/>
          </w:tcPr>
          <w:p w14:paraId="2CF22E50" w14:textId="77777777" w:rsidR="00972CDF" w:rsidRPr="00DF03FE" w:rsidRDefault="00972CDF" w:rsidP="00101E4A">
            <w:pPr>
              <w:pStyle w:val="AbbreviationsDefinitionsTerm"/>
            </w:pPr>
            <w:r w:rsidRPr="00A2709A">
              <w:t xml:space="preserve">Clinical </w:t>
            </w:r>
            <w:r>
              <w:t>s</w:t>
            </w:r>
            <w:r w:rsidRPr="00A2709A">
              <w:t>tud</w:t>
            </w:r>
            <w:r>
              <w:t>y</w:t>
            </w:r>
          </w:p>
          <w:p w14:paraId="61E78D46" w14:textId="77777777" w:rsidR="00972CDF" w:rsidRPr="00DF03FE" w:rsidRDefault="00972CDF" w:rsidP="00101E4A">
            <w:pPr>
              <w:pStyle w:val="AbbreviationsDefinitionsTerm"/>
            </w:pPr>
          </w:p>
          <w:p w14:paraId="0B23AAF2" w14:textId="77777777" w:rsidR="00972CDF" w:rsidRPr="00DF03FE" w:rsidRDefault="00972CDF" w:rsidP="00101E4A">
            <w:pPr>
              <w:pStyle w:val="AbbreviationsDefinitionsTerm"/>
            </w:pPr>
          </w:p>
          <w:p w14:paraId="7261CAB2" w14:textId="77777777" w:rsidR="00972CDF" w:rsidRPr="00DF03FE" w:rsidRDefault="00972CDF" w:rsidP="00101E4A">
            <w:pPr>
              <w:pStyle w:val="AbbreviationsDefinitionsTerm"/>
            </w:pPr>
          </w:p>
          <w:p w14:paraId="2CAA0521" w14:textId="77777777" w:rsidR="00972CDF" w:rsidRPr="00DF03FE" w:rsidRDefault="00972CDF" w:rsidP="00101E4A">
            <w:pPr>
              <w:pStyle w:val="AbbreviationsDefinitionsTerm"/>
            </w:pPr>
          </w:p>
          <w:p w14:paraId="11937D36" w14:textId="77777777" w:rsidR="00972CDF" w:rsidRPr="00DF03FE" w:rsidRDefault="00972CDF" w:rsidP="00101E4A">
            <w:pPr>
              <w:pStyle w:val="AbbreviationsDefinitionsTerm"/>
            </w:pPr>
          </w:p>
          <w:p w14:paraId="62373943" w14:textId="77777777" w:rsidR="00972CDF" w:rsidRPr="00DF03FE" w:rsidRDefault="00972CDF" w:rsidP="00101E4A">
            <w:pPr>
              <w:pStyle w:val="AbbreviationsDefinitionsTerm"/>
            </w:pPr>
          </w:p>
        </w:tc>
        <w:tc>
          <w:tcPr>
            <w:tcW w:w="6555" w:type="dxa"/>
          </w:tcPr>
          <w:p w14:paraId="7B9CA577" w14:textId="77777777" w:rsidR="00972CDF" w:rsidRDefault="00972CDF" w:rsidP="006900B0">
            <w:pPr>
              <w:jc w:val="both"/>
              <w:rPr>
                <w:lang w:eastAsia="en-GB"/>
              </w:rPr>
            </w:pPr>
            <w:r w:rsidRPr="006D57DE">
              <w:rPr>
                <w:lang w:eastAsia="en-GB"/>
              </w:rPr>
              <w:t xml:space="preserve">Any </w:t>
            </w:r>
            <w:proofErr w:type="gramStart"/>
            <w:r w:rsidRPr="006D57DE">
              <w:rPr>
                <w:lang w:eastAsia="en-GB"/>
              </w:rPr>
              <w:t>health related</w:t>
            </w:r>
            <w:proofErr w:type="gramEnd"/>
            <w:r w:rsidRPr="006D57DE">
              <w:rPr>
                <w:lang w:eastAsia="en-GB"/>
              </w:rPr>
              <w:t xml:space="preserve"> research study on humans. This includes:</w:t>
            </w:r>
          </w:p>
          <w:p w14:paraId="4384B62C" w14:textId="77777777" w:rsidR="00972CDF" w:rsidRPr="00B33DC2" w:rsidRDefault="00972CDF" w:rsidP="006900B0">
            <w:pPr>
              <w:pStyle w:val="bullet2"/>
              <w:ind w:left="720" w:hanging="360"/>
              <w:rPr>
                <w:b/>
                <w:lang w:eastAsia="en-GB"/>
              </w:rPr>
            </w:pPr>
            <w:r>
              <w:rPr>
                <w:lang w:eastAsia="en-GB"/>
              </w:rPr>
              <w:t>s</w:t>
            </w:r>
            <w:r w:rsidRPr="00B33DC2">
              <w:rPr>
                <w:lang w:eastAsia="en-GB"/>
              </w:rPr>
              <w:t>tudy administering questionnaires/interviews for quantitative analysis, or using mixed quantitative/qualitative methodology</w:t>
            </w:r>
          </w:p>
          <w:p w14:paraId="554D9E35" w14:textId="77777777" w:rsidR="00972CDF" w:rsidRPr="00B33DC2" w:rsidRDefault="00972CDF" w:rsidP="006900B0">
            <w:pPr>
              <w:pStyle w:val="bullet2"/>
              <w:ind w:left="720" w:hanging="360"/>
              <w:rPr>
                <w:b/>
                <w:lang w:eastAsia="en-GB"/>
              </w:rPr>
            </w:pPr>
            <w:r>
              <w:rPr>
                <w:lang w:eastAsia="en-GB"/>
              </w:rPr>
              <w:t>s</w:t>
            </w:r>
            <w:r w:rsidRPr="00B33DC2">
              <w:rPr>
                <w:lang w:eastAsia="en-GB"/>
              </w:rPr>
              <w:t>tudy involving qualitative methods only</w:t>
            </w:r>
          </w:p>
          <w:p w14:paraId="1DBB4A7F" w14:textId="77777777" w:rsidR="00972CDF" w:rsidRPr="00B33DC2" w:rsidRDefault="00972CDF" w:rsidP="006900B0">
            <w:pPr>
              <w:pStyle w:val="bullet2"/>
              <w:ind w:left="720" w:hanging="360"/>
              <w:rPr>
                <w:b/>
                <w:lang w:eastAsia="en-GB"/>
              </w:rPr>
            </w:pPr>
            <w:r>
              <w:rPr>
                <w:lang w:eastAsia="en-GB"/>
              </w:rPr>
              <w:t>s</w:t>
            </w:r>
            <w:r w:rsidRPr="00B33DC2">
              <w:rPr>
                <w:lang w:eastAsia="en-GB"/>
              </w:rPr>
              <w:t>tudy limited to working with human tissue samples (or other human biological samples) and data (specific project only)</w:t>
            </w:r>
          </w:p>
          <w:p w14:paraId="3525AB8D" w14:textId="77777777" w:rsidR="00972CDF" w:rsidRPr="006D57DE" w:rsidRDefault="00972CDF" w:rsidP="006900B0">
            <w:pPr>
              <w:pStyle w:val="bullet2"/>
              <w:rPr>
                <w:lang w:eastAsia="en-GB"/>
              </w:rPr>
            </w:pPr>
            <w:r>
              <w:rPr>
                <w:lang w:eastAsia="en-GB"/>
              </w:rPr>
              <w:t>s</w:t>
            </w:r>
            <w:r w:rsidRPr="00B33DC2">
              <w:rPr>
                <w:lang w:eastAsia="en-GB"/>
              </w:rPr>
              <w:t>tudy limited to working with data (specific project only).</w:t>
            </w:r>
          </w:p>
        </w:tc>
      </w:tr>
      <w:tr w:rsidR="00972CDF" w14:paraId="0A4D4560" w14:textId="77777777" w:rsidTr="006900B0">
        <w:trPr>
          <w:cantSplit/>
        </w:trPr>
        <w:tc>
          <w:tcPr>
            <w:tcW w:w="2462" w:type="dxa"/>
          </w:tcPr>
          <w:p w14:paraId="1E0625CF" w14:textId="77777777" w:rsidR="00972CDF" w:rsidRPr="00DF03FE" w:rsidRDefault="00972CDF" w:rsidP="00101E4A">
            <w:pPr>
              <w:pStyle w:val="AbbreviationsDefinitionsTerm"/>
            </w:pPr>
            <w:r>
              <w:t>Clinical trial</w:t>
            </w:r>
          </w:p>
          <w:p w14:paraId="6CE53D61" w14:textId="77777777" w:rsidR="00972CDF" w:rsidRPr="00DF03FE" w:rsidRDefault="00972CDF" w:rsidP="00101E4A">
            <w:pPr>
              <w:pStyle w:val="AbbreviationsDefinitionsTerm"/>
            </w:pPr>
          </w:p>
          <w:p w14:paraId="3170AD02" w14:textId="77777777" w:rsidR="00972CDF" w:rsidRPr="00DF03FE" w:rsidRDefault="00972CDF" w:rsidP="00101E4A">
            <w:pPr>
              <w:pStyle w:val="AbbreviationsDefinitionsTerm"/>
            </w:pPr>
          </w:p>
          <w:p w14:paraId="4AAA0436" w14:textId="77777777" w:rsidR="00972CDF" w:rsidRPr="00DF03FE" w:rsidRDefault="00972CDF" w:rsidP="00101E4A">
            <w:pPr>
              <w:pStyle w:val="AbbreviationsDefinitionsTerm"/>
            </w:pPr>
          </w:p>
          <w:p w14:paraId="77706754" w14:textId="77777777" w:rsidR="00972CDF" w:rsidRPr="00DF03FE" w:rsidRDefault="00972CDF" w:rsidP="00101E4A">
            <w:pPr>
              <w:pStyle w:val="AbbreviationsDefinitionsTerm"/>
            </w:pPr>
          </w:p>
          <w:p w14:paraId="2E38E7F2" w14:textId="77777777" w:rsidR="00972CDF" w:rsidRPr="00DF03FE" w:rsidRDefault="00972CDF" w:rsidP="00101E4A">
            <w:pPr>
              <w:pStyle w:val="AbbreviationsDefinitionsTerm"/>
            </w:pPr>
          </w:p>
          <w:p w14:paraId="5826EE14" w14:textId="77777777" w:rsidR="00972CDF" w:rsidRPr="00DF03FE" w:rsidRDefault="00972CDF" w:rsidP="00101E4A">
            <w:pPr>
              <w:pStyle w:val="AbbreviationsDefinitionsTerm"/>
            </w:pPr>
          </w:p>
          <w:p w14:paraId="688853D3" w14:textId="77777777" w:rsidR="00972CDF" w:rsidRPr="00DF03FE" w:rsidRDefault="00972CDF" w:rsidP="00101E4A">
            <w:pPr>
              <w:pStyle w:val="AbbreviationsDefinitionsTerm"/>
            </w:pPr>
          </w:p>
          <w:p w14:paraId="5104A855" w14:textId="77777777" w:rsidR="00972CDF" w:rsidRPr="00DF03FE" w:rsidRDefault="00972CDF" w:rsidP="00101E4A">
            <w:pPr>
              <w:pStyle w:val="AbbreviationsDefinitionsTerm"/>
            </w:pPr>
          </w:p>
          <w:p w14:paraId="3ABAA72F" w14:textId="77777777" w:rsidR="00972CDF" w:rsidRPr="00DF03FE" w:rsidRDefault="00972CDF" w:rsidP="00101E4A">
            <w:pPr>
              <w:pStyle w:val="AbbreviationsDefinitionsTerm"/>
            </w:pPr>
          </w:p>
          <w:p w14:paraId="25AC9BE7" w14:textId="77777777" w:rsidR="00972CDF" w:rsidRPr="00DF03FE" w:rsidRDefault="00972CDF" w:rsidP="00101E4A">
            <w:pPr>
              <w:pStyle w:val="AbbreviationsDefinitionsTerm"/>
            </w:pPr>
          </w:p>
          <w:p w14:paraId="69E5C0FC" w14:textId="77777777" w:rsidR="00972CDF" w:rsidRPr="00DF03FE" w:rsidRDefault="00972CDF" w:rsidP="00101E4A">
            <w:pPr>
              <w:pStyle w:val="AbbreviationsDefinitionsTerm"/>
            </w:pPr>
          </w:p>
          <w:p w14:paraId="2E297C1C" w14:textId="77777777" w:rsidR="00972CDF" w:rsidRPr="00DF03FE" w:rsidRDefault="00972CDF" w:rsidP="00101E4A">
            <w:pPr>
              <w:pStyle w:val="AbbreviationsDefinitionsTerm"/>
            </w:pPr>
          </w:p>
        </w:tc>
        <w:tc>
          <w:tcPr>
            <w:tcW w:w="6555" w:type="dxa"/>
          </w:tcPr>
          <w:p w14:paraId="088AFB9E" w14:textId="77777777" w:rsidR="00972CDF" w:rsidRPr="00F60D52" w:rsidRDefault="00972CDF" w:rsidP="006900B0">
            <w:pPr>
              <w:pStyle w:val="AbbreviationsDefinitionsTerm"/>
            </w:pPr>
            <w:r w:rsidRPr="00F60D52">
              <w:t xml:space="preserve">For clinical trials </w:t>
            </w:r>
            <w:r>
              <w:t>of</w:t>
            </w:r>
            <w:r w:rsidRPr="00F60D52">
              <w:t xml:space="preserve"> an </w:t>
            </w:r>
            <w:r>
              <w:t>i</w:t>
            </w:r>
            <w:r w:rsidRPr="00F60D52">
              <w:t xml:space="preserve">nvestigational </w:t>
            </w:r>
            <w:r>
              <w:t>m</w:t>
            </w:r>
            <w:r w:rsidRPr="00F60D52">
              <w:t xml:space="preserve">edicinal </w:t>
            </w:r>
            <w:r>
              <w:t>p</w:t>
            </w:r>
            <w:r w:rsidRPr="00F60D52">
              <w:t>roduct</w:t>
            </w:r>
            <w:r>
              <w:t>(s)</w:t>
            </w:r>
            <w:r w:rsidRPr="00F60D52">
              <w:t>:</w:t>
            </w:r>
          </w:p>
          <w:p w14:paraId="56E38DC6" w14:textId="77777777" w:rsidR="00972CDF" w:rsidRDefault="00972CDF" w:rsidP="006900B0">
            <w:r w:rsidRPr="006D57DE">
              <w:t xml:space="preserve">Any investigation in human </w:t>
            </w:r>
            <w:r>
              <w:t>participants</w:t>
            </w:r>
            <w:r w:rsidRPr="006D57DE">
              <w:t xml:space="preserve"> intended to discover or verify the clinical, pharmacological and/or other pharmacodynamic effects of one or more </w:t>
            </w:r>
            <w:r>
              <w:t>i</w:t>
            </w:r>
            <w:r w:rsidRPr="006D57DE">
              <w:t xml:space="preserve">nvestigational </w:t>
            </w:r>
            <w:r>
              <w:t>m</w:t>
            </w:r>
            <w:r w:rsidRPr="006D57DE">
              <w:t xml:space="preserve">edicinal </w:t>
            </w:r>
            <w:r>
              <w:t>p</w:t>
            </w:r>
            <w:r w:rsidRPr="006D57DE">
              <w:t xml:space="preserve">roduct(s), and/or to identify any adverse reactions to one or more </w:t>
            </w:r>
            <w:r>
              <w:t>i</w:t>
            </w:r>
            <w:r w:rsidRPr="006D57DE">
              <w:t xml:space="preserve">nvestigational </w:t>
            </w:r>
            <w:r>
              <w:t>m</w:t>
            </w:r>
            <w:r w:rsidRPr="006D57DE">
              <w:t xml:space="preserve">edicinal </w:t>
            </w:r>
            <w:r>
              <w:t>p</w:t>
            </w:r>
            <w:r w:rsidRPr="006D57DE">
              <w:t xml:space="preserve">roduct(s) and/or to study absorption, distribution, </w:t>
            </w:r>
            <w:proofErr w:type="gramStart"/>
            <w:r w:rsidRPr="006D57DE">
              <w:t>metabolism</w:t>
            </w:r>
            <w:proofErr w:type="gramEnd"/>
            <w:r w:rsidRPr="006D57DE">
              <w:t xml:space="preserve"> and excretion of one or more </w:t>
            </w:r>
            <w:r>
              <w:t>i</w:t>
            </w:r>
            <w:r w:rsidRPr="006D57DE">
              <w:t xml:space="preserve">nvestigational </w:t>
            </w:r>
            <w:r>
              <w:t>m</w:t>
            </w:r>
            <w:r w:rsidRPr="006D57DE">
              <w:t xml:space="preserve">edicinal </w:t>
            </w:r>
            <w:r>
              <w:t>p</w:t>
            </w:r>
            <w:r w:rsidRPr="006D57DE">
              <w:t>roduct(s) with the object of ascertaining its (their) safety and/or efficacy.</w:t>
            </w:r>
            <w:r>
              <w:t xml:space="preserve"> See also ‘</w:t>
            </w:r>
            <w:r w:rsidRPr="00E23573">
              <w:t xml:space="preserve">Clinical </w:t>
            </w:r>
            <w:r>
              <w:t>t</w:t>
            </w:r>
            <w:r w:rsidRPr="00E23573">
              <w:t xml:space="preserve">rial of an </w:t>
            </w:r>
            <w:r>
              <w:t>i</w:t>
            </w:r>
            <w:r w:rsidRPr="00E23573">
              <w:t xml:space="preserve">nvestigational </w:t>
            </w:r>
            <w:r>
              <w:t>m</w:t>
            </w:r>
            <w:r w:rsidRPr="00E23573">
              <w:t xml:space="preserve">edicinal </w:t>
            </w:r>
            <w:r>
              <w:t>p</w:t>
            </w:r>
            <w:r w:rsidRPr="00E23573">
              <w:t>roduct (CTIMP)</w:t>
            </w:r>
            <w:r>
              <w:t>’.</w:t>
            </w:r>
          </w:p>
          <w:p w14:paraId="72C2D9AA" w14:textId="77777777" w:rsidR="00972CDF" w:rsidRPr="00F60D52" w:rsidRDefault="00972CDF" w:rsidP="006900B0">
            <w:pPr>
              <w:pStyle w:val="AbbreviationsDefinitionsTerm"/>
            </w:pPr>
            <w:r w:rsidRPr="00F60D52">
              <w:t>For all other clinical trials:</w:t>
            </w:r>
          </w:p>
          <w:p w14:paraId="38254ED0" w14:textId="77777777" w:rsidR="00972CDF" w:rsidRPr="006D57DE" w:rsidRDefault="00972CDF" w:rsidP="006900B0">
            <w:pPr>
              <w:jc w:val="both"/>
              <w:rPr>
                <w:lang w:eastAsia="en-GB"/>
              </w:rPr>
            </w:pPr>
            <w:r w:rsidRPr="006D57DE">
              <w:t xml:space="preserve">Prospective biomedical research on human </w:t>
            </w:r>
            <w:r>
              <w:t>participants</w:t>
            </w:r>
            <w:r w:rsidRPr="006D57DE">
              <w:t xml:space="preserve"> that </w:t>
            </w:r>
            <w:r>
              <w:t>is</w:t>
            </w:r>
            <w:r w:rsidRPr="006D57DE">
              <w:t xml:space="preserve"> conducted to allow safety (or more specifically, information about adverse drug reactions and adverse effects of other treatments) and efficacy data to be collected for health interventions. Examples include devices, </w:t>
            </w:r>
            <w:proofErr w:type="gramStart"/>
            <w:r w:rsidRPr="006D57DE">
              <w:t>surgery</w:t>
            </w:r>
            <w:proofErr w:type="gramEnd"/>
            <w:r w:rsidRPr="006D57DE">
              <w:t xml:space="preserve"> and radiotherapy trials.</w:t>
            </w:r>
          </w:p>
        </w:tc>
      </w:tr>
      <w:tr w:rsidR="00972CDF" w14:paraId="595960FF" w14:textId="77777777" w:rsidTr="006900B0">
        <w:trPr>
          <w:cantSplit/>
        </w:trPr>
        <w:tc>
          <w:tcPr>
            <w:tcW w:w="2462" w:type="dxa"/>
          </w:tcPr>
          <w:p w14:paraId="516B361C" w14:textId="77777777" w:rsidR="00972CDF" w:rsidRPr="00101E4A" w:rsidRDefault="00972CDF" w:rsidP="00101E4A">
            <w:pPr>
              <w:pStyle w:val="AbbreviationsDefinitionsTerm"/>
            </w:pPr>
            <w:r w:rsidRPr="00101E4A">
              <w:lastRenderedPageBreak/>
              <w:t xml:space="preserve">Clinical trial of an investigational medicinal product </w:t>
            </w:r>
          </w:p>
        </w:tc>
        <w:tc>
          <w:tcPr>
            <w:tcW w:w="6555" w:type="dxa"/>
          </w:tcPr>
          <w:p w14:paraId="1907BFE5" w14:textId="77777777" w:rsidR="00972CDF" w:rsidRPr="00B33DC2" w:rsidRDefault="00972CDF" w:rsidP="006900B0">
            <w:pPr>
              <w:jc w:val="both"/>
              <w:rPr>
                <w:lang w:eastAsia="en-GB"/>
              </w:rPr>
            </w:pPr>
            <w:r w:rsidRPr="006D57DE">
              <w:rPr>
                <w:lang w:eastAsia="en-GB"/>
              </w:rPr>
              <w:t xml:space="preserve">Any investigation in human </w:t>
            </w:r>
            <w:r>
              <w:rPr>
                <w:lang w:eastAsia="en-GB"/>
              </w:rPr>
              <w:t>participants</w:t>
            </w:r>
            <w:r w:rsidRPr="006D57DE">
              <w:rPr>
                <w:lang w:eastAsia="en-GB"/>
              </w:rPr>
              <w:t xml:space="preserve"> intended to discover or verify the clinical, pharmacological and/or other pharmacodynamic effects of one or more </w:t>
            </w:r>
            <w:r>
              <w:rPr>
                <w:lang w:eastAsia="en-GB"/>
              </w:rPr>
              <w:t>i</w:t>
            </w:r>
            <w:r w:rsidRPr="006D57DE">
              <w:rPr>
                <w:lang w:eastAsia="en-GB"/>
              </w:rPr>
              <w:t xml:space="preserve">nvestigational </w:t>
            </w:r>
            <w:r>
              <w:rPr>
                <w:lang w:eastAsia="en-GB"/>
              </w:rPr>
              <w:t>m</w:t>
            </w:r>
            <w:r w:rsidRPr="006D57DE">
              <w:rPr>
                <w:lang w:eastAsia="en-GB"/>
              </w:rPr>
              <w:t xml:space="preserve">edicinal </w:t>
            </w:r>
            <w:r>
              <w:rPr>
                <w:lang w:eastAsia="en-GB"/>
              </w:rPr>
              <w:t>p</w:t>
            </w:r>
            <w:r w:rsidRPr="006D57DE">
              <w:rPr>
                <w:lang w:eastAsia="en-GB"/>
              </w:rPr>
              <w:t xml:space="preserve">roduct(s), and/or to identify any adverse reactions to one or more </w:t>
            </w:r>
            <w:r>
              <w:rPr>
                <w:lang w:eastAsia="en-GB"/>
              </w:rPr>
              <w:t>i</w:t>
            </w:r>
            <w:r w:rsidRPr="006D57DE">
              <w:rPr>
                <w:lang w:eastAsia="en-GB"/>
              </w:rPr>
              <w:t xml:space="preserve">nvestigational </w:t>
            </w:r>
            <w:r>
              <w:rPr>
                <w:lang w:eastAsia="en-GB"/>
              </w:rPr>
              <w:t>m</w:t>
            </w:r>
            <w:r w:rsidRPr="006D57DE">
              <w:rPr>
                <w:lang w:eastAsia="en-GB"/>
              </w:rPr>
              <w:t xml:space="preserve">edicinal </w:t>
            </w:r>
            <w:r>
              <w:rPr>
                <w:lang w:eastAsia="en-GB"/>
              </w:rPr>
              <w:t>p</w:t>
            </w:r>
            <w:r w:rsidRPr="006D57DE">
              <w:rPr>
                <w:lang w:eastAsia="en-GB"/>
              </w:rPr>
              <w:t xml:space="preserve">roduct(s) and/or to study absorption, distribution, </w:t>
            </w:r>
            <w:proofErr w:type="gramStart"/>
            <w:r w:rsidRPr="006D57DE">
              <w:rPr>
                <w:lang w:eastAsia="en-GB"/>
              </w:rPr>
              <w:t>metabolism</w:t>
            </w:r>
            <w:proofErr w:type="gramEnd"/>
            <w:r w:rsidRPr="006D57DE">
              <w:rPr>
                <w:lang w:eastAsia="en-GB"/>
              </w:rPr>
              <w:t xml:space="preserve"> and excretion of one or more </w:t>
            </w:r>
            <w:r>
              <w:rPr>
                <w:lang w:eastAsia="en-GB"/>
              </w:rPr>
              <w:t>i</w:t>
            </w:r>
            <w:r w:rsidRPr="006D57DE">
              <w:rPr>
                <w:lang w:eastAsia="en-GB"/>
              </w:rPr>
              <w:t xml:space="preserve">nvestigational </w:t>
            </w:r>
            <w:r>
              <w:rPr>
                <w:lang w:eastAsia="en-GB"/>
              </w:rPr>
              <w:t>m</w:t>
            </w:r>
            <w:r w:rsidRPr="006D57DE">
              <w:rPr>
                <w:lang w:eastAsia="en-GB"/>
              </w:rPr>
              <w:t xml:space="preserve">edicinal </w:t>
            </w:r>
            <w:r>
              <w:rPr>
                <w:lang w:eastAsia="en-GB"/>
              </w:rPr>
              <w:t>p</w:t>
            </w:r>
            <w:r w:rsidRPr="006D57DE">
              <w:rPr>
                <w:lang w:eastAsia="en-GB"/>
              </w:rPr>
              <w:t>roduct(s) with the object of ascertaining its (their) safety and/or efficacy.</w:t>
            </w:r>
          </w:p>
        </w:tc>
      </w:tr>
      <w:tr w:rsidR="00972CDF" w14:paraId="0FFCDE77" w14:textId="77777777" w:rsidTr="006900B0">
        <w:trPr>
          <w:cantSplit/>
        </w:trPr>
        <w:tc>
          <w:tcPr>
            <w:tcW w:w="2462" w:type="dxa"/>
          </w:tcPr>
          <w:p w14:paraId="54EB084D" w14:textId="77777777" w:rsidR="00972CDF" w:rsidRPr="00101E4A" w:rsidRDefault="00972CDF" w:rsidP="00101E4A">
            <w:pPr>
              <w:pStyle w:val="AbbreviationsDefinitionsTerm"/>
            </w:pPr>
            <w:r w:rsidRPr="00101E4A">
              <w:t xml:space="preserve">Human biomaterial </w:t>
            </w:r>
          </w:p>
        </w:tc>
        <w:tc>
          <w:tcPr>
            <w:tcW w:w="6555" w:type="dxa"/>
            <w:vAlign w:val="center"/>
          </w:tcPr>
          <w:p w14:paraId="57AA60DE" w14:textId="77777777" w:rsidR="00972CDF" w:rsidRDefault="00972CDF" w:rsidP="006900B0">
            <w:r>
              <w:t xml:space="preserve">For clinical trials: samples taken from a human being to be analysed for the purposes of that clinical trial. This may include both HTA ‘relevant’ and ‘non-relevant’ material. </w:t>
            </w:r>
          </w:p>
          <w:p w14:paraId="3E52F7E5" w14:textId="77777777" w:rsidR="00972CDF" w:rsidRDefault="00972CDF" w:rsidP="006900B0">
            <w:r>
              <w:t>For clinical studies: samples of human tissue obtained for analysis.</w:t>
            </w:r>
          </w:p>
        </w:tc>
      </w:tr>
      <w:tr w:rsidR="00972CDF" w14:paraId="65505546" w14:textId="77777777" w:rsidTr="006900B0">
        <w:trPr>
          <w:cantSplit/>
        </w:trPr>
        <w:tc>
          <w:tcPr>
            <w:tcW w:w="2462" w:type="dxa"/>
          </w:tcPr>
          <w:p w14:paraId="72EF3FA3" w14:textId="77777777" w:rsidR="00972CDF" w:rsidRPr="00101E4A" w:rsidRDefault="00972CDF" w:rsidP="00101E4A">
            <w:pPr>
              <w:pStyle w:val="AbbreviationsDefinitionsTerm"/>
            </w:pPr>
            <w:r w:rsidRPr="00101E4A">
              <w:t>Human tissue</w:t>
            </w:r>
          </w:p>
        </w:tc>
        <w:tc>
          <w:tcPr>
            <w:tcW w:w="6555" w:type="dxa"/>
            <w:vAlign w:val="center"/>
          </w:tcPr>
          <w:p w14:paraId="5F694A32" w14:textId="77777777" w:rsidR="00972CDF" w:rsidRDefault="00972CDF" w:rsidP="006900B0">
            <w:proofErr w:type="gramStart"/>
            <w:r w:rsidRPr="00B871B7">
              <w:t>Any and all</w:t>
            </w:r>
            <w:proofErr w:type="gramEnd"/>
            <w:r w:rsidRPr="00B871B7">
              <w:t xml:space="preserve"> constituent part/s of the human body formed by cells.</w:t>
            </w:r>
          </w:p>
        </w:tc>
      </w:tr>
      <w:tr w:rsidR="00972CDF" w14:paraId="09642F6E" w14:textId="77777777" w:rsidTr="006900B0">
        <w:trPr>
          <w:cantSplit/>
        </w:trPr>
        <w:tc>
          <w:tcPr>
            <w:tcW w:w="2462" w:type="dxa"/>
          </w:tcPr>
          <w:p w14:paraId="55E45AF6" w14:textId="77777777" w:rsidR="00972CDF" w:rsidRPr="00101E4A" w:rsidRDefault="00972CDF" w:rsidP="00101E4A">
            <w:pPr>
              <w:pStyle w:val="AbbreviationsDefinitionsTerm"/>
            </w:pPr>
            <w:r w:rsidRPr="00101E4A">
              <w:t>Laboratory</w:t>
            </w:r>
          </w:p>
        </w:tc>
        <w:tc>
          <w:tcPr>
            <w:tcW w:w="6555" w:type="dxa"/>
            <w:vAlign w:val="center"/>
          </w:tcPr>
          <w:p w14:paraId="348264DD" w14:textId="77777777" w:rsidR="00972CDF" w:rsidRDefault="00972CDF" w:rsidP="006900B0">
            <w:r w:rsidRPr="007A2552">
              <w:rPr>
                <w:bCs/>
              </w:rPr>
              <w:t xml:space="preserve">A </w:t>
            </w:r>
            <w:r>
              <w:t xml:space="preserve">facility that conducts manipulation, analysis or evaluation of samples collected as part of a clinical trial; such analysis or evaluation may include the generation of pharmacokinetic or pharmacodynamic data, safety data, primary efficacy data, histopathology data or data used to support any other stated primary, </w:t>
            </w:r>
            <w:proofErr w:type="gramStart"/>
            <w:r>
              <w:t>secondary</w:t>
            </w:r>
            <w:proofErr w:type="gramEnd"/>
            <w:r>
              <w:t xml:space="preserve"> and exploratory end point.</w:t>
            </w:r>
          </w:p>
        </w:tc>
      </w:tr>
      <w:tr w:rsidR="00972CDF" w14:paraId="43DFD577" w14:textId="77777777" w:rsidTr="006900B0">
        <w:trPr>
          <w:cantSplit/>
        </w:trPr>
        <w:tc>
          <w:tcPr>
            <w:tcW w:w="2462" w:type="dxa"/>
          </w:tcPr>
          <w:p w14:paraId="637C4AD4" w14:textId="77777777" w:rsidR="00972CDF" w:rsidRPr="00101E4A" w:rsidRDefault="00972CDF" w:rsidP="00101E4A">
            <w:pPr>
              <w:pStyle w:val="AbbreviationsDefinitionsTerm"/>
            </w:pPr>
            <w:r w:rsidRPr="00101E4A">
              <w:t>Laboratory academic lead (LAL)</w:t>
            </w:r>
          </w:p>
        </w:tc>
        <w:tc>
          <w:tcPr>
            <w:tcW w:w="6555" w:type="dxa"/>
            <w:vAlign w:val="center"/>
          </w:tcPr>
          <w:p w14:paraId="324F85E0" w14:textId="77777777" w:rsidR="00972CDF" w:rsidRDefault="00972CDF" w:rsidP="006900B0">
            <w:r>
              <w:t xml:space="preserve">Referred to as ‘Laboratory Manager’ and ‘Analytical Manager’ in the </w:t>
            </w:r>
            <w:r w:rsidRPr="00433125">
              <w:rPr>
                <w:i/>
              </w:rPr>
              <w:t>Reflection paper for laboratories that perform the analyses or evaluation of clinical trial samples (2012), European Medical Agency</w:t>
            </w:r>
            <w:r w:rsidRPr="009B7D21">
              <w:t xml:space="preserve">. </w:t>
            </w:r>
          </w:p>
          <w:p w14:paraId="2FCFBA91" w14:textId="77777777" w:rsidR="00972CDF" w:rsidRDefault="00972CDF" w:rsidP="006900B0">
            <w:r>
              <w:t>The individual(s) having the authority and formal responsibility for the organisation and functioning of a laboratory where work that forms part of a clinical trial is conducted.</w:t>
            </w:r>
          </w:p>
          <w:p w14:paraId="4F351E7F" w14:textId="77777777" w:rsidR="00972CDF" w:rsidRPr="007A2552" w:rsidRDefault="00972CDF" w:rsidP="006900B0">
            <w:pPr>
              <w:rPr>
                <w:bCs/>
              </w:rPr>
            </w:pPr>
            <w:r>
              <w:t>It is expected that this role will be assigned to the principal investigator of the laboratory and that they will in turn delegate some of the duties to other members of the laboratory’s team.</w:t>
            </w:r>
          </w:p>
        </w:tc>
      </w:tr>
      <w:tr w:rsidR="00972CDF" w14:paraId="5A7DD80E" w14:textId="77777777" w:rsidTr="006900B0">
        <w:trPr>
          <w:cantSplit/>
        </w:trPr>
        <w:tc>
          <w:tcPr>
            <w:tcW w:w="2462" w:type="dxa"/>
          </w:tcPr>
          <w:p w14:paraId="7D0CFC36" w14:textId="77777777" w:rsidR="00972CDF" w:rsidRPr="00101E4A" w:rsidRDefault="00972CDF" w:rsidP="00101E4A">
            <w:pPr>
              <w:pStyle w:val="AbbreviationsDefinitionsTerm"/>
            </w:pPr>
            <w:r w:rsidRPr="00101E4A">
              <w:t>Laboratory master file (LMF)</w:t>
            </w:r>
          </w:p>
        </w:tc>
        <w:tc>
          <w:tcPr>
            <w:tcW w:w="6555" w:type="dxa"/>
            <w:vAlign w:val="center"/>
          </w:tcPr>
          <w:p w14:paraId="7634967B" w14:textId="77777777" w:rsidR="00972CDF" w:rsidRDefault="00972CDF" w:rsidP="006900B0">
            <w:r>
              <w:t>A file containing evidence and documentation to demonstrate compliance with the applicable standard in the laboratory (</w:t>
            </w:r>
            <w:proofErr w:type="gramStart"/>
            <w:r>
              <w:t>i.e.</w:t>
            </w:r>
            <w:proofErr w:type="gramEnd"/>
            <w:r>
              <w:t xml:space="preserve"> human tissue standard or GCP in the laboratory) (see </w:t>
            </w:r>
            <w:r w:rsidRPr="00B60201">
              <w:rPr>
                <w:rStyle w:val="ReferencestootherSOPsQCDsChar"/>
              </w:rPr>
              <w:t xml:space="preserve">UoB-CRL-QCD-001 Setting </w:t>
            </w:r>
            <w:r>
              <w:rPr>
                <w:rStyle w:val="ReferencestootherSOPsQCDsChar"/>
              </w:rPr>
              <w:t>U</w:t>
            </w:r>
            <w:r w:rsidRPr="00B60201">
              <w:rPr>
                <w:rStyle w:val="ReferencestootherSOPsQCDsChar"/>
              </w:rPr>
              <w:t>p a Laboratory Master File</w:t>
            </w:r>
            <w:r w:rsidRPr="000F512C">
              <w:t>)</w:t>
            </w:r>
            <w:r>
              <w:t>.</w:t>
            </w:r>
          </w:p>
        </w:tc>
      </w:tr>
      <w:tr w:rsidR="00972CDF" w14:paraId="3834858E" w14:textId="77777777" w:rsidTr="006900B0">
        <w:trPr>
          <w:cantSplit/>
        </w:trPr>
        <w:tc>
          <w:tcPr>
            <w:tcW w:w="2462" w:type="dxa"/>
          </w:tcPr>
          <w:p w14:paraId="28D6762A" w14:textId="77777777" w:rsidR="00972CDF" w:rsidRPr="00101E4A" w:rsidRDefault="00972CDF" w:rsidP="00101E4A">
            <w:pPr>
              <w:pStyle w:val="AbbreviationsDefinitionsTerm"/>
            </w:pPr>
            <w:r w:rsidRPr="00101E4A">
              <w:t>Non-CTIMP</w:t>
            </w:r>
          </w:p>
        </w:tc>
        <w:tc>
          <w:tcPr>
            <w:tcW w:w="6555" w:type="dxa"/>
          </w:tcPr>
          <w:p w14:paraId="4680045F" w14:textId="77777777" w:rsidR="00972CDF" w:rsidRDefault="00972CDF" w:rsidP="006900B0">
            <w:r w:rsidRPr="006D57DE">
              <w:t xml:space="preserve">Any clinical trial </w:t>
            </w:r>
            <w:r>
              <w:t>that</w:t>
            </w:r>
            <w:r w:rsidRPr="006D57DE">
              <w:t xml:space="preserve"> is not a CTIMP</w:t>
            </w:r>
            <w:r>
              <w:t>. See also ‘Clinical trial’.</w:t>
            </w:r>
          </w:p>
        </w:tc>
      </w:tr>
      <w:tr w:rsidR="00972CDF" w14:paraId="68643261" w14:textId="77777777" w:rsidTr="006900B0">
        <w:trPr>
          <w:cantSplit/>
        </w:trPr>
        <w:tc>
          <w:tcPr>
            <w:tcW w:w="2462" w:type="dxa"/>
          </w:tcPr>
          <w:p w14:paraId="51F478A5" w14:textId="77777777" w:rsidR="00972CDF" w:rsidRPr="00101E4A" w:rsidRDefault="00972CDF" w:rsidP="00101E4A">
            <w:pPr>
              <w:pStyle w:val="AbbreviationsDefinitionsTerm"/>
            </w:pPr>
            <w:r w:rsidRPr="00101E4A">
              <w:t>Relevant material</w:t>
            </w:r>
          </w:p>
        </w:tc>
        <w:tc>
          <w:tcPr>
            <w:tcW w:w="6555" w:type="dxa"/>
          </w:tcPr>
          <w:p w14:paraId="2AC52689" w14:textId="77777777" w:rsidR="00972CDF" w:rsidRPr="00410FD4" w:rsidRDefault="00972CDF" w:rsidP="006900B0">
            <w:r w:rsidRPr="0094222F">
              <w:t>As defined by the Human Tissue Act: material, other than gametes, which consists of or includes human cells, does not include embryos outside the human body, or hair and nail from the body of a living person.</w:t>
            </w:r>
          </w:p>
        </w:tc>
      </w:tr>
    </w:tbl>
    <w:p w14:paraId="66EDA08E" w14:textId="77777777" w:rsidR="00972CDF" w:rsidRDefault="00972CDF" w:rsidP="00972CDF">
      <w:r w:rsidRPr="009C2C63">
        <w:t xml:space="preserve">See also the </w:t>
      </w:r>
      <w:hyperlink r:id="rId24" w:tooltip="Link to CRCT Glossary of Terms" w:history="1">
        <w:r w:rsidRPr="00994EB6">
          <w:rPr>
            <w:rStyle w:val="Hyperlink"/>
          </w:rPr>
          <w:t>Glossary of Terms</w:t>
        </w:r>
      </w:hyperlink>
      <w:r w:rsidRPr="009C2C63">
        <w:t>.</w:t>
      </w:r>
    </w:p>
    <w:p w14:paraId="6504890B" w14:textId="77777777" w:rsidR="000374CB" w:rsidRDefault="000374CB" w:rsidP="00972CDF">
      <w:pPr>
        <w:pStyle w:val="Heading1"/>
      </w:pPr>
    </w:p>
    <w:sectPr w:rsidR="000374CB" w:rsidSect="003A24EB">
      <w:headerReference w:type="even" r:id="rId25"/>
      <w:headerReference w:type="default" r:id="rId26"/>
      <w:footerReference w:type="even" r:id="rId27"/>
      <w:footerReference w:type="default" r:id="rId28"/>
      <w:headerReference w:type="first" r:id="rId29"/>
      <w:footerReference w:type="first" r:id="rId30"/>
      <w:pgSz w:w="11907" w:h="16839" w:code="9"/>
      <w:pgMar w:top="1440" w:right="1440" w:bottom="1440" w:left="1440" w:header="567" w:footer="397" w:gutter="0"/>
      <w:pgBorders>
        <w:top w:val="single" w:sz="12" w:space="3" w:color="943634"/>
        <w:bottom w:val="single" w:sz="12" w:space="3" w:color="94363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6C881" w14:textId="77777777" w:rsidR="00972CDF" w:rsidRDefault="00972CDF" w:rsidP="00F46DE6">
      <w:r>
        <w:separator/>
      </w:r>
    </w:p>
    <w:p w14:paraId="2056F07B" w14:textId="77777777" w:rsidR="00972CDF" w:rsidRDefault="00972CDF" w:rsidP="00F46DE6"/>
  </w:endnote>
  <w:endnote w:type="continuationSeparator" w:id="0">
    <w:p w14:paraId="39704E97" w14:textId="77777777" w:rsidR="00972CDF" w:rsidRDefault="00972CDF" w:rsidP="00F46DE6">
      <w:r>
        <w:continuationSeparator/>
      </w:r>
    </w:p>
    <w:p w14:paraId="2483D2DF" w14:textId="77777777" w:rsidR="00972CDF" w:rsidRDefault="00972CDF" w:rsidP="00F46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ED175" w14:textId="77777777" w:rsidR="00DD3075" w:rsidRDefault="00276842" w:rsidP="00276842">
    <w:pPr>
      <w:pStyle w:val="propertystatement"/>
    </w:pPr>
    <w:r w:rsidRPr="002D6577">
      <w:t xml:space="preserve">Property of </w:t>
    </w:r>
    <w:r>
      <w:t xml:space="preserve">the </w:t>
    </w:r>
    <w:r w:rsidRPr="002D6577">
      <w:t>University of Birmingham, Vincent Drive, Edgbaston, Birmingham, B15 2TT, United Kingdom</w:t>
    </w:r>
  </w:p>
  <w:p w14:paraId="4226751B" w14:textId="77777777" w:rsidR="00DD3075" w:rsidRPr="001348DC" w:rsidRDefault="00DD3075" w:rsidP="00DD3075">
    <w:pPr>
      <w:pStyle w:val="propertystatement"/>
    </w:pPr>
    <w:r w:rsidRPr="001348DC">
      <w:t>Copies are only valid for 14 days and may be subject to amendment a</w:t>
    </w:r>
    <w:r>
      <w:t>t any time. For the latest version refer to:</w:t>
    </w:r>
    <w:r w:rsidRPr="001348DC">
      <w:t xml:space="preserve"> </w:t>
    </w:r>
  </w:p>
  <w:p w14:paraId="58677389" w14:textId="77777777" w:rsidR="00276842" w:rsidRDefault="00D94851" w:rsidP="00DD3075">
    <w:pPr>
      <w:pStyle w:val="propertystatement"/>
    </w:pPr>
    <w:hyperlink r:id="rId1" w:history="1">
      <w:r w:rsidR="00DD3075" w:rsidRPr="00D317E8">
        <w:rPr>
          <w:rStyle w:val="Hyperlink"/>
        </w:rPr>
        <w:t>http://www.birmingham.ac.uk/research/activity/mds/mds-rkto/governance/index.aspx</w:t>
      </w:r>
    </w:hyperlink>
  </w:p>
  <w:p w14:paraId="13C829BC" w14:textId="77777777" w:rsidR="00D33108" w:rsidRPr="002D6577" w:rsidRDefault="00D33108" w:rsidP="006B351B">
    <w:pPr>
      <w:pStyle w:val="Footer"/>
      <w:jc w:val="both"/>
      <w:rPr>
        <w:bCs/>
        <w:iCs/>
        <w:szCs w:val="28"/>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35470" w14:textId="77777777" w:rsidR="00D17200" w:rsidRDefault="00D17200" w:rsidP="009E44AF">
    <w:pPr>
      <w:pStyle w:val="Footer"/>
      <w:jc w:val="center"/>
    </w:pPr>
    <w:r w:rsidRPr="002D6577">
      <w:t xml:space="preserve">Property of </w:t>
    </w:r>
    <w:r>
      <w:t xml:space="preserve">the </w:t>
    </w:r>
    <w:r w:rsidRPr="002D6577">
      <w:t>University of Birmingham, Vincent Drive, Edgbaston, Birmingham, B15 2TT, United Kingdom</w:t>
    </w:r>
    <w:r w:rsidR="008F795D">
      <w:t>.</w:t>
    </w:r>
  </w:p>
  <w:p w14:paraId="173B2149" w14:textId="77777777" w:rsidR="00D17200" w:rsidRPr="001348DC" w:rsidRDefault="00D17200" w:rsidP="009E44AF">
    <w:pPr>
      <w:pStyle w:val="Footer"/>
      <w:jc w:val="center"/>
    </w:pPr>
    <w:r w:rsidRPr="001348DC">
      <w:t>Copies are only valid for 14 days and may be subject to amendment a</w:t>
    </w:r>
    <w:r>
      <w:t>t any time. For the latest version refer to:</w:t>
    </w:r>
  </w:p>
  <w:p w14:paraId="5278A3C4" w14:textId="77777777" w:rsidR="00D17200" w:rsidRDefault="00D94851" w:rsidP="00D17200">
    <w:pPr>
      <w:pStyle w:val="propertystatement"/>
    </w:pPr>
    <w:hyperlink r:id="rId1" w:tooltip="Website for the Clinical Research Compliance Team" w:history="1">
      <w:r w:rsidR="00C31D63">
        <w:rPr>
          <w:rStyle w:val="Hyperlink"/>
        </w:rPr>
        <w:t>birmingham.ac.uk/crct</w:t>
      </w:r>
    </w:hyperlink>
    <w:r w:rsidR="008F795D">
      <w:t xml:space="preserve"> </w:t>
    </w:r>
  </w:p>
  <w:p w14:paraId="792F8385" w14:textId="77777777" w:rsidR="00D17200" w:rsidRDefault="00D172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D4503" w14:textId="77777777" w:rsidR="003E43E4" w:rsidRDefault="00D948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1441"/>
      <w:gridCol w:w="3073"/>
      <w:gridCol w:w="3401"/>
      <w:gridCol w:w="1112"/>
    </w:tblGrid>
    <w:tr w:rsidR="003E43E4" w:rsidRPr="002D6577" w14:paraId="3C0C6FD0" w14:textId="77777777" w:rsidTr="003A24EB">
      <w:trPr>
        <w:trHeight w:val="148"/>
      </w:trPr>
      <w:tc>
        <w:tcPr>
          <w:tcW w:w="1441" w:type="dxa"/>
          <w:tcMar>
            <w:top w:w="0" w:type="dxa"/>
            <w:left w:w="57" w:type="dxa"/>
            <w:bottom w:w="0" w:type="dxa"/>
            <w:right w:w="57" w:type="dxa"/>
          </w:tcMar>
          <w:vAlign w:val="center"/>
        </w:tcPr>
        <w:p w14:paraId="5067A424" w14:textId="77777777" w:rsidR="003E43E4" w:rsidRPr="001C6EFB" w:rsidRDefault="00972CDF" w:rsidP="007C7A88">
          <w:pPr>
            <w:pStyle w:val="Footer"/>
          </w:pPr>
          <w:r w:rsidRPr="001C6EFB">
            <w:t>Document code:</w:t>
          </w:r>
        </w:p>
      </w:tc>
      <w:tc>
        <w:tcPr>
          <w:tcW w:w="3073" w:type="dxa"/>
          <w:tcMar>
            <w:top w:w="0" w:type="dxa"/>
            <w:left w:w="57" w:type="dxa"/>
            <w:bottom w:w="0" w:type="dxa"/>
            <w:right w:w="57" w:type="dxa"/>
          </w:tcMar>
          <w:vAlign w:val="center"/>
        </w:tcPr>
        <w:p w14:paraId="3310E3C7" w14:textId="77777777" w:rsidR="003E43E4" w:rsidRPr="001C6EFB" w:rsidRDefault="00972CDF" w:rsidP="0060052C">
          <w:pPr>
            <w:pStyle w:val="Footer"/>
          </w:pPr>
          <w:r>
            <w:t>UoB-CRL-SOP-003</w:t>
          </w:r>
        </w:p>
      </w:tc>
      <w:tc>
        <w:tcPr>
          <w:tcW w:w="3401" w:type="dxa"/>
          <w:tcMar>
            <w:top w:w="0" w:type="dxa"/>
            <w:left w:w="57" w:type="dxa"/>
            <w:bottom w:w="0" w:type="dxa"/>
            <w:right w:w="57" w:type="dxa"/>
          </w:tcMar>
          <w:vAlign w:val="center"/>
        </w:tcPr>
        <w:p w14:paraId="29FF15F2" w14:textId="77777777" w:rsidR="003E43E4" w:rsidRPr="001C6EFB" w:rsidRDefault="00972CDF" w:rsidP="00163F57">
          <w:pPr>
            <w:pStyle w:val="Footer"/>
            <w:jc w:val="right"/>
          </w:pPr>
          <w:r w:rsidRPr="001C6EFB">
            <w:t>Print Date:</w:t>
          </w:r>
        </w:p>
      </w:tc>
      <w:tc>
        <w:tcPr>
          <w:tcW w:w="1112" w:type="dxa"/>
          <w:tcMar>
            <w:top w:w="0" w:type="dxa"/>
            <w:left w:w="57" w:type="dxa"/>
            <w:bottom w:w="0" w:type="dxa"/>
            <w:right w:w="57" w:type="dxa"/>
          </w:tcMar>
          <w:vAlign w:val="center"/>
        </w:tcPr>
        <w:p w14:paraId="39F9B7C9" w14:textId="059759D2" w:rsidR="003E43E4" w:rsidRPr="001C6EFB" w:rsidRDefault="00972CDF" w:rsidP="00163F57">
          <w:pPr>
            <w:pStyle w:val="Footer"/>
            <w:jc w:val="right"/>
          </w:pPr>
          <w:r>
            <w:fldChar w:fldCharType="begin"/>
          </w:r>
          <w:r>
            <w:instrText xml:space="preserve"> DATE  \@ "dd-MMM-yyyy"  \* MERGEFORMAT </w:instrText>
          </w:r>
          <w:r>
            <w:fldChar w:fldCharType="separate"/>
          </w:r>
          <w:r w:rsidR="00D94851">
            <w:rPr>
              <w:noProof/>
            </w:rPr>
            <w:t>16-Feb-2022</w:t>
          </w:r>
          <w:r>
            <w:fldChar w:fldCharType="end"/>
          </w:r>
        </w:p>
      </w:tc>
    </w:tr>
    <w:tr w:rsidR="003E43E4" w:rsidRPr="002D6577" w14:paraId="6FEEAABA" w14:textId="77777777" w:rsidTr="003A24EB">
      <w:tc>
        <w:tcPr>
          <w:tcW w:w="1441" w:type="dxa"/>
          <w:tcMar>
            <w:top w:w="0" w:type="dxa"/>
            <w:left w:w="57" w:type="dxa"/>
            <w:bottom w:w="0" w:type="dxa"/>
            <w:right w:w="57" w:type="dxa"/>
          </w:tcMar>
          <w:vAlign w:val="center"/>
        </w:tcPr>
        <w:p w14:paraId="442A5794" w14:textId="77777777" w:rsidR="003E43E4" w:rsidRPr="001C6EFB" w:rsidRDefault="00972CDF" w:rsidP="007C7A88">
          <w:pPr>
            <w:pStyle w:val="Footer"/>
          </w:pPr>
          <w:r w:rsidRPr="001C6EFB">
            <w:t>Version no:</w:t>
          </w:r>
        </w:p>
      </w:tc>
      <w:tc>
        <w:tcPr>
          <w:tcW w:w="3073" w:type="dxa"/>
          <w:tcMar>
            <w:top w:w="0" w:type="dxa"/>
            <w:left w:w="57" w:type="dxa"/>
            <w:bottom w:w="0" w:type="dxa"/>
            <w:right w:w="57" w:type="dxa"/>
          </w:tcMar>
          <w:vAlign w:val="center"/>
        </w:tcPr>
        <w:p w14:paraId="276E9A84" w14:textId="77777777" w:rsidR="003E43E4" w:rsidRPr="001C6EFB" w:rsidRDefault="00972CDF" w:rsidP="007C7A88">
          <w:pPr>
            <w:pStyle w:val="Footer"/>
          </w:pPr>
          <w:r>
            <w:t>3.0</w:t>
          </w:r>
        </w:p>
      </w:tc>
      <w:tc>
        <w:tcPr>
          <w:tcW w:w="3401" w:type="dxa"/>
          <w:tcMar>
            <w:top w:w="0" w:type="dxa"/>
            <w:left w:w="57" w:type="dxa"/>
            <w:bottom w:w="0" w:type="dxa"/>
            <w:right w:w="57" w:type="dxa"/>
          </w:tcMar>
          <w:vAlign w:val="center"/>
        </w:tcPr>
        <w:p w14:paraId="592A73F2" w14:textId="77777777" w:rsidR="003E43E4" w:rsidRPr="001C6EFB" w:rsidRDefault="00972CDF" w:rsidP="00163F57">
          <w:pPr>
            <w:pStyle w:val="Footer"/>
            <w:jc w:val="right"/>
          </w:pPr>
          <w:r w:rsidRPr="001C6EFB">
            <w:t>Page:</w:t>
          </w:r>
        </w:p>
      </w:tc>
      <w:tc>
        <w:tcPr>
          <w:tcW w:w="1112" w:type="dxa"/>
          <w:tcMar>
            <w:top w:w="0" w:type="dxa"/>
            <w:left w:w="57" w:type="dxa"/>
            <w:bottom w:w="0" w:type="dxa"/>
            <w:right w:w="57" w:type="dxa"/>
          </w:tcMar>
          <w:vAlign w:val="center"/>
        </w:tcPr>
        <w:p w14:paraId="4CAEFB62" w14:textId="77777777" w:rsidR="003E43E4" w:rsidRPr="001C6EFB" w:rsidRDefault="00972CDF" w:rsidP="0060052C">
          <w:pPr>
            <w:pStyle w:val="Footer"/>
            <w:jc w:val="right"/>
          </w:pPr>
          <w:r w:rsidRPr="001C6EFB">
            <w:t xml:space="preserve"> </w:t>
          </w:r>
          <w:r>
            <w:fldChar w:fldCharType="begin"/>
          </w:r>
          <w:r>
            <w:instrText xml:space="preserve"> PAGE   \* MERGEFORMAT </w:instrText>
          </w:r>
          <w:r>
            <w:fldChar w:fldCharType="separate"/>
          </w:r>
          <w:r>
            <w:rPr>
              <w:noProof/>
            </w:rPr>
            <w:t>2</w:t>
          </w:r>
          <w:r>
            <w:fldChar w:fldCharType="end"/>
          </w:r>
          <w:r w:rsidRPr="001C6EFB">
            <w:t xml:space="preserve"> of </w:t>
          </w:r>
          <w:r w:rsidR="00D94851">
            <w:fldChar w:fldCharType="begin"/>
          </w:r>
          <w:r w:rsidR="00D94851">
            <w:instrText xml:space="preserve"> NUMPAGES   \* MERGEFORMAT </w:instrText>
          </w:r>
          <w:r w:rsidR="00D94851">
            <w:fldChar w:fldCharType="separate"/>
          </w:r>
          <w:r>
            <w:rPr>
              <w:noProof/>
            </w:rPr>
            <w:t>8</w:t>
          </w:r>
          <w:r w:rsidR="00D94851">
            <w:rPr>
              <w:noProof/>
            </w:rPr>
            <w:fldChar w:fldCharType="end"/>
          </w:r>
        </w:p>
      </w:tc>
    </w:tr>
  </w:tbl>
  <w:p w14:paraId="32189064" w14:textId="77777777" w:rsidR="003E43E4" w:rsidRPr="003A24EB" w:rsidRDefault="00D94851" w:rsidP="003A24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EDC3" w14:textId="77777777" w:rsidR="003E43E4" w:rsidRDefault="00D94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A63C7" w14:textId="77777777" w:rsidR="00972CDF" w:rsidRDefault="00972CDF" w:rsidP="00F46DE6">
      <w:r>
        <w:separator/>
      </w:r>
    </w:p>
    <w:p w14:paraId="7BA2C200" w14:textId="77777777" w:rsidR="00972CDF" w:rsidRDefault="00972CDF" w:rsidP="00F46DE6"/>
  </w:footnote>
  <w:footnote w:type="continuationSeparator" w:id="0">
    <w:p w14:paraId="54AA0778" w14:textId="77777777" w:rsidR="00972CDF" w:rsidRDefault="00972CDF" w:rsidP="00F46DE6">
      <w:r>
        <w:continuationSeparator/>
      </w:r>
    </w:p>
    <w:p w14:paraId="19ED5891" w14:textId="77777777" w:rsidR="00972CDF" w:rsidRDefault="00972CDF" w:rsidP="00F46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BCFB7" w14:textId="77777777" w:rsidR="00A91AC7" w:rsidRDefault="00FF0711" w:rsidP="00A91AC7">
    <w:pPr>
      <w:pStyle w:val="propertystatement"/>
      <w:jc w:val="left"/>
    </w:pPr>
    <w:r w:rsidRPr="00F16569">
      <w:rPr>
        <w:noProof/>
        <w:lang w:eastAsia="en-GB"/>
      </w:rPr>
      <w:drawing>
        <wp:anchor distT="0" distB="0" distL="114300" distR="114300" simplePos="0" relativeHeight="251658240" behindDoc="0" locked="0" layoutInCell="1" allowOverlap="1" wp14:anchorId="0C4FEA07" wp14:editId="70D1BCD9">
          <wp:simplePos x="0" y="0"/>
          <wp:positionH relativeFrom="column">
            <wp:posOffset>-301625</wp:posOffset>
          </wp:positionH>
          <wp:positionV relativeFrom="page">
            <wp:posOffset>1050925</wp:posOffset>
          </wp:positionV>
          <wp:extent cx="2705100" cy="10629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5100" cy="1062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A91AC7" w14:paraId="213F94FB" w14:textId="77777777" w:rsidTr="005F734C">
      <w:trPr>
        <w:trHeight w:val="278"/>
        <w:tblHeader/>
      </w:trPr>
      <w:tc>
        <w:tcPr>
          <w:tcW w:w="1668" w:type="dxa"/>
          <w:vAlign w:val="center"/>
        </w:tcPr>
        <w:p w14:paraId="12DC99B1" w14:textId="77777777" w:rsidR="00A91AC7" w:rsidRDefault="00A91AC7" w:rsidP="00A91AC7">
          <w:pPr>
            <w:pStyle w:val="Footer"/>
          </w:pPr>
          <w:r w:rsidRPr="001C6EFB">
            <w:t>Document code:</w:t>
          </w:r>
        </w:p>
      </w:tc>
      <w:tc>
        <w:tcPr>
          <w:tcW w:w="2310" w:type="dxa"/>
          <w:vAlign w:val="center"/>
        </w:tcPr>
        <w:p w14:paraId="3400E435" w14:textId="3A2883D7" w:rsidR="00A91AC7" w:rsidRDefault="00A91AC7" w:rsidP="00A91AC7">
          <w:pPr>
            <w:pStyle w:val="Footer"/>
            <w:jc w:val="right"/>
          </w:pPr>
          <w:r>
            <w:t>UoB-</w:t>
          </w:r>
          <w:r w:rsidR="00972CDF">
            <w:t>CRL-SOP-003</w:t>
          </w:r>
        </w:p>
      </w:tc>
    </w:tr>
    <w:tr w:rsidR="00A91AC7" w14:paraId="343FCBB2" w14:textId="77777777" w:rsidTr="005F734C">
      <w:trPr>
        <w:trHeight w:val="278"/>
      </w:trPr>
      <w:tc>
        <w:tcPr>
          <w:tcW w:w="1668" w:type="dxa"/>
          <w:vAlign w:val="center"/>
        </w:tcPr>
        <w:p w14:paraId="1F431EDA" w14:textId="77777777" w:rsidR="00A91AC7" w:rsidRDefault="00A91AC7" w:rsidP="00A91AC7">
          <w:pPr>
            <w:pStyle w:val="Footer"/>
          </w:pPr>
          <w:r w:rsidRPr="001C6EFB">
            <w:t>Version no:</w:t>
          </w:r>
        </w:p>
      </w:tc>
      <w:tc>
        <w:tcPr>
          <w:tcW w:w="2310" w:type="dxa"/>
          <w:vAlign w:val="center"/>
        </w:tcPr>
        <w:p w14:paraId="6D03577A" w14:textId="65371B27" w:rsidR="00A91AC7" w:rsidRDefault="00972CDF" w:rsidP="00A91AC7">
          <w:pPr>
            <w:pStyle w:val="Footer"/>
            <w:jc w:val="right"/>
          </w:pPr>
          <w:r>
            <w:t>3.0</w:t>
          </w:r>
        </w:p>
      </w:tc>
    </w:tr>
    <w:tr w:rsidR="00A91AC7" w14:paraId="6A1A26A0" w14:textId="77777777" w:rsidTr="005F734C">
      <w:trPr>
        <w:trHeight w:val="278"/>
      </w:trPr>
      <w:tc>
        <w:tcPr>
          <w:tcW w:w="1668" w:type="dxa"/>
          <w:vAlign w:val="center"/>
        </w:tcPr>
        <w:p w14:paraId="0E76468E" w14:textId="77777777" w:rsidR="00A91AC7" w:rsidRDefault="00A91AC7" w:rsidP="00A91AC7">
          <w:pPr>
            <w:pStyle w:val="Footer"/>
          </w:pPr>
          <w:r>
            <w:t>Effective date:</w:t>
          </w:r>
        </w:p>
      </w:tc>
      <w:tc>
        <w:tcPr>
          <w:tcW w:w="2310" w:type="dxa"/>
          <w:vAlign w:val="center"/>
        </w:tcPr>
        <w:p w14:paraId="6A7D75B9" w14:textId="4D25FA2D" w:rsidR="00A91AC7" w:rsidRDefault="00972CDF" w:rsidP="00A91AC7">
          <w:pPr>
            <w:pStyle w:val="Footer"/>
            <w:jc w:val="right"/>
          </w:pPr>
          <w:r>
            <w:t>14-Mar-2022</w:t>
          </w:r>
        </w:p>
      </w:tc>
    </w:tr>
    <w:tr w:rsidR="00A91AC7" w14:paraId="102AB220" w14:textId="77777777" w:rsidTr="005F734C">
      <w:trPr>
        <w:trHeight w:val="278"/>
      </w:trPr>
      <w:tc>
        <w:tcPr>
          <w:tcW w:w="1668" w:type="dxa"/>
          <w:vAlign w:val="center"/>
        </w:tcPr>
        <w:p w14:paraId="0848C1F6" w14:textId="77777777" w:rsidR="00A91AC7" w:rsidRPr="001C6EFB" w:rsidRDefault="00A91AC7" w:rsidP="00A91AC7">
          <w:pPr>
            <w:pStyle w:val="Footer"/>
          </w:pPr>
          <w:r>
            <w:t>Print d</w:t>
          </w:r>
          <w:r w:rsidRPr="001C6EFB">
            <w:t>ate:</w:t>
          </w:r>
        </w:p>
      </w:tc>
      <w:tc>
        <w:tcPr>
          <w:tcW w:w="2310" w:type="dxa"/>
          <w:vAlign w:val="center"/>
        </w:tcPr>
        <w:p w14:paraId="6A45BB2E" w14:textId="07AD2980" w:rsidR="00A91AC7" w:rsidRDefault="00A91AC7" w:rsidP="00A91AC7">
          <w:pPr>
            <w:pStyle w:val="Footer"/>
            <w:jc w:val="right"/>
          </w:pPr>
          <w:r>
            <w:fldChar w:fldCharType="begin"/>
          </w:r>
          <w:r>
            <w:instrText xml:space="preserve"> DATE  \@ "dd-MMM-yyyy"  \* MERGEFORMAT </w:instrText>
          </w:r>
          <w:r>
            <w:fldChar w:fldCharType="separate"/>
          </w:r>
          <w:r w:rsidR="00D94851">
            <w:rPr>
              <w:noProof/>
            </w:rPr>
            <w:t>16-Feb-2022</w:t>
          </w:r>
          <w:r>
            <w:fldChar w:fldCharType="end"/>
          </w:r>
        </w:p>
      </w:tc>
    </w:tr>
    <w:tr w:rsidR="00A91AC7" w14:paraId="6EFEE3B8" w14:textId="77777777" w:rsidTr="005F734C">
      <w:trPr>
        <w:trHeight w:val="278"/>
      </w:trPr>
      <w:tc>
        <w:tcPr>
          <w:tcW w:w="1668" w:type="dxa"/>
          <w:vAlign w:val="center"/>
        </w:tcPr>
        <w:p w14:paraId="51002401" w14:textId="77777777" w:rsidR="00A91AC7" w:rsidRPr="001C6EFB" w:rsidRDefault="00A91AC7" w:rsidP="00A91AC7">
          <w:pPr>
            <w:pStyle w:val="Footer"/>
          </w:pPr>
          <w:r w:rsidRPr="001C6EFB">
            <w:t>Page:</w:t>
          </w:r>
        </w:p>
      </w:tc>
      <w:tc>
        <w:tcPr>
          <w:tcW w:w="2310" w:type="dxa"/>
          <w:vAlign w:val="center"/>
        </w:tcPr>
        <w:p w14:paraId="0D7224EA" w14:textId="77777777" w:rsidR="00A91AC7" w:rsidRDefault="00A91AC7" w:rsidP="00A91AC7">
          <w:pPr>
            <w:pStyle w:val="Footer"/>
            <w:jc w:val="right"/>
          </w:pPr>
          <w:r>
            <w:fldChar w:fldCharType="begin"/>
          </w:r>
          <w:r>
            <w:instrText xml:space="preserve"> PAGE   \* MERGEFORMAT </w:instrText>
          </w:r>
          <w:r>
            <w:fldChar w:fldCharType="separate"/>
          </w:r>
          <w:r w:rsidR="00B940A8">
            <w:rPr>
              <w:noProof/>
            </w:rPr>
            <w:t>1</w:t>
          </w:r>
          <w:r>
            <w:fldChar w:fldCharType="end"/>
          </w:r>
          <w:r>
            <w:t xml:space="preserve"> of </w:t>
          </w:r>
          <w:r w:rsidR="00D94851">
            <w:fldChar w:fldCharType="begin"/>
          </w:r>
          <w:r w:rsidR="00D94851">
            <w:instrText xml:space="preserve"> NUMPAGES   \* MERGEFORMAT </w:instrText>
          </w:r>
          <w:r w:rsidR="00D94851">
            <w:fldChar w:fldCharType="separate"/>
          </w:r>
          <w:r w:rsidR="00B940A8">
            <w:rPr>
              <w:noProof/>
            </w:rPr>
            <w:t>2</w:t>
          </w:r>
          <w:r w:rsidR="00D94851">
            <w:rPr>
              <w:noProof/>
            </w:rPr>
            <w:fldChar w:fldCharType="end"/>
          </w:r>
          <w:r w:rsidRPr="001C6EFB">
            <w:t xml:space="preserve"> </w:t>
          </w:r>
        </w:p>
      </w:tc>
    </w:tr>
  </w:tbl>
  <w:p w14:paraId="43730B52" w14:textId="77777777" w:rsidR="00A91AC7" w:rsidRDefault="00A91AC7" w:rsidP="00EF729E">
    <w:pPr>
      <w:pStyle w:val="Header"/>
      <w:ind w:left="-426"/>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56850" w14:textId="77777777" w:rsidR="003E43E4" w:rsidRDefault="00D94851" w:rsidP="00163F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611B7" w14:textId="77777777" w:rsidR="003E43E4" w:rsidRPr="002135BA" w:rsidRDefault="00972CDF" w:rsidP="003A78C6">
    <w:pPr>
      <w:pStyle w:val="Header"/>
    </w:pPr>
    <w:r w:rsidRPr="002135BA">
      <w:t>SOP</w:t>
    </w:r>
    <w:r>
      <w:t>: Sample Management</w:t>
    </w:r>
  </w:p>
  <w:p w14:paraId="03E243F8" w14:textId="77777777" w:rsidR="003E43E4" w:rsidRPr="001C75D5" w:rsidRDefault="00D94851">
    <w:pPr>
      <w:rPr>
        <w:noProof/>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A891" w14:textId="77777777" w:rsidR="003E43E4" w:rsidRDefault="00D94851" w:rsidP="00163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03BE"/>
    <w:multiLevelType w:val="hybridMultilevel"/>
    <w:tmpl w:val="3022DFD6"/>
    <w:lvl w:ilvl="0" w:tplc="AC142DD6">
      <w:start w:val="1"/>
      <w:numFmt w:val="bullet"/>
      <w:pStyle w:val="bullet1"/>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114"/>
    <w:multiLevelType w:val="hybridMultilevel"/>
    <w:tmpl w:val="9CF614F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24B9B"/>
    <w:multiLevelType w:val="hybridMultilevel"/>
    <w:tmpl w:val="E3AE0E1C"/>
    <w:lvl w:ilvl="0" w:tplc="AD80755C">
      <w:start w:val="1"/>
      <w:numFmt w:val="bullet"/>
      <w:lvlText w:val=""/>
      <w:lvlJc w:val="left"/>
      <w:pPr>
        <w:ind w:left="360" w:hanging="360"/>
      </w:pPr>
      <w:rPr>
        <w:rFonts w:ascii="Wingdings" w:hAnsi="Wingdings" w:hint="default"/>
      </w:rPr>
    </w:lvl>
    <w:lvl w:ilvl="1" w:tplc="9DA081D6">
      <w:start w:val="1"/>
      <w:numFmt w:val="bullet"/>
      <w:lvlText w:val="o"/>
      <w:lvlJc w:val="left"/>
      <w:pPr>
        <w:ind w:left="1080" w:hanging="360"/>
      </w:pPr>
      <w:rPr>
        <w:rFonts w:ascii="Courier New" w:hAnsi="Courier New" w:cs="Courier New" w:hint="default"/>
      </w:rPr>
    </w:lvl>
    <w:lvl w:ilvl="2" w:tplc="C340FC4C">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CA1AA0"/>
    <w:multiLevelType w:val="hybridMultilevel"/>
    <w:tmpl w:val="37B47F5A"/>
    <w:lvl w:ilvl="0" w:tplc="F73C7BAE">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5C4824"/>
    <w:multiLevelType w:val="hybridMultilevel"/>
    <w:tmpl w:val="7E86468A"/>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5"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15E1E45"/>
    <w:multiLevelType w:val="multilevel"/>
    <w:tmpl w:val="FF66B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C443C74"/>
    <w:multiLevelType w:val="hybridMultilevel"/>
    <w:tmpl w:val="784A547C"/>
    <w:lvl w:ilvl="0" w:tplc="A814AD2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E549AB"/>
    <w:multiLevelType w:val="hybridMultilevel"/>
    <w:tmpl w:val="F90A8552"/>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10"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B579D5"/>
    <w:multiLevelType w:val="hybridMultilevel"/>
    <w:tmpl w:val="FBC2FDFC"/>
    <w:lvl w:ilvl="0" w:tplc="295C39BE">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814814"/>
    <w:multiLevelType w:val="multilevel"/>
    <w:tmpl w:val="70D4DC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D03340C"/>
    <w:multiLevelType w:val="multilevel"/>
    <w:tmpl w:val="4CEEBA04"/>
    <w:lvl w:ilvl="0">
      <w:start w:val="1"/>
      <w:numFmt w:val="decimal"/>
      <w:lvlText w:val="%1."/>
      <w:lvlJc w:val="left"/>
      <w:pPr>
        <w:ind w:left="360" w:hanging="360"/>
      </w:pPr>
      <w:rPr>
        <w:rFonts w:hint="default"/>
        <w:b/>
        <w:bCs w:val="0"/>
        <w:i w:val="0"/>
        <w:iCs w:val="0"/>
        <w:caps w:val="0"/>
        <w:smallCaps w:val="0"/>
        <w:strike w:val="0"/>
        <w:dstrike w:val="0"/>
        <w:noProof w:val="0"/>
        <w:vanish w:val="0"/>
        <w:color w:val="943634" w:themeColor="accent2" w:themeShade="BF"/>
        <w:spacing w:val="0"/>
        <w:kern w:val="0"/>
        <w:position w:val="0"/>
        <w:sz w:val="24"/>
        <w:u w:val="none"/>
        <w:vertAlign w:val="baseline"/>
        <w:em w:val="none"/>
      </w:rPr>
    </w:lvl>
    <w:lvl w:ilvl="1">
      <w:start w:val="1"/>
      <w:numFmt w:val="decimal"/>
      <w:lvlText w:val="%1.%2"/>
      <w:lvlJc w:val="left"/>
      <w:pPr>
        <w:tabs>
          <w:tab w:val="num" w:pos="567"/>
        </w:tabs>
        <w:ind w:left="567" w:hanging="567"/>
      </w:pPr>
      <w:rPr>
        <w:rFonts w:ascii="Arial" w:hAnsi="Arial" w:hint="default"/>
        <w:b/>
        <w:i w:val="0"/>
        <w:caps w:val="0"/>
        <w:color w:val="0000FF"/>
        <w:sz w:val="22"/>
      </w:rPr>
    </w:lvl>
    <w:lvl w:ilvl="2">
      <w:start w:val="1"/>
      <w:numFmt w:val="decimal"/>
      <w:lvlText w:val="%1.%2.%3"/>
      <w:lvlJc w:val="left"/>
      <w:pPr>
        <w:tabs>
          <w:tab w:val="num" w:pos="680"/>
        </w:tabs>
        <w:ind w:left="680" w:hanging="680"/>
      </w:pPr>
      <w:rPr>
        <w:rFonts w:ascii="Arial" w:hAnsi="Arial" w:hint="default"/>
        <w:b/>
        <w:i w:val="0"/>
        <w:caps w:val="0"/>
        <w:sz w:val="20"/>
      </w:rPr>
    </w:lvl>
    <w:lvl w:ilvl="3">
      <w:start w:val="1"/>
      <w:numFmt w:val="decimal"/>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5"/>
  </w:num>
  <w:num w:numId="2">
    <w:abstractNumId w:val="7"/>
  </w:num>
  <w:num w:numId="3">
    <w:abstractNumId w:val="0"/>
  </w:num>
  <w:num w:numId="4">
    <w:abstractNumId w:val="11"/>
  </w:num>
  <w:num w:numId="5">
    <w:abstractNumId w:val="9"/>
  </w:num>
  <w:num w:numId="6">
    <w:abstractNumId w:val="12"/>
  </w:num>
  <w:num w:numId="7">
    <w:abstractNumId w:val="1"/>
  </w:num>
  <w:num w:numId="8">
    <w:abstractNumId w:val="8"/>
  </w:num>
  <w:num w:numId="9">
    <w:abstractNumId w:val="10"/>
  </w:num>
  <w:num w:numId="10">
    <w:abstractNumId w:val="13"/>
  </w:num>
  <w:num w:numId="11">
    <w:abstractNumId w:val="3"/>
  </w:num>
  <w:num w:numId="12">
    <w:abstractNumId w:val="4"/>
  </w:num>
  <w:num w:numId="13">
    <w:abstractNumId w:val="2"/>
  </w:num>
  <w:num w:numId="14">
    <w:abstractNumId w:val="6"/>
  </w:num>
  <w:num w:numId="15">
    <w:abstractNumId w:val="4"/>
  </w:num>
  <w:num w:numId="16">
    <w:abstractNumId w:val="4"/>
  </w:num>
  <w:num w:numId="17">
    <w:abstractNumId w:val="0"/>
  </w:num>
  <w:num w:numId="18">
    <w:abstractNumId w:val="0"/>
    <w:lvlOverride w:ilvl="0"/>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CDF"/>
    <w:rsid w:val="00001923"/>
    <w:rsid w:val="00001A7E"/>
    <w:rsid w:val="000060AE"/>
    <w:rsid w:val="0001086D"/>
    <w:rsid w:val="00012800"/>
    <w:rsid w:val="00013B08"/>
    <w:rsid w:val="000146F1"/>
    <w:rsid w:val="000229C5"/>
    <w:rsid w:val="00023BC0"/>
    <w:rsid w:val="000374CB"/>
    <w:rsid w:val="000379D7"/>
    <w:rsid w:val="000421FD"/>
    <w:rsid w:val="00043513"/>
    <w:rsid w:val="00044A64"/>
    <w:rsid w:val="00053A54"/>
    <w:rsid w:val="0005610D"/>
    <w:rsid w:val="00056940"/>
    <w:rsid w:val="000639EF"/>
    <w:rsid w:val="00064262"/>
    <w:rsid w:val="00064F56"/>
    <w:rsid w:val="00072AD5"/>
    <w:rsid w:val="00072F51"/>
    <w:rsid w:val="0007480B"/>
    <w:rsid w:val="00075A9D"/>
    <w:rsid w:val="00077D41"/>
    <w:rsid w:val="00083C9D"/>
    <w:rsid w:val="0009369B"/>
    <w:rsid w:val="00095EFA"/>
    <w:rsid w:val="00097B78"/>
    <w:rsid w:val="000A0DFF"/>
    <w:rsid w:val="000A1324"/>
    <w:rsid w:val="000A1B0F"/>
    <w:rsid w:val="000A7BE6"/>
    <w:rsid w:val="000B1E3E"/>
    <w:rsid w:val="000B442E"/>
    <w:rsid w:val="000C3681"/>
    <w:rsid w:val="000C45B6"/>
    <w:rsid w:val="000C5087"/>
    <w:rsid w:val="000C54A1"/>
    <w:rsid w:val="000D34E7"/>
    <w:rsid w:val="000D3D68"/>
    <w:rsid w:val="000D3E8C"/>
    <w:rsid w:val="000D4912"/>
    <w:rsid w:val="000D677A"/>
    <w:rsid w:val="000D70AA"/>
    <w:rsid w:val="000D7D37"/>
    <w:rsid w:val="000F2380"/>
    <w:rsid w:val="000F391A"/>
    <w:rsid w:val="00100541"/>
    <w:rsid w:val="00100D71"/>
    <w:rsid w:val="00101773"/>
    <w:rsid w:val="00101B2B"/>
    <w:rsid w:val="00101E4A"/>
    <w:rsid w:val="00103FD0"/>
    <w:rsid w:val="00104D42"/>
    <w:rsid w:val="00105091"/>
    <w:rsid w:val="001057FB"/>
    <w:rsid w:val="001064D3"/>
    <w:rsid w:val="00110971"/>
    <w:rsid w:val="00113E78"/>
    <w:rsid w:val="001206F6"/>
    <w:rsid w:val="00121F28"/>
    <w:rsid w:val="00122579"/>
    <w:rsid w:val="00124792"/>
    <w:rsid w:val="00125667"/>
    <w:rsid w:val="00127D56"/>
    <w:rsid w:val="001300C8"/>
    <w:rsid w:val="0013051D"/>
    <w:rsid w:val="0013059D"/>
    <w:rsid w:val="00130E43"/>
    <w:rsid w:val="00134690"/>
    <w:rsid w:val="00134766"/>
    <w:rsid w:val="00135E89"/>
    <w:rsid w:val="001445C0"/>
    <w:rsid w:val="00163B7C"/>
    <w:rsid w:val="00163F57"/>
    <w:rsid w:val="001653F1"/>
    <w:rsid w:val="00165F48"/>
    <w:rsid w:val="00174B60"/>
    <w:rsid w:val="00174E0E"/>
    <w:rsid w:val="001775A9"/>
    <w:rsid w:val="00182896"/>
    <w:rsid w:val="0018309A"/>
    <w:rsid w:val="001841A1"/>
    <w:rsid w:val="00184BB7"/>
    <w:rsid w:val="00190C93"/>
    <w:rsid w:val="00194EE8"/>
    <w:rsid w:val="00195717"/>
    <w:rsid w:val="00196565"/>
    <w:rsid w:val="001A024E"/>
    <w:rsid w:val="001A142E"/>
    <w:rsid w:val="001A26D3"/>
    <w:rsid w:val="001A4718"/>
    <w:rsid w:val="001A544B"/>
    <w:rsid w:val="001A561F"/>
    <w:rsid w:val="001A723A"/>
    <w:rsid w:val="001B1E29"/>
    <w:rsid w:val="001B2717"/>
    <w:rsid w:val="001B30AD"/>
    <w:rsid w:val="001B3B91"/>
    <w:rsid w:val="001B412F"/>
    <w:rsid w:val="001B5617"/>
    <w:rsid w:val="001C314A"/>
    <w:rsid w:val="001C6EFB"/>
    <w:rsid w:val="001C75D5"/>
    <w:rsid w:val="001D0B50"/>
    <w:rsid w:val="001D1245"/>
    <w:rsid w:val="001D17A5"/>
    <w:rsid w:val="001D1986"/>
    <w:rsid w:val="001D28AC"/>
    <w:rsid w:val="001D3B22"/>
    <w:rsid w:val="001D7813"/>
    <w:rsid w:val="001E41A3"/>
    <w:rsid w:val="001F4FC3"/>
    <w:rsid w:val="001F7B4E"/>
    <w:rsid w:val="00202189"/>
    <w:rsid w:val="00202B8D"/>
    <w:rsid w:val="0020434B"/>
    <w:rsid w:val="00206578"/>
    <w:rsid w:val="002106E5"/>
    <w:rsid w:val="00210C1A"/>
    <w:rsid w:val="0021165B"/>
    <w:rsid w:val="00211B96"/>
    <w:rsid w:val="002135BA"/>
    <w:rsid w:val="00214550"/>
    <w:rsid w:val="0022018B"/>
    <w:rsid w:val="00220406"/>
    <w:rsid w:val="002227A2"/>
    <w:rsid w:val="0022356E"/>
    <w:rsid w:val="00231612"/>
    <w:rsid w:val="0023483C"/>
    <w:rsid w:val="002365F5"/>
    <w:rsid w:val="002444DB"/>
    <w:rsid w:val="0024558E"/>
    <w:rsid w:val="0024670C"/>
    <w:rsid w:val="00247F23"/>
    <w:rsid w:val="00250233"/>
    <w:rsid w:val="002518EA"/>
    <w:rsid w:val="002549E9"/>
    <w:rsid w:val="00254B93"/>
    <w:rsid w:val="0025522A"/>
    <w:rsid w:val="00264399"/>
    <w:rsid w:val="00266CBF"/>
    <w:rsid w:val="00270EA8"/>
    <w:rsid w:val="00275BAE"/>
    <w:rsid w:val="00276048"/>
    <w:rsid w:val="00276842"/>
    <w:rsid w:val="00281585"/>
    <w:rsid w:val="00290F8C"/>
    <w:rsid w:val="002937FE"/>
    <w:rsid w:val="002952B5"/>
    <w:rsid w:val="0029582C"/>
    <w:rsid w:val="002A068A"/>
    <w:rsid w:val="002A27DC"/>
    <w:rsid w:val="002A330A"/>
    <w:rsid w:val="002A38A5"/>
    <w:rsid w:val="002A57C2"/>
    <w:rsid w:val="002A5FA6"/>
    <w:rsid w:val="002A6563"/>
    <w:rsid w:val="002A68D6"/>
    <w:rsid w:val="002B016B"/>
    <w:rsid w:val="002B10B6"/>
    <w:rsid w:val="002C0E28"/>
    <w:rsid w:val="002C67A4"/>
    <w:rsid w:val="002D49D7"/>
    <w:rsid w:val="002D6577"/>
    <w:rsid w:val="002E3060"/>
    <w:rsid w:val="002E3BB0"/>
    <w:rsid w:val="002E6AE2"/>
    <w:rsid w:val="002E721B"/>
    <w:rsid w:val="002F0ACA"/>
    <w:rsid w:val="002F281C"/>
    <w:rsid w:val="002F490C"/>
    <w:rsid w:val="002F787E"/>
    <w:rsid w:val="00301050"/>
    <w:rsid w:val="003016D5"/>
    <w:rsid w:val="00304754"/>
    <w:rsid w:val="00310F22"/>
    <w:rsid w:val="00314B72"/>
    <w:rsid w:val="0031673C"/>
    <w:rsid w:val="0032079B"/>
    <w:rsid w:val="0032408C"/>
    <w:rsid w:val="00324A19"/>
    <w:rsid w:val="003313C3"/>
    <w:rsid w:val="00333888"/>
    <w:rsid w:val="00335D05"/>
    <w:rsid w:val="00337B7A"/>
    <w:rsid w:val="00342788"/>
    <w:rsid w:val="00342C1E"/>
    <w:rsid w:val="00342CC7"/>
    <w:rsid w:val="00343541"/>
    <w:rsid w:val="00345620"/>
    <w:rsid w:val="00350A42"/>
    <w:rsid w:val="00352FD6"/>
    <w:rsid w:val="003607CB"/>
    <w:rsid w:val="0036201D"/>
    <w:rsid w:val="00365D77"/>
    <w:rsid w:val="00372E92"/>
    <w:rsid w:val="0037641D"/>
    <w:rsid w:val="00380579"/>
    <w:rsid w:val="00381B35"/>
    <w:rsid w:val="003854BD"/>
    <w:rsid w:val="003876D0"/>
    <w:rsid w:val="00387EFA"/>
    <w:rsid w:val="00391A7C"/>
    <w:rsid w:val="00393C4E"/>
    <w:rsid w:val="00395F1E"/>
    <w:rsid w:val="00396CD2"/>
    <w:rsid w:val="003A1879"/>
    <w:rsid w:val="003A2150"/>
    <w:rsid w:val="003A24EB"/>
    <w:rsid w:val="003A2A2C"/>
    <w:rsid w:val="003A4D84"/>
    <w:rsid w:val="003A5879"/>
    <w:rsid w:val="003A70FF"/>
    <w:rsid w:val="003B0005"/>
    <w:rsid w:val="003B15C9"/>
    <w:rsid w:val="003B1F55"/>
    <w:rsid w:val="003B2DA7"/>
    <w:rsid w:val="003B34FB"/>
    <w:rsid w:val="003B56C0"/>
    <w:rsid w:val="003C04AD"/>
    <w:rsid w:val="003C35EE"/>
    <w:rsid w:val="003C720C"/>
    <w:rsid w:val="003D25C9"/>
    <w:rsid w:val="003D42E3"/>
    <w:rsid w:val="003D4BD6"/>
    <w:rsid w:val="003D51DC"/>
    <w:rsid w:val="003D7997"/>
    <w:rsid w:val="003E073D"/>
    <w:rsid w:val="003F0145"/>
    <w:rsid w:val="003F2345"/>
    <w:rsid w:val="003F4E5F"/>
    <w:rsid w:val="003F608D"/>
    <w:rsid w:val="003F64A9"/>
    <w:rsid w:val="003F7147"/>
    <w:rsid w:val="003F7AD7"/>
    <w:rsid w:val="00401840"/>
    <w:rsid w:val="00403449"/>
    <w:rsid w:val="00404742"/>
    <w:rsid w:val="0040651B"/>
    <w:rsid w:val="0041265B"/>
    <w:rsid w:val="00414858"/>
    <w:rsid w:val="00417854"/>
    <w:rsid w:val="00420EB6"/>
    <w:rsid w:val="00422A7E"/>
    <w:rsid w:val="004233AD"/>
    <w:rsid w:val="0042380D"/>
    <w:rsid w:val="00423E00"/>
    <w:rsid w:val="004243C4"/>
    <w:rsid w:val="00424C48"/>
    <w:rsid w:val="00424D85"/>
    <w:rsid w:val="00431633"/>
    <w:rsid w:val="00432B85"/>
    <w:rsid w:val="00433584"/>
    <w:rsid w:val="004342B5"/>
    <w:rsid w:val="00435EAE"/>
    <w:rsid w:val="00441DE6"/>
    <w:rsid w:val="00445DD9"/>
    <w:rsid w:val="00454205"/>
    <w:rsid w:val="00462B5B"/>
    <w:rsid w:val="00467F74"/>
    <w:rsid w:val="00474B7F"/>
    <w:rsid w:val="00475745"/>
    <w:rsid w:val="00476DB0"/>
    <w:rsid w:val="004773E0"/>
    <w:rsid w:val="004810D9"/>
    <w:rsid w:val="0048194C"/>
    <w:rsid w:val="00485E6A"/>
    <w:rsid w:val="0048641A"/>
    <w:rsid w:val="00497A4C"/>
    <w:rsid w:val="00497E87"/>
    <w:rsid w:val="004A364B"/>
    <w:rsid w:val="004A4882"/>
    <w:rsid w:val="004A75B7"/>
    <w:rsid w:val="004B03A3"/>
    <w:rsid w:val="004B0C68"/>
    <w:rsid w:val="004B0C77"/>
    <w:rsid w:val="004B3DB9"/>
    <w:rsid w:val="004B7034"/>
    <w:rsid w:val="004C2253"/>
    <w:rsid w:val="004C366B"/>
    <w:rsid w:val="004C46FF"/>
    <w:rsid w:val="004C526D"/>
    <w:rsid w:val="004C560A"/>
    <w:rsid w:val="004C5E89"/>
    <w:rsid w:val="004C6631"/>
    <w:rsid w:val="004D05BE"/>
    <w:rsid w:val="004D1948"/>
    <w:rsid w:val="004E21EE"/>
    <w:rsid w:val="004E4D87"/>
    <w:rsid w:val="004E5613"/>
    <w:rsid w:val="004E5F84"/>
    <w:rsid w:val="004E7EB2"/>
    <w:rsid w:val="004F28BC"/>
    <w:rsid w:val="00500409"/>
    <w:rsid w:val="005024F4"/>
    <w:rsid w:val="00502A82"/>
    <w:rsid w:val="005030FC"/>
    <w:rsid w:val="00512BE1"/>
    <w:rsid w:val="00512C56"/>
    <w:rsid w:val="00513DB5"/>
    <w:rsid w:val="005142C2"/>
    <w:rsid w:val="00515F0F"/>
    <w:rsid w:val="00516200"/>
    <w:rsid w:val="005223BE"/>
    <w:rsid w:val="00522ABB"/>
    <w:rsid w:val="00525CA4"/>
    <w:rsid w:val="00527E78"/>
    <w:rsid w:val="005343E6"/>
    <w:rsid w:val="005354C1"/>
    <w:rsid w:val="0053623B"/>
    <w:rsid w:val="00543C1B"/>
    <w:rsid w:val="0055153E"/>
    <w:rsid w:val="00556B76"/>
    <w:rsid w:val="005636D5"/>
    <w:rsid w:val="005663EA"/>
    <w:rsid w:val="005708FE"/>
    <w:rsid w:val="00571788"/>
    <w:rsid w:val="00571A9B"/>
    <w:rsid w:val="0058476F"/>
    <w:rsid w:val="00584775"/>
    <w:rsid w:val="00586C5E"/>
    <w:rsid w:val="00587557"/>
    <w:rsid w:val="00592FFB"/>
    <w:rsid w:val="005948ED"/>
    <w:rsid w:val="005951E3"/>
    <w:rsid w:val="0059568E"/>
    <w:rsid w:val="005A1486"/>
    <w:rsid w:val="005A1CF3"/>
    <w:rsid w:val="005A6461"/>
    <w:rsid w:val="005B2B90"/>
    <w:rsid w:val="005B5AA9"/>
    <w:rsid w:val="005C38BD"/>
    <w:rsid w:val="005C7A45"/>
    <w:rsid w:val="005D085D"/>
    <w:rsid w:val="005D17F6"/>
    <w:rsid w:val="005D321A"/>
    <w:rsid w:val="005D40D9"/>
    <w:rsid w:val="005E1F7C"/>
    <w:rsid w:val="005F0420"/>
    <w:rsid w:val="005F175F"/>
    <w:rsid w:val="005F1AD8"/>
    <w:rsid w:val="00600106"/>
    <w:rsid w:val="0060052C"/>
    <w:rsid w:val="006031E9"/>
    <w:rsid w:val="0060493A"/>
    <w:rsid w:val="00605E24"/>
    <w:rsid w:val="006119AC"/>
    <w:rsid w:val="00613A01"/>
    <w:rsid w:val="006147A9"/>
    <w:rsid w:val="006176B2"/>
    <w:rsid w:val="00624B79"/>
    <w:rsid w:val="00630316"/>
    <w:rsid w:val="0063129B"/>
    <w:rsid w:val="00636907"/>
    <w:rsid w:val="00636BD2"/>
    <w:rsid w:val="006372C5"/>
    <w:rsid w:val="00640296"/>
    <w:rsid w:val="0064360D"/>
    <w:rsid w:val="006452BA"/>
    <w:rsid w:val="00653B3D"/>
    <w:rsid w:val="00654502"/>
    <w:rsid w:val="006561C0"/>
    <w:rsid w:val="00657D72"/>
    <w:rsid w:val="00660DC2"/>
    <w:rsid w:val="00664185"/>
    <w:rsid w:val="0066505A"/>
    <w:rsid w:val="00670599"/>
    <w:rsid w:val="0067375A"/>
    <w:rsid w:val="00684803"/>
    <w:rsid w:val="00684DA0"/>
    <w:rsid w:val="00690BFE"/>
    <w:rsid w:val="00692ACD"/>
    <w:rsid w:val="00692DFA"/>
    <w:rsid w:val="006941D1"/>
    <w:rsid w:val="00696301"/>
    <w:rsid w:val="00696B18"/>
    <w:rsid w:val="006A057F"/>
    <w:rsid w:val="006A52C2"/>
    <w:rsid w:val="006A5B18"/>
    <w:rsid w:val="006B0E53"/>
    <w:rsid w:val="006B270C"/>
    <w:rsid w:val="006B351B"/>
    <w:rsid w:val="006B66EE"/>
    <w:rsid w:val="006C0879"/>
    <w:rsid w:val="006E32A4"/>
    <w:rsid w:val="006E39DA"/>
    <w:rsid w:val="006E57D8"/>
    <w:rsid w:val="006F30B1"/>
    <w:rsid w:val="006F6EFF"/>
    <w:rsid w:val="007029A2"/>
    <w:rsid w:val="00704E9B"/>
    <w:rsid w:val="00705FD1"/>
    <w:rsid w:val="007064B3"/>
    <w:rsid w:val="00712A28"/>
    <w:rsid w:val="00714ABF"/>
    <w:rsid w:val="00715858"/>
    <w:rsid w:val="0072425C"/>
    <w:rsid w:val="007265FC"/>
    <w:rsid w:val="00726D2D"/>
    <w:rsid w:val="00727E41"/>
    <w:rsid w:val="00731E89"/>
    <w:rsid w:val="007327DD"/>
    <w:rsid w:val="00734CF6"/>
    <w:rsid w:val="007363E6"/>
    <w:rsid w:val="0074146D"/>
    <w:rsid w:val="007427DD"/>
    <w:rsid w:val="00743FCE"/>
    <w:rsid w:val="00745292"/>
    <w:rsid w:val="00745CB4"/>
    <w:rsid w:val="00746BB7"/>
    <w:rsid w:val="00752E2A"/>
    <w:rsid w:val="00754D1F"/>
    <w:rsid w:val="00757628"/>
    <w:rsid w:val="007602C8"/>
    <w:rsid w:val="00760E2A"/>
    <w:rsid w:val="00761F87"/>
    <w:rsid w:val="007642D1"/>
    <w:rsid w:val="007655EC"/>
    <w:rsid w:val="00765A24"/>
    <w:rsid w:val="007668D7"/>
    <w:rsid w:val="00766C73"/>
    <w:rsid w:val="007764EB"/>
    <w:rsid w:val="00780DA8"/>
    <w:rsid w:val="00790CBC"/>
    <w:rsid w:val="00791AC8"/>
    <w:rsid w:val="0079417E"/>
    <w:rsid w:val="00794AB7"/>
    <w:rsid w:val="007A44B0"/>
    <w:rsid w:val="007A6E56"/>
    <w:rsid w:val="007B2EC7"/>
    <w:rsid w:val="007B2EFE"/>
    <w:rsid w:val="007B4836"/>
    <w:rsid w:val="007B53E5"/>
    <w:rsid w:val="007B5831"/>
    <w:rsid w:val="007B58A5"/>
    <w:rsid w:val="007B6DB7"/>
    <w:rsid w:val="007B72E2"/>
    <w:rsid w:val="007C10CF"/>
    <w:rsid w:val="007C2BD5"/>
    <w:rsid w:val="007C5977"/>
    <w:rsid w:val="007C5C93"/>
    <w:rsid w:val="007D3863"/>
    <w:rsid w:val="007D68C1"/>
    <w:rsid w:val="007D79E6"/>
    <w:rsid w:val="007F62D4"/>
    <w:rsid w:val="007F73CA"/>
    <w:rsid w:val="008016C1"/>
    <w:rsid w:val="0080244D"/>
    <w:rsid w:val="00802A77"/>
    <w:rsid w:val="008036AB"/>
    <w:rsid w:val="0080371D"/>
    <w:rsid w:val="00803F0F"/>
    <w:rsid w:val="008044C3"/>
    <w:rsid w:val="00804525"/>
    <w:rsid w:val="00804622"/>
    <w:rsid w:val="008076E5"/>
    <w:rsid w:val="00811195"/>
    <w:rsid w:val="008125A6"/>
    <w:rsid w:val="008129C1"/>
    <w:rsid w:val="00814346"/>
    <w:rsid w:val="00814EC7"/>
    <w:rsid w:val="00815021"/>
    <w:rsid w:val="0081603F"/>
    <w:rsid w:val="0081675C"/>
    <w:rsid w:val="00817FDE"/>
    <w:rsid w:val="008235B1"/>
    <w:rsid w:val="0082795A"/>
    <w:rsid w:val="0083169E"/>
    <w:rsid w:val="00832412"/>
    <w:rsid w:val="00834888"/>
    <w:rsid w:val="00840893"/>
    <w:rsid w:val="008424AF"/>
    <w:rsid w:val="008435F5"/>
    <w:rsid w:val="00851971"/>
    <w:rsid w:val="00852323"/>
    <w:rsid w:val="00860FC1"/>
    <w:rsid w:val="00860FC2"/>
    <w:rsid w:val="00862C8C"/>
    <w:rsid w:val="00864335"/>
    <w:rsid w:val="008647F2"/>
    <w:rsid w:val="00870BB2"/>
    <w:rsid w:val="008715F3"/>
    <w:rsid w:val="00875EAE"/>
    <w:rsid w:val="008766D7"/>
    <w:rsid w:val="008823B6"/>
    <w:rsid w:val="00886A0B"/>
    <w:rsid w:val="00893B82"/>
    <w:rsid w:val="00893CC2"/>
    <w:rsid w:val="008A0005"/>
    <w:rsid w:val="008A053A"/>
    <w:rsid w:val="008A41DE"/>
    <w:rsid w:val="008A5826"/>
    <w:rsid w:val="008A682E"/>
    <w:rsid w:val="008A7373"/>
    <w:rsid w:val="008B1C2E"/>
    <w:rsid w:val="008B4B57"/>
    <w:rsid w:val="008B5A32"/>
    <w:rsid w:val="008B6B2A"/>
    <w:rsid w:val="008C0049"/>
    <w:rsid w:val="008C2F7E"/>
    <w:rsid w:val="008C75C7"/>
    <w:rsid w:val="008C7BEB"/>
    <w:rsid w:val="008D31AF"/>
    <w:rsid w:val="008D54DF"/>
    <w:rsid w:val="008D6C84"/>
    <w:rsid w:val="008E2669"/>
    <w:rsid w:val="008E30FD"/>
    <w:rsid w:val="008E4568"/>
    <w:rsid w:val="008E466A"/>
    <w:rsid w:val="008E601E"/>
    <w:rsid w:val="008E79D2"/>
    <w:rsid w:val="008F0D57"/>
    <w:rsid w:val="008F3DCA"/>
    <w:rsid w:val="008F40D0"/>
    <w:rsid w:val="008F5FE0"/>
    <w:rsid w:val="008F795D"/>
    <w:rsid w:val="00902F90"/>
    <w:rsid w:val="00907B94"/>
    <w:rsid w:val="00913142"/>
    <w:rsid w:val="0091437E"/>
    <w:rsid w:val="00914FF9"/>
    <w:rsid w:val="009161CB"/>
    <w:rsid w:val="0091627A"/>
    <w:rsid w:val="009212E1"/>
    <w:rsid w:val="009218BC"/>
    <w:rsid w:val="00924799"/>
    <w:rsid w:val="00935ADD"/>
    <w:rsid w:val="00937647"/>
    <w:rsid w:val="00937A31"/>
    <w:rsid w:val="0094272E"/>
    <w:rsid w:val="0094547A"/>
    <w:rsid w:val="0094639E"/>
    <w:rsid w:val="00946465"/>
    <w:rsid w:val="00955EE1"/>
    <w:rsid w:val="009576BD"/>
    <w:rsid w:val="00961343"/>
    <w:rsid w:val="00962995"/>
    <w:rsid w:val="009665CF"/>
    <w:rsid w:val="00971826"/>
    <w:rsid w:val="009719C3"/>
    <w:rsid w:val="00971F1C"/>
    <w:rsid w:val="009725E3"/>
    <w:rsid w:val="00972CDF"/>
    <w:rsid w:val="00975188"/>
    <w:rsid w:val="00982575"/>
    <w:rsid w:val="00983431"/>
    <w:rsid w:val="00984F87"/>
    <w:rsid w:val="0099679E"/>
    <w:rsid w:val="009A2040"/>
    <w:rsid w:val="009A221B"/>
    <w:rsid w:val="009A3446"/>
    <w:rsid w:val="009B26BA"/>
    <w:rsid w:val="009C2C63"/>
    <w:rsid w:val="009C4257"/>
    <w:rsid w:val="009C52B9"/>
    <w:rsid w:val="009C5723"/>
    <w:rsid w:val="009D0F66"/>
    <w:rsid w:val="009D2891"/>
    <w:rsid w:val="009D6F1F"/>
    <w:rsid w:val="009E08FF"/>
    <w:rsid w:val="009E11DD"/>
    <w:rsid w:val="009E44AF"/>
    <w:rsid w:val="009E45A3"/>
    <w:rsid w:val="009F0638"/>
    <w:rsid w:val="009F1369"/>
    <w:rsid w:val="009F2F77"/>
    <w:rsid w:val="009F4AC7"/>
    <w:rsid w:val="009F627E"/>
    <w:rsid w:val="00A00156"/>
    <w:rsid w:val="00A00BE8"/>
    <w:rsid w:val="00A01C93"/>
    <w:rsid w:val="00A0271E"/>
    <w:rsid w:val="00A06B2E"/>
    <w:rsid w:val="00A11FDD"/>
    <w:rsid w:val="00A123E1"/>
    <w:rsid w:val="00A13CB0"/>
    <w:rsid w:val="00A140D5"/>
    <w:rsid w:val="00A21EF3"/>
    <w:rsid w:val="00A264AD"/>
    <w:rsid w:val="00A306A4"/>
    <w:rsid w:val="00A308A4"/>
    <w:rsid w:val="00A3465C"/>
    <w:rsid w:val="00A3579A"/>
    <w:rsid w:val="00A35E4F"/>
    <w:rsid w:val="00A46AE5"/>
    <w:rsid w:val="00A5240E"/>
    <w:rsid w:val="00A5391E"/>
    <w:rsid w:val="00A55A06"/>
    <w:rsid w:val="00A5670C"/>
    <w:rsid w:val="00A57390"/>
    <w:rsid w:val="00A6082D"/>
    <w:rsid w:val="00A6339F"/>
    <w:rsid w:val="00A64B4F"/>
    <w:rsid w:val="00A66148"/>
    <w:rsid w:val="00A668FC"/>
    <w:rsid w:val="00A74DB6"/>
    <w:rsid w:val="00A74E71"/>
    <w:rsid w:val="00A7704C"/>
    <w:rsid w:val="00A80207"/>
    <w:rsid w:val="00A822DC"/>
    <w:rsid w:val="00A84701"/>
    <w:rsid w:val="00A91AC7"/>
    <w:rsid w:val="00A93988"/>
    <w:rsid w:val="00A9456D"/>
    <w:rsid w:val="00A95C65"/>
    <w:rsid w:val="00AA1665"/>
    <w:rsid w:val="00AA3234"/>
    <w:rsid w:val="00AA6011"/>
    <w:rsid w:val="00AA74BA"/>
    <w:rsid w:val="00AB2EAD"/>
    <w:rsid w:val="00AB566D"/>
    <w:rsid w:val="00AB704E"/>
    <w:rsid w:val="00AC0978"/>
    <w:rsid w:val="00AC215A"/>
    <w:rsid w:val="00AC5EAA"/>
    <w:rsid w:val="00AC7BE0"/>
    <w:rsid w:val="00AD13D7"/>
    <w:rsid w:val="00AD4665"/>
    <w:rsid w:val="00AD57CC"/>
    <w:rsid w:val="00AD6081"/>
    <w:rsid w:val="00AD65E0"/>
    <w:rsid w:val="00AE0AC8"/>
    <w:rsid w:val="00AE2516"/>
    <w:rsid w:val="00AE5591"/>
    <w:rsid w:val="00AE5780"/>
    <w:rsid w:val="00AE6309"/>
    <w:rsid w:val="00AE744B"/>
    <w:rsid w:val="00AF0C85"/>
    <w:rsid w:val="00AF10D0"/>
    <w:rsid w:val="00AF7CD2"/>
    <w:rsid w:val="00B07452"/>
    <w:rsid w:val="00B1052F"/>
    <w:rsid w:val="00B10C05"/>
    <w:rsid w:val="00B134F0"/>
    <w:rsid w:val="00B13B5E"/>
    <w:rsid w:val="00B14826"/>
    <w:rsid w:val="00B16E7D"/>
    <w:rsid w:val="00B22AD7"/>
    <w:rsid w:val="00B27204"/>
    <w:rsid w:val="00B35770"/>
    <w:rsid w:val="00B3606D"/>
    <w:rsid w:val="00B40C5F"/>
    <w:rsid w:val="00B452AE"/>
    <w:rsid w:val="00B53A1C"/>
    <w:rsid w:val="00B53C9D"/>
    <w:rsid w:val="00B55F4C"/>
    <w:rsid w:val="00B6064B"/>
    <w:rsid w:val="00B6322E"/>
    <w:rsid w:val="00B63F21"/>
    <w:rsid w:val="00B72E42"/>
    <w:rsid w:val="00B747FB"/>
    <w:rsid w:val="00B7682F"/>
    <w:rsid w:val="00B76ACC"/>
    <w:rsid w:val="00B7758F"/>
    <w:rsid w:val="00B77B48"/>
    <w:rsid w:val="00B80F8D"/>
    <w:rsid w:val="00B837C7"/>
    <w:rsid w:val="00B84799"/>
    <w:rsid w:val="00B86A0E"/>
    <w:rsid w:val="00B92012"/>
    <w:rsid w:val="00B928F6"/>
    <w:rsid w:val="00B937B6"/>
    <w:rsid w:val="00B940A8"/>
    <w:rsid w:val="00B952E8"/>
    <w:rsid w:val="00B967BD"/>
    <w:rsid w:val="00B9696A"/>
    <w:rsid w:val="00BA59CF"/>
    <w:rsid w:val="00BB16B3"/>
    <w:rsid w:val="00BB27E5"/>
    <w:rsid w:val="00BB2AF0"/>
    <w:rsid w:val="00BB30D5"/>
    <w:rsid w:val="00BB6ABD"/>
    <w:rsid w:val="00BD1740"/>
    <w:rsid w:val="00BD3F7D"/>
    <w:rsid w:val="00BD4DD3"/>
    <w:rsid w:val="00BE1BAC"/>
    <w:rsid w:val="00BE1DB1"/>
    <w:rsid w:val="00BE5AE5"/>
    <w:rsid w:val="00BF4265"/>
    <w:rsid w:val="00BF6B08"/>
    <w:rsid w:val="00BF6D4D"/>
    <w:rsid w:val="00C02B76"/>
    <w:rsid w:val="00C036D8"/>
    <w:rsid w:val="00C0382A"/>
    <w:rsid w:val="00C0396F"/>
    <w:rsid w:val="00C04D64"/>
    <w:rsid w:val="00C11049"/>
    <w:rsid w:val="00C126C0"/>
    <w:rsid w:val="00C16E6D"/>
    <w:rsid w:val="00C20F6B"/>
    <w:rsid w:val="00C24712"/>
    <w:rsid w:val="00C30124"/>
    <w:rsid w:val="00C31D63"/>
    <w:rsid w:val="00C34052"/>
    <w:rsid w:val="00C34A3B"/>
    <w:rsid w:val="00C34E3D"/>
    <w:rsid w:val="00C3647F"/>
    <w:rsid w:val="00C36AE0"/>
    <w:rsid w:val="00C40F55"/>
    <w:rsid w:val="00C435CC"/>
    <w:rsid w:val="00C43BEC"/>
    <w:rsid w:val="00C4454A"/>
    <w:rsid w:val="00C45C15"/>
    <w:rsid w:val="00C51ECE"/>
    <w:rsid w:val="00C534D8"/>
    <w:rsid w:val="00C5401C"/>
    <w:rsid w:val="00C55413"/>
    <w:rsid w:val="00C56ADA"/>
    <w:rsid w:val="00C56C83"/>
    <w:rsid w:val="00C65C41"/>
    <w:rsid w:val="00C67B31"/>
    <w:rsid w:val="00C75D9A"/>
    <w:rsid w:val="00C81ADC"/>
    <w:rsid w:val="00C8467F"/>
    <w:rsid w:val="00C84EEF"/>
    <w:rsid w:val="00C862EE"/>
    <w:rsid w:val="00C87A3B"/>
    <w:rsid w:val="00C91CEB"/>
    <w:rsid w:val="00C93BBD"/>
    <w:rsid w:val="00C942FE"/>
    <w:rsid w:val="00CA03CB"/>
    <w:rsid w:val="00CA098E"/>
    <w:rsid w:val="00CA2C1A"/>
    <w:rsid w:val="00CA7404"/>
    <w:rsid w:val="00CB07E8"/>
    <w:rsid w:val="00CB45BA"/>
    <w:rsid w:val="00CC0682"/>
    <w:rsid w:val="00CC1A24"/>
    <w:rsid w:val="00CC2B7A"/>
    <w:rsid w:val="00CC478A"/>
    <w:rsid w:val="00CC61A6"/>
    <w:rsid w:val="00CC6C2A"/>
    <w:rsid w:val="00CD1532"/>
    <w:rsid w:val="00CD2F93"/>
    <w:rsid w:val="00CD3E66"/>
    <w:rsid w:val="00CD5B93"/>
    <w:rsid w:val="00CE116E"/>
    <w:rsid w:val="00CE2541"/>
    <w:rsid w:val="00CE7D01"/>
    <w:rsid w:val="00CF124E"/>
    <w:rsid w:val="00CF2072"/>
    <w:rsid w:val="00CF2082"/>
    <w:rsid w:val="00D00C72"/>
    <w:rsid w:val="00D017DD"/>
    <w:rsid w:val="00D01F82"/>
    <w:rsid w:val="00D0237D"/>
    <w:rsid w:val="00D04619"/>
    <w:rsid w:val="00D05063"/>
    <w:rsid w:val="00D05DA4"/>
    <w:rsid w:val="00D07256"/>
    <w:rsid w:val="00D07D11"/>
    <w:rsid w:val="00D17200"/>
    <w:rsid w:val="00D17544"/>
    <w:rsid w:val="00D23782"/>
    <w:rsid w:val="00D26749"/>
    <w:rsid w:val="00D270BD"/>
    <w:rsid w:val="00D27D10"/>
    <w:rsid w:val="00D30131"/>
    <w:rsid w:val="00D31164"/>
    <w:rsid w:val="00D31668"/>
    <w:rsid w:val="00D33108"/>
    <w:rsid w:val="00D33C0E"/>
    <w:rsid w:val="00D33E53"/>
    <w:rsid w:val="00D41A7F"/>
    <w:rsid w:val="00D41CE6"/>
    <w:rsid w:val="00D47970"/>
    <w:rsid w:val="00D53B40"/>
    <w:rsid w:val="00D608A3"/>
    <w:rsid w:val="00D61A38"/>
    <w:rsid w:val="00D63317"/>
    <w:rsid w:val="00D63BBD"/>
    <w:rsid w:val="00D65096"/>
    <w:rsid w:val="00D67824"/>
    <w:rsid w:val="00D72805"/>
    <w:rsid w:val="00D7713D"/>
    <w:rsid w:val="00D82CCF"/>
    <w:rsid w:val="00D85404"/>
    <w:rsid w:val="00D914F3"/>
    <w:rsid w:val="00D930D4"/>
    <w:rsid w:val="00D94851"/>
    <w:rsid w:val="00DA19A3"/>
    <w:rsid w:val="00DA31DC"/>
    <w:rsid w:val="00DA4D76"/>
    <w:rsid w:val="00DA54AF"/>
    <w:rsid w:val="00DA781F"/>
    <w:rsid w:val="00DB4A98"/>
    <w:rsid w:val="00DB5FB3"/>
    <w:rsid w:val="00DC0548"/>
    <w:rsid w:val="00DC0D2B"/>
    <w:rsid w:val="00DC30B1"/>
    <w:rsid w:val="00DC435D"/>
    <w:rsid w:val="00DC58E9"/>
    <w:rsid w:val="00DD171A"/>
    <w:rsid w:val="00DD3075"/>
    <w:rsid w:val="00DD635E"/>
    <w:rsid w:val="00DE08B9"/>
    <w:rsid w:val="00DE2ACB"/>
    <w:rsid w:val="00DE4B2A"/>
    <w:rsid w:val="00DE6BC6"/>
    <w:rsid w:val="00DF77AD"/>
    <w:rsid w:val="00E12A20"/>
    <w:rsid w:val="00E16DBD"/>
    <w:rsid w:val="00E2252B"/>
    <w:rsid w:val="00E22773"/>
    <w:rsid w:val="00E234E5"/>
    <w:rsid w:val="00E31646"/>
    <w:rsid w:val="00E32E75"/>
    <w:rsid w:val="00E34990"/>
    <w:rsid w:val="00E34BEA"/>
    <w:rsid w:val="00E410D8"/>
    <w:rsid w:val="00E4248D"/>
    <w:rsid w:val="00E47E03"/>
    <w:rsid w:val="00E52A33"/>
    <w:rsid w:val="00E53B95"/>
    <w:rsid w:val="00E54F5E"/>
    <w:rsid w:val="00E57BDF"/>
    <w:rsid w:val="00E66F7C"/>
    <w:rsid w:val="00E714DD"/>
    <w:rsid w:val="00E81F47"/>
    <w:rsid w:val="00E9003F"/>
    <w:rsid w:val="00E935B2"/>
    <w:rsid w:val="00E93A22"/>
    <w:rsid w:val="00E95340"/>
    <w:rsid w:val="00E95906"/>
    <w:rsid w:val="00EA35BA"/>
    <w:rsid w:val="00EA47FF"/>
    <w:rsid w:val="00EA5210"/>
    <w:rsid w:val="00EA62D7"/>
    <w:rsid w:val="00EB0C6D"/>
    <w:rsid w:val="00EB122B"/>
    <w:rsid w:val="00EB6B50"/>
    <w:rsid w:val="00EC0950"/>
    <w:rsid w:val="00EC130E"/>
    <w:rsid w:val="00EC3122"/>
    <w:rsid w:val="00EC42B6"/>
    <w:rsid w:val="00EC5810"/>
    <w:rsid w:val="00EC6230"/>
    <w:rsid w:val="00ED1753"/>
    <w:rsid w:val="00ED2C7C"/>
    <w:rsid w:val="00ED6779"/>
    <w:rsid w:val="00EE1837"/>
    <w:rsid w:val="00EE35DE"/>
    <w:rsid w:val="00EE47E5"/>
    <w:rsid w:val="00EE6CA5"/>
    <w:rsid w:val="00EF1B60"/>
    <w:rsid w:val="00EF30F1"/>
    <w:rsid w:val="00EF5E08"/>
    <w:rsid w:val="00EF729E"/>
    <w:rsid w:val="00F013DE"/>
    <w:rsid w:val="00F03A30"/>
    <w:rsid w:val="00F04052"/>
    <w:rsid w:val="00F12A38"/>
    <w:rsid w:val="00F13ED0"/>
    <w:rsid w:val="00F17811"/>
    <w:rsid w:val="00F210C4"/>
    <w:rsid w:val="00F21898"/>
    <w:rsid w:val="00F21A50"/>
    <w:rsid w:val="00F31B22"/>
    <w:rsid w:val="00F31D4F"/>
    <w:rsid w:val="00F34657"/>
    <w:rsid w:val="00F355FB"/>
    <w:rsid w:val="00F40DCF"/>
    <w:rsid w:val="00F43764"/>
    <w:rsid w:val="00F46DE6"/>
    <w:rsid w:val="00F47D41"/>
    <w:rsid w:val="00F506E3"/>
    <w:rsid w:val="00F52128"/>
    <w:rsid w:val="00F52638"/>
    <w:rsid w:val="00F53172"/>
    <w:rsid w:val="00F55561"/>
    <w:rsid w:val="00F629BC"/>
    <w:rsid w:val="00F62C5B"/>
    <w:rsid w:val="00F62EB2"/>
    <w:rsid w:val="00F70A26"/>
    <w:rsid w:val="00F73811"/>
    <w:rsid w:val="00F7576E"/>
    <w:rsid w:val="00F7764F"/>
    <w:rsid w:val="00F77B3A"/>
    <w:rsid w:val="00F81EA8"/>
    <w:rsid w:val="00F83916"/>
    <w:rsid w:val="00F86FE3"/>
    <w:rsid w:val="00F9033A"/>
    <w:rsid w:val="00F90381"/>
    <w:rsid w:val="00F949D7"/>
    <w:rsid w:val="00FA2705"/>
    <w:rsid w:val="00FA3166"/>
    <w:rsid w:val="00FA41BA"/>
    <w:rsid w:val="00FA7B7C"/>
    <w:rsid w:val="00FB0787"/>
    <w:rsid w:val="00FB3238"/>
    <w:rsid w:val="00FB5172"/>
    <w:rsid w:val="00FC05BD"/>
    <w:rsid w:val="00FC1903"/>
    <w:rsid w:val="00FD05D4"/>
    <w:rsid w:val="00FD58A1"/>
    <w:rsid w:val="00FD689E"/>
    <w:rsid w:val="00FE1FEC"/>
    <w:rsid w:val="00FE259F"/>
    <w:rsid w:val="00FE324F"/>
    <w:rsid w:val="00FE32F0"/>
    <w:rsid w:val="00FE50DE"/>
    <w:rsid w:val="00FE587B"/>
    <w:rsid w:val="00FE6B73"/>
    <w:rsid w:val="00FF0711"/>
    <w:rsid w:val="00FF33E7"/>
    <w:rsid w:val="00FF514D"/>
    <w:rsid w:val="00FF611B"/>
    <w:rsid w:val="00FF61AE"/>
    <w:rsid w:val="00FF6C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84096B"/>
  <w15:docId w15:val="{235547DC-3D20-47CD-8218-9BF0399AC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3DE"/>
    <w:pPr>
      <w:spacing w:before="60" w:after="60" w:line="240" w:lineRule="auto"/>
    </w:pPr>
    <w:rPr>
      <w:rFonts w:ascii="Calibri" w:hAnsi="Calibri" w:cs="Arial"/>
      <w:sz w:val="20"/>
      <w:szCs w:val="20"/>
      <w:lang w:eastAsia="en-US"/>
    </w:rPr>
  </w:style>
  <w:style w:type="paragraph" w:styleId="Heading1">
    <w:name w:val="heading 1"/>
    <w:basedOn w:val="Normal"/>
    <w:next w:val="Normal"/>
    <w:link w:val="Heading1Char"/>
    <w:qFormat/>
    <w:rsid w:val="00475745"/>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qFormat/>
    <w:rsid w:val="00475745"/>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uiPriority w:val="8"/>
    <w:qFormat/>
    <w:rsid w:val="00475745"/>
    <w:pPr>
      <w:keepNext/>
      <w:spacing w:before="120"/>
      <w:outlineLvl w:val="2"/>
    </w:pPr>
    <w:rPr>
      <w:b/>
      <w:bCs/>
      <w:szCs w:val="26"/>
    </w:rPr>
  </w:style>
  <w:style w:type="paragraph" w:styleId="Heading4">
    <w:name w:val="heading 4"/>
    <w:basedOn w:val="Heading3"/>
    <w:next w:val="Normal"/>
    <w:link w:val="Heading4Char"/>
    <w:semiHidden/>
    <w:qFormat/>
    <w:locked/>
    <w:rsid w:val="0013059D"/>
    <w:pPr>
      <w:spacing w:before="240"/>
      <w:outlineLvl w:val="3"/>
    </w:pPr>
    <w:rPr>
      <w:b w:val="0"/>
      <w:bCs w:val="0"/>
      <w:i/>
      <w:szCs w:val="28"/>
    </w:rPr>
  </w:style>
  <w:style w:type="paragraph" w:styleId="Heading5">
    <w:name w:val="heading 5"/>
    <w:basedOn w:val="Normal"/>
    <w:next w:val="Normal"/>
    <w:link w:val="Heading5Char"/>
    <w:uiPriority w:val="9"/>
    <w:semiHidden/>
    <w:qFormat/>
    <w:rsid w:val="00C43B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C43B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475745"/>
    <w:rPr>
      <w:rFonts w:ascii="Gill Sans MT" w:hAnsi="Gill Sans MT" w:cs="Tahoma"/>
      <w:bCs/>
      <w:color w:val="943634"/>
      <w:kern w:val="32"/>
      <w:sz w:val="28"/>
      <w:szCs w:val="28"/>
      <w:lang w:eastAsia="en-US"/>
    </w:rPr>
  </w:style>
  <w:style w:type="character" w:customStyle="1" w:styleId="Heading2Char">
    <w:name w:val="Heading 2 Char"/>
    <w:basedOn w:val="DefaultParagraphFont"/>
    <w:link w:val="Heading2"/>
    <w:locked/>
    <w:rsid w:val="00475745"/>
    <w:rPr>
      <w:rFonts w:ascii="Gill Sans MT" w:eastAsiaTheme="minorHAnsi" w:hAnsi="Gill Sans MT" w:cs="Arial"/>
      <w:bCs/>
      <w:iCs/>
      <w:color w:val="943634"/>
      <w:szCs w:val="28"/>
      <w:lang w:eastAsia="en-US"/>
    </w:rPr>
  </w:style>
  <w:style w:type="character" w:customStyle="1" w:styleId="Heading3Char">
    <w:name w:val="Heading 3 Char"/>
    <w:basedOn w:val="DefaultParagraphFont"/>
    <w:link w:val="Heading3"/>
    <w:uiPriority w:val="8"/>
    <w:locked/>
    <w:rsid w:val="00475745"/>
    <w:rPr>
      <w:rFonts w:ascii="Calibri" w:hAnsi="Calibri" w:cs="Arial"/>
      <w:b/>
      <w:bCs/>
      <w:sz w:val="20"/>
      <w:szCs w:val="26"/>
      <w:lang w:eastAsia="en-US"/>
    </w:rPr>
  </w:style>
  <w:style w:type="paragraph" w:customStyle="1" w:styleId="Instructions-bullet1">
    <w:name w:val="Instructions - bullet 1"/>
    <w:basedOn w:val="Instructions"/>
    <w:uiPriority w:val="12"/>
    <w:qFormat/>
    <w:rsid w:val="00475745"/>
    <w:pPr>
      <w:numPr>
        <w:numId w:val="7"/>
      </w:numPr>
      <w:ind w:left="680" w:hanging="340"/>
    </w:pPr>
    <w:rPr>
      <w:rFonts w:cs="Times New Roman"/>
    </w:rPr>
  </w:style>
  <w:style w:type="paragraph" w:customStyle="1" w:styleId="Instructions-numbered">
    <w:name w:val="Instructions - numbered"/>
    <w:basedOn w:val="Normal"/>
    <w:uiPriority w:val="13"/>
    <w:qFormat/>
    <w:rsid w:val="00475745"/>
    <w:pPr>
      <w:numPr>
        <w:numId w:val="8"/>
      </w:numPr>
      <w:ind w:left="680" w:hanging="340"/>
    </w:pPr>
    <w:rPr>
      <w:rFonts w:cs="Times New Roman"/>
      <w:i/>
      <w:color w:val="FF0000"/>
    </w:rPr>
  </w:style>
  <w:style w:type="paragraph" w:customStyle="1" w:styleId="bullet1">
    <w:name w:val="bullet 1"/>
    <w:basedOn w:val="Normal"/>
    <w:link w:val="bullet1Char"/>
    <w:qFormat/>
    <w:rsid w:val="00475745"/>
    <w:pPr>
      <w:numPr>
        <w:numId w:val="17"/>
      </w:numPr>
      <w:ind w:left="340" w:hanging="340"/>
    </w:pPr>
  </w:style>
  <w:style w:type="paragraph" w:styleId="BalloonText">
    <w:name w:val="Balloon Text"/>
    <w:basedOn w:val="Normal"/>
    <w:link w:val="BalloonTextChar"/>
    <w:uiPriority w:val="99"/>
    <w:semiHidden/>
    <w:unhideWhenUsed/>
    <w:rsid w:val="003A70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FF"/>
    <w:rPr>
      <w:rFonts w:ascii="Segoe UI" w:hAnsi="Segoe UI" w:cs="Segoe UI"/>
      <w:sz w:val="18"/>
      <w:szCs w:val="18"/>
      <w:lang w:eastAsia="en-US"/>
    </w:rPr>
  </w:style>
  <w:style w:type="paragraph" w:styleId="Footer">
    <w:name w:val="footer"/>
    <w:basedOn w:val="Normal"/>
    <w:link w:val="FooterChar"/>
    <w:uiPriority w:val="17"/>
    <w:qFormat/>
    <w:rsid w:val="00F70A2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17"/>
    <w:locked/>
    <w:rsid w:val="0083169E"/>
    <w:rPr>
      <w:rFonts w:ascii="Calibri" w:hAnsi="Calibri" w:cs="Arial"/>
      <w:color w:val="808080" w:themeColor="background1" w:themeShade="80"/>
      <w:sz w:val="18"/>
      <w:szCs w:val="20"/>
      <w:lang w:val="en-US" w:eastAsia="en-US"/>
    </w:rPr>
  </w:style>
  <w:style w:type="paragraph" w:styleId="Header">
    <w:name w:val="header"/>
    <w:aliases w:val="Header - SOP"/>
    <w:basedOn w:val="Normal"/>
    <w:link w:val="HeaderChar"/>
    <w:uiPriority w:val="15"/>
    <w:qFormat/>
    <w:rsid w:val="006E32A4"/>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erChar">
    <w:name w:val="Header Char"/>
    <w:aliases w:val="Header - SOP Char"/>
    <w:basedOn w:val="DefaultParagraphFont"/>
    <w:link w:val="Header"/>
    <w:uiPriority w:val="15"/>
    <w:locked/>
    <w:rsid w:val="0083169E"/>
    <w:rPr>
      <w:rFonts w:ascii="Gill Sans MT" w:hAnsi="Gill Sans MT" w:cs="Arial"/>
      <w:noProof/>
      <w:color w:val="808080" w:themeColor="background1" w:themeShade="80"/>
      <w:sz w:val="32"/>
      <w:szCs w:val="20"/>
      <w:lang w:eastAsia="en-US"/>
    </w:rPr>
  </w:style>
  <w:style w:type="table" w:styleId="TableGrid">
    <w:name w:val="Table Grid"/>
    <w:basedOn w:val="TableNormal"/>
    <w:uiPriority w:val="59"/>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SOP Title"/>
    <w:basedOn w:val="Normal"/>
    <w:next w:val="Normal"/>
    <w:link w:val="TitleChar"/>
    <w:uiPriority w:val="10"/>
    <w:qFormat/>
    <w:rsid w:val="00083C9D"/>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aliases w:val="SOP Title Char"/>
    <w:basedOn w:val="DefaultParagraphFont"/>
    <w:link w:val="Title"/>
    <w:uiPriority w:val="10"/>
    <w:locked/>
    <w:rsid w:val="00083C9D"/>
    <w:rPr>
      <w:rFonts w:ascii="Gill Sans MT" w:eastAsiaTheme="majorEastAsia" w:hAnsi="Gill Sans MT" w:cs="Tahoma"/>
      <w:color w:val="943634"/>
      <w:spacing w:val="5"/>
      <w:kern w:val="28"/>
      <w:sz w:val="44"/>
      <w:szCs w:val="40"/>
      <w:lang w:eastAsia="en-US"/>
    </w:rPr>
  </w:style>
  <w:style w:type="paragraph" w:customStyle="1" w:styleId="propertystatement">
    <w:name w:val="property statement"/>
    <w:basedOn w:val="Normal"/>
    <w:uiPriority w:val="14"/>
    <w:qFormat/>
    <w:rsid w:val="00342788"/>
    <w:pPr>
      <w:jc w:val="center"/>
    </w:pPr>
    <w:rPr>
      <w:color w:val="7F7F7F" w:themeColor="text1" w:themeTint="80"/>
      <w:sz w:val="18"/>
      <w:szCs w:val="18"/>
    </w:rPr>
  </w:style>
  <w:style w:type="paragraph" w:styleId="Revision">
    <w:name w:val="Revision"/>
    <w:hidden/>
    <w:uiPriority w:val="99"/>
    <w:semiHidden/>
    <w:rsid w:val="002D6577"/>
    <w:rPr>
      <w:rFonts w:ascii="Arial" w:hAnsi="Arial" w:cs="Arial"/>
      <w:lang w:eastAsia="en-US"/>
    </w:rPr>
  </w:style>
  <w:style w:type="paragraph" w:customStyle="1" w:styleId="Table">
    <w:name w:val="Table"/>
    <w:basedOn w:val="Normal"/>
    <w:autoRedefine/>
    <w:semiHidden/>
    <w:qFormat/>
    <w:rsid w:val="00B10C05"/>
    <w:pPr>
      <w:framePr w:hSpace="181" w:wrap="around" w:vAnchor="text" w:hAnchor="margin" w:y="239"/>
    </w:pPr>
  </w:style>
  <w:style w:type="paragraph" w:customStyle="1" w:styleId="AbbreviationsDefinitionsTerm">
    <w:name w:val="Abbreviations &amp; Definitions 'Term'"/>
    <w:link w:val="AbbreviationsDefinitionsTermChar"/>
    <w:uiPriority w:val="14"/>
    <w:qFormat/>
    <w:rsid w:val="00DC0548"/>
    <w:pPr>
      <w:spacing w:before="60" w:after="60" w:line="240" w:lineRule="auto"/>
    </w:pPr>
    <w:rPr>
      <w:rFonts w:ascii="Calibri" w:hAnsi="Calibri" w:cs="Tahoma"/>
      <w:b/>
      <w:bCs/>
      <w:color w:val="000000" w:themeColor="text1"/>
      <w:spacing w:val="5"/>
      <w:kern w:val="28"/>
      <w:sz w:val="20"/>
      <w:szCs w:val="26"/>
      <w:lang w:eastAsia="en-US"/>
    </w:rPr>
  </w:style>
  <w:style w:type="paragraph" w:styleId="List">
    <w:name w:val="List"/>
    <w:aliases w:val="Numberlist 1"/>
    <w:basedOn w:val="Normal"/>
    <w:autoRedefine/>
    <w:semiHidden/>
    <w:qFormat/>
    <w:rsid w:val="00C43BEC"/>
    <w:pPr>
      <w:spacing w:before="120"/>
      <w:ind w:left="717" w:hanging="360"/>
    </w:pPr>
  </w:style>
  <w:style w:type="paragraph" w:styleId="ListBullet">
    <w:name w:val="List Bullet"/>
    <w:basedOn w:val="Normal"/>
    <w:uiPriority w:val="99"/>
    <w:semiHidden/>
    <w:rsid w:val="00C43BEC"/>
    <w:pPr>
      <w:numPr>
        <w:numId w:val="9"/>
      </w:numPr>
      <w:contextualSpacing/>
    </w:pPr>
  </w:style>
  <w:style w:type="numbering" w:customStyle="1" w:styleId="Style1">
    <w:name w:val="Style1"/>
    <w:rsid w:val="001F581B"/>
    <w:pPr>
      <w:numPr>
        <w:numId w:val="1"/>
      </w:numPr>
    </w:pPr>
  </w:style>
  <w:style w:type="character" w:customStyle="1" w:styleId="Heading4Char">
    <w:name w:val="Heading 4 Char"/>
    <w:basedOn w:val="DefaultParagraphFont"/>
    <w:link w:val="Heading4"/>
    <w:semiHidden/>
    <w:rsid w:val="0013059D"/>
    <w:rPr>
      <w:rFonts w:ascii="Arial" w:hAnsi="Arial" w:cs="Arial"/>
      <w:i/>
      <w:sz w:val="20"/>
      <w:szCs w:val="28"/>
      <w:lang w:eastAsia="en-US"/>
    </w:rPr>
  </w:style>
  <w:style w:type="paragraph" w:customStyle="1" w:styleId="Instructions">
    <w:name w:val="Instructions"/>
    <w:basedOn w:val="Normal"/>
    <w:link w:val="InstructionsChar"/>
    <w:uiPriority w:val="11"/>
    <w:qFormat/>
    <w:rsid w:val="00C43BEC"/>
    <w:rPr>
      <w:i/>
      <w:iCs/>
      <w:color w:val="FF0000"/>
    </w:rPr>
  </w:style>
  <w:style w:type="character" w:customStyle="1" w:styleId="InstructionsChar">
    <w:name w:val="Instructions Char"/>
    <w:basedOn w:val="DefaultParagraphFont"/>
    <w:link w:val="Instructions"/>
    <w:uiPriority w:val="11"/>
    <w:rsid w:val="0083169E"/>
    <w:rPr>
      <w:rFonts w:ascii="Calibri" w:hAnsi="Calibri" w:cs="Arial"/>
      <w:i/>
      <w:iCs/>
      <w:color w:val="FF0000"/>
      <w:sz w:val="20"/>
      <w:szCs w:val="20"/>
      <w:lang w:eastAsia="en-US"/>
    </w:rPr>
  </w:style>
  <w:style w:type="paragraph" w:customStyle="1" w:styleId="bullet2">
    <w:name w:val="bullet 2"/>
    <w:basedOn w:val="Normal"/>
    <w:link w:val="bullet2Char"/>
    <w:uiPriority w:val="99"/>
    <w:qFormat/>
    <w:rsid w:val="00475745"/>
    <w:pPr>
      <w:numPr>
        <w:numId w:val="4"/>
      </w:numPr>
      <w:ind w:left="680" w:hanging="340"/>
    </w:pPr>
  </w:style>
  <w:style w:type="character" w:customStyle="1" w:styleId="bullet2Char">
    <w:name w:val="bullet 2 Char"/>
    <w:basedOn w:val="DefaultParagraphFont"/>
    <w:link w:val="bullet2"/>
    <w:uiPriority w:val="99"/>
    <w:locked/>
    <w:rsid w:val="00475745"/>
    <w:rPr>
      <w:rFonts w:ascii="Calibri" w:hAnsi="Calibri" w:cs="Arial"/>
      <w:sz w:val="20"/>
      <w:szCs w:val="20"/>
      <w:lang w:eastAsia="en-US"/>
    </w:rPr>
  </w:style>
  <w:style w:type="paragraph" w:customStyle="1" w:styleId="bullet3">
    <w:name w:val="bullet 3"/>
    <w:basedOn w:val="Normal"/>
    <w:qFormat/>
    <w:rsid w:val="00475745"/>
    <w:pPr>
      <w:numPr>
        <w:numId w:val="5"/>
      </w:numPr>
      <w:ind w:left="1020" w:hanging="340"/>
    </w:pPr>
  </w:style>
  <w:style w:type="character" w:customStyle="1" w:styleId="Heading5Char">
    <w:name w:val="Heading 5 Char"/>
    <w:basedOn w:val="DefaultParagraphFont"/>
    <w:link w:val="Heading5"/>
    <w:uiPriority w:val="9"/>
    <w:semiHidden/>
    <w:rsid w:val="00104D42"/>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104D42"/>
    <w:rPr>
      <w:rFonts w:asciiTheme="majorHAnsi" w:eastAsiaTheme="majorEastAsia" w:hAnsiTheme="majorHAnsi" w:cstheme="majorBidi"/>
      <w:i/>
      <w:iCs/>
      <w:color w:val="243F60" w:themeColor="accent1" w:themeShade="7F"/>
      <w:sz w:val="20"/>
      <w:szCs w:val="20"/>
      <w:lang w:eastAsia="en-US"/>
    </w:rPr>
  </w:style>
  <w:style w:type="paragraph" w:styleId="Quote">
    <w:name w:val="Quote"/>
    <w:basedOn w:val="Normal"/>
    <w:next w:val="Normal"/>
    <w:link w:val="QuoteChar"/>
    <w:uiPriority w:val="29"/>
    <w:semiHidden/>
    <w:qFormat/>
    <w:rsid w:val="00C43BEC"/>
    <w:rPr>
      <w:i/>
      <w:iCs/>
      <w:color w:val="000000" w:themeColor="text1"/>
    </w:rPr>
  </w:style>
  <w:style w:type="character" w:customStyle="1" w:styleId="QuoteChar">
    <w:name w:val="Quote Char"/>
    <w:basedOn w:val="DefaultParagraphFont"/>
    <w:link w:val="Quote"/>
    <w:uiPriority w:val="29"/>
    <w:semiHidden/>
    <w:rsid w:val="00104D42"/>
    <w:rPr>
      <w:rFonts w:ascii="Arial" w:hAnsi="Arial" w:cs="Arial"/>
      <w:i/>
      <w:iCs/>
      <w:color w:val="000000" w:themeColor="text1"/>
      <w:sz w:val="20"/>
      <w:szCs w:val="20"/>
      <w:lang w:eastAsia="en-US"/>
    </w:rPr>
  </w:style>
  <w:style w:type="paragraph" w:customStyle="1" w:styleId="SOPreference">
    <w:name w:val="SOP reference"/>
    <w:basedOn w:val="Normal"/>
    <w:uiPriority w:val="99"/>
    <w:semiHidden/>
    <w:rsid w:val="00C43BEC"/>
    <w:rPr>
      <w:color w:val="0000FF"/>
    </w:rPr>
  </w:style>
  <w:style w:type="paragraph" w:customStyle="1" w:styleId="StyleBoldDarkBlueCentered">
    <w:name w:val="Style Bold Dark Blue Centered"/>
    <w:basedOn w:val="Normal"/>
    <w:semiHidden/>
    <w:rsid w:val="00C43BEC"/>
    <w:pPr>
      <w:spacing w:before="40" w:after="40"/>
      <w:jc w:val="center"/>
    </w:pPr>
    <w:rPr>
      <w:b/>
      <w:bCs/>
      <w:color w:val="000080"/>
    </w:rPr>
  </w:style>
  <w:style w:type="paragraph" w:customStyle="1" w:styleId="StyleBoldDarkRedCentered">
    <w:name w:val="Style Bold Dark Red Centered"/>
    <w:basedOn w:val="Normal"/>
    <w:semiHidden/>
    <w:rsid w:val="00C43BEC"/>
    <w:pPr>
      <w:spacing w:before="40" w:after="40"/>
      <w:jc w:val="center"/>
    </w:pPr>
    <w:rPr>
      <w:b/>
      <w:bCs/>
      <w:color w:val="632423" w:themeColor="accent2" w:themeShade="80"/>
    </w:rPr>
  </w:style>
  <w:style w:type="paragraph" w:customStyle="1" w:styleId="StyleDarkBlueCentered">
    <w:name w:val="Style Dark Blue Centered"/>
    <w:basedOn w:val="Normal"/>
    <w:semiHidden/>
    <w:rsid w:val="00C43BEC"/>
    <w:pPr>
      <w:spacing w:before="40" w:after="40"/>
      <w:jc w:val="center"/>
    </w:pPr>
    <w:rPr>
      <w:color w:val="000080"/>
    </w:rPr>
  </w:style>
  <w:style w:type="paragraph" w:customStyle="1" w:styleId="StyleDarkRedCentered">
    <w:name w:val="Style Dark Red Centered"/>
    <w:basedOn w:val="Normal"/>
    <w:semiHidden/>
    <w:rsid w:val="00C43BEC"/>
    <w:pPr>
      <w:spacing w:before="40" w:after="40"/>
      <w:jc w:val="center"/>
    </w:pPr>
    <w:rPr>
      <w:color w:val="632423" w:themeColor="accent2" w:themeShade="80"/>
    </w:rPr>
  </w:style>
  <w:style w:type="paragraph" w:customStyle="1" w:styleId="Header-QCDs">
    <w:name w:val="Header - QCDs"/>
    <w:basedOn w:val="Header"/>
    <w:uiPriority w:val="16"/>
    <w:qFormat/>
    <w:rsid w:val="006E32A4"/>
    <w:pPr>
      <w:jc w:val="right"/>
    </w:pPr>
  </w:style>
  <w:style w:type="paragraph" w:customStyle="1" w:styleId="ReferencestootherSOPsQCDs">
    <w:name w:val="References to other SOPs/QCDs"/>
    <w:basedOn w:val="Instructions"/>
    <w:next w:val="Normal"/>
    <w:link w:val="ReferencestootherSOPsQCDsChar"/>
    <w:qFormat/>
    <w:rsid w:val="00475745"/>
    <w:rPr>
      <w:color w:val="943634"/>
    </w:rPr>
  </w:style>
  <w:style w:type="character" w:customStyle="1" w:styleId="ReferencestootherSOPsQCDsChar">
    <w:name w:val="References to other SOPs/QCDs Char"/>
    <w:basedOn w:val="InstructionsChar"/>
    <w:link w:val="ReferencestootherSOPsQCDs"/>
    <w:rsid w:val="00475745"/>
    <w:rPr>
      <w:rFonts w:ascii="Calibri" w:hAnsi="Calibri" w:cs="Arial"/>
      <w:i/>
      <w:iCs/>
      <w:color w:val="943634"/>
      <w:sz w:val="20"/>
      <w:szCs w:val="20"/>
      <w:lang w:eastAsia="en-US"/>
    </w:rPr>
  </w:style>
  <w:style w:type="character" w:customStyle="1" w:styleId="bullet1Char">
    <w:name w:val="bullet 1 Char"/>
    <w:basedOn w:val="DefaultParagraphFont"/>
    <w:link w:val="bullet1"/>
    <w:locked/>
    <w:rsid w:val="00475745"/>
    <w:rPr>
      <w:rFonts w:ascii="Calibri" w:hAnsi="Calibri" w:cs="Arial"/>
      <w:sz w:val="20"/>
      <w:szCs w:val="20"/>
      <w:lang w:eastAsia="en-US"/>
    </w:rPr>
  </w:style>
  <w:style w:type="character" w:customStyle="1" w:styleId="AbbreviationsDefinitionsTermChar">
    <w:name w:val="Abbreviations &amp; Definitions 'Term' Char"/>
    <w:basedOn w:val="DefaultParagraphFont"/>
    <w:link w:val="AbbreviationsDefinitionsTerm"/>
    <w:uiPriority w:val="14"/>
    <w:rsid w:val="0083169E"/>
    <w:rPr>
      <w:rFonts w:ascii="Calibri" w:hAnsi="Calibri" w:cs="Tahoma"/>
      <w:b/>
      <w:bCs/>
      <w:color w:val="000000" w:themeColor="text1"/>
      <w:spacing w:val="5"/>
      <w:kern w:val="28"/>
      <w:sz w:val="20"/>
      <w:szCs w:val="26"/>
      <w:lang w:eastAsia="en-US"/>
    </w:rPr>
  </w:style>
  <w:style w:type="character" w:styleId="Hyperlink">
    <w:name w:val="Hyperlink"/>
    <w:basedOn w:val="DefaultParagraphFont"/>
    <w:uiPriority w:val="99"/>
    <w:rsid w:val="00692DFA"/>
    <w:rPr>
      <w:color w:val="0000FF"/>
      <w:u w:val="single"/>
    </w:rPr>
  </w:style>
  <w:style w:type="paragraph" w:customStyle="1" w:styleId="Bullet10">
    <w:name w:val="Bullet 1"/>
    <w:basedOn w:val="Normal"/>
    <w:link w:val="Bullet1Char0"/>
    <w:uiPriority w:val="19"/>
    <w:rsid w:val="00475745"/>
    <w:pPr>
      <w:ind w:left="340" w:hanging="340"/>
    </w:pPr>
  </w:style>
  <w:style w:type="character" w:customStyle="1" w:styleId="Bullet1Char0">
    <w:name w:val="Bullet 1 Char"/>
    <w:basedOn w:val="DefaultParagraphFont"/>
    <w:link w:val="Bullet10"/>
    <w:uiPriority w:val="19"/>
    <w:rsid w:val="00475745"/>
    <w:rPr>
      <w:rFonts w:ascii="Calibri" w:hAnsi="Calibri" w:cs="Arial"/>
      <w:sz w:val="20"/>
      <w:szCs w:val="20"/>
      <w:lang w:eastAsia="en-US"/>
    </w:rPr>
  </w:style>
  <w:style w:type="paragraph" w:customStyle="1" w:styleId="Numberlist">
    <w:name w:val="Numberlist"/>
    <w:basedOn w:val="Normal"/>
    <w:uiPriority w:val="1"/>
    <w:qFormat/>
    <w:rsid w:val="00475745"/>
    <w:pPr>
      <w:numPr>
        <w:numId w:val="16"/>
      </w:numPr>
      <w:ind w:left="340" w:hanging="340"/>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Calibri" w:hAnsi="Calibri" w:cs="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65B"/>
    <w:rPr>
      <w:b/>
      <w:bCs/>
    </w:rPr>
  </w:style>
  <w:style w:type="character" w:customStyle="1" w:styleId="CommentSubjectChar">
    <w:name w:val="Comment Subject Char"/>
    <w:basedOn w:val="CommentTextChar"/>
    <w:link w:val="CommentSubject"/>
    <w:uiPriority w:val="99"/>
    <w:semiHidden/>
    <w:rsid w:val="0021165B"/>
    <w:rPr>
      <w:rFonts w:ascii="Calibri" w:hAnsi="Calibri" w:cs="Arial"/>
      <w:b/>
      <w:bCs/>
      <w:sz w:val="20"/>
      <w:szCs w:val="20"/>
      <w:lang w:eastAsia="en-US"/>
    </w:rPr>
  </w:style>
  <w:style w:type="character" w:styleId="FollowedHyperlink">
    <w:name w:val="FollowedHyperlink"/>
    <w:basedOn w:val="DefaultParagraphFont"/>
    <w:semiHidden/>
    <w:unhideWhenUsed/>
    <w:rsid w:val="00043513"/>
    <w:rPr>
      <w:color w:val="800080" w:themeColor="followedHyperlink"/>
      <w:u w:val="single"/>
    </w:rPr>
  </w:style>
  <w:style w:type="paragraph" w:customStyle="1" w:styleId="Bold">
    <w:name w:val="Bold"/>
    <w:basedOn w:val="Normal"/>
    <w:link w:val="BoldChar"/>
    <w:uiPriority w:val="18"/>
    <w:qFormat/>
    <w:rsid w:val="00F013DE"/>
    <w:rPr>
      <w:b/>
    </w:rPr>
  </w:style>
  <w:style w:type="character" w:styleId="UnresolvedMention">
    <w:name w:val="Unresolved Mention"/>
    <w:basedOn w:val="DefaultParagraphFont"/>
    <w:uiPriority w:val="99"/>
    <w:semiHidden/>
    <w:unhideWhenUsed/>
    <w:rsid w:val="00396CD2"/>
    <w:rPr>
      <w:color w:val="605E5C"/>
      <w:shd w:val="clear" w:color="auto" w:fill="E1DFDD"/>
    </w:rPr>
  </w:style>
  <w:style w:type="paragraph" w:customStyle="1" w:styleId="NumberlistforSOPs">
    <w:name w:val="Numberlist for SOPs"/>
    <w:basedOn w:val="Normal"/>
    <w:rsid w:val="00972CDF"/>
    <w:pPr>
      <w:ind w:left="360" w:hanging="360"/>
    </w:pPr>
  </w:style>
  <w:style w:type="character" w:customStyle="1" w:styleId="BoldChar">
    <w:name w:val="Bold Char"/>
    <w:basedOn w:val="InstructionsChar"/>
    <w:link w:val="Bold"/>
    <w:uiPriority w:val="18"/>
    <w:rsid w:val="00972CDF"/>
    <w:rPr>
      <w:rFonts w:ascii="Calibri" w:hAnsi="Calibri" w:cs="Arial"/>
      <w:b/>
      <w:i w:val="0"/>
      <w:iCs w:val="0"/>
      <w:color w:val="FF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128280163">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494569521">
      <w:bodyDiv w:val="1"/>
      <w:marLeft w:val="0"/>
      <w:marRight w:val="0"/>
      <w:marTop w:val="0"/>
      <w:marBottom w:val="0"/>
      <w:divBdr>
        <w:top w:val="none" w:sz="0" w:space="0" w:color="auto"/>
        <w:left w:val="none" w:sz="0" w:space="0" w:color="auto"/>
        <w:bottom w:val="none" w:sz="0" w:space="0" w:color="auto"/>
        <w:right w:val="none" w:sz="0" w:space="0" w:color="auto"/>
      </w:divBdr>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package" Target="embeddings/Microsoft_Visio_Drawing.vsdx"/><Relationship Id="rId18" Type="http://schemas.openxmlformats.org/officeDocument/2006/relationships/hyperlink" Target="mailto:researchgovernance@contacts.bham.ac.uk"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legislation.gov.uk/uksi/2004/1031/contents/made" TargetMode="Externa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mailto:crct@contacts.bham.ac.uk"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CRCT%20website" TargetMode="External"/><Relationship Id="rId20" Type="http://schemas.openxmlformats.org/officeDocument/2006/relationships/hyperlink" Target="http://www.legislation.gov.uk/ukpga/2004/30/contents"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Regulatory_and_procedural_guideline/2012/05/WC500127124.pdf" TargetMode="External"/><Relationship Id="rId24" Type="http://schemas.openxmlformats.org/officeDocument/2006/relationships/hyperlink" Target="https://www.birmingham.ac.uk/research/activity/mds/mds-rkto/governance/Glossary-of-Terms.asp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ranet.birmingham.ac.uk/finance/rss/contracts/index.aspx" TargetMode="External"/><Relationship Id="rId23" Type="http://schemas.openxmlformats.org/officeDocument/2006/relationships/hyperlink" Target="https://intranet.birmingham.ac.uk/hr/wellbeing/worksafe/biological/index.aspx" TargetMode="External"/><Relationship Id="rId28"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www.ema.europa.eu/docs/en_GB/document_library/Regulatory_and_procedural_guideline/2012/05/WC500127124.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ntranet.birmingham.ac.uk/hr/wellbeing/worksafe/biological/index.aspx" TargetMode="External"/><Relationship Id="rId22" Type="http://schemas.openxmlformats.org/officeDocument/2006/relationships/hyperlink" Target="https://intranet.birmingham.ac.uk/finance/rss/contracts/index.aspx" TargetMode="External"/><Relationship Id="rId27" Type="http://schemas.openxmlformats.org/officeDocument/2006/relationships/footer" Target="footer3.xml"/><Relationship Id="rId30"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hyperlink" Target="http://www.birmingham.ac.uk/research/activity/mds/mds-rkto/governance/index.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6.%20Team\1.%20Templates\QMS%20Templates\UoB%20SOP%20template%20v9.0%20vd%2018-Jan-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D14D3-279F-46D6-9282-3C6AE1832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UoB SOP template v9.0 vd 18-Jan-2022</Template>
  <TotalTime>5</TotalTime>
  <Pages>8</Pages>
  <Words>3262</Words>
  <Characters>18597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UoB SOP template v8.0 vd 11-Oct-2019</vt:lpstr>
    </vt:vector>
  </TitlesOfParts>
  <Company>MDS</Company>
  <LinksUpToDate>false</LinksUpToDate>
  <CharactersWithSpaces>21816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SOP template v9.0 vd 18-Jan-2022</dc:title>
  <dc:creator>Jamie Douglas-Pugh</dc:creator>
  <cp:lastModifiedBy>Jamie Douglas-Pugh</cp:lastModifiedBy>
  <cp:revision>3</cp:revision>
  <cp:lastPrinted>2019-05-31T11:18:00Z</cp:lastPrinted>
  <dcterms:created xsi:type="dcterms:W3CDTF">2022-02-16T08:51:00Z</dcterms:created>
  <dcterms:modified xsi:type="dcterms:W3CDTF">2022-02-16T09:14:00Z</dcterms:modified>
</cp:coreProperties>
</file>