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B901B" w14:textId="77777777" w:rsidR="00C906CD" w:rsidRPr="00F91761" w:rsidRDefault="00C906CD" w:rsidP="00FF2478">
      <w:pPr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F91761">
        <w:rPr>
          <w:rFonts w:asciiTheme="minorHAnsi" w:hAnsiTheme="minorHAnsi" w:cstheme="minorHAnsi"/>
          <w:sz w:val="24"/>
          <w:szCs w:val="24"/>
        </w:rPr>
        <w:t>CALL FOR PAPERS</w:t>
      </w:r>
    </w:p>
    <w:p w14:paraId="21041EF2" w14:textId="3C3B79FA" w:rsidR="000E6577" w:rsidRPr="00F91761" w:rsidRDefault="00C60664" w:rsidP="00C906CD">
      <w:pPr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F91761">
        <w:rPr>
          <w:rFonts w:asciiTheme="minorHAnsi" w:hAnsiTheme="minorHAnsi" w:cstheme="minorHAnsi"/>
          <w:sz w:val="24"/>
          <w:szCs w:val="24"/>
        </w:rPr>
        <w:t>Immediate Effect</w:t>
      </w:r>
      <w:r w:rsidR="007849F6" w:rsidRPr="00F91761">
        <w:rPr>
          <w:rFonts w:asciiTheme="minorHAnsi" w:hAnsiTheme="minorHAnsi" w:cstheme="minorHAnsi"/>
          <w:sz w:val="24"/>
          <w:szCs w:val="24"/>
        </w:rPr>
        <w:t xml:space="preserve">: </w:t>
      </w:r>
      <w:r w:rsidR="00E43002">
        <w:rPr>
          <w:rFonts w:asciiTheme="minorHAnsi" w:hAnsiTheme="minorHAnsi" w:cstheme="minorHAnsi"/>
          <w:sz w:val="24"/>
          <w:szCs w:val="24"/>
        </w:rPr>
        <w:t>Great</w:t>
      </w:r>
      <w:r w:rsidR="00165229">
        <w:rPr>
          <w:rFonts w:asciiTheme="minorHAnsi" w:hAnsiTheme="minorHAnsi" w:cstheme="minorHAnsi"/>
          <w:sz w:val="24"/>
          <w:szCs w:val="24"/>
        </w:rPr>
        <w:t xml:space="preserve"> </w:t>
      </w:r>
      <w:r w:rsidR="00E43002">
        <w:rPr>
          <w:rFonts w:asciiTheme="minorHAnsi" w:hAnsiTheme="minorHAnsi" w:cstheme="minorHAnsi"/>
          <w:sz w:val="24"/>
          <w:szCs w:val="24"/>
        </w:rPr>
        <w:t xml:space="preserve">Textual </w:t>
      </w:r>
      <w:r w:rsidR="00E81CA9" w:rsidRPr="00F91761">
        <w:rPr>
          <w:rFonts w:asciiTheme="minorHAnsi" w:hAnsiTheme="minorHAnsi" w:cstheme="minorHAnsi"/>
          <w:sz w:val="24"/>
          <w:szCs w:val="24"/>
        </w:rPr>
        <w:t>Transformations of 1989</w:t>
      </w:r>
    </w:p>
    <w:p w14:paraId="3623FA2A" w14:textId="54E09A74" w:rsidR="00C906CD" w:rsidRPr="00F91761" w:rsidRDefault="00A9447A" w:rsidP="00C906CD">
      <w:pPr>
        <w:contextualSpacing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University of Birmingham </w:t>
      </w:r>
      <w:r w:rsidR="006E00A8" w:rsidRPr="00F91761">
        <w:rPr>
          <w:rFonts w:asciiTheme="minorHAnsi" w:hAnsiTheme="minorHAnsi" w:cstheme="minorHAnsi"/>
          <w:sz w:val="24"/>
          <w:szCs w:val="24"/>
        </w:rPr>
        <w:t>Europe Hub, Brussels</w:t>
      </w:r>
      <w:r>
        <w:rPr>
          <w:rFonts w:asciiTheme="minorHAnsi" w:hAnsiTheme="minorHAnsi" w:cstheme="minorHAnsi"/>
          <w:sz w:val="24"/>
          <w:szCs w:val="24"/>
        </w:rPr>
        <w:t>, Belgium</w:t>
      </w:r>
    </w:p>
    <w:p w14:paraId="1D40E557" w14:textId="77777777" w:rsidR="000E384F" w:rsidRPr="00F91761" w:rsidRDefault="000E384F">
      <w:pPr>
        <w:contextualSpacing/>
        <w:rPr>
          <w:rFonts w:asciiTheme="minorHAnsi" w:hAnsiTheme="minorHAnsi" w:cstheme="minorHAnsi"/>
          <w:sz w:val="24"/>
          <w:szCs w:val="24"/>
        </w:rPr>
      </w:pPr>
    </w:p>
    <w:p w14:paraId="76A89B8C" w14:textId="79A09481" w:rsidR="00177AEF" w:rsidRPr="00F91761" w:rsidRDefault="00A42913" w:rsidP="00FD6FE2">
      <w:pPr>
        <w:contextualSpacing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Call for Papers: 09</w:t>
      </w:r>
      <w:r w:rsidR="00FD6FE2" w:rsidRPr="00F91761">
        <w:rPr>
          <w:rFonts w:asciiTheme="minorHAnsi" w:hAnsiTheme="minorHAnsi" w:cstheme="minorHAnsi"/>
          <w:sz w:val="24"/>
          <w:szCs w:val="24"/>
        </w:rPr>
        <w:t xml:space="preserve"> November 2019</w:t>
      </w:r>
    </w:p>
    <w:p w14:paraId="4F427AFB" w14:textId="0ADE883E" w:rsidR="00FD6FE2" w:rsidRPr="00F91761" w:rsidRDefault="00FD6FE2" w:rsidP="00FD6FE2">
      <w:pPr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F91761">
        <w:rPr>
          <w:rFonts w:asciiTheme="minorHAnsi" w:hAnsiTheme="minorHAnsi" w:cstheme="minorHAnsi"/>
          <w:sz w:val="24"/>
          <w:szCs w:val="24"/>
        </w:rPr>
        <w:t>Abstract and one-page CV deadline: 06 January 2020</w:t>
      </w:r>
    </w:p>
    <w:p w14:paraId="161D6B79" w14:textId="0EA4DC77" w:rsidR="00FD6FE2" w:rsidRDefault="00FD6FE2" w:rsidP="00FD6FE2">
      <w:pPr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F91761">
        <w:rPr>
          <w:rFonts w:asciiTheme="minorHAnsi" w:hAnsiTheme="minorHAnsi" w:cstheme="minorHAnsi"/>
          <w:sz w:val="24"/>
          <w:szCs w:val="24"/>
        </w:rPr>
        <w:t>Invitation to successful applicants: 15 February 2020</w:t>
      </w:r>
    </w:p>
    <w:p w14:paraId="65AA6F76" w14:textId="4D4F3860" w:rsidR="00BA6DB5" w:rsidRPr="00F91761" w:rsidRDefault="00BA6DB5" w:rsidP="00FD6FE2">
      <w:pPr>
        <w:contextualSpacing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Deadline for papers for pre-circulation: 15 July 2020</w:t>
      </w:r>
    </w:p>
    <w:p w14:paraId="6B9E8B4F" w14:textId="26C72467" w:rsidR="00FD6FE2" w:rsidRDefault="004C042B" w:rsidP="00FD6FE2">
      <w:pPr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F91761">
        <w:rPr>
          <w:rFonts w:asciiTheme="minorHAnsi" w:hAnsiTheme="minorHAnsi" w:cstheme="minorHAnsi"/>
          <w:sz w:val="24"/>
          <w:szCs w:val="24"/>
        </w:rPr>
        <w:t>Brussels Workshop:</w:t>
      </w:r>
      <w:r w:rsidR="003716A3" w:rsidRPr="00F91761">
        <w:rPr>
          <w:rFonts w:asciiTheme="minorHAnsi" w:hAnsiTheme="minorHAnsi" w:cstheme="minorHAnsi"/>
          <w:sz w:val="24"/>
          <w:szCs w:val="24"/>
        </w:rPr>
        <w:t xml:space="preserve"> 27-29</w:t>
      </w:r>
      <w:r w:rsidR="00FD6FE2" w:rsidRPr="00F91761">
        <w:rPr>
          <w:rFonts w:asciiTheme="minorHAnsi" w:hAnsiTheme="minorHAnsi" w:cstheme="minorHAnsi"/>
          <w:sz w:val="24"/>
          <w:szCs w:val="24"/>
        </w:rPr>
        <w:t xml:space="preserve"> August 2020</w:t>
      </w:r>
    </w:p>
    <w:p w14:paraId="40CC5B62" w14:textId="7ADAA1E1" w:rsidR="005E10D7" w:rsidRDefault="005E10D7" w:rsidP="00FD6FE2">
      <w:pPr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14:paraId="30FACA9C" w14:textId="77777777" w:rsidR="00177AEF" w:rsidRPr="00F91761" w:rsidRDefault="00177AEF" w:rsidP="00244599">
      <w:pPr>
        <w:contextualSpacing/>
        <w:rPr>
          <w:rFonts w:asciiTheme="minorHAnsi" w:hAnsiTheme="minorHAnsi" w:cstheme="minorHAnsi"/>
          <w:sz w:val="24"/>
          <w:szCs w:val="24"/>
        </w:rPr>
      </w:pPr>
    </w:p>
    <w:p w14:paraId="642577C8" w14:textId="7AA10BD8" w:rsidR="00F46BF0" w:rsidRPr="00F91761" w:rsidRDefault="00F46BF0" w:rsidP="00244599">
      <w:pPr>
        <w:contextualSpacing/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</w:pPr>
      <w:r w:rsidRPr="00F91761">
        <w:rPr>
          <w:rFonts w:asciiTheme="minorHAnsi" w:hAnsiTheme="minorHAnsi" w:cstheme="minorHAnsi"/>
          <w:sz w:val="24"/>
          <w:szCs w:val="24"/>
        </w:rPr>
        <w:t xml:space="preserve">The revised travel regulations, as German Democratic Republic official </w:t>
      </w:r>
      <w:r w:rsidRPr="00F91761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Günter Schabowski</w:t>
      </w:r>
      <w:r w:rsidR="00FD6FE2" w:rsidRPr="00F91761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’s </w:t>
      </w:r>
      <w:r w:rsidR="007647FB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ninth</w:t>
      </w:r>
      <w:r w:rsidR="00C30501" w:rsidRPr="00F91761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of November </w:t>
      </w:r>
      <w:r w:rsidRPr="00F91761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press conference inadvertently revealed, were being issued “with immediate effect.” </w:t>
      </w:r>
      <w:r w:rsidR="00C30501" w:rsidRPr="00F91761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C</w:t>
      </w:r>
      <w:r w:rsidR="00177AEF" w:rsidRPr="00F91761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rowds gathered at the Berlin Wall, and by </w:t>
      </w:r>
      <w:r w:rsidR="00BB2AAE" w:rsidRPr="00F91761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next morning, a </w:t>
      </w:r>
      <w:r w:rsidR="007847CA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city divided</w:t>
      </w:r>
      <w:r w:rsidR="00FD6FE2" w:rsidRPr="00F91761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was one once again. </w:t>
      </w:r>
      <w:r w:rsidR="006E6BEA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Thirty years later, the implications of that day remain far from settled, and so we take the opportunity of this anniversary to invite</w:t>
      </w:r>
      <w:r w:rsidR="00C30501" w:rsidRPr="00F91761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scholars in the humanities and social sciences to submit workshop proposals </w:t>
      </w:r>
      <w:r w:rsidR="004A2541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focusing</w:t>
      </w:r>
      <w:r w:rsidR="00C30501" w:rsidRPr="00F91761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on a particular text from the year the </w:t>
      </w:r>
      <w:r w:rsidR="005D6572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Wall fell</w:t>
      </w:r>
      <w:r w:rsidR="00C30501" w:rsidRPr="00F91761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. </w:t>
      </w:r>
      <w:r w:rsidR="00AA5C3C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Although</w:t>
      </w:r>
      <w:r w:rsidR="00AA5C3C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the Iron Curtain was no uniform formation</w:t>
      </w:r>
      <w:r w:rsidR="00AA5C3C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, </w:t>
      </w:r>
      <w:r w:rsidR="005D6572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Berlin’s</w:t>
      </w:r>
      <w:r w:rsidR="00BB2AAE" w:rsidRPr="00F91761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dramatic events have often come to</w:t>
      </w:r>
      <w:r w:rsidR="00AA5C3C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symbolize the year as a whole, </w:t>
      </w:r>
      <w:r w:rsidR="00BB2AAE" w:rsidRPr="00F91761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and so proposals m</w:t>
      </w:r>
      <w:r w:rsidR="00AA5C3C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ight have a German connection. W</w:t>
      </w:r>
      <w:r w:rsidR="00BB2AAE" w:rsidRPr="00F91761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e will</w:t>
      </w:r>
      <w:r w:rsidR="00AA5C3C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, nonetheless,</w:t>
      </w:r>
      <w:r w:rsidR="00BB2AAE" w:rsidRPr="00F91761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be selecting proposed papers that speak to any of global 1989</w:t>
      </w:r>
      <w:r w:rsidR="008C5E18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’</w:t>
      </w:r>
      <w:r w:rsidR="00BB2AAE" w:rsidRPr="00F91761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s geographies. </w:t>
      </w:r>
      <w:r w:rsidR="00C30501" w:rsidRPr="00F91761">
        <w:rPr>
          <w:rFonts w:asciiTheme="minorHAnsi" w:hAnsiTheme="minorHAnsi" w:cstheme="minorHAnsi"/>
          <w:sz w:val="24"/>
          <w:szCs w:val="24"/>
        </w:rPr>
        <w:t xml:space="preserve">With a capacious conception of “texts” (including books, plays, photographs, films, essays, speeches, artistic objects, etc.), we aim to convene a workshop comprised of about </w:t>
      </w:r>
      <w:r w:rsidR="008C5E18">
        <w:rPr>
          <w:rFonts w:asciiTheme="minorHAnsi" w:hAnsiTheme="minorHAnsi" w:cstheme="minorHAnsi"/>
          <w:sz w:val="24"/>
          <w:szCs w:val="24"/>
        </w:rPr>
        <w:t>12</w:t>
      </w:r>
      <w:r w:rsidR="00C30501" w:rsidRPr="00F91761">
        <w:rPr>
          <w:rFonts w:asciiTheme="minorHAnsi" w:hAnsiTheme="minorHAnsi" w:cstheme="minorHAnsi"/>
          <w:sz w:val="24"/>
          <w:szCs w:val="24"/>
        </w:rPr>
        <w:t xml:space="preserve"> sessions over two</w:t>
      </w:r>
      <w:r w:rsidR="003716A3" w:rsidRPr="00F91761">
        <w:rPr>
          <w:rFonts w:asciiTheme="minorHAnsi" w:hAnsiTheme="minorHAnsi" w:cstheme="minorHAnsi"/>
          <w:sz w:val="24"/>
          <w:szCs w:val="24"/>
        </w:rPr>
        <w:t>-and-a-half</w:t>
      </w:r>
      <w:r w:rsidR="00C30501" w:rsidRPr="00F91761">
        <w:rPr>
          <w:rFonts w:asciiTheme="minorHAnsi" w:hAnsiTheme="minorHAnsi" w:cstheme="minorHAnsi"/>
          <w:sz w:val="24"/>
          <w:szCs w:val="24"/>
        </w:rPr>
        <w:t xml:space="preserve"> days, with each session dedicated to one paper on one </w:t>
      </w:r>
      <w:r w:rsidR="00165229">
        <w:rPr>
          <w:rFonts w:asciiTheme="minorHAnsi" w:hAnsiTheme="minorHAnsi" w:cstheme="minorHAnsi"/>
          <w:sz w:val="24"/>
          <w:szCs w:val="24"/>
        </w:rPr>
        <w:t xml:space="preserve">or perhaps two </w:t>
      </w:r>
      <w:r w:rsidR="00C30501" w:rsidRPr="00F91761">
        <w:rPr>
          <w:rFonts w:asciiTheme="minorHAnsi" w:hAnsiTheme="minorHAnsi" w:cstheme="minorHAnsi"/>
          <w:sz w:val="24"/>
          <w:szCs w:val="24"/>
        </w:rPr>
        <w:t>text</w:t>
      </w:r>
      <w:r w:rsidR="00165229">
        <w:rPr>
          <w:rFonts w:asciiTheme="minorHAnsi" w:hAnsiTheme="minorHAnsi" w:cstheme="minorHAnsi"/>
          <w:sz w:val="24"/>
          <w:szCs w:val="24"/>
        </w:rPr>
        <w:t>s</w:t>
      </w:r>
      <w:r w:rsidR="00C30501" w:rsidRPr="00F91761">
        <w:rPr>
          <w:rFonts w:asciiTheme="minorHAnsi" w:hAnsiTheme="minorHAnsi" w:cstheme="minorHAnsi"/>
          <w:sz w:val="24"/>
          <w:szCs w:val="24"/>
        </w:rPr>
        <w:t>.</w:t>
      </w:r>
      <w:bookmarkStart w:id="0" w:name="_GoBack"/>
      <w:bookmarkEnd w:id="0"/>
    </w:p>
    <w:p w14:paraId="6CE4FD1B" w14:textId="27CED58B" w:rsidR="003716A3" w:rsidRPr="00F91761" w:rsidRDefault="003716A3" w:rsidP="00244599">
      <w:pPr>
        <w:contextualSpacing/>
        <w:rPr>
          <w:rFonts w:asciiTheme="minorHAnsi" w:hAnsiTheme="minorHAnsi" w:cstheme="minorHAnsi"/>
          <w:sz w:val="24"/>
          <w:szCs w:val="24"/>
        </w:rPr>
      </w:pPr>
    </w:p>
    <w:p w14:paraId="68A0F48D" w14:textId="326D2800" w:rsidR="003E64A5" w:rsidRPr="004D4E4F" w:rsidRDefault="003E64A5" w:rsidP="00244599">
      <w:pPr>
        <w:contextualSpacing/>
        <w:rPr>
          <w:rFonts w:asciiTheme="minorHAnsi" w:hAnsiTheme="minorHAnsi" w:cstheme="minorHAnsi"/>
          <w:sz w:val="24"/>
          <w:szCs w:val="24"/>
        </w:rPr>
      </w:pPr>
      <w:r w:rsidRPr="00F91761">
        <w:rPr>
          <w:rFonts w:asciiTheme="minorHAnsi" w:hAnsiTheme="minorHAnsi" w:cstheme="minorHAnsi"/>
          <w:sz w:val="24"/>
          <w:szCs w:val="24"/>
        </w:rPr>
        <w:t xml:space="preserve">This workshop </w:t>
      </w:r>
      <w:r w:rsidR="003716A3" w:rsidRPr="00F91761">
        <w:rPr>
          <w:rFonts w:asciiTheme="minorHAnsi" w:hAnsiTheme="minorHAnsi" w:cstheme="minorHAnsi"/>
          <w:sz w:val="24"/>
          <w:szCs w:val="24"/>
        </w:rPr>
        <w:t>follows from a pre</w:t>
      </w:r>
      <w:r w:rsidR="00BB2AAE" w:rsidRPr="00F91761">
        <w:rPr>
          <w:rFonts w:asciiTheme="minorHAnsi" w:hAnsiTheme="minorHAnsi" w:cstheme="minorHAnsi"/>
          <w:sz w:val="24"/>
          <w:szCs w:val="24"/>
        </w:rPr>
        <w:t>vious project that looked at</w:t>
      </w:r>
      <w:r w:rsidR="003716A3" w:rsidRPr="00F91761">
        <w:rPr>
          <w:rFonts w:asciiTheme="minorHAnsi" w:hAnsiTheme="minorHAnsi" w:cstheme="minorHAnsi"/>
          <w:sz w:val="24"/>
          <w:szCs w:val="24"/>
        </w:rPr>
        <w:t xml:space="preserve"> t</w:t>
      </w:r>
      <w:r w:rsidRPr="00F91761">
        <w:rPr>
          <w:rFonts w:asciiTheme="minorHAnsi" w:hAnsiTheme="minorHAnsi" w:cstheme="minorHAnsi"/>
          <w:sz w:val="24"/>
          <w:szCs w:val="24"/>
        </w:rPr>
        <w:t>exts produced in 1944, and</w:t>
      </w:r>
      <w:r w:rsidR="003716A3" w:rsidRPr="00F91761">
        <w:rPr>
          <w:rFonts w:asciiTheme="minorHAnsi" w:hAnsiTheme="minorHAnsi" w:cstheme="minorHAnsi"/>
          <w:sz w:val="24"/>
          <w:szCs w:val="24"/>
        </w:rPr>
        <w:t xml:space="preserve"> resulted in an edited volume entitled </w:t>
      </w:r>
      <w:r w:rsidRPr="00F91761">
        <w:rPr>
          <w:rFonts w:asciiTheme="minorHAnsi" w:hAnsiTheme="minorHAnsi" w:cstheme="minorHAnsi"/>
          <w:i/>
          <w:sz w:val="24"/>
          <w:szCs w:val="24"/>
        </w:rPr>
        <w:t>Reading the Postwar Future: Textual Turning Points from 1944</w:t>
      </w:r>
      <w:r w:rsidRPr="00F91761">
        <w:rPr>
          <w:rFonts w:asciiTheme="minorHAnsi" w:hAnsiTheme="minorHAnsi" w:cstheme="minorHAnsi"/>
          <w:sz w:val="24"/>
          <w:szCs w:val="24"/>
        </w:rPr>
        <w:t>. We reco</w:t>
      </w:r>
      <w:r w:rsidR="008000F7">
        <w:rPr>
          <w:rFonts w:asciiTheme="minorHAnsi" w:hAnsiTheme="minorHAnsi" w:cstheme="minorHAnsi"/>
          <w:sz w:val="24"/>
          <w:szCs w:val="24"/>
        </w:rPr>
        <w:t xml:space="preserve">mmend that applicants </w:t>
      </w:r>
      <w:r w:rsidR="00BB2AAE" w:rsidRPr="00F91761">
        <w:rPr>
          <w:rFonts w:asciiTheme="minorHAnsi" w:hAnsiTheme="minorHAnsi" w:cstheme="minorHAnsi"/>
          <w:sz w:val="24"/>
          <w:szCs w:val="24"/>
        </w:rPr>
        <w:t xml:space="preserve">consult this book </w:t>
      </w:r>
      <w:r w:rsidRPr="00F91761">
        <w:rPr>
          <w:rFonts w:asciiTheme="minorHAnsi" w:hAnsiTheme="minorHAnsi" w:cstheme="minorHAnsi"/>
          <w:sz w:val="24"/>
          <w:szCs w:val="24"/>
        </w:rPr>
        <w:t xml:space="preserve">in order to get a sense of our approach, especially since our gathering in 2020 will </w:t>
      </w:r>
      <w:r w:rsidR="00BB2AAE" w:rsidRPr="00F91761">
        <w:rPr>
          <w:rFonts w:asciiTheme="minorHAnsi" w:hAnsiTheme="minorHAnsi" w:cstheme="minorHAnsi"/>
          <w:sz w:val="24"/>
          <w:szCs w:val="24"/>
        </w:rPr>
        <w:t xml:space="preserve">also </w:t>
      </w:r>
      <w:r w:rsidRPr="00F91761">
        <w:rPr>
          <w:rFonts w:asciiTheme="minorHAnsi" w:hAnsiTheme="minorHAnsi" w:cstheme="minorHAnsi"/>
          <w:sz w:val="24"/>
          <w:szCs w:val="24"/>
        </w:rPr>
        <w:t>be follo</w:t>
      </w:r>
      <w:r w:rsidR="008C5E18">
        <w:rPr>
          <w:rFonts w:asciiTheme="minorHAnsi" w:hAnsiTheme="minorHAnsi" w:cstheme="minorHAnsi"/>
          <w:sz w:val="24"/>
          <w:szCs w:val="24"/>
        </w:rPr>
        <w:t>wed by a new edited collection (</w:t>
      </w:r>
      <w:r w:rsidR="00552ECA">
        <w:rPr>
          <w:rFonts w:asciiTheme="minorHAnsi" w:hAnsiTheme="minorHAnsi" w:cstheme="minorHAnsi"/>
          <w:sz w:val="24"/>
          <w:szCs w:val="24"/>
        </w:rPr>
        <w:t>which</w:t>
      </w:r>
      <w:r w:rsidRPr="00F91761">
        <w:rPr>
          <w:rFonts w:asciiTheme="minorHAnsi" w:hAnsiTheme="minorHAnsi" w:cstheme="minorHAnsi"/>
          <w:sz w:val="24"/>
          <w:szCs w:val="24"/>
        </w:rPr>
        <w:t xml:space="preserve"> Bloomsbury Academic</w:t>
      </w:r>
      <w:r w:rsidR="00552ECA">
        <w:rPr>
          <w:rFonts w:asciiTheme="minorHAnsi" w:hAnsiTheme="minorHAnsi" w:cstheme="minorHAnsi"/>
          <w:sz w:val="24"/>
          <w:szCs w:val="24"/>
        </w:rPr>
        <w:t xml:space="preserve"> has already expressed interest in publishing</w:t>
      </w:r>
      <w:r w:rsidR="008C5E18">
        <w:rPr>
          <w:rFonts w:asciiTheme="minorHAnsi" w:hAnsiTheme="minorHAnsi" w:cstheme="minorHAnsi"/>
          <w:sz w:val="24"/>
          <w:szCs w:val="24"/>
        </w:rPr>
        <w:t>)</w:t>
      </w:r>
      <w:r w:rsidRPr="00F91761">
        <w:rPr>
          <w:rFonts w:asciiTheme="minorHAnsi" w:hAnsiTheme="minorHAnsi" w:cstheme="minorHAnsi"/>
          <w:sz w:val="24"/>
          <w:szCs w:val="24"/>
        </w:rPr>
        <w:t>. If our thematic focus for 1944 was</w:t>
      </w:r>
      <w:r w:rsidR="00165229">
        <w:rPr>
          <w:rFonts w:asciiTheme="minorHAnsi" w:hAnsiTheme="minorHAnsi" w:cstheme="minorHAnsi"/>
          <w:sz w:val="24"/>
          <w:szCs w:val="24"/>
        </w:rPr>
        <w:t xml:space="preserve"> one of ideas about</w:t>
      </w:r>
      <w:r w:rsidRPr="00F91761">
        <w:rPr>
          <w:rFonts w:asciiTheme="minorHAnsi" w:hAnsiTheme="minorHAnsi" w:cstheme="minorHAnsi"/>
          <w:sz w:val="24"/>
          <w:szCs w:val="24"/>
        </w:rPr>
        <w:t xml:space="preserve"> the future,</w:t>
      </w:r>
      <w:r w:rsidR="008000F7">
        <w:rPr>
          <w:rFonts w:asciiTheme="minorHAnsi" w:hAnsiTheme="minorHAnsi" w:cstheme="minorHAnsi"/>
          <w:sz w:val="24"/>
          <w:szCs w:val="24"/>
        </w:rPr>
        <w:t xml:space="preserve"> for 1989 we will consider</w:t>
      </w:r>
      <w:r w:rsidRPr="00F91761">
        <w:rPr>
          <w:rFonts w:asciiTheme="minorHAnsi" w:hAnsiTheme="minorHAnsi" w:cstheme="minorHAnsi"/>
          <w:sz w:val="24"/>
          <w:szCs w:val="24"/>
        </w:rPr>
        <w:t xml:space="preserve"> the pace of </w:t>
      </w:r>
      <w:r w:rsidR="00CC6072" w:rsidRPr="00F91761">
        <w:rPr>
          <w:rFonts w:asciiTheme="minorHAnsi" w:hAnsiTheme="minorHAnsi" w:cstheme="minorHAnsi"/>
          <w:sz w:val="24"/>
          <w:szCs w:val="24"/>
        </w:rPr>
        <w:t>that</w:t>
      </w:r>
      <w:r w:rsidR="004A6F02" w:rsidRPr="00F91761">
        <w:rPr>
          <w:rFonts w:asciiTheme="minorHAnsi" w:hAnsiTheme="minorHAnsi" w:cstheme="minorHAnsi"/>
          <w:sz w:val="24"/>
          <w:szCs w:val="24"/>
        </w:rPr>
        <w:t xml:space="preserve"> transformational year</w:t>
      </w:r>
      <w:r w:rsidR="00CC6072" w:rsidRPr="00F91761">
        <w:rPr>
          <w:rFonts w:asciiTheme="minorHAnsi" w:hAnsiTheme="minorHAnsi" w:cstheme="minorHAnsi"/>
          <w:sz w:val="24"/>
          <w:szCs w:val="24"/>
        </w:rPr>
        <w:t>’s present</w:t>
      </w:r>
      <w:r w:rsidRPr="00F91761">
        <w:rPr>
          <w:rFonts w:asciiTheme="minorHAnsi" w:hAnsiTheme="minorHAnsi" w:cstheme="minorHAnsi"/>
          <w:sz w:val="24"/>
          <w:szCs w:val="24"/>
        </w:rPr>
        <w:t xml:space="preserve">. From Berlin to Beijing and far beyond, </w:t>
      </w:r>
      <w:r w:rsidR="0046585A" w:rsidRPr="00F91761">
        <w:rPr>
          <w:rFonts w:asciiTheme="minorHAnsi" w:hAnsiTheme="minorHAnsi" w:cstheme="minorHAnsi"/>
          <w:sz w:val="24"/>
          <w:szCs w:val="24"/>
        </w:rPr>
        <w:t xml:space="preserve">1989 was often lived as experiential speed-up, or what David Harvey’s </w:t>
      </w:r>
      <w:r w:rsidR="0046585A" w:rsidRPr="00F91761">
        <w:rPr>
          <w:rFonts w:asciiTheme="minorHAnsi" w:hAnsiTheme="minorHAnsi" w:cstheme="minorHAnsi"/>
          <w:i/>
          <w:sz w:val="24"/>
          <w:szCs w:val="24"/>
        </w:rPr>
        <w:t>Condition of Postmodernity</w:t>
      </w:r>
      <w:r w:rsidR="0046585A" w:rsidRPr="00F91761">
        <w:rPr>
          <w:rFonts w:asciiTheme="minorHAnsi" w:hAnsiTheme="minorHAnsi" w:cstheme="minorHAnsi"/>
          <w:sz w:val="24"/>
          <w:szCs w:val="24"/>
        </w:rPr>
        <w:t xml:space="preserve"> of that year termed “time-space compression.” </w:t>
      </w:r>
      <w:r w:rsidR="00CC6072" w:rsidRPr="00F91761">
        <w:rPr>
          <w:rFonts w:asciiTheme="minorHAnsi" w:hAnsiTheme="minorHAnsi" w:cstheme="minorHAnsi"/>
          <w:sz w:val="24"/>
          <w:szCs w:val="24"/>
        </w:rPr>
        <w:t>Shifts in the structure of capitalism, as Harvey underscores, cannot be ig</w:t>
      </w:r>
      <w:r w:rsidR="001253AD">
        <w:rPr>
          <w:rFonts w:asciiTheme="minorHAnsi" w:hAnsiTheme="minorHAnsi" w:cstheme="minorHAnsi"/>
          <w:sz w:val="24"/>
          <w:szCs w:val="24"/>
        </w:rPr>
        <w:t>nored here, and in part insurgencies</w:t>
      </w:r>
      <w:r w:rsidR="00CC6072" w:rsidRPr="00F91761">
        <w:rPr>
          <w:rFonts w:asciiTheme="minorHAnsi" w:hAnsiTheme="minorHAnsi" w:cstheme="minorHAnsi"/>
          <w:sz w:val="24"/>
          <w:szCs w:val="24"/>
        </w:rPr>
        <w:t xml:space="preserve"> at Alexanderplatz and Tiananmen, not to mention on the streets of Caracas</w:t>
      </w:r>
      <w:r w:rsidR="001253AD">
        <w:rPr>
          <w:rFonts w:asciiTheme="minorHAnsi" w:hAnsiTheme="minorHAnsi" w:cstheme="minorHAnsi"/>
          <w:sz w:val="24"/>
          <w:szCs w:val="24"/>
        </w:rPr>
        <w:t xml:space="preserve"> and along the Afghan-Soviet border</w:t>
      </w:r>
      <w:r w:rsidR="00CC6072" w:rsidRPr="00F91761">
        <w:rPr>
          <w:rFonts w:asciiTheme="minorHAnsi" w:hAnsiTheme="minorHAnsi" w:cstheme="minorHAnsi"/>
          <w:sz w:val="24"/>
          <w:szCs w:val="24"/>
        </w:rPr>
        <w:t>, indexed transformations in the global economic or</w:t>
      </w:r>
      <w:r w:rsidR="007847CA">
        <w:rPr>
          <w:rFonts w:asciiTheme="minorHAnsi" w:hAnsiTheme="minorHAnsi" w:cstheme="minorHAnsi"/>
          <w:sz w:val="24"/>
          <w:szCs w:val="24"/>
        </w:rPr>
        <w:t xml:space="preserve">der. </w:t>
      </w:r>
      <w:r w:rsidR="004D4E4F">
        <w:rPr>
          <w:rFonts w:asciiTheme="minorHAnsi" w:hAnsiTheme="minorHAnsi" w:cstheme="minorHAnsi"/>
          <w:sz w:val="24"/>
          <w:szCs w:val="24"/>
        </w:rPr>
        <w:t>The same could be said about</w:t>
      </w:r>
      <w:r w:rsidR="004D4E4F" w:rsidRPr="00F91761">
        <w:rPr>
          <w:rFonts w:asciiTheme="minorHAnsi" w:hAnsiTheme="minorHAnsi" w:cstheme="minorHAnsi"/>
          <w:sz w:val="24"/>
          <w:szCs w:val="24"/>
        </w:rPr>
        <w:t xml:space="preserve"> top-down expressions of power, from the US invasion of Panama to the formation of Asia Pacific Economic Cooperation</w:t>
      </w:r>
      <w:r w:rsidR="004D4E4F">
        <w:rPr>
          <w:rFonts w:asciiTheme="minorHAnsi" w:hAnsiTheme="minorHAnsi" w:cstheme="minorHAnsi"/>
          <w:sz w:val="24"/>
          <w:szCs w:val="24"/>
        </w:rPr>
        <w:t xml:space="preserve"> to the running aground of the </w:t>
      </w:r>
      <w:r w:rsidR="004D4E4F" w:rsidRPr="00241B17">
        <w:rPr>
          <w:rFonts w:asciiTheme="minorHAnsi" w:hAnsiTheme="minorHAnsi" w:cstheme="minorHAnsi"/>
          <w:i/>
          <w:sz w:val="24"/>
          <w:szCs w:val="24"/>
        </w:rPr>
        <w:t>Exxon Valdez</w:t>
      </w:r>
      <w:r w:rsidR="004D4E4F">
        <w:rPr>
          <w:rFonts w:asciiTheme="minorHAnsi" w:hAnsiTheme="minorHAnsi" w:cstheme="minorHAnsi"/>
          <w:sz w:val="24"/>
          <w:szCs w:val="24"/>
        </w:rPr>
        <w:t xml:space="preserve">. Race and gender </w:t>
      </w:r>
      <w:r w:rsidR="00C41F28">
        <w:rPr>
          <w:rFonts w:asciiTheme="minorHAnsi" w:hAnsiTheme="minorHAnsi" w:cstheme="minorHAnsi"/>
          <w:sz w:val="24"/>
          <w:szCs w:val="24"/>
        </w:rPr>
        <w:t xml:space="preserve">also shaped these events, </w:t>
      </w:r>
      <w:r w:rsidR="004D4E4F">
        <w:rPr>
          <w:rFonts w:asciiTheme="minorHAnsi" w:hAnsiTheme="minorHAnsi" w:cstheme="minorHAnsi"/>
          <w:sz w:val="24"/>
          <w:szCs w:val="24"/>
        </w:rPr>
        <w:t xml:space="preserve">of course, </w:t>
      </w:r>
      <w:r w:rsidR="00C41F28">
        <w:rPr>
          <w:rFonts w:asciiTheme="minorHAnsi" w:hAnsiTheme="minorHAnsi" w:cstheme="minorHAnsi"/>
          <w:sz w:val="24"/>
          <w:szCs w:val="24"/>
        </w:rPr>
        <w:t xml:space="preserve">as they did </w:t>
      </w:r>
      <w:r w:rsidR="004D4E4F" w:rsidRPr="007C5F42">
        <w:rPr>
          <w:rFonts w:asciiTheme="minorHAnsi" w:hAnsiTheme="minorHAnsi" w:cstheme="minorHAnsi"/>
          <w:sz w:val="24"/>
          <w:szCs w:val="24"/>
          <w:shd w:val="clear" w:color="auto" w:fill="FFFFFF"/>
        </w:rPr>
        <w:t>the misogynist massacre at Montreal’s École Polytechnique</w:t>
      </w:r>
      <w:r w:rsidR="004D4E4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 w:rsidR="00C41F2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Ruhollah </w:t>
      </w:r>
      <w:r w:rsidR="00C41F28" w:rsidRPr="007C5F4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Khomeini’s </w:t>
      </w:r>
      <w:r w:rsidR="00C41F28" w:rsidRPr="007C5F42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Satanic Verses</w:t>
      </w:r>
      <w:r w:rsidR="00C41F28" w:rsidRPr="007C5F4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fatwa, </w:t>
      </w:r>
      <w:r w:rsidR="004D4E4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and </w:t>
      </w:r>
      <w:r w:rsidR="00C41F28" w:rsidRPr="007C5F4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F.W. de Klerk’s </w:t>
      </w:r>
      <w:r w:rsidR="004D4E4F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rise to South Africa’s presidency, </w:t>
      </w:r>
      <w:r w:rsidR="004D4E4F">
        <w:rPr>
          <w:rFonts w:asciiTheme="minorHAnsi" w:hAnsiTheme="minorHAnsi" w:cstheme="minorHAnsi"/>
          <w:sz w:val="24"/>
          <w:szCs w:val="24"/>
        </w:rPr>
        <w:t>and all</w:t>
      </w:r>
      <w:r w:rsidR="00F91761" w:rsidRPr="00F91761">
        <w:rPr>
          <w:rFonts w:asciiTheme="minorHAnsi" w:hAnsiTheme="minorHAnsi" w:cstheme="minorHAnsi"/>
          <w:sz w:val="24"/>
          <w:szCs w:val="24"/>
        </w:rPr>
        <w:t xml:space="preserve"> produced their own visual, sonic, literary, and prose texts.</w:t>
      </w:r>
      <w:r w:rsidR="007B5C18">
        <w:rPr>
          <w:rFonts w:asciiTheme="minorHAnsi" w:hAnsiTheme="minorHAnsi" w:cstheme="minorHAnsi"/>
          <w:sz w:val="24"/>
          <w:szCs w:val="24"/>
        </w:rPr>
        <w:t xml:space="preserve"> </w:t>
      </w:r>
      <w:r w:rsidR="00B36E32">
        <w:rPr>
          <w:rFonts w:asciiTheme="minorHAnsi" w:hAnsiTheme="minorHAnsi" w:cstheme="minorHAnsi"/>
          <w:sz w:val="24"/>
          <w:szCs w:val="24"/>
        </w:rPr>
        <w:t>That summer, the</w:t>
      </w:r>
      <w:r w:rsidR="007B5C18">
        <w:rPr>
          <w:rFonts w:asciiTheme="minorHAnsi" w:hAnsiTheme="minorHAnsi" w:cstheme="minorHAnsi"/>
          <w:sz w:val="24"/>
          <w:szCs w:val="24"/>
        </w:rPr>
        <w:t xml:space="preserve"> sheer breathlessness of Billy Joel’s hit single “We Didn’t Start the Fire” captured </w:t>
      </w:r>
      <w:r w:rsidR="005E3878">
        <w:rPr>
          <w:rFonts w:asciiTheme="minorHAnsi" w:hAnsiTheme="minorHAnsi" w:cstheme="minorHAnsi"/>
          <w:sz w:val="24"/>
          <w:szCs w:val="24"/>
        </w:rPr>
        <w:t xml:space="preserve">something of </w:t>
      </w:r>
      <w:r w:rsidR="006E6BEA">
        <w:rPr>
          <w:rFonts w:asciiTheme="minorHAnsi" w:hAnsiTheme="minorHAnsi" w:cstheme="minorHAnsi"/>
          <w:sz w:val="24"/>
          <w:szCs w:val="24"/>
        </w:rPr>
        <w:t>this</w:t>
      </w:r>
      <w:r w:rsidR="005E3878">
        <w:rPr>
          <w:rFonts w:asciiTheme="minorHAnsi" w:hAnsiTheme="minorHAnsi" w:cstheme="minorHAnsi"/>
          <w:sz w:val="24"/>
          <w:szCs w:val="24"/>
        </w:rPr>
        <w:t xml:space="preserve"> quickening </w:t>
      </w:r>
      <w:r w:rsidR="006E6BEA">
        <w:rPr>
          <w:rFonts w:asciiTheme="minorHAnsi" w:hAnsiTheme="minorHAnsi" w:cstheme="minorHAnsi"/>
          <w:sz w:val="24"/>
          <w:szCs w:val="24"/>
        </w:rPr>
        <w:t xml:space="preserve">sense </w:t>
      </w:r>
      <w:r w:rsidR="008000F7">
        <w:rPr>
          <w:rFonts w:asciiTheme="minorHAnsi" w:hAnsiTheme="minorHAnsi" w:cstheme="minorHAnsi"/>
          <w:sz w:val="24"/>
          <w:szCs w:val="24"/>
        </w:rPr>
        <w:t>of time</w:t>
      </w:r>
      <w:r w:rsidR="005E3878">
        <w:rPr>
          <w:rFonts w:asciiTheme="minorHAnsi" w:hAnsiTheme="minorHAnsi" w:cstheme="minorHAnsi"/>
          <w:sz w:val="24"/>
          <w:szCs w:val="24"/>
        </w:rPr>
        <w:t>, even as Francis Fukuyama tried to call time on history altogether.</w:t>
      </w:r>
    </w:p>
    <w:p w14:paraId="329A6E3C" w14:textId="6983D56D" w:rsidR="00F91761" w:rsidRPr="00F91761" w:rsidRDefault="00F91761" w:rsidP="00244599">
      <w:pPr>
        <w:contextualSpacing/>
        <w:rPr>
          <w:rFonts w:asciiTheme="minorHAnsi" w:hAnsiTheme="minorHAnsi" w:cstheme="minorHAnsi"/>
          <w:sz w:val="24"/>
          <w:szCs w:val="24"/>
        </w:rPr>
      </w:pPr>
    </w:p>
    <w:p w14:paraId="43409FB2" w14:textId="049B231A" w:rsidR="00E43002" w:rsidRPr="00865CAC" w:rsidRDefault="00F91761" w:rsidP="0072441A">
      <w:pPr>
        <w:contextualSpacing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sz w:val="24"/>
          <w:szCs w:val="24"/>
        </w:rPr>
        <w:t xml:space="preserve">Also the </w:t>
      </w:r>
      <w:r w:rsidR="007B5C18">
        <w:rPr>
          <w:rFonts w:asciiTheme="minorHAnsi" w:hAnsiTheme="minorHAnsi" w:cstheme="minorHAnsi"/>
          <w:sz w:val="24"/>
          <w:szCs w:val="24"/>
        </w:rPr>
        <w:t xml:space="preserve">year 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that Nintendo’s “Game-Boy” first found its way into the hands of young consumers, that </w:t>
      </w:r>
      <w:r w:rsidR="0068100F" w:rsidRPr="00F91761">
        <w:rPr>
          <w:rFonts w:asciiTheme="minorHAnsi" w:hAnsiTheme="minorHAnsi" w:cstheme="minorHAnsi"/>
          <w:sz w:val="24"/>
          <w:szCs w:val="24"/>
          <w:shd w:val="clear" w:color="auto" w:fill="FFFFFF"/>
        </w:rPr>
        <w:t>Michael Moore's </w:t>
      </w:r>
      <w:r w:rsidR="0068100F" w:rsidRPr="00F91761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>Roger and Me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,</w:t>
      </w:r>
      <w:r w:rsidR="0068100F" w:rsidRPr="00F9176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John Woo's </w:t>
      </w:r>
      <w:r w:rsidR="0068100F" w:rsidRPr="00F91761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>The Killer</w:t>
      </w:r>
      <w:r>
        <w:rPr>
          <w:rFonts w:asciiTheme="minorHAnsi" w:hAnsiTheme="minorHAnsi" w:cstheme="minorHAnsi"/>
          <w:iCs/>
          <w:sz w:val="24"/>
          <w:szCs w:val="24"/>
          <w:shd w:val="clear" w:color="auto" w:fill="FFFFFF"/>
        </w:rPr>
        <w:t xml:space="preserve">, and Spike Lee’s </w:t>
      </w:r>
      <w:r w:rsidRPr="00F91761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t xml:space="preserve">Do the </w:t>
      </w:r>
      <w:r w:rsidRPr="00F91761">
        <w:rPr>
          <w:rFonts w:asciiTheme="minorHAnsi" w:hAnsiTheme="minorHAnsi" w:cstheme="minorHAnsi"/>
          <w:i/>
          <w:iCs/>
          <w:sz w:val="24"/>
          <w:szCs w:val="24"/>
          <w:shd w:val="clear" w:color="auto" w:fill="FFFFFF"/>
        </w:rPr>
        <w:lastRenderedPageBreak/>
        <w:t>Right Thing</w:t>
      </w:r>
      <w:r w:rsidR="0068100F" w:rsidRPr="00F91761">
        <w:rPr>
          <w:rFonts w:asciiTheme="minorHAnsi" w:hAnsiTheme="minorHAnsi" w:cstheme="minorHAnsi"/>
          <w:sz w:val="24"/>
          <w:szCs w:val="24"/>
          <w:shd w:val="clear" w:color="auto" w:fill="FFFFFF"/>
        </w:rPr>
        <w:t> </w:t>
      </w:r>
      <w:r>
        <w:rPr>
          <w:rFonts w:asciiTheme="minorHAnsi" w:hAnsiTheme="minorHAnsi" w:cstheme="minorHAnsi"/>
          <w:sz w:val="24"/>
          <w:szCs w:val="24"/>
          <w:shd w:val="clear" w:color="auto" w:fill="FFFFFF"/>
        </w:rPr>
        <w:t>made their mark across a range of</w:t>
      </w:r>
      <w:r w:rsidR="007B5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film genres, and that Kimberlé Crenshaw’s “Demarginalizing the Intersection,” Richard Rorty’s </w:t>
      </w:r>
      <w:r w:rsidR="007B5C18" w:rsidRPr="007B5C18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Contingency, Irony, and Solidarity</w:t>
      </w:r>
      <w:r w:rsidR="007B5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 w:rsidR="00DB0C0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Barbara Ehrenreich’s </w:t>
      </w:r>
      <w:r w:rsidR="00DB0C09" w:rsidRPr="00DB0C09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Fear of Falling</w:t>
      </w:r>
      <w:r w:rsidR="00DB0C09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</w:t>
      </w:r>
      <w:r w:rsidR="007B5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Steve Fraser and Gary Gerstle’s </w:t>
      </w:r>
      <w:r w:rsidR="007B5C18" w:rsidRPr="007B5C18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Rise and Fall of the New Deal Order</w:t>
      </w:r>
      <w:r w:rsidR="007B5C1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, Alice Echols’ </w:t>
      </w:r>
      <w:r w:rsidR="007B5C18" w:rsidRPr="007B5C18">
        <w:rPr>
          <w:rFonts w:asciiTheme="minorHAnsi" w:hAnsiTheme="minorHAnsi" w:cstheme="minorHAnsi"/>
          <w:i/>
          <w:sz w:val="24"/>
          <w:szCs w:val="24"/>
          <w:shd w:val="clear" w:color="auto" w:fill="FFFFFF"/>
        </w:rPr>
        <w:t>Daring to Be Bad</w:t>
      </w:r>
      <w:r w:rsidR="007B5C18">
        <w:rPr>
          <w:rFonts w:asciiTheme="minorHAnsi" w:hAnsiTheme="minorHAnsi" w:cstheme="minorHAnsi"/>
          <w:sz w:val="24"/>
          <w:szCs w:val="24"/>
          <w:shd w:val="clear" w:color="auto" w:fill="FFFFFF"/>
        </w:rPr>
        <w:t>, and Stuart Hall’s “New Ethnicities” marked before-and-after poi</w:t>
      </w:r>
      <w:r w:rsidR="005E3878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nts in their respective fields, </w:t>
      </w:r>
      <w:r w:rsidR="005D657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1989 </w:t>
      </w:r>
      <w:r w:rsidR="0072441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also </w:t>
      </w:r>
      <w:r w:rsidR="005D6572">
        <w:rPr>
          <w:rFonts w:asciiTheme="minorHAnsi" w:hAnsiTheme="minorHAnsi" w:cstheme="minorHAnsi"/>
          <w:sz w:val="24"/>
          <w:szCs w:val="24"/>
          <w:shd w:val="clear" w:color="auto" w:fill="FFFFFF"/>
        </w:rPr>
        <w:t>undoubtedly</w:t>
      </w:r>
      <w:r w:rsidR="0072441A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defies any attempt to gather its productions under any single rubric.</w:t>
      </w:r>
      <w:r w:rsidR="005D6572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  <w:r w:rsidR="000E6577" w:rsidRPr="00F91761">
        <w:rPr>
          <w:rFonts w:asciiTheme="minorHAnsi" w:hAnsiTheme="minorHAnsi" w:cstheme="minorHAnsi"/>
          <w:sz w:val="24"/>
          <w:szCs w:val="24"/>
        </w:rPr>
        <w:t xml:space="preserve">In order to explore </w:t>
      </w:r>
      <w:r w:rsidR="0072441A">
        <w:rPr>
          <w:rFonts w:asciiTheme="minorHAnsi" w:hAnsiTheme="minorHAnsi" w:cstheme="minorHAnsi"/>
          <w:sz w:val="24"/>
          <w:szCs w:val="24"/>
        </w:rPr>
        <w:t>a broad range of 1989’s texts and contexts</w:t>
      </w:r>
      <w:r w:rsidR="008132E4" w:rsidRPr="00F91761">
        <w:rPr>
          <w:rFonts w:asciiTheme="minorHAnsi" w:hAnsiTheme="minorHAnsi" w:cstheme="minorHAnsi"/>
          <w:sz w:val="24"/>
          <w:szCs w:val="24"/>
        </w:rPr>
        <w:t xml:space="preserve"> in some detail</w:t>
      </w:r>
      <w:r w:rsidR="000E6577" w:rsidRPr="00F91761">
        <w:rPr>
          <w:rFonts w:asciiTheme="minorHAnsi" w:hAnsiTheme="minorHAnsi" w:cstheme="minorHAnsi"/>
          <w:sz w:val="24"/>
          <w:szCs w:val="24"/>
        </w:rPr>
        <w:t xml:space="preserve">, </w:t>
      </w:r>
      <w:r w:rsidR="00FF2478" w:rsidRPr="00F91761">
        <w:rPr>
          <w:rFonts w:asciiTheme="minorHAnsi" w:hAnsiTheme="minorHAnsi" w:cstheme="minorHAnsi"/>
          <w:sz w:val="24"/>
          <w:szCs w:val="24"/>
        </w:rPr>
        <w:t>once</w:t>
      </w:r>
      <w:r w:rsidR="000E6577" w:rsidRPr="00F91761">
        <w:rPr>
          <w:rFonts w:asciiTheme="minorHAnsi" w:hAnsiTheme="minorHAnsi" w:cstheme="minorHAnsi"/>
          <w:sz w:val="24"/>
          <w:szCs w:val="24"/>
        </w:rPr>
        <w:t xml:space="preserve"> we </w:t>
      </w:r>
      <w:r w:rsidR="0054657D" w:rsidRPr="00F91761">
        <w:rPr>
          <w:rFonts w:asciiTheme="minorHAnsi" w:hAnsiTheme="minorHAnsi" w:cstheme="minorHAnsi"/>
          <w:sz w:val="24"/>
          <w:szCs w:val="24"/>
        </w:rPr>
        <w:t>have selected the participants for this</w:t>
      </w:r>
      <w:r w:rsidR="000E6577" w:rsidRPr="00F91761">
        <w:rPr>
          <w:rFonts w:asciiTheme="minorHAnsi" w:hAnsiTheme="minorHAnsi" w:cstheme="minorHAnsi"/>
          <w:sz w:val="24"/>
          <w:szCs w:val="24"/>
        </w:rPr>
        <w:t xml:space="preserve"> workshop, we will re</w:t>
      </w:r>
      <w:r w:rsidR="007F6387">
        <w:rPr>
          <w:rFonts w:asciiTheme="minorHAnsi" w:hAnsiTheme="minorHAnsi" w:cstheme="minorHAnsi"/>
          <w:sz w:val="24"/>
          <w:szCs w:val="24"/>
        </w:rPr>
        <w:t>quest papers of approximately 8</w:t>
      </w:r>
      <w:r w:rsidR="00EE3E91">
        <w:rPr>
          <w:rFonts w:asciiTheme="minorHAnsi" w:hAnsiTheme="minorHAnsi" w:cstheme="minorHAnsi"/>
          <w:sz w:val="24"/>
          <w:szCs w:val="24"/>
        </w:rPr>
        <w:t>,</w:t>
      </w:r>
      <w:r w:rsidR="000E6577" w:rsidRPr="00F91761">
        <w:rPr>
          <w:rFonts w:asciiTheme="minorHAnsi" w:hAnsiTheme="minorHAnsi" w:cstheme="minorHAnsi"/>
          <w:sz w:val="24"/>
          <w:szCs w:val="24"/>
        </w:rPr>
        <w:t xml:space="preserve">000 words for pre-circulation. </w:t>
      </w:r>
      <w:r w:rsidR="001A2F1D" w:rsidRPr="00F91761">
        <w:rPr>
          <w:rFonts w:asciiTheme="minorHAnsi" w:hAnsiTheme="minorHAnsi" w:cstheme="minorHAnsi"/>
          <w:sz w:val="24"/>
          <w:szCs w:val="24"/>
        </w:rPr>
        <w:t>In order to ensure an in-depth discussion of every paper, we will also ask</w:t>
      </w:r>
      <w:r w:rsidR="000E6577" w:rsidRPr="00F91761">
        <w:rPr>
          <w:rFonts w:asciiTheme="minorHAnsi" w:hAnsiTheme="minorHAnsi" w:cstheme="minorHAnsi"/>
          <w:sz w:val="24"/>
          <w:szCs w:val="24"/>
        </w:rPr>
        <w:t xml:space="preserve"> participants to engage </w:t>
      </w:r>
      <w:r w:rsidR="00DB2858" w:rsidRPr="00F91761">
        <w:rPr>
          <w:rFonts w:asciiTheme="minorHAnsi" w:hAnsiTheme="minorHAnsi" w:cstheme="minorHAnsi"/>
          <w:sz w:val="24"/>
          <w:szCs w:val="24"/>
        </w:rPr>
        <w:t xml:space="preserve">with the primary texts </w:t>
      </w:r>
      <w:r w:rsidR="000E6577" w:rsidRPr="00F91761">
        <w:rPr>
          <w:rFonts w:asciiTheme="minorHAnsi" w:hAnsiTheme="minorHAnsi" w:cstheme="minorHAnsi"/>
          <w:sz w:val="24"/>
          <w:szCs w:val="24"/>
        </w:rPr>
        <w:t>before</w:t>
      </w:r>
      <w:r w:rsidR="001A2F1D" w:rsidRPr="00F91761">
        <w:rPr>
          <w:rFonts w:asciiTheme="minorHAnsi" w:hAnsiTheme="minorHAnsi" w:cstheme="minorHAnsi"/>
          <w:sz w:val="24"/>
          <w:szCs w:val="24"/>
        </w:rPr>
        <w:t xml:space="preserve"> the workshop. </w:t>
      </w:r>
      <w:r w:rsidR="007D695E" w:rsidRPr="00F91761">
        <w:rPr>
          <w:rFonts w:asciiTheme="minorHAnsi" w:hAnsiTheme="minorHAnsi" w:cstheme="minorHAnsi"/>
          <w:sz w:val="24"/>
          <w:szCs w:val="24"/>
        </w:rPr>
        <w:t>Each 7</w:t>
      </w:r>
      <w:r w:rsidR="00CD364B" w:rsidRPr="00F91761">
        <w:rPr>
          <w:rFonts w:asciiTheme="minorHAnsi" w:hAnsiTheme="minorHAnsi" w:cstheme="minorHAnsi"/>
          <w:sz w:val="24"/>
          <w:szCs w:val="24"/>
        </w:rPr>
        <w:t>0-minute se</w:t>
      </w:r>
      <w:r w:rsidR="00FF2478" w:rsidRPr="00F91761">
        <w:rPr>
          <w:rFonts w:asciiTheme="minorHAnsi" w:hAnsiTheme="minorHAnsi" w:cstheme="minorHAnsi"/>
          <w:sz w:val="24"/>
          <w:szCs w:val="24"/>
        </w:rPr>
        <w:t xml:space="preserve">ssion </w:t>
      </w:r>
      <w:r w:rsidR="00CD364B" w:rsidRPr="00F91761">
        <w:rPr>
          <w:rFonts w:asciiTheme="minorHAnsi" w:hAnsiTheme="minorHAnsi" w:cstheme="minorHAnsi"/>
          <w:sz w:val="24"/>
          <w:szCs w:val="24"/>
        </w:rPr>
        <w:t xml:space="preserve">will be dedicated to one </w:t>
      </w:r>
      <w:r w:rsidR="00FF2478" w:rsidRPr="00F91761">
        <w:rPr>
          <w:rFonts w:asciiTheme="minorHAnsi" w:hAnsiTheme="minorHAnsi" w:cstheme="minorHAnsi"/>
          <w:sz w:val="24"/>
          <w:szCs w:val="24"/>
        </w:rPr>
        <w:t>workshop paper</w:t>
      </w:r>
      <w:r w:rsidR="007F6387">
        <w:rPr>
          <w:rFonts w:asciiTheme="minorHAnsi" w:hAnsiTheme="minorHAnsi" w:cstheme="minorHAnsi"/>
          <w:sz w:val="24"/>
          <w:szCs w:val="24"/>
        </w:rPr>
        <w:t xml:space="preserve"> and its corresponding text.</w:t>
      </w:r>
      <w:r w:rsidR="00E43002">
        <w:rPr>
          <w:rFonts w:asciiTheme="minorHAnsi" w:hAnsiTheme="minorHAnsi" w:cstheme="minorHAnsi"/>
          <w:sz w:val="24"/>
          <w:szCs w:val="24"/>
        </w:rPr>
        <w:t xml:space="preserve"> As was the case with our earlier workshop on 1944, “Immediate Effect” aims to convene a conversation across disciplines, and so we will be asking participants to craft their papers with a broad audience in mind.</w:t>
      </w:r>
    </w:p>
    <w:p w14:paraId="29BC54D3" w14:textId="6C3E0C22" w:rsidR="001A2F1D" w:rsidRPr="00F91761" w:rsidRDefault="001A2F1D" w:rsidP="00244599">
      <w:pPr>
        <w:contextualSpacing/>
        <w:rPr>
          <w:rFonts w:asciiTheme="minorHAnsi" w:hAnsiTheme="minorHAnsi" w:cstheme="minorHAnsi"/>
          <w:sz w:val="24"/>
          <w:szCs w:val="24"/>
        </w:rPr>
      </w:pPr>
    </w:p>
    <w:p w14:paraId="7493FA92" w14:textId="0B884428" w:rsidR="0072441A" w:rsidRDefault="00CD364B" w:rsidP="00C906CD">
      <w:pPr>
        <w:contextualSpacing/>
        <w:rPr>
          <w:rFonts w:asciiTheme="minorHAnsi" w:hAnsiTheme="minorHAnsi" w:cstheme="minorHAnsi"/>
          <w:sz w:val="24"/>
          <w:szCs w:val="24"/>
        </w:rPr>
      </w:pPr>
      <w:r w:rsidRPr="00F91761">
        <w:rPr>
          <w:rFonts w:asciiTheme="minorHAnsi" w:hAnsiTheme="minorHAnsi" w:cstheme="minorHAnsi"/>
          <w:sz w:val="24"/>
          <w:szCs w:val="24"/>
        </w:rPr>
        <w:t xml:space="preserve">While </w:t>
      </w:r>
      <w:r w:rsidR="00BA6DB5">
        <w:rPr>
          <w:rFonts w:asciiTheme="minorHAnsi" w:hAnsiTheme="minorHAnsi" w:cstheme="minorHAnsi"/>
          <w:sz w:val="24"/>
          <w:szCs w:val="24"/>
        </w:rPr>
        <w:t xml:space="preserve">we </w:t>
      </w:r>
      <w:r w:rsidR="0072441A">
        <w:rPr>
          <w:rFonts w:asciiTheme="minorHAnsi" w:hAnsiTheme="minorHAnsi" w:cstheme="minorHAnsi"/>
          <w:sz w:val="24"/>
          <w:szCs w:val="24"/>
        </w:rPr>
        <w:t>may not</w:t>
      </w:r>
      <w:r w:rsidRPr="00F91761">
        <w:rPr>
          <w:rFonts w:asciiTheme="minorHAnsi" w:hAnsiTheme="minorHAnsi" w:cstheme="minorHAnsi"/>
          <w:sz w:val="24"/>
          <w:szCs w:val="24"/>
        </w:rPr>
        <w:t xml:space="preserve"> able to cover all costs for conference participants, there will be no registrati</w:t>
      </w:r>
      <w:r w:rsidR="0054657D" w:rsidRPr="00F91761">
        <w:rPr>
          <w:rFonts w:asciiTheme="minorHAnsi" w:hAnsiTheme="minorHAnsi" w:cstheme="minorHAnsi"/>
          <w:sz w:val="24"/>
          <w:szCs w:val="24"/>
        </w:rPr>
        <w:t>on fee for this workshop</w:t>
      </w:r>
      <w:r w:rsidR="00DB2858" w:rsidRPr="00F91761">
        <w:rPr>
          <w:rFonts w:asciiTheme="minorHAnsi" w:hAnsiTheme="minorHAnsi" w:cstheme="minorHAnsi"/>
          <w:sz w:val="24"/>
          <w:szCs w:val="24"/>
        </w:rPr>
        <w:t xml:space="preserve">, </w:t>
      </w:r>
      <w:r w:rsidRPr="00F91761">
        <w:rPr>
          <w:rFonts w:asciiTheme="minorHAnsi" w:hAnsiTheme="minorHAnsi" w:cstheme="minorHAnsi"/>
          <w:sz w:val="24"/>
          <w:szCs w:val="24"/>
        </w:rPr>
        <w:t xml:space="preserve">and we expect to have sufficient funding to cover </w:t>
      </w:r>
      <w:r w:rsidR="00BA6DB5">
        <w:rPr>
          <w:rFonts w:asciiTheme="minorHAnsi" w:hAnsiTheme="minorHAnsi" w:cstheme="minorHAnsi"/>
          <w:sz w:val="24"/>
          <w:szCs w:val="24"/>
        </w:rPr>
        <w:t xml:space="preserve">meals and </w:t>
      </w:r>
      <w:r w:rsidRPr="00F91761">
        <w:rPr>
          <w:rFonts w:asciiTheme="minorHAnsi" w:hAnsiTheme="minorHAnsi" w:cstheme="minorHAnsi"/>
          <w:sz w:val="24"/>
          <w:szCs w:val="24"/>
        </w:rPr>
        <w:t xml:space="preserve">a portion of </w:t>
      </w:r>
      <w:r w:rsidR="00F34DD8" w:rsidRPr="00F91761">
        <w:rPr>
          <w:rFonts w:asciiTheme="minorHAnsi" w:hAnsiTheme="minorHAnsi" w:cstheme="minorHAnsi"/>
          <w:sz w:val="24"/>
          <w:szCs w:val="24"/>
        </w:rPr>
        <w:t>transportation and</w:t>
      </w:r>
      <w:r w:rsidR="00DB2858" w:rsidRPr="00F91761">
        <w:rPr>
          <w:rFonts w:asciiTheme="minorHAnsi" w:hAnsiTheme="minorHAnsi" w:cstheme="minorHAnsi"/>
          <w:sz w:val="24"/>
          <w:szCs w:val="24"/>
        </w:rPr>
        <w:t>/or</w:t>
      </w:r>
      <w:r w:rsidR="00F34DD8" w:rsidRPr="00F91761">
        <w:rPr>
          <w:rFonts w:asciiTheme="minorHAnsi" w:hAnsiTheme="minorHAnsi" w:cstheme="minorHAnsi"/>
          <w:sz w:val="24"/>
          <w:szCs w:val="24"/>
        </w:rPr>
        <w:t xml:space="preserve"> accommodation expenses</w:t>
      </w:r>
      <w:r w:rsidRPr="00F91761">
        <w:rPr>
          <w:rFonts w:asciiTheme="minorHAnsi" w:hAnsiTheme="minorHAnsi" w:cstheme="minorHAnsi"/>
          <w:sz w:val="24"/>
          <w:szCs w:val="24"/>
        </w:rPr>
        <w:t>.</w:t>
      </w:r>
      <w:r w:rsidR="003A7576" w:rsidRPr="00F91761">
        <w:rPr>
          <w:rFonts w:asciiTheme="minorHAnsi" w:hAnsiTheme="minorHAnsi" w:cstheme="minorHAnsi"/>
          <w:sz w:val="24"/>
          <w:szCs w:val="24"/>
        </w:rPr>
        <w:t xml:space="preserve"> Initial proposals of </w:t>
      </w:r>
      <w:r w:rsidR="00165229">
        <w:rPr>
          <w:rFonts w:asciiTheme="minorHAnsi" w:hAnsiTheme="minorHAnsi" w:cstheme="minorHAnsi"/>
          <w:sz w:val="24"/>
          <w:szCs w:val="24"/>
        </w:rPr>
        <w:t>a single PDF</w:t>
      </w:r>
      <w:r w:rsidR="00122152" w:rsidRPr="00F91761">
        <w:rPr>
          <w:rFonts w:asciiTheme="minorHAnsi" w:hAnsiTheme="minorHAnsi" w:cstheme="minorHAnsi"/>
          <w:sz w:val="24"/>
          <w:szCs w:val="24"/>
        </w:rPr>
        <w:t xml:space="preserve"> containing an abstract of </w:t>
      </w:r>
      <w:r w:rsidR="003A7576" w:rsidRPr="00F91761">
        <w:rPr>
          <w:rFonts w:asciiTheme="minorHAnsi" w:hAnsiTheme="minorHAnsi" w:cstheme="minorHAnsi"/>
          <w:sz w:val="24"/>
          <w:szCs w:val="24"/>
        </w:rPr>
        <w:t>no more than 500 words</w:t>
      </w:r>
      <w:r w:rsidR="00122152" w:rsidRPr="00F91761">
        <w:rPr>
          <w:rFonts w:asciiTheme="minorHAnsi" w:hAnsiTheme="minorHAnsi" w:cstheme="minorHAnsi"/>
          <w:sz w:val="24"/>
          <w:szCs w:val="24"/>
        </w:rPr>
        <w:t xml:space="preserve"> and</w:t>
      </w:r>
      <w:r w:rsidR="003A7576" w:rsidRPr="00F91761">
        <w:rPr>
          <w:rFonts w:asciiTheme="minorHAnsi" w:hAnsiTheme="minorHAnsi" w:cstheme="minorHAnsi"/>
          <w:sz w:val="24"/>
          <w:szCs w:val="24"/>
        </w:rPr>
        <w:t xml:space="preserve"> a </w:t>
      </w:r>
      <w:r w:rsidR="00DB2858" w:rsidRPr="00F91761">
        <w:rPr>
          <w:rFonts w:asciiTheme="minorHAnsi" w:hAnsiTheme="minorHAnsi" w:cstheme="minorHAnsi"/>
          <w:sz w:val="24"/>
          <w:szCs w:val="24"/>
        </w:rPr>
        <w:t>one</w:t>
      </w:r>
      <w:r w:rsidR="0072441A">
        <w:rPr>
          <w:rFonts w:asciiTheme="minorHAnsi" w:hAnsiTheme="minorHAnsi" w:cstheme="minorHAnsi"/>
          <w:sz w:val="24"/>
          <w:szCs w:val="24"/>
        </w:rPr>
        <w:t xml:space="preserve">-page CV, should be sent to both Kirrily </w:t>
      </w:r>
      <w:r w:rsidR="0072441A" w:rsidRPr="008C5E18">
        <w:rPr>
          <w:rFonts w:asciiTheme="minorHAnsi" w:hAnsiTheme="minorHAnsi" w:cstheme="minorHAnsi"/>
          <w:sz w:val="24"/>
          <w:szCs w:val="24"/>
        </w:rPr>
        <w:t>Freeman (</w:t>
      </w:r>
      <w:r w:rsidR="0072441A" w:rsidRPr="005D6572">
        <w:rPr>
          <w:rFonts w:asciiTheme="minorHAnsi" w:hAnsiTheme="minorHAnsi" w:cstheme="minorHAnsi"/>
          <w:sz w:val="24"/>
          <w:szCs w:val="24"/>
          <w:u w:val="single"/>
          <w:shd w:val="clear" w:color="auto" w:fill="FFFFFF"/>
        </w:rPr>
        <w:t>Kirrily.Freeman@smu.ca</w:t>
      </w:r>
      <w:r w:rsidR="0072441A" w:rsidRPr="008C5E18">
        <w:rPr>
          <w:rFonts w:asciiTheme="minorHAnsi" w:hAnsiTheme="minorHAnsi" w:cstheme="minorHAnsi"/>
          <w:sz w:val="24"/>
          <w:szCs w:val="24"/>
        </w:rPr>
        <w:t>) and John Munro (</w:t>
      </w:r>
      <w:hyperlink r:id="rId5" w:history="1">
        <w:r w:rsidR="0072441A" w:rsidRPr="008C5E18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johnjmunro@gmail.com</w:t>
        </w:r>
      </w:hyperlink>
      <w:r w:rsidR="0072441A" w:rsidRPr="008C5E18">
        <w:rPr>
          <w:rFonts w:asciiTheme="minorHAnsi" w:hAnsiTheme="minorHAnsi" w:cstheme="minorHAnsi"/>
          <w:sz w:val="24"/>
          <w:szCs w:val="24"/>
        </w:rPr>
        <w:t>) by 06 January 2020. Accepted participants will be notified by 15 February</w:t>
      </w:r>
      <w:r w:rsidR="00BA6DB5">
        <w:rPr>
          <w:rFonts w:asciiTheme="minorHAnsi" w:hAnsiTheme="minorHAnsi" w:cstheme="minorHAnsi"/>
          <w:sz w:val="24"/>
          <w:szCs w:val="24"/>
        </w:rPr>
        <w:t xml:space="preserve"> 2020, and asked to submit </w:t>
      </w:r>
      <w:r w:rsidR="0072441A" w:rsidRPr="008C5E18">
        <w:rPr>
          <w:rFonts w:asciiTheme="minorHAnsi" w:hAnsiTheme="minorHAnsi" w:cstheme="minorHAnsi"/>
          <w:sz w:val="24"/>
          <w:szCs w:val="24"/>
        </w:rPr>
        <w:t xml:space="preserve">papers </w:t>
      </w:r>
      <w:r w:rsidR="00BA6DB5">
        <w:rPr>
          <w:rFonts w:asciiTheme="minorHAnsi" w:hAnsiTheme="minorHAnsi" w:cstheme="minorHAnsi"/>
          <w:sz w:val="24"/>
          <w:szCs w:val="24"/>
        </w:rPr>
        <w:t xml:space="preserve">for pre-circulation </w:t>
      </w:r>
      <w:r w:rsidR="0072441A" w:rsidRPr="008C5E18">
        <w:rPr>
          <w:rFonts w:asciiTheme="minorHAnsi" w:hAnsiTheme="minorHAnsi" w:cstheme="minorHAnsi"/>
          <w:sz w:val="24"/>
          <w:szCs w:val="24"/>
        </w:rPr>
        <w:t xml:space="preserve">by </w:t>
      </w:r>
      <w:r w:rsidR="00BA6DB5">
        <w:rPr>
          <w:rFonts w:asciiTheme="minorHAnsi" w:hAnsiTheme="minorHAnsi" w:cstheme="minorHAnsi"/>
          <w:sz w:val="24"/>
          <w:szCs w:val="24"/>
        </w:rPr>
        <w:t>15</w:t>
      </w:r>
      <w:r w:rsidR="008C5E18" w:rsidRPr="008C5E18">
        <w:rPr>
          <w:rFonts w:asciiTheme="minorHAnsi" w:hAnsiTheme="minorHAnsi" w:cstheme="minorHAnsi"/>
          <w:sz w:val="24"/>
          <w:szCs w:val="24"/>
        </w:rPr>
        <w:t xml:space="preserve"> July 2020.</w:t>
      </w:r>
    </w:p>
    <w:p w14:paraId="72399FA5" w14:textId="77777777" w:rsidR="0072441A" w:rsidRDefault="0072441A" w:rsidP="00C906CD">
      <w:pPr>
        <w:contextualSpacing/>
        <w:rPr>
          <w:rFonts w:asciiTheme="minorHAnsi" w:hAnsiTheme="minorHAnsi" w:cstheme="minorHAnsi"/>
          <w:sz w:val="24"/>
          <w:szCs w:val="24"/>
        </w:rPr>
      </w:pPr>
    </w:p>
    <w:p w14:paraId="319DAA4B" w14:textId="089AC070" w:rsidR="00C60664" w:rsidRPr="00F91761" w:rsidRDefault="00C60664" w:rsidP="00C906CD">
      <w:pPr>
        <w:contextualSpacing/>
        <w:rPr>
          <w:rFonts w:asciiTheme="minorHAnsi" w:hAnsiTheme="minorHAnsi" w:cstheme="minorHAnsi"/>
          <w:sz w:val="24"/>
          <w:szCs w:val="24"/>
        </w:rPr>
      </w:pPr>
    </w:p>
    <w:p w14:paraId="33D53D37" w14:textId="169A271F" w:rsidR="00C60664" w:rsidRPr="00F91761" w:rsidRDefault="00C60664" w:rsidP="00C906CD">
      <w:pPr>
        <w:contextualSpacing/>
        <w:rPr>
          <w:rFonts w:asciiTheme="minorHAnsi" w:hAnsiTheme="minorHAnsi" w:cstheme="minorHAnsi"/>
          <w:sz w:val="24"/>
          <w:szCs w:val="24"/>
        </w:rPr>
      </w:pPr>
    </w:p>
    <w:p w14:paraId="0BB1E536" w14:textId="77777777" w:rsidR="005D18D0" w:rsidRPr="00F91761" w:rsidRDefault="005D18D0">
      <w:pPr>
        <w:contextualSpacing/>
        <w:rPr>
          <w:rFonts w:asciiTheme="minorHAnsi" w:hAnsiTheme="minorHAnsi" w:cstheme="minorHAnsi"/>
          <w:sz w:val="24"/>
          <w:szCs w:val="24"/>
        </w:rPr>
      </w:pPr>
    </w:p>
    <w:p w14:paraId="0B52DD2F" w14:textId="2CB55B08" w:rsidR="009F6D8A" w:rsidRPr="00F91761" w:rsidRDefault="009F6D8A">
      <w:pPr>
        <w:contextualSpacing/>
        <w:rPr>
          <w:rFonts w:asciiTheme="minorHAnsi" w:hAnsiTheme="minorHAnsi" w:cstheme="minorHAnsi"/>
          <w:sz w:val="24"/>
          <w:szCs w:val="24"/>
        </w:rPr>
      </w:pPr>
    </w:p>
    <w:sectPr w:rsidR="009F6D8A" w:rsidRPr="00F91761" w:rsidSect="00B853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05197"/>
    <w:multiLevelType w:val="hybridMultilevel"/>
    <w:tmpl w:val="2A4297E2"/>
    <w:lvl w:ilvl="0" w:tplc="FABA32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2FD"/>
    <w:rsid w:val="000B09D7"/>
    <w:rsid w:val="000E384F"/>
    <w:rsid w:val="000E6577"/>
    <w:rsid w:val="00122152"/>
    <w:rsid w:val="001253AD"/>
    <w:rsid w:val="00146E0E"/>
    <w:rsid w:val="00165229"/>
    <w:rsid w:val="00177AEF"/>
    <w:rsid w:val="001A2F1D"/>
    <w:rsid w:val="00241B17"/>
    <w:rsid w:val="00244599"/>
    <w:rsid w:val="0032216E"/>
    <w:rsid w:val="00353443"/>
    <w:rsid w:val="003716A3"/>
    <w:rsid w:val="003A0E28"/>
    <w:rsid w:val="003A7576"/>
    <w:rsid w:val="003A7CEE"/>
    <w:rsid w:val="003E64A5"/>
    <w:rsid w:val="00412995"/>
    <w:rsid w:val="0046585A"/>
    <w:rsid w:val="004A2541"/>
    <w:rsid w:val="004A6F02"/>
    <w:rsid w:val="004C042B"/>
    <w:rsid w:val="004D4E4F"/>
    <w:rsid w:val="0054657D"/>
    <w:rsid w:val="00552ECA"/>
    <w:rsid w:val="005D18D0"/>
    <w:rsid w:val="005D2025"/>
    <w:rsid w:val="005D6572"/>
    <w:rsid w:val="005E10D7"/>
    <w:rsid w:val="005E3878"/>
    <w:rsid w:val="005F3810"/>
    <w:rsid w:val="00607994"/>
    <w:rsid w:val="006102A8"/>
    <w:rsid w:val="006116BB"/>
    <w:rsid w:val="0068100F"/>
    <w:rsid w:val="00681043"/>
    <w:rsid w:val="00686A9D"/>
    <w:rsid w:val="006D714E"/>
    <w:rsid w:val="006E00A8"/>
    <w:rsid w:val="006E19A1"/>
    <w:rsid w:val="006E6BEA"/>
    <w:rsid w:val="0072441A"/>
    <w:rsid w:val="007331E3"/>
    <w:rsid w:val="0075656E"/>
    <w:rsid w:val="007647FB"/>
    <w:rsid w:val="007847CA"/>
    <w:rsid w:val="007849F6"/>
    <w:rsid w:val="00797CFB"/>
    <w:rsid w:val="007A4A01"/>
    <w:rsid w:val="007B192F"/>
    <w:rsid w:val="007B5C18"/>
    <w:rsid w:val="007C5F42"/>
    <w:rsid w:val="007D695E"/>
    <w:rsid w:val="007F6387"/>
    <w:rsid w:val="008000F7"/>
    <w:rsid w:val="00811771"/>
    <w:rsid w:val="008132E4"/>
    <w:rsid w:val="00856289"/>
    <w:rsid w:val="00865CAC"/>
    <w:rsid w:val="0089733F"/>
    <w:rsid w:val="008B441B"/>
    <w:rsid w:val="008C5E18"/>
    <w:rsid w:val="008F33FE"/>
    <w:rsid w:val="009E650F"/>
    <w:rsid w:val="009F6D8A"/>
    <w:rsid w:val="00A42913"/>
    <w:rsid w:val="00A9447A"/>
    <w:rsid w:val="00AA5C3C"/>
    <w:rsid w:val="00B36E32"/>
    <w:rsid w:val="00B50920"/>
    <w:rsid w:val="00B64EEB"/>
    <w:rsid w:val="00B85362"/>
    <w:rsid w:val="00BA6DB5"/>
    <w:rsid w:val="00BB2AAE"/>
    <w:rsid w:val="00BE3BD1"/>
    <w:rsid w:val="00BF4943"/>
    <w:rsid w:val="00C30501"/>
    <w:rsid w:val="00C41F28"/>
    <w:rsid w:val="00C60664"/>
    <w:rsid w:val="00C906CD"/>
    <w:rsid w:val="00CC6072"/>
    <w:rsid w:val="00CD32FD"/>
    <w:rsid w:val="00CD364B"/>
    <w:rsid w:val="00CE66D5"/>
    <w:rsid w:val="00D67E26"/>
    <w:rsid w:val="00DB0C09"/>
    <w:rsid w:val="00DB2858"/>
    <w:rsid w:val="00DC6E24"/>
    <w:rsid w:val="00E0124F"/>
    <w:rsid w:val="00E43002"/>
    <w:rsid w:val="00E81CA9"/>
    <w:rsid w:val="00E91BB5"/>
    <w:rsid w:val="00EC30CA"/>
    <w:rsid w:val="00EE3E91"/>
    <w:rsid w:val="00F301FF"/>
    <w:rsid w:val="00F34DD8"/>
    <w:rsid w:val="00F46BF0"/>
    <w:rsid w:val="00F91761"/>
    <w:rsid w:val="00FD3B3B"/>
    <w:rsid w:val="00FD6FE2"/>
    <w:rsid w:val="00FF2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C5B1DC"/>
  <w15:docId w15:val="{718F4058-3D60-4DDF-AE32-19C61FE0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043"/>
  </w:style>
  <w:style w:type="paragraph" w:styleId="Heading1">
    <w:name w:val="heading 1"/>
    <w:basedOn w:val="Normal"/>
    <w:link w:val="Heading1Char"/>
    <w:uiPriority w:val="9"/>
    <w:qFormat/>
    <w:rsid w:val="0068104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104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681043"/>
    <w:rPr>
      <w:b/>
      <w:bCs/>
    </w:rPr>
  </w:style>
  <w:style w:type="character" w:styleId="Emphasis">
    <w:name w:val="Emphasis"/>
    <w:basedOn w:val="DefaultParagraphFont"/>
    <w:uiPriority w:val="20"/>
    <w:qFormat/>
    <w:rsid w:val="00681043"/>
    <w:rPr>
      <w:i/>
      <w:iCs/>
    </w:rPr>
  </w:style>
  <w:style w:type="paragraph" w:styleId="ListParagraph">
    <w:name w:val="List Paragraph"/>
    <w:basedOn w:val="Normal"/>
    <w:uiPriority w:val="34"/>
    <w:qFormat/>
    <w:rsid w:val="00681043"/>
    <w:pPr>
      <w:ind w:left="720"/>
      <w:contextualSpacing/>
    </w:pPr>
  </w:style>
  <w:style w:type="character" w:customStyle="1" w:styleId="xcontextualextensionhighlight">
    <w:name w:val="x_contextualextensionhighlight"/>
    <w:basedOn w:val="DefaultParagraphFont"/>
    <w:rsid w:val="00B50920"/>
  </w:style>
  <w:style w:type="character" w:customStyle="1" w:styleId="markds1h9ezgf">
    <w:name w:val="markds1h9ezgf"/>
    <w:basedOn w:val="DefaultParagraphFont"/>
    <w:rsid w:val="0068100F"/>
  </w:style>
  <w:style w:type="character" w:styleId="Hyperlink">
    <w:name w:val="Hyperlink"/>
    <w:basedOn w:val="DefaultParagraphFont"/>
    <w:uiPriority w:val="99"/>
    <w:unhideWhenUsed/>
    <w:rsid w:val="007244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hnjmunr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2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Munro</dc:creator>
  <cp:keywords/>
  <dc:description/>
  <cp:lastModifiedBy>John Munro (School of History and Cultures)</cp:lastModifiedBy>
  <cp:revision>43</cp:revision>
  <dcterms:created xsi:type="dcterms:W3CDTF">2016-10-11T16:34:00Z</dcterms:created>
  <dcterms:modified xsi:type="dcterms:W3CDTF">2019-11-07T15:54:00Z</dcterms:modified>
</cp:coreProperties>
</file>