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E6A2" w14:textId="77777777" w:rsidR="00305FB1" w:rsidRPr="00CA6213" w:rsidRDefault="00305FB1" w:rsidP="00305FB1">
      <w:pPr>
        <w:pStyle w:val="Header"/>
        <w:tabs>
          <w:tab w:val="clear" w:pos="4513"/>
          <w:tab w:val="clear" w:pos="9026"/>
          <w:tab w:val="right" w:pos="9356"/>
        </w:tabs>
        <w:ind w:left="-284"/>
      </w:pPr>
      <w:bookmarkStart w:id="0" w:name="_Hlk162250901"/>
      <w:bookmarkEnd w:id="0"/>
      <w:r w:rsidRPr="00CA6213">
        <w:rPr>
          <w:noProof/>
          <w:lang w:eastAsia="en-GB"/>
        </w:rPr>
        <w:drawing>
          <wp:inline distT="0" distB="0" distL="0" distR="0" wp14:anchorId="68C3C431" wp14:editId="1BC966DC">
            <wp:extent cx="1706561" cy="476250"/>
            <wp:effectExtent l="0" t="0" r="8255" b="0"/>
            <wp:docPr id="1521387807" name="Picture 1521387807"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87807" name="Picture 1521387807" descr="University of Birmingham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909" t="20060" r="10909" b="24387"/>
                    <a:stretch/>
                  </pic:blipFill>
                  <pic:spPr bwMode="auto">
                    <a:xfrm>
                      <a:off x="0" y="0"/>
                      <a:ext cx="1711224" cy="477551"/>
                    </a:xfrm>
                    <a:prstGeom prst="rect">
                      <a:avLst/>
                    </a:prstGeom>
                    <a:noFill/>
                    <a:ln>
                      <a:noFill/>
                    </a:ln>
                    <a:extLst>
                      <a:ext uri="{53640926-AAD7-44D8-BBD7-CCE9431645EC}">
                        <a14:shadowObscured xmlns:a14="http://schemas.microsoft.com/office/drawing/2010/main"/>
                      </a:ext>
                    </a:extLst>
                  </pic:spPr>
                </pic:pic>
              </a:graphicData>
            </a:graphic>
          </wp:inline>
        </w:drawing>
      </w:r>
      <w:r w:rsidRPr="00CA6213">
        <w:tab/>
      </w:r>
      <w:r w:rsidRPr="00CA6213">
        <w:rPr>
          <w:noProof/>
          <w:lang w:eastAsia="en-GB"/>
        </w:rPr>
        <w:drawing>
          <wp:inline distT="0" distB="0" distL="0" distR="0" wp14:anchorId="7B76D934" wp14:editId="1977AB09">
            <wp:extent cx="3362325" cy="484175"/>
            <wp:effectExtent l="0" t="0" r="0" b="0"/>
            <wp:docPr id="1969999589" name="Picture 1969999589" descr="NIHR ARC West Mi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ARC West Midlands logo"/>
                    <pic:cNvPicPr>
                      <a:picLocks noChangeAspect="1" noChangeArrowheads="1"/>
                    </pic:cNvPicPr>
                  </pic:nvPicPr>
                  <pic:blipFill>
                    <a:blip r:embed="rId9">
                      <a:biLevel thresh="75000"/>
                      <a:extLst>
                        <a:ext uri="{BEBA8EAE-BF5A-486C-A8C5-ECC9F3942E4B}">
                          <a14:imgProps xmlns:a14="http://schemas.microsoft.com/office/drawing/2010/main">
                            <a14:imgLayer r:embed="rId10">
                              <a14:imgEffect>
                                <a14:artisticChalkSketch/>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62325" cy="484175"/>
                    </a:xfrm>
                    <a:prstGeom prst="rect">
                      <a:avLst/>
                    </a:prstGeom>
                    <a:noFill/>
                    <a:ln>
                      <a:noFill/>
                    </a:ln>
                  </pic:spPr>
                </pic:pic>
              </a:graphicData>
            </a:graphic>
          </wp:inline>
        </w:drawing>
      </w:r>
    </w:p>
    <w:p w14:paraId="4443ACFC" w14:textId="77777777" w:rsidR="00793133" w:rsidRPr="00CA6213" w:rsidRDefault="00793133" w:rsidP="00793133">
      <w:pPr>
        <w:jc w:val="center"/>
        <w:rPr>
          <w:sz w:val="20"/>
          <w:szCs w:val="24"/>
        </w:rPr>
      </w:pPr>
    </w:p>
    <w:p w14:paraId="735011AA" w14:textId="791D9D75" w:rsidR="00E16104" w:rsidRPr="00CA6213" w:rsidRDefault="00483788" w:rsidP="000C7A08">
      <w:pPr>
        <w:pBdr>
          <w:top w:val="single" w:sz="2" w:space="4" w:color="DAEEF3" w:themeColor="accent5" w:themeTint="33"/>
          <w:left w:val="single" w:sz="2" w:space="4" w:color="DAEEF3" w:themeColor="accent5" w:themeTint="33"/>
          <w:bottom w:val="single" w:sz="2" w:space="4" w:color="DAEEF3" w:themeColor="accent5" w:themeTint="33"/>
          <w:right w:val="single" w:sz="2" w:space="4" w:color="DAEEF3" w:themeColor="accent5" w:themeTint="33"/>
        </w:pBdr>
        <w:shd w:val="clear" w:color="auto" w:fill="DAEEF3" w:themeFill="accent5" w:themeFillTint="33"/>
        <w:spacing w:before="240" w:after="0" w:line="240" w:lineRule="auto"/>
        <w:jc w:val="center"/>
        <w:rPr>
          <w:b/>
          <w:sz w:val="22"/>
        </w:rPr>
      </w:pPr>
      <w:r w:rsidRPr="00CA6213">
        <w:rPr>
          <w:b/>
          <w:sz w:val="32"/>
          <w:szCs w:val="32"/>
        </w:rPr>
        <w:t>Babies ‘born before arrival’</w:t>
      </w:r>
      <w:r w:rsidRPr="00CA6213">
        <w:rPr>
          <w:b/>
          <w:sz w:val="22"/>
        </w:rPr>
        <w:br/>
        <w:t>A regional mixed methods service evaluation with ambulance clinicians, midwives and parents</w:t>
      </w:r>
    </w:p>
    <w:p w14:paraId="61C2A9F5" w14:textId="77777777" w:rsidR="00CB3685" w:rsidRPr="00CA6213" w:rsidRDefault="00CB3685" w:rsidP="002A6D7F">
      <w:pPr>
        <w:spacing w:before="360" w:after="0"/>
        <w:jc w:val="center"/>
        <w:rPr>
          <w:b/>
          <w:color w:val="31849B" w:themeColor="accent5" w:themeShade="BF"/>
          <w:sz w:val="48"/>
          <w:szCs w:val="24"/>
        </w:rPr>
      </w:pPr>
      <w:r w:rsidRPr="00CA6213">
        <w:rPr>
          <w:b/>
          <w:color w:val="31849B" w:themeColor="accent5" w:themeShade="BF"/>
          <w:sz w:val="48"/>
          <w:szCs w:val="24"/>
        </w:rPr>
        <w:t xml:space="preserve">Participant Information </w:t>
      </w:r>
      <w:r w:rsidR="00BD7E5E" w:rsidRPr="00CA6213">
        <w:rPr>
          <w:b/>
          <w:color w:val="31849B" w:themeColor="accent5" w:themeShade="BF"/>
          <w:sz w:val="48"/>
          <w:szCs w:val="24"/>
        </w:rPr>
        <w:t>Leaflet</w:t>
      </w:r>
    </w:p>
    <w:p w14:paraId="50ACC98E" w14:textId="039133EA" w:rsidR="00483788" w:rsidRPr="00CA6213" w:rsidRDefault="00483788" w:rsidP="00FB64FE">
      <w:pPr>
        <w:spacing w:after="200"/>
        <w:jc w:val="center"/>
        <w:rPr>
          <w:b/>
          <w:color w:val="31849B" w:themeColor="accent5" w:themeShade="BF"/>
          <w:sz w:val="28"/>
          <w:szCs w:val="28"/>
        </w:rPr>
      </w:pPr>
      <w:r w:rsidRPr="00CA6213">
        <w:rPr>
          <w:b/>
          <w:color w:val="31849B" w:themeColor="accent5" w:themeShade="BF"/>
          <w:sz w:val="28"/>
          <w:szCs w:val="28"/>
        </w:rPr>
        <w:t>for Healthcare Professionals</w:t>
      </w:r>
    </w:p>
    <w:p w14:paraId="03FEF7F2" w14:textId="7481573F" w:rsidR="007D5049" w:rsidRPr="00CA6213" w:rsidRDefault="00070F92" w:rsidP="00CB3685">
      <w:pPr>
        <w:rPr>
          <w:sz w:val="20"/>
          <w:szCs w:val="20"/>
        </w:rPr>
      </w:pPr>
      <w:r w:rsidRPr="00CA6213">
        <w:rPr>
          <w:noProof/>
          <w:sz w:val="20"/>
          <w:szCs w:val="20"/>
          <w:lang w:eastAsia="en-GB"/>
        </w:rPr>
        <mc:AlternateContent>
          <mc:Choice Requires="wps">
            <w:drawing>
              <wp:anchor distT="0" distB="0" distL="114300" distR="114300" simplePos="0" relativeHeight="251659264" behindDoc="0" locked="0" layoutInCell="1" allowOverlap="1" wp14:anchorId="0BF4A6C0" wp14:editId="02E41CB6">
                <wp:simplePos x="0" y="0"/>
                <wp:positionH relativeFrom="margin">
                  <wp:posOffset>-213360</wp:posOffset>
                </wp:positionH>
                <wp:positionV relativeFrom="paragraph">
                  <wp:posOffset>125730</wp:posOffset>
                </wp:positionV>
                <wp:extent cx="6172200" cy="3627120"/>
                <wp:effectExtent l="0" t="0" r="19050" b="114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2200" cy="3627120"/>
                        </a:xfrm>
                        <a:prstGeom prst="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87A54" id="Rectangle 3" o:spid="_x0000_s1026" alt="&quot;&quot;" style="position:absolute;margin-left:-16.8pt;margin-top:9.9pt;width:486pt;height:28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" filled="f" strokecolor="#31849b [2408]" strokeweight="2pt">
                <w10:wrap anchorx="margin"/>
              </v:rect>
            </w:pict>
          </mc:Fallback>
        </mc:AlternateContent>
      </w:r>
    </w:p>
    <w:p w14:paraId="677AAD84" w14:textId="77777777" w:rsidR="00793133" w:rsidRPr="00CA6213" w:rsidRDefault="00793133" w:rsidP="00552E7B">
      <w:pPr>
        <w:spacing w:after="120"/>
        <w:rPr>
          <w:b/>
          <w:color w:val="31849B" w:themeColor="accent5" w:themeShade="BF"/>
          <w:sz w:val="40"/>
          <w:szCs w:val="24"/>
        </w:rPr>
      </w:pPr>
      <w:r w:rsidRPr="00CA6213">
        <w:rPr>
          <w:b/>
          <w:color w:val="31849B" w:themeColor="accent5" w:themeShade="BF"/>
          <w:sz w:val="40"/>
          <w:szCs w:val="24"/>
        </w:rPr>
        <w:t>Key Information</w:t>
      </w:r>
    </w:p>
    <w:p w14:paraId="685FA067" w14:textId="11463E90" w:rsidR="007D5049" w:rsidRPr="00CA6213" w:rsidRDefault="00CB3685"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 xml:space="preserve">You are </w:t>
      </w:r>
      <w:r w:rsidR="000C7A08" w:rsidRPr="00CA6213">
        <w:rPr>
          <w:sz w:val="26"/>
          <w:szCs w:val="26"/>
        </w:rPr>
        <w:t xml:space="preserve">being </w:t>
      </w:r>
      <w:r w:rsidRPr="00CA6213">
        <w:rPr>
          <w:sz w:val="26"/>
          <w:szCs w:val="26"/>
        </w:rPr>
        <w:t xml:space="preserve">invited to take part in a </w:t>
      </w:r>
      <w:r w:rsidR="00835B41" w:rsidRPr="00CA6213">
        <w:rPr>
          <w:sz w:val="26"/>
          <w:szCs w:val="26"/>
        </w:rPr>
        <w:t xml:space="preserve">service evaluation </w:t>
      </w:r>
      <w:r w:rsidRPr="00CA6213">
        <w:rPr>
          <w:sz w:val="26"/>
          <w:szCs w:val="26"/>
        </w:rPr>
        <w:t>study</w:t>
      </w:r>
    </w:p>
    <w:p w14:paraId="37998E7F" w14:textId="408860CD" w:rsidR="007D5049" w:rsidRPr="00CA6213" w:rsidRDefault="007D5049"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 xml:space="preserve">This study aims to </w:t>
      </w:r>
      <w:r w:rsidR="005E46FF" w:rsidRPr="00CA6213">
        <w:rPr>
          <w:sz w:val="26"/>
          <w:szCs w:val="26"/>
        </w:rPr>
        <w:t xml:space="preserve">explore the numbers of babies ‘born before arrival’ and to </w:t>
      </w:r>
      <w:r w:rsidRPr="00CA6213">
        <w:rPr>
          <w:sz w:val="26"/>
          <w:szCs w:val="26"/>
        </w:rPr>
        <w:t xml:space="preserve">understand the experiences of </w:t>
      </w:r>
      <w:r w:rsidR="00483788" w:rsidRPr="00CA6213">
        <w:rPr>
          <w:sz w:val="26"/>
          <w:szCs w:val="26"/>
        </w:rPr>
        <w:t>ambulance clinicians and midwives in caring for women who have a BBA (birth before arrival at hospital)</w:t>
      </w:r>
    </w:p>
    <w:p w14:paraId="18FC7A60" w14:textId="30498616" w:rsidR="00CB3685" w:rsidRPr="00CA6213" w:rsidRDefault="00CB3685"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Before you decide whether to take part, it is important for you to understand why the</w:t>
      </w:r>
      <w:r w:rsidR="00C8603B" w:rsidRPr="00CA6213">
        <w:rPr>
          <w:sz w:val="26"/>
          <w:szCs w:val="26"/>
        </w:rPr>
        <w:t xml:space="preserve"> study</w:t>
      </w:r>
      <w:r w:rsidRPr="00CA6213">
        <w:rPr>
          <w:sz w:val="26"/>
          <w:szCs w:val="26"/>
        </w:rPr>
        <w:t xml:space="preserve"> is being done and what it will involve</w:t>
      </w:r>
    </w:p>
    <w:p w14:paraId="28EF7F5B" w14:textId="77777777" w:rsidR="00CB3685" w:rsidRPr="00CA6213" w:rsidRDefault="00CB3685"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Please take some time to read the f</w:t>
      </w:r>
      <w:r w:rsidR="00552E7B" w:rsidRPr="00CA6213">
        <w:rPr>
          <w:sz w:val="26"/>
          <w:szCs w:val="26"/>
        </w:rPr>
        <w:t>ollowing information carefully</w:t>
      </w:r>
    </w:p>
    <w:p w14:paraId="06F58EAB" w14:textId="65C134CE" w:rsidR="00CB3685" w:rsidRPr="00CA6213" w:rsidRDefault="00CB3685"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 xml:space="preserve">You are free to decide </w:t>
      </w:r>
      <w:proofErr w:type="gramStart"/>
      <w:r w:rsidRPr="00CA6213">
        <w:rPr>
          <w:sz w:val="26"/>
          <w:szCs w:val="26"/>
        </w:rPr>
        <w:t>whether or not</w:t>
      </w:r>
      <w:proofErr w:type="gramEnd"/>
      <w:r w:rsidRPr="00CA6213">
        <w:rPr>
          <w:sz w:val="26"/>
          <w:szCs w:val="26"/>
        </w:rPr>
        <w:t xml:space="preserve"> to take part in this </w:t>
      </w:r>
      <w:r w:rsidR="00C8603B" w:rsidRPr="00CA6213">
        <w:rPr>
          <w:sz w:val="26"/>
          <w:szCs w:val="26"/>
        </w:rPr>
        <w:t xml:space="preserve">study </w:t>
      </w:r>
    </w:p>
    <w:p w14:paraId="33CB9974" w14:textId="269DF1BA" w:rsidR="000235F7" w:rsidRPr="00CA6213" w:rsidRDefault="000235F7"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If you do decide to take part, you will receive a £5 voucher as a thank you</w:t>
      </w:r>
    </w:p>
    <w:p w14:paraId="156EE9F9" w14:textId="411142A0" w:rsidR="00CB3685" w:rsidRPr="00CA6213" w:rsidRDefault="00CB3685" w:rsidP="00070F92">
      <w:pPr>
        <w:pStyle w:val="ListParagraph"/>
        <w:numPr>
          <w:ilvl w:val="0"/>
          <w:numId w:val="8"/>
        </w:numPr>
        <w:spacing w:before="160" w:after="0" w:line="240" w:lineRule="auto"/>
        <w:ind w:left="539" w:hanging="397"/>
        <w:contextualSpacing w:val="0"/>
        <w:rPr>
          <w:sz w:val="26"/>
          <w:szCs w:val="26"/>
        </w:rPr>
      </w:pPr>
      <w:r w:rsidRPr="00CA6213">
        <w:rPr>
          <w:sz w:val="26"/>
          <w:szCs w:val="26"/>
        </w:rPr>
        <w:t xml:space="preserve">Please ask if there is anything that is not clear or </w:t>
      </w:r>
      <w:r w:rsidR="00552E7B" w:rsidRPr="00CA6213">
        <w:rPr>
          <w:sz w:val="26"/>
          <w:szCs w:val="26"/>
        </w:rPr>
        <w:t xml:space="preserve">if </w:t>
      </w:r>
      <w:r w:rsidRPr="00CA6213">
        <w:rPr>
          <w:sz w:val="26"/>
          <w:szCs w:val="26"/>
        </w:rPr>
        <w:t>you would like more information</w:t>
      </w:r>
      <w:r w:rsidR="00793133" w:rsidRPr="00CA6213">
        <w:rPr>
          <w:sz w:val="26"/>
          <w:szCs w:val="26"/>
        </w:rPr>
        <w:t xml:space="preserve"> (contact details </w:t>
      </w:r>
      <w:r w:rsidR="00B44667" w:rsidRPr="00CA6213">
        <w:rPr>
          <w:sz w:val="26"/>
          <w:szCs w:val="26"/>
        </w:rPr>
        <w:t>below</w:t>
      </w:r>
      <w:r w:rsidR="00552E7B" w:rsidRPr="00CA6213">
        <w:rPr>
          <w:sz w:val="26"/>
          <w:szCs w:val="26"/>
        </w:rPr>
        <w:t>)</w:t>
      </w:r>
    </w:p>
    <w:p w14:paraId="5B12C39B" w14:textId="71A668B2" w:rsidR="00CB3685" w:rsidRPr="00CA6213" w:rsidRDefault="00CB3685" w:rsidP="00CB3685">
      <w:pPr>
        <w:rPr>
          <w:szCs w:val="24"/>
        </w:rPr>
      </w:pPr>
    </w:p>
    <w:p w14:paraId="2D6FE49B" w14:textId="39DF1A2F" w:rsidR="00793133" w:rsidRPr="00CA6213" w:rsidRDefault="00793133" w:rsidP="000C7A08">
      <w:pPr>
        <w:spacing w:before="240"/>
        <w:rPr>
          <w:b/>
          <w:color w:val="31849B" w:themeColor="accent5" w:themeShade="BF"/>
          <w:sz w:val="36"/>
          <w:szCs w:val="24"/>
        </w:rPr>
      </w:pPr>
      <w:r w:rsidRPr="00CA6213">
        <w:rPr>
          <w:b/>
          <w:color w:val="31849B" w:themeColor="accent5" w:themeShade="BF"/>
          <w:sz w:val="36"/>
          <w:szCs w:val="24"/>
        </w:rPr>
        <w:t>Contents</w:t>
      </w:r>
    </w:p>
    <w:p w14:paraId="38A1C887" w14:textId="77777777" w:rsidR="007D5049" w:rsidRPr="00CA6213" w:rsidRDefault="007D5049" w:rsidP="00951A7B">
      <w:pPr>
        <w:pStyle w:val="TOC2"/>
        <w:sectPr w:rsidR="007D5049" w:rsidRPr="00CA6213" w:rsidSect="00FB64FE">
          <w:footerReference w:type="default" r:id="rId11"/>
          <w:headerReference w:type="first" r:id="rId12"/>
          <w:footerReference w:type="first" r:id="rId13"/>
          <w:pgSz w:w="11907" w:h="16839" w:code="9"/>
          <w:pgMar w:top="851" w:right="1440" w:bottom="1440" w:left="1440" w:header="907" w:footer="708" w:gutter="0"/>
          <w:cols w:space="708"/>
          <w:docGrid w:linePitch="360"/>
        </w:sectPr>
      </w:pPr>
    </w:p>
    <w:p w14:paraId="6518DA86" w14:textId="6D9DC95F" w:rsidR="00AD4C19" w:rsidRPr="00CA6213" w:rsidRDefault="00EC6E05">
      <w:pPr>
        <w:pStyle w:val="TOC2"/>
        <w:rPr>
          <w:rFonts w:eastAsiaTheme="minorEastAsia"/>
          <w:noProof/>
          <w:kern w:val="2"/>
          <w:sz w:val="24"/>
          <w:szCs w:val="24"/>
          <w:lang w:eastAsia="en-GB"/>
          <w14:ligatures w14:val="standardContextual"/>
        </w:rPr>
      </w:pPr>
      <w:r w:rsidRPr="00CA6213">
        <w:rPr>
          <w:sz w:val="20"/>
        </w:rPr>
        <w:fldChar w:fldCharType="begin"/>
      </w:r>
      <w:r w:rsidRPr="00CA6213">
        <w:rPr>
          <w:sz w:val="20"/>
        </w:rPr>
        <w:instrText xml:space="preserve"> TOC \o "1-3" \n \h \z \u </w:instrText>
      </w:r>
      <w:r w:rsidRPr="00CA6213">
        <w:rPr>
          <w:sz w:val="20"/>
        </w:rPr>
        <w:fldChar w:fldCharType="separate"/>
      </w:r>
      <w:hyperlink w:anchor="_Toc162279606" w:history="1">
        <w:r w:rsidR="00AD4C19" w:rsidRPr="00CA6213">
          <w:rPr>
            <w:rStyle w:val="Hyperlink"/>
            <w:noProof/>
          </w:rPr>
          <w:t>1.</w:t>
        </w:r>
        <w:r w:rsidR="00AD4C19" w:rsidRPr="00CA6213">
          <w:rPr>
            <w:rFonts w:eastAsiaTheme="minorEastAsia"/>
            <w:noProof/>
            <w:kern w:val="2"/>
            <w:sz w:val="24"/>
            <w:szCs w:val="24"/>
            <w:lang w:eastAsia="en-GB"/>
            <w14:ligatures w14:val="standardContextual"/>
          </w:rPr>
          <w:tab/>
        </w:r>
        <w:r w:rsidR="00AD4C19" w:rsidRPr="00CA6213">
          <w:rPr>
            <w:rStyle w:val="Hyperlink"/>
            <w:noProof/>
          </w:rPr>
          <w:t>What is this study about?</w:t>
        </w:r>
      </w:hyperlink>
    </w:p>
    <w:p w14:paraId="0584222C" w14:textId="0009CB99" w:rsidR="00AD4C19" w:rsidRPr="00CA6213" w:rsidRDefault="00AD4C19">
      <w:pPr>
        <w:pStyle w:val="TOC2"/>
        <w:rPr>
          <w:rFonts w:eastAsiaTheme="minorEastAsia"/>
          <w:noProof/>
          <w:kern w:val="2"/>
          <w:sz w:val="24"/>
          <w:szCs w:val="24"/>
          <w:lang w:eastAsia="en-GB"/>
          <w14:ligatures w14:val="standardContextual"/>
        </w:rPr>
      </w:pPr>
      <w:hyperlink w:anchor="_Toc162279607" w:history="1">
        <w:r w:rsidRPr="00CA6213">
          <w:rPr>
            <w:rStyle w:val="Hyperlink"/>
            <w:noProof/>
          </w:rPr>
          <w:t>2.</w:t>
        </w:r>
        <w:r w:rsidRPr="00CA6213">
          <w:rPr>
            <w:rFonts w:eastAsiaTheme="minorEastAsia"/>
            <w:noProof/>
            <w:kern w:val="2"/>
            <w:sz w:val="24"/>
            <w:szCs w:val="24"/>
            <w:lang w:eastAsia="en-GB"/>
            <w14:ligatures w14:val="standardContextual"/>
          </w:rPr>
          <w:tab/>
        </w:r>
        <w:r w:rsidRPr="00CA6213">
          <w:rPr>
            <w:rStyle w:val="Hyperlink"/>
            <w:noProof/>
          </w:rPr>
          <w:t>Why am I being asked to participate?</w:t>
        </w:r>
      </w:hyperlink>
    </w:p>
    <w:p w14:paraId="391F9D25" w14:textId="7A72BA3B" w:rsidR="00AD4C19" w:rsidRPr="00CA6213" w:rsidRDefault="00AD4C19">
      <w:pPr>
        <w:pStyle w:val="TOC2"/>
        <w:rPr>
          <w:rFonts w:eastAsiaTheme="minorEastAsia"/>
          <w:noProof/>
          <w:kern w:val="2"/>
          <w:sz w:val="24"/>
          <w:szCs w:val="24"/>
          <w:lang w:eastAsia="en-GB"/>
          <w14:ligatures w14:val="standardContextual"/>
        </w:rPr>
      </w:pPr>
      <w:hyperlink w:anchor="_Toc162279608" w:history="1">
        <w:r w:rsidRPr="00CA6213">
          <w:rPr>
            <w:rStyle w:val="Hyperlink"/>
            <w:noProof/>
          </w:rPr>
          <w:t>3.</w:t>
        </w:r>
        <w:r w:rsidRPr="00CA6213">
          <w:rPr>
            <w:rFonts w:eastAsiaTheme="minorEastAsia"/>
            <w:noProof/>
            <w:kern w:val="2"/>
            <w:sz w:val="24"/>
            <w:szCs w:val="24"/>
            <w:lang w:eastAsia="en-GB"/>
            <w14:ligatures w14:val="standardContextual"/>
          </w:rPr>
          <w:tab/>
        </w:r>
        <w:r w:rsidRPr="00CA6213">
          <w:rPr>
            <w:rStyle w:val="Hyperlink"/>
            <w:noProof/>
          </w:rPr>
          <w:t>What will I be asked to do?</w:t>
        </w:r>
      </w:hyperlink>
    </w:p>
    <w:p w14:paraId="0CDC5FE6" w14:textId="498B2845" w:rsidR="00AD4C19" w:rsidRPr="00CA6213" w:rsidRDefault="00AD4C19">
      <w:pPr>
        <w:pStyle w:val="TOC2"/>
        <w:rPr>
          <w:rFonts w:eastAsiaTheme="minorEastAsia"/>
          <w:noProof/>
          <w:kern w:val="2"/>
          <w:sz w:val="24"/>
          <w:szCs w:val="24"/>
          <w:lang w:eastAsia="en-GB"/>
          <w14:ligatures w14:val="standardContextual"/>
        </w:rPr>
      </w:pPr>
      <w:hyperlink w:anchor="_Toc162279609" w:history="1">
        <w:r w:rsidRPr="00CA6213">
          <w:rPr>
            <w:rStyle w:val="Hyperlink"/>
            <w:noProof/>
          </w:rPr>
          <w:t>4.</w:t>
        </w:r>
        <w:r w:rsidRPr="00CA6213">
          <w:rPr>
            <w:rFonts w:eastAsiaTheme="minorEastAsia"/>
            <w:noProof/>
            <w:kern w:val="2"/>
            <w:sz w:val="24"/>
            <w:szCs w:val="24"/>
            <w:lang w:eastAsia="en-GB"/>
            <w14:ligatures w14:val="standardContextual"/>
          </w:rPr>
          <w:tab/>
        </w:r>
        <w:r w:rsidRPr="00CA6213">
          <w:rPr>
            <w:rStyle w:val="Hyperlink"/>
            <w:noProof/>
          </w:rPr>
          <w:t>Do I have to participate?</w:t>
        </w:r>
      </w:hyperlink>
    </w:p>
    <w:p w14:paraId="7D57AAA8" w14:textId="363311B4" w:rsidR="00AD4C19" w:rsidRPr="00CA6213" w:rsidRDefault="00AD4C19">
      <w:pPr>
        <w:pStyle w:val="TOC2"/>
        <w:rPr>
          <w:rFonts w:eastAsiaTheme="minorEastAsia"/>
          <w:noProof/>
          <w:kern w:val="2"/>
          <w:sz w:val="24"/>
          <w:szCs w:val="24"/>
          <w:lang w:eastAsia="en-GB"/>
          <w14:ligatures w14:val="standardContextual"/>
        </w:rPr>
      </w:pPr>
      <w:hyperlink w:anchor="_Toc162279610" w:history="1">
        <w:r w:rsidRPr="00CA6213">
          <w:rPr>
            <w:rStyle w:val="Hyperlink"/>
            <w:noProof/>
          </w:rPr>
          <w:t>5.</w:t>
        </w:r>
        <w:r w:rsidRPr="00CA6213">
          <w:rPr>
            <w:rFonts w:eastAsiaTheme="minorEastAsia"/>
            <w:noProof/>
            <w:kern w:val="2"/>
            <w:sz w:val="24"/>
            <w:szCs w:val="24"/>
            <w:lang w:eastAsia="en-GB"/>
            <w14:ligatures w14:val="standardContextual"/>
          </w:rPr>
          <w:tab/>
        </w:r>
        <w:r w:rsidRPr="00CA6213">
          <w:rPr>
            <w:rStyle w:val="Hyperlink"/>
            <w:noProof/>
          </w:rPr>
          <w:t>What are the benefits and risks of taking part?</w:t>
        </w:r>
      </w:hyperlink>
    </w:p>
    <w:p w14:paraId="273AE066" w14:textId="531FE21F" w:rsidR="00AD4C19" w:rsidRPr="00CA6213" w:rsidRDefault="00AD4C19">
      <w:pPr>
        <w:pStyle w:val="TOC2"/>
        <w:rPr>
          <w:rFonts w:eastAsiaTheme="minorEastAsia"/>
          <w:noProof/>
          <w:kern w:val="2"/>
          <w:sz w:val="24"/>
          <w:szCs w:val="24"/>
          <w:lang w:eastAsia="en-GB"/>
          <w14:ligatures w14:val="standardContextual"/>
        </w:rPr>
      </w:pPr>
      <w:hyperlink w:anchor="_Toc162279611" w:history="1">
        <w:r w:rsidRPr="00CA6213">
          <w:rPr>
            <w:rStyle w:val="Hyperlink"/>
            <w:noProof/>
          </w:rPr>
          <w:t>6.</w:t>
        </w:r>
        <w:r w:rsidRPr="00CA6213">
          <w:rPr>
            <w:rFonts w:eastAsiaTheme="minorEastAsia"/>
            <w:noProof/>
            <w:kern w:val="2"/>
            <w:sz w:val="24"/>
            <w:szCs w:val="24"/>
            <w:lang w:eastAsia="en-GB"/>
            <w14:ligatures w14:val="standardContextual"/>
          </w:rPr>
          <w:tab/>
        </w:r>
        <w:r w:rsidRPr="00CA6213">
          <w:rPr>
            <w:rStyle w:val="Hyperlink"/>
            <w:noProof/>
          </w:rPr>
          <w:t>What if I change my mind?</w:t>
        </w:r>
      </w:hyperlink>
    </w:p>
    <w:p w14:paraId="18BF7C27" w14:textId="763C3FB3" w:rsidR="00AD4C19" w:rsidRPr="00CA6213" w:rsidRDefault="00AD4C19">
      <w:pPr>
        <w:pStyle w:val="TOC2"/>
        <w:rPr>
          <w:rFonts w:eastAsiaTheme="minorEastAsia"/>
          <w:noProof/>
          <w:kern w:val="2"/>
          <w:sz w:val="24"/>
          <w:szCs w:val="24"/>
          <w:lang w:eastAsia="en-GB"/>
          <w14:ligatures w14:val="standardContextual"/>
        </w:rPr>
      </w:pPr>
      <w:hyperlink w:anchor="_Toc162279612" w:history="1">
        <w:r w:rsidRPr="00CA6213">
          <w:rPr>
            <w:rStyle w:val="Hyperlink"/>
            <w:noProof/>
          </w:rPr>
          <w:t>7.</w:t>
        </w:r>
        <w:r w:rsidRPr="00CA6213">
          <w:rPr>
            <w:rFonts w:eastAsiaTheme="minorEastAsia"/>
            <w:noProof/>
            <w:kern w:val="2"/>
            <w:sz w:val="24"/>
            <w:szCs w:val="24"/>
            <w:lang w:eastAsia="en-GB"/>
            <w14:ligatures w14:val="standardContextual"/>
          </w:rPr>
          <w:tab/>
        </w:r>
        <w:r w:rsidRPr="00CA6213">
          <w:rPr>
            <w:rStyle w:val="Hyperlink"/>
            <w:noProof/>
          </w:rPr>
          <w:t>Will my taking part be kept confidential?</w:t>
        </w:r>
      </w:hyperlink>
    </w:p>
    <w:p w14:paraId="050AA882" w14:textId="30D29CA6" w:rsidR="00AD4C19" w:rsidRPr="00CA6213" w:rsidRDefault="00AD4C19">
      <w:pPr>
        <w:pStyle w:val="TOC2"/>
        <w:rPr>
          <w:rFonts w:eastAsiaTheme="minorEastAsia"/>
          <w:noProof/>
          <w:kern w:val="2"/>
          <w:sz w:val="24"/>
          <w:szCs w:val="24"/>
          <w:lang w:eastAsia="en-GB"/>
          <w14:ligatures w14:val="standardContextual"/>
        </w:rPr>
      </w:pPr>
      <w:hyperlink w:anchor="_Toc162279613" w:history="1">
        <w:r w:rsidRPr="00CA6213">
          <w:rPr>
            <w:rStyle w:val="Hyperlink"/>
            <w:noProof/>
          </w:rPr>
          <w:t>8.</w:t>
        </w:r>
        <w:r w:rsidRPr="00CA6213">
          <w:rPr>
            <w:rFonts w:eastAsiaTheme="minorEastAsia"/>
            <w:noProof/>
            <w:kern w:val="2"/>
            <w:sz w:val="24"/>
            <w:szCs w:val="24"/>
            <w:lang w:eastAsia="en-GB"/>
            <w14:ligatures w14:val="standardContextual"/>
          </w:rPr>
          <w:tab/>
        </w:r>
        <w:r w:rsidRPr="00CA6213">
          <w:rPr>
            <w:rStyle w:val="Hyperlink"/>
            <w:noProof/>
          </w:rPr>
          <w:t>What will happen to my data?</w:t>
        </w:r>
      </w:hyperlink>
    </w:p>
    <w:p w14:paraId="04EF2985" w14:textId="47EE595F" w:rsidR="00AD4C19" w:rsidRPr="00CA6213" w:rsidRDefault="00AD4C19">
      <w:pPr>
        <w:pStyle w:val="TOC2"/>
        <w:rPr>
          <w:rFonts w:eastAsiaTheme="minorEastAsia"/>
          <w:noProof/>
          <w:kern w:val="2"/>
          <w:sz w:val="24"/>
          <w:szCs w:val="24"/>
          <w:lang w:eastAsia="en-GB"/>
          <w14:ligatures w14:val="standardContextual"/>
        </w:rPr>
      </w:pPr>
      <w:hyperlink w:anchor="_Toc162279614" w:history="1">
        <w:r w:rsidRPr="00CA6213">
          <w:rPr>
            <w:rStyle w:val="Hyperlink"/>
            <w:noProof/>
          </w:rPr>
          <w:t>9.</w:t>
        </w:r>
        <w:r w:rsidRPr="00CA6213">
          <w:rPr>
            <w:rFonts w:eastAsiaTheme="minorEastAsia"/>
            <w:noProof/>
            <w:kern w:val="2"/>
            <w:sz w:val="24"/>
            <w:szCs w:val="24"/>
            <w:lang w:eastAsia="en-GB"/>
            <w14:ligatures w14:val="standardContextual"/>
          </w:rPr>
          <w:tab/>
        </w:r>
        <w:r w:rsidRPr="00CA6213">
          <w:rPr>
            <w:rStyle w:val="Hyperlink"/>
            <w:noProof/>
          </w:rPr>
          <w:t>Who is conducting the study?</w:t>
        </w:r>
      </w:hyperlink>
    </w:p>
    <w:p w14:paraId="66187FD2" w14:textId="50A6DD88" w:rsidR="00AD4C19" w:rsidRPr="00CA6213" w:rsidRDefault="00AD4C19">
      <w:pPr>
        <w:pStyle w:val="TOC2"/>
        <w:tabs>
          <w:tab w:val="left" w:pos="720"/>
        </w:tabs>
        <w:rPr>
          <w:rFonts w:eastAsiaTheme="minorEastAsia"/>
          <w:noProof/>
          <w:kern w:val="2"/>
          <w:sz w:val="24"/>
          <w:szCs w:val="24"/>
          <w:lang w:eastAsia="en-GB"/>
          <w14:ligatures w14:val="standardContextual"/>
        </w:rPr>
      </w:pPr>
      <w:hyperlink w:anchor="_Toc162279615" w:history="1">
        <w:r w:rsidRPr="00CA6213">
          <w:rPr>
            <w:rStyle w:val="Hyperlink"/>
            <w:noProof/>
          </w:rPr>
          <w:t>10.</w:t>
        </w:r>
        <w:r w:rsidRPr="00CA6213">
          <w:rPr>
            <w:rFonts w:eastAsiaTheme="minorEastAsia"/>
            <w:noProof/>
            <w:kern w:val="2"/>
            <w:sz w:val="24"/>
            <w:szCs w:val="24"/>
            <w:lang w:eastAsia="en-GB"/>
            <w14:ligatures w14:val="standardContextual"/>
          </w:rPr>
          <w:tab/>
        </w:r>
        <w:r w:rsidRPr="00CA6213">
          <w:rPr>
            <w:rStyle w:val="Hyperlink"/>
            <w:noProof/>
          </w:rPr>
          <w:t>What if I am not happy about anything?</w:t>
        </w:r>
      </w:hyperlink>
    </w:p>
    <w:p w14:paraId="54EC9772" w14:textId="4E7B7B03" w:rsidR="00AD4C19" w:rsidRPr="00CA6213" w:rsidRDefault="00AD4C19">
      <w:pPr>
        <w:pStyle w:val="TOC2"/>
        <w:tabs>
          <w:tab w:val="left" w:pos="720"/>
        </w:tabs>
        <w:rPr>
          <w:rFonts w:eastAsiaTheme="minorEastAsia"/>
          <w:noProof/>
          <w:kern w:val="2"/>
          <w:sz w:val="24"/>
          <w:szCs w:val="24"/>
          <w:lang w:eastAsia="en-GB"/>
          <w14:ligatures w14:val="standardContextual"/>
        </w:rPr>
      </w:pPr>
      <w:hyperlink w:anchor="_Toc162279616" w:history="1">
        <w:r w:rsidRPr="00CA6213">
          <w:rPr>
            <w:rStyle w:val="Hyperlink"/>
            <w:noProof/>
          </w:rPr>
          <w:t>11.</w:t>
        </w:r>
        <w:r w:rsidRPr="00CA6213">
          <w:rPr>
            <w:rFonts w:eastAsiaTheme="minorEastAsia"/>
            <w:noProof/>
            <w:kern w:val="2"/>
            <w:sz w:val="24"/>
            <w:szCs w:val="24"/>
            <w:lang w:eastAsia="en-GB"/>
            <w14:ligatures w14:val="standardContextual"/>
          </w:rPr>
          <w:tab/>
        </w:r>
        <w:r w:rsidRPr="00CA6213">
          <w:rPr>
            <w:rStyle w:val="Hyperlink"/>
            <w:noProof/>
          </w:rPr>
          <w:t>What happens now?</w:t>
        </w:r>
      </w:hyperlink>
    </w:p>
    <w:p w14:paraId="30FA2F05" w14:textId="137AC96F" w:rsidR="007D5049" w:rsidRPr="00CA6213" w:rsidRDefault="00EC6E05" w:rsidP="00951A7B">
      <w:pPr>
        <w:pStyle w:val="TOC1"/>
        <w:spacing w:after="80"/>
        <w:ind w:left="284" w:hanging="284"/>
        <w:rPr>
          <w:szCs w:val="24"/>
        </w:rPr>
        <w:sectPr w:rsidR="007D5049" w:rsidRPr="00CA6213" w:rsidSect="00FB64FE">
          <w:type w:val="continuous"/>
          <w:pgSz w:w="11907" w:h="16839" w:code="9"/>
          <w:pgMar w:top="1440" w:right="1440" w:bottom="1440" w:left="1440" w:header="709" w:footer="708" w:gutter="0"/>
          <w:cols w:num="2" w:space="568" w:equalWidth="0">
            <w:col w:w="4536" w:space="568"/>
            <w:col w:w="3923"/>
          </w:cols>
          <w:titlePg/>
          <w:docGrid w:linePitch="360"/>
        </w:sectPr>
      </w:pPr>
      <w:r w:rsidRPr="00CA6213">
        <w:rPr>
          <w:sz w:val="20"/>
        </w:rPr>
        <w:fldChar w:fldCharType="end"/>
      </w:r>
    </w:p>
    <w:p w14:paraId="08EAAA43" w14:textId="214C4BD4" w:rsidR="00CB3685" w:rsidRPr="00CA6213" w:rsidRDefault="007878C8" w:rsidP="007D5049">
      <w:pPr>
        <w:ind w:left="426" w:hanging="426"/>
        <w:rPr>
          <w:sz w:val="18"/>
          <w:szCs w:val="24"/>
        </w:rPr>
      </w:pPr>
      <w:r w:rsidRPr="00CA6213">
        <w:rPr>
          <w:noProof/>
          <w:sz w:val="18"/>
          <w:szCs w:val="24"/>
          <w:lang w:eastAsia="en-GB"/>
        </w:rPr>
        <mc:AlternateContent>
          <mc:Choice Requires="wps">
            <w:drawing>
              <wp:anchor distT="0" distB="0" distL="114300" distR="114300" simplePos="0" relativeHeight="251625472" behindDoc="0" locked="0" layoutInCell="0" allowOverlap="0" wp14:anchorId="7C311435" wp14:editId="7198026A">
                <wp:simplePos x="0" y="0"/>
                <wp:positionH relativeFrom="margin">
                  <wp:align>right</wp:align>
                </wp:positionH>
                <wp:positionV relativeFrom="paragraph">
                  <wp:posOffset>225425</wp:posOffset>
                </wp:positionV>
                <wp:extent cx="5558790" cy="685800"/>
                <wp:effectExtent l="95250" t="76200" r="118110" b="361950"/>
                <wp:wrapNone/>
                <wp:docPr id="10" name="Rounded Rectangular Callout 10"/>
                <wp:cNvGraphicFramePr/>
                <a:graphic xmlns:a="http://schemas.openxmlformats.org/drawingml/2006/main">
                  <a:graphicData uri="http://schemas.microsoft.com/office/word/2010/wordprocessingShape">
                    <wps:wsp>
                      <wps:cNvSpPr/>
                      <wps:spPr>
                        <a:xfrm>
                          <a:off x="0" y="0"/>
                          <a:ext cx="5558790" cy="685800"/>
                        </a:xfrm>
                        <a:prstGeom prst="wedgeRoundRectCallout">
                          <a:avLst>
                            <a:gd name="adj1" fmla="val 37651"/>
                            <a:gd name="adj2" fmla="val 89285"/>
                            <a:gd name="adj3" fmla="val 16667"/>
                          </a:avLst>
                        </a:prstGeom>
                        <a:solidFill>
                          <a:schemeClr val="accent5">
                            <a:lumMod val="20000"/>
                            <a:lumOff val="80000"/>
                          </a:schemeClr>
                        </a:solidFill>
                        <a:ln cap="flat">
                          <a:solidFill>
                            <a:schemeClr val="accent5">
                              <a:lumMod val="75000"/>
                            </a:schemeClr>
                          </a:solidFill>
                        </a:ln>
                        <a:effectLst>
                          <a:outerShdw blurRad="63500" sx="101000" sy="101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EDCE94" w14:textId="77777777" w:rsidR="00DB6A74" w:rsidRPr="00C830E9" w:rsidRDefault="00DB6A74" w:rsidP="00DB6A74">
                            <w:pPr>
                              <w:spacing w:after="120" w:line="240" w:lineRule="auto"/>
                              <w:jc w:val="center"/>
                              <w:rPr>
                                <w:b/>
                                <w:i/>
                                <w:color w:val="215868" w:themeColor="accent5" w:themeShade="80"/>
                                <w:sz w:val="26"/>
                              </w:rPr>
                            </w:pPr>
                            <w:r w:rsidRPr="00C830E9">
                              <w:rPr>
                                <w:b/>
                                <w:i/>
                                <w:color w:val="215868" w:themeColor="accent5" w:themeShade="80"/>
                                <w:sz w:val="26"/>
                              </w:rPr>
                              <w:t>If you would like to speak to us or have any questions, please get in touch</w:t>
                            </w:r>
                          </w:p>
                          <w:p w14:paraId="6480EE54" w14:textId="290C3626" w:rsidR="00DB6A74" w:rsidRPr="00C830E9" w:rsidRDefault="0083541D" w:rsidP="00951A7B">
                            <w:pPr>
                              <w:tabs>
                                <w:tab w:val="left" w:pos="2694"/>
                                <w:tab w:val="left" w:pos="5954"/>
                              </w:tabs>
                              <w:spacing w:after="60" w:line="264" w:lineRule="auto"/>
                              <w:ind w:left="567"/>
                              <w:rPr>
                                <w:b/>
                                <w:bCs/>
                                <w:color w:val="215868" w:themeColor="accent5" w:themeShade="80"/>
                                <w:sz w:val="26"/>
                                <w:szCs w:val="26"/>
                              </w:rPr>
                            </w:pPr>
                            <w:r w:rsidRPr="00C830E9">
                              <w:rPr>
                                <w:b/>
                                <w:bCs/>
                                <w:color w:val="215868" w:themeColor="accent5" w:themeShade="80"/>
                                <w:sz w:val="26"/>
                                <w:szCs w:val="26"/>
                              </w:rPr>
                              <w:t>Sarah Bicknell</w:t>
                            </w:r>
                            <w:r w:rsidR="00483788" w:rsidRPr="00C830E9">
                              <w:rPr>
                                <w:b/>
                                <w:bCs/>
                                <w:color w:val="215868" w:themeColor="accent5" w:themeShade="80"/>
                                <w:sz w:val="26"/>
                                <w:szCs w:val="26"/>
                              </w:rPr>
                              <w:tab/>
                            </w:r>
                            <w:r w:rsidR="00483788" w:rsidRPr="00C830E9">
                              <w:rPr>
                                <w:b/>
                                <w:bCs/>
                                <w:noProof/>
                                <w:color w:val="215868" w:themeColor="accent5" w:themeShade="80"/>
                                <w:position w:val="-2"/>
                              </w:rPr>
                              <w:drawing>
                                <wp:inline distT="0" distB="0" distL="0" distR="0" wp14:anchorId="7D2F3DAA" wp14:editId="185D903B">
                                  <wp:extent cx="151736" cy="108000"/>
                                  <wp:effectExtent l="0" t="0" r="1270" b="6350"/>
                                  <wp:docPr id="1543489164"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2109" name="Graphic 3" descr="Envelope with solid fill"/>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7675" t="19827" r="7675" b="19827"/>
                                          <a:stretch/>
                                        </pic:blipFill>
                                        <pic:spPr bwMode="auto">
                                          <a:xfrm>
                                            <a:off x="0" y="0"/>
                                            <a:ext cx="151736" cy="108000"/>
                                          </a:xfrm>
                                          <a:prstGeom prst="rect">
                                            <a:avLst/>
                                          </a:prstGeom>
                                          <a:ln>
                                            <a:noFill/>
                                          </a:ln>
                                          <a:extLst>
                                            <a:ext uri="{53640926-AAD7-44D8-BBD7-CCE9431645EC}">
                                              <a14:shadowObscured xmlns:a14="http://schemas.microsoft.com/office/drawing/2010/main"/>
                                            </a:ext>
                                          </a:extLst>
                                        </pic:spPr>
                                      </pic:pic>
                                    </a:graphicData>
                                  </a:graphic>
                                </wp:inline>
                              </w:drawing>
                            </w:r>
                            <w:r w:rsidR="00483788" w:rsidRPr="00C830E9">
                              <w:rPr>
                                <w:b/>
                                <w:bCs/>
                                <w:color w:val="215868" w:themeColor="accent5" w:themeShade="80"/>
                                <w:position w:val="-2"/>
                                <w:sz w:val="26"/>
                                <w:szCs w:val="26"/>
                              </w:rPr>
                              <w:t xml:space="preserve"> </w:t>
                            </w:r>
                            <w:r w:rsidR="00483788" w:rsidRPr="00C830E9">
                              <w:rPr>
                                <w:b/>
                                <w:bCs/>
                                <w:color w:val="215868" w:themeColor="accent5" w:themeShade="80"/>
                                <w:sz w:val="26"/>
                                <w:szCs w:val="26"/>
                              </w:rPr>
                              <w:t>s.</w:t>
                            </w:r>
                            <w:r w:rsidRPr="00C830E9">
                              <w:rPr>
                                <w:b/>
                                <w:bCs/>
                                <w:color w:val="215868" w:themeColor="accent5" w:themeShade="80"/>
                                <w:sz w:val="26"/>
                                <w:szCs w:val="26"/>
                              </w:rPr>
                              <w:t>bicknell</w:t>
                            </w:r>
                            <w:r w:rsidR="00483788" w:rsidRPr="00C830E9">
                              <w:rPr>
                                <w:b/>
                                <w:bCs/>
                                <w:color w:val="215868" w:themeColor="accent5" w:themeShade="80"/>
                                <w:sz w:val="26"/>
                                <w:szCs w:val="26"/>
                              </w:rPr>
                              <w:t>@bham.ac.uk</w:t>
                            </w:r>
                            <w:r w:rsidR="00483788" w:rsidRPr="00C830E9">
                              <w:rPr>
                                <w:b/>
                                <w:bCs/>
                                <w:color w:val="215868" w:themeColor="accent5" w:themeShade="80"/>
                                <w:sz w:val="26"/>
                                <w:szCs w:val="26"/>
                              </w:rPr>
                              <w:tab/>
                            </w:r>
                            <w:r w:rsidR="00483788" w:rsidRPr="00C830E9">
                              <w:rPr>
                                <w:b/>
                                <w:bCs/>
                                <w:noProof/>
                                <w:color w:val="215868" w:themeColor="accent5" w:themeShade="80"/>
                                <w:position w:val="-2"/>
                                <w:sz w:val="20"/>
                              </w:rPr>
                              <w:drawing>
                                <wp:inline distT="0" distB="0" distL="0" distR="0" wp14:anchorId="2D6CE361" wp14:editId="455BC433">
                                  <wp:extent cx="107997" cy="108000"/>
                                  <wp:effectExtent l="0" t="0" r="6350" b="6350"/>
                                  <wp:docPr id="468323138"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3564" name="Graphic 823533564" descr="Receiver with solid fill"/>
                                          <pic:cNvPicPr/>
                                        </pic:nvPicPr>
                                        <pic:blipFill rotWithShape="1">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l="7668" t="7667" r="7668" b="7667"/>
                                          <a:stretch/>
                                        </pic:blipFill>
                                        <pic:spPr bwMode="auto">
                                          <a:xfrm>
                                            <a:off x="0" y="0"/>
                                            <a:ext cx="107997" cy="108000"/>
                                          </a:xfrm>
                                          <a:prstGeom prst="rect">
                                            <a:avLst/>
                                          </a:prstGeom>
                                          <a:ln>
                                            <a:noFill/>
                                          </a:ln>
                                          <a:extLst>
                                            <a:ext uri="{53640926-AAD7-44D8-BBD7-CCE9431645EC}">
                                              <a14:shadowObscured xmlns:a14="http://schemas.microsoft.com/office/drawing/2010/main"/>
                                            </a:ext>
                                          </a:extLst>
                                        </pic:spPr>
                                      </pic:pic>
                                    </a:graphicData>
                                  </a:graphic>
                                </wp:inline>
                              </w:drawing>
                            </w:r>
                            <w:r w:rsidR="00483788" w:rsidRPr="00C830E9">
                              <w:rPr>
                                <w:b/>
                                <w:bCs/>
                                <w:color w:val="215868" w:themeColor="accent5" w:themeShade="80"/>
                                <w:position w:val="-2"/>
                                <w:sz w:val="26"/>
                                <w:szCs w:val="26"/>
                              </w:rPr>
                              <w:t xml:space="preserve"> </w:t>
                            </w:r>
                            <w:r w:rsidRPr="00C830E9">
                              <w:rPr>
                                <w:b/>
                                <w:bCs/>
                                <w:color w:val="215868" w:themeColor="accent5" w:themeShade="80"/>
                                <w:sz w:val="26"/>
                                <w:szCs w:val="26"/>
                              </w:rPr>
                              <w:t>07985883803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14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6" type="#_x0000_t62" style="position:absolute;left:0;text-align:left;margin-left:386.5pt;margin-top:17.75pt;width:437.7pt;height:54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" o:allowincell="f" o:allowoverlap="f" adj="18933,30086" fillcolor="#daeef3 [664]" strokecolor="#31849b [2408]" strokeweight="2pt">
                <v:shadow on="t" type="perspective" color="black" opacity="26214f" offset="0,0" matrix="66191f,,,66191f"/>
                <v:textbox>
                  <w:txbxContent>
                    <w:p w14:paraId="47EDCE94" w14:textId="77777777" w:rsidR="00DB6A74" w:rsidRPr="00C830E9" w:rsidRDefault="00DB6A74" w:rsidP="00DB6A74">
                      <w:pPr>
                        <w:spacing w:after="120" w:line="240" w:lineRule="auto"/>
                        <w:jc w:val="center"/>
                        <w:rPr>
                          <w:b/>
                          <w:i/>
                          <w:color w:val="215868" w:themeColor="accent5" w:themeShade="80"/>
                          <w:sz w:val="26"/>
                        </w:rPr>
                      </w:pPr>
                      <w:r w:rsidRPr="00C830E9">
                        <w:rPr>
                          <w:b/>
                          <w:i/>
                          <w:color w:val="215868" w:themeColor="accent5" w:themeShade="80"/>
                          <w:sz w:val="26"/>
                        </w:rPr>
                        <w:t>If you would like to speak to us or have any questions, please get in touch</w:t>
                      </w:r>
                    </w:p>
                    <w:p w14:paraId="6480EE54" w14:textId="290C3626" w:rsidR="00DB6A74" w:rsidRPr="00C830E9" w:rsidRDefault="0083541D" w:rsidP="00951A7B">
                      <w:pPr>
                        <w:tabs>
                          <w:tab w:val="left" w:pos="2694"/>
                          <w:tab w:val="left" w:pos="5954"/>
                        </w:tabs>
                        <w:spacing w:after="60" w:line="264" w:lineRule="auto"/>
                        <w:ind w:left="567"/>
                        <w:rPr>
                          <w:b/>
                          <w:bCs/>
                          <w:color w:val="215868" w:themeColor="accent5" w:themeShade="80"/>
                          <w:sz w:val="26"/>
                          <w:szCs w:val="26"/>
                        </w:rPr>
                      </w:pPr>
                      <w:r w:rsidRPr="00C830E9">
                        <w:rPr>
                          <w:b/>
                          <w:bCs/>
                          <w:color w:val="215868" w:themeColor="accent5" w:themeShade="80"/>
                          <w:sz w:val="26"/>
                          <w:szCs w:val="26"/>
                        </w:rPr>
                        <w:t>Sarah Bicknell</w:t>
                      </w:r>
                      <w:r w:rsidR="00483788" w:rsidRPr="00C830E9">
                        <w:rPr>
                          <w:b/>
                          <w:bCs/>
                          <w:color w:val="215868" w:themeColor="accent5" w:themeShade="80"/>
                          <w:sz w:val="26"/>
                          <w:szCs w:val="26"/>
                        </w:rPr>
                        <w:tab/>
                      </w:r>
                      <w:r w:rsidR="00483788" w:rsidRPr="00C830E9">
                        <w:rPr>
                          <w:b/>
                          <w:bCs/>
                          <w:noProof/>
                          <w:color w:val="215868" w:themeColor="accent5" w:themeShade="80"/>
                          <w:position w:val="-2"/>
                        </w:rPr>
                        <w:drawing>
                          <wp:inline distT="0" distB="0" distL="0" distR="0" wp14:anchorId="7D2F3DAA" wp14:editId="185D903B">
                            <wp:extent cx="151736" cy="108000"/>
                            <wp:effectExtent l="0" t="0" r="1270" b="6350"/>
                            <wp:docPr id="1543489164"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2109" name="Graphic 3" descr="Envelope with solid fill"/>
                                    <pic:cNvPicPr>
                                      <a:picLocks noChangeAspect="1"/>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7675" t="19827" r="7675" b="19827"/>
                                    <a:stretch/>
                                  </pic:blipFill>
                                  <pic:spPr bwMode="auto">
                                    <a:xfrm>
                                      <a:off x="0" y="0"/>
                                      <a:ext cx="151736" cy="108000"/>
                                    </a:xfrm>
                                    <a:prstGeom prst="rect">
                                      <a:avLst/>
                                    </a:prstGeom>
                                    <a:ln>
                                      <a:noFill/>
                                    </a:ln>
                                    <a:extLst>
                                      <a:ext uri="{53640926-AAD7-44D8-BBD7-CCE9431645EC}">
                                        <a14:shadowObscured xmlns:a14="http://schemas.microsoft.com/office/drawing/2010/main"/>
                                      </a:ext>
                                    </a:extLst>
                                  </pic:spPr>
                                </pic:pic>
                              </a:graphicData>
                            </a:graphic>
                          </wp:inline>
                        </w:drawing>
                      </w:r>
                      <w:r w:rsidR="00483788" w:rsidRPr="00C830E9">
                        <w:rPr>
                          <w:b/>
                          <w:bCs/>
                          <w:color w:val="215868" w:themeColor="accent5" w:themeShade="80"/>
                          <w:position w:val="-2"/>
                          <w:sz w:val="26"/>
                          <w:szCs w:val="26"/>
                        </w:rPr>
                        <w:t xml:space="preserve"> </w:t>
                      </w:r>
                      <w:r w:rsidR="00483788" w:rsidRPr="00C830E9">
                        <w:rPr>
                          <w:b/>
                          <w:bCs/>
                          <w:color w:val="215868" w:themeColor="accent5" w:themeShade="80"/>
                          <w:sz w:val="26"/>
                          <w:szCs w:val="26"/>
                        </w:rPr>
                        <w:t>s.</w:t>
                      </w:r>
                      <w:r w:rsidRPr="00C830E9">
                        <w:rPr>
                          <w:b/>
                          <w:bCs/>
                          <w:color w:val="215868" w:themeColor="accent5" w:themeShade="80"/>
                          <w:sz w:val="26"/>
                          <w:szCs w:val="26"/>
                        </w:rPr>
                        <w:t>bicknell</w:t>
                      </w:r>
                      <w:r w:rsidR="00483788" w:rsidRPr="00C830E9">
                        <w:rPr>
                          <w:b/>
                          <w:bCs/>
                          <w:color w:val="215868" w:themeColor="accent5" w:themeShade="80"/>
                          <w:sz w:val="26"/>
                          <w:szCs w:val="26"/>
                        </w:rPr>
                        <w:t>@bham.ac.uk</w:t>
                      </w:r>
                      <w:r w:rsidR="00483788" w:rsidRPr="00C830E9">
                        <w:rPr>
                          <w:b/>
                          <w:bCs/>
                          <w:color w:val="215868" w:themeColor="accent5" w:themeShade="80"/>
                          <w:sz w:val="26"/>
                          <w:szCs w:val="26"/>
                        </w:rPr>
                        <w:tab/>
                      </w:r>
                      <w:r w:rsidR="00483788" w:rsidRPr="00C830E9">
                        <w:rPr>
                          <w:b/>
                          <w:bCs/>
                          <w:noProof/>
                          <w:color w:val="215868" w:themeColor="accent5" w:themeShade="80"/>
                          <w:position w:val="-2"/>
                          <w:sz w:val="20"/>
                        </w:rPr>
                        <w:drawing>
                          <wp:inline distT="0" distB="0" distL="0" distR="0" wp14:anchorId="2D6CE361" wp14:editId="455BC433">
                            <wp:extent cx="107997" cy="108000"/>
                            <wp:effectExtent l="0" t="0" r="6350" b="6350"/>
                            <wp:docPr id="468323138"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3564" name="Graphic 823533564" descr="Receiver with solid fill"/>
                                    <pic:cNvPicPr/>
                                  </pic:nvPicPr>
                                  <pic:blipFill rotWithShape="1">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rcRect l="7668" t="7667" r="7668" b="7667"/>
                                    <a:stretch/>
                                  </pic:blipFill>
                                  <pic:spPr bwMode="auto">
                                    <a:xfrm>
                                      <a:off x="0" y="0"/>
                                      <a:ext cx="107997" cy="108000"/>
                                    </a:xfrm>
                                    <a:prstGeom prst="rect">
                                      <a:avLst/>
                                    </a:prstGeom>
                                    <a:ln>
                                      <a:noFill/>
                                    </a:ln>
                                    <a:extLst>
                                      <a:ext uri="{53640926-AAD7-44D8-BBD7-CCE9431645EC}">
                                        <a14:shadowObscured xmlns:a14="http://schemas.microsoft.com/office/drawing/2010/main"/>
                                      </a:ext>
                                    </a:extLst>
                                  </pic:spPr>
                                </pic:pic>
                              </a:graphicData>
                            </a:graphic>
                          </wp:inline>
                        </w:drawing>
                      </w:r>
                      <w:r w:rsidR="00483788" w:rsidRPr="00C830E9">
                        <w:rPr>
                          <w:b/>
                          <w:bCs/>
                          <w:color w:val="215868" w:themeColor="accent5" w:themeShade="80"/>
                          <w:position w:val="-2"/>
                          <w:sz w:val="26"/>
                          <w:szCs w:val="26"/>
                        </w:rPr>
                        <w:t xml:space="preserve"> </w:t>
                      </w:r>
                      <w:r w:rsidRPr="00C830E9">
                        <w:rPr>
                          <w:b/>
                          <w:bCs/>
                          <w:color w:val="215868" w:themeColor="accent5" w:themeShade="80"/>
                          <w:sz w:val="26"/>
                          <w:szCs w:val="26"/>
                        </w:rPr>
                        <w:t>07985883803</w:t>
                      </w:r>
                    </w:p>
                  </w:txbxContent>
                </v:textbox>
                <w10:wrap anchorx="margin"/>
              </v:shape>
            </w:pict>
          </mc:Fallback>
        </mc:AlternateContent>
      </w:r>
    </w:p>
    <w:p w14:paraId="2D927ED8" w14:textId="2806A09C" w:rsidR="00793133" w:rsidRPr="00CA6213" w:rsidRDefault="00793133" w:rsidP="008B7578">
      <w:pPr>
        <w:jc w:val="center"/>
      </w:pPr>
      <w:r w:rsidRPr="00CA6213">
        <w:br w:type="page"/>
      </w:r>
    </w:p>
    <w:p w14:paraId="7828B209" w14:textId="77777777" w:rsidR="00951A7B" w:rsidRPr="00CA6213" w:rsidRDefault="00951A7B" w:rsidP="00070F92">
      <w:pPr>
        <w:pStyle w:val="Heading2"/>
        <w:spacing w:before="400" w:line="264" w:lineRule="auto"/>
      </w:pPr>
      <w:bookmarkStart w:id="1" w:name="_Toc162279606"/>
      <w:r w:rsidRPr="00CA6213">
        <w:lastRenderedPageBreak/>
        <w:t>What is this study about?</w:t>
      </w:r>
      <w:bookmarkEnd w:id="1"/>
    </w:p>
    <w:p w14:paraId="4C430E1C" w14:textId="00AED02C" w:rsidR="00951A7B" w:rsidRPr="00CA6213" w:rsidRDefault="00951A7B" w:rsidP="00AD4C19">
      <w:pPr>
        <w:spacing w:after="120" w:line="252" w:lineRule="auto"/>
      </w:pPr>
      <w:r w:rsidRPr="00CA6213">
        <w:t xml:space="preserve">It is thought that the numbers of babies ‘Born Before Arrival’ at hospital (BBA) is increasing, although the figures currently available </w:t>
      </w:r>
      <w:r w:rsidR="006603FD" w:rsidRPr="00CA6213">
        <w:t xml:space="preserve">only </w:t>
      </w:r>
      <w:r w:rsidRPr="00CA6213">
        <w:t>are an estimation. We know little about the views of those who provide care for women or birthing people</w:t>
      </w:r>
      <w:r w:rsidR="002D7C1A" w:rsidRPr="00CA6213">
        <w:t xml:space="preserve"> and their birth partners</w:t>
      </w:r>
      <w:r w:rsidRPr="00CA6213">
        <w:t xml:space="preserve"> who have a BBA, or the impact on ambulance and maternity services. This study aims to explore the </w:t>
      </w:r>
      <w:r w:rsidR="00C8603B" w:rsidRPr="00CA6213">
        <w:t xml:space="preserve">number of </w:t>
      </w:r>
      <w:r w:rsidR="005B4390" w:rsidRPr="00CA6213">
        <w:t>BBAs</w:t>
      </w:r>
      <w:r w:rsidR="00C8603B" w:rsidRPr="00CA6213">
        <w:t xml:space="preserve"> </w:t>
      </w:r>
      <w:r w:rsidR="00070F92" w:rsidRPr="00CA6213">
        <w:t>in the East and West Midlands</w:t>
      </w:r>
      <w:r w:rsidR="005B4390" w:rsidRPr="00CA6213">
        <w:t>, how BBA is defined,</w:t>
      </w:r>
      <w:r w:rsidR="00070F92" w:rsidRPr="00CA6213">
        <w:t xml:space="preserve"> </w:t>
      </w:r>
      <w:r w:rsidR="00C8603B" w:rsidRPr="00CA6213">
        <w:t xml:space="preserve">and the </w:t>
      </w:r>
      <w:r w:rsidRPr="00CA6213">
        <w:t xml:space="preserve">experiences of ambulance clinicians, midwives, and parents </w:t>
      </w:r>
      <w:r w:rsidR="001051C6" w:rsidRPr="00CA6213">
        <w:t>who experience</w:t>
      </w:r>
      <w:r w:rsidRPr="00CA6213">
        <w:t xml:space="preserve"> BBAs. Through this study, we want to understand how often BBAs are happening and what the impact is on healthcare professionals and parents.</w:t>
      </w:r>
    </w:p>
    <w:p w14:paraId="43813857" w14:textId="77777777" w:rsidR="00951A7B" w:rsidRPr="00CA6213" w:rsidRDefault="00951A7B" w:rsidP="00070F92">
      <w:pPr>
        <w:pStyle w:val="Heading2"/>
        <w:spacing w:before="400" w:line="264" w:lineRule="auto"/>
      </w:pPr>
      <w:bookmarkStart w:id="2" w:name="_Toc162279607"/>
      <w:r w:rsidRPr="00CA6213">
        <w:t>Why am I being asked to participate?</w:t>
      </w:r>
      <w:bookmarkEnd w:id="2"/>
    </w:p>
    <w:p w14:paraId="4F5B3839" w14:textId="3CC8B79E" w:rsidR="00951A7B" w:rsidRPr="00CA6213" w:rsidRDefault="00951A7B" w:rsidP="00AD4C19">
      <w:pPr>
        <w:spacing w:after="120" w:line="252" w:lineRule="auto"/>
      </w:pPr>
      <w:r w:rsidRPr="00CA6213">
        <w:t>You are being invited to participate in this study because you are an ambulance clinician or midwife who has provided care to at least one woman who has had a BBA. Your views are important in helping us understand more about this experience</w:t>
      </w:r>
      <w:r w:rsidR="00070F92" w:rsidRPr="00CA6213">
        <w:t>, and we would be very grateful for your time and participation.</w:t>
      </w:r>
    </w:p>
    <w:p w14:paraId="7988BBA5" w14:textId="77777777" w:rsidR="00951A7B" w:rsidRPr="00CA6213" w:rsidRDefault="00951A7B" w:rsidP="00070F92">
      <w:pPr>
        <w:pStyle w:val="Heading2"/>
        <w:spacing w:before="400" w:line="264" w:lineRule="auto"/>
      </w:pPr>
      <w:bookmarkStart w:id="3" w:name="_Toc162279608"/>
      <w:r w:rsidRPr="00CA6213">
        <w:t>What will I be asked to do?</w:t>
      </w:r>
      <w:bookmarkEnd w:id="3"/>
    </w:p>
    <w:p w14:paraId="0D939A16" w14:textId="282EB51A" w:rsidR="00951A7B" w:rsidRPr="00CA6213" w:rsidRDefault="00951A7B" w:rsidP="00AD4C19">
      <w:pPr>
        <w:spacing w:after="120" w:line="252" w:lineRule="auto"/>
      </w:pPr>
      <w:r w:rsidRPr="00CA6213">
        <w:t xml:space="preserve">After reading this leaflet, if you would like to participate in this study, we ask you to contact </w:t>
      </w:r>
      <w:r w:rsidR="00A753F2" w:rsidRPr="00CA6213">
        <w:t>Sarah Bicknell</w:t>
      </w:r>
      <w:r w:rsidR="00070F92" w:rsidRPr="00CA6213">
        <w:t xml:space="preserve"> (</w:t>
      </w:r>
      <w:hyperlink r:id="rId18" w:history="1">
        <w:r w:rsidR="00A753F2" w:rsidRPr="00CA6213">
          <w:rPr>
            <w:rStyle w:val="Hyperlink"/>
          </w:rPr>
          <w:t>s.bicknell@bham.ac.uk</w:t>
        </w:r>
      </w:hyperlink>
      <w:r w:rsidR="00070F92" w:rsidRPr="00CA6213">
        <w:t xml:space="preserve">) who </w:t>
      </w:r>
      <w:r w:rsidRPr="00CA6213">
        <w:t xml:space="preserve">will arrange an interview with you to discuss your experiences. This can be done at a date and time that suit you, and in a </w:t>
      </w:r>
      <w:proofErr w:type="gramStart"/>
      <w:r w:rsidRPr="00CA6213">
        <w:t>manner</w:t>
      </w:r>
      <w:proofErr w:type="gramEnd"/>
      <w:r w:rsidRPr="00CA6213">
        <w:t xml:space="preserve"> you prefer (such as </w:t>
      </w:r>
      <w:r w:rsidR="00775896" w:rsidRPr="00CA6213">
        <w:t xml:space="preserve">via MS Teams </w:t>
      </w:r>
      <w:r w:rsidRPr="00CA6213">
        <w:t xml:space="preserve">or by phone). </w:t>
      </w:r>
    </w:p>
    <w:p w14:paraId="728AFC41" w14:textId="5FEB1C3C" w:rsidR="00951A7B" w:rsidRPr="00CA6213" w:rsidRDefault="00951A7B" w:rsidP="00AD4C19">
      <w:pPr>
        <w:spacing w:after="120" w:line="252" w:lineRule="auto"/>
      </w:pPr>
      <w:r w:rsidRPr="00CA6213">
        <w:t xml:space="preserve">On the day of the interview, we will check you understand the information in this leaflet and that you are still happy to take part. </w:t>
      </w:r>
      <w:bookmarkStart w:id="4" w:name="_Hlk213835241"/>
      <w:r w:rsidRPr="00CA6213">
        <w:t xml:space="preserve">We ask you to confirm this with verbal consent, which we will record. </w:t>
      </w:r>
      <w:bookmarkEnd w:id="4"/>
      <w:r w:rsidRPr="00CA6213">
        <w:t xml:space="preserve">Interviews can vary in length, depending on how much you wish to say, but it is likely to take around </w:t>
      </w:r>
      <w:r w:rsidR="005B5011" w:rsidRPr="00CA6213">
        <w:t>up to an hour</w:t>
      </w:r>
      <w:r w:rsidRPr="00CA6213">
        <w:t xml:space="preserve"> of your time. The questions we ask you will be flexible and open-ended, and you do not have to answer anything you don’t want to.</w:t>
      </w:r>
    </w:p>
    <w:p w14:paraId="58FC47A4" w14:textId="5F319551" w:rsidR="00951A7B" w:rsidRPr="00CA6213" w:rsidRDefault="00951A7B" w:rsidP="00AD4C19">
      <w:pPr>
        <w:spacing w:after="120" w:line="252" w:lineRule="auto"/>
      </w:pPr>
      <w:r w:rsidRPr="00CA6213">
        <w:t>The interview will be recorded so we have an accurate copy of what was said. We will transcribe the recording into an electronic document, which will be analysed, but will not have your name or any personal details on it.</w:t>
      </w:r>
      <w:r w:rsidR="000235F7" w:rsidRPr="00CA6213">
        <w:t xml:space="preserve"> </w:t>
      </w:r>
    </w:p>
    <w:p w14:paraId="61554C7F" w14:textId="77777777" w:rsidR="00951A7B" w:rsidRPr="00CA6213" w:rsidRDefault="00951A7B" w:rsidP="00070F92">
      <w:pPr>
        <w:pStyle w:val="Heading2"/>
        <w:spacing w:before="400" w:line="264" w:lineRule="auto"/>
      </w:pPr>
      <w:bookmarkStart w:id="5" w:name="_Toc162279609"/>
      <w:r w:rsidRPr="00CA6213">
        <w:t>Do I have to participate?</w:t>
      </w:r>
      <w:bookmarkEnd w:id="5"/>
    </w:p>
    <w:p w14:paraId="20648FE3" w14:textId="6C6443CD" w:rsidR="00951A7B" w:rsidRPr="00CA6213" w:rsidRDefault="00951A7B" w:rsidP="00AD4C19">
      <w:pPr>
        <w:spacing w:after="120" w:line="252" w:lineRule="auto"/>
      </w:pPr>
      <w:r w:rsidRPr="00CA6213">
        <w:t xml:space="preserve">Absolutely not – being part of this study is entirely voluntary. You can read the information in this leaflet and decide </w:t>
      </w:r>
      <w:proofErr w:type="gramStart"/>
      <w:r w:rsidRPr="00CA6213">
        <w:t>whether or not</w:t>
      </w:r>
      <w:proofErr w:type="gramEnd"/>
      <w:r w:rsidRPr="00CA6213">
        <w:t xml:space="preserve"> you want to participate.</w:t>
      </w:r>
      <w:r w:rsidR="00070F92" w:rsidRPr="00CA6213">
        <w:t xml:space="preserve"> If you have any questions to ask before deciding to take part, you can contact </w:t>
      </w:r>
      <w:r w:rsidR="00057C3B" w:rsidRPr="00CA6213">
        <w:t xml:space="preserve">Sarah Bicknell </w:t>
      </w:r>
      <w:r w:rsidR="00F05D5E" w:rsidRPr="00CA6213">
        <w:t>(</w:t>
      </w:r>
      <w:hyperlink r:id="rId19" w:history="1">
        <w:r w:rsidR="00057C3B" w:rsidRPr="00CA6213">
          <w:rPr>
            <w:rStyle w:val="Hyperlink"/>
          </w:rPr>
          <w:t>s.bicknell@bham.ac.uk</w:t>
        </w:r>
      </w:hyperlink>
      <w:r w:rsidR="00F05D5E" w:rsidRPr="00CA6213">
        <w:t>)</w:t>
      </w:r>
      <w:r w:rsidR="00070F92" w:rsidRPr="00CA6213">
        <w:t>.</w:t>
      </w:r>
    </w:p>
    <w:p w14:paraId="4CF0B295" w14:textId="77777777" w:rsidR="00951A7B" w:rsidRPr="00CA6213" w:rsidRDefault="00951A7B" w:rsidP="00070F92">
      <w:pPr>
        <w:pStyle w:val="Heading2"/>
        <w:spacing w:before="400" w:line="264" w:lineRule="auto"/>
      </w:pPr>
      <w:bookmarkStart w:id="6" w:name="_Toc162279610"/>
      <w:r w:rsidRPr="00CA6213">
        <w:t>What are the benefits and risks of taking part?</w:t>
      </w:r>
      <w:bookmarkEnd w:id="6"/>
    </w:p>
    <w:p w14:paraId="0859915D" w14:textId="77777777" w:rsidR="000A4110" w:rsidRPr="00CA6213" w:rsidRDefault="00951A7B" w:rsidP="000A4110">
      <w:pPr>
        <w:spacing w:after="240" w:line="247" w:lineRule="auto"/>
      </w:pPr>
      <w:r w:rsidRPr="00CA6213">
        <w:t>This is a chance to tell your story and reflect on your experiences</w:t>
      </w:r>
      <w:r w:rsidR="00070F92" w:rsidRPr="00CA6213">
        <w:t xml:space="preserve">, which some people find a cathartic process. </w:t>
      </w:r>
      <w:r w:rsidRPr="00CA6213">
        <w:t xml:space="preserve">We hope this </w:t>
      </w:r>
      <w:r w:rsidR="00070F92" w:rsidRPr="00CA6213">
        <w:t xml:space="preserve">study </w:t>
      </w:r>
      <w:r w:rsidRPr="00CA6213">
        <w:t xml:space="preserve">will </w:t>
      </w:r>
      <w:r w:rsidR="00070F92" w:rsidRPr="00CA6213">
        <w:t>help us understand how to better support</w:t>
      </w:r>
      <w:r w:rsidR="009C32CF" w:rsidRPr="00CA6213">
        <w:t xml:space="preserve"> and </w:t>
      </w:r>
      <w:r w:rsidR="00070F92" w:rsidRPr="00CA6213">
        <w:t xml:space="preserve">train </w:t>
      </w:r>
      <w:proofErr w:type="gramStart"/>
      <w:r w:rsidR="00070F92" w:rsidRPr="00CA6213">
        <w:t>staff</w:t>
      </w:r>
      <w:r w:rsidR="00F72252" w:rsidRPr="00CA6213">
        <w:t>,</w:t>
      </w:r>
      <w:r w:rsidR="00070F92" w:rsidRPr="00CA6213">
        <w:t xml:space="preserve"> and</w:t>
      </w:r>
      <w:proofErr w:type="gramEnd"/>
      <w:r w:rsidR="00070F92" w:rsidRPr="00CA6213">
        <w:t xml:space="preserve"> </w:t>
      </w:r>
      <w:r w:rsidRPr="00CA6213">
        <w:t>improve care pathways in the future.</w:t>
      </w:r>
      <w:r w:rsidR="000A4110" w:rsidRPr="00CA6213">
        <w:t xml:space="preserve"> As a thank you for your time, you will receive a £5 gift voucher after the discussion.</w:t>
      </w:r>
    </w:p>
    <w:p w14:paraId="1BDBE1F2" w14:textId="77777777" w:rsidR="00951A7B" w:rsidRPr="00CA6213" w:rsidRDefault="00951A7B" w:rsidP="00AD4C19">
      <w:pPr>
        <w:spacing w:after="120" w:line="252" w:lineRule="auto"/>
      </w:pPr>
      <w:r w:rsidRPr="00CA6213">
        <w:lastRenderedPageBreak/>
        <w:t>We do not expect there to be any risks involved in taking part in this study. However, if your professional experience has been traumatic, then you may find discussing it to be upsetting. If you feel distressed at any point in the interview, you are free to:</w:t>
      </w:r>
    </w:p>
    <w:p w14:paraId="5D77CEFD" w14:textId="77777777" w:rsidR="00951A7B" w:rsidRPr="00CA6213" w:rsidRDefault="00951A7B" w:rsidP="00AD4C19">
      <w:pPr>
        <w:pStyle w:val="ListParagraph"/>
        <w:numPr>
          <w:ilvl w:val="0"/>
          <w:numId w:val="6"/>
        </w:numPr>
        <w:spacing w:after="120" w:line="252" w:lineRule="auto"/>
      </w:pPr>
      <w:r w:rsidRPr="00CA6213">
        <w:t>tell the interviewer you would like to take a break at any time</w:t>
      </w:r>
    </w:p>
    <w:p w14:paraId="584CA417" w14:textId="77777777" w:rsidR="00951A7B" w:rsidRPr="00CA6213" w:rsidRDefault="00951A7B" w:rsidP="00AD4C19">
      <w:pPr>
        <w:pStyle w:val="ListParagraph"/>
        <w:numPr>
          <w:ilvl w:val="0"/>
          <w:numId w:val="6"/>
        </w:numPr>
        <w:spacing w:after="120" w:line="252" w:lineRule="auto"/>
      </w:pPr>
      <w:r w:rsidRPr="00CA6213">
        <w:t>choose not to answer any questions without giving an explanation</w:t>
      </w:r>
    </w:p>
    <w:p w14:paraId="0F3FDA94" w14:textId="77777777" w:rsidR="00951A7B" w:rsidRPr="00CA6213" w:rsidRDefault="00951A7B" w:rsidP="00AD4C19">
      <w:pPr>
        <w:pStyle w:val="ListParagraph"/>
        <w:numPr>
          <w:ilvl w:val="0"/>
          <w:numId w:val="6"/>
        </w:numPr>
        <w:spacing w:after="120" w:line="252" w:lineRule="auto"/>
      </w:pPr>
      <w:r w:rsidRPr="00CA6213">
        <w:t>stop the interview without giving an explanation</w:t>
      </w:r>
    </w:p>
    <w:p w14:paraId="1FB1198A" w14:textId="0695E464" w:rsidR="00951A7B" w:rsidRPr="00CA6213" w:rsidRDefault="00951A7B" w:rsidP="00AD4C19">
      <w:pPr>
        <w:spacing w:line="252" w:lineRule="auto"/>
      </w:pPr>
      <w:r w:rsidRPr="00CA6213">
        <w:t xml:space="preserve">If the interview causes you any distress, you will be advised to access the free support available via the </w:t>
      </w:r>
      <w:hyperlink r:id="rId20" w:history="1">
        <w:r w:rsidRPr="00CA6213">
          <w:rPr>
            <w:rStyle w:val="Hyperlink"/>
            <w:szCs w:val="24"/>
          </w:rPr>
          <w:t>NHS staff website</w:t>
        </w:r>
      </w:hyperlink>
      <w:r w:rsidRPr="00CA6213">
        <w:t>. You will also be encouraged to see your own GP and/or your trust’s Occupational Health department for further support.</w:t>
      </w:r>
    </w:p>
    <w:p w14:paraId="78C98D7D" w14:textId="77777777" w:rsidR="00070F92" w:rsidRPr="00CA6213" w:rsidRDefault="00070F92" w:rsidP="00070F92">
      <w:pPr>
        <w:pStyle w:val="Heading2"/>
        <w:spacing w:before="400" w:line="264" w:lineRule="auto"/>
      </w:pPr>
      <w:bookmarkStart w:id="7" w:name="_Toc162279611"/>
      <w:r w:rsidRPr="00CA6213">
        <w:t>What if I change my mind?</w:t>
      </w:r>
      <w:bookmarkEnd w:id="7"/>
    </w:p>
    <w:p w14:paraId="6745EB78" w14:textId="14BDD1EF" w:rsidR="00070F92" w:rsidRPr="00CA6213" w:rsidRDefault="00070F92" w:rsidP="00AD4C19">
      <w:pPr>
        <w:spacing w:line="252" w:lineRule="auto"/>
      </w:pPr>
      <w:r w:rsidRPr="00CA6213">
        <w:t xml:space="preserve">You can choose to withdraw from the study at any time, up until </w:t>
      </w:r>
      <w:r w:rsidR="007878C8" w:rsidRPr="00CA6213">
        <w:t>1 week</w:t>
      </w:r>
      <w:r w:rsidRPr="00CA6213">
        <w:t xml:space="preserve"> after your interview has been completed. You do not need to give a reason why and there will be no negative consequences of withdrawing. To withdraw, you can talk to the researcher during the </w:t>
      </w:r>
      <w:proofErr w:type="gramStart"/>
      <w:r w:rsidRPr="00CA6213">
        <w:t>interview, or</w:t>
      </w:r>
      <w:proofErr w:type="gramEnd"/>
      <w:r w:rsidRPr="00CA6213">
        <w:t xml:space="preserve"> contact the </w:t>
      </w:r>
      <w:r w:rsidR="00483DE0" w:rsidRPr="00CA6213">
        <w:t>study</w:t>
      </w:r>
      <w:r w:rsidRPr="00CA6213">
        <w:t xml:space="preserve"> team with the contact details </w:t>
      </w:r>
      <w:r w:rsidR="00AD4C19" w:rsidRPr="00CA6213">
        <w:t>on page 1</w:t>
      </w:r>
      <w:r w:rsidRPr="00CA6213">
        <w:t>. At this point, your</w:t>
      </w:r>
      <w:r w:rsidR="00060E62" w:rsidRPr="00CA6213">
        <w:t xml:space="preserve"> interview </w:t>
      </w:r>
      <w:r w:rsidRPr="00CA6213">
        <w:t xml:space="preserve">recording and transcript will be deleted. </w:t>
      </w:r>
      <w:bookmarkStart w:id="8" w:name="_Hlk213840691"/>
      <w:r w:rsidRPr="00CA6213">
        <w:t xml:space="preserve">After </w:t>
      </w:r>
      <w:r w:rsidR="007878C8" w:rsidRPr="00CA6213">
        <w:t>1</w:t>
      </w:r>
      <w:r w:rsidRPr="00CA6213">
        <w:t xml:space="preserve"> week from when your interview has taken place, it will no longer be possible to withdraw</w:t>
      </w:r>
      <w:r w:rsidR="00AD4C19" w:rsidRPr="00CA6213">
        <w:t xml:space="preserve"> </w:t>
      </w:r>
      <w:r w:rsidR="00133988" w:rsidRPr="00CA6213">
        <w:t xml:space="preserve">as the transcript from your </w:t>
      </w:r>
      <w:r w:rsidR="00AD4C19" w:rsidRPr="00CA6213">
        <w:t>interview will have been anonymised</w:t>
      </w:r>
      <w:r w:rsidR="00133988" w:rsidRPr="00CA6213">
        <w:t xml:space="preserve"> and integrated into the</w:t>
      </w:r>
      <w:r w:rsidR="00AD4C19" w:rsidRPr="00CA6213">
        <w:t xml:space="preserve"> analysis</w:t>
      </w:r>
      <w:r w:rsidR="00133988" w:rsidRPr="00CA6213">
        <w:t xml:space="preserve"> at this point.</w:t>
      </w:r>
      <w:bookmarkEnd w:id="8"/>
    </w:p>
    <w:p w14:paraId="682D7854" w14:textId="77777777" w:rsidR="00951A7B" w:rsidRPr="00CA6213" w:rsidRDefault="00951A7B" w:rsidP="00070F92">
      <w:pPr>
        <w:pStyle w:val="Heading2"/>
        <w:spacing w:before="400" w:line="264" w:lineRule="auto"/>
      </w:pPr>
      <w:bookmarkStart w:id="9" w:name="_Toc162279612"/>
      <w:r w:rsidRPr="00CA6213">
        <w:t>Will my taking part be kept confidential?</w:t>
      </w:r>
      <w:bookmarkEnd w:id="9"/>
    </w:p>
    <w:p w14:paraId="336E2D5F" w14:textId="3BD8B1AE" w:rsidR="00951A7B" w:rsidRPr="00CA6213" w:rsidRDefault="00951A7B" w:rsidP="00AD4C19">
      <w:pPr>
        <w:spacing w:line="252" w:lineRule="auto"/>
      </w:pPr>
      <w:r w:rsidRPr="00CA6213">
        <w:t xml:space="preserve">Your participation will be treated in strict confidence, and no personal information will be passed to anyone outside the </w:t>
      </w:r>
      <w:r w:rsidR="00483DE0" w:rsidRPr="00CA6213">
        <w:t>study</w:t>
      </w:r>
      <w:r w:rsidRPr="00CA6213">
        <w:t xml:space="preserve"> team. We will collect information about you including your name, role, place of work and contact details.  We will only use this to make sure we are interviewing a range of people for this study, and to arrange an interview with you. People outside the </w:t>
      </w:r>
      <w:r w:rsidR="00483DE0" w:rsidRPr="00CA6213">
        <w:t>study</w:t>
      </w:r>
      <w:r w:rsidRPr="00CA6213">
        <w:t xml:space="preserve"> team will not be able to see your name or contact details.</w:t>
      </w:r>
    </w:p>
    <w:p w14:paraId="25C27D15" w14:textId="0249F366" w:rsidR="00070F92" w:rsidRPr="00CA6213" w:rsidRDefault="00070F92" w:rsidP="00AD4C19">
      <w:pPr>
        <w:spacing w:after="100" w:line="252" w:lineRule="auto"/>
      </w:pPr>
      <w:r w:rsidRPr="00CA6213">
        <w:t>Just you and the researcher will be present for the interview. If the researcher becomes concerned that you or another person are at risk of serious harm, they have a duty to report this to the relevant authorities</w:t>
      </w:r>
      <w:r w:rsidR="00133988" w:rsidRPr="00CA6213">
        <w:t xml:space="preserve"> which means we would need to break the confidentiality of the research interview</w:t>
      </w:r>
      <w:r w:rsidRPr="00CA6213">
        <w:t>. They will tell you if they have any such concerns, but must report it with or without your consent, in accordance with the Data Protection Act 2018.</w:t>
      </w:r>
    </w:p>
    <w:p w14:paraId="6336AC52" w14:textId="1511374E" w:rsidR="00070F92" w:rsidRPr="00CA6213" w:rsidRDefault="00070F92" w:rsidP="00AD4C19">
      <w:pPr>
        <w:spacing w:after="100" w:line="252" w:lineRule="auto"/>
      </w:pPr>
      <w:r w:rsidRPr="00CA6213">
        <w:t xml:space="preserve">The final </w:t>
      </w:r>
      <w:r w:rsidR="00AD4C19" w:rsidRPr="00CA6213">
        <w:t>study</w:t>
      </w:r>
      <w:r w:rsidRPr="00CA6213">
        <w:t xml:space="preserve"> report will be provided to NHS managers, and the findings may be published in </w:t>
      </w:r>
      <w:r w:rsidR="00126534" w:rsidRPr="00CA6213">
        <w:t>healthcare</w:t>
      </w:r>
      <w:r w:rsidRPr="00CA6213">
        <w:t xml:space="preserve"> journals and at conferences. All reports will ensure participant details are anonymous. They may contain anonymous word-by-word quotes from all of the interviews. </w:t>
      </w:r>
      <w:r w:rsidR="00D87442" w:rsidRPr="00CA6213">
        <w:t>Therefore,</w:t>
      </w:r>
      <w:r w:rsidRPr="00CA6213">
        <w:t xml:space="preserve"> what you have said may be made </w:t>
      </w:r>
      <w:r w:rsidR="00D87442" w:rsidRPr="00CA6213">
        <w:t>public,</w:t>
      </w:r>
      <w:r w:rsidRPr="00CA6213">
        <w:t xml:space="preserve"> but your name will not, and you will not be personally identifiable.</w:t>
      </w:r>
    </w:p>
    <w:p w14:paraId="4229A150" w14:textId="77777777" w:rsidR="00951A7B" w:rsidRPr="00CA6213" w:rsidRDefault="00951A7B" w:rsidP="00914696">
      <w:pPr>
        <w:pStyle w:val="Heading2"/>
        <w:spacing w:before="240" w:line="264" w:lineRule="auto"/>
      </w:pPr>
      <w:bookmarkStart w:id="10" w:name="_Toc162279613"/>
      <w:r w:rsidRPr="00CA6213">
        <w:t>What will happen to my data?</w:t>
      </w:r>
      <w:bookmarkEnd w:id="10"/>
    </w:p>
    <w:p w14:paraId="521E418B" w14:textId="44B99810" w:rsidR="00951A7B" w:rsidRPr="00CA6213" w:rsidRDefault="00951A7B" w:rsidP="00AD4C19">
      <w:pPr>
        <w:spacing w:line="252" w:lineRule="auto"/>
      </w:pPr>
      <w:r w:rsidRPr="00CA6213">
        <w:t>In the UK all research must follow both the General Data Protection Regulation (GDPR) and the Data Protection Act 2018 rules. The University of Birmingham</w:t>
      </w:r>
      <w:r w:rsidR="00070F92" w:rsidRPr="00CA6213">
        <w:t xml:space="preserve"> </w:t>
      </w:r>
      <w:r w:rsidRPr="00CA6213">
        <w:t xml:space="preserve">is the sponsor for this study and will act as data controller </w:t>
      </w:r>
      <w:r w:rsidRPr="00CA6213">
        <w:rPr>
          <w:kern w:val="20"/>
          <w:lang w:eastAsia="en-GB"/>
        </w:rPr>
        <w:t xml:space="preserve">for the personal data that we process in relation to you. This </w:t>
      </w:r>
      <w:r w:rsidRPr="00CA6213">
        <w:t>means that we are responsible for looking after your information and using it properly.</w:t>
      </w:r>
    </w:p>
    <w:p w14:paraId="6DC55646" w14:textId="394301C8" w:rsidR="00951A7B" w:rsidRPr="00CA6213" w:rsidRDefault="00951A7B" w:rsidP="00AD4C19">
      <w:pPr>
        <w:spacing w:line="252" w:lineRule="auto"/>
        <w:rPr>
          <w:lang w:eastAsia="en-GB"/>
        </w:rPr>
      </w:pPr>
      <w:r w:rsidRPr="00CA6213">
        <w:rPr>
          <w:lang w:eastAsia="en-GB"/>
        </w:rPr>
        <w:lastRenderedPageBreak/>
        <w:t xml:space="preserve">We will collect and process your personal data to conduct the </w:t>
      </w:r>
      <w:r w:rsidR="00AD4C19" w:rsidRPr="00CA6213">
        <w:rPr>
          <w:lang w:eastAsia="en-GB"/>
        </w:rPr>
        <w:t>study</w:t>
      </w:r>
      <w:r w:rsidRPr="00CA6213">
        <w:rPr>
          <w:lang w:eastAsia="en-GB"/>
        </w:rPr>
        <w:t xml:space="preserve">, as explained in this information sheet. The legal justification we have under data protection law for processing your personal data is that it is necessary to do so for </w:t>
      </w:r>
      <w:r w:rsidR="00AD4C19" w:rsidRPr="00CA6213">
        <w:rPr>
          <w:lang w:eastAsia="en-GB"/>
        </w:rPr>
        <w:t>this study</w:t>
      </w:r>
      <w:r w:rsidRPr="00CA6213">
        <w:rPr>
          <w:lang w:eastAsia="en-GB"/>
        </w:rPr>
        <w:t>, which is a task we carry out in the public interest.</w:t>
      </w:r>
      <w:r w:rsidR="00070F92" w:rsidRPr="00CA6213">
        <w:rPr>
          <w:lang w:eastAsia="en-GB"/>
        </w:rPr>
        <w:t xml:space="preserve"> </w:t>
      </w:r>
      <w:r w:rsidRPr="00CA6213">
        <w:rPr>
          <w:lang w:eastAsia="en-GB"/>
        </w:rPr>
        <w:t>We will not share your data with any third party.</w:t>
      </w:r>
    </w:p>
    <w:p w14:paraId="75AD956E" w14:textId="13E8773C" w:rsidR="00951A7B" w:rsidRPr="00CA6213" w:rsidRDefault="00951A7B" w:rsidP="00AD4C19">
      <w:pPr>
        <w:spacing w:line="252" w:lineRule="auto"/>
      </w:pPr>
      <w:r w:rsidRPr="00CA6213">
        <w:t xml:space="preserve">Your interview will be securely </w:t>
      </w:r>
      <w:proofErr w:type="gramStart"/>
      <w:r w:rsidRPr="00CA6213">
        <w:t>recorded</w:t>
      </w:r>
      <w:proofErr w:type="gramEnd"/>
      <w:r w:rsidRPr="00CA6213">
        <w:t xml:space="preserve"> and a </w:t>
      </w:r>
      <w:r w:rsidRPr="00CA6213">
        <w:rPr>
          <w:lang w:eastAsia="en-GB"/>
        </w:rPr>
        <w:t>transcription will be made by a specialist company, who operate in accordance with GDPR.  The recording will only be held by them until the transcription is complete</w:t>
      </w:r>
      <w:r w:rsidR="00133988" w:rsidRPr="00CA6213">
        <w:rPr>
          <w:lang w:eastAsia="en-GB"/>
        </w:rPr>
        <w:t xml:space="preserve"> and checked by the research team – then they will securely destroy it. </w:t>
      </w:r>
      <w:bookmarkStart w:id="11" w:name="_Hlk213840918"/>
      <w:r w:rsidR="00133988" w:rsidRPr="00CA6213">
        <w:rPr>
          <w:lang w:eastAsia="en-GB"/>
        </w:rPr>
        <w:t xml:space="preserve">The research team will keep a copy of the recordings </w:t>
      </w:r>
      <w:r w:rsidR="007101D3" w:rsidRPr="00CA6213">
        <w:rPr>
          <w:lang w:eastAsia="en-GB"/>
        </w:rPr>
        <w:t>until 12 months after</w:t>
      </w:r>
      <w:r w:rsidR="00133988" w:rsidRPr="00CA6213">
        <w:rPr>
          <w:lang w:eastAsia="en-GB"/>
        </w:rPr>
        <w:t xml:space="preserve"> </w:t>
      </w:r>
      <w:r w:rsidR="007101D3" w:rsidRPr="00CA6213">
        <w:rPr>
          <w:lang w:eastAsia="en-GB"/>
        </w:rPr>
        <w:t xml:space="preserve">we </w:t>
      </w:r>
      <w:r w:rsidR="00133988" w:rsidRPr="00CA6213">
        <w:rPr>
          <w:lang w:eastAsia="en-GB"/>
        </w:rPr>
        <w:t>report the main findings</w:t>
      </w:r>
      <w:r w:rsidRPr="00CA6213">
        <w:rPr>
          <w:lang w:eastAsia="en-GB"/>
        </w:rPr>
        <w:t xml:space="preserve">.  </w:t>
      </w:r>
      <w:bookmarkEnd w:id="11"/>
      <w:r w:rsidRPr="00CA6213">
        <w:rPr>
          <w:lang w:eastAsia="en-GB"/>
        </w:rPr>
        <w:t>We will keep all information about you safe and secure.</w:t>
      </w:r>
      <w:r w:rsidR="0030518F" w:rsidRPr="00CA6213">
        <w:rPr>
          <w:lang w:eastAsia="en-GB"/>
        </w:rPr>
        <w:t xml:space="preserve"> </w:t>
      </w:r>
      <w:r w:rsidRPr="00CA6213">
        <w:t xml:space="preserve">We write our reports in a way that keeps all participant and unit details anonymous. </w:t>
      </w:r>
      <w:r w:rsidR="0030518F" w:rsidRPr="00CA6213">
        <w:br/>
      </w:r>
      <w:r w:rsidRPr="00CA6213">
        <w:br/>
        <w:t xml:space="preserve">Our university policy states that we must keep all </w:t>
      </w:r>
      <w:r w:rsidR="00AD4C19" w:rsidRPr="00CA6213">
        <w:t>study</w:t>
      </w:r>
      <w:r w:rsidRPr="00CA6213">
        <w:t xml:space="preserve"> data securely on file for 10 years in order that study findings can be checked. We need to manage your records in specific ways for the </w:t>
      </w:r>
      <w:r w:rsidR="00AD4C19" w:rsidRPr="00CA6213">
        <w:t>study</w:t>
      </w:r>
      <w:r w:rsidRPr="00CA6213">
        <w:t xml:space="preserve"> to be reliable.  This means that we won’t be able to let you see or change the data we hold about you.</w:t>
      </w:r>
    </w:p>
    <w:p w14:paraId="1F4AA1E3" w14:textId="4C9A0235" w:rsidR="00951A7B" w:rsidRPr="00CA6213" w:rsidRDefault="00951A7B" w:rsidP="00AD4C19">
      <w:pPr>
        <w:spacing w:line="252" w:lineRule="auto"/>
        <w:ind w:right="-57"/>
      </w:pPr>
      <w:r w:rsidRPr="00CA6213">
        <w:t xml:space="preserve">The University of Birmingham’s web page </w:t>
      </w:r>
      <w:hyperlink r:id="rId21" w:history="1">
        <w:r w:rsidRPr="00CA6213">
          <w:rPr>
            <w:rStyle w:val="Hyperlink"/>
            <w:szCs w:val="24"/>
          </w:rPr>
          <w:t>Data Protection - How the University Uses Your Data</w:t>
        </w:r>
      </w:hyperlink>
      <w:r w:rsidRPr="00CA6213">
        <w:t xml:space="preserve"> gives more information, including how to ask any questions you may have about how your personal data is used, exercise any of your rights or complain about the way your data is being handled. If you have any further questions, you can contact the </w:t>
      </w:r>
      <w:r w:rsidR="00483DE0" w:rsidRPr="00CA6213">
        <w:t>study</w:t>
      </w:r>
      <w:r w:rsidRPr="00CA6213">
        <w:t xml:space="preserve"> team or the University of Birmingham Data Protection Office (</w:t>
      </w:r>
      <w:hyperlink r:id="rId22" w:history="1">
        <w:r w:rsidRPr="00CA6213">
          <w:rPr>
            <w:rStyle w:val="Hyperlink"/>
          </w:rPr>
          <w:t>dataprotection@contacts.bham.ac.uk</w:t>
        </w:r>
      </w:hyperlink>
      <w:r w:rsidRPr="00CA6213">
        <w:t>).</w:t>
      </w:r>
    </w:p>
    <w:p w14:paraId="0D313DEF" w14:textId="34A5C700" w:rsidR="00951A7B" w:rsidRPr="00CA6213" w:rsidRDefault="00951A7B" w:rsidP="00914696">
      <w:pPr>
        <w:pStyle w:val="Heading2"/>
        <w:spacing w:before="240" w:line="264" w:lineRule="auto"/>
      </w:pPr>
      <w:bookmarkStart w:id="12" w:name="_Toc162279614"/>
      <w:r w:rsidRPr="00CA6213">
        <w:t>Who is conducting the</w:t>
      </w:r>
      <w:r w:rsidR="00AD4C19" w:rsidRPr="00CA6213">
        <w:t xml:space="preserve"> study</w:t>
      </w:r>
      <w:r w:rsidRPr="00CA6213">
        <w:t>?</w:t>
      </w:r>
      <w:bookmarkEnd w:id="12"/>
    </w:p>
    <w:p w14:paraId="3521C3B4" w14:textId="2C7A0599" w:rsidR="00951A7B" w:rsidRPr="00CA6213" w:rsidRDefault="00951A7B" w:rsidP="00AD4C19">
      <w:pPr>
        <w:spacing w:line="252" w:lineRule="auto"/>
      </w:pPr>
      <w:r w:rsidRPr="00CA6213">
        <w:t xml:space="preserve">We are a team of maternity researchers based in the </w:t>
      </w:r>
      <w:r w:rsidR="005B5011" w:rsidRPr="00CA6213">
        <w:t>Department</w:t>
      </w:r>
      <w:r w:rsidRPr="00CA6213">
        <w:t xml:space="preserve"> of Applied Health </w:t>
      </w:r>
      <w:r w:rsidR="00351226" w:rsidRPr="00CA6213">
        <w:t>Sciences</w:t>
      </w:r>
      <w:r w:rsidRPr="00CA6213">
        <w:t xml:space="preserve"> at the University of Birmingham, working in the Applied Research Collaborati</w:t>
      </w:r>
      <w:r w:rsidR="00351226" w:rsidRPr="00CA6213">
        <w:t>on</w:t>
      </w:r>
      <w:r w:rsidRPr="00CA6213">
        <w:t xml:space="preserve"> West Midlands Maternity Theme. We are funded by the National Institute for Health Research to undertake work that responds to needs of local services and have undertaken a range of projects in collaboration with maternity hospitals across the Midlands. The University of Birmingham Ethics Committee [</w:t>
      </w:r>
      <w:r w:rsidR="00BE2CBE" w:rsidRPr="00CA6213">
        <w:t>ref ERN_3220-Oct2024</w:t>
      </w:r>
      <w:r w:rsidRPr="00CA6213">
        <w:t>] has reviewed and approved this work.</w:t>
      </w:r>
    </w:p>
    <w:p w14:paraId="7BD272BA" w14:textId="77777777" w:rsidR="00951A7B" w:rsidRPr="00CA6213" w:rsidRDefault="00951A7B" w:rsidP="00914696">
      <w:pPr>
        <w:pStyle w:val="Heading2"/>
        <w:spacing w:before="240" w:line="264" w:lineRule="auto"/>
      </w:pPr>
      <w:bookmarkStart w:id="13" w:name="_Toc162279615"/>
      <w:r w:rsidRPr="00CA6213">
        <w:t>What if I am not happy about anything?</w:t>
      </w:r>
      <w:bookmarkEnd w:id="13"/>
    </w:p>
    <w:p w14:paraId="538850E4" w14:textId="620D603F" w:rsidR="00951A7B" w:rsidRPr="00CA6213" w:rsidRDefault="00951A7B" w:rsidP="00AD4C19">
      <w:pPr>
        <w:spacing w:line="252" w:lineRule="auto"/>
      </w:pPr>
      <w:r w:rsidRPr="00CA6213">
        <w:t xml:space="preserve">If you are not happy with the conduct of this study, please contact the </w:t>
      </w:r>
      <w:r w:rsidR="00483DE0" w:rsidRPr="00CA6213">
        <w:t>study</w:t>
      </w:r>
      <w:r w:rsidRPr="00CA6213">
        <w:t xml:space="preserve"> team</w:t>
      </w:r>
      <w:r w:rsidR="00CD78FA" w:rsidRPr="00CA6213">
        <w:t>,</w:t>
      </w:r>
      <w:r w:rsidR="002A6D7F" w:rsidRPr="00CA6213">
        <w:t xml:space="preserve"> or the University Research Governance Office (</w:t>
      </w:r>
      <w:hyperlink r:id="rId23" w:history="1">
        <w:r w:rsidR="002A6D7F" w:rsidRPr="00CA6213">
          <w:rPr>
            <w:rStyle w:val="Hyperlink"/>
          </w:rPr>
          <w:t>researchgovernance@contacts.bham.ac.uk</w:t>
        </w:r>
      </w:hyperlink>
      <w:r w:rsidR="002A6D7F" w:rsidRPr="00CA6213">
        <w:t xml:space="preserve">). </w:t>
      </w:r>
    </w:p>
    <w:p w14:paraId="2F941677" w14:textId="77777777" w:rsidR="00951A7B" w:rsidRPr="00CA6213" w:rsidRDefault="00951A7B" w:rsidP="00914696">
      <w:pPr>
        <w:pStyle w:val="Heading2"/>
        <w:spacing w:before="240" w:line="264" w:lineRule="auto"/>
      </w:pPr>
      <w:bookmarkStart w:id="14" w:name="_Toc162279616"/>
      <w:r w:rsidRPr="00CA6213">
        <w:t>What happens now?</w:t>
      </w:r>
      <w:bookmarkEnd w:id="14"/>
    </w:p>
    <w:p w14:paraId="5F2EB2B0" w14:textId="421546F5" w:rsidR="00951A7B" w:rsidRPr="00CA6213" w:rsidRDefault="00951A7B" w:rsidP="00AD4C19">
      <w:pPr>
        <w:spacing w:after="480" w:line="252" w:lineRule="auto"/>
      </w:pPr>
      <w:r w:rsidRPr="00CA6213">
        <w:t xml:space="preserve">Take some time to think about whether you would like to take part in this study. Please contact </w:t>
      </w:r>
      <w:r w:rsidR="00AE64F9" w:rsidRPr="00CA6213">
        <w:t xml:space="preserve">Sarah Bicknell </w:t>
      </w:r>
      <w:r w:rsidR="00483DE0" w:rsidRPr="00CA6213">
        <w:t>(</w:t>
      </w:r>
      <w:hyperlink r:id="rId24" w:history="1">
        <w:r w:rsidR="00AE64F9" w:rsidRPr="00CA6213">
          <w:rPr>
            <w:rStyle w:val="Hyperlink"/>
          </w:rPr>
          <w:t>s.bicknell@bham.ac.uk</w:t>
        </w:r>
      </w:hyperlink>
      <w:r w:rsidR="00483DE0" w:rsidRPr="00CA6213">
        <w:t xml:space="preserve">) </w:t>
      </w:r>
      <w:r w:rsidRPr="00CA6213">
        <w:t>if you would like to take part</w:t>
      </w:r>
      <w:r w:rsidR="000B01B7" w:rsidRPr="00CA6213">
        <w:t xml:space="preserve">, </w:t>
      </w:r>
      <w:r w:rsidRPr="00CA6213">
        <w:t>or if you have any questions at all.</w:t>
      </w:r>
    </w:p>
    <w:p w14:paraId="78C4971D" w14:textId="40585446" w:rsidR="00951A7B" w:rsidRPr="005B5011" w:rsidRDefault="005B5011" w:rsidP="005B5011">
      <w:pPr>
        <w:spacing w:after="480" w:line="252" w:lineRule="auto"/>
        <w:jc w:val="center"/>
      </w:pPr>
      <w:r w:rsidRPr="00CA6213">
        <w:rPr>
          <w:b/>
          <w:bCs/>
          <w:color w:val="31849B" w:themeColor="accent5" w:themeShade="BF"/>
          <w:sz w:val="32"/>
          <w:szCs w:val="30"/>
        </w:rPr>
        <w:t>Thank you for reading this leaflet</w:t>
      </w:r>
    </w:p>
    <w:sectPr w:rsidR="00951A7B" w:rsidRPr="005B5011" w:rsidSect="00FB64FE">
      <w:type w:val="continuous"/>
      <w:pgSz w:w="11907" w:h="16839" w:code="9"/>
      <w:pgMar w:top="1440" w:right="1440" w:bottom="127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0B19" w14:textId="77777777" w:rsidR="00EB274B" w:rsidRDefault="00EB274B" w:rsidP="00793133">
      <w:pPr>
        <w:spacing w:after="0" w:line="240" w:lineRule="auto"/>
      </w:pPr>
      <w:r>
        <w:separator/>
      </w:r>
    </w:p>
    <w:p w14:paraId="0EF59A9F" w14:textId="77777777" w:rsidR="00EB274B" w:rsidRDefault="00EB274B"/>
  </w:endnote>
  <w:endnote w:type="continuationSeparator" w:id="0">
    <w:p w14:paraId="5CCCF53C" w14:textId="77777777" w:rsidR="00EB274B" w:rsidRDefault="00EB274B" w:rsidP="00793133">
      <w:pPr>
        <w:spacing w:after="0" w:line="240" w:lineRule="auto"/>
      </w:pPr>
      <w:r>
        <w:continuationSeparator/>
      </w:r>
    </w:p>
    <w:p w14:paraId="3DE8DA96" w14:textId="77777777" w:rsidR="00EB274B" w:rsidRDefault="00EB274B"/>
  </w:endnote>
  <w:endnote w:type="continuationNotice" w:id="1">
    <w:p w14:paraId="5D5ABD03" w14:textId="77777777" w:rsidR="00EB274B" w:rsidRDefault="00EB2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68AE" w14:textId="317522F0" w:rsidR="00C6003E" w:rsidRPr="00BD7E5E" w:rsidRDefault="00C6003E" w:rsidP="00305FB1">
    <w:pPr>
      <w:pStyle w:val="Footer"/>
      <w:tabs>
        <w:tab w:val="clear" w:pos="4513"/>
        <w:tab w:val="clear" w:pos="9026"/>
        <w:tab w:val="right" w:pos="9458"/>
      </w:tabs>
      <w:ind w:left="-454" w:right="-454"/>
    </w:pPr>
    <w:r w:rsidRPr="00305FB1">
      <w:rPr>
        <w:i/>
        <w:iCs/>
        <w:sz w:val="20"/>
      </w:rPr>
      <w:t>Participant Information Leaflet</w:t>
    </w:r>
    <w:r w:rsidR="00305FB1" w:rsidRPr="00305FB1">
      <w:rPr>
        <w:i/>
        <w:iCs/>
        <w:sz w:val="20"/>
      </w:rPr>
      <w:t xml:space="preserve"> for HCPs</w:t>
    </w:r>
    <w:r w:rsidRPr="00305FB1">
      <w:rPr>
        <w:i/>
        <w:iCs/>
        <w:sz w:val="20"/>
      </w:rPr>
      <w:t>, version</w:t>
    </w:r>
    <w:r w:rsidR="00835B41">
      <w:rPr>
        <w:i/>
        <w:iCs/>
        <w:sz w:val="20"/>
      </w:rPr>
      <w:t xml:space="preserve"> </w:t>
    </w:r>
    <w:r w:rsidR="00B830AC" w:rsidRPr="00CA6213">
      <w:rPr>
        <w:i/>
        <w:iCs/>
        <w:sz w:val="20"/>
      </w:rPr>
      <w:t>2</w:t>
    </w:r>
    <w:r w:rsidRPr="00CA6213">
      <w:rPr>
        <w:i/>
        <w:iCs/>
        <w:sz w:val="20"/>
      </w:rPr>
      <w:t xml:space="preserve">, </w:t>
    </w:r>
    <w:r w:rsidR="00B830AC" w:rsidRPr="00CA6213">
      <w:rPr>
        <w:i/>
        <w:iCs/>
        <w:sz w:val="20"/>
      </w:rPr>
      <w:t>04</w:t>
    </w:r>
    <w:r w:rsidR="00F83702" w:rsidRPr="00CA6213">
      <w:rPr>
        <w:i/>
        <w:iCs/>
        <w:sz w:val="20"/>
      </w:rPr>
      <w:t>.</w:t>
    </w:r>
    <w:r w:rsidR="00B830AC" w:rsidRPr="00CA6213">
      <w:rPr>
        <w:i/>
        <w:iCs/>
        <w:sz w:val="20"/>
      </w:rPr>
      <w:t>11</w:t>
    </w:r>
    <w:r w:rsidR="00F83702" w:rsidRPr="00CA6213">
      <w:rPr>
        <w:i/>
        <w:iCs/>
        <w:sz w:val="20"/>
      </w:rPr>
      <w:t>.</w:t>
    </w:r>
    <w:r w:rsidR="00B830AC" w:rsidRPr="00CA6213">
      <w:rPr>
        <w:i/>
        <w:iCs/>
        <w:sz w:val="20"/>
      </w:rPr>
      <w:t>2025</w:t>
    </w:r>
    <w:r w:rsidR="00835B41">
      <w:rPr>
        <w:i/>
        <w:iCs/>
        <w:sz w:val="20"/>
      </w:rPr>
      <w:t xml:space="preserve"> </w:t>
    </w:r>
    <w:r w:rsidRPr="00B44667">
      <w:rPr>
        <w:sz w:val="22"/>
      </w:rPr>
      <w:tab/>
    </w:r>
    <w:r w:rsidRPr="00BD7E5E">
      <w:rPr>
        <w:sz w:val="22"/>
      </w:rPr>
      <w:t xml:space="preserve">Page </w:t>
    </w:r>
    <w:r w:rsidRPr="00BD7E5E">
      <w:rPr>
        <w:sz w:val="22"/>
      </w:rPr>
      <w:fldChar w:fldCharType="begin"/>
    </w:r>
    <w:r w:rsidRPr="00BD7E5E">
      <w:rPr>
        <w:sz w:val="22"/>
      </w:rPr>
      <w:instrText xml:space="preserve"> PAGE   \* MERGEFORMAT </w:instrText>
    </w:r>
    <w:r w:rsidRPr="00BD7E5E">
      <w:rPr>
        <w:sz w:val="22"/>
      </w:rPr>
      <w:fldChar w:fldCharType="separate"/>
    </w:r>
    <w:r w:rsidR="009A0261">
      <w:rPr>
        <w:noProof/>
        <w:sz w:val="22"/>
      </w:rPr>
      <w:t>5</w:t>
    </w:r>
    <w:r w:rsidRPr="00BD7E5E">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190D" w14:textId="2B7B60D3" w:rsidR="00C6003E" w:rsidRPr="00BD7E5E" w:rsidRDefault="00C6003E" w:rsidP="00EC6E05">
    <w:pPr>
      <w:pStyle w:val="Footer"/>
      <w:tabs>
        <w:tab w:val="clear" w:pos="4513"/>
      </w:tabs>
    </w:pPr>
    <w:r w:rsidRPr="00BD7E5E">
      <w:rPr>
        <w:sz w:val="20"/>
      </w:rPr>
      <w:t>Participant Information Leaflet</w:t>
    </w:r>
    <w:r w:rsidR="00483788">
      <w:rPr>
        <w:sz w:val="20"/>
      </w:rPr>
      <w:t xml:space="preserve"> for HCPs</w:t>
    </w:r>
    <w:r w:rsidRPr="00BD7E5E">
      <w:rPr>
        <w:sz w:val="20"/>
      </w:rPr>
      <w:t xml:space="preserve">, version </w:t>
    </w:r>
    <w:r w:rsidR="00483788">
      <w:rPr>
        <w:sz w:val="20"/>
      </w:rPr>
      <w:t>0.1</w:t>
    </w:r>
    <w:r w:rsidRPr="00BD7E5E">
      <w:rPr>
        <w:sz w:val="20"/>
      </w:rPr>
      <w:t xml:space="preserve">, </w:t>
    </w:r>
    <w:r w:rsidR="00483788">
      <w:rPr>
        <w:sz w:val="20"/>
      </w:rPr>
      <w:t>25/03/24</w:t>
    </w:r>
    <w:r w:rsidRPr="00B44667">
      <w:rPr>
        <w:sz w:val="22"/>
      </w:rPr>
      <w:tab/>
    </w:r>
    <w:r w:rsidRPr="00BD7E5E">
      <w:rPr>
        <w:sz w:val="22"/>
      </w:rPr>
      <w:t xml:space="preserve">Page </w:t>
    </w:r>
    <w:r w:rsidRPr="00BD7E5E">
      <w:rPr>
        <w:sz w:val="22"/>
      </w:rPr>
      <w:fldChar w:fldCharType="begin"/>
    </w:r>
    <w:r w:rsidRPr="00BD7E5E">
      <w:rPr>
        <w:sz w:val="22"/>
      </w:rPr>
      <w:instrText xml:space="preserve"> PAGE   \* MERGEFORMAT </w:instrText>
    </w:r>
    <w:r w:rsidRPr="00BD7E5E">
      <w:rPr>
        <w:sz w:val="22"/>
      </w:rPr>
      <w:fldChar w:fldCharType="separate"/>
    </w:r>
    <w:r w:rsidR="009A0261">
      <w:rPr>
        <w:noProof/>
        <w:sz w:val="22"/>
      </w:rPr>
      <w:t>1</w:t>
    </w:r>
    <w:r w:rsidRPr="00BD7E5E">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DB5A" w14:textId="77777777" w:rsidR="00EB274B" w:rsidRDefault="00EB274B" w:rsidP="00793133">
      <w:pPr>
        <w:spacing w:after="0" w:line="240" w:lineRule="auto"/>
      </w:pPr>
      <w:r>
        <w:separator/>
      </w:r>
    </w:p>
    <w:p w14:paraId="5284CFA8" w14:textId="77777777" w:rsidR="00EB274B" w:rsidRDefault="00EB274B"/>
  </w:footnote>
  <w:footnote w:type="continuationSeparator" w:id="0">
    <w:p w14:paraId="6389225D" w14:textId="77777777" w:rsidR="00EB274B" w:rsidRDefault="00EB274B" w:rsidP="00793133">
      <w:pPr>
        <w:spacing w:after="0" w:line="240" w:lineRule="auto"/>
      </w:pPr>
      <w:r>
        <w:continuationSeparator/>
      </w:r>
    </w:p>
    <w:p w14:paraId="1EF84412" w14:textId="77777777" w:rsidR="00EB274B" w:rsidRDefault="00EB274B"/>
  </w:footnote>
  <w:footnote w:type="continuationNotice" w:id="1">
    <w:p w14:paraId="126EC029" w14:textId="77777777" w:rsidR="00EB274B" w:rsidRDefault="00EB2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90F6" w14:textId="77777777" w:rsidR="00C6003E" w:rsidRDefault="00C6003E" w:rsidP="005C59A0">
    <w:pPr>
      <w:pStyle w:val="Header"/>
      <w:tabs>
        <w:tab w:val="clear" w:pos="4513"/>
        <w:tab w:val="clear" w:pos="9026"/>
        <w:tab w:val="right" w:pos="9356"/>
      </w:tabs>
      <w:ind w:left="-284"/>
    </w:pPr>
    <w:r>
      <w:rPr>
        <w:noProof/>
        <w:lang w:eastAsia="en-GB"/>
      </w:rPr>
      <w:drawing>
        <wp:inline distT="0" distB="0" distL="0" distR="0" wp14:anchorId="31A92A3C" wp14:editId="3DF86EBA">
          <wp:extent cx="1706561" cy="476250"/>
          <wp:effectExtent l="0" t="0" r="8255" b="0"/>
          <wp:docPr id="339641356" name="Picture 339641356"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41356" name="Picture 339641356" descr="University of Birmingha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0909" t="20060" r="10909" b="24387"/>
                  <a:stretch/>
                </pic:blipFill>
                <pic:spPr bwMode="auto">
                  <a:xfrm>
                    <a:off x="0" y="0"/>
                    <a:ext cx="1711224" cy="477551"/>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lang w:eastAsia="en-GB"/>
      </w:rPr>
      <w:drawing>
        <wp:inline distT="0" distB="0" distL="0" distR="0" wp14:anchorId="66D85624" wp14:editId="146D80AB">
          <wp:extent cx="3362325" cy="484175"/>
          <wp:effectExtent l="0" t="0" r="0" b="0"/>
          <wp:docPr id="256747734" name="Picture 256747734" descr="NIHR ARC West Mi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ARC West Midlands logo"/>
                  <pic:cNvPicPr>
                    <a:picLocks noChangeAspect="1" noChangeArrowheads="1"/>
                  </pic:cNvPicPr>
                </pic:nvPicPr>
                <pic:blipFill>
                  <a:blip r:embed="rId2">
                    <a:biLevel thresh="75000"/>
                    <a:extLst>
                      <a:ext uri="{BEBA8EAE-BF5A-486C-A8C5-ECC9F3942E4B}">
                        <a14:imgProps xmlns:a14="http://schemas.microsoft.com/office/drawing/2010/main">
                          <a14:imgLayer r:embed="rId3">
                            <a14:imgEffect>
                              <a14:artisticChalkSketch/>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62325" cy="484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47pt;height:147pt;visibility:visible;mso-wrap-style:square" o:bullet="t">
        <v:imagedata r:id="rId1" o:title=""/>
      </v:shape>
    </w:pict>
  </w:numPicBullet>
  <w:abstractNum w:abstractNumId="0" w15:restartNumberingAfterBreak="0">
    <w:nsid w:val="2551518B"/>
    <w:multiLevelType w:val="hybridMultilevel"/>
    <w:tmpl w:val="2E5043A8"/>
    <w:lvl w:ilvl="0" w:tplc="D69249B2">
      <w:start w:val="1"/>
      <w:numFmt w:val="decimal"/>
      <w:pStyle w:val="Heading2"/>
      <w:lvlText w:val="%1."/>
      <w:lvlJc w:val="left"/>
      <w:pPr>
        <w:ind w:left="5668" w:hanging="564"/>
      </w:pPr>
      <w:rPr>
        <w:rFonts w:hint="default"/>
      </w:rPr>
    </w:lvl>
    <w:lvl w:ilvl="1" w:tplc="08090019" w:tentative="1">
      <w:start w:val="1"/>
      <w:numFmt w:val="lowerLetter"/>
      <w:lvlText w:val="%2."/>
      <w:lvlJc w:val="left"/>
      <w:pPr>
        <w:ind w:left="6184" w:hanging="360"/>
      </w:pPr>
    </w:lvl>
    <w:lvl w:ilvl="2" w:tplc="0809001B" w:tentative="1">
      <w:start w:val="1"/>
      <w:numFmt w:val="lowerRoman"/>
      <w:lvlText w:val="%3."/>
      <w:lvlJc w:val="right"/>
      <w:pPr>
        <w:ind w:left="6904" w:hanging="180"/>
      </w:pPr>
    </w:lvl>
    <w:lvl w:ilvl="3" w:tplc="0809000F" w:tentative="1">
      <w:start w:val="1"/>
      <w:numFmt w:val="decimal"/>
      <w:lvlText w:val="%4."/>
      <w:lvlJc w:val="left"/>
      <w:pPr>
        <w:ind w:left="7624" w:hanging="360"/>
      </w:pPr>
    </w:lvl>
    <w:lvl w:ilvl="4" w:tplc="08090019" w:tentative="1">
      <w:start w:val="1"/>
      <w:numFmt w:val="lowerLetter"/>
      <w:lvlText w:val="%5."/>
      <w:lvlJc w:val="left"/>
      <w:pPr>
        <w:ind w:left="8344" w:hanging="360"/>
      </w:pPr>
    </w:lvl>
    <w:lvl w:ilvl="5" w:tplc="0809001B" w:tentative="1">
      <w:start w:val="1"/>
      <w:numFmt w:val="lowerRoman"/>
      <w:lvlText w:val="%6."/>
      <w:lvlJc w:val="right"/>
      <w:pPr>
        <w:ind w:left="9064" w:hanging="180"/>
      </w:pPr>
    </w:lvl>
    <w:lvl w:ilvl="6" w:tplc="0809000F" w:tentative="1">
      <w:start w:val="1"/>
      <w:numFmt w:val="decimal"/>
      <w:lvlText w:val="%7."/>
      <w:lvlJc w:val="left"/>
      <w:pPr>
        <w:ind w:left="9784" w:hanging="360"/>
      </w:pPr>
    </w:lvl>
    <w:lvl w:ilvl="7" w:tplc="08090019" w:tentative="1">
      <w:start w:val="1"/>
      <w:numFmt w:val="lowerLetter"/>
      <w:lvlText w:val="%8."/>
      <w:lvlJc w:val="left"/>
      <w:pPr>
        <w:ind w:left="10504" w:hanging="360"/>
      </w:pPr>
    </w:lvl>
    <w:lvl w:ilvl="8" w:tplc="0809001B" w:tentative="1">
      <w:start w:val="1"/>
      <w:numFmt w:val="lowerRoman"/>
      <w:lvlText w:val="%9."/>
      <w:lvlJc w:val="right"/>
      <w:pPr>
        <w:ind w:left="11224" w:hanging="180"/>
      </w:pPr>
    </w:lvl>
  </w:abstractNum>
  <w:abstractNum w:abstractNumId="1" w15:restartNumberingAfterBreak="0">
    <w:nsid w:val="44C90B4A"/>
    <w:multiLevelType w:val="hybridMultilevel"/>
    <w:tmpl w:val="D4623AFC"/>
    <w:lvl w:ilvl="0" w:tplc="22FC9D7C">
      <w:start w:val="1"/>
      <w:numFmt w:val="bullet"/>
      <w:lvlText w:val="«"/>
      <w:lvlJc w:val="left"/>
      <w:pPr>
        <w:ind w:left="720" w:hanging="360"/>
      </w:pPr>
      <w:rPr>
        <w:rFonts w:ascii="Wingdings" w:hAnsi="Wingdings" w:hint="default"/>
        <w:color w:val="31849B" w:themeColor="accent5" w:themeShade="BF"/>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54362D"/>
    <w:multiLevelType w:val="hybridMultilevel"/>
    <w:tmpl w:val="1980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B0CC3"/>
    <w:multiLevelType w:val="hybridMultilevel"/>
    <w:tmpl w:val="6C683CD8"/>
    <w:lvl w:ilvl="0" w:tplc="7C94DB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0269A"/>
    <w:multiLevelType w:val="hybridMultilevel"/>
    <w:tmpl w:val="38B26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0676C"/>
    <w:multiLevelType w:val="hybridMultilevel"/>
    <w:tmpl w:val="C31E0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A33492"/>
    <w:multiLevelType w:val="hybridMultilevel"/>
    <w:tmpl w:val="73A6049E"/>
    <w:lvl w:ilvl="0" w:tplc="D0C6C3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10F79"/>
    <w:multiLevelType w:val="hybridMultilevel"/>
    <w:tmpl w:val="3EF23C30"/>
    <w:lvl w:ilvl="0" w:tplc="202EDC12">
      <w:start w:val="1"/>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77FDC"/>
    <w:multiLevelType w:val="hybridMultilevel"/>
    <w:tmpl w:val="CFDC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33906">
    <w:abstractNumId w:val="7"/>
  </w:num>
  <w:num w:numId="2" w16cid:durableId="1254513988">
    <w:abstractNumId w:val="8"/>
  </w:num>
  <w:num w:numId="3" w16cid:durableId="787312077">
    <w:abstractNumId w:val="5"/>
  </w:num>
  <w:num w:numId="4" w16cid:durableId="884952432">
    <w:abstractNumId w:val="4"/>
  </w:num>
  <w:num w:numId="5" w16cid:durableId="257523567">
    <w:abstractNumId w:val="0"/>
  </w:num>
  <w:num w:numId="6" w16cid:durableId="914314999">
    <w:abstractNumId w:val="2"/>
  </w:num>
  <w:num w:numId="7" w16cid:durableId="861014489">
    <w:abstractNumId w:val="3"/>
  </w:num>
  <w:num w:numId="8" w16cid:durableId="42944972">
    <w:abstractNumId w:val="1"/>
  </w:num>
  <w:num w:numId="9" w16cid:durableId="1992951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0NjQxtjA3sLQwtrRQ0lEKTi0uzszPAykwNKoFAIItBbgtAAAA"/>
  </w:docVars>
  <w:rsids>
    <w:rsidRoot w:val="00CB3685"/>
    <w:rsid w:val="00007793"/>
    <w:rsid w:val="000235F7"/>
    <w:rsid w:val="00057C3B"/>
    <w:rsid w:val="00060E62"/>
    <w:rsid w:val="00070F92"/>
    <w:rsid w:val="000741D6"/>
    <w:rsid w:val="000759F5"/>
    <w:rsid w:val="00081E83"/>
    <w:rsid w:val="00092CA4"/>
    <w:rsid w:val="000A4110"/>
    <w:rsid w:val="000B01B7"/>
    <w:rsid w:val="000B5572"/>
    <w:rsid w:val="000C74E7"/>
    <w:rsid w:val="000C7A08"/>
    <w:rsid w:val="00102393"/>
    <w:rsid w:val="001051C6"/>
    <w:rsid w:val="001070B2"/>
    <w:rsid w:val="001156FC"/>
    <w:rsid w:val="00126534"/>
    <w:rsid w:val="00133988"/>
    <w:rsid w:val="001412B0"/>
    <w:rsid w:val="001567F8"/>
    <w:rsid w:val="00164122"/>
    <w:rsid w:val="001729E5"/>
    <w:rsid w:val="00190249"/>
    <w:rsid w:val="00193AED"/>
    <w:rsid w:val="001A3F8F"/>
    <w:rsid w:val="001E20E5"/>
    <w:rsid w:val="001E571F"/>
    <w:rsid w:val="0021468A"/>
    <w:rsid w:val="0022448B"/>
    <w:rsid w:val="00226321"/>
    <w:rsid w:val="00232937"/>
    <w:rsid w:val="00242357"/>
    <w:rsid w:val="00284A12"/>
    <w:rsid w:val="002A404A"/>
    <w:rsid w:val="002A6D7F"/>
    <w:rsid w:val="002D7C1A"/>
    <w:rsid w:val="0030518F"/>
    <w:rsid w:val="00305FB1"/>
    <w:rsid w:val="00351226"/>
    <w:rsid w:val="00385528"/>
    <w:rsid w:val="003B29FF"/>
    <w:rsid w:val="003C0106"/>
    <w:rsid w:val="004113C5"/>
    <w:rsid w:val="0041507A"/>
    <w:rsid w:val="00424A43"/>
    <w:rsid w:val="00454B3B"/>
    <w:rsid w:val="00463B95"/>
    <w:rsid w:val="00471FC5"/>
    <w:rsid w:val="00483788"/>
    <w:rsid w:val="00483DE0"/>
    <w:rsid w:val="004B13D6"/>
    <w:rsid w:val="004C602D"/>
    <w:rsid w:val="005253B5"/>
    <w:rsid w:val="00534B31"/>
    <w:rsid w:val="00552E7B"/>
    <w:rsid w:val="00561121"/>
    <w:rsid w:val="00571E43"/>
    <w:rsid w:val="00572C43"/>
    <w:rsid w:val="005B120C"/>
    <w:rsid w:val="005B4390"/>
    <w:rsid w:val="005B5011"/>
    <w:rsid w:val="005C59A0"/>
    <w:rsid w:val="005D2872"/>
    <w:rsid w:val="005E46FF"/>
    <w:rsid w:val="006068D5"/>
    <w:rsid w:val="00621B35"/>
    <w:rsid w:val="006603FD"/>
    <w:rsid w:val="0066601C"/>
    <w:rsid w:val="00682143"/>
    <w:rsid w:val="006A0964"/>
    <w:rsid w:val="006B6523"/>
    <w:rsid w:val="006D4D9C"/>
    <w:rsid w:val="006F3CF9"/>
    <w:rsid w:val="006F5224"/>
    <w:rsid w:val="006F7D5B"/>
    <w:rsid w:val="007101D3"/>
    <w:rsid w:val="00726E9A"/>
    <w:rsid w:val="00745B1C"/>
    <w:rsid w:val="0077034C"/>
    <w:rsid w:val="00775896"/>
    <w:rsid w:val="007872E3"/>
    <w:rsid w:val="007874E5"/>
    <w:rsid w:val="007878C8"/>
    <w:rsid w:val="00793133"/>
    <w:rsid w:val="007A0181"/>
    <w:rsid w:val="007B3DB2"/>
    <w:rsid w:val="007C71BF"/>
    <w:rsid w:val="007D5049"/>
    <w:rsid w:val="007F1E4C"/>
    <w:rsid w:val="007F5189"/>
    <w:rsid w:val="008159EE"/>
    <w:rsid w:val="0083541D"/>
    <w:rsid w:val="00835B41"/>
    <w:rsid w:val="008B035A"/>
    <w:rsid w:val="008B3C65"/>
    <w:rsid w:val="008B7578"/>
    <w:rsid w:val="00914696"/>
    <w:rsid w:val="0091765F"/>
    <w:rsid w:val="00924B6C"/>
    <w:rsid w:val="00951A7B"/>
    <w:rsid w:val="0095269C"/>
    <w:rsid w:val="00961CBE"/>
    <w:rsid w:val="00975EDA"/>
    <w:rsid w:val="009A0261"/>
    <w:rsid w:val="009B43D1"/>
    <w:rsid w:val="009C32CF"/>
    <w:rsid w:val="009F411B"/>
    <w:rsid w:val="00A05DC2"/>
    <w:rsid w:val="00A66099"/>
    <w:rsid w:val="00A703C8"/>
    <w:rsid w:val="00A71E4E"/>
    <w:rsid w:val="00A74212"/>
    <w:rsid w:val="00A753F2"/>
    <w:rsid w:val="00AA2680"/>
    <w:rsid w:val="00AB0279"/>
    <w:rsid w:val="00AD260A"/>
    <w:rsid w:val="00AD4C19"/>
    <w:rsid w:val="00AE64F9"/>
    <w:rsid w:val="00AE7E9D"/>
    <w:rsid w:val="00B127B5"/>
    <w:rsid w:val="00B44667"/>
    <w:rsid w:val="00B54168"/>
    <w:rsid w:val="00B61989"/>
    <w:rsid w:val="00B830AC"/>
    <w:rsid w:val="00BB2931"/>
    <w:rsid w:val="00BB44AF"/>
    <w:rsid w:val="00BD7E5E"/>
    <w:rsid w:val="00BE2CBE"/>
    <w:rsid w:val="00C6003E"/>
    <w:rsid w:val="00C830E9"/>
    <w:rsid w:val="00C8603B"/>
    <w:rsid w:val="00C9006C"/>
    <w:rsid w:val="00CA1DE6"/>
    <w:rsid w:val="00CA6213"/>
    <w:rsid w:val="00CB3685"/>
    <w:rsid w:val="00CD4504"/>
    <w:rsid w:val="00CD78FA"/>
    <w:rsid w:val="00D03BE3"/>
    <w:rsid w:val="00D246A2"/>
    <w:rsid w:val="00D4255A"/>
    <w:rsid w:val="00D661FE"/>
    <w:rsid w:val="00D802EF"/>
    <w:rsid w:val="00D87442"/>
    <w:rsid w:val="00DB6A74"/>
    <w:rsid w:val="00DE65AF"/>
    <w:rsid w:val="00DF58C7"/>
    <w:rsid w:val="00DF5C3B"/>
    <w:rsid w:val="00E0785E"/>
    <w:rsid w:val="00E12037"/>
    <w:rsid w:val="00E16104"/>
    <w:rsid w:val="00E43A22"/>
    <w:rsid w:val="00E47CB8"/>
    <w:rsid w:val="00E85819"/>
    <w:rsid w:val="00E971DB"/>
    <w:rsid w:val="00EA35B9"/>
    <w:rsid w:val="00EA647E"/>
    <w:rsid w:val="00EB274B"/>
    <w:rsid w:val="00EC6E05"/>
    <w:rsid w:val="00EE698F"/>
    <w:rsid w:val="00F05D5E"/>
    <w:rsid w:val="00F2769D"/>
    <w:rsid w:val="00F33C91"/>
    <w:rsid w:val="00F3510C"/>
    <w:rsid w:val="00F52D5F"/>
    <w:rsid w:val="00F57438"/>
    <w:rsid w:val="00F72252"/>
    <w:rsid w:val="00F83702"/>
    <w:rsid w:val="00F91B1D"/>
    <w:rsid w:val="00FB55F2"/>
    <w:rsid w:val="00FB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B7D7"/>
  <w15:docId w15:val="{0AEED048-8E92-4AFE-895A-C504445B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49"/>
    <w:pPr>
      <w:spacing w:after="160"/>
    </w:pPr>
    <w:rPr>
      <w:sz w:val="24"/>
    </w:rPr>
  </w:style>
  <w:style w:type="paragraph" w:styleId="Heading2">
    <w:name w:val="heading 2"/>
    <w:basedOn w:val="Normal"/>
    <w:next w:val="Normal"/>
    <w:link w:val="Heading2Char"/>
    <w:uiPriority w:val="9"/>
    <w:unhideWhenUsed/>
    <w:qFormat/>
    <w:rsid w:val="00102393"/>
    <w:pPr>
      <w:numPr>
        <w:numId w:val="5"/>
      </w:numPr>
      <w:spacing w:before="480" w:after="120"/>
      <w:ind w:left="567" w:hanging="567"/>
      <w:outlineLvl w:val="1"/>
    </w:pPr>
    <w:rPr>
      <w:b/>
      <w:color w:val="31849B" w:themeColor="accent5" w:themeShade="BF"/>
      <w:sz w:val="32"/>
      <w:szCs w:val="24"/>
    </w:rPr>
  </w:style>
  <w:style w:type="paragraph" w:styleId="Heading3">
    <w:name w:val="heading 3"/>
    <w:basedOn w:val="Normal"/>
    <w:next w:val="Normal"/>
    <w:link w:val="Heading3Char"/>
    <w:uiPriority w:val="9"/>
    <w:unhideWhenUsed/>
    <w:qFormat/>
    <w:rsid w:val="007F5189"/>
    <w:pPr>
      <w:spacing w:before="4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685"/>
    <w:rPr>
      <w:color w:val="0000FF" w:themeColor="hyperlink"/>
      <w:u w:val="single"/>
    </w:rPr>
  </w:style>
  <w:style w:type="paragraph" w:styleId="ListParagraph">
    <w:name w:val="List Paragraph"/>
    <w:basedOn w:val="Normal"/>
    <w:uiPriority w:val="34"/>
    <w:qFormat/>
    <w:rsid w:val="00CB3685"/>
    <w:pPr>
      <w:ind w:left="720"/>
      <w:contextualSpacing/>
    </w:pPr>
  </w:style>
  <w:style w:type="character" w:customStyle="1" w:styleId="Heading2Char">
    <w:name w:val="Heading 2 Char"/>
    <w:basedOn w:val="DefaultParagraphFont"/>
    <w:link w:val="Heading2"/>
    <w:uiPriority w:val="9"/>
    <w:rsid w:val="00102393"/>
    <w:rPr>
      <w:b/>
      <w:color w:val="31849B" w:themeColor="accent5" w:themeShade="BF"/>
      <w:sz w:val="32"/>
      <w:szCs w:val="24"/>
    </w:rPr>
  </w:style>
  <w:style w:type="paragraph" w:styleId="TOC2">
    <w:name w:val="toc 2"/>
    <w:basedOn w:val="Normal"/>
    <w:next w:val="Normal"/>
    <w:link w:val="TOC2Char"/>
    <w:autoRedefine/>
    <w:uiPriority w:val="39"/>
    <w:unhideWhenUsed/>
    <w:rsid w:val="00951A7B"/>
    <w:pPr>
      <w:tabs>
        <w:tab w:val="right" w:leader="dot" w:pos="4362"/>
      </w:tabs>
      <w:spacing w:after="100"/>
      <w:ind w:left="284" w:hanging="284"/>
    </w:pPr>
    <w:rPr>
      <w:sz w:val="22"/>
    </w:rPr>
  </w:style>
  <w:style w:type="paragraph" w:styleId="Header">
    <w:name w:val="header"/>
    <w:basedOn w:val="Normal"/>
    <w:link w:val="HeaderChar"/>
    <w:uiPriority w:val="99"/>
    <w:unhideWhenUsed/>
    <w:rsid w:val="00793133"/>
    <w:pPr>
      <w:tabs>
        <w:tab w:val="center" w:pos="4513"/>
        <w:tab w:val="right" w:pos="9026"/>
      </w:tabs>
      <w:spacing w:after="0" w:line="240" w:lineRule="auto"/>
    </w:pPr>
  </w:style>
  <w:style w:type="paragraph" w:styleId="TOC1">
    <w:name w:val="toc 1"/>
    <w:basedOn w:val="Normal"/>
    <w:next w:val="Normal"/>
    <w:autoRedefine/>
    <w:uiPriority w:val="39"/>
    <w:unhideWhenUsed/>
    <w:qFormat/>
    <w:rsid w:val="007D5049"/>
    <w:pPr>
      <w:spacing w:after="100"/>
      <w:ind w:left="425" w:hanging="425"/>
    </w:pPr>
    <w:rPr>
      <w:sz w:val="22"/>
    </w:rPr>
  </w:style>
  <w:style w:type="character" w:customStyle="1" w:styleId="HeaderChar">
    <w:name w:val="Header Char"/>
    <w:basedOn w:val="DefaultParagraphFont"/>
    <w:link w:val="Header"/>
    <w:uiPriority w:val="99"/>
    <w:rsid w:val="00793133"/>
    <w:rPr>
      <w:sz w:val="24"/>
    </w:rPr>
  </w:style>
  <w:style w:type="paragraph" w:styleId="Footer">
    <w:name w:val="footer"/>
    <w:basedOn w:val="Normal"/>
    <w:link w:val="FooterChar"/>
    <w:uiPriority w:val="99"/>
    <w:unhideWhenUsed/>
    <w:rsid w:val="00793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33"/>
    <w:rPr>
      <w:sz w:val="24"/>
    </w:rPr>
  </w:style>
  <w:style w:type="paragraph" w:styleId="BalloonText">
    <w:name w:val="Balloon Text"/>
    <w:basedOn w:val="Normal"/>
    <w:link w:val="BalloonTextChar"/>
    <w:uiPriority w:val="99"/>
    <w:semiHidden/>
    <w:unhideWhenUsed/>
    <w:rsid w:val="0079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33"/>
    <w:rPr>
      <w:rFonts w:ascii="Tahoma" w:hAnsi="Tahoma" w:cs="Tahoma"/>
      <w:sz w:val="16"/>
      <w:szCs w:val="16"/>
    </w:rPr>
  </w:style>
  <w:style w:type="paragraph" w:customStyle="1" w:styleId="TOCalt">
    <w:name w:val="TOC alt"/>
    <w:basedOn w:val="TOC2"/>
    <w:link w:val="TOCaltChar"/>
    <w:qFormat/>
    <w:rsid w:val="007D5049"/>
    <w:pPr>
      <w:tabs>
        <w:tab w:val="left" w:pos="660"/>
        <w:tab w:val="right" w:leader="dot" w:pos="9017"/>
      </w:tabs>
    </w:pPr>
  </w:style>
  <w:style w:type="character" w:customStyle="1" w:styleId="Heading3Char">
    <w:name w:val="Heading 3 Char"/>
    <w:basedOn w:val="DefaultParagraphFont"/>
    <w:link w:val="Heading3"/>
    <w:uiPriority w:val="9"/>
    <w:rsid w:val="007F5189"/>
    <w:rPr>
      <w:b/>
      <w:sz w:val="24"/>
    </w:rPr>
  </w:style>
  <w:style w:type="character" w:customStyle="1" w:styleId="TOC2Char">
    <w:name w:val="TOC 2 Char"/>
    <w:basedOn w:val="DefaultParagraphFont"/>
    <w:link w:val="TOC2"/>
    <w:uiPriority w:val="39"/>
    <w:rsid w:val="00951A7B"/>
  </w:style>
  <w:style w:type="character" w:customStyle="1" w:styleId="TOCaltChar">
    <w:name w:val="TOC alt Char"/>
    <w:basedOn w:val="TOC2Char"/>
    <w:link w:val="TOCalt"/>
    <w:rsid w:val="007D5049"/>
    <w:rPr>
      <w:sz w:val="24"/>
    </w:rPr>
  </w:style>
  <w:style w:type="character" w:styleId="FollowedHyperlink">
    <w:name w:val="FollowedHyperlink"/>
    <w:basedOn w:val="DefaultParagraphFont"/>
    <w:uiPriority w:val="99"/>
    <w:semiHidden/>
    <w:unhideWhenUsed/>
    <w:rsid w:val="009B43D1"/>
    <w:rPr>
      <w:color w:val="800080" w:themeColor="followedHyperlink"/>
      <w:u w:val="single"/>
    </w:rPr>
  </w:style>
  <w:style w:type="character" w:styleId="CommentReference">
    <w:name w:val="annotation reference"/>
    <w:basedOn w:val="DefaultParagraphFont"/>
    <w:uiPriority w:val="99"/>
    <w:semiHidden/>
    <w:unhideWhenUsed/>
    <w:rsid w:val="008B3C65"/>
    <w:rPr>
      <w:sz w:val="16"/>
      <w:szCs w:val="16"/>
    </w:rPr>
  </w:style>
  <w:style w:type="paragraph" w:styleId="CommentText">
    <w:name w:val="annotation text"/>
    <w:basedOn w:val="Normal"/>
    <w:link w:val="CommentTextChar"/>
    <w:uiPriority w:val="99"/>
    <w:unhideWhenUsed/>
    <w:rsid w:val="008B3C65"/>
    <w:pPr>
      <w:spacing w:line="240" w:lineRule="auto"/>
    </w:pPr>
    <w:rPr>
      <w:sz w:val="20"/>
      <w:szCs w:val="20"/>
    </w:rPr>
  </w:style>
  <w:style w:type="character" w:customStyle="1" w:styleId="CommentTextChar">
    <w:name w:val="Comment Text Char"/>
    <w:basedOn w:val="DefaultParagraphFont"/>
    <w:link w:val="CommentText"/>
    <w:uiPriority w:val="99"/>
    <w:rsid w:val="008B3C65"/>
    <w:rPr>
      <w:sz w:val="20"/>
      <w:szCs w:val="20"/>
    </w:rPr>
  </w:style>
  <w:style w:type="paragraph" w:styleId="CommentSubject">
    <w:name w:val="annotation subject"/>
    <w:basedOn w:val="CommentText"/>
    <w:next w:val="CommentText"/>
    <w:link w:val="CommentSubjectChar"/>
    <w:uiPriority w:val="99"/>
    <w:semiHidden/>
    <w:unhideWhenUsed/>
    <w:rsid w:val="008B3C65"/>
    <w:rPr>
      <w:b/>
      <w:bCs/>
    </w:rPr>
  </w:style>
  <w:style w:type="character" w:customStyle="1" w:styleId="CommentSubjectChar">
    <w:name w:val="Comment Subject Char"/>
    <w:basedOn w:val="CommentTextChar"/>
    <w:link w:val="CommentSubject"/>
    <w:uiPriority w:val="99"/>
    <w:semiHidden/>
    <w:rsid w:val="008B3C65"/>
    <w:rPr>
      <w:b/>
      <w:bCs/>
      <w:sz w:val="20"/>
      <w:szCs w:val="20"/>
    </w:rPr>
  </w:style>
  <w:style w:type="paragraph" w:styleId="Revision">
    <w:name w:val="Revision"/>
    <w:hidden/>
    <w:uiPriority w:val="99"/>
    <w:semiHidden/>
    <w:rsid w:val="00284A12"/>
    <w:pPr>
      <w:spacing w:after="0" w:line="240" w:lineRule="auto"/>
    </w:pPr>
    <w:rPr>
      <w:sz w:val="24"/>
    </w:rPr>
  </w:style>
  <w:style w:type="character" w:styleId="UnresolvedMention">
    <w:name w:val="Unresolved Mention"/>
    <w:basedOn w:val="DefaultParagraphFont"/>
    <w:uiPriority w:val="99"/>
    <w:semiHidden/>
    <w:unhideWhenUsed/>
    <w:rsid w:val="00483788"/>
    <w:rPr>
      <w:color w:val="605E5C"/>
      <w:shd w:val="clear" w:color="auto" w:fill="E1DFDD"/>
    </w:rPr>
  </w:style>
  <w:style w:type="table" w:styleId="TableGrid">
    <w:name w:val="Table Grid"/>
    <w:basedOn w:val="TableNormal"/>
    <w:uiPriority w:val="59"/>
    <w:rsid w:val="00AD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mailto:s.bicknell@bham.ac.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irmingham.ac.uk/privacy/index.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sv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england.nhs.uk/supporting-our-nhs-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bicknell@bham.ac.uk" TargetMode="External"/><Relationship Id="rId5" Type="http://schemas.openxmlformats.org/officeDocument/2006/relationships/webSettings" Target="webSettings.xml"/><Relationship Id="rId15" Type="http://schemas.openxmlformats.org/officeDocument/2006/relationships/image" Target="media/image6.svg"/><Relationship Id="rId23" Type="http://schemas.openxmlformats.org/officeDocument/2006/relationships/hyperlink" Target="mailto:researchgovernance@contacts.bham.ac.uk" TargetMode="External"/><Relationship Id="rId10" Type="http://schemas.microsoft.com/office/2007/relationships/hdphoto" Target="media/hdphoto1.wdp"/><Relationship Id="rId19" Type="http://schemas.openxmlformats.org/officeDocument/2006/relationships/hyperlink" Target="mailto:s.bicknell@bham.ac.u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mailto:dataprotection@contacts.bham.ac.uk"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40A4-86EB-4622-A515-42F95C797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Dann</dc:creator>
  <cp:lastModifiedBy>BICKNELL, Sarah (BIRMINGHAM AND SOLIHULL MENTAL HEALTH NHS FOUNDATION TRUST)</cp:lastModifiedBy>
  <cp:revision>2</cp:revision>
  <cp:lastPrinted>2025-01-15T14:47:00Z</cp:lastPrinted>
  <dcterms:created xsi:type="dcterms:W3CDTF">2025-11-26T12:40:00Z</dcterms:created>
  <dcterms:modified xsi:type="dcterms:W3CDTF">2025-11-26T12:40:00Z</dcterms:modified>
</cp:coreProperties>
</file>