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2FC4" w14:textId="77777777" w:rsidR="00D7036B" w:rsidRDefault="00D7036B" w:rsidP="00D7036B"/>
    <w:p w14:paraId="754B1F62" w14:textId="77777777" w:rsidR="00895128" w:rsidRDefault="00895128" w:rsidP="00D7036B"/>
    <w:p w14:paraId="5DFFE0BF" w14:textId="554A6646" w:rsidR="00895128" w:rsidRPr="00895128" w:rsidRDefault="007E29DA" w:rsidP="00895128">
      <w:pPr>
        <w:rPr>
          <w:b/>
          <w:bCs/>
          <w:sz w:val="28"/>
          <w:szCs w:val="28"/>
        </w:rPr>
      </w:pPr>
      <w:r>
        <w:rPr>
          <w:b/>
          <w:bCs/>
          <w:sz w:val="28"/>
          <w:szCs w:val="28"/>
        </w:rPr>
        <w:t>Quality Manual:</w:t>
      </w:r>
    </w:p>
    <w:p w14:paraId="3C5DF0C1" w14:textId="1B07CF32" w:rsidR="00895128" w:rsidRDefault="007E29DA" w:rsidP="00A75686">
      <w:pPr>
        <w:pStyle w:val="Title"/>
      </w:pPr>
      <w:r>
        <w:t>Clinical research</w:t>
      </w:r>
    </w:p>
    <w:p w14:paraId="7AE9EF21" w14:textId="77777777" w:rsidR="00A31C6D" w:rsidRDefault="00A31C6D" w:rsidP="00A31C6D"/>
    <w:p w14:paraId="7B87CF14"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Information"/>
        <w:tblDescription w:val="Information on the superseded document, when the doucment was last reviewed and when it is next due for review."/>
      </w:tblPr>
      <w:tblGrid>
        <w:gridCol w:w="1696"/>
        <w:gridCol w:w="7321"/>
      </w:tblGrid>
      <w:tr w:rsidR="00895128" w14:paraId="46E80215" w14:textId="77777777" w:rsidTr="00C90371">
        <w:tc>
          <w:tcPr>
            <w:tcW w:w="1696" w:type="dxa"/>
          </w:tcPr>
          <w:p w14:paraId="2420297B" w14:textId="77777777" w:rsidR="00895128" w:rsidRPr="00895128" w:rsidRDefault="00895128" w:rsidP="00A31C6D">
            <w:pPr>
              <w:rPr>
                <w:b/>
                <w:bCs/>
              </w:rPr>
            </w:pPr>
            <w:r w:rsidRPr="00895128">
              <w:rPr>
                <w:b/>
                <w:bCs/>
              </w:rPr>
              <w:t>Supersedes:</w:t>
            </w:r>
          </w:p>
        </w:tc>
        <w:tc>
          <w:tcPr>
            <w:tcW w:w="7321" w:type="dxa"/>
          </w:tcPr>
          <w:p w14:paraId="00E406DD" w14:textId="621A471D" w:rsidR="00895128" w:rsidRDefault="003575BF" w:rsidP="00A31C6D">
            <w:r>
              <w:t>Clinical Research Quality Manual (UoB-CQM-POL-001, v2.0)</w:t>
            </w:r>
          </w:p>
        </w:tc>
      </w:tr>
      <w:tr w:rsidR="00895128" w14:paraId="523414E8" w14:textId="77777777" w:rsidTr="00C90371">
        <w:tc>
          <w:tcPr>
            <w:tcW w:w="1696" w:type="dxa"/>
          </w:tcPr>
          <w:p w14:paraId="4DA4C981" w14:textId="77777777" w:rsidR="00895128" w:rsidRPr="00895128" w:rsidRDefault="00895128" w:rsidP="00A31C6D">
            <w:pPr>
              <w:rPr>
                <w:b/>
                <w:bCs/>
              </w:rPr>
            </w:pPr>
            <w:r w:rsidRPr="00895128">
              <w:rPr>
                <w:b/>
                <w:bCs/>
              </w:rPr>
              <w:t>Last reviewed:</w:t>
            </w:r>
          </w:p>
        </w:tc>
        <w:tc>
          <w:tcPr>
            <w:tcW w:w="7321" w:type="dxa"/>
          </w:tcPr>
          <w:p w14:paraId="45D3320E" w14:textId="2A24C0D3" w:rsidR="00895128" w:rsidRPr="00624D91" w:rsidRDefault="00B553CC" w:rsidP="00A31C6D">
            <w:r>
              <w:t>Feb 2025</w:t>
            </w:r>
          </w:p>
        </w:tc>
      </w:tr>
      <w:tr w:rsidR="00895128" w14:paraId="3A3C6E89" w14:textId="77777777" w:rsidTr="00C90371">
        <w:tc>
          <w:tcPr>
            <w:tcW w:w="1696" w:type="dxa"/>
          </w:tcPr>
          <w:p w14:paraId="3312EF9C" w14:textId="77777777" w:rsidR="00895128" w:rsidRPr="00895128" w:rsidRDefault="00895128" w:rsidP="00A31C6D">
            <w:pPr>
              <w:rPr>
                <w:b/>
                <w:bCs/>
              </w:rPr>
            </w:pPr>
            <w:r w:rsidRPr="00895128">
              <w:rPr>
                <w:b/>
                <w:bCs/>
              </w:rPr>
              <w:t>Next review in:</w:t>
            </w:r>
          </w:p>
        </w:tc>
        <w:tc>
          <w:tcPr>
            <w:tcW w:w="7321" w:type="dxa"/>
          </w:tcPr>
          <w:p w14:paraId="787EF9A7" w14:textId="6F2C3CEE" w:rsidR="00895128" w:rsidRPr="00624D91" w:rsidRDefault="00B553CC" w:rsidP="00A31C6D">
            <w:r>
              <w:t>2028, Quarter 1 (Jan-Mar)</w:t>
            </w:r>
          </w:p>
        </w:tc>
      </w:tr>
    </w:tbl>
    <w:p w14:paraId="3B6942C7" w14:textId="77777777" w:rsidR="00895128" w:rsidRDefault="00895128" w:rsidP="00A31C6D"/>
    <w:p w14:paraId="5033B14C" w14:textId="77777777" w:rsidR="00895128" w:rsidRDefault="00895128" w:rsidP="00A31C6D"/>
    <w:p w14:paraId="6A2584C0" w14:textId="77777777" w:rsidR="00895128" w:rsidRDefault="00895128" w:rsidP="00A31C6D"/>
    <w:p w14:paraId="3C62B947" w14:textId="4F0CFB7B" w:rsidR="00A86630" w:rsidRPr="00A86630" w:rsidRDefault="00A86630" w:rsidP="00895128">
      <w:pPr>
        <w:tabs>
          <w:tab w:val="left" w:pos="3654"/>
        </w:tabs>
        <w:rPr>
          <w:lang w:val="en-US"/>
        </w:rPr>
      </w:pPr>
      <w:r>
        <w:rPr>
          <w:lang w:val="en-US"/>
        </w:rPr>
        <w:t>A</w:t>
      </w:r>
      <w:r w:rsidRPr="00A86630">
        <w:rPr>
          <w:lang w:val="en-US"/>
        </w:rPr>
        <w:t xml:space="preserve">ccess the </w:t>
      </w:r>
      <w:hyperlink r:id="rId11" w:tooltip="Clinical Research e-Pathway" w:history="1">
        <w:r w:rsidR="00FC026F"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326AB87A" w14:textId="77777777" w:rsidR="00A86630" w:rsidRDefault="00A86630" w:rsidP="007773B9">
      <w:pPr>
        <w:tabs>
          <w:tab w:val="left" w:pos="3654"/>
        </w:tabs>
      </w:pPr>
    </w:p>
    <w:p w14:paraId="4333F870" w14:textId="77777777" w:rsidR="00A86630" w:rsidRDefault="00A86630" w:rsidP="007773B9">
      <w:pPr>
        <w:tabs>
          <w:tab w:val="left" w:pos="3654"/>
        </w:tabs>
      </w:pPr>
    </w:p>
    <w:p w14:paraId="3BCEAB8B" w14:textId="77777777" w:rsidR="0097056C" w:rsidRPr="007773B9" w:rsidRDefault="0097056C" w:rsidP="007773B9">
      <w:pPr>
        <w:tabs>
          <w:tab w:val="left" w:pos="3654"/>
        </w:tabs>
        <w:sectPr w:rsidR="0097056C" w:rsidRPr="007773B9" w:rsidSect="007E29DA">
          <w:footerReference w:type="default" r:id="rId12"/>
          <w:headerReference w:type="first" r:id="rId13"/>
          <w:footerReference w:type="first" r:id="rId14"/>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bookmarkStart w:id="0" w:name="_Toc320536979" w:displacedByCustomXml="next"/>
    <w:sdt>
      <w:sdtPr>
        <w:rPr>
          <w:rFonts w:ascii="Calibri" w:eastAsia="Times New Roman" w:hAnsi="Calibri" w:cs="Arial"/>
          <w:color w:val="auto"/>
          <w:sz w:val="20"/>
          <w:szCs w:val="20"/>
          <w:lang w:val="en-GB"/>
        </w:rPr>
        <w:id w:val="1097441873"/>
        <w:docPartObj>
          <w:docPartGallery w:val="Table of Contents"/>
          <w:docPartUnique/>
        </w:docPartObj>
      </w:sdtPr>
      <w:sdtEndPr>
        <w:rPr>
          <w:b/>
          <w:bCs/>
          <w:noProof/>
        </w:rPr>
      </w:sdtEndPr>
      <w:sdtContent>
        <w:p w14:paraId="0297B896" w14:textId="77777777" w:rsidR="000317D8" w:rsidRPr="00646D09" w:rsidRDefault="000317D8" w:rsidP="003F499F">
          <w:pPr>
            <w:pStyle w:val="TOCHeading"/>
            <w:spacing w:before="0"/>
            <w:rPr>
              <w:rStyle w:val="Heading1Char"/>
              <w:rFonts w:asciiTheme="minorHAnsi" w:hAnsiTheme="minorHAnsi"/>
            </w:rPr>
          </w:pPr>
          <w:r w:rsidRPr="00D763BC">
            <w:rPr>
              <w:rStyle w:val="Heading1Char"/>
              <w:rFonts w:asciiTheme="minorHAnsi" w:hAnsiTheme="minorHAnsi"/>
            </w:rPr>
            <w:t>Contents</w:t>
          </w:r>
        </w:p>
        <w:p w14:paraId="029A5BC5" w14:textId="536C1570" w:rsidR="00C05B28" w:rsidRDefault="00F36793">
          <w:pPr>
            <w:pStyle w:val="TOC1"/>
            <w:rPr>
              <w:rFonts w:asciiTheme="minorHAnsi" w:eastAsiaTheme="minorEastAsia" w:hAnsiTheme="minorHAnsi" w:cstheme="minorBidi"/>
              <w:b w:val="0"/>
              <w:bCs w:val="0"/>
              <w:kern w:val="2"/>
              <w:sz w:val="24"/>
              <w:szCs w:val="24"/>
              <w:lang w:eastAsia="en-GB"/>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189483942" w:history="1">
            <w:r w:rsidR="00C05B28" w:rsidRPr="00DF069F">
              <w:rPr>
                <w:rStyle w:val="Hyperlink"/>
              </w:rPr>
              <w:t>Purpose</w:t>
            </w:r>
            <w:r w:rsidR="00C05B28">
              <w:rPr>
                <w:webHidden/>
              </w:rPr>
              <w:tab/>
            </w:r>
            <w:r w:rsidR="00C05B28">
              <w:rPr>
                <w:webHidden/>
              </w:rPr>
              <w:fldChar w:fldCharType="begin"/>
            </w:r>
            <w:r w:rsidR="00C05B28">
              <w:rPr>
                <w:webHidden/>
              </w:rPr>
              <w:instrText xml:space="preserve"> PAGEREF _Toc189483942 \h </w:instrText>
            </w:r>
            <w:r w:rsidR="00C05B28">
              <w:rPr>
                <w:webHidden/>
              </w:rPr>
            </w:r>
            <w:r w:rsidR="00C05B28">
              <w:rPr>
                <w:webHidden/>
              </w:rPr>
              <w:fldChar w:fldCharType="separate"/>
            </w:r>
            <w:r w:rsidR="00C05B28">
              <w:rPr>
                <w:webHidden/>
              </w:rPr>
              <w:t>4</w:t>
            </w:r>
            <w:r w:rsidR="00C05B28">
              <w:rPr>
                <w:webHidden/>
              </w:rPr>
              <w:fldChar w:fldCharType="end"/>
            </w:r>
          </w:hyperlink>
        </w:p>
        <w:p w14:paraId="76BF3A07" w14:textId="509876FA"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43" w:history="1">
            <w:r w:rsidRPr="00DF069F">
              <w:rPr>
                <w:rStyle w:val="Hyperlink"/>
              </w:rPr>
              <w:t>Scope</w:t>
            </w:r>
            <w:r>
              <w:rPr>
                <w:webHidden/>
              </w:rPr>
              <w:tab/>
            </w:r>
            <w:r>
              <w:rPr>
                <w:webHidden/>
              </w:rPr>
              <w:fldChar w:fldCharType="begin"/>
            </w:r>
            <w:r>
              <w:rPr>
                <w:webHidden/>
              </w:rPr>
              <w:instrText xml:space="preserve"> PAGEREF _Toc189483943 \h </w:instrText>
            </w:r>
            <w:r>
              <w:rPr>
                <w:webHidden/>
              </w:rPr>
            </w:r>
            <w:r>
              <w:rPr>
                <w:webHidden/>
              </w:rPr>
              <w:fldChar w:fldCharType="separate"/>
            </w:r>
            <w:r>
              <w:rPr>
                <w:webHidden/>
              </w:rPr>
              <w:t>4</w:t>
            </w:r>
            <w:r>
              <w:rPr>
                <w:webHidden/>
              </w:rPr>
              <w:fldChar w:fldCharType="end"/>
            </w:r>
          </w:hyperlink>
        </w:p>
        <w:p w14:paraId="212217DB" w14:textId="055BA1FC"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44" w:history="1">
            <w:r w:rsidRPr="00DF069F">
              <w:rPr>
                <w:rStyle w:val="Hyperlink"/>
              </w:rPr>
              <w:t>Implementation plan</w:t>
            </w:r>
            <w:r>
              <w:rPr>
                <w:webHidden/>
              </w:rPr>
              <w:tab/>
            </w:r>
            <w:r>
              <w:rPr>
                <w:webHidden/>
              </w:rPr>
              <w:fldChar w:fldCharType="begin"/>
            </w:r>
            <w:r>
              <w:rPr>
                <w:webHidden/>
              </w:rPr>
              <w:instrText xml:space="preserve"> PAGEREF _Toc189483944 \h </w:instrText>
            </w:r>
            <w:r>
              <w:rPr>
                <w:webHidden/>
              </w:rPr>
            </w:r>
            <w:r>
              <w:rPr>
                <w:webHidden/>
              </w:rPr>
              <w:fldChar w:fldCharType="separate"/>
            </w:r>
            <w:r>
              <w:rPr>
                <w:webHidden/>
              </w:rPr>
              <w:t>4</w:t>
            </w:r>
            <w:r>
              <w:rPr>
                <w:webHidden/>
              </w:rPr>
              <w:fldChar w:fldCharType="end"/>
            </w:r>
          </w:hyperlink>
        </w:p>
        <w:p w14:paraId="33F9F9F6" w14:textId="667B69A7"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45" w:history="1">
            <w:r w:rsidRPr="00DF069F">
              <w:rPr>
                <w:rStyle w:val="Hyperlink"/>
              </w:rPr>
              <w:t>Stakeholders</w:t>
            </w:r>
            <w:r>
              <w:rPr>
                <w:webHidden/>
              </w:rPr>
              <w:tab/>
            </w:r>
            <w:r>
              <w:rPr>
                <w:webHidden/>
              </w:rPr>
              <w:fldChar w:fldCharType="begin"/>
            </w:r>
            <w:r>
              <w:rPr>
                <w:webHidden/>
              </w:rPr>
              <w:instrText xml:space="preserve"> PAGEREF _Toc189483945 \h </w:instrText>
            </w:r>
            <w:r>
              <w:rPr>
                <w:webHidden/>
              </w:rPr>
            </w:r>
            <w:r>
              <w:rPr>
                <w:webHidden/>
              </w:rPr>
              <w:fldChar w:fldCharType="separate"/>
            </w:r>
            <w:r>
              <w:rPr>
                <w:webHidden/>
              </w:rPr>
              <w:t>4</w:t>
            </w:r>
            <w:r>
              <w:rPr>
                <w:webHidden/>
              </w:rPr>
              <w:fldChar w:fldCharType="end"/>
            </w:r>
          </w:hyperlink>
        </w:p>
        <w:p w14:paraId="17F71E33" w14:textId="741C8D1A"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46" w:history="1">
            <w:r w:rsidRPr="00DF069F">
              <w:rPr>
                <w:rStyle w:val="Hyperlink"/>
              </w:rPr>
              <w:t>Background</w:t>
            </w:r>
            <w:r>
              <w:rPr>
                <w:webHidden/>
              </w:rPr>
              <w:tab/>
            </w:r>
            <w:r>
              <w:rPr>
                <w:webHidden/>
              </w:rPr>
              <w:fldChar w:fldCharType="begin"/>
            </w:r>
            <w:r>
              <w:rPr>
                <w:webHidden/>
              </w:rPr>
              <w:instrText xml:space="preserve"> PAGEREF _Toc189483946 \h </w:instrText>
            </w:r>
            <w:r>
              <w:rPr>
                <w:webHidden/>
              </w:rPr>
            </w:r>
            <w:r>
              <w:rPr>
                <w:webHidden/>
              </w:rPr>
              <w:fldChar w:fldCharType="separate"/>
            </w:r>
            <w:r>
              <w:rPr>
                <w:webHidden/>
              </w:rPr>
              <w:t>5</w:t>
            </w:r>
            <w:r>
              <w:rPr>
                <w:webHidden/>
              </w:rPr>
              <w:fldChar w:fldCharType="end"/>
            </w:r>
          </w:hyperlink>
        </w:p>
        <w:p w14:paraId="7E4E371B" w14:textId="4FFF1E1D"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47" w:history="1">
            <w:r w:rsidRPr="00DF069F">
              <w:rPr>
                <w:rStyle w:val="Hyperlink"/>
              </w:rPr>
              <w:t>Oversight of clinical research at the university</w:t>
            </w:r>
            <w:r>
              <w:rPr>
                <w:webHidden/>
              </w:rPr>
              <w:tab/>
            </w:r>
            <w:r>
              <w:rPr>
                <w:webHidden/>
              </w:rPr>
              <w:fldChar w:fldCharType="begin"/>
            </w:r>
            <w:r>
              <w:rPr>
                <w:webHidden/>
              </w:rPr>
              <w:instrText xml:space="preserve"> PAGEREF _Toc189483947 \h </w:instrText>
            </w:r>
            <w:r>
              <w:rPr>
                <w:webHidden/>
              </w:rPr>
            </w:r>
            <w:r>
              <w:rPr>
                <w:webHidden/>
              </w:rPr>
              <w:fldChar w:fldCharType="separate"/>
            </w:r>
            <w:r>
              <w:rPr>
                <w:webHidden/>
              </w:rPr>
              <w:t>5</w:t>
            </w:r>
            <w:r>
              <w:rPr>
                <w:webHidden/>
              </w:rPr>
              <w:fldChar w:fldCharType="end"/>
            </w:r>
          </w:hyperlink>
        </w:p>
        <w:p w14:paraId="19A509F0" w14:textId="767C45B2"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48" w:history="1">
            <w:r w:rsidRPr="00DF069F">
              <w:rPr>
                <w:rStyle w:val="Hyperlink"/>
                <w:noProof/>
              </w:rPr>
              <w:t>Clinical Trials Oversight Committee (CTOC)</w:t>
            </w:r>
            <w:r>
              <w:rPr>
                <w:noProof/>
                <w:webHidden/>
              </w:rPr>
              <w:tab/>
            </w:r>
            <w:r>
              <w:rPr>
                <w:noProof/>
                <w:webHidden/>
              </w:rPr>
              <w:fldChar w:fldCharType="begin"/>
            </w:r>
            <w:r>
              <w:rPr>
                <w:noProof/>
                <w:webHidden/>
              </w:rPr>
              <w:instrText xml:space="preserve"> PAGEREF _Toc189483948 \h </w:instrText>
            </w:r>
            <w:r>
              <w:rPr>
                <w:noProof/>
                <w:webHidden/>
              </w:rPr>
            </w:r>
            <w:r>
              <w:rPr>
                <w:noProof/>
                <w:webHidden/>
              </w:rPr>
              <w:fldChar w:fldCharType="separate"/>
            </w:r>
            <w:r>
              <w:rPr>
                <w:noProof/>
                <w:webHidden/>
              </w:rPr>
              <w:t>5</w:t>
            </w:r>
            <w:r>
              <w:rPr>
                <w:noProof/>
                <w:webHidden/>
              </w:rPr>
              <w:fldChar w:fldCharType="end"/>
            </w:r>
          </w:hyperlink>
        </w:p>
        <w:p w14:paraId="6B7AEADE" w14:textId="370A9C51"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49" w:history="1">
            <w:r w:rsidRPr="00DF069F">
              <w:rPr>
                <w:rStyle w:val="Hyperlink"/>
                <w:noProof/>
              </w:rPr>
              <w:t>Human Tissue Oversight Committee (HTOC)</w:t>
            </w:r>
            <w:r>
              <w:rPr>
                <w:noProof/>
                <w:webHidden/>
              </w:rPr>
              <w:tab/>
            </w:r>
            <w:r>
              <w:rPr>
                <w:noProof/>
                <w:webHidden/>
              </w:rPr>
              <w:fldChar w:fldCharType="begin"/>
            </w:r>
            <w:r>
              <w:rPr>
                <w:noProof/>
                <w:webHidden/>
              </w:rPr>
              <w:instrText xml:space="preserve"> PAGEREF _Toc189483949 \h </w:instrText>
            </w:r>
            <w:r>
              <w:rPr>
                <w:noProof/>
                <w:webHidden/>
              </w:rPr>
            </w:r>
            <w:r>
              <w:rPr>
                <w:noProof/>
                <w:webHidden/>
              </w:rPr>
              <w:fldChar w:fldCharType="separate"/>
            </w:r>
            <w:r>
              <w:rPr>
                <w:noProof/>
                <w:webHidden/>
              </w:rPr>
              <w:t>5</w:t>
            </w:r>
            <w:r>
              <w:rPr>
                <w:noProof/>
                <w:webHidden/>
              </w:rPr>
              <w:fldChar w:fldCharType="end"/>
            </w:r>
          </w:hyperlink>
        </w:p>
        <w:p w14:paraId="659126B4" w14:textId="7FC9C0E9"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50" w:history="1">
            <w:r w:rsidRPr="00DF069F">
              <w:rPr>
                <w:rStyle w:val="Hyperlink"/>
                <w:noProof/>
              </w:rPr>
              <w:t>Clinical Research Compliance Team (CRCT)</w:t>
            </w:r>
            <w:r>
              <w:rPr>
                <w:noProof/>
                <w:webHidden/>
              </w:rPr>
              <w:tab/>
            </w:r>
            <w:r>
              <w:rPr>
                <w:noProof/>
                <w:webHidden/>
              </w:rPr>
              <w:fldChar w:fldCharType="begin"/>
            </w:r>
            <w:r>
              <w:rPr>
                <w:noProof/>
                <w:webHidden/>
              </w:rPr>
              <w:instrText xml:space="preserve"> PAGEREF _Toc189483950 \h </w:instrText>
            </w:r>
            <w:r>
              <w:rPr>
                <w:noProof/>
                <w:webHidden/>
              </w:rPr>
            </w:r>
            <w:r>
              <w:rPr>
                <w:noProof/>
                <w:webHidden/>
              </w:rPr>
              <w:fldChar w:fldCharType="separate"/>
            </w:r>
            <w:r>
              <w:rPr>
                <w:noProof/>
                <w:webHidden/>
              </w:rPr>
              <w:t>6</w:t>
            </w:r>
            <w:r>
              <w:rPr>
                <w:noProof/>
                <w:webHidden/>
              </w:rPr>
              <w:fldChar w:fldCharType="end"/>
            </w:r>
          </w:hyperlink>
        </w:p>
        <w:p w14:paraId="0C86C280" w14:textId="416B994D"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51" w:history="1">
            <w:r w:rsidRPr="00DF069F">
              <w:rPr>
                <w:rStyle w:val="Hyperlink"/>
                <w:noProof/>
              </w:rPr>
              <w:t>Research Ethics, Governance &amp; Integrity Team (REGI)</w:t>
            </w:r>
            <w:r>
              <w:rPr>
                <w:noProof/>
                <w:webHidden/>
              </w:rPr>
              <w:tab/>
            </w:r>
            <w:r>
              <w:rPr>
                <w:noProof/>
                <w:webHidden/>
              </w:rPr>
              <w:fldChar w:fldCharType="begin"/>
            </w:r>
            <w:r>
              <w:rPr>
                <w:noProof/>
                <w:webHidden/>
              </w:rPr>
              <w:instrText xml:space="preserve"> PAGEREF _Toc189483951 \h </w:instrText>
            </w:r>
            <w:r>
              <w:rPr>
                <w:noProof/>
                <w:webHidden/>
              </w:rPr>
            </w:r>
            <w:r>
              <w:rPr>
                <w:noProof/>
                <w:webHidden/>
              </w:rPr>
              <w:fldChar w:fldCharType="separate"/>
            </w:r>
            <w:r>
              <w:rPr>
                <w:noProof/>
                <w:webHidden/>
              </w:rPr>
              <w:t>6</w:t>
            </w:r>
            <w:r>
              <w:rPr>
                <w:noProof/>
                <w:webHidden/>
              </w:rPr>
              <w:fldChar w:fldCharType="end"/>
            </w:r>
          </w:hyperlink>
        </w:p>
        <w:p w14:paraId="28E06CB0" w14:textId="7099DB28"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52" w:history="1">
            <w:r w:rsidRPr="00DF069F">
              <w:rPr>
                <w:rStyle w:val="Hyperlink"/>
                <w:noProof/>
              </w:rPr>
              <w:t>Research Strategy &amp; Services Division (RSSD)</w:t>
            </w:r>
            <w:r>
              <w:rPr>
                <w:noProof/>
                <w:webHidden/>
              </w:rPr>
              <w:tab/>
            </w:r>
            <w:r>
              <w:rPr>
                <w:noProof/>
                <w:webHidden/>
              </w:rPr>
              <w:fldChar w:fldCharType="begin"/>
            </w:r>
            <w:r>
              <w:rPr>
                <w:noProof/>
                <w:webHidden/>
              </w:rPr>
              <w:instrText xml:space="preserve"> PAGEREF _Toc189483952 \h </w:instrText>
            </w:r>
            <w:r>
              <w:rPr>
                <w:noProof/>
                <w:webHidden/>
              </w:rPr>
            </w:r>
            <w:r>
              <w:rPr>
                <w:noProof/>
                <w:webHidden/>
              </w:rPr>
              <w:fldChar w:fldCharType="separate"/>
            </w:r>
            <w:r>
              <w:rPr>
                <w:noProof/>
                <w:webHidden/>
              </w:rPr>
              <w:t>7</w:t>
            </w:r>
            <w:r>
              <w:rPr>
                <w:noProof/>
                <w:webHidden/>
              </w:rPr>
              <w:fldChar w:fldCharType="end"/>
            </w:r>
          </w:hyperlink>
        </w:p>
        <w:p w14:paraId="44B65AA7" w14:textId="620643A8"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53" w:history="1">
            <w:r w:rsidRPr="00DF069F">
              <w:rPr>
                <w:rStyle w:val="Hyperlink"/>
              </w:rPr>
              <w:t>Policy on a quality management system (QMS)</w:t>
            </w:r>
            <w:r>
              <w:rPr>
                <w:webHidden/>
              </w:rPr>
              <w:tab/>
            </w:r>
            <w:r>
              <w:rPr>
                <w:webHidden/>
              </w:rPr>
              <w:fldChar w:fldCharType="begin"/>
            </w:r>
            <w:r>
              <w:rPr>
                <w:webHidden/>
              </w:rPr>
              <w:instrText xml:space="preserve"> PAGEREF _Toc189483953 \h </w:instrText>
            </w:r>
            <w:r>
              <w:rPr>
                <w:webHidden/>
              </w:rPr>
            </w:r>
            <w:r>
              <w:rPr>
                <w:webHidden/>
              </w:rPr>
              <w:fldChar w:fldCharType="separate"/>
            </w:r>
            <w:r>
              <w:rPr>
                <w:webHidden/>
              </w:rPr>
              <w:t>7</w:t>
            </w:r>
            <w:r>
              <w:rPr>
                <w:webHidden/>
              </w:rPr>
              <w:fldChar w:fldCharType="end"/>
            </w:r>
          </w:hyperlink>
        </w:p>
        <w:p w14:paraId="22C093C8" w14:textId="52032518"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54" w:history="1">
            <w:r w:rsidRPr="00DF069F">
              <w:rPr>
                <w:rStyle w:val="Hyperlink"/>
                <w:noProof/>
              </w:rPr>
              <w:t>Level 1: National and international standards &amp; regulations</w:t>
            </w:r>
            <w:r>
              <w:rPr>
                <w:noProof/>
                <w:webHidden/>
              </w:rPr>
              <w:tab/>
            </w:r>
            <w:r>
              <w:rPr>
                <w:noProof/>
                <w:webHidden/>
              </w:rPr>
              <w:fldChar w:fldCharType="begin"/>
            </w:r>
            <w:r>
              <w:rPr>
                <w:noProof/>
                <w:webHidden/>
              </w:rPr>
              <w:instrText xml:space="preserve"> PAGEREF _Toc189483954 \h </w:instrText>
            </w:r>
            <w:r>
              <w:rPr>
                <w:noProof/>
                <w:webHidden/>
              </w:rPr>
            </w:r>
            <w:r>
              <w:rPr>
                <w:noProof/>
                <w:webHidden/>
              </w:rPr>
              <w:fldChar w:fldCharType="separate"/>
            </w:r>
            <w:r>
              <w:rPr>
                <w:noProof/>
                <w:webHidden/>
              </w:rPr>
              <w:t>8</w:t>
            </w:r>
            <w:r>
              <w:rPr>
                <w:noProof/>
                <w:webHidden/>
              </w:rPr>
              <w:fldChar w:fldCharType="end"/>
            </w:r>
          </w:hyperlink>
        </w:p>
        <w:p w14:paraId="50F234B3" w14:textId="258E2BBB"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55" w:history="1">
            <w:r w:rsidRPr="00DF069F">
              <w:rPr>
                <w:rStyle w:val="Hyperlink"/>
                <w:noProof/>
              </w:rPr>
              <w:t>Level 2: University legislation</w:t>
            </w:r>
            <w:r>
              <w:rPr>
                <w:noProof/>
                <w:webHidden/>
              </w:rPr>
              <w:tab/>
            </w:r>
            <w:r>
              <w:rPr>
                <w:noProof/>
                <w:webHidden/>
              </w:rPr>
              <w:fldChar w:fldCharType="begin"/>
            </w:r>
            <w:r>
              <w:rPr>
                <w:noProof/>
                <w:webHidden/>
              </w:rPr>
              <w:instrText xml:space="preserve"> PAGEREF _Toc189483955 \h </w:instrText>
            </w:r>
            <w:r>
              <w:rPr>
                <w:noProof/>
                <w:webHidden/>
              </w:rPr>
            </w:r>
            <w:r>
              <w:rPr>
                <w:noProof/>
                <w:webHidden/>
              </w:rPr>
              <w:fldChar w:fldCharType="separate"/>
            </w:r>
            <w:r>
              <w:rPr>
                <w:noProof/>
                <w:webHidden/>
              </w:rPr>
              <w:t>8</w:t>
            </w:r>
            <w:r>
              <w:rPr>
                <w:noProof/>
                <w:webHidden/>
              </w:rPr>
              <w:fldChar w:fldCharType="end"/>
            </w:r>
          </w:hyperlink>
        </w:p>
        <w:p w14:paraId="76DC9715" w14:textId="22790A2D"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56" w:history="1">
            <w:r w:rsidRPr="00DF069F">
              <w:rPr>
                <w:rStyle w:val="Hyperlink"/>
                <w:noProof/>
              </w:rPr>
              <w:t>Level 3: University policies &amp; standard operating procedures (SOPs)</w:t>
            </w:r>
            <w:r>
              <w:rPr>
                <w:noProof/>
                <w:webHidden/>
              </w:rPr>
              <w:tab/>
            </w:r>
            <w:r>
              <w:rPr>
                <w:noProof/>
                <w:webHidden/>
              </w:rPr>
              <w:fldChar w:fldCharType="begin"/>
            </w:r>
            <w:r>
              <w:rPr>
                <w:noProof/>
                <w:webHidden/>
              </w:rPr>
              <w:instrText xml:space="preserve"> PAGEREF _Toc189483956 \h </w:instrText>
            </w:r>
            <w:r>
              <w:rPr>
                <w:noProof/>
                <w:webHidden/>
              </w:rPr>
            </w:r>
            <w:r>
              <w:rPr>
                <w:noProof/>
                <w:webHidden/>
              </w:rPr>
              <w:fldChar w:fldCharType="separate"/>
            </w:r>
            <w:r>
              <w:rPr>
                <w:noProof/>
                <w:webHidden/>
              </w:rPr>
              <w:t>8</w:t>
            </w:r>
            <w:r>
              <w:rPr>
                <w:noProof/>
                <w:webHidden/>
              </w:rPr>
              <w:fldChar w:fldCharType="end"/>
            </w:r>
          </w:hyperlink>
        </w:p>
        <w:p w14:paraId="079CFB97" w14:textId="75FB34BA"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57" w:history="1">
            <w:r w:rsidRPr="00DF069F">
              <w:rPr>
                <w:rStyle w:val="Hyperlink"/>
                <w:noProof/>
              </w:rPr>
              <w:t>Level 4: University quality control documents (QCDs) &amp; work instructions</w:t>
            </w:r>
            <w:r>
              <w:rPr>
                <w:noProof/>
                <w:webHidden/>
              </w:rPr>
              <w:tab/>
            </w:r>
            <w:r>
              <w:rPr>
                <w:noProof/>
                <w:webHidden/>
              </w:rPr>
              <w:fldChar w:fldCharType="begin"/>
            </w:r>
            <w:r>
              <w:rPr>
                <w:noProof/>
                <w:webHidden/>
              </w:rPr>
              <w:instrText xml:space="preserve"> PAGEREF _Toc189483957 \h </w:instrText>
            </w:r>
            <w:r>
              <w:rPr>
                <w:noProof/>
                <w:webHidden/>
              </w:rPr>
            </w:r>
            <w:r>
              <w:rPr>
                <w:noProof/>
                <w:webHidden/>
              </w:rPr>
              <w:fldChar w:fldCharType="separate"/>
            </w:r>
            <w:r>
              <w:rPr>
                <w:noProof/>
                <w:webHidden/>
              </w:rPr>
              <w:t>9</w:t>
            </w:r>
            <w:r>
              <w:rPr>
                <w:noProof/>
                <w:webHidden/>
              </w:rPr>
              <w:fldChar w:fldCharType="end"/>
            </w:r>
          </w:hyperlink>
        </w:p>
        <w:p w14:paraId="2C6C862E" w14:textId="0DB1A504"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58" w:history="1">
            <w:r w:rsidRPr="00DF069F">
              <w:rPr>
                <w:rStyle w:val="Hyperlink"/>
                <w:noProof/>
              </w:rPr>
              <w:t>Set up of a QMS in the university</w:t>
            </w:r>
            <w:r>
              <w:rPr>
                <w:noProof/>
                <w:webHidden/>
              </w:rPr>
              <w:tab/>
            </w:r>
            <w:r>
              <w:rPr>
                <w:noProof/>
                <w:webHidden/>
              </w:rPr>
              <w:fldChar w:fldCharType="begin"/>
            </w:r>
            <w:r>
              <w:rPr>
                <w:noProof/>
                <w:webHidden/>
              </w:rPr>
              <w:instrText xml:space="preserve"> PAGEREF _Toc189483958 \h </w:instrText>
            </w:r>
            <w:r>
              <w:rPr>
                <w:noProof/>
                <w:webHidden/>
              </w:rPr>
            </w:r>
            <w:r>
              <w:rPr>
                <w:noProof/>
                <w:webHidden/>
              </w:rPr>
              <w:fldChar w:fldCharType="separate"/>
            </w:r>
            <w:r>
              <w:rPr>
                <w:noProof/>
                <w:webHidden/>
              </w:rPr>
              <w:t>9</w:t>
            </w:r>
            <w:r>
              <w:rPr>
                <w:noProof/>
                <w:webHidden/>
              </w:rPr>
              <w:fldChar w:fldCharType="end"/>
            </w:r>
          </w:hyperlink>
        </w:p>
        <w:p w14:paraId="5A6460A3" w14:textId="60EE0CB6"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59" w:history="1">
            <w:r w:rsidRPr="00DF069F">
              <w:rPr>
                <w:rStyle w:val="Hyperlink"/>
              </w:rPr>
              <w:t>Policy on training</w:t>
            </w:r>
            <w:r>
              <w:rPr>
                <w:webHidden/>
              </w:rPr>
              <w:tab/>
            </w:r>
            <w:r>
              <w:rPr>
                <w:webHidden/>
              </w:rPr>
              <w:fldChar w:fldCharType="begin"/>
            </w:r>
            <w:r>
              <w:rPr>
                <w:webHidden/>
              </w:rPr>
              <w:instrText xml:space="preserve"> PAGEREF _Toc189483959 \h </w:instrText>
            </w:r>
            <w:r>
              <w:rPr>
                <w:webHidden/>
              </w:rPr>
            </w:r>
            <w:r>
              <w:rPr>
                <w:webHidden/>
              </w:rPr>
              <w:fldChar w:fldCharType="separate"/>
            </w:r>
            <w:r>
              <w:rPr>
                <w:webHidden/>
              </w:rPr>
              <w:t>10</w:t>
            </w:r>
            <w:r>
              <w:rPr>
                <w:webHidden/>
              </w:rPr>
              <w:fldChar w:fldCharType="end"/>
            </w:r>
          </w:hyperlink>
        </w:p>
        <w:p w14:paraId="57DC2375" w14:textId="4D773ED0"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60" w:history="1">
            <w:r w:rsidRPr="00DF069F">
              <w:rPr>
                <w:rStyle w:val="Hyperlink"/>
                <w:noProof/>
              </w:rPr>
              <w:t>GCP training</w:t>
            </w:r>
            <w:r>
              <w:rPr>
                <w:noProof/>
                <w:webHidden/>
              </w:rPr>
              <w:tab/>
            </w:r>
            <w:r>
              <w:rPr>
                <w:noProof/>
                <w:webHidden/>
              </w:rPr>
              <w:fldChar w:fldCharType="begin"/>
            </w:r>
            <w:r>
              <w:rPr>
                <w:noProof/>
                <w:webHidden/>
              </w:rPr>
              <w:instrText xml:space="preserve"> PAGEREF _Toc189483960 \h </w:instrText>
            </w:r>
            <w:r>
              <w:rPr>
                <w:noProof/>
                <w:webHidden/>
              </w:rPr>
            </w:r>
            <w:r>
              <w:rPr>
                <w:noProof/>
                <w:webHidden/>
              </w:rPr>
              <w:fldChar w:fldCharType="separate"/>
            </w:r>
            <w:r>
              <w:rPr>
                <w:noProof/>
                <w:webHidden/>
              </w:rPr>
              <w:t>10</w:t>
            </w:r>
            <w:r>
              <w:rPr>
                <w:noProof/>
                <w:webHidden/>
              </w:rPr>
              <w:fldChar w:fldCharType="end"/>
            </w:r>
          </w:hyperlink>
        </w:p>
        <w:p w14:paraId="33491BF7" w14:textId="3E7C0A98"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61" w:history="1">
            <w:r w:rsidRPr="00DF069F">
              <w:rPr>
                <w:rStyle w:val="Hyperlink"/>
                <w:noProof/>
              </w:rPr>
              <w:t>GCP in the laboratory training &amp; working with human tissue</w:t>
            </w:r>
            <w:r>
              <w:rPr>
                <w:noProof/>
                <w:webHidden/>
              </w:rPr>
              <w:tab/>
            </w:r>
            <w:r>
              <w:rPr>
                <w:noProof/>
                <w:webHidden/>
              </w:rPr>
              <w:fldChar w:fldCharType="begin"/>
            </w:r>
            <w:r>
              <w:rPr>
                <w:noProof/>
                <w:webHidden/>
              </w:rPr>
              <w:instrText xml:space="preserve"> PAGEREF _Toc189483961 \h </w:instrText>
            </w:r>
            <w:r>
              <w:rPr>
                <w:noProof/>
                <w:webHidden/>
              </w:rPr>
            </w:r>
            <w:r>
              <w:rPr>
                <w:noProof/>
                <w:webHidden/>
              </w:rPr>
              <w:fldChar w:fldCharType="separate"/>
            </w:r>
            <w:r>
              <w:rPr>
                <w:noProof/>
                <w:webHidden/>
              </w:rPr>
              <w:t>11</w:t>
            </w:r>
            <w:r>
              <w:rPr>
                <w:noProof/>
                <w:webHidden/>
              </w:rPr>
              <w:fldChar w:fldCharType="end"/>
            </w:r>
          </w:hyperlink>
        </w:p>
        <w:p w14:paraId="16C2B21E" w14:textId="43DF0B44"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62" w:history="1">
            <w:r w:rsidRPr="00DF069F">
              <w:rPr>
                <w:rStyle w:val="Hyperlink"/>
                <w:noProof/>
              </w:rPr>
              <w:t>Training opportunities</w:t>
            </w:r>
            <w:r>
              <w:rPr>
                <w:noProof/>
                <w:webHidden/>
              </w:rPr>
              <w:tab/>
            </w:r>
            <w:r>
              <w:rPr>
                <w:noProof/>
                <w:webHidden/>
              </w:rPr>
              <w:fldChar w:fldCharType="begin"/>
            </w:r>
            <w:r>
              <w:rPr>
                <w:noProof/>
                <w:webHidden/>
              </w:rPr>
              <w:instrText xml:space="preserve"> PAGEREF _Toc189483962 \h </w:instrText>
            </w:r>
            <w:r>
              <w:rPr>
                <w:noProof/>
                <w:webHidden/>
              </w:rPr>
            </w:r>
            <w:r>
              <w:rPr>
                <w:noProof/>
                <w:webHidden/>
              </w:rPr>
              <w:fldChar w:fldCharType="separate"/>
            </w:r>
            <w:r>
              <w:rPr>
                <w:noProof/>
                <w:webHidden/>
              </w:rPr>
              <w:t>11</w:t>
            </w:r>
            <w:r>
              <w:rPr>
                <w:noProof/>
                <w:webHidden/>
              </w:rPr>
              <w:fldChar w:fldCharType="end"/>
            </w:r>
          </w:hyperlink>
        </w:p>
        <w:p w14:paraId="4637E524" w14:textId="7A919C03"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63" w:history="1">
            <w:r w:rsidRPr="00DF069F">
              <w:rPr>
                <w:rStyle w:val="Hyperlink"/>
              </w:rPr>
              <w:t>Policy on compliance reviews</w:t>
            </w:r>
            <w:r>
              <w:rPr>
                <w:webHidden/>
              </w:rPr>
              <w:tab/>
            </w:r>
            <w:r>
              <w:rPr>
                <w:webHidden/>
              </w:rPr>
              <w:fldChar w:fldCharType="begin"/>
            </w:r>
            <w:r>
              <w:rPr>
                <w:webHidden/>
              </w:rPr>
              <w:instrText xml:space="preserve"> PAGEREF _Toc189483963 \h </w:instrText>
            </w:r>
            <w:r>
              <w:rPr>
                <w:webHidden/>
              </w:rPr>
            </w:r>
            <w:r>
              <w:rPr>
                <w:webHidden/>
              </w:rPr>
              <w:fldChar w:fldCharType="separate"/>
            </w:r>
            <w:r>
              <w:rPr>
                <w:webHidden/>
              </w:rPr>
              <w:t>11</w:t>
            </w:r>
            <w:r>
              <w:rPr>
                <w:webHidden/>
              </w:rPr>
              <w:fldChar w:fldCharType="end"/>
            </w:r>
          </w:hyperlink>
        </w:p>
        <w:p w14:paraId="695E716A" w14:textId="16C252B7"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64" w:history="1">
            <w:r w:rsidRPr="00DF069F">
              <w:rPr>
                <w:rStyle w:val="Hyperlink"/>
                <w:noProof/>
              </w:rPr>
              <w:t>Internal Audit</w:t>
            </w:r>
            <w:r>
              <w:rPr>
                <w:noProof/>
                <w:webHidden/>
              </w:rPr>
              <w:tab/>
            </w:r>
            <w:r>
              <w:rPr>
                <w:noProof/>
                <w:webHidden/>
              </w:rPr>
              <w:fldChar w:fldCharType="begin"/>
            </w:r>
            <w:r>
              <w:rPr>
                <w:noProof/>
                <w:webHidden/>
              </w:rPr>
              <w:instrText xml:space="preserve"> PAGEREF _Toc189483964 \h </w:instrText>
            </w:r>
            <w:r>
              <w:rPr>
                <w:noProof/>
                <w:webHidden/>
              </w:rPr>
            </w:r>
            <w:r>
              <w:rPr>
                <w:noProof/>
                <w:webHidden/>
              </w:rPr>
              <w:fldChar w:fldCharType="separate"/>
            </w:r>
            <w:r>
              <w:rPr>
                <w:noProof/>
                <w:webHidden/>
              </w:rPr>
              <w:t>11</w:t>
            </w:r>
            <w:r>
              <w:rPr>
                <w:noProof/>
                <w:webHidden/>
              </w:rPr>
              <w:fldChar w:fldCharType="end"/>
            </w:r>
          </w:hyperlink>
        </w:p>
        <w:p w14:paraId="6731D974" w14:textId="61A3F2F6"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65" w:history="1">
            <w:r w:rsidRPr="00DF069F">
              <w:rPr>
                <w:rStyle w:val="Hyperlink"/>
                <w:noProof/>
              </w:rPr>
              <w:t>Clinical Research Compliance Team (CRCT)</w:t>
            </w:r>
            <w:r>
              <w:rPr>
                <w:noProof/>
                <w:webHidden/>
              </w:rPr>
              <w:tab/>
            </w:r>
            <w:r>
              <w:rPr>
                <w:noProof/>
                <w:webHidden/>
              </w:rPr>
              <w:fldChar w:fldCharType="begin"/>
            </w:r>
            <w:r>
              <w:rPr>
                <w:noProof/>
                <w:webHidden/>
              </w:rPr>
              <w:instrText xml:space="preserve"> PAGEREF _Toc189483965 \h </w:instrText>
            </w:r>
            <w:r>
              <w:rPr>
                <w:noProof/>
                <w:webHidden/>
              </w:rPr>
            </w:r>
            <w:r>
              <w:rPr>
                <w:noProof/>
                <w:webHidden/>
              </w:rPr>
              <w:fldChar w:fldCharType="separate"/>
            </w:r>
            <w:r>
              <w:rPr>
                <w:noProof/>
                <w:webHidden/>
              </w:rPr>
              <w:t>11</w:t>
            </w:r>
            <w:r>
              <w:rPr>
                <w:noProof/>
                <w:webHidden/>
              </w:rPr>
              <w:fldChar w:fldCharType="end"/>
            </w:r>
          </w:hyperlink>
        </w:p>
        <w:p w14:paraId="7E703132" w14:textId="530DE7F1"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66" w:history="1">
            <w:r w:rsidRPr="00DF069F">
              <w:rPr>
                <w:rStyle w:val="Hyperlink"/>
              </w:rPr>
              <w:t>Policy on key staff roles</w:t>
            </w:r>
            <w:r>
              <w:rPr>
                <w:webHidden/>
              </w:rPr>
              <w:tab/>
            </w:r>
            <w:r>
              <w:rPr>
                <w:webHidden/>
              </w:rPr>
              <w:fldChar w:fldCharType="begin"/>
            </w:r>
            <w:r>
              <w:rPr>
                <w:webHidden/>
              </w:rPr>
              <w:instrText xml:space="preserve"> PAGEREF _Toc189483966 \h </w:instrText>
            </w:r>
            <w:r>
              <w:rPr>
                <w:webHidden/>
              </w:rPr>
            </w:r>
            <w:r>
              <w:rPr>
                <w:webHidden/>
              </w:rPr>
              <w:fldChar w:fldCharType="separate"/>
            </w:r>
            <w:r>
              <w:rPr>
                <w:webHidden/>
              </w:rPr>
              <w:t>12</w:t>
            </w:r>
            <w:r>
              <w:rPr>
                <w:webHidden/>
              </w:rPr>
              <w:fldChar w:fldCharType="end"/>
            </w:r>
          </w:hyperlink>
        </w:p>
        <w:p w14:paraId="311C473F" w14:textId="10F22989"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67" w:history="1">
            <w:r w:rsidRPr="00DF069F">
              <w:rPr>
                <w:rStyle w:val="Hyperlink"/>
                <w:noProof/>
              </w:rPr>
              <w:t>Chief investigator (CI) (also known as UoB principal investigator)</w:t>
            </w:r>
            <w:r>
              <w:rPr>
                <w:noProof/>
                <w:webHidden/>
              </w:rPr>
              <w:tab/>
            </w:r>
            <w:r>
              <w:rPr>
                <w:noProof/>
                <w:webHidden/>
              </w:rPr>
              <w:fldChar w:fldCharType="begin"/>
            </w:r>
            <w:r>
              <w:rPr>
                <w:noProof/>
                <w:webHidden/>
              </w:rPr>
              <w:instrText xml:space="preserve"> PAGEREF _Toc189483967 \h </w:instrText>
            </w:r>
            <w:r>
              <w:rPr>
                <w:noProof/>
                <w:webHidden/>
              </w:rPr>
            </w:r>
            <w:r>
              <w:rPr>
                <w:noProof/>
                <w:webHidden/>
              </w:rPr>
              <w:fldChar w:fldCharType="separate"/>
            </w:r>
            <w:r>
              <w:rPr>
                <w:noProof/>
                <w:webHidden/>
              </w:rPr>
              <w:t>12</w:t>
            </w:r>
            <w:r>
              <w:rPr>
                <w:noProof/>
                <w:webHidden/>
              </w:rPr>
              <w:fldChar w:fldCharType="end"/>
            </w:r>
          </w:hyperlink>
        </w:p>
        <w:p w14:paraId="24E60DEF" w14:textId="432C6CFE"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68" w:history="1">
            <w:r w:rsidRPr="00DF069F">
              <w:rPr>
                <w:rStyle w:val="Hyperlink"/>
                <w:noProof/>
              </w:rPr>
              <w:t>UoB lead</w:t>
            </w:r>
            <w:r>
              <w:rPr>
                <w:noProof/>
                <w:webHidden/>
              </w:rPr>
              <w:tab/>
            </w:r>
            <w:r>
              <w:rPr>
                <w:noProof/>
                <w:webHidden/>
              </w:rPr>
              <w:fldChar w:fldCharType="begin"/>
            </w:r>
            <w:r>
              <w:rPr>
                <w:noProof/>
                <w:webHidden/>
              </w:rPr>
              <w:instrText xml:space="preserve"> PAGEREF _Toc189483968 \h </w:instrText>
            </w:r>
            <w:r>
              <w:rPr>
                <w:noProof/>
                <w:webHidden/>
              </w:rPr>
            </w:r>
            <w:r>
              <w:rPr>
                <w:noProof/>
                <w:webHidden/>
              </w:rPr>
              <w:fldChar w:fldCharType="separate"/>
            </w:r>
            <w:r>
              <w:rPr>
                <w:noProof/>
                <w:webHidden/>
              </w:rPr>
              <w:t>12</w:t>
            </w:r>
            <w:r>
              <w:rPr>
                <w:noProof/>
                <w:webHidden/>
              </w:rPr>
              <w:fldChar w:fldCharType="end"/>
            </w:r>
          </w:hyperlink>
        </w:p>
        <w:p w14:paraId="28B15FB2" w14:textId="1073C7E2"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69" w:history="1">
            <w:r w:rsidRPr="00DF069F">
              <w:rPr>
                <w:rStyle w:val="Hyperlink"/>
                <w:noProof/>
              </w:rPr>
              <w:t>Laboratory academic lead (LAL)</w:t>
            </w:r>
            <w:r>
              <w:rPr>
                <w:noProof/>
                <w:webHidden/>
              </w:rPr>
              <w:tab/>
            </w:r>
            <w:r>
              <w:rPr>
                <w:noProof/>
                <w:webHidden/>
              </w:rPr>
              <w:fldChar w:fldCharType="begin"/>
            </w:r>
            <w:r>
              <w:rPr>
                <w:noProof/>
                <w:webHidden/>
              </w:rPr>
              <w:instrText xml:space="preserve"> PAGEREF _Toc189483969 \h </w:instrText>
            </w:r>
            <w:r>
              <w:rPr>
                <w:noProof/>
                <w:webHidden/>
              </w:rPr>
            </w:r>
            <w:r>
              <w:rPr>
                <w:noProof/>
                <w:webHidden/>
              </w:rPr>
              <w:fldChar w:fldCharType="separate"/>
            </w:r>
            <w:r>
              <w:rPr>
                <w:noProof/>
                <w:webHidden/>
              </w:rPr>
              <w:t>13</w:t>
            </w:r>
            <w:r>
              <w:rPr>
                <w:noProof/>
                <w:webHidden/>
              </w:rPr>
              <w:fldChar w:fldCharType="end"/>
            </w:r>
          </w:hyperlink>
        </w:p>
        <w:p w14:paraId="37B0E949" w14:textId="2A045E33"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70" w:history="1">
            <w:r w:rsidRPr="00DF069F">
              <w:rPr>
                <w:rStyle w:val="Hyperlink"/>
                <w:noProof/>
              </w:rPr>
              <w:t>Grant holder</w:t>
            </w:r>
            <w:r>
              <w:rPr>
                <w:noProof/>
                <w:webHidden/>
              </w:rPr>
              <w:tab/>
            </w:r>
            <w:r>
              <w:rPr>
                <w:noProof/>
                <w:webHidden/>
              </w:rPr>
              <w:fldChar w:fldCharType="begin"/>
            </w:r>
            <w:r>
              <w:rPr>
                <w:noProof/>
                <w:webHidden/>
              </w:rPr>
              <w:instrText xml:space="preserve"> PAGEREF _Toc189483970 \h </w:instrText>
            </w:r>
            <w:r>
              <w:rPr>
                <w:noProof/>
                <w:webHidden/>
              </w:rPr>
            </w:r>
            <w:r>
              <w:rPr>
                <w:noProof/>
                <w:webHidden/>
              </w:rPr>
              <w:fldChar w:fldCharType="separate"/>
            </w:r>
            <w:r>
              <w:rPr>
                <w:noProof/>
                <w:webHidden/>
              </w:rPr>
              <w:t>13</w:t>
            </w:r>
            <w:r>
              <w:rPr>
                <w:noProof/>
                <w:webHidden/>
              </w:rPr>
              <w:fldChar w:fldCharType="end"/>
            </w:r>
          </w:hyperlink>
        </w:p>
        <w:p w14:paraId="18F26326" w14:textId="61087D3F"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71" w:history="1">
            <w:r w:rsidRPr="00DF069F">
              <w:rPr>
                <w:rStyle w:val="Hyperlink"/>
              </w:rPr>
              <w:t>Policy on the University’s approval of clinical research</w:t>
            </w:r>
            <w:r>
              <w:rPr>
                <w:webHidden/>
              </w:rPr>
              <w:tab/>
            </w:r>
            <w:r>
              <w:rPr>
                <w:webHidden/>
              </w:rPr>
              <w:fldChar w:fldCharType="begin"/>
            </w:r>
            <w:r>
              <w:rPr>
                <w:webHidden/>
              </w:rPr>
              <w:instrText xml:space="preserve"> PAGEREF _Toc189483971 \h </w:instrText>
            </w:r>
            <w:r>
              <w:rPr>
                <w:webHidden/>
              </w:rPr>
            </w:r>
            <w:r>
              <w:rPr>
                <w:webHidden/>
              </w:rPr>
              <w:fldChar w:fldCharType="separate"/>
            </w:r>
            <w:r>
              <w:rPr>
                <w:webHidden/>
              </w:rPr>
              <w:t>13</w:t>
            </w:r>
            <w:r>
              <w:rPr>
                <w:webHidden/>
              </w:rPr>
              <w:fldChar w:fldCharType="end"/>
            </w:r>
          </w:hyperlink>
        </w:p>
        <w:p w14:paraId="25D2632D" w14:textId="01C1A5C4"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72" w:history="1">
            <w:r w:rsidRPr="00DF069F">
              <w:rPr>
                <w:rStyle w:val="Hyperlink"/>
                <w:noProof/>
              </w:rPr>
              <w:t>UoB as the sponsor</w:t>
            </w:r>
            <w:r>
              <w:rPr>
                <w:noProof/>
                <w:webHidden/>
              </w:rPr>
              <w:tab/>
            </w:r>
            <w:r>
              <w:rPr>
                <w:noProof/>
                <w:webHidden/>
              </w:rPr>
              <w:fldChar w:fldCharType="begin"/>
            </w:r>
            <w:r>
              <w:rPr>
                <w:noProof/>
                <w:webHidden/>
              </w:rPr>
              <w:instrText xml:space="preserve"> PAGEREF _Toc189483972 \h </w:instrText>
            </w:r>
            <w:r>
              <w:rPr>
                <w:noProof/>
                <w:webHidden/>
              </w:rPr>
            </w:r>
            <w:r>
              <w:rPr>
                <w:noProof/>
                <w:webHidden/>
              </w:rPr>
              <w:fldChar w:fldCharType="separate"/>
            </w:r>
            <w:r>
              <w:rPr>
                <w:noProof/>
                <w:webHidden/>
              </w:rPr>
              <w:t>13</w:t>
            </w:r>
            <w:r>
              <w:rPr>
                <w:noProof/>
                <w:webHidden/>
              </w:rPr>
              <w:fldChar w:fldCharType="end"/>
            </w:r>
          </w:hyperlink>
        </w:p>
        <w:p w14:paraId="13337BEF" w14:textId="0545D3A4"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73" w:history="1">
            <w:r w:rsidRPr="00DF069F">
              <w:rPr>
                <w:rStyle w:val="Hyperlink"/>
                <w:noProof/>
              </w:rPr>
              <w:t>UoB as a co-sponsor</w:t>
            </w:r>
            <w:r>
              <w:rPr>
                <w:noProof/>
                <w:webHidden/>
              </w:rPr>
              <w:tab/>
            </w:r>
            <w:r>
              <w:rPr>
                <w:noProof/>
                <w:webHidden/>
              </w:rPr>
              <w:fldChar w:fldCharType="begin"/>
            </w:r>
            <w:r>
              <w:rPr>
                <w:noProof/>
                <w:webHidden/>
              </w:rPr>
              <w:instrText xml:space="preserve"> PAGEREF _Toc189483973 \h </w:instrText>
            </w:r>
            <w:r>
              <w:rPr>
                <w:noProof/>
                <w:webHidden/>
              </w:rPr>
            </w:r>
            <w:r>
              <w:rPr>
                <w:noProof/>
                <w:webHidden/>
              </w:rPr>
              <w:fldChar w:fldCharType="separate"/>
            </w:r>
            <w:r>
              <w:rPr>
                <w:noProof/>
                <w:webHidden/>
              </w:rPr>
              <w:t>14</w:t>
            </w:r>
            <w:r>
              <w:rPr>
                <w:noProof/>
                <w:webHidden/>
              </w:rPr>
              <w:fldChar w:fldCharType="end"/>
            </w:r>
          </w:hyperlink>
        </w:p>
        <w:p w14:paraId="39263759" w14:textId="5D978033"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74" w:history="1">
            <w:r w:rsidRPr="00DF069F">
              <w:rPr>
                <w:rStyle w:val="Hyperlink"/>
                <w:noProof/>
              </w:rPr>
              <w:t>UoB as coordinating centre</w:t>
            </w:r>
            <w:r>
              <w:rPr>
                <w:noProof/>
                <w:webHidden/>
              </w:rPr>
              <w:tab/>
            </w:r>
            <w:r>
              <w:rPr>
                <w:noProof/>
                <w:webHidden/>
              </w:rPr>
              <w:fldChar w:fldCharType="begin"/>
            </w:r>
            <w:r>
              <w:rPr>
                <w:noProof/>
                <w:webHidden/>
              </w:rPr>
              <w:instrText xml:space="preserve"> PAGEREF _Toc189483974 \h </w:instrText>
            </w:r>
            <w:r>
              <w:rPr>
                <w:noProof/>
                <w:webHidden/>
              </w:rPr>
            </w:r>
            <w:r>
              <w:rPr>
                <w:noProof/>
                <w:webHidden/>
              </w:rPr>
              <w:fldChar w:fldCharType="separate"/>
            </w:r>
            <w:r>
              <w:rPr>
                <w:noProof/>
                <w:webHidden/>
              </w:rPr>
              <w:t>14</w:t>
            </w:r>
            <w:r>
              <w:rPr>
                <w:noProof/>
                <w:webHidden/>
              </w:rPr>
              <w:fldChar w:fldCharType="end"/>
            </w:r>
          </w:hyperlink>
        </w:p>
        <w:p w14:paraId="0A261BAA" w14:textId="70C14B45"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75" w:history="1">
            <w:r w:rsidRPr="00DF069F">
              <w:rPr>
                <w:rStyle w:val="Hyperlink"/>
                <w:noProof/>
              </w:rPr>
              <w:t>UoB as a site</w:t>
            </w:r>
            <w:r>
              <w:rPr>
                <w:noProof/>
                <w:webHidden/>
              </w:rPr>
              <w:tab/>
            </w:r>
            <w:r>
              <w:rPr>
                <w:noProof/>
                <w:webHidden/>
              </w:rPr>
              <w:fldChar w:fldCharType="begin"/>
            </w:r>
            <w:r>
              <w:rPr>
                <w:noProof/>
                <w:webHidden/>
              </w:rPr>
              <w:instrText xml:space="preserve"> PAGEREF _Toc189483975 \h </w:instrText>
            </w:r>
            <w:r>
              <w:rPr>
                <w:noProof/>
                <w:webHidden/>
              </w:rPr>
            </w:r>
            <w:r>
              <w:rPr>
                <w:noProof/>
                <w:webHidden/>
              </w:rPr>
              <w:fldChar w:fldCharType="separate"/>
            </w:r>
            <w:r>
              <w:rPr>
                <w:noProof/>
                <w:webHidden/>
              </w:rPr>
              <w:t>14</w:t>
            </w:r>
            <w:r>
              <w:rPr>
                <w:noProof/>
                <w:webHidden/>
              </w:rPr>
              <w:fldChar w:fldCharType="end"/>
            </w:r>
          </w:hyperlink>
        </w:p>
        <w:p w14:paraId="7300036D" w14:textId="19103FB4"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76" w:history="1">
            <w:r w:rsidRPr="00DF069F">
              <w:rPr>
                <w:rStyle w:val="Hyperlink"/>
              </w:rPr>
              <w:t>Policy on the import &amp; export of human tissue</w:t>
            </w:r>
            <w:r>
              <w:rPr>
                <w:webHidden/>
              </w:rPr>
              <w:tab/>
            </w:r>
            <w:r>
              <w:rPr>
                <w:webHidden/>
              </w:rPr>
              <w:fldChar w:fldCharType="begin"/>
            </w:r>
            <w:r>
              <w:rPr>
                <w:webHidden/>
              </w:rPr>
              <w:instrText xml:space="preserve"> PAGEREF _Toc189483976 \h </w:instrText>
            </w:r>
            <w:r>
              <w:rPr>
                <w:webHidden/>
              </w:rPr>
            </w:r>
            <w:r>
              <w:rPr>
                <w:webHidden/>
              </w:rPr>
              <w:fldChar w:fldCharType="separate"/>
            </w:r>
            <w:r>
              <w:rPr>
                <w:webHidden/>
              </w:rPr>
              <w:t>15</w:t>
            </w:r>
            <w:r>
              <w:rPr>
                <w:webHidden/>
              </w:rPr>
              <w:fldChar w:fldCharType="end"/>
            </w:r>
          </w:hyperlink>
        </w:p>
        <w:p w14:paraId="62904F0D" w14:textId="463908C5"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77" w:history="1">
            <w:r w:rsidRPr="00DF069F">
              <w:rPr>
                <w:rStyle w:val="Hyperlink"/>
                <w:noProof/>
              </w:rPr>
              <w:t>Import of tissue for research</w:t>
            </w:r>
            <w:r>
              <w:rPr>
                <w:noProof/>
                <w:webHidden/>
              </w:rPr>
              <w:tab/>
            </w:r>
            <w:r>
              <w:rPr>
                <w:noProof/>
                <w:webHidden/>
              </w:rPr>
              <w:fldChar w:fldCharType="begin"/>
            </w:r>
            <w:r>
              <w:rPr>
                <w:noProof/>
                <w:webHidden/>
              </w:rPr>
              <w:instrText xml:space="preserve"> PAGEREF _Toc189483977 \h </w:instrText>
            </w:r>
            <w:r>
              <w:rPr>
                <w:noProof/>
                <w:webHidden/>
              </w:rPr>
            </w:r>
            <w:r>
              <w:rPr>
                <w:noProof/>
                <w:webHidden/>
              </w:rPr>
              <w:fldChar w:fldCharType="separate"/>
            </w:r>
            <w:r>
              <w:rPr>
                <w:noProof/>
                <w:webHidden/>
              </w:rPr>
              <w:t>15</w:t>
            </w:r>
            <w:r>
              <w:rPr>
                <w:noProof/>
                <w:webHidden/>
              </w:rPr>
              <w:fldChar w:fldCharType="end"/>
            </w:r>
          </w:hyperlink>
        </w:p>
        <w:p w14:paraId="553599A3" w14:textId="00ED3376"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78" w:history="1">
            <w:r w:rsidRPr="00DF069F">
              <w:rPr>
                <w:rStyle w:val="Hyperlink"/>
                <w:noProof/>
              </w:rPr>
              <w:t>Export of tissue for research</w:t>
            </w:r>
            <w:r>
              <w:rPr>
                <w:noProof/>
                <w:webHidden/>
              </w:rPr>
              <w:tab/>
            </w:r>
            <w:r>
              <w:rPr>
                <w:noProof/>
                <w:webHidden/>
              </w:rPr>
              <w:fldChar w:fldCharType="begin"/>
            </w:r>
            <w:r>
              <w:rPr>
                <w:noProof/>
                <w:webHidden/>
              </w:rPr>
              <w:instrText xml:space="preserve"> PAGEREF _Toc189483978 \h </w:instrText>
            </w:r>
            <w:r>
              <w:rPr>
                <w:noProof/>
                <w:webHidden/>
              </w:rPr>
            </w:r>
            <w:r>
              <w:rPr>
                <w:noProof/>
                <w:webHidden/>
              </w:rPr>
              <w:fldChar w:fldCharType="separate"/>
            </w:r>
            <w:r>
              <w:rPr>
                <w:noProof/>
                <w:webHidden/>
              </w:rPr>
              <w:t>15</w:t>
            </w:r>
            <w:r>
              <w:rPr>
                <w:noProof/>
                <w:webHidden/>
              </w:rPr>
              <w:fldChar w:fldCharType="end"/>
            </w:r>
          </w:hyperlink>
        </w:p>
        <w:p w14:paraId="0453DBFC" w14:textId="4F20E709"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79" w:history="1">
            <w:r w:rsidRPr="00DF069F">
              <w:rPr>
                <w:rStyle w:val="Hyperlink"/>
                <w:noProof/>
              </w:rPr>
              <w:t>Material transfer agreements (MTA)</w:t>
            </w:r>
            <w:r>
              <w:rPr>
                <w:noProof/>
                <w:webHidden/>
              </w:rPr>
              <w:tab/>
            </w:r>
            <w:r>
              <w:rPr>
                <w:noProof/>
                <w:webHidden/>
              </w:rPr>
              <w:fldChar w:fldCharType="begin"/>
            </w:r>
            <w:r>
              <w:rPr>
                <w:noProof/>
                <w:webHidden/>
              </w:rPr>
              <w:instrText xml:space="preserve"> PAGEREF _Toc189483979 \h </w:instrText>
            </w:r>
            <w:r>
              <w:rPr>
                <w:noProof/>
                <w:webHidden/>
              </w:rPr>
            </w:r>
            <w:r>
              <w:rPr>
                <w:noProof/>
                <w:webHidden/>
              </w:rPr>
              <w:fldChar w:fldCharType="separate"/>
            </w:r>
            <w:r>
              <w:rPr>
                <w:noProof/>
                <w:webHidden/>
              </w:rPr>
              <w:t>15</w:t>
            </w:r>
            <w:r>
              <w:rPr>
                <w:noProof/>
                <w:webHidden/>
              </w:rPr>
              <w:fldChar w:fldCharType="end"/>
            </w:r>
          </w:hyperlink>
        </w:p>
        <w:p w14:paraId="202AF6E4" w14:textId="74AEAD2E"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80" w:history="1">
            <w:r w:rsidRPr="00DF069F">
              <w:rPr>
                <w:rStyle w:val="Hyperlink"/>
              </w:rPr>
              <w:t>Policy on the use of couriers &amp; private vehicles for the transport of human tissue</w:t>
            </w:r>
            <w:r>
              <w:rPr>
                <w:webHidden/>
              </w:rPr>
              <w:tab/>
            </w:r>
            <w:r>
              <w:rPr>
                <w:webHidden/>
              </w:rPr>
              <w:fldChar w:fldCharType="begin"/>
            </w:r>
            <w:r>
              <w:rPr>
                <w:webHidden/>
              </w:rPr>
              <w:instrText xml:space="preserve"> PAGEREF _Toc189483980 \h </w:instrText>
            </w:r>
            <w:r>
              <w:rPr>
                <w:webHidden/>
              </w:rPr>
            </w:r>
            <w:r>
              <w:rPr>
                <w:webHidden/>
              </w:rPr>
              <w:fldChar w:fldCharType="separate"/>
            </w:r>
            <w:r>
              <w:rPr>
                <w:webHidden/>
              </w:rPr>
              <w:t>16</w:t>
            </w:r>
            <w:r>
              <w:rPr>
                <w:webHidden/>
              </w:rPr>
              <w:fldChar w:fldCharType="end"/>
            </w:r>
          </w:hyperlink>
        </w:p>
        <w:p w14:paraId="2B4E3FFA" w14:textId="1CA70821"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81" w:history="1">
            <w:r w:rsidRPr="00DF069F">
              <w:rPr>
                <w:rStyle w:val="Hyperlink"/>
              </w:rPr>
              <w:t>Policy on self-experimentation</w:t>
            </w:r>
            <w:r>
              <w:rPr>
                <w:webHidden/>
              </w:rPr>
              <w:tab/>
            </w:r>
            <w:r>
              <w:rPr>
                <w:webHidden/>
              </w:rPr>
              <w:fldChar w:fldCharType="begin"/>
            </w:r>
            <w:r>
              <w:rPr>
                <w:webHidden/>
              </w:rPr>
              <w:instrText xml:space="preserve"> PAGEREF _Toc189483981 \h </w:instrText>
            </w:r>
            <w:r>
              <w:rPr>
                <w:webHidden/>
              </w:rPr>
            </w:r>
            <w:r>
              <w:rPr>
                <w:webHidden/>
              </w:rPr>
              <w:fldChar w:fldCharType="separate"/>
            </w:r>
            <w:r>
              <w:rPr>
                <w:webHidden/>
              </w:rPr>
              <w:t>16</w:t>
            </w:r>
            <w:r>
              <w:rPr>
                <w:webHidden/>
              </w:rPr>
              <w:fldChar w:fldCharType="end"/>
            </w:r>
          </w:hyperlink>
        </w:p>
        <w:p w14:paraId="73F927AB" w14:textId="0170E418"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82" w:history="1">
            <w:r w:rsidRPr="00DF069F">
              <w:rPr>
                <w:rStyle w:val="Hyperlink"/>
              </w:rPr>
              <w:t>Related documents</w:t>
            </w:r>
            <w:r>
              <w:rPr>
                <w:webHidden/>
              </w:rPr>
              <w:tab/>
            </w:r>
            <w:r>
              <w:rPr>
                <w:webHidden/>
              </w:rPr>
              <w:fldChar w:fldCharType="begin"/>
            </w:r>
            <w:r>
              <w:rPr>
                <w:webHidden/>
              </w:rPr>
              <w:instrText xml:space="preserve"> PAGEREF _Toc189483982 \h </w:instrText>
            </w:r>
            <w:r>
              <w:rPr>
                <w:webHidden/>
              </w:rPr>
            </w:r>
            <w:r>
              <w:rPr>
                <w:webHidden/>
              </w:rPr>
              <w:fldChar w:fldCharType="separate"/>
            </w:r>
            <w:r>
              <w:rPr>
                <w:webHidden/>
              </w:rPr>
              <w:t>17</w:t>
            </w:r>
            <w:r>
              <w:rPr>
                <w:webHidden/>
              </w:rPr>
              <w:fldChar w:fldCharType="end"/>
            </w:r>
          </w:hyperlink>
        </w:p>
        <w:p w14:paraId="3873C0C2" w14:textId="73109D60"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83" w:history="1">
            <w:r w:rsidRPr="00DF069F">
              <w:rPr>
                <w:rStyle w:val="Hyperlink"/>
                <w:noProof/>
              </w:rPr>
              <w:t>Associated QMS documents</w:t>
            </w:r>
            <w:r>
              <w:rPr>
                <w:noProof/>
                <w:webHidden/>
              </w:rPr>
              <w:tab/>
            </w:r>
            <w:r>
              <w:rPr>
                <w:noProof/>
                <w:webHidden/>
              </w:rPr>
              <w:fldChar w:fldCharType="begin"/>
            </w:r>
            <w:r>
              <w:rPr>
                <w:noProof/>
                <w:webHidden/>
              </w:rPr>
              <w:instrText xml:space="preserve"> PAGEREF _Toc189483983 \h </w:instrText>
            </w:r>
            <w:r>
              <w:rPr>
                <w:noProof/>
                <w:webHidden/>
              </w:rPr>
            </w:r>
            <w:r>
              <w:rPr>
                <w:noProof/>
                <w:webHidden/>
              </w:rPr>
              <w:fldChar w:fldCharType="separate"/>
            </w:r>
            <w:r>
              <w:rPr>
                <w:noProof/>
                <w:webHidden/>
              </w:rPr>
              <w:t>17</w:t>
            </w:r>
            <w:r>
              <w:rPr>
                <w:noProof/>
                <w:webHidden/>
              </w:rPr>
              <w:fldChar w:fldCharType="end"/>
            </w:r>
          </w:hyperlink>
        </w:p>
        <w:p w14:paraId="4BB6B335" w14:textId="3A14D000"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84" w:history="1">
            <w:r w:rsidRPr="00DF069F">
              <w:rPr>
                <w:rStyle w:val="Hyperlink"/>
                <w:noProof/>
              </w:rPr>
              <w:t>Additional QMS documents</w:t>
            </w:r>
            <w:r>
              <w:rPr>
                <w:noProof/>
                <w:webHidden/>
              </w:rPr>
              <w:tab/>
            </w:r>
            <w:r>
              <w:rPr>
                <w:noProof/>
                <w:webHidden/>
              </w:rPr>
              <w:fldChar w:fldCharType="begin"/>
            </w:r>
            <w:r>
              <w:rPr>
                <w:noProof/>
                <w:webHidden/>
              </w:rPr>
              <w:instrText xml:space="preserve"> PAGEREF _Toc189483984 \h </w:instrText>
            </w:r>
            <w:r>
              <w:rPr>
                <w:noProof/>
                <w:webHidden/>
              </w:rPr>
            </w:r>
            <w:r>
              <w:rPr>
                <w:noProof/>
                <w:webHidden/>
              </w:rPr>
              <w:fldChar w:fldCharType="separate"/>
            </w:r>
            <w:r>
              <w:rPr>
                <w:noProof/>
                <w:webHidden/>
              </w:rPr>
              <w:t>17</w:t>
            </w:r>
            <w:r>
              <w:rPr>
                <w:noProof/>
                <w:webHidden/>
              </w:rPr>
              <w:fldChar w:fldCharType="end"/>
            </w:r>
          </w:hyperlink>
        </w:p>
        <w:p w14:paraId="3B05E533" w14:textId="0D37AE78"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85" w:history="1">
            <w:r w:rsidRPr="00DF069F">
              <w:rPr>
                <w:rStyle w:val="Hyperlink"/>
              </w:rPr>
              <w:t>References &amp; frameworks</w:t>
            </w:r>
            <w:r>
              <w:rPr>
                <w:webHidden/>
              </w:rPr>
              <w:tab/>
            </w:r>
            <w:r>
              <w:rPr>
                <w:webHidden/>
              </w:rPr>
              <w:fldChar w:fldCharType="begin"/>
            </w:r>
            <w:r>
              <w:rPr>
                <w:webHidden/>
              </w:rPr>
              <w:instrText xml:space="preserve"> PAGEREF _Toc189483985 \h </w:instrText>
            </w:r>
            <w:r>
              <w:rPr>
                <w:webHidden/>
              </w:rPr>
            </w:r>
            <w:r>
              <w:rPr>
                <w:webHidden/>
              </w:rPr>
              <w:fldChar w:fldCharType="separate"/>
            </w:r>
            <w:r>
              <w:rPr>
                <w:webHidden/>
              </w:rPr>
              <w:t>17</w:t>
            </w:r>
            <w:r>
              <w:rPr>
                <w:webHidden/>
              </w:rPr>
              <w:fldChar w:fldCharType="end"/>
            </w:r>
          </w:hyperlink>
        </w:p>
        <w:p w14:paraId="6C36B369" w14:textId="3D097EC4"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86" w:history="1">
            <w:r w:rsidRPr="00DF069F">
              <w:rPr>
                <w:rStyle w:val="Hyperlink"/>
              </w:rPr>
              <w:t>Abbreviations</w:t>
            </w:r>
            <w:r>
              <w:rPr>
                <w:webHidden/>
              </w:rPr>
              <w:tab/>
            </w:r>
            <w:r>
              <w:rPr>
                <w:webHidden/>
              </w:rPr>
              <w:fldChar w:fldCharType="begin"/>
            </w:r>
            <w:r>
              <w:rPr>
                <w:webHidden/>
              </w:rPr>
              <w:instrText xml:space="preserve"> PAGEREF _Toc189483986 \h </w:instrText>
            </w:r>
            <w:r>
              <w:rPr>
                <w:webHidden/>
              </w:rPr>
            </w:r>
            <w:r>
              <w:rPr>
                <w:webHidden/>
              </w:rPr>
              <w:fldChar w:fldCharType="separate"/>
            </w:r>
            <w:r>
              <w:rPr>
                <w:webHidden/>
              </w:rPr>
              <w:t>19</w:t>
            </w:r>
            <w:r>
              <w:rPr>
                <w:webHidden/>
              </w:rPr>
              <w:fldChar w:fldCharType="end"/>
            </w:r>
          </w:hyperlink>
        </w:p>
        <w:p w14:paraId="098DB3D7" w14:textId="45AF3E34"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87" w:history="1">
            <w:r w:rsidRPr="00DF069F">
              <w:rPr>
                <w:rStyle w:val="Hyperlink"/>
              </w:rPr>
              <w:t>Docume</w:t>
            </w:r>
            <w:r w:rsidRPr="00DF069F">
              <w:rPr>
                <w:rStyle w:val="Hyperlink"/>
              </w:rPr>
              <w:t>n</w:t>
            </w:r>
            <w:r w:rsidRPr="00DF069F">
              <w:rPr>
                <w:rStyle w:val="Hyperlink"/>
              </w:rPr>
              <w:t>t contributors</w:t>
            </w:r>
            <w:r>
              <w:rPr>
                <w:webHidden/>
              </w:rPr>
              <w:tab/>
            </w:r>
            <w:r>
              <w:rPr>
                <w:webHidden/>
              </w:rPr>
              <w:fldChar w:fldCharType="begin"/>
            </w:r>
            <w:r>
              <w:rPr>
                <w:webHidden/>
              </w:rPr>
              <w:instrText xml:space="preserve"> PAGEREF _Toc189483987 \h </w:instrText>
            </w:r>
            <w:r>
              <w:rPr>
                <w:webHidden/>
              </w:rPr>
            </w:r>
            <w:r>
              <w:rPr>
                <w:webHidden/>
              </w:rPr>
              <w:fldChar w:fldCharType="separate"/>
            </w:r>
            <w:r>
              <w:rPr>
                <w:webHidden/>
              </w:rPr>
              <w:t>21</w:t>
            </w:r>
            <w:r>
              <w:rPr>
                <w:webHidden/>
              </w:rPr>
              <w:fldChar w:fldCharType="end"/>
            </w:r>
          </w:hyperlink>
        </w:p>
        <w:p w14:paraId="1C38F9C7" w14:textId="28AE012A" w:rsidR="00C05B28" w:rsidRDefault="00C05B28">
          <w:pPr>
            <w:pStyle w:val="TOC1"/>
            <w:rPr>
              <w:rFonts w:asciiTheme="minorHAnsi" w:eastAsiaTheme="minorEastAsia" w:hAnsiTheme="minorHAnsi" w:cstheme="minorBidi"/>
              <w:b w:val="0"/>
              <w:bCs w:val="0"/>
              <w:kern w:val="2"/>
              <w:sz w:val="24"/>
              <w:szCs w:val="24"/>
              <w:lang w:eastAsia="en-GB"/>
              <w14:ligatures w14:val="standardContextual"/>
            </w:rPr>
          </w:pPr>
          <w:hyperlink w:anchor="_Toc189483988" w:history="1">
            <w:r w:rsidRPr="00DF069F">
              <w:rPr>
                <w:rStyle w:val="Hyperlink"/>
              </w:rPr>
              <w:t>Document history</w:t>
            </w:r>
            <w:r>
              <w:rPr>
                <w:webHidden/>
              </w:rPr>
              <w:tab/>
            </w:r>
            <w:r>
              <w:rPr>
                <w:webHidden/>
              </w:rPr>
              <w:fldChar w:fldCharType="begin"/>
            </w:r>
            <w:r>
              <w:rPr>
                <w:webHidden/>
              </w:rPr>
              <w:instrText xml:space="preserve"> PAGEREF _Toc189483988 \h </w:instrText>
            </w:r>
            <w:r>
              <w:rPr>
                <w:webHidden/>
              </w:rPr>
            </w:r>
            <w:r>
              <w:rPr>
                <w:webHidden/>
              </w:rPr>
              <w:fldChar w:fldCharType="separate"/>
            </w:r>
            <w:r>
              <w:rPr>
                <w:webHidden/>
              </w:rPr>
              <w:t>22</w:t>
            </w:r>
            <w:r>
              <w:rPr>
                <w:webHidden/>
              </w:rPr>
              <w:fldChar w:fldCharType="end"/>
            </w:r>
          </w:hyperlink>
        </w:p>
        <w:p w14:paraId="50D30362" w14:textId="337F0CCB"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89" w:history="1">
            <w:r w:rsidRPr="00DF069F">
              <w:rPr>
                <w:rStyle w:val="Hyperlink"/>
                <w:noProof/>
              </w:rPr>
              <w:t>Document version log</w:t>
            </w:r>
            <w:r>
              <w:rPr>
                <w:noProof/>
                <w:webHidden/>
              </w:rPr>
              <w:tab/>
            </w:r>
            <w:r>
              <w:rPr>
                <w:noProof/>
                <w:webHidden/>
              </w:rPr>
              <w:fldChar w:fldCharType="begin"/>
            </w:r>
            <w:r>
              <w:rPr>
                <w:noProof/>
                <w:webHidden/>
              </w:rPr>
              <w:instrText xml:space="preserve"> PAGEREF _Toc189483989 \h </w:instrText>
            </w:r>
            <w:r>
              <w:rPr>
                <w:noProof/>
                <w:webHidden/>
              </w:rPr>
            </w:r>
            <w:r>
              <w:rPr>
                <w:noProof/>
                <w:webHidden/>
              </w:rPr>
              <w:fldChar w:fldCharType="separate"/>
            </w:r>
            <w:r>
              <w:rPr>
                <w:noProof/>
                <w:webHidden/>
              </w:rPr>
              <w:t>22</w:t>
            </w:r>
            <w:r>
              <w:rPr>
                <w:noProof/>
                <w:webHidden/>
              </w:rPr>
              <w:fldChar w:fldCharType="end"/>
            </w:r>
          </w:hyperlink>
        </w:p>
        <w:p w14:paraId="4A35BA5E" w14:textId="2F0A1714" w:rsidR="00C05B28" w:rsidRDefault="00C05B28">
          <w:pPr>
            <w:pStyle w:val="TOC2"/>
            <w:rPr>
              <w:rFonts w:asciiTheme="minorHAnsi" w:eastAsiaTheme="minorEastAsia" w:hAnsiTheme="minorHAnsi" w:cstheme="minorBidi"/>
              <w:noProof/>
              <w:kern w:val="2"/>
              <w:sz w:val="24"/>
              <w:szCs w:val="24"/>
              <w:lang w:eastAsia="en-GB"/>
              <w14:ligatures w14:val="standardContextual"/>
            </w:rPr>
          </w:pPr>
          <w:hyperlink w:anchor="_Toc189483990" w:history="1">
            <w:r w:rsidRPr="00DF069F">
              <w:rPr>
                <w:rStyle w:val="Hyperlink"/>
                <w:noProof/>
              </w:rPr>
              <w:t>Document revision log</w:t>
            </w:r>
            <w:r>
              <w:rPr>
                <w:noProof/>
                <w:webHidden/>
              </w:rPr>
              <w:tab/>
            </w:r>
            <w:r>
              <w:rPr>
                <w:noProof/>
                <w:webHidden/>
              </w:rPr>
              <w:fldChar w:fldCharType="begin"/>
            </w:r>
            <w:r>
              <w:rPr>
                <w:noProof/>
                <w:webHidden/>
              </w:rPr>
              <w:instrText xml:space="preserve"> PAGEREF _Toc189483990 \h </w:instrText>
            </w:r>
            <w:r>
              <w:rPr>
                <w:noProof/>
                <w:webHidden/>
              </w:rPr>
            </w:r>
            <w:r>
              <w:rPr>
                <w:noProof/>
                <w:webHidden/>
              </w:rPr>
              <w:fldChar w:fldCharType="separate"/>
            </w:r>
            <w:r>
              <w:rPr>
                <w:noProof/>
                <w:webHidden/>
              </w:rPr>
              <w:t>22</w:t>
            </w:r>
            <w:r>
              <w:rPr>
                <w:noProof/>
                <w:webHidden/>
              </w:rPr>
              <w:fldChar w:fldCharType="end"/>
            </w:r>
          </w:hyperlink>
        </w:p>
        <w:p w14:paraId="57763DC9" w14:textId="0A3B73FB" w:rsidR="000317D8" w:rsidRDefault="00F36793">
          <w:r>
            <w:rPr>
              <w:b/>
              <w:bCs/>
              <w:noProof/>
            </w:rPr>
            <w:fldChar w:fldCharType="end"/>
          </w:r>
        </w:p>
      </w:sdtContent>
    </w:sdt>
    <w:p w14:paraId="6E2D2035" w14:textId="77777777" w:rsidR="003F499F" w:rsidRPr="00B95EBA" w:rsidRDefault="003F499F" w:rsidP="00B95EBA">
      <w:pPr>
        <w:pStyle w:val="Footer"/>
        <w:rPr>
          <w:rStyle w:val="BTable2Char"/>
          <w:sz w:val="18"/>
        </w:rPr>
      </w:pPr>
      <w:r w:rsidRPr="00B95EBA">
        <w:rPr>
          <w:rStyle w:val="BTable2Char"/>
          <w:sz w:val="18"/>
        </w:rPr>
        <w:br w:type="page"/>
      </w:r>
    </w:p>
    <w:p w14:paraId="54398970" w14:textId="77777777" w:rsidR="00944528" w:rsidRPr="003F499F" w:rsidRDefault="00B946B0" w:rsidP="003F499F">
      <w:pPr>
        <w:pStyle w:val="Heading1"/>
      </w:pPr>
      <w:bookmarkStart w:id="1" w:name="_Toc189483942"/>
      <w:r>
        <w:lastRenderedPageBreak/>
        <w:t>Purpose</w:t>
      </w:r>
      <w:bookmarkEnd w:id="1"/>
    </w:p>
    <w:p w14:paraId="3E5A7504" w14:textId="493B9F7A" w:rsidR="00944528" w:rsidRPr="0060052C" w:rsidRDefault="003575BF" w:rsidP="005C7D15">
      <w:bookmarkStart w:id="2" w:name="_Hlk156815142"/>
      <w:r w:rsidRPr="003575BF">
        <w:t>The purpose of this quality manual is to explain the University of Birmingham’s (UoB) framework for conducting clinical research. This document explains how the UoB approaches quality management within the different areas of clinical research activity including clinical studies, clinical trials, human tissue collection, and sample storage/analysis for clinical trials in a UoB laboratory. This quality manual assists anyone involved in these areas to understand what systems are available to them, and what is expected of them.</w:t>
      </w:r>
    </w:p>
    <w:p w14:paraId="2F47E070" w14:textId="77777777" w:rsidR="00944528" w:rsidRDefault="00944528" w:rsidP="005C7D15">
      <w:pPr>
        <w:pStyle w:val="Heading1"/>
      </w:pPr>
      <w:bookmarkStart w:id="3" w:name="_Toc189483943"/>
      <w:bookmarkEnd w:id="2"/>
      <w:r w:rsidRPr="00B63F21">
        <w:t>Scope</w:t>
      </w:r>
      <w:bookmarkEnd w:id="3"/>
    </w:p>
    <w:p w14:paraId="7379F530" w14:textId="5B7DA928" w:rsidR="00944528" w:rsidRPr="0060052C" w:rsidRDefault="003575BF" w:rsidP="005C7D15">
      <w:r w:rsidRPr="003575BF">
        <w:t xml:space="preserve">This quality manual applies to all those who work </w:t>
      </w:r>
      <w:r w:rsidR="00E065B3">
        <w:t>on</w:t>
      </w:r>
      <w:r w:rsidR="00E065B3" w:rsidRPr="003575BF">
        <w:t xml:space="preserve"> </w:t>
      </w:r>
      <w:r w:rsidRPr="003575BF">
        <w:t>any UoB clinical research</w:t>
      </w:r>
      <w:r>
        <w:t>.</w:t>
      </w:r>
    </w:p>
    <w:p w14:paraId="28C01DBD" w14:textId="77777777" w:rsidR="00944528" w:rsidRPr="00C34A3B" w:rsidRDefault="00944528" w:rsidP="005C7D15">
      <w:pPr>
        <w:pStyle w:val="Heading1"/>
      </w:pPr>
      <w:bookmarkStart w:id="4" w:name="_Toc189483944"/>
      <w:r w:rsidRPr="00B63F21">
        <w:t>Implementation plan</w:t>
      </w:r>
      <w:bookmarkEnd w:id="4"/>
    </w:p>
    <w:p w14:paraId="6D419354" w14:textId="3618A813" w:rsidR="00944528" w:rsidRPr="00C34A3B" w:rsidRDefault="003575BF" w:rsidP="005C7D15">
      <w:r w:rsidRPr="003575BF">
        <w:t>This quality manual will be implemented in line with this document’s effective date</w:t>
      </w:r>
      <w:r>
        <w:t>.</w:t>
      </w:r>
    </w:p>
    <w:p w14:paraId="07BDFC26" w14:textId="77777777" w:rsidR="00944528" w:rsidRDefault="00944528" w:rsidP="005C7D15">
      <w:pPr>
        <w:pStyle w:val="Heading1"/>
      </w:pPr>
      <w:bookmarkStart w:id="5" w:name="_Ref153523581"/>
      <w:bookmarkStart w:id="6" w:name="_Toc189483945"/>
      <w:r>
        <w:t>Stakeholders</w:t>
      </w:r>
      <w:bookmarkEnd w:id="5"/>
      <w:bookmarkEnd w:id="6"/>
    </w:p>
    <w:p w14:paraId="64B50A97" w14:textId="520B80CB" w:rsidR="003575BF" w:rsidRDefault="003575BF" w:rsidP="003575BF">
      <w:pPr>
        <w:pStyle w:val="bullet10"/>
      </w:pPr>
      <w:r>
        <w:t>UoB staff members and others working with the UoB</w:t>
      </w:r>
      <w:r w:rsidR="005F0995">
        <w:t>’s</w:t>
      </w:r>
      <w:r>
        <w:t xml:space="preserve"> clinical research quality management system (QMS), other relevant external standards and regulations or any other QMS referred to in this document.</w:t>
      </w:r>
    </w:p>
    <w:p w14:paraId="10642816" w14:textId="4A0FE575" w:rsidR="003575BF" w:rsidRDefault="003575BF" w:rsidP="003575BF">
      <w:pPr>
        <w:pStyle w:val="bullet10"/>
      </w:pPr>
      <w:r>
        <w:t xml:space="preserve">Research </w:t>
      </w:r>
      <w:r w:rsidR="00B55CFE">
        <w:t xml:space="preserve">Ethics, </w:t>
      </w:r>
      <w:r>
        <w:t xml:space="preserve">Governance and </w:t>
      </w:r>
      <w:r w:rsidR="00B55CFE">
        <w:t>Integrity</w:t>
      </w:r>
      <w:r w:rsidR="00D64312">
        <w:t xml:space="preserve"> </w:t>
      </w:r>
      <w:r>
        <w:t>Team (</w:t>
      </w:r>
      <w:r w:rsidR="00D64312">
        <w:t>REGI</w:t>
      </w:r>
      <w:r>
        <w:t>).</w:t>
      </w:r>
    </w:p>
    <w:p w14:paraId="6D6296AD" w14:textId="71414BDB" w:rsidR="003575BF" w:rsidRDefault="003575BF" w:rsidP="003575BF">
      <w:pPr>
        <w:pStyle w:val="bullet10"/>
      </w:pPr>
      <w:r>
        <w:t>Clinical Research Compliance Team (CRCT).</w:t>
      </w:r>
    </w:p>
    <w:p w14:paraId="7A3B5E02" w14:textId="38149DB3" w:rsidR="003575BF" w:rsidRDefault="00B55CFE" w:rsidP="003575BF">
      <w:pPr>
        <w:pStyle w:val="bullet10"/>
      </w:pPr>
      <w:r>
        <w:t>UK</w:t>
      </w:r>
      <w:r w:rsidR="003575BF">
        <w:t xml:space="preserve"> Clinical Research Collaboration (UKCRC)-registered UoB </w:t>
      </w:r>
      <w:r>
        <w:t>c</w:t>
      </w:r>
      <w:r w:rsidR="003575BF">
        <w:t xml:space="preserve">linical </w:t>
      </w:r>
      <w:r>
        <w:t>t</w:t>
      </w:r>
      <w:r w:rsidR="003575BF">
        <w:t xml:space="preserve">rials </w:t>
      </w:r>
      <w:r>
        <w:t>u</w:t>
      </w:r>
      <w:r w:rsidR="003575BF">
        <w:t>nits (CTU</w:t>
      </w:r>
      <w:r>
        <w:t>s</w:t>
      </w:r>
      <w:r w:rsidR="003575BF">
        <w:t>).</w:t>
      </w:r>
    </w:p>
    <w:p w14:paraId="529279F9" w14:textId="06D66698" w:rsidR="003575BF" w:rsidRDefault="003575BF" w:rsidP="003575BF">
      <w:pPr>
        <w:pStyle w:val="bullet10"/>
      </w:pPr>
      <w:r>
        <w:t>Clinical Trials Oversight Committee (CTOC).</w:t>
      </w:r>
    </w:p>
    <w:p w14:paraId="704C5105" w14:textId="7BB6F2BF" w:rsidR="003575BF" w:rsidRDefault="003575BF" w:rsidP="003575BF">
      <w:pPr>
        <w:pStyle w:val="bullet10"/>
      </w:pPr>
      <w:r>
        <w:t>Human Tissue Oversight Committee (HTOC).</w:t>
      </w:r>
    </w:p>
    <w:p w14:paraId="1E7EF062" w14:textId="348B9521" w:rsidR="00944528" w:rsidRDefault="00944528" w:rsidP="00F04CAB"/>
    <w:p w14:paraId="06D8AA62" w14:textId="77777777" w:rsidR="00944528" w:rsidRDefault="00944528" w:rsidP="00944528"/>
    <w:p w14:paraId="410D2FB8" w14:textId="77777777" w:rsidR="00944528" w:rsidRDefault="00944528">
      <w:pPr>
        <w:spacing w:before="0" w:after="200" w:line="276" w:lineRule="auto"/>
        <w:rPr>
          <w:rFonts w:ascii="Gill Sans MT" w:hAnsi="Gill Sans MT" w:cs="Tahoma"/>
          <w:bCs/>
          <w:color w:val="943634"/>
          <w:kern w:val="32"/>
          <w:sz w:val="28"/>
          <w:szCs w:val="28"/>
        </w:rPr>
      </w:pPr>
      <w:r>
        <w:br w:type="page"/>
      </w:r>
    </w:p>
    <w:p w14:paraId="31EC6F93" w14:textId="77777777" w:rsidR="005F0420" w:rsidRDefault="005F0420" w:rsidP="005F2DE3">
      <w:pPr>
        <w:pStyle w:val="Heading1"/>
      </w:pPr>
      <w:bookmarkStart w:id="7" w:name="_Toc189483946"/>
      <w:r>
        <w:lastRenderedPageBreak/>
        <w:t>Background</w:t>
      </w:r>
      <w:bookmarkEnd w:id="7"/>
    </w:p>
    <w:p w14:paraId="0564481F" w14:textId="33263907" w:rsidR="005B743F" w:rsidRDefault="005B743F" w:rsidP="005B743F">
      <w:r>
        <w:t xml:space="preserve">With its broad portfolio of clinical trials and clinical studies, the UoB is one of the leading centres for clinical research in the UK. </w:t>
      </w:r>
      <w:r w:rsidR="00B55CFE">
        <w:t>To</w:t>
      </w:r>
      <w:r>
        <w:t xml:space="preserve"> support a high-quality standard for all clinical research, the UoB has developed a QMS that includes this quality manual. See the </w:t>
      </w:r>
      <w:r w:rsidR="00A31E00" w:rsidRPr="00D93670">
        <w:rPr>
          <w:rStyle w:val="DocrefChar"/>
        </w:rPr>
        <w:t xml:space="preserve">UoB </w:t>
      </w:r>
      <w:r w:rsidRPr="005B743F">
        <w:rPr>
          <w:rStyle w:val="DocrefChar"/>
        </w:rPr>
        <w:t>Clinical Research Definitions (UoB-</w:t>
      </w:r>
      <w:r w:rsidR="00A31E00">
        <w:rPr>
          <w:rStyle w:val="DocrefChar"/>
        </w:rPr>
        <w:t>DEF</w:t>
      </w:r>
      <w:r w:rsidRPr="005B743F">
        <w:rPr>
          <w:rStyle w:val="DocrefChar"/>
        </w:rPr>
        <w:t>-POL-00</w:t>
      </w:r>
      <w:r w:rsidR="00A31E00">
        <w:rPr>
          <w:rStyle w:val="DocrefChar"/>
        </w:rPr>
        <w:t>1</w:t>
      </w:r>
      <w:r w:rsidRPr="005B743F">
        <w:rPr>
          <w:rStyle w:val="DocrefChar"/>
        </w:rPr>
        <w:t>)</w:t>
      </w:r>
      <w:r>
        <w:t xml:space="preserve"> for differentiating between a clinical trial and a clinical study. </w:t>
      </w:r>
    </w:p>
    <w:p w14:paraId="732F8CA6" w14:textId="77777777" w:rsidR="005B743F" w:rsidRDefault="005B743F" w:rsidP="005B743F">
      <w:r>
        <w:t xml:space="preserve">A QMS is a structured programme of procedures and policies that describes how relevant tasks should be performed; a QMS should also encapsulate any applicable standards and/or regulatory requirements. Adherence to the UoB’s QMS ensures that participants’ rights and wellbeing are protected, that data is credible, and that the research is conducted in compliance with the protocol, applicable regulations, international standards, and local policies. </w:t>
      </w:r>
    </w:p>
    <w:p w14:paraId="0233BB45" w14:textId="3696AF24" w:rsidR="005B743F" w:rsidRDefault="005B743F" w:rsidP="005B743F">
      <w:r>
        <w:t xml:space="preserve">The UoB </w:t>
      </w:r>
      <w:r w:rsidR="005F0995">
        <w:t xml:space="preserve">overarching </w:t>
      </w:r>
      <w:r w:rsidR="00B55CFE">
        <w:t>c</w:t>
      </w:r>
      <w:r>
        <w:t xml:space="preserve">linical </w:t>
      </w:r>
      <w:r w:rsidR="00B55CFE">
        <w:t>r</w:t>
      </w:r>
      <w:r>
        <w:t xml:space="preserve">esearch QMS </w:t>
      </w:r>
      <w:r w:rsidR="005F0995">
        <w:t xml:space="preserve">(hereafter referred to as UoB QMS) </w:t>
      </w:r>
      <w:r>
        <w:t>embeds the principles and standards of Good Clinical Practice (GCP). GCP is a set of internationally recognised ethical and scientific quality requirements for designing, conducting, recording and reporting clinical trials that involve the participation of human volunteers. Additionally, the UoB QMS incorporates the GCP in the Laboratory standard. Adherence to this standard ensures that any sample-analysis data produced by a laboratory are accurate, reliable, and correctly reported, and that participant safety is maintained. The UoB QMS also details the standard to be followed when clinical laboratory research involves the use of human tissue.</w:t>
      </w:r>
    </w:p>
    <w:p w14:paraId="72B7406B" w14:textId="104A4789" w:rsidR="005B743F" w:rsidRDefault="005B743F" w:rsidP="005B743F">
      <w:r>
        <w:t xml:space="preserve">This quality manual must be used in conjunction with other policies and processes put in place by the UoB, for example the UoB’s health </w:t>
      </w:r>
      <w:r w:rsidR="00D64312">
        <w:t xml:space="preserve">&amp; </w:t>
      </w:r>
      <w:r>
        <w:t>safety policies</w:t>
      </w:r>
      <w:r w:rsidR="00D64312">
        <w:t xml:space="preserve"> and IT policies and procedures</w:t>
      </w:r>
      <w:r>
        <w:t>.</w:t>
      </w:r>
    </w:p>
    <w:p w14:paraId="2E2F67DE" w14:textId="6DFF40DD" w:rsidR="005B743F" w:rsidRDefault="00F36793" w:rsidP="005B743F">
      <w:pPr>
        <w:pStyle w:val="Heading1"/>
      </w:pPr>
      <w:bookmarkStart w:id="8" w:name="_Toc189483947"/>
      <w:r>
        <w:t>O</w:t>
      </w:r>
      <w:r w:rsidR="005B743F">
        <w:t>versight of clinical research</w:t>
      </w:r>
      <w:r w:rsidR="00324BBB">
        <w:t xml:space="preserve"> at the university</w:t>
      </w:r>
      <w:bookmarkEnd w:id="8"/>
    </w:p>
    <w:p w14:paraId="061F1B38" w14:textId="44EB6263" w:rsidR="005B743F" w:rsidRDefault="005B743F" w:rsidP="005B743F">
      <w:r>
        <w:t xml:space="preserve">In its role as a sponsor/institution for clinical research, the UoB has set up an infrastructure to maintain appropriate oversight. The UoB has </w:t>
      </w:r>
      <w:proofErr w:type="gramStart"/>
      <w:r>
        <w:t>a number of</w:t>
      </w:r>
      <w:proofErr w:type="gramEnd"/>
      <w:r>
        <w:t xml:space="preserve"> committees, groups and teams, as described </w:t>
      </w:r>
      <w:r w:rsidR="006A4F9A">
        <w:t xml:space="preserve">in the subheadings </w:t>
      </w:r>
      <w:r>
        <w:t>below, who are fully committed to delivering high-quality clinical research. An overview of the UoB’s Research Governance Framework is outlined in Figure 1.</w:t>
      </w:r>
    </w:p>
    <w:p w14:paraId="4B680412" w14:textId="2FDA02F6" w:rsidR="006A4F9A" w:rsidRDefault="006A4F9A" w:rsidP="005B743F">
      <w:r>
        <w:t>The UoB is committed to encouraging a culture of openness and honesty, with a focus on improvement rather than blame. Through this culture, errors can be reported in a timely way, rectified with lessons learnt and improvements made to reduce adverse impacts and increase the quality of research outcomes.</w:t>
      </w:r>
    </w:p>
    <w:p w14:paraId="74040E3A" w14:textId="77777777" w:rsidR="005B743F" w:rsidRDefault="005B743F" w:rsidP="005B743F">
      <w:pPr>
        <w:pStyle w:val="Heading2"/>
      </w:pPr>
      <w:bookmarkStart w:id="9" w:name="_Toc189483948"/>
      <w:r>
        <w:t>Clinical Trials Oversight Committee (CTOC)</w:t>
      </w:r>
      <w:bookmarkEnd w:id="9"/>
    </w:p>
    <w:p w14:paraId="7DE2B4B9" w14:textId="5741A2D9" w:rsidR="005B743F" w:rsidRDefault="005B743F" w:rsidP="005B743F">
      <w:r>
        <w:t xml:space="preserve">The CTOC oversees clinical research activities carried out by the UoB either in its role as a sponsor, or host institution, or when in partnership with other organisations. This includes </w:t>
      </w:r>
      <w:r w:rsidR="001C372D">
        <w:t>c</w:t>
      </w:r>
      <w:r>
        <w:t xml:space="preserve">linical </w:t>
      </w:r>
      <w:r w:rsidR="001C372D">
        <w:t>t</w:t>
      </w:r>
      <w:r>
        <w:t xml:space="preserve">rials of </w:t>
      </w:r>
      <w:r w:rsidR="001C372D">
        <w:t>i</w:t>
      </w:r>
      <w:r>
        <w:t xml:space="preserve">nvestigational </w:t>
      </w:r>
      <w:r w:rsidR="001C372D">
        <w:t>m</w:t>
      </w:r>
      <w:r>
        <w:t xml:space="preserve">edicinal </w:t>
      </w:r>
      <w:r w:rsidR="001C372D">
        <w:t>p</w:t>
      </w:r>
      <w:r>
        <w:t xml:space="preserve">roducts (CTIMPs), clinical research conducted through the UoB’s CTUs, </w:t>
      </w:r>
      <w:r w:rsidR="00F53D65" w:rsidRPr="00F53D65">
        <w:t>and other interventional trials (e.g. surgical trials, medical device trials and non-CTIMP trials), and clinical studies outside of a UoB CTU.</w:t>
      </w:r>
      <w:r w:rsidR="00F53D65">
        <w:t xml:space="preserve"> </w:t>
      </w:r>
      <w:r w:rsidR="00E37545">
        <w:t>In</w:t>
      </w:r>
      <w:r w:rsidR="00F53D65">
        <w:t xml:space="preserve"> addition, the CTOC provides oversight of </w:t>
      </w:r>
      <w:r>
        <w:t>any clinical research where a UoB Research Ethics Committee</w:t>
      </w:r>
      <w:r w:rsidR="00F53D65">
        <w:t xml:space="preserve"> (REC</w:t>
      </w:r>
      <w:r>
        <w:t xml:space="preserve">) has stipulated that the research must be conducted in accordance with the </w:t>
      </w:r>
      <w:r w:rsidRPr="005B743F">
        <w:rPr>
          <w:rStyle w:val="DocrefChar"/>
        </w:rPr>
        <w:t>UoB Principles of GCP for Clinical Research (UoB-GCP-POL-001)</w:t>
      </w:r>
      <w:r>
        <w:t>. Through the Research and Knowledge Transfer (R&amp;KT) Executive Committees, the CTOC reports to both the College of Medic</w:t>
      </w:r>
      <w:r w:rsidR="00544DCA">
        <w:t xml:space="preserve">ine </w:t>
      </w:r>
      <w:r>
        <w:t xml:space="preserve">and </w:t>
      </w:r>
      <w:r w:rsidR="00544DCA">
        <w:t>Health</w:t>
      </w:r>
      <w:r>
        <w:t xml:space="preserve"> (</w:t>
      </w:r>
      <w:r w:rsidR="00544DCA">
        <w:t>CMH</w:t>
      </w:r>
      <w:r>
        <w:t>) Board, and the College of Life and Environmental Sciences (LES) Board. The CTOC also reports to the UoB’s Research Governance, Ethics and Integrity Committee (RGEIC).</w:t>
      </w:r>
    </w:p>
    <w:p w14:paraId="336C2105" w14:textId="77777777" w:rsidR="005B743F" w:rsidRDefault="005B743F" w:rsidP="005B743F">
      <w:r>
        <w:t xml:space="preserve">See </w:t>
      </w:r>
      <w:hyperlink r:id="rId15" w:tooltip="Link to Clinical Research Oversight Committees" w:history="1">
        <w:r w:rsidRPr="005B743F">
          <w:rPr>
            <w:rStyle w:val="Hyperlink"/>
          </w:rPr>
          <w:t>CTOC Terms of Reference</w:t>
        </w:r>
      </w:hyperlink>
      <w:r>
        <w:t xml:space="preserve"> for more information. </w:t>
      </w:r>
    </w:p>
    <w:p w14:paraId="4B0A8690" w14:textId="77777777" w:rsidR="005B743F" w:rsidRDefault="005B743F" w:rsidP="005B743F">
      <w:pPr>
        <w:pStyle w:val="Heading2"/>
      </w:pPr>
      <w:bookmarkStart w:id="10" w:name="_Toc189483949"/>
      <w:r>
        <w:t>Human Tissue Oversight Committee (HTOC)</w:t>
      </w:r>
      <w:bookmarkEnd w:id="10"/>
    </w:p>
    <w:p w14:paraId="6DD92DD5" w14:textId="7ECF429D" w:rsidR="005B743F" w:rsidRDefault="005B743F" w:rsidP="005B743F">
      <w:r>
        <w:t xml:space="preserve">The HTOC oversees all the UoB’s clinical research activities involving the use of human tissue and provides support for their related quality assurance and risk-management processes. The HTOC is responsible for ensuring that the terms of the UoB’s Human Tissue Authority (HTA) licences are being met. Additionally, it oversees GCP compliance in the UoB’s laboratories that analyse clinical trial samples, and it also oversees compliance with Good Manufacturing Practice (GMP) standards in the </w:t>
      </w:r>
      <w:r w:rsidR="00D405E2">
        <w:t>Medicines Manufacturing Facility (MMF)</w:t>
      </w:r>
      <w:r>
        <w:t xml:space="preserve">. The HTOC reports both to the </w:t>
      </w:r>
      <w:r w:rsidR="00600957">
        <w:t>CMH</w:t>
      </w:r>
      <w:r>
        <w:t xml:space="preserve"> Board and the LES College Board through the R&amp;KT Executive Committees, and </w:t>
      </w:r>
      <w:r w:rsidR="00F53D65">
        <w:t xml:space="preserve">reports to </w:t>
      </w:r>
      <w:r>
        <w:t>the UoB’s RGEIC.</w:t>
      </w:r>
    </w:p>
    <w:p w14:paraId="53FB527C" w14:textId="77777777" w:rsidR="005B743F" w:rsidRDefault="005B743F" w:rsidP="005B743F">
      <w:r>
        <w:t xml:space="preserve">See </w:t>
      </w:r>
      <w:hyperlink r:id="rId16" w:tooltip="Link to Clinical Research Oversight Committees" w:history="1">
        <w:r w:rsidRPr="005B743F">
          <w:rPr>
            <w:rStyle w:val="Hyperlink"/>
          </w:rPr>
          <w:t>HTOC Terms of Reference</w:t>
        </w:r>
      </w:hyperlink>
      <w:r w:rsidRPr="005B743F">
        <w:t xml:space="preserve"> </w:t>
      </w:r>
      <w:r>
        <w:t xml:space="preserve">for more information. </w:t>
      </w:r>
    </w:p>
    <w:p w14:paraId="056E9AF3" w14:textId="37009CC7" w:rsidR="005B743F" w:rsidRDefault="005B743F" w:rsidP="00D93670">
      <w:pPr>
        <w:jc w:val="center"/>
      </w:pPr>
    </w:p>
    <w:p w14:paraId="5AEE3DA2" w14:textId="0C1154FF" w:rsidR="009A7025" w:rsidRDefault="009A7025" w:rsidP="00D93670">
      <w:pPr>
        <w:jc w:val="center"/>
      </w:pPr>
    </w:p>
    <w:p w14:paraId="139C5878" w14:textId="3FA0700B" w:rsidR="001F7182" w:rsidRDefault="001F7182" w:rsidP="005B743F">
      <w:pPr>
        <w:rPr>
          <w:b/>
          <w:bCs/>
        </w:rPr>
      </w:pPr>
      <w:r>
        <w:rPr>
          <w:b/>
          <w:bCs/>
          <w:noProof/>
        </w:rPr>
        <w:lastRenderedPageBreak/>
        <w:drawing>
          <wp:inline distT="0" distB="0" distL="0" distR="0" wp14:anchorId="0F92CD1B" wp14:editId="0C8ED766">
            <wp:extent cx="5726255" cy="4416725"/>
            <wp:effectExtent l="0" t="0" r="8255" b="3175"/>
            <wp:docPr id="1405214100" name="Picture 2" descr="Schematic of the UoB’s Research Governance Framework. Key details included in the body of this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14100" name="Picture 2" descr="Schematic of the UoB’s Research Governance Framework. Key details included in the body of this document.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6255" cy="4416725"/>
                    </a:xfrm>
                    <a:prstGeom prst="rect">
                      <a:avLst/>
                    </a:prstGeom>
                    <a:noFill/>
                  </pic:spPr>
                </pic:pic>
              </a:graphicData>
            </a:graphic>
          </wp:inline>
        </w:drawing>
      </w:r>
    </w:p>
    <w:p w14:paraId="5987933C" w14:textId="77777777" w:rsidR="00835AD2" w:rsidRDefault="00835AD2" w:rsidP="005B743F">
      <w:pPr>
        <w:rPr>
          <w:b/>
          <w:bCs/>
        </w:rPr>
      </w:pPr>
    </w:p>
    <w:p w14:paraId="1F274F21" w14:textId="0FCD7ED6" w:rsidR="008440FA" w:rsidRPr="005B743F" w:rsidRDefault="005B743F" w:rsidP="005B743F">
      <w:r w:rsidRPr="005B743F">
        <w:rPr>
          <w:b/>
          <w:bCs/>
        </w:rPr>
        <w:t>Figure 1. The UoB’s Research Governance Framework.</w:t>
      </w:r>
      <w:r w:rsidRPr="005B743F">
        <w:t xml:space="preserve"> Solid line denotes reporting </w:t>
      </w:r>
      <w:r w:rsidR="009A7025" w:rsidRPr="005B743F">
        <w:t>pathway,</w:t>
      </w:r>
      <w:r w:rsidRPr="005B743F">
        <w:t xml:space="preserve"> and dotted line denotes compliance review and guidance/training pathways. See abbreviation</w:t>
      </w:r>
      <w:r w:rsidR="001C372D">
        <w:t>s</w:t>
      </w:r>
      <w:r w:rsidRPr="005B743F">
        <w:t xml:space="preserve"> table </w:t>
      </w:r>
      <w:r w:rsidR="001C372D" w:rsidRPr="00D93670">
        <w:rPr>
          <w:rStyle w:val="SectionrefChar"/>
        </w:rPr>
        <w:fldChar w:fldCharType="begin"/>
      </w:r>
      <w:r w:rsidR="001C372D" w:rsidRPr="00D93670">
        <w:rPr>
          <w:rStyle w:val="SectionrefChar"/>
        </w:rPr>
        <w:instrText xml:space="preserve"> REF _Ref166847223 \p \h </w:instrText>
      </w:r>
      <w:r w:rsidR="001C372D">
        <w:rPr>
          <w:rStyle w:val="SectionrefChar"/>
        </w:rPr>
        <w:instrText xml:space="preserve"> \* MERGEFORMAT </w:instrText>
      </w:r>
      <w:r w:rsidR="001C372D" w:rsidRPr="00D93670">
        <w:rPr>
          <w:rStyle w:val="SectionrefChar"/>
        </w:rPr>
      </w:r>
      <w:r w:rsidR="001C372D" w:rsidRPr="00D93670">
        <w:rPr>
          <w:rStyle w:val="SectionrefChar"/>
        </w:rPr>
        <w:fldChar w:fldCharType="separate"/>
      </w:r>
      <w:r w:rsidR="00EE7BAB">
        <w:rPr>
          <w:rStyle w:val="SectionrefChar"/>
        </w:rPr>
        <w:t>below</w:t>
      </w:r>
      <w:r w:rsidR="001C372D" w:rsidRPr="00D93670">
        <w:rPr>
          <w:rStyle w:val="SectionrefChar"/>
        </w:rPr>
        <w:fldChar w:fldCharType="end"/>
      </w:r>
      <w:r w:rsidRPr="005B743F">
        <w:t xml:space="preserve">.  </w:t>
      </w:r>
    </w:p>
    <w:p w14:paraId="30F8520C" w14:textId="77777777" w:rsidR="00324BBB" w:rsidRDefault="00324BBB" w:rsidP="00F04CAB"/>
    <w:p w14:paraId="532FFEEB" w14:textId="77777777" w:rsidR="00324BBB" w:rsidRDefault="00324BBB" w:rsidP="00324BBB">
      <w:pPr>
        <w:pStyle w:val="Heading2"/>
      </w:pPr>
      <w:bookmarkStart w:id="11" w:name="_Toc189483950"/>
      <w:r>
        <w:t>Clinical Research Compliance Team (CRCT)</w:t>
      </w:r>
      <w:bookmarkEnd w:id="11"/>
    </w:p>
    <w:p w14:paraId="73535EED" w14:textId="096FDDF0" w:rsidR="00324BBB" w:rsidRDefault="00324BBB" w:rsidP="00324BBB">
      <w:r>
        <w:t xml:space="preserve">The CRCT is part of the </w:t>
      </w:r>
      <w:r w:rsidR="00F53D65">
        <w:t>C</w:t>
      </w:r>
      <w:r>
        <w:t>M</w:t>
      </w:r>
      <w:r w:rsidR="00F53D65">
        <w:t>H</w:t>
      </w:r>
      <w:r>
        <w:t xml:space="preserve"> R&amp;KT Office. The CRCT has three core areas of focus: (1) developing and maintaining the QMS, (2) conducting compliance reviews, and (3) providing training and support. The CRCT cover </w:t>
      </w:r>
      <w:r w:rsidR="00AC6F4B">
        <w:t>all</w:t>
      </w:r>
      <w:r>
        <w:t xml:space="preserve"> the UoB’s clinical research activity, including any involving the use of human tissue. </w:t>
      </w:r>
    </w:p>
    <w:p w14:paraId="606D96F8" w14:textId="187E6984" w:rsidR="00324BBB" w:rsidRDefault="00324BBB" w:rsidP="00324BBB">
      <w:r>
        <w:t xml:space="preserve">The CRCT works closely together with </w:t>
      </w:r>
      <w:r w:rsidR="00D405E2">
        <w:t>REGI</w:t>
      </w:r>
      <w:r>
        <w:t xml:space="preserve"> to ensure new clinical research projects are set up in accordance with the UoB’s QMS. For independent chief investigator (CI)-managed CTIMPs, the CRCT can provide a service to perform on-site monitoring as per the trial-specific monitoring plan; it is expected this is suitably costed as part of the grant application process. The CRCT reports to the CTOC and the HTOC, and liaises with UoB staff where issues are noted, to ensure proper corrective and preventative action plans are put in place. </w:t>
      </w:r>
    </w:p>
    <w:p w14:paraId="67457F15" w14:textId="04183F4D" w:rsidR="00324BBB" w:rsidRDefault="00324BBB" w:rsidP="00324BBB">
      <w:r>
        <w:t xml:space="preserve">See the </w:t>
      </w:r>
      <w:bookmarkStart w:id="12" w:name="_Hlk86933872"/>
      <w:r w:rsidRPr="00324BBB">
        <w:fldChar w:fldCharType="begin"/>
      </w:r>
      <w:r w:rsidR="00F15F14">
        <w:instrText>HYPERLINK "https://www.birmingham.ac.uk/crct" \o "Link to CRCT"</w:instrText>
      </w:r>
      <w:r w:rsidRPr="00324BBB">
        <w:fldChar w:fldCharType="separate"/>
      </w:r>
      <w:r w:rsidRPr="00324BBB">
        <w:rPr>
          <w:rStyle w:val="Hyperlink"/>
        </w:rPr>
        <w:t>CRCT</w:t>
      </w:r>
      <w:r w:rsidRPr="00324BBB">
        <w:fldChar w:fldCharType="end"/>
      </w:r>
      <w:bookmarkEnd w:id="12"/>
      <w:r>
        <w:t xml:space="preserve"> webpages for more information. </w:t>
      </w:r>
    </w:p>
    <w:p w14:paraId="70294468" w14:textId="6943EB11" w:rsidR="00324BBB" w:rsidRDefault="00324BBB" w:rsidP="00324BBB">
      <w:pPr>
        <w:pStyle w:val="Heading2"/>
      </w:pPr>
      <w:bookmarkStart w:id="13" w:name="_Toc189483951"/>
      <w:r>
        <w:t xml:space="preserve">Research </w:t>
      </w:r>
      <w:r w:rsidR="00D405E2">
        <w:t xml:space="preserve">Ethics, </w:t>
      </w:r>
      <w:r>
        <w:t xml:space="preserve">Governance </w:t>
      </w:r>
      <w:r w:rsidR="00201133">
        <w:t xml:space="preserve">&amp; </w:t>
      </w:r>
      <w:r w:rsidR="00D405E2">
        <w:t xml:space="preserve">Integrity </w:t>
      </w:r>
      <w:r>
        <w:t>Team (R</w:t>
      </w:r>
      <w:r w:rsidR="00D405E2">
        <w:t>E</w:t>
      </w:r>
      <w:r>
        <w:t>G</w:t>
      </w:r>
      <w:r w:rsidR="00D405E2">
        <w:t>I</w:t>
      </w:r>
      <w:r>
        <w:t>)</w:t>
      </w:r>
      <w:bookmarkEnd w:id="13"/>
    </w:p>
    <w:p w14:paraId="7A324CAE" w14:textId="40435D7F" w:rsidR="00324BBB" w:rsidRDefault="00D02CDA" w:rsidP="00324BBB">
      <w:r>
        <w:t xml:space="preserve">REGI has brought together the former </w:t>
      </w:r>
      <w:r w:rsidR="00324BBB">
        <w:t xml:space="preserve">Research Governance Team and the Research Ethics Team </w:t>
      </w:r>
      <w:r>
        <w:t xml:space="preserve">as part of the establishment of the Research Strategy and </w:t>
      </w:r>
      <w:r w:rsidR="00201133">
        <w:t>Services</w:t>
      </w:r>
      <w:r>
        <w:t xml:space="preserve"> Division (RSSD)</w:t>
      </w:r>
      <w:r w:rsidR="00324BBB">
        <w:t xml:space="preserve">. </w:t>
      </w:r>
      <w:r>
        <w:t xml:space="preserve">REGI is </w:t>
      </w:r>
      <w:r w:rsidR="00324BBB">
        <w:t xml:space="preserve">led by the Head of Research Governance &amp; Integrity, </w:t>
      </w:r>
      <w:r>
        <w:t>who is the institutional Sponsor Representative</w:t>
      </w:r>
      <w:r w:rsidR="00324BBB">
        <w:t xml:space="preserve">. </w:t>
      </w:r>
      <w:r>
        <w:t xml:space="preserve">REGI </w:t>
      </w:r>
      <w:r w:rsidR="00324BBB">
        <w:t>are responsible for the UoB’s research sponsorship processes and the establishment of sound governance arrangements for any UoB-sponsored research. The R</w:t>
      </w:r>
      <w:r w:rsidR="008509F9">
        <w:t>E</w:t>
      </w:r>
      <w:r w:rsidR="00324BBB">
        <w:t>G</w:t>
      </w:r>
      <w:r w:rsidR="008509F9">
        <w:t>I</w:t>
      </w:r>
      <w:r w:rsidR="00324BBB">
        <w:t xml:space="preserve"> also oversees projects that are </w:t>
      </w:r>
      <w:r>
        <w:t>(co-)</w:t>
      </w:r>
      <w:r w:rsidR="00324BBB">
        <w:t xml:space="preserve">sponsored by the UoB and manages the UoB’s ethical-review process. </w:t>
      </w:r>
      <w:r w:rsidR="002B0D8B">
        <w:t>The UoB has three RECs supported by the REGI</w:t>
      </w:r>
      <w:r w:rsidR="004762FE">
        <w:t>:</w:t>
      </w:r>
      <w:r w:rsidR="002B0D8B">
        <w:t xml:space="preserve"> the </w:t>
      </w:r>
      <w:r w:rsidR="002B0D8B" w:rsidRPr="002B0D8B">
        <w:t>Science, Technology, Engineering and Mathematics (STEM) ethics committee</w:t>
      </w:r>
      <w:r w:rsidR="002B0D8B">
        <w:t xml:space="preserve">, the </w:t>
      </w:r>
      <w:r w:rsidR="002B0D8B" w:rsidRPr="002B0D8B">
        <w:t>Humanities and Social Sciences (H</w:t>
      </w:r>
      <w:r w:rsidR="002B0D8B">
        <w:t>a</w:t>
      </w:r>
      <w:r w:rsidR="002B0D8B" w:rsidRPr="002B0D8B">
        <w:t>SS) ethics committee and the Animal Welfare and Ethical Review Body (AWERB)</w:t>
      </w:r>
      <w:r w:rsidR="002B0D8B">
        <w:t>.</w:t>
      </w:r>
    </w:p>
    <w:p w14:paraId="76B495A3" w14:textId="5236B497" w:rsidR="00324BBB" w:rsidRDefault="00AE660F" w:rsidP="00324BBB">
      <w:r>
        <w:t>REGI</w:t>
      </w:r>
      <w:r w:rsidR="00324BBB">
        <w:t xml:space="preserve"> makes the initial decision on sponsorship, referring to the CTOC/HTOC as required. Where sponsorship is agreed, </w:t>
      </w:r>
      <w:r>
        <w:t>REGI</w:t>
      </w:r>
      <w:r w:rsidR="00324BBB">
        <w:t xml:space="preserve"> provides support to a clinical research project as the sponsor’s representative.  In this role it </w:t>
      </w:r>
      <w:r w:rsidR="00324BBB">
        <w:lastRenderedPageBreak/>
        <w:t>manages the process of insurance referrals, and it can provide support for e.g. developing a site agreement, signposting researchers to other available resources e.g. the CRCT, as appropriate.</w:t>
      </w:r>
    </w:p>
    <w:p w14:paraId="08DD73BF" w14:textId="44277116" w:rsidR="00324BBB" w:rsidRDefault="00324BBB" w:rsidP="00324BBB">
      <w:r>
        <w:t xml:space="preserve">See </w:t>
      </w:r>
      <w:hyperlink r:id="rId18" w:tooltip="Link to the REGI" w:history="1">
        <w:r w:rsidRPr="00324BBB">
          <w:rPr>
            <w:rStyle w:val="Hyperlink"/>
          </w:rPr>
          <w:t>R</w:t>
        </w:r>
        <w:r w:rsidR="00AE660F">
          <w:rPr>
            <w:rStyle w:val="Hyperlink"/>
          </w:rPr>
          <w:t>E</w:t>
        </w:r>
        <w:r w:rsidRPr="00324BBB">
          <w:rPr>
            <w:rStyle w:val="Hyperlink"/>
          </w:rPr>
          <w:t>G</w:t>
        </w:r>
        <w:r w:rsidR="00AE660F">
          <w:rPr>
            <w:rStyle w:val="Hyperlink"/>
          </w:rPr>
          <w:t>I</w:t>
        </w:r>
      </w:hyperlink>
      <w:r>
        <w:t xml:space="preserve"> for more information. </w:t>
      </w:r>
    </w:p>
    <w:p w14:paraId="32AE1EA9" w14:textId="3134CD10" w:rsidR="00324BBB" w:rsidRDefault="00324BBB" w:rsidP="00324BBB">
      <w:pPr>
        <w:pStyle w:val="Heading2"/>
      </w:pPr>
      <w:bookmarkStart w:id="14" w:name="_Toc189483952"/>
      <w:r>
        <w:t>Research</w:t>
      </w:r>
      <w:r w:rsidR="00201133">
        <w:t xml:space="preserve"> Strategy &amp; </w:t>
      </w:r>
      <w:r>
        <w:t>Services</w:t>
      </w:r>
      <w:r w:rsidR="00201133">
        <w:t xml:space="preserve"> D</w:t>
      </w:r>
      <w:r w:rsidR="00D93670">
        <w:t>ivision</w:t>
      </w:r>
      <w:r>
        <w:t xml:space="preserve"> (RSS</w:t>
      </w:r>
      <w:r w:rsidR="00201133">
        <w:t>D</w:t>
      </w:r>
      <w:r>
        <w:t>)</w:t>
      </w:r>
      <w:bookmarkEnd w:id="14"/>
    </w:p>
    <w:p w14:paraId="5CDAFCAE" w14:textId="556D0B5B" w:rsidR="00324BBB" w:rsidRDefault="00201133" w:rsidP="00324BBB">
      <w:r>
        <w:t>The RSSD</w:t>
      </w:r>
      <w:r w:rsidR="00324BBB">
        <w:t xml:space="preserve"> provide a range of pre- and post-award support services to the university’s research community (including clinical research). This includes, but is not limited to, the Research Development Support Team, Research Grant Set-up and Support Team, Research Finance Team, and Research Contracts Team</w:t>
      </w:r>
      <w:r>
        <w:t xml:space="preserve">, which is deliveries via College Hubs and underpinned by cross-college services.  </w:t>
      </w:r>
      <w:r w:rsidR="00324BBB">
        <w:t xml:space="preserve"> </w:t>
      </w:r>
    </w:p>
    <w:p w14:paraId="18FAFC1E" w14:textId="382A44D1" w:rsidR="00324BBB" w:rsidRDefault="00324BBB" w:rsidP="00324BBB">
      <w:r>
        <w:t xml:space="preserve">See the </w:t>
      </w:r>
      <w:hyperlink r:id="rId19" w:tooltip="Link to the RSSD" w:history="1">
        <w:r w:rsidRPr="00324BBB">
          <w:rPr>
            <w:rStyle w:val="Hyperlink"/>
          </w:rPr>
          <w:t>RS</w:t>
        </w:r>
        <w:r w:rsidR="00201133">
          <w:rPr>
            <w:rStyle w:val="Hyperlink"/>
          </w:rPr>
          <w:t>SD</w:t>
        </w:r>
      </w:hyperlink>
      <w:r>
        <w:t xml:space="preserve"> </w:t>
      </w:r>
      <w:r w:rsidR="00B63EFB">
        <w:t xml:space="preserve">(UoB login required) </w:t>
      </w:r>
      <w:r>
        <w:t xml:space="preserve">for more information. </w:t>
      </w:r>
    </w:p>
    <w:p w14:paraId="0C7AEC80" w14:textId="7B146BE3" w:rsidR="00324BBB" w:rsidRDefault="00324BBB" w:rsidP="00324BBB">
      <w:pPr>
        <w:pStyle w:val="Heading1"/>
      </w:pPr>
      <w:bookmarkStart w:id="15" w:name="_Toc189483953"/>
      <w:r>
        <w:t xml:space="preserve">Policy on a </w:t>
      </w:r>
      <w:r w:rsidR="00B92DA9">
        <w:t>quality management system (</w:t>
      </w:r>
      <w:r>
        <w:t>QMS</w:t>
      </w:r>
      <w:r w:rsidR="00B92DA9">
        <w:t>)</w:t>
      </w:r>
      <w:bookmarkEnd w:id="15"/>
    </w:p>
    <w:p w14:paraId="62CF93B5" w14:textId="50C60330" w:rsidR="00324BBB" w:rsidRDefault="00324BBB" w:rsidP="00324BBB">
      <w:r>
        <w:t xml:space="preserve">The UoB QMS has been designed to cover clinical research activity (including work with human tissue) carried out at, or conducted by, the UoB. See </w:t>
      </w:r>
      <w:hyperlink r:id="rId20" w:tooltip="Link to UoB QMS">
        <w:r w:rsidR="00C827C6" w:rsidRPr="00C827C6">
          <w:rPr>
            <w:rStyle w:val="Hyperlink"/>
          </w:rPr>
          <w:t>UoB QMS</w:t>
        </w:r>
      </w:hyperlink>
      <w:r>
        <w:t xml:space="preserve"> to access all related documents. Within the UoB there are many other areas of activity that work with written processes/policies (e.g. relating to GMP, teaching, and animal research). These areas of activity fall outside of the remit of the clinical research QMS and are managed and maintained independently of it. Other areas/departments may choose to refer to (parts of) the UoB QMS for clinical research within their own documentation. </w:t>
      </w:r>
    </w:p>
    <w:p w14:paraId="50628336" w14:textId="107B4BC3" w:rsidR="00324BBB" w:rsidRDefault="00324BBB" w:rsidP="00324BBB">
      <w:r>
        <w:t>In this quality manual and in any other documents referring to this quality manual, it can be taken that the UoB QMS is a collection of policies, standard operating procedures (SOPs) and where applicable, mandatory quality control documents (QCDs), that must be adhered to. The UoB QMS reflects four levels</w:t>
      </w:r>
      <w:r w:rsidR="000C7208">
        <w:t>,</w:t>
      </w:r>
      <w:r>
        <w:t xml:space="preserve"> as shown in Figure 2 and are described below.</w:t>
      </w:r>
    </w:p>
    <w:p w14:paraId="1CA6EAD3" w14:textId="69256A26" w:rsidR="00324BBB" w:rsidRDefault="00324BBB" w:rsidP="00324BBB">
      <w:r>
        <w:t xml:space="preserve">Note: </w:t>
      </w:r>
      <w:proofErr w:type="gramStart"/>
      <w:r>
        <w:t>the</w:t>
      </w:r>
      <w:proofErr w:type="gramEnd"/>
      <w:r>
        <w:t xml:space="preserve"> UoB QMS is a live system and is continuously under review and development. In the event where two documents present conflicting statements, the document with the latest effective date (i.e. most recently issued) is deemed to supersede the statement in the opposing document (unless informed otherwise by the CRCT). Where any conflicting statements are identified, these should be reported to the CRCT (</w:t>
      </w:r>
      <w:hyperlink r:id="rId21" w:tooltip="CRCT email" w:history="1">
        <w:r w:rsidR="00C827C6" w:rsidRPr="00C827C6">
          <w:rPr>
            <w:rStyle w:val="Hyperlink"/>
          </w:rPr>
          <w:t>crct@contacts.bham.ac.uk</w:t>
        </w:r>
      </w:hyperlink>
      <w:r>
        <w:t>). Similarly, if a change to a process is required, a request should be made to the CRCT.</w:t>
      </w:r>
    </w:p>
    <w:p w14:paraId="35785A43" w14:textId="77777777" w:rsidR="005D56D3" w:rsidRDefault="005D56D3" w:rsidP="00324BBB"/>
    <w:p w14:paraId="288FDF55" w14:textId="5B6629BE" w:rsidR="00835AD2" w:rsidRDefault="005D56D3" w:rsidP="005D56D3">
      <w:pPr>
        <w:jc w:val="center"/>
      </w:pPr>
      <w:r>
        <w:rPr>
          <w:noProof/>
        </w:rPr>
        <w:drawing>
          <wp:inline distT="0" distB="0" distL="0" distR="0" wp14:anchorId="4E210618" wp14:editId="55FA014C">
            <wp:extent cx="4235096" cy="3407434"/>
            <wp:effectExtent l="0" t="0" r="0" b="2540"/>
            <wp:docPr id="169949825" name="Picture 5" descr="Overview of the UoB quality management system (QMS). Key details included in the body of thi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9825" name="Picture 5" descr="Overview of the UoB quality management system (QMS). Key details included in the body of this docum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46500" cy="3416609"/>
                    </a:xfrm>
                    <a:prstGeom prst="rect">
                      <a:avLst/>
                    </a:prstGeom>
                    <a:noFill/>
                  </pic:spPr>
                </pic:pic>
              </a:graphicData>
            </a:graphic>
          </wp:inline>
        </w:drawing>
      </w:r>
    </w:p>
    <w:p w14:paraId="4AAC69CA" w14:textId="77777777" w:rsidR="005D56D3" w:rsidRDefault="005D56D3" w:rsidP="00835AD2">
      <w:pPr>
        <w:rPr>
          <w:b/>
          <w:bCs/>
        </w:rPr>
      </w:pPr>
    </w:p>
    <w:p w14:paraId="2AB437EF" w14:textId="71A0A7AC" w:rsidR="00324BBB" w:rsidRDefault="00324BBB" w:rsidP="00835AD2">
      <w:r w:rsidRPr="00324BBB">
        <w:rPr>
          <w:b/>
          <w:bCs/>
        </w:rPr>
        <w:t>Figure 2. Overview of the UoB QMS.</w:t>
      </w:r>
      <w:r w:rsidRPr="00324BBB">
        <w:t xml:space="preserve"> See abbreviation table </w:t>
      </w:r>
      <w:r w:rsidR="00075E80" w:rsidRPr="00D93670">
        <w:rPr>
          <w:rStyle w:val="SectionrefChar"/>
        </w:rPr>
        <w:fldChar w:fldCharType="begin"/>
      </w:r>
      <w:r w:rsidR="00075E80" w:rsidRPr="00D93670">
        <w:rPr>
          <w:rStyle w:val="SectionrefChar"/>
        </w:rPr>
        <w:instrText xml:space="preserve"> REF _Ref166847223 \p \h </w:instrText>
      </w:r>
      <w:r w:rsidR="00075E80">
        <w:rPr>
          <w:rStyle w:val="SectionrefChar"/>
        </w:rPr>
        <w:instrText xml:space="preserve"> \* MERGEFORMAT </w:instrText>
      </w:r>
      <w:r w:rsidR="00075E80" w:rsidRPr="00D93670">
        <w:rPr>
          <w:rStyle w:val="SectionrefChar"/>
        </w:rPr>
      </w:r>
      <w:r w:rsidR="00075E80" w:rsidRPr="00D93670">
        <w:rPr>
          <w:rStyle w:val="SectionrefChar"/>
        </w:rPr>
        <w:fldChar w:fldCharType="separate"/>
      </w:r>
      <w:r w:rsidR="00075E80">
        <w:rPr>
          <w:rStyle w:val="SectionrefChar"/>
        </w:rPr>
        <w:t>belo</w:t>
      </w:r>
      <w:r w:rsidR="00075E80">
        <w:rPr>
          <w:rStyle w:val="SectionrefChar"/>
        </w:rPr>
        <w:t>w</w:t>
      </w:r>
      <w:r w:rsidR="00075E80" w:rsidRPr="00D93670">
        <w:rPr>
          <w:rStyle w:val="SectionrefChar"/>
        </w:rPr>
        <w:fldChar w:fldCharType="end"/>
      </w:r>
      <w:r w:rsidRPr="00324BBB">
        <w:t>.</w:t>
      </w:r>
    </w:p>
    <w:p w14:paraId="20F71EE8" w14:textId="3B4D78F5" w:rsidR="00324BBB" w:rsidRDefault="00324BBB" w:rsidP="00324BBB">
      <w:pPr>
        <w:pStyle w:val="Heading2"/>
      </w:pPr>
      <w:bookmarkStart w:id="16" w:name="_Toc189483954"/>
      <w:r>
        <w:lastRenderedPageBreak/>
        <w:t xml:space="preserve">Level 1: </w:t>
      </w:r>
      <w:r w:rsidR="00523A04">
        <w:t>N</w:t>
      </w:r>
      <w:r>
        <w:t xml:space="preserve">ational </w:t>
      </w:r>
      <w:r w:rsidRPr="00523A04">
        <w:t>and</w:t>
      </w:r>
      <w:r>
        <w:t xml:space="preserve"> international standards </w:t>
      </w:r>
      <w:r w:rsidR="00B92DA9">
        <w:t xml:space="preserve">&amp; </w:t>
      </w:r>
      <w:r>
        <w:t>regulations</w:t>
      </w:r>
      <w:bookmarkEnd w:id="16"/>
    </w:p>
    <w:p w14:paraId="436964F3" w14:textId="77777777" w:rsidR="00324BBB" w:rsidRDefault="00324BBB" w:rsidP="00324BBB">
      <w:r>
        <w:t xml:space="preserve">Clinical research (in particular, clinical trials) is governed by regulatory requirements, internationally accepted standards and governance frameworks, all with the </w:t>
      </w:r>
      <w:proofErr w:type="gramStart"/>
      <w:r>
        <w:t>ultimate aim</w:t>
      </w:r>
      <w:proofErr w:type="gramEnd"/>
      <w:r>
        <w:t xml:space="preserve"> to ensure participants’ safety and data quality. Any UoB staff member involved in clinical research must familiarise themselves with, and adhere to, any applicable regulations, standards and governance frameworks. </w:t>
      </w:r>
    </w:p>
    <w:p w14:paraId="2752AFF5" w14:textId="3D52A0BC" w:rsidR="00324BBB" w:rsidRDefault="00324BBB" w:rsidP="00324BBB">
      <w:r>
        <w:t>The development and maintenance of the UoB QMS is informed by (but not limited to) the following regulations, standards and governance frameworks (and subsequent amendments):</w:t>
      </w:r>
    </w:p>
    <w:p w14:paraId="75F4CD59" w14:textId="1E04DBD8" w:rsidR="00324BBB" w:rsidRPr="00324BBB" w:rsidRDefault="00B63EFB" w:rsidP="00324BBB">
      <w:pPr>
        <w:pStyle w:val="bullet10"/>
      </w:pPr>
      <w:hyperlink r:id="rId23" w:tooltip="Link to the UK Policy Framework for Health and Social Care Research" w:history="1">
        <w:r w:rsidRPr="00B63EFB">
          <w:rPr>
            <w:rStyle w:val="Hyperlink"/>
          </w:rPr>
          <w:t>UK Policy Framework for Health and Social Care Research</w:t>
        </w:r>
      </w:hyperlink>
    </w:p>
    <w:p w14:paraId="4B76B9A8" w14:textId="3AAD7C8A" w:rsidR="00324BBB" w:rsidRPr="00324BBB" w:rsidRDefault="00324BBB" w:rsidP="00324BBB">
      <w:pPr>
        <w:pStyle w:val="bullet10"/>
      </w:pPr>
      <w:hyperlink r:id="rId24" w:tooltip="Link to the Medicines for Human Use (Clinical Trials) Regulations 2004 (UK SI 2004 No. 1031)">
        <w:r w:rsidRPr="00324BBB">
          <w:rPr>
            <w:rStyle w:val="Hyperlink"/>
          </w:rPr>
          <w:t xml:space="preserve">The Medicines for Human Use (Clinical Trials) Regulations 2004 </w:t>
        </w:r>
        <w:r w:rsidR="00816A33">
          <w:rPr>
            <w:rStyle w:val="Hyperlink"/>
          </w:rPr>
          <w:t xml:space="preserve">(as amended) </w:t>
        </w:r>
        <w:r w:rsidRPr="00324BBB">
          <w:rPr>
            <w:rStyle w:val="Hyperlink"/>
          </w:rPr>
          <w:t>(UK SI 2004 No. 1031)</w:t>
        </w:r>
      </w:hyperlink>
    </w:p>
    <w:p w14:paraId="24BD3248" w14:textId="12408D51" w:rsidR="00324BBB" w:rsidRPr="00324BBB" w:rsidRDefault="00324BBB" w:rsidP="00324BBB">
      <w:pPr>
        <w:pStyle w:val="bullet10"/>
      </w:pPr>
      <w:hyperlink r:id="rId25" w:tooltip="Link to the Medical Devices Regulations 2002 (UK SI 2002 No. 618)">
        <w:r w:rsidRPr="00324BBB">
          <w:rPr>
            <w:rStyle w:val="Hyperlink"/>
          </w:rPr>
          <w:t>The Medical Devices Regulations 2002 (UK SI 2002 No. 618)</w:t>
        </w:r>
      </w:hyperlink>
    </w:p>
    <w:p w14:paraId="093EBC3E" w14:textId="014FAFAB" w:rsidR="00324BBB" w:rsidRPr="00F63F7F" w:rsidRDefault="00324BBB" w:rsidP="00324BBB">
      <w:pPr>
        <w:pStyle w:val="bullet10"/>
        <w:rPr>
          <w:rStyle w:val="Hyperlink"/>
          <w:color w:val="auto"/>
          <w:u w:val="none"/>
        </w:rPr>
      </w:pPr>
      <w:hyperlink r:id="rId26" w:tooltip="Link to the Data Protection Act 2018">
        <w:r w:rsidRPr="00324BBB">
          <w:rPr>
            <w:rStyle w:val="Hyperlink"/>
          </w:rPr>
          <w:t>Data Protection Act 2018</w:t>
        </w:r>
      </w:hyperlink>
    </w:p>
    <w:p w14:paraId="12208229" w14:textId="0459ABAA" w:rsidR="001926BF" w:rsidRPr="00324BBB" w:rsidRDefault="001926BF" w:rsidP="00324BBB">
      <w:pPr>
        <w:pStyle w:val="bullet10"/>
      </w:pPr>
      <w:hyperlink r:id="rId27" w:tooltip="UK General Data Protection Regulation" w:history="1">
        <w:r w:rsidRPr="001926BF">
          <w:rPr>
            <w:rStyle w:val="Hyperlink"/>
          </w:rPr>
          <w:t>UK General Data Protection Regulatio</w:t>
        </w:r>
        <w:r w:rsidR="00193A69">
          <w:rPr>
            <w:rStyle w:val="Hyperlink"/>
          </w:rPr>
          <w:t>n (GDPR)</w:t>
        </w:r>
      </w:hyperlink>
    </w:p>
    <w:p w14:paraId="46C83FF5" w14:textId="77777777" w:rsidR="00324BBB" w:rsidRPr="00324BBB" w:rsidRDefault="00324BBB" w:rsidP="00324BBB">
      <w:pPr>
        <w:pStyle w:val="bullet10"/>
      </w:pPr>
      <w:hyperlink r:id="rId28" w:tooltip="Link to the Mental Capacity Act 2005">
        <w:r w:rsidRPr="00324BBB">
          <w:rPr>
            <w:rStyle w:val="Hyperlink"/>
          </w:rPr>
          <w:t>Mental Capacity Act 2005</w:t>
        </w:r>
      </w:hyperlink>
    </w:p>
    <w:p w14:paraId="0B4A8501" w14:textId="77777777" w:rsidR="00324BBB" w:rsidRPr="00324BBB" w:rsidRDefault="00324BBB" w:rsidP="00324BBB">
      <w:pPr>
        <w:pStyle w:val="bullet10"/>
      </w:pPr>
      <w:hyperlink r:id="rId29" w:tooltip="Link to the Human Tissue Act 2004">
        <w:r w:rsidRPr="00324BBB">
          <w:rPr>
            <w:rStyle w:val="Hyperlink"/>
          </w:rPr>
          <w:t>Human Tissue Act 2004</w:t>
        </w:r>
      </w:hyperlink>
    </w:p>
    <w:p w14:paraId="44DD3986" w14:textId="443D8A2E" w:rsidR="00324BBB" w:rsidRPr="00324BBB" w:rsidRDefault="00324BBB" w:rsidP="00324BBB">
      <w:pPr>
        <w:pStyle w:val="bullet10"/>
      </w:pPr>
      <w:hyperlink r:id="rId30" w:tooltip="Link to the HTA Codes of Practice">
        <w:r w:rsidRPr="00324BBB">
          <w:rPr>
            <w:rStyle w:val="Hyperlink"/>
          </w:rPr>
          <w:t>HTA Codes of Practice</w:t>
        </w:r>
      </w:hyperlink>
    </w:p>
    <w:p w14:paraId="75F4B26D" w14:textId="6DFF159C" w:rsidR="00324BBB" w:rsidRPr="00324BBB" w:rsidRDefault="00324BBB" w:rsidP="00324BBB">
      <w:pPr>
        <w:pStyle w:val="bullet10"/>
      </w:pPr>
      <w:hyperlink r:id="rId31" w:tooltip="Link to the ICH: Guidelines for GCP E6(R2)">
        <w:r w:rsidRPr="00324BBB">
          <w:rPr>
            <w:rStyle w:val="Hyperlink"/>
          </w:rPr>
          <w:t>International Council on Harmonisation (ICH): Guidelines for GCP E6(R2)</w:t>
        </w:r>
      </w:hyperlink>
    </w:p>
    <w:p w14:paraId="476DFD41" w14:textId="237AAB20" w:rsidR="00324BBB" w:rsidRDefault="00324BBB" w:rsidP="00324BBB">
      <w:pPr>
        <w:pStyle w:val="bullet10"/>
      </w:pPr>
      <w:hyperlink r:id="rId32" w:tooltip="Link to the European Medical Agency - Reflection paper for laboratories that perform the analyses or evaluation of clinical trial samples">
        <w:r w:rsidRPr="00324BBB">
          <w:rPr>
            <w:rStyle w:val="Hyperlink"/>
          </w:rPr>
          <w:t>European Medical Agency - Reflection paper for laboratories that perform the analyses or evaluation of clinical trial samples (PDF - 13</w:t>
        </w:r>
        <w:r w:rsidR="00FA15FB">
          <w:rPr>
            <w:rStyle w:val="Hyperlink"/>
          </w:rPr>
          <w:t>5</w:t>
        </w:r>
        <w:r w:rsidRPr="00324BBB">
          <w:rPr>
            <w:rStyle w:val="Hyperlink"/>
          </w:rPr>
          <w:t xml:space="preserve"> KB)</w:t>
        </w:r>
      </w:hyperlink>
      <w:r w:rsidRPr="00324BBB">
        <w:t>.</w:t>
      </w:r>
    </w:p>
    <w:p w14:paraId="7D4FE2E1" w14:textId="07EACEDF" w:rsidR="00733973" w:rsidRPr="00324BBB" w:rsidRDefault="00733973" w:rsidP="00733973">
      <w:r>
        <w:t>It should be noted that the UoB QMS has not been assessed or confirm</w:t>
      </w:r>
      <w:r w:rsidR="00C92A09">
        <w:t>ed</w:t>
      </w:r>
      <w:r>
        <w:t xml:space="preserve"> to meet the requirements of ICH GCP E6(R2) nor any </w:t>
      </w:r>
      <w:r w:rsidR="008C1D56">
        <w:t>standards by the International Organisation for Standardisation (</w:t>
      </w:r>
      <w:r>
        <w:t>ISO</w:t>
      </w:r>
      <w:r w:rsidR="008C1D56">
        <w:t>)</w:t>
      </w:r>
      <w:r>
        <w:t xml:space="preserve">. Users of the of UoB QMS should not </w:t>
      </w:r>
      <w:r w:rsidR="00C92A09">
        <w:t>commit</w:t>
      </w:r>
      <w:r>
        <w:t xml:space="preserve"> to work</w:t>
      </w:r>
      <w:r w:rsidR="00C92A09">
        <w:t>ing</w:t>
      </w:r>
      <w:r>
        <w:t xml:space="preserve"> to these standards without a formal review against the relevant requirements.  </w:t>
      </w:r>
    </w:p>
    <w:p w14:paraId="12E089C0" w14:textId="117B538F" w:rsidR="00324BBB" w:rsidRDefault="00324BBB" w:rsidP="00324BBB">
      <w:pPr>
        <w:pStyle w:val="Heading2"/>
      </w:pPr>
      <w:bookmarkStart w:id="17" w:name="_Toc189483955"/>
      <w:r>
        <w:t>Level 2: University legislation</w:t>
      </w:r>
      <w:bookmarkEnd w:id="17"/>
      <w:r>
        <w:t xml:space="preserve"> </w:t>
      </w:r>
    </w:p>
    <w:p w14:paraId="4B114259" w14:textId="560EF16A" w:rsidR="00324BBB" w:rsidRDefault="00324BBB" w:rsidP="00324BBB">
      <w:r>
        <w:t>The University's legislation addresses matters of institutional governance and organisation. It consists of the charter, statutes, ordinances and regulations, and codes of practice. All members of staff and students are subject to the legislation. These also inform the development and maintenance of the UoB QMS and include (but are not limited to) the codes of practice and policies listed below.</w:t>
      </w:r>
    </w:p>
    <w:p w14:paraId="702B21A0" w14:textId="25FCFD17" w:rsidR="00324BBB" w:rsidRDefault="00324BBB" w:rsidP="00324BBB">
      <w:pPr>
        <w:pStyle w:val="bullet10"/>
      </w:pPr>
      <w:hyperlink r:id="rId33" w:tooltip="Link to the UoB Code of Ethics">
        <w:r w:rsidRPr="00324BBB">
          <w:rPr>
            <w:rStyle w:val="Hyperlink"/>
          </w:rPr>
          <w:t xml:space="preserve">UoB Code of Ethics (PDF – </w:t>
        </w:r>
        <w:r w:rsidR="00FA15FB">
          <w:rPr>
            <w:rStyle w:val="Hyperlink"/>
          </w:rPr>
          <w:t>360</w:t>
        </w:r>
        <w:r w:rsidRPr="00324BBB">
          <w:rPr>
            <w:rStyle w:val="Hyperlink"/>
          </w:rPr>
          <w:t xml:space="preserve"> KB)</w:t>
        </w:r>
      </w:hyperlink>
      <w:r>
        <w:t xml:space="preserve">. This code of practice is designed to provide an accessible, overarching guide to ethical conduct of activities at the UoB. For research, staff must be honest, accountable and lawful in respect of their own research, as well as that of their students, and others working with them on research. Responsible ethical conduct is expected in all aspects of research including applying for funding, experimental design, generating and analysing data, using equipment and facilities, publishing results, and acknowledging the direct and indirect contribution of colleagues, collaborators and others. </w:t>
      </w:r>
    </w:p>
    <w:p w14:paraId="41B5FA66" w14:textId="16505663" w:rsidR="00324BBB" w:rsidRDefault="00324BBB" w:rsidP="00324BBB">
      <w:pPr>
        <w:pStyle w:val="bullet10"/>
      </w:pPr>
      <w:hyperlink r:id="rId34" w:tooltip="Link to the UoB Code of Practice for Research">
        <w:r w:rsidRPr="00324BBB">
          <w:rPr>
            <w:rStyle w:val="Hyperlink"/>
          </w:rPr>
          <w:t xml:space="preserve">UoB Code of Practice for Research (PDF – </w:t>
        </w:r>
        <w:r w:rsidR="00FA15FB">
          <w:rPr>
            <w:rStyle w:val="Hyperlink"/>
          </w:rPr>
          <w:t>3</w:t>
        </w:r>
        <w:r w:rsidR="00B837B7">
          <w:rPr>
            <w:rStyle w:val="Hyperlink"/>
          </w:rPr>
          <w:t>82</w:t>
        </w:r>
        <w:r w:rsidRPr="00324BBB">
          <w:rPr>
            <w:rStyle w:val="Hyperlink"/>
          </w:rPr>
          <w:t xml:space="preserve"> KB)</w:t>
        </w:r>
      </w:hyperlink>
      <w:r>
        <w:t>. This code of practice provides a framework for the governance of all research throughout the university. The university is committed to research excellence and to the rigorous pursuit of new knowledge. As such it is committed to maintaining the highest standards of scholarly and scientific integrity in its research. It expects all researchers to work to these standards.</w:t>
      </w:r>
    </w:p>
    <w:p w14:paraId="7D53FDE2" w14:textId="230ED681" w:rsidR="00324BBB" w:rsidRDefault="00324BBB" w:rsidP="00324BBB">
      <w:pPr>
        <w:pStyle w:val="bullet10"/>
      </w:pPr>
      <w:hyperlink r:id="rId35" w:tooltip="Link to the UoB Data Protection Policy">
        <w:r w:rsidRPr="00324BBB">
          <w:rPr>
            <w:rStyle w:val="Hyperlink"/>
          </w:rPr>
          <w:t xml:space="preserve">UoB Data Protection Policy (PDF – </w:t>
        </w:r>
        <w:r w:rsidR="00B837B7">
          <w:rPr>
            <w:rStyle w:val="Hyperlink"/>
          </w:rPr>
          <w:t>188</w:t>
        </w:r>
        <w:r w:rsidRPr="00324BBB">
          <w:rPr>
            <w:rStyle w:val="Hyperlink"/>
          </w:rPr>
          <w:t xml:space="preserve"> KB)</w:t>
        </w:r>
      </w:hyperlink>
      <w:r>
        <w:t xml:space="preserve">. This policy sets out the university’s requirements as data controller when processing personal data. It is designed to protect the accuracy, integrity, and confidentiality of personal data and to ensure that individuals </w:t>
      </w:r>
      <w:proofErr w:type="gramStart"/>
      <w:r>
        <w:t>are able to</w:t>
      </w:r>
      <w:proofErr w:type="gramEnd"/>
      <w:r>
        <w:t xml:space="preserve"> exercise their rights. All data users must comply with this policy when processing personal data on behalf of the university.</w:t>
      </w:r>
    </w:p>
    <w:p w14:paraId="7631F79A" w14:textId="0B47D1BB" w:rsidR="00324BBB" w:rsidRDefault="00324BBB" w:rsidP="00324BBB">
      <w:pPr>
        <w:pStyle w:val="bullet10"/>
      </w:pPr>
      <w:hyperlink r:id="rId36" w:tooltip="Link to the UoB Information Security and Management Policy" w:history="1">
        <w:r w:rsidRPr="00324BBB">
          <w:rPr>
            <w:rStyle w:val="Hyperlink"/>
          </w:rPr>
          <w:t>UoB Information Security and Management Policy</w:t>
        </w:r>
      </w:hyperlink>
      <w:r w:rsidR="009A7025">
        <w:t xml:space="preserve"> (UoB login required).</w:t>
      </w:r>
      <w:r>
        <w:t xml:space="preserve"> This policy aims to maintain and improve the security of UoB systems, and the quality of UoB data. It aims to do this by improving the data capability and awareness of UoB staff, students, and other users of the university’s data or computing and networking facilities and ensuring that they are supported by appropriate tools and processes.</w:t>
      </w:r>
    </w:p>
    <w:p w14:paraId="4B51771C" w14:textId="248CB21F" w:rsidR="00324BBB" w:rsidRDefault="00324BBB" w:rsidP="00324BBB">
      <w:pPr>
        <w:pStyle w:val="Heading2"/>
      </w:pPr>
      <w:bookmarkStart w:id="18" w:name="_Toc189483956"/>
      <w:r>
        <w:t xml:space="preserve">Level 3: </w:t>
      </w:r>
      <w:r w:rsidR="00DB69B5">
        <w:t xml:space="preserve">University </w:t>
      </w:r>
      <w:r>
        <w:t xml:space="preserve">policies </w:t>
      </w:r>
      <w:r w:rsidR="00B92DA9">
        <w:t>&amp; standard operating procedures (</w:t>
      </w:r>
      <w:r>
        <w:t>SOPs</w:t>
      </w:r>
      <w:r w:rsidR="00B92DA9">
        <w:t>)</w:t>
      </w:r>
      <w:bookmarkEnd w:id="18"/>
    </w:p>
    <w:p w14:paraId="0F534EBB" w14:textId="77777777" w:rsidR="00324BBB" w:rsidRDefault="00324BBB" w:rsidP="00324BBB">
      <w:pPr>
        <w:pStyle w:val="Heading3"/>
      </w:pPr>
      <w:r>
        <w:t>Policies</w:t>
      </w:r>
    </w:p>
    <w:p w14:paraId="0A002272" w14:textId="77777777" w:rsidR="00324BBB" w:rsidRDefault="00324BBB" w:rsidP="00324BBB">
      <w:r>
        <w:t xml:space="preserve">Policies are developed to describe the UoB’s approach to areas that are regulated; they explain why the UoB has its procedures. Where regulatory requirements are not explicitly prescriptive (e.g. they do not detail an implementation method), a policy may be developed to specify the way in which the UoB will meet the </w:t>
      </w:r>
      <w:r>
        <w:lastRenderedPageBreak/>
        <w:t xml:space="preserve">requirements.  A policy may also be developed when the UoB’s position on an issue or area is still undetermined, but that issue or area would normally be documented within the UoB QMS. </w:t>
      </w:r>
    </w:p>
    <w:p w14:paraId="42361FF8" w14:textId="77777777" w:rsidR="00324BBB" w:rsidRDefault="00324BBB" w:rsidP="00324BBB">
      <w:r>
        <w:t>This quality manual collates policies relating to the UoB QMS and its development. The development of the UoB QMS is led by the CRCT. This quality manual, and any other policies that form part of the UoB QMS, are approved by the CTOC and HTOC. This quality manual, and any other policies outside this quality manual that form part of the UoB QMS, have the code ‘POL’.</w:t>
      </w:r>
    </w:p>
    <w:p w14:paraId="31753B8B" w14:textId="112BE99E" w:rsidR="00324BBB" w:rsidRDefault="00B92DA9" w:rsidP="00324BBB">
      <w:pPr>
        <w:pStyle w:val="Heading3"/>
      </w:pPr>
      <w:r>
        <w:t>Standard operation procedures (</w:t>
      </w:r>
      <w:r w:rsidR="00324BBB">
        <w:t>SOPs</w:t>
      </w:r>
      <w:r>
        <w:t>)</w:t>
      </w:r>
    </w:p>
    <w:p w14:paraId="797A2427" w14:textId="1AE986EA" w:rsidR="00324BBB" w:rsidRDefault="00324BBB" w:rsidP="00324BBB">
      <w:r>
        <w:t>SOP</w:t>
      </w:r>
      <w:r w:rsidR="00F5232E">
        <w:t>s</w:t>
      </w:r>
      <w:r>
        <w:t xml:space="preserve"> </w:t>
      </w:r>
      <w:r w:rsidR="00F5232E">
        <w:t>are</w:t>
      </w:r>
      <w:r>
        <w:t xml:space="preserve"> a set of detailed written instructions designed to encourage best practice and help users standardise the performance of specific functions. It defines tasks, allocates responsibilities, details </w:t>
      </w:r>
      <w:proofErr w:type="gramStart"/>
      <w:r>
        <w:t>processes</w:t>
      </w:r>
      <w:proofErr w:type="gramEnd"/>
      <w:r>
        <w:t>, indicates documents and templates to be used, and cross-references to other work instructions, guidance or policy documents. SOPs provide standards against which the UoB may be audited or inspected. Where applicable, SOPs will include instructions from relevant regulations, standards, guidelines, and any other pertinent policies. By adhering to a SOP, the user will be compliant with all applicable requirements</w:t>
      </w:r>
      <w:r w:rsidR="00DB69B5">
        <w:t xml:space="preserve"> relevant to the scope of the SOP</w:t>
      </w:r>
      <w:r>
        <w:t xml:space="preserve">. </w:t>
      </w:r>
    </w:p>
    <w:p w14:paraId="5DC9D225" w14:textId="77777777" w:rsidR="00324BBB" w:rsidRDefault="00324BBB" w:rsidP="00324BBB">
      <w:r>
        <w:t>The development of SOPs within the UoB QMS is led by the CRCT. Expert advice is requested as appropriate, and SOP review is performed by experts in the field. SOPs are approved by the CTOC and/or the HTOC, as per the UoB QMS Management Plan. SOPs as part of the UoB QMS have the code ‘SOP’.</w:t>
      </w:r>
    </w:p>
    <w:p w14:paraId="228FB786" w14:textId="18D6F7DB" w:rsidR="00324BBB" w:rsidRDefault="00324BBB" w:rsidP="00B5407B">
      <w:pPr>
        <w:pStyle w:val="Heading2"/>
      </w:pPr>
      <w:bookmarkStart w:id="19" w:name="_Toc189483957"/>
      <w:r>
        <w:t xml:space="preserve">Level 4: </w:t>
      </w:r>
      <w:r w:rsidR="00DB69B5">
        <w:t xml:space="preserve">University </w:t>
      </w:r>
      <w:r w:rsidR="00B92DA9">
        <w:t>quality control documents (</w:t>
      </w:r>
      <w:r>
        <w:t>QCDs</w:t>
      </w:r>
      <w:r w:rsidR="00B92DA9">
        <w:t>)</w:t>
      </w:r>
      <w:r>
        <w:t xml:space="preserve"> &amp; work instructions</w:t>
      </w:r>
      <w:bookmarkEnd w:id="19"/>
      <w:r w:rsidR="00DB69B5">
        <w:t xml:space="preserve"> </w:t>
      </w:r>
    </w:p>
    <w:p w14:paraId="7E806099" w14:textId="070984BE" w:rsidR="00324BBB" w:rsidRDefault="00B92DA9" w:rsidP="00B5407B">
      <w:pPr>
        <w:pStyle w:val="Heading3"/>
      </w:pPr>
      <w:r>
        <w:t>Quality control documents (</w:t>
      </w:r>
      <w:r w:rsidR="00324BBB">
        <w:t>QCDs</w:t>
      </w:r>
      <w:r>
        <w:t>)</w:t>
      </w:r>
      <w:r w:rsidR="00324BBB">
        <w:t xml:space="preserve"> </w:t>
      </w:r>
    </w:p>
    <w:p w14:paraId="1E06D461" w14:textId="344BF33D" w:rsidR="00324BBB" w:rsidRDefault="00324BBB" w:rsidP="00324BBB">
      <w:r>
        <w:t>QCDs are tools that are included in a QMS to help the user adhere to the SOPs. Examples are template documents, checklists and forms. On occasion it may be that these tools are embedded into the related SOP. The QCD may include detailed instructions on how to work with the tool (e.g. steps to follow when developing an annual report) as well as the tool itself (e.g. the annual report template). The use of QCDs may be optional or mandatory; this will be detailed in the QCD and the related SOP. QCDs are developed and reviewed by experts in the field, ensuring best practice is promoted. Where applicable, QCDs will include instructions from relevant regulations, standards, guidelines and any other pertinent policies. By utilising the QCDs, the user will be compliant with all applicable requirements</w:t>
      </w:r>
      <w:r w:rsidR="00715EB6">
        <w:t xml:space="preserve"> relevant to the scope of the QCD</w:t>
      </w:r>
      <w:r>
        <w:t xml:space="preserve">. </w:t>
      </w:r>
    </w:p>
    <w:p w14:paraId="070E5E64" w14:textId="3A025683" w:rsidR="00324BBB" w:rsidRDefault="00324BBB" w:rsidP="00324BBB">
      <w:r>
        <w:t xml:space="preserve">The development of QCDs within the UoB QMS is led by </w:t>
      </w:r>
      <w:r w:rsidR="0093143A">
        <w:t xml:space="preserve">the </w:t>
      </w:r>
      <w:r>
        <w:t>CRCT. Expert advice is requested as appropriate. QCDs are reviewed and approved by a senior member of the CRCT. For mandatory QCDs, approval will also be sought from the CTOC and/or the HTOC as per the UoB QMS Management Plan. QCDs that form part of the UoB QMS have the code ‘QCD’.</w:t>
      </w:r>
    </w:p>
    <w:p w14:paraId="4D47CAF0" w14:textId="77777777" w:rsidR="00324BBB" w:rsidRDefault="00324BBB" w:rsidP="00B5407B">
      <w:pPr>
        <w:pStyle w:val="Heading3"/>
      </w:pPr>
      <w:r>
        <w:t>Work instructions</w:t>
      </w:r>
    </w:p>
    <w:p w14:paraId="136A3FD8" w14:textId="1B699780" w:rsidR="00324BBB" w:rsidRDefault="00324BBB" w:rsidP="00324BBB">
      <w:r>
        <w:t>Work instructions are guidance documents and can be used by teams to help them successfully implement processes. Work instructions can be used to reflect current practices, and to help ensure consistency in teams where multiple people are performing the same activity. Work instructions do not directly form part of the UoB QMS. The development of work instructions is optional and is expected to be managed internally by individual teams.</w:t>
      </w:r>
    </w:p>
    <w:p w14:paraId="09B7719A" w14:textId="567AD911" w:rsidR="00B5407B" w:rsidRDefault="00B5407B" w:rsidP="00B5407B">
      <w:pPr>
        <w:pStyle w:val="Heading2"/>
      </w:pPr>
      <w:bookmarkStart w:id="20" w:name="_Toc189483958"/>
      <w:r>
        <w:t>Set up of a QMS in the university</w:t>
      </w:r>
      <w:bookmarkEnd w:id="20"/>
    </w:p>
    <w:p w14:paraId="5D8DCD74" w14:textId="2FBEE499" w:rsidR="00B5407B" w:rsidRDefault="00B5407B" w:rsidP="00B5407B">
      <w:r>
        <w:t xml:space="preserve">As described above, the overarching UoB QMS has been designed to cover clinical research activity (including work with human tissue) at, or conducted by, UoB. However, the two UKCRC-registered UoB CTUs, the Birmingham Clinical Trials Unit (BCTU) and the Cancer Research UK Clinical Trials Unit (CRCTU), each have their own QMS covering the same key processes; this is a requirement of their UKCRC registration and includes further instructions relating to local management and oversight. It is anticipated that in some cases research teams or laboratories working outside a UoB CTU may also have their own QMS. Where this is the case, the requirements set out in the UoB’s QMS will need to be adhered to as a minimum, and the development and management of the local QMS will be in accordance with the </w:t>
      </w:r>
      <w:r w:rsidRPr="00B5407B">
        <w:rPr>
          <w:rStyle w:val="DocrefChar"/>
        </w:rPr>
        <w:t>QMS Development and Management SOP (UoB-QMS-SOP-001)</w:t>
      </w:r>
      <w:r>
        <w:t xml:space="preserve">. </w:t>
      </w:r>
    </w:p>
    <w:p w14:paraId="240FB0F0" w14:textId="1A99BA04" w:rsidR="00B5407B" w:rsidRDefault="00B5407B" w:rsidP="00B5407B">
      <w:r>
        <w:t xml:space="preserve">Where the UoB sponsors a clinical research project that is to be (partially) managed outside the UoB (e.g. international trials or trials managed by a non-UoB CTU), there must be a clear agreement as to which QMS will be adhered to. Where an external QMS is used, it must be reviewed against the UoB QMS. This is to ensure that aspects relating to compliance with regulations, and </w:t>
      </w:r>
      <w:r w:rsidR="00440FF1">
        <w:t>p</w:t>
      </w:r>
      <w:r>
        <w:t xml:space="preserve">rinciples of GCP, are covered appropriately. This review must be conducted by the CI or their team. The CRCT will provide support where resources allow (it is recommended to contact CRCT as early as possible). Where the QMSs are consistent with each other, the check </w:t>
      </w:r>
      <w:r>
        <w:lastRenderedPageBreak/>
        <w:t>must be documented and filed in the study/trial master file (S/TMF). Where differences are noted, these must be discussed with the CRCT.</w:t>
      </w:r>
    </w:p>
    <w:p w14:paraId="090399D8" w14:textId="77777777" w:rsidR="00B5407B" w:rsidRDefault="00B5407B" w:rsidP="00B5407B">
      <w:r>
        <w:t xml:space="preserve">The CRCT will review the compliance of researchers and/or CTUs with any applicable international standards, guidelines, regulations and local QMS documents relating to clinical research. See also ‘Policy on Compliance Reviews’ below. </w:t>
      </w:r>
    </w:p>
    <w:p w14:paraId="72E5FA29" w14:textId="1681F3FD" w:rsidR="00320049" w:rsidRDefault="00B5407B" w:rsidP="00B5407B">
      <w:r>
        <w:t xml:space="preserve">The </w:t>
      </w:r>
      <w:r w:rsidR="00A96162">
        <w:t>MMF</w:t>
      </w:r>
      <w:r w:rsidR="000B797C">
        <w:t xml:space="preserve"> and the </w:t>
      </w:r>
      <w:r>
        <w:t>two UoB HTA-licensed research tissue banks, the Human Biomaterial Resource Centre (HBRC) and the Dental Research Tissue Bank (DRTB), each have their own QMS covering their licensed activities. Where additional activity is undertaken for clinical research</w:t>
      </w:r>
      <w:r w:rsidR="00440FF1">
        <w:t>,</w:t>
      </w:r>
      <w:r>
        <w:t xml:space="preserve"> the UoB SOPs will need to be adhered to as a minimum standard</w:t>
      </w:r>
      <w:r w:rsidR="00320049">
        <w:t>.</w:t>
      </w:r>
    </w:p>
    <w:p w14:paraId="527954FA" w14:textId="2532BEBC" w:rsidR="00324BBB" w:rsidRDefault="00B5407B" w:rsidP="00B5407B">
      <w:pPr>
        <w:pStyle w:val="Heading1"/>
      </w:pPr>
      <w:bookmarkStart w:id="21" w:name="_Toc189483959"/>
      <w:r w:rsidRPr="00B5407B">
        <w:t>Policy on training</w:t>
      </w:r>
      <w:bookmarkEnd w:id="21"/>
    </w:p>
    <w:p w14:paraId="47118E1C" w14:textId="29478E9C" w:rsidR="00C04721" w:rsidRPr="00C04721" w:rsidRDefault="00C04721" w:rsidP="00C04721">
      <w:r w:rsidRPr="00C04721">
        <w:t xml:space="preserve">High-quality clinical research is underpinned by continuous staff training and development. As per the </w:t>
      </w:r>
      <w:r w:rsidRPr="00C04721">
        <w:rPr>
          <w:rStyle w:val="DocrefChar"/>
        </w:rPr>
        <w:t>UoB Principles of GCP for Clinical Research (UoB-GCP-POL-001)</w:t>
      </w:r>
      <w:r w:rsidRPr="00C04721">
        <w:t xml:space="preserve">, individuals involved in managing and conducting a research project are to be qualified by education, training and experience, or otherwise </w:t>
      </w:r>
      <w:r w:rsidR="00F5232E">
        <w:t xml:space="preserve">deemed </w:t>
      </w:r>
      <w:r w:rsidRPr="00C04721">
        <w:t xml:space="preserve">competent under the supervision of a suitably qualified person, to perform their tasks. </w:t>
      </w:r>
    </w:p>
    <w:p w14:paraId="07859F18" w14:textId="77777777" w:rsidR="00C04721" w:rsidRPr="00C04721" w:rsidRDefault="00C04721" w:rsidP="00C04721">
      <w:r w:rsidRPr="00C04721">
        <w:t xml:space="preserve">Staff training, including GCP training, should be appropriate and proportionate to the type of research undertaken, and should cover the relevant legal and contractual requirements commensurate with their roles and responsibilities. The scope and format of the (re)training, together with its evidence, should be documented (see </w:t>
      </w:r>
      <w:bookmarkStart w:id="22" w:name="_Hlk97899050"/>
      <w:r w:rsidRPr="00C04721">
        <w:rPr>
          <w:rStyle w:val="DocrefChar"/>
        </w:rPr>
        <w:t>Training</w:t>
      </w:r>
      <w:bookmarkEnd w:id="22"/>
      <w:r w:rsidRPr="00C04721">
        <w:rPr>
          <w:rStyle w:val="DocrefChar"/>
        </w:rPr>
        <w:t xml:space="preserve"> SOP (UoB-TRN-SOP-001)</w:t>
      </w:r>
      <w:r w:rsidRPr="00C04721">
        <w:t xml:space="preserve">).  </w:t>
      </w:r>
    </w:p>
    <w:p w14:paraId="2C3503CF" w14:textId="77777777" w:rsidR="00C04721" w:rsidRPr="00C04721" w:rsidRDefault="00C04721" w:rsidP="00C04721">
      <w:r w:rsidRPr="00C04721">
        <w:t xml:space="preserve">Staff will have training in all policies, SOPs, QCDs and area-specific work instructions that are applicable to their role. In addition, staff will receive relevant training on the protocol and other project-related documents to a level that enables them to perform their delegated duties appropriately. </w:t>
      </w:r>
    </w:p>
    <w:p w14:paraId="08DFD67F" w14:textId="77777777" w:rsidR="00C04721" w:rsidRPr="00C04721" w:rsidRDefault="00C04721" w:rsidP="00C04721">
      <w:r w:rsidRPr="00C04721">
        <w:t xml:space="preserve">Training and retraining needs will be reviewed on an ongoing basis as per the </w:t>
      </w:r>
      <w:r w:rsidRPr="00C04721">
        <w:rPr>
          <w:rStyle w:val="DocrefChar"/>
        </w:rPr>
        <w:t>Training SOP (UoB-TRN-SOP-001)</w:t>
      </w:r>
      <w:r w:rsidRPr="00C04721">
        <w:t xml:space="preserve">. For example, training may be updated when legislation has changed, new policies or practice have been implemented, different research activities are to be undertaken, or a significant </w:t>
      </w:r>
      <w:proofErr w:type="gramStart"/>
      <w:r w:rsidRPr="00C04721">
        <w:t>period of time</w:t>
      </w:r>
      <w:proofErr w:type="gramEnd"/>
      <w:r w:rsidRPr="00C04721">
        <w:t xml:space="preserve"> has elapsed since research activities have been conducted. Refresher training may also be required at periodic intervals, as required by local or external policy e.g. local NHS Trust site policy. In addition, staff may be required by the CTOC and/or the HTOC to undertake targeted (re)training following research governance and compliance reviews.</w:t>
      </w:r>
    </w:p>
    <w:p w14:paraId="0E3485C1" w14:textId="77777777" w:rsidR="00C04721" w:rsidRPr="00C04721" w:rsidRDefault="00C04721" w:rsidP="00C04721">
      <w:pPr>
        <w:pStyle w:val="Heading2"/>
      </w:pPr>
      <w:bookmarkStart w:id="23" w:name="_Toc189483960"/>
      <w:r w:rsidRPr="00C04721">
        <w:t>GCP training</w:t>
      </w:r>
      <w:bookmarkEnd w:id="23"/>
    </w:p>
    <w:p w14:paraId="0FFBF8C2" w14:textId="008F3615" w:rsidR="00C04721" w:rsidRPr="00C04721" w:rsidRDefault="00C04721" w:rsidP="00C04721">
      <w:r w:rsidRPr="00C04721">
        <w:t>The UK Clinical Trials Regulations (</w:t>
      </w:r>
      <w:hyperlink r:id="rId37" w:tooltip="The Medicines for Human Use (Clinical Trials) Regulations 2004 (as amended)" w:history="1">
        <w:r w:rsidR="0051741B" w:rsidRPr="0051741B">
          <w:rPr>
            <w:rStyle w:val="Hyperlink"/>
          </w:rPr>
          <w:t>The Medicines for Human Use (Clinical Trials) Regulations 2004 (as amended)</w:t>
        </w:r>
      </w:hyperlink>
      <w:r w:rsidRPr="00C04721">
        <w:t>) state that no person shall conduct a clinical trial otherwise than in accordance with the conditions and principles of GCP (Regulation 28) and that each individual involved in conducting a trial shall be qualified by education, training and experience to perform their tasks (Schedule 1, Part 2, 2). It therefore follows that anyone involved in a CTIMP must receive training in GCP that is commensurate with their roles and responsibilities. </w:t>
      </w:r>
    </w:p>
    <w:p w14:paraId="0EE77945" w14:textId="65244E59" w:rsidR="001F7B3B" w:rsidRDefault="00C04721" w:rsidP="00C04721">
      <w:r w:rsidRPr="00C04721">
        <w:t xml:space="preserve">Training should be tailored accordingly, as discussed in the above section. As a minimum, anyone involved in the day-to-day (site) management of a CTIMP (e.g. chief investigator, research nurse, trial coordinator) are required to complete the </w:t>
      </w:r>
      <w:hyperlink r:id="rId38" w:tooltip="Link to the NIHR GCP training" w:history="1">
        <w:r w:rsidRPr="00C04721">
          <w:rPr>
            <w:rStyle w:val="Hyperlink"/>
          </w:rPr>
          <w:t>National Institute for Health Research (NIHR) GCP training</w:t>
        </w:r>
      </w:hyperlink>
      <w:r w:rsidRPr="00C04721">
        <w:t xml:space="preserve">, and must complete the GCP refresher training every three years. </w:t>
      </w:r>
      <w:r w:rsidR="001F7B3B">
        <w:t xml:space="preserve">This requirement also applies to regulated device trials. </w:t>
      </w:r>
    </w:p>
    <w:p w14:paraId="5082F46E" w14:textId="6B82AB03" w:rsidR="00C04721" w:rsidRPr="00C04721" w:rsidRDefault="00C04721" w:rsidP="00C04721">
      <w:r w:rsidRPr="00C04721">
        <w:t xml:space="preserve">It is acknowledged that where someone's involvement is entirely within their professional expertise (e.g. a practice nurse taking a blood sample), and all other protocol activities are undertaken by a member of the research team, then no GCP training may be required. However, this should be reviewed as part of the risk assessment for a trial. </w:t>
      </w:r>
    </w:p>
    <w:p w14:paraId="4AE80484" w14:textId="683E8704" w:rsidR="00C04721" w:rsidRPr="00C04721" w:rsidRDefault="00C04721" w:rsidP="00C04721">
      <w:r w:rsidRPr="00C04721">
        <w:t xml:space="preserve">For other types of clinical research, there is no legal requirement for research to be conducted in accordance with the conditions and principles of GCP. However, it is still vital that such research is conducted in a manner that provides public assurance that the rights, safety and wellbeing of research participants are protected and respected, and that the integrity of the research data is maintained. As such, staff </w:t>
      </w:r>
      <w:r w:rsidR="00440FF1">
        <w:t>must</w:t>
      </w:r>
      <w:r w:rsidRPr="00C04721">
        <w:t xml:space="preserve"> be qualified to perform their tasks (as described above and in the </w:t>
      </w:r>
      <w:bookmarkStart w:id="24" w:name="_Hlk97899068"/>
      <w:r w:rsidRPr="00C04721">
        <w:rPr>
          <w:rStyle w:val="DocrefChar"/>
        </w:rPr>
        <w:t>UoB Principles of GCP for Clinical Research</w:t>
      </w:r>
      <w:bookmarkEnd w:id="24"/>
      <w:r w:rsidRPr="00C04721">
        <w:rPr>
          <w:rStyle w:val="DocrefChar"/>
        </w:rPr>
        <w:t xml:space="preserve"> (UoB-GCP-POL-001)</w:t>
      </w:r>
      <w:proofErr w:type="gramStart"/>
      <w:r w:rsidRPr="00C04721">
        <w:t>)</w:t>
      </w:r>
      <w:r w:rsidR="00440FF1">
        <w:t>,</w:t>
      </w:r>
      <w:r w:rsidRPr="00C04721">
        <w:t xml:space="preserve"> but</w:t>
      </w:r>
      <w:proofErr w:type="gramEnd"/>
      <w:r w:rsidRPr="00C04721">
        <w:t xml:space="preserve"> are not required or expected to undertake GCP training unless required by </w:t>
      </w:r>
      <w:r w:rsidR="00CD03D2">
        <w:t xml:space="preserve">another </w:t>
      </w:r>
      <w:r w:rsidRPr="00C04721">
        <w:t>local or external policy. </w:t>
      </w:r>
    </w:p>
    <w:p w14:paraId="42020CA7" w14:textId="77777777" w:rsidR="00C04721" w:rsidRPr="00C04721" w:rsidRDefault="00C04721" w:rsidP="00C04721">
      <w:r w:rsidRPr="00C04721">
        <w:t xml:space="preserve">This policy has been written in line with the </w:t>
      </w:r>
      <w:hyperlink r:id="rId39" w:tooltip="Link to the Joint Statement on the Application of GCP to Training for Researchers" w:history="1">
        <w:r w:rsidRPr="00C04721">
          <w:rPr>
            <w:rStyle w:val="Hyperlink"/>
          </w:rPr>
          <w:t>Joint Statement on the Application of GCP to Training for Researchers</w:t>
        </w:r>
      </w:hyperlink>
      <w:r w:rsidRPr="00C04721">
        <w:t>.</w:t>
      </w:r>
    </w:p>
    <w:p w14:paraId="63AC2E32" w14:textId="2E39CB27" w:rsidR="00C04721" w:rsidRPr="00C04721" w:rsidRDefault="00C04721" w:rsidP="00C04721">
      <w:pPr>
        <w:pStyle w:val="Heading2"/>
      </w:pPr>
      <w:bookmarkStart w:id="25" w:name="_Toc189483961"/>
      <w:r w:rsidRPr="00C04721">
        <w:lastRenderedPageBreak/>
        <w:t xml:space="preserve">GCP in the laboratory training </w:t>
      </w:r>
      <w:r w:rsidR="00B92DA9">
        <w:t>&amp;</w:t>
      </w:r>
      <w:r w:rsidR="00B92DA9" w:rsidRPr="00C04721">
        <w:t xml:space="preserve"> </w:t>
      </w:r>
      <w:r w:rsidRPr="00C04721">
        <w:t>working with human tissue</w:t>
      </w:r>
      <w:bookmarkEnd w:id="25"/>
    </w:p>
    <w:p w14:paraId="7E872B0D" w14:textId="38FA2188" w:rsidR="00A561E5" w:rsidRDefault="0064154D" w:rsidP="00C04721">
      <w:r>
        <w:t>All UoB laboratory academic leads (LALs)</w:t>
      </w:r>
      <w:r w:rsidRPr="0064154D">
        <w:t xml:space="preserve"> </w:t>
      </w:r>
      <w:r w:rsidRPr="00C04721">
        <w:t>working</w:t>
      </w:r>
      <w:r>
        <w:t xml:space="preserve"> from here forth</w:t>
      </w:r>
      <w:r w:rsidRPr="00C04721">
        <w:t xml:space="preserve"> with clinical trial samples</w:t>
      </w:r>
      <w:r>
        <w:t xml:space="preserve"> that contribute to </w:t>
      </w:r>
      <w:r w:rsidR="00271C48">
        <w:t>any</w:t>
      </w:r>
      <w:r>
        <w:t xml:space="preserve"> endpoints (</w:t>
      </w:r>
      <w:r w:rsidR="00271C48">
        <w:t xml:space="preserve">including </w:t>
      </w:r>
      <w:r>
        <w:t xml:space="preserve">primary, secondary and/or exploratory) of a CTIMP are required to complete the CRCT’s ‘GCP in the </w:t>
      </w:r>
      <w:r w:rsidR="00F5217B">
        <w:t>Laboratory</w:t>
      </w:r>
      <w:r>
        <w:t>’ training session</w:t>
      </w:r>
      <w:r w:rsidR="00194832">
        <w:t xml:space="preserve"> and must refresh this training every 3 years</w:t>
      </w:r>
      <w:r>
        <w:t xml:space="preserve">. </w:t>
      </w:r>
      <w:r w:rsidR="00194832">
        <w:t xml:space="preserve">It is expected that LALs </w:t>
      </w:r>
      <w:r w:rsidR="00C81571">
        <w:t xml:space="preserve">currently working on an CTIMP (that is open with regulatory approval) will </w:t>
      </w:r>
      <w:r w:rsidR="00271C48">
        <w:t xml:space="preserve">have </w:t>
      </w:r>
      <w:r w:rsidR="00C81571">
        <w:t xml:space="preserve">a valid record of </w:t>
      </w:r>
      <w:r w:rsidR="00271C48">
        <w:t xml:space="preserve">completing </w:t>
      </w:r>
      <w:r w:rsidR="00C81571">
        <w:t>this training by 01-Dec-2025</w:t>
      </w:r>
      <w:r w:rsidR="00271C48">
        <w:t xml:space="preserve"> i.e. have attended this training session (previously title</w:t>
      </w:r>
      <w:r w:rsidR="00CB66C1">
        <w:t>d</w:t>
      </w:r>
      <w:r w:rsidR="00271C48">
        <w:t xml:space="preserve"> ‘Clinical Research in a UoB Lab’</w:t>
      </w:r>
      <w:r w:rsidR="00CB66C1">
        <w:t>)</w:t>
      </w:r>
      <w:r w:rsidR="00271C48">
        <w:t xml:space="preserve"> between 01-Dec-2022 and 01-Dec-2025).</w:t>
      </w:r>
      <w:r w:rsidR="00C81571">
        <w:t xml:space="preserve"> </w:t>
      </w:r>
    </w:p>
    <w:p w14:paraId="5F751199" w14:textId="41F36EB4" w:rsidR="00C04721" w:rsidRPr="00C04721" w:rsidRDefault="00F5217B" w:rsidP="00C04721">
      <w:r>
        <w:t>For other UoB</w:t>
      </w:r>
      <w:r w:rsidR="00C04721" w:rsidRPr="00C04721">
        <w:t xml:space="preserve"> laboratory staff working with clinical trial samples</w:t>
      </w:r>
      <w:r w:rsidR="00953E7D">
        <w:t xml:space="preserve"> that contribute to </w:t>
      </w:r>
      <w:r w:rsidR="00271C48">
        <w:t xml:space="preserve">any </w:t>
      </w:r>
      <w:r w:rsidR="00953E7D">
        <w:t>endpoints (primary, secondary and/or exploratory) of a CTIMP</w:t>
      </w:r>
      <w:r>
        <w:t xml:space="preserve">, staff are </w:t>
      </w:r>
      <w:r w:rsidR="00C04721" w:rsidRPr="00C04721">
        <w:t>require</w:t>
      </w:r>
      <w:r>
        <w:t>d to complete</w:t>
      </w:r>
      <w:r w:rsidR="00C04721" w:rsidRPr="00C04721">
        <w:t xml:space="preserve"> GCP in the Laboratory training </w:t>
      </w:r>
      <w:r w:rsidR="003B72BD">
        <w:t xml:space="preserve">(for example, CRCT’s ‘GCP in the Laboratory’ training session) </w:t>
      </w:r>
      <w:r w:rsidR="00C04721" w:rsidRPr="00C04721">
        <w:t>commensurate with their role and responsibilities and refreshed every 3 years.</w:t>
      </w:r>
    </w:p>
    <w:p w14:paraId="293107D4" w14:textId="77777777" w:rsidR="00C04721" w:rsidRPr="00C04721" w:rsidRDefault="00C04721" w:rsidP="00C04721">
      <w:r w:rsidRPr="00C04721">
        <w:t xml:space="preserve">For those researchers seeking the UoB‘s sponsorship for clinical trials and studies involving human tissue samples, evidence of specific training on the use of human tissue in research will be required (such as the completion of the </w:t>
      </w:r>
      <w:hyperlink r:id="rId40" w:tooltip="Link to the HRA's online Human Tissue training" w:history="1">
        <w:r w:rsidRPr="00C04721">
          <w:rPr>
            <w:rStyle w:val="Hyperlink"/>
          </w:rPr>
          <w:t>Health Research Authority (HRA) online Human Tissue training</w:t>
        </w:r>
      </w:hyperlink>
      <w:r w:rsidRPr="00C04721">
        <w:t xml:space="preserve"> or </w:t>
      </w:r>
      <w:hyperlink r:id="rId41" w:tooltip="Link to the MRC's online Human Tissue training" w:history="1">
        <w:r w:rsidRPr="00C04721">
          <w:rPr>
            <w:rStyle w:val="Hyperlink"/>
          </w:rPr>
          <w:t>Medical Research Council (MRC) online Human Tissue training</w:t>
        </w:r>
      </w:hyperlink>
      <w:r w:rsidRPr="00C04721">
        <w:t>).</w:t>
      </w:r>
    </w:p>
    <w:p w14:paraId="59062369" w14:textId="77777777" w:rsidR="00C04721" w:rsidRPr="00C04721" w:rsidRDefault="00C04721" w:rsidP="00C04721">
      <w:pPr>
        <w:pStyle w:val="Heading2"/>
      </w:pPr>
      <w:bookmarkStart w:id="26" w:name="_Toc189483962"/>
      <w:r w:rsidRPr="00C04721">
        <w:t>Training opportunities</w:t>
      </w:r>
      <w:bookmarkEnd w:id="26"/>
    </w:p>
    <w:p w14:paraId="5B89535A" w14:textId="41CE8F3A" w:rsidR="00C04721" w:rsidRPr="00C04721" w:rsidRDefault="00C04721" w:rsidP="00C04721">
      <w:r w:rsidRPr="00C04721">
        <w:t xml:space="preserve">The CRCT offer a range of clinical research training. This includes training on GCP in the </w:t>
      </w:r>
      <w:r w:rsidR="00440FF1">
        <w:t>l</w:t>
      </w:r>
      <w:r w:rsidRPr="00C04721">
        <w:t xml:space="preserve">aboratory and training on the use of human tissue, which are both tailored to the specific UoB clinical research environment/UoB QMS, and are also in line with applicable regulations, standards and governance frameworks. See </w:t>
      </w:r>
      <w:hyperlink r:id="rId42" w:tooltip="Link to the CRCT Training and Workshops" w:history="1">
        <w:r w:rsidRPr="00C04721">
          <w:rPr>
            <w:rStyle w:val="Hyperlink"/>
          </w:rPr>
          <w:t>CRCT Training and Workshops</w:t>
        </w:r>
      </w:hyperlink>
      <w:r w:rsidRPr="00C04721">
        <w:t xml:space="preserve"> for more details on the training available. </w:t>
      </w:r>
    </w:p>
    <w:p w14:paraId="3E4F863A" w14:textId="2C5977B1" w:rsidR="00C04721" w:rsidRPr="00C04721" w:rsidRDefault="00C04721" w:rsidP="00C04721">
      <w:r w:rsidRPr="00C04721">
        <w:t xml:space="preserve">Additionally, </w:t>
      </w:r>
      <w:r w:rsidR="00CD03D2">
        <w:t>REGI</w:t>
      </w:r>
      <w:r w:rsidRPr="00C04721">
        <w:t xml:space="preserve"> provide </w:t>
      </w:r>
      <w:hyperlink r:id="rId43" w:tooltip="Link to the UoB research integrity, ethics and governance training" w:history="1">
        <w:r w:rsidRPr="00C04721">
          <w:rPr>
            <w:rStyle w:val="Hyperlink"/>
          </w:rPr>
          <w:t>research integrity, ethics and governanc</w:t>
        </w:r>
        <w:r w:rsidR="00D93670">
          <w:rPr>
            <w:rStyle w:val="Hyperlink"/>
          </w:rPr>
          <w:t>e training</w:t>
        </w:r>
      </w:hyperlink>
      <w:r w:rsidRPr="00C04721">
        <w:t xml:space="preserve"> </w:t>
      </w:r>
      <w:r w:rsidR="001926BF">
        <w:t xml:space="preserve">(UoB login required) </w:t>
      </w:r>
      <w:r w:rsidRPr="00C04721">
        <w:t xml:space="preserve">and the </w:t>
      </w:r>
      <w:hyperlink r:id="rId44" w:tooltip="Link to the Library Services Research Skills Team" w:history="1">
        <w:r w:rsidRPr="00C04721">
          <w:rPr>
            <w:rStyle w:val="Hyperlink"/>
          </w:rPr>
          <w:t>Library Services Research Skills Team</w:t>
        </w:r>
      </w:hyperlink>
      <w:r w:rsidRPr="00C04721">
        <w:t xml:space="preserve"> offer a range of training opportunities for research staff e.g. on research data management. </w:t>
      </w:r>
    </w:p>
    <w:p w14:paraId="63A6DA4B" w14:textId="71C12A6D" w:rsidR="00B5407B" w:rsidRDefault="00860971" w:rsidP="00C04721">
      <w:r>
        <w:t>S</w:t>
      </w:r>
      <w:r w:rsidR="00C04721" w:rsidRPr="00C04721">
        <w:t>taff are also encouraged to access any appropriate training provided by the</w:t>
      </w:r>
      <w:r w:rsidR="00302135">
        <w:t xml:space="preserve"> </w:t>
      </w:r>
      <w:hyperlink r:id="rId45" w:tooltip="Link to the West Midlands Research Training Collaborative (WMRTC)" w:history="1">
        <w:r w:rsidR="00C04721" w:rsidRPr="00C04721">
          <w:rPr>
            <w:rStyle w:val="Hyperlink"/>
          </w:rPr>
          <w:t>West Midlands Research Training Collaborativ</w:t>
        </w:r>
        <w:r w:rsidR="008C1D56">
          <w:rPr>
            <w:rStyle w:val="Hyperlink"/>
          </w:rPr>
          <w:t>e (WMRTC)</w:t>
        </w:r>
      </w:hyperlink>
      <w:r w:rsidR="00C04721" w:rsidRPr="00C04721">
        <w:t xml:space="preserve">. See </w:t>
      </w:r>
      <w:hyperlink r:id="rId46" w:tooltip="Link to the CRCT Training and Workshops" w:history="1">
        <w:r w:rsidR="00C04721" w:rsidRPr="00C04721">
          <w:rPr>
            <w:rStyle w:val="Hyperlink"/>
          </w:rPr>
          <w:t>CRCT Training and Workshops</w:t>
        </w:r>
      </w:hyperlink>
      <w:r w:rsidR="00C04721" w:rsidRPr="00C04721">
        <w:t xml:space="preserve"> for all other training opportunities.</w:t>
      </w:r>
    </w:p>
    <w:p w14:paraId="6FA89EF7" w14:textId="77777777" w:rsidR="00C04721" w:rsidRPr="00C04721" w:rsidRDefault="00C04721" w:rsidP="00C04721">
      <w:pPr>
        <w:pStyle w:val="Heading1"/>
      </w:pPr>
      <w:bookmarkStart w:id="27" w:name="_Toc78185768"/>
      <w:bookmarkStart w:id="28" w:name="_Toc98234544"/>
      <w:bookmarkStart w:id="29" w:name="_Toc189483963"/>
      <w:r w:rsidRPr="00C04721">
        <w:t>Policy on compliance reviews</w:t>
      </w:r>
      <w:bookmarkEnd w:id="27"/>
      <w:bookmarkEnd w:id="28"/>
      <w:bookmarkEnd w:id="29"/>
    </w:p>
    <w:p w14:paraId="32E756CA" w14:textId="77777777" w:rsidR="00C04721" w:rsidRPr="00C04721" w:rsidRDefault="00C04721" w:rsidP="00C04721">
      <w:r w:rsidRPr="00C04721">
        <w:t xml:space="preserve">It is expected that for each area governed by its own guidelines, standards and/or regulations, a system of quality checks will be implemented by the researcher or team. For clinical research, compliance reviews will be conducted in accordance with the </w:t>
      </w:r>
      <w:bookmarkStart w:id="30" w:name="_Hlk92967678"/>
      <w:r w:rsidRPr="00C04721">
        <w:rPr>
          <w:rStyle w:val="DocrefChar"/>
        </w:rPr>
        <w:t>Compliance Review</w:t>
      </w:r>
      <w:bookmarkEnd w:id="30"/>
      <w:r w:rsidRPr="00C04721">
        <w:rPr>
          <w:rStyle w:val="DocrefChar"/>
        </w:rPr>
        <w:t xml:space="preserve"> SOP (UoB-CPR-SOP-001)</w:t>
      </w:r>
      <w:r w:rsidRPr="00C04721">
        <w:t>. This SOP describes the processes for ensuring quality in clinical research projects including the approval of vendors, and the management and implementation of compliance programmes (such as an audit).</w:t>
      </w:r>
    </w:p>
    <w:p w14:paraId="6FF95893" w14:textId="77777777" w:rsidR="00C04721" w:rsidRPr="00C04721" w:rsidRDefault="00C04721" w:rsidP="00C04721">
      <w:r w:rsidRPr="00C04721">
        <w:t>There may also be other systems in place at a school, college or UoB level to ensure adherence to any applicable regulations. Some examples are listed below.</w:t>
      </w:r>
    </w:p>
    <w:p w14:paraId="4BC7ED66" w14:textId="2F96AD2E" w:rsidR="00C04721" w:rsidRPr="00C04721" w:rsidRDefault="00C04721" w:rsidP="00C04721">
      <w:pPr>
        <w:pStyle w:val="Heading2"/>
      </w:pPr>
      <w:bookmarkStart w:id="31" w:name="_Toc189483964"/>
      <w:r w:rsidRPr="00C04721">
        <w:t>Internal Audit</w:t>
      </w:r>
      <w:bookmarkEnd w:id="31"/>
    </w:p>
    <w:p w14:paraId="4FEB2E68" w14:textId="07DF30BB" w:rsidR="00C04721" w:rsidRPr="00C04721" w:rsidRDefault="00C04721" w:rsidP="00C04721">
      <w:r w:rsidRPr="00C04721">
        <w:t xml:space="preserve">The </w:t>
      </w:r>
      <w:hyperlink r:id="rId47" w:tooltip="UoB Internal Audit" w:history="1">
        <w:r w:rsidRPr="00C04721">
          <w:rPr>
            <w:rStyle w:val="Hyperlink"/>
          </w:rPr>
          <w:t>UoB Internal Audit</w:t>
        </w:r>
      </w:hyperlink>
      <w:r w:rsidRPr="00C04721">
        <w:t xml:space="preserve"> </w:t>
      </w:r>
      <w:r w:rsidR="00B837B7">
        <w:t xml:space="preserve">(UoB login required) </w:t>
      </w:r>
      <w:r w:rsidRPr="00C04721">
        <w:t>follows its own processes and is responsible for performing a programme of audits across all areas of the UoB. It focuses on the controls that departments have put in place to ensure adequate governance, risk management, and quality, in addition to their adherence to regulations, policies and procedures.</w:t>
      </w:r>
    </w:p>
    <w:p w14:paraId="0C602925" w14:textId="5587DA5E" w:rsidR="00C04721" w:rsidRPr="00C04721" w:rsidRDefault="00D763BC" w:rsidP="00C04721">
      <w:pPr>
        <w:pStyle w:val="Heading2"/>
      </w:pPr>
      <w:bookmarkStart w:id="32" w:name="_Toc189483965"/>
      <w:r>
        <w:t>Clinical Research Compliance Team (</w:t>
      </w:r>
      <w:r w:rsidR="00C04721" w:rsidRPr="00C04721">
        <w:t>CRCT</w:t>
      </w:r>
      <w:r>
        <w:t>)</w:t>
      </w:r>
      <w:bookmarkEnd w:id="32"/>
    </w:p>
    <w:p w14:paraId="6017305B" w14:textId="251F9756" w:rsidR="00C04721" w:rsidRPr="00C04721" w:rsidRDefault="00C04721" w:rsidP="00C04721">
      <w:r w:rsidRPr="00C04721">
        <w:t xml:space="preserve">The CRCT takes on certain duties relating to the sponsor’s/institution’s oversight of clinical research activity. This includes the management and delivery of the UoB’s audit programme, and its sponsor support visit (SSV) programme for clinical research. The CRCT carries out these activities in accordance with the </w:t>
      </w:r>
      <w:r w:rsidRPr="00C04721">
        <w:rPr>
          <w:rStyle w:val="DocrefChar"/>
        </w:rPr>
        <w:t>Compliance Review SOP (UoB-CPR-SOP-001)</w:t>
      </w:r>
      <w:r w:rsidRPr="00C04721">
        <w:t>.</w:t>
      </w:r>
    </w:p>
    <w:p w14:paraId="74A6EA92" w14:textId="77777777" w:rsidR="00C04721" w:rsidRPr="00C04721" w:rsidRDefault="00C04721" w:rsidP="00C04721">
      <w:pPr>
        <w:pStyle w:val="Heading3"/>
      </w:pPr>
      <w:r w:rsidRPr="00C04721">
        <w:t>Audit programme</w:t>
      </w:r>
    </w:p>
    <w:p w14:paraId="4281E93C" w14:textId="4329E39E" w:rsidR="00C04721" w:rsidRPr="00C04721" w:rsidRDefault="00C04721" w:rsidP="00C04721">
      <w:r w:rsidRPr="00C04721">
        <w:t>The CRCT’s audit programme covers clinical research activity within the UoB including trial audits, audits of the UoB’s two CTUs, the two HTA-licensed tissue banks, GMP areas, laboratories, external vendors, and ‘for cause’ audits. The audit programme is approved by the CTOC and the HTOC, and details of an audit are reported to the CTOC and/or the HTOC (as appropriate). The CRCT uses</w:t>
      </w:r>
      <w:r w:rsidR="00C63E29">
        <w:t xml:space="preserve"> the</w:t>
      </w:r>
      <w:r w:rsidRPr="00C04721">
        <w:t xml:space="preserve"> </w:t>
      </w:r>
      <w:bookmarkStart w:id="33" w:name="_Hlk92967699"/>
      <w:r w:rsidRPr="00C04721">
        <w:rPr>
          <w:rStyle w:val="DocrefChar"/>
        </w:rPr>
        <w:t xml:space="preserve">Finding Classification Grid </w:t>
      </w:r>
      <w:bookmarkEnd w:id="33"/>
      <w:r w:rsidRPr="00C04721">
        <w:rPr>
          <w:rStyle w:val="DocrefChar"/>
        </w:rPr>
        <w:t>(UoB-CPR-QCD-001)</w:t>
      </w:r>
      <w:r w:rsidRPr="00C04721">
        <w:rPr>
          <w:i/>
          <w:iCs/>
        </w:rPr>
        <w:t xml:space="preserve"> </w:t>
      </w:r>
      <w:r w:rsidRPr="00C04721">
        <w:t xml:space="preserve">for the classification of audit findings on clinical research, which is based on </w:t>
      </w:r>
      <w:r w:rsidR="00C63E29">
        <w:t xml:space="preserve">relevant </w:t>
      </w:r>
      <w:r w:rsidR="00C63E29" w:rsidRPr="00C04721">
        <w:t>grading system</w:t>
      </w:r>
      <w:r w:rsidR="00C63E29">
        <w:t>s from</w:t>
      </w:r>
      <w:r w:rsidR="00C63E29" w:rsidRPr="00C04721">
        <w:t xml:space="preserve"> </w:t>
      </w:r>
      <w:r w:rsidRPr="00C04721">
        <w:t>the Medicines and Healthcare products Regulatory Agency (MHRA)</w:t>
      </w:r>
      <w:r w:rsidR="00C63E29">
        <w:t xml:space="preserve"> and the HTA</w:t>
      </w:r>
      <w:r w:rsidRPr="00C04721">
        <w:t xml:space="preserve">. </w:t>
      </w:r>
    </w:p>
    <w:p w14:paraId="0CDD88ED" w14:textId="498D9CC5" w:rsidR="00C04721" w:rsidRPr="00C04721" w:rsidRDefault="00C04721" w:rsidP="00C04721">
      <w:r w:rsidRPr="00C04721">
        <w:lastRenderedPageBreak/>
        <w:t>It is expected that other departments (including, but not limited to, the UoB’s CTUs, HTA-licensed tissue banks and GMP facilities) will have their own internal audit programme. These programmes will be set</w:t>
      </w:r>
      <w:r w:rsidR="00003FB4">
        <w:t xml:space="preserve"> </w:t>
      </w:r>
      <w:r w:rsidRPr="00C04721">
        <w:t xml:space="preserve">up and conducted in accordance with the </w:t>
      </w:r>
      <w:r w:rsidRPr="00C04721">
        <w:rPr>
          <w:rStyle w:val="DocrefChar"/>
        </w:rPr>
        <w:t>Compliance Review SOP (UoB-CPR-SOP-001)</w:t>
      </w:r>
      <w:r w:rsidRPr="00C04721">
        <w:t xml:space="preserve"> and approved locally by appropriate senior management. </w:t>
      </w:r>
    </w:p>
    <w:p w14:paraId="29DAB5AE" w14:textId="77777777" w:rsidR="00C04721" w:rsidRPr="00C04721" w:rsidRDefault="00C04721" w:rsidP="00C04721">
      <w:pPr>
        <w:pStyle w:val="Heading3"/>
      </w:pPr>
      <w:r w:rsidRPr="00C04721">
        <w:t>Sponsor support visit (SSV) programme</w:t>
      </w:r>
    </w:p>
    <w:p w14:paraId="03772F89" w14:textId="3A8CC51C" w:rsidR="007A4BF0" w:rsidRDefault="00C04721" w:rsidP="00C04721">
      <w:r w:rsidRPr="00C04721">
        <w:t>The CRCT conducts SSVs for projects where the UoB is the sponsor, or where the UoB provides institutional oversight for any clinical research not being managed within a UoB CTU. During an SSV, the CRCT has discussions with the research team and reviews the project, including its key processes and documents. This covers areas such as participant consent and enrolment, collection and processing of study data, and tissue</w:t>
      </w:r>
      <w:r w:rsidR="00003FB4">
        <w:t xml:space="preserve"> </w:t>
      </w:r>
      <w:r w:rsidRPr="00C04721">
        <w:t xml:space="preserve">sample management, as applicable. The SSV provides an opportunity to evaluate the project against applicable SOPs, which allows the CRCT to provide feedback to the research team (including highlighting areas where further work is needed to ensure adherence to applicable regulations and standards). In addition, the SSV process allows best practice to be shared between research teams. </w:t>
      </w:r>
    </w:p>
    <w:p w14:paraId="362CF333" w14:textId="42650E3A" w:rsidR="00FD38FE" w:rsidRDefault="00FD38FE" w:rsidP="00FD38FE">
      <w:r w:rsidRPr="00C04721">
        <w:t>The SSV programme is approved by the CTOC and the HTOC, and</w:t>
      </w:r>
      <w:r w:rsidR="00003FB4">
        <w:t>,</w:t>
      </w:r>
      <w:r w:rsidRPr="00C04721">
        <w:t xml:space="preserve"> where necessary</w:t>
      </w:r>
      <w:r w:rsidR="00003FB4">
        <w:t>,</w:t>
      </w:r>
      <w:r w:rsidRPr="00C04721">
        <w:t xml:space="preserve"> any issues identified during an SSV are reported to them.</w:t>
      </w:r>
    </w:p>
    <w:p w14:paraId="6315540D" w14:textId="03EAD878" w:rsidR="00FD38FE" w:rsidRDefault="00FD38FE" w:rsidP="004B2A69">
      <w:pPr>
        <w:pStyle w:val="Heading3"/>
      </w:pPr>
      <w:r>
        <w:t>Tissue bank support visit (TBSV) programme</w:t>
      </w:r>
    </w:p>
    <w:p w14:paraId="27DAA2C8" w14:textId="06BDABDF" w:rsidR="00113C46" w:rsidRDefault="00FD38FE" w:rsidP="00C04721">
      <w:r>
        <w:t xml:space="preserve">A new programme (modelled on the </w:t>
      </w:r>
      <w:r w:rsidR="007A4BF0">
        <w:t>SSV programme</w:t>
      </w:r>
      <w:r>
        <w:t>)</w:t>
      </w:r>
      <w:r w:rsidR="007A4BF0">
        <w:t xml:space="preserve"> has been </w:t>
      </w:r>
      <w:r>
        <w:t>developed</w:t>
      </w:r>
      <w:r w:rsidR="007A4BF0">
        <w:t xml:space="preserve"> to </w:t>
      </w:r>
      <w:r w:rsidR="007A4BF0" w:rsidRPr="007A4BF0">
        <w:t xml:space="preserve">support visits for projects accessing tissue via either the HBRC or </w:t>
      </w:r>
      <w:r w:rsidR="00AB3EF3">
        <w:t xml:space="preserve">the </w:t>
      </w:r>
      <w:r w:rsidR="007A4BF0" w:rsidRPr="007A4BF0">
        <w:t>DRTB</w:t>
      </w:r>
      <w:r w:rsidR="007A4BF0">
        <w:t xml:space="preserve">. </w:t>
      </w:r>
      <w:r>
        <w:t>TBSVs</w:t>
      </w:r>
      <w:r w:rsidR="00AA65E7">
        <w:t xml:space="preserve"> are carried out </w:t>
      </w:r>
      <w:r>
        <w:t>as co-visits</w:t>
      </w:r>
      <w:r w:rsidR="00AA65E7">
        <w:t xml:space="preserve"> with the quality manager (or equivalent role) from each facility. The focus of the visits is </w:t>
      </w:r>
      <w:proofErr w:type="gramStart"/>
      <w:r w:rsidR="00AA65E7">
        <w:t>similar to</w:t>
      </w:r>
      <w:proofErr w:type="gramEnd"/>
      <w:r w:rsidR="00AA65E7">
        <w:t xml:space="preserve"> a SSV, and the checks conducted are reviewed to confirm compliance with the agreed application</w:t>
      </w:r>
      <w:r w:rsidR="00113C46">
        <w:t xml:space="preserve"> for the tissue use</w:t>
      </w:r>
      <w:r w:rsidR="00AA65E7">
        <w:t>.</w:t>
      </w:r>
      <w:r>
        <w:t xml:space="preserve"> </w:t>
      </w:r>
    </w:p>
    <w:p w14:paraId="28A19B4B" w14:textId="0EDEB3A2" w:rsidR="00FD38FE" w:rsidRDefault="00FD38FE" w:rsidP="00C04721">
      <w:r>
        <w:t>The approval and reporting pathway for the TBSV programme is as described for SSVs.</w:t>
      </w:r>
    </w:p>
    <w:p w14:paraId="26073716" w14:textId="07C81A5A" w:rsidR="00C04721" w:rsidRPr="00C04721" w:rsidRDefault="00C04721" w:rsidP="00C04721">
      <w:pPr>
        <w:pStyle w:val="Heading1"/>
      </w:pPr>
      <w:bookmarkStart w:id="34" w:name="_Toc98234545"/>
      <w:bookmarkStart w:id="35" w:name="_Toc189483966"/>
      <w:r w:rsidRPr="00C04721">
        <w:t xml:space="preserve">Policy on </w:t>
      </w:r>
      <w:bookmarkEnd w:id="34"/>
      <w:r w:rsidR="00860971">
        <w:t>key staff roles</w:t>
      </w:r>
      <w:bookmarkEnd w:id="35"/>
    </w:p>
    <w:p w14:paraId="7DD8FBD0" w14:textId="18DF17DD" w:rsidR="00C04721" w:rsidRPr="00C04721" w:rsidRDefault="00D763BC" w:rsidP="00C04721">
      <w:pPr>
        <w:pStyle w:val="Heading2"/>
      </w:pPr>
      <w:bookmarkStart w:id="36" w:name="_Toc189483967"/>
      <w:r>
        <w:t>Chief investigator (</w:t>
      </w:r>
      <w:r w:rsidR="00C04721" w:rsidRPr="00C04721">
        <w:t>CI</w:t>
      </w:r>
      <w:r>
        <w:t>)</w:t>
      </w:r>
      <w:r w:rsidR="00C04721" w:rsidRPr="00C04721">
        <w:t xml:space="preserve"> (</w:t>
      </w:r>
      <w:r>
        <w:t xml:space="preserve">also known as </w:t>
      </w:r>
      <w:r w:rsidR="00C04721" w:rsidRPr="00C04721">
        <w:t>UoB principal investigator)</w:t>
      </w:r>
      <w:bookmarkEnd w:id="36"/>
    </w:p>
    <w:p w14:paraId="08415CF1" w14:textId="1A858525" w:rsidR="00C04721" w:rsidRPr="00C04721" w:rsidRDefault="00C04721" w:rsidP="00C04721">
      <w:r w:rsidRPr="00C04721">
        <w:t xml:space="preserve">Any researcher who has a contract with the UoB can take on the role of CI for a clinical study and/or clinical trial that is not a CTIMP (‘non-CTIMP’). By doing so, they take on responsibility as assigned to the CI in the </w:t>
      </w:r>
      <w:hyperlink r:id="rId48" w:tooltip="Link to the UoB Code of Practice for Research (PDF - 357 KB)" w:history="1">
        <w:r w:rsidRPr="00C04721">
          <w:rPr>
            <w:rStyle w:val="Hyperlink"/>
          </w:rPr>
          <w:t xml:space="preserve">UoB Code of Practice for Research (PDF – </w:t>
        </w:r>
        <w:r w:rsidR="00C63E29">
          <w:rPr>
            <w:rStyle w:val="Hyperlink"/>
          </w:rPr>
          <w:t>3</w:t>
        </w:r>
        <w:r w:rsidR="00AA7510">
          <w:rPr>
            <w:rStyle w:val="Hyperlink"/>
          </w:rPr>
          <w:t>82</w:t>
        </w:r>
        <w:r w:rsidRPr="00C04721">
          <w:rPr>
            <w:rStyle w:val="Hyperlink"/>
          </w:rPr>
          <w:t xml:space="preserve"> KB)</w:t>
        </w:r>
      </w:hyperlink>
      <w:r w:rsidRPr="00C04721">
        <w:t xml:space="preserve"> (see section 3 ‘Integrity and Accountability’). Please note in the UoB Code of Practice for Research, the CI is referred to as the Principal Investigator (PI). For the purposes of the UoB QMS, the PI as defined in the UoB Code of Practice for Research is referred to as the ‘UoB PI’, which differs from the clinical research term of ‘PI’. See </w:t>
      </w:r>
      <w:r w:rsidR="00C63E29">
        <w:t xml:space="preserve">the </w:t>
      </w:r>
      <w:hyperlink r:id="rId49" w:tooltip="Link to Glossary of Terms" w:history="1">
        <w:r w:rsidR="00C63E29" w:rsidRPr="00F12A38">
          <w:rPr>
            <w:rStyle w:val="Hyperlink"/>
          </w:rPr>
          <w:t>Glossary of Term</w:t>
        </w:r>
        <w:r w:rsidR="00C63E29">
          <w:rPr>
            <w:rStyle w:val="Hyperlink"/>
          </w:rPr>
          <w:t>s</w:t>
        </w:r>
      </w:hyperlink>
      <w:r w:rsidR="00C63E29">
        <w:t xml:space="preserve"> for a full list of a</w:t>
      </w:r>
      <w:r w:rsidRPr="00C04721">
        <w:t xml:space="preserve">bbreviations and definitions. </w:t>
      </w:r>
    </w:p>
    <w:p w14:paraId="4E973F20" w14:textId="750E9DDB" w:rsidR="00C04721" w:rsidRPr="00C04721" w:rsidRDefault="00C04721" w:rsidP="00C04721">
      <w:r w:rsidRPr="00C04721">
        <w:t xml:space="preserve">For HRA-approved clinical research, the CI also takes on responsibilities as assigned to the CI in the </w:t>
      </w:r>
      <w:hyperlink r:id="rId50" w:tooltip="UK Policy Framework for Health and Social Care Research" w:history="1">
        <w:r w:rsidRPr="00C04721">
          <w:rPr>
            <w:rStyle w:val="Hyperlink"/>
          </w:rPr>
          <w:t>UK Policy Framework for Health and Social Care Research</w:t>
        </w:r>
      </w:hyperlink>
      <w:r w:rsidRPr="00C04721">
        <w:t xml:space="preserve"> (see section 9 ‘Responsibilities’). For CTIMPs, the CI must be an authorised healthcare professional (doctor, dentist, nurse or pharmacist). The CI also takes on the CI’s responsibilities as described in the UK Policy Framework for Health and Social Care Research and the UK Clinical Trials Regulations (</w:t>
      </w:r>
      <w:hyperlink r:id="rId51" w:tooltip="The Medicines for Human Use (Clinical Trials) Regulations 2004 (as amended)" w:history="1">
        <w:r w:rsidR="00AA1AD4" w:rsidRPr="0051741B">
          <w:rPr>
            <w:rStyle w:val="Hyperlink"/>
          </w:rPr>
          <w:t>The Medicines for Human Use (Clinical Trials) Regulations 2004 (as amended)</w:t>
        </w:r>
      </w:hyperlink>
      <w:r w:rsidRPr="00C04721">
        <w:t>).</w:t>
      </w:r>
    </w:p>
    <w:p w14:paraId="1B5D8399" w14:textId="65D675E0" w:rsidR="00C04721" w:rsidRPr="00C04721" w:rsidRDefault="00C04721" w:rsidP="00C04721">
      <w:r w:rsidRPr="00C04721">
        <w:t xml:space="preserve">For HRA-approved clinical research, </w:t>
      </w:r>
      <w:r w:rsidR="001F7B3B">
        <w:t>REGI</w:t>
      </w:r>
      <w:r w:rsidRPr="00C04721">
        <w:t xml:space="preserve"> has developed CI </w:t>
      </w:r>
      <w:r w:rsidR="001F7B3B">
        <w:t>d</w:t>
      </w:r>
      <w:r w:rsidRPr="00C04721">
        <w:t xml:space="preserve">eclaration </w:t>
      </w:r>
      <w:r w:rsidR="001F7B3B">
        <w:t>f</w:t>
      </w:r>
      <w:r w:rsidRPr="00C04721">
        <w:t>orm</w:t>
      </w:r>
      <w:r w:rsidR="001F7B3B">
        <w:t>s</w:t>
      </w:r>
      <w:r w:rsidRPr="00C04721">
        <w:t xml:space="preserve"> that summarises these responsibilities. The CI will be asked to sign this declaration, thereby confirming that they will take on the responsibilities assigned to them. </w:t>
      </w:r>
      <w:proofErr w:type="gramStart"/>
      <w:r w:rsidRPr="00C04721">
        <w:t>In the event that</w:t>
      </w:r>
      <w:proofErr w:type="gramEnd"/>
      <w:r w:rsidRPr="00C04721">
        <w:t xml:space="preserve"> the CI is external to the UoB, see </w:t>
      </w:r>
      <w:r w:rsidR="00736B4B">
        <w:t xml:space="preserve">‘External CI’ section within </w:t>
      </w:r>
      <w:r w:rsidRPr="00C04721">
        <w:t xml:space="preserve">‘Policy on the UoB’s approval of clinical research’ </w:t>
      </w:r>
      <w:r w:rsidR="00736B4B" w:rsidRPr="00736B4B">
        <w:rPr>
          <w:rStyle w:val="SectionrefChar"/>
        </w:rPr>
        <w:fldChar w:fldCharType="begin"/>
      </w:r>
      <w:r w:rsidR="00736B4B" w:rsidRPr="00736B4B">
        <w:rPr>
          <w:rStyle w:val="SectionrefChar"/>
        </w:rPr>
        <w:instrText xml:space="preserve"> REF _Ref168559067 \p \h </w:instrText>
      </w:r>
      <w:r w:rsidR="00736B4B">
        <w:rPr>
          <w:rStyle w:val="SectionrefChar"/>
        </w:rPr>
        <w:instrText xml:space="preserve"> \* MERGEFORMAT </w:instrText>
      </w:r>
      <w:r w:rsidR="00736B4B" w:rsidRPr="00736B4B">
        <w:rPr>
          <w:rStyle w:val="SectionrefChar"/>
        </w:rPr>
      </w:r>
      <w:r w:rsidR="00736B4B" w:rsidRPr="00736B4B">
        <w:rPr>
          <w:rStyle w:val="SectionrefChar"/>
        </w:rPr>
        <w:fldChar w:fldCharType="separate"/>
      </w:r>
      <w:r w:rsidR="00EE7BAB">
        <w:rPr>
          <w:rStyle w:val="SectionrefChar"/>
        </w:rPr>
        <w:t>below</w:t>
      </w:r>
      <w:r w:rsidR="00736B4B" w:rsidRPr="00736B4B">
        <w:rPr>
          <w:rStyle w:val="SectionrefChar"/>
        </w:rPr>
        <w:fldChar w:fldCharType="end"/>
      </w:r>
      <w:r w:rsidRPr="00C04721">
        <w:t>.</w:t>
      </w:r>
    </w:p>
    <w:p w14:paraId="6D8E374E" w14:textId="4CE37E0D" w:rsidR="00C04721" w:rsidRPr="00C04721" w:rsidRDefault="00C04721" w:rsidP="00C04721">
      <w:r w:rsidRPr="00C04721">
        <w:t xml:space="preserve">Where a clinical research project is sponsored externally, </w:t>
      </w:r>
      <w:r w:rsidR="001F7B3B">
        <w:t>REGI</w:t>
      </w:r>
      <w:r w:rsidRPr="00C04721">
        <w:t xml:space="preserve"> will need to ensure that appropriate insurance cover for the CI can be put in place. Where this occurs, the CI will need to liaise with </w:t>
      </w:r>
      <w:r w:rsidR="001F7B3B">
        <w:t>REGI</w:t>
      </w:r>
      <w:r w:rsidRPr="00C04721">
        <w:t xml:space="preserve"> to inform them about their role in the externally sponsored project.</w:t>
      </w:r>
    </w:p>
    <w:p w14:paraId="03ECAA6B" w14:textId="77777777" w:rsidR="00C04721" w:rsidRPr="00C04721" w:rsidRDefault="00C04721" w:rsidP="00C04721">
      <w:pPr>
        <w:pStyle w:val="Heading2"/>
      </w:pPr>
      <w:bookmarkStart w:id="37" w:name="_Toc189483968"/>
      <w:r w:rsidRPr="00C04721">
        <w:t>UoB lead</w:t>
      </w:r>
      <w:bookmarkEnd w:id="37"/>
    </w:p>
    <w:p w14:paraId="295280BF" w14:textId="37CDC746" w:rsidR="00C04721" w:rsidRPr="00C04721" w:rsidRDefault="00C04721" w:rsidP="00C04721">
      <w:r w:rsidRPr="00C04721">
        <w:t xml:space="preserve">For a clinical research project where the CI is located outside the UoB, a UoB lead is also required. The UoB lead </w:t>
      </w:r>
      <w:r w:rsidR="00CD58BC">
        <w:t>should be</w:t>
      </w:r>
      <w:r w:rsidRPr="00C04721">
        <w:t xml:space="preserve"> a (senior) person in the UoB who will take responsibility for the conduct and delivery of those aspects of the project that are either carried out at, or managed/overseen by, the UoB. Normally this would be an academic researcher but, in some cases, it may be a senior member of a UKCRC-registered UoB CTU (where appropriate).</w:t>
      </w:r>
    </w:p>
    <w:p w14:paraId="5D21E9DD" w14:textId="715D304F" w:rsidR="00C04721" w:rsidRPr="00C04721" w:rsidRDefault="00C04721" w:rsidP="00C04721">
      <w:pPr>
        <w:pStyle w:val="Heading2"/>
      </w:pPr>
      <w:bookmarkStart w:id="38" w:name="_Toc189483969"/>
      <w:r w:rsidRPr="00C04721">
        <w:lastRenderedPageBreak/>
        <w:t>Laboratory academic lead</w:t>
      </w:r>
      <w:r w:rsidR="00003FB4">
        <w:t xml:space="preserve"> (LAL)</w:t>
      </w:r>
      <w:bookmarkEnd w:id="38"/>
    </w:p>
    <w:p w14:paraId="7915B240" w14:textId="7F22FC27" w:rsidR="00C04721" w:rsidRPr="00C04721" w:rsidRDefault="00C04721" w:rsidP="00C04721">
      <w:r w:rsidRPr="00C04721">
        <w:t>Where clinical research samples are analysed in a UoB laboratory, a LAL will be appointed by the CI. The LAL will lead the laboratory-based research</w:t>
      </w:r>
      <w:r w:rsidR="00AA7510">
        <w:t>,</w:t>
      </w:r>
      <w:r w:rsidRPr="00C04721">
        <w:t xml:space="preserve"> and they will be responsible for maintaining the appropriate laboratory standard (see </w:t>
      </w:r>
      <w:bookmarkStart w:id="39" w:name="_Hlk92967726"/>
      <w:r w:rsidRPr="00C04721">
        <w:rPr>
          <w:rStyle w:val="DocrefChar"/>
        </w:rPr>
        <w:t>Laboratory Set-up and Management</w:t>
      </w:r>
      <w:bookmarkEnd w:id="39"/>
      <w:r w:rsidRPr="00C04721">
        <w:rPr>
          <w:rStyle w:val="DocrefChar"/>
        </w:rPr>
        <w:t xml:space="preserve"> SOP (UoB-CRL-SOP-001)</w:t>
      </w:r>
      <w:r w:rsidRPr="00C04721">
        <w:t>).</w:t>
      </w:r>
    </w:p>
    <w:p w14:paraId="506441D4" w14:textId="77777777" w:rsidR="00C04721" w:rsidRPr="00C04721" w:rsidRDefault="00C04721" w:rsidP="00C04721">
      <w:pPr>
        <w:pStyle w:val="Heading2"/>
      </w:pPr>
      <w:bookmarkStart w:id="40" w:name="_Toc189483970"/>
      <w:r w:rsidRPr="00C04721">
        <w:t>Grant holder</w:t>
      </w:r>
      <w:bookmarkEnd w:id="40"/>
    </w:p>
    <w:p w14:paraId="313E302B" w14:textId="4A46D6CC" w:rsidR="00C04721" w:rsidRPr="00C04721" w:rsidRDefault="00C04721" w:rsidP="00C04721">
      <w:r w:rsidRPr="00C04721">
        <w:t>Normally, the principal grant holder for a clinical research project will be expected to act as CI. However, where the principal grant holder is not appropriately qualified/trained to act as CI on a clinical research project (</w:t>
      </w:r>
      <w:r w:rsidR="00CD58BC">
        <w:t xml:space="preserve">e.g. where the individual is not an </w:t>
      </w:r>
      <w:r w:rsidR="00CD58BC" w:rsidRPr="00C04721">
        <w:t>authorised healthcare professiona</w:t>
      </w:r>
      <w:r w:rsidR="00CD58BC">
        <w:t xml:space="preserve">l in the case </w:t>
      </w:r>
      <w:r w:rsidR="00FF5ABA">
        <w:t xml:space="preserve">of </w:t>
      </w:r>
      <w:r w:rsidR="00CD58BC">
        <w:t>a CTIMP</w:t>
      </w:r>
      <w:r w:rsidRPr="00C04721">
        <w:t xml:space="preserve">) then an appropriately qualified/trained individual must be identified to act as CI. The grant holder may take on the role of the UoB lead, where the CI is external to the UoB. </w:t>
      </w:r>
    </w:p>
    <w:p w14:paraId="39CAA668" w14:textId="04111315" w:rsidR="00C04721" w:rsidRPr="00C04721" w:rsidRDefault="00C04721" w:rsidP="00C04721">
      <w:pPr>
        <w:pStyle w:val="Heading1"/>
      </w:pPr>
      <w:bookmarkStart w:id="41" w:name="_Toc78185770"/>
      <w:bookmarkStart w:id="42" w:name="_Toc98234546"/>
      <w:bookmarkStart w:id="43" w:name="_Toc189483971"/>
      <w:r w:rsidRPr="00C04721">
        <w:t xml:space="preserve">Policy on the </w:t>
      </w:r>
      <w:r w:rsidR="00860971">
        <w:t>University</w:t>
      </w:r>
      <w:r w:rsidR="00860971" w:rsidRPr="00C04721">
        <w:t xml:space="preserve">’s </w:t>
      </w:r>
      <w:r w:rsidRPr="00C04721">
        <w:t>approval of clinical research</w:t>
      </w:r>
      <w:bookmarkEnd w:id="41"/>
      <w:bookmarkEnd w:id="42"/>
      <w:bookmarkEnd w:id="43"/>
    </w:p>
    <w:p w14:paraId="2E5EB3E2" w14:textId="21C2B757" w:rsidR="00C04721" w:rsidRPr="00C04721" w:rsidRDefault="00C04721" w:rsidP="00C04721">
      <w:r w:rsidRPr="00C04721">
        <w:t xml:space="preserve">All clinical research should be setup in accordance with the </w:t>
      </w:r>
      <w:bookmarkStart w:id="44" w:name="_Hlk92967737"/>
      <w:r w:rsidRPr="00C04721">
        <w:rPr>
          <w:rStyle w:val="DocrefChar"/>
        </w:rPr>
        <w:t>Project Set</w:t>
      </w:r>
      <w:r w:rsidR="00CD58BC">
        <w:rPr>
          <w:rStyle w:val="DocrefChar"/>
        </w:rPr>
        <w:t>-</w:t>
      </w:r>
      <w:r w:rsidRPr="00C04721">
        <w:rPr>
          <w:rStyle w:val="DocrefChar"/>
        </w:rPr>
        <w:t>up</w:t>
      </w:r>
      <w:bookmarkEnd w:id="44"/>
      <w:r w:rsidRPr="00C04721">
        <w:rPr>
          <w:rStyle w:val="DocrefChar"/>
        </w:rPr>
        <w:t xml:space="preserve"> SOP (UoB-SET-SOP-001)</w:t>
      </w:r>
      <w:r w:rsidRPr="00C04721">
        <w:t>. Where clinical research falls within the UK Policy Framework for Health and Social Care, it requires a designated sponsor</w:t>
      </w:r>
      <w:bookmarkStart w:id="45" w:name="_Hlk93007299"/>
      <w:r w:rsidRPr="00C04721">
        <w:t xml:space="preserve">. For projects that require sponsorship, </w:t>
      </w:r>
      <w:r w:rsidR="00CD58BC">
        <w:t>REGI</w:t>
      </w:r>
      <w:r w:rsidRPr="00C04721">
        <w:t xml:space="preserve"> is responsible for making and confirming sponsorship decisions on behalf of the </w:t>
      </w:r>
      <w:r w:rsidR="00CD58BC">
        <w:t>university</w:t>
      </w:r>
      <w:r w:rsidRPr="00C04721">
        <w:t xml:space="preserve">. </w:t>
      </w:r>
      <w:bookmarkEnd w:id="45"/>
      <w:r w:rsidR="00CD58BC">
        <w:t xml:space="preserve">REGI </w:t>
      </w:r>
      <w:r w:rsidRPr="00C04721">
        <w:t xml:space="preserve">is also responsible for the operation of the university’s internal ethical review processes, and the co-ordination of applications requiring further review by an internal REC. Additionally, </w:t>
      </w:r>
      <w:r w:rsidR="00CD58BC">
        <w:t>REGI</w:t>
      </w:r>
      <w:r w:rsidRPr="00C04721">
        <w:t xml:space="preserve"> processes any requests for clinical trial insurance, and maintains the sponsor’s oversight of any projects.</w:t>
      </w:r>
    </w:p>
    <w:p w14:paraId="02279F40" w14:textId="36D93337" w:rsidR="00C04721" w:rsidRPr="00C04721" w:rsidRDefault="00C04721" w:rsidP="00C04721">
      <w:r w:rsidRPr="00C04721">
        <w:t>The CRCT offers set-up support to staff who are in the process of setting up a new clinical research project. The CRCT can review the draft documentation and provide feedback to help ensure the documents satisfy the requirements of the REC and/or sponsor.</w:t>
      </w:r>
    </w:p>
    <w:p w14:paraId="45150BED" w14:textId="77777777" w:rsidR="00C04721" w:rsidRPr="00C04721" w:rsidRDefault="00C04721" w:rsidP="00C04721">
      <w:pPr>
        <w:pStyle w:val="Heading2"/>
      </w:pPr>
      <w:bookmarkStart w:id="46" w:name="_Toc320017528"/>
      <w:bookmarkStart w:id="47" w:name="_Toc406082920"/>
      <w:bookmarkStart w:id="48" w:name="_Ref317684694"/>
      <w:bookmarkStart w:id="49" w:name="_Toc317688224"/>
      <w:bookmarkStart w:id="50" w:name="_Toc189483972"/>
      <w:r w:rsidRPr="00C04721">
        <w:t>UoB as the sponsor</w:t>
      </w:r>
      <w:bookmarkEnd w:id="46"/>
      <w:bookmarkEnd w:id="47"/>
      <w:bookmarkEnd w:id="50"/>
    </w:p>
    <w:p w14:paraId="53776D59" w14:textId="458E9FA5" w:rsidR="00C04721" w:rsidRPr="00C04721" w:rsidRDefault="00C04721" w:rsidP="00C04721">
      <w:pPr>
        <w:pStyle w:val="Heading3"/>
      </w:pPr>
      <w:bookmarkStart w:id="51" w:name="_Toc406082921"/>
      <w:r w:rsidRPr="00C04721">
        <w:t xml:space="preserve">Internal </w:t>
      </w:r>
      <w:bookmarkEnd w:id="51"/>
      <w:r w:rsidR="008D1E7C">
        <w:t>chief investigator</w:t>
      </w:r>
    </w:p>
    <w:p w14:paraId="27AACF8B" w14:textId="7CE497C4" w:rsidR="00C04721" w:rsidRPr="00C04721" w:rsidRDefault="00C04721" w:rsidP="00C04721">
      <w:r w:rsidRPr="00C04721">
        <w:t xml:space="preserve">The UoB is strongly supportive of clinical research and is prepared to act as the sponsor for clinical research under the UK Policy Framework for Health and Social Care Research, and the Medicines for Human Use (Clinical Trials) Regulations (where applicable). </w:t>
      </w:r>
      <w:r w:rsidR="00875CAF">
        <w:t>REGI</w:t>
      </w:r>
      <w:r w:rsidRPr="00C04721">
        <w:t xml:space="preserve"> will make the initial decision on sponsorship. </w:t>
      </w:r>
      <w:r w:rsidR="00875CAF">
        <w:t>REGI</w:t>
      </w:r>
      <w:r w:rsidRPr="00C04721">
        <w:t xml:space="preserve"> will liaise with the CI, with an aim to resolve any potential hurdles to sponsorship. </w:t>
      </w:r>
      <w:r w:rsidR="00875CAF">
        <w:t>REGI</w:t>
      </w:r>
      <w:r w:rsidRPr="00C04721">
        <w:t xml:space="preserve"> may refer any issues to other experts e.g. the CRCT and the CTOC</w:t>
      </w:r>
      <w:r w:rsidR="00875CAF">
        <w:t xml:space="preserve"> or the HTOC</w:t>
      </w:r>
      <w:r w:rsidRPr="00C04721">
        <w:t>.</w:t>
      </w:r>
    </w:p>
    <w:p w14:paraId="5EE8C3A9" w14:textId="689F3515" w:rsidR="00C04721" w:rsidRPr="00C04721" w:rsidRDefault="00C04721" w:rsidP="00C04721">
      <w:r w:rsidRPr="00C04721">
        <w:t xml:space="preserve">Where the UoB accepts the role of sponsor, </w:t>
      </w:r>
      <w:r w:rsidR="00875CAF">
        <w:t>REGI</w:t>
      </w:r>
      <w:r w:rsidRPr="00C04721">
        <w:t xml:space="preserve"> will ask the CI to confirm their acceptance of the CI’s responsibilities, and the associated sponsor’s duties delegated to them, via the </w:t>
      </w:r>
      <w:r w:rsidR="00736B4B">
        <w:t xml:space="preserve">appropriate </w:t>
      </w:r>
      <w:r w:rsidRPr="00C04721">
        <w:t>CI Declaration Form</w:t>
      </w:r>
      <w:r w:rsidR="00736B4B">
        <w:t xml:space="preserve"> (see also the </w:t>
      </w:r>
      <w:r w:rsidR="00736B4B" w:rsidRPr="00781CF8">
        <w:rPr>
          <w:rStyle w:val="DocrefChar"/>
        </w:rPr>
        <w:t>Project Set-up SOP (UoB-SET-SOP-001</w:t>
      </w:r>
      <w:r w:rsidR="00736B4B">
        <w:rPr>
          <w:rStyle w:val="DocrefChar"/>
        </w:rPr>
        <w:t>)</w:t>
      </w:r>
      <w:r w:rsidR="00736B4B" w:rsidRPr="00736B4B">
        <w:t>)</w:t>
      </w:r>
      <w:r w:rsidRPr="00C04721">
        <w:t xml:space="preserve">. These responsibilities are also stated within the UoB QMS. </w:t>
      </w:r>
    </w:p>
    <w:p w14:paraId="22A72521" w14:textId="5505D835" w:rsidR="00C04721" w:rsidRPr="00C04721" w:rsidRDefault="00C04721" w:rsidP="00C04721">
      <w:r w:rsidRPr="00C04721">
        <w:t>Where a UoB CTU takes on (part of) the management of a clinical research project it is expected that the CI’s responsibilities, along with their delegated sponsor’s duties, will be further delegated to staff members within the CTU, as described in the CTU’s QMS. All delegation of duties must be documented (see</w:t>
      </w:r>
      <w:r w:rsidR="00875CAF">
        <w:t xml:space="preserve"> also the</w:t>
      </w:r>
      <w:r w:rsidRPr="00C04721">
        <w:t xml:space="preserve"> </w:t>
      </w:r>
      <w:bookmarkStart w:id="52" w:name="_Hlk92967750"/>
      <w:r w:rsidRPr="00C04721">
        <w:rPr>
          <w:rStyle w:val="DocrefChar"/>
        </w:rPr>
        <w:t>Clinical Trial Task Delegation Log</w:t>
      </w:r>
      <w:bookmarkEnd w:id="52"/>
      <w:r w:rsidRPr="00C04721">
        <w:rPr>
          <w:rStyle w:val="DocrefChar"/>
        </w:rPr>
        <w:t xml:space="preserve"> (UoB-SPO-QCD-001)</w:t>
      </w:r>
      <w:r w:rsidRPr="00C04721">
        <w:t>).</w:t>
      </w:r>
    </w:p>
    <w:p w14:paraId="01482AB3" w14:textId="0B8F4E8B" w:rsidR="00C04721" w:rsidRPr="00C04721" w:rsidRDefault="00C04721" w:rsidP="00C04721">
      <w:pPr>
        <w:pStyle w:val="Heading3"/>
      </w:pPr>
      <w:bookmarkStart w:id="53" w:name="_Toc406082922"/>
      <w:bookmarkStart w:id="54" w:name="_Ref168559067"/>
      <w:bookmarkEnd w:id="48"/>
      <w:bookmarkEnd w:id="49"/>
      <w:r w:rsidRPr="00C04721">
        <w:t xml:space="preserve">External </w:t>
      </w:r>
      <w:bookmarkEnd w:id="53"/>
      <w:r w:rsidR="008D1E7C">
        <w:t>chief investigator</w:t>
      </w:r>
      <w:bookmarkEnd w:id="54"/>
    </w:p>
    <w:p w14:paraId="489AC1FC" w14:textId="60281564" w:rsidR="00C04721" w:rsidRDefault="00C04721" w:rsidP="00C04721">
      <w:r w:rsidRPr="00C04721">
        <w:t>Where the UoB sponsors and manages a clinical research project, but the appointed CI is employed elsewhere</w:t>
      </w:r>
      <w:r w:rsidR="00736B4B">
        <w:t xml:space="preserve"> (i.e. not holding a substantive or an honorary contract at the UoB)</w:t>
      </w:r>
      <w:r w:rsidRPr="00C04721">
        <w:t>, arrangements must be agreed between the UoB, the CI and their employing institution</w:t>
      </w:r>
      <w:r w:rsidR="00003FB4">
        <w:t>,</w:t>
      </w:r>
      <w:r w:rsidRPr="00C04721">
        <w:t xml:space="preserve"> stipulating the CI’s duties. In some exceptional circumstances this may take the form of a formal co-sponsorship arrangement between the UoB and the CI’s employing institution. However, more typically, the UoB will act as the sole sponsor to ensure clarity of study/trial-management functions. As such, an External </w:t>
      </w:r>
      <w:r w:rsidR="00736B4B">
        <w:t>CI</w:t>
      </w:r>
      <w:r w:rsidRPr="00C04721">
        <w:t xml:space="preserve"> Agreement will be negotiated</w:t>
      </w:r>
      <w:r w:rsidRPr="00C04721" w:rsidDel="00041A3E">
        <w:t xml:space="preserve"> </w:t>
      </w:r>
      <w:r w:rsidRPr="00C04721">
        <w:t>between the UoB, the CI and their employer.</w:t>
      </w:r>
      <w:r w:rsidR="00736B4B">
        <w:t xml:space="preserve"> See the </w:t>
      </w:r>
      <w:r w:rsidR="00736B4B" w:rsidRPr="00736B4B">
        <w:rPr>
          <w:rStyle w:val="DocrefChar"/>
        </w:rPr>
        <w:t>Project Set-up SOP (UoB-SET-SOP-001)</w:t>
      </w:r>
      <w:r w:rsidR="00736B4B">
        <w:t xml:space="preserve"> for more details.</w:t>
      </w:r>
      <w:r w:rsidRPr="00C04721">
        <w:t xml:space="preserve"> </w:t>
      </w:r>
    </w:p>
    <w:p w14:paraId="3D80446E" w14:textId="7CC977F3" w:rsidR="00C04721" w:rsidRDefault="00C04721" w:rsidP="00C04721">
      <w:pPr>
        <w:pStyle w:val="Heading3"/>
      </w:pPr>
      <w:r>
        <w:t xml:space="preserve">External </w:t>
      </w:r>
      <w:r w:rsidR="008D1E7C">
        <w:t>clinical trials unit</w:t>
      </w:r>
    </w:p>
    <w:p w14:paraId="7CCDFD0F" w14:textId="1377F7A4" w:rsidR="00C04721" w:rsidRDefault="00C04721" w:rsidP="00C04721">
      <w:r>
        <w:t xml:space="preserve">Where an external CTU takes on (part of) the management of a clinical research project, the following </w:t>
      </w:r>
      <w:r w:rsidR="00D66DD6">
        <w:t xml:space="preserve">items listed below </w:t>
      </w:r>
      <w:r>
        <w:t>must be clearly defined and documented (e.g. within the contractual agreement between the UoB and the external CTU).</w:t>
      </w:r>
    </w:p>
    <w:p w14:paraId="05722522" w14:textId="519E9FA8" w:rsidR="00C04721" w:rsidRDefault="00C04721" w:rsidP="00C04721">
      <w:pPr>
        <w:pStyle w:val="bullet10"/>
      </w:pPr>
      <w:r>
        <w:t xml:space="preserve">A clear description of the division of responsibilities and duties between the UoB and the external UKCRC- registered CTU; typically, this will be between the internal UoB CI and the CTU. </w:t>
      </w:r>
    </w:p>
    <w:p w14:paraId="0707466C" w14:textId="6E26A950" w:rsidR="00C04721" w:rsidRDefault="00C04721" w:rsidP="00C04721">
      <w:pPr>
        <w:pStyle w:val="bullet10"/>
      </w:pPr>
      <w:r>
        <w:lastRenderedPageBreak/>
        <w:t>A clear agreement as to what QMS will be adhered to. Where the CTU’s QMS is used, the UoB lead/CI and their team must review the CTU’s QMS against the UoB’s QMS. Where these are consistent with each other, the outcome of this check will be documented and kept in the S/TMF. Where differences are noted, these must be discussed with the CRCT.</w:t>
      </w:r>
    </w:p>
    <w:p w14:paraId="3D255222" w14:textId="77777777" w:rsidR="00C04721" w:rsidRDefault="00C04721" w:rsidP="00C04721">
      <w:pPr>
        <w:pStyle w:val="Heading2"/>
      </w:pPr>
      <w:bookmarkStart w:id="55" w:name="_Toc189483973"/>
      <w:r>
        <w:t>UoB as a co-sponsor</w:t>
      </w:r>
      <w:bookmarkEnd w:id="55"/>
    </w:p>
    <w:p w14:paraId="5BCCC555" w14:textId="0DD52F19" w:rsidR="00C04721" w:rsidRDefault="00C04721" w:rsidP="00C04721">
      <w:r>
        <w:t xml:space="preserve">In exceptional cases, the UoB may share the sponsor’s responsibilities with another institution acting as co-sponsor. Where this </w:t>
      </w:r>
      <w:r w:rsidR="00003FB4">
        <w:t xml:space="preserve">occurs, </w:t>
      </w:r>
      <w:r>
        <w:t>the UoB and the co-sponsor each take responsibility for certain aspects of a clinical research project. In this case</w:t>
      </w:r>
      <w:r w:rsidR="00003FB4">
        <w:t>,</w:t>
      </w:r>
      <w:r>
        <w:t xml:space="preserve"> a co-sponsorship arrangement will be put in place that specifies each co-sponsor’s responsibilities. Situations where co-sponsorship may be considered are </w:t>
      </w:r>
      <w:r w:rsidR="00D66DD6">
        <w:t>listed below.</w:t>
      </w:r>
      <w:r>
        <w:t xml:space="preserve"> </w:t>
      </w:r>
    </w:p>
    <w:p w14:paraId="59BB25B2" w14:textId="4EBF2CF4" w:rsidR="00C04721" w:rsidRDefault="00D66DD6" w:rsidP="00C04721">
      <w:pPr>
        <w:pStyle w:val="bullet10"/>
      </w:pPr>
      <w:r>
        <w:t>T</w:t>
      </w:r>
      <w:r w:rsidR="00C04721">
        <w:t>he design of the study/trial has been carried out by one party, but coordination will be by the other</w:t>
      </w:r>
      <w:r>
        <w:t>.</w:t>
      </w:r>
    </w:p>
    <w:p w14:paraId="7BA1F301" w14:textId="2510B172" w:rsidR="00C04721" w:rsidRDefault="00D66DD6" w:rsidP="00C04721">
      <w:pPr>
        <w:pStyle w:val="bullet10"/>
      </w:pPr>
      <w:r>
        <w:t>A</w:t>
      </w:r>
      <w:r w:rsidR="00C04721">
        <w:t xml:space="preserve"> collaborating partner is better resourced to conduct a specific aspect of a study/trial, such as the statistics</w:t>
      </w:r>
      <w:r>
        <w:t>.</w:t>
      </w:r>
    </w:p>
    <w:p w14:paraId="0EF4694C" w14:textId="2CA971A7" w:rsidR="00C04721" w:rsidRDefault="00D66DD6" w:rsidP="00C04721">
      <w:pPr>
        <w:pStyle w:val="bullet10"/>
      </w:pPr>
      <w:r>
        <w:t>T</w:t>
      </w:r>
      <w:r w:rsidR="00C04721">
        <w:t>he CI is based at another institution.</w:t>
      </w:r>
    </w:p>
    <w:p w14:paraId="019EFEF2" w14:textId="15CB375B" w:rsidR="00C04721" w:rsidRDefault="00C04721" w:rsidP="00C04721">
      <w:r>
        <w:t>Where the UoB acts as a co-sponsor</w:t>
      </w:r>
      <w:r w:rsidR="00875CAF">
        <w:t>,</w:t>
      </w:r>
      <w:r>
        <w:t xml:space="preserve"> </w:t>
      </w:r>
      <w:r w:rsidR="00875CAF">
        <w:t>REGI</w:t>
      </w:r>
      <w:r>
        <w:t xml:space="preserve"> will initiate regular contact with the other co-sponsor to ensure appropriate oversight is maintained. Contact should occur at least annually, and </w:t>
      </w:r>
      <w:r w:rsidR="00875CAF">
        <w:t>REGI</w:t>
      </w:r>
      <w:r>
        <w:t xml:space="preserve"> will maintain documented evidence of the items discussed. The UoB will not take on a joint sponsorship role, as there is no clear division of responsibilities in this type of sponsorship.</w:t>
      </w:r>
    </w:p>
    <w:p w14:paraId="338C4C32" w14:textId="77777777" w:rsidR="00C04721" w:rsidRDefault="00C04721" w:rsidP="00C04721">
      <w:pPr>
        <w:pStyle w:val="Heading2"/>
      </w:pPr>
      <w:bookmarkStart w:id="56" w:name="_Toc189483974"/>
      <w:r>
        <w:t>UoB as coordinating centre</w:t>
      </w:r>
      <w:bookmarkEnd w:id="56"/>
      <w:r>
        <w:t xml:space="preserve"> </w:t>
      </w:r>
    </w:p>
    <w:p w14:paraId="2853E3F8" w14:textId="77777777" w:rsidR="00C04721" w:rsidRDefault="00C04721" w:rsidP="00C04721">
      <w:r>
        <w:t xml:space="preserve">The UoB’s two CTUs have expertise in the design, management and conduct of clinical research. The UoB recognises that the expertise and experience of its CTUs should be available to support medical research generally by working in collaboration with other members of the clinical research community, and </w:t>
      </w:r>
      <w:proofErr w:type="gramStart"/>
      <w:r>
        <w:t>in particular by</w:t>
      </w:r>
      <w:proofErr w:type="gramEnd"/>
      <w:r>
        <w:t xml:space="preserve"> managing or hosting clinical research on behalf of an external, non-commercial sponsor.</w:t>
      </w:r>
    </w:p>
    <w:p w14:paraId="355D77B6" w14:textId="52F4C4B4" w:rsidR="00C04721" w:rsidRDefault="00C04721" w:rsidP="00C04721">
      <w:r>
        <w:t>Although the UoB may act as a coordinating centre for non-CTIMPs and studies, it would not normally permit a research team operating outside its own CTUs to act as a coordinating centre for regulated clinical trials or surgery trials (i.e. CTIMPs or, of medical devices). Occasionally</w:t>
      </w:r>
      <w:r w:rsidR="00003FB4">
        <w:t>,</w:t>
      </w:r>
      <w:r>
        <w:t xml:space="preserve"> exceptions may be made, and these will be documented in writing in the form of a letter from the university’s Head of Research Governance and Integrity.</w:t>
      </w:r>
    </w:p>
    <w:p w14:paraId="5DC65A0E" w14:textId="6CCA2043" w:rsidR="00C04721" w:rsidRDefault="00C04721" w:rsidP="00C04721">
      <w:r>
        <w:t xml:space="preserve">In the context of international clinical research sponsored by another institution, the UoB may take on the role of the UK national coordinating centre. </w:t>
      </w:r>
      <w:proofErr w:type="gramStart"/>
      <w:r>
        <w:t>In order to</w:t>
      </w:r>
      <w:proofErr w:type="gramEnd"/>
      <w:r>
        <w:t xml:space="preserve"> undertake the role of a coordinating centre for an externally sponsored clinical research project</w:t>
      </w:r>
      <w:r w:rsidR="00003FB4">
        <w:t>,</w:t>
      </w:r>
      <w:r>
        <w:t xml:space="preserve"> the UoB requires the following</w:t>
      </w:r>
      <w:r w:rsidR="00D66DD6">
        <w:t xml:space="preserve"> items listed below </w:t>
      </w:r>
      <w:r>
        <w:t>to be in place</w:t>
      </w:r>
      <w:r w:rsidR="00D66DD6">
        <w:t>.</w:t>
      </w:r>
    </w:p>
    <w:p w14:paraId="1D79BC3B" w14:textId="5BF084E5" w:rsidR="00C04721" w:rsidRDefault="00C04721" w:rsidP="00C04721">
      <w:pPr>
        <w:pStyle w:val="bullet10"/>
      </w:pPr>
      <w:r>
        <w:t>A clear definition of the delegated duties to be carried out by the UoB.</w:t>
      </w:r>
    </w:p>
    <w:p w14:paraId="6236E18C" w14:textId="3374496F" w:rsidR="00C04721" w:rsidRDefault="00C04721" w:rsidP="00C04721">
      <w:pPr>
        <w:pStyle w:val="bullet10"/>
      </w:pPr>
      <w:r>
        <w:t>A clear agreement as to what QMS will be adhered to; typically</w:t>
      </w:r>
      <w:r w:rsidR="004762FE">
        <w:t>,</w:t>
      </w:r>
      <w:r>
        <w:t xml:space="preserve"> this will be the UoB QMS and/or UoB CTUs’ QMS. Where an external sponsor’s QMS is to be used, the UoB’s CTU/research team must review the external sponsor’s QMS against the UoB QMS. Where these are consistent with each other, the outcome of the check should be documented and kept on file in the UoB CTU or with the research team. Where differences are noted, these must be discussed with the CRCT.</w:t>
      </w:r>
    </w:p>
    <w:p w14:paraId="6E77A7F3" w14:textId="297EAA43" w:rsidR="00C04721" w:rsidRDefault="00C04721" w:rsidP="00C04721">
      <w:pPr>
        <w:pStyle w:val="bullet10"/>
      </w:pPr>
      <w:r>
        <w:t>A clearly identified UoB lead, taking responsibility for the activities of the UoB CTU/research team acting as a coordinating centre. This may be a clinical investigator or a senior member of the CTU’s management team.</w:t>
      </w:r>
    </w:p>
    <w:p w14:paraId="7F730B49" w14:textId="54121C56" w:rsidR="00C04721" w:rsidRDefault="00C04721" w:rsidP="00C04721">
      <w:pPr>
        <w:pStyle w:val="bullet10"/>
      </w:pPr>
      <w:r>
        <w:t>Adequate resources within the UoB CTU/research team to carry out the delegated duties.</w:t>
      </w:r>
    </w:p>
    <w:p w14:paraId="7B84F304" w14:textId="768DFDE2" w:rsidR="00C04721" w:rsidRDefault="00C04721" w:rsidP="00C04721">
      <w:pPr>
        <w:pStyle w:val="bullet10"/>
      </w:pPr>
      <w:r>
        <w:t xml:space="preserve">A clear definition of the level of support to be provided by the sponsor, particularly in terms of the information and documentation required to register and conduct the clinical research, the sourcing and supply of any </w:t>
      </w:r>
      <w:r w:rsidR="00A11970">
        <w:t>investigational medicinal products (</w:t>
      </w:r>
      <w:r>
        <w:t>IMPs</w:t>
      </w:r>
      <w:r w:rsidR="00A11970">
        <w:t>)</w:t>
      </w:r>
      <w:r>
        <w:t>, pharmacovigilance assessment, pharmacovigilance reporting (where appropriate), and financial support for the costs of providing the activities of the coordinating centre.</w:t>
      </w:r>
    </w:p>
    <w:p w14:paraId="6DB56E1E" w14:textId="58113ABE" w:rsidR="00C04721" w:rsidRPr="00C04721" w:rsidRDefault="00C04721" w:rsidP="00C04721">
      <w:pPr>
        <w:pStyle w:val="bullet10"/>
      </w:pPr>
      <w:r>
        <w:t>An appropriate contractual agreement governing the above, and a procedure to oversee that the terms contained in the contractual agreement are met.</w:t>
      </w:r>
    </w:p>
    <w:p w14:paraId="19A07919" w14:textId="77777777" w:rsidR="00C04721" w:rsidRDefault="00C04721" w:rsidP="00C04721">
      <w:pPr>
        <w:pStyle w:val="Heading2"/>
      </w:pPr>
      <w:bookmarkStart w:id="57" w:name="_Toc189483975"/>
      <w:r>
        <w:t>UoB as a site</w:t>
      </w:r>
      <w:bookmarkEnd w:id="57"/>
    </w:p>
    <w:p w14:paraId="236648E5" w14:textId="732066DB" w:rsidR="00C04721" w:rsidRDefault="00C04721" w:rsidP="00C04721">
      <w:r>
        <w:t>Although the UoB may act as an investigator site for non-CTIMPs and studies, it would not normally act as an investigator site for regulated clinical trials or surgery trials (i.e. CTIMPs or of medical devices). Occasionally</w:t>
      </w:r>
      <w:r w:rsidR="0020166A">
        <w:t>,</w:t>
      </w:r>
      <w:r>
        <w:t xml:space="preserve"> exceptions to this may be made and these will be documented in writing in the form of a letter from the university’s Head of Research Governance and Integrity. This means that for CTIMPs, regulated device trials and </w:t>
      </w:r>
      <w:r>
        <w:lastRenderedPageBreak/>
        <w:t>surgery trials</w:t>
      </w:r>
      <w:r w:rsidR="0020166A">
        <w:t>,</w:t>
      </w:r>
      <w:r>
        <w:t xml:space="preserve"> participants cannot be recruited, treated or receive other interventions on the university’s premises without express written permission from the Head of Research Governance and Integrity.</w:t>
      </w:r>
    </w:p>
    <w:p w14:paraId="15D55DA5" w14:textId="1AAB2BE6" w:rsidR="00E44048" w:rsidRDefault="00E44048" w:rsidP="00E44048">
      <w:pPr>
        <w:pStyle w:val="Heading1"/>
      </w:pPr>
      <w:bookmarkStart w:id="58" w:name="_Toc189483976"/>
      <w:r>
        <w:t>P</w:t>
      </w:r>
      <w:r w:rsidR="00361913">
        <w:t>olicy</w:t>
      </w:r>
      <w:r>
        <w:t xml:space="preserve"> on the import </w:t>
      </w:r>
      <w:r w:rsidR="00B92DA9">
        <w:t xml:space="preserve">&amp; </w:t>
      </w:r>
      <w:r>
        <w:t>export of human tissue</w:t>
      </w:r>
      <w:bookmarkEnd w:id="58"/>
    </w:p>
    <w:p w14:paraId="41D3BF1A" w14:textId="1A2364A1" w:rsidR="00E44048" w:rsidRDefault="00E44048" w:rsidP="00E44048">
      <w:r>
        <w:t xml:space="preserve">As the Human Tissue Act 2004 applies to England, Wales and Northern Ireland, the movement of human tissue (or ‘relevant material’ as defined by the </w:t>
      </w:r>
      <w:r w:rsidR="00AB3EF3">
        <w:t>A</w:t>
      </w:r>
      <w:r>
        <w:t xml:space="preserve">ct) into or from these countries is defined as the import or export of human tissue. </w:t>
      </w:r>
    </w:p>
    <w:p w14:paraId="2FD1CCC1" w14:textId="77777777" w:rsidR="006410C9" w:rsidRDefault="00E44048" w:rsidP="00117898">
      <w:pPr>
        <w:rPr>
          <w:rStyle w:val="CommentReference"/>
        </w:rPr>
      </w:pPr>
      <w:r>
        <w:t xml:space="preserve">The import and export of </w:t>
      </w:r>
      <w:r w:rsidR="00AB3EF3">
        <w:t>c</w:t>
      </w:r>
      <w:r>
        <w:t xml:space="preserve">linical trial samples that are non-relevant material are not included in this policy, but the governance of their transportation must be in line with </w:t>
      </w:r>
      <w:r w:rsidR="00AB3EF3" w:rsidRPr="00624D91">
        <w:rPr>
          <w:rStyle w:val="DocrefChar"/>
        </w:rPr>
        <w:t xml:space="preserve">UoB Principles of </w:t>
      </w:r>
      <w:r w:rsidRPr="00624D91">
        <w:rPr>
          <w:rStyle w:val="DocrefChar"/>
        </w:rPr>
        <w:t>GCP</w:t>
      </w:r>
      <w:r w:rsidR="00AB3EF3" w:rsidRPr="00624D91">
        <w:rPr>
          <w:rStyle w:val="DocrefChar"/>
        </w:rPr>
        <w:t xml:space="preserve"> for Research (UoB-GCP-POL-001)</w:t>
      </w:r>
      <w:r w:rsidRPr="00624D91">
        <w:rPr>
          <w:rStyle w:val="DocrefChar"/>
        </w:rPr>
        <w:t>,</w:t>
      </w:r>
      <w:r>
        <w:t xml:space="preserve"> the consent given and the protocol (plus local procedures and SOPs).</w:t>
      </w:r>
      <w:r w:rsidR="00117898" w:rsidRPr="00117898">
        <w:rPr>
          <w:rStyle w:val="CommentReference"/>
        </w:rPr>
        <w:t xml:space="preserve"> </w:t>
      </w:r>
    </w:p>
    <w:p w14:paraId="62F81F5D" w14:textId="1AFF84FF" w:rsidR="007C1DD7" w:rsidRDefault="00117898" w:rsidP="007C1DD7">
      <w:r>
        <w:t>Risk of infection must be considered when transporting human tissue</w:t>
      </w:r>
      <w:r w:rsidR="007C1DD7">
        <w:t>.</w:t>
      </w:r>
      <w:r w:rsidR="006410C9">
        <w:t xml:space="preserve"> </w:t>
      </w:r>
      <w:r w:rsidR="007C1DD7">
        <w:t xml:space="preserve">Researchers </w:t>
      </w:r>
      <w:r w:rsidR="007C1DD7" w:rsidRPr="00C44A35">
        <w:t>will meet all</w:t>
      </w:r>
      <w:r w:rsidR="007C1DD7">
        <w:t xml:space="preserve"> biological safety requirements, see </w:t>
      </w:r>
      <w:hyperlink r:id="rId52" w:anchor="university-guidance-on-the-management-of-biological-risks" w:tooltip="Link to the UoB Biological Safety - UoB guidance on the management of biological risk" w:history="1">
        <w:r w:rsidR="002D5106" w:rsidRPr="000045FB">
          <w:rPr>
            <w:rStyle w:val="Hyperlink"/>
          </w:rPr>
          <w:t>Guidance Note 5: Transport of Infectious Substances and Biological Material</w:t>
        </w:r>
        <w:r w:rsidR="002D5106">
          <w:rPr>
            <w:rStyle w:val="Hyperlink"/>
          </w:rPr>
          <w:t>s</w:t>
        </w:r>
      </w:hyperlink>
      <w:r w:rsidR="002D5106" w:rsidRPr="000045FB">
        <w:t xml:space="preserve"> </w:t>
      </w:r>
      <w:r w:rsidR="002D5106">
        <w:t>(UoB login required)</w:t>
      </w:r>
      <w:r w:rsidR="007C1DD7">
        <w:t xml:space="preserve">. Research should also contact their </w:t>
      </w:r>
      <w:r w:rsidR="007C1DD7" w:rsidRPr="00C44A35">
        <w:t>local shipping advisor</w:t>
      </w:r>
      <w:r w:rsidR="007C1DD7">
        <w:t xml:space="preserve"> for further guidance.</w:t>
      </w:r>
    </w:p>
    <w:p w14:paraId="0F2845ED" w14:textId="189BE9F9" w:rsidR="00117898" w:rsidRDefault="006410C9" w:rsidP="00117898">
      <w:r>
        <w:t xml:space="preserve">Note: </w:t>
      </w:r>
      <w:r w:rsidR="00117898">
        <w:t>Import and export of human tissue should normally be declared to HM Revenues and Customs</w:t>
      </w:r>
      <w:r>
        <w:t>, and researchers must ensure also country-specific customs requirements are adhered to</w:t>
      </w:r>
      <w:r w:rsidR="00117898">
        <w:t xml:space="preserve">. </w:t>
      </w:r>
    </w:p>
    <w:p w14:paraId="7211867B" w14:textId="77777777" w:rsidR="00E44048" w:rsidRDefault="00E44048" w:rsidP="00E44048">
      <w:pPr>
        <w:pStyle w:val="Heading2"/>
      </w:pPr>
      <w:bookmarkStart w:id="59" w:name="_Ref181192232"/>
      <w:bookmarkStart w:id="60" w:name="_Toc189483977"/>
      <w:r>
        <w:t>Import of tissue for research</w:t>
      </w:r>
      <w:bookmarkEnd w:id="59"/>
      <w:bookmarkEnd w:id="60"/>
    </w:p>
    <w:p w14:paraId="5A74B94D" w14:textId="3D16CF0D" w:rsidR="00E44048" w:rsidRDefault="00E44048" w:rsidP="00E44048">
      <w:pPr>
        <w:pStyle w:val="PB1"/>
        <w:numPr>
          <w:ilvl w:val="0"/>
          <w:numId w:val="0"/>
        </w:numPr>
      </w:pPr>
      <w:r>
        <w:t xml:space="preserve">At the UoB, the preferred way of importing tissue is via one of the two </w:t>
      </w:r>
      <w:r w:rsidR="00AB3EF3">
        <w:t xml:space="preserve">UoB </w:t>
      </w:r>
      <w:r>
        <w:t>HTA</w:t>
      </w:r>
      <w:r w:rsidR="00AB3EF3">
        <w:t>-</w:t>
      </w:r>
      <w:r w:rsidRPr="000D1471">
        <w:t>licen</w:t>
      </w:r>
      <w:r w:rsidR="0020166A">
        <w:t>s</w:t>
      </w:r>
      <w:r w:rsidRPr="000D1471">
        <w:t xml:space="preserve">ed </w:t>
      </w:r>
      <w:r w:rsidR="00AB3EF3">
        <w:t>research tissue banks</w:t>
      </w:r>
      <w:r>
        <w:t xml:space="preserve">, the HBRC or the DRTB. </w:t>
      </w:r>
    </w:p>
    <w:p w14:paraId="4F77C13F" w14:textId="18AF1532" w:rsidR="00E44048" w:rsidRDefault="00E44048" w:rsidP="00E44048">
      <w:r>
        <w:t>If tissue is to be imported directly for</w:t>
      </w:r>
      <w:r w:rsidRPr="00D60DB9">
        <w:t xml:space="preserve"> project</w:t>
      </w:r>
      <w:r>
        <w:t xml:space="preserve">s with </w:t>
      </w:r>
      <w:r w:rsidRPr="00D60DB9">
        <w:t xml:space="preserve">ethical approval from </w:t>
      </w:r>
      <w:r>
        <w:t>a</w:t>
      </w:r>
      <w:r w:rsidR="00C57235">
        <w:t>n</w:t>
      </w:r>
      <w:r w:rsidRPr="00D60DB9">
        <w:t xml:space="preserve"> NHS </w:t>
      </w:r>
      <w:r>
        <w:t>REC</w:t>
      </w:r>
      <w:r w:rsidRPr="00D60DB9">
        <w:t xml:space="preserve"> (</w:t>
      </w:r>
      <w:r>
        <w:t xml:space="preserve">note: </w:t>
      </w:r>
      <w:r w:rsidR="00884E26">
        <w:t>for projects</w:t>
      </w:r>
      <w:r>
        <w:t xml:space="preserve"> </w:t>
      </w:r>
      <w:r w:rsidR="00C57235">
        <w:t xml:space="preserve">approved </w:t>
      </w:r>
      <w:r w:rsidR="00884E26">
        <w:t>by</w:t>
      </w:r>
      <w:r w:rsidR="00C57235">
        <w:t xml:space="preserve"> a </w:t>
      </w:r>
      <w:r>
        <w:t xml:space="preserve">UoB REC, </w:t>
      </w:r>
      <w:r w:rsidR="00884E26">
        <w:t xml:space="preserve">please </w:t>
      </w:r>
      <w:r>
        <w:t>contact REGI for further guidance) researchers must assure themselves</w:t>
      </w:r>
      <w:r w:rsidR="00891DC3">
        <w:t>, by obtain</w:t>
      </w:r>
      <w:r w:rsidR="00117898">
        <w:t>ing</w:t>
      </w:r>
      <w:r w:rsidR="00891DC3">
        <w:t xml:space="preserve"> evidence,</w:t>
      </w:r>
      <w:r>
        <w:t xml:space="preserve"> that:</w:t>
      </w:r>
    </w:p>
    <w:p w14:paraId="403D603C" w14:textId="77777777" w:rsidR="00E44048" w:rsidRDefault="00E44048" w:rsidP="00E44048">
      <w:pPr>
        <w:pStyle w:val="bullet10"/>
      </w:pPr>
      <w:r>
        <w:t>the import, use, storage and destruction of the tissue will be in line with the consent given (for example by obtaining a blank copy of the consent form, translated if required)</w:t>
      </w:r>
    </w:p>
    <w:p w14:paraId="0DA1A92E" w14:textId="77777777" w:rsidR="00E44048" w:rsidRDefault="00E44048" w:rsidP="00E44048">
      <w:pPr>
        <w:pStyle w:val="bullet10"/>
      </w:pPr>
      <w:r w:rsidRPr="00C85BFA">
        <w:t>the tissue has been obtained ethically in the sour</w:t>
      </w:r>
      <w:r>
        <w:t>ce location and that this is in line with the ethical and legal requirements of the UK</w:t>
      </w:r>
    </w:p>
    <w:p w14:paraId="0DE3F2DA" w14:textId="77777777" w:rsidR="00E44048" w:rsidRDefault="00E44048" w:rsidP="00E44048">
      <w:pPr>
        <w:pStyle w:val="bullet10"/>
      </w:pPr>
      <w:r>
        <w:t>the purpose for importing is such that it cannot be adequately met by comparable material available from sources within England, Wales or Northern Ireland, or is for a particular purpose which justifies import.</w:t>
      </w:r>
    </w:p>
    <w:p w14:paraId="1D92B3EE" w14:textId="3C7A6A9E" w:rsidR="00FE3288" w:rsidRDefault="00E44048" w:rsidP="00FE3288">
      <w:r>
        <w:t xml:space="preserve">Once received into UoB, human tissue will be stored and used in accordance with the UoB </w:t>
      </w:r>
      <w:r w:rsidR="00D034D8">
        <w:t>QMS</w:t>
      </w:r>
      <w:r>
        <w:t>.</w:t>
      </w:r>
      <w:r w:rsidR="00D034D8">
        <w:t xml:space="preserve"> </w:t>
      </w:r>
    </w:p>
    <w:p w14:paraId="4EBEC999" w14:textId="3271C0D6" w:rsidR="00E44048" w:rsidRPr="004542C0" w:rsidRDefault="00FE3288" w:rsidP="00FE3288">
      <w:pPr>
        <w:pStyle w:val="Heading3"/>
      </w:pPr>
      <w:r w:rsidRPr="004542C0">
        <w:t>Commercially</w:t>
      </w:r>
      <w:r>
        <w:t xml:space="preserve"> purchased</w:t>
      </w:r>
      <w:r w:rsidR="00E44048" w:rsidRPr="004542C0">
        <w:t xml:space="preserve"> tissue</w:t>
      </w:r>
    </w:p>
    <w:p w14:paraId="0848BF50" w14:textId="74BBFE75" w:rsidR="00E44048" w:rsidRDefault="00E44048" w:rsidP="00E44048">
      <w:pPr>
        <w:pStyle w:val="PN11"/>
        <w:numPr>
          <w:ilvl w:val="0"/>
          <w:numId w:val="0"/>
        </w:numPr>
      </w:pPr>
      <w:r>
        <w:t xml:space="preserve">When importing </w:t>
      </w:r>
      <w:r w:rsidR="00FE3288">
        <w:t>commercially purchased</w:t>
      </w:r>
      <w:r>
        <w:t xml:space="preserve"> human tissue for research it must be established </w:t>
      </w:r>
      <w:r w:rsidR="00FE3288">
        <w:t>whether</w:t>
      </w:r>
      <w:r>
        <w:t xml:space="preserve"> it is ‘relevant material’. If the tissue being collected is relevant material, all the conditions </w:t>
      </w:r>
      <w:r w:rsidR="00123F4E">
        <w:t xml:space="preserve">under the ‘Import of tissue for research’ section </w:t>
      </w:r>
      <w:r w:rsidR="00123F4E" w:rsidRPr="00AC6A3D">
        <w:rPr>
          <w:rStyle w:val="SectionrefChar"/>
        </w:rPr>
        <w:fldChar w:fldCharType="begin"/>
      </w:r>
      <w:r w:rsidR="00123F4E" w:rsidRPr="00AC6A3D">
        <w:rPr>
          <w:rStyle w:val="SectionrefChar"/>
        </w:rPr>
        <w:instrText xml:space="preserve"> REF _Ref181192232 \p \h </w:instrText>
      </w:r>
      <w:r w:rsidR="00123F4E">
        <w:rPr>
          <w:rStyle w:val="SectionrefChar"/>
        </w:rPr>
        <w:instrText xml:space="preserve"> \* MERGEFORMAT </w:instrText>
      </w:r>
      <w:r w:rsidR="00123F4E" w:rsidRPr="00AC6A3D">
        <w:rPr>
          <w:rStyle w:val="SectionrefChar"/>
        </w:rPr>
      </w:r>
      <w:r w:rsidR="00123F4E" w:rsidRPr="00AC6A3D">
        <w:rPr>
          <w:rStyle w:val="SectionrefChar"/>
        </w:rPr>
        <w:fldChar w:fldCharType="separate"/>
      </w:r>
      <w:r w:rsidR="00EE7BAB">
        <w:rPr>
          <w:rStyle w:val="SectionrefChar"/>
        </w:rPr>
        <w:t>above</w:t>
      </w:r>
      <w:r w:rsidR="00123F4E" w:rsidRPr="00AC6A3D">
        <w:rPr>
          <w:rStyle w:val="SectionrefChar"/>
        </w:rPr>
        <w:fldChar w:fldCharType="end"/>
      </w:r>
      <w:r w:rsidR="00123F4E">
        <w:t xml:space="preserve"> will </w:t>
      </w:r>
      <w:r>
        <w:t xml:space="preserve">apply. </w:t>
      </w:r>
    </w:p>
    <w:p w14:paraId="39B284D9" w14:textId="77777777" w:rsidR="00E44048" w:rsidRDefault="00E44048" w:rsidP="00E44048">
      <w:pPr>
        <w:pStyle w:val="Heading2"/>
      </w:pPr>
      <w:bookmarkStart w:id="61" w:name="_Toc189483978"/>
      <w:r>
        <w:t>Export of tissue for research</w:t>
      </w:r>
      <w:bookmarkEnd w:id="61"/>
    </w:p>
    <w:p w14:paraId="109F5CCA" w14:textId="0FCCD69D" w:rsidR="00E44048" w:rsidRDefault="00E44048" w:rsidP="00E44048">
      <w:r>
        <w:t>Where tissue will be exported</w:t>
      </w:r>
      <w:r w:rsidR="0020166A">
        <w:t>,</w:t>
      </w:r>
      <w:r>
        <w:t xml:space="preserve"> participants will be informed as part of the consent process that their samples and, if applicable, associated data will be transported. It </w:t>
      </w:r>
      <w:r w:rsidR="00CD69F5">
        <w:t xml:space="preserve">must </w:t>
      </w:r>
      <w:r>
        <w:t>be stipulated whether this will be to commercial partners</w:t>
      </w:r>
      <w:r w:rsidR="00CD69F5">
        <w:t xml:space="preserve"> or not</w:t>
      </w:r>
      <w:r>
        <w:t xml:space="preserve">, and whether this will be within the UK, abroad, or both. </w:t>
      </w:r>
    </w:p>
    <w:p w14:paraId="341C8997" w14:textId="71983CBD" w:rsidR="00491001" w:rsidRDefault="00E44048" w:rsidP="00E44048">
      <w:r>
        <w:t>Researchers who export human tissue will retain evidence of each shipment for at least 5 years</w:t>
      </w:r>
      <w:r w:rsidR="001B3D01">
        <w:t xml:space="preserve"> (or longer where project requirements differ)</w:t>
      </w:r>
      <w:r>
        <w:t xml:space="preserve"> after the disposal of the last </w:t>
      </w:r>
      <w:r w:rsidR="005401E6">
        <w:t xml:space="preserve">sample </w:t>
      </w:r>
      <w:r>
        <w:t xml:space="preserve">shipped. </w:t>
      </w:r>
      <w:r w:rsidR="00491001" w:rsidRPr="00491001">
        <w:t xml:space="preserve"> </w:t>
      </w:r>
    </w:p>
    <w:p w14:paraId="5EC0AC89" w14:textId="3790E79B" w:rsidR="00E44048" w:rsidRDefault="00E44048" w:rsidP="00E44048">
      <w:pPr>
        <w:pStyle w:val="Heading2"/>
      </w:pPr>
      <w:bookmarkStart w:id="62" w:name="_Toc189483979"/>
      <w:r>
        <w:t xml:space="preserve">Material </w:t>
      </w:r>
      <w:r w:rsidR="007C1DD7">
        <w:t>t</w:t>
      </w:r>
      <w:r>
        <w:t xml:space="preserve">ransfer </w:t>
      </w:r>
      <w:r w:rsidR="007C1DD7">
        <w:t>a</w:t>
      </w:r>
      <w:r>
        <w:t>greements</w:t>
      </w:r>
      <w:r w:rsidR="00B92DA9">
        <w:t xml:space="preserve"> (MTA)</w:t>
      </w:r>
      <w:bookmarkEnd w:id="62"/>
    </w:p>
    <w:p w14:paraId="20A7F464" w14:textId="58106CC1" w:rsidR="00E44048" w:rsidRPr="00E308D6" w:rsidRDefault="00E44048" w:rsidP="00E44048">
      <w:pPr>
        <w:pStyle w:val="PB1"/>
        <w:numPr>
          <w:ilvl w:val="0"/>
          <w:numId w:val="0"/>
        </w:numPr>
      </w:pPr>
      <w:r>
        <w:t>Transfer of material, including human tissue, from one party to another is governed by a Material Transfer Agreement (MTA). The MTA may be a standalone document, or it may be incorporated into another document</w:t>
      </w:r>
      <w:r w:rsidR="00E4228D">
        <w:t xml:space="preserve"> e.g. </w:t>
      </w:r>
      <w:r>
        <w:t>contract</w:t>
      </w:r>
      <w:r w:rsidR="00E4228D">
        <w:t xml:space="preserve">, </w:t>
      </w:r>
      <w:r>
        <w:t>service level agreement (SLA)</w:t>
      </w:r>
      <w:r w:rsidR="00E4228D">
        <w:t xml:space="preserve"> or the </w:t>
      </w:r>
      <w:r w:rsidR="00E4228D" w:rsidRPr="00E4228D">
        <w:t>Organisation Information Document</w:t>
      </w:r>
      <w:r w:rsidR="00E4228D">
        <w:t xml:space="preserve"> (OID) where the NHS/NHS sites are used</w:t>
      </w:r>
      <w:r>
        <w:t>.</w:t>
      </w:r>
    </w:p>
    <w:p w14:paraId="66575407" w14:textId="696311BF" w:rsidR="00E44048" w:rsidRDefault="00E44048" w:rsidP="00E44048">
      <w:pPr>
        <w:rPr>
          <w:color w:val="FF0000"/>
        </w:rPr>
      </w:pPr>
      <w:r>
        <w:t xml:space="preserve">Researchers who are importing tissue into the UoB for a project will liaise with the UoB </w:t>
      </w:r>
      <w:r w:rsidR="006E7209">
        <w:t>C</w:t>
      </w:r>
      <w:r>
        <w:t xml:space="preserve">ontracts </w:t>
      </w:r>
      <w:r w:rsidR="006E7209">
        <w:t>T</w:t>
      </w:r>
      <w:r>
        <w:t xml:space="preserve">eam and ensure that an MTA (or equivalent) has been set up by the organisation who is sending the samples. </w:t>
      </w:r>
    </w:p>
    <w:p w14:paraId="3F3F771F" w14:textId="11064651" w:rsidR="00E44048" w:rsidRPr="00820AD6" w:rsidRDefault="00E44048" w:rsidP="00E44048">
      <w:r>
        <w:t xml:space="preserve">Researchers who are exporting tissue out of </w:t>
      </w:r>
      <w:r w:rsidR="000045FB">
        <w:t>UoB</w:t>
      </w:r>
      <w:r>
        <w:t xml:space="preserve"> will set up an MTA </w:t>
      </w:r>
      <w:r w:rsidR="000045FB">
        <w:t xml:space="preserve">through a </w:t>
      </w:r>
      <w:r>
        <w:t xml:space="preserve">contract request </w:t>
      </w:r>
      <w:r w:rsidR="000045FB">
        <w:t xml:space="preserve">via </w:t>
      </w:r>
      <w:hyperlink r:id="rId53" w:tooltip="Link to UoB Systems and Data - Worktribe" w:history="1">
        <w:r w:rsidRPr="00F5623D">
          <w:rPr>
            <w:rStyle w:val="Hyperlink"/>
            <w:rFonts w:eastAsiaTheme="majorEastAsia"/>
          </w:rPr>
          <w:t>Worktribe</w:t>
        </w:r>
      </w:hyperlink>
      <w:r>
        <w:t xml:space="preserve"> </w:t>
      </w:r>
      <w:r w:rsidR="000045FB">
        <w:t>(UoB login required)</w:t>
      </w:r>
      <w:r>
        <w:t xml:space="preserve">. </w:t>
      </w:r>
    </w:p>
    <w:p w14:paraId="2FA42609" w14:textId="38C4535D" w:rsidR="00491001" w:rsidRDefault="00491001" w:rsidP="00491001">
      <w:pPr>
        <w:pStyle w:val="Heading1"/>
      </w:pPr>
      <w:bookmarkStart w:id="63" w:name="_Toc189483980"/>
      <w:r>
        <w:lastRenderedPageBreak/>
        <w:t xml:space="preserve">Policy on the use of couriers </w:t>
      </w:r>
      <w:r w:rsidR="00C35A19">
        <w:t xml:space="preserve">&amp; </w:t>
      </w:r>
      <w:r>
        <w:t>private vehicles for the transport of human tissue</w:t>
      </w:r>
      <w:bookmarkEnd w:id="63"/>
    </w:p>
    <w:p w14:paraId="1E27C293" w14:textId="668806E0" w:rsidR="00491001" w:rsidRDefault="00491001" w:rsidP="00491001">
      <w:r>
        <w:t>The preferred method of transporting human tissue</w:t>
      </w:r>
      <w:r w:rsidR="001B3D01">
        <w:t xml:space="preserve"> (and clinical trial samples)</w:t>
      </w:r>
      <w:r>
        <w:t xml:space="preserve"> at UoB is via courier. However, it is acknowledged that in exceptional circumstances, it may be necessary to use private vehicles. Where this is the case:</w:t>
      </w:r>
    </w:p>
    <w:p w14:paraId="6F64B943" w14:textId="6D9DF204" w:rsidR="001B3D01" w:rsidRDefault="001B3D01" w:rsidP="001B3D01">
      <w:pPr>
        <w:pStyle w:val="bulletT1"/>
        <w:rPr>
          <w:rFonts w:ascii="Arial" w:hAnsi="Arial" w:cs="Times New Roman"/>
        </w:rPr>
      </w:pPr>
      <w:r>
        <w:t>the process must be fully risk assessed and should capture risk mitigation by ensuring appropriate insurance provision and processes to keep the tissue and researcher safe.</w:t>
      </w:r>
    </w:p>
    <w:p w14:paraId="0624270B" w14:textId="42E4667B" w:rsidR="001B3D01" w:rsidRDefault="001B3D01" w:rsidP="001B3D01">
      <w:pPr>
        <w:pStyle w:val="bulletT1"/>
      </w:pPr>
      <w:bookmarkStart w:id="64" w:name="_Hlk183427617"/>
      <w:r>
        <w:t>the process for transferring the samples</w:t>
      </w:r>
      <w:r w:rsidR="008F0335">
        <w:t xml:space="preserve"> (including sample tracking and temperature monitoring where required)</w:t>
      </w:r>
      <w:r>
        <w:t xml:space="preserve"> needs to be fully documented</w:t>
      </w:r>
      <w:r w:rsidR="004C0434">
        <w:t>; s</w:t>
      </w:r>
      <w:r w:rsidR="008F0335">
        <w:t xml:space="preserve">ee </w:t>
      </w:r>
      <w:r w:rsidR="00A70703">
        <w:t>also</w:t>
      </w:r>
      <w:r w:rsidR="00EB3664">
        <w:t xml:space="preserve"> the</w:t>
      </w:r>
      <w:r w:rsidR="00A70703">
        <w:t xml:space="preserve"> </w:t>
      </w:r>
      <w:r w:rsidR="008F0335" w:rsidRPr="00F63F7F">
        <w:rPr>
          <w:rStyle w:val="DocrefChar"/>
        </w:rPr>
        <w:t>Sample Management SOP (UoB-CRL-SOP-003)</w:t>
      </w:r>
      <w:r w:rsidR="008F0335">
        <w:t xml:space="preserve"> for more information</w:t>
      </w:r>
    </w:p>
    <w:bookmarkEnd w:id="64"/>
    <w:p w14:paraId="2EF7CDC4" w14:textId="27677BA0" w:rsidR="001B3D01" w:rsidRDefault="001B3D01" w:rsidP="001B3D01">
      <w:pPr>
        <w:pStyle w:val="bulletT1"/>
      </w:pPr>
      <w:r>
        <w:t>the samples must be packaged and labelled in accordance with regulatory requirements and UoB policies</w:t>
      </w:r>
    </w:p>
    <w:p w14:paraId="739D9F02" w14:textId="0677F77F" w:rsidR="001B3D01" w:rsidRDefault="001B3D01" w:rsidP="001B3D01">
      <w:pPr>
        <w:pStyle w:val="bulletT1"/>
      </w:pPr>
      <w:r>
        <w:t>the driver’s motor insurance must include coverage for business use.</w:t>
      </w:r>
    </w:p>
    <w:p w14:paraId="4F377838" w14:textId="09BF493A" w:rsidR="001A60DE" w:rsidRDefault="001A60DE" w:rsidP="00255F8B">
      <w:pPr>
        <w:pStyle w:val="bullet10"/>
        <w:numPr>
          <w:ilvl w:val="0"/>
          <w:numId w:val="0"/>
        </w:numPr>
      </w:pPr>
      <w:r w:rsidRPr="007C1DD7">
        <w:t>For a</w:t>
      </w:r>
      <w:r w:rsidR="00117898" w:rsidRPr="007C1DD7">
        <w:t>dditional</w:t>
      </w:r>
      <w:r w:rsidR="00117898" w:rsidRPr="001A60DE">
        <w:t xml:space="preserve"> requirements and guidance on</w:t>
      </w:r>
      <w:r>
        <w:t xml:space="preserve"> transporting human tissue</w:t>
      </w:r>
      <w:r w:rsidR="007C1DD7">
        <w:t>,</w:t>
      </w:r>
      <w:r>
        <w:t xml:space="preserve"> see </w:t>
      </w:r>
      <w:hyperlink r:id="rId54" w:anchor="university-guidance-on-the-management-of-biological-risks" w:tooltip="Link to the UoB Biological Safety - UoB guidance on the management of biological risk" w:history="1">
        <w:r w:rsidRPr="000045FB">
          <w:rPr>
            <w:rStyle w:val="Hyperlink"/>
          </w:rPr>
          <w:t>Guidance Note 5: Transport of Infectious Substances and Biological Material</w:t>
        </w:r>
        <w:r w:rsidR="00AA7510">
          <w:rPr>
            <w:rStyle w:val="Hyperlink"/>
          </w:rPr>
          <w:t>s</w:t>
        </w:r>
      </w:hyperlink>
      <w:r w:rsidRPr="000045FB">
        <w:t xml:space="preserve"> </w:t>
      </w:r>
      <w:r w:rsidR="00AA7510">
        <w:t>(</w:t>
      </w:r>
      <w:r>
        <w:t>UoB login required).</w:t>
      </w:r>
    </w:p>
    <w:p w14:paraId="602D1620" w14:textId="0A767AF1" w:rsidR="00491001" w:rsidRDefault="00491001" w:rsidP="00255F8B">
      <w:pPr>
        <w:pStyle w:val="bullet10"/>
        <w:numPr>
          <w:ilvl w:val="0"/>
          <w:numId w:val="0"/>
        </w:numPr>
      </w:pPr>
      <w:r>
        <w:t xml:space="preserve">Researchers are advised to check if loss of samples </w:t>
      </w:r>
      <w:r w:rsidR="001B3D01">
        <w:t xml:space="preserve">and impact on the trial </w:t>
      </w:r>
      <w:r>
        <w:t>would be covered by the trial’s insurance</w:t>
      </w:r>
      <w:r w:rsidR="001B3D01">
        <w:t xml:space="preserve">. </w:t>
      </w:r>
      <w:r w:rsidR="003104BF">
        <w:t xml:space="preserve">See also </w:t>
      </w:r>
      <w:hyperlink r:id="rId55" w:tooltip="Link to UoB Motor Insurance" w:history="1">
        <w:r w:rsidR="007F7223">
          <w:rPr>
            <w:rStyle w:val="Hyperlink"/>
          </w:rPr>
          <w:t>UoB M</w:t>
        </w:r>
        <w:r w:rsidR="001B3D01" w:rsidRPr="001B3D01">
          <w:rPr>
            <w:rStyle w:val="Hyperlink"/>
          </w:rPr>
          <w:t>otor Insurance</w:t>
        </w:r>
      </w:hyperlink>
      <w:r w:rsidR="003104BF">
        <w:t xml:space="preserve"> (UoB login required) for more information on using private vehicles for University business</w:t>
      </w:r>
      <w:r w:rsidR="001B3D01">
        <w:t xml:space="preserve">. </w:t>
      </w:r>
    </w:p>
    <w:p w14:paraId="7C2E6F60" w14:textId="77777777" w:rsidR="00785B80" w:rsidRDefault="00A070BA" w:rsidP="00A070BA">
      <w:pPr>
        <w:pStyle w:val="Heading1"/>
      </w:pPr>
      <w:bookmarkStart w:id="65" w:name="_Toc189483981"/>
      <w:r>
        <w:t xml:space="preserve">Policy on </w:t>
      </w:r>
      <w:r w:rsidR="00785B80">
        <w:t>self-experimentation</w:t>
      </w:r>
      <w:bookmarkEnd w:id="65"/>
    </w:p>
    <w:p w14:paraId="075A569C" w14:textId="40520865" w:rsidR="00CC02FF" w:rsidRDefault="00CC02FF" w:rsidP="00785B80">
      <w:proofErr w:type="gramStart"/>
      <w:r>
        <w:t>For the purpose of</w:t>
      </w:r>
      <w:proofErr w:type="gramEnd"/>
      <w:r>
        <w:t xml:space="preserve"> this document</w:t>
      </w:r>
      <w:r w:rsidR="0020166A">
        <w:t>,</w:t>
      </w:r>
      <w:r>
        <w:t xml:space="preserve"> the term ‘self-experimentation’ refers to </w:t>
      </w:r>
      <w:r w:rsidR="00A91815">
        <w:t>an</w:t>
      </w:r>
      <w:r>
        <w:t xml:space="preserve"> </w:t>
      </w:r>
      <w:r w:rsidR="00952D96">
        <w:t>investigator</w:t>
      </w:r>
      <w:r>
        <w:t xml:space="preserve"> (including staff or students involved in the management of the project) who wishes to participa</w:t>
      </w:r>
      <w:r w:rsidR="0020166A">
        <w:t>te</w:t>
      </w:r>
      <w:r>
        <w:t xml:space="preserve"> within their own research, either as the solo participant or as part of the participant population. </w:t>
      </w:r>
    </w:p>
    <w:p w14:paraId="1574A54A" w14:textId="1F6C2C4C" w:rsidR="007C587F" w:rsidRDefault="00117898" w:rsidP="00785B80">
      <w:r>
        <w:t>S</w:t>
      </w:r>
      <w:r w:rsidR="007C587F">
        <w:t>elf-experimentation can raise several questions about the validity of the research, example</w:t>
      </w:r>
      <w:r>
        <w:t>s</w:t>
      </w:r>
      <w:r w:rsidR="007C587F">
        <w:t xml:space="preserve"> of which have been listed below. </w:t>
      </w:r>
    </w:p>
    <w:p w14:paraId="45DEA549" w14:textId="2618EFD9" w:rsidR="007C587F" w:rsidRDefault="007C587F" w:rsidP="007C587F">
      <w:pPr>
        <w:pStyle w:val="bullet10"/>
      </w:pPr>
      <w:r>
        <w:t>Could the investigator’s personal involvement and motivation affect the</w:t>
      </w:r>
      <w:r w:rsidR="007F2E7E">
        <w:t>ir participa</w:t>
      </w:r>
      <w:r w:rsidR="00CD69F5">
        <w:t>tion</w:t>
      </w:r>
      <w:r w:rsidR="007F2E7E">
        <w:t xml:space="preserve"> and thus the</w:t>
      </w:r>
      <w:r>
        <w:t xml:space="preserve"> data integrity</w:t>
      </w:r>
      <w:r w:rsidR="007F2E7E">
        <w:t xml:space="preserve"> of the research?</w:t>
      </w:r>
    </w:p>
    <w:p w14:paraId="1D16A66E" w14:textId="1CD6B615" w:rsidR="007F2E7E" w:rsidRDefault="007F2E7E" w:rsidP="00AC6A3D">
      <w:pPr>
        <w:pStyle w:val="bullet10"/>
      </w:pPr>
      <w:r>
        <w:t>Could the investigator be more willing to put their own welfare at risk?</w:t>
      </w:r>
    </w:p>
    <w:p w14:paraId="2521CFCC" w14:textId="77777777" w:rsidR="007D5B85" w:rsidRDefault="007D5B85" w:rsidP="00785B80">
      <w:r>
        <w:t xml:space="preserve">It is therefore important that the </w:t>
      </w:r>
      <w:r w:rsidR="00952D96" w:rsidRPr="00952D96">
        <w:t xml:space="preserve">potential risks and benefits to the investigator as a research </w:t>
      </w:r>
      <w:r w:rsidR="00952D96">
        <w:t xml:space="preserve">participant </w:t>
      </w:r>
      <w:r>
        <w:t xml:space="preserve">is </w:t>
      </w:r>
      <w:r w:rsidR="00952D96">
        <w:t>documented</w:t>
      </w:r>
      <w:r>
        <w:t>. The review and f</w:t>
      </w:r>
      <w:r w:rsidR="00CC02FF">
        <w:t xml:space="preserve">avourable opinion from a REC </w:t>
      </w:r>
      <w:r w:rsidR="00A91815">
        <w:t xml:space="preserve">on the level of </w:t>
      </w:r>
      <w:r w:rsidR="00CC02FF">
        <w:t>‘self-experimentation’</w:t>
      </w:r>
      <w:r w:rsidR="00A91815">
        <w:t xml:space="preserve"> and its appropriateness must </w:t>
      </w:r>
      <w:r>
        <w:t xml:space="preserve">then </w:t>
      </w:r>
      <w:r w:rsidR="00A91815">
        <w:t>be received prior to undertaking any such activity</w:t>
      </w:r>
      <w:r w:rsidR="00952D96">
        <w:t xml:space="preserve">. </w:t>
      </w:r>
    </w:p>
    <w:p w14:paraId="4D3F5715" w14:textId="28A26326" w:rsidR="003C3654" w:rsidRDefault="007D5B85" w:rsidP="00F4414A">
      <w:r>
        <w:t xml:space="preserve">For </w:t>
      </w:r>
      <w:r w:rsidR="00F4414A">
        <w:t>those</w:t>
      </w:r>
      <w:r>
        <w:t xml:space="preserve"> handling human body fluids and tissues, </w:t>
      </w:r>
      <w:r w:rsidR="00F4414A">
        <w:t>the individual must never work on their own cells - if cells are transformed in culture</w:t>
      </w:r>
      <w:r w:rsidR="0020166A">
        <w:t>,</w:t>
      </w:r>
      <w:r w:rsidR="00F4414A">
        <w:t xml:space="preserve"> the body’s immune response may not provide protection in the event of re-exposure through a needlestick or other accident (see </w:t>
      </w:r>
      <w:hyperlink r:id="rId56" w:anchor="human-body-fluids-and-tissues" w:tooltip="Link to UoB Biological Safety - Human Body Fluids and Tissues" w:history="1">
        <w:r w:rsidR="00F4414A" w:rsidRPr="00F4414A">
          <w:rPr>
            <w:rStyle w:val="Hyperlink"/>
          </w:rPr>
          <w:t>Guidance on Working with Human Body Fluids and Tissues</w:t>
        </w:r>
      </w:hyperlink>
      <w:r w:rsidR="00F4414A">
        <w:t xml:space="preserve"> (UoB login required). </w:t>
      </w:r>
      <w:r w:rsidR="003C3654">
        <w:br w:type="page"/>
      </w:r>
    </w:p>
    <w:p w14:paraId="11FCA808" w14:textId="77777777" w:rsidR="007B4836" w:rsidRDefault="007B4836" w:rsidP="005F2DE3">
      <w:pPr>
        <w:pStyle w:val="Heading1"/>
      </w:pPr>
      <w:bookmarkStart w:id="66" w:name="_Toc189483982"/>
      <w:r w:rsidRPr="006561C0">
        <w:lastRenderedPageBreak/>
        <w:t>Related</w:t>
      </w:r>
      <w:r>
        <w:t xml:space="preserve"> documents</w:t>
      </w:r>
      <w:bookmarkEnd w:id="0"/>
      <w:bookmarkEnd w:id="66"/>
    </w:p>
    <w:p w14:paraId="24C707DC" w14:textId="77777777" w:rsidR="00935A62" w:rsidRDefault="00120959" w:rsidP="00935A62">
      <w:pPr>
        <w:pStyle w:val="Heading2"/>
      </w:pPr>
      <w:bookmarkStart w:id="67" w:name="_Toc189483983"/>
      <w:r>
        <w:t>A</w:t>
      </w:r>
      <w:r w:rsidR="00F9580A">
        <w:t>ssociated</w:t>
      </w:r>
      <w:r w:rsidR="00462CF7">
        <w:t xml:space="preserve"> </w:t>
      </w:r>
      <w:r>
        <w:t>QMS documents</w:t>
      </w:r>
      <w:bookmarkEnd w:id="67"/>
    </w:p>
    <w:p w14:paraId="4EA6B4A5" w14:textId="77777777" w:rsidR="00C01637" w:rsidRDefault="00C01637" w:rsidP="00CB39B4">
      <w:pPr>
        <w:pStyle w:val="bullet10"/>
      </w:pPr>
      <w:r>
        <w:t xml:space="preserve">No associated </w:t>
      </w:r>
      <w:r w:rsidR="0098039B">
        <w:t>document</w:t>
      </w:r>
    </w:p>
    <w:p w14:paraId="2B847B2B" w14:textId="77777777" w:rsidR="00935A62" w:rsidRPr="00935A62" w:rsidRDefault="00462CF7" w:rsidP="00935A62">
      <w:pPr>
        <w:pStyle w:val="Heading2"/>
      </w:pPr>
      <w:bookmarkStart w:id="68" w:name="_Toc189483984"/>
      <w:r>
        <w:t xml:space="preserve">Additional QMS </w:t>
      </w:r>
      <w:r w:rsidR="00515191">
        <w:t>d</w:t>
      </w:r>
      <w:r w:rsidR="00935A62">
        <w:t>ocuments</w:t>
      </w:r>
      <w:bookmarkEnd w:id="68"/>
    </w:p>
    <w:p w14:paraId="150FFB02" w14:textId="77777777" w:rsidR="00C04721" w:rsidRPr="00816A33" w:rsidRDefault="00C04721" w:rsidP="00C04721">
      <w:pPr>
        <w:pStyle w:val="bullet10"/>
      </w:pPr>
      <w:r w:rsidRPr="00816A33">
        <w:t>UoB-CPR-QCD-001 Finding Classification Grid</w:t>
      </w:r>
    </w:p>
    <w:p w14:paraId="211D2CCF" w14:textId="77777777" w:rsidR="00C04721" w:rsidRPr="00816A33" w:rsidRDefault="00C04721" w:rsidP="00C04721">
      <w:pPr>
        <w:pStyle w:val="bullet10"/>
      </w:pPr>
      <w:r w:rsidRPr="00816A33">
        <w:t>UoB-CPR-SOP-001 Compliance Review</w:t>
      </w:r>
    </w:p>
    <w:p w14:paraId="774CB3B3" w14:textId="531B129B" w:rsidR="00C04721" w:rsidRPr="00816A33" w:rsidRDefault="00C04721" w:rsidP="00C04721">
      <w:pPr>
        <w:pStyle w:val="bullet10"/>
      </w:pPr>
      <w:r w:rsidRPr="00816A33">
        <w:t>UoB-</w:t>
      </w:r>
      <w:r w:rsidR="00A31E00" w:rsidRPr="00816A33">
        <w:t>DEF</w:t>
      </w:r>
      <w:r w:rsidRPr="00816A33">
        <w:t>-POL-00</w:t>
      </w:r>
      <w:r w:rsidR="00A31E00" w:rsidRPr="00816A33">
        <w:t>1</w:t>
      </w:r>
      <w:r w:rsidRPr="00816A33">
        <w:t xml:space="preserve"> UoB Clinical Research Definitions</w:t>
      </w:r>
    </w:p>
    <w:p w14:paraId="5496C433" w14:textId="4DC647B3" w:rsidR="00C04721" w:rsidRDefault="00C04721" w:rsidP="00C04721">
      <w:pPr>
        <w:pStyle w:val="bullet10"/>
      </w:pPr>
      <w:r w:rsidRPr="00816A33">
        <w:t>UoB-CRL-SOP-001 Laboratory Set</w:t>
      </w:r>
      <w:r w:rsidR="00816A33" w:rsidRPr="00816A33">
        <w:t>-u</w:t>
      </w:r>
      <w:r w:rsidRPr="00816A33">
        <w:t>p and Management</w:t>
      </w:r>
    </w:p>
    <w:p w14:paraId="60497278" w14:textId="45600742" w:rsidR="00F15F14" w:rsidRPr="00816A33" w:rsidRDefault="00F15F14" w:rsidP="00C04721">
      <w:pPr>
        <w:pStyle w:val="bullet10"/>
      </w:pPr>
      <w:r>
        <w:t>UoB-CRL-SOP-003 Sample Management</w:t>
      </w:r>
    </w:p>
    <w:p w14:paraId="36F1C134" w14:textId="77777777" w:rsidR="00C04721" w:rsidRPr="00816A33" w:rsidRDefault="00C04721" w:rsidP="00C04721">
      <w:pPr>
        <w:pStyle w:val="bullet10"/>
      </w:pPr>
      <w:r w:rsidRPr="00816A33">
        <w:t>UoB-GCP-POL-001 UoB Principles of GCP for Clinical Research</w:t>
      </w:r>
    </w:p>
    <w:p w14:paraId="738DB836" w14:textId="77777777" w:rsidR="00C04721" w:rsidRPr="00816A33" w:rsidRDefault="00C04721" w:rsidP="00C04721">
      <w:pPr>
        <w:pStyle w:val="bullet10"/>
      </w:pPr>
      <w:r w:rsidRPr="00816A33">
        <w:t>UoB-QMS-SOP-001 QMS Development and Management</w:t>
      </w:r>
    </w:p>
    <w:p w14:paraId="1EE0E508" w14:textId="536D4280" w:rsidR="00C04721" w:rsidRPr="00816A33" w:rsidRDefault="00C04721" w:rsidP="00C04721">
      <w:pPr>
        <w:pStyle w:val="bullet10"/>
      </w:pPr>
      <w:r w:rsidRPr="00816A33">
        <w:t>UoB-SET-SOP-001 Project Set</w:t>
      </w:r>
      <w:r w:rsidR="00A11970" w:rsidRPr="00816A33">
        <w:t>-</w:t>
      </w:r>
      <w:r w:rsidRPr="00816A33">
        <w:t>up</w:t>
      </w:r>
    </w:p>
    <w:p w14:paraId="34BF2FA9" w14:textId="77777777" w:rsidR="00C04721" w:rsidRPr="00816A33" w:rsidRDefault="00C04721" w:rsidP="00C04721">
      <w:pPr>
        <w:pStyle w:val="bullet10"/>
      </w:pPr>
      <w:r w:rsidRPr="00816A33">
        <w:t>UoB-SPO-QCD-001 Clinical Trial Task Delegation Log</w:t>
      </w:r>
    </w:p>
    <w:p w14:paraId="1475F25F" w14:textId="52342C4C" w:rsidR="001E07D8" w:rsidRPr="00816A33" w:rsidRDefault="00C04721" w:rsidP="00C04721">
      <w:pPr>
        <w:pStyle w:val="bullet10"/>
      </w:pPr>
      <w:r w:rsidRPr="00816A33">
        <w:t>UoB-TRN-SOP-001 Training</w:t>
      </w:r>
    </w:p>
    <w:p w14:paraId="0BDFE082" w14:textId="77777777" w:rsidR="00A86630" w:rsidRDefault="00A86630" w:rsidP="00A86630">
      <w:r>
        <w:t xml:space="preserve">Access to the full UoB QMS for clinical research is available via the </w:t>
      </w:r>
      <w:hyperlink r:id="rId57" w:tooltip="Link to CRCT website" w:history="1">
        <w:r w:rsidR="00FC026F">
          <w:rPr>
            <w:rStyle w:val="Hyperlink"/>
            <w:lang w:eastAsia="en-GB"/>
          </w:rPr>
          <w:t>CRCT website</w:t>
        </w:r>
      </w:hyperlink>
      <w:r>
        <w:rPr>
          <w:lang w:eastAsia="en-GB"/>
        </w:rPr>
        <w:t>.</w:t>
      </w:r>
    </w:p>
    <w:p w14:paraId="26B4A555" w14:textId="77777777" w:rsidR="007B4836" w:rsidRDefault="007B4836" w:rsidP="005F2DE3">
      <w:pPr>
        <w:pStyle w:val="Heading1"/>
      </w:pPr>
      <w:bookmarkStart w:id="69" w:name="_Toc189483985"/>
      <w:r w:rsidRPr="005D17F6">
        <w:t>References</w:t>
      </w:r>
      <w:r w:rsidR="005F0420">
        <w:t xml:space="preserve"> </w:t>
      </w:r>
      <w:r w:rsidR="00A6537A">
        <w:t>&amp;</w:t>
      </w:r>
      <w:r w:rsidR="005F0420">
        <w:t xml:space="preserve"> </w:t>
      </w:r>
      <w:r w:rsidR="00FF6CB2">
        <w:t>f</w:t>
      </w:r>
      <w:r w:rsidR="005F0420">
        <w:t>rameworks</w:t>
      </w:r>
      <w:bookmarkEnd w:id="69"/>
    </w:p>
    <w:p w14:paraId="603EC425" w14:textId="77777777" w:rsidR="00CB66C1" w:rsidRDefault="00CB66C1" w:rsidP="005157E6">
      <w:pPr>
        <w:pStyle w:val="References"/>
      </w:pPr>
      <w:r w:rsidRPr="0020439E">
        <w:t>European Medical Agency</w:t>
      </w:r>
      <w:r>
        <w:t xml:space="preserve">. (2012) </w:t>
      </w:r>
      <w:r w:rsidRPr="00CB66C1">
        <w:rPr>
          <w:i/>
          <w:iCs/>
        </w:rPr>
        <w:t>Reflection paper for laboratories that perform the analyses or evaluation of clinical trial samples</w:t>
      </w:r>
      <w:r>
        <w:t xml:space="preserve">. Available at: </w:t>
      </w:r>
      <w:hyperlink r:id="rId58" w:tooltip="Reflection paper for laboratories that perform the analyses or evaluation of clinical trial samples" w:history="1">
        <w:r w:rsidRPr="00794836">
          <w:rPr>
            <w:rStyle w:val="Hyperlink"/>
          </w:rPr>
          <w:t>ema.europa.eu/en/documents/regulatory-procedural-guideline/reflection-paper-laboratories-perform-analysis-or-evaluation-clinical-trial-samples_en.pdf</w:t>
        </w:r>
      </w:hyperlink>
      <w:r>
        <w:t xml:space="preserve"> (Accessed: 30-Jan-2025). </w:t>
      </w:r>
    </w:p>
    <w:p w14:paraId="62F7B05B" w14:textId="77777777" w:rsidR="00CB66C1" w:rsidRDefault="00CB66C1" w:rsidP="00AA1571">
      <w:pPr>
        <w:pStyle w:val="References"/>
      </w:pPr>
      <w:r>
        <w:t xml:space="preserve">HRA. (2020) </w:t>
      </w:r>
      <w:r w:rsidRPr="00927836">
        <w:t>Joint Statement on the Application of Good Clinical Practice to Training for Researchers</w:t>
      </w:r>
      <w:r>
        <w:t xml:space="preserve">. Available at: </w:t>
      </w:r>
      <w:hyperlink r:id="rId59" w:tooltip="Joint Statement on the Application of GCP to Training for Researchers" w:history="1">
        <w:r w:rsidRPr="00794836">
          <w:rPr>
            <w:rStyle w:val="Hyperlink"/>
          </w:rPr>
          <w:t>hra.nhs.uk/planning-and-improving-research/policies-standards-legislation/good-clinical-practice/joint-statement-application-good-clinical-practice-training-researchers-hra-mhra-devolved-administrations-northern-ireland-scotland-and-wales</w:t>
        </w:r>
      </w:hyperlink>
      <w:r>
        <w:t xml:space="preserve"> (Accessed: 30-Jan-2025)</w:t>
      </w:r>
    </w:p>
    <w:p w14:paraId="533588FF" w14:textId="77777777" w:rsidR="00CB66C1" w:rsidRPr="00B00E72" w:rsidRDefault="00CB66C1" w:rsidP="005157E6">
      <w:pPr>
        <w:pStyle w:val="References"/>
      </w:pPr>
      <w:r>
        <w:t xml:space="preserve">HRA. (2023) </w:t>
      </w:r>
      <w:r>
        <w:rPr>
          <w:i/>
          <w:iCs/>
        </w:rPr>
        <w:t xml:space="preserve">UK Policy </w:t>
      </w:r>
      <w:r w:rsidRPr="00B00E72">
        <w:rPr>
          <w:i/>
          <w:iCs/>
        </w:rPr>
        <w:t>Framework for Health and Social Care Research</w:t>
      </w:r>
      <w:r>
        <w:t xml:space="preserve">. Available at: </w:t>
      </w:r>
      <w:hyperlink r:id="rId60" w:tooltip="UK Policy Framework for Health and Social Care Research" w:history="1">
        <w:r w:rsidRPr="00794836">
          <w:rPr>
            <w:rStyle w:val="Hyperlink"/>
          </w:rPr>
          <w:t>hra.nhs.uk/planning-and-improving-research/policies-standards-legislation/uk-policy-framework-health-social-care-research/uk-policy-framework-health-and-social-care-research</w:t>
        </w:r>
      </w:hyperlink>
      <w:r>
        <w:t xml:space="preserve"> (Accessed: 30-Jan-2025).</w:t>
      </w:r>
    </w:p>
    <w:p w14:paraId="47D574BB" w14:textId="77777777" w:rsidR="00CB66C1" w:rsidRDefault="00CB66C1" w:rsidP="00AA1571">
      <w:pPr>
        <w:pStyle w:val="References"/>
      </w:pPr>
      <w:r>
        <w:t xml:space="preserve">HRA. (2024) </w:t>
      </w:r>
      <w:r w:rsidRPr="006775AF">
        <w:rPr>
          <w:i/>
          <w:iCs/>
        </w:rPr>
        <w:t>eLearning module – ‘</w:t>
      </w:r>
      <w:r>
        <w:rPr>
          <w:i/>
          <w:iCs/>
        </w:rPr>
        <w:t>R</w:t>
      </w:r>
      <w:r w:rsidRPr="006775AF">
        <w:rPr>
          <w:i/>
          <w:iCs/>
        </w:rPr>
        <w:t>esearch involving human tissue’</w:t>
      </w:r>
      <w:r>
        <w:t xml:space="preserve">. Available at: </w:t>
      </w:r>
      <w:hyperlink r:id="rId61" w:tooltip="HRA eLearning module - 'Research involving human tissue'" w:history="1">
        <w:r w:rsidRPr="00794836">
          <w:rPr>
            <w:rStyle w:val="Hyperlink"/>
          </w:rPr>
          <w:t>hra.nhs.uk/planning-and-improving-research/learning/e-learning</w:t>
        </w:r>
      </w:hyperlink>
      <w:r>
        <w:t xml:space="preserve"> (Accessed: 30-Jan-2025). </w:t>
      </w:r>
    </w:p>
    <w:p w14:paraId="62EBF875" w14:textId="77777777" w:rsidR="00CB66C1" w:rsidRDefault="00CB66C1" w:rsidP="005157E6">
      <w:pPr>
        <w:pStyle w:val="References"/>
      </w:pPr>
      <w:r>
        <w:t xml:space="preserve">HTA. (no date) </w:t>
      </w:r>
      <w:r w:rsidRPr="006775AF">
        <w:rPr>
          <w:i/>
          <w:iCs/>
        </w:rPr>
        <w:t>Codes of Practice</w:t>
      </w:r>
      <w:r>
        <w:t xml:space="preserve">. Available at: </w:t>
      </w:r>
      <w:hyperlink r:id="rId62" w:tooltip="HTA Codes of Practice" w:history="1">
        <w:r w:rsidRPr="00794836">
          <w:rPr>
            <w:rStyle w:val="Hyperlink"/>
          </w:rPr>
          <w:t>hta.gov.uk/guidance-professionals/codes-practice-standards-and-legislation/codes-practice-0</w:t>
        </w:r>
      </w:hyperlink>
      <w:r>
        <w:t xml:space="preserve"> (Accessed: 30-Jan-2025). </w:t>
      </w:r>
    </w:p>
    <w:p w14:paraId="11A78822" w14:textId="77777777" w:rsidR="00CB66C1" w:rsidRDefault="00CB66C1" w:rsidP="006272D5">
      <w:pPr>
        <w:pStyle w:val="References"/>
      </w:pPr>
      <w:r>
        <w:t xml:space="preserve">ICH. (2016) </w:t>
      </w:r>
      <w:r>
        <w:rPr>
          <w:i/>
          <w:iCs/>
        </w:rPr>
        <w:t>Guidelines for Good Clinical Practice: E6 (R2)</w:t>
      </w:r>
      <w:r>
        <w:t xml:space="preserve">. Available at: </w:t>
      </w:r>
      <w:hyperlink r:id="rId63" w:tooltip="ICH Efficacy Guidelines" w:history="1">
        <w:r w:rsidRPr="00794836">
          <w:rPr>
            <w:rStyle w:val="Hyperlink"/>
          </w:rPr>
          <w:t>ich.org/page/efficacy-guidelines</w:t>
        </w:r>
      </w:hyperlink>
      <w:r>
        <w:t xml:space="preserve"> (Accessed: 30-Jan-2025).</w:t>
      </w:r>
    </w:p>
    <w:p w14:paraId="631E3BD8" w14:textId="77777777" w:rsidR="00CB66C1" w:rsidRPr="00595EC7" w:rsidRDefault="00CB66C1" w:rsidP="00AA1571">
      <w:pPr>
        <w:pStyle w:val="References"/>
      </w:pPr>
      <w:r>
        <w:t xml:space="preserve">MRC. (no date) </w:t>
      </w:r>
      <w:r>
        <w:rPr>
          <w:i/>
          <w:iCs/>
        </w:rPr>
        <w:t>eLearning module – ‘Research and human tissue legislation’.</w:t>
      </w:r>
      <w:r>
        <w:t xml:space="preserve"> Available at: </w:t>
      </w:r>
      <w:hyperlink r:id="rId64" w:tooltip="MRC eLearning module – ‘Research and human tissue legislation’" w:history="1">
        <w:r w:rsidRPr="00794836">
          <w:rPr>
            <w:rStyle w:val="Hyperlink"/>
          </w:rPr>
          <w:t>bygsystems.net/mrcrsc-lms/course/index.php?categoryid=1</w:t>
        </w:r>
      </w:hyperlink>
      <w:r>
        <w:t xml:space="preserve"> (Accessed: 30-Jan-2025).</w:t>
      </w:r>
    </w:p>
    <w:p w14:paraId="19EAAFDA" w14:textId="77777777" w:rsidR="00CB66C1" w:rsidRPr="00595EC7" w:rsidRDefault="00CB66C1" w:rsidP="00595EC7">
      <w:pPr>
        <w:pStyle w:val="References"/>
      </w:pPr>
      <w:r>
        <w:t xml:space="preserve">NIHR. (no date) </w:t>
      </w:r>
      <w:r w:rsidRPr="00595EC7">
        <w:rPr>
          <w:i/>
          <w:iCs/>
        </w:rPr>
        <w:t>GCP training course</w:t>
      </w:r>
      <w:r>
        <w:t xml:space="preserve">. Available at: </w:t>
      </w:r>
      <w:hyperlink r:id="rId65" w:tooltip="NIHR GCP training course" w:history="1">
        <w:r w:rsidRPr="00794836">
          <w:rPr>
            <w:rStyle w:val="Hyperlink"/>
          </w:rPr>
          <w:t>nihr.ac.uk/health-and-care-professionals/training/good-clinical-practice.htm</w:t>
        </w:r>
      </w:hyperlink>
      <w:r>
        <w:t xml:space="preserve"> (Accessed: 30-Jan-2025).</w:t>
      </w:r>
    </w:p>
    <w:p w14:paraId="5B6904A0" w14:textId="77777777" w:rsidR="00CB66C1" w:rsidRDefault="00CB66C1" w:rsidP="005157E6">
      <w:pPr>
        <w:pStyle w:val="References"/>
      </w:pPr>
      <w:r>
        <w:t xml:space="preserve">UK Legislation. (2002) </w:t>
      </w:r>
      <w:r>
        <w:rPr>
          <w:i/>
          <w:iCs/>
        </w:rPr>
        <w:t>The Medical Device Regulations (as amended)</w:t>
      </w:r>
      <w:r>
        <w:t xml:space="preserve">. Available at: </w:t>
      </w:r>
      <w:hyperlink r:id="rId66" w:tooltip="The Medical Device Regulations 2002 (as amended)" w:history="1">
        <w:r w:rsidRPr="00794836">
          <w:rPr>
            <w:rStyle w:val="Hyperlink"/>
          </w:rPr>
          <w:t>legislation.gov.uk/uksi/2002/618/contents</w:t>
        </w:r>
      </w:hyperlink>
      <w:r>
        <w:t xml:space="preserve"> (Accessed: 30-Jan-2025).</w:t>
      </w:r>
    </w:p>
    <w:p w14:paraId="66E3646F" w14:textId="77777777" w:rsidR="00CB66C1" w:rsidRDefault="00CB66C1" w:rsidP="00AA1571">
      <w:pPr>
        <w:pStyle w:val="References"/>
      </w:pPr>
      <w:r>
        <w:t xml:space="preserve">UK Legislation. (2004) </w:t>
      </w:r>
      <w:r w:rsidRPr="005157E6">
        <w:rPr>
          <w:i/>
          <w:iCs/>
        </w:rPr>
        <w:t>Human Tissue Act</w:t>
      </w:r>
      <w:r>
        <w:rPr>
          <w:i/>
          <w:iCs/>
        </w:rPr>
        <w:t xml:space="preserve"> (as amended)</w:t>
      </w:r>
      <w:r>
        <w:t xml:space="preserve">. Available at: </w:t>
      </w:r>
      <w:hyperlink r:id="rId67" w:tooltip="Human Tissue Act 2004 (as amended)" w:history="1">
        <w:r w:rsidRPr="00794836">
          <w:rPr>
            <w:rStyle w:val="Hyperlink"/>
          </w:rPr>
          <w:t>legislation.gov.uk/ukpga/2004/30/contents</w:t>
        </w:r>
      </w:hyperlink>
      <w:r>
        <w:t xml:space="preserve"> (Accessed: 30-Jan-2025).</w:t>
      </w:r>
    </w:p>
    <w:p w14:paraId="3C90EF42" w14:textId="77777777" w:rsidR="00CB66C1" w:rsidRDefault="00CB66C1" w:rsidP="00B00E72">
      <w:pPr>
        <w:pStyle w:val="References"/>
      </w:pPr>
      <w:r>
        <w:t xml:space="preserve">UK Legislation. (2004) </w:t>
      </w:r>
      <w:r w:rsidRPr="00B00E72">
        <w:rPr>
          <w:i/>
          <w:iCs/>
        </w:rPr>
        <w:t xml:space="preserve">The Medicines for Human Use (Clinical Trials) Regulations </w:t>
      </w:r>
      <w:r>
        <w:rPr>
          <w:i/>
          <w:iCs/>
        </w:rPr>
        <w:t>(as amended)</w:t>
      </w:r>
      <w:r>
        <w:t xml:space="preserve">. Available at: </w:t>
      </w:r>
      <w:hyperlink r:id="rId68" w:tooltip="The Medicines for Human Use (Clinical Trials) Regulations 2004 (as amended)" w:history="1">
        <w:r w:rsidRPr="00794836">
          <w:rPr>
            <w:rStyle w:val="Hyperlink"/>
          </w:rPr>
          <w:t>legislation.gov.uk/uksi/2004/1031/contents</w:t>
        </w:r>
      </w:hyperlink>
      <w:r>
        <w:t xml:space="preserve"> (Accessed: 30-Jan-2025).</w:t>
      </w:r>
    </w:p>
    <w:p w14:paraId="1F379743" w14:textId="77777777" w:rsidR="00CB66C1" w:rsidRDefault="00CB66C1" w:rsidP="005157E6">
      <w:pPr>
        <w:pStyle w:val="References"/>
      </w:pPr>
      <w:r>
        <w:t xml:space="preserve">UK Legislation. (2005) </w:t>
      </w:r>
      <w:r>
        <w:rPr>
          <w:i/>
          <w:iCs/>
        </w:rPr>
        <w:t>Mental Capacity</w:t>
      </w:r>
      <w:r w:rsidRPr="00A04885">
        <w:rPr>
          <w:i/>
          <w:iCs/>
        </w:rPr>
        <w:t xml:space="preserve"> Act</w:t>
      </w:r>
      <w:r>
        <w:rPr>
          <w:i/>
          <w:iCs/>
        </w:rPr>
        <w:t xml:space="preserve"> (as amended)</w:t>
      </w:r>
      <w:r>
        <w:t xml:space="preserve">. Available at: </w:t>
      </w:r>
      <w:hyperlink r:id="rId69" w:tooltip="Mental Capacity Act 2005 (as amended)" w:history="1">
        <w:r w:rsidRPr="00794836">
          <w:rPr>
            <w:rStyle w:val="Hyperlink"/>
          </w:rPr>
          <w:t>legislation.gov.uk/</w:t>
        </w:r>
        <w:proofErr w:type="spellStart"/>
        <w:r w:rsidRPr="00794836">
          <w:rPr>
            <w:rStyle w:val="Hyperlink"/>
          </w:rPr>
          <w:t>ukpga</w:t>
        </w:r>
        <w:proofErr w:type="spellEnd"/>
        <w:r w:rsidRPr="00794836">
          <w:rPr>
            <w:rStyle w:val="Hyperlink"/>
          </w:rPr>
          <w:t>/2005/9/contents</w:t>
        </w:r>
      </w:hyperlink>
      <w:r>
        <w:t xml:space="preserve"> </w:t>
      </w:r>
      <w:hyperlink r:id="rId70" w:tooltip="Data Protection Act 2018 (as amended)" w:history="1"/>
      <w:r>
        <w:t>(Accessed: 30-Jan-2025).</w:t>
      </w:r>
    </w:p>
    <w:p w14:paraId="32B2A87A" w14:textId="77777777" w:rsidR="00CB66C1" w:rsidRDefault="00CB66C1" w:rsidP="005157E6">
      <w:pPr>
        <w:pStyle w:val="References"/>
      </w:pPr>
      <w:r>
        <w:lastRenderedPageBreak/>
        <w:t xml:space="preserve">UK Legislation. (2016) </w:t>
      </w:r>
      <w:r>
        <w:rPr>
          <w:i/>
          <w:iCs/>
        </w:rPr>
        <w:t>G</w:t>
      </w:r>
      <w:r w:rsidRPr="00F63F7F">
        <w:rPr>
          <w:i/>
          <w:iCs/>
        </w:rPr>
        <w:t>DPR (Regulation (EU) 2016/679)</w:t>
      </w:r>
      <w:r>
        <w:t xml:space="preserve">. Available at: </w:t>
      </w:r>
      <w:hyperlink r:id="rId71" w:tooltip="GDPR" w:history="1">
        <w:r>
          <w:rPr>
            <w:rStyle w:val="Hyperlink"/>
          </w:rPr>
          <w:t>legislation.gov.uk/eur/2016/679/contents</w:t>
        </w:r>
      </w:hyperlink>
      <w:r>
        <w:t xml:space="preserve"> (Accessed: 30-Jan-2025).</w:t>
      </w:r>
    </w:p>
    <w:p w14:paraId="0AF62092" w14:textId="77777777" w:rsidR="00CB66C1" w:rsidRDefault="00CB66C1" w:rsidP="005157E6">
      <w:pPr>
        <w:pStyle w:val="References"/>
      </w:pPr>
      <w:r>
        <w:t xml:space="preserve">UK Legislation. (2018) </w:t>
      </w:r>
      <w:r w:rsidRPr="00A04885">
        <w:rPr>
          <w:i/>
          <w:iCs/>
        </w:rPr>
        <w:t>Data Protection Act</w:t>
      </w:r>
      <w:r>
        <w:rPr>
          <w:i/>
          <w:iCs/>
        </w:rPr>
        <w:t xml:space="preserve"> (as amended)</w:t>
      </w:r>
      <w:r>
        <w:t xml:space="preserve">. Available at: </w:t>
      </w:r>
      <w:hyperlink r:id="rId72" w:tooltip="Data Protection Act 2018 (as amended)" w:history="1">
        <w:r w:rsidRPr="00794836">
          <w:rPr>
            <w:rStyle w:val="Hyperlink"/>
          </w:rPr>
          <w:t>legislation.gov.uk/ukpga/2018/12/contents</w:t>
        </w:r>
      </w:hyperlink>
      <w:r>
        <w:t xml:space="preserve"> (Accessed: 30-Jan-2025).</w:t>
      </w:r>
    </w:p>
    <w:p w14:paraId="1F4C491F" w14:textId="77777777" w:rsidR="00CB66C1" w:rsidRDefault="00CB66C1" w:rsidP="00AA1571">
      <w:pPr>
        <w:pStyle w:val="References"/>
      </w:pPr>
      <w:r>
        <w:t xml:space="preserve">UoB. (2018) </w:t>
      </w:r>
      <w:r w:rsidRPr="00F5211F">
        <w:rPr>
          <w:i/>
          <w:iCs/>
        </w:rPr>
        <w:t>Code of Ethics</w:t>
      </w:r>
      <w:r>
        <w:t xml:space="preserve">. Available at: </w:t>
      </w:r>
      <w:hyperlink r:id="rId73" w:tooltip="UoB Code of Ethics" w:history="1">
        <w:r w:rsidRPr="00794836">
          <w:rPr>
            <w:rStyle w:val="Hyperlink"/>
          </w:rPr>
          <w:t>birmingham.ac.uk/Documents/university/governance/Code-of-Ethics/Code-of-Ethics-Approved-by-Council-April-2018.pdf</w:t>
        </w:r>
      </w:hyperlink>
      <w:r>
        <w:t xml:space="preserve"> (Accessed: 30-Jan-2025). </w:t>
      </w:r>
    </w:p>
    <w:p w14:paraId="4C9DFA0F" w14:textId="77777777" w:rsidR="00CB66C1" w:rsidRDefault="00CB66C1" w:rsidP="00205993">
      <w:pPr>
        <w:pStyle w:val="References"/>
      </w:pPr>
      <w:r>
        <w:t xml:space="preserve">UoB. (2020) </w:t>
      </w:r>
      <w:r>
        <w:rPr>
          <w:i/>
          <w:iCs/>
        </w:rPr>
        <w:t>Data Protection Policy</w:t>
      </w:r>
      <w:r>
        <w:t xml:space="preserve">. Available at: </w:t>
      </w:r>
      <w:hyperlink r:id="rId74" w:tooltip="UoB Data Protection Policy" w:history="1">
        <w:r w:rsidRPr="00794836">
          <w:rPr>
            <w:rStyle w:val="Hyperlink"/>
          </w:rPr>
          <w:t>birmingham.ac.uk/documents/university/legal/university-of-birmingham-data-protection-policy.pdf</w:t>
        </w:r>
      </w:hyperlink>
      <w:r>
        <w:t xml:space="preserve"> (Accessed: 30-Jan-2025).</w:t>
      </w:r>
    </w:p>
    <w:p w14:paraId="638EFC72" w14:textId="77777777" w:rsidR="00CB66C1" w:rsidRPr="0092130C" w:rsidRDefault="00CB66C1" w:rsidP="00AA1571">
      <w:pPr>
        <w:pStyle w:val="References"/>
      </w:pPr>
      <w:r>
        <w:t xml:space="preserve">UoB. (2021) </w:t>
      </w:r>
      <w:r>
        <w:rPr>
          <w:i/>
          <w:iCs/>
        </w:rPr>
        <w:t>Guidance on Working with Human Body Fluids and Tissues</w:t>
      </w:r>
      <w:r>
        <w:t xml:space="preserve">. Available at: </w:t>
      </w:r>
      <w:hyperlink r:id="rId75" w:anchor="human-body-fluids-and-tissues" w:tooltip="UoB Biological Safety - Human Body Fluids and Tissues" w:history="1">
        <w:r w:rsidRPr="006E70F1">
          <w:rPr>
            <w:rStyle w:val="Hyperlink"/>
          </w:rPr>
          <w:t>bham.sharepoint.com/sites/SafetyServices/SitePages/biologicalsafety.aspx#human-body-fluids-and-tissues</w:t>
        </w:r>
      </w:hyperlink>
      <w:r>
        <w:t xml:space="preserve"> (Accessed: 30-Jan-2025)</w:t>
      </w:r>
    </w:p>
    <w:p w14:paraId="7F7789EF" w14:textId="77777777" w:rsidR="00CB66C1" w:rsidRDefault="00CB66C1" w:rsidP="00927836">
      <w:pPr>
        <w:pStyle w:val="References"/>
      </w:pPr>
      <w:r>
        <w:t>UoB. (2023</w:t>
      </w:r>
      <w:r w:rsidRPr="00CB66C1">
        <w:rPr>
          <w:i/>
          <w:iCs/>
        </w:rPr>
        <w:t>) Information Security and Management Policy</w:t>
      </w:r>
      <w:r>
        <w:t xml:space="preserve">. Available at: </w:t>
      </w:r>
      <w:hyperlink r:id="rId76" w:tooltip="UoB Information Security and Management Policy" w:history="1">
        <w:r w:rsidRPr="00794836">
          <w:rPr>
            <w:rStyle w:val="Hyperlink"/>
          </w:rPr>
          <w:t>bham.sharepoint.com/sites/IT/SitePages/Policies-and-procedures.aspx</w:t>
        </w:r>
      </w:hyperlink>
      <w:r>
        <w:t xml:space="preserve"> (Accessed: 30-Jan-2025). </w:t>
      </w:r>
    </w:p>
    <w:p w14:paraId="27F3A4F0" w14:textId="77777777" w:rsidR="00CB66C1" w:rsidRDefault="00CB66C1" w:rsidP="00775F22">
      <w:pPr>
        <w:pStyle w:val="References"/>
      </w:pPr>
      <w:r>
        <w:t xml:space="preserve">UoB. (2024) </w:t>
      </w:r>
      <w:r w:rsidRPr="00775F22">
        <w:rPr>
          <w:i/>
          <w:iCs/>
        </w:rPr>
        <w:t>Clinical Research Oversight Committees</w:t>
      </w:r>
      <w:r>
        <w:t xml:space="preserve">. Available at: </w:t>
      </w:r>
      <w:hyperlink r:id="rId77" w:tooltip="Clinical Research Oversight Committees" w:history="1">
        <w:r w:rsidRPr="00794836">
          <w:rPr>
            <w:rStyle w:val="Hyperlink"/>
          </w:rPr>
          <w:t>birmingham.ac.uk/research/activity/mds/mds-rkto/governance/oversight-committees</w:t>
        </w:r>
      </w:hyperlink>
      <w:r>
        <w:t xml:space="preserve"> (Accessed: 30-Jan-2025).</w:t>
      </w:r>
    </w:p>
    <w:p w14:paraId="490B62A1" w14:textId="77777777" w:rsidR="00CB66C1" w:rsidRDefault="00CB66C1" w:rsidP="00775F22">
      <w:pPr>
        <w:pStyle w:val="References"/>
      </w:pPr>
      <w:r>
        <w:t xml:space="preserve">UoB. (2024) </w:t>
      </w:r>
      <w:r>
        <w:rPr>
          <w:i/>
          <w:iCs/>
        </w:rPr>
        <w:t>Clinical Research QMS</w:t>
      </w:r>
      <w:r>
        <w:t xml:space="preserve">. Available at: </w:t>
      </w:r>
      <w:hyperlink r:id="rId78" w:tooltip="UoB Clinical Research QMS" w:history="1">
        <w:r w:rsidRPr="00794836">
          <w:rPr>
            <w:rStyle w:val="Hyperlink"/>
          </w:rPr>
          <w:t>birmingham.ac.uk/qms</w:t>
        </w:r>
      </w:hyperlink>
      <w:r>
        <w:t xml:space="preserve"> (Accessed: 30-Jan-2025).</w:t>
      </w:r>
    </w:p>
    <w:p w14:paraId="54D3935A" w14:textId="77777777" w:rsidR="00CB66C1" w:rsidRDefault="00CB66C1" w:rsidP="00AA1571">
      <w:pPr>
        <w:pStyle w:val="References"/>
      </w:pPr>
      <w:r>
        <w:t xml:space="preserve">UoB. (2024) </w:t>
      </w:r>
      <w:r w:rsidRPr="006272D5">
        <w:rPr>
          <w:i/>
          <w:iCs/>
        </w:rPr>
        <w:t>CRCT</w:t>
      </w:r>
      <w:r>
        <w:t xml:space="preserve">. Available at: </w:t>
      </w:r>
      <w:hyperlink r:id="rId79" w:tooltip="CRCT" w:history="1">
        <w:r>
          <w:rPr>
            <w:rStyle w:val="Hyperlink"/>
          </w:rPr>
          <w:t>b</w:t>
        </w:r>
        <w:r w:rsidRPr="00794836">
          <w:rPr>
            <w:rStyle w:val="Hyperlink"/>
          </w:rPr>
          <w:t>irmingham.ac.uk/crct</w:t>
        </w:r>
      </w:hyperlink>
      <w:r>
        <w:t xml:space="preserve"> (Accessed: 30-Jan-2025) </w:t>
      </w:r>
    </w:p>
    <w:p w14:paraId="53C8CDDE" w14:textId="77777777" w:rsidR="00CB66C1" w:rsidRDefault="00CB66C1" w:rsidP="00AA1571">
      <w:pPr>
        <w:pStyle w:val="References"/>
      </w:pPr>
      <w:r>
        <w:t xml:space="preserve">UoB. (2024) </w:t>
      </w:r>
      <w:r w:rsidRPr="00CB66C1">
        <w:rPr>
          <w:i/>
          <w:iCs/>
        </w:rPr>
        <w:t>Guidance Note 5: Transport of Infectious Substances and Biological Materials</w:t>
      </w:r>
      <w:r>
        <w:t xml:space="preserve">. Available at: </w:t>
      </w:r>
      <w:hyperlink r:id="rId80" w:anchor="university-guidance-on-the-management-of-biological-risks" w:tooltip="UoB Biological Safety - University guidance on the management of biological risks" w:history="1">
        <w:r w:rsidRPr="006E70F1">
          <w:rPr>
            <w:rStyle w:val="Hyperlink"/>
          </w:rPr>
          <w:t>bham.sharepoint.com/sites/SafetyServices/SitePages/biologicalsafety.aspx#university-guidance-on-the-management-of-biological-risks</w:t>
        </w:r>
      </w:hyperlink>
      <w:r>
        <w:t xml:space="preserve"> (Accessed: 30-Jan-2025)</w:t>
      </w:r>
    </w:p>
    <w:p w14:paraId="598EA63F" w14:textId="77777777" w:rsidR="00CB66C1" w:rsidRDefault="00CB66C1" w:rsidP="00F5211F">
      <w:pPr>
        <w:pStyle w:val="References"/>
      </w:pPr>
      <w:r>
        <w:t xml:space="preserve">UoB. (2025) </w:t>
      </w:r>
      <w:r w:rsidRPr="00F5211F">
        <w:rPr>
          <w:i/>
          <w:iCs/>
        </w:rPr>
        <w:t xml:space="preserve">Code of </w:t>
      </w:r>
      <w:r>
        <w:rPr>
          <w:i/>
          <w:iCs/>
        </w:rPr>
        <w:t>Practice for Research</w:t>
      </w:r>
      <w:r>
        <w:t xml:space="preserve">. Available at: </w:t>
      </w:r>
      <w:hyperlink r:id="rId81" w:tooltip="UoB Code of Practice for Research" w:history="1">
        <w:r w:rsidRPr="00794836">
          <w:rPr>
            <w:rStyle w:val="Hyperlink"/>
          </w:rPr>
          <w:t>birmingham.ac.uk/Documents/university/legal/research.pdf</w:t>
        </w:r>
      </w:hyperlink>
      <w:r>
        <w:t xml:space="preserve"> (Accessed: 30-Jan-2025). </w:t>
      </w:r>
    </w:p>
    <w:p w14:paraId="508CAE9B" w14:textId="77777777" w:rsidR="00CB66C1" w:rsidRDefault="00CB66C1" w:rsidP="006272D5">
      <w:pPr>
        <w:pStyle w:val="References"/>
      </w:pPr>
      <w:r>
        <w:t xml:space="preserve">UoB. (no date) </w:t>
      </w:r>
      <w:r w:rsidRPr="004F644F">
        <w:rPr>
          <w:i/>
          <w:iCs/>
        </w:rPr>
        <w:t>Clinical Research</w:t>
      </w:r>
      <w:r>
        <w:t xml:space="preserve"> </w:t>
      </w:r>
      <w:r>
        <w:rPr>
          <w:i/>
          <w:iCs/>
        </w:rPr>
        <w:t>e-Pathway.</w:t>
      </w:r>
      <w:r>
        <w:t xml:space="preserve"> Available at: </w:t>
      </w:r>
      <w:hyperlink r:id="rId82" w:tooltip="Clinical Research e-Pathway" w:history="1">
        <w:r w:rsidRPr="00794836">
          <w:rPr>
            <w:rStyle w:val="Hyperlink"/>
          </w:rPr>
          <w:t>birmingham.ac.uk/e-pathway</w:t>
        </w:r>
      </w:hyperlink>
      <w:r>
        <w:t xml:space="preserve"> (Accessed: 30-Jan-2025).</w:t>
      </w:r>
    </w:p>
    <w:p w14:paraId="4013437B" w14:textId="77777777" w:rsidR="00CB66C1" w:rsidRDefault="00CB66C1" w:rsidP="004F644F">
      <w:pPr>
        <w:pStyle w:val="References"/>
      </w:pPr>
      <w:r>
        <w:t xml:space="preserve">UoB. (no date) </w:t>
      </w:r>
      <w:r w:rsidRPr="006272D5">
        <w:rPr>
          <w:i/>
          <w:iCs/>
        </w:rPr>
        <w:t>CRCT</w:t>
      </w:r>
      <w:r>
        <w:rPr>
          <w:i/>
          <w:iCs/>
        </w:rPr>
        <w:t xml:space="preserve"> – Glossary of Terms</w:t>
      </w:r>
      <w:r>
        <w:t xml:space="preserve">. Available at: </w:t>
      </w:r>
      <w:hyperlink r:id="rId83" w:tooltip="CRCT – Glossary of Terms" w:history="1">
        <w:r w:rsidRPr="00794836">
          <w:rPr>
            <w:rStyle w:val="Hyperlink"/>
          </w:rPr>
          <w:t>birmingham.ac.uk/research/activity/mds/mds-rkto/governance/glossary-of-terms</w:t>
        </w:r>
      </w:hyperlink>
      <w:r>
        <w:t xml:space="preserve"> (Accessed: 30-Jan-2025).</w:t>
      </w:r>
    </w:p>
    <w:p w14:paraId="3E1090FD" w14:textId="77777777" w:rsidR="00CB66C1" w:rsidRDefault="00CB66C1" w:rsidP="006272D5">
      <w:pPr>
        <w:pStyle w:val="References"/>
      </w:pPr>
      <w:r>
        <w:t xml:space="preserve">UoB. (no date) </w:t>
      </w:r>
      <w:r w:rsidRPr="006272D5">
        <w:rPr>
          <w:i/>
          <w:iCs/>
        </w:rPr>
        <w:t>CRC</w:t>
      </w:r>
      <w:r>
        <w:rPr>
          <w:i/>
          <w:iCs/>
        </w:rPr>
        <w:t>T – Training &amp; Workshops</w:t>
      </w:r>
      <w:r>
        <w:t xml:space="preserve">. Available at: </w:t>
      </w:r>
      <w:hyperlink r:id="rId84" w:tooltip="CRCT – Training &amp; Workshops" w:history="1">
        <w:r w:rsidRPr="00794836">
          <w:rPr>
            <w:rStyle w:val="Hyperlink"/>
          </w:rPr>
          <w:t>birmingham.ac.uk/research/activity/mds/mds-rkto/governance/training-and-workshops</w:t>
        </w:r>
      </w:hyperlink>
      <w:r>
        <w:t xml:space="preserve"> (Accessed: 30-Jan-2025).</w:t>
      </w:r>
    </w:p>
    <w:p w14:paraId="1C970271" w14:textId="77777777" w:rsidR="00CB66C1" w:rsidRPr="00205993" w:rsidRDefault="00CB66C1" w:rsidP="00F5211F">
      <w:pPr>
        <w:pStyle w:val="References"/>
      </w:pPr>
      <w:r>
        <w:t xml:space="preserve">UoB. (no date) </w:t>
      </w:r>
      <w:r>
        <w:rPr>
          <w:i/>
          <w:iCs/>
        </w:rPr>
        <w:t>Internal Audit.</w:t>
      </w:r>
      <w:r>
        <w:t xml:space="preserve"> Available at: </w:t>
      </w:r>
      <w:hyperlink r:id="rId85" w:tooltip="UoB Internal Audit" w:history="1">
        <w:r>
          <w:rPr>
            <w:rStyle w:val="Hyperlink"/>
          </w:rPr>
          <w:t>bham.sharepoint.com/sites/finance/SitePages/audit.aspx</w:t>
        </w:r>
      </w:hyperlink>
      <w:r>
        <w:t xml:space="preserve">  (Accessed: 30-Jan-2025). </w:t>
      </w:r>
    </w:p>
    <w:p w14:paraId="68457C4B" w14:textId="77777777" w:rsidR="00CB66C1" w:rsidRPr="00205993" w:rsidRDefault="00CB66C1" w:rsidP="00927836">
      <w:pPr>
        <w:pStyle w:val="References"/>
      </w:pPr>
      <w:r>
        <w:t xml:space="preserve">UoB. (no date) </w:t>
      </w:r>
      <w:r w:rsidRPr="00927836">
        <w:rPr>
          <w:i/>
          <w:iCs/>
        </w:rPr>
        <w:t>Library Services Research Skills Team – ‘Training for research staff’</w:t>
      </w:r>
      <w:r>
        <w:t xml:space="preserve">. Available at: </w:t>
      </w:r>
      <w:hyperlink r:id="rId86" w:tooltip="Library Services Research Skills Team – ‘Training for research staff’" w:history="1">
        <w:r w:rsidRPr="00794836">
          <w:rPr>
            <w:rStyle w:val="Hyperlink"/>
          </w:rPr>
          <w:t>intranet.birmingham.ac.uk/as/libraryservices/library/research/workshops-and-training/workshops-for-research-staff.aspx</w:t>
        </w:r>
      </w:hyperlink>
      <w:r>
        <w:t xml:space="preserve"> (Accessed: 30-Jan-2025). </w:t>
      </w:r>
    </w:p>
    <w:p w14:paraId="4CBE41E1" w14:textId="77777777" w:rsidR="00CB66C1" w:rsidRPr="00036DDD" w:rsidRDefault="00CB66C1" w:rsidP="00927836">
      <w:pPr>
        <w:pStyle w:val="References"/>
      </w:pPr>
      <w:r>
        <w:t xml:space="preserve">UoB. (no date) </w:t>
      </w:r>
      <w:r>
        <w:rPr>
          <w:i/>
          <w:iCs/>
        </w:rPr>
        <w:t>Motor Insurance</w:t>
      </w:r>
      <w:r>
        <w:t xml:space="preserve">. Available at: </w:t>
      </w:r>
      <w:hyperlink r:id="rId87" w:tooltip="UoB Motor Insurance" w:history="1">
        <w:r w:rsidRPr="006E70F1">
          <w:rPr>
            <w:rStyle w:val="Hyperlink"/>
          </w:rPr>
          <w:t>bham.sharepoint.com/sites/finance/SitePages/motor.aspx</w:t>
        </w:r>
      </w:hyperlink>
      <w:r>
        <w:t xml:space="preserve"> (Accessed: 30-Jan-2025)</w:t>
      </w:r>
    </w:p>
    <w:p w14:paraId="39F23F83" w14:textId="77777777" w:rsidR="00CB66C1" w:rsidRPr="00205993" w:rsidRDefault="00CB66C1" w:rsidP="00205993">
      <w:pPr>
        <w:pStyle w:val="References"/>
      </w:pPr>
      <w:r>
        <w:t xml:space="preserve">UoB. (no date) </w:t>
      </w:r>
      <w:r>
        <w:rPr>
          <w:i/>
          <w:iCs/>
        </w:rPr>
        <w:t>REGI.</w:t>
      </w:r>
      <w:r>
        <w:t xml:space="preserve"> Available at: </w:t>
      </w:r>
      <w:hyperlink r:id="rId88" w:tooltip="UoB REGI" w:history="1">
        <w:r>
          <w:rPr>
            <w:rStyle w:val="Hyperlink"/>
          </w:rPr>
          <w:t>birmingham.ac.uk/research/environment-culture/research-integrity</w:t>
        </w:r>
      </w:hyperlink>
      <w:r>
        <w:t xml:space="preserve"> (Accessed: 30-Jan-2025). </w:t>
      </w:r>
    </w:p>
    <w:p w14:paraId="1D7B5836" w14:textId="77777777" w:rsidR="00CB66C1" w:rsidRPr="00205993" w:rsidRDefault="00CB66C1" w:rsidP="00927836">
      <w:pPr>
        <w:pStyle w:val="References"/>
      </w:pPr>
      <w:r>
        <w:t xml:space="preserve">UoB. (no date) </w:t>
      </w:r>
      <w:r w:rsidRPr="00927836">
        <w:rPr>
          <w:i/>
          <w:iCs/>
        </w:rPr>
        <w:t xml:space="preserve">Research integrity, ethics </w:t>
      </w:r>
      <w:r>
        <w:rPr>
          <w:i/>
          <w:iCs/>
        </w:rPr>
        <w:t>&amp;</w:t>
      </w:r>
      <w:r w:rsidRPr="00927836">
        <w:rPr>
          <w:i/>
          <w:iCs/>
        </w:rPr>
        <w:t xml:space="preserve"> governance training</w:t>
      </w:r>
      <w:r>
        <w:rPr>
          <w:i/>
          <w:iCs/>
        </w:rPr>
        <w:t>.</w:t>
      </w:r>
      <w:r>
        <w:t xml:space="preserve"> Available at: </w:t>
      </w:r>
      <w:hyperlink r:id="rId89" w:tooltip="Research integrity, ethics &amp; governance training" w:history="1">
        <w:r>
          <w:rPr>
            <w:rStyle w:val="Hyperlink"/>
          </w:rPr>
          <w:t>bham.sharepoint.com/sites/rssd/SitePages/ethics-training.aspx</w:t>
        </w:r>
      </w:hyperlink>
      <w:r>
        <w:t xml:space="preserve"> (Accessed: 30-Jan-2025). </w:t>
      </w:r>
    </w:p>
    <w:p w14:paraId="1FF3DE5E" w14:textId="77777777" w:rsidR="00CB66C1" w:rsidRPr="00205993" w:rsidRDefault="00CB66C1" w:rsidP="00927836">
      <w:pPr>
        <w:pStyle w:val="References"/>
      </w:pPr>
      <w:r>
        <w:t xml:space="preserve">UoB. (no date) </w:t>
      </w:r>
      <w:r>
        <w:rPr>
          <w:i/>
          <w:iCs/>
        </w:rPr>
        <w:t>RSSD.</w:t>
      </w:r>
      <w:r>
        <w:t xml:space="preserve"> Available at: </w:t>
      </w:r>
      <w:hyperlink r:id="rId90" w:tooltip="RSSD" w:history="1">
        <w:r>
          <w:rPr>
            <w:rStyle w:val="Hyperlink"/>
          </w:rPr>
          <w:t>bham.sharepoint.com/sites/rssd/SitePages/home.aspx</w:t>
        </w:r>
      </w:hyperlink>
      <w:r>
        <w:t xml:space="preserve"> (Accessed: 30-Jan-2025). </w:t>
      </w:r>
    </w:p>
    <w:p w14:paraId="69A69250" w14:textId="77777777" w:rsidR="00CB66C1" w:rsidRDefault="00CB66C1" w:rsidP="00927836">
      <w:pPr>
        <w:pStyle w:val="References"/>
      </w:pPr>
      <w:r>
        <w:t xml:space="preserve">UoB. (no date) </w:t>
      </w:r>
      <w:r>
        <w:rPr>
          <w:i/>
          <w:iCs/>
        </w:rPr>
        <w:t>Worktribe</w:t>
      </w:r>
      <w:r>
        <w:t xml:space="preserve">. Available at: </w:t>
      </w:r>
      <w:hyperlink r:id="rId91" w:anchor="worktribe" w:tooltip="UoB Systems and Data - Worktribe" w:history="1">
        <w:r w:rsidRPr="006E70F1">
          <w:rPr>
            <w:rStyle w:val="Hyperlink"/>
          </w:rPr>
          <w:t>bham.sharepoint.com/sites/rssd/SitePages/systems-data.aspx#worktribe</w:t>
        </w:r>
      </w:hyperlink>
      <w:r>
        <w:t xml:space="preserve"> (Accessed: 30-Jan-2025)</w:t>
      </w:r>
    </w:p>
    <w:p w14:paraId="1A50672F" w14:textId="561DCDD0" w:rsidR="003C3654" w:rsidRDefault="00CB66C1" w:rsidP="00CB66C1">
      <w:pPr>
        <w:pStyle w:val="References"/>
        <w:rPr>
          <w:rFonts w:asciiTheme="minorHAnsi" w:hAnsiTheme="minorHAnsi" w:cstheme="minorHAnsi"/>
          <w:b/>
          <w:caps/>
          <w:color w:val="1F497D" w:themeColor="text2"/>
          <w:kern w:val="32"/>
          <w:sz w:val="28"/>
          <w:szCs w:val="28"/>
        </w:rPr>
      </w:pPr>
      <w:r>
        <w:t xml:space="preserve">WMRTC. (no date) </w:t>
      </w:r>
      <w:r w:rsidRPr="00CB66C1">
        <w:rPr>
          <w:i/>
          <w:iCs/>
        </w:rPr>
        <w:t>W</w:t>
      </w:r>
      <w:r>
        <w:rPr>
          <w:i/>
          <w:iCs/>
        </w:rPr>
        <w:t xml:space="preserve">MRTC </w:t>
      </w:r>
      <w:r w:rsidRPr="008C1D56">
        <w:rPr>
          <w:i/>
          <w:iCs/>
        </w:rPr>
        <w:t>Learning &amp; De</w:t>
      </w:r>
      <w:r>
        <w:rPr>
          <w:i/>
          <w:iCs/>
        </w:rPr>
        <w:t>velopment Resources.</w:t>
      </w:r>
      <w:r>
        <w:t xml:space="preserve"> Available at: </w:t>
      </w:r>
      <w:hyperlink r:id="rId92" w:tooltip="West Midlands Research Training Collaborative" w:history="1">
        <w:r w:rsidRPr="00794836">
          <w:rPr>
            <w:rStyle w:val="Hyperlink"/>
          </w:rPr>
          <w:t>wmrtc.org</w:t>
        </w:r>
      </w:hyperlink>
      <w:r>
        <w:t xml:space="preserve"> (Accessed: 30-Jan-2025). </w:t>
      </w:r>
      <w:r w:rsidR="003C3654">
        <w:br w:type="page"/>
      </w:r>
    </w:p>
    <w:p w14:paraId="1993426E" w14:textId="77777777" w:rsidR="00B10C05" w:rsidRDefault="00B10C05" w:rsidP="005F2DE3">
      <w:pPr>
        <w:pStyle w:val="Heading1"/>
      </w:pPr>
      <w:bookmarkStart w:id="70" w:name="_Ref166847223"/>
      <w:bookmarkStart w:id="71" w:name="_Toc189483986"/>
      <w:r w:rsidRPr="00522ABB">
        <w:lastRenderedPageBreak/>
        <w:t>Abbreviations</w:t>
      </w:r>
      <w:bookmarkEnd w:id="70"/>
      <w:bookmarkEnd w:id="71"/>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1413"/>
        <w:gridCol w:w="7604"/>
      </w:tblGrid>
      <w:tr w:rsidR="00CB66C1" w14:paraId="70660B13" w14:textId="77777777" w:rsidTr="00432B0E">
        <w:trPr>
          <w:cantSplit/>
        </w:trPr>
        <w:tc>
          <w:tcPr>
            <w:tcW w:w="1413" w:type="dxa"/>
          </w:tcPr>
          <w:p w14:paraId="2F2BCCE0" w14:textId="77777777" w:rsidR="00CB66C1" w:rsidRPr="001522D8" w:rsidRDefault="00CB66C1" w:rsidP="00A55C72">
            <w:r>
              <w:t>AWERB</w:t>
            </w:r>
          </w:p>
        </w:tc>
        <w:tc>
          <w:tcPr>
            <w:tcW w:w="7604" w:type="dxa"/>
          </w:tcPr>
          <w:p w14:paraId="3E5F7DB3" w14:textId="77777777" w:rsidR="00CB66C1" w:rsidRPr="001522D8" w:rsidRDefault="00CB66C1" w:rsidP="00A55C72">
            <w:r w:rsidRPr="00E077D7">
              <w:t>Animal Welfare and Ethical Review Body</w:t>
            </w:r>
          </w:p>
        </w:tc>
      </w:tr>
      <w:tr w:rsidR="00CB66C1" w14:paraId="5C53BB7A" w14:textId="77777777" w:rsidTr="00432B0E">
        <w:trPr>
          <w:cantSplit/>
        </w:trPr>
        <w:tc>
          <w:tcPr>
            <w:tcW w:w="1413" w:type="dxa"/>
          </w:tcPr>
          <w:p w14:paraId="15C3C9F2" w14:textId="77777777" w:rsidR="00CB66C1" w:rsidRPr="001522D8" w:rsidRDefault="00CB66C1" w:rsidP="00A55C72">
            <w:r w:rsidRPr="001522D8">
              <w:t>BCTU</w:t>
            </w:r>
          </w:p>
        </w:tc>
        <w:tc>
          <w:tcPr>
            <w:tcW w:w="7604" w:type="dxa"/>
          </w:tcPr>
          <w:p w14:paraId="13270E13" w14:textId="77777777" w:rsidR="00CB66C1" w:rsidRPr="001522D8" w:rsidRDefault="00CB66C1" w:rsidP="00A55C72">
            <w:r w:rsidRPr="001522D8">
              <w:t>Birmingham Clinical Trials Unit</w:t>
            </w:r>
          </w:p>
        </w:tc>
      </w:tr>
      <w:tr w:rsidR="00CB66C1" w14:paraId="2D7B236C" w14:textId="77777777" w:rsidTr="00432B0E">
        <w:trPr>
          <w:cantSplit/>
        </w:trPr>
        <w:tc>
          <w:tcPr>
            <w:tcW w:w="1413" w:type="dxa"/>
          </w:tcPr>
          <w:p w14:paraId="134C2997" w14:textId="77777777" w:rsidR="00CB66C1" w:rsidRPr="001522D8" w:rsidRDefault="00CB66C1" w:rsidP="00A55C72">
            <w:r w:rsidRPr="001522D8">
              <w:t>BHP</w:t>
            </w:r>
          </w:p>
        </w:tc>
        <w:tc>
          <w:tcPr>
            <w:tcW w:w="7604" w:type="dxa"/>
          </w:tcPr>
          <w:p w14:paraId="6BE43967" w14:textId="77777777" w:rsidR="00CB66C1" w:rsidRPr="001522D8" w:rsidRDefault="00CB66C1" w:rsidP="00A55C72">
            <w:r w:rsidRPr="001522D8">
              <w:t>Birmingham Health Partners</w:t>
            </w:r>
          </w:p>
        </w:tc>
      </w:tr>
      <w:tr w:rsidR="00CB66C1" w14:paraId="4ABF915A" w14:textId="77777777" w:rsidTr="00432B0E">
        <w:trPr>
          <w:cantSplit/>
        </w:trPr>
        <w:tc>
          <w:tcPr>
            <w:tcW w:w="1413" w:type="dxa"/>
          </w:tcPr>
          <w:p w14:paraId="680ABB93" w14:textId="77777777" w:rsidR="00CB66C1" w:rsidRPr="001522D8" w:rsidRDefault="00CB66C1" w:rsidP="00A55C72">
            <w:r w:rsidRPr="001522D8">
              <w:t>CI</w:t>
            </w:r>
          </w:p>
        </w:tc>
        <w:tc>
          <w:tcPr>
            <w:tcW w:w="7604" w:type="dxa"/>
          </w:tcPr>
          <w:p w14:paraId="7ECAF255" w14:textId="77777777" w:rsidR="00CB66C1" w:rsidRPr="001522D8" w:rsidRDefault="00CB66C1" w:rsidP="00AA1571">
            <w:r w:rsidRPr="001522D8">
              <w:t>Chief investigator</w:t>
            </w:r>
          </w:p>
        </w:tc>
      </w:tr>
      <w:tr w:rsidR="00CB66C1" w14:paraId="6A967619" w14:textId="77777777" w:rsidTr="00432B0E">
        <w:trPr>
          <w:cantSplit/>
        </w:trPr>
        <w:tc>
          <w:tcPr>
            <w:tcW w:w="1413" w:type="dxa"/>
          </w:tcPr>
          <w:p w14:paraId="323807E2" w14:textId="77777777" w:rsidR="00CB66C1" w:rsidRPr="001522D8" w:rsidRDefault="00CB66C1" w:rsidP="00A55C72">
            <w:r>
              <w:t>CMH</w:t>
            </w:r>
          </w:p>
        </w:tc>
        <w:tc>
          <w:tcPr>
            <w:tcW w:w="7604" w:type="dxa"/>
          </w:tcPr>
          <w:p w14:paraId="2A9328F1" w14:textId="77777777" w:rsidR="00CB66C1" w:rsidRPr="001522D8" w:rsidRDefault="00CB66C1" w:rsidP="00AA1571">
            <w:r>
              <w:t>College of Medicine and Health</w:t>
            </w:r>
          </w:p>
        </w:tc>
      </w:tr>
      <w:tr w:rsidR="00CB66C1" w14:paraId="1518FF6A" w14:textId="77777777" w:rsidTr="00432B0E">
        <w:trPr>
          <w:cantSplit/>
        </w:trPr>
        <w:tc>
          <w:tcPr>
            <w:tcW w:w="1413" w:type="dxa"/>
          </w:tcPr>
          <w:p w14:paraId="293D810A" w14:textId="77777777" w:rsidR="00CB66C1" w:rsidRPr="001522D8" w:rsidRDefault="00CB66C1" w:rsidP="00A55C72">
            <w:r w:rsidRPr="001522D8">
              <w:t>CRCT</w:t>
            </w:r>
          </w:p>
        </w:tc>
        <w:tc>
          <w:tcPr>
            <w:tcW w:w="7604" w:type="dxa"/>
          </w:tcPr>
          <w:p w14:paraId="378C1BF3" w14:textId="77777777" w:rsidR="00CB66C1" w:rsidRPr="001522D8" w:rsidRDefault="00CB66C1" w:rsidP="00A55C72">
            <w:r w:rsidRPr="001522D8">
              <w:t>Clinical Research Compliance Team</w:t>
            </w:r>
          </w:p>
        </w:tc>
      </w:tr>
      <w:tr w:rsidR="00CB66C1" w14:paraId="1CEDA603" w14:textId="77777777" w:rsidTr="00432B0E">
        <w:trPr>
          <w:cantSplit/>
        </w:trPr>
        <w:tc>
          <w:tcPr>
            <w:tcW w:w="1413" w:type="dxa"/>
          </w:tcPr>
          <w:p w14:paraId="7B0B3994" w14:textId="77777777" w:rsidR="00CB66C1" w:rsidRPr="001522D8" w:rsidRDefault="00CB66C1" w:rsidP="00A55C72">
            <w:r w:rsidRPr="001522D8">
              <w:t>CRCTU</w:t>
            </w:r>
          </w:p>
        </w:tc>
        <w:tc>
          <w:tcPr>
            <w:tcW w:w="7604" w:type="dxa"/>
          </w:tcPr>
          <w:p w14:paraId="78ACEC2E" w14:textId="77777777" w:rsidR="00CB66C1" w:rsidRPr="001522D8" w:rsidRDefault="00CB66C1" w:rsidP="00A55C72">
            <w:r w:rsidRPr="001522D8">
              <w:t>Cancer Research UK Clinical Trials Unit</w:t>
            </w:r>
          </w:p>
        </w:tc>
      </w:tr>
      <w:tr w:rsidR="00CB66C1" w14:paraId="73F1E7D9" w14:textId="77777777" w:rsidTr="00432B0E">
        <w:trPr>
          <w:cantSplit/>
        </w:trPr>
        <w:tc>
          <w:tcPr>
            <w:tcW w:w="1413" w:type="dxa"/>
          </w:tcPr>
          <w:p w14:paraId="640679F5" w14:textId="77777777" w:rsidR="00CB66C1" w:rsidRPr="001522D8" w:rsidRDefault="00CB66C1" w:rsidP="00AA1571">
            <w:r w:rsidRPr="001522D8">
              <w:t>CTIMP</w:t>
            </w:r>
          </w:p>
        </w:tc>
        <w:tc>
          <w:tcPr>
            <w:tcW w:w="7604" w:type="dxa"/>
          </w:tcPr>
          <w:p w14:paraId="6781A709" w14:textId="77777777" w:rsidR="00CB66C1" w:rsidRPr="001522D8" w:rsidRDefault="00CB66C1" w:rsidP="00AA1571">
            <w:r w:rsidRPr="001522D8">
              <w:t>Clinical trial of an investigational medicinal product</w:t>
            </w:r>
          </w:p>
        </w:tc>
      </w:tr>
      <w:tr w:rsidR="00CB66C1" w14:paraId="1D412C82" w14:textId="77777777" w:rsidTr="00432B0E">
        <w:trPr>
          <w:cantSplit/>
        </w:trPr>
        <w:tc>
          <w:tcPr>
            <w:tcW w:w="1413" w:type="dxa"/>
          </w:tcPr>
          <w:p w14:paraId="22585909" w14:textId="77777777" w:rsidR="00CB66C1" w:rsidRPr="001522D8" w:rsidRDefault="00CB66C1" w:rsidP="00AA1571">
            <w:r w:rsidRPr="001522D8">
              <w:t>CTOC</w:t>
            </w:r>
          </w:p>
        </w:tc>
        <w:tc>
          <w:tcPr>
            <w:tcW w:w="7604" w:type="dxa"/>
          </w:tcPr>
          <w:p w14:paraId="325C62A5" w14:textId="77777777" w:rsidR="00CB66C1" w:rsidRPr="001522D8" w:rsidRDefault="00CB66C1" w:rsidP="00AA1571">
            <w:r w:rsidRPr="001522D8">
              <w:t>Clinical Trials Oversight Committee</w:t>
            </w:r>
          </w:p>
        </w:tc>
      </w:tr>
      <w:tr w:rsidR="00CB66C1" w14:paraId="37FE0D0F" w14:textId="77777777" w:rsidTr="00432B0E">
        <w:trPr>
          <w:cantSplit/>
          <w:trHeight w:val="70"/>
        </w:trPr>
        <w:tc>
          <w:tcPr>
            <w:tcW w:w="1413" w:type="dxa"/>
          </w:tcPr>
          <w:p w14:paraId="68554586" w14:textId="77777777" w:rsidR="00CB66C1" w:rsidRPr="001522D8" w:rsidRDefault="00CB66C1" w:rsidP="00AA1571">
            <w:r w:rsidRPr="001522D8">
              <w:t>CTU</w:t>
            </w:r>
          </w:p>
        </w:tc>
        <w:tc>
          <w:tcPr>
            <w:tcW w:w="7604" w:type="dxa"/>
          </w:tcPr>
          <w:p w14:paraId="2A591EC4" w14:textId="77777777" w:rsidR="00CB66C1" w:rsidRPr="001522D8" w:rsidRDefault="00CB66C1" w:rsidP="00AA1571">
            <w:pPr>
              <w:rPr>
                <w:rFonts w:asciiTheme="minorHAnsi" w:hAnsiTheme="minorHAnsi"/>
              </w:rPr>
            </w:pPr>
            <w:r w:rsidRPr="001522D8">
              <w:rPr>
                <w:rFonts w:asciiTheme="minorHAnsi" w:hAnsiTheme="minorHAnsi"/>
              </w:rPr>
              <w:t>Clinical trials unit</w:t>
            </w:r>
          </w:p>
        </w:tc>
      </w:tr>
      <w:tr w:rsidR="00CB66C1" w14:paraId="78EA3E26" w14:textId="77777777" w:rsidTr="00432B0E">
        <w:trPr>
          <w:cantSplit/>
          <w:trHeight w:val="70"/>
        </w:trPr>
        <w:tc>
          <w:tcPr>
            <w:tcW w:w="1413" w:type="dxa"/>
          </w:tcPr>
          <w:p w14:paraId="2847D9B5" w14:textId="77777777" w:rsidR="00CB66C1" w:rsidRPr="00EF52A7" w:rsidRDefault="00CB66C1" w:rsidP="00EF52A7">
            <w:r w:rsidRPr="001522D8">
              <w:t>DRTB</w:t>
            </w:r>
          </w:p>
        </w:tc>
        <w:tc>
          <w:tcPr>
            <w:tcW w:w="7604" w:type="dxa"/>
          </w:tcPr>
          <w:p w14:paraId="6777C5C0" w14:textId="77777777" w:rsidR="00CB66C1" w:rsidRPr="00EF52A7" w:rsidRDefault="00CB66C1" w:rsidP="00EF52A7">
            <w:pPr>
              <w:rPr>
                <w:rFonts w:asciiTheme="minorHAnsi" w:hAnsiTheme="minorHAnsi"/>
              </w:rPr>
            </w:pPr>
            <w:r w:rsidRPr="001522D8">
              <w:t>Dental Research Tissue Bank</w:t>
            </w:r>
          </w:p>
        </w:tc>
      </w:tr>
      <w:tr w:rsidR="00D26AE3" w14:paraId="1E22BB20" w14:textId="77777777" w:rsidTr="00B44A80">
        <w:trPr>
          <w:cantSplit/>
          <w:trHeight w:val="70"/>
        </w:trPr>
        <w:tc>
          <w:tcPr>
            <w:tcW w:w="1413" w:type="dxa"/>
            <w:vAlign w:val="center"/>
          </w:tcPr>
          <w:p w14:paraId="4D5F2B1E" w14:textId="77777777" w:rsidR="00D26AE3" w:rsidRPr="001522D8" w:rsidRDefault="00D26AE3" w:rsidP="00D26AE3">
            <w:r w:rsidRPr="001522D8">
              <w:t>GCP</w:t>
            </w:r>
          </w:p>
        </w:tc>
        <w:tc>
          <w:tcPr>
            <w:tcW w:w="7604" w:type="dxa"/>
            <w:vAlign w:val="center"/>
          </w:tcPr>
          <w:p w14:paraId="57060CB7" w14:textId="77777777" w:rsidR="00D26AE3" w:rsidRPr="001522D8" w:rsidRDefault="00D26AE3" w:rsidP="00D26AE3">
            <w:pPr>
              <w:rPr>
                <w:color w:val="222222"/>
              </w:rPr>
            </w:pPr>
            <w:r w:rsidRPr="001522D8">
              <w:t>Good Clinical Practice</w:t>
            </w:r>
          </w:p>
        </w:tc>
      </w:tr>
      <w:tr w:rsidR="00D26AE3" w14:paraId="60EC2A51" w14:textId="77777777" w:rsidTr="00B44A80">
        <w:trPr>
          <w:cantSplit/>
          <w:trHeight w:val="70"/>
        </w:trPr>
        <w:tc>
          <w:tcPr>
            <w:tcW w:w="1413" w:type="dxa"/>
            <w:vAlign w:val="center"/>
          </w:tcPr>
          <w:p w14:paraId="35716AA8" w14:textId="77777777" w:rsidR="00D26AE3" w:rsidRPr="001522D8" w:rsidRDefault="00D26AE3" w:rsidP="00D26AE3">
            <w:r>
              <w:t>GDPR</w:t>
            </w:r>
          </w:p>
        </w:tc>
        <w:tc>
          <w:tcPr>
            <w:tcW w:w="7604" w:type="dxa"/>
            <w:vAlign w:val="center"/>
          </w:tcPr>
          <w:p w14:paraId="5B157311" w14:textId="77777777" w:rsidR="00D26AE3" w:rsidRPr="001522D8" w:rsidRDefault="00D26AE3" w:rsidP="00D26AE3">
            <w:r w:rsidRPr="008C1D56">
              <w:t>General Data Protection Regulation</w:t>
            </w:r>
          </w:p>
        </w:tc>
      </w:tr>
      <w:tr w:rsidR="00D26AE3" w14:paraId="1185F562" w14:textId="77777777" w:rsidTr="00B44A80">
        <w:trPr>
          <w:cantSplit/>
          <w:trHeight w:val="70"/>
        </w:trPr>
        <w:tc>
          <w:tcPr>
            <w:tcW w:w="1413" w:type="dxa"/>
            <w:vAlign w:val="center"/>
          </w:tcPr>
          <w:p w14:paraId="5F2048C7" w14:textId="77777777" w:rsidR="00D26AE3" w:rsidRPr="001522D8" w:rsidRDefault="00D26AE3" w:rsidP="00D26AE3">
            <w:r w:rsidRPr="001522D8">
              <w:t>GMP</w:t>
            </w:r>
          </w:p>
        </w:tc>
        <w:tc>
          <w:tcPr>
            <w:tcW w:w="7604" w:type="dxa"/>
            <w:vAlign w:val="center"/>
          </w:tcPr>
          <w:p w14:paraId="7494F4F3" w14:textId="77777777" w:rsidR="00D26AE3" w:rsidRPr="001522D8" w:rsidRDefault="00D26AE3" w:rsidP="00D26AE3">
            <w:pPr>
              <w:rPr>
                <w:color w:val="222222"/>
              </w:rPr>
            </w:pPr>
            <w:r w:rsidRPr="001522D8">
              <w:t xml:space="preserve">Good Manufacturing Practice </w:t>
            </w:r>
          </w:p>
        </w:tc>
      </w:tr>
      <w:tr w:rsidR="00D26AE3" w14:paraId="4B9FA813" w14:textId="77777777" w:rsidTr="00B44A80">
        <w:trPr>
          <w:cantSplit/>
          <w:trHeight w:val="70"/>
        </w:trPr>
        <w:tc>
          <w:tcPr>
            <w:tcW w:w="1413" w:type="dxa"/>
            <w:vAlign w:val="center"/>
          </w:tcPr>
          <w:p w14:paraId="5B2361AE" w14:textId="77777777" w:rsidR="00D26AE3" w:rsidRPr="001522D8" w:rsidRDefault="00D26AE3" w:rsidP="00D26AE3">
            <w:r>
              <w:t>HaSS</w:t>
            </w:r>
          </w:p>
        </w:tc>
        <w:tc>
          <w:tcPr>
            <w:tcW w:w="7604" w:type="dxa"/>
            <w:vAlign w:val="center"/>
          </w:tcPr>
          <w:p w14:paraId="77672913" w14:textId="77777777" w:rsidR="00D26AE3" w:rsidRPr="001522D8" w:rsidRDefault="00D26AE3" w:rsidP="00D26AE3">
            <w:r w:rsidRPr="00E077D7">
              <w:t>Humanities and Social Sciences</w:t>
            </w:r>
          </w:p>
        </w:tc>
      </w:tr>
      <w:tr w:rsidR="00D26AE3" w14:paraId="35B45868" w14:textId="77777777" w:rsidTr="00B44A80">
        <w:trPr>
          <w:cantSplit/>
          <w:trHeight w:val="70"/>
        </w:trPr>
        <w:tc>
          <w:tcPr>
            <w:tcW w:w="1413" w:type="dxa"/>
            <w:vAlign w:val="center"/>
          </w:tcPr>
          <w:p w14:paraId="46FFC994" w14:textId="77777777" w:rsidR="00D26AE3" w:rsidRPr="001522D8" w:rsidRDefault="00D26AE3" w:rsidP="00D26AE3">
            <w:r w:rsidRPr="001522D8">
              <w:t>HBRC</w:t>
            </w:r>
          </w:p>
        </w:tc>
        <w:tc>
          <w:tcPr>
            <w:tcW w:w="7604" w:type="dxa"/>
            <w:vAlign w:val="center"/>
          </w:tcPr>
          <w:p w14:paraId="5DE50316" w14:textId="77777777" w:rsidR="00D26AE3" w:rsidRPr="001522D8" w:rsidRDefault="00D26AE3" w:rsidP="00D26AE3">
            <w:pPr>
              <w:rPr>
                <w:color w:val="222222"/>
              </w:rPr>
            </w:pPr>
            <w:r w:rsidRPr="001522D8">
              <w:t>Human Biomaterial Resource Centre</w:t>
            </w:r>
          </w:p>
        </w:tc>
      </w:tr>
      <w:tr w:rsidR="00D26AE3" w14:paraId="0F7B1E62" w14:textId="77777777" w:rsidTr="00B44A80">
        <w:trPr>
          <w:cantSplit/>
          <w:trHeight w:val="70"/>
        </w:trPr>
        <w:tc>
          <w:tcPr>
            <w:tcW w:w="1413" w:type="dxa"/>
            <w:vAlign w:val="center"/>
          </w:tcPr>
          <w:p w14:paraId="62B05975" w14:textId="77777777" w:rsidR="00D26AE3" w:rsidRPr="001522D8" w:rsidRDefault="00D26AE3" w:rsidP="00D26AE3">
            <w:r w:rsidRPr="001522D8">
              <w:t>HRA</w:t>
            </w:r>
          </w:p>
        </w:tc>
        <w:tc>
          <w:tcPr>
            <w:tcW w:w="7604" w:type="dxa"/>
            <w:vAlign w:val="center"/>
          </w:tcPr>
          <w:p w14:paraId="2264C8E1" w14:textId="77777777" w:rsidR="00D26AE3" w:rsidRPr="001522D8" w:rsidRDefault="00D26AE3" w:rsidP="00D26AE3">
            <w:pPr>
              <w:rPr>
                <w:color w:val="222222"/>
              </w:rPr>
            </w:pPr>
            <w:r w:rsidRPr="001522D8">
              <w:t>Health Research Authority</w:t>
            </w:r>
          </w:p>
        </w:tc>
      </w:tr>
      <w:tr w:rsidR="00D26AE3" w14:paraId="205741E4" w14:textId="77777777" w:rsidTr="00B44A80">
        <w:trPr>
          <w:cantSplit/>
          <w:trHeight w:val="70"/>
        </w:trPr>
        <w:tc>
          <w:tcPr>
            <w:tcW w:w="1413" w:type="dxa"/>
            <w:vAlign w:val="center"/>
          </w:tcPr>
          <w:p w14:paraId="01494363" w14:textId="77777777" w:rsidR="00D26AE3" w:rsidRPr="001522D8" w:rsidRDefault="00D26AE3" w:rsidP="00D26AE3">
            <w:r w:rsidRPr="001522D8">
              <w:t>HTA</w:t>
            </w:r>
          </w:p>
        </w:tc>
        <w:tc>
          <w:tcPr>
            <w:tcW w:w="7604" w:type="dxa"/>
            <w:vAlign w:val="center"/>
          </w:tcPr>
          <w:p w14:paraId="72AADFC3" w14:textId="77777777" w:rsidR="00D26AE3" w:rsidRPr="001522D8" w:rsidRDefault="00D26AE3" w:rsidP="00D26AE3">
            <w:pPr>
              <w:rPr>
                <w:color w:val="222222"/>
              </w:rPr>
            </w:pPr>
            <w:r w:rsidRPr="001522D8">
              <w:t>Human Tissue Authority</w:t>
            </w:r>
          </w:p>
        </w:tc>
      </w:tr>
      <w:tr w:rsidR="00D26AE3" w14:paraId="65BD8CAE" w14:textId="77777777" w:rsidTr="00B44A80">
        <w:trPr>
          <w:cantSplit/>
          <w:trHeight w:val="70"/>
        </w:trPr>
        <w:tc>
          <w:tcPr>
            <w:tcW w:w="1413" w:type="dxa"/>
            <w:vAlign w:val="center"/>
          </w:tcPr>
          <w:p w14:paraId="4E878532" w14:textId="77777777" w:rsidR="00D26AE3" w:rsidRPr="001522D8" w:rsidRDefault="00D26AE3" w:rsidP="00D26AE3">
            <w:r w:rsidRPr="001522D8">
              <w:t>HTOC</w:t>
            </w:r>
          </w:p>
        </w:tc>
        <w:tc>
          <w:tcPr>
            <w:tcW w:w="7604" w:type="dxa"/>
            <w:vAlign w:val="center"/>
          </w:tcPr>
          <w:p w14:paraId="400D9FF0" w14:textId="77777777" w:rsidR="00D26AE3" w:rsidRPr="001522D8" w:rsidRDefault="00D26AE3" w:rsidP="00D26AE3">
            <w:pPr>
              <w:rPr>
                <w:color w:val="222222"/>
              </w:rPr>
            </w:pPr>
            <w:r w:rsidRPr="001522D8">
              <w:t>Human Tissue Oversight Committee</w:t>
            </w:r>
          </w:p>
        </w:tc>
      </w:tr>
      <w:tr w:rsidR="00D26AE3" w14:paraId="0114E3DF" w14:textId="77777777" w:rsidTr="00B44A80">
        <w:trPr>
          <w:cantSplit/>
          <w:trHeight w:val="70"/>
        </w:trPr>
        <w:tc>
          <w:tcPr>
            <w:tcW w:w="1413" w:type="dxa"/>
            <w:vAlign w:val="center"/>
          </w:tcPr>
          <w:p w14:paraId="33CAEEE4" w14:textId="77777777" w:rsidR="00D26AE3" w:rsidRPr="001522D8" w:rsidRDefault="00D26AE3" w:rsidP="00D26AE3">
            <w:r w:rsidRPr="001522D8">
              <w:t>ICH</w:t>
            </w:r>
          </w:p>
        </w:tc>
        <w:tc>
          <w:tcPr>
            <w:tcW w:w="7604" w:type="dxa"/>
            <w:vAlign w:val="center"/>
          </w:tcPr>
          <w:p w14:paraId="0B3B6817" w14:textId="77777777" w:rsidR="00D26AE3" w:rsidRPr="001522D8" w:rsidRDefault="00D26AE3" w:rsidP="00D26AE3">
            <w:pPr>
              <w:rPr>
                <w:color w:val="222222"/>
              </w:rPr>
            </w:pPr>
            <w:r w:rsidRPr="001522D8">
              <w:t>International Council on Harmonisation</w:t>
            </w:r>
          </w:p>
        </w:tc>
      </w:tr>
      <w:tr w:rsidR="00D26AE3" w14:paraId="014DA94C" w14:textId="77777777" w:rsidTr="00B44A80">
        <w:trPr>
          <w:cantSplit/>
          <w:trHeight w:val="70"/>
        </w:trPr>
        <w:tc>
          <w:tcPr>
            <w:tcW w:w="1413" w:type="dxa"/>
            <w:vAlign w:val="center"/>
          </w:tcPr>
          <w:p w14:paraId="19768741" w14:textId="77777777" w:rsidR="00D26AE3" w:rsidRPr="001522D8" w:rsidRDefault="00D26AE3" w:rsidP="00D26AE3">
            <w:r w:rsidRPr="001522D8">
              <w:t>IMP</w:t>
            </w:r>
          </w:p>
        </w:tc>
        <w:tc>
          <w:tcPr>
            <w:tcW w:w="7604" w:type="dxa"/>
            <w:vAlign w:val="center"/>
          </w:tcPr>
          <w:p w14:paraId="732F86A7" w14:textId="77777777" w:rsidR="00D26AE3" w:rsidRPr="001522D8" w:rsidRDefault="00D26AE3" w:rsidP="00D26AE3">
            <w:r w:rsidRPr="001522D8">
              <w:t>Investigational medicinal product</w:t>
            </w:r>
          </w:p>
        </w:tc>
      </w:tr>
      <w:tr w:rsidR="00D26AE3" w14:paraId="01A83EF8" w14:textId="77777777" w:rsidTr="00B44A80">
        <w:trPr>
          <w:cantSplit/>
          <w:trHeight w:val="70"/>
        </w:trPr>
        <w:tc>
          <w:tcPr>
            <w:tcW w:w="1413" w:type="dxa"/>
            <w:vAlign w:val="center"/>
          </w:tcPr>
          <w:p w14:paraId="1B6484C8" w14:textId="77777777" w:rsidR="00D26AE3" w:rsidRPr="001522D8" w:rsidRDefault="00D26AE3" w:rsidP="00D26AE3">
            <w:r>
              <w:t>ISO</w:t>
            </w:r>
          </w:p>
        </w:tc>
        <w:tc>
          <w:tcPr>
            <w:tcW w:w="7604" w:type="dxa"/>
            <w:vAlign w:val="center"/>
          </w:tcPr>
          <w:p w14:paraId="7A469AA9" w14:textId="77777777" w:rsidR="00D26AE3" w:rsidRPr="001522D8" w:rsidRDefault="00D26AE3" w:rsidP="00D26AE3">
            <w:r w:rsidRPr="008C1D56">
              <w:t>International Organisation for Standardisation</w:t>
            </w:r>
          </w:p>
        </w:tc>
      </w:tr>
      <w:tr w:rsidR="00D26AE3" w14:paraId="1F790FFC" w14:textId="77777777" w:rsidTr="00B44A80">
        <w:trPr>
          <w:cantSplit/>
          <w:trHeight w:val="70"/>
        </w:trPr>
        <w:tc>
          <w:tcPr>
            <w:tcW w:w="1413" w:type="dxa"/>
            <w:vAlign w:val="center"/>
          </w:tcPr>
          <w:p w14:paraId="2E846BD0" w14:textId="77777777" w:rsidR="00D26AE3" w:rsidRPr="001522D8" w:rsidRDefault="00D26AE3" w:rsidP="00D26AE3">
            <w:r w:rsidRPr="001522D8">
              <w:t>LAL</w:t>
            </w:r>
          </w:p>
        </w:tc>
        <w:tc>
          <w:tcPr>
            <w:tcW w:w="7604" w:type="dxa"/>
            <w:vAlign w:val="center"/>
          </w:tcPr>
          <w:p w14:paraId="2928DB7D" w14:textId="77777777" w:rsidR="00D26AE3" w:rsidRPr="001522D8" w:rsidRDefault="00D26AE3" w:rsidP="00D26AE3">
            <w:pPr>
              <w:rPr>
                <w:color w:val="222222"/>
              </w:rPr>
            </w:pPr>
            <w:r w:rsidRPr="001522D8">
              <w:t>Laboratory academic lead</w:t>
            </w:r>
          </w:p>
        </w:tc>
      </w:tr>
      <w:tr w:rsidR="00D26AE3" w14:paraId="3C7A3201" w14:textId="77777777" w:rsidTr="00B44A80">
        <w:trPr>
          <w:cantSplit/>
          <w:trHeight w:val="70"/>
        </w:trPr>
        <w:tc>
          <w:tcPr>
            <w:tcW w:w="1413" w:type="dxa"/>
            <w:vAlign w:val="center"/>
          </w:tcPr>
          <w:p w14:paraId="0266EFE9" w14:textId="77777777" w:rsidR="00D26AE3" w:rsidRPr="001522D8" w:rsidRDefault="00D26AE3" w:rsidP="00D26AE3">
            <w:r w:rsidRPr="001522D8">
              <w:t>LES</w:t>
            </w:r>
          </w:p>
        </w:tc>
        <w:tc>
          <w:tcPr>
            <w:tcW w:w="7604" w:type="dxa"/>
            <w:vAlign w:val="center"/>
          </w:tcPr>
          <w:p w14:paraId="420E5FB3" w14:textId="77777777" w:rsidR="00D26AE3" w:rsidRPr="001522D8" w:rsidRDefault="00D26AE3" w:rsidP="00D26AE3">
            <w:r w:rsidRPr="001522D8">
              <w:t>College of Life and Environmental Sciences</w:t>
            </w:r>
          </w:p>
        </w:tc>
      </w:tr>
      <w:tr w:rsidR="00D26AE3" w14:paraId="7B3C5033" w14:textId="77777777" w:rsidTr="00B44A80">
        <w:trPr>
          <w:cantSplit/>
          <w:trHeight w:val="70"/>
        </w:trPr>
        <w:tc>
          <w:tcPr>
            <w:tcW w:w="1413" w:type="dxa"/>
            <w:vAlign w:val="center"/>
          </w:tcPr>
          <w:p w14:paraId="36DD2C9A" w14:textId="77777777" w:rsidR="00D26AE3" w:rsidRPr="001522D8" w:rsidRDefault="00D26AE3" w:rsidP="00D26AE3">
            <w:r w:rsidRPr="001522D8">
              <w:t>MHRA</w:t>
            </w:r>
          </w:p>
        </w:tc>
        <w:tc>
          <w:tcPr>
            <w:tcW w:w="7604" w:type="dxa"/>
            <w:vAlign w:val="center"/>
          </w:tcPr>
          <w:p w14:paraId="5E04DA6C" w14:textId="77777777" w:rsidR="00D26AE3" w:rsidRPr="001522D8" w:rsidRDefault="00D26AE3" w:rsidP="00D26AE3">
            <w:r w:rsidRPr="001522D8">
              <w:t>Medicines and Healthcare products Regulatory Agency</w:t>
            </w:r>
          </w:p>
        </w:tc>
      </w:tr>
      <w:tr w:rsidR="00D26AE3" w14:paraId="033A9428" w14:textId="77777777" w:rsidTr="00B44A80">
        <w:trPr>
          <w:cantSplit/>
          <w:trHeight w:val="70"/>
        </w:trPr>
        <w:tc>
          <w:tcPr>
            <w:tcW w:w="1413" w:type="dxa"/>
            <w:vAlign w:val="center"/>
          </w:tcPr>
          <w:p w14:paraId="53DDB51A" w14:textId="77777777" w:rsidR="00D26AE3" w:rsidRPr="001522D8" w:rsidRDefault="00D26AE3" w:rsidP="00D26AE3">
            <w:r w:rsidRPr="001522D8">
              <w:t>MMF</w:t>
            </w:r>
          </w:p>
        </w:tc>
        <w:tc>
          <w:tcPr>
            <w:tcW w:w="7604" w:type="dxa"/>
            <w:vAlign w:val="center"/>
          </w:tcPr>
          <w:p w14:paraId="7B799AF5" w14:textId="77777777" w:rsidR="00D26AE3" w:rsidRPr="001522D8" w:rsidRDefault="00D26AE3" w:rsidP="00D26AE3">
            <w:r w:rsidRPr="001522D8">
              <w:t>Medicines Manufacturing Facility</w:t>
            </w:r>
          </w:p>
        </w:tc>
      </w:tr>
      <w:tr w:rsidR="00D26AE3" w14:paraId="6AFBD384" w14:textId="77777777" w:rsidTr="00B44A80">
        <w:trPr>
          <w:cantSplit/>
          <w:trHeight w:val="70"/>
        </w:trPr>
        <w:tc>
          <w:tcPr>
            <w:tcW w:w="1413" w:type="dxa"/>
            <w:vAlign w:val="center"/>
          </w:tcPr>
          <w:p w14:paraId="79526C6A" w14:textId="77777777" w:rsidR="00D26AE3" w:rsidRPr="001522D8" w:rsidRDefault="00D26AE3" w:rsidP="00D26AE3">
            <w:r w:rsidRPr="001522D8">
              <w:t>MRC</w:t>
            </w:r>
          </w:p>
        </w:tc>
        <w:tc>
          <w:tcPr>
            <w:tcW w:w="7604" w:type="dxa"/>
            <w:vAlign w:val="center"/>
          </w:tcPr>
          <w:p w14:paraId="6A160CF4" w14:textId="77777777" w:rsidR="00D26AE3" w:rsidRPr="001522D8" w:rsidRDefault="00D26AE3" w:rsidP="00D26AE3">
            <w:r w:rsidRPr="001522D8">
              <w:t>Medical Research Council</w:t>
            </w:r>
          </w:p>
        </w:tc>
      </w:tr>
      <w:tr w:rsidR="00D26AE3" w14:paraId="3967B749" w14:textId="77777777" w:rsidTr="00B44A80">
        <w:trPr>
          <w:cantSplit/>
          <w:trHeight w:val="70"/>
        </w:trPr>
        <w:tc>
          <w:tcPr>
            <w:tcW w:w="1413" w:type="dxa"/>
            <w:vAlign w:val="center"/>
          </w:tcPr>
          <w:p w14:paraId="59EE57DA" w14:textId="77777777" w:rsidR="00D26AE3" w:rsidRPr="001522D8" w:rsidRDefault="00D26AE3" w:rsidP="00D26AE3">
            <w:r>
              <w:t>MTA</w:t>
            </w:r>
          </w:p>
        </w:tc>
        <w:tc>
          <w:tcPr>
            <w:tcW w:w="7604" w:type="dxa"/>
            <w:vAlign w:val="center"/>
          </w:tcPr>
          <w:p w14:paraId="27AD2B6D" w14:textId="77777777" w:rsidR="00D26AE3" w:rsidRPr="001522D8" w:rsidRDefault="00D26AE3" w:rsidP="00D26AE3">
            <w:r>
              <w:t>Material transfer agreement</w:t>
            </w:r>
          </w:p>
        </w:tc>
      </w:tr>
      <w:tr w:rsidR="00D26AE3" w14:paraId="79AEF521" w14:textId="77777777" w:rsidTr="00B44A80">
        <w:trPr>
          <w:cantSplit/>
          <w:trHeight w:val="70"/>
        </w:trPr>
        <w:tc>
          <w:tcPr>
            <w:tcW w:w="1413" w:type="dxa"/>
            <w:vAlign w:val="center"/>
          </w:tcPr>
          <w:p w14:paraId="5AEF3852" w14:textId="77777777" w:rsidR="00D26AE3" w:rsidRPr="001522D8" w:rsidRDefault="00D26AE3" w:rsidP="00D26AE3">
            <w:r w:rsidRPr="001522D8">
              <w:t>NIHR</w:t>
            </w:r>
          </w:p>
        </w:tc>
        <w:tc>
          <w:tcPr>
            <w:tcW w:w="7604" w:type="dxa"/>
            <w:vAlign w:val="center"/>
          </w:tcPr>
          <w:p w14:paraId="26508299" w14:textId="77777777" w:rsidR="00D26AE3" w:rsidRPr="001522D8" w:rsidRDefault="00D26AE3" w:rsidP="00D26AE3">
            <w:r w:rsidRPr="001522D8">
              <w:t>National Institute for Health Research</w:t>
            </w:r>
          </w:p>
        </w:tc>
      </w:tr>
      <w:tr w:rsidR="00D26AE3" w14:paraId="0EDB0133" w14:textId="77777777" w:rsidTr="00B44A80">
        <w:trPr>
          <w:cantSplit/>
          <w:trHeight w:val="70"/>
        </w:trPr>
        <w:tc>
          <w:tcPr>
            <w:tcW w:w="1413" w:type="dxa"/>
            <w:vAlign w:val="center"/>
          </w:tcPr>
          <w:p w14:paraId="47FEF31E" w14:textId="77777777" w:rsidR="00D26AE3" w:rsidRPr="001522D8" w:rsidRDefault="00D26AE3" w:rsidP="00D26AE3">
            <w:r>
              <w:t>OID</w:t>
            </w:r>
          </w:p>
        </w:tc>
        <w:tc>
          <w:tcPr>
            <w:tcW w:w="7604" w:type="dxa"/>
            <w:vAlign w:val="center"/>
          </w:tcPr>
          <w:p w14:paraId="1AC190C1" w14:textId="77777777" w:rsidR="00D26AE3" w:rsidRPr="001522D8" w:rsidRDefault="00D26AE3" w:rsidP="00D26AE3">
            <w:r>
              <w:t>Organisation information document</w:t>
            </w:r>
          </w:p>
        </w:tc>
      </w:tr>
      <w:tr w:rsidR="00D26AE3" w14:paraId="40248134" w14:textId="77777777" w:rsidTr="00B44A80">
        <w:trPr>
          <w:cantSplit/>
          <w:trHeight w:val="70"/>
        </w:trPr>
        <w:tc>
          <w:tcPr>
            <w:tcW w:w="1413" w:type="dxa"/>
            <w:vAlign w:val="center"/>
          </w:tcPr>
          <w:p w14:paraId="02C9C724" w14:textId="77777777" w:rsidR="00D26AE3" w:rsidRPr="001522D8" w:rsidRDefault="00D26AE3" w:rsidP="00D26AE3">
            <w:r w:rsidRPr="001522D8">
              <w:t>PI</w:t>
            </w:r>
          </w:p>
        </w:tc>
        <w:tc>
          <w:tcPr>
            <w:tcW w:w="7604" w:type="dxa"/>
            <w:vAlign w:val="center"/>
          </w:tcPr>
          <w:p w14:paraId="11E959BE" w14:textId="77777777" w:rsidR="00D26AE3" w:rsidRPr="001522D8" w:rsidRDefault="00D26AE3" w:rsidP="00D26AE3">
            <w:r w:rsidRPr="001522D8">
              <w:t xml:space="preserve">Principal investigator </w:t>
            </w:r>
          </w:p>
        </w:tc>
      </w:tr>
      <w:tr w:rsidR="00D26AE3" w14:paraId="09CF7EBA" w14:textId="77777777" w:rsidTr="00B44A80">
        <w:trPr>
          <w:cantSplit/>
          <w:trHeight w:val="70"/>
        </w:trPr>
        <w:tc>
          <w:tcPr>
            <w:tcW w:w="1413" w:type="dxa"/>
            <w:vAlign w:val="center"/>
          </w:tcPr>
          <w:p w14:paraId="537D74B1" w14:textId="77777777" w:rsidR="00D26AE3" w:rsidRPr="001522D8" w:rsidRDefault="00D26AE3" w:rsidP="00D26AE3">
            <w:r w:rsidRPr="001522D8">
              <w:t>QCD</w:t>
            </w:r>
          </w:p>
        </w:tc>
        <w:tc>
          <w:tcPr>
            <w:tcW w:w="7604" w:type="dxa"/>
            <w:vAlign w:val="center"/>
          </w:tcPr>
          <w:p w14:paraId="0EF28B1D" w14:textId="77777777" w:rsidR="00D26AE3" w:rsidRPr="001522D8" w:rsidRDefault="00D26AE3" w:rsidP="00D26AE3">
            <w:r w:rsidRPr="001522D8">
              <w:t>Quality control document</w:t>
            </w:r>
          </w:p>
        </w:tc>
      </w:tr>
      <w:tr w:rsidR="00D26AE3" w14:paraId="466AE97B" w14:textId="77777777" w:rsidTr="00B44A80">
        <w:trPr>
          <w:cantSplit/>
          <w:trHeight w:val="70"/>
        </w:trPr>
        <w:tc>
          <w:tcPr>
            <w:tcW w:w="1413" w:type="dxa"/>
            <w:vAlign w:val="center"/>
          </w:tcPr>
          <w:p w14:paraId="783D58F8" w14:textId="77777777" w:rsidR="00D26AE3" w:rsidRPr="001522D8" w:rsidRDefault="00D26AE3" w:rsidP="00D26AE3">
            <w:r w:rsidRPr="001522D8">
              <w:t>QMS</w:t>
            </w:r>
          </w:p>
        </w:tc>
        <w:tc>
          <w:tcPr>
            <w:tcW w:w="7604" w:type="dxa"/>
            <w:vAlign w:val="center"/>
          </w:tcPr>
          <w:p w14:paraId="648B1329" w14:textId="77777777" w:rsidR="00D26AE3" w:rsidRPr="001522D8" w:rsidRDefault="00D26AE3" w:rsidP="00D26AE3">
            <w:r w:rsidRPr="001522D8">
              <w:t>Quality management system</w:t>
            </w:r>
          </w:p>
        </w:tc>
      </w:tr>
      <w:tr w:rsidR="00D26AE3" w14:paraId="089A426A" w14:textId="77777777" w:rsidTr="00B44A80">
        <w:trPr>
          <w:cantSplit/>
          <w:trHeight w:val="70"/>
        </w:trPr>
        <w:tc>
          <w:tcPr>
            <w:tcW w:w="1413" w:type="dxa"/>
            <w:vAlign w:val="center"/>
          </w:tcPr>
          <w:p w14:paraId="0E8BE881" w14:textId="77777777" w:rsidR="00D26AE3" w:rsidRPr="001522D8" w:rsidRDefault="00D26AE3" w:rsidP="00D26AE3">
            <w:r w:rsidRPr="001522D8">
              <w:t>R&amp;D</w:t>
            </w:r>
          </w:p>
        </w:tc>
        <w:tc>
          <w:tcPr>
            <w:tcW w:w="7604" w:type="dxa"/>
            <w:vAlign w:val="center"/>
          </w:tcPr>
          <w:p w14:paraId="28636805" w14:textId="77777777" w:rsidR="00D26AE3" w:rsidRPr="001522D8" w:rsidRDefault="00D26AE3" w:rsidP="00D26AE3">
            <w:r w:rsidRPr="001522D8">
              <w:t>Research and development</w:t>
            </w:r>
          </w:p>
        </w:tc>
      </w:tr>
      <w:tr w:rsidR="00D26AE3" w14:paraId="1BA5BF55" w14:textId="77777777" w:rsidTr="00B44A80">
        <w:trPr>
          <w:cantSplit/>
          <w:trHeight w:val="70"/>
        </w:trPr>
        <w:tc>
          <w:tcPr>
            <w:tcW w:w="1413" w:type="dxa"/>
            <w:vAlign w:val="center"/>
          </w:tcPr>
          <w:p w14:paraId="20F291A2" w14:textId="77777777" w:rsidR="00D26AE3" w:rsidRPr="001522D8" w:rsidRDefault="00D26AE3" w:rsidP="00D26AE3">
            <w:r w:rsidRPr="001522D8">
              <w:t>R&amp;KT</w:t>
            </w:r>
          </w:p>
        </w:tc>
        <w:tc>
          <w:tcPr>
            <w:tcW w:w="7604" w:type="dxa"/>
            <w:vAlign w:val="center"/>
          </w:tcPr>
          <w:p w14:paraId="14C9C560" w14:textId="77777777" w:rsidR="00D26AE3" w:rsidRPr="001522D8" w:rsidRDefault="00D26AE3" w:rsidP="00D26AE3">
            <w:r w:rsidRPr="001522D8">
              <w:t>Research and Knowledge Transfer</w:t>
            </w:r>
          </w:p>
        </w:tc>
      </w:tr>
      <w:tr w:rsidR="00D26AE3" w14:paraId="11BA113F" w14:textId="77777777" w:rsidTr="00B44A80">
        <w:trPr>
          <w:cantSplit/>
          <w:trHeight w:val="70"/>
        </w:trPr>
        <w:tc>
          <w:tcPr>
            <w:tcW w:w="1413" w:type="dxa"/>
            <w:vAlign w:val="center"/>
          </w:tcPr>
          <w:p w14:paraId="40A9CFFC" w14:textId="77777777" w:rsidR="00D26AE3" w:rsidRPr="001522D8" w:rsidRDefault="00D26AE3" w:rsidP="00D26AE3">
            <w:r w:rsidRPr="001522D8">
              <w:t>REC</w:t>
            </w:r>
          </w:p>
        </w:tc>
        <w:tc>
          <w:tcPr>
            <w:tcW w:w="7604" w:type="dxa"/>
            <w:vAlign w:val="center"/>
          </w:tcPr>
          <w:p w14:paraId="4D9CC18D" w14:textId="77777777" w:rsidR="00D26AE3" w:rsidRPr="001522D8" w:rsidRDefault="00D26AE3" w:rsidP="00D26AE3">
            <w:r w:rsidRPr="001522D8">
              <w:t>Research ethics committee</w:t>
            </w:r>
          </w:p>
        </w:tc>
      </w:tr>
      <w:tr w:rsidR="00D26AE3" w14:paraId="7AABB175" w14:textId="77777777" w:rsidTr="00B44A80">
        <w:trPr>
          <w:cantSplit/>
          <w:trHeight w:val="70"/>
        </w:trPr>
        <w:tc>
          <w:tcPr>
            <w:tcW w:w="1413" w:type="dxa"/>
            <w:vAlign w:val="center"/>
          </w:tcPr>
          <w:p w14:paraId="2A345B41" w14:textId="77777777" w:rsidR="00D26AE3" w:rsidRPr="001522D8" w:rsidRDefault="00D26AE3" w:rsidP="00D26AE3">
            <w:r w:rsidRPr="001522D8">
              <w:lastRenderedPageBreak/>
              <w:t>REGI</w:t>
            </w:r>
          </w:p>
        </w:tc>
        <w:tc>
          <w:tcPr>
            <w:tcW w:w="7604" w:type="dxa"/>
            <w:vAlign w:val="center"/>
          </w:tcPr>
          <w:p w14:paraId="359D9D63" w14:textId="77777777" w:rsidR="00D26AE3" w:rsidRPr="001522D8" w:rsidRDefault="00D26AE3" w:rsidP="00D26AE3">
            <w:r w:rsidRPr="001522D8">
              <w:t>Research Ethics, Governance &amp; Integrity Team</w:t>
            </w:r>
          </w:p>
        </w:tc>
      </w:tr>
      <w:tr w:rsidR="00D26AE3" w14:paraId="1A7C13C1" w14:textId="77777777" w:rsidTr="00B44A80">
        <w:trPr>
          <w:cantSplit/>
          <w:trHeight w:val="70"/>
        </w:trPr>
        <w:tc>
          <w:tcPr>
            <w:tcW w:w="1413" w:type="dxa"/>
            <w:vAlign w:val="center"/>
          </w:tcPr>
          <w:p w14:paraId="27C3D52F" w14:textId="77777777" w:rsidR="00D26AE3" w:rsidRPr="001522D8" w:rsidRDefault="00D26AE3" w:rsidP="00D26AE3">
            <w:r w:rsidRPr="001522D8">
              <w:t>RGEIC</w:t>
            </w:r>
          </w:p>
        </w:tc>
        <w:tc>
          <w:tcPr>
            <w:tcW w:w="7604" w:type="dxa"/>
            <w:vAlign w:val="center"/>
          </w:tcPr>
          <w:p w14:paraId="1ED63355" w14:textId="77777777" w:rsidR="00D26AE3" w:rsidRPr="001522D8" w:rsidRDefault="00D26AE3" w:rsidP="00D26AE3">
            <w:r w:rsidRPr="001522D8">
              <w:t>Research Governance, Ethics and Integrity Committee</w:t>
            </w:r>
          </w:p>
        </w:tc>
      </w:tr>
      <w:tr w:rsidR="00D26AE3" w14:paraId="39D3E53A" w14:textId="77777777" w:rsidTr="00B44A80">
        <w:trPr>
          <w:cantSplit/>
          <w:trHeight w:val="70"/>
        </w:trPr>
        <w:tc>
          <w:tcPr>
            <w:tcW w:w="1413" w:type="dxa"/>
            <w:vAlign w:val="center"/>
          </w:tcPr>
          <w:p w14:paraId="250E9EB8" w14:textId="77777777" w:rsidR="00D26AE3" w:rsidRPr="001522D8" w:rsidRDefault="00D26AE3" w:rsidP="00D26AE3">
            <w:r w:rsidRPr="001522D8">
              <w:t>RSSD</w:t>
            </w:r>
          </w:p>
        </w:tc>
        <w:tc>
          <w:tcPr>
            <w:tcW w:w="7604" w:type="dxa"/>
            <w:vAlign w:val="center"/>
          </w:tcPr>
          <w:p w14:paraId="3CEBB6E3" w14:textId="77777777" w:rsidR="00D26AE3" w:rsidRPr="001522D8" w:rsidRDefault="00D26AE3" w:rsidP="00D26AE3">
            <w:r w:rsidRPr="001522D8">
              <w:t>Research Strategy &amp; Services Division</w:t>
            </w:r>
          </w:p>
        </w:tc>
      </w:tr>
      <w:tr w:rsidR="00D26AE3" w14:paraId="38E79AAC" w14:textId="77777777" w:rsidTr="00B44A80">
        <w:trPr>
          <w:cantSplit/>
          <w:trHeight w:val="70"/>
        </w:trPr>
        <w:tc>
          <w:tcPr>
            <w:tcW w:w="1413" w:type="dxa"/>
            <w:vAlign w:val="center"/>
          </w:tcPr>
          <w:p w14:paraId="110DB5D8" w14:textId="77777777" w:rsidR="00D26AE3" w:rsidRPr="001522D8" w:rsidRDefault="00D26AE3" w:rsidP="00D26AE3">
            <w:r w:rsidRPr="001522D8">
              <w:t>S/TMF</w:t>
            </w:r>
          </w:p>
        </w:tc>
        <w:tc>
          <w:tcPr>
            <w:tcW w:w="7604" w:type="dxa"/>
            <w:vAlign w:val="center"/>
          </w:tcPr>
          <w:p w14:paraId="5605D5CA" w14:textId="77777777" w:rsidR="00D26AE3" w:rsidRPr="001522D8" w:rsidRDefault="00D26AE3" w:rsidP="00D26AE3">
            <w:r w:rsidRPr="001522D8">
              <w:t>Study/trial master file</w:t>
            </w:r>
          </w:p>
        </w:tc>
      </w:tr>
      <w:tr w:rsidR="00D26AE3" w14:paraId="3614DC4A" w14:textId="77777777" w:rsidTr="00B44A80">
        <w:trPr>
          <w:cantSplit/>
          <w:trHeight w:val="70"/>
        </w:trPr>
        <w:tc>
          <w:tcPr>
            <w:tcW w:w="1413" w:type="dxa"/>
            <w:vAlign w:val="center"/>
          </w:tcPr>
          <w:p w14:paraId="28258EBB" w14:textId="77777777" w:rsidR="00D26AE3" w:rsidRPr="001522D8" w:rsidRDefault="00D26AE3" w:rsidP="00D26AE3">
            <w:r>
              <w:t>SLA</w:t>
            </w:r>
          </w:p>
        </w:tc>
        <w:tc>
          <w:tcPr>
            <w:tcW w:w="7604" w:type="dxa"/>
            <w:vAlign w:val="center"/>
          </w:tcPr>
          <w:p w14:paraId="43E15208" w14:textId="77777777" w:rsidR="00D26AE3" w:rsidRPr="001522D8" w:rsidRDefault="00D26AE3" w:rsidP="00D26AE3">
            <w:r>
              <w:t>Service level agreement</w:t>
            </w:r>
          </w:p>
        </w:tc>
      </w:tr>
      <w:tr w:rsidR="00D26AE3" w14:paraId="13D6D457" w14:textId="77777777" w:rsidTr="00B44A80">
        <w:trPr>
          <w:cantSplit/>
          <w:trHeight w:val="70"/>
        </w:trPr>
        <w:tc>
          <w:tcPr>
            <w:tcW w:w="1413" w:type="dxa"/>
            <w:vAlign w:val="center"/>
          </w:tcPr>
          <w:p w14:paraId="5953E57D" w14:textId="77777777" w:rsidR="00D26AE3" w:rsidRPr="001522D8" w:rsidRDefault="00D26AE3" w:rsidP="00D26AE3">
            <w:r w:rsidRPr="001522D8">
              <w:t>SOP</w:t>
            </w:r>
          </w:p>
        </w:tc>
        <w:tc>
          <w:tcPr>
            <w:tcW w:w="7604" w:type="dxa"/>
            <w:vAlign w:val="center"/>
          </w:tcPr>
          <w:p w14:paraId="0297C7C0" w14:textId="77777777" w:rsidR="00D26AE3" w:rsidRPr="001522D8" w:rsidRDefault="00D26AE3" w:rsidP="00D26AE3">
            <w:r w:rsidRPr="001522D8">
              <w:t>Standard operating procedure</w:t>
            </w:r>
          </w:p>
        </w:tc>
      </w:tr>
      <w:tr w:rsidR="00D26AE3" w14:paraId="3F0434A0" w14:textId="77777777" w:rsidTr="00B44A80">
        <w:trPr>
          <w:cantSplit/>
          <w:trHeight w:val="70"/>
        </w:trPr>
        <w:tc>
          <w:tcPr>
            <w:tcW w:w="1413" w:type="dxa"/>
            <w:vAlign w:val="center"/>
          </w:tcPr>
          <w:p w14:paraId="339CBAF1" w14:textId="77777777" w:rsidR="00D26AE3" w:rsidRPr="001522D8" w:rsidRDefault="00D26AE3" w:rsidP="00D26AE3">
            <w:r w:rsidRPr="001522D8">
              <w:t>SSV</w:t>
            </w:r>
          </w:p>
        </w:tc>
        <w:tc>
          <w:tcPr>
            <w:tcW w:w="7604" w:type="dxa"/>
            <w:vAlign w:val="center"/>
          </w:tcPr>
          <w:p w14:paraId="1EBC75E9" w14:textId="77777777" w:rsidR="00D26AE3" w:rsidRPr="001522D8" w:rsidRDefault="00D26AE3" w:rsidP="00D26AE3">
            <w:r w:rsidRPr="001522D8">
              <w:t>Sponsor support visit</w:t>
            </w:r>
          </w:p>
        </w:tc>
      </w:tr>
      <w:tr w:rsidR="00D26AE3" w14:paraId="16ACF967" w14:textId="77777777" w:rsidTr="00B44A80">
        <w:trPr>
          <w:cantSplit/>
          <w:trHeight w:val="70"/>
        </w:trPr>
        <w:tc>
          <w:tcPr>
            <w:tcW w:w="1413" w:type="dxa"/>
            <w:vAlign w:val="center"/>
          </w:tcPr>
          <w:p w14:paraId="1F63B4D2" w14:textId="77777777" w:rsidR="00D26AE3" w:rsidRPr="001522D8" w:rsidRDefault="00D26AE3" w:rsidP="00D26AE3">
            <w:r>
              <w:t>STEM</w:t>
            </w:r>
          </w:p>
        </w:tc>
        <w:tc>
          <w:tcPr>
            <w:tcW w:w="7604" w:type="dxa"/>
            <w:vAlign w:val="center"/>
          </w:tcPr>
          <w:p w14:paraId="4F1C95D5" w14:textId="77777777" w:rsidR="00D26AE3" w:rsidRPr="001522D8" w:rsidRDefault="00D26AE3" w:rsidP="00D26AE3">
            <w:r w:rsidRPr="00E077D7">
              <w:t>Science, Technology, Engineering and Mathematics</w:t>
            </w:r>
          </w:p>
        </w:tc>
      </w:tr>
      <w:tr w:rsidR="00D26AE3" w14:paraId="07E1AE9B" w14:textId="77777777" w:rsidTr="00B44A80">
        <w:trPr>
          <w:cantSplit/>
          <w:trHeight w:val="70"/>
        </w:trPr>
        <w:tc>
          <w:tcPr>
            <w:tcW w:w="1413" w:type="dxa"/>
            <w:vAlign w:val="center"/>
          </w:tcPr>
          <w:p w14:paraId="04E8A2E9" w14:textId="77777777" w:rsidR="00D26AE3" w:rsidRPr="001522D8" w:rsidRDefault="00D26AE3" w:rsidP="00D26AE3">
            <w:r>
              <w:t>TBSV</w:t>
            </w:r>
          </w:p>
        </w:tc>
        <w:tc>
          <w:tcPr>
            <w:tcW w:w="7604" w:type="dxa"/>
            <w:vAlign w:val="center"/>
          </w:tcPr>
          <w:p w14:paraId="6BBE8ADA" w14:textId="77777777" w:rsidR="00D26AE3" w:rsidRPr="001522D8" w:rsidRDefault="00D26AE3" w:rsidP="00D26AE3">
            <w:r>
              <w:t>Tissue bank support visit</w:t>
            </w:r>
          </w:p>
        </w:tc>
      </w:tr>
      <w:tr w:rsidR="00D26AE3" w14:paraId="2D9B2B68" w14:textId="77777777" w:rsidTr="00E077D7">
        <w:trPr>
          <w:cantSplit/>
          <w:trHeight w:val="70"/>
        </w:trPr>
        <w:tc>
          <w:tcPr>
            <w:tcW w:w="1413" w:type="dxa"/>
          </w:tcPr>
          <w:p w14:paraId="77F428E0" w14:textId="77777777" w:rsidR="00D26AE3" w:rsidRPr="001522D8" w:rsidRDefault="00D26AE3" w:rsidP="00D26AE3">
            <w:r w:rsidRPr="00EF52A7">
              <w:t>UKCRC</w:t>
            </w:r>
          </w:p>
        </w:tc>
        <w:tc>
          <w:tcPr>
            <w:tcW w:w="7604" w:type="dxa"/>
          </w:tcPr>
          <w:p w14:paraId="6CD11EE5" w14:textId="77777777" w:rsidR="00D26AE3" w:rsidRPr="001522D8" w:rsidRDefault="00D26AE3" w:rsidP="00D26AE3">
            <w:r w:rsidRPr="00EF52A7">
              <w:rPr>
                <w:rFonts w:asciiTheme="minorHAnsi" w:hAnsiTheme="minorHAnsi"/>
              </w:rPr>
              <w:t>UK Clinical Research Collaboration</w:t>
            </w:r>
          </w:p>
        </w:tc>
      </w:tr>
      <w:tr w:rsidR="00D26AE3" w14:paraId="404F8205" w14:textId="77777777" w:rsidTr="00B44A80">
        <w:trPr>
          <w:cantSplit/>
          <w:trHeight w:val="70"/>
        </w:trPr>
        <w:tc>
          <w:tcPr>
            <w:tcW w:w="1413" w:type="dxa"/>
            <w:vAlign w:val="center"/>
          </w:tcPr>
          <w:p w14:paraId="34DD0422" w14:textId="77777777" w:rsidR="00D26AE3" w:rsidRPr="001522D8" w:rsidRDefault="00D26AE3" w:rsidP="00D26AE3">
            <w:r w:rsidRPr="001522D8">
              <w:t>UoB</w:t>
            </w:r>
          </w:p>
        </w:tc>
        <w:tc>
          <w:tcPr>
            <w:tcW w:w="7604" w:type="dxa"/>
            <w:vAlign w:val="center"/>
          </w:tcPr>
          <w:p w14:paraId="1DF44D8B" w14:textId="77777777" w:rsidR="00D26AE3" w:rsidRPr="001522D8" w:rsidRDefault="00D26AE3" w:rsidP="00D26AE3">
            <w:r w:rsidRPr="001522D8">
              <w:t>University of Birmingham</w:t>
            </w:r>
          </w:p>
        </w:tc>
      </w:tr>
      <w:tr w:rsidR="00D26AE3" w14:paraId="5BE4AB4D" w14:textId="77777777" w:rsidTr="00B44A80">
        <w:trPr>
          <w:cantSplit/>
          <w:trHeight w:val="70"/>
        </w:trPr>
        <w:tc>
          <w:tcPr>
            <w:tcW w:w="1413" w:type="dxa"/>
            <w:vAlign w:val="center"/>
          </w:tcPr>
          <w:p w14:paraId="453BE051" w14:textId="77777777" w:rsidR="00D26AE3" w:rsidRPr="001522D8" w:rsidRDefault="00D26AE3" w:rsidP="00D26AE3">
            <w:r>
              <w:t>WMRTC</w:t>
            </w:r>
          </w:p>
        </w:tc>
        <w:tc>
          <w:tcPr>
            <w:tcW w:w="7604" w:type="dxa"/>
            <w:vAlign w:val="center"/>
          </w:tcPr>
          <w:p w14:paraId="25196FD9" w14:textId="77777777" w:rsidR="00D26AE3" w:rsidRPr="001522D8" w:rsidRDefault="00D26AE3" w:rsidP="00D26AE3">
            <w:r>
              <w:t>West Midlands Research Training Collaborative</w:t>
            </w:r>
          </w:p>
        </w:tc>
      </w:tr>
    </w:tbl>
    <w:p w14:paraId="7665A8FB" w14:textId="77777777" w:rsidR="000374CB" w:rsidRDefault="00B10C05">
      <w:r w:rsidRPr="009C2C63">
        <w:t xml:space="preserve">See also </w:t>
      </w:r>
      <w:hyperlink r:id="rId93" w:tooltip="Link to Glossary of Terms" w:history="1">
        <w:r w:rsidRPr="00F12A38">
          <w:rPr>
            <w:rStyle w:val="Hyperlink"/>
          </w:rPr>
          <w:t>Glossary of Term</w:t>
        </w:r>
        <w:r w:rsidR="00B37374">
          <w:rPr>
            <w:rStyle w:val="Hyperlink"/>
          </w:rPr>
          <w:t>s</w:t>
        </w:r>
      </w:hyperlink>
      <w:r w:rsidR="00225D8E">
        <w:t xml:space="preserve"> for a full list of abbreviations and definitions</w:t>
      </w:r>
      <w:r w:rsidR="00367496">
        <w:t>.</w:t>
      </w:r>
      <w:r w:rsidR="00225D8E">
        <w:t xml:space="preserve"> </w:t>
      </w:r>
    </w:p>
    <w:p w14:paraId="351092A8" w14:textId="77777777" w:rsidR="00FC026F" w:rsidRDefault="00FC026F"/>
    <w:p w14:paraId="57D6F90B" w14:textId="77777777" w:rsidR="00901562" w:rsidRDefault="00901562" w:rsidP="00901562">
      <w:pPr>
        <w:spacing w:before="0" w:after="200" w:line="276" w:lineRule="auto"/>
        <w:sectPr w:rsidR="00901562" w:rsidSect="007E29DA">
          <w:headerReference w:type="even" r:id="rId94"/>
          <w:headerReference w:type="default" r:id="rId95"/>
          <w:footerReference w:type="even" r:id="rId96"/>
          <w:footerReference w:type="default" r:id="rId97"/>
          <w:headerReference w:type="first" r:id="rId98"/>
          <w:footerReference w:type="first" r:id="rId99"/>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6D1CF5CF" w14:textId="77777777" w:rsidR="00234600" w:rsidRPr="00901562" w:rsidRDefault="00234600" w:rsidP="00901562">
      <w:pPr>
        <w:pStyle w:val="Heading1"/>
      </w:pPr>
      <w:bookmarkStart w:id="72" w:name="_Toc189483987"/>
      <w:r>
        <w:lastRenderedPageBreak/>
        <w:t xml:space="preserve">Document </w:t>
      </w:r>
      <w:r w:rsidR="003E6162">
        <w:t>contributors</w:t>
      </w:r>
      <w:bookmarkEnd w:id="72"/>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5590278D" w14:textId="77777777" w:rsidTr="00D242C8">
        <w:trPr>
          <w:trHeight w:val="454"/>
        </w:trPr>
        <w:tc>
          <w:tcPr>
            <w:tcW w:w="5000" w:type="pct"/>
            <w:shd w:val="clear" w:color="auto" w:fill="DBE5F1" w:themeFill="accent1" w:themeFillTint="33"/>
            <w:vAlign w:val="center"/>
          </w:tcPr>
          <w:p w14:paraId="0B0EE5BD" w14:textId="7E5EF8E9" w:rsidR="00D242C8" w:rsidRPr="002B6735" w:rsidRDefault="00D242C8" w:rsidP="002B6735">
            <w:pPr>
              <w:pStyle w:val="Contributorstabletext"/>
              <w:rPr>
                <w:b/>
                <w:bCs/>
              </w:rPr>
            </w:pPr>
            <w:bookmarkStart w:id="73" w:name="_Toc143768371"/>
            <w:r w:rsidRPr="002B6735">
              <w:rPr>
                <w:b/>
                <w:bCs/>
              </w:rPr>
              <w:t>Author</w:t>
            </w:r>
            <w:r w:rsidR="00146C56">
              <w:rPr>
                <w:b/>
                <w:bCs/>
              </w:rPr>
              <w:t xml:space="preserve">(s) </w:t>
            </w:r>
          </w:p>
        </w:tc>
      </w:tr>
      <w:tr w:rsidR="00D242C8" w14:paraId="35ABA519" w14:textId="77777777" w:rsidTr="00F6365D">
        <w:trPr>
          <w:trHeight w:val="454"/>
        </w:trPr>
        <w:tc>
          <w:tcPr>
            <w:tcW w:w="5000" w:type="pct"/>
            <w:vAlign w:val="center"/>
          </w:tcPr>
          <w:p w14:paraId="164A264A" w14:textId="754ADB9E" w:rsidR="00146C56" w:rsidRDefault="00953E7D" w:rsidP="00F6365D">
            <w:pPr>
              <w:pStyle w:val="Contributorstabletext"/>
            </w:pPr>
            <w:r>
              <w:t>Jamie Douglas-Pugh (Clinical Research Compliance Manager)</w:t>
            </w:r>
          </w:p>
        </w:tc>
      </w:tr>
      <w:tr w:rsidR="00146C56" w14:paraId="57E326D6" w14:textId="77777777" w:rsidTr="00146C56">
        <w:trPr>
          <w:trHeight w:val="454"/>
        </w:trPr>
        <w:tc>
          <w:tcPr>
            <w:tcW w:w="5000" w:type="pct"/>
            <w:shd w:val="clear" w:color="auto" w:fill="DBE5F1" w:themeFill="accent1" w:themeFillTint="33"/>
            <w:vAlign w:val="center"/>
          </w:tcPr>
          <w:p w14:paraId="65AA78A4" w14:textId="6C77B2AA" w:rsidR="00146C56" w:rsidRPr="00146C56" w:rsidRDefault="00146C56" w:rsidP="00146C56">
            <w:pPr>
              <w:pStyle w:val="Contributorstabletext"/>
              <w:rPr>
                <w:b/>
                <w:bCs/>
              </w:rPr>
            </w:pPr>
            <w:r w:rsidRPr="00146C56">
              <w:rPr>
                <w:b/>
                <w:bCs/>
              </w:rPr>
              <w:t>Contributor(s)</w:t>
            </w:r>
          </w:p>
        </w:tc>
      </w:tr>
      <w:tr w:rsidR="00146C56" w14:paraId="23FCA920" w14:textId="77777777" w:rsidTr="00F6365D">
        <w:trPr>
          <w:trHeight w:val="454"/>
        </w:trPr>
        <w:tc>
          <w:tcPr>
            <w:tcW w:w="5000" w:type="pct"/>
            <w:vAlign w:val="center"/>
          </w:tcPr>
          <w:p w14:paraId="293F6DC6" w14:textId="77777777" w:rsidR="00146C56" w:rsidRDefault="00146C56" w:rsidP="00146C56">
            <w:pPr>
              <w:pStyle w:val="Contributorstabletext"/>
            </w:pPr>
            <w:r>
              <w:t xml:space="preserve">Carole Evans (Senior Laboratory Compliance Facilitator) </w:t>
            </w:r>
          </w:p>
          <w:p w14:paraId="3295481F" w14:textId="0163006D" w:rsidR="00146C56" w:rsidRDefault="00146C56" w:rsidP="00146C56">
            <w:pPr>
              <w:pStyle w:val="Contributorstabletext"/>
            </w:pPr>
            <w:r>
              <w:t>Emma Taylor (Senior Compliance Facilitator)</w:t>
            </w:r>
          </w:p>
        </w:tc>
      </w:tr>
      <w:tr w:rsidR="00D242C8" w14:paraId="5C716A85" w14:textId="77777777" w:rsidTr="002B6735">
        <w:trPr>
          <w:trHeight w:val="454"/>
        </w:trPr>
        <w:tc>
          <w:tcPr>
            <w:tcW w:w="5000" w:type="pct"/>
            <w:shd w:val="clear" w:color="auto" w:fill="DBE5F1" w:themeFill="accent1" w:themeFillTint="33"/>
          </w:tcPr>
          <w:p w14:paraId="14E97D1C" w14:textId="77777777" w:rsidR="00D242C8" w:rsidRPr="002B6735" w:rsidRDefault="002B6735" w:rsidP="002B6735">
            <w:pPr>
              <w:pStyle w:val="Contributorstabletext"/>
              <w:rPr>
                <w:b/>
                <w:bCs/>
              </w:rPr>
            </w:pPr>
            <w:r w:rsidRPr="002B6735">
              <w:rPr>
                <w:b/>
                <w:bCs/>
              </w:rPr>
              <w:t>Reviewer(s)</w:t>
            </w:r>
          </w:p>
        </w:tc>
      </w:tr>
      <w:tr w:rsidR="002B6735" w14:paraId="7BCB24E2" w14:textId="77777777" w:rsidTr="00D242C8">
        <w:trPr>
          <w:trHeight w:val="454"/>
        </w:trPr>
        <w:tc>
          <w:tcPr>
            <w:tcW w:w="5000" w:type="pct"/>
          </w:tcPr>
          <w:p w14:paraId="3C07BA89" w14:textId="77777777" w:rsidR="002B6735" w:rsidRPr="00747905" w:rsidRDefault="000B6210" w:rsidP="00F6365D">
            <w:pPr>
              <w:pStyle w:val="Contributorstabletext"/>
              <w:rPr>
                <w:i/>
                <w:iCs/>
              </w:rPr>
            </w:pPr>
            <w:r>
              <w:rPr>
                <w:i/>
                <w:iCs/>
              </w:rPr>
              <w:t>Version</w:t>
            </w:r>
            <w:r w:rsidR="002B6735" w:rsidRPr="00747905">
              <w:rPr>
                <w:i/>
                <w:iCs/>
              </w:rPr>
              <w:t xml:space="preserve"> by – </w:t>
            </w:r>
          </w:p>
          <w:p w14:paraId="0F8C0046" w14:textId="77777777" w:rsidR="00283ED8" w:rsidRDefault="00283ED8" w:rsidP="003F499F">
            <w:pPr>
              <w:pStyle w:val="bulletT1"/>
            </w:pPr>
            <w:r>
              <w:t>Clinical Research Compliance Team (CRCT)</w:t>
            </w:r>
          </w:p>
          <w:p w14:paraId="08F3437E" w14:textId="77777777" w:rsidR="002B6735" w:rsidRPr="005405BD" w:rsidRDefault="002B6735" w:rsidP="003F499F">
            <w:pPr>
              <w:pStyle w:val="bulletT1"/>
            </w:pPr>
            <w:r w:rsidRPr="005405BD">
              <w:t>Research Ethics, Governance &amp; Integrity Team (REGI)</w:t>
            </w:r>
          </w:p>
          <w:p w14:paraId="7770E5E1" w14:textId="77777777" w:rsidR="002B6735" w:rsidRPr="005405BD" w:rsidRDefault="002B6735" w:rsidP="003F499F">
            <w:pPr>
              <w:pStyle w:val="bulletT1"/>
            </w:pPr>
            <w:r w:rsidRPr="005405BD">
              <w:t>University of Birmingham Clinical Trials Units (UoB CTUs)</w:t>
            </w:r>
          </w:p>
          <w:p w14:paraId="412FCFEA" w14:textId="77777777" w:rsidR="002B6735" w:rsidRPr="005405BD" w:rsidRDefault="002B6735" w:rsidP="003F499F">
            <w:pPr>
              <w:pStyle w:val="bulletT1"/>
            </w:pPr>
            <w:r w:rsidRPr="005405BD">
              <w:t>Clinical Trials Oversight Committee (CTOC)</w:t>
            </w:r>
          </w:p>
          <w:p w14:paraId="6248227E" w14:textId="77777777" w:rsidR="002B6735" w:rsidRPr="005405BD" w:rsidRDefault="002B6735" w:rsidP="003F499F">
            <w:pPr>
              <w:pStyle w:val="bulletT1"/>
            </w:pPr>
            <w:r w:rsidRPr="005405BD">
              <w:t>Human Tissue Oversight Committee (HTOC)</w:t>
            </w:r>
          </w:p>
          <w:p w14:paraId="0460177D" w14:textId="28C2A674" w:rsidR="002B6735" w:rsidRPr="0070323D" w:rsidRDefault="002B6735" w:rsidP="003F499F">
            <w:pPr>
              <w:pStyle w:val="bulletT1"/>
            </w:pPr>
            <w:r w:rsidRPr="005405BD">
              <w:t>Any</w:t>
            </w:r>
            <w:r w:rsidRPr="00CB39B4">
              <w:t xml:space="preserve"> other stakeholders (see stakeholders</w:t>
            </w:r>
            <w:r w:rsidRPr="0070323D">
              <w:t xml:space="preserve"> </w:t>
            </w:r>
            <w:r w:rsidR="004827DE" w:rsidRPr="004827DE">
              <w:rPr>
                <w:rStyle w:val="DocrefChar"/>
                <w:u w:val="single"/>
              </w:rPr>
              <w:fldChar w:fldCharType="begin"/>
            </w:r>
            <w:r w:rsidR="004827DE" w:rsidRPr="004827DE">
              <w:rPr>
                <w:rStyle w:val="DocrefChar"/>
                <w:u w:val="single"/>
              </w:rPr>
              <w:instrText xml:space="preserve"> REF _Ref153523581 \p \h  \* MERGEFORMAT </w:instrText>
            </w:r>
            <w:r w:rsidR="004827DE" w:rsidRPr="004827DE">
              <w:rPr>
                <w:rStyle w:val="DocrefChar"/>
                <w:u w:val="single"/>
              </w:rPr>
            </w:r>
            <w:r w:rsidR="004827DE" w:rsidRPr="004827DE">
              <w:rPr>
                <w:rStyle w:val="DocrefChar"/>
                <w:u w:val="single"/>
              </w:rPr>
              <w:fldChar w:fldCharType="separate"/>
            </w:r>
            <w:r w:rsidR="00EE7BAB">
              <w:rPr>
                <w:rStyle w:val="DocrefChar"/>
                <w:u w:val="single"/>
              </w:rPr>
              <w:t>above</w:t>
            </w:r>
            <w:r w:rsidR="004827DE" w:rsidRPr="004827DE">
              <w:rPr>
                <w:rStyle w:val="DocrefChar"/>
                <w:u w:val="single"/>
              </w:rPr>
              <w:fldChar w:fldCharType="end"/>
            </w:r>
            <w:r w:rsidRPr="0070323D">
              <w:t>)</w:t>
            </w:r>
          </w:p>
          <w:p w14:paraId="7571D679" w14:textId="77777777" w:rsidR="002B6735" w:rsidRPr="0070323D" w:rsidRDefault="001D13C0" w:rsidP="002B6735">
            <w:pPr>
              <w:pStyle w:val="Contributorstabletext"/>
            </w:pPr>
            <w:r>
              <w:rPr>
                <w:i/>
                <w:iCs/>
              </w:rPr>
              <w:t>R</w:t>
            </w:r>
            <w:r w:rsidR="002B6735" w:rsidRPr="0070323D">
              <w:rPr>
                <w:i/>
                <w:iCs/>
              </w:rPr>
              <w:t>evisions by</w:t>
            </w:r>
            <w:r w:rsidR="002B6735" w:rsidRPr="0070323D">
              <w:t xml:space="preserve"> –</w:t>
            </w:r>
          </w:p>
          <w:p w14:paraId="2B3DC569" w14:textId="012FB569"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EE7BAB">
              <w:rPr>
                <w:rStyle w:val="SectionrefChar"/>
              </w:rPr>
              <w:t>below</w:t>
            </w:r>
            <w:r w:rsidR="004827DE" w:rsidRPr="004827DE">
              <w:rPr>
                <w:rStyle w:val="SectionrefChar"/>
              </w:rPr>
              <w:fldChar w:fldCharType="end"/>
            </w:r>
            <w:r w:rsidRPr="0070323D">
              <w:t>)</w:t>
            </w:r>
          </w:p>
        </w:tc>
      </w:tr>
      <w:tr w:rsidR="00D242C8" w14:paraId="766E9FF1" w14:textId="77777777" w:rsidTr="002B6735">
        <w:trPr>
          <w:trHeight w:val="454"/>
        </w:trPr>
        <w:tc>
          <w:tcPr>
            <w:tcW w:w="5000" w:type="pct"/>
            <w:shd w:val="clear" w:color="auto" w:fill="DBE5F1" w:themeFill="accent1" w:themeFillTint="33"/>
          </w:tcPr>
          <w:p w14:paraId="3B52E6D7" w14:textId="77777777" w:rsidR="00D242C8" w:rsidRPr="002B6735" w:rsidRDefault="002B6735" w:rsidP="002B6735">
            <w:pPr>
              <w:pStyle w:val="Contributorstabletext"/>
              <w:rPr>
                <w:b/>
                <w:bCs/>
              </w:rPr>
            </w:pPr>
            <w:r w:rsidRPr="002B6735">
              <w:rPr>
                <w:b/>
                <w:bCs/>
              </w:rPr>
              <w:t>Authoriser(s)</w:t>
            </w:r>
          </w:p>
        </w:tc>
      </w:tr>
      <w:tr w:rsidR="00D242C8" w14:paraId="0E53CC09" w14:textId="77777777" w:rsidTr="00D242C8">
        <w:trPr>
          <w:trHeight w:val="454"/>
        </w:trPr>
        <w:tc>
          <w:tcPr>
            <w:tcW w:w="5000" w:type="pct"/>
          </w:tcPr>
          <w:p w14:paraId="4C528E47" w14:textId="5BCF009C" w:rsidR="00953E7D" w:rsidRDefault="00953E7D" w:rsidP="00953E7D">
            <w:pPr>
              <w:pStyle w:val="Contributorstabletext"/>
            </w:pPr>
            <w:r>
              <w:t>Leanne Stones (Clinical Research Compliance Manager (Laboratories) / QMS Manager)</w:t>
            </w:r>
          </w:p>
          <w:p w14:paraId="162927B7" w14:textId="3414F360" w:rsidR="00953E7D" w:rsidRDefault="00A561E5" w:rsidP="00953E7D">
            <w:pPr>
              <w:pStyle w:val="Contributorstabletext"/>
            </w:pPr>
            <w:r>
              <w:t>Colin Watts</w:t>
            </w:r>
            <w:r w:rsidR="00953E7D">
              <w:t xml:space="preserve"> (Chair of CTOC)</w:t>
            </w:r>
          </w:p>
          <w:p w14:paraId="0CFAD897" w14:textId="1400B743" w:rsidR="005505A0" w:rsidRDefault="00953E7D" w:rsidP="00953E7D">
            <w:pPr>
              <w:pStyle w:val="Contributorstabletext"/>
            </w:pPr>
            <w:r>
              <w:t>Philip Tomson (Chair of HTOC)</w:t>
            </w:r>
          </w:p>
        </w:tc>
      </w:tr>
    </w:tbl>
    <w:p w14:paraId="3FC72B12" w14:textId="77777777" w:rsidR="00FC026F" w:rsidRDefault="00FC026F" w:rsidP="004827DE">
      <w:pPr>
        <w:pStyle w:val="Sectionref"/>
      </w:pPr>
    </w:p>
    <w:p w14:paraId="56CC150C"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6E506072" w14:textId="77777777" w:rsidR="002B6735" w:rsidRDefault="003E6162" w:rsidP="003E6162">
      <w:pPr>
        <w:pStyle w:val="Heading1"/>
      </w:pPr>
      <w:bookmarkStart w:id="74" w:name="_Toc189483988"/>
      <w:r>
        <w:lastRenderedPageBreak/>
        <w:t xml:space="preserve">Document </w:t>
      </w:r>
      <w:r w:rsidR="001976C1">
        <w:t>h</w:t>
      </w:r>
      <w:r>
        <w:t>istory</w:t>
      </w:r>
      <w:bookmarkEnd w:id="74"/>
    </w:p>
    <w:p w14:paraId="1C90F59E" w14:textId="77777777" w:rsidR="00234600" w:rsidRPr="00710D7B" w:rsidRDefault="00120959" w:rsidP="00234600">
      <w:pPr>
        <w:pStyle w:val="Heading2"/>
      </w:pPr>
      <w:bookmarkStart w:id="75" w:name="_Toc189483989"/>
      <w:bookmarkEnd w:id="73"/>
      <w:r>
        <w:t>Document version log</w:t>
      </w:r>
      <w:bookmarkEnd w:id="75"/>
    </w:p>
    <w:p w14:paraId="002B8026" w14:textId="77777777" w:rsidR="001D13C0" w:rsidRDefault="00234600" w:rsidP="001D13C0">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100"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1B8BC548" w14:textId="77777777" w:rsidTr="00F6365D">
        <w:trPr>
          <w:trHeight w:val="454"/>
          <w:tblHeader/>
        </w:trPr>
        <w:tc>
          <w:tcPr>
            <w:tcW w:w="784" w:type="pct"/>
            <w:shd w:val="clear" w:color="auto" w:fill="DBE5F1" w:themeFill="accent1" w:themeFillTint="33"/>
            <w:vAlign w:val="center"/>
          </w:tcPr>
          <w:p w14:paraId="1FDFEBCD"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6C65E193" w14:textId="77777777" w:rsidR="006F7027" w:rsidRPr="003713E4" w:rsidRDefault="006F7027" w:rsidP="008051E9">
            <w:pPr>
              <w:rPr>
                <w:b/>
                <w:bCs/>
              </w:rPr>
            </w:pPr>
            <w:r>
              <w:rPr>
                <w:b/>
                <w:bCs/>
              </w:rPr>
              <w:t>Reason for update</w:t>
            </w:r>
          </w:p>
        </w:tc>
      </w:tr>
      <w:tr w:rsidR="002A0B65" w14:paraId="7E11C08F" w14:textId="77777777" w:rsidTr="00747905">
        <w:trPr>
          <w:trHeight w:val="440"/>
        </w:trPr>
        <w:tc>
          <w:tcPr>
            <w:tcW w:w="784" w:type="pct"/>
          </w:tcPr>
          <w:p w14:paraId="5C1C1ED1" w14:textId="7BF61309" w:rsidR="00A5347A" w:rsidRDefault="000567D3" w:rsidP="00A5347A">
            <w:pPr>
              <w:jc w:val="center"/>
            </w:pPr>
            <w:r>
              <w:t>3</w:t>
            </w:r>
            <w:r w:rsidR="002A0B65">
              <w:t>.0</w:t>
            </w:r>
          </w:p>
          <w:p w14:paraId="3DD71297" w14:textId="38120065" w:rsidR="002A0B65" w:rsidRDefault="002A0B65" w:rsidP="00A5347A">
            <w:pPr>
              <w:jc w:val="center"/>
            </w:pPr>
            <w:r>
              <w:t>(</w:t>
            </w:r>
            <w:r w:rsidR="00B553CC">
              <w:t>28-Feb-2025</w:t>
            </w:r>
            <w:r>
              <w:t>)</w:t>
            </w:r>
          </w:p>
        </w:tc>
        <w:tc>
          <w:tcPr>
            <w:tcW w:w="4216" w:type="pct"/>
          </w:tcPr>
          <w:p w14:paraId="6C566193" w14:textId="0C485970" w:rsidR="000567D3" w:rsidRDefault="000567D3" w:rsidP="005405BD">
            <w:pPr>
              <w:pStyle w:val="bulletT1"/>
            </w:pPr>
            <w:r>
              <w:t xml:space="preserve">New </w:t>
            </w:r>
            <w:r w:rsidR="00C76CBF">
              <w:t xml:space="preserve">SOP </w:t>
            </w:r>
            <w:r>
              <w:t xml:space="preserve">template, typographical changes made </w:t>
            </w:r>
            <w:r w:rsidR="00C76CBF">
              <w:t>throughout,</w:t>
            </w:r>
            <w:r>
              <w:t xml:space="preserve"> and </w:t>
            </w:r>
            <w:r w:rsidR="00C76CBF">
              <w:t>website link up</w:t>
            </w:r>
            <w:r>
              <w:t>dated</w:t>
            </w:r>
            <w:r w:rsidR="00C76CBF">
              <w:t>.</w:t>
            </w:r>
          </w:p>
          <w:p w14:paraId="2B51D6F6" w14:textId="2F9867F6" w:rsidR="000567D3" w:rsidRDefault="000567D3" w:rsidP="005405BD">
            <w:pPr>
              <w:pStyle w:val="bulletT1"/>
            </w:pPr>
            <w:r>
              <w:t xml:space="preserve">Added </w:t>
            </w:r>
            <w:r w:rsidR="00C76CBF">
              <w:t xml:space="preserve">a </w:t>
            </w:r>
            <w:r>
              <w:t>culture of openness and honesty statement</w:t>
            </w:r>
            <w:r w:rsidR="00C76CBF">
              <w:t>.</w:t>
            </w:r>
          </w:p>
          <w:p w14:paraId="28AE1E10" w14:textId="77777777" w:rsidR="002A0B65" w:rsidRDefault="00942587" w:rsidP="00C76CBF">
            <w:pPr>
              <w:pStyle w:val="bulletT1"/>
            </w:pPr>
            <w:r>
              <w:t>Update</w:t>
            </w:r>
            <w:r w:rsidR="00C76CBF">
              <w:t>d</w:t>
            </w:r>
            <w:r>
              <w:t xml:space="preserve"> governance structure</w:t>
            </w:r>
            <w:r w:rsidR="00C76CBF">
              <w:t>s</w:t>
            </w:r>
            <w:r>
              <w:t xml:space="preserve"> and team names</w:t>
            </w:r>
            <w:r w:rsidR="00C76CBF">
              <w:t>.</w:t>
            </w:r>
          </w:p>
          <w:p w14:paraId="2AA07A0D" w14:textId="1F21F27D" w:rsidR="00A561E5" w:rsidRDefault="00A561E5" w:rsidP="00C76CBF">
            <w:pPr>
              <w:pStyle w:val="bulletT1"/>
            </w:pPr>
            <w:r>
              <w:t>Added requirement</w:t>
            </w:r>
            <w:r w:rsidR="00EE7BAB">
              <w:t>s</w:t>
            </w:r>
            <w:r>
              <w:t xml:space="preserve"> for all UoB LALs working on active or future CTIMPs to complete the UoB ‘GCP in the lab’ training. </w:t>
            </w:r>
          </w:p>
          <w:p w14:paraId="065820CA" w14:textId="77777777" w:rsidR="00012D29" w:rsidRDefault="00012D29" w:rsidP="00C76CBF">
            <w:pPr>
              <w:pStyle w:val="bulletT1"/>
            </w:pPr>
            <w:r>
              <w:t xml:space="preserve">Details on the expanding of the SSV programme to includes tissue bank support visits. </w:t>
            </w:r>
          </w:p>
          <w:p w14:paraId="5BCB5DB9" w14:textId="77777777" w:rsidR="007A4BF0" w:rsidRDefault="00361913" w:rsidP="00012D29">
            <w:pPr>
              <w:pStyle w:val="bulletT1"/>
            </w:pPr>
            <w:r>
              <w:t>Added new policy on the import and export of human tissue.</w:t>
            </w:r>
          </w:p>
          <w:p w14:paraId="50CD1169" w14:textId="2AB92258" w:rsidR="007026B0" w:rsidRDefault="007026B0" w:rsidP="00012D29">
            <w:pPr>
              <w:pStyle w:val="bulletT1"/>
            </w:pPr>
            <w:r>
              <w:t>Added new policy on the use of couriers and private vehicles for the transport of human tissue.</w:t>
            </w:r>
          </w:p>
          <w:p w14:paraId="7EF0FC73" w14:textId="719A57D3" w:rsidR="00785B80" w:rsidRDefault="00785B80" w:rsidP="00012D29">
            <w:pPr>
              <w:pStyle w:val="bulletT1"/>
            </w:pPr>
            <w:r>
              <w:t>Added new policy on self-experimentation.</w:t>
            </w:r>
          </w:p>
        </w:tc>
      </w:tr>
    </w:tbl>
    <w:p w14:paraId="0A1526AA" w14:textId="77777777" w:rsidR="00234600" w:rsidRDefault="00234600" w:rsidP="00234600">
      <w:pPr>
        <w:pStyle w:val="Heading2"/>
      </w:pPr>
      <w:bookmarkStart w:id="76" w:name="_Toc143768372"/>
      <w:bookmarkStart w:id="77" w:name="_Ref152852855"/>
      <w:bookmarkStart w:id="78" w:name="_Ref152852890"/>
      <w:bookmarkStart w:id="79" w:name="_Ref153523697"/>
      <w:bookmarkStart w:id="80" w:name="_Toc189483990"/>
      <w:r>
        <w:t xml:space="preserve">Document </w:t>
      </w:r>
      <w:r w:rsidR="00413F0A">
        <w:t>r</w:t>
      </w:r>
      <w:r>
        <w:t xml:space="preserve">evision </w:t>
      </w:r>
      <w:r w:rsidR="00413F0A">
        <w:t>l</w:t>
      </w:r>
      <w:r>
        <w:t>og</w:t>
      </w:r>
      <w:bookmarkEnd w:id="76"/>
      <w:bookmarkEnd w:id="77"/>
      <w:bookmarkEnd w:id="78"/>
      <w:bookmarkEnd w:id="79"/>
      <w:bookmarkEnd w:id="80"/>
    </w:p>
    <w:p w14:paraId="6878ECD8" w14:textId="77777777" w:rsidR="001D13C0" w:rsidRDefault="00234600" w:rsidP="005505A0">
      <w:r>
        <w:t>The table below summaries the reason for any revisions made to th</w:t>
      </w:r>
      <w:r w:rsidR="00FC026F">
        <w:t xml:space="preserve">e 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2364E5D0" w14:textId="77777777" w:rsidTr="00F6365D">
        <w:trPr>
          <w:trHeight w:val="454"/>
          <w:tblHeader/>
        </w:trPr>
        <w:tc>
          <w:tcPr>
            <w:tcW w:w="1413" w:type="dxa"/>
            <w:shd w:val="clear" w:color="auto" w:fill="DBE5F1" w:themeFill="accent1" w:themeFillTint="33"/>
            <w:vAlign w:val="center"/>
          </w:tcPr>
          <w:p w14:paraId="0223174E"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1741AFFB"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4E08DCD8"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450D1ED7" w14:textId="77777777" w:rsidR="00234600" w:rsidRPr="003713E4" w:rsidRDefault="00234600" w:rsidP="008051E9">
            <w:pPr>
              <w:rPr>
                <w:b/>
                <w:bCs/>
              </w:rPr>
            </w:pPr>
            <w:r w:rsidRPr="003713E4">
              <w:rPr>
                <w:b/>
                <w:bCs/>
              </w:rPr>
              <w:t>Authoriser</w:t>
            </w:r>
          </w:p>
        </w:tc>
      </w:tr>
      <w:tr w:rsidR="001D13C0" w14:paraId="3E0262BA" w14:textId="77777777" w:rsidTr="00515191">
        <w:trPr>
          <w:trHeight w:val="907"/>
        </w:trPr>
        <w:tc>
          <w:tcPr>
            <w:tcW w:w="1413" w:type="dxa"/>
          </w:tcPr>
          <w:p w14:paraId="70D12FE1" w14:textId="77777777" w:rsidR="001D13C0" w:rsidRDefault="001D13C0" w:rsidP="001D13C0">
            <w:pPr>
              <w:jc w:val="center"/>
            </w:pPr>
            <w:r>
              <w:t>-</w:t>
            </w:r>
          </w:p>
        </w:tc>
        <w:tc>
          <w:tcPr>
            <w:tcW w:w="3544" w:type="dxa"/>
          </w:tcPr>
          <w:p w14:paraId="2426CA58" w14:textId="77777777" w:rsidR="001D13C0" w:rsidRDefault="001D13C0" w:rsidP="001D13C0">
            <w:pPr>
              <w:pStyle w:val="bulletT1"/>
              <w:numPr>
                <w:ilvl w:val="0"/>
                <w:numId w:val="0"/>
              </w:numPr>
              <w:ind w:left="170"/>
            </w:pPr>
            <w:r>
              <w:t>-</w:t>
            </w:r>
          </w:p>
        </w:tc>
        <w:tc>
          <w:tcPr>
            <w:tcW w:w="2030" w:type="dxa"/>
          </w:tcPr>
          <w:p w14:paraId="7F2D5254" w14:textId="77777777" w:rsidR="001D13C0" w:rsidRDefault="001D13C0" w:rsidP="001D13C0">
            <w:pPr>
              <w:jc w:val="left"/>
            </w:pPr>
            <w:r>
              <w:t>-</w:t>
            </w:r>
          </w:p>
        </w:tc>
        <w:tc>
          <w:tcPr>
            <w:tcW w:w="2030" w:type="dxa"/>
          </w:tcPr>
          <w:p w14:paraId="08BC61D8" w14:textId="77777777" w:rsidR="001D13C0" w:rsidRDefault="001D13C0" w:rsidP="001D13C0">
            <w:pPr>
              <w:jc w:val="left"/>
            </w:pPr>
            <w:r>
              <w:t>-</w:t>
            </w:r>
          </w:p>
        </w:tc>
      </w:tr>
    </w:tbl>
    <w:p w14:paraId="50488053" w14:textId="79C91DA4" w:rsidR="00A41A16" w:rsidRDefault="00A41A16" w:rsidP="005505A0">
      <w:pPr>
        <w:pStyle w:val="Instructions"/>
      </w:pPr>
    </w:p>
    <w:sectPr w:rsidR="00A41A16" w:rsidSect="007E29DA">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F50E8" w14:textId="77777777" w:rsidR="00CC0F62" w:rsidRDefault="00CC0F62" w:rsidP="00F46DE6">
      <w:r>
        <w:separator/>
      </w:r>
    </w:p>
    <w:p w14:paraId="7BAFCEF0" w14:textId="77777777" w:rsidR="00CC0F62" w:rsidRDefault="00CC0F62" w:rsidP="00F46DE6"/>
  </w:endnote>
  <w:endnote w:type="continuationSeparator" w:id="0">
    <w:p w14:paraId="56EE3245" w14:textId="77777777" w:rsidR="00CC0F62" w:rsidRDefault="00CC0F62" w:rsidP="00F46DE6">
      <w:r>
        <w:continuationSeparator/>
      </w:r>
    </w:p>
    <w:p w14:paraId="0B0B5CC8" w14:textId="77777777" w:rsidR="00CC0F62" w:rsidRDefault="00CC0F62"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6A0F"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316E95F8"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7A7C20BC" w14:textId="77777777" w:rsidR="00276842" w:rsidRDefault="00DD3075" w:rsidP="00DD3075">
    <w:hyperlink r:id="rId1" w:history="1">
      <w:r w:rsidRPr="00D317E8">
        <w:rPr>
          <w:rStyle w:val="Hyperlink"/>
        </w:rPr>
        <w:t>http://www.birmingham.ac.uk/research/activity/mds/mds-rkto/governance/index.aspx</w:t>
      </w:r>
    </w:hyperlink>
  </w:p>
  <w:p w14:paraId="0700BDBE"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0B15" w14:textId="77777777" w:rsidR="007773B9" w:rsidRPr="0097056C" w:rsidRDefault="007773B9" w:rsidP="00C56078">
    <w:pPr>
      <w:pStyle w:val="Footer"/>
    </w:pPr>
    <w:r w:rsidRPr="0097056C">
      <w:t>Property of the University of Birmingham, Vincent Drive, Edgbaston, Birmingham, B15 2TT, United Kingdom.</w:t>
    </w:r>
  </w:p>
  <w:p w14:paraId="5EE6DCC0" w14:textId="77777777" w:rsidR="007773B9" w:rsidRPr="0097056C" w:rsidRDefault="007773B9" w:rsidP="00C56078">
    <w:pPr>
      <w:pStyle w:val="Footer"/>
    </w:pPr>
    <w:r w:rsidRPr="0097056C">
      <w:t>This is a controlled document. Any unauthorised prints/downloads of this document will be classed as uncontrolled.</w:t>
    </w:r>
  </w:p>
  <w:p w14:paraId="59AF8D76" w14:textId="77777777" w:rsidR="0097056C" w:rsidRDefault="007773B9" w:rsidP="00C56078">
    <w:pPr>
      <w:pStyle w:val="Footer"/>
      <w:rPr>
        <w:rStyle w:val="Hyperlink"/>
      </w:rPr>
    </w:pPr>
    <w:r w:rsidRPr="0097056C">
      <w:t xml:space="preserve">For the latest version refer to: </w:t>
    </w:r>
    <w:hyperlink r:id="rId1" w:tooltip="Link to the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1CDF"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037D989E" w14:textId="77777777" w:rsidTr="00A5347A">
      <w:trPr>
        <w:trHeight w:val="148"/>
      </w:trPr>
      <w:tc>
        <w:tcPr>
          <w:tcW w:w="1441" w:type="dxa"/>
          <w:tcMar>
            <w:top w:w="0" w:type="dxa"/>
            <w:left w:w="57" w:type="dxa"/>
            <w:bottom w:w="0" w:type="dxa"/>
            <w:right w:w="57" w:type="dxa"/>
          </w:tcMar>
          <w:vAlign w:val="center"/>
        </w:tcPr>
        <w:p w14:paraId="03EDFD2B"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5C15FBD0" w14:textId="4FB4172D" w:rsidR="00A668FC" w:rsidRPr="001C6EFB" w:rsidRDefault="003575BF" w:rsidP="00A5347A">
          <w:pPr>
            <w:pStyle w:val="Footer"/>
            <w:jc w:val="left"/>
          </w:pPr>
          <w:r>
            <w:t>UoB-CQM-POL-001</w:t>
          </w:r>
        </w:p>
      </w:tc>
      <w:tc>
        <w:tcPr>
          <w:tcW w:w="3283" w:type="dxa"/>
          <w:tcMar>
            <w:top w:w="0" w:type="dxa"/>
            <w:left w:w="57" w:type="dxa"/>
            <w:bottom w:w="0" w:type="dxa"/>
            <w:right w:w="57" w:type="dxa"/>
          </w:tcMar>
          <w:vAlign w:val="center"/>
        </w:tcPr>
        <w:p w14:paraId="526A464F"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5218262E" w14:textId="0274C380" w:rsidR="00A668FC" w:rsidRPr="001C6EFB" w:rsidRDefault="00044A64" w:rsidP="00A5347A">
          <w:pPr>
            <w:pStyle w:val="Footer"/>
            <w:jc w:val="right"/>
          </w:pPr>
          <w:r>
            <w:fldChar w:fldCharType="begin"/>
          </w:r>
          <w:r>
            <w:instrText xml:space="preserve"> DATE  \@ "dd-MMM-yyyy"  \* MERGEFORMAT </w:instrText>
          </w:r>
          <w:r>
            <w:fldChar w:fldCharType="separate"/>
          </w:r>
          <w:r w:rsidR="00700FF0">
            <w:rPr>
              <w:noProof/>
            </w:rPr>
            <w:t>03-Feb-2025</w:t>
          </w:r>
          <w:r>
            <w:fldChar w:fldCharType="end"/>
          </w:r>
        </w:p>
      </w:tc>
    </w:tr>
    <w:tr w:rsidR="00A668FC" w:rsidRPr="002D6577" w14:paraId="28F4B37A" w14:textId="77777777" w:rsidTr="00A5347A">
      <w:tc>
        <w:tcPr>
          <w:tcW w:w="1441" w:type="dxa"/>
          <w:tcMar>
            <w:top w:w="0" w:type="dxa"/>
            <w:left w:w="57" w:type="dxa"/>
            <w:bottom w:w="0" w:type="dxa"/>
            <w:right w:w="57" w:type="dxa"/>
          </w:tcMar>
          <w:vAlign w:val="center"/>
        </w:tcPr>
        <w:p w14:paraId="04549A14"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3CA798FA" w14:textId="3DB3A191" w:rsidR="00A668FC" w:rsidRPr="001C6EFB" w:rsidRDefault="00B553CC" w:rsidP="00A5347A">
          <w:pPr>
            <w:pStyle w:val="Footer"/>
            <w:jc w:val="left"/>
          </w:pPr>
          <w:r>
            <w:t>3.0</w:t>
          </w:r>
        </w:p>
      </w:tc>
      <w:tc>
        <w:tcPr>
          <w:tcW w:w="3283" w:type="dxa"/>
          <w:tcMar>
            <w:top w:w="0" w:type="dxa"/>
            <w:left w:w="57" w:type="dxa"/>
            <w:bottom w:w="0" w:type="dxa"/>
            <w:right w:w="57" w:type="dxa"/>
          </w:tcMar>
          <w:vAlign w:val="center"/>
        </w:tcPr>
        <w:p w14:paraId="04A49301"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38A83B38"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4E962AE2"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C1A8" w14:textId="77777777" w:rsidR="00DD3075" w:rsidRDefault="00DD3075"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02BF" w14:textId="77777777" w:rsidR="00CC0F62" w:rsidRDefault="00CC0F62" w:rsidP="00F46DE6">
      <w:r>
        <w:separator/>
      </w:r>
    </w:p>
    <w:p w14:paraId="356F315A" w14:textId="77777777" w:rsidR="00CC0F62" w:rsidRDefault="00CC0F62" w:rsidP="00F46DE6"/>
  </w:footnote>
  <w:footnote w:type="continuationSeparator" w:id="0">
    <w:p w14:paraId="785B4025" w14:textId="77777777" w:rsidR="00CC0F62" w:rsidRDefault="00CC0F62" w:rsidP="00F46DE6">
      <w:r>
        <w:continuationSeparator/>
      </w:r>
    </w:p>
    <w:p w14:paraId="5FB8B6AA" w14:textId="77777777" w:rsidR="00CC0F62" w:rsidRDefault="00CC0F62"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E0A8" w14:textId="77777777" w:rsidR="00A91AC7" w:rsidRDefault="00FF0711" w:rsidP="00A91AC7">
    <w:pPr>
      <w:jc w:val="left"/>
    </w:pPr>
    <w:r w:rsidRPr="00F16569">
      <w:rPr>
        <w:noProof/>
        <w:lang w:eastAsia="en-GB"/>
      </w:rPr>
      <w:drawing>
        <wp:anchor distT="0" distB="0" distL="114300" distR="114300" simplePos="0" relativeHeight="251657728" behindDoc="0" locked="0" layoutInCell="1" allowOverlap="1" wp14:anchorId="06DDBE01" wp14:editId="03CEE4A3">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44D779AD" w14:textId="77777777" w:rsidTr="00901562">
      <w:trPr>
        <w:trHeight w:val="278"/>
        <w:tblHeader/>
      </w:trPr>
      <w:tc>
        <w:tcPr>
          <w:tcW w:w="1555" w:type="dxa"/>
          <w:vAlign w:val="center"/>
        </w:tcPr>
        <w:p w14:paraId="794855EF" w14:textId="77777777" w:rsidR="00A91AC7" w:rsidRDefault="00A91AC7" w:rsidP="005405BD">
          <w:pPr>
            <w:pStyle w:val="Footer"/>
            <w:jc w:val="left"/>
          </w:pPr>
          <w:r w:rsidRPr="001C6EFB">
            <w:t>Document code:</w:t>
          </w:r>
        </w:p>
      </w:tc>
      <w:tc>
        <w:tcPr>
          <w:tcW w:w="2154" w:type="dxa"/>
          <w:vAlign w:val="center"/>
        </w:tcPr>
        <w:p w14:paraId="6715A7E9" w14:textId="2F1ABCEA" w:rsidR="00A91AC7" w:rsidRDefault="003575BF" w:rsidP="005405BD">
          <w:pPr>
            <w:pStyle w:val="Footer"/>
            <w:jc w:val="right"/>
          </w:pPr>
          <w:r>
            <w:t>UoB-CQM-POL-001</w:t>
          </w:r>
        </w:p>
      </w:tc>
    </w:tr>
    <w:tr w:rsidR="00A91AC7" w14:paraId="7139E498" w14:textId="77777777" w:rsidTr="00901562">
      <w:trPr>
        <w:trHeight w:val="278"/>
      </w:trPr>
      <w:tc>
        <w:tcPr>
          <w:tcW w:w="1555" w:type="dxa"/>
          <w:vAlign w:val="center"/>
        </w:tcPr>
        <w:p w14:paraId="1963A822" w14:textId="77777777" w:rsidR="00A91AC7" w:rsidRDefault="00A91AC7" w:rsidP="005405BD">
          <w:pPr>
            <w:pStyle w:val="Footer"/>
            <w:jc w:val="left"/>
          </w:pPr>
          <w:r w:rsidRPr="001C6EFB">
            <w:t>Version no:</w:t>
          </w:r>
        </w:p>
      </w:tc>
      <w:tc>
        <w:tcPr>
          <w:tcW w:w="2154" w:type="dxa"/>
          <w:vAlign w:val="center"/>
        </w:tcPr>
        <w:p w14:paraId="1F35E25E" w14:textId="0229E4EF" w:rsidR="00A91AC7" w:rsidRDefault="00B553CC" w:rsidP="005405BD">
          <w:pPr>
            <w:pStyle w:val="Footer"/>
            <w:jc w:val="right"/>
          </w:pPr>
          <w:r>
            <w:t>3.0</w:t>
          </w:r>
        </w:p>
      </w:tc>
    </w:tr>
    <w:tr w:rsidR="00A91AC7" w14:paraId="0DE6A03C" w14:textId="77777777" w:rsidTr="00901562">
      <w:trPr>
        <w:trHeight w:val="278"/>
      </w:trPr>
      <w:tc>
        <w:tcPr>
          <w:tcW w:w="1555" w:type="dxa"/>
          <w:vAlign w:val="center"/>
        </w:tcPr>
        <w:p w14:paraId="5503A11D" w14:textId="77777777" w:rsidR="00A91AC7" w:rsidRDefault="00A91AC7" w:rsidP="005405BD">
          <w:pPr>
            <w:pStyle w:val="Footer"/>
            <w:jc w:val="left"/>
          </w:pPr>
          <w:r>
            <w:t>Effective date:</w:t>
          </w:r>
        </w:p>
      </w:tc>
      <w:tc>
        <w:tcPr>
          <w:tcW w:w="2154" w:type="dxa"/>
          <w:vAlign w:val="center"/>
        </w:tcPr>
        <w:p w14:paraId="0748C628" w14:textId="2A45089B" w:rsidR="00A91AC7" w:rsidRDefault="00B553CC" w:rsidP="005405BD">
          <w:pPr>
            <w:pStyle w:val="Footer"/>
            <w:jc w:val="right"/>
          </w:pPr>
          <w:r>
            <w:t>28-Feb-2025</w:t>
          </w:r>
        </w:p>
      </w:tc>
    </w:tr>
    <w:tr w:rsidR="00A91AC7" w14:paraId="4C3ADC3F" w14:textId="77777777" w:rsidTr="00901562">
      <w:trPr>
        <w:trHeight w:val="278"/>
      </w:trPr>
      <w:tc>
        <w:tcPr>
          <w:tcW w:w="1555" w:type="dxa"/>
          <w:vAlign w:val="center"/>
        </w:tcPr>
        <w:p w14:paraId="639DDE02" w14:textId="77777777" w:rsidR="00A91AC7" w:rsidRPr="001C6EFB" w:rsidRDefault="00A91AC7" w:rsidP="005405BD">
          <w:pPr>
            <w:pStyle w:val="Footer"/>
            <w:jc w:val="left"/>
          </w:pPr>
          <w:r>
            <w:t>Print d</w:t>
          </w:r>
          <w:r w:rsidRPr="001C6EFB">
            <w:t>ate:</w:t>
          </w:r>
        </w:p>
      </w:tc>
      <w:tc>
        <w:tcPr>
          <w:tcW w:w="2154" w:type="dxa"/>
          <w:vAlign w:val="center"/>
        </w:tcPr>
        <w:p w14:paraId="3A5AE61E" w14:textId="1D376E05" w:rsidR="00A91AC7" w:rsidRDefault="00A91AC7" w:rsidP="005405BD">
          <w:pPr>
            <w:pStyle w:val="Footer"/>
            <w:jc w:val="right"/>
          </w:pPr>
          <w:r>
            <w:fldChar w:fldCharType="begin"/>
          </w:r>
          <w:r>
            <w:instrText xml:space="preserve"> DATE  \@ "dd-MMM-yyyy"  \* MERGEFORMAT </w:instrText>
          </w:r>
          <w:r>
            <w:fldChar w:fldCharType="separate"/>
          </w:r>
          <w:r w:rsidR="00700FF0">
            <w:rPr>
              <w:noProof/>
            </w:rPr>
            <w:t>03-Feb-2025</w:t>
          </w:r>
          <w:r>
            <w:fldChar w:fldCharType="end"/>
          </w:r>
        </w:p>
      </w:tc>
    </w:tr>
    <w:tr w:rsidR="00A91AC7" w14:paraId="13A288E8" w14:textId="77777777" w:rsidTr="00901562">
      <w:trPr>
        <w:trHeight w:val="278"/>
      </w:trPr>
      <w:tc>
        <w:tcPr>
          <w:tcW w:w="1555" w:type="dxa"/>
          <w:vAlign w:val="center"/>
        </w:tcPr>
        <w:p w14:paraId="09204471" w14:textId="77777777" w:rsidR="00A91AC7" w:rsidRPr="001C6EFB" w:rsidRDefault="00A91AC7" w:rsidP="005405BD">
          <w:pPr>
            <w:pStyle w:val="Footer"/>
            <w:jc w:val="left"/>
          </w:pPr>
          <w:r w:rsidRPr="001C6EFB">
            <w:t>Page:</w:t>
          </w:r>
        </w:p>
      </w:tc>
      <w:tc>
        <w:tcPr>
          <w:tcW w:w="2154" w:type="dxa"/>
          <w:vAlign w:val="center"/>
        </w:tcPr>
        <w:p w14:paraId="35EE5794"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5D6AF256"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F8B3"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0E34" w14:textId="59C5C0F5" w:rsidR="00DD3075" w:rsidRPr="00F64FE9" w:rsidRDefault="003575BF" w:rsidP="00F5404A">
    <w:pPr>
      <w:pStyle w:val="Header"/>
    </w:pPr>
    <w:r>
      <w:t>Clinical Research Quality manual</w:t>
    </w:r>
  </w:p>
  <w:p w14:paraId="19019C76"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A68D" w14:textId="77777777" w:rsidR="00DD3075" w:rsidRDefault="00DD3075" w:rsidP="00F5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9F78ED"/>
    <w:multiLevelType w:val="hybridMultilevel"/>
    <w:tmpl w:val="B8541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8C14EF"/>
    <w:multiLevelType w:val="multilevel"/>
    <w:tmpl w:val="658E95DC"/>
    <w:numStyleLink w:val="Style2"/>
  </w:abstractNum>
  <w:abstractNum w:abstractNumId="5"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2"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0"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9" w15:restartNumberingAfterBreak="0">
    <w:nsid w:val="7ECA55BA"/>
    <w:multiLevelType w:val="hybridMultilevel"/>
    <w:tmpl w:val="0DEEAF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654262897">
    <w:abstractNumId w:val="12"/>
  </w:num>
  <w:num w:numId="2" w16cid:durableId="1739474749">
    <w:abstractNumId w:val="16"/>
  </w:num>
  <w:num w:numId="3" w16cid:durableId="1854150415">
    <w:abstractNumId w:val="0"/>
  </w:num>
  <w:num w:numId="4" w16cid:durableId="215943045">
    <w:abstractNumId w:val="25"/>
  </w:num>
  <w:num w:numId="5" w16cid:durableId="2125686376">
    <w:abstractNumId w:val="19"/>
  </w:num>
  <w:num w:numId="6" w16cid:durableId="2092387593">
    <w:abstractNumId w:val="27"/>
  </w:num>
  <w:num w:numId="7" w16cid:durableId="223492826">
    <w:abstractNumId w:val="5"/>
  </w:num>
  <w:num w:numId="8" w16cid:durableId="731470395">
    <w:abstractNumId w:val="17"/>
  </w:num>
  <w:num w:numId="9" w16cid:durableId="2105565099">
    <w:abstractNumId w:val="22"/>
  </w:num>
  <w:num w:numId="10" w16cid:durableId="1768579366">
    <w:abstractNumId w:val="28"/>
  </w:num>
  <w:num w:numId="11" w16cid:durableId="377358866">
    <w:abstractNumId w:val="9"/>
  </w:num>
  <w:num w:numId="12" w16cid:durableId="2095010244">
    <w:abstractNumId w:val="11"/>
  </w:num>
  <w:num w:numId="13" w16cid:durableId="2058551307">
    <w:abstractNumId w:val="8"/>
  </w:num>
  <w:num w:numId="14" w16cid:durableId="1890919626">
    <w:abstractNumId w:val="13"/>
  </w:num>
  <w:num w:numId="15" w16cid:durableId="701518233">
    <w:abstractNumId w:val="11"/>
  </w:num>
  <w:num w:numId="16" w16cid:durableId="1555506712">
    <w:abstractNumId w:val="11"/>
  </w:num>
  <w:num w:numId="17" w16cid:durableId="1065487552">
    <w:abstractNumId w:val="0"/>
  </w:num>
  <w:num w:numId="18" w16cid:durableId="72357749">
    <w:abstractNumId w:val="26"/>
  </w:num>
  <w:num w:numId="19" w16cid:durableId="366568144">
    <w:abstractNumId w:val="0"/>
  </w:num>
  <w:num w:numId="20" w16cid:durableId="2100324454">
    <w:abstractNumId w:val="21"/>
  </w:num>
  <w:num w:numId="21" w16cid:durableId="2129202077">
    <w:abstractNumId w:val="11"/>
    <w:lvlOverride w:ilvl="0">
      <w:startOverride w:val="1"/>
    </w:lvlOverride>
  </w:num>
  <w:num w:numId="22" w16cid:durableId="1954165539">
    <w:abstractNumId w:val="11"/>
    <w:lvlOverride w:ilvl="0">
      <w:startOverride w:val="1"/>
    </w:lvlOverride>
  </w:num>
  <w:num w:numId="23" w16cid:durableId="560099238">
    <w:abstractNumId w:val="11"/>
    <w:lvlOverride w:ilvl="0">
      <w:startOverride w:val="1"/>
    </w:lvlOverride>
  </w:num>
  <w:num w:numId="24" w16cid:durableId="1946960506">
    <w:abstractNumId w:val="11"/>
    <w:lvlOverride w:ilvl="0">
      <w:startOverride w:val="1"/>
    </w:lvlOverride>
  </w:num>
  <w:num w:numId="25" w16cid:durableId="1730835557">
    <w:abstractNumId w:val="0"/>
  </w:num>
  <w:num w:numId="26" w16cid:durableId="967080295">
    <w:abstractNumId w:val="7"/>
  </w:num>
  <w:num w:numId="27" w16cid:durableId="455682754">
    <w:abstractNumId w:val="10"/>
  </w:num>
  <w:num w:numId="28" w16cid:durableId="1084448835">
    <w:abstractNumId w:val="1"/>
  </w:num>
  <w:num w:numId="29" w16cid:durableId="905992767">
    <w:abstractNumId w:val="24"/>
  </w:num>
  <w:num w:numId="30" w16cid:durableId="658921717">
    <w:abstractNumId w:val="3"/>
  </w:num>
  <w:num w:numId="31" w16cid:durableId="1615671213">
    <w:abstractNumId w:val="20"/>
  </w:num>
  <w:num w:numId="32" w16cid:durableId="58675607">
    <w:abstractNumId w:val="6"/>
  </w:num>
  <w:num w:numId="33" w16cid:durableId="1008018007">
    <w:abstractNumId w:val="23"/>
  </w:num>
  <w:num w:numId="34" w16cid:durableId="1129473326">
    <w:abstractNumId w:val="14"/>
  </w:num>
  <w:num w:numId="35" w16cid:durableId="660040120">
    <w:abstractNumId w:val="18"/>
  </w:num>
  <w:num w:numId="36" w16cid:durableId="1228865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1"/>
    <w:lvlOverride w:ilvl="0">
      <w:startOverride w:val="1"/>
    </w:lvlOverride>
  </w:num>
  <w:num w:numId="38" w16cid:durableId="833684335">
    <w:abstractNumId w:val="11"/>
    <w:lvlOverride w:ilvl="0">
      <w:startOverride w:val="1"/>
    </w:lvlOverride>
  </w:num>
  <w:num w:numId="39" w16cid:durableId="529488213">
    <w:abstractNumId w:val="15"/>
  </w:num>
  <w:num w:numId="40" w16cid:durableId="378089861">
    <w:abstractNumId w:val="4"/>
  </w:num>
  <w:num w:numId="41" w16cid:durableId="144588217">
    <w:abstractNumId w:val="11"/>
    <w:lvlOverride w:ilvl="0">
      <w:startOverride w:val="1"/>
    </w:lvlOverride>
  </w:num>
  <w:num w:numId="42" w16cid:durableId="274756452">
    <w:abstractNumId w:val="11"/>
    <w:lvlOverride w:ilvl="0">
      <w:startOverride w:val="1"/>
    </w:lvlOverride>
  </w:num>
  <w:num w:numId="43" w16cid:durableId="2142065682">
    <w:abstractNumId w:val="2"/>
  </w:num>
  <w:num w:numId="44" w16cid:durableId="712578409">
    <w:abstractNumId w:val="29"/>
  </w:num>
  <w:num w:numId="45" w16cid:durableId="2133477163">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DA"/>
    <w:rsid w:val="00001923"/>
    <w:rsid w:val="00001A7E"/>
    <w:rsid w:val="00002C08"/>
    <w:rsid w:val="00003FB4"/>
    <w:rsid w:val="000045FB"/>
    <w:rsid w:val="000060AE"/>
    <w:rsid w:val="0001086D"/>
    <w:rsid w:val="00012800"/>
    <w:rsid w:val="00012D29"/>
    <w:rsid w:val="00013B08"/>
    <w:rsid w:val="000146F1"/>
    <w:rsid w:val="000226EC"/>
    <w:rsid w:val="000229C5"/>
    <w:rsid w:val="00023007"/>
    <w:rsid w:val="00023BC0"/>
    <w:rsid w:val="000317D8"/>
    <w:rsid w:val="00036DDD"/>
    <w:rsid w:val="000374CB"/>
    <w:rsid w:val="000379D7"/>
    <w:rsid w:val="00037A9C"/>
    <w:rsid w:val="000421FD"/>
    <w:rsid w:val="00043513"/>
    <w:rsid w:val="00044A64"/>
    <w:rsid w:val="00053A54"/>
    <w:rsid w:val="0005610D"/>
    <w:rsid w:val="000567D3"/>
    <w:rsid w:val="00056940"/>
    <w:rsid w:val="000629BB"/>
    <w:rsid w:val="000639EF"/>
    <w:rsid w:val="00064262"/>
    <w:rsid w:val="00064F56"/>
    <w:rsid w:val="000650E5"/>
    <w:rsid w:val="00072AD5"/>
    <w:rsid w:val="00072F51"/>
    <w:rsid w:val="000746E9"/>
    <w:rsid w:val="0007480B"/>
    <w:rsid w:val="00075A9D"/>
    <w:rsid w:val="00075E80"/>
    <w:rsid w:val="0007643A"/>
    <w:rsid w:val="00077D41"/>
    <w:rsid w:val="00082A5C"/>
    <w:rsid w:val="00083C9D"/>
    <w:rsid w:val="0009369B"/>
    <w:rsid w:val="00095BED"/>
    <w:rsid w:val="00095EFA"/>
    <w:rsid w:val="00097B78"/>
    <w:rsid w:val="000A0DFF"/>
    <w:rsid w:val="000A1324"/>
    <w:rsid w:val="000A1B0F"/>
    <w:rsid w:val="000A56BF"/>
    <w:rsid w:val="000A7BE6"/>
    <w:rsid w:val="000B1E3E"/>
    <w:rsid w:val="000B442E"/>
    <w:rsid w:val="000B6210"/>
    <w:rsid w:val="000B797C"/>
    <w:rsid w:val="000C1A19"/>
    <w:rsid w:val="000C29FF"/>
    <w:rsid w:val="000C3681"/>
    <w:rsid w:val="000C45B6"/>
    <w:rsid w:val="000C5087"/>
    <w:rsid w:val="000C54A1"/>
    <w:rsid w:val="000C7208"/>
    <w:rsid w:val="000D053D"/>
    <w:rsid w:val="000D34E7"/>
    <w:rsid w:val="000D3D68"/>
    <w:rsid w:val="000D3E8C"/>
    <w:rsid w:val="000D43A3"/>
    <w:rsid w:val="000D4912"/>
    <w:rsid w:val="000D677A"/>
    <w:rsid w:val="000D70AA"/>
    <w:rsid w:val="000D7D37"/>
    <w:rsid w:val="000E2B7C"/>
    <w:rsid w:val="000E2EAB"/>
    <w:rsid w:val="000E3D24"/>
    <w:rsid w:val="000E5841"/>
    <w:rsid w:val="000F2380"/>
    <w:rsid w:val="000F2ECE"/>
    <w:rsid w:val="000F391A"/>
    <w:rsid w:val="00100541"/>
    <w:rsid w:val="00100D71"/>
    <w:rsid w:val="00101773"/>
    <w:rsid w:val="00101B2B"/>
    <w:rsid w:val="001034FC"/>
    <w:rsid w:val="00103FD0"/>
    <w:rsid w:val="00104D42"/>
    <w:rsid w:val="00105091"/>
    <w:rsid w:val="001057FB"/>
    <w:rsid w:val="001064D3"/>
    <w:rsid w:val="00110971"/>
    <w:rsid w:val="00113C46"/>
    <w:rsid w:val="00113E78"/>
    <w:rsid w:val="00117898"/>
    <w:rsid w:val="001206F6"/>
    <w:rsid w:val="00120959"/>
    <w:rsid w:val="00121F28"/>
    <w:rsid w:val="00122579"/>
    <w:rsid w:val="00123C6B"/>
    <w:rsid w:val="00123F4E"/>
    <w:rsid w:val="00124792"/>
    <w:rsid w:val="00125667"/>
    <w:rsid w:val="00127D56"/>
    <w:rsid w:val="001300C8"/>
    <w:rsid w:val="0013051D"/>
    <w:rsid w:val="0013059D"/>
    <w:rsid w:val="00130E43"/>
    <w:rsid w:val="00134690"/>
    <w:rsid w:val="00134766"/>
    <w:rsid w:val="00135E89"/>
    <w:rsid w:val="0014385C"/>
    <w:rsid w:val="001445C0"/>
    <w:rsid w:val="00146B30"/>
    <w:rsid w:val="00146C56"/>
    <w:rsid w:val="001522D8"/>
    <w:rsid w:val="001526FE"/>
    <w:rsid w:val="00163B7C"/>
    <w:rsid w:val="00163F57"/>
    <w:rsid w:val="001653F1"/>
    <w:rsid w:val="00165F48"/>
    <w:rsid w:val="0017416F"/>
    <w:rsid w:val="00174B60"/>
    <w:rsid w:val="00174E0E"/>
    <w:rsid w:val="001751C1"/>
    <w:rsid w:val="001775A9"/>
    <w:rsid w:val="00180B87"/>
    <w:rsid w:val="00182896"/>
    <w:rsid w:val="0018309A"/>
    <w:rsid w:val="001841A1"/>
    <w:rsid w:val="00184BB7"/>
    <w:rsid w:val="001856A7"/>
    <w:rsid w:val="00190C93"/>
    <w:rsid w:val="001926BF"/>
    <w:rsid w:val="00193A69"/>
    <w:rsid w:val="00194832"/>
    <w:rsid w:val="00194EE8"/>
    <w:rsid w:val="00195717"/>
    <w:rsid w:val="00196565"/>
    <w:rsid w:val="001976C1"/>
    <w:rsid w:val="001A024E"/>
    <w:rsid w:val="001A142E"/>
    <w:rsid w:val="001A26D3"/>
    <w:rsid w:val="001A4718"/>
    <w:rsid w:val="001A4A77"/>
    <w:rsid w:val="001A544B"/>
    <w:rsid w:val="001A561F"/>
    <w:rsid w:val="001A60DE"/>
    <w:rsid w:val="001A6228"/>
    <w:rsid w:val="001A723A"/>
    <w:rsid w:val="001B17B1"/>
    <w:rsid w:val="001B1E29"/>
    <w:rsid w:val="001B2717"/>
    <w:rsid w:val="001B30AD"/>
    <w:rsid w:val="001B3B91"/>
    <w:rsid w:val="001B3D01"/>
    <w:rsid w:val="001B412F"/>
    <w:rsid w:val="001B4AF2"/>
    <w:rsid w:val="001B4B12"/>
    <w:rsid w:val="001B5617"/>
    <w:rsid w:val="001C314A"/>
    <w:rsid w:val="001C372D"/>
    <w:rsid w:val="001C614D"/>
    <w:rsid w:val="001C6EFB"/>
    <w:rsid w:val="001C75D5"/>
    <w:rsid w:val="001D0B50"/>
    <w:rsid w:val="001D1245"/>
    <w:rsid w:val="001D13C0"/>
    <w:rsid w:val="001D17A5"/>
    <w:rsid w:val="001D1986"/>
    <w:rsid w:val="001D28AC"/>
    <w:rsid w:val="001D3B22"/>
    <w:rsid w:val="001D3DB7"/>
    <w:rsid w:val="001D6728"/>
    <w:rsid w:val="001D6F89"/>
    <w:rsid w:val="001D7507"/>
    <w:rsid w:val="001D7813"/>
    <w:rsid w:val="001E07D8"/>
    <w:rsid w:val="001E16FE"/>
    <w:rsid w:val="001E4117"/>
    <w:rsid w:val="001E41A3"/>
    <w:rsid w:val="001E424B"/>
    <w:rsid w:val="001F0840"/>
    <w:rsid w:val="001F4FC3"/>
    <w:rsid w:val="001F559B"/>
    <w:rsid w:val="001F62A2"/>
    <w:rsid w:val="001F7182"/>
    <w:rsid w:val="001F7B3B"/>
    <w:rsid w:val="001F7B4E"/>
    <w:rsid w:val="002002DA"/>
    <w:rsid w:val="00201133"/>
    <w:rsid w:val="0020166A"/>
    <w:rsid w:val="00202189"/>
    <w:rsid w:val="00202B8D"/>
    <w:rsid w:val="002041BC"/>
    <w:rsid w:val="0020434B"/>
    <w:rsid w:val="0020439E"/>
    <w:rsid w:val="00205993"/>
    <w:rsid w:val="00206578"/>
    <w:rsid w:val="002106E5"/>
    <w:rsid w:val="00210C1A"/>
    <w:rsid w:val="0021165B"/>
    <w:rsid w:val="00211B96"/>
    <w:rsid w:val="002135BA"/>
    <w:rsid w:val="00214550"/>
    <w:rsid w:val="0022018B"/>
    <w:rsid w:val="00220406"/>
    <w:rsid w:val="002227A2"/>
    <w:rsid w:val="0022356E"/>
    <w:rsid w:val="00225D8E"/>
    <w:rsid w:val="00231612"/>
    <w:rsid w:val="00234600"/>
    <w:rsid w:val="0023483C"/>
    <w:rsid w:val="002365F5"/>
    <w:rsid w:val="00243576"/>
    <w:rsid w:val="002444DB"/>
    <w:rsid w:val="0024558E"/>
    <w:rsid w:val="00245BE3"/>
    <w:rsid w:val="00246623"/>
    <w:rsid w:val="0024670C"/>
    <w:rsid w:val="00247206"/>
    <w:rsid w:val="00247F23"/>
    <w:rsid w:val="00250233"/>
    <w:rsid w:val="002518EA"/>
    <w:rsid w:val="002549E9"/>
    <w:rsid w:val="00254B93"/>
    <w:rsid w:val="0025522A"/>
    <w:rsid w:val="00255F8B"/>
    <w:rsid w:val="00260007"/>
    <w:rsid w:val="0026080C"/>
    <w:rsid w:val="00264399"/>
    <w:rsid w:val="0026440F"/>
    <w:rsid w:val="00266CBF"/>
    <w:rsid w:val="00270EA8"/>
    <w:rsid w:val="00271C48"/>
    <w:rsid w:val="00271E95"/>
    <w:rsid w:val="00272F58"/>
    <w:rsid w:val="00275BAE"/>
    <w:rsid w:val="00276048"/>
    <w:rsid w:val="00276842"/>
    <w:rsid w:val="00281585"/>
    <w:rsid w:val="00282C10"/>
    <w:rsid w:val="00283490"/>
    <w:rsid w:val="00283ED8"/>
    <w:rsid w:val="00290F8C"/>
    <w:rsid w:val="0029237B"/>
    <w:rsid w:val="002937FE"/>
    <w:rsid w:val="00293A11"/>
    <w:rsid w:val="00293BDD"/>
    <w:rsid w:val="00294BC6"/>
    <w:rsid w:val="002952B5"/>
    <w:rsid w:val="0029582C"/>
    <w:rsid w:val="00297DEB"/>
    <w:rsid w:val="002A068A"/>
    <w:rsid w:val="002A0B65"/>
    <w:rsid w:val="002A2680"/>
    <w:rsid w:val="002A27DC"/>
    <w:rsid w:val="002A330A"/>
    <w:rsid w:val="002A38A5"/>
    <w:rsid w:val="002A57C2"/>
    <w:rsid w:val="002A5FA6"/>
    <w:rsid w:val="002A6563"/>
    <w:rsid w:val="002A68D6"/>
    <w:rsid w:val="002B016B"/>
    <w:rsid w:val="002B0D8B"/>
    <w:rsid w:val="002B10B6"/>
    <w:rsid w:val="002B6735"/>
    <w:rsid w:val="002C0E28"/>
    <w:rsid w:val="002C3B21"/>
    <w:rsid w:val="002C67A4"/>
    <w:rsid w:val="002D49D7"/>
    <w:rsid w:val="002D5106"/>
    <w:rsid w:val="002D6577"/>
    <w:rsid w:val="002D7DCC"/>
    <w:rsid w:val="002E3060"/>
    <w:rsid w:val="002E3BB0"/>
    <w:rsid w:val="002E6AE2"/>
    <w:rsid w:val="002E6CD6"/>
    <w:rsid w:val="002E721B"/>
    <w:rsid w:val="002F0ACA"/>
    <w:rsid w:val="002F281C"/>
    <w:rsid w:val="002F35CA"/>
    <w:rsid w:val="002F4844"/>
    <w:rsid w:val="002F490C"/>
    <w:rsid w:val="002F787E"/>
    <w:rsid w:val="00301050"/>
    <w:rsid w:val="003016D5"/>
    <w:rsid w:val="00302135"/>
    <w:rsid w:val="00304754"/>
    <w:rsid w:val="003104BF"/>
    <w:rsid w:val="00310F22"/>
    <w:rsid w:val="00314B72"/>
    <w:rsid w:val="0031673C"/>
    <w:rsid w:val="00320049"/>
    <w:rsid w:val="0032079B"/>
    <w:rsid w:val="00320D89"/>
    <w:rsid w:val="00323A54"/>
    <w:rsid w:val="0032408C"/>
    <w:rsid w:val="00324A19"/>
    <w:rsid w:val="00324BBB"/>
    <w:rsid w:val="003313C3"/>
    <w:rsid w:val="00333888"/>
    <w:rsid w:val="00335D05"/>
    <w:rsid w:val="00337B7A"/>
    <w:rsid w:val="00340F17"/>
    <w:rsid w:val="00342788"/>
    <w:rsid w:val="00342C1E"/>
    <w:rsid w:val="00342CC7"/>
    <w:rsid w:val="00343541"/>
    <w:rsid w:val="00345620"/>
    <w:rsid w:val="00350A42"/>
    <w:rsid w:val="00351A2D"/>
    <w:rsid w:val="00352FD6"/>
    <w:rsid w:val="003575BF"/>
    <w:rsid w:val="003607CB"/>
    <w:rsid w:val="00360FEE"/>
    <w:rsid w:val="00361913"/>
    <w:rsid w:val="0036201D"/>
    <w:rsid w:val="00363E3C"/>
    <w:rsid w:val="00365D77"/>
    <w:rsid w:val="00367496"/>
    <w:rsid w:val="003713E4"/>
    <w:rsid w:val="00372E92"/>
    <w:rsid w:val="003730A6"/>
    <w:rsid w:val="0037641D"/>
    <w:rsid w:val="00380579"/>
    <w:rsid w:val="00381B35"/>
    <w:rsid w:val="003854BD"/>
    <w:rsid w:val="003876D0"/>
    <w:rsid w:val="00387EFA"/>
    <w:rsid w:val="00391A7C"/>
    <w:rsid w:val="00393C4E"/>
    <w:rsid w:val="00395F1E"/>
    <w:rsid w:val="00396CD2"/>
    <w:rsid w:val="003A1879"/>
    <w:rsid w:val="003A1FDF"/>
    <w:rsid w:val="003A2150"/>
    <w:rsid w:val="003A24EB"/>
    <w:rsid w:val="003A2A2C"/>
    <w:rsid w:val="003A4D84"/>
    <w:rsid w:val="003A5879"/>
    <w:rsid w:val="003A70FF"/>
    <w:rsid w:val="003A7897"/>
    <w:rsid w:val="003B0005"/>
    <w:rsid w:val="003B15C9"/>
    <w:rsid w:val="003B1F55"/>
    <w:rsid w:val="003B1FA8"/>
    <w:rsid w:val="003B2DA7"/>
    <w:rsid w:val="003B34FB"/>
    <w:rsid w:val="003B56C0"/>
    <w:rsid w:val="003B64F8"/>
    <w:rsid w:val="003B72BD"/>
    <w:rsid w:val="003C04AD"/>
    <w:rsid w:val="003C0E81"/>
    <w:rsid w:val="003C35EE"/>
    <w:rsid w:val="003C3654"/>
    <w:rsid w:val="003C720C"/>
    <w:rsid w:val="003D25C9"/>
    <w:rsid w:val="003D3E7C"/>
    <w:rsid w:val="003D42E3"/>
    <w:rsid w:val="003D4BD6"/>
    <w:rsid w:val="003D51DC"/>
    <w:rsid w:val="003D7997"/>
    <w:rsid w:val="003E073D"/>
    <w:rsid w:val="003E6162"/>
    <w:rsid w:val="003E6AEB"/>
    <w:rsid w:val="003F0145"/>
    <w:rsid w:val="003F1B82"/>
    <w:rsid w:val="003F2345"/>
    <w:rsid w:val="003F499F"/>
    <w:rsid w:val="003F4E5F"/>
    <w:rsid w:val="003F608D"/>
    <w:rsid w:val="003F64A9"/>
    <w:rsid w:val="003F7147"/>
    <w:rsid w:val="003F7AD7"/>
    <w:rsid w:val="00401840"/>
    <w:rsid w:val="00403449"/>
    <w:rsid w:val="00404742"/>
    <w:rsid w:val="0040651B"/>
    <w:rsid w:val="00410682"/>
    <w:rsid w:val="0041265B"/>
    <w:rsid w:val="00413F0A"/>
    <w:rsid w:val="00414858"/>
    <w:rsid w:val="00414F68"/>
    <w:rsid w:val="00417854"/>
    <w:rsid w:val="00420EB6"/>
    <w:rsid w:val="00422A7E"/>
    <w:rsid w:val="004233AD"/>
    <w:rsid w:val="0042380D"/>
    <w:rsid w:val="00423E00"/>
    <w:rsid w:val="004243C4"/>
    <w:rsid w:val="00424C48"/>
    <w:rsid w:val="00424D85"/>
    <w:rsid w:val="00426CB9"/>
    <w:rsid w:val="00427189"/>
    <w:rsid w:val="00431633"/>
    <w:rsid w:val="00432B0E"/>
    <w:rsid w:val="00432B85"/>
    <w:rsid w:val="00433584"/>
    <w:rsid w:val="00434072"/>
    <w:rsid w:val="004342B5"/>
    <w:rsid w:val="00435EAE"/>
    <w:rsid w:val="00440FF1"/>
    <w:rsid w:val="00441632"/>
    <w:rsid w:val="00441DE6"/>
    <w:rsid w:val="00445DD9"/>
    <w:rsid w:val="00446C08"/>
    <w:rsid w:val="00447DE8"/>
    <w:rsid w:val="00454205"/>
    <w:rsid w:val="004610F9"/>
    <w:rsid w:val="004620ED"/>
    <w:rsid w:val="00462B5B"/>
    <w:rsid w:val="00462CF7"/>
    <w:rsid w:val="00464527"/>
    <w:rsid w:val="00465B6C"/>
    <w:rsid w:val="004669A9"/>
    <w:rsid w:val="00467F74"/>
    <w:rsid w:val="00474B7F"/>
    <w:rsid w:val="00475745"/>
    <w:rsid w:val="004762FE"/>
    <w:rsid w:val="0047658C"/>
    <w:rsid w:val="00476DB0"/>
    <w:rsid w:val="0047700B"/>
    <w:rsid w:val="004773E0"/>
    <w:rsid w:val="004810D9"/>
    <w:rsid w:val="0048194C"/>
    <w:rsid w:val="004827DE"/>
    <w:rsid w:val="00482B0E"/>
    <w:rsid w:val="00483EDB"/>
    <w:rsid w:val="004852CB"/>
    <w:rsid w:val="00485E6A"/>
    <w:rsid w:val="0048641A"/>
    <w:rsid w:val="00490084"/>
    <w:rsid w:val="00491001"/>
    <w:rsid w:val="0049154B"/>
    <w:rsid w:val="00494B31"/>
    <w:rsid w:val="00495546"/>
    <w:rsid w:val="00496C83"/>
    <w:rsid w:val="00497990"/>
    <w:rsid w:val="00497A4C"/>
    <w:rsid w:val="00497E87"/>
    <w:rsid w:val="004A064F"/>
    <w:rsid w:val="004A1B2A"/>
    <w:rsid w:val="004A3526"/>
    <w:rsid w:val="004A364B"/>
    <w:rsid w:val="004A4882"/>
    <w:rsid w:val="004A4FF8"/>
    <w:rsid w:val="004A5805"/>
    <w:rsid w:val="004A75B7"/>
    <w:rsid w:val="004B03A3"/>
    <w:rsid w:val="004B09E5"/>
    <w:rsid w:val="004B0C68"/>
    <w:rsid w:val="004B0C77"/>
    <w:rsid w:val="004B2A69"/>
    <w:rsid w:val="004B3DB9"/>
    <w:rsid w:val="004B7034"/>
    <w:rsid w:val="004C0434"/>
    <w:rsid w:val="004C2253"/>
    <w:rsid w:val="004C366B"/>
    <w:rsid w:val="004C46FF"/>
    <w:rsid w:val="004C526D"/>
    <w:rsid w:val="004C560A"/>
    <w:rsid w:val="004C5E89"/>
    <w:rsid w:val="004C6631"/>
    <w:rsid w:val="004D05BE"/>
    <w:rsid w:val="004D1722"/>
    <w:rsid w:val="004D1948"/>
    <w:rsid w:val="004D23FC"/>
    <w:rsid w:val="004E21EE"/>
    <w:rsid w:val="004E3D00"/>
    <w:rsid w:val="004E4840"/>
    <w:rsid w:val="004E4D87"/>
    <w:rsid w:val="004E5613"/>
    <w:rsid w:val="004E5F84"/>
    <w:rsid w:val="004E7EB2"/>
    <w:rsid w:val="004F245C"/>
    <w:rsid w:val="004F28BC"/>
    <w:rsid w:val="004F644F"/>
    <w:rsid w:val="00500409"/>
    <w:rsid w:val="005024F4"/>
    <w:rsid w:val="00502A82"/>
    <w:rsid w:val="005030FC"/>
    <w:rsid w:val="00512BE1"/>
    <w:rsid w:val="00512C56"/>
    <w:rsid w:val="00513DB5"/>
    <w:rsid w:val="00514285"/>
    <w:rsid w:val="005142C2"/>
    <w:rsid w:val="00515191"/>
    <w:rsid w:val="005157E6"/>
    <w:rsid w:val="00515F0F"/>
    <w:rsid w:val="00516200"/>
    <w:rsid w:val="0051741B"/>
    <w:rsid w:val="005223BE"/>
    <w:rsid w:val="00522648"/>
    <w:rsid w:val="00522ABB"/>
    <w:rsid w:val="00523A04"/>
    <w:rsid w:val="0052436B"/>
    <w:rsid w:val="005244FB"/>
    <w:rsid w:val="00525CA4"/>
    <w:rsid w:val="0052745F"/>
    <w:rsid w:val="00527E78"/>
    <w:rsid w:val="005343E6"/>
    <w:rsid w:val="005354C1"/>
    <w:rsid w:val="0053623B"/>
    <w:rsid w:val="005401E6"/>
    <w:rsid w:val="005405BD"/>
    <w:rsid w:val="005431BE"/>
    <w:rsid w:val="00543C1B"/>
    <w:rsid w:val="00544DCA"/>
    <w:rsid w:val="005505A0"/>
    <w:rsid w:val="0055153E"/>
    <w:rsid w:val="0055342C"/>
    <w:rsid w:val="005535E1"/>
    <w:rsid w:val="00556B76"/>
    <w:rsid w:val="0055740E"/>
    <w:rsid w:val="005636D5"/>
    <w:rsid w:val="005663EA"/>
    <w:rsid w:val="005708FE"/>
    <w:rsid w:val="00571788"/>
    <w:rsid w:val="00571A9B"/>
    <w:rsid w:val="00581DA3"/>
    <w:rsid w:val="005823E1"/>
    <w:rsid w:val="0058476F"/>
    <w:rsid w:val="00584775"/>
    <w:rsid w:val="00584B0A"/>
    <w:rsid w:val="00584DA2"/>
    <w:rsid w:val="00586C5E"/>
    <w:rsid w:val="00587557"/>
    <w:rsid w:val="00592FFB"/>
    <w:rsid w:val="00593FA9"/>
    <w:rsid w:val="005948ED"/>
    <w:rsid w:val="005951E3"/>
    <w:rsid w:val="0059568E"/>
    <w:rsid w:val="005956FD"/>
    <w:rsid w:val="00595EC7"/>
    <w:rsid w:val="0059652D"/>
    <w:rsid w:val="005A1486"/>
    <w:rsid w:val="005A1CF3"/>
    <w:rsid w:val="005A6461"/>
    <w:rsid w:val="005B2B90"/>
    <w:rsid w:val="005B2E43"/>
    <w:rsid w:val="005B5509"/>
    <w:rsid w:val="005B5AA9"/>
    <w:rsid w:val="005B6465"/>
    <w:rsid w:val="005B743F"/>
    <w:rsid w:val="005C38BD"/>
    <w:rsid w:val="005C7A45"/>
    <w:rsid w:val="005C7D15"/>
    <w:rsid w:val="005D085D"/>
    <w:rsid w:val="005D17F6"/>
    <w:rsid w:val="005D321A"/>
    <w:rsid w:val="005D40D9"/>
    <w:rsid w:val="005D56D3"/>
    <w:rsid w:val="005E1F7C"/>
    <w:rsid w:val="005F0420"/>
    <w:rsid w:val="005F0995"/>
    <w:rsid w:val="005F175F"/>
    <w:rsid w:val="005F1AD8"/>
    <w:rsid w:val="005F2DE3"/>
    <w:rsid w:val="005F520A"/>
    <w:rsid w:val="00600106"/>
    <w:rsid w:val="0060052C"/>
    <w:rsid w:val="00600957"/>
    <w:rsid w:val="006031E9"/>
    <w:rsid w:val="0060493A"/>
    <w:rsid w:val="00605E24"/>
    <w:rsid w:val="006119AC"/>
    <w:rsid w:val="00613A01"/>
    <w:rsid w:val="006147A9"/>
    <w:rsid w:val="006176B2"/>
    <w:rsid w:val="00617A5C"/>
    <w:rsid w:val="00624B79"/>
    <w:rsid w:val="00624D91"/>
    <w:rsid w:val="006272D5"/>
    <w:rsid w:val="00630316"/>
    <w:rsid w:val="0063129B"/>
    <w:rsid w:val="00634CA3"/>
    <w:rsid w:val="00636907"/>
    <w:rsid w:val="00636BD2"/>
    <w:rsid w:val="006372C5"/>
    <w:rsid w:val="00640296"/>
    <w:rsid w:val="006410C9"/>
    <w:rsid w:val="0064154D"/>
    <w:rsid w:val="0064327C"/>
    <w:rsid w:val="0064360D"/>
    <w:rsid w:val="00644780"/>
    <w:rsid w:val="006452BA"/>
    <w:rsid w:val="00646D09"/>
    <w:rsid w:val="0064709E"/>
    <w:rsid w:val="00651CD9"/>
    <w:rsid w:val="00653B3D"/>
    <w:rsid w:val="00654502"/>
    <w:rsid w:val="006561C0"/>
    <w:rsid w:val="00657D72"/>
    <w:rsid w:val="00660DC2"/>
    <w:rsid w:val="00661398"/>
    <w:rsid w:val="00663FDE"/>
    <w:rsid w:val="00664185"/>
    <w:rsid w:val="00664543"/>
    <w:rsid w:val="0066505A"/>
    <w:rsid w:val="006672E7"/>
    <w:rsid w:val="00670599"/>
    <w:rsid w:val="0067375A"/>
    <w:rsid w:val="00676181"/>
    <w:rsid w:val="006775AF"/>
    <w:rsid w:val="00684803"/>
    <w:rsid w:val="00684DA0"/>
    <w:rsid w:val="00684E7A"/>
    <w:rsid w:val="00690BFE"/>
    <w:rsid w:val="00692ACD"/>
    <w:rsid w:val="00692DFA"/>
    <w:rsid w:val="0069367A"/>
    <w:rsid w:val="006941D1"/>
    <w:rsid w:val="00696301"/>
    <w:rsid w:val="00696B18"/>
    <w:rsid w:val="006A057F"/>
    <w:rsid w:val="006A0825"/>
    <w:rsid w:val="006A0A4C"/>
    <w:rsid w:val="006A28EA"/>
    <w:rsid w:val="006A4F9A"/>
    <w:rsid w:val="006A51C0"/>
    <w:rsid w:val="006A52C2"/>
    <w:rsid w:val="006A5B18"/>
    <w:rsid w:val="006B0E53"/>
    <w:rsid w:val="006B270C"/>
    <w:rsid w:val="006B351B"/>
    <w:rsid w:val="006B66EE"/>
    <w:rsid w:val="006C0879"/>
    <w:rsid w:val="006C1279"/>
    <w:rsid w:val="006C5003"/>
    <w:rsid w:val="006D5AEF"/>
    <w:rsid w:val="006D7F52"/>
    <w:rsid w:val="006E32A4"/>
    <w:rsid w:val="006E39DA"/>
    <w:rsid w:val="006E57D8"/>
    <w:rsid w:val="006E7209"/>
    <w:rsid w:val="006F30B1"/>
    <w:rsid w:val="006F3CB0"/>
    <w:rsid w:val="006F6EFF"/>
    <w:rsid w:val="006F7027"/>
    <w:rsid w:val="00700FF0"/>
    <w:rsid w:val="007026B0"/>
    <w:rsid w:val="007029A2"/>
    <w:rsid w:val="0070323D"/>
    <w:rsid w:val="00703A15"/>
    <w:rsid w:val="00704E9B"/>
    <w:rsid w:val="00705708"/>
    <w:rsid w:val="00705FD1"/>
    <w:rsid w:val="007064B3"/>
    <w:rsid w:val="00710D7B"/>
    <w:rsid w:val="00712A28"/>
    <w:rsid w:val="00714ABF"/>
    <w:rsid w:val="00715858"/>
    <w:rsid w:val="00715EB6"/>
    <w:rsid w:val="007213A3"/>
    <w:rsid w:val="0072425C"/>
    <w:rsid w:val="007265FC"/>
    <w:rsid w:val="00726D2D"/>
    <w:rsid w:val="00727E41"/>
    <w:rsid w:val="007302DF"/>
    <w:rsid w:val="00731E89"/>
    <w:rsid w:val="007327DD"/>
    <w:rsid w:val="00733973"/>
    <w:rsid w:val="00734CF6"/>
    <w:rsid w:val="007363E6"/>
    <w:rsid w:val="00736B4B"/>
    <w:rsid w:val="0074146D"/>
    <w:rsid w:val="007427DD"/>
    <w:rsid w:val="00743FCE"/>
    <w:rsid w:val="00745292"/>
    <w:rsid w:val="00745CB4"/>
    <w:rsid w:val="00746BB7"/>
    <w:rsid w:val="00747905"/>
    <w:rsid w:val="00752E2A"/>
    <w:rsid w:val="00754D1F"/>
    <w:rsid w:val="00757628"/>
    <w:rsid w:val="00757A1A"/>
    <w:rsid w:val="007602C8"/>
    <w:rsid w:val="00760E2A"/>
    <w:rsid w:val="00761F87"/>
    <w:rsid w:val="007642D1"/>
    <w:rsid w:val="007655EC"/>
    <w:rsid w:val="00765A24"/>
    <w:rsid w:val="00765C85"/>
    <w:rsid w:val="00766627"/>
    <w:rsid w:val="007668D7"/>
    <w:rsid w:val="00766C73"/>
    <w:rsid w:val="00770647"/>
    <w:rsid w:val="007728F9"/>
    <w:rsid w:val="00775F22"/>
    <w:rsid w:val="007764EB"/>
    <w:rsid w:val="007773B9"/>
    <w:rsid w:val="00780DA8"/>
    <w:rsid w:val="00784A51"/>
    <w:rsid w:val="00785B80"/>
    <w:rsid w:val="007862F4"/>
    <w:rsid w:val="007877C6"/>
    <w:rsid w:val="00787A16"/>
    <w:rsid w:val="00790CBC"/>
    <w:rsid w:val="00791AC8"/>
    <w:rsid w:val="0079417E"/>
    <w:rsid w:val="00794AB7"/>
    <w:rsid w:val="00795FC7"/>
    <w:rsid w:val="007A44B0"/>
    <w:rsid w:val="007A4BF0"/>
    <w:rsid w:val="007A6E56"/>
    <w:rsid w:val="007B0EA9"/>
    <w:rsid w:val="007B1246"/>
    <w:rsid w:val="007B2EC7"/>
    <w:rsid w:val="007B2EFE"/>
    <w:rsid w:val="007B4836"/>
    <w:rsid w:val="007B53E5"/>
    <w:rsid w:val="007B5831"/>
    <w:rsid w:val="007B58A5"/>
    <w:rsid w:val="007B6DB7"/>
    <w:rsid w:val="007B72E2"/>
    <w:rsid w:val="007B743E"/>
    <w:rsid w:val="007C10CF"/>
    <w:rsid w:val="007C1DD7"/>
    <w:rsid w:val="007C2BD5"/>
    <w:rsid w:val="007C400B"/>
    <w:rsid w:val="007C587F"/>
    <w:rsid w:val="007C5977"/>
    <w:rsid w:val="007C5C93"/>
    <w:rsid w:val="007D3863"/>
    <w:rsid w:val="007D5093"/>
    <w:rsid w:val="007D5B85"/>
    <w:rsid w:val="007D68C1"/>
    <w:rsid w:val="007D79E6"/>
    <w:rsid w:val="007D7C01"/>
    <w:rsid w:val="007E29DA"/>
    <w:rsid w:val="007E625E"/>
    <w:rsid w:val="007E6F36"/>
    <w:rsid w:val="007F25E4"/>
    <w:rsid w:val="007F2E7E"/>
    <w:rsid w:val="007F4437"/>
    <w:rsid w:val="007F539A"/>
    <w:rsid w:val="007F62D4"/>
    <w:rsid w:val="007F7223"/>
    <w:rsid w:val="007F73CA"/>
    <w:rsid w:val="007F7FAC"/>
    <w:rsid w:val="0080048F"/>
    <w:rsid w:val="008016C1"/>
    <w:rsid w:val="0080244D"/>
    <w:rsid w:val="0080264D"/>
    <w:rsid w:val="00802A77"/>
    <w:rsid w:val="00802FD3"/>
    <w:rsid w:val="008036AB"/>
    <w:rsid w:val="0080371D"/>
    <w:rsid w:val="00803F0F"/>
    <w:rsid w:val="008044C3"/>
    <w:rsid w:val="00804525"/>
    <w:rsid w:val="00804622"/>
    <w:rsid w:val="00806E77"/>
    <w:rsid w:val="008076E5"/>
    <w:rsid w:val="00807A32"/>
    <w:rsid w:val="008103FD"/>
    <w:rsid w:val="00811195"/>
    <w:rsid w:val="008125A6"/>
    <w:rsid w:val="008129C1"/>
    <w:rsid w:val="00814346"/>
    <w:rsid w:val="00814EC7"/>
    <w:rsid w:val="00815021"/>
    <w:rsid w:val="0081603F"/>
    <w:rsid w:val="0081675C"/>
    <w:rsid w:val="00816A33"/>
    <w:rsid w:val="00816D29"/>
    <w:rsid w:val="00817FDE"/>
    <w:rsid w:val="00820C0F"/>
    <w:rsid w:val="008235B1"/>
    <w:rsid w:val="0082632B"/>
    <w:rsid w:val="0082795A"/>
    <w:rsid w:val="0083169E"/>
    <w:rsid w:val="00831C3E"/>
    <w:rsid w:val="00832412"/>
    <w:rsid w:val="00834888"/>
    <w:rsid w:val="00835AD2"/>
    <w:rsid w:val="00837331"/>
    <w:rsid w:val="00840893"/>
    <w:rsid w:val="008424AF"/>
    <w:rsid w:val="008435F5"/>
    <w:rsid w:val="008440FA"/>
    <w:rsid w:val="0084432A"/>
    <w:rsid w:val="008509F9"/>
    <w:rsid w:val="00851971"/>
    <w:rsid w:val="00852323"/>
    <w:rsid w:val="00860971"/>
    <w:rsid w:val="00860FC1"/>
    <w:rsid w:val="00860FC2"/>
    <w:rsid w:val="00862C8C"/>
    <w:rsid w:val="00864335"/>
    <w:rsid w:val="008647F2"/>
    <w:rsid w:val="00870BB2"/>
    <w:rsid w:val="008715F3"/>
    <w:rsid w:val="00875CAF"/>
    <w:rsid w:val="00875EAE"/>
    <w:rsid w:val="008766D7"/>
    <w:rsid w:val="00880629"/>
    <w:rsid w:val="008823B6"/>
    <w:rsid w:val="00882800"/>
    <w:rsid w:val="00882FC2"/>
    <w:rsid w:val="00884E26"/>
    <w:rsid w:val="00886A0B"/>
    <w:rsid w:val="00891DC3"/>
    <w:rsid w:val="00893B82"/>
    <w:rsid w:val="00893CC2"/>
    <w:rsid w:val="00895128"/>
    <w:rsid w:val="008A0005"/>
    <w:rsid w:val="008A053A"/>
    <w:rsid w:val="008A13DF"/>
    <w:rsid w:val="008A41DE"/>
    <w:rsid w:val="008A5826"/>
    <w:rsid w:val="008A682E"/>
    <w:rsid w:val="008A7373"/>
    <w:rsid w:val="008A7F4B"/>
    <w:rsid w:val="008B1692"/>
    <w:rsid w:val="008B1C2E"/>
    <w:rsid w:val="008B4B57"/>
    <w:rsid w:val="008B564A"/>
    <w:rsid w:val="008B5A32"/>
    <w:rsid w:val="008B6B2A"/>
    <w:rsid w:val="008C0049"/>
    <w:rsid w:val="008C1D56"/>
    <w:rsid w:val="008C2F7E"/>
    <w:rsid w:val="008C75C7"/>
    <w:rsid w:val="008C7BEB"/>
    <w:rsid w:val="008C7F8E"/>
    <w:rsid w:val="008D1E7C"/>
    <w:rsid w:val="008D31AF"/>
    <w:rsid w:val="008D54DF"/>
    <w:rsid w:val="008D6C84"/>
    <w:rsid w:val="008E2669"/>
    <w:rsid w:val="008E30FD"/>
    <w:rsid w:val="008E4568"/>
    <w:rsid w:val="008E466A"/>
    <w:rsid w:val="008E5C88"/>
    <w:rsid w:val="008E601E"/>
    <w:rsid w:val="008E79D2"/>
    <w:rsid w:val="008F0335"/>
    <w:rsid w:val="008F0D57"/>
    <w:rsid w:val="008F3747"/>
    <w:rsid w:val="008F3DCA"/>
    <w:rsid w:val="008F40D0"/>
    <w:rsid w:val="008F5FE0"/>
    <w:rsid w:val="008F795D"/>
    <w:rsid w:val="0090097B"/>
    <w:rsid w:val="00901562"/>
    <w:rsid w:val="00902F90"/>
    <w:rsid w:val="00907B94"/>
    <w:rsid w:val="00913142"/>
    <w:rsid w:val="0091437E"/>
    <w:rsid w:val="00914FF9"/>
    <w:rsid w:val="009161CB"/>
    <w:rsid w:val="0091627A"/>
    <w:rsid w:val="009212E1"/>
    <w:rsid w:val="0092130C"/>
    <w:rsid w:val="009218BC"/>
    <w:rsid w:val="00924799"/>
    <w:rsid w:val="009271F8"/>
    <w:rsid w:val="00927836"/>
    <w:rsid w:val="00927957"/>
    <w:rsid w:val="0093143A"/>
    <w:rsid w:val="00931ABA"/>
    <w:rsid w:val="00935A62"/>
    <w:rsid w:val="00935ADD"/>
    <w:rsid w:val="00937647"/>
    <w:rsid w:val="00937A31"/>
    <w:rsid w:val="00942587"/>
    <w:rsid w:val="0094272E"/>
    <w:rsid w:val="00944528"/>
    <w:rsid w:val="0094547A"/>
    <w:rsid w:val="0094639E"/>
    <w:rsid w:val="00946465"/>
    <w:rsid w:val="0095225D"/>
    <w:rsid w:val="00952D96"/>
    <w:rsid w:val="00953E7D"/>
    <w:rsid w:val="00955EE1"/>
    <w:rsid w:val="009576BD"/>
    <w:rsid w:val="00960C75"/>
    <w:rsid w:val="00961343"/>
    <w:rsid w:val="00962995"/>
    <w:rsid w:val="00962BA7"/>
    <w:rsid w:val="009665CF"/>
    <w:rsid w:val="00966850"/>
    <w:rsid w:val="0097056C"/>
    <w:rsid w:val="00971826"/>
    <w:rsid w:val="009719C3"/>
    <w:rsid w:val="00971F1C"/>
    <w:rsid w:val="009725E3"/>
    <w:rsid w:val="00975188"/>
    <w:rsid w:val="0097653D"/>
    <w:rsid w:val="00977586"/>
    <w:rsid w:val="0098039B"/>
    <w:rsid w:val="00980CC8"/>
    <w:rsid w:val="00982575"/>
    <w:rsid w:val="00982A3C"/>
    <w:rsid w:val="00983431"/>
    <w:rsid w:val="00984F87"/>
    <w:rsid w:val="009946CD"/>
    <w:rsid w:val="0099679E"/>
    <w:rsid w:val="009A2040"/>
    <w:rsid w:val="009A221B"/>
    <w:rsid w:val="009A3446"/>
    <w:rsid w:val="009A7025"/>
    <w:rsid w:val="009B26BA"/>
    <w:rsid w:val="009B3478"/>
    <w:rsid w:val="009B4522"/>
    <w:rsid w:val="009B533B"/>
    <w:rsid w:val="009C2C63"/>
    <w:rsid w:val="009C4257"/>
    <w:rsid w:val="009C52B9"/>
    <w:rsid w:val="009C5723"/>
    <w:rsid w:val="009C7DA9"/>
    <w:rsid w:val="009D0F66"/>
    <w:rsid w:val="009D1643"/>
    <w:rsid w:val="009D2891"/>
    <w:rsid w:val="009D6F1F"/>
    <w:rsid w:val="009E08FF"/>
    <w:rsid w:val="009E11DD"/>
    <w:rsid w:val="009E2610"/>
    <w:rsid w:val="009E3DFA"/>
    <w:rsid w:val="009E44AF"/>
    <w:rsid w:val="009E45A3"/>
    <w:rsid w:val="009F0638"/>
    <w:rsid w:val="009F1369"/>
    <w:rsid w:val="009F16DA"/>
    <w:rsid w:val="009F2327"/>
    <w:rsid w:val="009F2F77"/>
    <w:rsid w:val="009F4706"/>
    <w:rsid w:val="009F4AC7"/>
    <w:rsid w:val="009F627E"/>
    <w:rsid w:val="009F6F16"/>
    <w:rsid w:val="00A00156"/>
    <w:rsid w:val="00A00BE8"/>
    <w:rsid w:val="00A01291"/>
    <w:rsid w:val="00A01C93"/>
    <w:rsid w:val="00A0271E"/>
    <w:rsid w:val="00A034B2"/>
    <w:rsid w:val="00A04885"/>
    <w:rsid w:val="00A06B2E"/>
    <w:rsid w:val="00A070BA"/>
    <w:rsid w:val="00A11970"/>
    <w:rsid w:val="00A11FDD"/>
    <w:rsid w:val="00A123E1"/>
    <w:rsid w:val="00A13CB0"/>
    <w:rsid w:val="00A140D5"/>
    <w:rsid w:val="00A1609B"/>
    <w:rsid w:val="00A179CC"/>
    <w:rsid w:val="00A21EF3"/>
    <w:rsid w:val="00A264AD"/>
    <w:rsid w:val="00A26E2C"/>
    <w:rsid w:val="00A306A4"/>
    <w:rsid w:val="00A308A4"/>
    <w:rsid w:val="00A31C6D"/>
    <w:rsid w:val="00A31E00"/>
    <w:rsid w:val="00A3465C"/>
    <w:rsid w:val="00A3579A"/>
    <w:rsid w:val="00A35E4F"/>
    <w:rsid w:val="00A41A16"/>
    <w:rsid w:val="00A41AB2"/>
    <w:rsid w:val="00A45F7D"/>
    <w:rsid w:val="00A46AE5"/>
    <w:rsid w:val="00A50D27"/>
    <w:rsid w:val="00A5240E"/>
    <w:rsid w:val="00A52879"/>
    <w:rsid w:val="00A5347A"/>
    <w:rsid w:val="00A5391E"/>
    <w:rsid w:val="00A53FD2"/>
    <w:rsid w:val="00A54B6D"/>
    <w:rsid w:val="00A554FF"/>
    <w:rsid w:val="00A55A06"/>
    <w:rsid w:val="00A55C72"/>
    <w:rsid w:val="00A561E5"/>
    <w:rsid w:val="00A5670C"/>
    <w:rsid w:val="00A57390"/>
    <w:rsid w:val="00A6082D"/>
    <w:rsid w:val="00A60989"/>
    <w:rsid w:val="00A6339F"/>
    <w:rsid w:val="00A64B4F"/>
    <w:rsid w:val="00A6537A"/>
    <w:rsid w:val="00A66148"/>
    <w:rsid w:val="00A668FC"/>
    <w:rsid w:val="00A675E2"/>
    <w:rsid w:val="00A70703"/>
    <w:rsid w:val="00A7084E"/>
    <w:rsid w:val="00A72562"/>
    <w:rsid w:val="00A74DB6"/>
    <w:rsid w:val="00A74E71"/>
    <w:rsid w:val="00A75686"/>
    <w:rsid w:val="00A7704C"/>
    <w:rsid w:val="00A80207"/>
    <w:rsid w:val="00A822DC"/>
    <w:rsid w:val="00A84701"/>
    <w:rsid w:val="00A86630"/>
    <w:rsid w:val="00A9009C"/>
    <w:rsid w:val="00A91815"/>
    <w:rsid w:val="00A91AC7"/>
    <w:rsid w:val="00A93988"/>
    <w:rsid w:val="00A9456D"/>
    <w:rsid w:val="00A95C65"/>
    <w:rsid w:val="00A95F02"/>
    <w:rsid w:val="00A96162"/>
    <w:rsid w:val="00AA1571"/>
    <w:rsid w:val="00AA1665"/>
    <w:rsid w:val="00AA1AD4"/>
    <w:rsid w:val="00AA3234"/>
    <w:rsid w:val="00AA6011"/>
    <w:rsid w:val="00AA65E7"/>
    <w:rsid w:val="00AA74BA"/>
    <w:rsid w:val="00AA7510"/>
    <w:rsid w:val="00AB2EAD"/>
    <w:rsid w:val="00AB3EF3"/>
    <w:rsid w:val="00AB566D"/>
    <w:rsid w:val="00AB704E"/>
    <w:rsid w:val="00AC0978"/>
    <w:rsid w:val="00AC1646"/>
    <w:rsid w:val="00AC215A"/>
    <w:rsid w:val="00AC5EAA"/>
    <w:rsid w:val="00AC6A3D"/>
    <w:rsid w:val="00AC6F4B"/>
    <w:rsid w:val="00AC767F"/>
    <w:rsid w:val="00AC7BE0"/>
    <w:rsid w:val="00AD13D7"/>
    <w:rsid w:val="00AD4665"/>
    <w:rsid w:val="00AD57CC"/>
    <w:rsid w:val="00AD6081"/>
    <w:rsid w:val="00AD65E0"/>
    <w:rsid w:val="00AE0456"/>
    <w:rsid w:val="00AE0AC8"/>
    <w:rsid w:val="00AE0E72"/>
    <w:rsid w:val="00AE18C6"/>
    <w:rsid w:val="00AE2516"/>
    <w:rsid w:val="00AE5591"/>
    <w:rsid w:val="00AE5780"/>
    <w:rsid w:val="00AE6309"/>
    <w:rsid w:val="00AE660F"/>
    <w:rsid w:val="00AE744B"/>
    <w:rsid w:val="00AF0C85"/>
    <w:rsid w:val="00AF10D0"/>
    <w:rsid w:val="00AF2C90"/>
    <w:rsid w:val="00AF3F3D"/>
    <w:rsid w:val="00AF4334"/>
    <w:rsid w:val="00AF7CD2"/>
    <w:rsid w:val="00B00E72"/>
    <w:rsid w:val="00B048BC"/>
    <w:rsid w:val="00B07452"/>
    <w:rsid w:val="00B1052F"/>
    <w:rsid w:val="00B10C05"/>
    <w:rsid w:val="00B11356"/>
    <w:rsid w:val="00B134F0"/>
    <w:rsid w:val="00B13B5E"/>
    <w:rsid w:val="00B14826"/>
    <w:rsid w:val="00B16E7D"/>
    <w:rsid w:val="00B22AD7"/>
    <w:rsid w:val="00B27204"/>
    <w:rsid w:val="00B30806"/>
    <w:rsid w:val="00B31A7C"/>
    <w:rsid w:val="00B31D84"/>
    <w:rsid w:val="00B35770"/>
    <w:rsid w:val="00B3606D"/>
    <w:rsid w:val="00B370FD"/>
    <w:rsid w:val="00B37374"/>
    <w:rsid w:val="00B40C5F"/>
    <w:rsid w:val="00B4314C"/>
    <w:rsid w:val="00B452AE"/>
    <w:rsid w:val="00B53A1C"/>
    <w:rsid w:val="00B53C9D"/>
    <w:rsid w:val="00B5407B"/>
    <w:rsid w:val="00B553CC"/>
    <w:rsid w:val="00B55CFE"/>
    <w:rsid w:val="00B55F4C"/>
    <w:rsid w:val="00B6064B"/>
    <w:rsid w:val="00B62B9C"/>
    <w:rsid w:val="00B6322E"/>
    <w:rsid w:val="00B63EFB"/>
    <w:rsid w:val="00B63F21"/>
    <w:rsid w:val="00B72E42"/>
    <w:rsid w:val="00B730DD"/>
    <w:rsid w:val="00B747FB"/>
    <w:rsid w:val="00B7682F"/>
    <w:rsid w:val="00B76ACC"/>
    <w:rsid w:val="00B7758F"/>
    <w:rsid w:val="00B77B48"/>
    <w:rsid w:val="00B80F8D"/>
    <w:rsid w:val="00B837B7"/>
    <w:rsid w:val="00B837C7"/>
    <w:rsid w:val="00B84799"/>
    <w:rsid w:val="00B85843"/>
    <w:rsid w:val="00B86A0E"/>
    <w:rsid w:val="00B8709F"/>
    <w:rsid w:val="00B92012"/>
    <w:rsid w:val="00B928F6"/>
    <w:rsid w:val="00B92DA9"/>
    <w:rsid w:val="00B937B6"/>
    <w:rsid w:val="00B940A8"/>
    <w:rsid w:val="00B946B0"/>
    <w:rsid w:val="00B952E8"/>
    <w:rsid w:val="00B956B7"/>
    <w:rsid w:val="00B95C60"/>
    <w:rsid w:val="00B95EBA"/>
    <w:rsid w:val="00B967BD"/>
    <w:rsid w:val="00B9696A"/>
    <w:rsid w:val="00B97A9E"/>
    <w:rsid w:val="00BA59CF"/>
    <w:rsid w:val="00BB1019"/>
    <w:rsid w:val="00BB16B3"/>
    <w:rsid w:val="00BB21B7"/>
    <w:rsid w:val="00BB27E5"/>
    <w:rsid w:val="00BB2AF0"/>
    <w:rsid w:val="00BB30D5"/>
    <w:rsid w:val="00BB6ABD"/>
    <w:rsid w:val="00BC1224"/>
    <w:rsid w:val="00BD15D7"/>
    <w:rsid w:val="00BD1740"/>
    <w:rsid w:val="00BD3F7D"/>
    <w:rsid w:val="00BD4DD3"/>
    <w:rsid w:val="00BE10B4"/>
    <w:rsid w:val="00BE1BAC"/>
    <w:rsid w:val="00BE1DB1"/>
    <w:rsid w:val="00BE3721"/>
    <w:rsid w:val="00BE3FB9"/>
    <w:rsid w:val="00BE5AE5"/>
    <w:rsid w:val="00BF1599"/>
    <w:rsid w:val="00BF27CF"/>
    <w:rsid w:val="00BF3496"/>
    <w:rsid w:val="00BF4151"/>
    <w:rsid w:val="00BF4265"/>
    <w:rsid w:val="00BF6B08"/>
    <w:rsid w:val="00BF6D4D"/>
    <w:rsid w:val="00BF724F"/>
    <w:rsid w:val="00C01637"/>
    <w:rsid w:val="00C02B76"/>
    <w:rsid w:val="00C036D8"/>
    <w:rsid w:val="00C0382A"/>
    <w:rsid w:val="00C0396F"/>
    <w:rsid w:val="00C04721"/>
    <w:rsid w:val="00C04D64"/>
    <w:rsid w:val="00C05B28"/>
    <w:rsid w:val="00C06441"/>
    <w:rsid w:val="00C11049"/>
    <w:rsid w:val="00C126C0"/>
    <w:rsid w:val="00C13E05"/>
    <w:rsid w:val="00C16E6D"/>
    <w:rsid w:val="00C1744B"/>
    <w:rsid w:val="00C20F6B"/>
    <w:rsid w:val="00C24712"/>
    <w:rsid w:val="00C26572"/>
    <w:rsid w:val="00C30124"/>
    <w:rsid w:val="00C31D63"/>
    <w:rsid w:val="00C32D64"/>
    <w:rsid w:val="00C34052"/>
    <w:rsid w:val="00C34A3B"/>
    <w:rsid w:val="00C34E3D"/>
    <w:rsid w:val="00C35A19"/>
    <w:rsid w:val="00C3647F"/>
    <w:rsid w:val="00C36AE0"/>
    <w:rsid w:val="00C40F55"/>
    <w:rsid w:val="00C435CC"/>
    <w:rsid w:val="00C43BEC"/>
    <w:rsid w:val="00C4454A"/>
    <w:rsid w:val="00C45C15"/>
    <w:rsid w:val="00C47A51"/>
    <w:rsid w:val="00C51ECE"/>
    <w:rsid w:val="00C52E37"/>
    <w:rsid w:val="00C534D8"/>
    <w:rsid w:val="00C5401C"/>
    <w:rsid w:val="00C55413"/>
    <w:rsid w:val="00C56078"/>
    <w:rsid w:val="00C56ADA"/>
    <w:rsid w:val="00C56C83"/>
    <w:rsid w:val="00C57235"/>
    <w:rsid w:val="00C57921"/>
    <w:rsid w:val="00C62D7F"/>
    <w:rsid w:val="00C63E29"/>
    <w:rsid w:val="00C64616"/>
    <w:rsid w:val="00C64EED"/>
    <w:rsid w:val="00C6506E"/>
    <w:rsid w:val="00C65C41"/>
    <w:rsid w:val="00C66BF2"/>
    <w:rsid w:val="00C67B31"/>
    <w:rsid w:val="00C75D9A"/>
    <w:rsid w:val="00C76CBF"/>
    <w:rsid w:val="00C81571"/>
    <w:rsid w:val="00C81ADC"/>
    <w:rsid w:val="00C827C6"/>
    <w:rsid w:val="00C83525"/>
    <w:rsid w:val="00C8467F"/>
    <w:rsid w:val="00C84EEF"/>
    <w:rsid w:val="00C862EE"/>
    <w:rsid w:val="00C87A3B"/>
    <w:rsid w:val="00C90371"/>
    <w:rsid w:val="00C918BC"/>
    <w:rsid w:val="00C91CEB"/>
    <w:rsid w:val="00C92A09"/>
    <w:rsid w:val="00C93BBD"/>
    <w:rsid w:val="00C942FE"/>
    <w:rsid w:val="00C94C24"/>
    <w:rsid w:val="00CA03CB"/>
    <w:rsid w:val="00CA098E"/>
    <w:rsid w:val="00CA1E03"/>
    <w:rsid w:val="00CA2C1A"/>
    <w:rsid w:val="00CA5E9A"/>
    <w:rsid w:val="00CA7404"/>
    <w:rsid w:val="00CB07E8"/>
    <w:rsid w:val="00CB39B4"/>
    <w:rsid w:val="00CB4365"/>
    <w:rsid w:val="00CB45BA"/>
    <w:rsid w:val="00CB66C1"/>
    <w:rsid w:val="00CC02FF"/>
    <w:rsid w:val="00CC0682"/>
    <w:rsid w:val="00CC0F62"/>
    <w:rsid w:val="00CC1A24"/>
    <w:rsid w:val="00CC1DEC"/>
    <w:rsid w:val="00CC2B7A"/>
    <w:rsid w:val="00CC478A"/>
    <w:rsid w:val="00CC61A6"/>
    <w:rsid w:val="00CC6AA0"/>
    <w:rsid w:val="00CC6C2A"/>
    <w:rsid w:val="00CC7D5E"/>
    <w:rsid w:val="00CD03D2"/>
    <w:rsid w:val="00CD1532"/>
    <w:rsid w:val="00CD2F93"/>
    <w:rsid w:val="00CD3E66"/>
    <w:rsid w:val="00CD58BC"/>
    <w:rsid w:val="00CD5B93"/>
    <w:rsid w:val="00CD69F5"/>
    <w:rsid w:val="00CE116E"/>
    <w:rsid w:val="00CE2541"/>
    <w:rsid w:val="00CE2C58"/>
    <w:rsid w:val="00CE7D01"/>
    <w:rsid w:val="00CF03AB"/>
    <w:rsid w:val="00CF124E"/>
    <w:rsid w:val="00CF2072"/>
    <w:rsid w:val="00CF2082"/>
    <w:rsid w:val="00CF6E6B"/>
    <w:rsid w:val="00D00C72"/>
    <w:rsid w:val="00D017DD"/>
    <w:rsid w:val="00D01F82"/>
    <w:rsid w:val="00D0237D"/>
    <w:rsid w:val="00D02CDA"/>
    <w:rsid w:val="00D034D8"/>
    <w:rsid w:val="00D04619"/>
    <w:rsid w:val="00D05063"/>
    <w:rsid w:val="00D05DA4"/>
    <w:rsid w:val="00D07134"/>
    <w:rsid w:val="00D07256"/>
    <w:rsid w:val="00D07D11"/>
    <w:rsid w:val="00D145FC"/>
    <w:rsid w:val="00D157F1"/>
    <w:rsid w:val="00D17200"/>
    <w:rsid w:val="00D17544"/>
    <w:rsid w:val="00D23782"/>
    <w:rsid w:val="00D242C8"/>
    <w:rsid w:val="00D244EF"/>
    <w:rsid w:val="00D26749"/>
    <w:rsid w:val="00D26AE3"/>
    <w:rsid w:val="00D270BD"/>
    <w:rsid w:val="00D27D10"/>
    <w:rsid w:val="00D30131"/>
    <w:rsid w:val="00D31164"/>
    <w:rsid w:val="00D31668"/>
    <w:rsid w:val="00D32CE1"/>
    <w:rsid w:val="00D33108"/>
    <w:rsid w:val="00D33C0E"/>
    <w:rsid w:val="00D33CB4"/>
    <w:rsid w:val="00D33E53"/>
    <w:rsid w:val="00D405E2"/>
    <w:rsid w:val="00D41A7F"/>
    <w:rsid w:val="00D41CE6"/>
    <w:rsid w:val="00D47970"/>
    <w:rsid w:val="00D53B40"/>
    <w:rsid w:val="00D55D3D"/>
    <w:rsid w:val="00D561B1"/>
    <w:rsid w:val="00D608A3"/>
    <w:rsid w:val="00D61A38"/>
    <w:rsid w:val="00D63317"/>
    <w:rsid w:val="00D63BBD"/>
    <w:rsid w:val="00D64312"/>
    <w:rsid w:val="00D65096"/>
    <w:rsid w:val="00D66DD6"/>
    <w:rsid w:val="00D67824"/>
    <w:rsid w:val="00D7036B"/>
    <w:rsid w:val="00D71769"/>
    <w:rsid w:val="00D72805"/>
    <w:rsid w:val="00D73D82"/>
    <w:rsid w:val="00D740E7"/>
    <w:rsid w:val="00D74590"/>
    <w:rsid w:val="00D745FE"/>
    <w:rsid w:val="00D759A0"/>
    <w:rsid w:val="00D763BC"/>
    <w:rsid w:val="00D76450"/>
    <w:rsid w:val="00D7713D"/>
    <w:rsid w:val="00D82CCF"/>
    <w:rsid w:val="00D85404"/>
    <w:rsid w:val="00D85C4D"/>
    <w:rsid w:val="00D914F3"/>
    <w:rsid w:val="00D930D4"/>
    <w:rsid w:val="00D93670"/>
    <w:rsid w:val="00D96C19"/>
    <w:rsid w:val="00D97106"/>
    <w:rsid w:val="00DA19A3"/>
    <w:rsid w:val="00DA31DC"/>
    <w:rsid w:val="00DA44C8"/>
    <w:rsid w:val="00DA4D76"/>
    <w:rsid w:val="00DA54AF"/>
    <w:rsid w:val="00DA5CC8"/>
    <w:rsid w:val="00DA781F"/>
    <w:rsid w:val="00DB4656"/>
    <w:rsid w:val="00DB4A98"/>
    <w:rsid w:val="00DB5FB3"/>
    <w:rsid w:val="00DB69B5"/>
    <w:rsid w:val="00DC0548"/>
    <w:rsid w:val="00DC0D2B"/>
    <w:rsid w:val="00DC30B1"/>
    <w:rsid w:val="00DC3F6E"/>
    <w:rsid w:val="00DC435D"/>
    <w:rsid w:val="00DC5396"/>
    <w:rsid w:val="00DC58E9"/>
    <w:rsid w:val="00DD171A"/>
    <w:rsid w:val="00DD2080"/>
    <w:rsid w:val="00DD3075"/>
    <w:rsid w:val="00DD635E"/>
    <w:rsid w:val="00DD73BE"/>
    <w:rsid w:val="00DE079A"/>
    <w:rsid w:val="00DE08B9"/>
    <w:rsid w:val="00DE2ACB"/>
    <w:rsid w:val="00DE4B2A"/>
    <w:rsid w:val="00DE6BC6"/>
    <w:rsid w:val="00DF6585"/>
    <w:rsid w:val="00DF6939"/>
    <w:rsid w:val="00DF77AD"/>
    <w:rsid w:val="00DF7D2C"/>
    <w:rsid w:val="00E01B3B"/>
    <w:rsid w:val="00E04C12"/>
    <w:rsid w:val="00E054F7"/>
    <w:rsid w:val="00E065B3"/>
    <w:rsid w:val="00E06B04"/>
    <w:rsid w:val="00E077D7"/>
    <w:rsid w:val="00E12A20"/>
    <w:rsid w:val="00E16DBD"/>
    <w:rsid w:val="00E17EA1"/>
    <w:rsid w:val="00E21D4F"/>
    <w:rsid w:val="00E2252B"/>
    <w:rsid w:val="00E22773"/>
    <w:rsid w:val="00E234E5"/>
    <w:rsid w:val="00E255B4"/>
    <w:rsid w:val="00E258A3"/>
    <w:rsid w:val="00E3053F"/>
    <w:rsid w:val="00E31646"/>
    <w:rsid w:val="00E32E75"/>
    <w:rsid w:val="00E34990"/>
    <w:rsid w:val="00E34BEA"/>
    <w:rsid w:val="00E37545"/>
    <w:rsid w:val="00E410D8"/>
    <w:rsid w:val="00E4228D"/>
    <w:rsid w:val="00E4248D"/>
    <w:rsid w:val="00E435AD"/>
    <w:rsid w:val="00E44048"/>
    <w:rsid w:val="00E47E03"/>
    <w:rsid w:val="00E51E91"/>
    <w:rsid w:val="00E52A33"/>
    <w:rsid w:val="00E52EE6"/>
    <w:rsid w:val="00E53B95"/>
    <w:rsid w:val="00E54F5E"/>
    <w:rsid w:val="00E56554"/>
    <w:rsid w:val="00E57BDF"/>
    <w:rsid w:val="00E6032E"/>
    <w:rsid w:val="00E637F3"/>
    <w:rsid w:val="00E663A1"/>
    <w:rsid w:val="00E66F7C"/>
    <w:rsid w:val="00E714DD"/>
    <w:rsid w:val="00E76F16"/>
    <w:rsid w:val="00E77481"/>
    <w:rsid w:val="00E81F47"/>
    <w:rsid w:val="00E82BFD"/>
    <w:rsid w:val="00E860DB"/>
    <w:rsid w:val="00E87589"/>
    <w:rsid w:val="00E9003F"/>
    <w:rsid w:val="00E935B2"/>
    <w:rsid w:val="00E93A22"/>
    <w:rsid w:val="00E95340"/>
    <w:rsid w:val="00E95906"/>
    <w:rsid w:val="00E9787B"/>
    <w:rsid w:val="00EA35BA"/>
    <w:rsid w:val="00EA47FF"/>
    <w:rsid w:val="00EA5210"/>
    <w:rsid w:val="00EA62D7"/>
    <w:rsid w:val="00EB0C6D"/>
    <w:rsid w:val="00EB122B"/>
    <w:rsid w:val="00EB3664"/>
    <w:rsid w:val="00EB6B50"/>
    <w:rsid w:val="00EB7183"/>
    <w:rsid w:val="00EC0950"/>
    <w:rsid w:val="00EC0DDF"/>
    <w:rsid w:val="00EC130E"/>
    <w:rsid w:val="00EC3122"/>
    <w:rsid w:val="00EC42B6"/>
    <w:rsid w:val="00EC5810"/>
    <w:rsid w:val="00EC6230"/>
    <w:rsid w:val="00EC70C0"/>
    <w:rsid w:val="00ED1753"/>
    <w:rsid w:val="00ED2C7C"/>
    <w:rsid w:val="00ED6779"/>
    <w:rsid w:val="00EE1837"/>
    <w:rsid w:val="00EE35DE"/>
    <w:rsid w:val="00EE3621"/>
    <w:rsid w:val="00EE47E5"/>
    <w:rsid w:val="00EE4E97"/>
    <w:rsid w:val="00EE6CA5"/>
    <w:rsid w:val="00EE7172"/>
    <w:rsid w:val="00EE7554"/>
    <w:rsid w:val="00EE7BAB"/>
    <w:rsid w:val="00EF1B60"/>
    <w:rsid w:val="00EF30F1"/>
    <w:rsid w:val="00EF4BA5"/>
    <w:rsid w:val="00EF5182"/>
    <w:rsid w:val="00EF52A7"/>
    <w:rsid w:val="00EF5E08"/>
    <w:rsid w:val="00EF729E"/>
    <w:rsid w:val="00F013DE"/>
    <w:rsid w:val="00F03A30"/>
    <w:rsid w:val="00F04052"/>
    <w:rsid w:val="00F04CAB"/>
    <w:rsid w:val="00F122B6"/>
    <w:rsid w:val="00F12A38"/>
    <w:rsid w:val="00F13139"/>
    <w:rsid w:val="00F13ED0"/>
    <w:rsid w:val="00F14374"/>
    <w:rsid w:val="00F15F14"/>
    <w:rsid w:val="00F17811"/>
    <w:rsid w:val="00F210C4"/>
    <w:rsid w:val="00F21898"/>
    <w:rsid w:val="00F21A50"/>
    <w:rsid w:val="00F2558E"/>
    <w:rsid w:val="00F268F7"/>
    <w:rsid w:val="00F26CFB"/>
    <w:rsid w:val="00F31B22"/>
    <w:rsid w:val="00F31D4F"/>
    <w:rsid w:val="00F34657"/>
    <w:rsid w:val="00F355FB"/>
    <w:rsid w:val="00F36793"/>
    <w:rsid w:val="00F40DCF"/>
    <w:rsid w:val="00F4157D"/>
    <w:rsid w:val="00F424DA"/>
    <w:rsid w:val="00F42AD1"/>
    <w:rsid w:val="00F43764"/>
    <w:rsid w:val="00F4414A"/>
    <w:rsid w:val="00F46DE6"/>
    <w:rsid w:val="00F47D41"/>
    <w:rsid w:val="00F506E3"/>
    <w:rsid w:val="00F50AEC"/>
    <w:rsid w:val="00F5211F"/>
    <w:rsid w:val="00F52128"/>
    <w:rsid w:val="00F5217B"/>
    <w:rsid w:val="00F5232E"/>
    <w:rsid w:val="00F52638"/>
    <w:rsid w:val="00F53172"/>
    <w:rsid w:val="00F53D65"/>
    <w:rsid w:val="00F5404A"/>
    <w:rsid w:val="00F55561"/>
    <w:rsid w:val="00F57A7B"/>
    <w:rsid w:val="00F60C89"/>
    <w:rsid w:val="00F629BC"/>
    <w:rsid w:val="00F62C5B"/>
    <w:rsid w:val="00F62EB2"/>
    <w:rsid w:val="00F6365D"/>
    <w:rsid w:val="00F6375C"/>
    <w:rsid w:val="00F63F7F"/>
    <w:rsid w:val="00F64FE9"/>
    <w:rsid w:val="00F70A26"/>
    <w:rsid w:val="00F73811"/>
    <w:rsid w:val="00F7576E"/>
    <w:rsid w:val="00F7764F"/>
    <w:rsid w:val="00F776C4"/>
    <w:rsid w:val="00F77B3A"/>
    <w:rsid w:val="00F80BE1"/>
    <w:rsid w:val="00F81EA8"/>
    <w:rsid w:val="00F83916"/>
    <w:rsid w:val="00F8529C"/>
    <w:rsid w:val="00F86FE3"/>
    <w:rsid w:val="00F9033A"/>
    <w:rsid w:val="00F90381"/>
    <w:rsid w:val="00F949D7"/>
    <w:rsid w:val="00F9580A"/>
    <w:rsid w:val="00F963D0"/>
    <w:rsid w:val="00FA15FB"/>
    <w:rsid w:val="00FA2034"/>
    <w:rsid w:val="00FA21F6"/>
    <w:rsid w:val="00FA2705"/>
    <w:rsid w:val="00FA3166"/>
    <w:rsid w:val="00FA41BA"/>
    <w:rsid w:val="00FA49DF"/>
    <w:rsid w:val="00FA7B7C"/>
    <w:rsid w:val="00FB0787"/>
    <w:rsid w:val="00FB1C36"/>
    <w:rsid w:val="00FB3238"/>
    <w:rsid w:val="00FB47E5"/>
    <w:rsid w:val="00FB5172"/>
    <w:rsid w:val="00FB69C4"/>
    <w:rsid w:val="00FB6C51"/>
    <w:rsid w:val="00FC026F"/>
    <w:rsid w:val="00FC05BD"/>
    <w:rsid w:val="00FC1903"/>
    <w:rsid w:val="00FC3969"/>
    <w:rsid w:val="00FD05D4"/>
    <w:rsid w:val="00FD2AFD"/>
    <w:rsid w:val="00FD38FE"/>
    <w:rsid w:val="00FD58A1"/>
    <w:rsid w:val="00FD6351"/>
    <w:rsid w:val="00FD689E"/>
    <w:rsid w:val="00FE1FEC"/>
    <w:rsid w:val="00FE2273"/>
    <w:rsid w:val="00FE259F"/>
    <w:rsid w:val="00FE315B"/>
    <w:rsid w:val="00FE324F"/>
    <w:rsid w:val="00FE3288"/>
    <w:rsid w:val="00FE32F0"/>
    <w:rsid w:val="00FE41E8"/>
    <w:rsid w:val="00FE4BB9"/>
    <w:rsid w:val="00FE50DE"/>
    <w:rsid w:val="00FE587B"/>
    <w:rsid w:val="00FE6417"/>
    <w:rsid w:val="00FE6B73"/>
    <w:rsid w:val="00FE771F"/>
    <w:rsid w:val="00FE7E70"/>
    <w:rsid w:val="00FF0711"/>
    <w:rsid w:val="00FF33E7"/>
    <w:rsid w:val="00FF514D"/>
    <w:rsid w:val="00FF5ABA"/>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09FC6"/>
  <w15:docId w15:val="{8779C13B-5D90-446C-BA81-DE5EC314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BA"/>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6"/>
    <w:qFormat/>
    <w:rsid w:val="003A7897"/>
    <w:pPr>
      <w:numPr>
        <w:numId w:val="4"/>
      </w:numPr>
      <w:ind w:left="624" w:hanging="284"/>
    </w:pPr>
  </w:style>
  <w:style w:type="character" w:customStyle="1" w:styleId="bullet2Char">
    <w:name w:val="bullet 2 Char"/>
    <w:basedOn w:val="DefaultParagraphFont"/>
    <w:link w:val="bullet2"/>
    <w:uiPriority w:val="6"/>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uiPriority w:val="15"/>
    <w:qFormat/>
    <w:rsid w:val="003A7897"/>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qFormat/>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F36793"/>
    <w:pPr>
      <w:tabs>
        <w:tab w:val="right" w:leader="dot" w:pos="9017"/>
      </w:tabs>
      <w:spacing w:after="100"/>
    </w:pPr>
    <w:rPr>
      <w:b/>
      <w:bCs/>
      <w:noProof/>
    </w:rPr>
  </w:style>
  <w:style w:type="paragraph" w:styleId="TOC2">
    <w:name w:val="toc 2"/>
    <w:basedOn w:val="Normal"/>
    <w:next w:val="Normal"/>
    <w:autoRedefine/>
    <w:uiPriority w:val="39"/>
    <w:unhideWhenUsed/>
    <w:locked/>
    <w:rsid w:val="00F36793"/>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qFormat/>
    <w:rsid w:val="003A7897"/>
    <w:pPr>
      <w:ind w:left="341" w:hanging="284"/>
    </w:pPr>
  </w:style>
  <w:style w:type="character" w:customStyle="1" w:styleId="bullet1Char0">
    <w:name w:val="bullet 1 Char"/>
    <w:basedOn w:val="bulletT1Char"/>
    <w:link w:val="bullet10"/>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3706">
      <w:bodyDiv w:val="1"/>
      <w:marLeft w:val="0"/>
      <w:marRight w:val="0"/>
      <w:marTop w:val="0"/>
      <w:marBottom w:val="0"/>
      <w:divBdr>
        <w:top w:val="none" w:sz="0" w:space="0" w:color="auto"/>
        <w:left w:val="none" w:sz="0" w:space="0" w:color="auto"/>
        <w:bottom w:val="none" w:sz="0" w:space="0" w:color="auto"/>
        <w:right w:val="none" w:sz="0" w:space="0" w:color="auto"/>
      </w:divBdr>
    </w:div>
    <w:div w:id="332146958">
      <w:bodyDiv w:val="1"/>
      <w:marLeft w:val="0"/>
      <w:marRight w:val="0"/>
      <w:marTop w:val="0"/>
      <w:marBottom w:val="0"/>
      <w:divBdr>
        <w:top w:val="none" w:sz="0" w:space="0" w:color="auto"/>
        <w:left w:val="none" w:sz="0" w:space="0" w:color="auto"/>
        <w:bottom w:val="none" w:sz="0" w:space="0" w:color="auto"/>
        <w:right w:val="none" w:sz="0" w:space="0" w:color="auto"/>
      </w:divBdr>
    </w:div>
    <w:div w:id="341322306">
      <w:bodyDiv w:val="1"/>
      <w:marLeft w:val="0"/>
      <w:marRight w:val="0"/>
      <w:marTop w:val="0"/>
      <w:marBottom w:val="0"/>
      <w:divBdr>
        <w:top w:val="none" w:sz="0" w:space="0" w:color="auto"/>
        <w:left w:val="none" w:sz="0" w:space="0" w:color="auto"/>
        <w:bottom w:val="none" w:sz="0" w:space="0" w:color="auto"/>
        <w:right w:val="none" w:sz="0" w:space="0" w:color="auto"/>
      </w:divBdr>
    </w:div>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847409190">
      <w:bodyDiv w:val="1"/>
      <w:marLeft w:val="0"/>
      <w:marRight w:val="0"/>
      <w:marTop w:val="0"/>
      <w:marBottom w:val="0"/>
      <w:divBdr>
        <w:top w:val="none" w:sz="0" w:space="0" w:color="auto"/>
        <w:left w:val="none" w:sz="0" w:space="0" w:color="auto"/>
        <w:bottom w:val="none" w:sz="0" w:space="0" w:color="auto"/>
        <w:right w:val="none" w:sz="0" w:space="0" w:color="auto"/>
      </w:divBdr>
    </w:div>
    <w:div w:id="976229591">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090931305">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31960458">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087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2018/12/contents" TargetMode="External"/><Relationship Id="rId21" Type="http://schemas.openxmlformats.org/officeDocument/2006/relationships/hyperlink" Target="mailto:crct@contacts.bham.ac.uk" TargetMode="External"/><Relationship Id="rId42" Type="http://schemas.openxmlformats.org/officeDocument/2006/relationships/hyperlink" Target="https://www.birmingham.ac.uk/research/activity/mds/mds-rkto/governance/training-and-workshops.aspx" TargetMode="External"/><Relationship Id="rId47" Type="http://schemas.openxmlformats.org/officeDocument/2006/relationships/hyperlink" Target="https://bham.sharepoint.com/sites/finance/SitePages/audit.aspx" TargetMode="External"/><Relationship Id="rId63" Type="http://schemas.openxmlformats.org/officeDocument/2006/relationships/hyperlink" Target="https://www.ich.org/page/efficacy-guidelines" TargetMode="External"/><Relationship Id="rId68" Type="http://schemas.openxmlformats.org/officeDocument/2006/relationships/hyperlink" Target="https://www.legislation.gov.uk/uksi/2004/1031/contents" TargetMode="External"/><Relationship Id="rId84" Type="http://schemas.openxmlformats.org/officeDocument/2006/relationships/hyperlink" Target="https://www.birmingham.ac.uk/research/activity/mds/mds-rkto/governance/training-and-workshops" TargetMode="External"/><Relationship Id="rId89" Type="http://schemas.openxmlformats.org/officeDocument/2006/relationships/hyperlink" Target="https://bham.sharepoint.com/sites/rssd/SitePages/ethics-training.aspx" TargetMode="External"/><Relationship Id="rId16" Type="http://schemas.openxmlformats.org/officeDocument/2006/relationships/hyperlink" Target="https://www.birmingham.ac.uk/research/activity/mds/mds-rkto/governance/oversight-committees.aspx" TargetMode="External"/><Relationship Id="rId11" Type="http://schemas.openxmlformats.org/officeDocument/2006/relationships/hyperlink" Target="https://www.birmingham.ac.uk/research/activity/mds/mds-rkto/governance/e-pathway/overview.aspx" TargetMode="External"/><Relationship Id="rId32" Type="http://schemas.openxmlformats.org/officeDocument/2006/relationships/hyperlink" Target="https://www.ema.europa.eu/en/documents/regulatory-procedural-guideline/reflection-paper-laboratories-perform-analysis-or-evaluation-clinical-trial-samples_en.pdf" TargetMode="External"/><Relationship Id="rId37" Type="http://schemas.openxmlformats.org/officeDocument/2006/relationships/hyperlink" Target="https://www.legislation.gov.uk/uksi/2004/1031/contents" TargetMode="External"/><Relationship Id="rId53" Type="http://schemas.openxmlformats.org/officeDocument/2006/relationships/hyperlink" Target="https://bham.sharepoint.com/sites/rssd/SitePages/systems-data.aspx" TargetMode="External"/><Relationship Id="rId58" Type="http://schemas.openxmlformats.org/officeDocument/2006/relationships/hyperlink" Target="https://www.ema.europa.eu/en/documents/regulatory-procedural-guideline/reflection-paper-laboratories-perform-analysis-or-evaluation-clinical-trial-samples_en.pdf" TargetMode="External"/><Relationship Id="rId74" Type="http://schemas.openxmlformats.org/officeDocument/2006/relationships/hyperlink" Target="https://www.birmingham.ac.uk/documents/university/legal/university-of-birmingham-data-protection-policy.pdf" TargetMode="External"/><Relationship Id="rId79" Type="http://schemas.openxmlformats.org/officeDocument/2006/relationships/hyperlink" Target="https://www.birmingham.ac.uk/crct"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bham.sharepoint.com/sites/rssd/SitePages/home.aspx" TargetMode="External"/><Relationship Id="rId95"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yperlink" Target="https://www.legislation.gov.uk/eur/2016/679/contents" TargetMode="External"/><Relationship Id="rId43" Type="http://schemas.openxmlformats.org/officeDocument/2006/relationships/hyperlink" Target="https://bham.sharepoint.com/sites/rssd/SitePages/ethics-training.aspx" TargetMode="External"/><Relationship Id="rId48" Type="http://schemas.openxmlformats.org/officeDocument/2006/relationships/hyperlink" Target="https://www.birmingham.ac.uk/Documents/university/legal/research.pdf" TargetMode="External"/><Relationship Id="rId64" Type="http://schemas.openxmlformats.org/officeDocument/2006/relationships/hyperlink" Target="https://bygsystems.net/mrcrsc-lms/course/index.php?categoryid=1" TargetMode="External"/><Relationship Id="rId69" Type="http://schemas.openxmlformats.org/officeDocument/2006/relationships/hyperlink" Target="https://www.legislation.gov.uk/ukpga/2005/9/contents" TargetMode="External"/><Relationship Id="rId80" Type="http://schemas.openxmlformats.org/officeDocument/2006/relationships/hyperlink" Target="https://bham.sharepoint.com/sites/SafetyServices/SitePages/biologicalsafety.aspx" TargetMode="External"/><Relationship Id="rId85" Type="http://schemas.openxmlformats.org/officeDocument/2006/relationships/hyperlink" Target="https://bham.sharepoint.com/sites/finance/SitePages/audit.aspx" TargetMode="Externa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www.legislation.gov.uk/uksi/2002/618/contents" TargetMode="External"/><Relationship Id="rId33" Type="http://schemas.openxmlformats.org/officeDocument/2006/relationships/hyperlink" Target="https://www.birmingham.ac.uk/Documents/university/governance/Code-of-Ethics/Code-of-Ethics-Approved-by-Council-April-2018.pdf" TargetMode="External"/><Relationship Id="rId38" Type="http://schemas.openxmlformats.org/officeDocument/2006/relationships/hyperlink" Target="https://www.nihr.ac.uk/health-and-care-professionals/learning-and-support/good-clinical-practice.htm" TargetMode="External"/><Relationship Id="rId46" Type="http://schemas.openxmlformats.org/officeDocument/2006/relationships/hyperlink" Target="https://www.birmingham.ac.uk/research/activity/mds/mds-rkto/governance/training-and-workshops.aspx" TargetMode="External"/><Relationship Id="rId59" Type="http://schemas.openxmlformats.org/officeDocument/2006/relationships/hyperlink" Target="https://www.hra.nhs.uk/planning-and-improving-research/policies-standards-legislation/good-clinical-practice/joint-statement-application-good-clinical-practice-training-researchers-hra-mhra-devolved-administrations-northern-ireland-scotland-and-wales/" TargetMode="External"/><Relationship Id="rId67" Type="http://schemas.openxmlformats.org/officeDocument/2006/relationships/hyperlink" Target="https://www.legislation.gov.uk/ukpga/2004/30/contents" TargetMode="External"/><Relationship Id="rId20" Type="http://schemas.openxmlformats.org/officeDocument/2006/relationships/hyperlink" Target="https://www.birmingham.ac.uk/research/activity/mds/mds-rkto/governance/qms.aspx" TargetMode="External"/><Relationship Id="rId41" Type="http://schemas.openxmlformats.org/officeDocument/2006/relationships/hyperlink" Target="https://byglearning.com/mrcrsc-lms/course/index.php?categoryid=1" TargetMode="External"/><Relationship Id="rId54" Type="http://schemas.openxmlformats.org/officeDocument/2006/relationships/hyperlink" Target="https://bham.sharepoint.com/sites/SafetyServices/SitePages/biologicalsafety.aspx" TargetMode="External"/><Relationship Id="rId62" Type="http://schemas.openxmlformats.org/officeDocument/2006/relationships/hyperlink" Target="https://www.hta.gov.uk/guidance-professionals/codes-practice-standards-and-legislation/codes-practice-0" TargetMode="External"/><Relationship Id="rId70" Type="http://schemas.openxmlformats.org/officeDocument/2006/relationships/hyperlink" Target="https://www.legislation.gov.uk/ukpga/2018/12/contents" TargetMode="External"/><Relationship Id="rId75" Type="http://schemas.openxmlformats.org/officeDocument/2006/relationships/hyperlink" Target="https://bham.sharepoint.com/sites/SafetyServices/SitePages/biologicalsafety.aspx" TargetMode="External"/><Relationship Id="rId83" Type="http://schemas.openxmlformats.org/officeDocument/2006/relationships/hyperlink" Target="https://www.birmingham.ac.uk/research/activity/mds/mds-rkto/governance/glossary-of-terms" TargetMode="External"/><Relationship Id="rId88" Type="http://schemas.openxmlformats.org/officeDocument/2006/relationships/hyperlink" Target="https://www.birmingham.ac.uk/research/environment-culture/research-integrity" TargetMode="External"/><Relationship Id="rId91" Type="http://schemas.openxmlformats.org/officeDocument/2006/relationships/hyperlink" Target="https://bham.sharepoint.com/sites/rssd/SitePages/systems-data.aspx" TargetMode="Externa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irmingham.ac.uk/research/activity/mds/mds-rkto/governance/oversight-committees.aspx" TargetMode="External"/><Relationship Id="rId23" Type="http://schemas.openxmlformats.org/officeDocument/2006/relationships/hyperlink" Target="https://www.hra.nhs.uk/planning-and-improving-research/policies-standards-legislation/uk-policy-framework-health-social-care-research/uk-policy-framework-health-and-social-care-research/" TargetMode="External"/><Relationship Id="rId28" Type="http://schemas.openxmlformats.org/officeDocument/2006/relationships/hyperlink" Target="https://www.legislation.gov.uk/ukpga/2005/9/contents" TargetMode="External"/><Relationship Id="rId36" Type="http://schemas.openxmlformats.org/officeDocument/2006/relationships/hyperlink" Target="https://bham.sharepoint.com/sites/IT/SitePages/Policies-and-procedures.aspx" TargetMode="External"/><Relationship Id="rId49" Type="http://schemas.openxmlformats.org/officeDocument/2006/relationships/hyperlink" Target="https://www.birmingham.ac.uk/research/activity/mds/mds-rkto/governance/Glossary-of-Terms.aspx" TargetMode="External"/><Relationship Id="rId57" Type="http://schemas.openxmlformats.org/officeDocument/2006/relationships/hyperlink" Target="https://www.birmingham.ac.uk/research/activity/mds/mds-rkto/governance/index.aspx" TargetMode="External"/><Relationship Id="rId10" Type="http://schemas.openxmlformats.org/officeDocument/2006/relationships/endnotes" Target="endnotes.xml"/><Relationship Id="rId31" Type="http://schemas.openxmlformats.org/officeDocument/2006/relationships/hyperlink" Target="https://www.ich.org/page/efficacy-guidelines" TargetMode="External"/><Relationship Id="rId44" Type="http://schemas.openxmlformats.org/officeDocument/2006/relationships/hyperlink" Target="https://intranet.birmingham.ac.uk/as/libraryservices/library/research/workshops-and-training/workshops-for-research-staff.aspx" TargetMode="External"/><Relationship Id="rId52" Type="http://schemas.openxmlformats.org/officeDocument/2006/relationships/hyperlink" Target="https://bham.sharepoint.com/sites/SafetyServices/SitePages/biologicalsafety.aspx" TargetMode="External"/><Relationship Id="rId60" Type="http://schemas.openxmlformats.org/officeDocument/2006/relationships/hyperlink" Target="https://www.hra.nhs.uk/planning-and-improving-research/policies-standards-legislation/uk-policy-framework-health-social-care-research/uk-policy-framework-health-and-social-care-research/" TargetMode="External"/><Relationship Id="rId65" Type="http://schemas.openxmlformats.org/officeDocument/2006/relationships/hyperlink" Target="https://www.nihr.ac.uk/health-and-care-professionals/training/good-clinical-practice.htm" TargetMode="External"/><Relationship Id="rId73" Type="http://schemas.openxmlformats.org/officeDocument/2006/relationships/hyperlink" Target="https://www.birmingham.ac.uk/Documents/university/governance/Code-of-Ethics/Code-of-Ethics-Approved-by-Council-April-2018.pdf" TargetMode="External"/><Relationship Id="rId78" Type="http://schemas.openxmlformats.org/officeDocument/2006/relationships/hyperlink" Target="https://www.birmingham.ac.uk/qms" TargetMode="External"/><Relationship Id="rId81" Type="http://schemas.openxmlformats.org/officeDocument/2006/relationships/hyperlink" Target="https://www.birmingham.ac.uk/Documents/university/legal/research.pdf" TargetMode="External"/><Relationship Id="rId86" Type="http://schemas.openxmlformats.org/officeDocument/2006/relationships/hyperlink" Target="https://intranet.birmingham.ac.uk/as/libraryservices/library/research/workshops-and-training/workshops-for-research-staff.aspx" TargetMode="External"/><Relationship Id="rId94" Type="http://schemas.openxmlformats.org/officeDocument/2006/relationships/header" Target="header2.xml"/><Relationship Id="rId99" Type="http://schemas.openxmlformats.org/officeDocument/2006/relationships/footer" Target="footer5.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birmingham.ac.uk/research/environment-culture/research-integrity" TargetMode="External"/><Relationship Id="rId39" Type="http://schemas.openxmlformats.org/officeDocument/2006/relationships/hyperlink" Target="https://www.hra.nhs.uk/planning-and-improving-research/policies-standards-legislation/good-clinical-practice/joint-statement-application-good-clinical-practice-training-researchers-hra-mhra-devolved-administrations-northern-ireland-scotland-and-wales/" TargetMode="External"/><Relationship Id="rId34" Type="http://schemas.openxmlformats.org/officeDocument/2006/relationships/hyperlink" Target="https://www.birmingham.ac.uk/Documents/university/legal/research.pdf" TargetMode="External"/><Relationship Id="rId50" Type="http://schemas.openxmlformats.org/officeDocument/2006/relationships/hyperlink" Target="https://www.hra.nhs.uk/planning-and-improving-research/policies-standards-legislation/uk-policy-framework-health-social-care-research/uk-policy-framework-health-and-social-care-research/" TargetMode="External"/><Relationship Id="rId55" Type="http://schemas.openxmlformats.org/officeDocument/2006/relationships/hyperlink" Target="https://bham.sharepoint.com/sites/finance/SitePages/motor.aspx" TargetMode="External"/><Relationship Id="rId76" Type="http://schemas.openxmlformats.org/officeDocument/2006/relationships/hyperlink" Target="https://bham.sharepoint.com/sites/IT/SitePages/Policies-and-procedures.aspx" TargetMode="External"/><Relationship Id="rId97"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s://www.legislation.gov.uk/eur/2016/679/contents" TargetMode="External"/><Relationship Id="rId92" Type="http://schemas.openxmlformats.org/officeDocument/2006/relationships/hyperlink" Target="https://www.wmrtc.org/" TargetMode="External"/><Relationship Id="rId2" Type="http://schemas.openxmlformats.org/officeDocument/2006/relationships/customXml" Target="../customXml/item2.xml"/><Relationship Id="rId29" Type="http://schemas.openxmlformats.org/officeDocument/2006/relationships/hyperlink" Target="https://www.legislation.gov.uk/ukpga/2004/30/contents" TargetMode="External"/><Relationship Id="rId24" Type="http://schemas.openxmlformats.org/officeDocument/2006/relationships/hyperlink" Target="https://www.legislation.gov.uk/uksi/2004/1031/contents" TargetMode="External"/><Relationship Id="rId40" Type="http://schemas.openxmlformats.org/officeDocument/2006/relationships/hyperlink" Target="https://www.hra.nhs.uk/planning-and-improving-research/learning/e-learning/" TargetMode="External"/><Relationship Id="rId45" Type="http://schemas.openxmlformats.org/officeDocument/2006/relationships/hyperlink" Target="https://www.wmrtc.org/" TargetMode="External"/><Relationship Id="rId66" Type="http://schemas.openxmlformats.org/officeDocument/2006/relationships/hyperlink" Target="https://www.legislation.gov.uk/uksi/2002/618/contents" TargetMode="External"/><Relationship Id="rId87" Type="http://schemas.openxmlformats.org/officeDocument/2006/relationships/hyperlink" Target="https://bham.sharepoint.com/sites/finance/SitePages/motor.aspx" TargetMode="External"/><Relationship Id="rId61" Type="http://schemas.openxmlformats.org/officeDocument/2006/relationships/hyperlink" Target="https://www.hra.nhs.uk/planning-and-improving-research/learning/e-learning/" TargetMode="External"/><Relationship Id="rId82" Type="http://schemas.openxmlformats.org/officeDocument/2006/relationships/hyperlink" Target="https://www.birmingham.ac.uk/e-pathway" TargetMode="External"/><Relationship Id="rId19" Type="http://schemas.openxmlformats.org/officeDocument/2006/relationships/hyperlink" Target="https://bham.sharepoint.com/sites/rssd/SitePages/home.aspx" TargetMode="External"/><Relationship Id="rId14" Type="http://schemas.openxmlformats.org/officeDocument/2006/relationships/footer" Target="footer2.xml"/><Relationship Id="rId30" Type="http://schemas.openxmlformats.org/officeDocument/2006/relationships/hyperlink" Target="https://www.hta.gov.uk/guidance-professionals/codes-practice-standards-and-legislation/codes-practice" TargetMode="External"/><Relationship Id="rId35" Type="http://schemas.openxmlformats.org/officeDocument/2006/relationships/hyperlink" Target="https://www.birmingham.ac.uk/Documents/university/legal/data-prot-policy.pdf" TargetMode="External"/><Relationship Id="rId56" Type="http://schemas.openxmlformats.org/officeDocument/2006/relationships/hyperlink" Target="https://bham.sharepoint.com/sites/SafetyServices/SitePages/biologicalsafety.aspx" TargetMode="External"/><Relationship Id="rId77" Type="http://schemas.openxmlformats.org/officeDocument/2006/relationships/hyperlink" Target="https://www.birmingham.ac.uk/research/activity/mds/mds-rkto/governance/oversight-committees" TargetMode="External"/><Relationship Id="rId100" Type="http://schemas.openxmlformats.org/officeDocument/2006/relationships/hyperlink" Target="mailto:crct@contacts.bham.ac.uk" TargetMode="External"/><Relationship Id="rId8" Type="http://schemas.openxmlformats.org/officeDocument/2006/relationships/webSettings" Target="webSettings.xml"/><Relationship Id="rId51" Type="http://schemas.openxmlformats.org/officeDocument/2006/relationships/hyperlink" Target="https://www.legislation.gov.uk/uksi/2004/1031/contents" TargetMode="External"/><Relationship Id="rId72" Type="http://schemas.openxmlformats.org/officeDocument/2006/relationships/hyperlink" Target="https://www.legislation.gov.uk/ukpga/2018/12/contents" TargetMode="External"/><Relationship Id="rId93" Type="http://schemas.openxmlformats.org/officeDocument/2006/relationships/hyperlink" Target="https://www.birmingham.ac.uk/research/activity/mds/mds-rkto/governance/Glossary-of-Terms.aspx" TargetMode="External"/><Relationship Id="rId98" Type="http://schemas.openxmlformats.org/officeDocument/2006/relationships/header" Target="header4.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C74C064C5E6A4BBA3C1427415C2253" ma:contentTypeVersion="8" ma:contentTypeDescription="Create a new document." ma:contentTypeScope="" ma:versionID="d599d3131532d67d3b48b1f2308ddc15">
  <xsd:schema xmlns:xsd="http://www.w3.org/2001/XMLSchema" xmlns:xs="http://www.w3.org/2001/XMLSchema" xmlns:p="http://schemas.microsoft.com/office/2006/metadata/properties" xmlns:ns2="bbcdd600-913c-431e-8c32-68135d9f832f" xmlns:ns3="3a59bc76-4fe8-444b-b40b-fedcf35e2929" targetNamespace="http://schemas.microsoft.com/office/2006/metadata/properties" ma:root="true" ma:fieldsID="e72807bb574438d1f8c0d0be27dec3aa" ns2:_="" ns3:_="">
    <xsd:import namespace="bbcdd600-913c-431e-8c32-68135d9f832f"/>
    <xsd:import namespace="3a59bc76-4fe8-444b-b40b-fedcf35e2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dd600-913c-431e-8c32-68135d9f8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9bc76-4fe8-444b-b40b-fedcf35e29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1AFF-3AC3-49DF-A7D4-3A6B5D002A19}">
  <ds:schemaRefs>
    <ds:schemaRef ds:uri="http://schemas.microsoft.com/sharepoint/v3/contenttype/forms"/>
  </ds:schemaRefs>
</ds:datastoreItem>
</file>

<file path=customXml/itemProps2.xml><?xml version="1.0" encoding="utf-8"?>
<ds:datastoreItem xmlns:ds="http://schemas.openxmlformats.org/officeDocument/2006/customXml" ds:itemID="{E028CA3E-0358-47F0-A18C-FEADF7151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dd600-913c-431e-8c32-68135d9f832f"/>
    <ds:schemaRef ds:uri="3a59bc76-4fe8-444b-b40b-fedcf35e2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9C1AC-B70C-4D90-B6DF-980FDA3C12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11191</Words>
  <Characters>63789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74831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Douglas-Pugh (CRCT)</dc:creator>
  <cp:lastModifiedBy>Jamie Douglas-Pugh (CRCT)</cp:lastModifiedBy>
  <cp:revision>4</cp:revision>
  <cp:lastPrinted>2025-01-30T12:20:00Z</cp:lastPrinted>
  <dcterms:created xsi:type="dcterms:W3CDTF">2025-02-03T13:58:00Z</dcterms:created>
  <dcterms:modified xsi:type="dcterms:W3CDTF">2025-02-03T14:07:00Z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0x0101005CC74C064C5E6A4BBA3C1427415C2253</vt:lpwstr>
  </property>
</Properties>
</file>