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E25F" w14:textId="77777777" w:rsidR="00C0396F" w:rsidRPr="00C0396F" w:rsidRDefault="008235B1" w:rsidP="00C0396F">
      <w:pPr>
        <w:pStyle w:val="Title"/>
      </w:pPr>
      <w:r w:rsidRPr="00C0396F">
        <w:t>Standard Operating Procedure:</w:t>
      </w:r>
    </w:p>
    <w:p w14:paraId="1A400652" w14:textId="296856CB" w:rsidR="005F1AD8" w:rsidRDefault="00DB5029" w:rsidP="00F013DE">
      <w:pPr>
        <w:pStyle w:val="Title"/>
      </w:pPr>
      <w:r>
        <w:t>Deviations and Serious Breach Reporting</w:t>
      </w:r>
    </w:p>
    <w:p w14:paraId="253F26EC" w14:textId="77777777" w:rsidR="00C0396F" w:rsidRDefault="00C0396F" w:rsidP="00C0396F">
      <w:pPr>
        <w:rPr>
          <w:rFonts w:eastAsiaTheme="majorEastAsia"/>
        </w:rPr>
      </w:pPr>
    </w:p>
    <w:p w14:paraId="02C4E8E1" w14:textId="77777777" w:rsidR="00512C56" w:rsidRDefault="00512C56" w:rsidP="00C0396F">
      <w:pPr>
        <w:rPr>
          <w:rFonts w:eastAsiaTheme="majorEastAsia"/>
        </w:rPr>
      </w:pPr>
    </w:p>
    <w:p w14:paraId="5726BB9B" w14:textId="0CA61E9D" w:rsidR="005F1AD8" w:rsidRDefault="005F1AD8">
      <w:pPr>
        <w:pStyle w:val="Heading1"/>
      </w:pPr>
      <w:r w:rsidRPr="00B6322E">
        <w:t>Purpose</w:t>
      </w:r>
    </w:p>
    <w:p w14:paraId="644C20A4" w14:textId="3C3351E4" w:rsidR="00DB5029" w:rsidRPr="0060052C" w:rsidRDefault="00DB5029" w:rsidP="00DB5029">
      <w:r w:rsidRPr="00C5661D">
        <w:t xml:space="preserve">This </w:t>
      </w:r>
      <w:r w:rsidR="005F6774">
        <w:t>s</w:t>
      </w:r>
      <w:r w:rsidRPr="00C5661D">
        <w:t xml:space="preserve">tandard </w:t>
      </w:r>
      <w:r w:rsidR="005F6774">
        <w:t>o</w:t>
      </w:r>
      <w:r w:rsidRPr="00C5661D">
        <w:t xml:space="preserve">perating </w:t>
      </w:r>
      <w:r w:rsidR="005F6774">
        <w:t>p</w:t>
      </w:r>
      <w:r w:rsidRPr="00C5661D">
        <w:t xml:space="preserve">rocedure (SOP) describes the procedures to manage deviations relating to the study specific protocol and plans, </w:t>
      </w:r>
      <w:r w:rsidR="001F2B2C">
        <w:t>g</w:t>
      </w:r>
      <w:r w:rsidR="001F2B2C" w:rsidRPr="00C5661D">
        <w:t xml:space="preserve">ood </w:t>
      </w:r>
      <w:r w:rsidR="001F2B2C">
        <w:t>c</w:t>
      </w:r>
      <w:r w:rsidR="001F2B2C" w:rsidRPr="00C5661D">
        <w:t xml:space="preserve">linical </w:t>
      </w:r>
      <w:r w:rsidRPr="00C5661D">
        <w:t xml:space="preserve">Practice (GCP) or any other </w:t>
      </w:r>
      <w:r w:rsidR="001F2B2C">
        <w:t>g</w:t>
      </w:r>
      <w:r w:rsidR="001F2B2C" w:rsidRPr="00C5661D">
        <w:t xml:space="preserve">ood </w:t>
      </w:r>
      <w:r w:rsidR="001F2B2C">
        <w:t>p</w:t>
      </w:r>
      <w:r w:rsidR="001F2B2C" w:rsidRPr="00C5661D">
        <w:t xml:space="preserve">ractice </w:t>
      </w:r>
      <w:r w:rsidRPr="00C5661D">
        <w:t>guidelines (</w:t>
      </w:r>
      <w:proofErr w:type="spellStart"/>
      <w:r w:rsidRPr="00C5661D">
        <w:t>GxP</w:t>
      </w:r>
      <w:proofErr w:type="spellEnd"/>
      <w:r w:rsidRPr="00C5661D">
        <w:t>), any applicable regulatory requirements and/or the University of Birmingham (</w:t>
      </w:r>
      <w:proofErr w:type="spellStart"/>
      <w:r w:rsidRPr="00C5661D">
        <w:t>UoB</w:t>
      </w:r>
      <w:proofErr w:type="spellEnd"/>
      <w:r w:rsidRPr="00C5661D">
        <w:t>) Quality Management System (QMS). The SOP also describes the procedure for serious breach reporting.</w:t>
      </w:r>
    </w:p>
    <w:p w14:paraId="5D5E48D0" w14:textId="0D43C4EF" w:rsidR="005F1AD8" w:rsidRDefault="005F1AD8">
      <w:pPr>
        <w:pStyle w:val="Heading1"/>
      </w:pPr>
      <w:r w:rsidRPr="00B63F21">
        <w:t>Scope</w:t>
      </w:r>
    </w:p>
    <w:p w14:paraId="0E5922FC" w14:textId="3A843B93" w:rsidR="00DB5029" w:rsidRDefault="00DB5029" w:rsidP="00DB5029">
      <w:r>
        <w:t xml:space="preserve">This SOP applies to clinical research where the </w:t>
      </w:r>
      <w:proofErr w:type="spellStart"/>
      <w:r>
        <w:t>UoB</w:t>
      </w:r>
      <w:proofErr w:type="spellEnd"/>
      <w:r>
        <w:t xml:space="preserve"> is the </w:t>
      </w:r>
      <w:r w:rsidR="008E7FE4">
        <w:t>s</w:t>
      </w:r>
      <w:r>
        <w:t xml:space="preserve">ponsor or takes on </w:t>
      </w:r>
      <w:r w:rsidR="005F6774">
        <w:t>s</w:t>
      </w:r>
      <w:r>
        <w:t xml:space="preserve">ponsor responsibilities for deviations and serious breach reporting. </w:t>
      </w:r>
      <w:r w:rsidR="0022618B">
        <w:t xml:space="preserve">Where clinical research is sponsored by another institution, this procedure should be followed as far as possible, and in line with the contractual agreement between the </w:t>
      </w:r>
      <w:proofErr w:type="spellStart"/>
      <w:r w:rsidR="0022618B">
        <w:t>UoB</w:t>
      </w:r>
      <w:proofErr w:type="spellEnd"/>
      <w:r w:rsidR="0022618B">
        <w:t xml:space="preserve"> and the other institution</w:t>
      </w:r>
      <w:r w:rsidR="0022618B" w:rsidRPr="00F71EC3">
        <w:t xml:space="preserve">. </w:t>
      </w:r>
      <w:r w:rsidRPr="00F71EC3">
        <w:t>This SOP</w:t>
      </w:r>
      <w:r w:rsidR="00EE2ED9">
        <w:t xml:space="preserve"> (excluding serious breach reporting)</w:t>
      </w:r>
      <w:r w:rsidR="001F2B2C">
        <w:t xml:space="preserve"> </w:t>
      </w:r>
      <w:r w:rsidRPr="00F71EC3">
        <w:t xml:space="preserve">also applies to clinical research approved by </w:t>
      </w:r>
      <w:r w:rsidR="009F6B2A" w:rsidRPr="00F71EC3">
        <w:t xml:space="preserve">a </w:t>
      </w:r>
      <w:proofErr w:type="spellStart"/>
      <w:r w:rsidRPr="00F71EC3">
        <w:t>UoB</w:t>
      </w:r>
      <w:proofErr w:type="spellEnd"/>
      <w:r w:rsidRPr="00F71EC3">
        <w:t xml:space="preserve"> </w:t>
      </w:r>
      <w:r w:rsidR="005A1F91" w:rsidRPr="00F71EC3">
        <w:t>research ethics committee (</w:t>
      </w:r>
      <w:r w:rsidRPr="00F71EC3">
        <w:t>REC</w:t>
      </w:r>
      <w:r w:rsidR="005A1F91" w:rsidRPr="00F71EC3">
        <w:t>)</w:t>
      </w:r>
      <w:r>
        <w:t xml:space="preserve"> that </w:t>
      </w:r>
      <w:r w:rsidR="001F2B2C">
        <w:t xml:space="preserve">is </w:t>
      </w:r>
      <w:r>
        <w:t>required to follow</w:t>
      </w:r>
      <w:r w:rsidR="00AD0276">
        <w:t xml:space="preserve"> the</w:t>
      </w:r>
      <w:r>
        <w:t xml:space="preserve"> </w:t>
      </w:r>
      <w:proofErr w:type="spellStart"/>
      <w:r w:rsidR="00424999">
        <w:rPr>
          <w:rStyle w:val="ReferencestootherSOPsQCDsChar"/>
        </w:rPr>
        <w:t>U</w:t>
      </w:r>
      <w:r w:rsidR="00424999" w:rsidRPr="00C5661D">
        <w:rPr>
          <w:rStyle w:val="ReferencestootherSOPsQCDsChar"/>
        </w:rPr>
        <w:t>oB</w:t>
      </w:r>
      <w:proofErr w:type="spellEnd"/>
      <w:r w:rsidR="00424999" w:rsidRPr="00C5661D">
        <w:rPr>
          <w:rStyle w:val="ReferencestootherSOPsQCDsChar"/>
        </w:rPr>
        <w:t xml:space="preserve"> Principles of </w:t>
      </w:r>
      <w:r w:rsidR="00295CFD">
        <w:rPr>
          <w:rStyle w:val="ReferencestootherSOPsQCDsChar"/>
        </w:rPr>
        <w:t>GCP</w:t>
      </w:r>
      <w:r w:rsidR="00424999" w:rsidRPr="00C5661D">
        <w:rPr>
          <w:rStyle w:val="ReferencestootherSOPsQCDsChar"/>
        </w:rPr>
        <w:t xml:space="preserve"> for Clinical Research</w:t>
      </w:r>
      <w:r w:rsidR="00AD0276">
        <w:rPr>
          <w:rStyle w:val="ReferencestootherSOPsQCDsChar"/>
        </w:rPr>
        <w:t xml:space="preserve"> (</w:t>
      </w:r>
      <w:r w:rsidR="00AD0276" w:rsidRPr="00C5661D">
        <w:rPr>
          <w:rStyle w:val="ReferencestootherSOPsQCDsChar"/>
        </w:rPr>
        <w:t>U</w:t>
      </w:r>
      <w:r w:rsidR="00AD0276">
        <w:rPr>
          <w:rStyle w:val="ReferencestootherSOPsQCDsChar"/>
        </w:rPr>
        <w:t>oB-GCP-POL-001)</w:t>
      </w:r>
      <w:r>
        <w:t xml:space="preserve">. </w:t>
      </w:r>
      <w:r w:rsidR="00295CFD">
        <w:t>This SOP may be used as a guidance document in all other cases.</w:t>
      </w:r>
    </w:p>
    <w:p w14:paraId="2836F55D" w14:textId="5D0575F9" w:rsidR="005F1AD8" w:rsidRPr="00C34A3B" w:rsidRDefault="005F1AD8" w:rsidP="00B937B6">
      <w:pPr>
        <w:pStyle w:val="Heading1"/>
      </w:pPr>
      <w:r w:rsidRPr="00B63F21">
        <w:t>Implementation plan</w:t>
      </w:r>
    </w:p>
    <w:p w14:paraId="4AD3ED2D" w14:textId="11C245B6" w:rsidR="00DB5029" w:rsidRPr="00C34A3B" w:rsidRDefault="00DB5029" w:rsidP="00DB5029">
      <w:r w:rsidRPr="00C5661D">
        <w:t xml:space="preserve">This SOP will be implemented </w:t>
      </w:r>
      <w:r w:rsidR="00E924D5">
        <w:t xml:space="preserve">in line with this document’s effective </w:t>
      </w:r>
      <w:r w:rsidRPr="00C5661D">
        <w:t>date.</w:t>
      </w:r>
    </w:p>
    <w:p w14:paraId="5BC09032" w14:textId="358BA84D" w:rsidR="005F1AD8" w:rsidRDefault="005F1AD8">
      <w:pPr>
        <w:pStyle w:val="Heading1"/>
      </w:pPr>
      <w:r>
        <w:t>Stakeholders</w:t>
      </w:r>
    </w:p>
    <w:p w14:paraId="64B00A19" w14:textId="22870D4A" w:rsidR="00DB5029" w:rsidRDefault="00DB5029" w:rsidP="00DB5029">
      <w:r>
        <w:t xml:space="preserve">Note that where the </w:t>
      </w:r>
      <w:proofErr w:type="spellStart"/>
      <w:r>
        <w:t>UoB</w:t>
      </w:r>
      <w:proofErr w:type="spellEnd"/>
      <w:r>
        <w:t xml:space="preserve"> takes on the </w:t>
      </w:r>
      <w:r w:rsidR="00F51981">
        <w:t>s</w:t>
      </w:r>
      <w:r>
        <w:t xml:space="preserve">ponsor responsibility for deviations and serious breach reporting, the </w:t>
      </w:r>
      <w:proofErr w:type="spellStart"/>
      <w:r>
        <w:t>UoB</w:t>
      </w:r>
      <w:proofErr w:type="spellEnd"/>
      <w:r>
        <w:t xml:space="preserve"> will delegate the majority of these duties to the </w:t>
      </w:r>
      <w:r w:rsidR="001F2B2C">
        <w:t xml:space="preserve">chief </w:t>
      </w:r>
      <w:r w:rsidR="008F64B3">
        <w:t>i</w:t>
      </w:r>
      <w:r w:rsidR="00F51981">
        <w:t>nvestigator (</w:t>
      </w:r>
      <w:r>
        <w:t>CI</w:t>
      </w:r>
      <w:r w:rsidR="00F51981">
        <w:t>)</w:t>
      </w:r>
      <w:r>
        <w:t xml:space="preserve"> and/or to a </w:t>
      </w:r>
      <w:r w:rsidR="00DB1721">
        <w:t>c</w:t>
      </w:r>
      <w:r>
        <w:t xml:space="preserve">linical </w:t>
      </w:r>
      <w:r w:rsidR="00DB1721">
        <w:t>t</w:t>
      </w:r>
      <w:r>
        <w:t xml:space="preserve">rials </w:t>
      </w:r>
      <w:r w:rsidR="00DB1721">
        <w:t>u</w:t>
      </w:r>
      <w:r>
        <w:t>nit</w:t>
      </w:r>
      <w:r w:rsidR="00D10208">
        <w:t xml:space="preserve"> (CTU)</w:t>
      </w:r>
      <w:r>
        <w:t xml:space="preserve">, who may delegate these duties further to their trials team(s). All delegation of duties will be documented </w:t>
      </w:r>
      <w:r w:rsidR="00472483">
        <w:t xml:space="preserve">(e.g. </w:t>
      </w:r>
      <w:r>
        <w:t xml:space="preserve">using the CI declaration and/or the </w:t>
      </w:r>
      <w:r w:rsidRPr="00C5661D">
        <w:rPr>
          <w:rStyle w:val="ReferencestootherSOPsQCDsChar"/>
        </w:rPr>
        <w:t>Clinical Trial</w:t>
      </w:r>
      <w:r w:rsidR="00472483">
        <w:rPr>
          <w:rStyle w:val="ReferencestootherSOPsQCDsChar"/>
        </w:rPr>
        <w:t>s</w:t>
      </w:r>
      <w:r w:rsidRPr="00C5661D">
        <w:rPr>
          <w:rStyle w:val="ReferencestootherSOPsQCDsChar"/>
        </w:rPr>
        <w:t xml:space="preserve"> Task Delegation Log</w:t>
      </w:r>
      <w:r w:rsidR="00AD0276">
        <w:rPr>
          <w:rStyle w:val="ReferencestootherSOPsQCDsChar"/>
        </w:rPr>
        <w:t xml:space="preserve"> (</w:t>
      </w:r>
      <w:r w:rsidR="00AD0276" w:rsidRPr="00C5661D">
        <w:rPr>
          <w:rStyle w:val="ReferencestootherSOPsQCDsChar"/>
        </w:rPr>
        <w:t>UoB-</w:t>
      </w:r>
      <w:r w:rsidR="005449EA">
        <w:rPr>
          <w:rStyle w:val="ReferencestootherSOPsQCDsChar"/>
        </w:rPr>
        <w:t>SPO</w:t>
      </w:r>
      <w:r w:rsidR="00AD0276" w:rsidRPr="00C5661D">
        <w:rPr>
          <w:rStyle w:val="ReferencestootherSOPsQCDsChar"/>
        </w:rPr>
        <w:t>-QCD-00</w:t>
      </w:r>
      <w:r w:rsidR="005449EA">
        <w:rPr>
          <w:rStyle w:val="ReferencestootherSOPsQCDsChar"/>
        </w:rPr>
        <w:t>1</w:t>
      </w:r>
      <w:r w:rsidR="00AD0276">
        <w:rPr>
          <w:rStyle w:val="ReferencestootherSOPsQCDsChar"/>
        </w:rPr>
        <w:t>)</w:t>
      </w:r>
      <w:r>
        <w:t xml:space="preserve">. </w:t>
      </w:r>
    </w:p>
    <w:p w14:paraId="0D20D0DB" w14:textId="0BFA2FE1" w:rsidR="00DB5029" w:rsidRDefault="00DB5029" w:rsidP="00DB5029">
      <w:pPr>
        <w:pStyle w:val="bullet1"/>
      </w:pPr>
      <w:r>
        <w:t>Manager (or delegate)</w:t>
      </w:r>
      <w:r w:rsidR="006345C3">
        <w:t xml:space="preserve"> - </w:t>
      </w:r>
      <w:r>
        <w:t>th</w:t>
      </w:r>
      <w:r w:rsidR="006345C3">
        <w:t>i</w:t>
      </w:r>
      <w:r>
        <w:t xml:space="preserve">s term </w:t>
      </w:r>
      <w:r w:rsidR="006345C3">
        <w:t>is</w:t>
      </w:r>
      <w:r>
        <w:t xml:space="preserve"> used to define the role that has the responsibility for oversight of deviations and serious breach reporting. This may include the CI for clinical trials, or the supervisor for postgraduate research students</w:t>
      </w:r>
      <w:r w:rsidR="006345C3">
        <w:t xml:space="preserve">, for clinical research approved by </w:t>
      </w:r>
      <w:r w:rsidR="00D10208">
        <w:t xml:space="preserve">a </w:t>
      </w:r>
      <w:proofErr w:type="spellStart"/>
      <w:r w:rsidR="006345C3">
        <w:t>UoB</w:t>
      </w:r>
      <w:proofErr w:type="spellEnd"/>
      <w:r w:rsidR="006345C3">
        <w:t xml:space="preserve"> REC</w:t>
      </w:r>
      <w:r w:rsidR="00D10208">
        <w:t>,</w:t>
      </w:r>
      <w:r w:rsidR="006345C3">
        <w:t xml:space="preserve"> or the </w:t>
      </w:r>
      <w:proofErr w:type="spellStart"/>
      <w:r w:rsidR="006345C3">
        <w:t>UoB</w:t>
      </w:r>
      <w:proofErr w:type="spellEnd"/>
      <w:r w:rsidR="006345C3">
        <w:t xml:space="preserve"> </w:t>
      </w:r>
      <w:r w:rsidR="001F2B2C">
        <w:t>lead</w:t>
      </w:r>
      <w:r>
        <w:t xml:space="preserve">. </w:t>
      </w:r>
    </w:p>
    <w:p w14:paraId="3EF919FB" w14:textId="09BCAF43" w:rsidR="00DB5029" w:rsidRDefault="00DB5029" w:rsidP="00DB5029">
      <w:pPr>
        <w:pStyle w:val="bullet1"/>
      </w:pPr>
      <w:r>
        <w:t xml:space="preserve">Clinical research staff member; refers to any person who has a role in clinical research either sponsored by </w:t>
      </w:r>
      <w:proofErr w:type="spellStart"/>
      <w:r>
        <w:t>UoB</w:t>
      </w:r>
      <w:proofErr w:type="spellEnd"/>
      <w:r>
        <w:t xml:space="preserve"> or located at </w:t>
      </w:r>
      <w:proofErr w:type="spellStart"/>
      <w:r>
        <w:t>UoB</w:t>
      </w:r>
      <w:proofErr w:type="spellEnd"/>
      <w:r>
        <w:t xml:space="preserve"> premises, either directly or indirectly. This may include those </w:t>
      </w:r>
      <w:r w:rsidR="00FD6193">
        <w:t>holding</w:t>
      </w:r>
      <w:r>
        <w:t xml:space="preserve"> honorary contracts </w:t>
      </w:r>
      <w:r w:rsidR="00FD6193">
        <w:t xml:space="preserve">with the University </w:t>
      </w:r>
      <w:r>
        <w:t xml:space="preserve">or not directly employed by the </w:t>
      </w:r>
      <w:proofErr w:type="spellStart"/>
      <w:r>
        <w:t>UoB</w:t>
      </w:r>
      <w:proofErr w:type="spellEnd"/>
      <w:r>
        <w:t xml:space="preserve"> but who contribute to research either sponsored and/or located at </w:t>
      </w:r>
      <w:proofErr w:type="spellStart"/>
      <w:r>
        <w:t>UoB</w:t>
      </w:r>
      <w:proofErr w:type="spellEnd"/>
      <w:r>
        <w:t>.</w:t>
      </w:r>
    </w:p>
    <w:p w14:paraId="45FF532C" w14:textId="2DE943E8" w:rsidR="00F40923" w:rsidRDefault="00DB5029" w:rsidP="00E924D5">
      <w:pPr>
        <w:pStyle w:val="bullet1"/>
        <w:sectPr w:rsidR="00F40923" w:rsidSect="00512C56">
          <w:headerReference w:type="default" r:id="rId8"/>
          <w:footerReference w:type="default" r:id="rId9"/>
          <w:headerReference w:type="first" r:id="rId10"/>
          <w:footerReference w:type="first" r:id="rId11"/>
          <w:pgSz w:w="11907" w:h="16839" w:code="9"/>
          <w:pgMar w:top="5211" w:right="1440" w:bottom="1440" w:left="1440" w:header="1438" w:footer="283" w:gutter="0"/>
          <w:cols w:space="708"/>
          <w:titlePg/>
          <w:docGrid w:linePitch="360"/>
        </w:sectPr>
      </w:pPr>
      <w:r>
        <w:t xml:space="preserve">Head of </w:t>
      </w:r>
      <w:r w:rsidR="00AA4FB0">
        <w:t>R</w:t>
      </w:r>
      <w:r>
        <w:t xml:space="preserve">esearch </w:t>
      </w:r>
      <w:r w:rsidR="00AA4FB0">
        <w:t>G</w:t>
      </w:r>
      <w:r>
        <w:t>overnance</w:t>
      </w:r>
      <w:r w:rsidR="00443AFD">
        <w:t xml:space="preserve"> </w:t>
      </w:r>
      <w:r>
        <w:t xml:space="preserve">and </w:t>
      </w:r>
      <w:r w:rsidR="00AA4FB0">
        <w:t>I</w:t>
      </w:r>
      <w:r>
        <w:t xml:space="preserve">ntegrity </w:t>
      </w:r>
      <w:r w:rsidR="00101F6F">
        <w:t>(</w:t>
      </w:r>
      <w:r>
        <w:t>or delegate)</w:t>
      </w:r>
      <w:r w:rsidR="001C3763">
        <w:tab/>
      </w:r>
    </w:p>
    <w:p w14:paraId="659A27D2" w14:textId="35D2F7DF" w:rsidR="00E924D5" w:rsidRDefault="00E924D5" w:rsidP="00E924D5">
      <w:pPr>
        <w:pStyle w:val="bullet1"/>
      </w:pPr>
      <w:bookmarkStart w:id="0" w:name="_Toc320536979"/>
      <w:r>
        <w:lastRenderedPageBreak/>
        <w:t>Research Governance and Ethics Team (RG&amp;ET)</w:t>
      </w:r>
    </w:p>
    <w:p w14:paraId="797BEB9E" w14:textId="2E26B2D8" w:rsidR="00293E9C" w:rsidRDefault="00293E9C" w:rsidP="00E924D5">
      <w:pPr>
        <w:pStyle w:val="bullet1"/>
      </w:pPr>
      <w:r>
        <w:t>Clinical Research Compliance Team (CRCT)</w:t>
      </w:r>
    </w:p>
    <w:p w14:paraId="65F683DF" w14:textId="77777777" w:rsidR="00E924D5" w:rsidRPr="00C5661D" w:rsidRDefault="00E924D5" w:rsidP="00E924D5">
      <w:pPr>
        <w:pStyle w:val="bullet1"/>
      </w:pPr>
      <w:r w:rsidRPr="00C5661D">
        <w:t xml:space="preserve">Chair of </w:t>
      </w:r>
      <w:r>
        <w:t>C</w:t>
      </w:r>
      <w:r w:rsidRPr="00C5661D">
        <w:t xml:space="preserve">linical </w:t>
      </w:r>
      <w:r>
        <w:t>T</w:t>
      </w:r>
      <w:r w:rsidRPr="00C5661D">
        <w:t xml:space="preserve">rials </w:t>
      </w:r>
      <w:r>
        <w:t>O</w:t>
      </w:r>
      <w:r w:rsidRPr="00C5661D">
        <w:t xml:space="preserve">versight </w:t>
      </w:r>
      <w:r>
        <w:t>C</w:t>
      </w:r>
      <w:r w:rsidRPr="00C5661D">
        <w:t xml:space="preserve">ommittee (CTOC; or delegate) </w:t>
      </w:r>
    </w:p>
    <w:p w14:paraId="3D2DE105" w14:textId="0E873127" w:rsidR="00E924D5" w:rsidRDefault="00E924D5" w:rsidP="00E924D5">
      <w:pPr>
        <w:pStyle w:val="bullet1"/>
      </w:pPr>
      <w:r>
        <w:t xml:space="preserve">UKCRC registered </w:t>
      </w:r>
      <w:proofErr w:type="spellStart"/>
      <w:r>
        <w:t>UoB</w:t>
      </w:r>
      <w:proofErr w:type="spellEnd"/>
      <w:r>
        <w:t xml:space="preserve"> CTU</w:t>
      </w:r>
    </w:p>
    <w:p w14:paraId="73756B5F" w14:textId="55CD9968" w:rsidR="005A1F91" w:rsidRDefault="005A1F91" w:rsidP="00E924D5">
      <w:pPr>
        <w:pStyle w:val="bullet1"/>
      </w:pPr>
      <w:r>
        <w:t>Serious breach referral panel</w:t>
      </w:r>
    </w:p>
    <w:p w14:paraId="6F268604" w14:textId="48294D39" w:rsidR="005F0420" w:rsidRDefault="005F0420" w:rsidP="0060052C">
      <w:pPr>
        <w:pStyle w:val="Heading1"/>
      </w:pPr>
      <w:r>
        <w:t>Background</w:t>
      </w:r>
      <w:r w:rsidR="008D54DF">
        <w:t xml:space="preserve"> and </w:t>
      </w:r>
      <w:r w:rsidR="00FF6CB2">
        <w:t>r</w:t>
      </w:r>
      <w:r w:rsidR="008D54DF">
        <w:t>ationale</w:t>
      </w:r>
    </w:p>
    <w:p w14:paraId="30E8D899" w14:textId="20832D56" w:rsidR="00CA38D7" w:rsidRDefault="00CA38D7" w:rsidP="00CA38D7">
      <w:r>
        <w:t xml:space="preserve">For the purposes of this SOP the terms ‘clinical </w:t>
      </w:r>
      <w:r w:rsidR="00BE0280">
        <w:t>research</w:t>
      </w:r>
      <w:r>
        <w:t>’ or ‘</w:t>
      </w:r>
      <w:r w:rsidR="00BE0280">
        <w:t>research project</w:t>
      </w:r>
      <w:r>
        <w:t xml:space="preserve">’ will cover </w:t>
      </w:r>
      <w:r w:rsidR="00BE0280">
        <w:t>c</w:t>
      </w:r>
      <w:r>
        <w:t xml:space="preserve">linical </w:t>
      </w:r>
      <w:r w:rsidR="00BE0280">
        <w:t>t</w:t>
      </w:r>
      <w:r>
        <w:t xml:space="preserve">rials of </w:t>
      </w:r>
      <w:r w:rsidR="00BE0280">
        <w:t>i</w:t>
      </w:r>
      <w:r>
        <w:t xml:space="preserve">nvestigational </w:t>
      </w:r>
      <w:r w:rsidR="00BE0280">
        <w:t>m</w:t>
      </w:r>
      <w:r>
        <w:t xml:space="preserve">edicinal </w:t>
      </w:r>
      <w:r w:rsidR="00BE0280">
        <w:t>p</w:t>
      </w:r>
      <w:r>
        <w:t xml:space="preserve">roducts (CTIMPs), other interventional trials (e.g. surgical trials, device trials and non-CTIMP trials, and any other projects deemed to be ‘interventional’ by the </w:t>
      </w:r>
      <w:r w:rsidR="00BE0280">
        <w:t>s</w:t>
      </w:r>
      <w:r>
        <w:t>ponsor), clinical studies</w:t>
      </w:r>
      <w:r w:rsidR="00BE0280">
        <w:t xml:space="preserve"> and clinical research approved by a </w:t>
      </w:r>
      <w:proofErr w:type="spellStart"/>
      <w:r w:rsidR="00BE0280">
        <w:t>UoB</w:t>
      </w:r>
      <w:proofErr w:type="spellEnd"/>
      <w:r w:rsidR="00BE0280">
        <w:t xml:space="preserve"> REC</w:t>
      </w:r>
      <w:r>
        <w:t>.</w:t>
      </w:r>
    </w:p>
    <w:p w14:paraId="6FCA20FF" w14:textId="77777777" w:rsidR="00CA38D7" w:rsidRDefault="00CA38D7" w:rsidP="00CA38D7">
      <w:pPr>
        <w:pStyle w:val="Heading2"/>
      </w:pPr>
      <w:r>
        <w:t>Deviations</w:t>
      </w:r>
    </w:p>
    <w:p w14:paraId="3860D86A" w14:textId="77777777" w:rsidR="00CA38D7" w:rsidRDefault="00CA38D7" w:rsidP="00CA38D7">
      <w:r>
        <w:t xml:space="preserve">A deviation is a departure from a framework such as an agreed process, principle, procedure or protocol which may, or may not, be intentional. A deviation is also known as a non-compliance, breach or violation. Deviations include major or critical findings and serious breaches of GCP or the trial protocol. Deviations can be either planned or detected e.g. during on-site monitoring. For consistency, the term ‘deviation’ is used within </w:t>
      </w:r>
      <w:proofErr w:type="spellStart"/>
      <w:r>
        <w:t>UoB</w:t>
      </w:r>
      <w:proofErr w:type="spellEnd"/>
      <w:r>
        <w:t xml:space="preserve"> to mean all of the above.</w:t>
      </w:r>
    </w:p>
    <w:p w14:paraId="765B250F" w14:textId="048929D6" w:rsidR="00CA38D7" w:rsidRDefault="00CA38D7" w:rsidP="00CA38D7">
      <w:r>
        <w:t xml:space="preserve">Deviations from agreed processes or practice can affect the safety of participants and/or quality of the output of that process. </w:t>
      </w:r>
      <w:proofErr w:type="spellStart"/>
      <w:r>
        <w:rPr>
          <w:rStyle w:val="ReferencestootherSOPsQCDsChar"/>
        </w:rPr>
        <w:t>U</w:t>
      </w:r>
      <w:r w:rsidRPr="00C5661D">
        <w:rPr>
          <w:rStyle w:val="ReferencestootherSOPsQCDsChar"/>
        </w:rPr>
        <w:t>oB</w:t>
      </w:r>
      <w:proofErr w:type="spellEnd"/>
      <w:r w:rsidRPr="00C5661D">
        <w:rPr>
          <w:rStyle w:val="ReferencestootherSOPsQCDsChar"/>
        </w:rPr>
        <w:t xml:space="preserve"> Principles of GCP for Clinical Research</w:t>
      </w:r>
      <w:r w:rsidR="00AD0276">
        <w:rPr>
          <w:rStyle w:val="ReferencestootherSOPsQCDsChar"/>
        </w:rPr>
        <w:t xml:space="preserve"> (</w:t>
      </w:r>
      <w:r w:rsidR="00AD0276" w:rsidRPr="00C5661D">
        <w:rPr>
          <w:rStyle w:val="ReferencestootherSOPsQCDsChar"/>
        </w:rPr>
        <w:t>U</w:t>
      </w:r>
      <w:r w:rsidR="00AD0276">
        <w:rPr>
          <w:rStyle w:val="ReferencestootherSOPsQCDsChar"/>
        </w:rPr>
        <w:t>oB-GCP-POL-001)</w:t>
      </w:r>
      <w:r>
        <w:t xml:space="preserve"> states that research is designed, reviewed, managed and undertaken in a way that ensure</w:t>
      </w:r>
      <w:r w:rsidR="00690BA5">
        <w:t>s</w:t>
      </w:r>
      <w:r>
        <w:t xml:space="preserve"> integrity, quality and transparency, and it is expected that those conducting </w:t>
      </w:r>
      <w:r w:rsidR="00690BA5">
        <w:t>clinical research</w:t>
      </w:r>
      <w:r>
        <w:t xml:space="preserve"> have systems and procedures in place to manage deviations. </w:t>
      </w:r>
    </w:p>
    <w:p w14:paraId="21A9A663" w14:textId="77777777" w:rsidR="00CA38D7" w:rsidRDefault="00CA38D7" w:rsidP="00CA38D7">
      <w:pPr>
        <w:pStyle w:val="Heading2"/>
      </w:pPr>
      <w:r>
        <w:t>Serious Breaches</w:t>
      </w:r>
    </w:p>
    <w:p w14:paraId="0460FA36" w14:textId="77777777" w:rsidR="00CA38D7" w:rsidRDefault="00CA38D7" w:rsidP="00CA38D7">
      <w:r>
        <w:t xml:space="preserve">A serious breach is defined as a breach which is likely to affect to a significant degree: </w:t>
      </w:r>
    </w:p>
    <w:p w14:paraId="176B9FB8" w14:textId="2C0DB3A1" w:rsidR="00CA38D7" w:rsidRDefault="00ED43AD" w:rsidP="002B0880">
      <w:pPr>
        <w:pStyle w:val="bullet1"/>
      </w:pPr>
      <w:r>
        <w:t>t</w:t>
      </w:r>
      <w:r w:rsidR="00CA38D7">
        <w:t>he safety or physical or mental integrity of the participants of the trial; or</w:t>
      </w:r>
    </w:p>
    <w:p w14:paraId="16DB0EDE" w14:textId="24B0FAE3" w:rsidR="00CA38D7" w:rsidRDefault="00ED43AD" w:rsidP="002B0880">
      <w:pPr>
        <w:pStyle w:val="bullet1"/>
      </w:pPr>
      <w:r>
        <w:t>t</w:t>
      </w:r>
      <w:r w:rsidR="00CA38D7">
        <w:t>he scientific value of the trial.</w:t>
      </w:r>
    </w:p>
    <w:p w14:paraId="6CD616E3" w14:textId="6FA19D54" w:rsidR="00CA38D7" w:rsidRDefault="00CA38D7" w:rsidP="00CA38D7">
      <w:r>
        <w:t xml:space="preserve">For CTIMPs, </w:t>
      </w:r>
      <w:hyperlink r:id="rId12" w:tooltip="Link to Medicines for Human Use (Clinical Trials) Amendment Regulations 2006" w:history="1">
        <w:r w:rsidR="003304B1">
          <w:rPr>
            <w:rStyle w:val="Hyperlink"/>
          </w:rPr>
          <w:t>The Medicines for Human Use (Clinical Trials) Amendment Regulations 2006</w:t>
        </w:r>
      </w:hyperlink>
      <w:r>
        <w:t xml:space="preserve"> require that the sponsor of a clinical trial shall notify the licensing authority and REC in writing within 7 days of becoming aware of any serious breach of: </w:t>
      </w:r>
    </w:p>
    <w:p w14:paraId="6C39042A" w14:textId="7F9C5E18" w:rsidR="00CA38D7" w:rsidRDefault="0061619B" w:rsidP="002B0880">
      <w:pPr>
        <w:pStyle w:val="bullet1"/>
      </w:pPr>
      <w:r>
        <w:t>t</w:t>
      </w:r>
      <w:r w:rsidR="00CA38D7">
        <w:t>he conditions and principles of GCP in connection with that trial; or</w:t>
      </w:r>
    </w:p>
    <w:p w14:paraId="6261A948" w14:textId="2CD2CD4F" w:rsidR="00CA38D7" w:rsidRDefault="0061619B" w:rsidP="002B0880">
      <w:pPr>
        <w:pStyle w:val="bullet1"/>
      </w:pPr>
      <w:r>
        <w:t>t</w:t>
      </w:r>
      <w:r w:rsidR="00CA38D7">
        <w:t>he protocol relating to that trial, as amended from time to time.</w:t>
      </w:r>
    </w:p>
    <w:p w14:paraId="57A809E5" w14:textId="760A3A1F" w:rsidR="00CA38D7" w:rsidRDefault="00CA38D7" w:rsidP="00CA38D7">
      <w:r>
        <w:t xml:space="preserve">Examples of what constitutes as serious breach can be found in Appendix II of the MHRA’s </w:t>
      </w:r>
      <w:hyperlink r:id="rId13" w:tooltip="Link to Guidance for the Notification of Serious Breaches of GCP or the Trial Protocol" w:history="1">
        <w:r w:rsidRPr="00FF48DE">
          <w:rPr>
            <w:rStyle w:val="Hyperlink"/>
          </w:rPr>
          <w:t xml:space="preserve">Guidance for the </w:t>
        </w:r>
        <w:r w:rsidR="0087043B">
          <w:rPr>
            <w:rStyle w:val="Hyperlink"/>
          </w:rPr>
          <w:t>N</w:t>
        </w:r>
        <w:r w:rsidRPr="00FF48DE">
          <w:rPr>
            <w:rStyle w:val="Hyperlink"/>
          </w:rPr>
          <w:t xml:space="preserve">otification of Serious Breaches of GCP or the </w:t>
        </w:r>
        <w:r w:rsidR="00736212">
          <w:rPr>
            <w:rStyle w:val="Hyperlink"/>
          </w:rPr>
          <w:t>T</w:t>
        </w:r>
        <w:r w:rsidRPr="00FF48DE">
          <w:rPr>
            <w:rStyle w:val="Hyperlink"/>
          </w:rPr>
          <w:t xml:space="preserve">rial </w:t>
        </w:r>
        <w:r w:rsidR="00736212">
          <w:rPr>
            <w:rStyle w:val="Hyperlink"/>
          </w:rPr>
          <w:t>P</w:t>
        </w:r>
        <w:r w:rsidRPr="00FF48DE">
          <w:rPr>
            <w:rStyle w:val="Hyperlink"/>
          </w:rPr>
          <w:t>rotoco</w:t>
        </w:r>
        <w:r>
          <w:rPr>
            <w:rStyle w:val="Hyperlink"/>
          </w:rPr>
          <w:t>l (PDF - 211 KB)</w:t>
        </w:r>
      </w:hyperlink>
      <w:r>
        <w:t xml:space="preserve">. </w:t>
      </w:r>
    </w:p>
    <w:p w14:paraId="64906EC1" w14:textId="681182B7" w:rsidR="00CA38D7" w:rsidRDefault="00CA38D7" w:rsidP="00CA38D7">
      <w:r>
        <w:t xml:space="preserve">For non-CTIMPs and clinical studies, the </w:t>
      </w:r>
      <w:hyperlink r:id="rId14" w:tooltip="Link to NHS HRA Research Ethics Committee Standard Operating Procedures" w:history="1">
        <w:r w:rsidR="002644C0">
          <w:rPr>
            <w:rStyle w:val="Hyperlink"/>
            <w:rFonts w:cs="Calibri"/>
            <w:lang w:eastAsia="en-GB"/>
          </w:rPr>
          <w:t>H</w:t>
        </w:r>
        <w:r w:rsidR="005A1F91">
          <w:rPr>
            <w:rStyle w:val="Hyperlink"/>
            <w:rFonts w:cs="Calibri"/>
            <w:lang w:eastAsia="en-GB"/>
          </w:rPr>
          <w:t>ealth Research Authority (HRA) SOPs for NHS REC</w:t>
        </w:r>
        <w:r w:rsidR="004875B1">
          <w:rPr>
            <w:rStyle w:val="Hyperlink"/>
            <w:rFonts w:cs="Calibri"/>
            <w:lang w:eastAsia="en-GB"/>
          </w:rPr>
          <w:t>s</w:t>
        </w:r>
      </w:hyperlink>
      <w:r>
        <w:t xml:space="preserve"> define the requirements for reporting of serious breaches to the REC, </w:t>
      </w:r>
      <w:r w:rsidR="00941EF6">
        <w:t>as defined by the study protocol</w:t>
      </w:r>
      <w:r>
        <w:t>.</w:t>
      </w:r>
    </w:p>
    <w:p w14:paraId="7E6A61B9" w14:textId="41577A4B" w:rsidR="0050052D" w:rsidRDefault="00BD6695" w:rsidP="00CA38D7">
      <w:r>
        <w:t>Note</w:t>
      </w:r>
      <w:r w:rsidRPr="00F71EC3">
        <w:t>: th</w:t>
      </w:r>
      <w:r w:rsidR="00EE2ED9">
        <w:t>e section on serious breach reporting in this document</w:t>
      </w:r>
      <w:r w:rsidRPr="00F71EC3">
        <w:t xml:space="preserve"> does not apply to </w:t>
      </w:r>
      <w:proofErr w:type="spellStart"/>
      <w:r w:rsidR="0050052D" w:rsidRPr="00F71EC3">
        <w:t>UoB</w:t>
      </w:r>
      <w:proofErr w:type="spellEnd"/>
      <w:r w:rsidR="0050052D" w:rsidRPr="00F71EC3">
        <w:t xml:space="preserve"> REC approved clinical research</w:t>
      </w:r>
      <w:r w:rsidR="00253B4F">
        <w:t xml:space="preserve">. The reader should refer to </w:t>
      </w:r>
      <w:r>
        <w:t>clause 13</w:t>
      </w:r>
      <w:r w:rsidR="00253B4F">
        <w:t xml:space="preserve"> (misconduct)</w:t>
      </w:r>
      <w:r>
        <w:t xml:space="preserve"> of </w:t>
      </w:r>
      <w:r w:rsidR="0050052D">
        <w:t xml:space="preserve">the </w:t>
      </w:r>
      <w:hyperlink r:id="rId15" w:tooltip="Link to UoB Code of Practice for Research" w:history="1">
        <w:proofErr w:type="spellStart"/>
        <w:r>
          <w:rPr>
            <w:rStyle w:val="Hyperlink"/>
          </w:rPr>
          <w:t>U</w:t>
        </w:r>
        <w:r w:rsidR="0095599B">
          <w:rPr>
            <w:rStyle w:val="Hyperlink"/>
          </w:rPr>
          <w:t>o</w:t>
        </w:r>
        <w:r>
          <w:rPr>
            <w:rStyle w:val="Hyperlink"/>
          </w:rPr>
          <w:t>B</w:t>
        </w:r>
        <w:proofErr w:type="spellEnd"/>
        <w:r>
          <w:rPr>
            <w:rStyle w:val="Hyperlink"/>
          </w:rPr>
          <w:t xml:space="preserve"> </w:t>
        </w:r>
        <w:r w:rsidR="001D0965">
          <w:rPr>
            <w:rStyle w:val="Hyperlink"/>
          </w:rPr>
          <w:t>C</w:t>
        </w:r>
        <w:r>
          <w:rPr>
            <w:rStyle w:val="Hyperlink"/>
          </w:rPr>
          <w:t xml:space="preserve">ode of </w:t>
        </w:r>
        <w:r w:rsidR="001D0965">
          <w:rPr>
            <w:rStyle w:val="Hyperlink"/>
          </w:rPr>
          <w:t>P</w:t>
        </w:r>
        <w:r>
          <w:rPr>
            <w:rStyle w:val="Hyperlink"/>
          </w:rPr>
          <w:t xml:space="preserve">ractice for </w:t>
        </w:r>
        <w:r w:rsidR="001D0965">
          <w:rPr>
            <w:rStyle w:val="Hyperlink"/>
          </w:rPr>
          <w:t>R</w:t>
        </w:r>
        <w:r>
          <w:rPr>
            <w:rStyle w:val="Hyperlink"/>
          </w:rPr>
          <w:t>esearch (PDF – 357KB)</w:t>
        </w:r>
      </w:hyperlink>
      <w:r>
        <w:rPr>
          <w:rStyle w:val="Hyperlink"/>
        </w:rPr>
        <w:t>.</w:t>
      </w:r>
    </w:p>
    <w:p w14:paraId="20C7383C" w14:textId="0F82591B" w:rsidR="00E22773" w:rsidRPr="00435EAE" w:rsidRDefault="00C3647F">
      <w:pPr>
        <w:pStyle w:val="Heading1"/>
      </w:pPr>
      <w:r w:rsidRPr="00435EAE">
        <w:t>Procedure</w:t>
      </w:r>
    </w:p>
    <w:p w14:paraId="0C2D3607" w14:textId="55A41869" w:rsidR="00CA38D7" w:rsidRDefault="00CA38D7" w:rsidP="00CA38D7">
      <w:r>
        <w:t xml:space="preserve">Significant research related events or serious breaches may be identified by clinical research staff through various means, including monitoring, audits, team meetings, feedback from site staff or participants.  Members of the research team may also receive allegations of deviations from the protocol, the principles of GCP (or applicable </w:t>
      </w:r>
      <w:proofErr w:type="spellStart"/>
      <w:r>
        <w:t>GxP</w:t>
      </w:r>
      <w:proofErr w:type="spellEnd"/>
      <w:r>
        <w:t xml:space="preserve"> requirements), or legal requirements that may affect the safety of participants or the integrity of the </w:t>
      </w:r>
      <w:r w:rsidR="002B0880">
        <w:t xml:space="preserve">research </w:t>
      </w:r>
      <w:r w:rsidR="008332B9">
        <w:t>project</w:t>
      </w:r>
      <w:r>
        <w:t xml:space="preserve">. This information may be received directly or indirectly from whistle blowers or complaints from within or outside of </w:t>
      </w:r>
      <w:r w:rsidR="00D10208">
        <w:t xml:space="preserve">the </w:t>
      </w:r>
      <w:proofErr w:type="spellStart"/>
      <w:r>
        <w:t>UoB</w:t>
      </w:r>
      <w:proofErr w:type="spellEnd"/>
      <w:r>
        <w:t>.</w:t>
      </w:r>
    </w:p>
    <w:p w14:paraId="3D7E5C39" w14:textId="5F7985A7" w:rsidR="00CA38D7" w:rsidRDefault="00CA38D7" w:rsidP="00CA38D7">
      <w:r>
        <w:t xml:space="preserve">All deviations follow the procedures described below in the section ‘Deviations’. For (suspected) serious breaches, these are additionally addressed in the section below marked ‘Serious breach reporting outside the </w:t>
      </w:r>
      <w:proofErr w:type="spellStart"/>
      <w:r>
        <w:t>UoB</w:t>
      </w:r>
      <w:proofErr w:type="spellEnd"/>
      <w:r>
        <w:t xml:space="preserve"> CTUs’ and ‘Serious breach reporting in the </w:t>
      </w:r>
      <w:proofErr w:type="spellStart"/>
      <w:r>
        <w:t>UoB</w:t>
      </w:r>
      <w:proofErr w:type="spellEnd"/>
      <w:r>
        <w:t xml:space="preserve"> CTUs’ respectively.</w:t>
      </w:r>
    </w:p>
    <w:p w14:paraId="03B3F515" w14:textId="79356498" w:rsidR="00CB177E" w:rsidRDefault="00253B4F" w:rsidP="00CA38D7">
      <w:r>
        <w:lastRenderedPageBreak/>
        <w:t xml:space="preserve">Within the </w:t>
      </w:r>
      <w:proofErr w:type="spellStart"/>
      <w:r>
        <w:t>UoB</w:t>
      </w:r>
      <w:proofErr w:type="spellEnd"/>
      <w:r>
        <w:t xml:space="preserve">, any deviations or serious breaches that may have resulted from misconduct will be investigated </w:t>
      </w:r>
      <w:r w:rsidR="00CB177E">
        <w:t xml:space="preserve">and </w:t>
      </w:r>
      <w:r>
        <w:t>subject to the procedures outlined in clause 13 (</w:t>
      </w:r>
      <w:r w:rsidRPr="0023758A">
        <w:t>m</w:t>
      </w:r>
      <w:r w:rsidRPr="00253B4F">
        <w:t>isconduct</w:t>
      </w:r>
      <w:r>
        <w:t xml:space="preserve">) of the </w:t>
      </w:r>
      <w:hyperlink r:id="rId16" w:tooltip="Link to UoB Code of Practice for Research" w:history="1">
        <w:proofErr w:type="spellStart"/>
        <w:r>
          <w:rPr>
            <w:rStyle w:val="Hyperlink"/>
          </w:rPr>
          <w:t>UoB</w:t>
        </w:r>
        <w:proofErr w:type="spellEnd"/>
        <w:r>
          <w:rPr>
            <w:rStyle w:val="Hyperlink"/>
          </w:rPr>
          <w:t xml:space="preserve"> </w:t>
        </w:r>
        <w:r w:rsidR="00736212">
          <w:rPr>
            <w:rStyle w:val="Hyperlink"/>
          </w:rPr>
          <w:t>C</w:t>
        </w:r>
        <w:r>
          <w:rPr>
            <w:rStyle w:val="Hyperlink"/>
          </w:rPr>
          <w:t xml:space="preserve">ode of </w:t>
        </w:r>
        <w:r w:rsidR="00736212">
          <w:rPr>
            <w:rStyle w:val="Hyperlink"/>
          </w:rPr>
          <w:t>P</w:t>
        </w:r>
        <w:r>
          <w:rPr>
            <w:rStyle w:val="Hyperlink"/>
          </w:rPr>
          <w:t xml:space="preserve">ractice for </w:t>
        </w:r>
        <w:r w:rsidR="00736212">
          <w:rPr>
            <w:rStyle w:val="Hyperlink"/>
          </w:rPr>
          <w:t>R</w:t>
        </w:r>
        <w:r>
          <w:rPr>
            <w:rStyle w:val="Hyperlink"/>
          </w:rPr>
          <w:t>esearch (PDF – 357KB)</w:t>
        </w:r>
      </w:hyperlink>
      <w:r>
        <w:t>.</w:t>
      </w:r>
    </w:p>
    <w:p w14:paraId="2C1474DA" w14:textId="4E50D0C9" w:rsidR="00E924D5" w:rsidRDefault="00CA38D7" w:rsidP="00E924D5">
      <w:r>
        <w:t xml:space="preserve">Information regarding deviations from the protocol, </w:t>
      </w:r>
      <w:proofErr w:type="spellStart"/>
      <w:r>
        <w:t>GxP</w:t>
      </w:r>
      <w:proofErr w:type="spellEnd"/>
      <w:r>
        <w:t xml:space="preserve"> or legal requirements and possible serious breach reports should be treated as confidential to relevant </w:t>
      </w:r>
      <w:proofErr w:type="spellStart"/>
      <w:r>
        <w:t>UoB</w:t>
      </w:r>
      <w:proofErr w:type="spellEnd"/>
      <w:r>
        <w:t xml:space="preserve"> staff and site</w:t>
      </w:r>
      <w:r w:rsidR="00D10208">
        <w:t>(s)</w:t>
      </w:r>
      <w:r>
        <w:t xml:space="preserve">. All relevant documentation should be kept as part of the </w:t>
      </w:r>
      <w:r w:rsidR="00720B50">
        <w:t>s</w:t>
      </w:r>
      <w:r w:rsidR="004F3D9E">
        <w:t>tudy/</w:t>
      </w:r>
      <w:r w:rsidR="00720B50">
        <w:t>t</w:t>
      </w:r>
      <w:r>
        <w:t xml:space="preserve">rial </w:t>
      </w:r>
      <w:r w:rsidR="00720B50">
        <w:t>m</w:t>
      </w:r>
      <w:r>
        <w:t xml:space="preserve">aster </w:t>
      </w:r>
      <w:r w:rsidR="00720B50">
        <w:t>f</w:t>
      </w:r>
      <w:r>
        <w:t>ile (</w:t>
      </w:r>
      <w:r w:rsidR="004F3D9E">
        <w:t>S/</w:t>
      </w:r>
      <w:r>
        <w:t xml:space="preserve">TMF) and relevant </w:t>
      </w:r>
      <w:r w:rsidR="00D10208">
        <w:t xml:space="preserve">investigator </w:t>
      </w:r>
      <w:r>
        <w:t>site</w:t>
      </w:r>
      <w:r w:rsidR="00D10208">
        <w:t xml:space="preserve"> file (ISF)</w:t>
      </w:r>
      <w:r>
        <w:t>/lab</w:t>
      </w:r>
      <w:r w:rsidR="00D10208">
        <w:t>oratory</w:t>
      </w:r>
      <w:r>
        <w:t xml:space="preserve"> </w:t>
      </w:r>
      <w:r w:rsidR="00D10208">
        <w:t xml:space="preserve">master </w:t>
      </w:r>
      <w:r>
        <w:t>file</w:t>
      </w:r>
      <w:r w:rsidR="00D10208">
        <w:t xml:space="preserve"> (LMF)</w:t>
      </w:r>
      <w:r>
        <w:t xml:space="preserve"> including any emails. Details of the ensuing investigation will be made available to </w:t>
      </w:r>
      <w:proofErr w:type="spellStart"/>
      <w:r w:rsidR="004D4227">
        <w:t>UoB</w:t>
      </w:r>
      <w:proofErr w:type="spellEnd"/>
      <w:r w:rsidR="004D4227">
        <w:t xml:space="preserve"> and site </w:t>
      </w:r>
      <w:r>
        <w:t>staff on a need</w:t>
      </w:r>
      <w:r w:rsidR="002B0880">
        <w:t>-</w:t>
      </w:r>
      <w:r>
        <w:t>to</w:t>
      </w:r>
      <w:r w:rsidR="002B0880">
        <w:t>-</w:t>
      </w:r>
      <w:r>
        <w:t>know basis. All individuals interviewed during the investigation will be asked to respect this confidentiality.</w:t>
      </w:r>
    </w:p>
    <w:p w14:paraId="5197226C" w14:textId="3CC6A77F" w:rsidR="00CA38D7" w:rsidRDefault="00CA38D7" w:rsidP="00E924D5">
      <w:pPr>
        <w:pStyle w:val="Heading2"/>
      </w:pPr>
      <w:r>
        <w:t>Deviations</w:t>
      </w:r>
    </w:p>
    <w:p w14:paraId="0E9862C4" w14:textId="365113A9" w:rsidR="00CA38D7" w:rsidRDefault="00CA38D7" w:rsidP="00CA38D7">
      <w:pPr>
        <w:pStyle w:val="Heading3"/>
      </w:pPr>
      <w:r>
        <w:t>Deviation administration</w:t>
      </w:r>
    </w:p>
    <w:p w14:paraId="39CC2167" w14:textId="43DF2E75" w:rsidR="00CA38D7" w:rsidRPr="00C5661D" w:rsidRDefault="00CA38D7" w:rsidP="00CA38D7">
      <w:pPr>
        <w:pStyle w:val="Numberlist"/>
        <w:numPr>
          <w:ilvl w:val="0"/>
          <w:numId w:val="12"/>
        </w:numPr>
        <w:ind w:left="340" w:hanging="340"/>
      </w:pPr>
      <w:r w:rsidRPr="00C5661D">
        <w:t xml:space="preserve">The </w:t>
      </w:r>
      <w:r w:rsidR="002248F2">
        <w:t>m</w:t>
      </w:r>
      <w:r w:rsidR="002248F2" w:rsidRPr="00C5661D">
        <w:t xml:space="preserve">anager </w:t>
      </w:r>
      <w:r w:rsidRPr="00C5661D">
        <w:t>(or delegate) will set up a process for deviation management, which will include</w:t>
      </w:r>
      <w:r w:rsidR="003E67CF">
        <w:t xml:space="preserve"> the following.</w:t>
      </w:r>
    </w:p>
    <w:p w14:paraId="672A4B5A" w14:textId="63BC09B1" w:rsidR="00CA38D7" w:rsidRPr="00C5661D" w:rsidRDefault="00CA38D7" w:rsidP="00CA38D7">
      <w:pPr>
        <w:pStyle w:val="bullet2"/>
      </w:pPr>
      <w:r w:rsidRPr="00C5661D">
        <w:t xml:space="preserve">A written procedure detailing deviation reporting, review, investigation and escalation (where appropriate) </w:t>
      </w:r>
      <w:r w:rsidR="00B404EF">
        <w:t xml:space="preserve">and </w:t>
      </w:r>
      <w:r w:rsidRPr="00C5661D">
        <w:t xml:space="preserve">who has been delegated what duties from the </w:t>
      </w:r>
      <w:r w:rsidR="002248F2">
        <w:t>m</w:t>
      </w:r>
      <w:r w:rsidR="002248F2" w:rsidRPr="00C5661D">
        <w:t xml:space="preserve">anager </w:t>
      </w:r>
      <w:r w:rsidR="00A96762">
        <w:t xml:space="preserve">(or delegate) </w:t>
      </w:r>
      <w:r w:rsidRPr="00C5661D">
        <w:t xml:space="preserve">within this procedure. See </w:t>
      </w:r>
      <w:r w:rsidRPr="00047BC6">
        <w:rPr>
          <w:rStyle w:val="ReferencestootherSOPsQCDsChar"/>
        </w:rPr>
        <w:t>Deviation Management</w:t>
      </w:r>
      <w:r w:rsidR="00FE3B09">
        <w:rPr>
          <w:rStyle w:val="ReferencestootherSOPsQCDsChar"/>
        </w:rPr>
        <w:t xml:space="preserve"> (</w:t>
      </w:r>
      <w:r w:rsidR="00FE3B09" w:rsidRPr="00047BC6">
        <w:rPr>
          <w:rStyle w:val="ReferencestootherSOPsQCDsChar"/>
        </w:rPr>
        <w:t>UoB-</w:t>
      </w:r>
      <w:r w:rsidR="00FE3B09">
        <w:rPr>
          <w:rStyle w:val="ReferencestootherSOPsQCDsChar"/>
        </w:rPr>
        <w:t>DSB</w:t>
      </w:r>
      <w:r w:rsidR="00FE3B09" w:rsidRPr="00047BC6">
        <w:rPr>
          <w:rStyle w:val="ReferencestootherSOPsQCDsChar"/>
        </w:rPr>
        <w:t>-QCD-00</w:t>
      </w:r>
      <w:r w:rsidR="00FE3B09">
        <w:rPr>
          <w:rStyle w:val="ReferencestootherSOPsQCDsChar"/>
        </w:rPr>
        <w:t xml:space="preserve">1) </w:t>
      </w:r>
      <w:r w:rsidR="00FE3B09" w:rsidRPr="00FE3B09">
        <w:t>for a template</w:t>
      </w:r>
      <w:r w:rsidR="00A1507C" w:rsidRPr="00C5661D">
        <w:t>.</w:t>
      </w:r>
    </w:p>
    <w:p w14:paraId="5C999ADA" w14:textId="44AA2BC4" w:rsidR="00CA38D7" w:rsidRPr="00C5661D" w:rsidRDefault="00CA38D7" w:rsidP="00CA38D7">
      <w:pPr>
        <w:pStyle w:val="bullet2"/>
      </w:pPr>
      <w:r w:rsidRPr="00C5661D">
        <w:t xml:space="preserve">Tools to capture deviations (where applicable); see </w:t>
      </w:r>
      <w:r w:rsidR="00FE3B09" w:rsidRPr="00FE3B09">
        <w:rPr>
          <w:rStyle w:val="ReferencestootherSOPsQCDsChar"/>
        </w:rPr>
        <w:t>Deviation Form (</w:t>
      </w:r>
      <w:r w:rsidR="00AD0276" w:rsidRPr="00FE3B09">
        <w:rPr>
          <w:rStyle w:val="ReferencestootherSOPsQCDsChar"/>
        </w:rPr>
        <w:t>UoB-DSB-QCD-002)</w:t>
      </w:r>
      <w:r w:rsidRPr="00C5661D">
        <w:t xml:space="preserve"> for a template.</w:t>
      </w:r>
    </w:p>
    <w:p w14:paraId="0BD69143" w14:textId="7D8822E8" w:rsidR="00CA38D7" w:rsidRPr="00C5661D" w:rsidRDefault="00CA38D7" w:rsidP="00CA38D7">
      <w:pPr>
        <w:pStyle w:val="Numberlist"/>
        <w:numPr>
          <w:ilvl w:val="0"/>
          <w:numId w:val="12"/>
        </w:numPr>
        <w:ind w:left="340" w:hanging="340"/>
      </w:pPr>
      <w:r w:rsidRPr="00C5661D">
        <w:t xml:space="preserve">Where appropriate, the </w:t>
      </w:r>
      <w:r w:rsidR="002248F2">
        <w:t>m</w:t>
      </w:r>
      <w:r w:rsidR="002248F2" w:rsidRPr="00C5661D">
        <w:t xml:space="preserve">anager </w:t>
      </w:r>
      <w:r w:rsidRPr="00C5661D">
        <w:t xml:space="preserve">(or delegate) will set up a process to ensure any </w:t>
      </w:r>
      <w:r w:rsidR="00C15BA4">
        <w:t>c</w:t>
      </w:r>
      <w:r w:rsidRPr="00C5661D">
        <w:t xml:space="preserve">orrective </w:t>
      </w:r>
      <w:r w:rsidR="00C15BA4">
        <w:t>a</w:t>
      </w:r>
      <w:r w:rsidRPr="00C5661D">
        <w:t xml:space="preserve">ction and </w:t>
      </w:r>
      <w:r w:rsidR="00C15BA4">
        <w:t>p</w:t>
      </w:r>
      <w:r w:rsidRPr="00C5661D">
        <w:t xml:space="preserve">reventative </w:t>
      </w:r>
      <w:r w:rsidR="00C15BA4">
        <w:t>a</w:t>
      </w:r>
      <w:r w:rsidRPr="00C5661D">
        <w:t xml:space="preserve">ction (CAPA) plans arising from deviations are executed within the set timeframe. </w:t>
      </w:r>
    </w:p>
    <w:p w14:paraId="418F78AD" w14:textId="5595CCD7" w:rsidR="00CA38D7" w:rsidRPr="00C5661D" w:rsidRDefault="00CA38D7" w:rsidP="00CA38D7">
      <w:pPr>
        <w:pStyle w:val="Numberlist"/>
        <w:numPr>
          <w:ilvl w:val="0"/>
          <w:numId w:val="12"/>
        </w:numPr>
        <w:ind w:left="340" w:hanging="340"/>
      </w:pPr>
      <w:r w:rsidRPr="00C5661D">
        <w:t xml:space="preserve">For </w:t>
      </w:r>
      <w:r w:rsidR="008F0F20">
        <w:t>laboratories performing analyses that contribute to the endpoints of CTIMPs</w:t>
      </w:r>
      <w:r w:rsidRPr="00C5661D">
        <w:t xml:space="preserve">, the </w:t>
      </w:r>
      <w:r w:rsidR="002248F2">
        <w:t>m</w:t>
      </w:r>
      <w:r w:rsidR="002248F2" w:rsidRPr="00C5661D">
        <w:t xml:space="preserve">anager </w:t>
      </w:r>
      <w:r w:rsidRPr="00C5661D">
        <w:t xml:space="preserve">(or delegate) will follow the procedures as described in </w:t>
      </w:r>
      <w:r w:rsidRPr="00047BC6">
        <w:rPr>
          <w:rStyle w:val="ReferencestootherSOPsQCDsChar"/>
        </w:rPr>
        <w:t>Reportable Issues</w:t>
      </w:r>
      <w:r w:rsidR="00AD0276">
        <w:rPr>
          <w:rStyle w:val="ReferencestootherSOPsQCDsChar"/>
        </w:rPr>
        <w:t xml:space="preserve"> SOP (</w:t>
      </w:r>
      <w:r w:rsidR="00AD0276" w:rsidRPr="00047BC6">
        <w:rPr>
          <w:rStyle w:val="ReferencestootherSOPsQCDsChar"/>
        </w:rPr>
        <w:t>UoB-CRL-SOP-005</w:t>
      </w:r>
      <w:r w:rsidR="00AD0276">
        <w:rPr>
          <w:rStyle w:val="ReferencestootherSOPsQCDsChar"/>
        </w:rPr>
        <w:t>)</w:t>
      </w:r>
      <w:r w:rsidRPr="00C5661D">
        <w:t>.</w:t>
      </w:r>
    </w:p>
    <w:p w14:paraId="38156DAC" w14:textId="6EE02C4B" w:rsidR="00CA38D7" w:rsidRDefault="00CA38D7" w:rsidP="00CA38D7">
      <w:pPr>
        <w:pStyle w:val="Numberlist"/>
        <w:numPr>
          <w:ilvl w:val="0"/>
          <w:numId w:val="12"/>
        </w:numPr>
        <w:ind w:left="340" w:hanging="340"/>
      </w:pPr>
      <w:r w:rsidRPr="00C5661D">
        <w:t xml:space="preserve">The </w:t>
      </w:r>
      <w:r w:rsidR="002248F2">
        <w:t>m</w:t>
      </w:r>
      <w:r w:rsidR="002248F2" w:rsidRPr="00C5661D">
        <w:t xml:space="preserve">anager </w:t>
      </w:r>
      <w:r w:rsidRPr="00C5661D">
        <w:t xml:space="preserve">(or delegate) will ensure clinical research staff members are appropriately trained on the process for deviation management; see also </w:t>
      </w:r>
      <w:r w:rsidRPr="00047BC6">
        <w:rPr>
          <w:rStyle w:val="ReferencestootherSOPsQCDsChar"/>
        </w:rPr>
        <w:t>Training</w:t>
      </w:r>
      <w:r w:rsidR="00AD0276">
        <w:rPr>
          <w:rStyle w:val="ReferencestootherSOPsQCDsChar"/>
        </w:rPr>
        <w:t xml:space="preserve"> SOP (</w:t>
      </w:r>
      <w:r w:rsidR="00AD0276" w:rsidRPr="00047BC6">
        <w:rPr>
          <w:rStyle w:val="ReferencestootherSOPsQCDsChar"/>
        </w:rPr>
        <w:t>UoB-</w:t>
      </w:r>
      <w:r w:rsidR="00AD0276">
        <w:rPr>
          <w:rStyle w:val="ReferencestootherSOPsQCDsChar"/>
        </w:rPr>
        <w:t>TRN</w:t>
      </w:r>
      <w:r w:rsidR="00AD0276" w:rsidRPr="00047BC6">
        <w:rPr>
          <w:rStyle w:val="ReferencestootherSOPsQCDsChar"/>
        </w:rPr>
        <w:t>-SOP-00</w:t>
      </w:r>
      <w:r w:rsidR="00AD0276">
        <w:rPr>
          <w:rStyle w:val="ReferencestootherSOPsQCDsChar"/>
        </w:rPr>
        <w:t>1)</w:t>
      </w:r>
      <w:r w:rsidRPr="00C5661D">
        <w:t>.</w:t>
      </w:r>
    </w:p>
    <w:p w14:paraId="32BA6F11" w14:textId="77777777" w:rsidR="00CA38D7" w:rsidRDefault="00CA38D7" w:rsidP="00CA38D7">
      <w:pPr>
        <w:pStyle w:val="Heading3"/>
      </w:pPr>
      <w:r>
        <w:t>Deviation management</w:t>
      </w:r>
    </w:p>
    <w:p w14:paraId="6A17DA2A" w14:textId="2E8BA923" w:rsidR="00CA38D7" w:rsidRDefault="00CA38D7" w:rsidP="00CA38D7">
      <w:pPr>
        <w:pStyle w:val="Numberlist"/>
        <w:numPr>
          <w:ilvl w:val="0"/>
          <w:numId w:val="12"/>
        </w:numPr>
        <w:ind w:left="340" w:hanging="340"/>
      </w:pPr>
      <w:r>
        <w:t xml:space="preserve">The clinical research staff member identifying a deviation, will follow the local procedure for deviation reporting, ensuring the deviation is documented (e.g., in e-mails, a note to file </w:t>
      </w:r>
      <w:r w:rsidR="00195B2E">
        <w:t>(</w:t>
      </w:r>
      <w:proofErr w:type="spellStart"/>
      <w:r w:rsidR="00195B2E">
        <w:t>NtF</w:t>
      </w:r>
      <w:proofErr w:type="spellEnd"/>
      <w:r w:rsidR="00195B2E">
        <w:t xml:space="preserve">) </w:t>
      </w:r>
      <w:r>
        <w:t xml:space="preserve">or a deviation form, see </w:t>
      </w:r>
      <w:r w:rsidRPr="00047BC6">
        <w:rPr>
          <w:rStyle w:val="ReferencestootherSOPsQCDsChar"/>
        </w:rPr>
        <w:t>Deviation Form</w:t>
      </w:r>
      <w:r w:rsidR="00AD0276">
        <w:rPr>
          <w:rStyle w:val="ReferencestootherSOPsQCDsChar"/>
        </w:rPr>
        <w:t xml:space="preserve"> (</w:t>
      </w:r>
      <w:r w:rsidR="00AD0276" w:rsidRPr="00047BC6">
        <w:rPr>
          <w:rStyle w:val="ReferencestootherSOPsQCDsChar"/>
        </w:rPr>
        <w:t>UoB-</w:t>
      </w:r>
      <w:r w:rsidR="00AD0276">
        <w:rPr>
          <w:rStyle w:val="ReferencestootherSOPsQCDsChar"/>
        </w:rPr>
        <w:t>DSB</w:t>
      </w:r>
      <w:r w:rsidR="00AD0276" w:rsidRPr="00047BC6">
        <w:rPr>
          <w:rStyle w:val="ReferencestootherSOPsQCDsChar"/>
        </w:rPr>
        <w:t>-QCD-00</w:t>
      </w:r>
      <w:r w:rsidR="00AD0276">
        <w:rPr>
          <w:rStyle w:val="ReferencestootherSOPsQCDsChar"/>
        </w:rPr>
        <w:t>2)</w:t>
      </w:r>
      <w:r>
        <w:t>.</w:t>
      </w:r>
    </w:p>
    <w:p w14:paraId="30196E2D" w14:textId="2910316F" w:rsidR="00CA38D7" w:rsidRDefault="00CA38D7" w:rsidP="00CA38D7">
      <w:pPr>
        <w:pStyle w:val="Numberlist"/>
        <w:numPr>
          <w:ilvl w:val="0"/>
          <w:numId w:val="12"/>
        </w:numPr>
        <w:ind w:left="340" w:hanging="340"/>
      </w:pPr>
      <w:r>
        <w:t xml:space="preserve">The </w:t>
      </w:r>
      <w:r w:rsidR="002248F2">
        <w:t xml:space="preserve">manager </w:t>
      </w:r>
      <w:r>
        <w:t xml:space="preserve">(or delegate) will review the deviation, assessing whether the deviation could be categorised as a serious breach and is likely to affect participant safety, participant confidentiality and/or data integrity, and whether it is relating to a significant </w:t>
      </w:r>
      <w:proofErr w:type="spellStart"/>
      <w:r>
        <w:t>GxP</w:t>
      </w:r>
      <w:proofErr w:type="spellEnd"/>
      <w:r>
        <w:t xml:space="preserve"> non-compliance and/or a failure to comply with applicable regulations. For serious breaches also refer to the serious breach reporting section below.</w:t>
      </w:r>
    </w:p>
    <w:p w14:paraId="5AA483EC" w14:textId="2E425863" w:rsidR="00CA38D7" w:rsidRDefault="00CA38D7" w:rsidP="00CA38D7">
      <w:pPr>
        <w:pStyle w:val="bullet2"/>
      </w:pPr>
      <w:r>
        <w:t xml:space="preserve">The recording of the deviation will include the impact of the deviation as well as any corrective action(s) </w:t>
      </w:r>
      <w:r w:rsidR="00443AFD">
        <w:t>required,</w:t>
      </w:r>
      <w:r>
        <w:t xml:space="preserve"> and the preventative action(s) required to prevent re</w:t>
      </w:r>
      <w:r w:rsidR="00A135B0">
        <w:t>-</w:t>
      </w:r>
      <w:r>
        <w:t>occurrence (CAPA plan, where appropriate).</w:t>
      </w:r>
    </w:p>
    <w:p w14:paraId="5B17BD11" w14:textId="07256B91" w:rsidR="006C3651" w:rsidRDefault="00CA38D7" w:rsidP="0065562C">
      <w:pPr>
        <w:pStyle w:val="bullet2"/>
      </w:pPr>
      <w:r>
        <w:t>The assessment of the impact may require communication with the relevant trial team or other stakeholders involved.</w:t>
      </w:r>
    </w:p>
    <w:p w14:paraId="0022F58B" w14:textId="6D453049" w:rsidR="00CA38D7" w:rsidRDefault="00CA38D7" w:rsidP="00CA38D7">
      <w:pPr>
        <w:pStyle w:val="Numberlist"/>
        <w:numPr>
          <w:ilvl w:val="0"/>
          <w:numId w:val="12"/>
        </w:numPr>
        <w:ind w:left="340" w:hanging="340"/>
      </w:pPr>
      <w:r>
        <w:t xml:space="preserve">The </w:t>
      </w:r>
      <w:r w:rsidR="002248F2">
        <w:t xml:space="preserve">manager </w:t>
      </w:r>
      <w:r>
        <w:t>(or delegate) will identify if the deviation is recurring and whether the deviations suggest a systematic quality assurance failure.</w:t>
      </w:r>
    </w:p>
    <w:p w14:paraId="583296C2" w14:textId="125A4CDE" w:rsidR="00CA38D7" w:rsidRDefault="00CA38D7" w:rsidP="00CA38D7">
      <w:pPr>
        <w:pStyle w:val="Numberlist"/>
        <w:numPr>
          <w:ilvl w:val="0"/>
          <w:numId w:val="12"/>
        </w:numPr>
        <w:ind w:left="340" w:hanging="340"/>
      </w:pPr>
      <w:r>
        <w:t xml:space="preserve">The </w:t>
      </w:r>
      <w:r w:rsidR="002248F2">
        <w:t xml:space="preserve">manager </w:t>
      </w:r>
      <w:r>
        <w:t>(no delegation allowed) will assess the impact of the deviation and where appropriate approve the appropriate CAPA plan and provide oversight that the agreed CAPA plan has been completed.</w:t>
      </w:r>
    </w:p>
    <w:p w14:paraId="27CE7256" w14:textId="2D43AD4D" w:rsidR="00CA38D7" w:rsidRDefault="00CA38D7" w:rsidP="0023758A">
      <w:pPr>
        <w:pStyle w:val="Numberlist"/>
        <w:numPr>
          <w:ilvl w:val="0"/>
          <w:numId w:val="12"/>
        </w:numPr>
        <w:ind w:left="340" w:hanging="340"/>
      </w:pPr>
      <w:r>
        <w:t xml:space="preserve">For serious breaches, the </w:t>
      </w:r>
      <w:r w:rsidR="002248F2">
        <w:t xml:space="preserve">manager </w:t>
      </w:r>
      <w:r>
        <w:t>(or delegate) will adhere to all applicable regulations and reporting requirements.</w:t>
      </w:r>
    </w:p>
    <w:p w14:paraId="5D7CC890" w14:textId="424361C5" w:rsidR="005776E8" w:rsidRDefault="00203A52" w:rsidP="0055191D">
      <w:pPr>
        <w:pStyle w:val="Numberlist"/>
        <w:numPr>
          <w:ilvl w:val="0"/>
          <w:numId w:val="12"/>
        </w:numPr>
        <w:ind w:left="340" w:hanging="340"/>
      </w:pPr>
      <w:r>
        <w:t xml:space="preserve">Where the deviation </w:t>
      </w:r>
      <w:r w:rsidR="004C781D">
        <w:t>relat</w:t>
      </w:r>
      <w:r>
        <w:t>es</w:t>
      </w:r>
      <w:r w:rsidR="004C781D">
        <w:t xml:space="preserve"> to the loss of personal data or a breach of the </w:t>
      </w:r>
      <w:hyperlink r:id="rId17" w:tooltip="Link to Data Protection Act 2018" w:history="1">
        <w:r w:rsidR="004C781D" w:rsidRPr="00694B20">
          <w:rPr>
            <w:rStyle w:val="Hyperlink"/>
          </w:rPr>
          <w:t>Data Protection Act</w:t>
        </w:r>
      </w:hyperlink>
      <w:r w:rsidR="004C781D">
        <w:t xml:space="preserve">, the </w:t>
      </w:r>
      <w:r w:rsidR="002248F2">
        <w:t xml:space="preserve">manager </w:t>
      </w:r>
      <w:r w:rsidR="004C781D">
        <w:t>(or delegate)</w:t>
      </w:r>
      <w:r w:rsidR="000767FD">
        <w:t xml:space="preserve"> </w:t>
      </w:r>
      <w:r w:rsidR="004C781D">
        <w:t xml:space="preserve">will report </w:t>
      </w:r>
      <w:r>
        <w:t xml:space="preserve">this </w:t>
      </w:r>
      <w:r w:rsidR="004C781D">
        <w:t xml:space="preserve">to </w:t>
      </w:r>
      <w:hyperlink r:id="rId18" w:anchor="id_token=eyJ0eXAiOiJKV1QiLCJhbGciOiJSUzI1NiIsIng1dCI6Ild3dXdRSWFCSWZvRURkbHd4VXpSRUVJbmtvMCIsImtpZCI6Ild3dXdRSWFCSWZvRURkbHd4VXpSRUVJbmtvMCJ9.eyJpc3MiOiJodHRwczovL2Ntcy11b2IuY2xvdWQuY29udGVuc2lzLmNvbS9hdXRoZW50aWNhdGUiLCJhdWQiOiJXZWJzaXRlQWRmc0NsaWVudCIsImV4cCI6MTY1Nzg3MDQzNCwibmJmIjoxNjU3ODcwMTM0LCJub25jZSI6IjFhZTkxMTQzY2Y1YjQyZjU5NDQyNTA1NGU5MzhhNjRlIiwiaWF0IjoxNjU3ODcwMTM0LCJzaWQiOiIxOWY0NzdlOGJiNTc1MDhhZDc3NjJjZDBkYTMzNDE1MCIsInN1YiI6ImM0ZDZmYzZiLTE5ZWEtNDllZC05NDk0LWNlYjIxMzU2YmQ3OCIsImF1dGhfdGltZSI6MTY1Nzg3MDEzNCwiaWRwIjoiaWRzcnYiLCJhbXIiOlsicGFzc3dvcmQiXX0.EikjpgUNV75Txv8bz9mjOFhflZHGmPsyymQKRuZY5ThzLO4gRHewQeM4cTQJjvqtIPgVp8l2lGqB1Jz8bYMlhCZaQRayMbPTnDGzS56i_kyBoASZ2SLUUwTFSPZ72cGoC-pQhTLUhXnkDjlc_kcYz16W-3g-TdlJxNC4qHFYDn8boxzW0HGAjaPXOtnz-x_W2VAO7hdInNM7ITXPYhusOomUwD2T063WVQzsIqzDunu_Acw4KtGINkapBLyCVDQxMvpIQW6LCUX_JifiOqjHfwb4vYYnTK76kzoTP1mqeYj2__bOZRt6ft2yIWczvUl5SLnTL4NhXfSZcSItEqgLAA&amp;scope=openid&amp;state=a20d35a49e1248d7b10d76dbcd2409fd&amp;session_state=Ka_XVkbq0wOD6kbk7Y0mHCxZnfYc6K0qwwIf2lp_jug.fb1184d16c50ab514353a6041deaceee" w:tooltip="Link to Legal Services at UoB" w:history="1">
        <w:r w:rsidR="00694B20" w:rsidRPr="00694B20">
          <w:rPr>
            <w:rStyle w:val="Hyperlink"/>
          </w:rPr>
          <w:t>Legal Services</w:t>
        </w:r>
      </w:hyperlink>
      <w:r>
        <w:t xml:space="preserve"> (</w:t>
      </w:r>
      <w:proofErr w:type="spellStart"/>
      <w:r>
        <w:t>UoB</w:t>
      </w:r>
      <w:proofErr w:type="spellEnd"/>
      <w:r>
        <w:t xml:space="preserve"> login required)</w:t>
      </w:r>
      <w:r w:rsidR="00694B20">
        <w:t xml:space="preserve"> </w:t>
      </w:r>
      <w:r>
        <w:t xml:space="preserve">immediately, and will ensure any </w:t>
      </w:r>
      <w:r w:rsidR="005776E8">
        <w:t xml:space="preserve">local </w:t>
      </w:r>
      <w:r>
        <w:t xml:space="preserve">(e.g. College/School-level) </w:t>
      </w:r>
      <w:r w:rsidR="005776E8">
        <w:t xml:space="preserve">reporting procedures </w:t>
      </w:r>
      <w:r>
        <w:t>are</w:t>
      </w:r>
      <w:r w:rsidR="005776E8">
        <w:t xml:space="preserve"> follow</w:t>
      </w:r>
      <w:r>
        <w:t>ed</w:t>
      </w:r>
      <w:r w:rsidR="005776E8">
        <w:t>.</w:t>
      </w:r>
    </w:p>
    <w:p w14:paraId="360517A6" w14:textId="248A7543" w:rsidR="00CA38D7" w:rsidRDefault="00CA38D7" w:rsidP="00CA38D7">
      <w:pPr>
        <w:pStyle w:val="Numberlist"/>
        <w:numPr>
          <w:ilvl w:val="0"/>
          <w:numId w:val="12"/>
        </w:numPr>
        <w:ind w:left="340" w:hanging="340"/>
      </w:pPr>
      <w:r>
        <w:t xml:space="preserve">The </w:t>
      </w:r>
      <w:r w:rsidR="002248F2">
        <w:t xml:space="preserve">manager </w:t>
      </w:r>
      <w:r>
        <w:t xml:space="preserve">(or delegate) will file evidence of the deviation in the relevant </w:t>
      </w:r>
      <w:r w:rsidR="00B50E70">
        <w:t>S/</w:t>
      </w:r>
      <w:r>
        <w:t xml:space="preserve">TMF and </w:t>
      </w:r>
      <w:r w:rsidR="00A135B0">
        <w:t>ISF</w:t>
      </w:r>
      <w:r>
        <w:t>/</w:t>
      </w:r>
      <w:r w:rsidR="00A135B0">
        <w:t>LMF</w:t>
      </w:r>
      <w:r>
        <w:t xml:space="preserve"> file as applicable.</w:t>
      </w:r>
    </w:p>
    <w:p w14:paraId="26023BD1" w14:textId="77777777" w:rsidR="00CA38D7" w:rsidRDefault="00CA38D7" w:rsidP="00CA38D7">
      <w:pPr>
        <w:pStyle w:val="Heading2"/>
      </w:pPr>
      <w:r w:rsidRPr="00C5661D">
        <w:lastRenderedPageBreak/>
        <w:t xml:space="preserve">Serious breach reporting outside the </w:t>
      </w:r>
      <w:proofErr w:type="spellStart"/>
      <w:r w:rsidRPr="00C5661D">
        <w:t>UoB</w:t>
      </w:r>
      <w:proofErr w:type="spellEnd"/>
      <w:r w:rsidRPr="00C5661D">
        <w:t xml:space="preserve"> CTUs</w:t>
      </w:r>
    </w:p>
    <w:p w14:paraId="0319E6E5" w14:textId="4F5305B8" w:rsidR="0017591B" w:rsidRDefault="00A76986" w:rsidP="009C2DCB">
      <w:r>
        <w:t xml:space="preserve">Note: </w:t>
      </w:r>
      <w:r w:rsidR="00CB177E">
        <w:t xml:space="preserve">this section is not applicable to </w:t>
      </w:r>
      <w:proofErr w:type="spellStart"/>
      <w:r>
        <w:t>UoB</w:t>
      </w:r>
      <w:proofErr w:type="spellEnd"/>
      <w:r>
        <w:t xml:space="preserve"> REC </w:t>
      </w:r>
      <w:r w:rsidR="00216017">
        <w:t xml:space="preserve">approved </w:t>
      </w:r>
      <w:r>
        <w:t xml:space="preserve">projects, please refer to </w:t>
      </w:r>
      <w:r w:rsidR="00CB177E">
        <w:t>clause 13 (</w:t>
      </w:r>
      <w:r w:rsidR="00CB177E" w:rsidRPr="00365A1C">
        <w:t>m</w:t>
      </w:r>
      <w:r w:rsidR="00CB177E" w:rsidRPr="00253B4F">
        <w:t>isconduct</w:t>
      </w:r>
      <w:r w:rsidR="00CB177E">
        <w:t xml:space="preserve">) of the </w:t>
      </w:r>
      <w:hyperlink r:id="rId19" w:tooltip="Link to UoB Code of Practice for Research" w:history="1">
        <w:proofErr w:type="spellStart"/>
        <w:r w:rsidR="00CB177E">
          <w:rPr>
            <w:rStyle w:val="Hyperlink"/>
          </w:rPr>
          <w:t>UoB</w:t>
        </w:r>
        <w:proofErr w:type="spellEnd"/>
        <w:r w:rsidR="00CB177E">
          <w:rPr>
            <w:rStyle w:val="Hyperlink"/>
          </w:rPr>
          <w:t xml:space="preserve"> </w:t>
        </w:r>
        <w:r w:rsidR="00736212">
          <w:rPr>
            <w:rStyle w:val="Hyperlink"/>
          </w:rPr>
          <w:t>C</w:t>
        </w:r>
        <w:r w:rsidR="00CB177E">
          <w:rPr>
            <w:rStyle w:val="Hyperlink"/>
          </w:rPr>
          <w:t xml:space="preserve">ode of </w:t>
        </w:r>
        <w:r w:rsidR="00736212">
          <w:rPr>
            <w:rStyle w:val="Hyperlink"/>
          </w:rPr>
          <w:t>P</w:t>
        </w:r>
        <w:r w:rsidR="00CB177E">
          <w:rPr>
            <w:rStyle w:val="Hyperlink"/>
          </w:rPr>
          <w:t xml:space="preserve">ractice for </w:t>
        </w:r>
        <w:r w:rsidR="00736212">
          <w:rPr>
            <w:rStyle w:val="Hyperlink"/>
          </w:rPr>
          <w:t>R</w:t>
        </w:r>
        <w:r w:rsidR="00CB177E">
          <w:rPr>
            <w:rStyle w:val="Hyperlink"/>
          </w:rPr>
          <w:t>esearch (PDF – 357KB)</w:t>
        </w:r>
      </w:hyperlink>
      <w:r>
        <w:t xml:space="preserve">. </w:t>
      </w:r>
    </w:p>
    <w:p w14:paraId="28E30CF4" w14:textId="4BA28846" w:rsidR="00CA38D7" w:rsidRDefault="00CA38D7" w:rsidP="00CA38D7">
      <w:pPr>
        <w:pStyle w:val="Heading3"/>
      </w:pPr>
      <w:r>
        <w:t>Initial receipt of information</w:t>
      </w:r>
    </w:p>
    <w:p w14:paraId="5C5C4E7F" w14:textId="5758C733" w:rsidR="00CA38D7" w:rsidRDefault="00CA38D7" w:rsidP="00CA38D7">
      <w:pPr>
        <w:pStyle w:val="Numberlist"/>
        <w:numPr>
          <w:ilvl w:val="0"/>
          <w:numId w:val="12"/>
        </w:numPr>
        <w:ind w:left="340" w:hanging="340"/>
      </w:pPr>
      <w:r>
        <w:t xml:space="preserve">Immediately upon identification of an event that is a deviation of the protocol, the principles of GCP (or applicable </w:t>
      </w:r>
      <w:proofErr w:type="spellStart"/>
      <w:r>
        <w:t>GxP</w:t>
      </w:r>
      <w:proofErr w:type="spellEnd"/>
      <w:r>
        <w:t xml:space="preserve"> requirements), or legal requirements that may affect participant safety, participant confidentiality and/or the integrity of the </w:t>
      </w:r>
      <w:r w:rsidR="000F658D">
        <w:t>project</w:t>
      </w:r>
      <w:r>
        <w:t xml:space="preserve">, the </w:t>
      </w:r>
      <w:r w:rsidR="002248F2">
        <w:t xml:space="preserve">manager </w:t>
      </w:r>
      <w:r>
        <w:t xml:space="preserve">(or delegate) will liaise with a member of the RG&amp;ET (for contact details please see References below), providing as much detail as possible, for example: </w:t>
      </w:r>
    </w:p>
    <w:p w14:paraId="5C3C5426" w14:textId="6063BD19" w:rsidR="00CA38D7" w:rsidRDefault="00B346CA" w:rsidP="00CA38D7">
      <w:pPr>
        <w:pStyle w:val="bullet2"/>
      </w:pPr>
      <w:r>
        <w:t>l</w:t>
      </w:r>
      <w:r w:rsidR="00CA38D7">
        <w:t>ocation where the deviation occurred</w:t>
      </w:r>
    </w:p>
    <w:p w14:paraId="117512DE" w14:textId="6D5A52B4" w:rsidR="00CA38D7" w:rsidRDefault="00B346CA" w:rsidP="00CA38D7">
      <w:pPr>
        <w:pStyle w:val="bullet2"/>
      </w:pPr>
      <w:r>
        <w:t>n</w:t>
      </w:r>
      <w:r w:rsidR="00CA38D7">
        <w:t>ame of the PI at the site where the deviation occurred (if applicable)</w:t>
      </w:r>
    </w:p>
    <w:p w14:paraId="5361990D" w14:textId="3D23AF70" w:rsidR="00CA38D7" w:rsidRDefault="00B346CA" w:rsidP="00CA38D7">
      <w:pPr>
        <w:pStyle w:val="bullet2"/>
      </w:pPr>
      <w:r>
        <w:t>f</w:t>
      </w:r>
      <w:r w:rsidR="00CA38D7">
        <w:t>ull title of the clinical trial</w:t>
      </w:r>
    </w:p>
    <w:p w14:paraId="62396FB9" w14:textId="1D0E32D5" w:rsidR="00CA38D7" w:rsidRDefault="00B346CA" w:rsidP="00CA38D7">
      <w:pPr>
        <w:pStyle w:val="bullet2"/>
      </w:pPr>
      <w:r>
        <w:t>n</w:t>
      </w:r>
      <w:r w:rsidR="00CA38D7">
        <w:t xml:space="preserve">ame of the CI for the trial </w:t>
      </w:r>
    </w:p>
    <w:p w14:paraId="507FEA8B" w14:textId="44C0D25F" w:rsidR="00CA38D7" w:rsidRDefault="00B346CA" w:rsidP="00CA38D7">
      <w:pPr>
        <w:pStyle w:val="bullet2"/>
      </w:pPr>
      <w:r>
        <w:t>w</w:t>
      </w:r>
      <w:r w:rsidR="00CA38D7">
        <w:t xml:space="preserve">hether the trial is sponsored or co-sponsored by </w:t>
      </w:r>
      <w:proofErr w:type="spellStart"/>
      <w:r w:rsidR="00CA38D7">
        <w:t>UoB</w:t>
      </w:r>
      <w:proofErr w:type="spellEnd"/>
    </w:p>
    <w:p w14:paraId="5655A445" w14:textId="34535ACF" w:rsidR="00CA38D7" w:rsidRDefault="00B346CA" w:rsidP="00CA38D7">
      <w:pPr>
        <w:pStyle w:val="bullet2"/>
      </w:pPr>
      <w:r>
        <w:t>i</w:t>
      </w:r>
      <w:r w:rsidR="00CA38D7">
        <w:t xml:space="preserve">nternal </w:t>
      </w:r>
      <w:proofErr w:type="spellStart"/>
      <w:r w:rsidR="00CA38D7">
        <w:t>UoB</w:t>
      </w:r>
      <w:proofErr w:type="spellEnd"/>
      <w:r w:rsidR="00CA38D7">
        <w:t xml:space="preserve"> ERN/RG Number, REC and/or EudraCT references (where applicable)</w:t>
      </w:r>
    </w:p>
    <w:p w14:paraId="2E8BD9BD" w14:textId="7CCF77EF" w:rsidR="00CA38D7" w:rsidRDefault="00B346CA" w:rsidP="00CA38D7">
      <w:pPr>
        <w:pStyle w:val="bullet2"/>
      </w:pPr>
      <w:r>
        <w:t>a</w:t>
      </w:r>
      <w:r w:rsidR="00CA38D7">
        <w:t>n explanation of how the deviation was identified</w:t>
      </w:r>
    </w:p>
    <w:p w14:paraId="462CE600" w14:textId="3E3909A1" w:rsidR="00CA38D7" w:rsidRDefault="00B346CA" w:rsidP="00CA38D7">
      <w:pPr>
        <w:pStyle w:val="bullet2"/>
      </w:pPr>
      <w:r>
        <w:t>d</w:t>
      </w:r>
      <w:r w:rsidR="00CA38D7">
        <w:t>etails of the deviation</w:t>
      </w:r>
    </w:p>
    <w:p w14:paraId="43806CA2" w14:textId="2D333E6E" w:rsidR="00CA38D7" w:rsidRDefault="00B346CA" w:rsidP="00CA38D7">
      <w:pPr>
        <w:pStyle w:val="bullet2"/>
      </w:pPr>
      <w:r>
        <w:t>d</w:t>
      </w:r>
      <w:r w:rsidR="00CA38D7">
        <w:t>etails of any initial corrective action</w:t>
      </w:r>
    </w:p>
    <w:p w14:paraId="30D46C80" w14:textId="61315323" w:rsidR="00CA38D7" w:rsidRDefault="00B346CA" w:rsidP="00CA38D7">
      <w:pPr>
        <w:pStyle w:val="bullet2"/>
      </w:pPr>
      <w:r>
        <w:t>a</w:t>
      </w:r>
      <w:r w:rsidR="00CA38D7">
        <w:t>ssessment of the impact the deviation will have on the participants and/or the scientific integrity of the trial</w:t>
      </w:r>
      <w:r w:rsidR="00162F63">
        <w:t>.</w:t>
      </w:r>
    </w:p>
    <w:p w14:paraId="605348AF" w14:textId="21906E51" w:rsidR="00CA38D7" w:rsidRDefault="00CA38D7" w:rsidP="00CA38D7">
      <w:pPr>
        <w:pStyle w:val="Numberlist"/>
        <w:numPr>
          <w:ilvl w:val="0"/>
          <w:numId w:val="12"/>
        </w:numPr>
        <w:ind w:left="340" w:hanging="340"/>
      </w:pPr>
      <w:r>
        <w:t xml:space="preserve">Where the events identified raise the likelihood of any sort of legal action, disciplinary procedure or other dispute, the </w:t>
      </w:r>
      <w:r w:rsidR="002248F2">
        <w:t xml:space="preserve">manager </w:t>
      </w:r>
      <w:r>
        <w:t xml:space="preserve">(or delegate) will inform </w:t>
      </w:r>
      <w:hyperlink r:id="rId20" w:tooltip="Link to Legal Services at UoB" w:history="1">
        <w:r w:rsidR="00203A52">
          <w:rPr>
            <w:rStyle w:val="Hyperlink"/>
          </w:rPr>
          <w:t>L</w:t>
        </w:r>
        <w:r w:rsidR="00C604FA">
          <w:rPr>
            <w:rStyle w:val="Hyperlink"/>
          </w:rPr>
          <w:t xml:space="preserve">egal </w:t>
        </w:r>
        <w:r w:rsidR="00203A52">
          <w:rPr>
            <w:rStyle w:val="Hyperlink"/>
          </w:rPr>
          <w:t>S</w:t>
        </w:r>
        <w:r w:rsidR="00C604FA">
          <w:rPr>
            <w:rStyle w:val="Hyperlink"/>
          </w:rPr>
          <w:t>ervices</w:t>
        </w:r>
      </w:hyperlink>
      <w:r>
        <w:t xml:space="preserve"> and follow any instructions with respect to investigation. </w:t>
      </w:r>
    </w:p>
    <w:p w14:paraId="761847C6" w14:textId="6BD9E5BB" w:rsidR="00CA38D7" w:rsidRDefault="00CA38D7" w:rsidP="00CA38D7">
      <w:pPr>
        <w:pStyle w:val="Numberlist"/>
        <w:numPr>
          <w:ilvl w:val="0"/>
          <w:numId w:val="12"/>
        </w:numPr>
        <w:ind w:left="340" w:hanging="340"/>
      </w:pPr>
      <w:r>
        <w:t xml:space="preserve">The RG&amp;ET will liaise with </w:t>
      </w:r>
      <w:r w:rsidR="002248F2">
        <w:t>Legal S</w:t>
      </w:r>
      <w:r>
        <w:t xml:space="preserve">ervices as required, providing an initial report of the breach and requesting their advice on the matter. </w:t>
      </w:r>
    </w:p>
    <w:p w14:paraId="1C866DD8" w14:textId="61768477" w:rsidR="00CA38D7" w:rsidRDefault="00CA38D7" w:rsidP="00CA38D7">
      <w:pPr>
        <w:pStyle w:val="Numberlist"/>
        <w:numPr>
          <w:ilvl w:val="0"/>
          <w:numId w:val="12"/>
        </w:numPr>
        <w:ind w:left="340" w:hanging="340"/>
      </w:pPr>
      <w:r>
        <w:t xml:space="preserve">The RG&amp;ET will request further information from the reporter and </w:t>
      </w:r>
      <w:r w:rsidR="0013794C">
        <w:t>will</w:t>
      </w:r>
      <w:r>
        <w:t xml:space="preserve"> ask the reporter to include Legal Services in their correspondence</w:t>
      </w:r>
      <w:r w:rsidR="0013794C">
        <w:t xml:space="preserve"> </w:t>
      </w:r>
      <w:r w:rsidR="00BB663B">
        <w:t>(</w:t>
      </w:r>
      <w:r w:rsidR="0013794C">
        <w:t xml:space="preserve">where </w:t>
      </w:r>
      <w:r w:rsidR="00BB663B">
        <w:t>relevant)</w:t>
      </w:r>
      <w:r>
        <w:t>.</w:t>
      </w:r>
    </w:p>
    <w:p w14:paraId="0DD3937B" w14:textId="51FADD2E" w:rsidR="00161AAB" w:rsidRDefault="00161AAB" w:rsidP="00161AAB">
      <w:pPr>
        <w:pStyle w:val="Heading3"/>
      </w:pPr>
      <w:r>
        <w:t>Review of suspected serious breaches, reporting of serious breaches and follow-up</w:t>
      </w:r>
    </w:p>
    <w:p w14:paraId="54B94AA2" w14:textId="0693749E" w:rsidR="00CA38D7" w:rsidRDefault="00CA38D7" w:rsidP="00CA38D7">
      <w:pPr>
        <w:pStyle w:val="Numberlist"/>
        <w:numPr>
          <w:ilvl w:val="0"/>
          <w:numId w:val="12"/>
        </w:numPr>
        <w:ind w:left="340" w:hanging="340"/>
      </w:pPr>
      <w:r>
        <w:t xml:space="preserve">The Head of Research Governance and Integrity (or delegate) will discuss if the deviation is a suspected serious breach that requires further referral. Where this is not the case, the </w:t>
      </w:r>
      <w:r w:rsidR="002248F2">
        <w:t xml:space="preserve">manager </w:t>
      </w:r>
      <w:r>
        <w:t xml:space="preserve">(or delegate) will work with RG&amp;ET to develop a CAPA plan, and the </w:t>
      </w:r>
      <w:r w:rsidR="002248F2">
        <w:t xml:space="preserve">manager </w:t>
      </w:r>
      <w:r>
        <w:t xml:space="preserve">(or delegate) will ensure the relevant members of the </w:t>
      </w:r>
      <w:r w:rsidR="008F0F20">
        <w:t xml:space="preserve">clinical research </w:t>
      </w:r>
      <w:r>
        <w:t xml:space="preserve">team are informed accordingly. </w:t>
      </w:r>
    </w:p>
    <w:p w14:paraId="637113FF" w14:textId="35EC90BA" w:rsidR="00CA38D7" w:rsidRDefault="00CA38D7" w:rsidP="00CA38D7">
      <w:pPr>
        <w:pStyle w:val="Numberlist"/>
        <w:numPr>
          <w:ilvl w:val="0"/>
          <w:numId w:val="12"/>
        </w:numPr>
        <w:ind w:left="340" w:hanging="340"/>
      </w:pPr>
      <w:r>
        <w:t xml:space="preserve">Where it has been decided that the deviation is a suspected serious breach that requires further referral: the Head of Research Governance and Integrity (or delegate) will provide information about the suspected serious breach to the </w:t>
      </w:r>
      <w:r w:rsidR="00EA1D70">
        <w:t>c</w:t>
      </w:r>
      <w:r>
        <w:t>hair of the CTOC. Note that Legal Services may stay involved in the communication loop as per their request.</w:t>
      </w:r>
    </w:p>
    <w:p w14:paraId="0419141A" w14:textId="6956C80B" w:rsidR="00CA38D7" w:rsidRDefault="00CA38D7" w:rsidP="00CA38D7">
      <w:pPr>
        <w:pStyle w:val="Numberlist"/>
        <w:numPr>
          <w:ilvl w:val="0"/>
          <w:numId w:val="12"/>
        </w:numPr>
        <w:ind w:left="340" w:hanging="340"/>
      </w:pPr>
      <w:r>
        <w:t xml:space="preserve">The </w:t>
      </w:r>
      <w:r w:rsidR="00EA1D70">
        <w:t>c</w:t>
      </w:r>
      <w:r>
        <w:t xml:space="preserve">hair of the CTOC (or delegate) will convene a </w:t>
      </w:r>
      <w:r w:rsidR="00EA1D70">
        <w:t>s</w:t>
      </w:r>
      <w:r>
        <w:t xml:space="preserve">erious </w:t>
      </w:r>
      <w:r w:rsidR="00EA1D70">
        <w:t>b</w:t>
      </w:r>
      <w:r>
        <w:t xml:space="preserve">reach </w:t>
      </w:r>
      <w:r w:rsidR="00EA1D70">
        <w:t>r</w:t>
      </w:r>
      <w:r>
        <w:t xml:space="preserve">eferral </w:t>
      </w:r>
      <w:r w:rsidR="00EA1D70">
        <w:t>p</w:t>
      </w:r>
      <w:r>
        <w:t>anel and then refer the deviation to them to determine whether it constitutes a serious breach</w:t>
      </w:r>
      <w:r w:rsidR="003922F2">
        <w:t>, as outlined in the background section,</w:t>
      </w:r>
      <w:r>
        <w:t xml:space="preserve"> within 5 days of initial receipt of the information </w:t>
      </w:r>
      <w:r w:rsidR="003C2321">
        <w:t xml:space="preserve">(but not beyond the 7-day reporting window, see point 22 below) </w:t>
      </w:r>
      <w:r>
        <w:t xml:space="preserve">and consulting colleagues as necessary. The format of the meeting will be determined based on the timeline. </w:t>
      </w:r>
      <w:r w:rsidR="0094712F">
        <w:t>W</w:t>
      </w:r>
      <w:r w:rsidR="0094712F" w:rsidRPr="0094712F">
        <w:t xml:space="preserve">here major risks to the </w:t>
      </w:r>
      <w:proofErr w:type="spellStart"/>
      <w:r w:rsidR="0094712F" w:rsidRPr="0094712F">
        <w:t>UoB</w:t>
      </w:r>
      <w:proofErr w:type="spellEnd"/>
      <w:r w:rsidR="0094712F" w:rsidRPr="0094712F">
        <w:t xml:space="preserve"> sponsored project, participants and/or the organisation have been identified</w:t>
      </w:r>
      <w:r w:rsidR="006F71B7">
        <w:t xml:space="preserve">, the chair of the CTOC </w:t>
      </w:r>
      <w:r w:rsidR="00293E9C">
        <w:t>(</w:t>
      </w:r>
      <w:r w:rsidR="006F71B7">
        <w:t xml:space="preserve">or delegate) may up-escalate to the </w:t>
      </w:r>
      <w:r w:rsidR="00223401">
        <w:t xml:space="preserve">heads </w:t>
      </w:r>
      <w:r w:rsidR="006F71B7">
        <w:t xml:space="preserve">of </w:t>
      </w:r>
      <w:r w:rsidR="00223401">
        <w:t xml:space="preserve">college </w:t>
      </w:r>
      <w:r w:rsidR="006F71B7">
        <w:t xml:space="preserve">or the </w:t>
      </w:r>
      <w:proofErr w:type="spellStart"/>
      <w:r w:rsidR="007550D2">
        <w:t>UoB</w:t>
      </w:r>
      <w:proofErr w:type="spellEnd"/>
      <w:r w:rsidR="007550D2">
        <w:t xml:space="preserve"> Research Governance, Ethics and Integrity Committee (</w:t>
      </w:r>
      <w:r w:rsidR="006F71B7">
        <w:t>RGEIC</w:t>
      </w:r>
      <w:r w:rsidR="007550D2">
        <w:t>)</w:t>
      </w:r>
      <w:r w:rsidR="006F71B7">
        <w:t xml:space="preserve">. </w:t>
      </w:r>
    </w:p>
    <w:p w14:paraId="096F0E72" w14:textId="1AC4B727" w:rsidR="00CA38D7" w:rsidRDefault="00CA38D7" w:rsidP="001A2C20">
      <w:pPr>
        <w:pStyle w:val="Numberlist"/>
      </w:pPr>
      <w:r>
        <w:t xml:space="preserve">The </w:t>
      </w:r>
      <w:r w:rsidR="0094712F">
        <w:t>s</w:t>
      </w:r>
      <w:r>
        <w:t xml:space="preserve">erious </w:t>
      </w:r>
      <w:r w:rsidR="00EA1D70">
        <w:t>b</w:t>
      </w:r>
      <w:r>
        <w:t xml:space="preserve">reach </w:t>
      </w:r>
      <w:r w:rsidR="00EA1D70">
        <w:t>r</w:t>
      </w:r>
      <w:r>
        <w:t xml:space="preserve">eferral </w:t>
      </w:r>
      <w:r w:rsidR="00EA1D70">
        <w:t>p</w:t>
      </w:r>
      <w:r>
        <w:t>anel will enquire after more information as necessary and determine if</w:t>
      </w:r>
      <w:r w:rsidR="008F0F20">
        <w:t xml:space="preserve"> the deviation is a serious breach and should be reported as such.</w:t>
      </w:r>
      <w:r>
        <w:t xml:space="preserve"> </w:t>
      </w:r>
    </w:p>
    <w:p w14:paraId="0489CE42" w14:textId="6A513647" w:rsidR="00CA38D7" w:rsidRDefault="00CA38D7" w:rsidP="00CA38D7">
      <w:pPr>
        <w:pStyle w:val="Numberlist"/>
        <w:numPr>
          <w:ilvl w:val="0"/>
          <w:numId w:val="12"/>
        </w:numPr>
        <w:ind w:left="340" w:hanging="340"/>
      </w:pPr>
      <w:r>
        <w:t xml:space="preserve">For CTIMPs - In the event that the </w:t>
      </w:r>
      <w:r w:rsidR="00EA1D70">
        <w:t>s</w:t>
      </w:r>
      <w:r>
        <w:t xml:space="preserve">erious </w:t>
      </w:r>
      <w:r w:rsidR="00EA1D70">
        <w:t>b</w:t>
      </w:r>
      <w:r>
        <w:t xml:space="preserve">reach </w:t>
      </w:r>
      <w:r w:rsidR="00EA1D70">
        <w:t>r</w:t>
      </w:r>
      <w:r>
        <w:t xml:space="preserve">eferral </w:t>
      </w:r>
      <w:r w:rsidR="00EA1D70">
        <w:t>p</w:t>
      </w:r>
      <w:r>
        <w:t xml:space="preserve">anel is unable to agree on whether to classify the event as a </w:t>
      </w:r>
      <w:r w:rsidR="00EA1D70">
        <w:t>s</w:t>
      </w:r>
      <w:r>
        <w:t xml:space="preserve">erious </w:t>
      </w:r>
      <w:r w:rsidR="00EA1D70">
        <w:t>b</w:t>
      </w:r>
      <w:r>
        <w:t xml:space="preserve">reach, or in the eventuality that there are not enough members of the panel available to make a decision, the Head of Research Governance and Integrity (or delegate) will liaise directly with the </w:t>
      </w:r>
      <w:hyperlink r:id="rId21" w:tooltip="Link to MHRA contact details" w:history="1">
        <w:r w:rsidR="00D34C18">
          <w:rPr>
            <w:rStyle w:val="Hyperlink"/>
          </w:rPr>
          <w:t xml:space="preserve">MHRA </w:t>
        </w:r>
      </w:hyperlink>
      <w:r w:rsidR="00D34C18" w:rsidRPr="00736212">
        <w:t>for advice</w:t>
      </w:r>
      <w:r>
        <w:t>.</w:t>
      </w:r>
    </w:p>
    <w:p w14:paraId="20E33C43" w14:textId="6F53B67C" w:rsidR="00FC5A82" w:rsidRDefault="00CA38D7" w:rsidP="00CA38D7">
      <w:pPr>
        <w:pStyle w:val="Numberlist"/>
        <w:numPr>
          <w:ilvl w:val="0"/>
          <w:numId w:val="12"/>
        </w:numPr>
        <w:ind w:left="340" w:hanging="340"/>
      </w:pPr>
      <w:r>
        <w:lastRenderedPageBreak/>
        <w:t xml:space="preserve">If the event is determined to be a serious breach the </w:t>
      </w:r>
      <w:r w:rsidR="00223401">
        <w:t xml:space="preserve">manager </w:t>
      </w:r>
      <w:r>
        <w:t xml:space="preserve">(or delegate) will complete a </w:t>
      </w:r>
      <w:r w:rsidR="007C5482">
        <w:t>s</w:t>
      </w:r>
      <w:r>
        <w:t xml:space="preserve">erious </w:t>
      </w:r>
      <w:r w:rsidR="007C5482">
        <w:t>b</w:t>
      </w:r>
      <w:r>
        <w:t xml:space="preserve">reach </w:t>
      </w:r>
      <w:r w:rsidR="007C5482">
        <w:t>r</w:t>
      </w:r>
      <w:r>
        <w:t>eport</w:t>
      </w:r>
      <w:r w:rsidR="00FC5A82">
        <w:t xml:space="preserve"> incorporating any</w:t>
      </w:r>
      <w:r>
        <w:t xml:space="preserve"> feedback from the </w:t>
      </w:r>
      <w:r w:rsidR="007C5482">
        <w:t>c</w:t>
      </w:r>
      <w:r>
        <w:t>hair of CTOC</w:t>
      </w:r>
      <w:r w:rsidR="00E64B39">
        <w:t xml:space="preserve"> (or delegate)</w:t>
      </w:r>
      <w:r>
        <w:t xml:space="preserve"> as appropriate. </w:t>
      </w:r>
    </w:p>
    <w:p w14:paraId="35BA7F36" w14:textId="1C8AC9A4" w:rsidR="00CA38D7" w:rsidRDefault="00FC5A82" w:rsidP="00CA38D7">
      <w:pPr>
        <w:pStyle w:val="Numberlist"/>
        <w:numPr>
          <w:ilvl w:val="0"/>
          <w:numId w:val="12"/>
        </w:numPr>
        <w:ind w:left="340" w:hanging="340"/>
      </w:pPr>
      <w:r>
        <w:t xml:space="preserve">The </w:t>
      </w:r>
      <w:r w:rsidR="00223401">
        <w:t xml:space="preserve">manger </w:t>
      </w:r>
      <w:r>
        <w:t>(or delegate) will submit t</w:t>
      </w:r>
      <w:r w:rsidR="00CA38D7">
        <w:t xml:space="preserve">he report to the REC, and for CTIMPs, the </w:t>
      </w:r>
      <w:r w:rsidR="00223401">
        <w:t>competent authority</w:t>
      </w:r>
      <w:r w:rsidR="00CA38D7">
        <w:t xml:space="preserve">, </w:t>
      </w:r>
      <w:r w:rsidR="003B50A2">
        <w:t xml:space="preserve">and any applicable regulatory agencies, </w:t>
      </w:r>
      <w:r w:rsidR="00CA38D7">
        <w:t>within 7 days of becoming aware of the breach. It is expected that the 7-day timescale commences at the moment there is a strong suspicion of a serious breach.</w:t>
      </w:r>
    </w:p>
    <w:p w14:paraId="379CBFEF" w14:textId="558C8268" w:rsidR="00070729" w:rsidRDefault="00A9000D" w:rsidP="00CA38D7">
      <w:pPr>
        <w:pStyle w:val="bullet2"/>
      </w:pPr>
      <w:r>
        <w:t>T</w:t>
      </w:r>
      <w:r w:rsidR="00070729">
        <w:t xml:space="preserve">he </w:t>
      </w:r>
      <w:r w:rsidR="00223401">
        <w:t xml:space="preserve">manager </w:t>
      </w:r>
      <w:r w:rsidR="00070729">
        <w:t xml:space="preserve">(or delegate) will </w:t>
      </w:r>
      <w:r w:rsidR="00E64B39">
        <w:t xml:space="preserve">also </w:t>
      </w:r>
      <w:r w:rsidR="00070729">
        <w:t xml:space="preserve">send the report to the CRCT for </w:t>
      </w:r>
      <w:r w:rsidR="00E64B39">
        <w:t>awareness</w:t>
      </w:r>
      <w:r w:rsidR="001B6473">
        <w:t>.</w:t>
      </w:r>
    </w:p>
    <w:p w14:paraId="44825B2E" w14:textId="0A73C067" w:rsidR="002334C1" w:rsidRDefault="002334C1" w:rsidP="00CA38D7">
      <w:pPr>
        <w:pStyle w:val="bullet2"/>
      </w:pPr>
      <w:r>
        <w:t xml:space="preserve">Where a site is involved, the </w:t>
      </w:r>
      <w:r w:rsidR="00223401">
        <w:t xml:space="preserve">manager </w:t>
      </w:r>
      <w:r>
        <w:t>(or delegate) will liaise with the PI and research and development (R&amp;D) department</w:t>
      </w:r>
      <w:r w:rsidR="00293E9C">
        <w:t xml:space="preserve"> for the site</w:t>
      </w:r>
      <w:r>
        <w:t>.</w:t>
      </w:r>
    </w:p>
    <w:p w14:paraId="4EAF0E29" w14:textId="4631BA45" w:rsidR="00CA38D7" w:rsidRDefault="00CA38D7" w:rsidP="00CA38D7">
      <w:pPr>
        <w:pStyle w:val="bullet2"/>
      </w:pPr>
      <w:r>
        <w:t xml:space="preserve">For CTIMPs in the UK, the </w:t>
      </w:r>
      <w:hyperlink r:id="rId22" w:tooltip="Link to Notification of Serious Breaches of GCP or the Trial Protocol Form" w:history="1">
        <w:r w:rsidR="007C5482">
          <w:rPr>
            <w:rStyle w:val="Hyperlink"/>
          </w:rPr>
          <w:t>Notification of Serious Breach of GCP or the Trial Protocol Form (Word - 205 KB)</w:t>
        </w:r>
      </w:hyperlink>
      <w:r>
        <w:t xml:space="preserve"> should be used and a copy provided to the REC.</w:t>
      </w:r>
    </w:p>
    <w:p w14:paraId="2CBF290A" w14:textId="475B7B44" w:rsidR="00CA38D7" w:rsidRDefault="00CA38D7" w:rsidP="00CA38D7">
      <w:pPr>
        <w:pStyle w:val="Numberlist"/>
        <w:numPr>
          <w:ilvl w:val="0"/>
          <w:numId w:val="12"/>
        </w:numPr>
        <w:ind w:left="340" w:hanging="340"/>
      </w:pPr>
      <w:r>
        <w:t xml:space="preserve">The </w:t>
      </w:r>
      <w:r w:rsidR="007C5482">
        <w:t>c</w:t>
      </w:r>
      <w:r>
        <w:t xml:space="preserve">hair of CTOC (or delegate) will monitor the CAPA plan through CTOC meetings. </w:t>
      </w:r>
    </w:p>
    <w:p w14:paraId="2FD4C310" w14:textId="69B92AA7" w:rsidR="00CA38D7" w:rsidRDefault="00CA38D7" w:rsidP="00CA38D7">
      <w:pPr>
        <w:pStyle w:val="Numberlist"/>
        <w:numPr>
          <w:ilvl w:val="0"/>
          <w:numId w:val="12"/>
        </w:numPr>
        <w:ind w:left="340" w:hanging="340"/>
      </w:pPr>
      <w:r>
        <w:t xml:space="preserve">The </w:t>
      </w:r>
      <w:r w:rsidR="00223401">
        <w:t xml:space="preserve">manager </w:t>
      </w:r>
      <w:r>
        <w:t xml:space="preserve">(or delegate) and the Head of Research Governance and Integrity (or delegate) will ensure any relevant essential documents are filed appropriately in the </w:t>
      </w:r>
      <w:r w:rsidR="008E22F8">
        <w:t>S/</w:t>
      </w:r>
      <w:r>
        <w:t xml:space="preserve">TMF and </w:t>
      </w:r>
      <w:r w:rsidR="008E22F8">
        <w:t>s</w:t>
      </w:r>
      <w:r>
        <w:t xml:space="preserve">ponsor </w:t>
      </w:r>
      <w:r w:rsidR="008E22F8">
        <w:t>f</w:t>
      </w:r>
      <w:r>
        <w:t>ile respectively.</w:t>
      </w:r>
    </w:p>
    <w:p w14:paraId="701F5A86" w14:textId="77777777" w:rsidR="00161AAB" w:rsidRDefault="00161AAB" w:rsidP="00161AAB">
      <w:pPr>
        <w:pStyle w:val="Heading2"/>
      </w:pPr>
      <w:r>
        <w:t xml:space="preserve">Serious breach reporting in the </w:t>
      </w:r>
      <w:proofErr w:type="spellStart"/>
      <w:r>
        <w:t>UoB</w:t>
      </w:r>
      <w:proofErr w:type="spellEnd"/>
      <w:r>
        <w:t xml:space="preserve"> CTUs</w:t>
      </w:r>
    </w:p>
    <w:p w14:paraId="51039F3C" w14:textId="7E8EBF23" w:rsidR="00161AAB" w:rsidRDefault="00161AAB" w:rsidP="00161AAB">
      <w:pPr>
        <w:pStyle w:val="Numberlist"/>
        <w:numPr>
          <w:ilvl w:val="0"/>
          <w:numId w:val="12"/>
        </w:numPr>
        <w:ind w:left="340" w:hanging="340"/>
      </w:pPr>
      <w:r>
        <w:t xml:space="preserve">In the UKCRC-registered </w:t>
      </w:r>
      <w:proofErr w:type="spellStart"/>
      <w:r>
        <w:t>UoB</w:t>
      </w:r>
      <w:proofErr w:type="spellEnd"/>
      <w:r>
        <w:t xml:space="preserve"> CTUs, the </w:t>
      </w:r>
      <w:proofErr w:type="spellStart"/>
      <w:r>
        <w:t>UoB</w:t>
      </w:r>
      <w:proofErr w:type="spellEnd"/>
      <w:r>
        <w:t xml:space="preserve"> CTUs will be responsible for investigating, reporting and following up suspected serious breaches within the CTU</w:t>
      </w:r>
      <w:r w:rsidR="00EE6430">
        <w:t>.</w:t>
      </w:r>
      <w:r>
        <w:t xml:space="preserve"> </w:t>
      </w:r>
    </w:p>
    <w:p w14:paraId="13009984" w14:textId="7FD63435" w:rsidR="00161AAB" w:rsidRDefault="00161AAB" w:rsidP="00161AAB">
      <w:pPr>
        <w:pStyle w:val="bullet2"/>
      </w:pPr>
      <w:r>
        <w:t xml:space="preserve">The </w:t>
      </w:r>
      <w:proofErr w:type="spellStart"/>
      <w:r>
        <w:t>UoB</w:t>
      </w:r>
      <w:proofErr w:type="spellEnd"/>
      <w:r>
        <w:t xml:space="preserve"> CTUs will send a copy of the </w:t>
      </w:r>
      <w:r w:rsidR="00EE6430">
        <w:t>s</w:t>
      </w:r>
      <w:r>
        <w:t xml:space="preserve">erious </w:t>
      </w:r>
      <w:r w:rsidR="00EE6430">
        <w:t>b</w:t>
      </w:r>
      <w:r>
        <w:t xml:space="preserve">reach </w:t>
      </w:r>
      <w:r w:rsidR="00EE6430">
        <w:t>r</w:t>
      </w:r>
      <w:r>
        <w:t xml:space="preserve">eport to the Research Governance Team (RGT) and CRCT at the time the </w:t>
      </w:r>
      <w:r w:rsidR="00EE6430">
        <w:t>s</w:t>
      </w:r>
      <w:r>
        <w:t xml:space="preserve">erious </w:t>
      </w:r>
      <w:r w:rsidR="00EE6430">
        <w:t>b</w:t>
      </w:r>
      <w:r>
        <w:t xml:space="preserve">reach </w:t>
      </w:r>
      <w:r w:rsidR="00EE6430">
        <w:t>r</w:t>
      </w:r>
      <w:r>
        <w:t xml:space="preserve">eport is submitted to the REC and </w:t>
      </w:r>
      <w:r w:rsidR="00223401">
        <w:t xml:space="preserve">competent authority </w:t>
      </w:r>
      <w:r>
        <w:t xml:space="preserve">if applicable. The RGT and CRCT will review the </w:t>
      </w:r>
      <w:r w:rsidR="00EE6430">
        <w:t>s</w:t>
      </w:r>
      <w:r>
        <w:t xml:space="preserve">erious </w:t>
      </w:r>
      <w:r w:rsidR="00EE6430">
        <w:t>b</w:t>
      </w:r>
      <w:r>
        <w:t xml:space="preserve">reach </w:t>
      </w:r>
      <w:r w:rsidR="00EE6430">
        <w:t>r</w:t>
      </w:r>
      <w:r>
        <w:t xml:space="preserve">eport to ensure the proposed CAPA plan is appropriate and liaise directly with the </w:t>
      </w:r>
      <w:proofErr w:type="spellStart"/>
      <w:r>
        <w:t>UoB</w:t>
      </w:r>
      <w:proofErr w:type="spellEnd"/>
      <w:r>
        <w:t xml:space="preserve"> CTU where further actions are required.</w:t>
      </w:r>
    </w:p>
    <w:p w14:paraId="190E12D4" w14:textId="5899F8A8" w:rsidR="00161AAB" w:rsidRDefault="00161AAB" w:rsidP="00161AAB">
      <w:pPr>
        <w:pStyle w:val="bullet2"/>
      </w:pPr>
      <w:r>
        <w:t xml:space="preserve">The </w:t>
      </w:r>
      <w:proofErr w:type="spellStart"/>
      <w:r>
        <w:t>UoB</w:t>
      </w:r>
      <w:proofErr w:type="spellEnd"/>
      <w:r>
        <w:t xml:space="preserve"> CTUs will inform the CTOC of any reported serious breaches in 6</w:t>
      </w:r>
      <w:r w:rsidR="00223401">
        <w:t>-</w:t>
      </w:r>
      <w:r>
        <w:t>monthly reports</w:t>
      </w:r>
      <w:r w:rsidR="00223401">
        <w:t>.</w:t>
      </w:r>
      <w:r>
        <w:t xml:space="preserve"> </w:t>
      </w:r>
    </w:p>
    <w:p w14:paraId="45AAD574" w14:textId="7CC1BAB3" w:rsidR="00692DFA" w:rsidRPr="00435EAE" w:rsidRDefault="00692DFA">
      <w:pPr>
        <w:pStyle w:val="Heading1"/>
      </w:pPr>
      <w:r w:rsidRPr="00435EAE">
        <w:t>List of expected outputs</w:t>
      </w:r>
    </w:p>
    <w:p w14:paraId="77A2B8C8" w14:textId="7FA64AAA" w:rsidR="00163050" w:rsidRDefault="00163050" w:rsidP="00163050">
      <w:pPr>
        <w:pStyle w:val="bullet1"/>
      </w:pPr>
      <w:r>
        <w:t>Evidence of a documented process for the identification, recording and review of deviations and escalation, where appropriate</w:t>
      </w:r>
      <w:r w:rsidR="00223401">
        <w:t>.</w:t>
      </w:r>
    </w:p>
    <w:p w14:paraId="3897BBCE" w14:textId="298B6195" w:rsidR="00163050" w:rsidRDefault="00163050" w:rsidP="00163050">
      <w:pPr>
        <w:pStyle w:val="bullet1"/>
      </w:pPr>
      <w:r>
        <w:t>Evidence of the process for recording and reviewing being followed</w:t>
      </w:r>
      <w:r w:rsidR="00223401">
        <w:t>.</w:t>
      </w:r>
    </w:p>
    <w:p w14:paraId="300C9E16" w14:textId="632B547D" w:rsidR="00163050" w:rsidRDefault="00163050" w:rsidP="00163050">
      <w:pPr>
        <w:pStyle w:val="bullet1"/>
      </w:pPr>
      <w:r>
        <w:t>Evidence that reporting timelines have been followed, and that appropriate staff have been contacted</w:t>
      </w:r>
      <w:r w:rsidR="00223401">
        <w:t>.</w:t>
      </w:r>
    </w:p>
    <w:p w14:paraId="45CB8AEC" w14:textId="10552491" w:rsidR="00A5391E" w:rsidRDefault="00163050" w:rsidP="002B0880">
      <w:pPr>
        <w:pStyle w:val="bullet1"/>
      </w:pPr>
      <w:r w:rsidRPr="00720B50">
        <w:t>Evidence</w:t>
      </w:r>
      <w:r>
        <w:t xml:space="preserve"> of the serious breach process described above being followed, where applicable</w:t>
      </w:r>
      <w:r w:rsidR="00223401">
        <w:t>.</w:t>
      </w:r>
    </w:p>
    <w:p w14:paraId="2C9D5A06" w14:textId="5C54B3E0" w:rsidR="007B4836" w:rsidRDefault="007B4836">
      <w:pPr>
        <w:pStyle w:val="Heading1"/>
      </w:pPr>
      <w:r w:rsidRPr="006561C0">
        <w:t>Related</w:t>
      </w:r>
      <w:r>
        <w:t xml:space="preserve"> documents</w:t>
      </w:r>
      <w:bookmarkEnd w:id="0"/>
    </w:p>
    <w:p w14:paraId="07DFD971" w14:textId="77777777" w:rsidR="005449EA" w:rsidRDefault="005449EA" w:rsidP="00556CA1">
      <w:pPr>
        <w:pStyle w:val="bullet1"/>
      </w:pPr>
      <w:bookmarkStart w:id="1" w:name="_Hlk121750381"/>
      <w:r>
        <w:t>UoB-CRL-SOP-005 Reportable Issues</w:t>
      </w:r>
    </w:p>
    <w:p w14:paraId="31A583D1" w14:textId="77777777" w:rsidR="005449EA" w:rsidRDefault="005449EA" w:rsidP="00556CA1">
      <w:pPr>
        <w:pStyle w:val="bullet1"/>
      </w:pPr>
      <w:r>
        <w:t>UoB-DSB-QCD-001 Deviation Management</w:t>
      </w:r>
    </w:p>
    <w:p w14:paraId="35BEB282" w14:textId="77777777" w:rsidR="005449EA" w:rsidRDefault="005449EA" w:rsidP="00556CA1">
      <w:pPr>
        <w:pStyle w:val="bullet1"/>
      </w:pPr>
      <w:r>
        <w:t>UoB-DSB-QCD-002 Deviation Form</w:t>
      </w:r>
    </w:p>
    <w:p w14:paraId="6FD2E6F0" w14:textId="77777777" w:rsidR="005449EA" w:rsidRDefault="005449EA" w:rsidP="00556CA1">
      <w:pPr>
        <w:pStyle w:val="bullet1"/>
      </w:pPr>
      <w:r>
        <w:t xml:space="preserve">UoB-GCP-POL-001 </w:t>
      </w:r>
      <w:proofErr w:type="spellStart"/>
      <w:r>
        <w:t>UoB</w:t>
      </w:r>
      <w:proofErr w:type="spellEnd"/>
      <w:r>
        <w:t xml:space="preserve"> Principles of GCP for Clinical Research </w:t>
      </w:r>
    </w:p>
    <w:p w14:paraId="08F26A7F" w14:textId="77777777" w:rsidR="005449EA" w:rsidRDefault="005449EA" w:rsidP="00556CA1">
      <w:pPr>
        <w:pStyle w:val="bullet1"/>
      </w:pPr>
      <w:r>
        <w:t>UoB-SPO-QCD-001 Clinical Trials Task Delegation Log</w:t>
      </w:r>
    </w:p>
    <w:p w14:paraId="56EC2D6D" w14:textId="77777777" w:rsidR="005449EA" w:rsidRDefault="005449EA" w:rsidP="00720B50">
      <w:pPr>
        <w:pStyle w:val="bullet1"/>
        <w:ind w:left="357" w:hanging="357"/>
      </w:pPr>
      <w:r w:rsidRPr="008C5FFA">
        <w:t>UoB-TRN-SOP-001</w:t>
      </w:r>
      <w:r>
        <w:t xml:space="preserve"> Training</w:t>
      </w:r>
    </w:p>
    <w:bookmarkEnd w:id="1"/>
    <w:p w14:paraId="51D4E3A3" w14:textId="60F82D07" w:rsidR="00FA2705" w:rsidRDefault="00DA19A3" w:rsidP="00DA19A3">
      <w:pPr>
        <w:rPr>
          <w:lang w:eastAsia="en-GB"/>
        </w:rPr>
      </w:pPr>
      <w:proofErr w:type="spellStart"/>
      <w:r>
        <w:t>UoB</w:t>
      </w:r>
      <w:proofErr w:type="spellEnd"/>
      <w:r>
        <w:t xml:space="preserve"> QMS documents can be found on the </w:t>
      </w:r>
      <w:hyperlink r:id="rId23" w:tooltip="Website for the Clinical Research Compliance Team" w:history="1">
        <w:r w:rsidR="00396CD2">
          <w:rPr>
            <w:rStyle w:val="Hyperlink"/>
            <w:lang w:eastAsia="en-GB"/>
          </w:rPr>
          <w:t>CRCT website</w:t>
        </w:r>
      </w:hyperlink>
      <w:r>
        <w:rPr>
          <w:lang w:eastAsia="en-GB"/>
        </w:rPr>
        <w:t xml:space="preserve">. </w:t>
      </w:r>
      <w:r w:rsidR="00396CD2">
        <w:rPr>
          <w:lang w:eastAsia="en-GB"/>
        </w:rPr>
        <w:t>Internal work instructions can be obtained from the CRCT (</w:t>
      </w:r>
      <w:hyperlink r:id="rId24" w:tooltip="Email for the Clinical Research Compliance Team" w:history="1">
        <w:r w:rsidR="00396CD2" w:rsidRPr="00EB63CF">
          <w:rPr>
            <w:rStyle w:val="Hyperlink"/>
            <w:lang w:eastAsia="en-GB"/>
          </w:rPr>
          <w:t>crct@contacts.bham.ac.uk</w:t>
        </w:r>
      </w:hyperlink>
      <w:r w:rsidR="00396CD2">
        <w:rPr>
          <w:lang w:eastAsia="en-GB"/>
        </w:rPr>
        <w:t>) and/or from t</w:t>
      </w:r>
      <w:r>
        <w:rPr>
          <w:lang w:eastAsia="en-GB"/>
        </w:rPr>
        <w:t>he RGT</w:t>
      </w:r>
      <w:r w:rsidR="001A723A">
        <w:rPr>
          <w:lang w:eastAsia="en-GB"/>
        </w:rPr>
        <w:t xml:space="preserve"> </w:t>
      </w:r>
      <w:r w:rsidR="00396CD2">
        <w:rPr>
          <w:lang w:eastAsia="en-GB"/>
        </w:rPr>
        <w:t>(</w:t>
      </w:r>
      <w:hyperlink r:id="rId25" w:tooltip="Email for the Research Governance Team" w:history="1">
        <w:r w:rsidR="00396CD2" w:rsidRPr="00396CD2">
          <w:rPr>
            <w:rStyle w:val="Hyperlink"/>
            <w:lang w:eastAsia="en-GB"/>
          </w:rPr>
          <w:t>researchgovernance@contacts.bham.ac.uk</w:t>
        </w:r>
      </w:hyperlink>
      <w:r w:rsidR="001A723A">
        <w:rPr>
          <w:lang w:eastAsia="en-GB"/>
        </w:rPr>
        <w:t>).</w:t>
      </w:r>
    </w:p>
    <w:p w14:paraId="6F2DB4AF" w14:textId="388570DE" w:rsidR="007B4836" w:rsidRDefault="007B4836">
      <w:pPr>
        <w:pStyle w:val="Heading1"/>
      </w:pPr>
      <w:r w:rsidRPr="005D17F6">
        <w:t>References</w:t>
      </w:r>
      <w:r w:rsidR="005F0420">
        <w:t xml:space="preserve"> and </w:t>
      </w:r>
      <w:r w:rsidR="00FF6CB2">
        <w:t>f</w:t>
      </w:r>
      <w:r w:rsidR="005F0420">
        <w:t>rameworks</w:t>
      </w:r>
      <w:r>
        <w:t xml:space="preserve"> </w:t>
      </w:r>
    </w:p>
    <w:p w14:paraId="37E215A5" w14:textId="77777777" w:rsidR="00387AA1" w:rsidRDefault="00387AA1" w:rsidP="00556CA1">
      <w:pPr>
        <w:pStyle w:val="bullet1"/>
        <w:numPr>
          <w:ilvl w:val="0"/>
          <w:numId w:val="3"/>
        </w:numPr>
        <w:ind w:left="340" w:hanging="340"/>
      </w:pPr>
      <w:r>
        <w:t>Contact details for serious breach reporting:</w:t>
      </w:r>
    </w:p>
    <w:p w14:paraId="77653D78" w14:textId="77777777" w:rsidR="00387AA1" w:rsidRDefault="00387AA1" w:rsidP="00556CA1">
      <w:pPr>
        <w:pStyle w:val="bullet2"/>
      </w:pPr>
      <w:r>
        <w:t xml:space="preserve">CRCT: </w:t>
      </w:r>
      <w:hyperlink r:id="rId26" w:tooltip="Email address for Clinical Research Compliance Team" w:history="1">
        <w:r w:rsidRPr="00DC404A">
          <w:rPr>
            <w:rStyle w:val="Hyperlink"/>
          </w:rPr>
          <w:t>crct@contacts.bham.ac.uk</w:t>
        </w:r>
      </w:hyperlink>
    </w:p>
    <w:p w14:paraId="54AE4BEF" w14:textId="77777777" w:rsidR="00203A52" w:rsidRPr="005D1B04" w:rsidRDefault="00203A52" w:rsidP="00203A52">
      <w:pPr>
        <w:pStyle w:val="bullet2"/>
        <w:rPr>
          <w:rStyle w:val="Hyperlink"/>
        </w:rPr>
      </w:pPr>
      <w:r>
        <w:t xml:space="preserve">RG&amp;ET: phone; +44 (0)121 415 8011 (Ext. 58011), email; </w:t>
      </w:r>
      <w:hyperlink r:id="rId27" w:tooltip="Email address for the Research Governance Team" w:history="1">
        <w:r>
          <w:rPr>
            <w:rStyle w:val="Hyperlink"/>
            <w:lang w:eastAsia="en-GB"/>
          </w:rPr>
          <w:t>researchgovernance@contacts.bham.ac.uk</w:t>
        </w:r>
      </w:hyperlink>
      <w:r w:rsidRPr="00220695">
        <w:t xml:space="preserve"> </w:t>
      </w:r>
    </w:p>
    <w:p w14:paraId="01F41F55" w14:textId="43BD7544" w:rsidR="00387AA1" w:rsidRDefault="00387AA1" w:rsidP="00556CA1">
      <w:pPr>
        <w:pStyle w:val="bullet2"/>
      </w:pPr>
      <w:r>
        <w:t xml:space="preserve">Legal services: </w:t>
      </w:r>
      <w:hyperlink r:id="rId28" w:tooltip="Link to Legal Services at UoB" w:history="1">
        <w:r w:rsidRPr="00AD27DF">
          <w:rPr>
            <w:rStyle w:val="Hyperlink"/>
          </w:rPr>
          <w:t>https://intranet.birmingham.ac.uk/legal-services/who-we-are.aspx</w:t>
        </w:r>
      </w:hyperlink>
    </w:p>
    <w:p w14:paraId="06F91CE9" w14:textId="77777777" w:rsidR="00203A52" w:rsidRPr="000253E6" w:rsidRDefault="00203A52" w:rsidP="00203A52">
      <w:pPr>
        <w:pStyle w:val="bullet2"/>
      </w:pPr>
      <w:r w:rsidRPr="000253E6">
        <w:t xml:space="preserve">MHRA: </w:t>
      </w:r>
      <w:hyperlink r:id="rId29" w:tooltip="Link to MHRA website" w:history="1">
        <w:r w:rsidRPr="000253E6">
          <w:rPr>
            <w:rStyle w:val="Hyperlink"/>
          </w:rPr>
          <w:t>https://www.gov.uk/guidance/contact-mhra</w:t>
        </w:r>
      </w:hyperlink>
      <w:r>
        <w:rPr>
          <w:rStyle w:val="Hyperlink"/>
        </w:rPr>
        <w:t>.</w:t>
      </w:r>
      <w:r w:rsidRPr="000253E6">
        <w:t xml:space="preserve"> </w:t>
      </w:r>
    </w:p>
    <w:p w14:paraId="3873300C" w14:textId="11C64347" w:rsidR="001912A9" w:rsidRDefault="001912A9" w:rsidP="0055191D">
      <w:pPr>
        <w:pStyle w:val="bullet1"/>
      </w:pPr>
      <w:r>
        <w:t xml:space="preserve">Data Protection Act 2018: </w:t>
      </w:r>
      <w:hyperlink r:id="rId30" w:tooltip="Link to the Data Protection Act 2018" w:history="1">
        <w:r w:rsidRPr="009131F9">
          <w:rPr>
            <w:rStyle w:val="Hyperlink"/>
          </w:rPr>
          <w:t>https://www.legislation.gov.uk/ukpga/2018/12/contents/enacted</w:t>
        </w:r>
      </w:hyperlink>
      <w:r>
        <w:t xml:space="preserve"> </w:t>
      </w:r>
    </w:p>
    <w:p w14:paraId="0D62A160" w14:textId="02477289" w:rsidR="00387AA1" w:rsidRPr="00835D46" w:rsidRDefault="00736212" w:rsidP="00556CA1">
      <w:pPr>
        <w:pStyle w:val="bullet1"/>
        <w:numPr>
          <w:ilvl w:val="0"/>
          <w:numId w:val="3"/>
        </w:numPr>
        <w:ind w:left="340" w:hanging="340"/>
        <w:rPr>
          <w:rStyle w:val="Hyperlink"/>
        </w:rPr>
      </w:pPr>
      <w:r>
        <w:t xml:space="preserve">The </w:t>
      </w:r>
      <w:r w:rsidR="00387AA1">
        <w:t xml:space="preserve">Medicines for Human Use (Clinical Trials) Amendment Regulations 2006: </w:t>
      </w:r>
      <w:hyperlink r:id="rId31" w:tooltip="Link to Medicines for Human Use (Clinical Trials) Amendment Regulations 2006" w:history="1">
        <w:r w:rsidR="00387AA1">
          <w:rPr>
            <w:rStyle w:val="Hyperlink"/>
            <w:rFonts w:eastAsiaTheme="minorHAnsi"/>
          </w:rPr>
          <w:t>http://www.legislation.gov.uk/uksi/2006/1928/contents/made</w:t>
        </w:r>
      </w:hyperlink>
      <w:r w:rsidR="00387AA1" w:rsidRPr="00835D46">
        <w:rPr>
          <w:rStyle w:val="Hyperlink"/>
        </w:rPr>
        <w:t xml:space="preserve"> </w:t>
      </w:r>
    </w:p>
    <w:p w14:paraId="1BD59AC6" w14:textId="77777777" w:rsidR="00387AA1" w:rsidRPr="00F36739" w:rsidRDefault="00387AA1" w:rsidP="00556CA1">
      <w:pPr>
        <w:pStyle w:val="bullet1"/>
        <w:numPr>
          <w:ilvl w:val="0"/>
          <w:numId w:val="3"/>
        </w:numPr>
        <w:ind w:left="340" w:hanging="340"/>
      </w:pPr>
      <w:r w:rsidRPr="00835D46">
        <w:lastRenderedPageBreak/>
        <w:t xml:space="preserve">MHRA Guidance for the </w:t>
      </w:r>
      <w:r>
        <w:t>N</w:t>
      </w:r>
      <w:r w:rsidRPr="00835D46">
        <w:t xml:space="preserve">otification of Serious Breaches of GCP or the Trial Protocol: </w:t>
      </w:r>
      <w:hyperlink r:id="rId32" w:tooltip="Link to MHRA Guidance for the Notification of Serious Breaches of GCP or the Trial Protocol" w:history="1">
        <w:r w:rsidRPr="00342B24">
          <w:rPr>
            <w:rStyle w:val="Hyperlink"/>
          </w:rPr>
          <w:t>https://assets.publishing.service.gov.uk/government/uploads/system/uploads/attachment_data/file/705179/Guidance_for_the_Notification_of_Serious_Breaches_of_GCP_or_the_Trial_Protocol_Version_5.1__04-05-2018_.pdf</w:t>
        </w:r>
      </w:hyperlink>
    </w:p>
    <w:p w14:paraId="39221C03" w14:textId="2A2BB7C0" w:rsidR="00387AA1" w:rsidRDefault="00387AA1" w:rsidP="00556CA1">
      <w:pPr>
        <w:pStyle w:val="bullet1"/>
        <w:numPr>
          <w:ilvl w:val="0"/>
          <w:numId w:val="3"/>
        </w:numPr>
        <w:ind w:left="340" w:hanging="340"/>
      </w:pPr>
      <w:r>
        <w:t xml:space="preserve">HRA </w:t>
      </w:r>
      <w:r w:rsidR="005A1F91">
        <w:t>SOPs for RECs</w:t>
      </w:r>
      <w:r>
        <w:t xml:space="preserve">: </w:t>
      </w:r>
      <w:hyperlink r:id="rId33" w:tooltip="Link to HRA SOPs for RECs" w:history="1">
        <w:r w:rsidRPr="00A56B2C">
          <w:rPr>
            <w:rStyle w:val="Hyperlink"/>
          </w:rPr>
          <w:t>https://www.hra.nhs.uk/about-us/committees-and-services/res-and-recs/research-ethics-committee-standard-operating-procedures/</w:t>
        </w:r>
      </w:hyperlink>
      <w:r>
        <w:t xml:space="preserve"> </w:t>
      </w:r>
    </w:p>
    <w:p w14:paraId="6C996CF0" w14:textId="1329E43A" w:rsidR="00387AA1" w:rsidRDefault="00387AA1" w:rsidP="00556CA1">
      <w:pPr>
        <w:pStyle w:val="bullet1"/>
        <w:numPr>
          <w:ilvl w:val="0"/>
          <w:numId w:val="3"/>
        </w:numPr>
        <w:ind w:left="340" w:hanging="340"/>
      </w:pPr>
      <w:r w:rsidRPr="00A2020C">
        <w:t xml:space="preserve">Notification of Serious Breach of </w:t>
      </w:r>
      <w:r w:rsidR="00203A52">
        <w:t>GCP</w:t>
      </w:r>
      <w:r w:rsidRPr="00A2020C">
        <w:t xml:space="preserve"> or Trial Protocol </w:t>
      </w:r>
      <w:r>
        <w:t>F</w:t>
      </w:r>
      <w:r w:rsidRPr="00A2020C">
        <w:t>orm</w:t>
      </w:r>
      <w:r>
        <w:t xml:space="preserve">: </w:t>
      </w:r>
      <w:hyperlink r:id="rId34" w:tooltip="Link to Notification of Serious Breach of Good Clinical Practice or Trial Protocol Form" w:history="1">
        <w:r w:rsidRPr="00D36A12">
          <w:rPr>
            <w:rStyle w:val="Hyperlink"/>
          </w:rPr>
          <w:t>https://assets.publishing.service.gov.uk/government/uploads/system/uploads/attachment_data/file/779472/Notification_of_serious_breaches_of_GCP_or_the_trial_protocol_form__V6__18-02-19_.odt</w:t>
        </w:r>
      </w:hyperlink>
      <w:r>
        <w:t xml:space="preserve"> </w:t>
      </w:r>
    </w:p>
    <w:p w14:paraId="5C2C0762" w14:textId="48EF86F9" w:rsidR="00387AA1" w:rsidRPr="0055191D" w:rsidRDefault="00203A52" w:rsidP="002E6AE2">
      <w:pPr>
        <w:pStyle w:val="bullet1"/>
        <w:rPr>
          <w:rStyle w:val="Hyperlink"/>
          <w:color w:val="auto"/>
          <w:u w:val="none"/>
        </w:rPr>
      </w:pPr>
      <w:proofErr w:type="spellStart"/>
      <w:r>
        <w:t>UoB</w:t>
      </w:r>
      <w:proofErr w:type="spellEnd"/>
      <w:r w:rsidR="00387AA1">
        <w:t xml:space="preserve"> </w:t>
      </w:r>
      <w:r w:rsidR="003304B1">
        <w:t>C</w:t>
      </w:r>
      <w:r w:rsidR="00387AA1">
        <w:t xml:space="preserve">ode of </w:t>
      </w:r>
      <w:r w:rsidR="003304B1">
        <w:t>P</w:t>
      </w:r>
      <w:r w:rsidR="00387AA1">
        <w:t xml:space="preserve">ractice for </w:t>
      </w:r>
      <w:r w:rsidR="003304B1">
        <w:t>R</w:t>
      </w:r>
      <w:r w:rsidR="00387AA1">
        <w:t xml:space="preserve">esearch: </w:t>
      </w:r>
      <w:hyperlink r:id="rId35" w:tooltip="Link to UoB Code of Practice for Research" w:history="1">
        <w:r w:rsidR="00387AA1" w:rsidRPr="00345D29">
          <w:rPr>
            <w:rStyle w:val="Hyperlink"/>
          </w:rPr>
          <w:t>https://www.birmingham.ac.uk/documents/university/legal/research.pdf</w:t>
        </w:r>
      </w:hyperlink>
    </w:p>
    <w:p w14:paraId="2B78D594" w14:textId="7F8B23A2" w:rsidR="00694B20" w:rsidRDefault="001912A9" w:rsidP="002E6AE2">
      <w:pPr>
        <w:pStyle w:val="bullet1"/>
      </w:pPr>
      <w:proofErr w:type="spellStart"/>
      <w:r>
        <w:t>UoB</w:t>
      </w:r>
      <w:proofErr w:type="spellEnd"/>
      <w:r w:rsidR="00694B20">
        <w:t xml:space="preserve"> Legal Services</w:t>
      </w:r>
      <w:r>
        <w:t xml:space="preserve"> – Data Protection (</w:t>
      </w:r>
      <w:proofErr w:type="spellStart"/>
      <w:r>
        <w:t>UoB</w:t>
      </w:r>
      <w:proofErr w:type="spellEnd"/>
      <w:r>
        <w:t xml:space="preserve"> login required)</w:t>
      </w:r>
      <w:r w:rsidR="00694B20">
        <w:t xml:space="preserve">: </w:t>
      </w:r>
      <w:hyperlink r:id="rId36" w:tooltip="Link to the UoB Legal Services' page on Data Protection" w:history="1">
        <w:r w:rsidRPr="009131F9">
          <w:rPr>
            <w:rStyle w:val="Hyperlink"/>
          </w:rPr>
          <w:t>https://intranet.birmingham.ac.uk/executive-support/legal-services/what-we-do/data-protection/index.aspx</w:t>
        </w:r>
      </w:hyperlink>
      <w:r>
        <w:t xml:space="preserve"> </w:t>
      </w:r>
    </w:p>
    <w:p w14:paraId="201F679C" w14:textId="3C18D5EA"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73"/>
        <w:gridCol w:w="6544"/>
      </w:tblGrid>
      <w:tr w:rsidR="00CC61A6" w14:paraId="4728D4F0" w14:textId="77777777" w:rsidTr="00556CA1">
        <w:trPr>
          <w:cantSplit/>
          <w:tblHeader/>
        </w:trPr>
        <w:tc>
          <w:tcPr>
            <w:tcW w:w="2473" w:type="dxa"/>
            <w:vAlign w:val="center"/>
          </w:tcPr>
          <w:p w14:paraId="6FD69865" w14:textId="77777777" w:rsidR="00CC61A6" w:rsidRPr="003D5BFC" w:rsidRDefault="00CC61A6" w:rsidP="00043513">
            <w:pPr>
              <w:pStyle w:val="Heading2"/>
            </w:pPr>
            <w:r w:rsidRPr="003D5BFC">
              <w:t>Term</w:t>
            </w:r>
          </w:p>
        </w:tc>
        <w:tc>
          <w:tcPr>
            <w:tcW w:w="6544" w:type="dxa"/>
            <w:vAlign w:val="center"/>
          </w:tcPr>
          <w:p w14:paraId="16A15AE6" w14:textId="77777777" w:rsidR="00CC61A6" w:rsidRPr="003D5BFC" w:rsidRDefault="00CC61A6" w:rsidP="00043513">
            <w:pPr>
              <w:pStyle w:val="Heading2"/>
            </w:pPr>
            <w:r w:rsidRPr="003D5BFC">
              <w:t>Description</w:t>
            </w:r>
          </w:p>
        </w:tc>
      </w:tr>
      <w:tr w:rsidR="00C15BA4" w14:paraId="274AD01E" w14:textId="77777777" w:rsidTr="00556CA1">
        <w:trPr>
          <w:cantSplit/>
        </w:trPr>
        <w:tc>
          <w:tcPr>
            <w:tcW w:w="2473" w:type="dxa"/>
            <w:vAlign w:val="center"/>
          </w:tcPr>
          <w:p w14:paraId="0E03F5CD" w14:textId="737AC527" w:rsidR="00C15BA4" w:rsidRPr="00AA03A7" w:rsidDel="00CA7D74" w:rsidRDefault="00C15BA4" w:rsidP="00043513">
            <w:pPr>
              <w:pStyle w:val="AbbreviationsDefinitionsTerm"/>
            </w:pPr>
            <w:r>
              <w:t>CAPA</w:t>
            </w:r>
          </w:p>
        </w:tc>
        <w:tc>
          <w:tcPr>
            <w:tcW w:w="6544" w:type="dxa"/>
            <w:vAlign w:val="center"/>
          </w:tcPr>
          <w:p w14:paraId="48F98407" w14:textId="16839A6E" w:rsidR="00C15BA4" w:rsidRPr="00D10262" w:rsidDel="00CA7D74" w:rsidRDefault="00C15BA4" w:rsidP="00556CA1">
            <w:pPr>
              <w:rPr>
                <w:rFonts w:eastAsia="Calibri"/>
              </w:rPr>
            </w:pPr>
            <w:r>
              <w:rPr>
                <w:rFonts w:eastAsia="Calibri"/>
              </w:rPr>
              <w:t>Corrective action and preventative action</w:t>
            </w:r>
          </w:p>
        </w:tc>
      </w:tr>
      <w:tr w:rsidR="00CC61A6" w14:paraId="500DF6DB" w14:textId="77777777" w:rsidTr="00556CA1">
        <w:trPr>
          <w:cantSplit/>
        </w:trPr>
        <w:tc>
          <w:tcPr>
            <w:tcW w:w="2473" w:type="dxa"/>
            <w:vAlign w:val="center"/>
          </w:tcPr>
          <w:p w14:paraId="047DDB8D" w14:textId="12B72422" w:rsidR="00CC61A6" w:rsidRPr="00043513" w:rsidRDefault="00556CA1" w:rsidP="00043513">
            <w:pPr>
              <w:pStyle w:val="AbbreviationsDefinitionsTerm"/>
            </w:pPr>
            <w:r w:rsidRPr="00AA03A7">
              <w:t>CI</w:t>
            </w:r>
          </w:p>
        </w:tc>
        <w:tc>
          <w:tcPr>
            <w:tcW w:w="6544" w:type="dxa"/>
            <w:vAlign w:val="center"/>
          </w:tcPr>
          <w:p w14:paraId="6B5C53F6" w14:textId="5D77D0AB" w:rsidR="00CC61A6" w:rsidRPr="00A11FDD" w:rsidRDefault="00CA7D74" w:rsidP="00556CA1">
            <w:r>
              <w:rPr>
                <w:rFonts w:eastAsia="Calibri"/>
              </w:rPr>
              <w:t xml:space="preserve">Chief </w:t>
            </w:r>
            <w:r w:rsidR="005134C4">
              <w:rPr>
                <w:rFonts w:eastAsia="Calibri"/>
              </w:rPr>
              <w:t>i</w:t>
            </w:r>
            <w:r>
              <w:rPr>
                <w:rFonts w:eastAsia="Calibri"/>
              </w:rPr>
              <w:t>nvestigator</w:t>
            </w:r>
          </w:p>
        </w:tc>
      </w:tr>
      <w:tr w:rsidR="00CC61A6" w14:paraId="1ACE0D59" w14:textId="77777777" w:rsidTr="00556CA1">
        <w:trPr>
          <w:cantSplit/>
        </w:trPr>
        <w:tc>
          <w:tcPr>
            <w:tcW w:w="2473" w:type="dxa"/>
            <w:vAlign w:val="center"/>
          </w:tcPr>
          <w:p w14:paraId="42C41E61" w14:textId="3733E37C" w:rsidR="00CC61A6" w:rsidRPr="00043513" w:rsidRDefault="00556CA1" w:rsidP="00043513">
            <w:pPr>
              <w:pStyle w:val="AbbreviationsDefinitionsTerm"/>
            </w:pPr>
            <w:r w:rsidRPr="00AA03A7">
              <w:t>CRCT</w:t>
            </w:r>
          </w:p>
        </w:tc>
        <w:tc>
          <w:tcPr>
            <w:tcW w:w="6544" w:type="dxa"/>
            <w:vAlign w:val="center"/>
          </w:tcPr>
          <w:p w14:paraId="78CE3B83" w14:textId="42DE7EA5" w:rsidR="00CC61A6" w:rsidRDefault="00556CA1" w:rsidP="00B7758F">
            <w:r w:rsidRPr="001B3F24">
              <w:rPr>
                <w:rFonts w:eastAsiaTheme="minorHAnsi"/>
              </w:rPr>
              <w:t xml:space="preserve">Clinical </w:t>
            </w:r>
            <w:r w:rsidR="00DB1721">
              <w:rPr>
                <w:rFonts w:eastAsiaTheme="minorHAnsi"/>
              </w:rPr>
              <w:t>R</w:t>
            </w:r>
            <w:r w:rsidRPr="001B3F24">
              <w:rPr>
                <w:rFonts w:eastAsiaTheme="minorHAnsi"/>
              </w:rPr>
              <w:t xml:space="preserve">esearch </w:t>
            </w:r>
            <w:r w:rsidR="00DB1721">
              <w:rPr>
                <w:rFonts w:eastAsiaTheme="minorHAnsi"/>
              </w:rPr>
              <w:t>C</w:t>
            </w:r>
            <w:r w:rsidRPr="001B3F24">
              <w:rPr>
                <w:rFonts w:eastAsiaTheme="minorHAnsi"/>
              </w:rPr>
              <w:t xml:space="preserve">ompliance </w:t>
            </w:r>
            <w:r w:rsidR="00DB1721">
              <w:rPr>
                <w:rFonts w:eastAsiaTheme="minorHAnsi"/>
              </w:rPr>
              <w:t>T</w:t>
            </w:r>
            <w:r w:rsidRPr="001B3F24">
              <w:rPr>
                <w:rFonts w:eastAsiaTheme="minorHAnsi"/>
              </w:rPr>
              <w:t xml:space="preserve">eam </w:t>
            </w:r>
          </w:p>
        </w:tc>
      </w:tr>
      <w:tr w:rsidR="008D504D" w14:paraId="7F425439" w14:textId="77777777" w:rsidTr="00556CA1">
        <w:trPr>
          <w:cantSplit/>
        </w:trPr>
        <w:tc>
          <w:tcPr>
            <w:tcW w:w="2473" w:type="dxa"/>
            <w:vAlign w:val="center"/>
          </w:tcPr>
          <w:p w14:paraId="66EA145E" w14:textId="52CFCE84" w:rsidR="008D504D" w:rsidRPr="00AA03A7" w:rsidDel="00CA7D74" w:rsidRDefault="008D504D" w:rsidP="00043513">
            <w:pPr>
              <w:pStyle w:val="AbbreviationsDefinitionsTerm"/>
            </w:pPr>
            <w:r w:rsidRPr="00AA03A7">
              <w:t>CTIMP</w:t>
            </w:r>
          </w:p>
        </w:tc>
        <w:tc>
          <w:tcPr>
            <w:tcW w:w="6544" w:type="dxa"/>
            <w:vAlign w:val="center"/>
          </w:tcPr>
          <w:p w14:paraId="3D1C3C4E" w14:textId="124FBB8C" w:rsidR="008D504D" w:rsidRPr="001B3F24" w:rsidDel="00CA7D74" w:rsidRDefault="008D504D" w:rsidP="00B7758F">
            <w:pPr>
              <w:rPr>
                <w:rFonts w:eastAsiaTheme="minorHAnsi"/>
              </w:rPr>
            </w:pPr>
            <w:r>
              <w:t xml:space="preserve">Clinical </w:t>
            </w:r>
            <w:r w:rsidR="005134C4">
              <w:t>t</w:t>
            </w:r>
            <w:r>
              <w:t xml:space="preserve">rial of an </w:t>
            </w:r>
            <w:r w:rsidR="005134C4">
              <w:t>i</w:t>
            </w:r>
            <w:r>
              <w:t xml:space="preserve">nvestigational </w:t>
            </w:r>
            <w:r w:rsidR="005134C4">
              <w:t>m</w:t>
            </w:r>
            <w:r>
              <w:t xml:space="preserve">edicinal </w:t>
            </w:r>
            <w:r w:rsidR="005134C4">
              <w:t>p</w:t>
            </w:r>
            <w:r>
              <w:t>roduct</w:t>
            </w:r>
          </w:p>
        </w:tc>
      </w:tr>
      <w:tr w:rsidR="00CC61A6" w14:paraId="5FBA57DF" w14:textId="77777777" w:rsidTr="00556CA1">
        <w:trPr>
          <w:cantSplit/>
        </w:trPr>
        <w:tc>
          <w:tcPr>
            <w:tcW w:w="2473" w:type="dxa"/>
            <w:vAlign w:val="center"/>
          </w:tcPr>
          <w:p w14:paraId="44974EA8" w14:textId="6459672D" w:rsidR="00CC61A6" w:rsidRPr="00043513" w:rsidRDefault="00556CA1" w:rsidP="00043513">
            <w:pPr>
              <w:pStyle w:val="AbbreviationsDefinitionsTerm"/>
            </w:pPr>
            <w:r w:rsidRPr="00AA03A7">
              <w:t>CTOC</w:t>
            </w:r>
          </w:p>
        </w:tc>
        <w:tc>
          <w:tcPr>
            <w:tcW w:w="6544" w:type="dxa"/>
            <w:vAlign w:val="center"/>
          </w:tcPr>
          <w:p w14:paraId="7BB1669C" w14:textId="2C082E2B" w:rsidR="00CC61A6" w:rsidRDefault="00556CA1" w:rsidP="00B7758F">
            <w:r w:rsidRPr="006D57DE">
              <w:t xml:space="preserve">Clinical </w:t>
            </w:r>
            <w:r w:rsidR="00DB1721">
              <w:t>T</w:t>
            </w:r>
            <w:r w:rsidRPr="006D57DE">
              <w:t xml:space="preserve">rials </w:t>
            </w:r>
            <w:r w:rsidR="00DB1721">
              <w:t>O</w:t>
            </w:r>
            <w:r w:rsidRPr="006D57DE">
              <w:t xml:space="preserve">versight </w:t>
            </w:r>
            <w:r w:rsidR="00DB1721">
              <w:t>C</w:t>
            </w:r>
            <w:r w:rsidRPr="006D57DE">
              <w:t xml:space="preserve">ommittee </w:t>
            </w:r>
          </w:p>
        </w:tc>
      </w:tr>
      <w:tr w:rsidR="00556CA1" w14:paraId="498C37BA" w14:textId="77777777" w:rsidTr="00556CA1">
        <w:trPr>
          <w:cantSplit/>
        </w:trPr>
        <w:tc>
          <w:tcPr>
            <w:tcW w:w="2473" w:type="dxa"/>
            <w:vAlign w:val="center"/>
          </w:tcPr>
          <w:p w14:paraId="0AC9E0C1" w14:textId="392405E4" w:rsidR="00556CA1" w:rsidRPr="00043513" w:rsidRDefault="00556CA1" w:rsidP="00556CA1">
            <w:pPr>
              <w:pStyle w:val="AbbreviationsDefinitionsTerm"/>
            </w:pPr>
            <w:r>
              <w:t>CTU</w:t>
            </w:r>
          </w:p>
        </w:tc>
        <w:tc>
          <w:tcPr>
            <w:tcW w:w="6544" w:type="dxa"/>
            <w:vAlign w:val="center"/>
          </w:tcPr>
          <w:p w14:paraId="7DBFFE50" w14:textId="75626C6F" w:rsidR="00556CA1" w:rsidRPr="0027215E" w:rsidRDefault="00CA7D74" w:rsidP="00556CA1">
            <w:r>
              <w:t xml:space="preserve">Clinical </w:t>
            </w:r>
            <w:r w:rsidR="00DB1721">
              <w:t>t</w:t>
            </w:r>
            <w:r>
              <w:t xml:space="preserve">rials </w:t>
            </w:r>
            <w:r w:rsidR="00DB1721">
              <w:t>u</w:t>
            </w:r>
            <w:r>
              <w:t>nit</w:t>
            </w:r>
            <w:r w:rsidR="00556CA1">
              <w:t xml:space="preserve"> </w:t>
            </w:r>
          </w:p>
        </w:tc>
      </w:tr>
      <w:tr w:rsidR="00556CA1" w14:paraId="4A69F3FC" w14:textId="77777777" w:rsidTr="00556CA1">
        <w:trPr>
          <w:cantSplit/>
        </w:trPr>
        <w:tc>
          <w:tcPr>
            <w:tcW w:w="2473" w:type="dxa"/>
            <w:vAlign w:val="center"/>
          </w:tcPr>
          <w:p w14:paraId="61673BE9" w14:textId="5BE6DC94" w:rsidR="00556CA1" w:rsidRPr="00043513" w:rsidRDefault="00E224A7" w:rsidP="00556CA1">
            <w:pPr>
              <w:pStyle w:val="AbbreviationsDefinitionsTerm"/>
            </w:pPr>
            <w:r>
              <w:t>GCP</w:t>
            </w:r>
          </w:p>
        </w:tc>
        <w:tc>
          <w:tcPr>
            <w:tcW w:w="6544" w:type="dxa"/>
            <w:vAlign w:val="center"/>
          </w:tcPr>
          <w:p w14:paraId="50724265" w14:textId="1EAEBC86" w:rsidR="00556CA1" w:rsidRPr="0027215E" w:rsidRDefault="00E224A7" w:rsidP="00556CA1">
            <w:r>
              <w:t xml:space="preserve">Good </w:t>
            </w:r>
            <w:r w:rsidR="00DB1721">
              <w:t>C</w:t>
            </w:r>
            <w:r>
              <w:t xml:space="preserve">linical </w:t>
            </w:r>
            <w:r w:rsidR="00DB1721">
              <w:t>P</w:t>
            </w:r>
            <w:r>
              <w:t>ractice</w:t>
            </w:r>
          </w:p>
        </w:tc>
      </w:tr>
      <w:tr w:rsidR="008D504D" w14:paraId="02629F77" w14:textId="77777777" w:rsidTr="00556CA1">
        <w:trPr>
          <w:cantSplit/>
        </w:trPr>
        <w:tc>
          <w:tcPr>
            <w:tcW w:w="2473" w:type="dxa"/>
            <w:vAlign w:val="center"/>
          </w:tcPr>
          <w:p w14:paraId="76AFB11F" w14:textId="329A3252" w:rsidR="008D504D" w:rsidRDefault="008D504D" w:rsidP="00556CA1">
            <w:pPr>
              <w:pStyle w:val="AbbreviationsDefinitionsTerm"/>
            </w:pPr>
            <w:r>
              <w:t>GMP MU</w:t>
            </w:r>
          </w:p>
        </w:tc>
        <w:tc>
          <w:tcPr>
            <w:tcW w:w="6544" w:type="dxa"/>
            <w:vAlign w:val="center"/>
          </w:tcPr>
          <w:p w14:paraId="4D2AEA12" w14:textId="6021EF0E" w:rsidR="008D504D" w:rsidRDefault="008D504D" w:rsidP="00556CA1">
            <w:r>
              <w:t xml:space="preserve">Good </w:t>
            </w:r>
            <w:r w:rsidR="00DB1721">
              <w:t>M</w:t>
            </w:r>
            <w:r>
              <w:t xml:space="preserve">anufacturing </w:t>
            </w:r>
            <w:r w:rsidR="00DB1721">
              <w:t>P</w:t>
            </w:r>
            <w:r>
              <w:t xml:space="preserve">ractice </w:t>
            </w:r>
            <w:r w:rsidR="00DB1721">
              <w:t>M</w:t>
            </w:r>
            <w:r>
              <w:t xml:space="preserve">anufacturing </w:t>
            </w:r>
            <w:r w:rsidR="00DB1721">
              <w:t>U</w:t>
            </w:r>
            <w:r>
              <w:t>nit</w:t>
            </w:r>
          </w:p>
        </w:tc>
      </w:tr>
      <w:tr w:rsidR="00696615" w14:paraId="30D5626D" w14:textId="77777777" w:rsidTr="00556CA1">
        <w:trPr>
          <w:cantSplit/>
        </w:trPr>
        <w:tc>
          <w:tcPr>
            <w:tcW w:w="2473" w:type="dxa"/>
            <w:vAlign w:val="center"/>
          </w:tcPr>
          <w:p w14:paraId="7F5CFA4A" w14:textId="252F9A2C" w:rsidR="00696615" w:rsidRDefault="00696615" w:rsidP="00556CA1">
            <w:pPr>
              <w:pStyle w:val="AbbreviationsDefinitionsTerm"/>
            </w:pPr>
            <w:proofErr w:type="spellStart"/>
            <w:r>
              <w:t>GxP</w:t>
            </w:r>
            <w:proofErr w:type="spellEnd"/>
          </w:p>
        </w:tc>
        <w:tc>
          <w:tcPr>
            <w:tcW w:w="6544" w:type="dxa"/>
            <w:vAlign w:val="center"/>
          </w:tcPr>
          <w:p w14:paraId="2CFAE950" w14:textId="71B8FDBB" w:rsidR="00696615" w:rsidRDefault="00696615" w:rsidP="00556CA1">
            <w:r>
              <w:t xml:space="preserve">Good </w:t>
            </w:r>
            <w:r w:rsidR="00223401">
              <w:t>p</w:t>
            </w:r>
            <w:r>
              <w:t>ractice guidelines</w:t>
            </w:r>
          </w:p>
        </w:tc>
      </w:tr>
      <w:tr w:rsidR="008D504D" w14:paraId="03FC1D45" w14:textId="77777777" w:rsidTr="00556CA1">
        <w:trPr>
          <w:cantSplit/>
        </w:trPr>
        <w:tc>
          <w:tcPr>
            <w:tcW w:w="2473" w:type="dxa"/>
            <w:vAlign w:val="center"/>
          </w:tcPr>
          <w:p w14:paraId="1CCD1900" w14:textId="12461975" w:rsidR="008D504D" w:rsidRDefault="008D504D" w:rsidP="00556CA1">
            <w:pPr>
              <w:pStyle w:val="AbbreviationsDefinitionsTerm"/>
            </w:pPr>
            <w:r>
              <w:t>HRA</w:t>
            </w:r>
          </w:p>
        </w:tc>
        <w:tc>
          <w:tcPr>
            <w:tcW w:w="6544" w:type="dxa"/>
            <w:vAlign w:val="center"/>
          </w:tcPr>
          <w:p w14:paraId="0344DDC2" w14:textId="08F3F911" w:rsidR="008D504D" w:rsidRDefault="008D504D" w:rsidP="00556CA1">
            <w:r>
              <w:t>Health Research Authority</w:t>
            </w:r>
          </w:p>
        </w:tc>
      </w:tr>
      <w:tr w:rsidR="00123C7F" w14:paraId="646FA62E" w14:textId="77777777" w:rsidTr="00556CA1">
        <w:trPr>
          <w:cantSplit/>
        </w:trPr>
        <w:tc>
          <w:tcPr>
            <w:tcW w:w="2473" w:type="dxa"/>
            <w:vAlign w:val="center"/>
          </w:tcPr>
          <w:p w14:paraId="75B962B8" w14:textId="74D85BA9" w:rsidR="00123C7F" w:rsidRDefault="00123C7F" w:rsidP="00556CA1">
            <w:pPr>
              <w:pStyle w:val="AbbreviationsDefinitionsTerm"/>
            </w:pPr>
            <w:r>
              <w:t>ISF</w:t>
            </w:r>
          </w:p>
        </w:tc>
        <w:tc>
          <w:tcPr>
            <w:tcW w:w="6544" w:type="dxa"/>
            <w:vAlign w:val="center"/>
          </w:tcPr>
          <w:p w14:paraId="640D11C5" w14:textId="6CD8F7DA" w:rsidR="00123C7F" w:rsidRDefault="00123C7F" w:rsidP="00556CA1">
            <w:r>
              <w:t>Investigator site file</w:t>
            </w:r>
          </w:p>
        </w:tc>
      </w:tr>
      <w:tr w:rsidR="00BA04AF" w14:paraId="43D70FBE" w14:textId="77777777" w:rsidTr="00556CA1">
        <w:trPr>
          <w:cantSplit/>
        </w:trPr>
        <w:tc>
          <w:tcPr>
            <w:tcW w:w="2473" w:type="dxa"/>
            <w:vAlign w:val="center"/>
          </w:tcPr>
          <w:p w14:paraId="0A8A2746" w14:textId="496BBE65" w:rsidR="00BA04AF" w:rsidRDefault="00BA04AF" w:rsidP="00556CA1">
            <w:pPr>
              <w:pStyle w:val="AbbreviationsDefinitionsTerm"/>
            </w:pPr>
            <w:r>
              <w:t>LMF</w:t>
            </w:r>
          </w:p>
        </w:tc>
        <w:tc>
          <w:tcPr>
            <w:tcW w:w="6544" w:type="dxa"/>
            <w:vAlign w:val="center"/>
          </w:tcPr>
          <w:p w14:paraId="71116831" w14:textId="62C341CE" w:rsidR="00BA04AF" w:rsidRDefault="00BA04AF" w:rsidP="00556CA1">
            <w:r>
              <w:t xml:space="preserve">Laboratory </w:t>
            </w:r>
            <w:r w:rsidR="00123C7F">
              <w:t>m</w:t>
            </w:r>
            <w:r>
              <w:t xml:space="preserve">aster </w:t>
            </w:r>
            <w:r w:rsidR="00123C7F">
              <w:t>f</w:t>
            </w:r>
            <w:r>
              <w:t>ile</w:t>
            </w:r>
          </w:p>
        </w:tc>
      </w:tr>
      <w:tr w:rsidR="00556CA1" w14:paraId="34CEA55D" w14:textId="77777777" w:rsidTr="00A62B29">
        <w:trPr>
          <w:cantSplit/>
        </w:trPr>
        <w:tc>
          <w:tcPr>
            <w:tcW w:w="2473" w:type="dxa"/>
          </w:tcPr>
          <w:p w14:paraId="5DC1D579" w14:textId="71C0456B" w:rsidR="00556CA1" w:rsidRPr="00043513" w:rsidRDefault="00556CA1" w:rsidP="00556CA1">
            <w:pPr>
              <w:pStyle w:val="AbbreviationsDefinitionsTerm"/>
            </w:pPr>
            <w:r>
              <w:t>MHRA</w:t>
            </w:r>
          </w:p>
        </w:tc>
        <w:tc>
          <w:tcPr>
            <w:tcW w:w="6544" w:type="dxa"/>
          </w:tcPr>
          <w:p w14:paraId="7027755F" w14:textId="3CA9ECCB" w:rsidR="00556CA1" w:rsidRPr="00966A73" w:rsidRDefault="00D61742" w:rsidP="00556CA1">
            <w:r>
              <w:t xml:space="preserve">Medicines and </w:t>
            </w:r>
            <w:r w:rsidR="00DB1721">
              <w:t>H</w:t>
            </w:r>
            <w:r>
              <w:t xml:space="preserve">ealthcare </w:t>
            </w:r>
            <w:r w:rsidR="00DB1721">
              <w:t>P</w:t>
            </w:r>
            <w:r>
              <w:t xml:space="preserve">roducts </w:t>
            </w:r>
            <w:r w:rsidR="00DB1721">
              <w:t>R</w:t>
            </w:r>
            <w:r>
              <w:t xml:space="preserve">egulatory </w:t>
            </w:r>
            <w:r w:rsidR="00DB1721">
              <w:t>A</w:t>
            </w:r>
            <w:r>
              <w:t>uthority</w:t>
            </w:r>
          </w:p>
        </w:tc>
      </w:tr>
      <w:tr w:rsidR="00E544DD" w14:paraId="09F223BE" w14:textId="77777777" w:rsidTr="00A62B29">
        <w:trPr>
          <w:cantSplit/>
        </w:trPr>
        <w:tc>
          <w:tcPr>
            <w:tcW w:w="2473" w:type="dxa"/>
          </w:tcPr>
          <w:p w14:paraId="6DF3E24B" w14:textId="2B893AB6" w:rsidR="00E544DD" w:rsidRDefault="00E544DD" w:rsidP="00556CA1">
            <w:pPr>
              <w:pStyle w:val="AbbreviationsDefinitionsTerm"/>
            </w:pPr>
            <w:proofErr w:type="spellStart"/>
            <w:r>
              <w:t>NtF</w:t>
            </w:r>
            <w:proofErr w:type="spellEnd"/>
          </w:p>
        </w:tc>
        <w:tc>
          <w:tcPr>
            <w:tcW w:w="6544" w:type="dxa"/>
          </w:tcPr>
          <w:p w14:paraId="403D47A4" w14:textId="4B4E2656" w:rsidR="00E544DD" w:rsidRDefault="00E544DD" w:rsidP="00556CA1">
            <w:r>
              <w:t>Note to file</w:t>
            </w:r>
          </w:p>
        </w:tc>
      </w:tr>
      <w:tr w:rsidR="00556CA1" w14:paraId="00EDEA36" w14:textId="77777777" w:rsidTr="00A62B29">
        <w:trPr>
          <w:cantSplit/>
        </w:trPr>
        <w:tc>
          <w:tcPr>
            <w:tcW w:w="2473" w:type="dxa"/>
          </w:tcPr>
          <w:p w14:paraId="76AAB154" w14:textId="7A764C98" w:rsidR="00556CA1" w:rsidRPr="00043513" w:rsidRDefault="00556CA1" w:rsidP="00556CA1">
            <w:pPr>
              <w:pStyle w:val="AbbreviationsDefinitionsTerm"/>
            </w:pPr>
            <w:r w:rsidRPr="00AA03A7">
              <w:t>PI</w:t>
            </w:r>
          </w:p>
        </w:tc>
        <w:tc>
          <w:tcPr>
            <w:tcW w:w="6544" w:type="dxa"/>
          </w:tcPr>
          <w:p w14:paraId="0D61EDD6" w14:textId="791F66E8" w:rsidR="00556CA1" w:rsidRPr="00A11FDD" w:rsidRDefault="00D61742" w:rsidP="00556CA1">
            <w:r>
              <w:rPr>
                <w:rFonts w:eastAsiaTheme="minorHAnsi"/>
              </w:rPr>
              <w:t xml:space="preserve">Principal </w:t>
            </w:r>
            <w:r w:rsidR="00123C7F">
              <w:rPr>
                <w:rFonts w:eastAsiaTheme="minorHAnsi"/>
              </w:rPr>
              <w:t>i</w:t>
            </w:r>
            <w:r>
              <w:rPr>
                <w:rFonts w:eastAsiaTheme="minorHAnsi"/>
              </w:rPr>
              <w:t>nvestigator</w:t>
            </w:r>
          </w:p>
        </w:tc>
      </w:tr>
      <w:tr w:rsidR="00556CA1" w14:paraId="08487E9B" w14:textId="77777777" w:rsidTr="00A62B29">
        <w:trPr>
          <w:cantSplit/>
          <w:trHeight w:val="70"/>
        </w:trPr>
        <w:tc>
          <w:tcPr>
            <w:tcW w:w="2473" w:type="dxa"/>
          </w:tcPr>
          <w:p w14:paraId="423EC753" w14:textId="79E815CA" w:rsidR="00556CA1" w:rsidRPr="00043513" w:rsidRDefault="00556CA1" w:rsidP="00556CA1">
            <w:pPr>
              <w:pStyle w:val="AbbreviationsDefinitionsTerm"/>
            </w:pPr>
            <w:r w:rsidRPr="00AA03A7">
              <w:t>QMS</w:t>
            </w:r>
          </w:p>
        </w:tc>
        <w:tc>
          <w:tcPr>
            <w:tcW w:w="6544" w:type="dxa"/>
          </w:tcPr>
          <w:p w14:paraId="7D718D59" w14:textId="53332A91" w:rsidR="00556CA1" w:rsidRPr="00C4061A" w:rsidRDefault="00556CA1" w:rsidP="00556CA1">
            <w:r w:rsidRPr="007800B0">
              <w:t xml:space="preserve">Quality </w:t>
            </w:r>
            <w:r w:rsidR="00223401">
              <w:t>m</w:t>
            </w:r>
            <w:r w:rsidR="00223401" w:rsidRPr="007800B0">
              <w:t xml:space="preserve">anagement </w:t>
            </w:r>
            <w:r w:rsidR="00223401">
              <w:t>s</w:t>
            </w:r>
            <w:r w:rsidRPr="007800B0">
              <w:t xml:space="preserve">ystem  </w:t>
            </w:r>
          </w:p>
        </w:tc>
      </w:tr>
      <w:tr w:rsidR="008D504D" w14:paraId="7D0D579C" w14:textId="77777777" w:rsidTr="00A62B29">
        <w:trPr>
          <w:cantSplit/>
          <w:trHeight w:val="70"/>
        </w:trPr>
        <w:tc>
          <w:tcPr>
            <w:tcW w:w="2473" w:type="dxa"/>
          </w:tcPr>
          <w:p w14:paraId="2962103B" w14:textId="38BB2302" w:rsidR="008D504D" w:rsidRPr="00AA03A7" w:rsidDel="00D61742" w:rsidRDefault="008D504D" w:rsidP="00556CA1">
            <w:pPr>
              <w:pStyle w:val="AbbreviationsDefinitionsTerm"/>
            </w:pPr>
            <w:r>
              <w:t>REC</w:t>
            </w:r>
          </w:p>
        </w:tc>
        <w:tc>
          <w:tcPr>
            <w:tcW w:w="6544" w:type="dxa"/>
          </w:tcPr>
          <w:p w14:paraId="32157A9B" w14:textId="03DE7020" w:rsidR="008D504D" w:rsidRPr="007800B0" w:rsidDel="00D61742" w:rsidRDefault="008D504D" w:rsidP="00556CA1">
            <w:r>
              <w:t xml:space="preserve">Research </w:t>
            </w:r>
            <w:r w:rsidR="00223401">
              <w:t>e</w:t>
            </w:r>
            <w:r>
              <w:t xml:space="preserve">thics </w:t>
            </w:r>
            <w:r w:rsidR="00223401">
              <w:t>c</w:t>
            </w:r>
            <w:r>
              <w:t>ommittee</w:t>
            </w:r>
          </w:p>
        </w:tc>
      </w:tr>
      <w:tr w:rsidR="007550D2" w14:paraId="46F7C0E4" w14:textId="77777777" w:rsidTr="00A62B29">
        <w:trPr>
          <w:cantSplit/>
          <w:trHeight w:val="70"/>
        </w:trPr>
        <w:tc>
          <w:tcPr>
            <w:tcW w:w="2473" w:type="dxa"/>
          </w:tcPr>
          <w:p w14:paraId="5E70F4AB" w14:textId="1C96B8FD" w:rsidR="007550D2" w:rsidRDefault="007550D2" w:rsidP="00556CA1">
            <w:pPr>
              <w:pStyle w:val="AbbreviationsDefinitionsTerm"/>
            </w:pPr>
            <w:r>
              <w:t>RGEIC</w:t>
            </w:r>
          </w:p>
        </w:tc>
        <w:tc>
          <w:tcPr>
            <w:tcW w:w="6544" w:type="dxa"/>
          </w:tcPr>
          <w:p w14:paraId="2E672B60" w14:textId="7CE02B1D" w:rsidR="007550D2" w:rsidRDefault="007550D2" w:rsidP="00556CA1">
            <w:r>
              <w:t xml:space="preserve">Research </w:t>
            </w:r>
            <w:r w:rsidR="00DB1721">
              <w:t>G</w:t>
            </w:r>
            <w:r>
              <w:t xml:space="preserve">overnance, </w:t>
            </w:r>
            <w:r w:rsidR="00DB1721">
              <w:t>E</w:t>
            </w:r>
            <w:r>
              <w:t xml:space="preserve">thics and </w:t>
            </w:r>
            <w:r w:rsidR="00DB1721">
              <w:t>I</w:t>
            </w:r>
            <w:r>
              <w:t xml:space="preserve">ntegrity </w:t>
            </w:r>
            <w:r w:rsidR="00DB1721">
              <w:t>C</w:t>
            </w:r>
            <w:r>
              <w:t>ommittee</w:t>
            </w:r>
          </w:p>
        </w:tc>
      </w:tr>
      <w:tr w:rsidR="00556CA1" w14:paraId="5E5C2D5D" w14:textId="77777777" w:rsidTr="00A62B29">
        <w:trPr>
          <w:cantSplit/>
          <w:trHeight w:val="70"/>
        </w:trPr>
        <w:tc>
          <w:tcPr>
            <w:tcW w:w="2473" w:type="dxa"/>
          </w:tcPr>
          <w:p w14:paraId="112269C2" w14:textId="47B5EE7C" w:rsidR="00556CA1" w:rsidRPr="00AA03A7" w:rsidRDefault="00556CA1" w:rsidP="00556CA1">
            <w:pPr>
              <w:pStyle w:val="AbbreviationsDefinitionsTerm"/>
            </w:pPr>
            <w:r w:rsidRPr="00C6050A">
              <w:t>RG&amp;ET</w:t>
            </w:r>
          </w:p>
        </w:tc>
        <w:tc>
          <w:tcPr>
            <w:tcW w:w="6544" w:type="dxa"/>
          </w:tcPr>
          <w:p w14:paraId="703FE5B4" w14:textId="21B21485" w:rsidR="00556CA1" w:rsidRPr="007800B0" w:rsidRDefault="00556CA1" w:rsidP="00556CA1">
            <w:r w:rsidRPr="00EA364B">
              <w:t xml:space="preserve">Research </w:t>
            </w:r>
            <w:r w:rsidR="00DB1721">
              <w:t>G</w:t>
            </w:r>
            <w:r w:rsidRPr="00EA364B">
              <w:t xml:space="preserve">overnance and </w:t>
            </w:r>
            <w:r w:rsidR="00DB1721">
              <w:t>E</w:t>
            </w:r>
            <w:r w:rsidRPr="00EA364B">
              <w:t>thics Team</w:t>
            </w:r>
          </w:p>
        </w:tc>
      </w:tr>
      <w:tr w:rsidR="00696615" w14:paraId="2E323C0A" w14:textId="77777777" w:rsidTr="00A62B29">
        <w:trPr>
          <w:cantSplit/>
          <w:trHeight w:val="70"/>
        </w:trPr>
        <w:tc>
          <w:tcPr>
            <w:tcW w:w="2473" w:type="dxa"/>
          </w:tcPr>
          <w:p w14:paraId="5F955CEF" w14:textId="4F7F672C" w:rsidR="00696615" w:rsidRPr="00C6050A" w:rsidRDefault="00696615" w:rsidP="00556CA1">
            <w:pPr>
              <w:pStyle w:val="AbbreviationsDefinitionsTerm"/>
            </w:pPr>
            <w:r>
              <w:t>SOP</w:t>
            </w:r>
          </w:p>
        </w:tc>
        <w:tc>
          <w:tcPr>
            <w:tcW w:w="6544" w:type="dxa"/>
          </w:tcPr>
          <w:p w14:paraId="001B30F8" w14:textId="0FF121BD" w:rsidR="00696615" w:rsidRPr="00EA364B" w:rsidRDefault="00696615" w:rsidP="00556CA1">
            <w:r>
              <w:t xml:space="preserve">Standard </w:t>
            </w:r>
            <w:r w:rsidR="005134C4">
              <w:t>o</w:t>
            </w:r>
            <w:r>
              <w:t xml:space="preserve">perating </w:t>
            </w:r>
            <w:r w:rsidR="005134C4">
              <w:t>p</w:t>
            </w:r>
            <w:r>
              <w:t>rocedure</w:t>
            </w:r>
          </w:p>
        </w:tc>
      </w:tr>
      <w:tr w:rsidR="00696615" w14:paraId="369C5347" w14:textId="77777777" w:rsidTr="00A62B29">
        <w:trPr>
          <w:cantSplit/>
          <w:trHeight w:val="70"/>
        </w:trPr>
        <w:tc>
          <w:tcPr>
            <w:tcW w:w="2473" w:type="dxa"/>
          </w:tcPr>
          <w:p w14:paraId="152D1167" w14:textId="74CE4BDC" w:rsidR="00696615" w:rsidRPr="00C6050A" w:rsidRDefault="004F3D9E" w:rsidP="00556CA1">
            <w:pPr>
              <w:pStyle w:val="AbbreviationsDefinitionsTerm"/>
            </w:pPr>
            <w:r>
              <w:t>S/TMF</w:t>
            </w:r>
          </w:p>
        </w:tc>
        <w:tc>
          <w:tcPr>
            <w:tcW w:w="6544" w:type="dxa"/>
          </w:tcPr>
          <w:p w14:paraId="7D015164" w14:textId="55F725F8" w:rsidR="00696615" w:rsidRPr="00EA364B" w:rsidRDefault="004F3D9E" w:rsidP="00556CA1">
            <w:r>
              <w:t>Study/</w:t>
            </w:r>
            <w:r w:rsidR="002B0880">
              <w:t>t</w:t>
            </w:r>
            <w:r>
              <w:t xml:space="preserve">rial </w:t>
            </w:r>
            <w:r w:rsidR="002B0880">
              <w:t>m</w:t>
            </w:r>
            <w:r>
              <w:t xml:space="preserve">aster </w:t>
            </w:r>
            <w:r w:rsidR="002B0880">
              <w:t>f</w:t>
            </w:r>
            <w:r>
              <w:t>ile</w:t>
            </w:r>
          </w:p>
        </w:tc>
      </w:tr>
      <w:tr w:rsidR="008D504D" w14:paraId="77464C3A" w14:textId="77777777" w:rsidTr="00A62B29">
        <w:trPr>
          <w:cantSplit/>
          <w:trHeight w:val="70"/>
        </w:trPr>
        <w:tc>
          <w:tcPr>
            <w:tcW w:w="2473" w:type="dxa"/>
          </w:tcPr>
          <w:p w14:paraId="26F7707D" w14:textId="3053303A" w:rsidR="008D504D" w:rsidRPr="00C6050A" w:rsidRDefault="008D504D" w:rsidP="008D504D">
            <w:pPr>
              <w:pStyle w:val="AbbreviationsDefinitionsTerm"/>
            </w:pPr>
            <w:proofErr w:type="spellStart"/>
            <w:r>
              <w:t>UoB</w:t>
            </w:r>
            <w:proofErr w:type="spellEnd"/>
          </w:p>
        </w:tc>
        <w:tc>
          <w:tcPr>
            <w:tcW w:w="6544" w:type="dxa"/>
          </w:tcPr>
          <w:p w14:paraId="7DA32819" w14:textId="026DDB5E" w:rsidR="008D504D" w:rsidRPr="00EA364B" w:rsidRDefault="008D504D" w:rsidP="008D504D">
            <w:r>
              <w:t>University of Birmingham</w:t>
            </w:r>
          </w:p>
        </w:tc>
      </w:tr>
    </w:tbl>
    <w:p w14:paraId="602DA9BE" w14:textId="51FEE4A1" w:rsidR="000374CB" w:rsidRDefault="00B10C05">
      <w:r w:rsidRPr="009C2C63">
        <w:t xml:space="preserve">See also the </w:t>
      </w:r>
      <w:hyperlink r:id="rId37" w:tooltip="Link to Glossary of Terms" w:history="1">
        <w:r w:rsidRPr="00F12A38">
          <w:rPr>
            <w:rStyle w:val="Hyperlink"/>
          </w:rPr>
          <w:t>Glossary of Terms</w:t>
        </w:r>
      </w:hyperlink>
      <w:r w:rsidRPr="009C2C63">
        <w:t>.</w:t>
      </w:r>
    </w:p>
    <w:p w14:paraId="52D5C905" w14:textId="77777777" w:rsidR="000374CB" w:rsidRDefault="000374CB"/>
    <w:sectPr w:rsidR="000374CB" w:rsidSect="003A24EB">
      <w:headerReference w:type="even" r:id="rId38"/>
      <w:footerReference w:type="even" r:id="rId39"/>
      <w:headerReference w:type="first" r:id="rId40"/>
      <w:footerReference w:type="first" r:id="rId41"/>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FF87" w14:textId="77777777" w:rsidR="00BB50A2" w:rsidRDefault="00BB50A2" w:rsidP="00F46DE6">
      <w:r>
        <w:separator/>
      </w:r>
    </w:p>
    <w:p w14:paraId="3FD1B93B" w14:textId="77777777" w:rsidR="00BB50A2" w:rsidRDefault="00BB50A2" w:rsidP="00F46DE6"/>
  </w:endnote>
  <w:endnote w:type="continuationSeparator" w:id="0">
    <w:p w14:paraId="22D1395A" w14:textId="77777777" w:rsidR="00BB50A2" w:rsidRDefault="00BB50A2" w:rsidP="00F46DE6">
      <w:r>
        <w:continuationSeparator/>
      </w:r>
    </w:p>
    <w:p w14:paraId="4F9206BD" w14:textId="77777777" w:rsidR="00BB50A2" w:rsidRDefault="00BB50A2"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Pr>
    <w:tblGrid>
      <w:gridCol w:w="1441"/>
      <w:gridCol w:w="3073"/>
      <w:gridCol w:w="3401"/>
      <w:gridCol w:w="1112"/>
    </w:tblGrid>
    <w:tr w:rsidR="005849BC" w:rsidRPr="002D6577" w14:paraId="257AA259" w14:textId="77777777" w:rsidTr="00365A1C">
      <w:trPr>
        <w:trHeight w:val="148"/>
      </w:trPr>
      <w:tc>
        <w:tcPr>
          <w:tcW w:w="1441" w:type="dxa"/>
          <w:tcMar>
            <w:top w:w="0" w:type="dxa"/>
            <w:left w:w="57" w:type="dxa"/>
            <w:bottom w:w="0" w:type="dxa"/>
            <w:right w:w="57" w:type="dxa"/>
          </w:tcMar>
          <w:vAlign w:val="center"/>
        </w:tcPr>
        <w:p w14:paraId="5C0E8B82" w14:textId="77777777" w:rsidR="005849BC" w:rsidRPr="001C6EFB" w:rsidRDefault="005849BC" w:rsidP="005849BC">
          <w:pPr>
            <w:pStyle w:val="Footer"/>
          </w:pPr>
          <w:r w:rsidRPr="001C6EFB">
            <w:t>Document code:</w:t>
          </w:r>
        </w:p>
      </w:tc>
      <w:tc>
        <w:tcPr>
          <w:tcW w:w="3073" w:type="dxa"/>
          <w:tcMar>
            <w:top w:w="0" w:type="dxa"/>
            <w:left w:w="57" w:type="dxa"/>
            <w:bottom w:w="0" w:type="dxa"/>
            <w:right w:w="57" w:type="dxa"/>
          </w:tcMar>
          <w:vAlign w:val="center"/>
        </w:tcPr>
        <w:p w14:paraId="350AEF91" w14:textId="77777777" w:rsidR="005849BC" w:rsidRPr="001C6EFB" w:rsidRDefault="005849BC" w:rsidP="005849BC">
          <w:pPr>
            <w:pStyle w:val="Footer"/>
          </w:pPr>
          <w:r>
            <w:t>UoB-DSB-SOP-001</w:t>
          </w:r>
        </w:p>
      </w:tc>
      <w:tc>
        <w:tcPr>
          <w:tcW w:w="3401" w:type="dxa"/>
          <w:tcMar>
            <w:top w:w="0" w:type="dxa"/>
            <w:left w:w="57" w:type="dxa"/>
            <w:bottom w:w="0" w:type="dxa"/>
            <w:right w:w="57" w:type="dxa"/>
          </w:tcMar>
          <w:vAlign w:val="center"/>
        </w:tcPr>
        <w:p w14:paraId="7F955262" w14:textId="77777777" w:rsidR="005849BC" w:rsidRPr="001C6EFB" w:rsidRDefault="005849BC" w:rsidP="005849BC">
          <w:pPr>
            <w:pStyle w:val="Footer"/>
            <w:jc w:val="right"/>
          </w:pPr>
          <w:r w:rsidRPr="001C6EFB">
            <w:t>Print Date:</w:t>
          </w:r>
        </w:p>
      </w:tc>
      <w:tc>
        <w:tcPr>
          <w:tcW w:w="1112" w:type="dxa"/>
          <w:tcMar>
            <w:top w:w="0" w:type="dxa"/>
            <w:left w:w="57" w:type="dxa"/>
            <w:bottom w:w="0" w:type="dxa"/>
            <w:right w:w="57" w:type="dxa"/>
          </w:tcMar>
          <w:vAlign w:val="center"/>
        </w:tcPr>
        <w:p w14:paraId="1E866919" w14:textId="3799B525" w:rsidR="005849BC" w:rsidRPr="001C6EFB" w:rsidRDefault="005849BC" w:rsidP="005849BC">
          <w:pPr>
            <w:pStyle w:val="Footer"/>
            <w:jc w:val="right"/>
          </w:pPr>
          <w:r>
            <w:fldChar w:fldCharType="begin"/>
          </w:r>
          <w:r>
            <w:instrText xml:space="preserve"> DATE  \@ "dd-MMM-yyyy"  \* MERGEFORMAT </w:instrText>
          </w:r>
          <w:r>
            <w:fldChar w:fldCharType="separate"/>
          </w:r>
          <w:r w:rsidR="00600958">
            <w:rPr>
              <w:noProof/>
            </w:rPr>
            <w:t>14-Dec-2022</w:t>
          </w:r>
          <w:r>
            <w:fldChar w:fldCharType="end"/>
          </w:r>
        </w:p>
      </w:tc>
    </w:tr>
    <w:tr w:rsidR="005849BC" w:rsidRPr="002D6577" w14:paraId="112554D0" w14:textId="77777777" w:rsidTr="00365A1C">
      <w:tc>
        <w:tcPr>
          <w:tcW w:w="1441" w:type="dxa"/>
          <w:tcMar>
            <w:top w:w="0" w:type="dxa"/>
            <w:left w:w="57" w:type="dxa"/>
            <w:bottom w:w="0" w:type="dxa"/>
            <w:right w:w="57" w:type="dxa"/>
          </w:tcMar>
          <w:vAlign w:val="center"/>
        </w:tcPr>
        <w:p w14:paraId="6CB307FF" w14:textId="77777777" w:rsidR="005849BC" w:rsidRPr="001C6EFB" w:rsidRDefault="005849BC" w:rsidP="005849BC">
          <w:pPr>
            <w:pStyle w:val="Footer"/>
          </w:pPr>
          <w:r w:rsidRPr="001C6EFB">
            <w:t>Version no:</w:t>
          </w:r>
        </w:p>
      </w:tc>
      <w:tc>
        <w:tcPr>
          <w:tcW w:w="3073" w:type="dxa"/>
          <w:tcMar>
            <w:top w:w="0" w:type="dxa"/>
            <w:left w:w="57" w:type="dxa"/>
            <w:bottom w:w="0" w:type="dxa"/>
            <w:right w:w="57" w:type="dxa"/>
          </w:tcMar>
          <w:vAlign w:val="center"/>
        </w:tcPr>
        <w:p w14:paraId="2B46AF69" w14:textId="38F115D1" w:rsidR="005849BC" w:rsidRPr="001C6EFB" w:rsidRDefault="001D0965" w:rsidP="005849BC">
          <w:pPr>
            <w:pStyle w:val="Footer"/>
          </w:pPr>
          <w:r>
            <w:t>2.0</w:t>
          </w:r>
        </w:p>
      </w:tc>
      <w:tc>
        <w:tcPr>
          <w:tcW w:w="3401" w:type="dxa"/>
          <w:tcMar>
            <w:top w:w="0" w:type="dxa"/>
            <w:left w:w="57" w:type="dxa"/>
            <w:bottom w:w="0" w:type="dxa"/>
            <w:right w:w="57" w:type="dxa"/>
          </w:tcMar>
          <w:vAlign w:val="center"/>
        </w:tcPr>
        <w:p w14:paraId="51C406AA" w14:textId="77777777" w:rsidR="005849BC" w:rsidRPr="001C6EFB" w:rsidRDefault="005849BC" w:rsidP="005849BC">
          <w:pPr>
            <w:pStyle w:val="Footer"/>
            <w:jc w:val="right"/>
          </w:pPr>
          <w:r w:rsidRPr="001C6EFB">
            <w:t>Page:</w:t>
          </w:r>
        </w:p>
      </w:tc>
      <w:tc>
        <w:tcPr>
          <w:tcW w:w="1112" w:type="dxa"/>
          <w:tcMar>
            <w:top w:w="0" w:type="dxa"/>
            <w:left w:w="57" w:type="dxa"/>
            <w:bottom w:w="0" w:type="dxa"/>
            <w:right w:w="57" w:type="dxa"/>
          </w:tcMar>
          <w:vAlign w:val="center"/>
        </w:tcPr>
        <w:p w14:paraId="68409873" w14:textId="77777777" w:rsidR="005849BC" w:rsidRPr="001C6EFB" w:rsidRDefault="005849BC" w:rsidP="005849BC">
          <w:pPr>
            <w:pStyle w:val="Footer"/>
            <w:jc w:val="right"/>
          </w:pPr>
          <w:r w:rsidRPr="001C6EFB">
            <w:t xml:space="preserve"> </w:t>
          </w:r>
          <w:r>
            <w:fldChar w:fldCharType="begin"/>
          </w:r>
          <w:r>
            <w:instrText xml:space="preserve"> PAGE   \* MERGEFORMAT </w:instrText>
          </w:r>
          <w:r>
            <w:fldChar w:fldCharType="separate"/>
          </w:r>
          <w:r>
            <w:rPr>
              <w:noProof/>
            </w:rPr>
            <w:t>4</w:t>
          </w:r>
          <w:r>
            <w:fldChar w:fldCharType="end"/>
          </w:r>
          <w:r w:rsidRPr="001C6EFB">
            <w:t xml:space="preserve"> of </w:t>
          </w:r>
          <w:r w:rsidR="00600958">
            <w:fldChar w:fldCharType="begin"/>
          </w:r>
          <w:r w:rsidR="00600958">
            <w:instrText xml:space="preserve"> NUMPAGES   \* MERGEFORMAT </w:instrText>
          </w:r>
          <w:r w:rsidR="00600958">
            <w:fldChar w:fldCharType="separate"/>
          </w:r>
          <w:r>
            <w:rPr>
              <w:noProof/>
            </w:rPr>
            <w:t>8</w:t>
          </w:r>
          <w:r w:rsidR="00600958">
            <w:rPr>
              <w:noProof/>
            </w:rPr>
            <w:fldChar w:fldCharType="end"/>
          </w:r>
        </w:p>
      </w:tc>
    </w:tr>
  </w:tbl>
  <w:p w14:paraId="57D251B0" w14:textId="77777777" w:rsidR="00A62B29" w:rsidRPr="002D6577" w:rsidRDefault="00A62B29"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48D4" w14:textId="77777777" w:rsidR="00A62B29" w:rsidRDefault="00A62B29"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4663AEBA" w14:textId="77777777" w:rsidR="00A62B29" w:rsidRPr="001348DC" w:rsidRDefault="00A62B29" w:rsidP="009E44AF">
    <w:pPr>
      <w:pStyle w:val="Footer"/>
      <w:jc w:val="center"/>
    </w:pPr>
    <w:r w:rsidRPr="001348DC">
      <w:t>Copies are only valid for 14 days and may be subject to amendment a</w:t>
    </w:r>
    <w:r>
      <w:t>t any time. For the latest version refer to:</w:t>
    </w:r>
  </w:p>
  <w:p w14:paraId="7932FADF" w14:textId="77777777" w:rsidR="00A62B29" w:rsidRDefault="00600958" w:rsidP="00D17200">
    <w:pPr>
      <w:pStyle w:val="propertystatement"/>
    </w:pPr>
    <w:hyperlink r:id="rId1" w:tooltip="Website for the Clinical Research Compliance Team" w:history="1">
      <w:r w:rsidR="00A62B29">
        <w:rPr>
          <w:rStyle w:val="Hyperlink"/>
        </w:rPr>
        <w:t>birmingham.ac.uk/</w:t>
      </w:r>
      <w:proofErr w:type="spellStart"/>
      <w:r w:rsidR="00A62B29">
        <w:rPr>
          <w:rStyle w:val="Hyperlink"/>
        </w:rPr>
        <w:t>crct</w:t>
      </w:r>
      <w:proofErr w:type="spellEnd"/>
    </w:hyperlink>
    <w:r w:rsidR="00A62B29">
      <w:t xml:space="preserve"> </w:t>
    </w:r>
  </w:p>
  <w:p w14:paraId="33CF2D08" w14:textId="77777777" w:rsidR="00A62B29" w:rsidRDefault="00A62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04AF" w14:textId="77777777" w:rsidR="00A62B29" w:rsidRDefault="00A62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D570" w14:textId="77777777" w:rsidR="00A62B29" w:rsidRDefault="00A62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F4E6" w14:textId="77777777" w:rsidR="00BB50A2" w:rsidRDefault="00BB50A2" w:rsidP="00F46DE6">
      <w:r>
        <w:separator/>
      </w:r>
    </w:p>
    <w:p w14:paraId="24A5CBBC" w14:textId="77777777" w:rsidR="00BB50A2" w:rsidRDefault="00BB50A2" w:rsidP="00F46DE6"/>
  </w:footnote>
  <w:footnote w:type="continuationSeparator" w:id="0">
    <w:p w14:paraId="30BACEF8" w14:textId="77777777" w:rsidR="00BB50A2" w:rsidRDefault="00BB50A2" w:rsidP="00F46DE6">
      <w:r>
        <w:continuationSeparator/>
      </w:r>
    </w:p>
    <w:p w14:paraId="09A2BDD7" w14:textId="77777777" w:rsidR="00BB50A2" w:rsidRDefault="00BB50A2"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419B" w14:textId="3E542F8C" w:rsidR="005849BC" w:rsidRDefault="005849BC">
    <w:pPr>
      <w:pStyle w:val="Header"/>
    </w:pPr>
    <w:r w:rsidRPr="002135BA">
      <w:t>SOP</w:t>
    </w:r>
    <w:r>
      <w:t>: Deviations and Serious Breach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F30E" w14:textId="77777777" w:rsidR="00A62B29" w:rsidRDefault="00A62B29" w:rsidP="00A91AC7">
    <w:pPr>
      <w:pStyle w:val="propertystatement"/>
      <w:jc w:val="left"/>
    </w:pPr>
    <w:r w:rsidRPr="00F16569">
      <w:rPr>
        <w:noProof/>
        <w:lang w:eastAsia="en-GB"/>
      </w:rPr>
      <w:drawing>
        <wp:anchor distT="0" distB="0" distL="114300" distR="114300" simplePos="0" relativeHeight="251658240" behindDoc="0" locked="0" layoutInCell="1" allowOverlap="1" wp14:anchorId="255E9A01" wp14:editId="3946F1C1">
          <wp:simplePos x="0" y="0"/>
          <wp:positionH relativeFrom="column">
            <wp:posOffset>-301625</wp:posOffset>
          </wp:positionH>
          <wp:positionV relativeFrom="page">
            <wp:posOffset>1050925</wp:posOffset>
          </wp:positionV>
          <wp:extent cx="2705100" cy="1062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62B29" w14:paraId="5753995A" w14:textId="77777777" w:rsidTr="00A62B29">
      <w:trPr>
        <w:trHeight w:val="278"/>
        <w:tblHeader/>
      </w:trPr>
      <w:tc>
        <w:tcPr>
          <w:tcW w:w="1668" w:type="dxa"/>
          <w:vAlign w:val="center"/>
        </w:tcPr>
        <w:p w14:paraId="58E245FD" w14:textId="77777777" w:rsidR="00A62B29" w:rsidRDefault="00A62B29" w:rsidP="00A91AC7">
          <w:pPr>
            <w:pStyle w:val="Footer"/>
          </w:pPr>
          <w:r w:rsidRPr="001C6EFB">
            <w:t>Document code:</w:t>
          </w:r>
        </w:p>
      </w:tc>
      <w:tc>
        <w:tcPr>
          <w:tcW w:w="2310" w:type="dxa"/>
          <w:vAlign w:val="center"/>
        </w:tcPr>
        <w:p w14:paraId="7BA3D5F2" w14:textId="3BB4D31E" w:rsidR="00A62B29" w:rsidRDefault="00A62B29" w:rsidP="00A91AC7">
          <w:pPr>
            <w:pStyle w:val="Footer"/>
            <w:jc w:val="right"/>
          </w:pPr>
          <w:r>
            <w:t>UoB-DSB-SOP-001</w:t>
          </w:r>
        </w:p>
      </w:tc>
    </w:tr>
    <w:tr w:rsidR="00A62B29" w14:paraId="3A488922" w14:textId="77777777" w:rsidTr="00A62B29">
      <w:trPr>
        <w:trHeight w:val="278"/>
      </w:trPr>
      <w:tc>
        <w:tcPr>
          <w:tcW w:w="1668" w:type="dxa"/>
          <w:vAlign w:val="center"/>
        </w:tcPr>
        <w:p w14:paraId="3D2EF606" w14:textId="77777777" w:rsidR="00A62B29" w:rsidRDefault="00A62B29" w:rsidP="00A91AC7">
          <w:pPr>
            <w:pStyle w:val="Footer"/>
          </w:pPr>
          <w:r w:rsidRPr="001C6EFB">
            <w:t>Version no:</w:t>
          </w:r>
        </w:p>
      </w:tc>
      <w:tc>
        <w:tcPr>
          <w:tcW w:w="2310" w:type="dxa"/>
          <w:vAlign w:val="center"/>
        </w:tcPr>
        <w:p w14:paraId="4DA12656" w14:textId="7608B429" w:rsidR="00A62B29" w:rsidRDefault="001F2B2C" w:rsidP="00A91AC7">
          <w:pPr>
            <w:pStyle w:val="Footer"/>
            <w:jc w:val="right"/>
          </w:pPr>
          <w:r>
            <w:t>2.0</w:t>
          </w:r>
        </w:p>
      </w:tc>
    </w:tr>
    <w:tr w:rsidR="00A62B29" w14:paraId="6ECF35BC" w14:textId="77777777" w:rsidTr="00A62B29">
      <w:trPr>
        <w:trHeight w:val="278"/>
      </w:trPr>
      <w:tc>
        <w:tcPr>
          <w:tcW w:w="1668" w:type="dxa"/>
          <w:vAlign w:val="center"/>
        </w:tcPr>
        <w:p w14:paraId="0BC1B9AB" w14:textId="77777777" w:rsidR="00A62B29" w:rsidRDefault="00A62B29" w:rsidP="00A91AC7">
          <w:pPr>
            <w:pStyle w:val="Footer"/>
          </w:pPr>
          <w:r>
            <w:t>Effective date:</w:t>
          </w:r>
        </w:p>
      </w:tc>
      <w:tc>
        <w:tcPr>
          <w:tcW w:w="2310" w:type="dxa"/>
          <w:vAlign w:val="center"/>
        </w:tcPr>
        <w:p w14:paraId="21FC8035" w14:textId="7F517FB8" w:rsidR="00A62B29" w:rsidRDefault="00600958" w:rsidP="00A91AC7">
          <w:pPr>
            <w:pStyle w:val="Footer"/>
            <w:jc w:val="right"/>
          </w:pPr>
          <w:r>
            <w:t>20</w:t>
          </w:r>
          <w:r w:rsidR="001F2B2C">
            <w:t>-Jan-2023</w:t>
          </w:r>
        </w:p>
      </w:tc>
    </w:tr>
    <w:tr w:rsidR="00A62B29" w14:paraId="4BBA0927" w14:textId="77777777" w:rsidTr="00A62B29">
      <w:trPr>
        <w:trHeight w:val="278"/>
      </w:trPr>
      <w:tc>
        <w:tcPr>
          <w:tcW w:w="1668" w:type="dxa"/>
          <w:vAlign w:val="center"/>
        </w:tcPr>
        <w:p w14:paraId="1E4D6E40" w14:textId="77777777" w:rsidR="00A62B29" w:rsidRPr="001C6EFB" w:rsidRDefault="00A62B29" w:rsidP="00A91AC7">
          <w:pPr>
            <w:pStyle w:val="Footer"/>
          </w:pPr>
          <w:r>
            <w:t>Print d</w:t>
          </w:r>
          <w:r w:rsidRPr="001C6EFB">
            <w:t>ate:</w:t>
          </w:r>
        </w:p>
      </w:tc>
      <w:tc>
        <w:tcPr>
          <w:tcW w:w="2310" w:type="dxa"/>
          <w:vAlign w:val="center"/>
        </w:tcPr>
        <w:p w14:paraId="1B8B57F5" w14:textId="0257FFAD" w:rsidR="00A62B29" w:rsidRDefault="00A62B29" w:rsidP="00A91AC7">
          <w:pPr>
            <w:pStyle w:val="Footer"/>
            <w:jc w:val="right"/>
          </w:pPr>
          <w:r>
            <w:fldChar w:fldCharType="begin"/>
          </w:r>
          <w:r>
            <w:instrText xml:space="preserve"> DATE  \@ "dd-MMM-yyyy"  \* MERGEFORMAT </w:instrText>
          </w:r>
          <w:r>
            <w:fldChar w:fldCharType="separate"/>
          </w:r>
          <w:r w:rsidR="00600958">
            <w:rPr>
              <w:noProof/>
            </w:rPr>
            <w:t>14-Dec-2022</w:t>
          </w:r>
          <w:r>
            <w:fldChar w:fldCharType="end"/>
          </w:r>
        </w:p>
      </w:tc>
    </w:tr>
    <w:tr w:rsidR="00A62B29" w14:paraId="0F13C8F1" w14:textId="77777777" w:rsidTr="00A62B29">
      <w:trPr>
        <w:trHeight w:val="278"/>
      </w:trPr>
      <w:tc>
        <w:tcPr>
          <w:tcW w:w="1668" w:type="dxa"/>
          <w:vAlign w:val="center"/>
        </w:tcPr>
        <w:p w14:paraId="3AFDEB05" w14:textId="77777777" w:rsidR="00A62B29" w:rsidRPr="001C6EFB" w:rsidRDefault="00A62B29" w:rsidP="00A91AC7">
          <w:pPr>
            <w:pStyle w:val="Footer"/>
          </w:pPr>
          <w:r w:rsidRPr="001C6EFB">
            <w:t>Page:</w:t>
          </w:r>
        </w:p>
      </w:tc>
      <w:tc>
        <w:tcPr>
          <w:tcW w:w="2310" w:type="dxa"/>
          <w:vAlign w:val="center"/>
        </w:tcPr>
        <w:p w14:paraId="3A2DEE17" w14:textId="555CDEA2" w:rsidR="00A62B29" w:rsidRDefault="00A62B29" w:rsidP="00A91AC7">
          <w:pPr>
            <w:pStyle w:val="Footer"/>
            <w:jc w:val="right"/>
          </w:pPr>
          <w:r>
            <w:fldChar w:fldCharType="begin"/>
          </w:r>
          <w:r>
            <w:instrText xml:space="preserve"> PAGE   \* MERGEFORMAT </w:instrText>
          </w:r>
          <w:r>
            <w:fldChar w:fldCharType="separate"/>
          </w:r>
          <w:r w:rsidR="00727E68">
            <w:rPr>
              <w:noProof/>
            </w:rPr>
            <w:t>3</w:t>
          </w:r>
          <w:r>
            <w:fldChar w:fldCharType="end"/>
          </w:r>
          <w:r>
            <w:t xml:space="preserve"> of </w:t>
          </w:r>
          <w:r w:rsidR="00600958">
            <w:fldChar w:fldCharType="begin"/>
          </w:r>
          <w:r w:rsidR="00600958">
            <w:instrText xml:space="preserve"> NUMPAGES   \* MERGEFORMAT </w:instrText>
          </w:r>
          <w:r w:rsidR="00600958">
            <w:fldChar w:fldCharType="separate"/>
          </w:r>
          <w:r w:rsidR="00727E68">
            <w:rPr>
              <w:noProof/>
            </w:rPr>
            <w:t>8</w:t>
          </w:r>
          <w:r w:rsidR="00600958">
            <w:rPr>
              <w:noProof/>
            </w:rPr>
            <w:fldChar w:fldCharType="end"/>
          </w:r>
          <w:r w:rsidRPr="001C6EFB">
            <w:t xml:space="preserve"> </w:t>
          </w:r>
        </w:p>
      </w:tc>
    </w:tr>
  </w:tbl>
  <w:p w14:paraId="05107E33" w14:textId="77777777" w:rsidR="00A62B29" w:rsidRDefault="00A62B29" w:rsidP="00EF729E">
    <w:pPr>
      <w:pStyle w:val="Header"/>
      <w:ind w:left="-426"/>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BF8C" w14:textId="77777777" w:rsidR="00A62B29" w:rsidRDefault="00A62B29" w:rsidP="00163F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0DE3" w14:textId="77777777" w:rsidR="00A62B29" w:rsidRDefault="00A62B29"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715085FA"/>
    <w:lvl w:ilvl="0" w:tplc="486249D0">
      <w:start w:val="1"/>
      <w:numFmt w:val="bullet"/>
      <w:pStyle w:val="bullet1"/>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9A489A"/>
    <w:multiLevelType w:val="multilevel"/>
    <w:tmpl w:val="DBBC5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1" w15:restartNumberingAfterBreak="0">
    <w:nsid w:val="54C37D93"/>
    <w:multiLevelType w:val="hybridMultilevel"/>
    <w:tmpl w:val="766E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579D5"/>
    <w:multiLevelType w:val="hybridMultilevel"/>
    <w:tmpl w:val="56E04676"/>
    <w:lvl w:ilvl="0" w:tplc="7F160828">
      <w:start w:val="1"/>
      <w:numFmt w:val="bullet"/>
      <w:pStyle w:val="bullet2"/>
      <w:lvlText w:val="o"/>
      <w:lvlJc w:val="left"/>
      <w:pPr>
        <w:ind w:left="720" w:hanging="360"/>
      </w:pPr>
      <w:rPr>
        <w:rFonts w:ascii="Courier New" w:hAnsi="Courier New" w:cs="Courier New" w:hint="default"/>
        <w:color w:val="auto"/>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8"/>
  </w:num>
  <w:num w:numId="3">
    <w:abstractNumId w:val="0"/>
  </w:num>
  <w:num w:numId="4">
    <w:abstractNumId w:val="13"/>
  </w:num>
  <w:num w:numId="5">
    <w:abstractNumId w:val="10"/>
  </w:num>
  <w:num w:numId="6">
    <w:abstractNumId w:val="14"/>
  </w:num>
  <w:num w:numId="7">
    <w:abstractNumId w:val="1"/>
  </w:num>
  <w:num w:numId="8">
    <w:abstractNumId w:val="9"/>
  </w:num>
  <w:num w:numId="9">
    <w:abstractNumId w:val="12"/>
  </w:num>
  <w:num w:numId="10">
    <w:abstractNumId w:val="15"/>
  </w:num>
  <w:num w:numId="11">
    <w:abstractNumId w:val="3"/>
  </w:num>
  <w:num w:numId="12">
    <w:abstractNumId w:val="4"/>
  </w:num>
  <w:num w:numId="13">
    <w:abstractNumId w:val="2"/>
  </w:num>
  <w:num w:numId="14">
    <w:abstractNumId w:val="7"/>
  </w:num>
  <w:num w:numId="15">
    <w:abstractNumId w:val="4"/>
  </w:num>
  <w:num w:numId="16">
    <w:abstractNumId w:val="4"/>
  </w:num>
  <w:num w:numId="17">
    <w:abstractNumId w:val="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29"/>
    <w:rsid w:val="00001923"/>
    <w:rsid w:val="00001A7E"/>
    <w:rsid w:val="000060AE"/>
    <w:rsid w:val="0001086D"/>
    <w:rsid w:val="00012800"/>
    <w:rsid w:val="00012D02"/>
    <w:rsid w:val="00013B08"/>
    <w:rsid w:val="000146F1"/>
    <w:rsid w:val="000213C8"/>
    <w:rsid w:val="000229C5"/>
    <w:rsid w:val="0002340F"/>
    <w:rsid w:val="00023BC0"/>
    <w:rsid w:val="0003030C"/>
    <w:rsid w:val="00032C8D"/>
    <w:rsid w:val="000374CB"/>
    <w:rsid w:val="000379D7"/>
    <w:rsid w:val="000421FD"/>
    <w:rsid w:val="00043513"/>
    <w:rsid w:val="00044A64"/>
    <w:rsid w:val="00044F84"/>
    <w:rsid w:val="00052127"/>
    <w:rsid w:val="00053A54"/>
    <w:rsid w:val="0005610D"/>
    <w:rsid w:val="00056940"/>
    <w:rsid w:val="0006196E"/>
    <w:rsid w:val="00062357"/>
    <w:rsid w:val="000639EF"/>
    <w:rsid w:val="00064262"/>
    <w:rsid w:val="0006494B"/>
    <w:rsid w:val="00064F56"/>
    <w:rsid w:val="00070729"/>
    <w:rsid w:val="00072AD5"/>
    <w:rsid w:val="00072F51"/>
    <w:rsid w:val="0007480B"/>
    <w:rsid w:val="00075A9D"/>
    <w:rsid w:val="000767FD"/>
    <w:rsid w:val="00077D41"/>
    <w:rsid w:val="00083C9D"/>
    <w:rsid w:val="000907BD"/>
    <w:rsid w:val="0009369B"/>
    <w:rsid w:val="00095EFA"/>
    <w:rsid w:val="00097B78"/>
    <w:rsid w:val="000A018A"/>
    <w:rsid w:val="000A0DD0"/>
    <w:rsid w:val="000A0DFF"/>
    <w:rsid w:val="000A1324"/>
    <w:rsid w:val="000A1B0F"/>
    <w:rsid w:val="000A1CDA"/>
    <w:rsid w:val="000A2718"/>
    <w:rsid w:val="000A7BE6"/>
    <w:rsid w:val="000B1E3E"/>
    <w:rsid w:val="000B3BE5"/>
    <w:rsid w:val="000B442E"/>
    <w:rsid w:val="000B5B3E"/>
    <w:rsid w:val="000C3146"/>
    <w:rsid w:val="000C3681"/>
    <w:rsid w:val="000C45B6"/>
    <w:rsid w:val="000C5087"/>
    <w:rsid w:val="000C54A1"/>
    <w:rsid w:val="000D34E7"/>
    <w:rsid w:val="000D3D68"/>
    <w:rsid w:val="000D3E8C"/>
    <w:rsid w:val="000D4912"/>
    <w:rsid w:val="000D677A"/>
    <w:rsid w:val="000D70AA"/>
    <w:rsid w:val="000D7D37"/>
    <w:rsid w:val="000E4101"/>
    <w:rsid w:val="000F0DD4"/>
    <w:rsid w:val="000F2380"/>
    <w:rsid w:val="000F2865"/>
    <w:rsid w:val="000F391A"/>
    <w:rsid w:val="000F5727"/>
    <w:rsid w:val="000F5805"/>
    <w:rsid w:val="000F658D"/>
    <w:rsid w:val="00100541"/>
    <w:rsid w:val="00100D71"/>
    <w:rsid w:val="00101773"/>
    <w:rsid w:val="00101B2B"/>
    <w:rsid w:val="00101F6F"/>
    <w:rsid w:val="00103FD0"/>
    <w:rsid w:val="00104D42"/>
    <w:rsid w:val="00105091"/>
    <w:rsid w:val="001057FB"/>
    <w:rsid w:val="001064D3"/>
    <w:rsid w:val="00107D7F"/>
    <w:rsid w:val="00110971"/>
    <w:rsid w:val="00113E78"/>
    <w:rsid w:val="001206F6"/>
    <w:rsid w:val="001207FA"/>
    <w:rsid w:val="00120EFD"/>
    <w:rsid w:val="00121F28"/>
    <w:rsid w:val="00122579"/>
    <w:rsid w:val="00123C7F"/>
    <w:rsid w:val="00124792"/>
    <w:rsid w:val="00125667"/>
    <w:rsid w:val="00127D56"/>
    <w:rsid w:val="001300C8"/>
    <w:rsid w:val="0013051D"/>
    <w:rsid w:val="0013059D"/>
    <w:rsid w:val="00130E43"/>
    <w:rsid w:val="00134690"/>
    <w:rsid w:val="00134766"/>
    <w:rsid w:val="00135E89"/>
    <w:rsid w:val="0013794C"/>
    <w:rsid w:val="001423F2"/>
    <w:rsid w:val="001445C0"/>
    <w:rsid w:val="00154456"/>
    <w:rsid w:val="00161AAB"/>
    <w:rsid w:val="00162F63"/>
    <w:rsid w:val="00163050"/>
    <w:rsid w:val="00163A26"/>
    <w:rsid w:val="00163B7C"/>
    <w:rsid w:val="00163F57"/>
    <w:rsid w:val="001653F1"/>
    <w:rsid w:val="00165F48"/>
    <w:rsid w:val="00174B60"/>
    <w:rsid w:val="00174E0E"/>
    <w:rsid w:val="0017591B"/>
    <w:rsid w:val="001775A9"/>
    <w:rsid w:val="00182896"/>
    <w:rsid w:val="0018309A"/>
    <w:rsid w:val="001841A1"/>
    <w:rsid w:val="00184BB7"/>
    <w:rsid w:val="00184EBF"/>
    <w:rsid w:val="00190C93"/>
    <w:rsid w:val="001912A9"/>
    <w:rsid w:val="00194EE8"/>
    <w:rsid w:val="00195717"/>
    <w:rsid w:val="00195B2E"/>
    <w:rsid w:val="00196565"/>
    <w:rsid w:val="001A024E"/>
    <w:rsid w:val="001A142E"/>
    <w:rsid w:val="001A26D3"/>
    <w:rsid w:val="001A2C20"/>
    <w:rsid w:val="001A4718"/>
    <w:rsid w:val="001A4AE8"/>
    <w:rsid w:val="001A52E2"/>
    <w:rsid w:val="001A544B"/>
    <w:rsid w:val="001A561F"/>
    <w:rsid w:val="001A68E6"/>
    <w:rsid w:val="001A723A"/>
    <w:rsid w:val="001B1E29"/>
    <w:rsid w:val="001B2717"/>
    <w:rsid w:val="001B30AD"/>
    <w:rsid w:val="001B3B91"/>
    <w:rsid w:val="001B412F"/>
    <w:rsid w:val="001B5617"/>
    <w:rsid w:val="001B6473"/>
    <w:rsid w:val="001C13FD"/>
    <w:rsid w:val="001C314A"/>
    <w:rsid w:val="001C3763"/>
    <w:rsid w:val="001C6EFB"/>
    <w:rsid w:val="001C75D5"/>
    <w:rsid w:val="001D0965"/>
    <w:rsid w:val="001D0B50"/>
    <w:rsid w:val="001D1245"/>
    <w:rsid w:val="001D17A5"/>
    <w:rsid w:val="001D1986"/>
    <w:rsid w:val="001D28AC"/>
    <w:rsid w:val="001D3B22"/>
    <w:rsid w:val="001D7813"/>
    <w:rsid w:val="001E41A3"/>
    <w:rsid w:val="001F2B2C"/>
    <w:rsid w:val="001F4FC3"/>
    <w:rsid w:val="001F5A4F"/>
    <w:rsid w:val="001F6949"/>
    <w:rsid w:val="001F7B4E"/>
    <w:rsid w:val="00202189"/>
    <w:rsid w:val="00202B8D"/>
    <w:rsid w:val="00203A52"/>
    <w:rsid w:val="0020434B"/>
    <w:rsid w:val="00206578"/>
    <w:rsid w:val="002106E5"/>
    <w:rsid w:val="00210C1A"/>
    <w:rsid w:val="0021165B"/>
    <w:rsid w:val="00211B96"/>
    <w:rsid w:val="002135BA"/>
    <w:rsid w:val="00214550"/>
    <w:rsid w:val="00216017"/>
    <w:rsid w:val="0022018B"/>
    <w:rsid w:val="00220406"/>
    <w:rsid w:val="002227A2"/>
    <w:rsid w:val="00223401"/>
    <w:rsid w:val="0022356E"/>
    <w:rsid w:val="002241AC"/>
    <w:rsid w:val="002248F2"/>
    <w:rsid w:val="0022618B"/>
    <w:rsid w:val="00231612"/>
    <w:rsid w:val="002334C1"/>
    <w:rsid w:val="0023483C"/>
    <w:rsid w:val="00234FBB"/>
    <w:rsid w:val="002365F5"/>
    <w:rsid w:val="0023758A"/>
    <w:rsid w:val="00240707"/>
    <w:rsid w:val="00243ADC"/>
    <w:rsid w:val="002444DB"/>
    <w:rsid w:val="0024558E"/>
    <w:rsid w:val="0024670C"/>
    <w:rsid w:val="00246E04"/>
    <w:rsid w:val="00247F23"/>
    <w:rsid w:val="00250233"/>
    <w:rsid w:val="002518EA"/>
    <w:rsid w:val="00252F09"/>
    <w:rsid w:val="00253B4F"/>
    <w:rsid w:val="002549E9"/>
    <w:rsid w:val="00254B93"/>
    <w:rsid w:val="0025522A"/>
    <w:rsid w:val="002614CC"/>
    <w:rsid w:val="00264399"/>
    <w:rsid w:val="002644C0"/>
    <w:rsid w:val="00266CBF"/>
    <w:rsid w:val="00270EA8"/>
    <w:rsid w:val="00272434"/>
    <w:rsid w:val="00273B8F"/>
    <w:rsid w:val="00275BAE"/>
    <w:rsid w:val="00276048"/>
    <w:rsid w:val="00276842"/>
    <w:rsid w:val="00281585"/>
    <w:rsid w:val="00290F8C"/>
    <w:rsid w:val="00291A91"/>
    <w:rsid w:val="002937FE"/>
    <w:rsid w:val="00293E9C"/>
    <w:rsid w:val="002952B5"/>
    <w:rsid w:val="0029582C"/>
    <w:rsid w:val="00295CFD"/>
    <w:rsid w:val="002A068A"/>
    <w:rsid w:val="002A27DC"/>
    <w:rsid w:val="002A330A"/>
    <w:rsid w:val="002A38A5"/>
    <w:rsid w:val="002A57C2"/>
    <w:rsid w:val="002A5FA6"/>
    <w:rsid w:val="002A6563"/>
    <w:rsid w:val="002A68D6"/>
    <w:rsid w:val="002B016B"/>
    <w:rsid w:val="002B0880"/>
    <w:rsid w:val="002B10B6"/>
    <w:rsid w:val="002B6ECA"/>
    <w:rsid w:val="002C0E28"/>
    <w:rsid w:val="002C67A4"/>
    <w:rsid w:val="002C7943"/>
    <w:rsid w:val="002D2778"/>
    <w:rsid w:val="002D49D7"/>
    <w:rsid w:val="002D6577"/>
    <w:rsid w:val="002E3060"/>
    <w:rsid w:val="002E3BB0"/>
    <w:rsid w:val="002E5E1E"/>
    <w:rsid w:val="002E6886"/>
    <w:rsid w:val="002E6AE2"/>
    <w:rsid w:val="002E721B"/>
    <w:rsid w:val="002F0456"/>
    <w:rsid w:val="002F0ACA"/>
    <w:rsid w:val="002F281C"/>
    <w:rsid w:val="002F2E16"/>
    <w:rsid w:val="002F490C"/>
    <w:rsid w:val="002F787E"/>
    <w:rsid w:val="00301050"/>
    <w:rsid w:val="003016D5"/>
    <w:rsid w:val="00304754"/>
    <w:rsid w:val="00310F22"/>
    <w:rsid w:val="00314B72"/>
    <w:rsid w:val="0031673C"/>
    <w:rsid w:val="0032079B"/>
    <w:rsid w:val="00320DFC"/>
    <w:rsid w:val="0032408C"/>
    <w:rsid w:val="0032444B"/>
    <w:rsid w:val="00324A19"/>
    <w:rsid w:val="003304B1"/>
    <w:rsid w:val="003313C3"/>
    <w:rsid w:val="00333888"/>
    <w:rsid w:val="00335D05"/>
    <w:rsid w:val="00337B7A"/>
    <w:rsid w:val="00342788"/>
    <w:rsid w:val="00342C1E"/>
    <w:rsid w:val="00342CC7"/>
    <w:rsid w:val="00343541"/>
    <w:rsid w:val="00344B89"/>
    <w:rsid w:val="00345620"/>
    <w:rsid w:val="00345D29"/>
    <w:rsid w:val="00350A42"/>
    <w:rsid w:val="00352FD6"/>
    <w:rsid w:val="003607CB"/>
    <w:rsid w:val="0036201D"/>
    <w:rsid w:val="00365D77"/>
    <w:rsid w:val="00371D3D"/>
    <w:rsid w:val="00372E92"/>
    <w:rsid w:val="00374531"/>
    <w:rsid w:val="0037641D"/>
    <w:rsid w:val="00380579"/>
    <w:rsid w:val="00381B35"/>
    <w:rsid w:val="00384BBD"/>
    <w:rsid w:val="003854BD"/>
    <w:rsid w:val="00385682"/>
    <w:rsid w:val="003876D0"/>
    <w:rsid w:val="00387AA1"/>
    <w:rsid w:val="00387EFA"/>
    <w:rsid w:val="00391A7C"/>
    <w:rsid w:val="003922F2"/>
    <w:rsid w:val="00393C4E"/>
    <w:rsid w:val="00395F1E"/>
    <w:rsid w:val="00396CD2"/>
    <w:rsid w:val="003A1879"/>
    <w:rsid w:val="003A2150"/>
    <w:rsid w:val="003A24EB"/>
    <w:rsid w:val="003A28BF"/>
    <w:rsid w:val="003A2A2C"/>
    <w:rsid w:val="003A4D84"/>
    <w:rsid w:val="003A5879"/>
    <w:rsid w:val="003A625F"/>
    <w:rsid w:val="003A6B32"/>
    <w:rsid w:val="003A6E4C"/>
    <w:rsid w:val="003A70FF"/>
    <w:rsid w:val="003B0005"/>
    <w:rsid w:val="003B15C9"/>
    <w:rsid w:val="003B1F55"/>
    <w:rsid w:val="003B2DA7"/>
    <w:rsid w:val="003B34FB"/>
    <w:rsid w:val="003B50A2"/>
    <w:rsid w:val="003B56C0"/>
    <w:rsid w:val="003C04AD"/>
    <w:rsid w:val="003C2321"/>
    <w:rsid w:val="003C35EE"/>
    <w:rsid w:val="003C720C"/>
    <w:rsid w:val="003D25C9"/>
    <w:rsid w:val="003D3EF2"/>
    <w:rsid w:val="003D42E3"/>
    <w:rsid w:val="003D4BD6"/>
    <w:rsid w:val="003D51DC"/>
    <w:rsid w:val="003D6E7E"/>
    <w:rsid w:val="003D7997"/>
    <w:rsid w:val="003E073D"/>
    <w:rsid w:val="003E1A9F"/>
    <w:rsid w:val="003E67CF"/>
    <w:rsid w:val="003F0145"/>
    <w:rsid w:val="003F2345"/>
    <w:rsid w:val="003F4E5F"/>
    <w:rsid w:val="003F608D"/>
    <w:rsid w:val="003F64A9"/>
    <w:rsid w:val="003F7147"/>
    <w:rsid w:val="003F7AD7"/>
    <w:rsid w:val="00401840"/>
    <w:rsid w:val="004026E7"/>
    <w:rsid w:val="00403449"/>
    <w:rsid w:val="00404742"/>
    <w:rsid w:val="0040651B"/>
    <w:rsid w:val="0041265B"/>
    <w:rsid w:val="00414858"/>
    <w:rsid w:val="00417854"/>
    <w:rsid w:val="00420DAE"/>
    <w:rsid w:val="00420EB6"/>
    <w:rsid w:val="004229E6"/>
    <w:rsid w:val="00422A7E"/>
    <w:rsid w:val="004233AD"/>
    <w:rsid w:val="0042380D"/>
    <w:rsid w:val="00423E00"/>
    <w:rsid w:val="004243C4"/>
    <w:rsid w:val="00424999"/>
    <w:rsid w:val="00424C48"/>
    <w:rsid w:val="00424D85"/>
    <w:rsid w:val="00431633"/>
    <w:rsid w:val="00432B85"/>
    <w:rsid w:val="00433584"/>
    <w:rsid w:val="004342B5"/>
    <w:rsid w:val="00435EAE"/>
    <w:rsid w:val="00441DE6"/>
    <w:rsid w:val="00443AFD"/>
    <w:rsid w:val="00445DD9"/>
    <w:rsid w:val="00447A25"/>
    <w:rsid w:val="00451E33"/>
    <w:rsid w:val="00454205"/>
    <w:rsid w:val="00462B5B"/>
    <w:rsid w:val="004653D5"/>
    <w:rsid w:val="004665B2"/>
    <w:rsid w:val="00467F74"/>
    <w:rsid w:val="00472483"/>
    <w:rsid w:val="00474B7F"/>
    <w:rsid w:val="00475745"/>
    <w:rsid w:val="00476DB0"/>
    <w:rsid w:val="004773E0"/>
    <w:rsid w:val="004810D9"/>
    <w:rsid w:val="0048194C"/>
    <w:rsid w:val="00485E6A"/>
    <w:rsid w:val="0048641A"/>
    <w:rsid w:val="004875B1"/>
    <w:rsid w:val="00497A4C"/>
    <w:rsid w:val="00497E87"/>
    <w:rsid w:val="004A364B"/>
    <w:rsid w:val="004A4882"/>
    <w:rsid w:val="004A75B7"/>
    <w:rsid w:val="004B03A3"/>
    <w:rsid w:val="004B0C68"/>
    <w:rsid w:val="004B0C77"/>
    <w:rsid w:val="004B3DB9"/>
    <w:rsid w:val="004B7034"/>
    <w:rsid w:val="004B7A66"/>
    <w:rsid w:val="004C2253"/>
    <w:rsid w:val="004C366B"/>
    <w:rsid w:val="004C46FF"/>
    <w:rsid w:val="004C526D"/>
    <w:rsid w:val="004C560A"/>
    <w:rsid w:val="004C5E89"/>
    <w:rsid w:val="004C6631"/>
    <w:rsid w:val="004C724C"/>
    <w:rsid w:val="004C781D"/>
    <w:rsid w:val="004D05BE"/>
    <w:rsid w:val="004D1948"/>
    <w:rsid w:val="004D4227"/>
    <w:rsid w:val="004E0177"/>
    <w:rsid w:val="004E21EE"/>
    <w:rsid w:val="004E4852"/>
    <w:rsid w:val="004E4D87"/>
    <w:rsid w:val="004E5613"/>
    <w:rsid w:val="004E5F84"/>
    <w:rsid w:val="004E7EB2"/>
    <w:rsid w:val="004F28BC"/>
    <w:rsid w:val="004F3D9E"/>
    <w:rsid w:val="00500409"/>
    <w:rsid w:val="0050052D"/>
    <w:rsid w:val="005024F4"/>
    <w:rsid w:val="00502A82"/>
    <w:rsid w:val="00502E4A"/>
    <w:rsid w:val="005030FC"/>
    <w:rsid w:val="00512BE1"/>
    <w:rsid w:val="00512C56"/>
    <w:rsid w:val="005130DB"/>
    <w:rsid w:val="005134C4"/>
    <w:rsid w:val="00513DB5"/>
    <w:rsid w:val="005142C2"/>
    <w:rsid w:val="00515F0F"/>
    <w:rsid w:val="00516200"/>
    <w:rsid w:val="00521F87"/>
    <w:rsid w:val="005223BE"/>
    <w:rsid w:val="00522ABB"/>
    <w:rsid w:val="00525CA4"/>
    <w:rsid w:val="00527E78"/>
    <w:rsid w:val="005343E6"/>
    <w:rsid w:val="005354C1"/>
    <w:rsid w:val="0053623B"/>
    <w:rsid w:val="00543C1B"/>
    <w:rsid w:val="005449EA"/>
    <w:rsid w:val="0055153E"/>
    <w:rsid w:val="0055191D"/>
    <w:rsid w:val="00553B72"/>
    <w:rsid w:val="00556B76"/>
    <w:rsid w:val="00556CA1"/>
    <w:rsid w:val="00561DC0"/>
    <w:rsid w:val="005636D5"/>
    <w:rsid w:val="005663EA"/>
    <w:rsid w:val="005708FE"/>
    <w:rsid w:val="00571788"/>
    <w:rsid w:val="00571A9B"/>
    <w:rsid w:val="005776E8"/>
    <w:rsid w:val="0058476F"/>
    <w:rsid w:val="00584775"/>
    <w:rsid w:val="005849BC"/>
    <w:rsid w:val="00586C5E"/>
    <w:rsid w:val="00587557"/>
    <w:rsid w:val="00592FFB"/>
    <w:rsid w:val="005948ED"/>
    <w:rsid w:val="00594A42"/>
    <w:rsid w:val="005951E3"/>
    <w:rsid w:val="0059568E"/>
    <w:rsid w:val="005A144A"/>
    <w:rsid w:val="005A1486"/>
    <w:rsid w:val="005A1CF3"/>
    <w:rsid w:val="005A1F91"/>
    <w:rsid w:val="005A6461"/>
    <w:rsid w:val="005A7109"/>
    <w:rsid w:val="005B1312"/>
    <w:rsid w:val="005B2B90"/>
    <w:rsid w:val="005B5AA9"/>
    <w:rsid w:val="005C38BD"/>
    <w:rsid w:val="005C7A45"/>
    <w:rsid w:val="005D085D"/>
    <w:rsid w:val="005D17F6"/>
    <w:rsid w:val="005D321A"/>
    <w:rsid w:val="005D40D9"/>
    <w:rsid w:val="005D506B"/>
    <w:rsid w:val="005D56DC"/>
    <w:rsid w:val="005D58E9"/>
    <w:rsid w:val="005E1F7C"/>
    <w:rsid w:val="005F0420"/>
    <w:rsid w:val="005F175F"/>
    <w:rsid w:val="005F1AD8"/>
    <w:rsid w:val="005F6774"/>
    <w:rsid w:val="00600106"/>
    <w:rsid w:val="0060052C"/>
    <w:rsid w:val="00600958"/>
    <w:rsid w:val="00602EB3"/>
    <w:rsid w:val="006031E9"/>
    <w:rsid w:val="0060493A"/>
    <w:rsid w:val="00605E24"/>
    <w:rsid w:val="006119AC"/>
    <w:rsid w:val="00613A01"/>
    <w:rsid w:val="006147A9"/>
    <w:rsid w:val="00615571"/>
    <w:rsid w:val="0061619B"/>
    <w:rsid w:val="006176B2"/>
    <w:rsid w:val="006244AC"/>
    <w:rsid w:val="00624B79"/>
    <w:rsid w:val="00627503"/>
    <w:rsid w:val="00630316"/>
    <w:rsid w:val="0063129B"/>
    <w:rsid w:val="006345C3"/>
    <w:rsid w:val="00636907"/>
    <w:rsid w:val="00636BD2"/>
    <w:rsid w:val="006372C5"/>
    <w:rsid w:val="00640296"/>
    <w:rsid w:val="00641E39"/>
    <w:rsid w:val="0064360D"/>
    <w:rsid w:val="006452BA"/>
    <w:rsid w:val="00651515"/>
    <w:rsid w:val="00653A37"/>
    <w:rsid w:val="00653B3D"/>
    <w:rsid w:val="00654502"/>
    <w:rsid w:val="0065562C"/>
    <w:rsid w:val="006561C0"/>
    <w:rsid w:val="00657D72"/>
    <w:rsid w:val="00660DC2"/>
    <w:rsid w:val="00664185"/>
    <w:rsid w:val="0066505A"/>
    <w:rsid w:val="00670599"/>
    <w:rsid w:val="0067267E"/>
    <w:rsid w:val="0067375A"/>
    <w:rsid w:val="00676413"/>
    <w:rsid w:val="00684803"/>
    <w:rsid w:val="00684DA0"/>
    <w:rsid w:val="00690BA5"/>
    <w:rsid w:val="00690BFE"/>
    <w:rsid w:val="00692ACD"/>
    <w:rsid w:val="00692DFA"/>
    <w:rsid w:val="006941D1"/>
    <w:rsid w:val="00694B20"/>
    <w:rsid w:val="00696301"/>
    <w:rsid w:val="00696615"/>
    <w:rsid w:val="00696B18"/>
    <w:rsid w:val="006A057F"/>
    <w:rsid w:val="006A1F0C"/>
    <w:rsid w:val="006A52C2"/>
    <w:rsid w:val="006A5B18"/>
    <w:rsid w:val="006B0E53"/>
    <w:rsid w:val="006B270C"/>
    <w:rsid w:val="006B351B"/>
    <w:rsid w:val="006B66EE"/>
    <w:rsid w:val="006C0879"/>
    <w:rsid w:val="006C3651"/>
    <w:rsid w:val="006E120C"/>
    <w:rsid w:val="006E32A4"/>
    <w:rsid w:val="006E39DA"/>
    <w:rsid w:val="006E3E1E"/>
    <w:rsid w:val="006E54A0"/>
    <w:rsid w:val="006E57D8"/>
    <w:rsid w:val="006F30B1"/>
    <w:rsid w:val="006F6EFF"/>
    <w:rsid w:val="006F6F23"/>
    <w:rsid w:val="006F71B7"/>
    <w:rsid w:val="007029A2"/>
    <w:rsid w:val="00704E9B"/>
    <w:rsid w:val="00705DAE"/>
    <w:rsid w:val="00705FD1"/>
    <w:rsid w:val="007064B3"/>
    <w:rsid w:val="00712A28"/>
    <w:rsid w:val="00714ABF"/>
    <w:rsid w:val="00715858"/>
    <w:rsid w:val="00720B50"/>
    <w:rsid w:val="00720ED1"/>
    <w:rsid w:val="0072425C"/>
    <w:rsid w:val="00725C70"/>
    <w:rsid w:val="007265FC"/>
    <w:rsid w:val="00726D2D"/>
    <w:rsid w:val="00727E41"/>
    <w:rsid w:val="00727E68"/>
    <w:rsid w:val="00731E89"/>
    <w:rsid w:val="007327DD"/>
    <w:rsid w:val="00734CF6"/>
    <w:rsid w:val="00736212"/>
    <w:rsid w:val="007363E6"/>
    <w:rsid w:val="0074146D"/>
    <w:rsid w:val="007427DD"/>
    <w:rsid w:val="00743FCE"/>
    <w:rsid w:val="00745292"/>
    <w:rsid w:val="00745CB4"/>
    <w:rsid w:val="00746BB7"/>
    <w:rsid w:val="00747B94"/>
    <w:rsid w:val="00752E2A"/>
    <w:rsid w:val="00754D1F"/>
    <w:rsid w:val="007550D2"/>
    <w:rsid w:val="00755348"/>
    <w:rsid w:val="00757628"/>
    <w:rsid w:val="007602C8"/>
    <w:rsid w:val="00760E2A"/>
    <w:rsid w:val="00761F87"/>
    <w:rsid w:val="007642D1"/>
    <w:rsid w:val="007655EC"/>
    <w:rsid w:val="00765A24"/>
    <w:rsid w:val="007668D7"/>
    <w:rsid w:val="00766C73"/>
    <w:rsid w:val="007764EB"/>
    <w:rsid w:val="00780DA8"/>
    <w:rsid w:val="00781DAA"/>
    <w:rsid w:val="00790CBC"/>
    <w:rsid w:val="00791AC8"/>
    <w:rsid w:val="0079417E"/>
    <w:rsid w:val="00794AB7"/>
    <w:rsid w:val="007972A0"/>
    <w:rsid w:val="007A44B0"/>
    <w:rsid w:val="007A6E56"/>
    <w:rsid w:val="007B016B"/>
    <w:rsid w:val="007B2EC7"/>
    <w:rsid w:val="007B2EFE"/>
    <w:rsid w:val="007B4749"/>
    <w:rsid w:val="007B4836"/>
    <w:rsid w:val="007B53E5"/>
    <w:rsid w:val="007B5831"/>
    <w:rsid w:val="007B58A5"/>
    <w:rsid w:val="007B65B2"/>
    <w:rsid w:val="007B6DB7"/>
    <w:rsid w:val="007B72E2"/>
    <w:rsid w:val="007C10CF"/>
    <w:rsid w:val="007C2BD5"/>
    <w:rsid w:val="007C3BC8"/>
    <w:rsid w:val="007C4D67"/>
    <w:rsid w:val="007C4FF9"/>
    <w:rsid w:val="007C5482"/>
    <w:rsid w:val="007C5977"/>
    <w:rsid w:val="007C5C93"/>
    <w:rsid w:val="007C726C"/>
    <w:rsid w:val="007D3863"/>
    <w:rsid w:val="007D4C7F"/>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7FDE"/>
    <w:rsid w:val="008209C9"/>
    <w:rsid w:val="008235B1"/>
    <w:rsid w:val="00826D4E"/>
    <w:rsid w:val="0082795A"/>
    <w:rsid w:val="0083169E"/>
    <w:rsid w:val="00832412"/>
    <w:rsid w:val="008332B9"/>
    <w:rsid w:val="00834888"/>
    <w:rsid w:val="00840893"/>
    <w:rsid w:val="008424AF"/>
    <w:rsid w:val="008435F5"/>
    <w:rsid w:val="00845D45"/>
    <w:rsid w:val="00851971"/>
    <w:rsid w:val="00852323"/>
    <w:rsid w:val="0085640C"/>
    <w:rsid w:val="00860FC1"/>
    <w:rsid w:val="00860FC2"/>
    <w:rsid w:val="00862C8C"/>
    <w:rsid w:val="00864335"/>
    <w:rsid w:val="008647F2"/>
    <w:rsid w:val="0087043B"/>
    <w:rsid w:val="00870BB2"/>
    <w:rsid w:val="008715F3"/>
    <w:rsid w:val="00875EAE"/>
    <w:rsid w:val="008766D7"/>
    <w:rsid w:val="008823B6"/>
    <w:rsid w:val="00886A0B"/>
    <w:rsid w:val="00893B82"/>
    <w:rsid w:val="00893CC2"/>
    <w:rsid w:val="0089630D"/>
    <w:rsid w:val="008A0005"/>
    <w:rsid w:val="008A053A"/>
    <w:rsid w:val="008A41DE"/>
    <w:rsid w:val="008A5826"/>
    <w:rsid w:val="008A682E"/>
    <w:rsid w:val="008A7373"/>
    <w:rsid w:val="008B1C2E"/>
    <w:rsid w:val="008B4B57"/>
    <w:rsid w:val="008B4CC9"/>
    <w:rsid w:val="008B5A32"/>
    <w:rsid w:val="008B6B2A"/>
    <w:rsid w:val="008C0049"/>
    <w:rsid w:val="008C2F7E"/>
    <w:rsid w:val="008C5FFA"/>
    <w:rsid w:val="008C75C7"/>
    <w:rsid w:val="008C7BEB"/>
    <w:rsid w:val="008D31AF"/>
    <w:rsid w:val="008D504D"/>
    <w:rsid w:val="008D54DF"/>
    <w:rsid w:val="008D6C84"/>
    <w:rsid w:val="008E0C33"/>
    <w:rsid w:val="008E22F8"/>
    <w:rsid w:val="008E2669"/>
    <w:rsid w:val="008E30FD"/>
    <w:rsid w:val="008E4568"/>
    <w:rsid w:val="008E466A"/>
    <w:rsid w:val="008E601E"/>
    <w:rsid w:val="008E79D2"/>
    <w:rsid w:val="008E7FE4"/>
    <w:rsid w:val="008F0D57"/>
    <w:rsid w:val="008F0F20"/>
    <w:rsid w:val="008F3DCA"/>
    <w:rsid w:val="008F40D0"/>
    <w:rsid w:val="008F5FE0"/>
    <w:rsid w:val="008F64B3"/>
    <w:rsid w:val="008F7121"/>
    <w:rsid w:val="008F795D"/>
    <w:rsid w:val="009013D5"/>
    <w:rsid w:val="00902F90"/>
    <w:rsid w:val="00907B94"/>
    <w:rsid w:val="00907E25"/>
    <w:rsid w:val="00913142"/>
    <w:rsid w:val="0091437E"/>
    <w:rsid w:val="00914FF9"/>
    <w:rsid w:val="009161CB"/>
    <w:rsid w:val="0091627A"/>
    <w:rsid w:val="009212E1"/>
    <w:rsid w:val="009218BC"/>
    <w:rsid w:val="00924768"/>
    <w:rsid w:val="00924799"/>
    <w:rsid w:val="00927A27"/>
    <w:rsid w:val="00935ADD"/>
    <w:rsid w:val="00937647"/>
    <w:rsid w:val="00937A31"/>
    <w:rsid w:val="00941E92"/>
    <w:rsid w:val="00941EF6"/>
    <w:rsid w:val="0094272E"/>
    <w:rsid w:val="00942ECB"/>
    <w:rsid w:val="0094547A"/>
    <w:rsid w:val="00945842"/>
    <w:rsid w:val="0094639E"/>
    <w:rsid w:val="00946465"/>
    <w:rsid w:val="0094712F"/>
    <w:rsid w:val="0095599B"/>
    <w:rsid w:val="00955EE1"/>
    <w:rsid w:val="009576BD"/>
    <w:rsid w:val="00961343"/>
    <w:rsid w:val="00962995"/>
    <w:rsid w:val="00965EBA"/>
    <w:rsid w:val="009665CF"/>
    <w:rsid w:val="00971826"/>
    <w:rsid w:val="009719C3"/>
    <w:rsid w:val="00971F1C"/>
    <w:rsid w:val="009725E3"/>
    <w:rsid w:val="00974D80"/>
    <w:rsid w:val="00975188"/>
    <w:rsid w:val="00981D57"/>
    <w:rsid w:val="00982575"/>
    <w:rsid w:val="00983431"/>
    <w:rsid w:val="00984F87"/>
    <w:rsid w:val="00985B45"/>
    <w:rsid w:val="009905F3"/>
    <w:rsid w:val="0099679E"/>
    <w:rsid w:val="009A2040"/>
    <w:rsid w:val="009A221B"/>
    <w:rsid w:val="009A3446"/>
    <w:rsid w:val="009B26BA"/>
    <w:rsid w:val="009C20DF"/>
    <w:rsid w:val="009C2C63"/>
    <w:rsid w:val="009C2DCB"/>
    <w:rsid w:val="009C4086"/>
    <w:rsid w:val="009C4257"/>
    <w:rsid w:val="009C52B9"/>
    <w:rsid w:val="009C5723"/>
    <w:rsid w:val="009D0F66"/>
    <w:rsid w:val="009D2891"/>
    <w:rsid w:val="009D6F1F"/>
    <w:rsid w:val="009E08FF"/>
    <w:rsid w:val="009E11DD"/>
    <w:rsid w:val="009E44AF"/>
    <w:rsid w:val="009E45A3"/>
    <w:rsid w:val="009F0638"/>
    <w:rsid w:val="009F1369"/>
    <w:rsid w:val="009F2F77"/>
    <w:rsid w:val="009F30FC"/>
    <w:rsid w:val="009F4AC7"/>
    <w:rsid w:val="009F627E"/>
    <w:rsid w:val="009F6B2A"/>
    <w:rsid w:val="00A00156"/>
    <w:rsid w:val="00A00BE8"/>
    <w:rsid w:val="00A01C93"/>
    <w:rsid w:val="00A01D6C"/>
    <w:rsid w:val="00A0271E"/>
    <w:rsid w:val="00A06B2E"/>
    <w:rsid w:val="00A11FDD"/>
    <w:rsid w:val="00A123E1"/>
    <w:rsid w:val="00A135B0"/>
    <w:rsid w:val="00A13CB0"/>
    <w:rsid w:val="00A140D5"/>
    <w:rsid w:val="00A1507C"/>
    <w:rsid w:val="00A201BB"/>
    <w:rsid w:val="00A2124D"/>
    <w:rsid w:val="00A21EF3"/>
    <w:rsid w:val="00A264AD"/>
    <w:rsid w:val="00A306A4"/>
    <w:rsid w:val="00A308A4"/>
    <w:rsid w:val="00A340AA"/>
    <w:rsid w:val="00A3465C"/>
    <w:rsid w:val="00A3579A"/>
    <w:rsid w:val="00A35E4F"/>
    <w:rsid w:val="00A401F8"/>
    <w:rsid w:val="00A42CD1"/>
    <w:rsid w:val="00A46AE5"/>
    <w:rsid w:val="00A5240E"/>
    <w:rsid w:val="00A5391E"/>
    <w:rsid w:val="00A55A06"/>
    <w:rsid w:val="00A5670C"/>
    <w:rsid w:val="00A57390"/>
    <w:rsid w:val="00A6082D"/>
    <w:rsid w:val="00A60B91"/>
    <w:rsid w:val="00A62B29"/>
    <w:rsid w:val="00A6339F"/>
    <w:rsid w:val="00A64B4F"/>
    <w:rsid w:val="00A66148"/>
    <w:rsid w:val="00A668FC"/>
    <w:rsid w:val="00A7026F"/>
    <w:rsid w:val="00A74DB6"/>
    <w:rsid w:val="00A74E71"/>
    <w:rsid w:val="00A76986"/>
    <w:rsid w:val="00A7704C"/>
    <w:rsid w:val="00A80207"/>
    <w:rsid w:val="00A822DC"/>
    <w:rsid w:val="00A84701"/>
    <w:rsid w:val="00A9000D"/>
    <w:rsid w:val="00A91AC7"/>
    <w:rsid w:val="00A92947"/>
    <w:rsid w:val="00A92EFA"/>
    <w:rsid w:val="00A93988"/>
    <w:rsid w:val="00A9456D"/>
    <w:rsid w:val="00A95C65"/>
    <w:rsid w:val="00A96762"/>
    <w:rsid w:val="00AA1665"/>
    <w:rsid w:val="00AA3234"/>
    <w:rsid w:val="00AA4FB0"/>
    <w:rsid w:val="00AA6011"/>
    <w:rsid w:val="00AA74BA"/>
    <w:rsid w:val="00AB2EAD"/>
    <w:rsid w:val="00AB566D"/>
    <w:rsid w:val="00AB704E"/>
    <w:rsid w:val="00AC0978"/>
    <w:rsid w:val="00AC215A"/>
    <w:rsid w:val="00AC5EAA"/>
    <w:rsid w:val="00AC7BE0"/>
    <w:rsid w:val="00AD0276"/>
    <w:rsid w:val="00AD1303"/>
    <w:rsid w:val="00AD13D7"/>
    <w:rsid w:val="00AD4665"/>
    <w:rsid w:val="00AD57CC"/>
    <w:rsid w:val="00AD6081"/>
    <w:rsid w:val="00AD65E0"/>
    <w:rsid w:val="00AE0AC8"/>
    <w:rsid w:val="00AE2516"/>
    <w:rsid w:val="00AE52F7"/>
    <w:rsid w:val="00AE5591"/>
    <w:rsid w:val="00AE5780"/>
    <w:rsid w:val="00AE6309"/>
    <w:rsid w:val="00AE744B"/>
    <w:rsid w:val="00AF043B"/>
    <w:rsid w:val="00AF0C85"/>
    <w:rsid w:val="00AF10D0"/>
    <w:rsid w:val="00AF35CD"/>
    <w:rsid w:val="00AF7CD2"/>
    <w:rsid w:val="00B003F9"/>
    <w:rsid w:val="00B07452"/>
    <w:rsid w:val="00B1052F"/>
    <w:rsid w:val="00B10C05"/>
    <w:rsid w:val="00B134F0"/>
    <w:rsid w:val="00B13B5E"/>
    <w:rsid w:val="00B14826"/>
    <w:rsid w:val="00B16E7D"/>
    <w:rsid w:val="00B21500"/>
    <w:rsid w:val="00B22AD7"/>
    <w:rsid w:val="00B267B0"/>
    <w:rsid w:val="00B27204"/>
    <w:rsid w:val="00B346CA"/>
    <w:rsid w:val="00B35770"/>
    <w:rsid w:val="00B3606D"/>
    <w:rsid w:val="00B404EF"/>
    <w:rsid w:val="00B40C5F"/>
    <w:rsid w:val="00B41C9B"/>
    <w:rsid w:val="00B431DE"/>
    <w:rsid w:val="00B452AE"/>
    <w:rsid w:val="00B50D6A"/>
    <w:rsid w:val="00B50E70"/>
    <w:rsid w:val="00B53A1C"/>
    <w:rsid w:val="00B53C9D"/>
    <w:rsid w:val="00B54C91"/>
    <w:rsid w:val="00B55F4C"/>
    <w:rsid w:val="00B6064B"/>
    <w:rsid w:val="00B6322E"/>
    <w:rsid w:val="00B63F21"/>
    <w:rsid w:val="00B72E42"/>
    <w:rsid w:val="00B73B44"/>
    <w:rsid w:val="00B747FB"/>
    <w:rsid w:val="00B7682F"/>
    <w:rsid w:val="00B76ACC"/>
    <w:rsid w:val="00B7758F"/>
    <w:rsid w:val="00B77B48"/>
    <w:rsid w:val="00B80F8D"/>
    <w:rsid w:val="00B837C7"/>
    <w:rsid w:val="00B84799"/>
    <w:rsid w:val="00B85A2B"/>
    <w:rsid w:val="00B86A0E"/>
    <w:rsid w:val="00B878BE"/>
    <w:rsid w:val="00B92012"/>
    <w:rsid w:val="00B928F6"/>
    <w:rsid w:val="00B937B6"/>
    <w:rsid w:val="00B940A8"/>
    <w:rsid w:val="00B952E8"/>
    <w:rsid w:val="00B967BD"/>
    <w:rsid w:val="00B9696A"/>
    <w:rsid w:val="00BA04AF"/>
    <w:rsid w:val="00BA59CF"/>
    <w:rsid w:val="00BA61A1"/>
    <w:rsid w:val="00BB16B3"/>
    <w:rsid w:val="00BB1D16"/>
    <w:rsid w:val="00BB27E5"/>
    <w:rsid w:val="00BB2AF0"/>
    <w:rsid w:val="00BB30D5"/>
    <w:rsid w:val="00BB50A2"/>
    <w:rsid w:val="00BB663B"/>
    <w:rsid w:val="00BB6ABD"/>
    <w:rsid w:val="00BB6AD6"/>
    <w:rsid w:val="00BD1740"/>
    <w:rsid w:val="00BD3F7D"/>
    <w:rsid w:val="00BD4DD3"/>
    <w:rsid w:val="00BD6695"/>
    <w:rsid w:val="00BE0280"/>
    <w:rsid w:val="00BE1BAC"/>
    <w:rsid w:val="00BE1DB1"/>
    <w:rsid w:val="00BE5AE5"/>
    <w:rsid w:val="00BF2042"/>
    <w:rsid w:val="00BF4265"/>
    <w:rsid w:val="00BF6B08"/>
    <w:rsid w:val="00BF6D4D"/>
    <w:rsid w:val="00BF79C7"/>
    <w:rsid w:val="00C01DC5"/>
    <w:rsid w:val="00C02B76"/>
    <w:rsid w:val="00C036D8"/>
    <w:rsid w:val="00C0382A"/>
    <w:rsid w:val="00C0396F"/>
    <w:rsid w:val="00C04D64"/>
    <w:rsid w:val="00C11049"/>
    <w:rsid w:val="00C126C0"/>
    <w:rsid w:val="00C15BA4"/>
    <w:rsid w:val="00C16E6D"/>
    <w:rsid w:val="00C20F6B"/>
    <w:rsid w:val="00C24712"/>
    <w:rsid w:val="00C2595D"/>
    <w:rsid w:val="00C30124"/>
    <w:rsid w:val="00C31D63"/>
    <w:rsid w:val="00C34052"/>
    <w:rsid w:val="00C34A3B"/>
    <w:rsid w:val="00C34E3D"/>
    <w:rsid w:val="00C353E1"/>
    <w:rsid w:val="00C36203"/>
    <w:rsid w:val="00C3647F"/>
    <w:rsid w:val="00C36AE0"/>
    <w:rsid w:val="00C40F55"/>
    <w:rsid w:val="00C435CC"/>
    <w:rsid w:val="00C43BEC"/>
    <w:rsid w:val="00C4454A"/>
    <w:rsid w:val="00C45C15"/>
    <w:rsid w:val="00C51ECE"/>
    <w:rsid w:val="00C534D8"/>
    <w:rsid w:val="00C5401C"/>
    <w:rsid w:val="00C55413"/>
    <w:rsid w:val="00C56ADA"/>
    <w:rsid w:val="00C56C83"/>
    <w:rsid w:val="00C604FA"/>
    <w:rsid w:val="00C65C41"/>
    <w:rsid w:val="00C67B31"/>
    <w:rsid w:val="00C75D9A"/>
    <w:rsid w:val="00C76821"/>
    <w:rsid w:val="00C81ADC"/>
    <w:rsid w:val="00C8467F"/>
    <w:rsid w:val="00C84EEF"/>
    <w:rsid w:val="00C862EE"/>
    <w:rsid w:val="00C86FF7"/>
    <w:rsid w:val="00C87A3B"/>
    <w:rsid w:val="00C91CEB"/>
    <w:rsid w:val="00C93BBD"/>
    <w:rsid w:val="00C942FE"/>
    <w:rsid w:val="00CA03CB"/>
    <w:rsid w:val="00CA098E"/>
    <w:rsid w:val="00CA2C1A"/>
    <w:rsid w:val="00CA38D7"/>
    <w:rsid w:val="00CA53FD"/>
    <w:rsid w:val="00CA7404"/>
    <w:rsid w:val="00CA7D74"/>
    <w:rsid w:val="00CB07E8"/>
    <w:rsid w:val="00CB177E"/>
    <w:rsid w:val="00CB42FF"/>
    <w:rsid w:val="00CB45BA"/>
    <w:rsid w:val="00CC0682"/>
    <w:rsid w:val="00CC1A24"/>
    <w:rsid w:val="00CC2B7A"/>
    <w:rsid w:val="00CC478A"/>
    <w:rsid w:val="00CC61A6"/>
    <w:rsid w:val="00CC6C2A"/>
    <w:rsid w:val="00CD04C7"/>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3B25"/>
    <w:rsid w:val="00D04619"/>
    <w:rsid w:val="00D05063"/>
    <w:rsid w:val="00D05DA4"/>
    <w:rsid w:val="00D07256"/>
    <w:rsid w:val="00D07A37"/>
    <w:rsid w:val="00D07D11"/>
    <w:rsid w:val="00D10208"/>
    <w:rsid w:val="00D10317"/>
    <w:rsid w:val="00D17200"/>
    <w:rsid w:val="00D17544"/>
    <w:rsid w:val="00D20C21"/>
    <w:rsid w:val="00D21265"/>
    <w:rsid w:val="00D23782"/>
    <w:rsid w:val="00D26749"/>
    <w:rsid w:val="00D270BD"/>
    <w:rsid w:val="00D27D10"/>
    <w:rsid w:val="00D30131"/>
    <w:rsid w:val="00D31164"/>
    <w:rsid w:val="00D31668"/>
    <w:rsid w:val="00D33108"/>
    <w:rsid w:val="00D33C0E"/>
    <w:rsid w:val="00D33E53"/>
    <w:rsid w:val="00D34C18"/>
    <w:rsid w:val="00D41A7F"/>
    <w:rsid w:val="00D41CE6"/>
    <w:rsid w:val="00D47970"/>
    <w:rsid w:val="00D53B40"/>
    <w:rsid w:val="00D608A3"/>
    <w:rsid w:val="00D61742"/>
    <w:rsid w:val="00D61A38"/>
    <w:rsid w:val="00D63317"/>
    <w:rsid w:val="00D63BBD"/>
    <w:rsid w:val="00D65096"/>
    <w:rsid w:val="00D67824"/>
    <w:rsid w:val="00D72805"/>
    <w:rsid w:val="00D73FC2"/>
    <w:rsid w:val="00D7713D"/>
    <w:rsid w:val="00D82CCF"/>
    <w:rsid w:val="00D85404"/>
    <w:rsid w:val="00D914F3"/>
    <w:rsid w:val="00D930D4"/>
    <w:rsid w:val="00DA19A3"/>
    <w:rsid w:val="00DA2B56"/>
    <w:rsid w:val="00DA31DC"/>
    <w:rsid w:val="00DA4D76"/>
    <w:rsid w:val="00DA54AF"/>
    <w:rsid w:val="00DA781F"/>
    <w:rsid w:val="00DB1721"/>
    <w:rsid w:val="00DB4A98"/>
    <w:rsid w:val="00DB5029"/>
    <w:rsid w:val="00DB5FB3"/>
    <w:rsid w:val="00DB65EE"/>
    <w:rsid w:val="00DC0548"/>
    <w:rsid w:val="00DC0D2B"/>
    <w:rsid w:val="00DC30B1"/>
    <w:rsid w:val="00DC435D"/>
    <w:rsid w:val="00DC58E9"/>
    <w:rsid w:val="00DD171A"/>
    <w:rsid w:val="00DD3075"/>
    <w:rsid w:val="00DD635E"/>
    <w:rsid w:val="00DE08B9"/>
    <w:rsid w:val="00DE2ACB"/>
    <w:rsid w:val="00DE4B2A"/>
    <w:rsid w:val="00DE6BC6"/>
    <w:rsid w:val="00DF677E"/>
    <w:rsid w:val="00DF77AD"/>
    <w:rsid w:val="00E02415"/>
    <w:rsid w:val="00E12A20"/>
    <w:rsid w:val="00E16DBD"/>
    <w:rsid w:val="00E224A7"/>
    <w:rsid w:val="00E2252B"/>
    <w:rsid w:val="00E22773"/>
    <w:rsid w:val="00E234E5"/>
    <w:rsid w:val="00E31646"/>
    <w:rsid w:val="00E32E75"/>
    <w:rsid w:val="00E34990"/>
    <w:rsid w:val="00E34BEA"/>
    <w:rsid w:val="00E410D8"/>
    <w:rsid w:val="00E4248D"/>
    <w:rsid w:val="00E470D2"/>
    <w:rsid w:val="00E47E03"/>
    <w:rsid w:val="00E514DE"/>
    <w:rsid w:val="00E52A33"/>
    <w:rsid w:val="00E53B95"/>
    <w:rsid w:val="00E544DD"/>
    <w:rsid w:val="00E54F5E"/>
    <w:rsid w:val="00E57BDF"/>
    <w:rsid w:val="00E64B39"/>
    <w:rsid w:val="00E66F7C"/>
    <w:rsid w:val="00E702D4"/>
    <w:rsid w:val="00E714DD"/>
    <w:rsid w:val="00E719DA"/>
    <w:rsid w:val="00E74818"/>
    <w:rsid w:val="00E75C6A"/>
    <w:rsid w:val="00E8087B"/>
    <w:rsid w:val="00E81F47"/>
    <w:rsid w:val="00E9003F"/>
    <w:rsid w:val="00E91E58"/>
    <w:rsid w:val="00E91E5F"/>
    <w:rsid w:val="00E924D5"/>
    <w:rsid w:val="00E935B2"/>
    <w:rsid w:val="00E93A22"/>
    <w:rsid w:val="00E95340"/>
    <w:rsid w:val="00E95906"/>
    <w:rsid w:val="00EA1D70"/>
    <w:rsid w:val="00EA35BA"/>
    <w:rsid w:val="00EA47FF"/>
    <w:rsid w:val="00EA5210"/>
    <w:rsid w:val="00EA62D7"/>
    <w:rsid w:val="00EB0C6D"/>
    <w:rsid w:val="00EB122B"/>
    <w:rsid w:val="00EB32C8"/>
    <w:rsid w:val="00EB6B50"/>
    <w:rsid w:val="00EC0950"/>
    <w:rsid w:val="00EC130E"/>
    <w:rsid w:val="00EC3122"/>
    <w:rsid w:val="00EC3C33"/>
    <w:rsid w:val="00EC42B6"/>
    <w:rsid w:val="00EC5810"/>
    <w:rsid w:val="00EC6230"/>
    <w:rsid w:val="00ED0646"/>
    <w:rsid w:val="00ED1753"/>
    <w:rsid w:val="00ED2C7C"/>
    <w:rsid w:val="00ED43AD"/>
    <w:rsid w:val="00ED6779"/>
    <w:rsid w:val="00EE1837"/>
    <w:rsid w:val="00EE2ED9"/>
    <w:rsid w:val="00EE35DE"/>
    <w:rsid w:val="00EE47E5"/>
    <w:rsid w:val="00EE531E"/>
    <w:rsid w:val="00EE6108"/>
    <w:rsid w:val="00EE6430"/>
    <w:rsid w:val="00EE6CA5"/>
    <w:rsid w:val="00EF1B60"/>
    <w:rsid w:val="00EF30F1"/>
    <w:rsid w:val="00EF5E08"/>
    <w:rsid w:val="00EF729E"/>
    <w:rsid w:val="00F013DE"/>
    <w:rsid w:val="00F0163D"/>
    <w:rsid w:val="00F03A30"/>
    <w:rsid w:val="00F04052"/>
    <w:rsid w:val="00F04DAB"/>
    <w:rsid w:val="00F12A38"/>
    <w:rsid w:val="00F13ED0"/>
    <w:rsid w:val="00F17811"/>
    <w:rsid w:val="00F210C4"/>
    <w:rsid w:val="00F21898"/>
    <w:rsid w:val="00F21A50"/>
    <w:rsid w:val="00F26040"/>
    <w:rsid w:val="00F31B22"/>
    <w:rsid w:val="00F31D4F"/>
    <w:rsid w:val="00F34657"/>
    <w:rsid w:val="00F355FB"/>
    <w:rsid w:val="00F40923"/>
    <w:rsid w:val="00F40DCF"/>
    <w:rsid w:val="00F43764"/>
    <w:rsid w:val="00F46DE6"/>
    <w:rsid w:val="00F47D41"/>
    <w:rsid w:val="00F506E3"/>
    <w:rsid w:val="00F51981"/>
    <w:rsid w:val="00F51A7D"/>
    <w:rsid w:val="00F52128"/>
    <w:rsid w:val="00F52638"/>
    <w:rsid w:val="00F52FD1"/>
    <w:rsid w:val="00F53172"/>
    <w:rsid w:val="00F55561"/>
    <w:rsid w:val="00F629BC"/>
    <w:rsid w:val="00F62C5B"/>
    <w:rsid w:val="00F62EB2"/>
    <w:rsid w:val="00F6340A"/>
    <w:rsid w:val="00F65E8C"/>
    <w:rsid w:val="00F663AF"/>
    <w:rsid w:val="00F70A26"/>
    <w:rsid w:val="00F71EC3"/>
    <w:rsid w:val="00F73811"/>
    <w:rsid w:val="00F7576E"/>
    <w:rsid w:val="00F7764F"/>
    <w:rsid w:val="00F77B3A"/>
    <w:rsid w:val="00F81EA8"/>
    <w:rsid w:val="00F83916"/>
    <w:rsid w:val="00F84409"/>
    <w:rsid w:val="00F86FE3"/>
    <w:rsid w:val="00F9033A"/>
    <w:rsid w:val="00F90381"/>
    <w:rsid w:val="00F949D7"/>
    <w:rsid w:val="00F963D6"/>
    <w:rsid w:val="00FA2705"/>
    <w:rsid w:val="00FA3166"/>
    <w:rsid w:val="00FA41BA"/>
    <w:rsid w:val="00FA7B7C"/>
    <w:rsid w:val="00FB0787"/>
    <w:rsid w:val="00FB3238"/>
    <w:rsid w:val="00FB5172"/>
    <w:rsid w:val="00FC05BD"/>
    <w:rsid w:val="00FC0B92"/>
    <w:rsid w:val="00FC1903"/>
    <w:rsid w:val="00FC5A82"/>
    <w:rsid w:val="00FC6707"/>
    <w:rsid w:val="00FD05D4"/>
    <w:rsid w:val="00FD5454"/>
    <w:rsid w:val="00FD58A1"/>
    <w:rsid w:val="00FD6193"/>
    <w:rsid w:val="00FD689E"/>
    <w:rsid w:val="00FE1FEC"/>
    <w:rsid w:val="00FE259F"/>
    <w:rsid w:val="00FE324F"/>
    <w:rsid w:val="00FE32F0"/>
    <w:rsid w:val="00FE3B09"/>
    <w:rsid w:val="00FE50DE"/>
    <w:rsid w:val="00FE587B"/>
    <w:rsid w:val="00FE6B73"/>
    <w:rsid w:val="00FF0711"/>
    <w:rsid w:val="00FF33E7"/>
    <w:rsid w:val="00FF4570"/>
    <w:rsid w:val="00FF514D"/>
    <w:rsid w:val="00FF611B"/>
    <w:rsid w:val="00FF61AE"/>
    <w:rsid w:val="00FF6229"/>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7EA05B"/>
  <w15:docId w15:val="{FDF03305-6EAF-41BE-B33F-532D37F0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uiPriority w:val="3"/>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uiPriority w:val="3"/>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customStyle="1" w:styleId="UnresolvedMention1">
    <w:name w:val="Unresolved Mention1"/>
    <w:basedOn w:val="DefaultParagraphFont"/>
    <w:uiPriority w:val="99"/>
    <w:semiHidden/>
    <w:unhideWhenUsed/>
    <w:rsid w:val="00396CD2"/>
    <w:rPr>
      <w:color w:val="605E5C"/>
      <w:shd w:val="clear" w:color="auto" w:fill="E1DFDD"/>
    </w:rPr>
  </w:style>
  <w:style w:type="paragraph" w:styleId="ListParagraph">
    <w:name w:val="List Paragraph"/>
    <w:basedOn w:val="Normal"/>
    <w:uiPriority w:val="34"/>
    <w:rsid w:val="00385682"/>
    <w:pPr>
      <w:ind w:left="720"/>
      <w:contextualSpacing/>
    </w:pPr>
  </w:style>
  <w:style w:type="character" w:styleId="UnresolvedMention">
    <w:name w:val="Unresolved Mention"/>
    <w:basedOn w:val="DefaultParagraphFont"/>
    <w:uiPriority w:val="99"/>
    <w:semiHidden/>
    <w:unhideWhenUsed/>
    <w:rsid w:val="00694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7513">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600487008">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217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705179/Guidance_for_the_Notification_of_Serious_Breaches_of_GCP_or_the_Trial_Protocol_Version_5.1__04-05-2018_.pdf" TargetMode="External"/><Relationship Id="rId18" Type="http://schemas.openxmlformats.org/officeDocument/2006/relationships/hyperlink" Target="https://intranet.birmingham.ac.uk/executive-support/legal-services/what-we-do/data-protection/index.aspx" TargetMode="External"/><Relationship Id="rId26" Type="http://schemas.openxmlformats.org/officeDocument/2006/relationships/hyperlink" Target="mailto:crct@contacts.bham.ac.uk" TargetMode="External"/><Relationship Id="rId39" Type="http://schemas.openxmlformats.org/officeDocument/2006/relationships/footer" Target="footer3.xml"/><Relationship Id="rId21" Type="http://schemas.openxmlformats.org/officeDocument/2006/relationships/hyperlink" Target="https://www.gov.uk/guidance/contact-mhra" TargetMode="External"/><Relationship Id="rId34" Type="http://schemas.openxmlformats.org/officeDocument/2006/relationships/hyperlink" Target="https://assets.publishing.service.gov.uk/government/uploads/system/uploads/attachment_data/file/779472/Notification_of_serious_breaches_of_GCP_or_the_trial_protocol_form__V6__18-02-19_.od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rmingham.ac.uk/documents/university/legal/research.pdf" TargetMode="External"/><Relationship Id="rId20" Type="http://schemas.openxmlformats.org/officeDocument/2006/relationships/hyperlink" Target="https://intranet.birmingham.ac.uk/legal-services/who-we-are.aspx" TargetMode="External"/><Relationship Id="rId29" Type="http://schemas.openxmlformats.org/officeDocument/2006/relationships/hyperlink" Target="https://www.gov.uk/guidance/contact-mhra"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rct@contacts.bham.ac.uk" TargetMode="External"/><Relationship Id="rId32" Type="http://schemas.openxmlformats.org/officeDocument/2006/relationships/hyperlink" Target="https://assets.publishing.service.gov.uk/government/uploads/system/uploads/attachment_data/file/705179/Guidance_for_the_Notification_of_Serious_Breaches_of_GCP_or_the_Trial_Protocol_Version_5.1__04-05-2018_.pdf" TargetMode="External"/><Relationship Id="rId37" Type="http://schemas.openxmlformats.org/officeDocument/2006/relationships/hyperlink" Target="https://www.birmingham.ac.uk/research/activity/mds/mds-rkto/governance/Glossary-of-Terms.aspx"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birmingham.ac.uk/documents/university/legal/research.pdf" TargetMode="External"/><Relationship Id="rId23" Type="http://schemas.openxmlformats.org/officeDocument/2006/relationships/hyperlink" Target="https://www.birmingham.ac.uk/research/activity/mds/mds-rkto/governance/index.aspx" TargetMode="External"/><Relationship Id="rId28" Type="http://schemas.openxmlformats.org/officeDocument/2006/relationships/hyperlink" Target="https://intranet.birmingham.ac.uk/legal-services/who-we-are.aspx" TargetMode="External"/><Relationship Id="rId36" Type="http://schemas.openxmlformats.org/officeDocument/2006/relationships/hyperlink" Target="https://intranet.birmingham.ac.uk/executive-support/legal-services/what-we-do/data-protection/index.aspx" TargetMode="External"/><Relationship Id="rId10" Type="http://schemas.openxmlformats.org/officeDocument/2006/relationships/header" Target="header2.xml"/><Relationship Id="rId19" Type="http://schemas.openxmlformats.org/officeDocument/2006/relationships/hyperlink" Target="https://www.birmingham.ac.uk/documents/university/legal/research.pdf" TargetMode="External"/><Relationship Id="rId31" Type="http://schemas.openxmlformats.org/officeDocument/2006/relationships/hyperlink" Target="http://www.legislation.gov.uk/uksi/2006/1928/contents/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ra.nhs.uk/about-us/committees-and-services/res-and-recs/research-ethics-committee-standard-operating-procedures/" TargetMode="External"/><Relationship Id="rId22" Type="http://schemas.openxmlformats.org/officeDocument/2006/relationships/hyperlink" Target="https://assets.publishing.service.gov.uk/government/uploads/system/uploads/attachment_data/file/779472/Notification_of_serious_breaches_of_GCP_or_the_trial_protocol_form__V6__18-02-19_.odt" TargetMode="External"/><Relationship Id="rId27" Type="http://schemas.openxmlformats.org/officeDocument/2006/relationships/hyperlink" Target="mailto:researchgovernance@contacts.bham.ac.uk" TargetMode="External"/><Relationship Id="rId30" Type="http://schemas.openxmlformats.org/officeDocument/2006/relationships/hyperlink" Target="https://www.legislation.gov.uk/ukpga/2018/12/contents/enacted" TargetMode="External"/><Relationship Id="rId35" Type="http://schemas.openxmlformats.org/officeDocument/2006/relationships/hyperlink" Target="https://www.birmingham.ac.uk/documents/university/legal/research.pdf"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legislation.gov.uk/uksi/2006/1928/contents/made" TargetMode="External"/><Relationship Id="rId17" Type="http://schemas.openxmlformats.org/officeDocument/2006/relationships/hyperlink" Target="https://www.legislation.gov.uk/ukpga/2018/12/contents/enacted" TargetMode="External"/><Relationship Id="rId25" Type="http://schemas.openxmlformats.org/officeDocument/2006/relationships/hyperlink" Target="mailto:researchgovernance@contacts.bham.ac.uk" TargetMode="External"/><Relationship Id="rId33" Type="http://schemas.openxmlformats.org/officeDocument/2006/relationships/hyperlink" Target="https://www.hra.nhs.uk/about-us/committees-and-services/res-and-recs/research-ethics-committee-standard-operating-procedures/" TargetMode="External"/><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27A09-0203-4F79-9F8C-BCFEBC6B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3551</Words>
  <Characters>20246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Campbesz</dc:creator>
  <cp:lastModifiedBy>Kari Bottolfsen (Life and Environmental Sciences)</cp:lastModifiedBy>
  <cp:revision>12</cp:revision>
  <cp:lastPrinted>2019-05-31T11:18:00Z</cp:lastPrinted>
  <dcterms:created xsi:type="dcterms:W3CDTF">2022-08-10T14:36:00Z</dcterms:created>
  <dcterms:modified xsi:type="dcterms:W3CDTF">2022-12-14T10:07:00Z</dcterms:modified>
</cp:coreProperties>
</file>