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FB12B" w14:textId="77777777" w:rsidR="00C0396F" w:rsidRPr="00C0396F" w:rsidRDefault="008235B1" w:rsidP="00C0396F">
      <w:pPr>
        <w:pStyle w:val="Title"/>
      </w:pPr>
      <w:r w:rsidRPr="00C0396F">
        <w:t>Standard Operating Procedure:</w:t>
      </w:r>
    </w:p>
    <w:p w14:paraId="13E9DEFE" w14:textId="77777777" w:rsidR="00067EA8" w:rsidRPr="00C0396F" w:rsidRDefault="00067EA8" w:rsidP="00067EA8">
      <w:pPr>
        <w:pStyle w:val="Title"/>
      </w:pPr>
      <w:r w:rsidRPr="00983E11">
        <w:t>Adverse Event Reporting</w:t>
      </w:r>
    </w:p>
    <w:p w14:paraId="76DD2D9E" w14:textId="77777777" w:rsidR="00C0396F" w:rsidRDefault="00C0396F" w:rsidP="00C0396F">
      <w:pPr>
        <w:rPr>
          <w:rFonts w:eastAsiaTheme="majorEastAsia"/>
        </w:rPr>
      </w:pPr>
    </w:p>
    <w:p w14:paraId="1E2BF359" w14:textId="77777777" w:rsidR="00512C56" w:rsidRDefault="00512C56" w:rsidP="00C0396F">
      <w:pPr>
        <w:rPr>
          <w:rFonts w:eastAsiaTheme="majorEastAsia"/>
        </w:rPr>
      </w:pPr>
    </w:p>
    <w:p w14:paraId="17235502" w14:textId="64A4328B" w:rsidR="005F1AD8" w:rsidRDefault="005F1AD8">
      <w:pPr>
        <w:pStyle w:val="Heading1"/>
      </w:pPr>
      <w:r w:rsidRPr="00B6322E">
        <w:t>Purpose</w:t>
      </w:r>
    </w:p>
    <w:p w14:paraId="4E8F7F04" w14:textId="77777777" w:rsidR="00067EA8" w:rsidRPr="0060052C" w:rsidRDefault="00067EA8" w:rsidP="00067EA8">
      <w:r w:rsidRPr="004D4EA1">
        <w:t xml:space="preserve">This Standard Operating Procedure (SOP) describes the processes involved in Adverse Event </w:t>
      </w:r>
      <w:r>
        <w:t xml:space="preserve">(AE) </w:t>
      </w:r>
      <w:r w:rsidRPr="004D4EA1">
        <w:t xml:space="preserve">reporting </w:t>
      </w:r>
      <w:r>
        <w:t>for clinical research</w:t>
      </w:r>
      <w:r w:rsidRPr="001622B2">
        <w:t xml:space="preserve"> </w:t>
      </w:r>
      <w:r>
        <w:t xml:space="preserve">projects </w:t>
      </w:r>
      <w:r w:rsidRPr="001622B2">
        <w:t>conducted within the University of Birmingham (UoB</w:t>
      </w:r>
      <w:r>
        <w:t>).</w:t>
      </w:r>
    </w:p>
    <w:p w14:paraId="080FFC48" w14:textId="062C1813" w:rsidR="005F1AD8" w:rsidRDefault="005F1AD8">
      <w:pPr>
        <w:pStyle w:val="Heading1"/>
      </w:pPr>
      <w:r w:rsidRPr="00B63F21">
        <w:t>Scope</w:t>
      </w:r>
    </w:p>
    <w:p w14:paraId="4088AC1A" w14:textId="77777777" w:rsidR="00067EA8" w:rsidRPr="00593933" w:rsidRDefault="00067EA8" w:rsidP="00067EA8">
      <w:r w:rsidRPr="00593933">
        <w:t>This SOP is applicable to all UoB sponsored clinical research. Where clinical research is sponsored by another institution, this procedure should be followed as far as possible, and in line with</w:t>
      </w:r>
      <w:r>
        <w:t xml:space="preserve"> </w:t>
      </w:r>
      <w:r w:rsidRPr="00593933">
        <w:t>contractual agreement</w:t>
      </w:r>
      <w:r>
        <w:t xml:space="preserve">s </w:t>
      </w:r>
      <w:r w:rsidRPr="00593933">
        <w:t>between the UoB and the other institution. This SOP also applies to clinical research approved by UoB Research Ethics Committee (REC) that are required to follow</w:t>
      </w:r>
      <w:r>
        <w:t xml:space="preserve"> the </w:t>
      </w:r>
      <w:r w:rsidRPr="00B64BBC">
        <w:rPr>
          <w:rStyle w:val="ReferencestootherSOPsQCDsChar"/>
        </w:rPr>
        <w:t>UoB Principles of Good Clinical Practice (GCP) for Clinical Research</w:t>
      </w:r>
      <w:r>
        <w:rPr>
          <w:rStyle w:val="ReferencestootherSOPsQCDsChar"/>
        </w:rPr>
        <w:t xml:space="preserve"> (</w:t>
      </w:r>
      <w:r w:rsidRPr="00B64BBC">
        <w:rPr>
          <w:rStyle w:val="ReferencestootherSOPsQCDsChar"/>
        </w:rPr>
        <w:t>UoB-GCP-POL-001</w:t>
      </w:r>
      <w:r>
        <w:rPr>
          <w:rStyle w:val="ReferencestootherSOPsQCDsChar"/>
        </w:rPr>
        <w:t>)</w:t>
      </w:r>
      <w:r w:rsidRPr="00593933">
        <w:t>.</w:t>
      </w:r>
      <w:r w:rsidRPr="00B35CFF">
        <w:t xml:space="preserve"> </w:t>
      </w:r>
      <w:r w:rsidRPr="00E812CE">
        <w:t>This SOP may be used as a guidance document in all other cases.</w:t>
      </w:r>
    </w:p>
    <w:p w14:paraId="163BAD5C" w14:textId="0A33EDB1" w:rsidR="005F1AD8" w:rsidRPr="00C34A3B" w:rsidRDefault="005F1AD8" w:rsidP="00B937B6">
      <w:pPr>
        <w:pStyle w:val="Heading1"/>
      </w:pPr>
      <w:r w:rsidRPr="00B63F21">
        <w:t>Implementation plan</w:t>
      </w:r>
    </w:p>
    <w:p w14:paraId="10265A16" w14:textId="77777777" w:rsidR="00067EA8" w:rsidRPr="00567735" w:rsidRDefault="00067EA8" w:rsidP="00067EA8">
      <w:r w:rsidRPr="001622B2">
        <w:t xml:space="preserve">This SOP will be implemented </w:t>
      </w:r>
      <w:r>
        <w:t xml:space="preserve">in line with this document’s </w:t>
      </w:r>
      <w:r w:rsidRPr="001622B2">
        <w:t>effective date</w:t>
      </w:r>
      <w:r>
        <w:t>.</w:t>
      </w:r>
      <w:r w:rsidRPr="001622B2">
        <w:t xml:space="preserve"> </w:t>
      </w:r>
    </w:p>
    <w:p w14:paraId="7C03251B" w14:textId="0532680F" w:rsidR="005F1AD8" w:rsidRDefault="005F1AD8">
      <w:pPr>
        <w:pStyle w:val="Heading1"/>
      </w:pPr>
      <w:r>
        <w:t>Stakeholders</w:t>
      </w:r>
    </w:p>
    <w:p w14:paraId="16983206" w14:textId="77777777" w:rsidR="00067EA8" w:rsidRDefault="00067EA8" w:rsidP="00067EA8">
      <w:pPr>
        <w:pStyle w:val="bullet1"/>
      </w:pPr>
      <w:r>
        <w:t xml:space="preserve">Sponsor: for UoB sponsored clinical research projects this is via the Research Governance Team (RGT). Note that where the UoB takes on the Sponsor responsibility for AE reporting, the UoB will delegate </w:t>
      </w:r>
      <w:proofErr w:type="gramStart"/>
      <w:r>
        <w:t>the majority of</w:t>
      </w:r>
      <w:proofErr w:type="gramEnd"/>
      <w:r>
        <w:t xml:space="preserve"> these duties to the Chief Investigator (CI) and/or a Clinical Trials Unit (CTU), except where specified in this SOP. All delegation of duties will be documented (</w:t>
      </w:r>
      <w:proofErr w:type="gramStart"/>
      <w:r>
        <w:t>e.g.</w:t>
      </w:r>
      <w:proofErr w:type="gramEnd"/>
      <w:r>
        <w:t xml:space="preserve"> using CI declaration and/or the </w:t>
      </w:r>
      <w:r w:rsidRPr="00090F1A">
        <w:rPr>
          <w:rStyle w:val="ReferencestootherSOPsQCDsChar"/>
        </w:rPr>
        <w:t>Clinical Trials Task Delegation Log (</w:t>
      </w:r>
      <w:r w:rsidRPr="00C005D0">
        <w:rPr>
          <w:rStyle w:val="ReferencestootherSOPsQCDsChar"/>
        </w:rPr>
        <w:t>UoB-CLN-CTM-QCD-002</w:t>
      </w:r>
      <w:r w:rsidRPr="00BB7A6C">
        <w:rPr>
          <w:rStyle w:val="ReferencestootherSOPsQCDsChar"/>
        </w:rPr>
        <w:t>)</w:t>
      </w:r>
      <w:r w:rsidRPr="00EB6BEE">
        <w:t>)</w:t>
      </w:r>
      <w:r>
        <w:t xml:space="preserve">. </w:t>
      </w:r>
    </w:p>
    <w:p w14:paraId="1FB38315" w14:textId="25612C8B" w:rsidR="00342C1E" w:rsidRDefault="00067EA8" w:rsidP="00067EA8">
      <w:pPr>
        <w:pStyle w:val="bullet1"/>
      </w:pPr>
      <w:r>
        <w:t>CI: the CI may delegate activities to members of their research team, although evidence of CI involvement and approval is still expected and may not be delegated where ‘no delegation allowed’ is indicated. The SOP will state where delegation is possible.</w:t>
      </w:r>
      <w:r w:rsidRPr="00B35CFF">
        <w:t xml:space="preserve"> </w:t>
      </w:r>
      <w:r w:rsidRPr="00356A8A">
        <w:t>For clinical research approved by UoB REC, the role of CI may be referred to as the Principal Investigator (PI), or the supervisor for postgraduate research students.</w:t>
      </w:r>
    </w:p>
    <w:p w14:paraId="44B88349" w14:textId="77777777" w:rsidR="00B940A8" w:rsidRDefault="00B940A8" w:rsidP="00B940A8"/>
    <w:p w14:paraId="75916C5F" w14:textId="77777777" w:rsidR="004C46FF" w:rsidRPr="00342C1E" w:rsidRDefault="004C46FF" w:rsidP="004C46FF">
      <w:pPr>
        <w:pStyle w:val="bullet1"/>
        <w:numPr>
          <w:ilvl w:val="0"/>
          <w:numId w:val="0"/>
        </w:numPr>
        <w:sectPr w:rsidR="004C46FF" w:rsidRPr="00342C1E" w:rsidSect="00512C56">
          <w:footerReference w:type="default" r:id="rId8"/>
          <w:headerReference w:type="first" r:id="rId9"/>
          <w:footerReference w:type="first" r:id="rId10"/>
          <w:pgSz w:w="11907" w:h="16839" w:code="9"/>
          <w:pgMar w:top="5211" w:right="1440" w:bottom="1440" w:left="1440" w:header="1438" w:footer="283" w:gutter="0"/>
          <w:cols w:space="708"/>
          <w:titlePg/>
          <w:docGrid w:linePitch="360"/>
        </w:sectPr>
      </w:pPr>
    </w:p>
    <w:p w14:paraId="66F76515" w14:textId="79CEC93C" w:rsidR="005F0420" w:rsidRDefault="005F0420" w:rsidP="0060052C">
      <w:pPr>
        <w:pStyle w:val="Heading1"/>
      </w:pPr>
      <w:bookmarkStart w:id="0" w:name="_Toc320536979"/>
      <w:r>
        <w:lastRenderedPageBreak/>
        <w:t>Background</w:t>
      </w:r>
      <w:r w:rsidR="008D54DF">
        <w:t xml:space="preserve"> and </w:t>
      </w:r>
      <w:r w:rsidR="00FF6CB2">
        <w:t>r</w:t>
      </w:r>
      <w:r w:rsidR="008D54DF">
        <w:t>ationale</w:t>
      </w:r>
    </w:p>
    <w:p w14:paraId="37AAB806" w14:textId="77777777" w:rsidR="00067EA8" w:rsidRPr="00983E11" w:rsidRDefault="00067EA8" w:rsidP="00067EA8">
      <w:r w:rsidRPr="00983E11">
        <w:t xml:space="preserve">The process of </w:t>
      </w:r>
      <w:r>
        <w:t>AE</w:t>
      </w:r>
      <w:r w:rsidRPr="00983E11">
        <w:t xml:space="preserve"> reporting is key to any clinical research, be it a Clinical Trial using an Investigational Medicinal Product (CTIMP), a Clinical Investigation of a Medical Devices, or another type of </w:t>
      </w:r>
      <w:r>
        <w:t>study</w:t>
      </w:r>
      <w:r w:rsidRPr="00983E11">
        <w:t xml:space="preserve">. Furthermore, the need for, and responsibilities relating to, </w:t>
      </w:r>
      <w:r>
        <w:t>AE</w:t>
      </w:r>
      <w:r w:rsidRPr="00983E11">
        <w:t xml:space="preserve"> reporting are described as follows:</w:t>
      </w:r>
    </w:p>
    <w:p w14:paraId="2B62A210" w14:textId="77777777" w:rsidR="00067EA8" w:rsidRDefault="00067EA8" w:rsidP="00067EA8">
      <w:pPr>
        <w:pStyle w:val="bullet1"/>
        <w:numPr>
          <w:ilvl w:val="0"/>
          <w:numId w:val="3"/>
        </w:numPr>
        <w:ind w:left="340" w:hanging="340"/>
      </w:pPr>
      <w:r>
        <w:t xml:space="preserve">For all UoB clinical research, see the </w:t>
      </w:r>
      <w:hyperlink r:id="rId11" w:tooltip="Link to the UoB Code of Practice for Research (PDF - 479 KB)" w:history="1">
        <w:r w:rsidRPr="0081364F">
          <w:rPr>
            <w:rStyle w:val="Hyperlink"/>
          </w:rPr>
          <w:t>UoB Code of Practice for Researc</w:t>
        </w:r>
        <w:r>
          <w:rPr>
            <w:rStyle w:val="Hyperlink"/>
          </w:rPr>
          <w:t>h (PDF – 479 KB)</w:t>
        </w:r>
      </w:hyperlink>
      <w:r>
        <w:rPr>
          <w:rStyle w:val="Hyperlink"/>
        </w:rPr>
        <w:t>.</w:t>
      </w:r>
    </w:p>
    <w:p w14:paraId="01EFF82A" w14:textId="77777777" w:rsidR="00067EA8" w:rsidRDefault="00067EA8" w:rsidP="00067EA8">
      <w:pPr>
        <w:pStyle w:val="bullet1"/>
        <w:numPr>
          <w:ilvl w:val="0"/>
          <w:numId w:val="3"/>
        </w:numPr>
        <w:ind w:left="340" w:hanging="340"/>
      </w:pPr>
      <w:r w:rsidRPr="00983E11">
        <w:t xml:space="preserve">For </w:t>
      </w:r>
      <w:r>
        <w:t>all HRA-approved clinical research, see</w:t>
      </w:r>
      <w:r w:rsidRPr="00983E11">
        <w:t xml:space="preserve"> the </w:t>
      </w:r>
      <w:hyperlink r:id="rId12" w:tooltip="Link to the UK Policy Framework for Health and Social Care Research" w:history="1">
        <w:r w:rsidRPr="00B64BBC">
          <w:rPr>
            <w:rStyle w:val="Hyperlink"/>
          </w:rPr>
          <w:t>UK Policy Framework for Health and Social Care Research</w:t>
        </w:r>
      </w:hyperlink>
      <w:r>
        <w:t>.</w:t>
      </w:r>
    </w:p>
    <w:p w14:paraId="6E100725" w14:textId="77777777" w:rsidR="00067EA8" w:rsidRPr="00983E11" w:rsidRDefault="00067EA8" w:rsidP="00067EA8">
      <w:pPr>
        <w:pStyle w:val="bullet1"/>
        <w:numPr>
          <w:ilvl w:val="0"/>
          <w:numId w:val="3"/>
        </w:numPr>
        <w:ind w:left="340" w:hanging="340"/>
      </w:pPr>
      <w:r w:rsidRPr="00983E11">
        <w:t xml:space="preserve">For CTIMPs, </w:t>
      </w:r>
      <w:hyperlink r:id="rId13" w:tooltip="Link to the The Medicines for Human Use (Clinical Trials) Regulations 2004 and amendments" w:history="1">
        <w:r w:rsidRPr="0081364F">
          <w:rPr>
            <w:rStyle w:val="Hyperlink"/>
          </w:rPr>
          <w:t>The Medicines for Human Use (Clinical Trials) Regulations 2004 and amendments</w:t>
        </w:r>
      </w:hyperlink>
      <w:r w:rsidRPr="00983E11">
        <w:t xml:space="preserve"> detail the AE reporting requirements of the Sponsor or the Sponsor’s delegate</w:t>
      </w:r>
      <w:r>
        <w:t>.</w:t>
      </w:r>
      <w:r w:rsidRPr="00983E11">
        <w:t xml:space="preserve"> </w:t>
      </w:r>
    </w:p>
    <w:p w14:paraId="77EF16DE" w14:textId="77777777" w:rsidR="00067EA8" w:rsidRPr="00983E11" w:rsidRDefault="00067EA8" w:rsidP="00067EA8">
      <w:pPr>
        <w:pStyle w:val="bullet1"/>
        <w:numPr>
          <w:ilvl w:val="0"/>
          <w:numId w:val="3"/>
        </w:numPr>
        <w:ind w:left="340" w:hanging="340"/>
      </w:pPr>
      <w:r w:rsidRPr="00983E11">
        <w:t>For medical devices being investigated in order to demonstrate the safety and performance of a non-CE marked medical device, or a CE-marked device that has been modified or is to be used for a new purpose</w:t>
      </w:r>
      <w:r w:rsidRPr="00983E11">
        <w:rPr>
          <w:rFonts w:ascii="FrutigerLight" w:hAnsi="FrutigerLight"/>
          <w:color w:val="000000"/>
          <w:sz w:val="33"/>
          <w:szCs w:val="33"/>
        </w:rPr>
        <w:t xml:space="preserve"> </w:t>
      </w:r>
      <w:r w:rsidRPr="00983E11">
        <w:t xml:space="preserve">the </w:t>
      </w:r>
      <w:hyperlink r:id="rId14" w:tooltip="Link to the Medical Devices Act 2002" w:history="1">
        <w:r w:rsidRPr="0081364F">
          <w:rPr>
            <w:rStyle w:val="Hyperlink"/>
          </w:rPr>
          <w:t>Medical Devices Act 2002</w:t>
        </w:r>
      </w:hyperlink>
      <w:r w:rsidRPr="00983E11">
        <w:t xml:space="preserve"> detail the requirements for safety reporting</w:t>
      </w:r>
      <w:r>
        <w:t xml:space="preserve">. See also </w:t>
      </w:r>
      <w:hyperlink r:id="rId15" w:tooltip="Link to Medical Device regulation and safety: detailed information" w:history="1">
        <w:r w:rsidRPr="00350158">
          <w:rPr>
            <w:rStyle w:val="Hyperlink"/>
          </w:rPr>
          <w:t>Medical Device regulation and safety: detailed information</w:t>
        </w:r>
      </w:hyperlink>
      <w:r>
        <w:t xml:space="preserve"> and </w:t>
      </w:r>
      <w:hyperlink r:id="rId16" w:tooltip="Link to Guidelines on Medical Devices (PDF – 384 KB)" w:history="1">
        <w:r w:rsidRPr="00F32D26">
          <w:rPr>
            <w:rStyle w:val="Hyperlink"/>
          </w:rPr>
          <w:t>Guidelines on Medical Devices (PDF – 384 KB)</w:t>
        </w:r>
      </w:hyperlink>
      <w:r>
        <w:t>.</w:t>
      </w:r>
      <w:r w:rsidRPr="00983E11" w:rsidDel="00F32D26">
        <w:t xml:space="preserve"> </w:t>
      </w:r>
    </w:p>
    <w:p w14:paraId="2A4D404E" w14:textId="77777777" w:rsidR="00067EA8" w:rsidRPr="00E812CE" w:rsidRDefault="00067EA8" w:rsidP="00067EA8">
      <w:pPr>
        <w:pStyle w:val="bullet1"/>
        <w:numPr>
          <w:ilvl w:val="0"/>
          <w:numId w:val="0"/>
        </w:numPr>
      </w:pPr>
      <w:r w:rsidRPr="00E812CE">
        <w:t>For the purposes of this SOP the terms ‘clinical research</w:t>
      </w:r>
      <w:r>
        <w:t>’</w:t>
      </w:r>
      <w:r w:rsidRPr="00E812CE">
        <w:t xml:space="preserve"> or </w:t>
      </w:r>
      <w:proofErr w:type="spellStart"/>
      <w:r w:rsidRPr="00E812CE">
        <w:t>‘research</w:t>
      </w:r>
      <w:proofErr w:type="spellEnd"/>
      <w:r w:rsidRPr="00E812CE">
        <w:t xml:space="preserve"> project’ will cover CTIMPs, other interventional trials (</w:t>
      </w:r>
      <w:proofErr w:type="gramStart"/>
      <w:r w:rsidRPr="00E812CE">
        <w:t>e.g.</w:t>
      </w:r>
      <w:proofErr w:type="gramEnd"/>
      <w:r w:rsidRPr="00E812CE">
        <w:t xml:space="preserve"> surgical trials, device trials and non-CTIMP trials, and any other projects deemed to be ‘interventional’ by the Sponsor), and clinical studies.</w:t>
      </w:r>
    </w:p>
    <w:p w14:paraId="70A8BB56" w14:textId="77777777" w:rsidR="00067EA8" w:rsidRPr="00983E11" w:rsidRDefault="00067EA8" w:rsidP="00067EA8">
      <w:r>
        <w:t>Where the requirement is specific to a certain type of clinical research, this will be specified in the instruction.</w:t>
      </w:r>
    </w:p>
    <w:p w14:paraId="1427CBA1" w14:textId="77777777" w:rsidR="00067EA8" w:rsidRPr="00983E11" w:rsidRDefault="00067EA8" w:rsidP="00067EA8">
      <w:pPr>
        <w:keepNext/>
        <w:spacing w:before="120"/>
        <w:outlineLvl w:val="1"/>
        <w:rPr>
          <w:rFonts w:ascii="Gill Sans MT" w:eastAsiaTheme="minorHAnsi" w:hAnsi="Gill Sans MT"/>
          <w:bCs/>
          <w:iCs/>
          <w:color w:val="943634"/>
          <w:sz w:val="22"/>
          <w:szCs w:val="28"/>
        </w:rPr>
      </w:pPr>
      <w:r w:rsidRPr="00DB6FAF">
        <w:rPr>
          <w:rFonts w:ascii="Gill Sans MT" w:eastAsiaTheme="minorHAnsi" w:hAnsi="Gill Sans MT"/>
          <w:bCs/>
          <w:iCs/>
          <w:color w:val="943634"/>
          <w:sz w:val="22"/>
          <w:szCs w:val="28"/>
        </w:rPr>
        <w:t>Clarification of terms</w:t>
      </w:r>
    </w:p>
    <w:p w14:paraId="55BB9CDB" w14:textId="77777777" w:rsidR="00067EA8" w:rsidRDefault="00067EA8" w:rsidP="00067EA8">
      <w:r w:rsidRPr="00983E11">
        <w:t>For the purposes of this SOP, the terms and definitions used are clarified as follows:</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Clarification of terms"/>
        <w:tblDescription w:val="Clarification of terms used in this SOP."/>
      </w:tblPr>
      <w:tblGrid>
        <w:gridCol w:w="2478"/>
        <w:gridCol w:w="1529"/>
        <w:gridCol w:w="2889"/>
        <w:gridCol w:w="2121"/>
      </w:tblGrid>
      <w:tr w:rsidR="00067EA8" w14:paraId="6B8CE765" w14:textId="77777777" w:rsidTr="00090F1A">
        <w:tc>
          <w:tcPr>
            <w:tcW w:w="1374" w:type="pct"/>
            <w:tcBorders>
              <w:bottom w:val="single" w:sz="4" w:space="0" w:color="auto"/>
            </w:tcBorders>
            <w:vAlign w:val="center"/>
          </w:tcPr>
          <w:p w14:paraId="197D4E55" w14:textId="77777777" w:rsidR="00067EA8" w:rsidRDefault="00067EA8" w:rsidP="00090F1A">
            <w:pPr>
              <w:pStyle w:val="Heading3"/>
            </w:pPr>
            <w:r>
              <w:t>Conditions</w:t>
            </w:r>
          </w:p>
        </w:tc>
        <w:tc>
          <w:tcPr>
            <w:tcW w:w="848" w:type="pct"/>
            <w:tcBorders>
              <w:bottom w:val="single" w:sz="4" w:space="0" w:color="auto"/>
            </w:tcBorders>
            <w:vAlign w:val="center"/>
          </w:tcPr>
          <w:p w14:paraId="7732E55F" w14:textId="77777777" w:rsidR="00067EA8" w:rsidRDefault="00067EA8" w:rsidP="00090F1A">
            <w:pPr>
              <w:pStyle w:val="Heading3"/>
            </w:pPr>
            <w:r>
              <w:t>Clinical Research type</w:t>
            </w:r>
          </w:p>
        </w:tc>
        <w:tc>
          <w:tcPr>
            <w:tcW w:w="1602" w:type="pct"/>
            <w:tcBorders>
              <w:bottom w:val="single" w:sz="4" w:space="0" w:color="auto"/>
            </w:tcBorders>
            <w:vAlign w:val="center"/>
          </w:tcPr>
          <w:p w14:paraId="76966D30" w14:textId="77777777" w:rsidR="00067EA8" w:rsidRDefault="00067EA8" w:rsidP="00090F1A">
            <w:pPr>
              <w:pStyle w:val="Heading3"/>
            </w:pPr>
            <w:r>
              <w:t>National Institute for Health Research (NIHR) term used</w:t>
            </w:r>
          </w:p>
        </w:tc>
        <w:tc>
          <w:tcPr>
            <w:tcW w:w="1176" w:type="pct"/>
            <w:tcBorders>
              <w:bottom w:val="single" w:sz="4" w:space="0" w:color="auto"/>
            </w:tcBorders>
            <w:vAlign w:val="center"/>
          </w:tcPr>
          <w:p w14:paraId="03E7B810" w14:textId="77777777" w:rsidR="00067EA8" w:rsidRDefault="00067EA8" w:rsidP="00090F1A">
            <w:pPr>
              <w:pStyle w:val="Heading3"/>
            </w:pPr>
            <w:r>
              <w:t>Term used in this SOP</w:t>
            </w:r>
          </w:p>
        </w:tc>
      </w:tr>
      <w:tr w:rsidR="00067EA8" w14:paraId="6C398F02" w14:textId="77777777" w:rsidTr="00090F1A">
        <w:tc>
          <w:tcPr>
            <w:tcW w:w="1374" w:type="pct"/>
            <w:tcBorders>
              <w:top w:val="single" w:sz="4" w:space="0" w:color="auto"/>
              <w:bottom w:val="dotted" w:sz="4" w:space="0" w:color="auto"/>
            </w:tcBorders>
            <w:vAlign w:val="center"/>
          </w:tcPr>
          <w:p w14:paraId="179606A1" w14:textId="77777777" w:rsidR="00067EA8" w:rsidRDefault="00067EA8" w:rsidP="00090F1A">
            <w:r>
              <w:t>If non-serious and not attributable to the research project:</w:t>
            </w:r>
          </w:p>
        </w:tc>
        <w:tc>
          <w:tcPr>
            <w:tcW w:w="848" w:type="pct"/>
            <w:tcBorders>
              <w:top w:val="single" w:sz="4" w:space="0" w:color="auto"/>
              <w:bottom w:val="dotted" w:sz="4" w:space="0" w:color="auto"/>
            </w:tcBorders>
            <w:vAlign w:val="center"/>
          </w:tcPr>
          <w:p w14:paraId="7189088E" w14:textId="77777777" w:rsidR="00067EA8" w:rsidRPr="00AA7306" w:rsidRDefault="00067EA8" w:rsidP="00090F1A">
            <w:r w:rsidRPr="00AA7306">
              <w:t xml:space="preserve">All </w:t>
            </w:r>
            <w:r>
              <w:t>research projects</w:t>
            </w:r>
          </w:p>
        </w:tc>
        <w:tc>
          <w:tcPr>
            <w:tcW w:w="1602" w:type="pct"/>
            <w:tcBorders>
              <w:top w:val="single" w:sz="4" w:space="0" w:color="auto"/>
              <w:bottom w:val="dotted" w:sz="4" w:space="0" w:color="auto"/>
            </w:tcBorders>
            <w:vAlign w:val="center"/>
          </w:tcPr>
          <w:p w14:paraId="311A2706" w14:textId="77777777" w:rsidR="00067EA8" w:rsidRDefault="00067EA8" w:rsidP="00090F1A">
            <w:r>
              <w:t>Adverse Event (AE)</w:t>
            </w:r>
          </w:p>
        </w:tc>
        <w:tc>
          <w:tcPr>
            <w:tcW w:w="1176" w:type="pct"/>
            <w:vMerge w:val="restart"/>
            <w:tcBorders>
              <w:top w:val="single" w:sz="4" w:space="0" w:color="auto"/>
              <w:bottom w:val="dotted" w:sz="4" w:space="0" w:color="auto"/>
            </w:tcBorders>
            <w:vAlign w:val="center"/>
          </w:tcPr>
          <w:p w14:paraId="5357D956" w14:textId="77777777" w:rsidR="00067EA8" w:rsidRDefault="00067EA8" w:rsidP="00090F1A">
            <w:pPr>
              <w:pStyle w:val="Heading3-table"/>
            </w:pPr>
            <w:r>
              <w:t>Adverse Event (AE)</w:t>
            </w:r>
          </w:p>
        </w:tc>
      </w:tr>
      <w:tr w:rsidR="00067EA8" w14:paraId="4E67A160" w14:textId="77777777" w:rsidTr="00090F1A">
        <w:tc>
          <w:tcPr>
            <w:tcW w:w="1374" w:type="pct"/>
            <w:vMerge w:val="restart"/>
            <w:tcBorders>
              <w:top w:val="dotted" w:sz="4" w:space="0" w:color="auto"/>
              <w:bottom w:val="dotted" w:sz="4" w:space="0" w:color="auto"/>
            </w:tcBorders>
            <w:vAlign w:val="center"/>
          </w:tcPr>
          <w:p w14:paraId="7730269A" w14:textId="77777777" w:rsidR="00067EA8" w:rsidRDefault="00067EA8" w:rsidP="00090F1A">
            <w:r>
              <w:t>If non-serious but (possibly) attributable to the research project:</w:t>
            </w:r>
          </w:p>
        </w:tc>
        <w:tc>
          <w:tcPr>
            <w:tcW w:w="848" w:type="pct"/>
            <w:tcBorders>
              <w:top w:val="dotted" w:sz="4" w:space="0" w:color="auto"/>
              <w:bottom w:val="dotted" w:sz="4" w:space="0" w:color="auto"/>
            </w:tcBorders>
            <w:vAlign w:val="center"/>
          </w:tcPr>
          <w:p w14:paraId="0D45CAEC" w14:textId="77777777" w:rsidR="00067EA8" w:rsidRPr="00AA7306" w:rsidRDefault="00067EA8" w:rsidP="00090F1A">
            <w:r w:rsidRPr="00AA7306">
              <w:t>CTIMP</w:t>
            </w:r>
            <w:r>
              <w:t xml:space="preserve"> and all clinical trials</w:t>
            </w:r>
          </w:p>
        </w:tc>
        <w:tc>
          <w:tcPr>
            <w:tcW w:w="1602" w:type="pct"/>
            <w:tcBorders>
              <w:top w:val="dotted" w:sz="4" w:space="0" w:color="auto"/>
              <w:bottom w:val="dotted" w:sz="4" w:space="0" w:color="auto"/>
            </w:tcBorders>
            <w:vAlign w:val="center"/>
          </w:tcPr>
          <w:p w14:paraId="498685A4" w14:textId="77777777" w:rsidR="00067EA8" w:rsidRDefault="00067EA8" w:rsidP="00090F1A">
            <w:r>
              <w:t>Adverse Reaction</w:t>
            </w:r>
          </w:p>
        </w:tc>
        <w:tc>
          <w:tcPr>
            <w:tcW w:w="1176" w:type="pct"/>
            <w:vMerge/>
            <w:tcBorders>
              <w:top w:val="dotted" w:sz="4" w:space="0" w:color="auto"/>
              <w:bottom w:val="dotted" w:sz="4" w:space="0" w:color="auto"/>
            </w:tcBorders>
            <w:vAlign w:val="center"/>
          </w:tcPr>
          <w:p w14:paraId="48C1D07A" w14:textId="77777777" w:rsidR="00067EA8" w:rsidRDefault="00067EA8" w:rsidP="00090F1A">
            <w:pPr>
              <w:pStyle w:val="Heading3-table"/>
            </w:pPr>
          </w:p>
        </w:tc>
      </w:tr>
      <w:tr w:rsidR="00067EA8" w14:paraId="2FDBDFD0" w14:textId="77777777" w:rsidTr="00090F1A">
        <w:tc>
          <w:tcPr>
            <w:tcW w:w="1374" w:type="pct"/>
            <w:vMerge/>
            <w:tcBorders>
              <w:top w:val="dotted" w:sz="4" w:space="0" w:color="auto"/>
              <w:bottom w:val="dotted" w:sz="4" w:space="0" w:color="auto"/>
            </w:tcBorders>
            <w:vAlign w:val="center"/>
          </w:tcPr>
          <w:p w14:paraId="78A6BD88" w14:textId="77777777" w:rsidR="00067EA8" w:rsidRDefault="00067EA8" w:rsidP="00090F1A"/>
        </w:tc>
        <w:tc>
          <w:tcPr>
            <w:tcW w:w="848" w:type="pct"/>
            <w:tcBorders>
              <w:top w:val="dotted" w:sz="4" w:space="0" w:color="auto"/>
              <w:bottom w:val="dotted" w:sz="4" w:space="0" w:color="auto"/>
            </w:tcBorders>
            <w:vAlign w:val="center"/>
          </w:tcPr>
          <w:p w14:paraId="2FC20C8F" w14:textId="77777777" w:rsidR="00067EA8" w:rsidRPr="00AA7306" w:rsidRDefault="00067EA8" w:rsidP="00090F1A">
            <w:r w:rsidRPr="00AA7306">
              <w:t>Medical Device</w:t>
            </w:r>
          </w:p>
        </w:tc>
        <w:tc>
          <w:tcPr>
            <w:tcW w:w="1602" w:type="pct"/>
            <w:tcBorders>
              <w:top w:val="dotted" w:sz="4" w:space="0" w:color="auto"/>
              <w:bottom w:val="dotted" w:sz="4" w:space="0" w:color="auto"/>
            </w:tcBorders>
            <w:vAlign w:val="center"/>
          </w:tcPr>
          <w:p w14:paraId="4268910E" w14:textId="77777777" w:rsidR="00067EA8" w:rsidRDefault="00067EA8" w:rsidP="00090F1A">
            <w:r>
              <w:t>Adverse Device Effect (ADE)</w:t>
            </w:r>
          </w:p>
        </w:tc>
        <w:tc>
          <w:tcPr>
            <w:tcW w:w="1176" w:type="pct"/>
            <w:vMerge/>
            <w:tcBorders>
              <w:top w:val="dotted" w:sz="4" w:space="0" w:color="auto"/>
              <w:bottom w:val="dotted" w:sz="4" w:space="0" w:color="auto"/>
            </w:tcBorders>
            <w:vAlign w:val="center"/>
          </w:tcPr>
          <w:p w14:paraId="4091AE63" w14:textId="77777777" w:rsidR="00067EA8" w:rsidRDefault="00067EA8" w:rsidP="00090F1A">
            <w:pPr>
              <w:pStyle w:val="Heading3-table"/>
            </w:pPr>
          </w:p>
        </w:tc>
      </w:tr>
      <w:tr w:rsidR="00067EA8" w14:paraId="08C21434" w14:textId="77777777" w:rsidTr="00090F1A">
        <w:tc>
          <w:tcPr>
            <w:tcW w:w="1374" w:type="pct"/>
            <w:vMerge/>
            <w:tcBorders>
              <w:top w:val="dotted" w:sz="4" w:space="0" w:color="auto"/>
              <w:bottom w:val="single" w:sz="4" w:space="0" w:color="auto"/>
            </w:tcBorders>
            <w:vAlign w:val="center"/>
          </w:tcPr>
          <w:p w14:paraId="2125EBDB" w14:textId="77777777" w:rsidR="00067EA8" w:rsidRDefault="00067EA8" w:rsidP="00090F1A"/>
        </w:tc>
        <w:tc>
          <w:tcPr>
            <w:tcW w:w="848" w:type="pct"/>
            <w:tcBorders>
              <w:top w:val="dotted" w:sz="4" w:space="0" w:color="auto"/>
              <w:bottom w:val="single" w:sz="4" w:space="0" w:color="auto"/>
            </w:tcBorders>
            <w:vAlign w:val="center"/>
          </w:tcPr>
          <w:p w14:paraId="46D5FA5D" w14:textId="77777777" w:rsidR="00067EA8" w:rsidRPr="00AA7306" w:rsidRDefault="00067EA8" w:rsidP="00090F1A">
            <w:r w:rsidRPr="00AA7306">
              <w:t>Non-CTIMP</w:t>
            </w:r>
          </w:p>
        </w:tc>
        <w:tc>
          <w:tcPr>
            <w:tcW w:w="1602" w:type="pct"/>
            <w:tcBorders>
              <w:top w:val="dotted" w:sz="4" w:space="0" w:color="auto"/>
              <w:bottom w:val="single" w:sz="4" w:space="0" w:color="auto"/>
            </w:tcBorders>
            <w:vAlign w:val="center"/>
          </w:tcPr>
          <w:p w14:paraId="19F29868" w14:textId="77777777" w:rsidR="00067EA8" w:rsidRDefault="00067EA8" w:rsidP="00090F1A">
            <w:r>
              <w:t>Related Event</w:t>
            </w:r>
          </w:p>
        </w:tc>
        <w:tc>
          <w:tcPr>
            <w:tcW w:w="1176" w:type="pct"/>
            <w:vMerge/>
            <w:tcBorders>
              <w:top w:val="dotted" w:sz="4" w:space="0" w:color="auto"/>
              <w:bottom w:val="single" w:sz="4" w:space="0" w:color="auto"/>
            </w:tcBorders>
            <w:vAlign w:val="center"/>
          </w:tcPr>
          <w:p w14:paraId="0ACD805D" w14:textId="77777777" w:rsidR="00067EA8" w:rsidRDefault="00067EA8" w:rsidP="00090F1A">
            <w:pPr>
              <w:pStyle w:val="Heading3-table"/>
            </w:pPr>
          </w:p>
        </w:tc>
      </w:tr>
      <w:tr w:rsidR="00067EA8" w14:paraId="2D3B45D7" w14:textId="77777777" w:rsidTr="00090F1A">
        <w:tc>
          <w:tcPr>
            <w:tcW w:w="1374" w:type="pct"/>
            <w:tcBorders>
              <w:top w:val="single" w:sz="4" w:space="0" w:color="auto"/>
              <w:bottom w:val="single" w:sz="4" w:space="0" w:color="auto"/>
            </w:tcBorders>
            <w:vAlign w:val="center"/>
          </w:tcPr>
          <w:p w14:paraId="188DCD02" w14:textId="77777777" w:rsidR="00067EA8" w:rsidRDefault="00067EA8" w:rsidP="00090F1A">
            <w:r>
              <w:t>If serious and not attributable to the research project:</w:t>
            </w:r>
          </w:p>
        </w:tc>
        <w:tc>
          <w:tcPr>
            <w:tcW w:w="848" w:type="pct"/>
            <w:tcBorders>
              <w:top w:val="single" w:sz="4" w:space="0" w:color="auto"/>
              <w:bottom w:val="single" w:sz="4" w:space="0" w:color="auto"/>
            </w:tcBorders>
            <w:vAlign w:val="center"/>
          </w:tcPr>
          <w:p w14:paraId="12FE8F76" w14:textId="77777777" w:rsidR="00067EA8" w:rsidRPr="00AA7306" w:rsidRDefault="00067EA8" w:rsidP="00090F1A">
            <w:r w:rsidRPr="00AA7306">
              <w:t xml:space="preserve">All </w:t>
            </w:r>
            <w:r>
              <w:t>research projects</w:t>
            </w:r>
          </w:p>
        </w:tc>
        <w:tc>
          <w:tcPr>
            <w:tcW w:w="1602" w:type="pct"/>
            <w:tcBorders>
              <w:top w:val="single" w:sz="4" w:space="0" w:color="auto"/>
              <w:bottom w:val="single" w:sz="4" w:space="0" w:color="auto"/>
            </w:tcBorders>
            <w:vAlign w:val="center"/>
          </w:tcPr>
          <w:p w14:paraId="4AD24B27" w14:textId="77777777" w:rsidR="00067EA8" w:rsidRDefault="00067EA8" w:rsidP="00090F1A">
            <w:r>
              <w:t>Serious Adverse Event (SAE)</w:t>
            </w:r>
          </w:p>
        </w:tc>
        <w:tc>
          <w:tcPr>
            <w:tcW w:w="1176" w:type="pct"/>
            <w:tcBorders>
              <w:top w:val="single" w:sz="4" w:space="0" w:color="auto"/>
              <w:bottom w:val="single" w:sz="4" w:space="0" w:color="auto"/>
            </w:tcBorders>
            <w:vAlign w:val="center"/>
          </w:tcPr>
          <w:p w14:paraId="0099F43C" w14:textId="77777777" w:rsidR="00067EA8" w:rsidRDefault="00067EA8" w:rsidP="00090F1A">
            <w:pPr>
              <w:pStyle w:val="Heading3-table"/>
            </w:pPr>
            <w:r>
              <w:t>Serious Adverse Event (SAE)</w:t>
            </w:r>
          </w:p>
        </w:tc>
      </w:tr>
      <w:tr w:rsidR="00067EA8" w14:paraId="3A98C43A" w14:textId="77777777" w:rsidTr="00090F1A">
        <w:tc>
          <w:tcPr>
            <w:tcW w:w="1374" w:type="pct"/>
            <w:vMerge w:val="restart"/>
            <w:tcBorders>
              <w:top w:val="single" w:sz="4" w:space="0" w:color="auto"/>
              <w:bottom w:val="dotted" w:sz="4" w:space="0" w:color="auto"/>
            </w:tcBorders>
            <w:vAlign w:val="center"/>
          </w:tcPr>
          <w:p w14:paraId="55F30ABE" w14:textId="77777777" w:rsidR="00067EA8" w:rsidRDefault="00067EA8" w:rsidP="00090F1A">
            <w:r>
              <w:t>If possibly related to the research project and consistent with Reference Safety Information (RSI) (or equivalent):</w:t>
            </w:r>
          </w:p>
        </w:tc>
        <w:tc>
          <w:tcPr>
            <w:tcW w:w="848" w:type="pct"/>
            <w:tcBorders>
              <w:top w:val="single" w:sz="4" w:space="0" w:color="auto"/>
              <w:bottom w:val="dotted" w:sz="4" w:space="0" w:color="auto"/>
            </w:tcBorders>
            <w:vAlign w:val="center"/>
          </w:tcPr>
          <w:p w14:paraId="67F004DC" w14:textId="77777777" w:rsidR="00067EA8" w:rsidRPr="00AA7306" w:rsidRDefault="00067EA8" w:rsidP="00090F1A">
            <w:r w:rsidRPr="00AA7306">
              <w:t>CTIMP</w:t>
            </w:r>
          </w:p>
        </w:tc>
        <w:tc>
          <w:tcPr>
            <w:tcW w:w="1602" w:type="pct"/>
            <w:tcBorders>
              <w:top w:val="single" w:sz="4" w:space="0" w:color="auto"/>
              <w:bottom w:val="dotted" w:sz="4" w:space="0" w:color="auto"/>
            </w:tcBorders>
            <w:vAlign w:val="center"/>
          </w:tcPr>
          <w:p w14:paraId="7DF74861" w14:textId="77777777" w:rsidR="00067EA8" w:rsidRDefault="00067EA8" w:rsidP="00090F1A">
            <w:r>
              <w:t>Serious Adverse Reaction (SAR)</w:t>
            </w:r>
          </w:p>
        </w:tc>
        <w:tc>
          <w:tcPr>
            <w:tcW w:w="1176" w:type="pct"/>
            <w:vMerge w:val="restart"/>
            <w:tcBorders>
              <w:top w:val="single" w:sz="4" w:space="0" w:color="auto"/>
            </w:tcBorders>
            <w:vAlign w:val="center"/>
          </w:tcPr>
          <w:p w14:paraId="12A0B6FD" w14:textId="77777777" w:rsidR="00067EA8" w:rsidRDefault="00067EA8" w:rsidP="00090F1A">
            <w:pPr>
              <w:pStyle w:val="Heading3-table"/>
            </w:pPr>
            <w:r>
              <w:t>Serious Adverse Reaction (SAR)</w:t>
            </w:r>
          </w:p>
        </w:tc>
      </w:tr>
      <w:tr w:rsidR="00067EA8" w14:paraId="25CAFA9E" w14:textId="77777777" w:rsidTr="00090F1A">
        <w:tc>
          <w:tcPr>
            <w:tcW w:w="1374" w:type="pct"/>
            <w:vMerge/>
            <w:tcBorders>
              <w:top w:val="dotted" w:sz="4" w:space="0" w:color="auto"/>
              <w:bottom w:val="dotted" w:sz="4" w:space="0" w:color="auto"/>
            </w:tcBorders>
            <w:vAlign w:val="center"/>
          </w:tcPr>
          <w:p w14:paraId="11ACC761" w14:textId="77777777" w:rsidR="00067EA8" w:rsidRDefault="00067EA8" w:rsidP="00090F1A"/>
        </w:tc>
        <w:tc>
          <w:tcPr>
            <w:tcW w:w="848" w:type="pct"/>
            <w:tcBorders>
              <w:top w:val="dotted" w:sz="4" w:space="0" w:color="auto"/>
              <w:bottom w:val="dotted" w:sz="4" w:space="0" w:color="auto"/>
            </w:tcBorders>
            <w:vAlign w:val="center"/>
          </w:tcPr>
          <w:p w14:paraId="2C6993B4" w14:textId="77777777" w:rsidR="00067EA8" w:rsidRPr="00AA7306" w:rsidRDefault="00067EA8" w:rsidP="00090F1A">
            <w:r w:rsidRPr="00AA7306">
              <w:t>Medical Device</w:t>
            </w:r>
          </w:p>
        </w:tc>
        <w:tc>
          <w:tcPr>
            <w:tcW w:w="1602" w:type="pct"/>
            <w:tcBorders>
              <w:top w:val="dotted" w:sz="4" w:space="0" w:color="auto"/>
              <w:bottom w:val="dotted" w:sz="4" w:space="0" w:color="auto"/>
            </w:tcBorders>
            <w:vAlign w:val="center"/>
          </w:tcPr>
          <w:p w14:paraId="69543475" w14:textId="77777777" w:rsidR="00067EA8" w:rsidRDefault="00067EA8" w:rsidP="00090F1A">
            <w:r>
              <w:t>Anticipated Serious Adverse Device Effect (ASADE)</w:t>
            </w:r>
          </w:p>
        </w:tc>
        <w:tc>
          <w:tcPr>
            <w:tcW w:w="1176" w:type="pct"/>
            <w:vMerge/>
            <w:tcBorders>
              <w:bottom w:val="dotted" w:sz="4" w:space="0" w:color="auto"/>
            </w:tcBorders>
            <w:vAlign w:val="center"/>
          </w:tcPr>
          <w:p w14:paraId="5E6D6510" w14:textId="77777777" w:rsidR="00067EA8" w:rsidRDefault="00067EA8" w:rsidP="00090F1A">
            <w:pPr>
              <w:pStyle w:val="Heading3-table"/>
            </w:pPr>
          </w:p>
        </w:tc>
      </w:tr>
      <w:tr w:rsidR="00067EA8" w14:paraId="5529D9D1" w14:textId="77777777" w:rsidTr="00090F1A">
        <w:tc>
          <w:tcPr>
            <w:tcW w:w="1374" w:type="pct"/>
            <w:vMerge w:val="restart"/>
            <w:tcBorders>
              <w:top w:val="single" w:sz="4" w:space="0" w:color="auto"/>
            </w:tcBorders>
            <w:vAlign w:val="center"/>
          </w:tcPr>
          <w:p w14:paraId="76FD5723" w14:textId="77777777" w:rsidR="00067EA8" w:rsidRDefault="00067EA8" w:rsidP="00090F1A">
            <w:r>
              <w:t xml:space="preserve">If possibly related to the research project and </w:t>
            </w:r>
            <w:r w:rsidRPr="00AA7306">
              <w:rPr>
                <w:b/>
              </w:rPr>
              <w:t>not</w:t>
            </w:r>
            <w:r>
              <w:t xml:space="preserve"> consistent with RSI (or equivalent):</w:t>
            </w:r>
          </w:p>
        </w:tc>
        <w:tc>
          <w:tcPr>
            <w:tcW w:w="848" w:type="pct"/>
            <w:tcBorders>
              <w:top w:val="single" w:sz="4" w:space="0" w:color="auto"/>
            </w:tcBorders>
            <w:vAlign w:val="center"/>
          </w:tcPr>
          <w:p w14:paraId="7004CE73" w14:textId="77777777" w:rsidR="00067EA8" w:rsidRPr="00AA7306" w:rsidRDefault="00067EA8" w:rsidP="00090F1A">
            <w:r w:rsidRPr="00AA7306">
              <w:t>CTIMP</w:t>
            </w:r>
          </w:p>
        </w:tc>
        <w:tc>
          <w:tcPr>
            <w:tcW w:w="1602" w:type="pct"/>
            <w:tcBorders>
              <w:top w:val="single" w:sz="4" w:space="0" w:color="auto"/>
            </w:tcBorders>
            <w:vAlign w:val="center"/>
          </w:tcPr>
          <w:p w14:paraId="037111FC" w14:textId="77777777" w:rsidR="00067EA8" w:rsidRDefault="00067EA8" w:rsidP="00090F1A">
            <w:r>
              <w:t>Suspected Unexpected Serious Adverse Reaction (SUSAR)</w:t>
            </w:r>
          </w:p>
        </w:tc>
        <w:tc>
          <w:tcPr>
            <w:tcW w:w="1176" w:type="pct"/>
            <w:vMerge w:val="restart"/>
            <w:tcBorders>
              <w:top w:val="single" w:sz="4" w:space="0" w:color="auto"/>
            </w:tcBorders>
            <w:vAlign w:val="center"/>
          </w:tcPr>
          <w:p w14:paraId="23CB9BEF" w14:textId="77777777" w:rsidR="00067EA8" w:rsidRDefault="00067EA8" w:rsidP="00090F1A">
            <w:pPr>
              <w:pStyle w:val="Heading3-table"/>
            </w:pPr>
            <w:r w:rsidRPr="0089673B">
              <w:t>Suspected Unexpected Serious Adverse Reaction (SUSAR)</w:t>
            </w:r>
          </w:p>
        </w:tc>
      </w:tr>
      <w:tr w:rsidR="00067EA8" w14:paraId="3257DC27" w14:textId="77777777" w:rsidTr="00090F1A">
        <w:tc>
          <w:tcPr>
            <w:tcW w:w="1374" w:type="pct"/>
            <w:vMerge/>
            <w:vAlign w:val="center"/>
          </w:tcPr>
          <w:p w14:paraId="41961765" w14:textId="77777777" w:rsidR="00067EA8" w:rsidRDefault="00067EA8" w:rsidP="00090F1A"/>
        </w:tc>
        <w:tc>
          <w:tcPr>
            <w:tcW w:w="848" w:type="pct"/>
            <w:vAlign w:val="center"/>
          </w:tcPr>
          <w:p w14:paraId="360C49D2" w14:textId="77777777" w:rsidR="00067EA8" w:rsidRPr="00AA7306" w:rsidRDefault="00067EA8" w:rsidP="00090F1A">
            <w:r w:rsidRPr="00AA7306">
              <w:t>Medical Device</w:t>
            </w:r>
          </w:p>
        </w:tc>
        <w:tc>
          <w:tcPr>
            <w:tcW w:w="1602" w:type="pct"/>
            <w:vAlign w:val="center"/>
          </w:tcPr>
          <w:p w14:paraId="1078C5BF" w14:textId="77777777" w:rsidR="00067EA8" w:rsidRDefault="00067EA8" w:rsidP="00090F1A">
            <w:r>
              <w:t>Unanticipated Serious Adverse Device Effect (USADE)</w:t>
            </w:r>
          </w:p>
        </w:tc>
        <w:tc>
          <w:tcPr>
            <w:tcW w:w="1176" w:type="pct"/>
            <w:vMerge/>
            <w:vAlign w:val="center"/>
          </w:tcPr>
          <w:p w14:paraId="0446FCAB" w14:textId="77777777" w:rsidR="00067EA8" w:rsidRDefault="00067EA8" w:rsidP="00090F1A"/>
        </w:tc>
      </w:tr>
    </w:tbl>
    <w:p w14:paraId="15F610C6" w14:textId="77777777" w:rsidR="00067EA8" w:rsidRDefault="00067EA8" w:rsidP="00067EA8">
      <w:pPr>
        <w:sectPr w:rsidR="00067EA8" w:rsidSect="00D668C2">
          <w:headerReference w:type="even" r:id="rId17"/>
          <w:headerReference w:type="default" r:id="rId18"/>
          <w:footerReference w:type="even" r:id="rId19"/>
          <w:footerReference w:type="default" r:id="rId20"/>
          <w:headerReference w:type="first" r:id="rId21"/>
          <w:footerReference w:type="first" r:id="rId22"/>
          <w:pgSz w:w="11907" w:h="16839" w:code="9"/>
          <w:pgMar w:top="1440" w:right="1440" w:bottom="1440" w:left="1440" w:header="567" w:footer="397" w:gutter="0"/>
          <w:pgBorders>
            <w:top w:val="single" w:sz="12" w:space="3" w:color="943634"/>
            <w:bottom w:val="single" w:sz="12" w:space="3" w:color="943634"/>
          </w:pgBorders>
          <w:cols w:space="708"/>
          <w:docGrid w:linePitch="360"/>
        </w:sectPr>
      </w:pPr>
      <w:r w:rsidRPr="00983E11">
        <w:t xml:space="preserve">See </w:t>
      </w:r>
      <w:r w:rsidRPr="00EB6BEE">
        <w:t>Abbreviations and Definitions</w:t>
      </w:r>
      <w:r w:rsidRPr="00983E11">
        <w:t xml:space="preserve"> section at the end of the SOP for further terms used.</w:t>
      </w:r>
    </w:p>
    <w:p w14:paraId="6FA58833" w14:textId="0E334F52" w:rsidR="00067EA8" w:rsidRDefault="005B1D01" w:rsidP="00067EA8">
      <w:pPr>
        <w:pStyle w:val="Heading2"/>
        <w:sectPr w:rsidR="00067EA8" w:rsidSect="00067EA8">
          <w:footerReference w:type="default" r:id="rId23"/>
          <w:pgSz w:w="16839" w:h="11907" w:orient="landscape" w:code="9"/>
          <w:pgMar w:top="1440" w:right="1440" w:bottom="1440" w:left="1440" w:header="567" w:footer="397" w:gutter="0"/>
          <w:pgBorders>
            <w:top w:val="single" w:sz="12" w:space="3" w:color="943634"/>
            <w:bottom w:val="single" w:sz="12" w:space="3" w:color="943634"/>
          </w:pgBorders>
          <w:cols w:space="708"/>
          <w:docGrid w:linePitch="360"/>
        </w:sectPr>
      </w:pPr>
      <w:r>
        <w:rPr>
          <w:noProof/>
        </w:rPr>
        <w:lastRenderedPageBreak/>
        <w:object w:dxaOrig="1440" w:dyaOrig="1440" w14:anchorId="7DC3B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Decision tree for AE reporting and timelines. Details also stated in the Procedure section of this document." style="position:absolute;margin-left:0;margin-top:11.3pt;width:711.65pt;height:439.4pt;z-index:251658240;mso-position-horizontal:center;mso-position-horizontal-relative:text;mso-position-vertical:absolute;mso-position-vertical-relative:text" wrapcoords="7355 38 6427 601 6427 676 7331 1240 2923 1465 2691 1465 2691 1841 2134 1878 2088 1916 2088 3043 2366 3644 487 4658 418 4771 2668 6048 858 6198 116 6386 116 7851 0 8227 -23 10030 1230 10255 3063 10255 2065 10443 1902 10518 1902 13110 5243 13261 13805 13261 13805 13862 3364 14200 3364 15439 3596 15665 3991 15665 1090 15928 928 15928 928 16266 70 16641 70 17843 418 18069 928 18069 209 18332 70 18407 70 21525 21600 21525 21600 18407 21414 18332 20231 18069 20718 18069 21113 17806 21136 16454 21020 16378 20231 16266 20278 15928 20092 15928 16635 15665 16983 15665 17261 15402 17285 14237 16913 14162 13921 13862 13944 13261 14570 12659 20115 12547 20115 11270 14199 10856 13921 10255 15429 10255 16171 10067 16194 8678 16055 8565 15568 8377 15336 8227 14524 7851 14547 6386 13805 6198 12157 6048 21322 5935 21322 1240 7563 1240 8492 639 7540 38 7355 38">
            <v:imagedata r:id="rId24" o:title=""/>
            <w10:wrap type="tight"/>
          </v:shape>
          <o:OLEObject Type="Embed" ProgID="Visio.Drawing.15" ShapeID="_x0000_s2050" DrawAspect="Content" ObjectID="_1732092832" r:id="rId25"/>
        </w:object>
      </w:r>
      <w:r w:rsidR="00067EA8" w:rsidRPr="00983E11">
        <w:t xml:space="preserve">Decision </w:t>
      </w:r>
      <w:r w:rsidR="00067EA8">
        <w:t>t</w:t>
      </w:r>
      <w:r w:rsidR="00067EA8" w:rsidRPr="00983E11">
        <w:t xml:space="preserve">ree for </w:t>
      </w:r>
      <w:r w:rsidR="00067EA8">
        <w:t>AE</w:t>
      </w:r>
      <w:r w:rsidR="00067EA8" w:rsidRPr="00983E11">
        <w:t xml:space="preserve"> </w:t>
      </w:r>
      <w:r w:rsidR="00067EA8">
        <w:t>r</w:t>
      </w:r>
      <w:r w:rsidR="00067EA8" w:rsidRPr="00983E11">
        <w:t>eporting</w:t>
      </w:r>
      <w:r w:rsidR="00067EA8">
        <w:t xml:space="preserve"> and timelines</w:t>
      </w:r>
    </w:p>
    <w:p w14:paraId="29BCF013" w14:textId="0D0AEF12" w:rsidR="009A221B" w:rsidRPr="009A221B" w:rsidRDefault="00B14826" w:rsidP="0060052C">
      <w:pPr>
        <w:pStyle w:val="Heading1"/>
      </w:pPr>
      <w:r>
        <w:lastRenderedPageBreak/>
        <w:t>Process map</w:t>
      </w:r>
    </w:p>
    <w:p w14:paraId="5052E3F1" w14:textId="695433ED" w:rsidR="00B14826" w:rsidRDefault="00067EA8" w:rsidP="009A221B">
      <w:pPr>
        <w:jc w:val="center"/>
      </w:pPr>
      <w:r>
        <w:object w:dxaOrig="9741" w:dyaOrig="14541" w14:anchorId="2A9D22FE">
          <v:shape id="_x0000_i1026" type="#_x0000_t75" alt="Process Map outlining the steps detailed in the document" style="width:442.5pt;height:657.75pt" o:ole="">
            <v:imagedata r:id="rId26" o:title=""/>
          </v:shape>
          <o:OLEObject Type="Embed" ProgID="Visio.Drawing.15" ShapeID="_x0000_i1026" DrawAspect="Content" ObjectID="_1732092831" r:id="rId27"/>
        </w:object>
      </w:r>
    </w:p>
    <w:p w14:paraId="16FF62A1" w14:textId="5C89C0D4" w:rsidR="00E22773" w:rsidRPr="00435EAE" w:rsidRDefault="00C3647F">
      <w:pPr>
        <w:pStyle w:val="Heading1"/>
      </w:pPr>
      <w:r w:rsidRPr="00435EAE">
        <w:lastRenderedPageBreak/>
        <w:t>Procedure</w:t>
      </w:r>
    </w:p>
    <w:p w14:paraId="0E6F8A48" w14:textId="77777777" w:rsidR="00067EA8" w:rsidRDefault="00067EA8" w:rsidP="00067EA8">
      <w:pPr>
        <w:pStyle w:val="Heading2"/>
      </w:pPr>
      <w:r>
        <w:t>Setup</w:t>
      </w:r>
    </w:p>
    <w:p w14:paraId="6818A7DF" w14:textId="77777777" w:rsidR="00067EA8" w:rsidRPr="00124402" w:rsidRDefault="00067EA8" w:rsidP="00067EA8">
      <w:pPr>
        <w:pStyle w:val="Heading3"/>
      </w:pPr>
      <w:r w:rsidRPr="00124402">
        <w:t>Decide on the level of AE reporting required</w:t>
      </w:r>
    </w:p>
    <w:p w14:paraId="14ED0D4D" w14:textId="77777777" w:rsidR="00067EA8" w:rsidRPr="00124402" w:rsidRDefault="00067EA8" w:rsidP="00067EA8">
      <w:pPr>
        <w:pStyle w:val="Numberlist"/>
        <w:numPr>
          <w:ilvl w:val="0"/>
          <w:numId w:val="12"/>
        </w:numPr>
      </w:pPr>
      <w:r w:rsidRPr="00124402">
        <w:t xml:space="preserve">The CI (or delegate) will decide on the requirements for AE reporting in accordance with applicable regulations and guidance, based on the risk of the </w:t>
      </w:r>
      <w:r>
        <w:t xml:space="preserve">clinical </w:t>
      </w:r>
      <w:r w:rsidRPr="00124402">
        <w:t>research project to the participants and the research project objectives.</w:t>
      </w:r>
    </w:p>
    <w:p w14:paraId="6523FD0A" w14:textId="10DB6476" w:rsidR="00067EA8" w:rsidRDefault="00067EA8" w:rsidP="00067EA8">
      <w:pPr>
        <w:pStyle w:val="Numberlist"/>
        <w:numPr>
          <w:ilvl w:val="0"/>
          <w:numId w:val="12"/>
        </w:numPr>
      </w:pPr>
      <w:r w:rsidRPr="00124402">
        <w:t xml:space="preserve">The CI (or delegate) will </w:t>
      </w:r>
      <w:r>
        <w:t xml:space="preserve">document the </w:t>
      </w:r>
      <w:r w:rsidRPr="00124402">
        <w:t xml:space="preserve">AE </w:t>
      </w:r>
      <w:r>
        <w:t xml:space="preserve">recording and </w:t>
      </w:r>
      <w:r w:rsidRPr="00124402">
        <w:t>reporting requirements</w:t>
      </w:r>
      <w:r>
        <w:t xml:space="preserve"> (e.g., in the protocol or UoB REC application).</w:t>
      </w:r>
      <w:r w:rsidRPr="00124402">
        <w:t xml:space="preserve"> </w:t>
      </w:r>
      <w:r>
        <w:t>S</w:t>
      </w:r>
      <w:r w:rsidRPr="00124402">
        <w:t xml:space="preserve">ee </w:t>
      </w:r>
      <w:r>
        <w:t xml:space="preserve">either </w:t>
      </w:r>
      <w:r>
        <w:rPr>
          <w:rStyle w:val="ReferencestootherSOPsQCDsChar"/>
          <w:rFonts w:eastAsiaTheme="minorHAnsi"/>
        </w:rPr>
        <w:t xml:space="preserve">Protocol Template - CTIMP (UoB-CLN-PRO-QCD-002) </w:t>
      </w:r>
      <w:r>
        <w:t xml:space="preserve">or </w:t>
      </w:r>
      <w:r>
        <w:rPr>
          <w:rStyle w:val="ReferencestootherSOPsQCDsChar"/>
          <w:rFonts w:eastAsiaTheme="minorHAnsi"/>
        </w:rPr>
        <w:t>Protocol Template - Non-CTIMP &amp; Studies (UoB-CRT-NCTM-QCD-001)</w:t>
      </w:r>
      <w:r w:rsidRPr="00124402">
        <w:t xml:space="preserve">. This will include:  </w:t>
      </w:r>
    </w:p>
    <w:p w14:paraId="30AF6012" w14:textId="77777777" w:rsidR="00067EA8" w:rsidRPr="00124402" w:rsidRDefault="00067EA8" w:rsidP="00067EA8">
      <w:pPr>
        <w:pStyle w:val="bullet2"/>
      </w:pPr>
      <w:r>
        <w:t>Decisions on which adverse events need to be recorded to ensure the safety of the participants and the integrity of the data.</w:t>
      </w:r>
    </w:p>
    <w:p w14:paraId="53055A8B" w14:textId="77777777" w:rsidR="00067EA8" w:rsidRDefault="00067EA8" w:rsidP="00067EA8">
      <w:pPr>
        <w:pStyle w:val="bullet2"/>
      </w:pPr>
      <w:r w:rsidRPr="00124402">
        <w:t>What AEs could reasonably be expected and the timeframe such events may appear</w:t>
      </w:r>
      <w:r>
        <w:t>.</w:t>
      </w:r>
    </w:p>
    <w:p w14:paraId="0F6F75B1" w14:textId="77777777" w:rsidR="00067EA8" w:rsidRDefault="00067EA8" w:rsidP="00067EA8">
      <w:pPr>
        <w:pStyle w:val="bullet3"/>
        <w:ind w:left="1021" w:hanging="341"/>
      </w:pPr>
      <w:r>
        <w:t>For studies,</w:t>
      </w:r>
      <w:r w:rsidRPr="00CD65E7">
        <w:t xml:space="preserve"> the CI (or delegate) will specify a process for recording and managing </w:t>
      </w:r>
      <w:r>
        <w:t xml:space="preserve">non-medical </w:t>
      </w:r>
      <w:r w:rsidRPr="00CD65E7">
        <w:t>AEs</w:t>
      </w:r>
      <w:r>
        <w:t xml:space="preserve">; for example, distress caused by completing a psychological questionnaire may be managed by the inclusion of a helpline number at the end. </w:t>
      </w:r>
    </w:p>
    <w:p w14:paraId="4202D00E" w14:textId="77777777" w:rsidR="00067EA8" w:rsidRDefault="00067EA8" w:rsidP="00067EA8">
      <w:pPr>
        <w:pStyle w:val="bullet3"/>
        <w:ind w:left="1021" w:hanging="341"/>
      </w:pPr>
      <w:r>
        <w:t>For studies using a medicinal product according to its market authorisation, the</w:t>
      </w:r>
      <w:r w:rsidRPr="00020530">
        <w:t xml:space="preserve"> AEs would be recorded, but where related to the treatment</w:t>
      </w:r>
      <w:r>
        <w:t>;</w:t>
      </w:r>
      <w:r w:rsidRPr="00020530">
        <w:t xml:space="preserve"> reported through the normal method of yellow card scheme</w:t>
      </w:r>
      <w:r>
        <w:t xml:space="preserve"> rather than through clinical research reporting routes.</w:t>
      </w:r>
    </w:p>
    <w:p w14:paraId="00F4913E" w14:textId="77777777" w:rsidR="00067EA8" w:rsidRPr="00124402" w:rsidRDefault="00067EA8" w:rsidP="00067EA8">
      <w:pPr>
        <w:pStyle w:val="bullet3"/>
        <w:ind w:left="1021" w:hanging="341"/>
      </w:pPr>
      <w:r>
        <w:t>For trials, the CI (or delegate) will define any AEs that are of interest, or that are important to, the evaluation of the safety of the trial and document the reporting process.</w:t>
      </w:r>
    </w:p>
    <w:p w14:paraId="41749712" w14:textId="77777777" w:rsidR="00067EA8" w:rsidRPr="00124402" w:rsidRDefault="00067EA8" w:rsidP="00067EA8">
      <w:pPr>
        <w:pStyle w:val="bullet2"/>
      </w:pPr>
      <w:r w:rsidRPr="00124402">
        <w:t>Decisions on the applicable product information; for CTIMPs it is the RSI and for other research projects it is the safety information provided; for the purposes of this SOP these are referred to as ‘RSI or equivalent’</w:t>
      </w:r>
      <w:r>
        <w:t>.</w:t>
      </w:r>
    </w:p>
    <w:p w14:paraId="30D45313" w14:textId="77777777" w:rsidR="00067EA8" w:rsidRPr="00124402" w:rsidRDefault="00067EA8" w:rsidP="00067EA8">
      <w:pPr>
        <w:pStyle w:val="bullet2"/>
      </w:pPr>
      <w:r w:rsidRPr="00124402">
        <w:t>That AEs and/or laboratory</w:t>
      </w:r>
      <w:r>
        <w:t xml:space="preserve"> AEs/</w:t>
      </w:r>
      <w:r w:rsidRPr="00124402">
        <w:t>abnormalities identified in the protocol as critical to safety evaluations will be reported to the Sponsor according to the reporting requirements and within the time periods specified in the protocol</w:t>
      </w:r>
      <w:r>
        <w:t>.</w:t>
      </w:r>
    </w:p>
    <w:p w14:paraId="5C83D46C" w14:textId="77777777" w:rsidR="00067EA8" w:rsidRPr="00EF7B7D" w:rsidRDefault="00067EA8" w:rsidP="00067EA8">
      <w:pPr>
        <w:pStyle w:val="bullet2"/>
      </w:pPr>
      <w:r w:rsidRPr="00564D88">
        <w:t xml:space="preserve">Ensuring the local regulations are adhered to when conducting a research project in a site based </w:t>
      </w:r>
      <w:r>
        <w:t>outside the UK</w:t>
      </w:r>
      <w:r w:rsidRPr="00564D88">
        <w:t>.</w:t>
      </w:r>
    </w:p>
    <w:p w14:paraId="487908E1" w14:textId="77777777" w:rsidR="00067EA8" w:rsidRPr="00124402" w:rsidRDefault="00067EA8" w:rsidP="00067EA8">
      <w:pPr>
        <w:pStyle w:val="Numberlist"/>
        <w:numPr>
          <w:ilvl w:val="0"/>
          <w:numId w:val="12"/>
        </w:numPr>
      </w:pPr>
      <w:r w:rsidRPr="00124402">
        <w:t>The CI (or delegate) will decide whether certain Serious Adverse Events (SAEs) are expected, and list these in the protocol, detailing any expected SAEs that do not require expedited reporting, if applicable. Examples of SAEs may include:</w:t>
      </w:r>
    </w:p>
    <w:p w14:paraId="66566AD0" w14:textId="77777777" w:rsidR="00067EA8" w:rsidRPr="00124402" w:rsidRDefault="00067EA8" w:rsidP="00067EA8">
      <w:pPr>
        <w:pStyle w:val="bullet2"/>
      </w:pPr>
      <w:r w:rsidRPr="00124402">
        <w:t xml:space="preserve">Pre-planned hospitalisation, </w:t>
      </w:r>
      <w:proofErr w:type="gramStart"/>
      <w:r w:rsidRPr="00124402">
        <w:t>e.g.</w:t>
      </w:r>
      <w:proofErr w:type="gramEnd"/>
      <w:r w:rsidRPr="00124402">
        <w:t xml:space="preserve"> for labour and birth, or pre</w:t>
      </w:r>
      <w:r>
        <w:t>-</w:t>
      </w:r>
      <w:r w:rsidRPr="00124402">
        <w:t>planned hip replacement</w:t>
      </w:r>
      <w:r>
        <w:t>.</w:t>
      </w:r>
    </w:p>
    <w:p w14:paraId="1C4CADEB" w14:textId="77777777" w:rsidR="00067EA8" w:rsidRPr="00124402" w:rsidRDefault="00067EA8" w:rsidP="00067EA8">
      <w:pPr>
        <w:pStyle w:val="bullet2"/>
      </w:pPr>
      <w:r w:rsidRPr="00124402">
        <w:t>Prolongation of hospitalisation due to a wait for appropriate social care to be set up</w:t>
      </w:r>
      <w:r>
        <w:t>.</w:t>
      </w:r>
    </w:p>
    <w:p w14:paraId="44B8C99E" w14:textId="77777777" w:rsidR="00067EA8" w:rsidRPr="00124402" w:rsidRDefault="00067EA8" w:rsidP="00067EA8">
      <w:pPr>
        <w:pStyle w:val="Numberlist"/>
        <w:numPr>
          <w:ilvl w:val="0"/>
          <w:numId w:val="12"/>
        </w:numPr>
      </w:pPr>
      <w:r>
        <w:t>For CTIMPs, t</w:t>
      </w:r>
      <w:r w:rsidRPr="00124402">
        <w:t xml:space="preserve">he CI (or delegate) will also specify in the protocol if there are any protocol-exempt SAEs or SARs that do not require reporting to the Sponsor. Protocol-exempt SAEs and SARs do not need to be included in the Development </w:t>
      </w:r>
      <w:r>
        <w:t>S</w:t>
      </w:r>
      <w:r w:rsidRPr="00124402">
        <w:t xml:space="preserve">afety </w:t>
      </w:r>
      <w:r>
        <w:t>U</w:t>
      </w:r>
      <w:r w:rsidRPr="00124402">
        <w:t xml:space="preserve">pdate </w:t>
      </w:r>
      <w:r>
        <w:t>R</w:t>
      </w:r>
      <w:r w:rsidRPr="00124402">
        <w:t xml:space="preserve">eport (DSUR) line listing nor summary tabulations. Examples of protocol-exempt SAEs and SARs may include: </w:t>
      </w:r>
    </w:p>
    <w:p w14:paraId="001B838D" w14:textId="77777777" w:rsidR="00067EA8" w:rsidRPr="00124402" w:rsidRDefault="00067EA8" w:rsidP="00067EA8">
      <w:pPr>
        <w:pStyle w:val="bullet2"/>
      </w:pPr>
      <w:r w:rsidRPr="00124402">
        <w:t>Anticipated events from disease progression.</w:t>
      </w:r>
    </w:p>
    <w:p w14:paraId="3A9260D6" w14:textId="77777777" w:rsidR="00067EA8" w:rsidRPr="00124402" w:rsidRDefault="00067EA8" w:rsidP="00067EA8">
      <w:pPr>
        <w:pStyle w:val="bullet2"/>
      </w:pPr>
      <w:r w:rsidRPr="00124402">
        <w:t xml:space="preserve">Endpoints, </w:t>
      </w:r>
      <w:proofErr w:type="gramStart"/>
      <w:r w:rsidRPr="00124402">
        <w:t>e.g.</w:t>
      </w:r>
      <w:proofErr w:type="gramEnd"/>
      <w:r w:rsidRPr="00124402">
        <w:t xml:space="preserve"> death in myocardial infarction study.</w:t>
      </w:r>
    </w:p>
    <w:p w14:paraId="1C99B675" w14:textId="77777777" w:rsidR="00067EA8" w:rsidRPr="00124402" w:rsidRDefault="00067EA8" w:rsidP="00067EA8">
      <w:pPr>
        <w:numPr>
          <w:ilvl w:val="0"/>
          <w:numId w:val="12"/>
        </w:numPr>
        <w:rPr>
          <w:color w:val="943634"/>
        </w:rPr>
      </w:pPr>
      <w:r w:rsidRPr="00124402">
        <w:t xml:space="preserve">For </w:t>
      </w:r>
      <w:r>
        <w:t>CTIMPs,</w:t>
      </w:r>
      <w:r w:rsidRPr="00124402">
        <w:t xml:space="preserve"> the CI (or delegate) will ensure the RSI is identified or created to ensure it is known what </w:t>
      </w:r>
      <w:r>
        <w:t>AEs</w:t>
      </w:r>
      <w:r w:rsidRPr="00124402">
        <w:t xml:space="preserve"> are expected for the IMP.</w:t>
      </w:r>
    </w:p>
    <w:p w14:paraId="4FF957A8" w14:textId="77777777" w:rsidR="00067EA8" w:rsidRPr="00C422D2" w:rsidRDefault="00067EA8" w:rsidP="00067EA8">
      <w:pPr>
        <w:pStyle w:val="bullet2"/>
      </w:pPr>
      <w:r>
        <w:t>T</w:t>
      </w:r>
      <w:r w:rsidRPr="00044BEC">
        <w:t>he CI (or delegate) will prepare an Investigator Brochure (IB) if the IMP is being used outside its marketing authorisation</w:t>
      </w:r>
      <w:r>
        <w:t>. When creating the IB, the CI (or delegate) will r</w:t>
      </w:r>
      <w:r w:rsidRPr="00124402">
        <w:t xml:space="preserve">efer to </w:t>
      </w:r>
      <w:r>
        <w:t>s</w:t>
      </w:r>
      <w:r w:rsidRPr="00124402">
        <w:t xml:space="preserve">ection 7 of the </w:t>
      </w:r>
      <w:hyperlink r:id="rId28" w:tooltip="Link to ICH GCP E6 guidelines" w:history="1">
        <w:r w:rsidRPr="00771585">
          <w:rPr>
            <w:rStyle w:val="Hyperlink"/>
          </w:rPr>
          <w:t>ICH GCP E6 guideline</w:t>
        </w:r>
        <w:r>
          <w:rPr>
            <w:rStyle w:val="Hyperlink"/>
          </w:rPr>
          <w:t>s (PDF – 694 KB)</w:t>
        </w:r>
      </w:hyperlink>
      <w:r w:rsidRPr="00124402">
        <w:t xml:space="preserve">, which delineate the minimum information on what should be included in an IB and provides suggestions for its layout. </w:t>
      </w:r>
      <w:r>
        <w:t xml:space="preserve">See also the </w:t>
      </w:r>
      <w:r w:rsidRPr="00CB0F4D">
        <w:rPr>
          <w:rStyle w:val="ReferencestootherSOPsQCDsChar"/>
        </w:rPr>
        <w:t xml:space="preserve">Essential Documents </w:t>
      </w:r>
      <w:r>
        <w:rPr>
          <w:rStyle w:val="ReferencestootherSOPsQCDsChar"/>
        </w:rPr>
        <w:t>D</w:t>
      </w:r>
      <w:r w:rsidRPr="00CB0F4D">
        <w:rPr>
          <w:rStyle w:val="ReferencestootherSOPsQCDsChar"/>
        </w:rPr>
        <w:t xml:space="preserve">evelopment and </w:t>
      </w:r>
      <w:r>
        <w:rPr>
          <w:rStyle w:val="ReferencestootherSOPsQCDsChar"/>
        </w:rPr>
        <w:t>M</w:t>
      </w:r>
      <w:r w:rsidRPr="00CB0F4D">
        <w:rPr>
          <w:rStyle w:val="ReferencestootherSOPsQCDsChar"/>
        </w:rPr>
        <w:t>aintenance</w:t>
      </w:r>
      <w:r>
        <w:rPr>
          <w:rStyle w:val="ReferencestootherSOPsQCDsChar"/>
        </w:rPr>
        <w:t xml:space="preserve"> SOP (</w:t>
      </w:r>
      <w:r w:rsidRPr="00CB0F4D">
        <w:rPr>
          <w:rStyle w:val="ReferencestootherSOPsQCDsChar"/>
        </w:rPr>
        <w:t>UoB-ESD-SOP-001</w:t>
      </w:r>
      <w:r>
        <w:rPr>
          <w:rStyle w:val="ReferencestootherSOPsQCDsChar"/>
        </w:rPr>
        <w:t>)</w:t>
      </w:r>
      <w:r w:rsidRPr="00D70299">
        <w:t>.</w:t>
      </w:r>
    </w:p>
    <w:p w14:paraId="2BA4A7DE" w14:textId="77777777" w:rsidR="00067EA8" w:rsidRPr="00124402" w:rsidRDefault="00067EA8" w:rsidP="00067EA8">
      <w:pPr>
        <w:pStyle w:val="Heading3"/>
      </w:pPr>
      <w:r w:rsidRPr="00124402">
        <w:t>Develop processes for handling AEs and SAEs</w:t>
      </w:r>
    </w:p>
    <w:p w14:paraId="66C8AF56" w14:textId="77777777" w:rsidR="00067EA8" w:rsidRPr="00124402" w:rsidRDefault="00067EA8" w:rsidP="00067EA8">
      <w:pPr>
        <w:pStyle w:val="Numberlist"/>
        <w:numPr>
          <w:ilvl w:val="0"/>
          <w:numId w:val="12"/>
        </w:numPr>
      </w:pPr>
      <w:r w:rsidRPr="00124402">
        <w:t xml:space="preserve">The CI (or delegate) will develop forms and tools to capture AEs (and SAEs) </w:t>
      </w:r>
      <w:r>
        <w:t xml:space="preserve">for all research projects </w:t>
      </w:r>
      <w:r w:rsidRPr="00124402">
        <w:t>that includes the requirements for AE reporting</w:t>
      </w:r>
      <w:r>
        <w:t xml:space="preserve"> (if applicable)</w:t>
      </w:r>
      <w:r w:rsidRPr="00124402">
        <w:t xml:space="preserve"> according to the applicable regulations and/or guidance </w:t>
      </w:r>
      <w:r>
        <w:t>(</w:t>
      </w:r>
      <w:r w:rsidRPr="00124402">
        <w:t xml:space="preserve">see </w:t>
      </w:r>
      <w:r>
        <w:t>S</w:t>
      </w:r>
      <w:r w:rsidRPr="00124402">
        <w:t xml:space="preserve">afety </w:t>
      </w:r>
      <w:r>
        <w:t>R</w:t>
      </w:r>
      <w:r w:rsidRPr="00124402">
        <w:t xml:space="preserve">eporting and </w:t>
      </w:r>
      <w:r>
        <w:t>T</w:t>
      </w:r>
      <w:r w:rsidRPr="00124402">
        <w:t>imelines section below</w:t>
      </w:r>
      <w:r>
        <w:t>),</w:t>
      </w:r>
      <w:r w:rsidRPr="00124402">
        <w:t xml:space="preserve"> ensuring that:  </w:t>
      </w:r>
    </w:p>
    <w:p w14:paraId="3BFB5F38" w14:textId="77777777" w:rsidR="00067EA8" w:rsidRPr="00124402" w:rsidRDefault="00067EA8" w:rsidP="00067EA8">
      <w:pPr>
        <w:pStyle w:val="bullet2"/>
      </w:pPr>
      <w:r w:rsidRPr="00124402">
        <w:lastRenderedPageBreak/>
        <w:t>Terminology for defining events and related terms on forms (</w:t>
      </w:r>
      <w:proofErr w:type="gramStart"/>
      <w:r w:rsidRPr="00124402">
        <w:t>e.g.</w:t>
      </w:r>
      <w:proofErr w:type="gramEnd"/>
      <w:r w:rsidRPr="00124402">
        <w:t xml:space="preserve"> severity and grade) aligns with that used in the database for reporting processes</w:t>
      </w:r>
      <w:r>
        <w:t>. S</w:t>
      </w:r>
      <w:r w:rsidRPr="00124402">
        <w:t>ee</w:t>
      </w:r>
      <w:r>
        <w:t xml:space="preserve"> also the</w:t>
      </w:r>
      <w:r w:rsidRPr="00124402">
        <w:t xml:space="preserve"> </w:t>
      </w:r>
      <w:r w:rsidRPr="00124402">
        <w:rPr>
          <w:i/>
          <w:iCs/>
          <w:color w:val="943634"/>
        </w:rPr>
        <w:t xml:space="preserve">Case Report Form </w:t>
      </w:r>
      <w:r>
        <w:rPr>
          <w:i/>
          <w:iCs/>
          <w:color w:val="943634"/>
        </w:rPr>
        <w:t>D</w:t>
      </w:r>
      <w:r w:rsidRPr="00124402">
        <w:rPr>
          <w:i/>
          <w:iCs/>
          <w:color w:val="943634"/>
        </w:rPr>
        <w:t>evelopment</w:t>
      </w:r>
      <w:r>
        <w:rPr>
          <w:i/>
          <w:iCs/>
          <w:color w:val="943634"/>
        </w:rPr>
        <w:t xml:space="preserve"> SOP (</w:t>
      </w:r>
      <w:r w:rsidRPr="00124402">
        <w:rPr>
          <w:i/>
          <w:iCs/>
          <w:color w:val="943634"/>
        </w:rPr>
        <w:t>UoB-CRT-CRF-SOP-001</w:t>
      </w:r>
      <w:r>
        <w:rPr>
          <w:i/>
          <w:iCs/>
          <w:color w:val="943634"/>
        </w:rPr>
        <w:t>)</w:t>
      </w:r>
      <w:r w:rsidRPr="00124402">
        <w:t xml:space="preserve"> for further information</w:t>
      </w:r>
      <w:r>
        <w:t>.</w:t>
      </w:r>
      <w:r w:rsidRPr="00124402">
        <w:t xml:space="preserve">  </w:t>
      </w:r>
    </w:p>
    <w:p w14:paraId="3580AD2E" w14:textId="77777777" w:rsidR="00067EA8" w:rsidRPr="00124402" w:rsidRDefault="00067EA8" w:rsidP="00067EA8">
      <w:pPr>
        <w:pStyle w:val="bullet2"/>
      </w:pPr>
      <w:r w:rsidRPr="00124402">
        <w:t xml:space="preserve">An SAE Form has been developed. </w:t>
      </w:r>
      <w:r>
        <w:t>S</w:t>
      </w:r>
      <w:r w:rsidRPr="00124402">
        <w:t>ee</w:t>
      </w:r>
      <w:r>
        <w:t xml:space="preserve"> the</w:t>
      </w:r>
      <w:r w:rsidRPr="00124402">
        <w:t xml:space="preserve"> </w:t>
      </w:r>
      <w:r w:rsidRPr="00124402">
        <w:rPr>
          <w:i/>
          <w:iCs/>
          <w:color w:val="943634"/>
        </w:rPr>
        <w:t>SAE Form template</w:t>
      </w:r>
      <w:r>
        <w:rPr>
          <w:i/>
          <w:iCs/>
          <w:color w:val="943634"/>
        </w:rPr>
        <w:t xml:space="preserve"> (</w:t>
      </w:r>
      <w:r w:rsidRPr="00124402">
        <w:rPr>
          <w:i/>
          <w:iCs/>
          <w:color w:val="943634"/>
        </w:rPr>
        <w:t>UoB-AES-QCD-00</w:t>
      </w:r>
      <w:r>
        <w:rPr>
          <w:i/>
          <w:iCs/>
          <w:color w:val="943634"/>
        </w:rPr>
        <w:t>1)</w:t>
      </w:r>
      <w:r w:rsidRPr="00D70299">
        <w:t xml:space="preserve"> for an example. </w:t>
      </w:r>
      <w:r w:rsidRPr="00124402">
        <w:t xml:space="preserve">For Medical Devices, it is expected </w:t>
      </w:r>
      <w:r>
        <w:t>that</w:t>
      </w:r>
      <w:r w:rsidRPr="00124402">
        <w:t xml:space="preserve"> the </w:t>
      </w:r>
      <w:hyperlink r:id="rId29" w:tooltip="Link to MEDDEV SAE template form" w:history="1">
        <w:r w:rsidRPr="00B7473F">
          <w:rPr>
            <w:rStyle w:val="Hyperlink"/>
          </w:rPr>
          <w:t>MEDDEV SAE template form</w:t>
        </w:r>
      </w:hyperlink>
      <w:r>
        <w:t xml:space="preserve"> is used.</w:t>
      </w:r>
    </w:p>
    <w:p w14:paraId="24807C47" w14:textId="77777777" w:rsidR="00067EA8" w:rsidRPr="00124402" w:rsidRDefault="00067EA8" w:rsidP="00067EA8">
      <w:pPr>
        <w:pStyle w:val="Numberlist"/>
        <w:numPr>
          <w:ilvl w:val="0"/>
          <w:numId w:val="12"/>
        </w:numPr>
      </w:pPr>
      <w:r w:rsidRPr="00124402">
        <w:t>For research projects where pregnancy may occur, the CI (or delegate) will develop a pregnancy notification form</w:t>
      </w:r>
      <w:r>
        <w:t>. S</w:t>
      </w:r>
      <w:r w:rsidRPr="00124402">
        <w:t>ee</w:t>
      </w:r>
      <w:r>
        <w:t xml:space="preserve"> the </w:t>
      </w:r>
      <w:r w:rsidRPr="00124402">
        <w:rPr>
          <w:i/>
          <w:iCs/>
          <w:color w:val="943634"/>
        </w:rPr>
        <w:t>Pregnancy Notification Form</w:t>
      </w:r>
      <w:r>
        <w:rPr>
          <w:i/>
          <w:iCs/>
          <w:color w:val="943634"/>
        </w:rPr>
        <w:t xml:space="preserve"> (</w:t>
      </w:r>
      <w:r w:rsidRPr="00124402">
        <w:rPr>
          <w:i/>
          <w:iCs/>
          <w:color w:val="943634"/>
        </w:rPr>
        <w:t>UoB-AES-QCD-00</w:t>
      </w:r>
      <w:r>
        <w:rPr>
          <w:i/>
          <w:iCs/>
          <w:color w:val="943634"/>
        </w:rPr>
        <w:t>3)</w:t>
      </w:r>
      <w:r w:rsidRPr="00D70299">
        <w:rPr>
          <w:rStyle w:val="bullet2Char"/>
        </w:rPr>
        <w:t xml:space="preserve"> for an example</w:t>
      </w:r>
      <w:r w:rsidRPr="00124402">
        <w:t>.</w:t>
      </w:r>
    </w:p>
    <w:p w14:paraId="702C7CF7" w14:textId="77777777" w:rsidR="00067EA8" w:rsidRPr="00124402" w:rsidRDefault="00067EA8" w:rsidP="00067EA8">
      <w:pPr>
        <w:pStyle w:val="Numberlist"/>
        <w:numPr>
          <w:ilvl w:val="0"/>
          <w:numId w:val="12"/>
        </w:numPr>
      </w:pPr>
      <w:r>
        <w:t>If applicable, t</w:t>
      </w:r>
      <w:r w:rsidRPr="00124402">
        <w:t>he CI (or delegate) will develop an internal process for SAE handling</w:t>
      </w:r>
      <w:r>
        <w:t xml:space="preserve"> (see </w:t>
      </w:r>
      <w:r w:rsidRPr="00124402">
        <w:rPr>
          <w:i/>
          <w:iCs/>
          <w:color w:val="943634"/>
        </w:rPr>
        <w:t xml:space="preserve">Internal </w:t>
      </w:r>
      <w:r>
        <w:rPr>
          <w:i/>
          <w:iCs/>
          <w:color w:val="943634"/>
        </w:rPr>
        <w:t>P</w:t>
      </w:r>
      <w:r w:rsidRPr="00124402">
        <w:rPr>
          <w:i/>
          <w:iCs/>
          <w:color w:val="943634"/>
        </w:rPr>
        <w:t xml:space="preserve">rocess </w:t>
      </w:r>
      <w:r>
        <w:rPr>
          <w:i/>
          <w:iCs/>
          <w:color w:val="943634"/>
        </w:rPr>
        <w:t xml:space="preserve">Example </w:t>
      </w:r>
      <w:r w:rsidRPr="00124402">
        <w:rPr>
          <w:i/>
          <w:iCs/>
          <w:color w:val="943634"/>
        </w:rPr>
        <w:t xml:space="preserve">for SAE </w:t>
      </w:r>
      <w:r>
        <w:rPr>
          <w:i/>
          <w:iCs/>
          <w:color w:val="943634"/>
        </w:rPr>
        <w:t>H</w:t>
      </w:r>
      <w:r w:rsidRPr="00124402">
        <w:rPr>
          <w:i/>
          <w:iCs/>
          <w:color w:val="943634"/>
        </w:rPr>
        <w:t>andling</w:t>
      </w:r>
      <w:r>
        <w:rPr>
          <w:i/>
          <w:iCs/>
          <w:color w:val="943634"/>
        </w:rPr>
        <w:t xml:space="preserve"> (</w:t>
      </w:r>
      <w:r w:rsidRPr="00124402">
        <w:rPr>
          <w:i/>
          <w:iCs/>
          <w:color w:val="943634"/>
        </w:rPr>
        <w:t>UoB-AES-QCD-00</w:t>
      </w:r>
      <w:r>
        <w:rPr>
          <w:i/>
          <w:iCs/>
          <w:color w:val="943634"/>
        </w:rPr>
        <w:t>2)</w:t>
      </w:r>
      <w:r>
        <w:t>)</w:t>
      </w:r>
      <w:r w:rsidRPr="00124402">
        <w:t xml:space="preserve"> and will ensure that any Sponsor specific requirements are embedded in the process.  </w:t>
      </w:r>
    </w:p>
    <w:p w14:paraId="75C31360" w14:textId="77777777" w:rsidR="00067EA8" w:rsidRPr="00124402" w:rsidRDefault="00067EA8" w:rsidP="00067EA8">
      <w:pPr>
        <w:pStyle w:val="bullet2"/>
      </w:pPr>
      <w:r w:rsidRPr="00D44D5F">
        <w:t>It is expected that a</w:t>
      </w:r>
      <w:r>
        <w:t>n</w:t>
      </w:r>
      <w:r w:rsidRPr="00D44D5F">
        <w:t xml:space="preserve"> SAE tracking log</w:t>
      </w:r>
      <w:r w:rsidRPr="00124402">
        <w:t xml:space="preserve"> </w:t>
      </w:r>
      <w:r>
        <w:t>is</w:t>
      </w:r>
      <w:r w:rsidRPr="00124402">
        <w:t xml:space="preserve"> set up if more than 15 SAEs are </w:t>
      </w:r>
      <w:r>
        <w:t>anticipated</w:t>
      </w:r>
      <w:r w:rsidRPr="00124402">
        <w:t>.</w:t>
      </w:r>
    </w:p>
    <w:p w14:paraId="57CB4F9F" w14:textId="77777777" w:rsidR="00067EA8" w:rsidRDefault="00067EA8" w:rsidP="00067EA8">
      <w:pPr>
        <w:pStyle w:val="Numberlist"/>
        <w:numPr>
          <w:ilvl w:val="0"/>
          <w:numId w:val="12"/>
        </w:numPr>
      </w:pPr>
      <w:r>
        <w:t>For CTIMPs, the CI (or delegate) will establish and document a process for obtaining (alerts of) updates to the Summary of Product Characteristics (SmPC) or IB, as appropriate.</w:t>
      </w:r>
    </w:p>
    <w:p w14:paraId="2DBA6972" w14:textId="77777777" w:rsidR="00067EA8" w:rsidRDefault="00067EA8" w:rsidP="00067EA8">
      <w:pPr>
        <w:pStyle w:val="bullet2"/>
      </w:pPr>
      <w:r>
        <w:t>Where the IMP is being supplied by the manufacturer, it is expected that it will be the responsibility of the IMP supplier (as outlined in a contractual agreement) to promptly notify the CI/CTU of any updates to the SmPC/IB.</w:t>
      </w:r>
    </w:p>
    <w:p w14:paraId="636BF65B" w14:textId="77777777" w:rsidR="00067EA8" w:rsidRDefault="00067EA8" w:rsidP="00067EA8">
      <w:pPr>
        <w:pStyle w:val="bullet2"/>
      </w:pPr>
      <w:r>
        <w:t xml:space="preserve">Where the above is not appropriate, the CI (or delegate) will develop a process to ensure checks for updated to the SmPC/IB are made and evidence at least every quarter. </w:t>
      </w:r>
    </w:p>
    <w:p w14:paraId="3FD6E6E3" w14:textId="77777777" w:rsidR="00067EA8" w:rsidRDefault="00067EA8" w:rsidP="00067EA8">
      <w:pPr>
        <w:pStyle w:val="Numberlist"/>
        <w:numPr>
          <w:ilvl w:val="0"/>
          <w:numId w:val="12"/>
        </w:numPr>
      </w:pPr>
      <w:r>
        <w:t>F</w:t>
      </w:r>
      <w:r w:rsidRPr="00124402">
        <w:t>or CTIMP</w:t>
      </w:r>
      <w:r>
        <w:t>s, t</w:t>
      </w:r>
      <w:r w:rsidRPr="00124402">
        <w:t xml:space="preserve">he CI (or delegate) will </w:t>
      </w:r>
      <w:r>
        <w:t xml:space="preserve">ensure new user accounts are setup on the </w:t>
      </w:r>
      <w:hyperlink r:id="rId30" w:tooltip="Link to ICSR Submission portal" w:history="1">
        <w:r w:rsidRPr="00251A7D">
          <w:rPr>
            <w:rStyle w:val="Hyperlink"/>
          </w:rPr>
          <w:t>Individual Case Safety Reports (ICSR) Submission portal</w:t>
        </w:r>
      </w:hyperlink>
      <w:r>
        <w:t xml:space="preserve"> for the reporting of SUSARs. For help with creating a new user account, please contact the RGT. </w:t>
      </w:r>
      <w:r>
        <w:rPr>
          <w:color w:val="000000" w:themeColor="text1"/>
        </w:rPr>
        <w:t xml:space="preserve">See also </w:t>
      </w:r>
      <w:hyperlink r:id="rId31" w:anchor="report-an-urgent-safety-issue." w:tooltip="Link to MHRA guidance on SUSARs" w:history="1">
        <w:r w:rsidRPr="00430685">
          <w:rPr>
            <w:rStyle w:val="Hyperlink"/>
          </w:rPr>
          <w:t>MHRA guidance</w:t>
        </w:r>
      </w:hyperlink>
      <w:r w:rsidRPr="00124402">
        <w:rPr>
          <w:color w:val="00B050"/>
        </w:rPr>
        <w:t xml:space="preserve"> </w:t>
      </w:r>
      <w:r w:rsidRPr="00D70299">
        <w:t xml:space="preserve">for </w:t>
      </w:r>
      <w:r w:rsidRPr="00EF3A40">
        <w:t>further</w:t>
      </w:r>
      <w:r w:rsidRPr="00124402">
        <w:t xml:space="preserve"> inf</w:t>
      </w:r>
      <w:r>
        <w:t>ormation on SUSARs and reporting to the MHRA.</w:t>
      </w:r>
    </w:p>
    <w:p w14:paraId="32646689" w14:textId="77777777" w:rsidR="00067EA8" w:rsidRDefault="00067EA8" w:rsidP="00067EA8">
      <w:r>
        <w:t>Note: the</w:t>
      </w:r>
      <w:r w:rsidRPr="001D00DA">
        <w:t xml:space="preserve"> </w:t>
      </w:r>
      <w:proofErr w:type="spellStart"/>
      <w:r w:rsidRPr="001D00DA">
        <w:t>eSUSAR</w:t>
      </w:r>
      <w:proofErr w:type="spellEnd"/>
      <w:r w:rsidRPr="001D00DA">
        <w:t xml:space="preserve"> website </w:t>
      </w:r>
      <w:r>
        <w:t xml:space="preserve">previously </w:t>
      </w:r>
      <w:r w:rsidRPr="001D00DA">
        <w:t xml:space="preserve">used for the submission of SUSAR reports to the MHRA </w:t>
      </w:r>
      <w:r>
        <w:t xml:space="preserve">was </w:t>
      </w:r>
      <w:r w:rsidRPr="001D00DA">
        <w:t>decommissioned at the end of September 2022 and only SUSAR</w:t>
      </w:r>
      <w:r>
        <w:t>s</w:t>
      </w:r>
      <w:r w:rsidRPr="001D00DA">
        <w:t xml:space="preserve"> via ICSR Submissions portal will be accepted from 01 October 2022</w:t>
      </w:r>
      <w:r>
        <w:t>.</w:t>
      </w:r>
    </w:p>
    <w:p w14:paraId="50BE67F7" w14:textId="77777777" w:rsidR="00067EA8" w:rsidRPr="00124402" w:rsidRDefault="00067EA8" w:rsidP="00067EA8">
      <w:pPr>
        <w:pStyle w:val="Heading3"/>
      </w:pPr>
      <w:r w:rsidRPr="00124402">
        <w:t>Training</w:t>
      </w:r>
    </w:p>
    <w:p w14:paraId="33A75289" w14:textId="77777777" w:rsidR="00067EA8" w:rsidRPr="00124402" w:rsidRDefault="00067EA8" w:rsidP="00067EA8">
      <w:pPr>
        <w:pStyle w:val="Numberlist"/>
        <w:numPr>
          <w:ilvl w:val="0"/>
          <w:numId w:val="12"/>
        </w:numPr>
      </w:pPr>
      <w:r w:rsidRPr="00124402">
        <w:t>The CI (or delegate) will ensure that site staff are appropriately trained on</w:t>
      </w:r>
      <w:r>
        <w:t xml:space="preserve"> recording all AEs and</w:t>
      </w:r>
      <w:r w:rsidRPr="00124402">
        <w:t xml:space="preserve"> the research project-specific AE reporting requirements and that training is documented</w:t>
      </w:r>
      <w:r>
        <w:t xml:space="preserve"> (see </w:t>
      </w:r>
      <w:r w:rsidRPr="00D70299">
        <w:rPr>
          <w:rStyle w:val="ReferencestootherSOPsQCDsChar"/>
        </w:rPr>
        <w:t>Training</w:t>
      </w:r>
      <w:r>
        <w:rPr>
          <w:rStyle w:val="ReferencestootherSOPsQCDsChar"/>
        </w:rPr>
        <w:t xml:space="preserve"> SOP (U</w:t>
      </w:r>
      <w:r w:rsidRPr="00D70299">
        <w:rPr>
          <w:rStyle w:val="ReferencestootherSOPsQCDsChar"/>
        </w:rPr>
        <w:t>oB-</w:t>
      </w:r>
      <w:r>
        <w:rPr>
          <w:rStyle w:val="ReferencestootherSOPsQCDsChar"/>
        </w:rPr>
        <w:t>TRN</w:t>
      </w:r>
      <w:r w:rsidRPr="00D70299">
        <w:rPr>
          <w:rStyle w:val="ReferencestootherSOPsQCDsChar"/>
        </w:rPr>
        <w:t>-SOP-00</w:t>
      </w:r>
      <w:r>
        <w:rPr>
          <w:rStyle w:val="ReferencestootherSOPsQCDsChar"/>
        </w:rPr>
        <w:t>1)</w:t>
      </w:r>
      <w:r>
        <w:t>)</w:t>
      </w:r>
      <w:r w:rsidRPr="00124402">
        <w:t>. Training will include:</w:t>
      </w:r>
    </w:p>
    <w:p w14:paraId="35162983" w14:textId="77777777" w:rsidR="00067EA8" w:rsidRPr="00266875" w:rsidRDefault="00067EA8" w:rsidP="00067EA8">
      <w:pPr>
        <w:pStyle w:val="bullet2"/>
      </w:pPr>
      <w:r w:rsidRPr="00266875">
        <w:t>That causality assessment decisions</w:t>
      </w:r>
      <w:r>
        <w:t xml:space="preserve"> for medically related AEs</w:t>
      </w:r>
      <w:r w:rsidRPr="00266875">
        <w:t xml:space="preserve"> will be made by a qualified doctor or, when appropriate, a qualified dentist; </w:t>
      </w:r>
      <w:proofErr w:type="gramStart"/>
      <w:r w:rsidRPr="00266875">
        <w:t>typically</w:t>
      </w:r>
      <w:proofErr w:type="gramEnd"/>
      <w:r w:rsidRPr="00266875">
        <w:t xml:space="preserve"> this is the </w:t>
      </w:r>
      <w:r>
        <w:t>PI</w:t>
      </w:r>
      <w:r w:rsidRPr="00266875">
        <w:t xml:space="preserve">. If the </w:t>
      </w:r>
      <w:r>
        <w:t>PI</w:t>
      </w:r>
      <w:r w:rsidRPr="00266875">
        <w:t xml:space="preserve"> is not a qualified doctor (or dentist), this task </w:t>
      </w:r>
      <w:r>
        <w:t>will</w:t>
      </w:r>
      <w:r w:rsidRPr="00266875">
        <w:t xml:space="preserve"> be formally delegated to a qualified doctor (or dentist) who is a member of the research team. The research project delegation log must reflect this delegation.</w:t>
      </w:r>
    </w:p>
    <w:p w14:paraId="2E4354F7" w14:textId="77777777" w:rsidR="00067EA8" w:rsidRDefault="00067EA8" w:rsidP="00067EA8">
      <w:pPr>
        <w:pStyle w:val="bullet2"/>
      </w:pPr>
      <w:r>
        <w:t xml:space="preserve">That for Healthy Volunteer Studies the causality assessment will be made by the healthcare professional identified in the protocol to provide ongoing input into the study. See also </w:t>
      </w:r>
      <w:r>
        <w:rPr>
          <w:rStyle w:val="ReferencestootherSOPsQCDsChar"/>
        </w:rPr>
        <w:t>Healthy Volunteer and Medical Oversight SOP (</w:t>
      </w:r>
      <w:r w:rsidRPr="00B64BBC">
        <w:rPr>
          <w:rStyle w:val="ReferencestootherSOPsQCDsChar"/>
        </w:rPr>
        <w:t>UoB-HVM-SOP-001</w:t>
      </w:r>
      <w:r>
        <w:rPr>
          <w:rStyle w:val="ReferencestootherSOPsQCDsChar"/>
        </w:rPr>
        <w:t>)</w:t>
      </w:r>
      <w:r>
        <w:t>.</w:t>
      </w:r>
    </w:p>
    <w:p w14:paraId="681F616B" w14:textId="77777777" w:rsidR="00067EA8" w:rsidRPr="00124402" w:rsidRDefault="00067EA8" w:rsidP="00067EA8">
      <w:pPr>
        <w:pStyle w:val="bullet2"/>
      </w:pPr>
      <w:r w:rsidRPr="00124402">
        <w:t xml:space="preserve">That when completing the causality assessment alternative causes, concomitant therapies, medical </w:t>
      </w:r>
      <w:proofErr w:type="gramStart"/>
      <w:r w:rsidRPr="00124402">
        <w:t>history</w:t>
      </w:r>
      <w:proofErr w:type="gramEnd"/>
      <w:r w:rsidRPr="00124402">
        <w:t xml:space="preserve"> and other risk factors </w:t>
      </w:r>
      <w:r>
        <w:t>will</w:t>
      </w:r>
      <w:r w:rsidRPr="00124402">
        <w:t xml:space="preserve"> be considered, and that the assessment </w:t>
      </w:r>
      <w:r>
        <w:t>will</w:t>
      </w:r>
      <w:r w:rsidRPr="00124402">
        <w:t xml:space="preserve"> be recorded and included in the medical notes, or source data where this is not the medical notes.</w:t>
      </w:r>
    </w:p>
    <w:p w14:paraId="16E92FF9" w14:textId="77777777" w:rsidR="00067EA8" w:rsidRPr="00124402" w:rsidRDefault="00067EA8" w:rsidP="00067EA8">
      <w:pPr>
        <w:pStyle w:val="bullet2"/>
      </w:pPr>
      <w:r w:rsidRPr="00124402">
        <w:t>That if a participant reports a SAE with a suspected causal relationship to the intervention after the treatment/involvement of the participant has ended (</w:t>
      </w:r>
      <w:proofErr w:type="gramStart"/>
      <w:r w:rsidRPr="00124402">
        <w:t>i.e.</w:t>
      </w:r>
      <w:proofErr w:type="gramEnd"/>
      <w:r w:rsidRPr="00124402">
        <w:t xml:space="preserve"> the participant is in follow-up), for the site to report the SAE to the CI (or delegate) without delay.</w:t>
      </w:r>
    </w:p>
    <w:p w14:paraId="0AE21EBB" w14:textId="77777777" w:rsidR="00067EA8" w:rsidRPr="00124402" w:rsidRDefault="00067EA8" w:rsidP="00067EA8">
      <w:pPr>
        <w:pStyle w:val="bullet2"/>
      </w:pPr>
      <w:r w:rsidRPr="00124402">
        <w:t>A reminder of the possible need of reporting any SAEs to sites’ R&amp;D departments as per local practices.</w:t>
      </w:r>
    </w:p>
    <w:p w14:paraId="1FC1930C" w14:textId="77777777" w:rsidR="00067EA8" w:rsidRPr="00124402" w:rsidRDefault="00067EA8" w:rsidP="00067EA8">
      <w:pPr>
        <w:pStyle w:val="bullet2"/>
      </w:pPr>
      <w:r w:rsidRPr="00124402">
        <w:t xml:space="preserve">Ensure that the CI (or delegate) is immediately informed of any SAEs (except for those identified in the protocol as not requiring immediate reporting), and when requested, to provide any further information.  </w:t>
      </w:r>
    </w:p>
    <w:p w14:paraId="60330627" w14:textId="77777777" w:rsidR="00067EA8" w:rsidRDefault="00067EA8" w:rsidP="00067EA8">
      <w:pPr>
        <w:pStyle w:val="bullet2"/>
      </w:pPr>
      <w:r w:rsidRPr="00124402">
        <w:t>The need for sites to follow up on any AEs/SAEs until resolution or stabilisation.</w:t>
      </w:r>
    </w:p>
    <w:p w14:paraId="207FFB5C" w14:textId="77777777" w:rsidR="00067EA8" w:rsidRPr="00124402" w:rsidRDefault="00067EA8" w:rsidP="00067EA8">
      <w:pPr>
        <w:pStyle w:val="bullet2"/>
      </w:pPr>
      <w:r>
        <w:t>That for studies non-medical AEs may occur which do not need reporting but do need recording and managing in line with the protocol.</w:t>
      </w:r>
    </w:p>
    <w:p w14:paraId="68DAAF31" w14:textId="77777777" w:rsidR="00067EA8" w:rsidRPr="00124402" w:rsidRDefault="00067EA8" w:rsidP="00067EA8">
      <w:pPr>
        <w:pStyle w:val="Numberlist"/>
        <w:numPr>
          <w:ilvl w:val="0"/>
          <w:numId w:val="12"/>
        </w:numPr>
      </w:pPr>
      <w:r w:rsidRPr="00124402">
        <w:lastRenderedPageBreak/>
        <w:t xml:space="preserve">The CI (or delegate) will ensure that clinical staff reviewing SAEs on behalf of the </w:t>
      </w:r>
      <w:r>
        <w:t>Sponsor</w:t>
      </w:r>
      <w:r w:rsidRPr="00124402">
        <w:t xml:space="preserve"> are appropriately trained on </w:t>
      </w:r>
      <w:r w:rsidRPr="00266875">
        <w:t xml:space="preserve">the </w:t>
      </w:r>
      <w:r>
        <w:t>project</w:t>
      </w:r>
      <w:r w:rsidRPr="00266875">
        <w:t>-specific</w:t>
      </w:r>
      <w:r w:rsidRPr="00124402">
        <w:t xml:space="preserve"> AE reporting requirements, and that training is documented</w:t>
      </w:r>
      <w:r>
        <w:t xml:space="preserve"> (see </w:t>
      </w:r>
      <w:r w:rsidRPr="006D6D15">
        <w:rPr>
          <w:rStyle w:val="ReferencestootherSOPsQCDsChar"/>
        </w:rPr>
        <w:t>Training</w:t>
      </w:r>
      <w:r>
        <w:rPr>
          <w:rStyle w:val="ReferencestootherSOPsQCDsChar"/>
        </w:rPr>
        <w:t xml:space="preserve"> SOP (</w:t>
      </w:r>
      <w:r w:rsidRPr="006D6D15">
        <w:rPr>
          <w:rStyle w:val="ReferencestootherSOPsQCDsChar"/>
        </w:rPr>
        <w:t>UoB-</w:t>
      </w:r>
      <w:r>
        <w:rPr>
          <w:rStyle w:val="ReferencestootherSOPsQCDsChar"/>
        </w:rPr>
        <w:t>TRN</w:t>
      </w:r>
      <w:r w:rsidRPr="006D6D15">
        <w:rPr>
          <w:rStyle w:val="ReferencestootherSOPsQCDsChar"/>
        </w:rPr>
        <w:t>-SOP-00</w:t>
      </w:r>
      <w:r>
        <w:rPr>
          <w:rStyle w:val="ReferencestootherSOPsQCDsChar"/>
        </w:rPr>
        <w:t>1)</w:t>
      </w:r>
      <w:r>
        <w:t>)</w:t>
      </w:r>
      <w:r w:rsidRPr="00124402">
        <w:t xml:space="preserve">. Training will include: </w:t>
      </w:r>
    </w:p>
    <w:p w14:paraId="287FE28A" w14:textId="77777777" w:rsidR="00067EA8" w:rsidRPr="00124402" w:rsidRDefault="00067EA8" w:rsidP="00067EA8">
      <w:pPr>
        <w:pStyle w:val="bullet2"/>
      </w:pPr>
      <w:r w:rsidRPr="00124402">
        <w:t xml:space="preserve">That clinical staff reviewing SAEs on behalf of the CI </w:t>
      </w:r>
      <w:r>
        <w:t>will</w:t>
      </w:r>
      <w:r w:rsidRPr="00124402">
        <w:t xml:space="preserve"> be familiar with and use the latest version of the RSI or equivalent available at the time the event occurred.</w:t>
      </w:r>
    </w:p>
    <w:p w14:paraId="4D2285A6" w14:textId="77777777" w:rsidR="00067EA8" w:rsidRPr="00124402" w:rsidRDefault="00067EA8" w:rsidP="00067EA8">
      <w:pPr>
        <w:pStyle w:val="bullet2"/>
      </w:pPr>
      <w:r w:rsidRPr="00124402">
        <w:t xml:space="preserve">For clinical staff to review the causality assessment and determine the expectedness of the event, ensuring that this is documented, using clinical judgement by reviewing all documentation relating to the event. </w:t>
      </w:r>
    </w:p>
    <w:p w14:paraId="406E1004" w14:textId="77777777" w:rsidR="00067EA8" w:rsidRPr="00124402" w:rsidRDefault="00067EA8" w:rsidP="00067EA8">
      <w:pPr>
        <w:pStyle w:val="bullet2"/>
      </w:pPr>
      <w:r w:rsidRPr="00124402">
        <w:t xml:space="preserve">That for CTIMPs, detailed EU guidelines clearly state that the causality assessment should not be downgraded during this review. If the CI </w:t>
      </w:r>
      <w:r>
        <w:t>(</w:t>
      </w:r>
      <w:r w:rsidRPr="00124402">
        <w:t>or delegate</w:t>
      </w:r>
      <w:r>
        <w:t>)</w:t>
      </w:r>
      <w:r w:rsidRPr="00124402">
        <w:t xml:space="preserve"> disagrees with the site’s initial causality assessment, the opinion of both parties should be documented, and where the event requires further reporting, the opinion should be provided with the report.</w:t>
      </w:r>
    </w:p>
    <w:p w14:paraId="596933B5" w14:textId="77777777" w:rsidR="00067EA8" w:rsidRPr="00266875" w:rsidRDefault="00067EA8" w:rsidP="00067EA8">
      <w:pPr>
        <w:pStyle w:val="bullet2"/>
      </w:pPr>
      <w:r w:rsidRPr="00266875">
        <w:t xml:space="preserve">That for Medical Devices clinical staff report to the CI (or delegate), without unjustified delay, all </w:t>
      </w:r>
      <w:r>
        <w:t>SAEs</w:t>
      </w:r>
      <w:r w:rsidRPr="00266875">
        <w:t xml:space="preserve"> and device deficiencies that could have led to a </w:t>
      </w:r>
      <w:r>
        <w:t>S</w:t>
      </w:r>
      <w:r w:rsidRPr="00266875">
        <w:t xml:space="preserve">erious </w:t>
      </w:r>
      <w:r>
        <w:t>A</w:t>
      </w:r>
      <w:r w:rsidRPr="00266875">
        <w:t xml:space="preserve">dverse </w:t>
      </w:r>
      <w:r>
        <w:t>D</w:t>
      </w:r>
      <w:r w:rsidRPr="00266875">
        <w:t xml:space="preserve">evice </w:t>
      </w:r>
      <w:r>
        <w:t>E</w:t>
      </w:r>
      <w:r w:rsidRPr="00266875">
        <w:t>ffect</w:t>
      </w:r>
      <w:r>
        <w:t xml:space="preserve"> (SADE) whether anticipated (ASADE) or unanticipated (USADE)</w:t>
      </w:r>
      <w:r w:rsidRPr="00266875">
        <w:t>; this information will be promptly followed by detailed written reports.</w:t>
      </w:r>
    </w:p>
    <w:p w14:paraId="33F180D2" w14:textId="77777777" w:rsidR="00067EA8" w:rsidRPr="00124402" w:rsidRDefault="00067EA8" w:rsidP="00067EA8">
      <w:pPr>
        <w:pStyle w:val="Heading2"/>
      </w:pPr>
      <w:r w:rsidRPr="00124402">
        <w:t>Monitor AEs throughout the research project</w:t>
      </w:r>
    </w:p>
    <w:p w14:paraId="52E7B880" w14:textId="055E202D" w:rsidR="00067EA8" w:rsidRDefault="00067EA8" w:rsidP="00067EA8">
      <w:pPr>
        <w:pStyle w:val="Numberlist"/>
        <w:numPr>
          <w:ilvl w:val="0"/>
          <w:numId w:val="12"/>
        </w:numPr>
      </w:pPr>
      <w:r w:rsidRPr="00124402">
        <w:t xml:space="preserve">The CI (or delegate) will keep detailed records of all reported AEs relating to </w:t>
      </w:r>
      <w:r>
        <w:t>the</w:t>
      </w:r>
      <w:r w:rsidRPr="00124402">
        <w:t xml:space="preserve"> research project, including those collected through the monitoring of data collection systems for AEs, and through </w:t>
      </w:r>
      <w:proofErr w:type="gramStart"/>
      <w:r w:rsidRPr="00124402">
        <w:t>e.g.</w:t>
      </w:r>
      <w:proofErr w:type="gramEnd"/>
      <w:r w:rsidRPr="00124402">
        <w:t xml:space="preserve"> monitoring of the research project; see </w:t>
      </w:r>
      <w:r w:rsidRPr="00124402">
        <w:rPr>
          <w:i/>
          <w:iCs/>
          <w:color w:val="943634"/>
        </w:rPr>
        <w:t>Data Management</w:t>
      </w:r>
      <w:r>
        <w:rPr>
          <w:i/>
          <w:iCs/>
          <w:color w:val="943634"/>
        </w:rPr>
        <w:t xml:space="preserve"> SOP (</w:t>
      </w:r>
      <w:r w:rsidRPr="00124402">
        <w:rPr>
          <w:i/>
          <w:iCs/>
          <w:color w:val="943634"/>
        </w:rPr>
        <w:t>UoB-DMA-SOP-001</w:t>
      </w:r>
      <w:r>
        <w:rPr>
          <w:i/>
          <w:iCs/>
          <w:color w:val="943634"/>
        </w:rPr>
        <w:t>)</w:t>
      </w:r>
      <w:r w:rsidRPr="00124402">
        <w:t xml:space="preserve"> and </w:t>
      </w:r>
      <w:r>
        <w:rPr>
          <w:i/>
          <w:iCs/>
          <w:color w:val="943634"/>
        </w:rPr>
        <w:t>Project Oversight and</w:t>
      </w:r>
      <w:r w:rsidRPr="00124402">
        <w:rPr>
          <w:i/>
          <w:iCs/>
          <w:color w:val="943634"/>
        </w:rPr>
        <w:t xml:space="preserve"> Quality Management</w:t>
      </w:r>
      <w:r>
        <w:rPr>
          <w:i/>
          <w:iCs/>
          <w:color w:val="943634"/>
        </w:rPr>
        <w:t xml:space="preserve"> SOP (UoB-POS-SOP-001)</w:t>
      </w:r>
      <w:r w:rsidRPr="00D70299">
        <w:t>,</w:t>
      </w:r>
      <w:r w:rsidRPr="00124402">
        <w:t xml:space="preserve"> respectively.</w:t>
      </w:r>
    </w:p>
    <w:p w14:paraId="1E9DF9E4" w14:textId="77777777" w:rsidR="00067EA8" w:rsidRPr="00124402" w:rsidRDefault="00067EA8" w:rsidP="00067EA8">
      <w:pPr>
        <w:pStyle w:val="Numberlist"/>
        <w:numPr>
          <w:ilvl w:val="0"/>
          <w:numId w:val="12"/>
        </w:numPr>
      </w:pPr>
      <w:r>
        <w:t xml:space="preserve">For studies, the CI (or delegate) will also keep detailed records of all AEs (as detailed in the protocol) which have occurred but did not require reporting. </w:t>
      </w:r>
    </w:p>
    <w:p w14:paraId="2D886F2E" w14:textId="77777777" w:rsidR="00067EA8" w:rsidRPr="00124402" w:rsidRDefault="00067EA8" w:rsidP="00067EA8">
      <w:pPr>
        <w:pStyle w:val="Numberlist"/>
        <w:numPr>
          <w:ilvl w:val="0"/>
          <w:numId w:val="12"/>
        </w:numPr>
      </w:pPr>
      <w:r w:rsidRPr="00124402">
        <w:t>The CI (or delegate) will continuously weigh anticipated benefits and risks of the research project, which includes ongoing safety evaluation of the intervention. The CI (or delegate) will notify the RGT</w:t>
      </w:r>
      <w:r>
        <w:t xml:space="preserve"> of</w:t>
      </w:r>
      <w:r w:rsidRPr="00124402">
        <w:t xml:space="preserve"> </w:t>
      </w:r>
      <w:r>
        <w:t xml:space="preserve">any </w:t>
      </w:r>
      <w:r w:rsidRPr="00124402">
        <w:t>safety trends noted, in order that the RGT can pass the information on to researchers using the same intervention.</w:t>
      </w:r>
    </w:p>
    <w:p w14:paraId="661DF8E6" w14:textId="77777777" w:rsidR="00067EA8" w:rsidRPr="00124402" w:rsidRDefault="00067EA8" w:rsidP="00067EA8">
      <w:pPr>
        <w:pStyle w:val="Numberlist"/>
        <w:numPr>
          <w:ilvl w:val="0"/>
          <w:numId w:val="12"/>
        </w:numPr>
      </w:pPr>
      <w:r w:rsidRPr="00124402">
        <w:t>The CI (or delegate) will process any SAEs as per the pre-defined process. For the categorisation of SAEs:</w:t>
      </w:r>
    </w:p>
    <w:p w14:paraId="26E26A72" w14:textId="77777777" w:rsidR="00067EA8" w:rsidRPr="00124402" w:rsidRDefault="00067EA8" w:rsidP="00067EA8">
      <w:pPr>
        <w:pStyle w:val="bullet2"/>
      </w:pPr>
      <w:r w:rsidRPr="00124402">
        <w:t>Review causality assessments, perform expectedness assessments, and refer to the RSI (or equivalent) in place at the time the event first occurred.</w:t>
      </w:r>
    </w:p>
    <w:p w14:paraId="571A578D" w14:textId="77777777" w:rsidR="00067EA8" w:rsidRDefault="00067EA8" w:rsidP="00067EA8">
      <w:pPr>
        <w:pStyle w:val="bullet2"/>
      </w:pPr>
      <w:r>
        <w:t>For Health Research Authority (HRA) approved clinical research, t</w:t>
      </w:r>
      <w:r w:rsidRPr="00266875">
        <w:t xml:space="preserve">he CI (or delegate) will </w:t>
      </w:r>
      <w:r>
        <w:t>refer to the appropriate</w:t>
      </w:r>
      <w:r w:rsidRPr="00266875">
        <w:t xml:space="preserve"> </w:t>
      </w:r>
      <w:r>
        <w:t xml:space="preserve">online guidance to </w:t>
      </w:r>
      <w:r w:rsidRPr="00266875">
        <w:t>determine the correct categorisation of the event.</w:t>
      </w:r>
    </w:p>
    <w:p w14:paraId="289DA8A5" w14:textId="77777777" w:rsidR="00067EA8" w:rsidRDefault="00067EA8" w:rsidP="00067EA8">
      <w:pPr>
        <w:pStyle w:val="bullet3"/>
        <w:ind w:left="1021" w:hanging="341"/>
      </w:pPr>
      <w:r>
        <w:t xml:space="preserve">For CTIMPs, follow the information on safety reporting in the </w:t>
      </w:r>
      <w:hyperlink r:id="rId32" w:tooltip="Link to NIHR Clinical Trials Toolkit" w:history="1">
        <w:r w:rsidRPr="00684919">
          <w:rPr>
            <w:rStyle w:val="Hyperlink"/>
          </w:rPr>
          <w:t>NIHR Clinical Trials Toolkit</w:t>
        </w:r>
      </w:hyperlink>
      <w:r w:rsidRPr="00124402">
        <w:t>.</w:t>
      </w:r>
    </w:p>
    <w:p w14:paraId="435B9569" w14:textId="77777777" w:rsidR="00067EA8" w:rsidRDefault="00067EA8" w:rsidP="00067EA8">
      <w:pPr>
        <w:pStyle w:val="bullet3"/>
        <w:ind w:left="1021" w:hanging="341"/>
      </w:pPr>
      <w:r>
        <w:t xml:space="preserve">For all other HRA approved clinical research, follow the information on the </w:t>
      </w:r>
      <w:hyperlink r:id="rId33" w:tooltip="Link to HRA Safety Reportig Website" w:history="1">
        <w:r w:rsidRPr="00684919">
          <w:rPr>
            <w:rStyle w:val="Hyperlink"/>
          </w:rPr>
          <w:t>HRA Safety Reporting website</w:t>
        </w:r>
      </w:hyperlink>
      <w:r w:rsidRPr="00124402">
        <w:t>.</w:t>
      </w:r>
    </w:p>
    <w:p w14:paraId="2B7FC453" w14:textId="77777777" w:rsidR="00067EA8" w:rsidRPr="00266875" w:rsidRDefault="00067EA8" w:rsidP="00067EA8">
      <w:pPr>
        <w:pStyle w:val="bullet2"/>
      </w:pPr>
      <w:r>
        <w:t xml:space="preserve">For UoB REC approved research, follow the </w:t>
      </w:r>
      <w:hyperlink r:id="rId34" w:tooltip="Link to the UoB Code of Practice for Research" w:history="1">
        <w:r w:rsidRPr="0081364F">
          <w:rPr>
            <w:rStyle w:val="Hyperlink"/>
          </w:rPr>
          <w:t>UoB Code of Practice for Researc</w:t>
        </w:r>
        <w:r>
          <w:rPr>
            <w:rStyle w:val="Hyperlink"/>
          </w:rPr>
          <w:t>h (PDF – 479 KB)</w:t>
        </w:r>
      </w:hyperlink>
      <w:r>
        <w:t>.</w:t>
      </w:r>
    </w:p>
    <w:p w14:paraId="5F9B5C32" w14:textId="77777777" w:rsidR="00067EA8" w:rsidRPr="00124402" w:rsidRDefault="00067EA8" w:rsidP="00067EA8">
      <w:pPr>
        <w:pStyle w:val="bullet2"/>
      </w:pPr>
      <w:r w:rsidRPr="00124402">
        <w:t xml:space="preserve">Note that where an increase in frequency or severity of an expected event occurs in an SAE this would then be classified as an Unexpected and Related SAE; for CTIMPs this is a </w:t>
      </w:r>
      <w:r w:rsidRPr="00124402">
        <w:rPr>
          <w:color w:val="000000" w:themeColor="text1"/>
        </w:rPr>
        <w:t>SUSAR</w:t>
      </w:r>
      <w:r w:rsidRPr="00124402">
        <w:t>.</w:t>
      </w:r>
    </w:p>
    <w:p w14:paraId="662CE545" w14:textId="77777777" w:rsidR="00067EA8" w:rsidRPr="00124402" w:rsidRDefault="00067EA8" w:rsidP="00067EA8">
      <w:pPr>
        <w:pStyle w:val="Numberlist"/>
        <w:numPr>
          <w:ilvl w:val="0"/>
          <w:numId w:val="12"/>
        </w:numPr>
      </w:pPr>
      <w:r w:rsidRPr="00124402">
        <w:t xml:space="preserve">Where pregnancy occurs within a research project, </w:t>
      </w:r>
      <w:r>
        <w:t xml:space="preserve">the CI (or delegate) </w:t>
      </w:r>
      <w:r w:rsidRPr="00124402">
        <w:t>ensure the pregnancy is followed up and tracked to allow for collection of information on the pregnancy outcome.</w:t>
      </w:r>
    </w:p>
    <w:p w14:paraId="6364729D" w14:textId="77777777" w:rsidR="00067EA8" w:rsidRPr="00124402" w:rsidRDefault="00067EA8" w:rsidP="00067EA8">
      <w:pPr>
        <w:pStyle w:val="Heading2"/>
      </w:pPr>
      <w:r w:rsidRPr="004A2713">
        <w:t xml:space="preserve">Safety </w:t>
      </w:r>
      <w:r>
        <w:t>r</w:t>
      </w:r>
      <w:r w:rsidRPr="004A2713">
        <w:t xml:space="preserve">eporting and </w:t>
      </w:r>
      <w:r>
        <w:t>t</w:t>
      </w:r>
      <w:r w:rsidRPr="004A2713">
        <w:t>imelines</w:t>
      </w:r>
    </w:p>
    <w:p w14:paraId="1F8DD61E" w14:textId="77777777" w:rsidR="00067EA8" w:rsidRDefault="00067EA8" w:rsidP="00067EA8">
      <w:pPr>
        <w:pStyle w:val="Numberlist"/>
        <w:numPr>
          <w:ilvl w:val="0"/>
          <w:numId w:val="12"/>
        </w:numPr>
      </w:pPr>
      <w:r w:rsidRPr="00124402">
        <w:t>The CI (or delegate) will be responsible for ensuring that AEs and SAEs are reported ac</w:t>
      </w:r>
      <w:r>
        <w:t>cording to the stated timelines.</w:t>
      </w:r>
    </w:p>
    <w:p w14:paraId="1F5BF1A6" w14:textId="77777777" w:rsidR="00067EA8" w:rsidRDefault="00067EA8" w:rsidP="00067EA8">
      <w:pPr>
        <w:pStyle w:val="Numberlist"/>
        <w:numPr>
          <w:ilvl w:val="0"/>
          <w:numId w:val="12"/>
        </w:numPr>
      </w:pPr>
      <w:r>
        <w:t>For CTIMPs, the CI (or delegate) will report all SUSARS within the following timeframes for:</w:t>
      </w:r>
    </w:p>
    <w:p w14:paraId="2552425A" w14:textId="77777777" w:rsidR="00067EA8" w:rsidRDefault="00067EA8" w:rsidP="00067EA8">
      <w:pPr>
        <w:pStyle w:val="bullet2"/>
      </w:pPr>
      <w:r>
        <w:t xml:space="preserve">Fatal/life threatening SUSAR: initial report to the Competent Authority (CA), and REC within 7 days of being notified of the event, and any additional relevant information within 8 days of sending the first report. In the UK the CA is the MHRA, and ICSR submission portal is expected to be used for UK-relevant SUSARs, defined as either SUSARs originating in the UK, or SUSARs originating outside the UK where the Sponsor has an ongoing research project in the UK involving the same medicinal product. At the time the report is sent to the CA a copy will also be sent to the REC and RGT, including a note from the CI explaining how this case impacts the safety profile of the trial. </w:t>
      </w:r>
    </w:p>
    <w:p w14:paraId="5FC83063" w14:textId="77777777" w:rsidR="00067EA8" w:rsidRDefault="00067EA8" w:rsidP="00067EA8">
      <w:pPr>
        <w:pStyle w:val="bullet2"/>
      </w:pPr>
      <w:r>
        <w:lastRenderedPageBreak/>
        <w:t>Non-fatal/non-life threatening SUSAR: report to the CA and REC within 15 days of being notified of the event. A copy will also be sent at the time to the RGT including a note from the CI explaining how this case impacts the safety profile of the trial.</w:t>
      </w:r>
    </w:p>
    <w:p w14:paraId="1DF540ED" w14:textId="77777777" w:rsidR="00067EA8" w:rsidRDefault="00067EA8" w:rsidP="00067EA8">
      <w:pPr>
        <w:pStyle w:val="Numberlist"/>
        <w:numPr>
          <w:ilvl w:val="0"/>
          <w:numId w:val="12"/>
        </w:numPr>
      </w:pPr>
      <w:r w:rsidRPr="00124402">
        <w:t>For CTIMPs</w:t>
      </w:r>
      <w:r>
        <w:t xml:space="preserve"> which have sites in European member states</w:t>
      </w:r>
      <w:r w:rsidRPr="00124402">
        <w:t xml:space="preserve">, the CI (or delegate) will ensure all SUSARs </w:t>
      </w:r>
      <w:r>
        <w:t xml:space="preserve">have dual reporting via the ICSR Submissions portal and the relevant member states, as well as to </w:t>
      </w:r>
      <w:r w:rsidRPr="00124402">
        <w:t>the European database (</w:t>
      </w:r>
      <w:proofErr w:type="spellStart"/>
      <w:r w:rsidRPr="00124402">
        <w:t>Eudravigilance</w:t>
      </w:r>
      <w:proofErr w:type="spellEnd"/>
      <w:r w:rsidRPr="00124402">
        <w:t xml:space="preserve"> Clinical Trials Module ‘EVCTM’).</w:t>
      </w:r>
    </w:p>
    <w:p w14:paraId="64C87A58" w14:textId="77777777" w:rsidR="00067EA8" w:rsidRDefault="00067EA8" w:rsidP="00067EA8">
      <w:pPr>
        <w:pStyle w:val="Numberlist"/>
        <w:numPr>
          <w:ilvl w:val="0"/>
          <w:numId w:val="12"/>
        </w:numPr>
      </w:pPr>
      <w:r>
        <w:t>For CTIMPs, t</w:t>
      </w:r>
      <w:r w:rsidRPr="00124402">
        <w:t>he CI (or delegate) will ensure that SAEs are reassessed on receipt of significant follow-up information using the RSI (or equivalent) approved at the time of the event:</w:t>
      </w:r>
    </w:p>
    <w:p w14:paraId="7A0A6F49" w14:textId="77777777" w:rsidR="00067EA8" w:rsidRPr="00124402" w:rsidRDefault="00067EA8" w:rsidP="00067EA8">
      <w:pPr>
        <w:pStyle w:val="bullet2"/>
      </w:pPr>
      <w:r w:rsidRPr="00124402">
        <w:t>If significant new information is received following the reporting of an event (</w:t>
      </w:r>
      <w:proofErr w:type="gramStart"/>
      <w:r w:rsidRPr="00124402">
        <w:t>e.g.</w:t>
      </w:r>
      <w:proofErr w:type="gramEnd"/>
      <w:r w:rsidRPr="00124402">
        <w:t xml:space="preserve"> leading to upgrade or downgrade of category, duplicate events or reason for reporting) the reporting timeframe commences from receipt of the new information; this information </w:t>
      </w:r>
      <w:r>
        <w:t>will</w:t>
      </w:r>
      <w:r w:rsidRPr="00124402">
        <w:t xml:space="preserve"> be reported to the REC, and CA where appropriate, with a copy sent to RGT as a follow-up report within 15 days. For CTIMPs, where a non-fatal/non-life threatening SUSAR is re-categorised (upgraded) as a fatal/life-threatening SUSAR, this </w:t>
      </w:r>
      <w:r>
        <w:t>will</w:t>
      </w:r>
      <w:r w:rsidRPr="00124402">
        <w:t xml:space="preserve"> be reported within 7 days following the process described above.</w:t>
      </w:r>
    </w:p>
    <w:p w14:paraId="7D5C443E" w14:textId="77777777" w:rsidR="00067EA8" w:rsidRDefault="00067EA8" w:rsidP="00067EA8">
      <w:pPr>
        <w:pStyle w:val="bullet2"/>
      </w:pPr>
      <w:r w:rsidRPr="00124402">
        <w:t>Other non-significant but relevant follow-up reports (</w:t>
      </w:r>
      <w:proofErr w:type="gramStart"/>
      <w:r w:rsidRPr="00124402">
        <w:t>e.g.</w:t>
      </w:r>
      <w:proofErr w:type="gramEnd"/>
      <w:r w:rsidRPr="00124402">
        <w:t xml:space="preserve"> resolution date) will be reported on resolution of the event.</w:t>
      </w:r>
    </w:p>
    <w:p w14:paraId="57B3011F" w14:textId="77777777" w:rsidR="00067EA8" w:rsidRDefault="00067EA8" w:rsidP="00067EA8">
      <w:pPr>
        <w:pStyle w:val="Numberlist"/>
        <w:numPr>
          <w:ilvl w:val="0"/>
          <w:numId w:val="12"/>
        </w:numPr>
      </w:pPr>
      <w:r w:rsidRPr="009A1380">
        <w:t xml:space="preserve">For </w:t>
      </w:r>
      <w:r>
        <w:t>other HRA approved</w:t>
      </w:r>
      <w:r w:rsidRPr="009A1380">
        <w:t xml:space="preserve"> research projects (non-CTIMPs) including clinical investigations of a medical device</w:t>
      </w:r>
      <w:r>
        <w:t>,</w:t>
      </w:r>
      <w:r w:rsidRPr="009A1380">
        <w:t xml:space="preserve"> the CI (or delegate) will report only Unexpected and Related SAEs to the REC using the safety reporting form within 15 days of becoming aware of the event. A copy will also be sent at the time to RGT including a note from the CI explaining how this case impacts the safety profile of the study.</w:t>
      </w:r>
      <w:r>
        <w:t xml:space="preserve"> See </w:t>
      </w:r>
      <w:hyperlink r:id="rId35" w:tooltip="Link to HRA Procedures for Safety Reporting" w:history="1">
        <w:r w:rsidRPr="00121C5E">
          <w:rPr>
            <w:rStyle w:val="Hyperlink"/>
          </w:rPr>
          <w:t>HRA Procedures for Safety Reporting</w:t>
        </w:r>
      </w:hyperlink>
      <w:r>
        <w:t xml:space="preserve"> for more information.</w:t>
      </w:r>
    </w:p>
    <w:p w14:paraId="093EF32F" w14:textId="77777777" w:rsidR="00067EA8" w:rsidRDefault="00067EA8" w:rsidP="00067EA8">
      <w:pPr>
        <w:pStyle w:val="Heading3"/>
      </w:pPr>
      <w:r>
        <w:t>Medical device safety reporting</w:t>
      </w:r>
    </w:p>
    <w:p w14:paraId="4F03FB49" w14:textId="77777777" w:rsidR="00067EA8" w:rsidRDefault="00067EA8" w:rsidP="00067EA8">
      <w:pPr>
        <w:pStyle w:val="Numberlist"/>
        <w:numPr>
          <w:ilvl w:val="0"/>
          <w:numId w:val="12"/>
        </w:numPr>
      </w:pPr>
      <w:r>
        <w:t>The CI (or delegate) will document details of the following reportable events during the research project:</w:t>
      </w:r>
    </w:p>
    <w:p w14:paraId="66CBF59C" w14:textId="77777777" w:rsidR="00067EA8" w:rsidRDefault="00067EA8" w:rsidP="00067EA8">
      <w:pPr>
        <w:pStyle w:val="bullet2"/>
      </w:pPr>
      <w:r>
        <w:t>Any SAE.</w:t>
      </w:r>
    </w:p>
    <w:p w14:paraId="399A5690" w14:textId="77777777" w:rsidR="00067EA8" w:rsidRPr="00266875" w:rsidRDefault="00067EA8" w:rsidP="00067EA8">
      <w:pPr>
        <w:pStyle w:val="bullet2"/>
      </w:pPr>
      <w:r>
        <w:t>Any device deficiency that might have led to a serious adverse event if appropriate</w:t>
      </w:r>
      <w:r w:rsidRPr="00D8192F">
        <w:t xml:space="preserve"> action had not </w:t>
      </w:r>
      <w:r w:rsidRPr="00266875">
        <w:t>been taken, intervention had not occurred, or circumstances had been less fortunate</w:t>
      </w:r>
      <w:r>
        <w:t>.</w:t>
      </w:r>
    </w:p>
    <w:p w14:paraId="70F79393" w14:textId="77777777" w:rsidR="00067EA8" w:rsidRPr="00266875" w:rsidRDefault="00067EA8" w:rsidP="00067EA8">
      <w:pPr>
        <w:pStyle w:val="bullet2"/>
      </w:pPr>
      <w:r w:rsidRPr="00266875">
        <w:t>Any new findings in relation to any event referred to in points above</w:t>
      </w:r>
      <w:r>
        <w:t>.</w:t>
      </w:r>
    </w:p>
    <w:p w14:paraId="64E55042" w14:textId="77777777" w:rsidR="00067EA8" w:rsidRPr="00266875" w:rsidRDefault="00067EA8" w:rsidP="00067EA8">
      <w:pPr>
        <w:pStyle w:val="Numberlist"/>
        <w:numPr>
          <w:ilvl w:val="0"/>
          <w:numId w:val="12"/>
        </w:numPr>
      </w:pPr>
      <w:r w:rsidRPr="00266875">
        <w:t>The CI (or delegate) will document and assess all device deficiencies throughout the research project</w:t>
      </w:r>
      <w:r>
        <w:t xml:space="preserve">. See </w:t>
      </w:r>
      <w:r w:rsidRPr="00D70299">
        <w:t>BS EN ISO 14155:2020, Clinical investigation of medical devices for human subjects — Good clinical practice</w:t>
      </w:r>
      <w:r>
        <w:rPr>
          <w:rStyle w:val="ReferencestootherSOPsQCDsChar"/>
        </w:rPr>
        <w:t xml:space="preserve"> </w:t>
      </w:r>
      <w:r w:rsidRPr="00B64BBC">
        <w:t>for further information</w:t>
      </w:r>
      <w:r>
        <w:t xml:space="preserve"> (see reference details below)</w:t>
      </w:r>
      <w:r w:rsidRPr="00266875">
        <w:t>.</w:t>
      </w:r>
    </w:p>
    <w:p w14:paraId="4C44D682" w14:textId="77777777" w:rsidR="00067EA8" w:rsidRPr="00266875" w:rsidRDefault="00067EA8" w:rsidP="00067EA8">
      <w:pPr>
        <w:pStyle w:val="Numberlist"/>
        <w:numPr>
          <w:ilvl w:val="0"/>
          <w:numId w:val="12"/>
        </w:numPr>
      </w:pPr>
      <w:r w:rsidRPr="00266875">
        <w:t xml:space="preserve">The CI (or delegate) will report the events mentioned in point </w:t>
      </w:r>
      <w:r>
        <w:t>23</w:t>
      </w:r>
      <w:r w:rsidRPr="00266875">
        <w:t xml:space="preserve"> to the Sponsor immediately but not later than 3 calendar days after </w:t>
      </w:r>
      <w:r>
        <w:t>research project</w:t>
      </w:r>
      <w:r w:rsidRPr="00266875">
        <w:t xml:space="preserve"> personnel’s awareness of the event and:</w:t>
      </w:r>
    </w:p>
    <w:p w14:paraId="07E60D99" w14:textId="77777777" w:rsidR="00067EA8" w:rsidRPr="00266875" w:rsidRDefault="00067EA8" w:rsidP="00067EA8">
      <w:pPr>
        <w:pStyle w:val="bullet2"/>
      </w:pPr>
      <w:r w:rsidRPr="00266875">
        <w:t xml:space="preserve">Include a note from the CI explaining how this case impacts the safety profile of the </w:t>
      </w:r>
      <w:r>
        <w:t>research project</w:t>
      </w:r>
      <w:r w:rsidRPr="00266875">
        <w:t>.</w:t>
      </w:r>
    </w:p>
    <w:p w14:paraId="1FA46E4A" w14:textId="77777777" w:rsidR="00067EA8" w:rsidRPr="00266875" w:rsidRDefault="00067EA8" w:rsidP="00067EA8">
      <w:pPr>
        <w:pStyle w:val="bullet2"/>
      </w:pPr>
      <w:r w:rsidRPr="00266875">
        <w:t>Report all relevant safety information to the Data Monitoring Committee</w:t>
      </w:r>
      <w:r>
        <w:t xml:space="preserve"> (DMC)</w:t>
      </w:r>
      <w:r w:rsidRPr="00266875">
        <w:t>.</w:t>
      </w:r>
    </w:p>
    <w:p w14:paraId="0227E035" w14:textId="77777777" w:rsidR="00067EA8" w:rsidRDefault="00067EA8" w:rsidP="00067EA8">
      <w:pPr>
        <w:pStyle w:val="Numberlist"/>
        <w:numPr>
          <w:ilvl w:val="0"/>
          <w:numId w:val="12"/>
        </w:numPr>
      </w:pPr>
      <w:r>
        <w:t xml:space="preserve">The CI (or delegate) will assess the relationship between the use of the medical device (including the medical surgical procedure) and the occurrence of each AE categorised. </w:t>
      </w:r>
    </w:p>
    <w:p w14:paraId="4ED10421" w14:textId="77777777" w:rsidR="00067EA8" w:rsidRDefault="00067EA8" w:rsidP="00067EA8">
      <w:pPr>
        <w:pStyle w:val="bullet2"/>
      </w:pPr>
      <w:r>
        <w:t>D</w:t>
      </w:r>
      <w:r w:rsidRPr="005838E1">
        <w:t xml:space="preserve">uring causality assessment activity, clinical judgement </w:t>
      </w:r>
      <w:r>
        <w:t>will</w:t>
      </w:r>
      <w:r w:rsidRPr="005838E1">
        <w:t xml:space="preserve"> be used and the relevant documents, such as the </w:t>
      </w:r>
      <w:r>
        <w:t>IB</w:t>
      </w:r>
      <w:r w:rsidRPr="005838E1">
        <w:t xml:space="preserve">, the Clinical </w:t>
      </w:r>
      <w:r>
        <w:t>Investigation Plan</w:t>
      </w:r>
      <w:r w:rsidRPr="005838E1">
        <w:t xml:space="preserve"> or the </w:t>
      </w:r>
      <w:r>
        <w:t>R</w:t>
      </w:r>
      <w:r w:rsidRPr="005838E1">
        <w:t xml:space="preserve">isk Analysis Report </w:t>
      </w:r>
      <w:r>
        <w:t>will</w:t>
      </w:r>
      <w:r w:rsidRPr="005838E1">
        <w:t xml:space="preserve"> be consulted, as all the foreseeable </w:t>
      </w:r>
      <w:r>
        <w:t>SAEs</w:t>
      </w:r>
      <w:r w:rsidRPr="005838E1">
        <w:t xml:space="preserve"> and the potential risks </w:t>
      </w:r>
      <w:r>
        <w:t>are listed and assessed there.</w:t>
      </w:r>
    </w:p>
    <w:p w14:paraId="43984CA4" w14:textId="77777777" w:rsidR="00067EA8" w:rsidRDefault="00067EA8" w:rsidP="00067EA8">
      <w:pPr>
        <w:pStyle w:val="bullet2"/>
      </w:pPr>
      <w:r>
        <w:t>T</w:t>
      </w:r>
      <w:r w:rsidRPr="005838E1">
        <w:t xml:space="preserve">he presence of confounding factors, such as concomitant medication/treatment, the natural history of the underlying disease, other concurrent illness or risk factors </w:t>
      </w:r>
      <w:r>
        <w:t>will be</w:t>
      </w:r>
      <w:r w:rsidRPr="005838E1">
        <w:t xml:space="preserve"> considered. The above considerations apply also to the </w:t>
      </w:r>
      <w:r>
        <w:t>SAEs</w:t>
      </w:r>
      <w:r w:rsidRPr="005838E1">
        <w:t xml:space="preserve"> occurring in the comparison group. </w:t>
      </w:r>
    </w:p>
    <w:p w14:paraId="44C11A93" w14:textId="77777777" w:rsidR="00067EA8" w:rsidRDefault="00067EA8" w:rsidP="00067EA8">
      <w:pPr>
        <w:pStyle w:val="bullet2"/>
      </w:pPr>
      <w:proofErr w:type="gramStart"/>
      <w:r w:rsidRPr="005838E1">
        <w:t>For the purpose of</w:t>
      </w:r>
      <w:proofErr w:type="gramEnd"/>
      <w:r w:rsidRPr="005838E1">
        <w:t xml:space="preserve"> harmonising reports, each SAE will be classified according to </w:t>
      </w:r>
      <w:r>
        <w:t>5</w:t>
      </w:r>
      <w:r w:rsidRPr="005838E1">
        <w:t xml:space="preserve"> different levels of causality. </w:t>
      </w:r>
      <w:r>
        <w:t>T</w:t>
      </w:r>
      <w:r w:rsidRPr="005838E1">
        <w:t xml:space="preserve">he following assess the relationship of the </w:t>
      </w:r>
      <w:r>
        <w:t>SAE</w:t>
      </w:r>
      <w:r w:rsidRPr="005838E1">
        <w:t xml:space="preserve"> to the investigational medical device or procedures. </w:t>
      </w:r>
    </w:p>
    <w:p w14:paraId="3F2561ED" w14:textId="77777777" w:rsidR="00067EA8" w:rsidRDefault="00067EA8" w:rsidP="00067EA8">
      <w:pPr>
        <w:pStyle w:val="bullet3"/>
        <w:ind w:left="1021" w:hanging="341"/>
      </w:pPr>
      <w:r>
        <w:t xml:space="preserve">1) Not related - </w:t>
      </w:r>
      <w:r w:rsidRPr="00DF2DF0">
        <w:t>relationship to the device or procedures can be excluded</w:t>
      </w:r>
      <w:r>
        <w:t>.</w:t>
      </w:r>
    </w:p>
    <w:p w14:paraId="182AA9DA" w14:textId="77777777" w:rsidR="00067EA8" w:rsidRDefault="00067EA8" w:rsidP="00067EA8">
      <w:pPr>
        <w:pStyle w:val="bullet3"/>
        <w:ind w:left="1021" w:hanging="341"/>
      </w:pPr>
      <w:r>
        <w:t xml:space="preserve">2) Unlikely - </w:t>
      </w:r>
      <w:r w:rsidRPr="00DF2DF0">
        <w:t>the relationship with the use of the device seems not relevant and/or the event can be reasonably explained by another cause, but additional information may be obtained.</w:t>
      </w:r>
      <w:r>
        <w:t xml:space="preserve"> </w:t>
      </w:r>
    </w:p>
    <w:p w14:paraId="37C2C120" w14:textId="77777777" w:rsidR="00067EA8" w:rsidRDefault="00067EA8" w:rsidP="00067EA8">
      <w:pPr>
        <w:pStyle w:val="bullet3"/>
        <w:ind w:left="1021" w:hanging="341"/>
      </w:pPr>
      <w:r>
        <w:t>3) Possible - t</w:t>
      </w:r>
      <w:r w:rsidRPr="00DF2DF0">
        <w:t>he relationship with the use of the investigational device is weak but cannot be ruled out completely.</w:t>
      </w:r>
    </w:p>
    <w:p w14:paraId="4577B38E" w14:textId="77777777" w:rsidR="00067EA8" w:rsidRDefault="00067EA8" w:rsidP="00067EA8">
      <w:pPr>
        <w:pStyle w:val="bullet3"/>
        <w:ind w:left="1021" w:hanging="341"/>
      </w:pPr>
      <w:r>
        <w:lastRenderedPageBreak/>
        <w:t xml:space="preserve">4) Probable - </w:t>
      </w:r>
      <w:r w:rsidRPr="00DF2DF0">
        <w:t xml:space="preserve">the relationship with the use of the investigational device seems relevant and/or the event cannot reasonably </w:t>
      </w:r>
      <w:r>
        <w:t xml:space="preserve">be </w:t>
      </w:r>
      <w:r w:rsidRPr="00DF2DF0">
        <w:t>explained by another cause, but additional information may be obtained.</w:t>
      </w:r>
    </w:p>
    <w:p w14:paraId="1C301AA4" w14:textId="77777777" w:rsidR="00067EA8" w:rsidRDefault="00067EA8" w:rsidP="00067EA8">
      <w:pPr>
        <w:pStyle w:val="bullet3"/>
        <w:ind w:left="1021" w:hanging="341"/>
      </w:pPr>
      <w:r>
        <w:t xml:space="preserve">5) Casual Relationship - </w:t>
      </w:r>
      <w:r w:rsidRPr="00DF2DF0">
        <w:t>the serious event is associated with the investigational device or with procedures beyond reasonable doubt</w:t>
      </w:r>
      <w:r>
        <w:t>.</w:t>
      </w:r>
    </w:p>
    <w:p w14:paraId="7C7AC710" w14:textId="77777777" w:rsidR="00067EA8" w:rsidRPr="00266875" w:rsidRDefault="00067EA8" w:rsidP="00067EA8">
      <w:pPr>
        <w:pStyle w:val="bullet3"/>
        <w:ind w:left="1021" w:hanging="341"/>
      </w:pPr>
      <w:r>
        <w:t xml:space="preserve">Where it remains uncertain about classifying the SAE, it will be classified as “possible”. See </w:t>
      </w:r>
      <w:hyperlink r:id="rId36" w:tooltip="Link to EU guidelines for medical devices" w:history="1">
        <w:r w:rsidRPr="00FF53C1">
          <w:rPr>
            <w:rStyle w:val="Hyperlink"/>
          </w:rPr>
          <w:t>EU guidelines</w:t>
        </w:r>
      </w:hyperlink>
      <w:r>
        <w:t xml:space="preserve"> for further details.</w:t>
      </w:r>
    </w:p>
    <w:p w14:paraId="0D33A794" w14:textId="77777777" w:rsidR="00067EA8" w:rsidRDefault="00067EA8" w:rsidP="00067EA8">
      <w:pPr>
        <w:pStyle w:val="Numberlist"/>
        <w:numPr>
          <w:ilvl w:val="0"/>
          <w:numId w:val="12"/>
        </w:numPr>
      </w:pPr>
      <w:r>
        <w:t>The CI (or delegate) will report to the CA in which the research project is being conducted:</w:t>
      </w:r>
    </w:p>
    <w:p w14:paraId="11B08880" w14:textId="77777777" w:rsidR="00067EA8" w:rsidRDefault="00067EA8" w:rsidP="00067EA8">
      <w:pPr>
        <w:pStyle w:val="bullet2"/>
      </w:pPr>
      <w:r>
        <w:t>A</w:t>
      </w:r>
      <w:r w:rsidRPr="008A0C2A">
        <w:t xml:space="preserve">ll reportable events </w:t>
      </w:r>
      <w:r>
        <w:t xml:space="preserve">described in point 23 </w:t>
      </w:r>
      <w:r w:rsidRPr="008A0C2A">
        <w:t>which indicate an imminent risk of death, serious injury, or serious illness and that requires prompt remedial action for other patients/</w:t>
      </w:r>
      <w:r>
        <w:t>participants, users or other persons</w:t>
      </w:r>
      <w:r w:rsidRPr="008A0C2A">
        <w:t xml:space="preserve"> or a new finding to it: immediately, but not later than 2 calendar days after awareness by </w:t>
      </w:r>
      <w:r>
        <w:t>S</w:t>
      </w:r>
      <w:r w:rsidRPr="008A0C2A">
        <w:t xml:space="preserve">ponsor of a new reportable event or of new information in relation with an already reported event. </w:t>
      </w:r>
    </w:p>
    <w:p w14:paraId="3C713EAA" w14:textId="77777777" w:rsidR="00067EA8" w:rsidRDefault="00067EA8" w:rsidP="00067EA8">
      <w:pPr>
        <w:pStyle w:val="bullet2"/>
      </w:pPr>
      <w:r>
        <w:t>A</w:t>
      </w:r>
      <w:r w:rsidRPr="008A0C2A">
        <w:t xml:space="preserve">ny other reportable events as described in </w:t>
      </w:r>
      <w:r>
        <w:t xml:space="preserve">point 23 </w:t>
      </w:r>
      <w:r w:rsidRPr="008A0C2A">
        <w:t xml:space="preserve">or a new finding/update to it: immediately, but not later than 7 calendar days following the date of awareness by the </w:t>
      </w:r>
      <w:r>
        <w:t>S</w:t>
      </w:r>
      <w:r w:rsidRPr="008A0C2A">
        <w:t>ponsor of the new reportable event or of new information in relation with an already reported event.</w:t>
      </w:r>
    </w:p>
    <w:p w14:paraId="5F7DC105" w14:textId="77777777" w:rsidR="00067EA8" w:rsidRPr="009A1380" w:rsidRDefault="00067EA8" w:rsidP="00067EA8">
      <w:pPr>
        <w:pStyle w:val="Heading2"/>
      </w:pPr>
      <w:r w:rsidRPr="009A1380">
        <w:t xml:space="preserve">Urgent </w:t>
      </w:r>
      <w:r>
        <w:t>s</w:t>
      </w:r>
      <w:r w:rsidRPr="009A1380">
        <w:t xml:space="preserve">afety </w:t>
      </w:r>
      <w:r>
        <w:t>m</w:t>
      </w:r>
      <w:r w:rsidRPr="009A1380">
        <w:t>easures</w:t>
      </w:r>
    </w:p>
    <w:p w14:paraId="7662BEAB" w14:textId="77777777" w:rsidR="00067EA8" w:rsidRDefault="00067EA8" w:rsidP="00067EA8">
      <w:pPr>
        <w:pStyle w:val="Numberlist"/>
        <w:numPr>
          <w:ilvl w:val="0"/>
          <w:numId w:val="12"/>
        </w:numPr>
      </w:pPr>
      <w:r>
        <w:t>The CI (or delegate) will ensure that w</w:t>
      </w:r>
      <w:r w:rsidRPr="00124402">
        <w:t xml:space="preserve">here urgent safety measures are taken </w:t>
      </w:r>
      <w:proofErr w:type="gramStart"/>
      <w:r w:rsidRPr="00124402">
        <w:t>in order to</w:t>
      </w:r>
      <w:proofErr w:type="gramEnd"/>
      <w:r w:rsidRPr="00124402">
        <w:t xml:space="preserve"> protect the</w:t>
      </w:r>
      <w:r>
        <w:t xml:space="preserve"> </w:t>
      </w:r>
      <w:r w:rsidRPr="00124402">
        <w:t xml:space="preserve">health </w:t>
      </w:r>
      <w:r>
        <w:t>and</w:t>
      </w:r>
      <w:r w:rsidRPr="00124402">
        <w:t xml:space="preserve"> safety</w:t>
      </w:r>
      <w:r>
        <w:t xml:space="preserve"> of</w:t>
      </w:r>
      <w:r w:rsidRPr="00124402">
        <w:t xml:space="preserve"> participants </w:t>
      </w:r>
      <w:r w:rsidRPr="00EF3A40">
        <w:t xml:space="preserve">of </w:t>
      </w:r>
      <w:r w:rsidRPr="00D70299">
        <w:t>any research project</w:t>
      </w:r>
      <w:r w:rsidRPr="00124402">
        <w:t xml:space="preserve"> against any immediate hazard</w:t>
      </w:r>
      <w:r>
        <w:t>,</w:t>
      </w:r>
      <w:r w:rsidRPr="00124402">
        <w:t xml:space="preserve"> the REC, RGT and where applicable the CA </w:t>
      </w:r>
      <w:r>
        <w:t>will</w:t>
      </w:r>
      <w:r w:rsidRPr="00124402">
        <w:t xml:space="preserve"> be notified immediately by telephone</w:t>
      </w:r>
      <w:r>
        <w:t xml:space="preserve">. The CI (or delegate) will ensure any urgent safety measures are then </w:t>
      </w:r>
      <w:r w:rsidRPr="00124402">
        <w:t xml:space="preserve">confirmed </w:t>
      </w:r>
      <w:r>
        <w:t>in</w:t>
      </w:r>
      <w:r w:rsidRPr="00124402">
        <w:t xml:space="preserve"> writing within 3 working days that such measures have been taken, the reasons why</w:t>
      </w:r>
      <w:r>
        <w:t xml:space="preserve"> and the plan for further action. See </w:t>
      </w:r>
      <w:hyperlink r:id="rId37" w:anchor="urgent-safety-measures" w:tooltip="Link to MHRA guidance on urgent safety measures" w:history="1">
        <w:r w:rsidRPr="00265923">
          <w:rPr>
            <w:rStyle w:val="Hyperlink"/>
          </w:rPr>
          <w:t>MHR</w:t>
        </w:r>
        <w:r>
          <w:rPr>
            <w:rStyle w:val="Hyperlink"/>
          </w:rPr>
          <w:t>A guidance on urgent safety measures</w:t>
        </w:r>
      </w:hyperlink>
      <w:r>
        <w:t xml:space="preserve"> for further details.</w:t>
      </w:r>
    </w:p>
    <w:p w14:paraId="4539AEDE" w14:textId="77777777" w:rsidR="00067EA8" w:rsidRPr="00124402" w:rsidRDefault="00067EA8" w:rsidP="00067EA8">
      <w:pPr>
        <w:pStyle w:val="Numberlist"/>
        <w:numPr>
          <w:ilvl w:val="0"/>
          <w:numId w:val="12"/>
        </w:numPr>
      </w:pPr>
      <w:r w:rsidRPr="00124402">
        <w:t xml:space="preserve">Copies of the information </w:t>
      </w:r>
      <w:r>
        <w:t>will</w:t>
      </w:r>
      <w:r w:rsidRPr="00124402">
        <w:t xml:space="preserve"> be provided to the REC that approved the </w:t>
      </w:r>
      <w:r>
        <w:t xml:space="preserve">research project </w:t>
      </w:r>
      <w:r w:rsidRPr="00124402">
        <w:t>using the appropriate REC safety reporting</w:t>
      </w:r>
      <w:r w:rsidRPr="008E7A39">
        <w:rPr>
          <w:b/>
          <w:bCs/>
        </w:rPr>
        <w:t> </w:t>
      </w:r>
      <w:r w:rsidRPr="00124402">
        <w:t>cover sheet (see</w:t>
      </w:r>
      <w:r>
        <w:t xml:space="preserve"> </w:t>
      </w:r>
      <w:hyperlink r:id="rId38" w:tooltip="Link to HRA urgent safety measures (all studies)" w:history="1">
        <w:r w:rsidRPr="008E7A39">
          <w:rPr>
            <w:rStyle w:val="Hyperlink"/>
          </w:rPr>
          <w:t>HRA urgent safety measures (all studies)</w:t>
        </w:r>
      </w:hyperlink>
      <w:r>
        <w:t xml:space="preserve"> for more information</w:t>
      </w:r>
      <w:r w:rsidRPr="00124402">
        <w:t>).</w:t>
      </w:r>
    </w:p>
    <w:p w14:paraId="50F64128" w14:textId="77777777" w:rsidR="00067EA8" w:rsidRPr="00124402" w:rsidRDefault="00067EA8" w:rsidP="00067EA8">
      <w:pPr>
        <w:pStyle w:val="Numberlist"/>
        <w:numPr>
          <w:ilvl w:val="0"/>
          <w:numId w:val="12"/>
        </w:numPr>
      </w:pPr>
      <w:r>
        <w:t>The CI (or delegate) will ensure that participants are given the option to re-consent or to withdraw from the research project if urgent safety measures are implemented to protect the participant against any immediate hazard to their health safety.</w:t>
      </w:r>
    </w:p>
    <w:p w14:paraId="122E7274" w14:textId="77777777" w:rsidR="00067EA8" w:rsidRPr="009A1380" w:rsidRDefault="00067EA8" w:rsidP="00067EA8">
      <w:pPr>
        <w:pStyle w:val="Heading2"/>
      </w:pPr>
      <w:r w:rsidRPr="009A1380">
        <w:t xml:space="preserve">Communicating </w:t>
      </w:r>
      <w:r>
        <w:t>s</w:t>
      </w:r>
      <w:r w:rsidRPr="009A1380">
        <w:t xml:space="preserve">afety </w:t>
      </w:r>
      <w:r>
        <w:t>i</w:t>
      </w:r>
      <w:r w:rsidRPr="009A1380">
        <w:t>ssues</w:t>
      </w:r>
    </w:p>
    <w:p w14:paraId="1AE9743B" w14:textId="77777777" w:rsidR="00067EA8" w:rsidRDefault="00067EA8" w:rsidP="00067EA8">
      <w:pPr>
        <w:pStyle w:val="Numberlist"/>
        <w:numPr>
          <w:ilvl w:val="0"/>
          <w:numId w:val="12"/>
        </w:numPr>
      </w:pPr>
      <w:r>
        <w:t xml:space="preserve">The CI (or delegate) will inform </w:t>
      </w:r>
      <w:r w:rsidRPr="0056707C">
        <w:t>the Sponsor</w:t>
      </w:r>
      <w:r>
        <w:t xml:space="preserve"> (RGT)</w:t>
      </w:r>
      <w:r w:rsidRPr="0056707C">
        <w:t xml:space="preserve"> of any potential significant safety issues that may have to be reported to any other </w:t>
      </w:r>
      <w:r>
        <w:t>research projects</w:t>
      </w:r>
      <w:r w:rsidRPr="0056707C">
        <w:t xml:space="preserve"> in the Sponsor’s portfolio using the same</w:t>
      </w:r>
      <w:r>
        <w:t xml:space="preserve"> IMP/medicine/intervention.</w:t>
      </w:r>
    </w:p>
    <w:p w14:paraId="091CB5BB" w14:textId="77777777" w:rsidR="00067EA8" w:rsidRPr="00124402" w:rsidRDefault="00067EA8" w:rsidP="00067EA8">
      <w:pPr>
        <w:pStyle w:val="Numberlist"/>
        <w:numPr>
          <w:ilvl w:val="0"/>
          <w:numId w:val="12"/>
        </w:numPr>
      </w:pPr>
      <w:r>
        <w:t xml:space="preserve">The CI (or delegate) will inform </w:t>
      </w:r>
      <w:r w:rsidRPr="00814B0F">
        <w:t xml:space="preserve">relevant third parties </w:t>
      </w:r>
      <w:r>
        <w:t xml:space="preserve">(where this is a contractual requirement) </w:t>
      </w:r>
      <w:r w:rsidRPr="00814B0F">
        <w:t>of any relevant safety data or significant safety issues as appropriate</w:t>
      </w:r>
      <w:r>
        <w:t xml:space="preserve"> (this does not include sites). </w:t>
      </w:r>
    </w:p>
    <w:p w14:paraId="2D74868D" w14:textId="77777777" w:rsidR="00067EA8" w:rsidRPr="00124402" w:rsidRDefault="00067EA8" w:rsidP="00067EA8">
      <w:pPr>
        <w:pStyle w:val="Numberlist"/>
        <w:numPr>
          <w:ilvl w:val="0"/>
          <w:numId w:val="12"/>
        </w:numPr>
      </w:pPr>
      <w:r>
        <w:t xml:space="preserve">Upon receipt of safety information, the </w:t>
      </w:r>
      <w:r w:rsidRPr="00124402">
        <w:t xml:space="preserve">RGT (as the Sponsor) will ensure CIs of any other research projects in the Sponsor’s portfolio using the same </w:t>
      </w:r>
      <w:r>
        <w:t>IMP/medicine/</w:t>
      </w:r>
      <w:r w:rsidRPr="00124402">
        <w:t>intervention are updated</w:t>
      </w:r>
      <w:r>
        <w:t xml:space="preserve"> within 10 working days</w:t>
      </w:r>
      <w:r w:rsidRPr="00124402">
        <w:t xml:space="preserve"> of any potentially significant safety issues</w:t>
      </w:r>
      <w:r>
        <w:t xml:space="preserve">. </w:t>
      </w:r>
      <w:r w:rsidRPr="00990EA9">
        <w:t>The RGT will also assess the impact upon sponsorship/insurance or contractual obligations and respond as necessary</w:t>
      </w:r>
      <w:r>
        <w:t xml:space="preserve">, </w:t>
      </w:r>
      <w:r w:rsidRPr="00124402">
        <w:t xml:space="preserve">and </w:t>
      </w:r>
      <w:r>
        <w:t xml:space="preserve">where applicable, </w:t>
      </w:r>
      <w:r w:rsidRPr="00124402">
        <w:t xml:space="preserve">will ensure all relevant research projects are updated in the event of the supplier issuing a revised </w:t>
      </w:r>
      <w:r>
        <w:t>SmPC.</w:t>
      </w:r>
      <w:r w:rsidRPr="00124402">
        <w:t xml:space="preserve"> </w:t>
      </w:r>
    </w:p>
    <w:p w14:paraId="6A5A8ADD" w14:textId="77777777" w:rsidR="00067EA8" w:rsidRPr="006B40FE" w:rsidRDefault="00067EA8" w:rsidP="00067EA8">
      <w:pPr>
        <w:pStyle w:val="Numberlist"/>
        <w:numPr>
          <w:ilvl w:val="0"/>
          <w:numId w:val="12"/>
        </w:numPr>
      </w:pPr>
      <w:r w:rsidRPr="006B40FE">
        <w:t>The CI (or delegate) will:</w:t>
      </w:r>
    </w:p>
    <w:p w14:paraId="2E8E309B" w14:textId="77777777" w:rsidR="00067EA8" w:rsidRPr="006B40FE" w:rsidRDefault="00067EA8" w:rsidP="00067EA8">
      <w:pPr>
        <w:pStyle w:val="bullet2"/>
      </w:pPr>
      <w:r w:rsidRPr="006B40FE">
        <w:t>Inform site staff of any safety issues in a timely fashion; for CTIMPs this includes forwarding information about SUSARs.</w:t>
      </w:r>
    </w:p>
    <w:p w14:paraId="1FEB6880" w14:textId="77777777" w:rsidR="00067EA8" w:rsidRPr="006B40FE" w:rsidRDefault="00067EA8" w:rsidP="00067EA8">
      <w:pPr>
        <w:pStyle w:val="bullet2"/>
      </w:pPr>
      <w:r w:rsidRPr="006B40FE">
        <w:t>Where a DMC is in place, ensure safety information is made available for the DMC review at the scheduled time points.</w:t>
      </w:r>
    </w:p>
    <w:p w14:paraId="2514C733" w14:textId="77777777" w:rsidR="00067EA8" w:rsidRPr="006B40FE" w:rsidRDefault="00067EA8" w:rsidP="00067EA8">
      <w:pPr>
        <w:pStyle w:val="bullet2"/>
      </w:pPr>
      <w:r w:rsidRPr="006B40FE">
        <w:t xml:space="preserve">Ensure </w:t>
      </w:r>
      <w:r>
        <w:t>u</w:t>
      </w:r>
      <w:r w:rsidRPr="006B40FE">
        <w:t>rgent DMC to convene where appropriate and make assessment on all safety information. DMC to advise CI of the decisions.</w:t>
      </w:r>
    </w:p>
    <w:p w14:paraId="292ABB0F" w14:textId="77777777" w:rsidR="00067EA8" w:rsidRPr="009A1380" w:rsidRDefault="00067EA8" w:rsidP="00067EA8">
      <w:pPr>
        <w:pStyle w:val="Heading2"/>
      </w:pPr>
      <w:r w:rsidRPr="009A1380">
        <w:t xml:space="preserve">Annual </w:t>
      </w:r>
      <w:r>
        <w:t>r</w:t>
      </w:r>
      <w:r w:rsidRPr="009A1380">
        <w:t xml:space="preserve">eporting and </w:t>
      </w:r>
      <w:r>
        <w:t>v</w:t>
      </w:r>
      <w:r w:rsidRPr="009A1380">
        <w:t>alidation</w:t>
      </w:r>
    </w:p>
    <w:p w14:paraId="6756E585" w14:textId="77777777" w:rsidR="00067EA8" w:rsidRDefault="00067EA8" w:rsidP="00067EA8">
      <w:pPr>
        <w:pStyle w:val="Numberlist"/>
        <w:numPr>
          <w:ilvl w:val="0"/>
          <w:numId w:val="12"/>
        </w:numPr>
      </w:pPr>
      <w:r w:rsidRPr="00124402">
        <w:t>The CI (or delegate) will ensure annual reporting is undertaken as required</w:t>
      </w:r>
      <w:r>
        <w:t xml:space="preserve"> and that</w:t>
      </w:r>
      <w:r w:rsidRPr="008A0412">
        <w:t xml:space="preserve"> all relevant documentation including acknowledgment receipts</w:t>
      </w:r>
      <w:r>
        <w:t xml:space="preserve"> are filed in the Study/Trial Master File (S/TMF)</w:t>
      </w:r>
      <w:r w:rsidRPr="00124402">
        <w:t>:</w:t>
      </w:r>
    </w:p>
    <w:p w14:paraId="0BB00C91" w14:textId="77777777" w:rsidR="00067EA8" w:rsidRPr="00124402" w:rsidRDefault="00067EA8" w:rsidP="00067EA8">
      <w:pPr>
        <w:pStyle w:val="bullet2"/>
      </w:pPr>
      <w:r w:rsidRPr="00124402">
        <w:lastRenderedPageBreak/>
        <w:t>For CTIMPs, a DSUR is completed and sent to the CA and REC on an annual basis with a copy to RGT</w:t>
      </w:r>
      <w:r>
        <w:t xml:space="preserve"> (Sponsor)</w:t>
      </w:r>
      <w:r w:rsidRPr="00124402">
        <w:t xml:space="preserve">; see </w:t>
      </w:r>
      <w:r w:rsidRPr="00124402">
        <w:rPr>
          <w:i/>
          <w:iCs/>
          <w:color w:val="943634"/>
        </w:rPr>
        <w:t>DSUR template</w:t>
      </w:r>
      <w:r>
        <w:rPr>
          <w:i/>
          <w:iCs/>
          <w:color w:val="943634"/>
        </w:rPr>
        <w:t xml:space="preserve"> (</w:t>
      </w:r>
      <w:r w:rsidRPr="00124402">
        <w:rPr>
          <w:i/>
          <w:iCs/>
          <w:color w:val="943634"/>
        </w:rPr>
        <w:t>UoB-</w:t>
      </w:r>
      <w:r>
        <w:rPr>
          <w:i/>
          <w:iCs/>
          <w:color w:val="943634"/>
        </w:rPr>
        <w:t>CLN-</w:t>
      </w:r>
      <w:r w:rsidRPr="00124402">
        <w:rPr>
          <w:i/>
          <w:iCs/>
          <w:color w:val="943634"/>
        </w:rPr>
        <w:t>AES-QCD-00</w:t>
      </w:r>
      <w:r>
        <w:rPr>
          <w:i/>
          <w:iCs/>
          <w:color w:val="943634"/>
        </w:rPr>
        <w:t>4)</w:t>
      </w:r>
      <w:r w:rsidRPr="00124402">
        <w:t xml:space="preserve"> for an </w:t>
      </w:r>
      <w:r>
        <w:t xml:space="preserve">example. See also </w:t>
      </w:r>
      <w:hyperlink r:id="rId39" w:anchor="submitting-development-safety-update-reports-dsurs-to-the-mhra" w:tooltip="MHRA guidance on submitting DSURs" w:history="1">
        <w:r w:rsidRPr="00CB25D1">
          <w:rPr>
            <w:rStyle w:val="Hyperlink"/>
          </w:rPr>
          <w:t xml:space="preserve">MHRA guidance on DSUR </w:t>
        </w:r>
        <w:r>
          <w:rPr>
            <w:rStyle w:val="Hyperlink"/>
          </w:rPr>
          <w:t>S</w:t>
        </w:r>
        <w:r w:rsidRPr="00CB25D1">
          <w:rPr>
            <w:rStyle w:val="Hyperlink"/>
          </w:rPr>
          <w:t>ubmissions</w:t>
        </w:r>
      </w:hyperlink>
      <w:r>
        <w:t>.</w:t>
      </w:r>
    </w:p>
    <w:p w14:paraId="7BDEC3B4" w14:textId="77777777" w:rsidR="00067EA8" w:rsidRPr="00124402" w:rsidRDefault="00067EA8" w:rsidP="00067EA8">
      <w:pPr>
        <w:pStyle w:val="bullet3"/>
        <w:ind w:left="1021" w:hanging="341"/>
      </w:pPr>
      <w:r w:rsidRPr="00124402">
        <w:t>The date the DSUR is due is the anniversary of the first C</w:t>
      </w:r>
      <w:r>
        <w:t xml:space="preserve">linical </w:t>
      </w:r>
      <w:r w:rsidRPr="00124402">
        <w:t>T</w:t>
      </w:r>
      <w:r>
        <w:t xml:space="preserve">rial </w:t>
      </w:r>
      <w:r w:rsidRPr="00124402">
        <w:t>A</w:t>
      </w:r>
      <w:r>
        <w:t>uthorisation (CTA)</w:t>
      </w:r>
      <w:r w:rsidRPr="00124402">
        <w:t>, for research projects with marketed products the date is the first marketing authorisation granted in the EU.</w:t>
      </w:r>
    </w:p>
    <w:p w14:paraId="2C06D6F7" w14:textId="77777777" w:rsidR="00067EA8" w:rsidRPr="006B40FE" w:rsidRDefault="00067EA8" w:rsidP="00067EA8">
      <w:pPr>
        <w:pStyle w:val="bullet2"/>
      </w:pPr>
      <w:r w:rsidRPr="00124402">
        <w:t xml:space="preserve">For all </w:t>
      </w:r>
      <w:r>
        <w:t xml:space="preserve">HRA-approved </w:t>
      </w:r>
      <w:r w:rsidRPr="00124402">
        <w:t>research projects, safety information is included in the Annual Progress Report and sent to the REC with a copy to RGT on an annual basis</w:t>
      </w:r>
      <w:r>
        <w:t>.</w:t>
      </w:r>
      <w:r w:rsidRPr="00124402">
        <w:t xml:space="preserve"> </w:t>
      </w:r>
      <w:r>
        <w:t>S</w:t>
      </w:r>
      <w:r w:rsidRPr="00124402">
        <w:t>ee</w:t>
      </w:r>
      <w:r>
        <w:t xml:space="preserve"> also</w:t>
      </w:r>
      <w:r w:rsidRPr="00124402">
        <w:t xml:space="preserve"> </w:t>
      </w:r>
      <w:hyperlink r:id="rId40" w:tooltip="Link to HRA guidance on Progress Reports" w:history="1">
        <w:r w:rsidRPr="00EE3E65">
          <w:rPr>
            <w:rStyle w:val="Hyperlink"/>
          </w:rPr>
          <w:t>HRA guidance on Progress Reports</w:t>
        </w:r>
      </w:hyperlink>
      <w:r w:rsidRPr="006B40FE">
        <w:t>.</w:t>
      </w:r>
    </w:p>
    <w:p w14:paraId="1D717DE6" w14:textId="77777777" w:rsidR="00067EA8" w:rsidRPr="006B40FE" w:rsidRDefault="00067EA8" w:rsidP="00067EA8">
      <w:pPr>
        <w:pStyle w:val="bullet2"/>
      </w:pPr>
      <w:r w:rsidRPr="006B40FE">
        <w:t xml:space="preserve">For </w:t>
      </w:r>
      <w:r>
        <w:t>c</w:t>
      </w:r>
      <w:r w:rsidRPr="006B40FE">
        <w:t xml:space="preserve">linical </w:t>
      </w:r>
      <w:r>
        <w:t>i</w:t>
      </w:r>
      <w:r w:rsidRPr="006B40FE">
        <w:t xml:space="preserve">nvestigations of </w:t>
      </w:r>
      <w:r>
        <w:t>m</w:t>
      </w:r>
      <w:r w:rsidRPr="006B40FE">
        <w:t xml:space="preserve">edical </w:t>
      </w:r>
      <w:r>
        <w:t>d</w:t>
      </w:r>
      <w:r w:rsidRPr="006B40FE">
        <w:t>evices</w:t>
      </w:r>
      <w:r>
        <w:t>, w</w:t>
      </w:r>
      <w:r w:rsidRPr="006B40FE">
        <w:t>ithin 30 days following the anniversary of the authori</w:t>
      </w:r>
      <w:r>
        <w:t>s</w:t>
      </w:r>
      <w:r w:rsidRPr="006B40FE">
        <w:t>ation date for the clinical investigation the CI (or delegate) will report details of all SADEs (including USADEs)</w:t>
      </w:r>
      <w:r>
        <w:t xml:space="preserve"> in the Annual Safety Report</w:t>
      </w:r>
      <w:r w:rsidRPr="006B40FE">
        <w:t xml:space="preserve"> to the MHRA and main REC. A copy of the report will also be sent to the </w:t>
      </w:r>
      <w:r>
        <w:t>S</w:t>
      </w:r>
      <w:r w:rsidRPr="006B40FE">
        <w:t>ponsor and the manufacturer.</w:t>
      </w:r>
    </w:p>
    <w:p w14:paraId="25F7B4ED" w14:textId="77777777" w:rsidR="00067EA8" w:rsidRDefault="00067EA8" w:rsidP="00067EA8">
      <w:pPr>
        <w:pStyle w:val="Numberlist"/>
        <w:numPr>
          <w:ilvl w:val="0"/>
          <w:numId w:val="12"/>
        </w:numPr>
      </w:pPr>
      <w:r>
        <w:t>For CTIMPs, the CI will review and approve the DSUR prior to submission. W</w:t>
      </w:r>
      <w:r w:rsidRPr="00814B0F">
        <w:t>here it is not felt ap</w:t>
      </w:r>
      <w:r>
        <w:t xml:space="preserve">propriate for the CI to review </w:t>
      </w:r>
      <w:r w:rsidRPr="00814B0F">
        <w:t>the DSUR, another independent clinician should be appointed to assume this role.</w:t>
      </w:r>
    </w:p>
    <w:p w14:paraId="2AE4AFCE" w14:textId="77777777" w:rsidR="00067EA8" w:rsidRDefault="00067EA8" w:rsidP="00067EA8">
      <w:pPr>
        <w:pStyle w:val="Numberlist"/>
        <w:numPr>
          <w:ilvl w:val="0"/>
          <w:numId w:val="12"/>
        </w:numPr>
      </w:pPr>
      <w:r w:rsidRPr="00124402">
        <w:t>For CTIMPs</w:t>
      </w:r>
      <w:r>
        <w:t>,</w:t>
      </w:r>
      <w:r w:rsidRPr="00124402">
        <w:t xml:space="preserve"> </w:t>
      </w:r>
      <w:r>
        <w:t>t</w:t>
      </w:r>
      <w:r w:rsidRPr="00124402">
        <w:t xml:space="preserve">he CI (or delegate) will ensure </w:t>
      </w:r>
      <w:r>
        <w:t xml:space="preserve">the </w:t>
      </w:r>
      <w:r w:rsidRPr="00124402">
        <w:t>IB</w:t>
      </w:r>
      <w:r>
        <w:t xml:space="preserve"> (</w:t>
      </w:r>
      <w:r w:rsidRPr="00124402">
        <w:t xml:space="preserve">where </w:t>
      </w:r>
      <w:r>
        <w:t>the CI is responsible for the IB)</w:t>
      </w:r>
      <w:r w:rsidRPr="00124402">
        <w:t xml:space="preserve"> is reviewed at least once a year and confirm to the RGT that this has occurred. Where an existing IB or </w:t>
      </w:r>
      <w:proofErr w:type="spellStart"/>
      <w:r w:rsidRPr="00124402">
        <w:t>SmPCs</w:t>
      </w:r>
      <w:proofErr w:type="spellEnd"/>
      <w:r w:rsidRPr="00124402">
        <w:t xml:space="preserve"> is used</w:t>
      </w:r>
      <w:r>
        <w:t>,</w:t>
      </w:r>
      <w:r w:rsidRPr="00124402">
        <w:t xml:space="preserve"> the</w:t>
      </w:r>
      <w:r>
        <w:t xml:space="preserve"> CI (or delegate)</w:t>
      </w:r>
      <w:r w:rsidRPr="00124402">
        <w:t xml:space="preserve"> will ensure the content of an existing IB or </w:t>
      </w:r>
      <w:proofErr w:type="spellStart"/>
      <w:r w:rsidRPr="00124402">
        <w:t>SmPCs</w:t>
      </w:r>
      <w:proofErr w:type="spellEnd"/>
      <w:r w:rsidRPr="00124402">
        <w:t xml:space="preserve"> (if multiple are used) and </w:t>
      </w:r>
      <w:r>
        <w:t>u</w:t>
      </w:r>
      <w:r w:rsidRPr="00124402">
        <w:t>rgent safety reports are (the source for) the RSI, is reviewed at regular intervals as defined in the trial specific risk assessment, and as a minimum prior to submitting the annual DSUR and confirm to the RGT that this has occurred, at the time of the DSUR submission.</w:t>
      </w:r>
    </w:p>
    <w:p w14:paraId="22394529" w14:textId="77777777" w:rsidR="00067EA8" w:rsidRDefault="00067EA8" w:rsidP="00067EA8">
      <w:pPr>
        <w:pStyle w:val="bullet2"/>
      </w:pPr>
      <w:r>
        <w:t xml:space="preserve">Where the RSI has changed:  </w:t>
      </w:r>
    </w:p>
    <w:p w14:paraId="0A1EE8C6" w14:textId="77777777" w:rsidR="00067EA8" w:rsidRDefault="00067EA8" w:rsidP="00067EA8">
      <w:pPr>
        <w:pStyle w:val="bullet3"/>
        <w:ind w:left="1021" w:hanging="341"/>
      </w:pPr>
      <w:r>
        <w:t>Submit a substantial amendment to the CA at the same time as submitting the DSUR. The amendment should reference and be supported by the DSUR. Note: the revised RSI can only be implemented once approval from the CA has been received.</w:t>
      </w:r>
    </w:p>
    <w:p w14:paraId="5ED4B437" w14:textId="77777777" w:rsidR="00067EA8" w:rsidRDefault="00067EA8" w:rsidP="00067EA8">
      <w:pPr>
        <w:pStyle w:val="bullet3"/>
        <w:ind w:left="1021" w:hanging="341"/>
      </w:pPr>
      <w:r>
        <w:t>Attach old and revised RSI as Appendix 1 of the DSUR.</w:t>
      </w:r>
    </w:p>
    <w:p w14:paraId="21129C57" w14:textId="77777777" w:rsidR="00067EA8" w:rsidRPr="00124402" w:rsidRDefault="00067EA8" w:rsidP="00067EA8">
      <w:pPr>
        <w:pStyle w:val="bullet2"/>
      </w:pPr>
      <w:r>
        <w:t>Where the RSI has not changed, attach the (unchanged) current RSI to the DSUR.</w:t>
      </w:r>
    </w:p>
    <w:p w14:paraId="620480D5" w14:textId="77777777" w:rsidR="00067EA8" w:rsidRPr="00124402" w:rsidRDefault="00067EA8" w:rsidP="00067EA8">
      <w:pPr>
        <w:pStyle w:val="Heading2"/>
      </w:pPr>
      <w:r w:rsidRPr="00124402">
        <w:t xml:space="preserve">At the end of the </w:t>
      </w:r>
      <w:r>
        <w:t>research project</w:t>
      </w:r>
    </w:p>
    <w:p w14:paraId="61CF534D" w14:textId="77777777" w:rsidR="00067EA8" w:rsidRPr="00124402" w:rsidRDefault="00067EA8" w:rsidP="00067EA8">
      <w:pPr>
        <w:pStyle w:val="Numberlist"/>
        <w:numPr>
          <w:ilvl w:val="0"/>
          <w:numId w:val="12"/>
        </w:numPr>
      </w:pPr>
      <w:r w:rsidRPr="00124402">
        <w:t>The CI (or delegate) will ensure all reported AEs and SAEs are archived:</w:t>
      </w:r>
    </w:p>
    <w:p w14:paraId="69BBAEB3" w14:textId="77777777" w:rsidR="00067EA8" w:rsidRPr="00124402" w:rsidRDefault="00067EA8" w:rsidP="00067EA8">
      <w:pPr>
        <w:pStyle w:val="bullet2"/>
      </w:pPr>
      <w:r w:rsidRPr="00124402">
        <w:t xml:space="preserve">If SAE information is kept in a separate system, ensure information is reconciled with the main </w:t>
      </w:r>
      <w:r>
        <w:t>research project</w:t>
      </w:r>
      <w:r w:rsidRPr="00124402">
        <w:t xml:space="preserve"> database.</w:t>
      </w:r>
    </w:p>
    <w:p w14:paraId="5E77784D" w14:textId="5BC06416" w:rsidR="0060052C" w:rsidRDefault="00067EA8" w:rsidP="00067EA8">
      <w:pPr>
        <w:pStyle w:val="bullet2"/>
      </w:pPr>
      <w:r w:rsidRPr="00124402">
        <w:t>Ensure SAE forms and related information are archived as part of the</w:t>
      </w:r>
      <w:r>
        <w:t xml:space="preserve"> S/T</w:t>
      </w:r>
      <w:r w:rsidRPr="00124402">
        <w:t>MF.</w:t>
      </w:r>
    </w:p>
    <w:p w14:paraId="284F1C8F" w14:textId="77824B25" w:rsidR="00692DFA" w:rsidRPr="00435EAE" w:rsidRDefault="00692DFA">
      <w:pPr>
        <w:pStyle w:val="Heading1"/>
      </w:pPr>
      <w:r w:rsidRPr="00435EAE">
        <w:t>List of expected outputs</w:t>
      </w:r>
    </w:p>
    <w:p w14:paraId="5CE61C09" w14:textId="77777777" w:rsidR="006D0180" w:rsidRDefault="006D0180" w:rsidP="006D0180">
      <w:pPr>
        <w:pStyle w:val="bullet1"/>
      </w:pPr>
      <w:r>
        <w:t>A section in protocol regarding all AE reporting requirements and, if applicable, listing expected SAEs and detailing SAEs that do not require expedited reporting.</w:t>
      </w:r>
    </w:p>
    <w:p w14:paraId="02CE7657" w14:textId="77777777" w:rsidR="006D0180" w:rsidRDefault="006D0180" w:rsidP="006D0180">
      <w:pPr>
        <w:pStyle w:val="bullet1"/>
      </w:pPr>
      <w:r>
        <w:t>An SAE reporting form.</w:t>
      </w:r>
    </w:p>
    <w:p w14:paraId="459E9EC1" w14:textId="77777777" w:rsidR="006D0180" w:rsidRDefault="006D0180" w:rsidP="006D0180">
      <w:pPr>
        <w:pStyle w:val="bullet1"/>
      </w:pPr>
      <w:r>
        <w:t>For clinical investigations of medical devices: A Device Deficiency reporting form.</w:t>
      </w:r>
    </w:p>
    <w:p w14:paraId="713D1FF7" w14:textId="77777777" w:rsidR="006D0180" w:rsidRDefault="006D0180" w:rsidP="006D0180">
      <w:pPr>
        <w:pStyle w:val="bullet1"/>
      </w:pPr>
      <w:r>
        <w:t>Evidence of delegation for AE reporting procedures to site and causality assessments.</w:t>
      </w:r>
    </w:p>
    <w:p w14:paraId="51002D02" w14:textId="77777777" w:rsidR="006D0180" w:rsidRDefault="006D0180" w:rsidP="006D0180">
      <w:pPr>
        <w:pStyle w:val="bullet1"/>
      </w:pPr>
      <w:r>
        <w:t>Evidence of training of research project staff on AE reporting procedures.</w:t>
      </w:r>
    </w:p>
    <w:p w14:paraId="0ECB7D52" w14:textId="77777777" w:rsidR="006D0180" w:rsidRDefault="006D0180" w:rsidP="006D0180">
      <w:pPr>
        <w:pStyle w:val="bullet1"/>
      </w:pPr>
      <w:r>
        <w:t>A repository for capturing individual safety reports including AEs.</w:t>
      </w:r>
    </w:p>
    <w:p w14:paraId="2F93733B" w14:textId="77777777" w:rsidR="006D0180" w:rsidRDefault="006D0180" w:rsidP="006D0180">
      <w:pPr>
        <w:pStyle w:val="bullet1"/>
      </w:pPr>
      <w:r>
        <w:t>For clinical investigations of medical devices: A repository for capturing individual Device Deficiency reporting forms.</w:t>
      </w:r>
    </w:p>
    <w:p w14:paraId="46B85A00" w14:textId="77777777" w:rsidR="006D0180" w:rsidRDefault="006D0180" w:rsidP="006D0180">
      <w:pPr>
        <w:pStyle w:val="bullet1"/>
      </w:pPr>
      <w:r>
        <w:t>An SAE tracking log, if more than 15 SAEs be expected.</w:t>
      </w:r>
    </w:p>
    <w:p w14:paraId="29619B5A" w14:textId="77777777" w:rsidR="006D0180" w:rsidRDefault="006D0180" w:rsidP="006D0180">
      <w:pPr>
        <w:pStyle w:val="bullet1"/>
      </w:pPr>
      <w:r>
        <w:t>Evidence of causality of SAEs conducted by a qualified medical professional, where applicable.</w:t>
      </w:r>
    </w:p>
    <w:p w14:paraId="20918E02" w14:textId="77777777" w:rsidR="006D0180" w:rsidRDefault="006D0180" w:rsidP="006D0180">
      <w:pPr>
        <w:pStyle w:val="bullet1"/>
      </w:pPr>
      <w:r>
        <w:t>Evidence of SAEs reported to Sponsor, as required (and for Medical Devices, to the MHRA and manufacturer) and follow-up information.</w:t>
      </w:r>
    </w:p>
    <w:p w14:paraId="0B01B30E" w14:textId="77777777" w:rsidR="006D0180" w:rsidRDefault="006D0180" w:rsidP="006D0180">
      <w:pPr>
        <w:pStyle w:val="bullet1"/>
      </w:pPr>
      <w:r>
        <w:t>For CTIMPs: Evidence of SUSARs reported to CA and REC on time, with a copy sent to RGT.</w:t>
      </w:r>
    </w:p>
    <w:p w14:paraId="5B3EC8C5" w14:textId="77777777" w:rsidR="006D0180" w:rsidRDefault="006D0180" w:rsidP="006D0180">
      <w:pPr>
        <w:pStyle w:val="bullet1"/>
      </w:pPr>
      <w:r>
        <w:t xml:space="preserve">For CTIMPs: DSURs submitted to the CA and REC on time, with a copy sent to RGT. </w:t>
      </w:r>
    </w:p>
    <w:p w14:paraId="12A91F9C" w14:textId="77777777" w:rsidR="006D0180" w:rsidRDefault="006D0180" w:rsidP="006D0180">
      <w:pPr>
        <w:pStyle w:val="bullet1"/>
      </w:pPr>
      <w:r>
        <w:t>For CTIMPs: Evidence of IB/SmPC being validated annually and reported to RGT.</w:t>
      </w:r>
    </w:p>
    <w:p w14:paraId="7D2E68AD" w14:textId="77777777" w:rsidR="006D0180" w:rsidRDefault="006D0180" w:rsidP="006D0180">
      <w:pPr>
        <w:pStyle w:val="bullet1"/>
      </w:pPr>
      <w:r>
        <w:lastRenderedPageBreak/>
        <w:t>For all HRA approved research projects: Annual Progress Report(s) submitted to the REC on time, with a copy sent to RGT.</w:t>
      </w:r>
    </w:p>
    <w:p w14:paraId="7872C036" w14:textId="77777777" w:rsidR="006D0180" w:rsidRDefault="006D0180" w:rsidP="006D0180">
      <w:pPr>
        <w:pStyle w:val="bullet1"/>
      </w:pPr>
      <w:r>
        <w:t>For clinical investigations of medical devices: Evidence of (U)SADEs reported to CA and REC on time, with a copy sent to the Sponsor/RGT.</w:t>
      </w:r>
    </w:p>
    <w:p w14:paraId="6544D21F" w14:textId="77777777" w:rsidR="006D0180" w:rsidRDefault="006D0180" w:rsidP="006D0180">
      <w:pPr>
        <w:pStyle w:val="bullet1"/>
      </w:pPr>
      <w:r>
        <w:t>For clinical investigations of medical devices: Evidence of an Annual Safety Report being sent by the CI (or delegate) to the CA and REC on time, with a copy sent to RGT.</w:t>
      </w:r>
    </w:p>
    <w:p w14:paraId="1C3DEEDE" w14:textId="77777777" w:rsidR="006D0180" w:rsidRDefault="006D0180" w:rsidP="006D0180">
      <w:pPr>
        <w:pStyle w:val="bullet1"/>
      </w:pPr>
      <w:r>
        <w:t xml:space="preserve">Documented evidence of the identification, </w:t>
      </w:r>
      <w:proofErr w:type="gramStart"/>
      <w:r>
        <w:t>management</w:t>
      </w:r>
      <w:proofErr w:type="gramEnd"/>
      <w:r>
        <w:t xml:space="preserve"> and resolution of any major safety issues.</w:t>
      </w:r>
    </w:p>
    <w:p w14:paraId="7E0753B7" w14:textId="302B525C" w:rsidR="00A5391E" w:rsidRDefault="006D0180" w:rsidP="006D0180">
      <w:pPr>
        <w:pStyle w:val="bullet1"/>
      </w:pPr>
      <w:r>
        <w:t>For externally sponsored research projects: Evidence of delegation of these duties detailed above, including within the contractual agreement, and evidence of adherence to those processes.</w:t>
      </w:r>
    </w:p>
    <w:p w14:paraId="7A239567" w14:textId="2BB75E8E" w:rsidR="007B4836" w:rsidRDefault="007B4836">
      <w:pPr>
        <w:pStyle w:val="Heading1"/>
      </w:pPr>
      <w:r w:rsidRPr="006561C0">
        <w:t>Related</w:t>
      </w:r>
      <w:r>
        <w:t xml:space="preserve"> documents</w:t>
      </w:r>
      <w:bookmarkEnd w:id="0"/>
    </w:p>
    <w:p w14:paraId="56B20378" w14:textId="77777777" w:rsidR="001A5849" w:rsidRDefault="001A5849" w:rsidP="001A5849">
      <w:pPr>
        <w:pStyle w:val="bullet1"/>
        <w:numPr>
          <w:ilvl w:val="0"/>
          <w:numId w:val="3"/>
        </w:numPr>
        <w:ind w:left="340" w:hanging="340"/>
      </w:pPr>
      <w:r>
        <w:t>UoB-AES-QCD-001 SAE Form template</w:t>
      </w:r>
    </w:p>
    <w:p w14:paraId="063C0649" w14:textId="77777777" w:rsidR="001A5849" w:rsidRDefault="001A5849" w:rsidP="001A5849">
      <w:pPr>
        <w:pStyle w:val="bullet1"/>
        <w:numPr>
          <w:ilvl w:val="0"/>
          <w:numId w:val="3"/>
        </w:numPr>
        <w:ind w:left="340" w:hanging="340"/>
      </w:pPr>
      <w:r>
        <w:t>UoB-AES-QCD-002 Internal process for SAE handling example</w:t>
      </w:r>
    </w:p>
    <w:p w14:paraId="47C9E361" w14:textId="77777777" w:rsidR="001A5849" w:rsidRDefault="001A5849" w:rsidP="001A5849">
      <w:pPr>
        <w:pStyle w:val="bullet1"/>
        <w:numPr>
          <w:ilvl w:val="0"/>
          <w:numId w:val="3"/>
        </w:numPr>
        <w:ind w:left="340" w:hanging="340"/>
      </w:pPr>
      <w:r>
        <w:t>UoB-AES-QCD-003 Pregnancy Notification Form</w:t>
      </w:r>
    </w:p>
    <w:p w14:paraId="2724D74F" w14:textId="77777777" w:rsidR="001A5849" w:rsidRDefault="001A5849" w:rsidP="001A5849">
      <w:pPr>
        <w:pStyle w:val="bullet1"/>
        <w:numPr>
          <w:ilvl w:val="0"/>
          <w:numId w:val="3"/>
        </w:numPr>
        <w:ind w:left="340" w:hanging="340"/>
      </w:pPr>
      <w:r>
        <w:t>UoB-CLN-AES-QCD-004 DSUR template</w:t>
      </w:r>
    </w:p>
    <w:p w14:paraId="4B64A7B9" w14:textId="77777777" w:rsidR="001A5849" w:rsidRDefault="001A5849" w:rsidP="001A5849">
      <w:pPr>
        <w:pStyle w:val="bullet1"/>
        <w:numPr>
          <w:ilvl w:val="0"/>
          <w:numId w:val="3"/>
        </w:numPr>
        <w:ind w:left="340" w:hanging="340"/>
      </w:pPr>
      <w:r>
        <w:t>UoB-CLN-PRO-QCD-002 Protocol template – CTIMPs</w:t>
      </w:r>
    </w:p>
    <w:p w14:paraId="6F833C9F" w14:textId="77777777" w:rsidR="001A5849" w:rsidRDefault="001A5849" w:rsidP="001A5849">
      <w:pPr>
        <w:pStyle w:val="bullet1"/>
        <w:numPr>
          <w:ilvl w:val="0"/>
          <w:numId w:val="3"/>
        </w:numPr>
        <w:ind w:left="340" w:hanging="340"/>
      </w:pPr>
      <w:r>
        <w:t>UoB-CRT-CRF-SOP-001 Case Report Form Development</w:t>
      </w:r>
    </w:p>
    <w:p w14:paraId="18B9867E" w14:textId="77777777" w:rsidR="001A5849" w:rsidRDefault="001A5849" w:rsidP="001A5849">
      <w:pPr>
        <w:pStyle w:val="bullet1"/>
        <w:numPr>
          <w:ilvl w:val="0"/>
          <w:numId w:val="3"/>
        </w:numPr>
        <w:ind w:left="340" w:hanging="340"/>
      </w:pPr>
      <w:r>
        <w:t>UoB-CRT-NCTM-QCD-001 Protocol template – Non-CTIMPs and Studies</w:t>
      </w:r>
    </w:p>
    <w:p w14:paraId="20694473" w14:textId="77777777" w:rsidR="001A5849" w:rsidRDefault="001A5849" w:rsidP="001A5849">
      <w:pPr>
        <w:pStyle w:val="bullet1"/>
        <w:numPr>
          <w:ilvl w:val="0"/>
          <w:numId w:val="3"/>
        </w:numPr>
        <w:ind w:left="340" w:hanging="340"/>
      </w:pPr>
      <w:r>
        <w:t>UoB-DMA-SOP-001 Data Management</w:t>
      </w:r>
    </w:p>
    <w:p w14:paraId="0173BDDB" w14:textId="77777777" w:rsidR="001A5849" w:rsidRDefault="001A5849" w:rsidP="001A5849">
      <w:pPr>
        <w:pStyle w:val="bullet1"/>
        <w:numPr>
          <w:ilvl w:val="0"/>
          <w:numId w:val="3"/>
        </w:numPr>
        <w:ind w:left="340" w:hanging="340"/>
      </w:pPr>
      <w:r>
        <w:t>UoB-ESD-SOP-001 Essential Documents Development and Maintenance</w:t>
      </w:r>
    </w:p>
    <w:p w14:paraId="50473860" w14:textId="77777777" w:rsidR="001A5849" w:rsidRPr="00D11C9C" w:rsidRDefault="001A5849" w:rsidP="001A5849">
      <w:pPr>
        <w:pStyle w:val="bullet1"/>
        <w:numPr>
          <w:ilvl w:val="0"/>
          <w:numId w:val="3"/>
        </w:numPr>
        <w:ind w:left="340" w:hanging="340"/>
      </w:pPr>
      <w:r w:rsidRPr="00B64BBC">
        <w:rPr>
          <w:rStyle w:val="ReferencestootherSOPsQCDsChar"/>
          <w:i w:val="0"/>
          <w:iCs w:val="0"/>
          <w:color w:val="auto"/>
        </w:rPr>
        <w:t>UoB-GCP-POL-001 UoB Principles of GCP for Clinical Research</w:t>
      </w:r>
    </w:p>
    <w:p w14:paraId="574A8F18" w14:textId="77777777" w:rsidR="001A5849" w:rsidRDefault="001A5849" w:rsidP="001A5849">
      <w:pPr>
        <w:pStyle w:val="bullet1"/>
        <w:numPr>
          <w:ilvl w:val="0"/>
          <w:numId w:val="3"/>
        </w:numPr>
        <w:ind w:left="340" w:hanging="340"/>
      </w:pPr>
      <w:r>
        <w:t>UoB-HVM-SOP-001 Healthy Volunteers and Medical Oversight</w:t>
      </w:r>
    </w:p>
    <w:p w14:paraId="62607750" w14:textId="77777777" w:rsidR="001A5849" w:rsidRDefault="001A5849" w:rsidP="001A5849">
      <w:pPr>
        <w:pStyle w:val="bullet1"/>
        <w:numPr>
          <w:ilvl w:val="0"/>
          <w:numId w:val="3"/>
        </w:numPr>
        <w:ind w:left="340" w:hanging="340"/>
      </w:pPr>
      <w:r w:rsidRPr="00647E7E">
        <w:t>UoB-POS-SOP-00</w:t>
      </w:r>
      <w:r>
        <w:t xml:space="preserve">1 </w:t>
      </w:r>
      <w:r w:rsidRPr="00647E7E">
        <w:t>Project Oversight and Quality Management</w:t>
      </w:r>
    </w:p>
    <w:p w14:paraId="29CE31F9" w14:textId="77777777" w:rsidR="001A5849" w:rsidRDefault="001A5849" w:rsidP="001A5849">
      <w:pPr>
        <w:pStyle w:val="bullet1"/>
        <w:numPr>
          <w:ilvl w:val="0"/>
          <w:numId w:val="3"/>
        </w:numPr>
        <w:ind w:left="340" w:hanging="340"/>
      </w:pPr>
      <w:r>
        <w:t>UoB-SPO-QCD-001 Clinical Trial Task Delegation Log</w:t>
      </w:r>
    </w:p>
    <w:p w14:paraId="665FE53C" w14:textId="77777777" w:rsidR="001A5849" w:rsidRDefault="001A5849" w:rsidP="001A5849">
      <w:pPr>
        <w:pStyle w:val="bullet1"/>
        <w:numPr>
          <w:ilvl w:val="0"/>
          <w:numId w:val="3"/>
        </w:numPr>
        <w:ind w:left="340" w:hanging="340"/>
      </w:pPr>
      <w:r>
        <w:t>UoB-SPO-SOP-001 Sponsor Oversight of Clinical Research</w:t>
      </w:r>
    </w:p>
    <w:p w14:paraId="07EA2F74" w14:textId="77777777" w:rsidR="001A5849" w:rsidRDefault="001A5849" w:rsidP="001A5849">
      <w:pPr>
        <w:pStyle w:val="bullet1"/>
        <w:numPr>
          <w:ilvl w:val="0"/>
          <w:numId w:val="3"/>
        </w:numPr>
        <w:ind w:left="340" w:hanging="340"/>
      </w:pPr>
      <w:r>
        <w:t>UoB-TRN-SOP-001 Training</w:t>
      </w:r>
    </w:p>
    <w:p w14:paraId="02B5F795" w14:textId="77777777" w:rsidR="00FA2705" w:rsidRDefault="00DA19A3" w:rsidP="00DA19A3">
      <w:pPr>
        <w:rPr>
          <w:lang w:eastAsia="en-GB"/>
        </w:rPr>
      </w:pPr>
      <w:r>
        <w:t xml:space="preserve">Note the UoB QMS documents can be found on the </w:t>
      </w:r>
      <w:hyperlink r:id="rId41" w:tooltip="Website for the Clinical Research Compliance Team" w:history="1">
        <w:r w:rsidR="00396CD2">
          <w:rPr>
            <w:rStyle w:val="Hyperlink"/>
            <w:lang w:eastAsia="en-GB"/>
          </w:rPr>
          <w:t>CRCT website</w:t>
        </w:r>
      </w:hyperlink>
      <w:r>
        <w:rPr>
          <w:lang w:eastAsia="en-GB"/>
        </w:rPr>
        <w:t xml:space="preserve">. </w:t>
      </w:r>
      <w:r w:rsidR="00396CD2">
        <w:rPr>
          <w:lang w:eastAsia="en-GB"/>
        </w:rPr>
        <w:t>Internal work instructions can be obtained from the CRCT (</w:t>
      </w:r>
      <w:hyperlink r:id="rId42" w:tooltip="Email for the Clinical Research Compliance Team" w:history="1">
        <w:r w:rsidR="00396CD2" w:rsidRPr="00EB63CF">
          <w:rPr>
            <w:rStyle w:val="Hyperlink"/>
            <w:lang w:eastAsia="en-GB"/>
          </w:rPr>
          <w:t>crct@contacts.bham.ac.uk</w:t>
        </w:r>
      </w:hyperlink>
      <w:r w:rsidR="00396CD2">
        <w:rPr>
          <w:lang w:eastAsia="en-GB"/>
        </w:rPr>
        <w:t>) and/or from t</w:t>
      </w:r>
      <w:r>
        <w:rPr>
          <w:lang w:eastAsia="en-GB"/>
        </w:rPr>
        <w:t>he RGT</w:t>
      </w:r>
      <w:r w:rsidR="001A723A">
        <w:rPr>
          <w:lang w:eastAsia="en-GB"/>
        </w:rPr>
        <w:t xml:space="preserve"> </w:t>
      </w:r>
      <w:r w:rsidR="00396CD2">
        <w:rPr>
          <w:lang w:eastAsia="en-GB"/>
        </w:rPr>
        <w:t>(</w:t>
      </w:r>
      <w:hyperlink r:id="rId43" w:tooltip="Email for the Research Governance Team" w:history="1">
        <w:r w:rsidR="00396CD2" w:rsidRPr="00396CD2">
          <w:rPr>
            <w:rStyle w:val="Hyperlink"/>
            <w:lang w:eastAsia="en-GB"/>
          </w:rPr>
          <w:t>researchgovernance@contacts.bham.ac.uk</w:t>
        </w:r>
      </w:hyperlink>
      <w:r w:rsidR="001A723A">
        <w:rPr>
          <w:lang w:eastAsia="en-GB"/>
        </w:rPr>
        <w:t>).</w:t>
      </w:r>
    </w:p>
    <w:p w14:paraId="19E7BE56" w14:textId="34B349C0" w:rsidR="007B4836" w:rsidRDefault="007B4836">
      <w:pPr>
        <w:pStyle w:val="Heading1"/>
      </w:pPr>
      <w:r w:rsidRPr="005D17F6">
        <w:t>References</w:t>
      </w:r>
      <w:r w:rsidR="005F0420">
        <w:t xml:space="preserve"> and </w:t>
      </w:r>
      <w:r w:rsidR="00FF6CB2">
        <w:t>f</w:t>
      </w:r>
      <w:r w:rsidR="005F0420">
        <w:t>rameworks</w:t>
      </w:r>
      <w:r>
        <w:t>:</w:t>
      </w:r>
    </w:p>
    <w:p w14:paraId="09511C7E" w14:textId="77777777" w:rsidR="006D0180" w:rsidRDefault="006D0180" w:rsidP="006D0180">
      <w:pPr>
        <w:pStyle w:val="bullet1"/>
      </w:pPr>
      <w:r w:rsidRPr="006E6E5A">
        <w:t>British Standards Institution</w:t>
      </w:r>
      <w:r>
        <w:t xml:space="preserve">, BS EN ISO 14155:2020 - </w:t>
      </w:r>
      <w:r w:rsidRPr="00B1692C">
        <w:t>Clinical investigation of medical devices for human subjects — Good clinical practic</w:t>
      </w:r>
      <w:r>
        <w:t xml:space="preserve">e, </w:t>
      </w:r>
      <w:r w:rsidRPr="008F1789">
        <w:t>ISBN 978 0 580 94915 9</w:t>
      </w:r>
      <w:r>
        <w:t>. Can be accessed via:</w:t>
      </w:r>
      <w:r w:rsidRPr="00ED7E9A">
        <w:t xml:space="preserve"> </w:t>
      </w:r>
      <w:hyperlink r:id="rId44" w:tooltip="Link to the British Standards Institution" w:history="1">
        <w:r w:rsidRPr="00D53F6A">
          <w:rPr>
            <w:rStyle w:val="Hyperlink"/>
          </w:rPr>
          <w:t>https://bsol.bsigroup.com</w:t>
        </w:r>
      </w:hyperlink>
      <w:r>
        <w:t xml:space="preserve"> (requires UoB login).</w:t>
      </w:r>
    </w:p>
    <w:p w14:paraId="07BEC659" w14:textId="77777777" w:rsidR="006D0180" w:rsidRDefault="006D0180" w:rsidP="006D0180">
      <w:pPr>
        <w:pStyle w:val="bullet1"/>
      </w:pPr>
      <w:r>
        <w:t xml:space="preserve">European Guidelines on Medical Devices: </w:t>
      </w:r>
      <w:hyperlink r:id="rId45" w:tooltip="Link to European Guidelines on Medical Devices" w:history="1">
        <w:r w:rsidRPr="00A452DE">
          <w:rPr>
            <w:rStyle w:val="Hyperlink"/>
          </w:rPr>
          <w:t>https://ec.europa.eu/docsroom/documents/16477/attachments/1/translations/en/renditions/native</w:t>
        </w:r>
      </w:hyperlink>
      <w:r>
        <w:t xml:space="preserve"> </w:t>
      </w:r>
    </w:p>
    <w:p w14:paraId="3CCBFD21" w14:textId="77777777" w:rsidR="006D0180" w:rsidRPr="00B64BBC" w:rsidRDefault="006D0180" w:rsidP="006D0180">
      <w:pPr>
        <w:pStyle w:val="bullet1"/>
        <w:rPr>
          <w:rStyle w:val="Hyperlink"/>
          <w:color w:val="auto"/>
          <w:u w:val="none"/>
        </w:rPr>
      </w:pPr>
      <w:r>
        <w:t xml:space="preserve">European Medical Device Regulation 2017/745:  </w:t>
      </w:r>
      <w:hyperlink r:id="rId46" w:tooltip="Link to European Medical Device Regulation 2017/745" w:history="1">
        <w:r>
          <w:rPr>
            <w:rStyle w:val="Hyperlink"/>
            <w:rFonts w:eastAsiaTheme="minorHAnsi"/>
          </w:rPr>
          <w:t>https://eur-lex.europa.eu/legal-content/EN/TXT/HTML/?uri=CELEX:32017R0745&amp;from=EN</w:t>
        </w:r>
      </w:hyperlink>
    </w:p>
    <w:p w14:paraId="78BAA8B0" w14:textId="77777777" w:rsidR="006D0180" w:rsidRDefault="006D0180" w:rsidP="006D0180">
      <w:pPr>
        <w:pStyle w:val="bullet1"/>
      </w:pPr>
      <w:r>
        <w:t xml:space="preserve">HRA Progress Reports and Safety Reporting: </w:t>
      </w:r>
      <w:hyperlink r:id="rId47" w:tooltip="Link to HRA Progress Reports and Safety Reporting" w:history="1">
        <w:r w:rsidRPr="00EE3E65">
          <w:rPr>
            <w:rStyle w:val="Hyperlink"/>
          </w:rPr>
          <w:t>https://www.hra.nhs.uk/approvals-amendments/managing-your-approval</w:t>
        </w:r>
      </w:hyperlink>
      <w:r>
        <w:t xml:space="preserve"> </w:t>
      </w:r>
    </w:p>
    <w:p w14:paraId="2BE64FA4" w14:textId="77777777" w:rsidR="006D0180" w:rsidRDefault="006D0180" w:rsidP="006D0180">
      <w:pPr>
        <w:pStyle w:val="bullet1"/>
      </w:pPr>
      <w:r>
        <w:t xml:space="preserve">ICH Guidelines on scope and content of a Development Safety Update Report (DSUR): </w:t>
      </w:r>
      <w:hyperlink r:id="rId48" w:tooltip="Link to • ICH Guidelines on scope and content of a Development Safety Update Report (DSUR)" w:history="1">
        <w:r w:rsidRPr="000A40DB">
          <w:rPr>
            <w:rStyle w:val="Hyperlink"/>
          </w:rPr>
          <w:t>https://www.ema.europa.eu/en/documents/scientific-guideline/international-conference-harmonisation-technical-requirements-registration-pharmaceuticals-human-use_en-26.pdf</w:t>
        </w:r>
      </w:hyperlink>
      <w:r>
        <w:t xml:space="preserve"> </w:t>
      </w:r>
    </w:p>
    <w:p w14:paraId="3D8A090A" w14:textId="77777777" w:rsidR="006D0180" w:rsidRDefault="006D0180" w:rsidP="006D0180">
      <w:pPr>
        <w:pStyle w:val="bullet1"/>
      </w:pPr>
      <w:r>
        <w:t xml:space="preserve">ICH GCP: </w:t>
      </w:r>
      <w:hyperlink r:id="rId49" w:tooltip="Link to ICH GCP" w:history="1">
        <w:r w:rsidRPr="000A40DB">
          <w:rPr>
            <w:rStyle w:val="Hyperlink"/>
          </w:rPr>
          <w:t>https://www.ema.europa.eu/en/documents/scientific-guideline/ich-e-6-r2-guideline-good-clinical-practice-step-5_en.pdf</w:t>
        </w:r>
      </w:hyperlink>
      <w:r>
        <w:t xml:space="preserve"> </w:t>
      </w:r>
    </w:p>
    <w:p w14:paraId="7389A2E4" w14:textId="77777777" w:rsidR="006D0180" w:rsidRDefault="006D0180" w:rsidP="006D0180">
      <w:pPr>
        <w:pStyle w:val="bullet1"/>
      </w:pPr>
      <w:r>
        <w:t xml:space="preserve">ICSR Submission portal: </w:t>
      </w:r>
      <w:hyperlink r:id="rId50" w:tooltip="Link to the ICSR Submission portal" w:history="1">
        <w:r w:rsidRPr="00C005D0">
          <w:rPr>
            <w:rStyle w:val="Hyperlink"/>
          </w:rPr>
          <w:t>https://icsrsubmissions.mhra.gov.uk/login</w:t>
        </w:r>
      </w:hyperlink>
    </w:p>
    <w:p w14:paraId="023AF201" w14:textId="77777777" w:rsidR="006D0180" w:rsidRDefault="006D0180" w:rsidP="006D0180">
      <w:pPr>
        <w:pStyle w:val="bullet1"/>
      </w:pPr>
      <w:r>
        <w:t xml:space="preserve">MEDDEV SAE Form Template: </w:t>
      </w:r>
      <w:hyperlink r:id="rId51" w:tooltip="Link to MEDDEV SAE Form Template" w:history="1">
        <w:r w:rsidRPr="00C24486">
          <w:rPr>
            <w:rStyle w:val="Hyperlink"/>
          </w:rPr>
          <w:t>https://ec.europa.eu/docsroom/documents/16477/attachments/2/translations/en/renditions/pdf</w:t>
        </w:r>
      </w:hyperlink>
      <w:r>
        <w:t xml:space="preserve"> </w:t>
      </w:r>
    </w:p>
    <w:p w14:paraId="2A62B681" w14:textId="77777777" w:rsidR="006D0180" w:rsidRDefault="006D0180" w:rsidP="006D0180">
      <w:pPr>
        <w:pStyle w:val="bullet1"/>
      </w:pPr>
      <w:r>
        <w:t xml:space="preserve">Medical Devices Act 2002: </w:t>
      </w:r>
      <w:hyperlink r:id="rId52" w:tooltip="Link to Medical Devices Act 2002" w:history="1">
        <w:r w:rsidRPr="007A471C">
          <w:rPr>
            <w:rStyle w:val="Hyperlink"/>
          </w:rPr>
          <w:t>http://www.legislation.gov.uk/uksi/2002/618/contents/made</w:t>
        </w:r>
      </w:hyperlink>
    </w:p>
    <w:p w14:paraId="280037CD" w14:textId="77777777" w:rsidR="006D0180" w:rsidRDefault="006D0180" w:rsidP="006D0180">
      <w:pPr>
        <w:pStyle w:val="bullet1"/>
      </w:pPr>
      <w:r>
        <w:lastRenderedPageBreak/>
        <w:t xml:space="preserve">Medical Devices safety requirements: </w:t>
      </w:r>
      <w:hyperlink r:id="rId53" w:tooltip="Link to Medical Devices safety requirements" w:history="1">
        <w:r w:rsidRPr="00C24486">
          <w:rPr>
            <w:rStyle w:val="Hyperlink"/>
          </w:rPr>
          <w:t>https://www.gov.uk/topic/medicines-medical-devices-blood/medical-devices-regulation-safety</w:t>
        </w:r>
      </w:hyperlink>
    </w:p>
    <w:p w14:paraId="2B698226" w14:textId="77777777" w:rsidR="006D0180" w:rsidRDefault="006D0180" w:rsidP="006D0180">
      <w:pPr>
        <w:pStyle w:val="bullet1"/>
      </w:pPr>
      <w:r>
        <w:t xml:space="preserve">MHRA guidance and requirements for safety reporting: </w:t>
      </w:r>
      <w:hyperlink r:id="rId54" w:tooltip="Link to MHRA guidance and requirements for safety reporting" w:history="1">
        <w:r w:rsidRPr="00AF09FF">
          <w:rPr>
            <w:rStyle w:val="Hyperlink"/>
          </w:rPr>
          <w:t>https://www.gov.uk/guidance/clinical-trials-for-medicines-manage-your-authorisation-report-safety-issues</w:t>
        </w:r>
      </w:hyperlink>
      <w:r>
        <w:t xml:space="preserve"> </w:t>
      </w:r>
    </w:p>
    <w:p w14:paraId="09B2BB02" w14:textId="77777777" w:rsidR="006D0180" w:rsidRDefault="006D0180" w:rsidP="006D0180">
      <w:pPr>
        <w:pStyle w:val="bullet1"/>
      </w:pPr>
      <w:r>
        <w:t xml:space="preserve">MRC/DH/MHRA “Joint Project Risk-adapted Approaches to the Management of Clinical Trials of Investigational Medicinal Products” </w:t>
      </w:r>
      <w:hyperlink r:id="rId55" w:tooltip="Link to • MRC/DH/MHRA " w:history="1">
        <w:r w:rsidRPr="00AF09FF">
          <w:rPr>
            <w:rStyle w:val="Hyperlink"/>
          </w:rPr>
          <w:t>https://www.gov.uk/government/uploads/system/uploads/attachment_data/file/343677/Risk-adapted_approaches_to_the_management_of_clinical_trials_of_investigational_medicinal_products.pdf</w:t>
        </w:r>
      </w:hyperlink>
      <w:r>
        <w:t xml:space="preserve"> </w:t>
      </w:r>
    </w:p>
    <w:p w14:paraId="28BCEEFB" w14:textId="77777777" w:rsidR="006D0180" w:rsidRPr="00B8799B" w:rsidRDefault="006D0180" w:rsidP="006D0180">
      <w:pPr>
        <w:pStyle w:val="bullet1"/>
        <w:rPr>
          <w:rStyle w:val="Hyperlink"/>
          <w:color w:val="auto"/>
          <w:u w:val="none"/>
        </w:rPr>
      </w:pPr>
      <w:r>
        <w:t xml:space="preserve">NIHR Clinical Trials Toolkit - Guidance on safety reporting: </w:t>
      </w:r>
      <w:hyperlink r:id="rId56" w:tooltip="Link to NIHR Clinical Trials Toolkit - Guidance on safety reporting" w:history="1">
        <w:r w:rsidRPr="00B8799B">
          <w:rPr>
            <w:rStyle w:val="Hyperlink"/>
            <w:rFonts w:eastAsiaTheme="minorHAnsi"/>
          </w:rPr>
          <w:t>http://www.ct-toolkit.ac.uk/routemap/safety-reporting/</w:t>
        </w:r>
      </w:hyperlink>
    </w:p>
    <w:p w14:paraId="7328CFF3" w14:textId="77777777" w:rsidR="006D0180" w:rsidRDefault="006D0180" w:rsidP="006D0180">
      <w:pPr>
        <w:pStyle w:val="bullet1"/>
      </w:pPr>
      <w:r>
        <w:t xml:space="preserve">Regulation (EC) No 1394/2007 of the European Parliament and of the council of 13 November 2007 on advanced therapy medicinal products and amending Directive 2001/83/EC and Regulation (EC) No 726/2004’: </w:t>
      </w:r>
      <w:hyperlink r:id="rId57" w:tooltip="Link to Regulation (EC) No 1394/2007 " w:history="1">
        <w:r w:rsidRPr="00AF09FF">
          <w:rPr>
            <w:rStyle w:val="Hyperlink"/>
          </w:rPr>
          <w:t>https://www.gov.uk/guidance/advanced-therapy-medicinal-products-regulation-and-licensing</w:t>
        </w:r>
      </w:hyperlink>
      <w:r>
        <w:t xml:space="preserve"> </w:t>
      </w:r>
    </w:p>
    <w:p w14:paraId="7FBE8307" w14:textId="77777777" w:rsidR="006D0180" w:rsidRDefault="006D0180" w:rsidP="006D0180">
      <w:pPr>
        <w:pStyle w:val="bullet1"/>
      </w:pPr>
      <w:r>
        <w:t xml:space="preserve">The Medicines for Human Use (Clinical Trials) Regulations 2004, part 5, EU 2011/C 172/01: ‘CT-3’, June 2011: Detailed guidance on the collection, verification and presentation of adverse event/reaction reports arising from clinical trials on medicinal products for human use’ (subsequently referred to as the detailed guidance): </w:t>
      </w:r>
      <w:hyperlink r:id="rId58" w:tooltip="Link to • The Medicines for Human Use (Clinical Trials) Regulations 2004, part 5, EU 2011/C 172/01: ‘CT-3’, June 2011: Detailed guidance " w:history="1">
        <w:r w:rsidRPr="008B5115">
          <w:rPr>
            <w:rStyle w:val="Hyperlink"/>
          </w:rPr>
          <w:t>https://eur-lex.europa.eu/LexUriServ/LexUriServ.do?uri=OJ:C:2011:172:0001:0013:EN:PDF</w:t>
        </w:r>
      </w:hyperlink>
    </w:p>
    <w:p w14:paraId="4AB59728" w14:textId="77777777" w:rsidR="006D0180" w:rsidRDefault="006D0180" w:rsidP="006D0180">
      <w:pPr>
        <w:pStyle w:val="bullet1"/>
      </w:pPr>
      <w:r>
        <w:t xml:space="preserve">The Medicines for Human Use (Clinical Trials) Regulations 2004: </w:t>
      </w:r>
      <w:hyperlink r:id="rId59" w:tooltip="Link to the Medicines for Human Use (Clinical Trials) Regulations 2004" w:history="1">
        <w:r w:rsidRPr="007A471C">
          <w:rPr>
            <w:rStyle w:val="Hyperlink"/>
          </w:rPr>
          <w:t>http://www.legislation.gov.uk/uksi/2004/1031/contents/made</w:t>
        </w:r>
      </w:hyperlink>
    </w:p>
    <w:p w14:paraId="3374BDDC" w14:textId="77777777" w:rsidR="006D0180" w:rsidRDefault="006D0180" w:rsidP="006D0180">
      <w:pPr>
        <w:pStyle w:val="bullet1"/>
      </w:pPr>
      <w:r w:rsidRPr="004F3DE8">
        <w:t>UK Policy Framework for Health and Social Care Research</w:t>
      </w:r>
      <w:r>
        <w:t xml:space="preserve">: </w:t>
      </w:r>
      <w:hyperlink r:id="rId60" w:tooltip="Link to UK Policy Framework for Health and Social Care Research" w:history="1">
        <w:r w:rsidRPr="009C5F1E">
          <w:rPr>
            <w:rStyle w:val="Hyperlink"/>
          </w:rPr>
          <w:t>https://www.hra.nhs.uk/planning-and-improving-research/policies-standards-legislation/uk-policy-framework-health-social-care-research/</w:t>
        </w:r>
      </w:hyperlink>
      <w:r>
        <w:t xml:space="preserve"> </w:t>
      </w:r>
    </w:p>
    <w:p w14:paraId="2AC2AC1A" w14:textId="1027951A" w:rsidR="006D0180" w:rsidRDefault="006D0180" w:rsidP="006D0180">
      <w:pPr>
        <w:pStyle w:val="bullet1"/>
      </w:pPr>
      <w:r>
        <w:t xml:space="preserve">UoB Code of Practice for Research: </w:t>
      </w:r>
      <w:hyperlink r:id="rId61" w:tooltip="Link to UoB Code of Practice for Research (PDF - 479 KB)" w:history="1">
        <w:r w:rsidRPr="000A36C6">
          <w:rPr>
            <w:rStyle w:val="Hyperlink"/>
          </w:rPr>
          <w:t>https://www.birmingham.ac.uk/Documents/university/legal/research.pdf</w:t>
        </w:r>
      </w:hyperlink>
      <w:r>
        <w:t xml:space="preserve"> </w:t>
      </w:r>
    </w:p>
    <w:p w14:paraId="72704ACE" w14:textId="088537A1" w:rsidR="00B10C05" w:rsidRDefault="00B10C05">
      <w:pPr>
        <w:pStyle w:val="Heading1"/>
      </w:pPr>
      <w:r w:rsidRPr="00522ABB">
        <w:t>Abbreviations</w:t>
      </w:r>
      <w:r>
        <w:t xml:space="preserve"> and </w:t>
      </w:r>
      <w:r w:rsidR="00FF6CB2">
        <w:t>d</w:t>
      </w:r>
      <w:r>
        <w:t>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2"/>
        <w:gridCol w:w="6555"/>
      </w:tblGrid>
      <w:tr w:rsidR="006D0180" w14:paraId="7B6CAF01" w14:textId="77777777" w:rsidTr="00090F1A">
        <w:trPr>
          <w:cantSplit/>
          <w:tblHeader/>
        </w:trPr>
        <w:tc>
          <w:tcPr>
            <w:tcW w:w="2462" w:type="dxa"/>
            <w:vAlign w:val="center"/>
          </w:tcPr>
          <w:p w14:paraId="4D8B8B01" w14:textId="77777777" w:rsidR="006D0180" w:rsidRPr="003D5BFC" w:rsidRDefault="006D0180" w:rsidP="00090F1A">
            <w:pPr>
              <w:pStyle w:val="Heading2"/>
            </w:pPr>
            <w:r w:rsidRPr="003D5BFC">
              <w:t>Term</w:t>
            </w:r>
          </w:p>
        </w:tc>
        <w:tc>
          <w:tcPr>
            <w:tcW w:w="6555" w:type="dxa"/>
            <w:vAlign w:val="center"/>
          </w:tcPr>
          <w:p w14:paraId="7D6088CA" w14:textId="77777777" w:rsidR="006D0180" w:rsidRPr="003D5BFC" w:rsidRDefault="006D0180" w:rsidP="00090F1A">
            <w:pPr>
              <w:pStyle w:val="Heading2"/>
            </w:pPr>
            <w:r w:rsidRPr="003D5BFC">
              <w:t>Description</w:t>
            </w:r>
          </w:p>
        </w:tc>
      </w:tr>
      <w:tr w:rsidR="006D0180" w14:paraId="5CC57708" w14:textId="77777777" w:rsidTr="00090F1A">
        <w:trPr>
          <w:cantSplit/>
        </w:trPr>
        <w:tc>
          <w:tcPr>
            <w:tcW w:w="2462" w:type="dxa"/>
          </w:tcPr>
          <w:p w14:paraId="1382C2DC" w14:textId="77777777" w:rsidR="006D0180" w:rsidRDefault="006D0180" w:rsidP="00090F1A">
            <w:pPr>
              <w:pStyle w:val="Definitionsabbreviations"/>
            </w:pPr>
            <w:r w:rsidRPr="000508D6">
              <w:t>Adverse Device Effect (ADE)</w:t>
            </w:r>
          </w:p>
        </w:tc>
        <w:tc>
          <w:tcPr>
            <w:tcW w:w="6555" w:type="dxa"/>
          </w:tcPr>
          <w:p w14:paraId="1A7A3164" w14:textId="77777777" w:rsidR="006D0180" w:rsidRDefault="006D0180" w:rsidP="00090F1A">
            <w:r w:rsidRPr="000508D6">
              <w:t xml:space="preserve">Adverse event related to the use of an investigational medical device. </w:t>
            </w:r>
            <w:r>
              <w:t xml:space="preserve">This </w:t>
            </w:r>
            <w:r w:rsidRPr="000508D6">
              <w:t xml:space="preserve">includes any adverse event resulting from insufficiencies or inadequacies in the instructions for use, the deployment, the implantation, the installation, the operation, or any malfunction of the investigational medical device. </w:t>
            </w:r>
            <w:r>
              <w:t xml:space="preserve">This </w:t>
            </w:r>
            <w:r w:rsidRPr="000508D6">
              <w:t>includes any event that is a result of a use error or intentional abnormal use of the investigational medical device.</w:t>
            </w:r>
          </w:p>
        </w:tc>
      </w:tr>
      <w:tr w:rsidR="006D0180" w14:paraId="1895163C" w14:textId="77777777" w:rsidTr="00090F1A">
        <w:trPr>
          <w:cantSplit/>
        </w:trPr>
        <w:tc>
          <w:tcPr>
            <w:tcW w:w="2462" w:type="dxa"/>
          </w:tcPr>
          <w:p w14:paraId="1E746678" w14:textId="77777777" w:rsidR="006D0180" w:rsidRDefault="006D0180" w:rsidP="00090F1A">
            <w:pPr>
              <w:pStyle w:val="Definitionsabbreviations"/>
            </w:pPr>
            <w:r>
              <w:t>A</w:t>
            </w:r>
            <w:r w:rsidRPr="0033293F">
              <w:rPr>
                <w:rFonts w:hint="eastAsia"/>
              </w:rPr>
              <w:t xml:space="preserve">dverse </w:t>
            </w:r>
            <w:r>
              <w:t>E</w:t>
            </w:r>
            <w:r w:rsidRPr="0033293F">
              <w:rPr>
                <w:rFonts w:hint="eastAsia"/>
              </w:rPr>
              <w:t>vent</w:t>
            </w:r>
            <w:r>
              <w:t xml:space="preserve"> (AE)</w:t>
            </w:r>
          </w:p>
        </w:tc>
        <w:tc>
          <w:tcPr>
            <w:tcW w:w="6555" w:type="dxa"/>
          </w:tcPr>
          <w:p w14:paraId="728BC708" w14:textId="77777777" w:rsidR="006D0180" w:rsidRDefault="006D0180" w:rsidP="00090F1A">
            <w:r>
              <w:t>Any untoward medical occurrence in a participant or clinical research participant administered a medicinal product and which does not necessarily have a causal relationship with this treatment.</w:t>
            </w:r>
          </w:p>
          <w:p w14:paraId="775F7C02" w14:textId="77777777" w:rsidR="006D0180" w:rsidRDefault="006D0180" w:rsidP="00090F1A">
            <w:r>
              <w:t xml:space="preserve">Comment: </w:t>
            </w:r>
          </w:p>
          <w:p w14:paraId="25254D8B" w14:textId="77777777" w:rsidR="006D0180" w:rsidRDefault="006D0180" w:rsidP="00090F1A">
            <w:r>
              <w:t xml:space="preserve">An Adverse Event can therefore be any unfavourable and unintended sign (including abnormal laboratory findings), symptom or </w:t>
            </w:r>
            <w:r w:rsidRPr="00EB24EB">
              <w:t>disease temporally associated</w:t>
            </w:r>
            <w:r>
              <w:t xml:space="preserve"> with the use of a medicinal product, </w:t>
            </w:r>
            <w:proofErr w:type="gramStart"/>
            <w:r>
              <w:t>whether or not</w:t>
            </w:r>
            <w:proofErr w:type="gramEnd"/>
            <w:r>
              <w:t xml:space="preserve"> related to the medicinal product.</w:t>
            </w:r>
          </w:p>
          <w:p w14:paraId="231C87DE" w14:textId="77777777" w:rsidR="006D0180" w:rsidRPr="009A7EA5" w:rsidRDefault="006D0180" w:rsidP="00090F1A">
            <w:r>
              <w:t xml:space="preserve">For studies and trials sponsored by UoB it is an event, which results in or may result in harm or damage to the interests the Researcher, the research participants, the University (including its reputation), society, the </w:t>
            </w:r>
            <w:proofErr w:type="gramStart"/>
            <w:r>
              <w:t>environment</w:t>
            </w:r>
            <w:proofErr w:type="gramEnd"/>
            <w:r>
              <w:t xml:space="preserve"> or a failure to maintain appropriate standards of animal welfare.</w:t>
            </w:r>
          </w:p>
        </w:tc>
      </w:tr>
      <w:tr w:rsidR="006D0180" w14:paraId="17EB2EEF" w14:textId="77777777" w:rsidTr="00090F1A">
        <w:trPr>
          <w:cantSplit/>
        </w:trPr>
        <w:tc>
          <w:tcPr>
            <w:tcW w:w="2462" w:type="dxa"/>
          </w:tcPr>
          <w:p w14:paraId="2A82B352" w14:textId="77777777" w:rsidR="006D0180" w:rsidRDefault="006D0180" w:rsidP="00090F1A">
            <w:pPr>
              <w:pStyle w:val="Definitionsabbreviations"/>
            </w:pPr>
            <w:r>
              <w:t>A</w:t>
            </w:r>
            <w:r w:rsidRPr="0033293F">
              <w:rPr>
                <w:rFonts w:hint="eastAsia"/>
              </w:rPr>
              <w:t xml:space="preserve">dverse </w:t>
            </w:r>
            <w:r>
              <w:t>R</w:t>
            </w:r>
            <w:r w:rsidRPr="0033293F">
              <w:rPr>
                <w:rFonts w:hint="eastAsia"/>
              </w:rPr>
              <w:t>eaction</w:t>
            </w:r>
            <w:r>
              <w:t xml:space="preserve"> (AR)</w:t>
            </w:r>
          </w:p>
        </w:tc>
        <w:tc>
          <w:tcPr>
            <w:tcW w:w="6555" w:type="dxa"/>
          </w:tcPr>
          <w:p w14:paraId="73261B1D" w14:textId="77777777" w:rsidR="006D0180" w:rsidRPr="009A7EA5" w:rsidRDefault="006D0180" w:rsidP="00090F1A">
            <w:r w:rsidRPr="009A7EA5">
              <w:t xml:space="preserve">For CTIMPs, </w:t>
            </w:r>
            <w:r w:rsidRPr="009A7EA5">
              <w:rPr>
                <w:rFonts w:hint="eastAsia"/>
              </w:rPr>
              <w:t>all untoward and unintended responses to an investigational medicinal product related to any dose administered</w:t>
            </w:r>
            <w:r w:rsidRPr="009A7EA5">
              <w:t>.</w:t>
            </w:r>
          </w:p>
        </w:tc>
      </w:tr>
      <w:tr w:rsidR="006D0180" w14:paraId="5209DEB3" w14:textId="77777777" w:rsidTr="00090F1A">
        <w:trPr>
          <w:cantSplit/>
        </w:trPr>
        <w:tc>
          <w:tcPr>
            <w:tcW w:w="2462" w:type="dxa"/>
          </w:tcPr>
          <w:p w14:paraId="347442FE" w14:textId="77777777" w:rsidR="006D0180" w:rsidRPr="00B64BBC" w:rsidRDefault="006D0180" w:rsidP="00090F1A">
            <w:pPr>
              <w:rPr>
                <w:b/>
                <w:lang w:eastAsia="en-GB"/>
              </w:rPr>
            </w:pPr>
            <w:r w:rsidRPr="00B64BBC">
              <w:rPr>
                <w:b/>
                <w:lang w:eastAsia="en-GB"/>
              </w:rPr>
              <w:lastRenderedPageBreak/>
              <w:t>Competent Authority</w:t>
            </w:r>
          </w:p>
          <w:p w14:paraId="6B3ADEA4" w14:textId="77777777" w:rsidR="006D0180" w:rsidRDefault="006D0180" w:rsidP="00090F1A">
            <w:pPr>
              <w:pStyle w:val="Definitionsabbreviations"/>
              <w:rPr>
                <w:lang w:eastAsia="en-GB"/>
              </w:rPr>
            </w:pPr>
            <w:r>
              <w:rPr>
                <w:lang w:eastAsia="en-GB"/>
              </w:rPr>
              <w:t>(CA)</w:t>
            </w:r>
          </w:p>
        </w:tc>
        <w:tc>
          <w:tcPr>
            <w:tcW w:w="6555" w:type="dxa"/>
          </w:tcPr>
          <w:p w14:paraId="4C7C27A6" w14:textId="77777777" w:rsidR="006D0180" w:rsidRDefault="006D0180" w:rsidP="00090F1A">
            <w:pPr>
              <w:rPr>
                <w:lang w:eastAsia="en-GB"/>
              </w:rPr>
            </w:pPr>
            <w:r w:rsidRPr="00BB21F6">
              <w:t xml:space="preserve">A body with authority to act on behalf of the government of the </w:t>
            </w:r>
            <w:r>
              <w:t xml:space="preserve">EU </w:t>
            </w:r>
            <w:r w:rsidRPr="00BB21F6">
              <w:t>Member State to perform a designated function; in</w:t>
            </w:r>
            <w:r>
              <w:t xml:space="preserve"> the case of clinical trials, to ensure that requirements of the Clinical Trials Directive are transposed into national law and applied. The Medicines and Healthcare products Regulatory Agency (MHRA) is the ‘competent authority’ UK.</w:t>
            </w:r>
          </w:p>
        </w:tc>
      </w:tr>
      <w:tr w:rsidR="006D0180" w14:paraId="293FABE3" w14:textId="77777777" w:rsidTr="00090F1A">
        <w:trPr>
          <w:cantSplit/>
        </w:trPr>
        <w:tc>
          <w:tcPr>
            <w:tcW w:w="2462" w:type="dxa"/>
          </w:tcPr>
          <w:p w14:paraId="5FB1593C" w14:textId="77777777" w:rsidR="006D0180" w:rsidRDefault="006D0180" w:rsidP="00090F1A">
            <w:pPr>
              <w:pStyle w:val="Definitionsabbreviations"/>
              <w:rPr>
                <w:lang w:eastAsia="en-GB"/>
              </w:rPr>
            </w:pPr>
            <w:r>
              <w:rPr>
                <w:lang w:eastAsia="en-GB"/>
              </w:rPr>
              <w:t>Device D</w:t>
            </w:r>
            <w:r w:rsidRPr="000508D6">
              <w:rPr>
                <w:lang w:eastAsia="en-GB"/>
              </w:rPr>
              <w:t>eficiency</w:t>
            </w:r>
          </w:p>
        </w:tc>
        <w:tc>
          <w:tcPr>
            <w:tcW w:w="6555" w:type="dxa"/>
          </w:tcPr>
          <w:p w14:paraId="31B93554" w14:textId="77777777" w:rsidR="006D0180" w:rsidRPr="00A9112D" w:rsidRDefault="006D0180" w:rsidP="00090F1A">
            <w:pPr>
              <w:tabs>
                <w:tab w:val="left" w:pos="1100"/>
              </w:tabs>
              <w:rPr>
                <w:lang w:eastAsia="en-GB"/>
              </w:rPr>
            </w:pPr>
            <w:r w:rsidRPr="000508D6">
              <w:rPr>
                <w:lang w:eastAsia="en-GB"/>
              </w:rPr>
              <w:t xml:space="preserve">Inadequacy of an investigational medical device related to its identity, quality, durability, reliability, </w:t>
            </w:r>
            <w:proofErr w:type="gramStart"/>
            <w:r w:rsidRPr="000508D6">
              <w:rPr>
                <w:lang w:eastAsia="en-GB"/>
              </w:rPr>
              <w:t>safety</w:t>
            </w:r>
            <w:proofErr w:type="gramEnd"/>
            <w:r w:rsidRPr="000508D6">
              <w:rPr>
                <w:lang w:eastAsia="en-GB"/>
              </w:rPr>
              <w:t xml:space="preserve"> or performance. This may include malfunctions, use error, or inadequacy in the information supplied by the manuf</w:t>
            </w:r>
            <w:r>
              <w:rPr>
                <w:lang w:eastAsia="en-GB"/>
              </w:rPr>
              <w:t>acturer.</w:t>
            </w:r>
          </w:p>
        </w:tc>
      </w:tr>
      <w:tr w:rsidR="006D0180" w14:paraId="6838EB93" w14:textId="77777777" w:rsidTr="00090F1A">
        <w:trPr>
          <w:cantSplit/>
        </w:trPr>
        <w:tc>
          <w:tcPr>
            <w:tcW w:w="2462" w:type="dxa"/>
          </w:tcPr>
          <w:p w14:paraId="0AB1EB2D" w14:textId="77777777" w:rsidR="006D0180" w:rsidRDefault="006D0180" w:rsidP="00090F1A">
            <w:pPr>
              <w:pStyle w:val="Definitionsabbreviations"/>
              <w:rPr>
                <w:lang w:eastAsia="en-GB"/>
              </w:rPr>
            </w:pPr>
            <w:r>
              <w:rPr>
                <w:lang w:eastAsia="en-GB"/>
              </w:rPr>
              <w:t>Healthcare professional</w:t>
            </w:r>
          </w:p>
        </w:tc>
        <w:tc>
          <w:tcPr>
            <w:tcW w:w="6555" w:type="dxa"/>
          </w:tcPr>
          <w:p w14:paraId="6697CA4D" w14:textId="77777777" w:rsidR="006D0180" w:rsidRPr="000508D6" w:rsidRDefault="006D0180" w:rsidP="00090F1A">
            <w:pPr>
              <w:tabs>
                <w:tab w:val="left" w:pos="1100"/>
              </w:tabs>
              <w:rPr>
                <w:lang w:eastAsia="en-GB"/>
              </w:rPr>
            </w:pPr>
            <w:r>
              <w:t xml:space="preserve">A healthcare professional is defined as an authorised healthcare professional, or a qualified and registered (or alike) </w:t>
            </w:r>
            <w:hyperlink r:id="rId62" w:tooltip="Link to the NHS Allied Health Professions" w:history="1">
              <w:r>
                <w:rPr>
                  <w:rStyle w:val="Hyperlink"/>
                </w:rPr>
                <w:t>Allied Health Profession</w:t>
              </w:r>
            </w:hyperlink>
            <w:r>
              <w:t xml:space="preserve"> such as a physiotherapist, dietitian or radiographer.</w:t>
            </w:r>
          </w:p>
        </w:tc>
      </w:tr>
      <w:tr w:rsidR="006D0180" w14:paraId="02817EDC" w14:textId="77777777" w:rsidTr="00090F1A">
        <w:trPr>
          <w:cantSplit/>
        </w:trPr>
        <w:tc>
          <w:tcPr>
            <w:tcW w:w="2462" w:type="dxa"/>
          </w:tcPr>
          <w:p w14:paraId="6AB24D0D" w14:textId="77777777" w:rsidR="006D0180" w:rsidRDefault="006D0180" w:rsidP="00090F1A">
            <w:pPr>
              <w:pStyle w:val="Definitionsabbreviations"/>
              <w:rPr>
                <w:rFonts w:eastAsia="Arial Unicode MS"/>
              </w:rPr>
            </w:pPr>
            <w:r>
              <w:rPr>
                <w:rFonts w:eastAsia="Arial Unicode MS"/>
              </w:rPr>
              <w:t>Reference Safety Information (RSI)</w:t>
            </w:r>
          </w:p>
        </w:tc>
        <w:tc>
          <w:tcPr>
            <w:tcW w:w="6555" w:type="dxa"/>
          </w:tcPr>
          <w:p w14:paraId="5542E614" w14:textId="77777777" w:rsidR="006D0180" w:rsidRDefault="006D0180" w:rsidP="00090F1A">
            <w:r>
              <w:t xml:space="preserve">Term used within EC Detailed Guidance (CT3) June 2011, meaning the applicable product information which is used to determine the expectedness of an Adverse Reaction. This information is normally obtained from within the Summary of Product Characteristics or Investigator </w:t>
            </w:r>
            <w:proofErr w:type="gramStart"/>
            <w:r>
              <w:t>Brochure;</w:t>
            </w:r>
            <w:proofErr w:type="gramEnd"/>
            <w:r>
              <w:t xml:space="preserve"> when referring to the Investigator Brochure the relevant section must be defined. It may be a separate </w:t>
            </w:r>
            <w:proofErr w:type="gramStart"/>
            <w:r>
              <w:t>document in its own right</w:t>
            </w:r>
            <w:proofErr w:type="gramEnd"/>
            <w:r>
              <w:t xml:space="preserve">. It must be defined at the start of a trial. </w:t>
            </w:r>
          </w:p>
        </w:tc>
      </w:tr>
      <w:tr w:rsidR="006D0180" w14:paraId="5001BE68" w14:textId="77777777" w:rsidTr="00090F1A">
        <w:trPr>
          <w:cantSplit/>
        </w:trPr>
        <w:tc>
          <w:tcPr>
            <w:tcW w:w="2462" w:type="dxa"/>
          </w:tcPr>
          <w:p w14:paraId="3CEC7F7C" w14:textId="77777777" w:rsidR="006D0180" w:rsidRDefault="006D0180" w:rsidP="00090F1A">
            <w:pPr>
              <w:pStyle w:val="Definitionsabbreviations"/>
              <w:rPr>
                <w:rFonts w:eastAsia="Arial Unicode MS"/>
              </w:rPr>
            </w:pPr>
            <w:r w:rsidRPr="000508D6">
              <w:rPr>
                <w:rFonts w:eastAsia="Arial Unicode MS"/>
              </w:rPr>
              <w:t>Serious Adverse Device Effect (SADE)</w:t>
            </w:r>
          </w:p>
        </w:tc>
        <w:tc>
          <w:tcPr>
            <w:tcW w:w="6555" w:type="dxa"/>
          </w:tcPr>
          <w:p w14:paraId="57E38F6A" w14:textId="77777777" w:rsidR="006D0180" w:rsidRDefault="006D0180" w:rsidP="00090F1A">
            <w:r w:rsidRPr="000508D6">
              <w:t>Adverse device effect that has resulted in any of the consequences characteristic of a serious adverse event.</w:t>
            </w:r>
          </w:p>
        </w:tc>
      </w:tr>
      <w:tr w:rsidR="006D0180" w14:paraId="533C4D65" w14:textId="77777777" w:rsidTr="00090F1A">
        <w:trPr>
          <w:cantSplit/>
        </w:trPr>
        <w:tc>
          <w:tcPr>
            <w:tcW w:w="2462" w:type="dxa"/>
          </w:tcPr>
          <w:p w14:paraId="6DF28102" w14:textId="77777777" w:rsidR="006D0180" w:rsidRDefault="006D0180" w:rsidP="00090F1A">
            <w:pPr>
              <w:pStyle w:val="Definitionsabbreviations"/>
            </w:pPr>
            <w:r>
              <w:rPr>
                <w:rFonts w:eastAsia="Arial Unicode MS"/>
              </w:rPr>
              <w:t>S</w:t>
            </w:r>
            <w:r>
              <w:rPr>
                <w:rFonts w:eastAsia="Arial Unicode MS" w:hint="eastAsia"/>
              </w:rPr>
              <w:t xml:space="preserve">erious </w:t>
            </w:r>
            <w:r>
              <w:rPr>
                <w:rFonts w:eastAsia="Arial Unicode MS"/>
              </w:rPr>
              <w:t>A</w:t>
            </w:r>
            <w:r w:rsidRPr="0033293F">
              <w:rPr>
                <w:rFonts w:eastAsia="Arial Unicode MS" w:hint="eastAsia"/>
              </w:rPr>
              <w:t xml:space="preserve">dverse </w:t>
            </w:r>
            <w:r>
              <w:rPr>
                <w:rFonts w:eastAsia="Arial Unicode MS"/>
              </w:rPr>
              <w:t>E</w:t>
            </w:r>
            <w:r>
              <w:rPr>
                <w:rFonts w:eastAsia="Arial Unicode MS" w:hint="eastAsia"/>
              </w:rPr>
              <w:t xml:space="preserve">vent </w:t>
            </w:r>
            <w:r>
              <w:rPr>
                <w:rFonts w:eastAsia="Arial Unicode MS"/>
              </w:rPr>
              <w:t>(SAE)</w:t>
            </w:r>
          </w:p>
        </w:tc>
        <w:tc>
          <w:tcPr>
            <w:tcW w:w="6555" w:type="dxa"/>
          </w:tcPr>
          <w:p w14:paraId="0B4C12C8" w14:textId="77777777" w:rsidR="006D0180" w:rsidRDefault="006D0180" w:rsidP="00090F1A">
            <w:r>
              <w:t xml:space="preserve">Any untoward medical occurrence or effect that at any dose: </w:t>
            </w:r>
          </w:p>
          <w:p w14:paraId="00792940" w14:textId="77777777" w:rsidR="006D0180" w:rsidRDefault="006D0180" w:rsidP="00090F1A">
            <w:pPr>
              <w:pStyle w:val="bullet2"/>
            </w:pPr>
            <w:r>
              <w:t xml:space="preserve">Results in death </w:t>
            </w:r>
          </w:p>
          <w:p w14:paraId="43301E45" w14:textId="77777777" w:rsidR="006D0180" w:rsidRDefault="006D0180" w:rsidP="00090F1A">
            <w:pPr>
              <w:pStyle w:val="bullet2"/>
            </w:pPr>
            <w:r>
              <w:t>Is life</w:t>
            </w:r>
            <w:r>
              <w:noBreakHyphen/>
              <w:t>threatening*</w:t>
            </w:r>
          </w:p>
          <w:p w14:paraId="28060261" w14:textId="77777777" w:rsidR="006D0180" w:rsidRDefault="006D0180" w:rsidP="00090F1A">
            <w:pPr>
              <w:pStyle w:val="bullet2"/>
            </w:pPr>
            <w:r>
              <w:t>Requires hospitalisation or prolongation of existing inpatients’ hospitalisation</w:t>
            </w:r>
          </w:p>
          <w:p w14:paraId="099602DB" w14:textId="77777777" w:rsidR="006D0180" w:rsidRDefault="006D0180" w:rsidP="00090F1A">
            <w:pPr>
              <w:pStyle w:val="bullet2"/>
            </w:pPr>
            <w:r>
              <w:t xml:space="preserve">Results in persistent or significant disability or incapacity </w:t>
            </w:r>
          </w:p>
          <w:p w14:paraId="5AF84733" w14:textId="77777777" w:rsidR="006D0180" w:rsidRDefault="006D0180" w:rsidP="00090F1A">
            <w:pPr>
              <w:pStyle w:val="bullet2"/>
            </w:pPr>
            <w:r>
              <w:t>Is a congenital anomaly/birth defect</w:t>
            </w:r>
          </w:p>
          <w:p w14:paraId="01D05FD9" w14:textId="77777777" w:rsidR="006D0180" w:rsidRDefault="006D0180" w:rsidP="00090F1A">
            <w:pPr>
              <w:pStyle w:val="bullet2"/>
            </w:pPr>
            <w:r>
              <w:t>Or is otherwise considered medically significant by the Investigator*</w:t>
            </w:r>
            <w:r w:rsidDel="00004ECD">
              <w:t>*</w:t>
            </w:r>
          </w:p>
          <w:p w14:paraId="31F9C606" w14:textId="77777777" w:rsidR="006D0180" w:rsidRDefault="006D0180" w:rsidP="00090F1A">
            <w:r>
              <w:t xml:space="preserve">Comments: </w:t>
            </w:r>
          </w:p>
          <w:p w14:paraId="562EA4E1" w14:textId="77777777" w:rsidR="006D0180" w:rsidRDefault="006D0180" w:rsidP="00090F1A">
            <w:r>
              <w:t>The term severe is often used to describe the intensity (severity) of a specific event. This is not the same as serious, which is based on participants/event outcome or action criteria.</w:t>
            </w:r>
          </w:p>
          <w:p w14:paraId="56782E45" w14:textId="77777777" w:rsidR="006D0180" w:rsidRDefault="006D0180" w:rsidP="00090F1A">
            <w:r>
              <w:t>* Life threatening in the definition of an SAE refers to an event in which the participant was at risk of death at the time of the event; it does not refer to an event that hypothetically might have caused death if it were more severe.</w:t>
            </w:r>
          </w:p>
          <w:p w14:paraId="5B93E16F" w14:textId="77777777" w:rsidR="006D0180" w:rsidRPr="009A7EA5" w:rsidRDefault="006D0180" w:rsidP="00090F1A">
            <w:r>
              <w:t>*</w:t>
            </w:r>
            <w:r w:rsidDel="00004ECD">
              <w:t>*</w:t>
            </w:r>
            <w:r>
              <w:t xml:space="preserve"> Medical judgment should be exercised in deciding whether an AE is serious in other situations. Important AEs that are not immediately life threatening or do not result in death or hospitalisation but may jeopardise the participant or may require intervention to prevent one of the other outcomes listed in the definition above, should be considered serious.</w:t>
            </w:r>
          </w:p>
        </w:tc>
      </w:tr>
      <w:tr w:rsidR="006D0180" w14:paraId="131DC02C" w14:textId="77777777" w:rsidTr="00090F1A">
        <w:trPr>
          <w:cantSplit/>
        </w:trPr>
        <w:tc>
          <w:tcPr>
            <w:tcW w:w="2462" w:type="dxa"/>
          </w:tcPr>
          <w:p w14:paraId="4B71EF03" w14:textId="77777777" w:rsidR="006D0180" w:rsidRDefault="006D0180" w:rsidP="00090F1A">
            <w:pPr>
              <w:pStyle w:val="Definitionsabbreviations"/>
            </w:pPr>
            <w:r>
              <w:t>Serious Adverse Reaction (SAR)</w:t>
            </w:r>
          </w:p>
        </w:tc>
        <w:tc>
          <w:tcPr>
            <w:tcW w:w="6555" w:type="dxa"/>
          </w:tcPr>
          <w:p w14:paraId="6CEB1F54" w14:textId="77777777" w:rsidR="006D0180" w:rsidRPr="009A7EA5" w:rsidRDefault="006D0180" w:rsidP="00090F1A">
            <w:r>
              <w:t>For CTIMPs, an adverse reaction which also meets the definition of a Serious Adverse Event.</w:t>
            </w:r>
          </w:p>
        </w:tc>
      </w:tr>
      <w:tr w:rsidR="006D0180" w14:paraId="12683AFC" w14:textId="77777777" w:rsidTr="00090F1A">
        <w:trPr>
          <w:cantSplit/>
        </w:trPr>
        <w:tc>
          <w:tcPr>
            <w:tcW w:w="2462" w:type="dxa"/>
          </w:tcPr>
          <w:p w14:paraId="776205C3" w14:textId="77777777" w:rsidR="006D0180" w:rsidRDefault="006D0180" w:rsidP="00090F1A">
            <w:pPr>
              <w:pStyle w:val="Definitionsabbreviations"/>
            </w:pPr>
            <w:r w:rsidRPr="00C73FC8">
              <w:t>Summary of Product Characteristics (SmPC)</w:t>
            </w:r>
          </w:p>
        </w:tc>
        <w:tc>
          <w:tcPr>
            <w:tcW w:w="6555" w:type="dxa"/>
          </w:tcPr>
          <w:p w14:paraId="0684095F" w14:textId="77777777" w:rsidR="006D0180" w:rsidRPr="00C73FC8" w:rsidRDefault="006D0180" w:rsidP="00090F1A">
            <w:r w:rsidRPr="00C73FC8">
              <w:t xml:space="preserve">Summary of product characteristics (SmPC) describes the properties and conditions for use of a particular medicinal </w:t>
            </w:r>
            <w:proofErr w:type="gramStart"/>
            <w:r w:rsidRPr="00C73FC8">
              <w:t>product, and</w:t>
            </w:r>
            <w:proofErr w:type="gramEnd"/>
            <w:r w:rsidRPr="00C73FC8">
              <w:t xml:space="preserve"> is the basis of information for health professionals on how to use the medicinal product safely and effectively. It includes the composition, pharmaceutical form and strength, approved indications, side effects, warnings and precautions for use, shelf life, storage conditions and the name of the marketing authorisation holder.</w:t>
            </w:r>
          </w:p>
        </w:tc>
      </w:tr>
      <w:tr w:rsidR="006D0180" w14:paraId="2BFBFCC4" w14:textId="77777777" w:rsidTr="00090F1A">
        <w:trPr>
          <w:cantSplit/>
        </w:trPr>
        <w:tc>
          <w:tcPr>
            <w:tcW w:w="2462" w:type="dxa"/>
          </w:tcPr>
          <w:p w14:paraId="43AB953C" w14:textId="77777777" w:rsidR="006D0180" w:rsidRDefault="006D0180" w:rsidP="00090F1A">
            <w:pPr>
              <w:pStyle w:val="Definitionsabbreviations"/>
            </w:pPr>
            <w:r>
              <w:lastRenderedPageBreak/>
              <w:t>Suspected Unexpected Serious Adverse Reaction (SUSAR)</w:t>
            </w:r>
          </w:p>
        </w:tc>
        <w:tc>
          <w:tcPr>
            <w:tcW w:w="6555" w:type="dxa"/>
          </w:tcPr>
          <w:p w14:paraId="288907C6" w14:textId="77777777" w:rsidR="006D0180" w:rsidRDefault="006D0180" w:rsidP="00090F1A">
            <w:r>
              <w:t xml:space="preserve">For CTIMPs, a Serious Adverse Reaction that is unexpected </w:t>
            </w:r>
            <w:proofErr w:type="gramStart"/>
            <w:r>
              <w:t>i.e.</w:t>
            </w:r>
            <w:proofErr w:type="gramEnd"/>
            <w:r>
              <w:t xml:space="preserve"> the nature, or severity of the event is not consistent with the applicable product information. A SUSAR should meet the definition of an Adverse Reaction, an Unexpected Adverse </w:t>
            </w:r>
            <w:proofErr w:type="gramStart"/>
            <w:r>
              <w:t>Reaction</w:t>
            </w:r>
            <w:proofErr w:type="gramEnd"/>
            <w:r>
              <w:t xml:space="preserve"> and a Serious Adverse Reaction.</w:t>
            </w:r>
          </w:p>
        </w:tc>
      </w:tr>
      <w:tr w:rsidR="006D0180" w14:paraId="3CFAD176" w14:textId="77777777" w:rsidTr="00090F1A">
        <w:trPr>
          <w:cantSplit/>
        </w:trPr>
        <w:tc>
          <w:tcPr>
            <w:tcW w:w="2462" w:type="dxa"/>
          </w:tcPr>
          <w:p w14:paraId="7D1CA9C4" w14:textId="77777777" w:rsidR="006D0180" w:rsidRDefault="006D0180" w:rsidP="00090F1A">
            <w:pPr>
              <w:pStyle w:val="Definitionsabbreviations"/>
            </w:pPr>
            <w:r w:rsidRPr="000508D6">
              <w:t>Unanticipated Serious Adverse Device Effect (USADE)</w:t>
            </w:r>
          </w:p>
        </w:tc>
        <w:tc>
          <w:tcPr>
            <w:tcW w:w="6555" w:type="dxa"/>
          </w:tcPr>
          <w:p w14:paraId="4FA9B7BE" w14:textId="77777777" w:rsidR="006D0180" w:rsidRDefault="006D0180" w:rsidP="00090F1A">
            <w:r w:rsidRPr="000508D6">
              <w:t xml:space="preserve">Serious adverse device effect which by its nature, incidence, </w:t>
            </w:r>
            <w:proofErr w:type="gramStart"/>
            <w:r w:rsidRPr="000508D6">
              <w:t>severity</w:t>
            </w:r>
            <w:proofErr w:type="gramEnd"/>
            <w:r w:rsidRPr="000508D6">
              <w:t xml:space="preserve"> or outcome has not been identified in the current version of the risk analysis report. N</w:t>
            </w:r>
            <w:r>
              <w:t>ote</w:t>
            </w:r>
            <w:r w:rsidRPr="000508D6">
              <w:t>: Anticipated SADE (ASADE)</w:t>
            </w:r>
            <w:r>
              <w:t xml:space="preserve"> is</w:t>
            </w:r>
            <w:r w:rsidRPr="000508D6">
              <w:t xml:space="preserve"> an effect which by its nature, incidence, </w:t>
            </w:r>
            <w:proofErr w:type="gramStart"/>
            <w:r w:rsidRPr="000508D6">
              <w:t>severity</w:t>
            </w:r>
            <w:proofErr w:type="gramEnd"/>
            <w:r w:rsidRPr="000508D6">
              <w:t xml:space="preserve"> or outcome has been previously identified in the risk analysis report</w:t>
            </w:r>
            <w:r>
              <w:t>.</w:t>
            </w:r>
          </w:p>
        </w:tc>
      </w:tr>
      <w:tr w:rsidR="006D0180" w14:paraId="1F5DF2BA" w14:textId="77777777" w:rsidTr="00090F1A">
        <w:trPr>
          <w:cantSplit/>
        </w:trPr>
        <w:tc>
          <w:tcPr>
            <w:tcW w:w="2462" w:type="dxa"/>
          </w:tcPr>
          <w:p w14:paraId="7D4262BF" w14:textId="77777777" w:rsidR="006D0180" w:rsidRDefault="006D0180" w:rsidP="00090F1A">
            <w:pPr>
              <w:pStyle w:val="Definitionsabbreviations"/>
            </w:pPr>
            <w:r>
              <w:t>U</w:t>
            </w:r>
            <w:r w:rsidRPr="0033293F">
              <w:rPr>
                <w:rFonts w:hint="eastAsia"/>
              </w:rPr>
              <w:t xml:space="preserve">nexpected </w:t>
            </w:r>
            <w:r>
              <w:t>A</w:t>
            </w:r>
            <w:r>
              <w:rPr>
                <w:rFonts w:hint="eastAsia"/>
              </w:rPr>
              <w:t xml:space="preserve">dverse </w:t>
            </w:r>
            <w:r>
              <w:t>R</w:t>
            </w:r>
            <w:r w:rsidRPr="0033293F">
              <w:rPr>
                <w:rFonts w:hint="eastAsia"/>
              </w:rPr>
              <w:t>eaction</w:t>
            </w:r>
            <w:r>
              <w:t xml:space="preserve"> (UAR)</w:t>
            </w:r>
          </w:p>
        </w:tc>
        <w:tc>
          <w:tcPr>
            <w:tcW w:w="6555" w:type="dxa"/>
          </w:tcPr>
          <w:p w14:paraId="76D33324" w14:textId="77777777" w:rsidR="006D0180" w:rsidRPr="009A7EA5" w:rsidRDefault="006D0180" w:rsidP="00090F1A">
            <w:r w:rsidRPr="009A7EA5">
              <w:t xml:space="preserve">For CTIMPs, </w:t>
            </w:r>
            <w:r w:rsidRPr="009A7EA5">
              <w:rPr>
                <w:rFonts w:hint="eastAsia"/>
              </w:rPr>
              <w:t xml:space="preserve">an </w:t>
            </w:r>
            <w:r>
              <w:t>A</w:t>
            </w:r>
            <w:r w:rsidRPr="009A7EA5">
              <w:rPr>
                <w:rFonts w:hint="eastAsia"/>
              </w:rPr>
              <w:t xml:space="preserve">dverse </w:t>
            </w:r>
            <w:r>
              <w:t>R</w:t>
            </w:r>
            <w:r w:rsidRPr="009A7EA5">
              <w:rPr>
                <w:rFonts w:hint="eastAsia"/>
              </w:rPr>
              <w:t>eaction, the nature or severity of which is not consistent with the applicable product information (</w:t>
            </w:r>
            <w:proofErr w:type="gramStart"/>
            <w:r w:rsidRPr="009A7EA5">
              <w:rPr>
                <w:rFonts w:hint="eastAsia"/>
              </w:rPr>
              <w:t>e.g.</w:t>
            </w:r>
            <w:proofErr w:type="gramEnd"/>
            <w:r w:rsidRPr="009A7EA5">
              <w:rPr>
                <w:rFonts w:hint="eastAsia"/>
              </w:rPr>
              <w:t xml:space="preserve"> investigator's brochure for an unauthorised investigational product or summary of product characteristics for an authorised product)</w:t>
            </w:r>
            <w:r w:rsidRPr="009A7EA5">
              <w:t>.</w:t>
            </w:r>
          </w:p>
        </w:tc>
      </w:tr>
      <w:tr w:rsidR="006D0180" w14:paraId="7CDC7455" w14:textId="77777777" w:rsidTr="00090F1A">
        <w:trPr>
          <w:cantSplit/>
          <w:trHeight w:val="70"/>
        </w:trPr>
        <w:tc>
          <w:tcPr>
            <w:tcW w:w="2462" w:type="dxa"/>
          </w:tcPr>
          <w:p w14:paraId="72358CC7" w14:textId="77777777" w:rsidR="006D0180" w:rsidRDefault="006D0180" w:rsidP="00090F1A">
            <w:pPr>
              <w:pStyle w:val="Definitionsabbreviations"/>
            </w:pPr>
            <w:r>
              <w:t>Unexpected and Related Event</w:t>
            </w:r>
          </w:p>
        </w:tc>
        <w:tc>
          <w:tcPr>
            <w:tcW w:w="6555" w:type="dxa"/>
          </w:tcPr>
          <w:p w14:paraId="0B66ABE0" w14:textId="77777777" w:rsidR="006D0180" w:rsidRPr="009A7EA5" w:rsidRDefault="006D0180" w:rsidP="00090F1A">
            <w:pPr>
              <w:rPr>
                <w:lang w:eastAsia="en-GB"/>
              </w:rPr>
            </w:pPr>
            <w:r>
              <w:t xml:space="preserve">For non-CTIMPs, </w:t>
            </w:r>
            <w:r>
              <w:rPr>
                <w:lang w:eastAsia="en-GB"/>
              </w:rPr>
              <w:t>an event which meets the definition of both an Unexpected Event and a Related Event.</w:t>
            </w:r>
          </w:p>
        </w:tc>
      </w:tr>
      <w:tr w:rsidR="006D0180" w14:paraId="4EC62B35" w14:textId="77777777" w:rsidTr="00090F1A">
        <w:trPr>
          <w:cantSplit/>
          <w:trHeight w:val="70"/>
        </w:trPr>
        <w:tc>
          <w:tcPr>
            <w:tcW w:w="2462" w:type="dxa"/>
          </w:tcPr>
          <w:p w14:paraId="3067D76B" w14:textId="77777777" w:rsidR="006D0180" w:rsidRDefault="006D0180" w:rsidP="00090F1A">
            <w:pPr>
              <w:pStyle w:val="Definitionsabbreviations"/>
            </w:pPr>
            <w:r>
              <w:t>Unexpected Event</w:t>
            </w:r>
          </w:p>
        </w:tc>
        <w:tc>
          <w:tcPr>
            <w:tcW w:w="6555" w:type="dxa"/>
          </w:tcPr>
          <w:p w14:paraId="1ABFE523" w14:textId="77777777" w:rsidR="006D0180" w:rsidRDefault="006D0180" w:rsidP="00090F1A">
            <w:pPr>
              <w:rPr>
                <w:lang w:eastAsia="en-GB"/>
              </w:rPr>
            </w:pPr>
            <w:r>
              <w:rPr>
                <w:lang w:eastAsia="en-GB"/>
              </w:rPr>
              <w:t>For non-CTIMPs, t</w:t>
            </w:r>
            <w:r w:rsidRPr="00FC2BDA">
              <w:rPr>
                <w:lang w:eastAsia="en-GB"/>
              </w:rPr>
              <w:t>he type of event that is not listed in the protocol as an expected occurrence.</w:t>
            </w:r>
          </w:p>
        </w:tc>
      </w:tr>
    </w:tbl>
    <w:p w14:paraId="27BC51D0" w14:textId="77777777" w:rsidR="000374CB" w:rsidRDefault="00B10C05">
      <w:r w:rsidRPr="009C2C63">
        <w:t xml:space="preserve">See also the </w:t>
      </w:r>
      <w:hyperlink r:id="rId63" w:tooltip="Link to Glossary of Terms" w:history="1">
        <w:r w:rsidRPr="00F12A38">
          <w:rPr>
            <w:rStyle w:val="Hyperlink"/>
          </w:rPr>
          <w:t>Glossary of Terms</w:t>
        </w:r>
      </w:hyperlink>
      <w:r w:rsidRPr="009C2C63">
        <w:t>.</w:t>
      </w:r>
    </w:p>
    <w:p w14:paraId="7E9B4E22" w14:textId="77777777" w:rsidR="000374CB" w:rsidRDefault="000374CB"/>
    <w:sectPr w:rsidR="000374CB" w:rsidSect="003A24EB">
      <w:headerReference w:type="even" r:id="rId64"/>
      <w:headerReference w:type="default" r:id="rId65"/>
      <w:footerReference w:type="even" r:id="rId66"/>
      <w:footerReference w:type="default" r:id="rId67"/>
      <w:headerReference w:type="first" r:id="rId68"/>
      <w:footerReference w:type="first" r:id="rId69"/>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6717" w14:textId="77777777" w:rsidR="00067EA8" w:rsidRDefault="00067EA8" w:rsidP="00F46DE6">
      <w:r>
        <w:separator/>
      </w:r>
    </w:p>
    <w:p w14:paraId="106ABB65" w14:textId="77777777" w:rsidR="00067EA8" w:rsidRDefault="00067EA8" w:rsidP="00F46DE6"/>
  </w:endnote>
  <w:endnote w:type="continuationSeparator" w:id="0">
    <w:p w14:paraId="4A937702" w14:textId="77777777" w:rsidR="00067EA8" w:rsidRDefault="00067EA8" w:rsidP="00F46DE6">
      <w:r>
        <w:continuationSeparator/>
      </w:r>
    </w:p>
    <w:p w14:paraId="16496AEF" w14:textId="77777777" w:rsidR="00067EA8" w:rsidRDefault="00067EA8"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utigerLigh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E90D" w14:textId="77777777" w:rsidR="00DD3075" w:rsidRDefault="00276842" w:rsidP="00276842">
    <w:pPr>
      <w:pStyle w:val="propertystatement"/>
    </w:pPr>
    <w:r w:rsidRPr="002D6577">
      <w:t xml:space="preserve">Property of </w:t>
    </w:r>
    <w:r>
      <w:t xml:space="preserve">the </w:t>
    </w:r>
    <w:r w:rsidRPr="002D6577">
      <w:t>University of Birmingham, Vincent Drive, Edgbaston, Birmingham, B15 2TT, United Kingdom</w:t>
    </w:r>
  </w:p>
  <w:p w14:paraId="6C9B94C7" w14:textId="77777777" w:rsidR="00DD3075" w:rsidRPr="001348DC" w:rsidRDefault="00DD3075" w:rsidP="00DD3075">
    <w:pPr>
      <w:pStyle w:val="propertystatement"/>
    </w:pPr>
    <w:r w:rsidRPr="001348DC">
      <w:t>Copies are only valid for 14 days and may be subject to amendment a</w:t>
    </w:r>
    <w:r>
      <w:t>t any time. For the latest version refer to:</w:t>
    </w:r>
    <w:r w:rsidRPr="001348DC">
      <w:t xml:space="preserve"> </w:t>
    </w:r>
  </w:p>
  <w:p w14:paraId="27A77647" w14:textId="77777777" w:rsidR="00276842" w:rsidRDefault="005B1D01" w:rsidP="00DD3075">
    <w:pPr>
      <w:pStyle w:val="propertystatement"/>
    </w:pPr>
    <w:hyperlink r:id="rId1" w:history="1">
      <w:r w:rsidR="00DD3075" w:rsidRPr="00D317E8">
        <w:rPr>
          <w:rStyle w:val="Hyperlink"/>
        </w:rPr>
        <w:t>http://www.birmingham.ac.uk/research/activity/mds/mds-rkto/governance/index.aspx</w:t>
      </w:r>
    </w:hyperlink>
  </w:p>
  <w:p w14:paraId="5E714F7E" w14:textId="77777777" w:rsidR="00D33108" w:rsidRPr="002D6577" w:rsidRDefault="00D33108"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0458" w14:textId="77777777" w:rsidR="00D17200" w:rsidRDefault="00D17200" w:rsidP="009E44AF">
    <w:pPr>
      <w:pStyle w:val="Footer"/>
      <w:jc w:val="center"/>
    </w:pPr>
    <w:r w:rsidRPr="002D6577">
      <w:t xml:space="preserve">Property of </w:t>
    </w:r>
    <w:r>
      <w:t xml:space="preserve">the </w:t>
    </w:r>
    <w:r w:rsidRPr="002D6577">
      <w:t>University of Birmingham, Vincent Drive, Edgbaston, Birmingham, B15 2TT, United Kingdom</w:t>
    </w:r>
    <w:r w:rsidR="008F795D">
      <w:t>.</w:t>
    </w:r>
  </w:p>
  <w:p w14:paraId="21A074BE" w14:textId="77777777" w:rsidR="00D17200" w:rsidRPr="001348DC" w:rsidRDefault="00D17200" w:rsidP="009E44AF">
    <w:pPr>
      <w:pStyle w:val="Footer"/>
      <w:jc w:val="center"/>
    </w:pPr>
    <w:r w:rsidRPr="001348DC">
      <w:t>Copies are only valid for 14 days and may be subject to amendment a</w:t>
    </w:r>
    <w:r>
      <w:t>t any time. For the latest version refer to:</w:t>
    </w:r>
  </w:p>
  <w:p w14:paraId="23AB6F86" w14:textId="77777777" w:rsidR="00D17200" w:rsidRDefault="005B1D01" w:rsidP="00D17200">
    <w:pPr>
      <w:pStyle w:val="propertystatement"/>
    </w:pPr>
    <w:hyperlink r:id="rId1" w:tooltip="Website for the Clinical Research Compliance Team" w:history="1">
      <w:r w:rsidR="00C31D63">
        <w:rPr>
          <w:rStyle w:val="Hyperlink"/>
        </w:rPr>
        <w:t>birmingham.ac.uk/crct</w:t>
      </w:r>
    </w:hyperlink>
    <w:r w:rsidR="008F795D">
      <w:t xml:space="preserve"> </w:t>
    </w:r>
  </w:p>
  <w:p w14:paraId="02E21AA3" w14:textId="77777777" w:rsidR="00D17200" w:rsidRDefault="00D17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60BB" w14:textId="77777777" w:rsidR="00067EA8" w:rsidRDefault="00067E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067EA8" w:rsidRPr="002D6577" w14:paraId="35474941" w14:textId="77777777" w:rsidTr="00067EA8">
      <w:trPr>
        <w:trHeight w:val="148"/>
      </w:trPr>
      <w:tc>
        <w:tcPr>
          <w:tcW w:w="798" w:type="pct"/>
          <w:tcMar>
            <w:top w:w="0" w:type="dxa"/>
            <w:left w:w="57" w:type="dxa"/>
            <w:bottom w:w="0" w:type="dxa"/>
            <w:right w:w="57" w:type="dxa"/>
          </w:tcMar>
          <w:vAlign w:val="center"/>
        </w:tcPr>
        <w:p w14:paraId="5BFEACF2" w14:textId="77777777" w:rsidR="00067EA8" w:rsidRPr="001C6EFB" w:rsidRDefault="00067EA8" w:rsidP="00D8192F">
          <w:pPr>
            <w:pStyle w:val="Footer"/>
          </w:pPr>
          <w:r w:rsidRPr="001C6EFB">
            <w:t>Document code:</w:t>
          </w:r>
        </w:p>
      </w:tc>
      <w:tc>
        <w:tcPr>
          <w:tcW w:w="1702" w:type="pct"/>
          <w:tcMar>
            <w:top w:w="0" w:type="dxa"/>
            <w:left w:w="57" w:type="dxa"/>
            <w:bottom w:w="0" w:type="dxa"/>
            <w:right w:w="57" w:type="dxa"/>
          </w:tcMar>
          <w:vAlign w:val="center"/>
        </w:tcPr>
        <w:p w14:paraId="543DA178" w14:textId="77777777" w:rsidR="00067EA8" w:rsidRPr="001C6EFB" w:rsidRDefault="00067EA8" w:rsidP="0060052C">
          <w:pPr>
            <w:pStyle w:val="Footer"/>
          </w:pPr>
          <w:r>
            <w:t>UoB-AES-SOP-001</w:t>
          </w:r>
        </w:p>
      </w:tc>
      <w:tc>
        <w:tcPr>
          <w:tcW w:w="1884" w:type="pct"/>
          <w:tcMar>
            <w:top w:w="0" w:type="dxa"/>
            <w:left w:w="57" w:type="dxa"/>
            <w:bottom w:w="0" w:type="dxa"/>
            <w:right w:w="57" w:type="dxa"/>
          </w:tcMar>
          <w:vAlign w:val="center"/>
        </w:tcPr>
        <w:p w14:paraId="5B686577" w14:textId="77777777" w:rsidR="00067EA8" w:rsidRPr="001C6EFB" w:rsidRDefault="00067EA8" w:rsidP="00163F57">
          <w:pPr>
            <w:pStyle w:val="Footer"/>
            <w:jc w:val="right"/>
          </w:pPr>
          <w:r w:rsidRPr="001C6EFB">
            <w:t>Print Date:</w:t>
          </w:r>
        </w:p>
      </w:tc>
      <w:tc>
        <w:tcPr>
          <w:tcW w:w="616" w:type="pct"/>
          <w:tcMar>
            <w:top w:w="0" w:type="dxa"/>
            <w:left w:w="57" w:type="dxa"/>
            <w:bottom w:w="0" w:type="dxa"/>
            <w:right w:w="57" w:type="dxa"/>
          </w:tcMar>
          <w:vAlign w:val="center"/>
        </w:tcPr>
        <w:p w14:paraId="4F095D26" w14:textId="1D8A0436" w:rsidR="00067EA8" w:rsidRPr="001C6EFB" w:rsidRDefault="00067EA8" w:rsidP="00163F57">
          <w:pPr>
            <w:pStyle w:val="Footer"/>
            <w:jc w:val="right"/>
          </w:pPr>
          <w:r>
            <w:fldChar w:fldCharType="begin"/>
          </w:r>
          <w:r>
            <w:instrText xml:space="preserve"> DATE  \@ "dd-MMM-yyyy"  \* MERGEFORMAT </w:instrText>
          </w:r>
          <w:r>
            <w:fldChar w:fldCharType="separate"/>
          </w:r>
          <w:r w:rsidR="001A5849">
            <w:rPr>
              <w:noProof/>
            </w:rPr>
            <w:t>09-Dec-2022</w:t>
          </w:r>
          <w:r>
            <w:fldChar w:fldCharType="end"/>
          </w:r>
        </w:p>
      </w:tc>
    </w:tr>
    <w:tr w:rsidR="00067EA8" w:rsidRPr="002D6577" w14:paraId="02FCC3FC" w14:textId="77777777" w:rsidTr="00067EA8">
      <w:tc>
        <w:tcPr>
          <w:tcW w:w="798" w:type="pct"/>
          <w:tcMar>
            <w:top w:w="0" w:type="dxa"/>
            <w:left w:w="57" w:type="dxa"/>
            <w:bottom w:w="0" w:type="dxa"/>
            <w:right w:w="57" w:type="dxa"/>
          </w:tcMar>
          <w:vAlign w:val="center"/>
        </w:tcPr>
        <w:p w14:paraId="0AD22346" w14:textId="77777777" w:rsidR="00067EA8" w:rsidRPr="001C6EFB" w:rsidRDefault="00067EA8" w:rsidP="00D8192F">
          <w:pPr>
            <w:pStyle w:val="Footer"/>
          </w:pPr>
          <w:r w:rsidRPr="001C6EFB">
            <w:t>Version no:</w:t>
          </w:r>
        </w:p>
      </w:tc>
      <w:tc>
        <w:tcPr>
          <w:tcW w:w="1702" w:type="pct"/>
          <w:tcMar>
            <w:top w:w="0" w:type="dxa"/>
            <w:left w:w="57" w:type="dxa"/>
            <w:bottom w:w="0" w:type="dxa"/>
            <w:right w:w="57" w:type="dxa"/>
          </w:tcMar>
          <w:vAlign w:val="center"/>
        </w:tcPr>
        <w:p w14:paraId="3A9FF40B" w14:textId="0794414C" w:rsidR="00067EA8" w:rsidRPr="001C6EFB" w:rsidRDefault="001A5849" w:rsidP="008C3C8D">
          <w:pPr>
            <w:pStyle w:val="Footer"/>
          </w:pPr>
          <w:r>
            <w:t>2.0</w:t>
          </w:r>
        </w:p>
      </w:tc>
      <w:tc>
        <w:tcPr>
          <w:tcW w:w="1884" w:type="pct"/>
          <w:tcMar>
            <w:top w:w="0" w:type="dxa"/>
            <w:left w:w="57" w:type="dxa"/>
            <w:bottom w:w="0" w:type="dxa"/>
            <w:right w:w="57" w:type="dxa"/>
          </w:tcMar>
          <w:vAlign w:val="center"/>
        </w:tcPr>
        <w:p w14:paraId="25622C01" w14:textId="77777777" w:rsidR="00067EA8" w:rsidRPr="001C6EFB" w:rsidRDefault="00067EA8" w:rsidP="00163F57">
          <w:pPr>
            <w:pStyle w:val="Footer"/>
            <w:jc w:val="right"/>
          </w:pPr>
          <w:r w:rsidRPr="001C6EFB">
            <w:t>Page:</w:t>
          </w:r>
        </w:p>
      </w:tc>
      <w:tc>
        <w:tcPr>
          <w:tcW w:w="616" w:type="pct"/>
          <w:tcMar>
            <w:top w:w="0" w:type="dxa"/>
            <w:left w:w="57" w:type="dxa"/>
            <w:bottom w:w="0" w:type="dxa"/>
            <w:right w:w="57" w:type="dxa"/>
          </w:tcMar>
          <w:vAlign w:val="center"/>
        </w:tcPr>
        <w:p w14:paraId="423EEC51" w14:textId="77777777" w:rsidR="00067EA8" w:rsidRPr="001C6EFB" w:rsidRDefault="00067EA8" w:rsidP="0060052C">
          <w:pPr>
            <w:pStyle w:val="Footer"/>
            <w:jc w:val="right"/>
          </w:pPr>
          <w:r w:rsidRPr="001C6EFB">
            <w:t xml:space="preserve"> </w:t>
          </w:r>
          <w:r>
            <w:fldChar w:fldCharType="begin"/>
          </w:r>
          <w:r>
            <w:instrText xml:space="preserve"> PAGE   \* MERGEFORMAT </w:instrText>
          </w:r>
          <w:r>
            <w:fldChar w:fldCharType="separate"/>
          </w:r>
          <w:r>
            <w:rPr>
              <w:noProof/>
            </w:rPr>
            <w:t>5</w:t>
          </w:r>
          <w:r>
            <w:fldChar w:fldCharType="end"/>
          </w:r>
          <w:r w:rsidRPr="001C6EFB">
            <w:t xml:space="preserve"> of </w:t>
          </w:r>
          <w:fldSimple w:instr=" NUMPAGES   \* MERGEFORMAT ">
            <w:r>
              <w:rPr>
                <w:noProof/>
              </w:rPr>
              <w:t>16</w:t>
            </w:r>
          </w:fldSimple>
        </w:p>
      </w:tc>
    </w:tr>
  </w:tbl>
  <w:p w14:paraId="35F744E2" w14:textId="77777777" w:rsidR="00067EA8" w:rsidRPr="003A24EB" w:rsidRDefault="00067EA8" w:rsidP="003A24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C504" w14:textId="77777777" w:rsidR="00067EA8" w:rsidRDefault="00067EA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19"/>
      <w:gridCol w:w="5561"/>
      <w:gridCol w:w="5779"/>
      <w:gridCol w:w="1200"/>
    </w:tblGrid>
    <w:tr w:rsidR="00067EA8" w:rsidRPr="002D6577" w14:paraId="36A17B2B" w14:textId="77777777" w:rsidTr="00067EA8">
      <w:trPr>
        <w:trHeight w:val="148"/>
      </w:trPr>
      <w:tc>
        <w:tcPr>
          <w:tcW w:w="508" w:type="pct"/>
          <w:tcMar>
            <w:top w:w="0" w:type="dxa"/>
            <w:left w:w="57" w:type="dxa"/>
            <w:bottom w:w="0" w:type="dxa"/>
            <w:right w:w="57" w:type="dxa"/>
          </w:tcMar>
          <w:vAlign w:val="center"/>
        </w:tcPr>
        <w:p w14:paraId="1567FFA8" w14:textId="77777777" w:rsidR="00067EA8" w:rsidRPr="001C6EFB" w:rsidRDefault="00067EA8" w:rsidP="00D8192F">
          <w:pPr>
            <w:pStyle w:val="Footer"/>
          </w:pPr>
          <w:r w:rsidRPr="001C6EFB">
            <w:t>Document code:</w:t>
          </w:r>
        </w:p>
      </w:tc>
      <w:tc>
        <w:tcPr>
          <w:tcW w:w="1992" w:type="pct"/>
          <w:tcMar>
            <w:top w:w="0" w:type="dxa"/>
            <w:left w:w="57" w:type="dxa"/>
            <w:bottom w:w="0" w:type="dxa"/>
            <w:right w:w="57" w:type="dxa"/>
          </w:tcMar>
          <w:vAlign w:val="center"/>
        </w:tcPr>
        <w:p w14:paraId="51C79484" w14:textId="77777777" w:rsidR="00067EA8" w:rsidRPr="001C6EFB" w:rsidRDefault="00067EA8" w:rsidP="0060052C">
          <w:pPr>
            <w:pStyle w:val="Footer"/>
          </w:pPr>
          <w:r>
            <w:t>UoB-AES-SOP-001</w:t>
          </w:r>
        </w:p>
      </w:tc>
      <w:tc>
        <w:tcPr>
          <w:tcW w:w="2070" w:type="pct"/>
          <w:tcMar>
            <w:top w:w="0" w:type="dxa"/>
            <w:left w:w="57" w:type="dxa"/>
            <w:bottom w:w="0" w:type="dxa"/>
            <w:right w:w="57" w:type="dxa"/>
          </w:tcMar>
          <w:vAlign w:val="center"/>
        </w:tcPr>
        <w:p w14:paraId="7099668A" w14:textId="77777777" w:rsidR="00067EA8" w:rsidRPr="001C6EFB" w:rsidRDefault="00067EA8" w:rsidP="00163F57">
          <w:pPr>
            <w:pStyle w:val="Footer"/>
            <w:jc w:val="right"/>
          </w:pPr>
          <w:r w:rsidRPr="001C6EFB">
            <w:t>Print Date:</w:t>
          </w:r>
        </w:p>
      </w:tc>
      <w:tc>
        <w:tcPr>
          <w:tcW w:w="430" w:type="pct"/>
          <w:tcMar>
            <w:top w:w="0" w:type="dxa"/>
            <w:left w:w="57" w:type="dxa"/>
            <w:bottom w:w="0" w:type="dxa"/>
            <w:right w:w="57" w:type="dxa"/>
          </w:tcMar>
          <w:vAlign w:val="center"/>
        </w:tcPr>
        <w:p w14:paraId="47FFAD20" w14:textId="19851AF1" w:rsidR="00067EA8" w:rsidRPr="001C6EFB" w:rsidRDefault="00067EA8" w:rsidP="00163F57">
          <w:pPr>
            <w:pStyle w:val="Footer"/>
            <w:jc w:val="right"/>
          </w:pPr>
          <w:r>
            <w:fldChar w:fldCharType="begin"/>
          </w:r>
          <w:r>
            <w:instrText xml:space="preserve"> DATE  \@ "dd-MMM-yyyy"  \* MERGEFORMAT </w:instrText>
          </w:r>
          <w:r>
            <w:fldChar w:fldCharType="separate"/>
          </w:r>
          <w:r w:rsidR="001A5849">
            <w:rPr>
              <w:noProof/>
            </w:rPr>
            <w:t>09-Dec-2022</w:t>
          </w:r>
          <w:r>
            <w:fldChar w:fldCharType="end"/>
          </w:r>
        </w:p>
      </w:tc>
    </w:tr>
    <w:tr w:rsidR="00067EA8" w:rsidRPr="002D6577" w14:paraId="3252572E" w14:textId="77777777" w:rsidTr="00067EA8">
      <w:tc>
        <w:tcPr>
          <w:tcW w:w="508" w:type="pct"/>
          <w:tcMar>
            <w:top w:w="0" w:type="dxa"/>
            <w:left w:w="57" w:type="dxa"/>
            <w:bottom w:w="0" w:type="dxa"/>
            <w:right w:w="57" w:type="dxa"/>
          </w:tcMar>
          <w:vAlign w:val="center"/>
        </w:tcPr>
        <w:p w14:paraId="6BFEF297" w14:textId="77777777" w:rsidR="00067EA8" w:rsidRPr="001C6EFB" w:rsidRDefault="00067EA8" w:rsidP="00D8192F">
          <w:pPr>
            <w:pStyle w:val="Footer"/>
          </w:pPr>
          <w:r w:rsidRPr="001C6EFB">
            <w:t>Version no:</w:t>
          </w:r>
        </w:p>
      </w:tc>
      <w:tc>
        <w:tcPr>
          <w:tcW w:w="1992" w:type="pct"/>
          <w:tcMar>
            <w:top w:w="0" w:type="dxa"/>
            <w:left w:w="57" w:type="dxa"/>
            <w:bottom w:w="0" w:type="dxa"/>
            <w:right w:w="57" w:type="dxa"/>
          </w:tcMar>
          <w:vAlign w:val="center"/>
        </w:tcPr>
        <w:p w14:paraId="2EAD801F" w14:textId="7BAABDA0" w:rsidR="00067EA8" w:rsidRPr="001C6EFB" w:rsidRDefault="001A5849" w:rsidP="008C3C8D">
          <w:pPr>
            <w:pStyle w:val="Footer"/>
          </w:pPr>
          <w:r>
            <w:t>2.0</w:t>
          </w:r>
        </w:p>
      </w:tc>
      <w:tc>
        <w:tcPr>
          <w:tcW w:w="2070" w:type="pct"/>
          <w:tcMar>
            <w:top w:w="0" w:type="dxa"/>
            <w:left w:w="57" w:type="dxa"/>
            <w:bottom w:w="0" w:type="dxa"/>
            <w:right w:w="57" w:type="dxa"/>
          </w:tcMar>
          <w:vAlign w:val="center"/>
        </w:tcPr>
        <w:p w14:paraId="5118E314" w14:textId="77777777" w:rsidR="00067EA8" w:rsidRPr="001C6EFB" w:rsidRDefault="00067EA8" w:rsidP="00163F57">
          <w:pPr>
            <w:pStyle w:val="Footer"/>
            <w:jc w:val="right"/>
          </w:pPr>
          <w:r w:rsidRPr="001C6EFB">
            <w:t>Page:</w:t>
          </w:r>
        </w:p>
      </w:tc>
      <w:tc>
        <w:tcPr>
          <w:tcW w:w="430" w:type="pct"/>
          <w:tcMar>
            <w:top w:w="0" w:type="dxa"/>
            <w:left w:w="57" w:type="dxa"/>
            <w:bottom w:w="0" w:type="dxa"/>
            <w:right w:w="57" w:type="dxa"/>
          </w:tcMar>
          <w:vAlign w:val="center"/>
        </w:tcPr>
        <w:p w14:paraId="42CC4A7C" w14:textId="77777777" w:rsidR="00067EA8" w:rsidRPr="001C6EFB" w:rsidRDefault="00067EA8" w:rsidP="0060052C">
          <w:pPr>
            <w:pStyle w:val="Footer"/>
            <w:jc w:val="right"/>
          </w:pPr>
          <w:r w:rsidRPr="001C6EFB">
            <w:t xml:space="preserve"> </w:t>
          </w:r>
          <w:r>
            <w:fldChar w:fldCharType="begin"/>
          </w:r>
          <w:r>
            <w:instrText xml:space="preserve"> PAGE   \* MERGEFORMAT </w:instrText>
          </w:r>
          <w:r>
            <w:fldChar w:fldCharType="separate"/>
          </w:r>
          <w:r>
            <w:rPr>
              <w:noProof/>
            </w:rPr>
            <w:t>5</w:t>
          </w:r>
          <w:r>
            <w:fldChar w:fldCharType="end"/>
          </w:r>
          <w:r w:rsidRPr="001C6EFB">
            <w:t xml:space="preserve"> of </w:t>
          </w:r>
          <w:fldSimple w:instr=" NUMPAGES   \* MERGEFORMAT ">
            <w:r>
              <w:rPr>
                <w:noProof/>
              </w:rPr>
              <w:t>16</w:t>
            </w:r>
          </w:fldSimple>
        </w:p>
      </w:tc>
    </w:tr>
  </w:tbl>
  <w:p w14:paraId="1BE75B47" w14:textId="77777777" w:rsidR="00067EA8" w:rsidRPr="003A24EB" w:rsidRDefault="00067EA8" w:rsidP="003A24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6283" w14:textId="77777777" w:rsidR="00DD3075" w:rsidRDefault="00DD307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A668FC" w:rsidRPr="002D6577" w14:paraId="78EE1618" w14:textId="77777777" w:rsidTr="003A24EB">
      <w:trPr>
        <w:trHeight w:val="148"/>
      </w:trPr>
      <w:tc>
        <w:tcPr>
          <w:tcW w:w="1441" w:type="dxa"/>
          <w:tcMar>
            <w:top w:w="0" w:type="dxa"/>
            <w:left w:w="57" w:type="dxa"/>
            <w:bottom w:w="0" w:type="dxa"/>
            <w:right w:w="57" w:type="dxa"/>
          </w:tcMar>
          <w:vAlign w:val="center"/>
        </w:tcPr>
        <w:p w14:paraId="24AE2BBC" w14:textId="77777777" w:rsidR="00A668FC" w:rsidRPr="001C6EFB" w:rsidRDefault="00A668FC" w:rsidP="005D02BC">
          <w:pPr>
            <w:pStyle w:val="Footer"/>
          </w:pPr>
          <w:r w:rsidRPr="001C6EFB">
            <w:t>Document code:</w:t>
          </w:r>
        </w:p>
      </w:tc>
      <w:tc>
        <w:tcPr>
          <w:tcW w:w="3073" w:type="dxa"/>
          <w:tcMar>
            <w:top w:w="0" w:type="dxa"/>
            <w:left w:w="57" w:type="dxa"/>
            <w:bottom w:w="0" w:type="dxa"/>
            <w:right w:w="57" w:type="dxa"/>
          </w:tcMar>
          <w:vAlign w:val="center"/>
        </w:tcPr>
        <w:p w14:paraId="48D084EB" w14:textId="5331D468" w:rsidR="00A668FC" w:rsidRPr="001C6EFB" w:rsidRDefault="00A668FC" w:rsidP="0060052C">
          <w:pPr>
            <w:pStyle w:val="Footer"/>
          </w:pPr>
          <w:r>
            <w:t>UoB-</w:t>
          </w:r>
          <w:r w:rsidR="00067EA8">
            <w:t>AES-SOP-001</w:t>
          </w:r>
        </w:p>
      </w:tc>
      <w:tc>
        <w:tcPr>
          <w:tcW w:w="3401" w:type="dxa"/>
          <w:tcMar>
            <w:top w:w="0" w:type="dxa"/>
            <w:left w:w="57" w:type="dxa"/>
            <w:bottom w:w="0" w:type="dxa"/>
            <w:right w:w="57" w:type="dxa"/>
          </w:tcMar>
          <w:vAlign w:val="center"/>
        </w:tcPr>
        <w:p w14:paraId="0287F900" w14:textId="77777777" w:rsidR="00A668FC" w:rsidRPr="001C6EFB" w:rsidRDefault="00A668FC" w:rsidP="00163F57">
          <w:pPr>
            <w:pStyle w:val="Footer"/>
            <w:jc w:val="right"/>
          </w:pPr>
          <w:r w:rsidRPr="001C6EFB">
            <w:t>Print Date:</w:t>
          </w:r>
        </w:p>
      </w:tc>
      <w:tc>
        <w:tcPr>
          <w:tcW w:w="1112" w:type="dxa"/>
          <w:tcMar>
            <w:top w:w="0" w:type="dxa"/>
            <w:left w:w="57" w:type="dxa"/>
            <w:bottom w:w="0" w:type="dxa"/>
            <w:right w:w="57" w:type="dxa"/>
          </w:tcMar>
          <w:vAlign w:val="center"/>
        </w:tcPr>
        <w:p w14:paraId="35682F5F" w14:textId="482E3EC3" w:rsidR="00A668FC" w:rsidRPr="001C6EFB" w:rsidRDefault="00044A64" w:rsidP="00163F57">
          <w:pPr>
            <w:pStyle w:val="Footer"/>
            <w:jc w:val="right"/>
          </w:pPr>
          <w:r>
            <w:fldChar w:fldCharType="begin"/>
          </w:r>
          <w:r>
            <w:instrText xml:space="preserve"> DATE  \@ "dd-MMM-yyyy"  \* MERGEFORMAT </w:instrText>
          </w:r>
          <w:r>
            <w:fldChar w:fldCharType="separate"/>
          </w:r>
          <w:r w:rsidR="001A5849">
            <w:rPr>
              <w:noProof/>
            </w:rPr>
            <w:t>09-Dec-2022</w:t>
          </w:r>
          <w:r>
            <w:fldChar w:fldCharType="end"/>
          </w:r>
        </w:p>
      </w:tc>
    </w:tr>
    <w:tr w:rsidR="00A668FC" w:rsidRPr="002D6577" w14:paraId="719B70B9" w14:textId="77777777" w:rsidTr="003A24EB">
      <w:tc>
        <w:tcPr>
          <w:tcW w:w="1441" w:type="dxa"/>
          <w:tcMar>
            <w:top w:w="0" w:type="dxa"/>
            <w:left w:w="57" w:type="dxa"/>
            <w:bottom w:w="0" w:type="dxa"/>
            <w:right w:w="57" w:type="dxa"/>
          </w:tcMar>
          <w:vAlign w:val="center"/>
        </w:tcPr>
        <w:p w14:paraId="60D28B9B" w14:textId="77777777" w:rsidR="00A668FC" w:rsidRPr="001C6EFB" w:rsidRDefault="00A668FC" w:rsidP="005D02BC">
          <w:pPr>
            <w:pStyle w:val="Footer"/>
          </w:pPr>
          <w:r w:rsidRPr="001C6EFB">
            <w:t>Version no:</w:t>
          </w:r>
        </w:p>
      </w:tc>
      <w:tc>
        <w:tcPr>
          <w:tcW w:w="3073" w:type="dxa"/>
          <w:tcMar>
            <w:top w:w="0" w:type="dxa"/>
            <w:left w:w="57" w:type="dxa"/>
            <w:bottom w:w="0" w:type="dxa"/>
            <w:right w:w="57" w:type="dxa"/>
          </w:tcMar>
          <w:vAlign w:val="center"/>
        </w:tcPr>
        <w:p w14:paraId="0842A0F0" w14:textId="453FDA2E" w:rsidR="00A668FC" w:rsidRPr="001C6EFB" w:rsidRDefault="001A5849" w:rsidP="005D02BC">
          <w:pPr>
            <w:pStyle w:val="Footer"/>
          </w:pPr>
          <w:r>
            <w:t>2.0</w:t>
          </w:r>
        </w:p>
      </w:tc>
      <w:tc>
        <w:tcPr>
          <w:tcW w:w="3401" w:type="dxa"/>
          <w:tcMar>
            <w:top w:w="0" w:type="dxa"/>
            <w:left w:w="57" w:type="dxa"/>
            <w:bottom w:w="0" w:type="dxa"/>
            <w:right w:w="57" w:type="dxa"/>
          </w:tcMar>
          <w:vAlign w:val="center"/>
        </w:tcPr>
        <w:p w14:paraId="7F24D2AD" w14:textId="77777777" w:rsidR="00A668FC" w:rsidRPr="001C6EFB" w:rsidRDefault="00A668FC" w:rsidP="00163F57">
          <w:pPr>
            <w:pStyle w:val="Footer"/>
            <w:jc w:val="right"/>
          </w:pPr>
          <w:r w:rsidRPr="001C6EFB">
            <w:t>Page:</w:t>
          </w:r>
        </w:p>
      </w:tc>
      <w:tc>
        <w:tcPr>
          <w:tcW w:w="1112" w:type="dxa"/>
          <w:tcMar>
            <w:top w:w="0" w:type="dxa"/>
            <w:left w:w="57" w:type="dxa"/>
            <w:bottom w:w="0" w:type="dxa"/>
            <w:right w:w="57" w:type="dxa"/>
          </w:tcMar>
          <w:vAlign w:val="center"/>
        </w:tcPr>
        <w:p w14:paraId="42B33F98" w14:textId="77777777" w:rsidR="00A668FC" w:rsidRPr="001C6EFB" w:rsidRDefault="00A668FC" w:rsidP="0060052C">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7340667C" w14:textId="77777777" w:rsidR="00DD3075" w:rsidRPr="003A24EB" w:rsidRDefault="00DD3075" w:rsidP="003A24E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36EC" w14:textId="77777777" w:rsidR="00DD3075" w:rsidRDefault="00DD3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CF59" w14:textId="77777777" w:rsidR="00067EA8" w:rsidRDefault="00067EA8" w:rsidP="00F46DE6">
      <w:r>
        <w:separator/>
      </w:r>
    </w:p>
    <w:p w14:paraId="744A78AC" w14:textId="77777777" w:rsidR="00067EA8" w:rsidRDefault="00067EA8" w:rsidP="00F46DE6"/>
  </w:footnote>
  <w:footnote w:type="continuationSeparator" w:id="0">
    <w:p w14:paraId="0A389D1F" w14:textId="77777777" w:rsidR="00067EA8" w:rsidRDefault="00067EA8" w:rsidP="00F46DE6">
      <w:r>
        <w:continuationSeparator/>
      </w:r>
    </w:p>
    <w:p w14:paraId="38F05586" w14:textId="77777777" w:rsidR="00067EA8" w:rsidRDefault="00067EA8"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16C8" w14:textId="77777777" w:rsidR="00A91AC7" w:rsidRDefault="00FF0711" w:rsidP="00A91AC7">
    <w:pPr>
      <w:pStyle w:val="propertystatement"/>
      <w:jc w:val="left"/>
    </w:pPr>
    <w:r w:rsidRPr="00F16569">
      <w:rPr>
        <w:noProof/>
        <w:lang w:eastAsia="en-GB"/>
      </w:rPr>
      <w:drawing>
        <wp:anchor distT="0" distB="0" distL="114300" distR="114300" simplePos="0" relativeHeight="251658240" behindDoc="0" locked="0" layoutInCell="1" allowOverlap="1" wp14:anchorId="0D4324EE" wp14:editId="63EC65A6">
          <wp:simplePos x="0" y="0"/>
          <wp:positionH relativeFrom="column">
            <wp:posOffset>-301625</wp:posOffset>
          </wp:positionH>
          <wp:positionV relativeFrom="page">
            <wp:posOffset>1050925</wp:posOffset>
          </wp:positionV>
          <wp:extent cx="2705100" cy="10629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A91AC7" w14:paraId="25042AE2" w14:textId="77777777" w:rsidTr="005F734C">
      <w:trPr>
        <w:trHeight w:val="278"/>
        <w:tblHeader/>
      </w:trPr>
      <w:tc>
        <w:tcPr>
          <w:tcW w:w="1668" w:type="dxa"/>
          <w:vAlign w:val="center"/>
        </w:tcPr>
        <w:p w14:paraId="4635D4EA" w14:textId="77777777" w:rsidR="00A91AC7" w:rsidRDefault="00A91AC7" w:rsidP="00A91AC7">
          <w:pPr>
            <w:pStyle w:val="Footer"/>
          </w:pPr>
          <w:r w:rsidRPr="001C6EFB">
            <w:t>Document code:</w:t>
          </w:r>
        </w:p>
      </w:tc>
      <w:tc>
        <w:tcPr>
          <w:tcW w:w="2310" w:type="dxa"/>
          <w:vAlign w:val="center"/>
        </w:tcPr>
        <w:p w14:paraId="1A360255" w14:textId="3804C692" w:rsidR="00A91AC7" w:rsidRDefault="00A91AC7" w:rsidP="00A91AC7">
          <w:pPr>
            <w:pStyle w:val="Footer"/>
            <w:jc w:val="right"/>
          </w:pPr>
          <w:r>
            <w:t>UoB-</w:t>
          </w:r>
          <w:r w:rsidR="00067EA8">
            <w:t>AES-SOP-001</w:t>
          </w:r>
        </w:p>
      </w:tc>
    </w:tr>
    <w:tr w:rsidR="00A91AC7" w14:paraId="147058CD" w14:textId="77777777" w:rsidTr="005F734C">
      <w:trPr>
        <w:trHeight w:val="278"/>
      </w:trPr>
      <w:tc>
        <w:tcPr>
          <w:tcW w:w="1668" w:type="dxa"/>
          <w:vAlign w:val="center"/>
        </w:tcPr>
        <w:p w14:paraId="2BEDD5D4" w14:textId="77777777" w:rsidR="00A91AC7" w:rsidRDefault="00A91AC7" w:rsidP="00A91AC7">
          <w:pPr>
            <w:pStyle w:val="Footer"/>
          </w:pPr>
          <w:r w:rsidRPr="001C6EFB">
            <w:t>Version no:</w:t>
          </w:r>
        </w:p>
      </w:tc>
      <w:tc>
        <w:tcPr>
          <w:tcW w:w="2310" w:type="dxa"/>
          <w:vAlign w:val="center"/>
        </w:tcPr>
        <w:p w14:paraId="5E30E28E" w14:textId="46DA6086" w:rsidR="00A91AC7" w:rsidRDefault="001A5849" w:rsidP="00A91AC7">
          <w:pPr>
            <w:pStyle w:val="Footer"/>
            <w:jc w:val="right"/>
          </w:pPr>
          <w:r>
            <w:t>2.0</w:t>
          </w:r>
        </w:p>
      </w:tc>
    </w:tr>
    <w:tr w:rsidR="00A91AC7" w14:paraId="0E7D5C38" w14:textId="77777777" w:rsidTr="005F734C">
      <w:trPr>
        <w:trHeight w:val="278"/>
      </w:trPr>
      <w:tc>
        <w:tcPr>
          <w:tcW w:w="1668" w:type="dxa"/>
          <w:vAlign w:val="center"/>
        </w:tcPr>
        <w:p w14:paraId="350B6393" w14:textId="77777777" w:rsidR="00A91AC7" w:rsidRDefault="00A91AC7" w:rsidP="00A91AC7">
          <w:pPr>
            <w:pStyle w:val="Footer"/>
          </w:pPr>
          <w:r>
            <w:t>Effective date:</w:t>
          </w:r>
        </w:p>
      </w:tc>
      <w:tc>
        <w:tcPr>
          <w:tcW w:w="2310" w:type="dxa"/>
          <w:vAlign w:val="center"/>
        </w:tcPr>
        <w:p w14:paraId="10F7D399" w14:textId="3F9D3371" w:rsidR="00A91AC7" w:rsidRDefault="001A5849" w:rsidP="00A91AC7">
          <w:pPr>
            <w:pStyle w:val="Footer"/>
            <w:jc w:val="right"/>
          </w:pPr>
          <w:r>
            <w:t>20-Jan-2023</w:t>
          </w:r>
        </w:p>
      </w:tc>
    </w:tr>
    <w:tr w:rsidR="00A91AC7" w14:paraId="0E78A297" w14:textId="77777777" w:rsidTr="005F734C">
      <w:trPr>
        <w:trHeight w:val="278"/>
      </w:trPr>
      <w:tc>
        <w:tcPr>
          <w:tcW w:w="1668" w:type="dxa"/>
          <w:vAlign w:val="center"/>
        </w:tcPr>
        <w:p w14:paraId="7A477654" w14:textId="77777777" w:rsidR="00A91AC7" w:rsidRPr="001C6EFB" w:rsidRDefault="00A91AC7" w:rsidP="00A91AC7">
          <w:pPr>
            <w:pStyle w:val="Footer"/>
          </w:pPr>
          <w:r>
            <w:t>Print d</w:t>
          </w:r>
          <w:r w:rsidRPr="001C6EFB">
            <w:t>ate:</w:t>
          </w:r>
        </w:p>
      </w:tc>
      <w:tc>
        <w:tcPr>
          <w:tcW w:w="2310" w:type="dxa"/>
          <w:vAlign w:val="center"/>
        </w:tcPr>
        <w:p w14:paraId="2293783E" w14:textId="27C2CC79" w:rsidR="00A91AC7" w:rsidRDefault="00A91AC7" w:rsidP="00A91AC7">
          <w:pPr>
            <w:pStyle w:val="Footer"/>
            <w:jc w:val="right"/>
          </w:pPr>
          <w:r>
            <w:fldChar w:fldCharType="begin"/>
          </w:r>
          <w:r>
            <w:instrText xml:space="preserve"> DATE  \@ "dd-MMM-yyyy"  \* MERGEFORMAT </w:instrText>
          </w:r>
          <w:r>
            <w:fldChar w:fldCharType="separate"/>
          </w:r>
          <w:r w:rsidR="001A5849">
            <w:rPr>
              <w:noProof/>
            </w:rPr>
            <w:t>09-Dec-2022</w:t>
          </w:r>
          <w:r>
            <w:fldChar w:fldCharType="end"/>
          </w:r>
        </w:p>
      </w:tc>
    </w:tr>
    <w:tr w:rsidR="00A91AC7" w14:paraId="1FCCCBAB" w14:textId="77777777" w:rsidTr="005F734C">
      <w:trPr>
        <w:trHeight w:val="278"/>
      </w:trPr>
      <w:tc>
        <w:tcPr>
          <w:tcW w:w="1668" w:type="dxa"/>
          <w:vAlign w:val="center"/>
        </w:tcPr>
        <w:p w14:paraId="450239F2" w14:textId="77777777" w:rsidR="00A91AC7" w:rsidRPr="001C6EFB" w:rsidRDefault="00A91AC7" w:rsidP="00A91AC7">
          <w:pPr>
            <w:pStyle w:val="Footer"/>
          </w:pPr>
          <w:r w:rsidRPr="001C6EFB">
            <w:t>Page:</w:t>
          </w:r>
        </w:p>
      </w:tc>
      <w:tc>
        <w:tcPr>
          <w:tcW w:w="2310" w:type="dxa"/>
          <w:vAlign w:val="center"/>
        </w:tcPr>
        <w:p w14:paraId="0175D082" w14:textId="77777777" w:rsidR="00A91AC7" w:rsidRDefault="00A91AC7" w:rsidP="00A91AC7">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0EAE1AB2" w14:textId="77777777" w:rsidR="00A91AC7" w:rsidRDefault="00A91AC7" w:rsidP="00EF729E">
    <w:pPr>
      <w:pStyle w:val="Header"/>
      <w:ind w:left="-42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0A08" w14:textId="77777777" w:rsidR="00067EA8" w:rsidRDefault="00067EA8" w:rsidP="00163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9680" w14:textId="77777777" w:rsidR="00067EA8" w:rsidRPr="002135BA" w:rsidRDefault="00067EA8">
    <w:pPr>
      <w:pStyle w:val="Header"/>
    </w:pPr>
    <w:r w:rsidRPr="002135BA">
      <w:t>SOP</w:t>
    </w:r>
    <w:r>
      <w:t>: Adverse Event Reporting</w:t>
    </w:r>
  </w:p>
  <w:p w14:paraId="3FCEB5D8" w14:textId="77777777" w:rsidR="00067EA8" w:rsidRPr="001C75D5" w:rsidRDefault="00067EA8">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DDEE" w14:textId="77777777" w:rsidR="00067EA8" w:rsidRDefault="00067EA8" w:rsidP="00163F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820D" w14:textId="77777777" w:rsidR="00DD3075" w:rsidRDefault="00DD3075" w:rsidP="00163F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2712" w14:textId="24A2E0B2" w:rsidR="00DD3075" w:rsidRPr="002135BA" w:rsidRDefault="00860FC2">
    <w:pPr>
      <w:pStyle w:val="Header"/>
    </w:pPr>
    <w:r w:rsidRPr="002135BA">
      <w:t>SOP</w:t>
    </w:r>
    <w:r w:rsidR="0060052C">
      <w:t xml:space="preserve">: </w:t>
    </w:r>
    <w:r w:rsidR="00067EA8">
      <w:t>Adverse Event Reporting</w:t>
    </w:r>
  </w:p>
  <w:p w14:paraId="7575A11F" w14:textId="77777777" w:rsidR="007D79E6" w:rsidRPr="001C75D5" w:rsidRDefault="007D79E6">
    <w:pPr>
      <w:rPr>
        <w:noProof/>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B3A7" w14:textId="77777777" w:rsidR="00DD3075" w:rsidRDefault="00DD3075"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3BE"/>
    <w:multiLevelType w:val="hybridMultilevel"/>
    <w:tmpl w:val="52C81F4A"/>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0"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5"/>
  </w:num>
  <w:num w:numId="2">
    <w:abstractNumId w:val="7"/>
  </w:num>
  <w:num w:numId="3">
    <w:abstractNumId w:val="0"/>
  </w:num>
  <w:num w:numId="4">
    <w:abstractNumId w:val="11"/>
  </w:num>
  <w:num w:numId="5">
    <w:abstractNumId w:val="9"/>
  </w:num>
  <w:num w:numId="6">
    <w:abstractNumId w:val="12"/>
  </w:num>
  <w:num w:numId="7">
    <w:abstractNumId w:val="1"/>
  </w:num>
  <w:num w:numId="8">
    <w:abstractNumId w:val="8"/>
  </w:num>
  <w:num w:numId="9">
    <w:abstractNumId w:val="10"/>
  </w:num>
  <w:num w:numId="10">
    <w:abstractNumId w:val="13"/>
  </w:num>
  <w:num w:numId="11">
    <w:abstractNumId w:val="3"/>
  </w:num>
  <w:num w:numId="12">
    <w:abstractNumId w:val="4"/>
  </w:num>
  <w:num w:numId="13">
    <w:abstractNumId w:val="2"/>
  </w:num>
  <w:num w:numId="14">
    <w:abstractNumId w:val="6"/>
  </w:num>
  <w:num w:numId="15">
    <w:abstractNumId w:val="4"/>
  </w:num>
  <w:num w:numId="16">
    <w:abstractNumId w:val="4"/>
  </w:num>
  <w:num w:numId="1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A8"/>
    <w:rsid w:val="00001923"/>
    <w:rsid w:val="00001A7E"/>
    <w:rsid w:val="000060AE"/>
    <w:rsid w:val="0001086D"/>
    <w:rsid w:val="00012800"/>
    <w:rsid w:val="00013B08"/>
    <w:rsid w:val="000146F1"/>
    <w:rsid w:val="000229C5"/>
    <w:rsid w:val="00023BC0"/>
    <w:rsid w:val="000374CB"/>
    <w:rsid w:val="000379D7"/>
    <w:rsid w:val="000421FD"/>
    <w:rsid w:val="00043513"/>
    <w:rsid w:val="00044A64"/>
    <w:rsid w:val="00053A54"/>
    <w:rsid w:val="0005610D"/>
    <w:rsid w:val="00056940"/>
    <w:rsid w:val="000639EF"/>
    <w:rsid w:val="00064262"/>
    <w:rsid w:val="00064F56"/>
    <w:rsid w:val="00067EA8"/>
    <w:rsid w:val="00072AD5"/>
    <w:rsid w:val="00072F51"/>
    <w:rsid w:val="0007480B"/>
    <w:rsid w:val="00075A9D"/>
    <w:rsid w:val="00077D41"/>
    <w:rsid w:val="00083C9D"/>
    <w:rsid w:val="0009369B"/>
    <w:rsid w:val="00095EFA"/>
    <w:rsid w:val="00097B78"/>
    <w:rsid w:val="000A0DFF"/>
    <w:rsid w:val="000A1324"/>
    <w:rsid w:val="000A1B0F"/>
    <w:rsid w:val="000A7BE6"/>
    <w:rsid w:val="000B1E3E"/>
    <w:rsid w:val="000B442E"/>
    <w:rsid w:val="000C3681"/>
    <w:rsid w:val="000C45B6"/>
    <w:rsid w:val="000C5087"/>
    <w:rsid w:val="000C54A1"/>
    <w:rsid w:val="000D34E7"/>
    <w:rsid w:val="000D3D68"/>
    <w:rsid w:val="000D3E8C"/>
    <w:rsid w:val="000D4912"/>
    <w:rsid w:val="000D677A"/>
    <w:rsid w:val="000D70AA"/>
    <w:rsid w:val="000D7D37"/>
    <w:rsid w:val="000F2380"/>
    <w:rsid w:val="000F391A"/>
    <w:rsid w:val="00100541"/>
    <w:rsid w:val="00100D71"/>
    <w:rsid w:val="00101773"/>
    <w:rsid w:val="00101B2B"/>
    <w:rsid w:val="00103FD0"/>
    <w:rsid w:val="00104D42"/>
    <w:rsid w:val="00105091"/>
    <w:rsid w:val="001057FB"/>
    <w:rsid w:val="001064D3"/>
    <w:rsid w:val="00110971"/>
    <w:rsid w:val="00113E78"/>
    <w:rsid w:val="001206F6"/>
    <w:rsid w:val="00121F28"/>
    <w:rsid w:val="00122579"/>
    <w:rsid w:val="00124792"/>
    <w:rsid w:val="00125667"/>
    <w:rsid w:val="00127D56"/>
    <w:rsid w:val="001300C8"/>
    <w:rsid w:val="0013051D"/>
    <w:rsid w:val="0013059D"/>
    <w:rsid w:val="00130E43"/>
    <w:rsid w:val="00134690"/>
    <w:rsid w:val="00134766"/>
    <w:rsid w:val="00135E89"/>
    <w:rsid w:val="001445C0"/>
    <w:rsid w:val="00163B7C"/>
    <w:rsid w:val="00163F57"/>
    <w:rsid w:val="001653F1"/>
    <w:rsid w:val="00165F48"/>
    <w:rsid w:val="00174B60"/>
    <w:rsid w:val="00174E0E"/>
    <w:rsid w:val="001775A9"/>
    <w:rsid w:val="00182896"/>
    <w:rsid w:val="0018309A"/>
    <w:rsid w:val="001841A1"/>
    <w:rsid w:val="00184BB7"/>
    <w:rsid w:val="00190C93"/>
    <w:rsid w:val="00194EE8"/>
    <w:rsid w:val="00195717"/>
    <w:rsid w:val="00196565"/>
    <w:rsid w:val="001A024E"/>
    <w:rsid w:val="001A142E"/>
    <w:rsid w:val="001A26D3"/>
    <w:rsid w:val="001A4718"/>
    <w:rsid w:val="001A544B"/>
    <w:rsid w:val="001A561F"/>
    <w:rsid w:val="001A5849"/>
    <w:rsid w:val="001A723A"/>
    <w:rsid w:val="001B1E29"/>
    <w:rsid w:val="001B2717"/>
    <w:rsid w:val="001B30AD"/>
    <w:rsid w:val="001B3B91"/>
    <w:rsid w:val="001B412F"/>
    <w:rsid w:val="001B5617"/>
    <w:rsid w:val="001C314A"/>
    <w:rsid w:val="001C6EFB"/>
    <w:rsid w:val="001C75D5"/>
    <w:rsid w:val="001D0B50"/>
    <w:rsid w:val="001D1245"/>
    <w:rsid w:val="001D17A5"/>
    <w:rsid w:val="001D1986"/>
    <w:rsid w:val="001D28AC"/>
    <w:rsid w:val="001D3B22"/>
    <w:rsid w:val="001D7813"/>
    <w:rsid w:val="001E41A3"/>
    <w:rsid w:val="001F4FC3"/>
    <w:rsid w:val="001F7B4E"/>
    <w:rsid w:val="00202189"/>
    <w:rsid w:val="00202B8D"/>
    <w:rsid w:val="0020434B"/>
    <w:rsid w:val="00206578"/>
    <w:rsid w:val="002106E5"/>
    <w:rsid w:val="00210C1A"/>
    <w:rsid w:val="0021165B"/>
    <w:rsid w:val="00211B96"/>
    <w:rsid w:val="002135BA"/>
    <w:rsid w:val="00214550"/>
    <w:rsid w:val="0022018B"/>
    <w:rsid w:val="00220406"/>
    <w:rsid w:val="002227A2"/>
    <w:rsid w:val="0022356E"/>
    <w:rsid w:val="00231612"/>
    <w:rsid w:val="0023483C"/>
    <w:rsid w:val="002365F5"/>
    <w:rsid w:val="002444DB"/>
    <w:rsid w:val="0024558E"/>
    <w:rsid w:val="0024670C"/>
    <w:rsid w:val="00247F23"/>
    <w:rsid w:val="00250233"/>
    <w:rsid w:val="002518EA"/>
    <w:rsid w:val="002549E9"/>
    <w:rsid w:val="00254B93"/>
    <w:rsid w:val="0025522A"/>
    <w:rsid w:val="00264399"/>
    <w:rsid w:val="00266CBF"/>
    <w:rsid w:val="00270EA8"/>
    <w:rsid w:val="00275BAE"/>
    <w:rsid w:val="00276048"/>
    <w:rsid w:val="00276842"/>
    <w:rsid w:val="00281585"/>
    <w:rsid w:val="00290F8C"/>
    <w:rsid w:val="002937FE"/>
    <w:rsid w:val="002952B5"/>
    <w:rsid w:val="0029582C"/>
    <w:rsid w:val="002A068A"/>
    <w:rsid w:val="002A27DC"/>
    <w:rsid w:val="002A330A"/>
    <w:rsid w:val="002A38A5"/>
    <w:rsid w:val="002A57C2"/>
    <w:rsid w:val="002A5FA6"/>
    <w:rsid w:val="002A6563"/>
    <w:rsid w:val="002A68D6"/>
    <w:rsid w:val="002B016B"/>
    <w:rsid w:val="002B10B6"/>
    <w:rsid w:val="002C0E28"/>
    <w:rsid w:val="002C67A4"/>
    <w:rsid w:val="002D49D7"/>
    <w:rsid w:val="002D6577"/>
    <w:rsid w:val="002E3060"/>
    <w:rsid w:val="002E3BB0"/>
    <w:rsid w:val="002E6AE2"/>
    <w:rsid w:val="002E721B"/>
    <w:rsid w:val="002F0ACA"/>
    <w:rsid w:val="002F281C"/>
    <w:rsid w:val="002F490C"/>
    <w:rsid w:val="002F787E"/>
    <w:rsid w:val="00301050"/>
    <w:rsid w:val="003016D5"/>
    <w:rsid w:val="00304754"/>
    <w:rsid w:val="00310F22"/>
    <w:rsid w:val="00314B72"/>
    <w:rsid w:val="0031673C"/>
    <w:rsid w:val="0032079B"/>
    <w:rsid w:val="0032408C"/>
    <w:rsid w:val="00324A19"/>
    <w:rsid w:val="003313C3"/>
    <w:rsid w:val="00333888"/>
    <w:rsid w:val="00335D05"/>
    <w:rsid w:val="00337B7A"/>
    <w:rsid w:val="00342788"/>
    <w:rsid w:val="00342C1E"/>
    <w:rsid w:val="00342CC7"/>
    <w:rsid w:val="00343541"/>
    <w:rsid w:val="00345620"/>
    <w:rsid w:val="00350A42"/>
    <w:rsid w:val="00352FD6"/>
    <w:rsid w:val="003607CB"/>
    <w:rsid w:val="0036201D"/>
    <w:rsid w:val="00365D77"/>
    <w:rsid w:val="00372E92"/>
    <w:rsid w:val="0037641D"/>
    <w:rsid w:val="00380579"/>
    <w:rsid w:val="00381B35"/>
    <w:rsid w:val="003854BD"/>
    <w:rsid w:val="003876D0"/>
    <w:rsid w:val="00387EFA"/>
    <w:rsid w:val="00391A7C"/>
    <w:rsid w:val="00393C4E"/>
    <w:rsid w:val="00395F1E"/>
    <w:rsid w:val="00396CD2"/>
    <w:rsid w:val="003A1879"/>
    <w:rsid w:val="003A2150"/>
    <w:rsid w:val="003A24EB"/>
    <w:rsid w:val="003A2A2C"/>
    <w:rsid w:val="003A4D84"/>
    <w:rsid w:val="003A5879"/>
    <w:rsid w:val="003A70FF"/>
    <w:rsid w:val="003B0005"/>
    <w:rsid w:val="003B15C9"/>
    <w:rsid w:val="003B1F55"/>
    <w:rsid w:val="003B2DA7"/>
    <w:rsid w:val="003B34FB"/>
    <w:rsid w:val="003B56C0"/>
    <w:rsid w:val="003C04AD"/>
    <w:rsid w:val="003C35EE"/>
    <w:rsid w:val="003C720C"/>
    <w:rsid w:val="003D25C9"/>
    <w:rsid w:val="003D42E3"/>
    <w:rsid w:val="003D4BD6"/>
    <w:rsid w:val="003D51DC"/>
    <w:rsid w:val="003D7997"/>
    <w:rsid w:val="003E073D"/>
    <w:rsid w:val="003F0145"/>
    <w:rsid w:val="003F2345"/>
    <w:rsid w:val="003F4E5F"/>
    <w:rsid w:val="003F608D"/>
    <w:rsid w:val="003F64A9"/>
    <w:rsid w:val="003F7147"/>
    <w:rsid w:val="003F7AD7"/>
    <w:rsid w:val="00401840"/>
    <w:rsid w:val="00403449"/>
    <w:rsid w:val="00404742"/>
    <w:rsid w:val="0040651B"/>
    <w:rsid w:val="0041265B"/>
    <w:rsid w:val="00414858"/>
    <w:rsid w:val="00417854"/>
    <w:rsid w:val="00420EB6"/>
    <w:rsid w:val="00422A7E"/>
    <w:rsid w:val="004233AD"/>
    <w:rsid w:val="0042380D"/>
    <w:rsid w:val="00423E00"/>
    <w:rsid w:val="004243C4"/>
    <w:rsid w:val="00424C48"/>
    <w:rsid w:val="00424D85"/>
    <w:rsid w:val="00431633"/>
    <w:rsid w:val="00432B85"/>
    <w:rsid w:val="00433584"/>
    <w:rsid w:val="004342B5"/>
    <w:rsid w:val="00435EAE"/>
    <w:rsid w:val="00441DE6"/>
    <w:rsid w:val="00445DD9"/>
    <w:rsid w:val="00454205"/>
    <w:rsid w:val="00462B5B"/>
    <w:rsid w:val="00467F74"/>
    <w:rsid w:val="00474B7F"/>
    <w:rsid w:val="00475745"/>
    <w:rsid w:val="00476DB0"/>
    <w:rsid w:val="004773E0"/>
    <w:rsid w:val="004810D9"/>
    <w:rsid w:val="0048194C"/>
    <w:rsid w:val="00485E6A"/>
    <w:rsid w:val="0048641A"/>
    <w:rsid w:val="00497A4C"/>
    <w:rsid w:val="00497E87"/>
    <w:rsid w:val="004A364B"/>
    <w:rsid w:val="004A4882"/>
    <w:rsid w:val="004A75B7"/>
    <w:rsid w:val="004B03A3"/>
    <w:rsid w:val="004B0C68"/>
    <w:rsid w:val="004B0C77"/>
    <w:rsid w:val="004B3DB9"/>
    <w:rsid w:val="004B7034"/>
    <w:rsid w:val="004C2253"/>
    <w:rsid w:val="004C366B"/>
    <w:rsid w:val="004C46FF"/>
    <w:rsid w:val="004C526D"/>
    <w:rsid w:val="004C560A"/>
    <w:rsid w:val="004C5E89"/>
    <w:rsid w:val="004C6631"/>
    <w:rsid w:val="004D05BE"/>
    <w:rsid w:val="004D1948"/>
    <w:rsid w:val="004E21EE"/>
    <w:rsid w:val="004E4D87"/>
    <w:rsid w:val="004E5613"/>
    <w:rsid w:val="004E5F84"/>
    <w:rsid w:val="004E7EB2"/>
    <w:rsid w:val="004F28BC"/>
    <w:rsid w:val="00500409"/>
    <w:rsid w:val="005024F4"/>
    <w:rsid w:val="00502A82"/>
    <w:rsid w:val="005030FC"/>
    <w:rsid w:val="00512BE1"/>
    <w:rsid w:val="00512C56"/>
    <w:rsid w:val="00513DB5"/>
    <w:rsid w:val="005142C2"/>
    <w:rsid w:val="00515F0F"/>
    <w:rsid w:val="00516200"/>
    <w:rsid w:val="005223BE"/>
    <w:rsid w:val="00522ABB"/>
    <w:rsid w:val="00525CA4"/>
    <w:rsid w:val="00527E78"/>
    <w:rsid w:val="005343E6"/>
    <w:rsid w:val="005354C1"/>
    <w:rsid w:val="0053623B"/>
    <w:rsid w:val="00543C1B"/>
    <w:rsid w:val="0055153E"/>
    <w:rsid w:val="00556B76"/>
    <w:rsid w:val="005636D5"/>
    <w:rsid w:val="005663EA"/>
    <w:rsid w:val="005708FE"/>
    <w:rsid w:val="00571788"/>
    <w:rsid w:val="00571A9B"/>
    <w:rsid w:val="0058476F"/>
    <w:rsid w:val="00584775"/>
    <w:rsid w:val="00586C5E"/>
    <w:rsid w:val="00587557"/>
    <w:rsid w:val="00592FFB"/>
    <w:rsid w:val="005948ED"/>
    <w:rsid w:val="005951E3"/>
    <w:rsid w:val="0059568E"/>
    <w:rsid w:val="005A1486"/>
    <w:rsid w:val="005A1CF3"/>
    <w:rsid w:val="005A6461"/>
    <w:rsid w:val="005B1D01"/>
    <w:rsid w:val="005B2B90"/>
    <w:rsid w:val="005B5AA9"/>
    <w:rsid w:val="005C38BD"/>
    <w:rsid w:val="005C7A45"/>
    <w:rsid w:val="005D085D"/>
    <w:rsid w:val="005D17F6"/>
    <w:rsid w:val="005D321A"/>
    <w:rsid w:val="005D40D9"/>
    <w:rsid w:val="005E1F7C"/>
    <w:rsid w:val="005F0420"/>
    <w:rsid w:val="005F175F"/>
    <w:rsid w:val="005F1AD8"/>
    <w:rsid w:val="00600106"/>
    <w:rsid w:val="0060052C"/>
    <w:rsid w:val="006031E9"/>
    <w:rsid w:val="0060493A"/>
    <w:rsid w:val="00605E24"/>
    <w:rsid w:val="006119AC"/>
    <w:rsid w:val="00613A01"/>
    <w:rsid w:val="006147A9"/>
    <w:rsid w:val="006176B2"/>
    <w:rsid w:val="00624B79"/>
    <w:rsid w:val="00630316"/>
    <w:rsid w:val="0063129B"/>
    <w:rsid w:val="00636907"/>
    <w:rsid w:val="00636BD2"/>
    <w:rsid w:val="006372C5"/>
    <w:rsid w:val="00640296"/>
    <w:rsid w:val="0064360D"/>
    <w:rsid w:val="006452BA"/>
    <w:rsid w:val="00653B3D"/>
    <w:rsid w:val="00654502"/>
    <w:rsid w:val="006561C0"/>
    <w:rsid w:val="00657D72"/>
    <w:rsid w:val="00660DC2"/>
    <w:rsid w:val="00664185"/>
    <w:rsid w:val="0066505A"/>
    <w:rsid w:val="00670599"/>
    <w:rsid w:val="0067375A"/>
    <w:rsid w:val="00684803"/>
    <w:rsid w:val="00684DA0"/>
    <w:rsid w:val="00690BFE"/>
    <w:rsid w:val="00692ACD"/>
    <w:rsid w:val="00692DFA"/>
    <w:rsid w:val="006941D1"/>
    <w:rsid w:val="00696301"/>
    <w:rsid w:val="00696B18"/>
    <w:rsid w:val="006A057F"/>
    <w:rsid w:val="006A52C2"/>
    <w:rsid w:val="006A5B18"/>
    <w:rsid w:val="006B0E53"/>
    <w:rsid w:val="006B270C"/>
    <w:rsid w:val="006B351B"/>
    <w:rsid w:val="006B66EE"/>
    <w:rsid w:val="006C0879"/>
    <w:rsid w:val="006D0180"/>
    <w:rsid w:val="006E32A4"/>
    <w:rsid w:val="006E39DA"/>
    <w:rsid w:val="006E57D8"/>
    <w:rsid w:val="006F30B1"/>
    <w:rsid w:val="006F6EFF"/>
    <w:rsid w:val="007029A2"/>
    <w:rsid w:val="00704E9B"/>
    <w:rsid w:val="00705FD1"/>
    <w:rsid w:val="007064B3"/>
    <w:rsid w:val="00712A28"/>
    <w:rsid w:val="00714ABF"/>
    <w:rsid w:val="00715858"/>
    <w:rsid w:val="0072425C"/>
    <w:rsid w:val="007265FC"/>
    <w:rsid w:val="00726D2D"/>
    <w:rsid w:val="00727E41"/>
    <w:rsid w:val="00731E89"/>
    <w:rsid w:val="007327DD"/>
    <w:rsid w:val="00734CF6"/>
    <w:rsid w:val="007363E6"/>
    <w:rsid w:val="0074146D"/>
    <w:rsid w:val="007427DD"/>
    <w:rsid w:val="00743FCE"/>
    <w:rsid w:val="00745292"/>
    <w:rsid w:val="00745CB4"/>
    <w:rsid w:val="00746BB7"/>
    <w:rsid w:val="00752E2A"/>
    <w:rsid w:val="00754D1F"/>
    <w:rsid w:val="00757628"/>
    <w:rsid w:val="007602C8"/>
    <w:rsid w:val="00760E2A"/>
    <w:rsid w:val="00761F87"/>
    <w:rsid w:val="007642D1"/>
    <w:rsid w:val="007655EC"/>
    <w:rsid w:val="00765A24"/>
    <w:rsid w:val="007668D7"/>
    <w:rsid w:val="00766C73"/>
    <w:rsid w:val="007764EB"/>
    <w:rsid w:val="00780DA8"/>
    <w:rsid w:val="00790CBC"/>
    <w:rsid w:val="00791AC8"/>
    <w:rsid w:val="0079417E"/>
    <w:rsid w:val="00794AB7"/>
    <w:rsid w:val="007A44B0"/>
    <w:rsid w:val="007A6E56"/>
    <w:rsid w:val="007B2EC7"/>
    <w:rsid w:val="007B2EFE"/>
    <w:rsid w:val="007B4836"/>
    <w:rsid w:val="007B53E5"/>
    <w:rsid w:val="007B5831"/>
    <w:rsid w:val="007B58A5"/>
    <w:rsid w:val="007B6DB7"/>
    <w:rsid w:val="007B72E2"/>
    <w:rsid w:val="007C10CF"/>
    <w:rsid w:val="007C2BD5"/>
    <w:rsid w:val="007C5977"/>
    <w:rsid w:val="007C5C93"/>
    <w:rsid w:val="007D3863"/>
    <w:rsid w:val="007D68C1"/>
    <w:rsid w:val="007D79E6"/>
    <w:rsid w:val="007F62D4"/>
    <w:rsid w:val="007F73CA"/>
    <w:rsid w:val="008016C1"/>
    <w:rsid w:val="008024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7FDE"/>
    <w:rsid w:val="008235B1"/>
    <w:rsid w:val="0082795A"/>
    <w:rsid w:val="0083169E"/>
    <w:rsid w:val="00832412"/>
    <w:rsid w:val="00834888"/>
    <w:rsid w:val="00840893"/>
    <w:rsid w:val="008424AF"/>
    <w:rsid w:val="008435F5"/>
    <w:rsid w:val="00851971"/>
    <w:rsid w:val="00852323"/>
    <w:rsid w:val="00860FC1"/>
    <w:rsid w:val="00860FC2"/>
    <w:rsid w:val="00862C8C"/>
    <w:rsid w:val="00864335"/>
    <w:rsid w:val="008647F2"/>
    <w:rsid w:val="00870BB2"/>
    <w:rsid w:val="008715F3"/>
    <w:rsid w:val="00875EAE"/>
    <w:rsid w:val="008766D7"/>
    <w:rsid w:val="008823B6"/>
    <w:rsid w:val="00886A0B"/>
    <w:rsid w:val="00893B82"/>
    <w:rsid w:val="00893CC2"/>
    <w:rsid w:val="008A0005"/>
    <w:rsid w:val="008A053A"/>
    <w:rsid w:val="008A41DE"/>
    <w:rsid w:val="008A5826"/>
    <w:rsid w:val="008A682E"/>
    <w:rsid w:val="008A7373"/>
    <w:rsid w:val="008B1C2E"/>
    <w:rsid w:val="008B4B57"/>
    <w:rsid w:val="008B5A32"/>
    <w:rsid w:val="008B6B2A"/>
    <w:rsid w:val="008C0049"/>
    <w:rsid w:val="008C2F7E"/>
    <w:rsid w:val="008C75C7"/>
    <w:rsid w:val="008C7BEB"/>
    <w:rsid w:val="008D31AF"/>
    <w:rsid w:val="008D54DF"/>
    <w:rsid w:val="008D6C84"/>
    <w:rsid w:val="008E2669"/>
    <w:rsid w:val="008E30FD"/>
    <w:rsid w:val="008E4568"/>
    <w:rsid w:val="008E466A"/>
    <w:rsid w:val="008E601E"/>
    <w:rsid w:val="008E79D2"/>
    <w:rsid w:val="008F0D57"/>
    <w:rsid w:val="008F3DCA"/>
    <w:rsid w:val="008F40D0"/>
    <w:rsid w:val="008F5FE0"/>
    <w:rsid w:val="008F795D"/>
    <w:rsid w:val="00902F90"/>
    <w:rsid w:val="00907B94"/>
    <w:rsid w:val="00913142"/>
    <w:rsid w:val="0091437E"/>
    <w:rsid w:val="00914FF9"/>
    <w:rsid w:val="009161CB"/>
    <w:rsid w:val="0091627A"/>
    <w:rsid w:val="009212E1"/>
    <w:rsid w:val="009218BC"/>
    <w:rsid w:val="00924799"/>
    <w:rsid w:val="00935ADD"/>
    <w:rsid w:val="00937647"/>
    <w:rsid w:val="00937A31"/>
    <w:rsid w:val="0094272E"/>
    <w:rsid w:val="0094547A"/>
    <w:rsid w:val="0094639E"/>
    <w:rsid w:val="00946465"/>
    <w:rsid w:val="00955EE1"/>
    <w:rsid w:val="009576BD"/>
    <w:rsid w:val="00961343"/>
    <w:rsid w:val="00962995"/>
    <w:rsid w:val="009665CF"/>
    <w:rsid w:val="00971826"/>
    <w:rsid w:val="009719C3"/>
    <w:rsid w:val="00971F1C"/>
    <w:rsid w:val="009725E3"/>
    <w:rsid w:val="00975188"/>
    <w:rsid w:val="00982575"/>
    <w:rsid w:val="00983431"/>
    <w:rsid w:val="00984F87"/>
    <w:rsid w:val="0099679E"/>
    <w:rsid w:val="009A2040"/>
    <w:rsid w:val="009A221B"/>
    <w:rsid w:val="009A3446"/>
    <w:rsid w:val="009B26BA"/>
    <w:rsid w:val="009C2C63"/>
    <w:rsid w:val="009C4257"/>
    <w:rsid w:val="009C52B9"/>
    <w:rsid w:val="009C5723"/>
    <w:rsid w:val="009D0F66"/>
    <w:rsid w:val="009D2891"/>
    <w:rsid w:val="009D6F1F"/>
    <w:rsid w:val="009E08FF"/>
    <w:rsid w:val="009E11DD"/>
    <w:rsid w:val="009E44AF"/>
    <w:rsid w:val="009E45A3"/>
    <w:rsid w:val="009F0638"/>
    <w:rsid w:val="009F1369"/>
    <w:rsid w:val="009F2F77"/>
    <w:rsid w:val="009F4AC7"/>
    <w:rsid w:val="009F627E"/>
    <w:rsid w:val="00A00156"/>
    <w:rsid w:val="00A00BE8"/>
    <w:rsid w:val="00A01C93"/>
    <w:rsid w:val="00A0271E"/>
    <w:rsid w:val="00A06B2E"/>
    <w:rsid w:val="00A11FDD"/>
    <w:rsid w:val="00A123E1"/>
    <w:rsid w:val="00A13CB0"/>
    <w:rsid w:val="00A140D5"/>
    <w:rsid w:val="00A21EF3"/>
    <w:rsid w:val="00A264AD"/>
    <w:rsid w:val="00A306A4"/>
    <w:rsid w:val="00A308A4"/>
    <w:rsid w:val="00A3465C"/>
    <w:rsid w:val="00A3579A"/>
    <w:rsid w:val="00A35E4F"/>
    <w:rsid w:val="00A46AE5"/>
    <w:rsid w:val="00A5240E"/>
    <w:rsid w:val="00A5391E"/>
    <w:rsid w:val="00A55A06"/>
    <w:rsid w:val="00A5670C"/>
    <w:rsid w:val="00A57390"/>
    <w:rsid w:val="00A6082D"/>
    <w:rsid w:val="00A6339F"/>
    <w:rsid w:val="00A64B4F"/>
    <w:rsid w:val="00A66148"/>
    <w:rsid w:val="00A668FC"/>
    <w:rsid w:val="00A74DB6"/>
    <w:rsid w:val="00A74E71"/>
    <w:rsid w:val="00A7704C"/>
    <w:rsid w:val="00A80207"/>
    <w:rsid w:val="00A822DC"/>
    <w:rsid w:val="00A84701"/>
    <w:rsid w:val="00A91AC7"/>
    <w:rsid w:val="00A93988"/>
    <w:rsid w:val="00A9456D"/>
    <w:rsid w:val="00A95C65"/>
    <w:rsid w:val="00AA1665"/>
    <w:rsid w:val="00AA3234"/>
    <w:rsid w:val="00AA6011"/>
    <w:rsid w:val="00AA74BA"/>
    <w:rsid w:val="00AB2EAD"/>
    <w:rsid w:val="00AB566D"/>
    <w:rsid w:val="00AB704E"/>
    <w:rsid w:val="00AC0978"/>
    <w:rsid w:val="00AC215A"/>
    <w:rsid w:val="00AC5EAA"/>
    <w:rsid w:val="00AC7BE0"/>
    <w:rsid w:val="00AD13D7"/>
    <w:rsid w:val="00AD4665"/>
    <w:rsid w:val="00AD57CC"/>
    <w:rsid w:val="00AD6081"/>
    <w:rsid w:val="00AD65E0"/>
    <w:rsid w:val="00AE0AC8"/>
    <w:rsid w:val="00AE2516"/>
    <w:rsid w:val="00AE5591"/>
    <w:rsid w:val="00AE5780"/>
    <w:rsid w:val="00AE6309"/>
    <w:rsid w:val="00AE744B"/>
    <w:rsid w:val="00AF0C85"/>
    <w:rsid w:val="00AF10D0"/>
    <w:rsid w:val="00AF7CD2"/>
    <w:rsid w:val="00B07452"/>
    <w:rsid w:val="00B1052F"/>
    <w:rsid w:val="00B10C05"/>
    <w:rsid w:val="00B134F0"/>
    <w:rsid w:val="00B13B5E"/>
    <w:rsid w:val="00B14826"/>
    <w:rsid w:val="00B16E7D"/>
    <w:rsid w:val="00B22AD7"/>
    <w:rsid w:val="00B27204"/>
    <w:rsid w:val="00B35770"/>
    <w:rsid w:val="00B3606D"/>
    <w:rsid w:val="00B40C5F"/>
    <w:rsid w:val="00B452AE"/>
    <w:rsid w:val="00B53A1C"/>
    <w:rsid w:val="00B53C9D"/>
    <w:rsid w:val="00B55F4C"/>
    <w:rsid w:val="00B6064B"/>
    <w:rsid w:val="00B6322E"/>
    <w:rsid w:val="00B63F21"/>
    <w:rsid w:val="00B72E42"/>
    <w:rsid w:val="00B747FB"/>
    <w:rsid w:val="00B7682F"/>
    <w:rsid w:val="00B76ACC"/>
    <w:rsid w:val="00B7758F"/>
    <w:rsid w:val="00B77B48"/>
    <w:rsid w:val="00B80F8D"/>
    <w:rsid w:val="00B837C7"/>
    <w:rsid w:val="00B84799"/>
    <w:rsid w:val="00B86A0E"/>
    <w:rsid w:val="00B92012"/>
    <w:rsid w:val="00B928F6"/>
    <w:rsid w:val="00B937B6"/>
    <w:rsid w:val="00B940A8"/>
    <w:rsid w:val="00B952E8"/>
    <w:rsid w:val="00B967BD"/>
    <w:rsid w:val="00B9696A"/>
    <w:rsid w:val="00BA59CF"/>
    <w:rsid w:val="00BB16B3"/>
    <w:rsid w:val="00BB27E5"/>
    <w:rsid w:val="00BB2AF0"/>
    <w:rsid w:val="00BB30D5"/>
    <w:rsid w:val="00BB6ABD"/>
    <w:rsid w:val="00BD1740"/>
    <w:rsid w:val="00BD3F7D"/>
    <w:rsid w:val="00BD4DD3"/>
    <w:rsid w:val="00BE1BAC"/>
    <w:rsid w:val="00BE1DB1"/>
    <w:rsid w:val="00BE5AE5"/>
    <w:rsid w:val="00BF4265"/>
    <w:rsid w:val="00BF6B08"/>
    <w:rsid w:val="00BF6D4D"/>
    <w:rsid w:val="00C02B76"/>
    <w:rsid w:val="00C036D8"/>
    <w:rsid w:val="00C0382A"/>
    <w:rsid w:val="00C0396F"/>
    <w:rsid w:val="00C04D64"/>
    <w:rsid w:val="00C11049"/>
    <w:rsid w:val="00C126C0"/>
    <w:rsid w:val="00C16E6D"/>
    <w:rsid w:val="00C20F6B"/>
    <w:rsid w:val="00C24712"/>
    <w:rsid w:val="00C30124"/>
    <w:rsid w:val="00C31D63"/>
    <w:rsid w:val="00C34052"/>
    <w:rsid w:val="00C34A3B"/>
    <w:rsid w:val="00C34E3D"/>
    <w:rsid w:val="00C3647F"/>
    <w:rsid w:val="00C36AE0"/>
    <w:rsid w:val="00C40F55"/>
    <w:rsid w:val="00C435CC"/>
    <w:rsid w:val="00C43BEC"/>
    <w:rsid w:val="00C4454A"/>
    <w:rsid w:val="00C45C15"/>
    <w:rsid w:val="00C51ECE"/>
    <w:rsid w:val="00C534D8"/>
    <w:rsid w:val="00C5401C"/>
    <w:rsid w:val="00C55413"/>
    <w:rsid w:val="00C56ADA"/>
    <w:rsid w:val="00C56C83"/>
    <w:rsid w:val="00C65C41"/>
    <w:rsid w:val="00C67B31"/>
    <w:rsid w:val="00C75D9A"/>
    <w:rsid w:val="00C81ADC"/>
    <w:rsid w:val="00C8467F"/>
    <w:rsid w:val="00C84EEF"/>
    <w:rsid w:val="00C862EE"/>
    <w:rsid w:val="00C87A3B"/>
    <w:rsid w:val="00C91CEB"/>
    <w:rsid w:val="00C93BBD"/>
    <w:rsid w:val="00C942FE"/>
    <w:rsid w:val="00CA03CB"/>
    <w:rsid w:val="00CA098E"/>
    <w:rsid w:val="00CA2C1A"/>
    <w:rsid w:val="00CA7404"/>
    <w:rsid w:val="00CB07E8"/>
    <w:rsid w:val="00CB45BA"/>
    <w:rsid w:val="00CC0682"/>
    <w:rsid w:val="00CC1A24"/>
    <w:rsid w:val="00CC2B7A"/>
    <w:rsid w:val="00CC478A"/>
    <w:rsid w:val="00CC61A6"/>
    <w:rsid w:val="00CC6C2A"/>
    <w:rsid w:val="00CD1532"/>
    <w:rsid w:val="00CD2F93"/>
    <w:rsid w:val="00CD3E66"/>
    <w:rsid w:val="00CD5B93"/>
    <w:rsid w:val="00CE116E"/>
    <w:rsid w:val="00CE2541"/>
    <w:rsid w:val="00CE7D01"/>
    <w:rsid w:val="00CF124E"/>
    <w:rsid w:val="00CF2072"/>
    <w:rsid w:val="00CF2082"/>
    <w:rsid w:val="00D00C72"/>
    <w:rsid w:val="00D017DD"/>
    <w:rsid w:val="00D01F82"/>
    <w:rsid w:val="00D0237D"/>
    <w:rsid w:val="00D04619"/>
    <w:rsid w:val="00D05063"/>
    <w:rsid w:val="00D05DA4"/>
    <w:rsid w:val="00D07256"/>
    <w:rsid w:val="00D07D11"/>
    <w:rsid w:val="00D17200"/>
    <w:rsid w:val="00D17544"/>
    <w:rsid w:val="00D23782"/>
    <w:rsid w:val="00D26749"/>
    <w:rsid w:val="00D270BD"/>
    <w:rsid w:val="00D27D10"/>
    <w:rsid w:val="00D30131"/>
    <w:rsid w:val="00D31164"/>
    <w:rsid w:val="00D31668"/>
    <w:rsid w:val="00D33108"/>
    <w:rsid w:val="00D33C0E"/>
    <w:rsid w:val="00D33E53"/>
    <w:rsid w:val="00D41A7F"/>
    <w:rsid w:val="00D41CE6"/>
    <w:rsid w:val="00D47970"/>
    <w:rsid w:val="00D53B40"/>
    <w:rsid w:val="00D608A3"/>
    <w:rsid w:val="00D61A38"/>
    <w:rsid w:val="00D63317"/>
    <w:rsid w:val="00D63BBD"/>
    <w:rsid w:val="00D65096"/>
    <w:rsid w:val="00D67824"/>
    <w:rsid w:val="00D72805"/>
    <w:rsid w:val="00D7713D"/>
    <w:rsid w:val="00D82CCF"/>
    <w:rsid w:val="00D85404"/>
    <w:rsid w:val="00D914F3"/>
    <w:rsid w:val="00D930D4"/>
    <w:rsid w:val="00DA19A3"/>
    <w:rsid w:val="00DA31DC"/>
    <w:rsid w:val="00DA4D76"/>
    <w:rsid w:val="00DA54AF"/>
    <w:rsid w:val="00DA781F"/>
    <w:rsid w:val="00DB4A98"/>
    <w:rsid w:val="00DB5FB3"/>
    <w:rsid w:val="00DC0548"/>
    <w:rsid w:val="00DC0D2B"/>
    <w:rsid w:val="00DC30B1"/>
    <w:rsid w:val="00DC435D"/>
    <w:rsid w:val="00DC58E9"/>
    <w:rsid w:val="00DD171A"/>
    <w:rsid w:val="00DD3075"/>
    <w:rsid w:val="00DD635E"/>
    <w:rsid w:val="00DE08B9"/>
    <w:rsid w:val="00DE2ACB"/>
    <w:rsid w:val="00DE4B2A"/>
    <w:rsid w:val="00DE6BC6"/>
    <w:rsid w:val="00DF77AD"/>
    <w:rsid w:val="00E12A20"/>
    <w:rsid w:val="00E16DBD"/>
    <w:rsid w:val="00E2252B"/>
    <w:rsid w:val="00E22773"/>
    <w:rsid w:val="00E234E5"/>
    <w:rsid w:val="00E31646"/>
    <w:rsid w:val="00E32E75"/>
    <w:rsid w:val="00E34990"/>
    <w:rsid w:val="00E34BEA"/>
    <w:rsid w:val="00E410D8"/>
    <w:rsid w:val="00E4248D"/>
    <w:rsid w:val="00E47E03"/>
    <w:rsid w:val="00E52A33"/>
    <w:rsid w:val="00E53B95"/>
    <w:rsid w:val="00E54F5E"/>
    <w:rsid w:val="00E57BDF"/>
    <w:rsid w:val="00E66F7C"/>
    <w:rsid w:val="00E714DD"/>
    <w:rsid w:val="00E81F47"/>
    <w:rsid w:val="00E9003F"/>
    <w:rsid w:val="00E935B2"/>
    <w:rsid w:val="00E93A22"/>
    <w:rsid w:val="00E95340"/>
    <w:rsid w:val="00E95906"/>
    <w:rsid w:val="00EA35BA"/>
    <w:rsid w:val="00EA47FF"/>
    <w:rsid w:val="00EA5210"/>
    <w:rsid w:val="00EA62D7"/>
    <w:rsid w:val="00EB0C6D"/>
    <w:rsid w:val="00EB122B"/>
    <w:rsid w:val="00EB6B50"/>
    <w:rsid w:val="00EC0950"/>
    <w:rsid w:val="00EC130E"/>
    <w:rsid w:val="00EC3122"/>
    <w:rsid w:val="00EC42B6"/>
    <w:rsid w:val="00EC5810"/>
    <w:rsid w:val="00EC6230"/>
    <w:rsid w:val="00ED1753"/>
    <w:rsid w:val="00ED2C7C"/>
    <w:rsid w:val="00ED6779"/>
    <w:rsid w:val="00EE1837"/>
    <w:rsid w:val="00EE35DE"/>
    <w:rsid w:val="00EE47E5"/>
    <w:rsid w:val="00EE6CA5"/>
    <w:rsid w:val="00EF1B60"/>
    <w:rsid w:val="00EF30F1"/>
    <w:rsid w:val="00EF5E08"/>
    <w:rsid w:val="00EF729E"/>
    <w:rsid w:val="00F013DE"/>
    <w:rsid w:val="00F03A30"/>
    <w:rsid w:val="00F04052"/>
    <w:rsid w:val="00F12A38"/>
    <w:rsid w:val="00F13ED0"/>
    <w:rsid w:val="00F17811"/>
    <w:rsid w:val="00F210C4"/>
    <w:rsid w:val="00F21898"/>
    <w:rsid w:val="00F21A50"/>
    <w:rsid w:val="00F31B22"/>
    <w:rsid w:val="00F31D4F"/>
    <w:rsid w:val="00F34657"/>
    <w:rsid w:val="00F355FB"/>
    <w:rsid w:val="00F40DCF"/>
    <w:rsid w:val="00F43764"/>
    <w:rsid w:val="00F46DE6"/>
    <w:rsid w:val="00F47D41"/>
    <w:rsid w:val="00F506E3"/>
    <w:rsid w:val="00F52128"/>
    <w:rsid w:val="00F52638"/>
    <w:rsid w:val="00F53172"/>
    <w:rsid w:val="00F55561"/>
    <w:rsid w:val="00F629BC"/>
    <w:rsid w:val="00F62C5B"/>
    <w:rsid w:val="00F62EB2"/>
    <w:rsid w:val="00F70A26"/>
    <w:rsid w:val="00F73811"/>
    <w:rsid w:val="00F7576E"/>
    <w:rsid w:val="00F7764F"/>
    <w:rsid w:val="00F77B3A"/>
    <w:rsid w:val="00F81EA8"/>
    <w:rsid w:val="00F83916"/>
    <w:rsid w:val="00F86FE3"/>
    <w:rsid w:val="00F9033A"/>
    <w:rsid w:val="00F90381"/>
    <w:rsid w:val="00F949D7"/>
    <w:rsid w:val="00FA2705"/>
    <w:rsid w:val="00FA3166"/>
    <w:rsid w:val="00FA41BA"/>
    <w:rsid w:val="00FA7B7C"/>
    <w:rsid w:val="00FB0787"/>
    <w:rsid w:val="00FB3238"/>
    <w:rsid w:val="00FB5172"/>
    <w:rsid w:val="00FC05BD"/>
    <w:rsid w:val="00FC1903"/>
    <w:rsid w:val="00FD05D4"/>
    <w:rsid w:val="00FD58A1"/>
    <w:rsid w:val="00FD689E"/>
    <w:rsid w:val="00FE1FEC"/>
    <w:rsid w:val="00FE259F"/>
    <w:rsid w:val="00FE324F"/>
    <w:rsid w:val="00FE32F0"/>
    <w:rsid w:val="00FE50DE"/>
    <w:rsid w:val="00FE587B"/>
    <w:rsid w:val="00FE6B73"/>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78C5C3E"/>
  <w15:docId w15:val="{D8425708-7614-42B0-BE6A-4534A550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99"/>
    <w:qFormat/>
    <w:rsid w:val="00475745"/>
    <w:pPr>
      <w:numPr>
        <w:numId w:val="4"/>
      </w:numPr>
      <w:ind w:left="680" w:hanging="340"/>
    </w:pPr>
  </w:style>
  <w:style w:type="character" w:customStyle="1" w:styleId="bullet2Char">
    <w:name w:val="bullet 2 Char"/>
    <w:basedOn w:val="DefaultParagraphFont"/>
    <w:link w:val="bullet2"/>
    <w:uiPriority w:val="99"/>
    <w:locked/>
    <w:rsid w:val="00475745"/>
    <w:rPr>
      <w:rFonts w:ascii="Calibri" w:hAnsi="Calibri" w:cs="Arial"/>
      <w:sz w:val="20"/>
      <w:szCs w:val="20"/>
      <w:lang w:eastAsia="en-US"/>
    </w:rPr>
  </w:style>
  <w:style w:type="paragraph" w:customStyle="1" w:styleId="bullet3">
    <w:name w:val="bullet 3"/>
    <w:basedOn w:val="Normal"/>
    <w:uiPriority w:val="5"/>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qFormat/>
    <w:rsid w:val="00475745"/>
    <w:rPr>
      <w:color w:val="943634"/>
    </w:rPr>
  </w:style>
  <w:style w:type="character" w:customStyle="1" w:styleId="ReferencestootherSOPsQCDsChar">
    <w:name w:val="References to other SOPs/QCDs Char"/>
    <w:basedOn w:val="InstructionsChar"/>
    <w:link w:val="ReferencestootherSOPsQCDs"/>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customStyle="1" w:styleId="Heading3-table">
    <w:name w:val="Heading 3 - table"/>
    <w:basedOn w:val="Heading3"/>
    <w:autoRedefine/>
    <w:uiPriority w:val="99"/>
    <w:qFormat/>
    <w:rsid w:val="00067EA8"/>
    <w:pPr>
      <w:outlineLvl w:val="9"/>
    </w:pPr>
    <w:rPr>
      <w:rFonts w:cs="Tahoma"/>
      <w:color w:val="000000" w:themeColor="text1"/>
      <w:spacing w:val="5"/>
      <w:kern w:val="28"/>
    </w:rPr>
  </w:style>
  <w:style w:type="paragraph" w:customStyle="1" w:styleId="Definitionsabbreviations">
    <w:name w:val="Definitions &amp; abbreviations"/>
    <w:link w:val="DefinitionsabbreviationsChar"/>
    <w:autoRedefine/>
    <w:uiPriority w:val="99"/>
    <w:rsid w:val="006D0180"/>
    <w:pPr>
      <w:spacing w:before="60" w:after="60" w:line="240" w:lineRule="auto"/>
    </w:pPr>
    <w:rPr>
      <w:rFonts w:ascii="Calibri" w:hAnsi="Calibri" w:cs="Tahoma"/>
      <w:b/>
      <w:bCs/>
      <w:color w:val="000000" w:themeColor="text1"/>
      <w:spacing w:val="5"/>
      <w:kern w:val="28"/>
      <w:sz w:val="20"/>
      <w:szCs w:val="26"/>
      <w:lang w:eastAsia="en-US"/>
    </w:rPr>
  </w:style>
  <w:style w:type="character" w:customStyle="1" w:styleId="DefinitionsabbreviationsChar">
    <w:name w:val="Definitions &amp; abbreviations Char"/>
    <w:basedOn w:val="DefaultParagraphFont"/>
    <w:link w:val="Definitionsabbreviations"/>
    <w:uiPriority w:val="99"/>
    <w:rsid w:val="006D0180"/>
    <w:rPr>
      <w:rFonts w:ascii="Calibri" w:hAnsi="Calibri" w:cs="Tahoma"/>
      <w:b/>
      <w:bCs/>
      <w:color w:val="000000" w:themeColor="text1"/>
      <w:spacing w:val="5"/>
      <w:kern w:val="28"/>
      <w:sz w:val="20"/>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emf"/><Relationship Id="rId21" Type="http://schemas.openxmlformats.org/officeDocument/2006/relationships/header" Target="header4.xml"/><Relationship Id="rId42" Type="http://schemas.openxmlformats.org/officeDocument/2006/relationships/hyperlink" Target="mailto:crct@contacts.bham.ac.uk" TargetMode="External"/><Relationship Id="rId47" Type="http://schemas.openxmlformats.org/officeDocument/2006/relationships/hyperlink" Target="https://www.hra.nhs.uk/approvals-amendments/managing-your-approval/" TargetMode="External"/><Relationship Id="rId63" Type="http://schemas.openxmlformats.org/officeDocument/2006/relationships/hyperlink" Target="https://www.birmingham.ac.uk/research/activity/mds/mds-rkto/governance/Glossary-of-Terms.aspx" TargetMode="External"/><Relationship Id="rId68" Type="http://schemas.openxmlformats.org/officeDocument/2006/relationships/header" Target="header7.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docsroom/documents/16477/attachments/1/translations/en/renditions/native" TargetMode="External"/><Relationship Id="rId29" Type="http://schemas.openxmlformats.org/officeDocument/2006/relationships/hyperlink" Target="https://ec.europa.eu/docsroom/documents/16477/attachments/2/translations/en/renditions/pdf" TargetMode="External"/><Relationship Id="rId11" Type="http://schemas.openxmlformats.org/officeDocument/2006/relationships/hyperlink" Target="https://www.birmingham.ac.uk/Documents/university/legal/research.pdf" TargetMode="External"/><Relationship Id="rId24" Type="http://schemas.openxmlformats.org/officeDocument/2006/relationships/image" Target="media/image2.emf"/><Relationship Id="rId32" Type="http://schemas.openxmlformats.org/officeDocument/2006/relationships/hyperlink" Target="http://www.ct-toolkit.ac.uk/routemap/safety-reporting/" TargetMode="External"/><Relationship Id="rId37" Type="http://schemas.openxmlformats.org/officeDocument/2006/relationships/hyperlink" Target="https://www.gov.uk/guidance/clinical-trials-for-medicines-manage-your-authorisation-report-safety-issues" TargetMode="External"/><Relationship Id="rId40" Type="http://schemas.openxmlformats.org/officeDocument/2006/relationships/hyperlink" Target="https://www.hra.nhs.uk/approvals-amendments/managing-your-approval/" TargetMode="External"/><Relationship Id="rId45" Type="http://schemas.openxmlformats.org/officeDocument/2006/relationships/hyperlink" Target="https://ec.europa.eu/docsroom/documents/16477/attachments/1/translations/en/renditions/native" TargetMode="External"/><Relationship Id="rId53" Type="http://schemas.openxmlformats.org/officeDocument/2006/relationships/hyperlink" Target="https://www.gov.uk/topic/medicines-medical-devices-blood/medical-devices-regulation-safety" TargetMode="External"/><Relationship Id="rId58" Type="http://schemas.openxmlformats.org/officeDocument/2006/relationships/hyperlink" Target="https://eur-lex.europa.eu/LexUriServ/LexUriServ.do?uri=OJ:C:2011:172:0001:0013:EN:PDF" TargetMode="External"/><Relationship Id="rId66" Type="http://schemas.openxmlformats.org/officeDocument/2006/relationships/footer" Target="footer7.xml"/><Relationship Id="rId5" Type="http://schemas.openxmlformats.org/officeDocument/2006/relationships/webSettings" Target="webSettings.xml"/><Relationship Id="rId61" Type="http://schemas.openxmlformats.org/officeDocument/2006/relationships/hyperlink" Target="https://www.birmingham.ac.uk/Documents/university/legal/research.pdf" TargetMode="External"/><Relationship Id="rId19" Type="http://schemas.openxmlformats.org/officeDocument/2006/relationships/footer" Target="footer3.xml"/><Relationship Id="rId14" Type="http://schemas.openxmlformats.org/officeDocument/2006/relationships/hyperlink" Target="http://www.legislation.gov.uk/uksi/2002/618/contents/made" TargetMode="External"/><Relationship Id="rId22" Type="http://schemas.openxmlformats.org/officeDocument/2006/relationships/footer" Target="footer5.xml"/><Relationship Id="rId27" Type="http://schemas.openxmlformats.org/officeDocument/2006/relationships/package" Target="embeddings/Microsoft_Visio_Drawing1.vsdx"/><Relationship Id="rId30" Type="http://schemas.openxmlformats.org/officeDocument/2006/relationships/hyperlink" Target="https://icsrsubmissions.mhra.gov.uk/login" TargetMode="External"/><Relationship Id="rId35" Type="http://schemas.openxmlformats.org/officeDocument/2006/relationships/hyperlink" Target="https://www.hra.nhs.uk/approvals-amendments/managing-your-approval/" TargetMode="External"/><Relationship Id="rId43" Type="http://schemas.openxmlformats.org/officeDocument/2006/relationships/hyperlink" Target="mailto:researchgovernance@contacts.bham.ac.uk" TargetMode="External"/><Relationship Id="rId48" Type="http://schemas.openxmlformats.org/officeDocument/2006/relationships/hyperlink" Target="https://www.ema.europa.eu/en/documents/scientific-guideline/international-conference-harmonisation-technical-requirements-registration-pharmaceuticals-human-use_en-26.pdf" TargetMode="External"/><Relationship Id="rId56" Type="http://schemas.openxmlformats.org/officeDocument/2006/relationships/hyperlink" Target="http://www.ct-toolkit.ac.uk/routemap/safety-reporting/" TargetMode="External"/><Relationship Id="rId64" Type="http://schemas.openxmlformats.org/officeDocument/2006/relationships/header" Target="header5.xml"/><Relationship Id="rId69" Type="http://schemas.openxmlformats.org/officeDocument/2006/relationships/footer" Target="footer9.xml"/><Relationship Id="rId8" Type="http://schemas.openxmlformats.org/officeDocument/2006/relationships/footer" Target="footer1.xml"/><Relationship Id="rId51" Type="http://schemas.openxmlformats.org/officeDocument/2006/relationships/hyperlink" Target="https://ec.europa.eu/docsroom/documents/16477/attachments/2/translations/en/renditions/pdf" TargetMode="External"/><Relationship Id="rId3" Type="http://schemas.openxmlformats.org/officeDocument/2006/relationships/styles" Target="styles.xml"/><Relationship Id="rId12" Type="http://schemas.openxmlformats.org/officeDocument/2006/relationships/hyperlink" Target="https://www.hra.nhs.uk/planning-and-improving-research/policies-standards-legislation/uk-policy-framework-health-social-care-research/" TargetMode="External"/><Relationship Id="rId17" Type="http://schemas.openxmlformats.org/officeDocument/2006/relationships/header" Target="header2.xml"/><Relationship Id="rId25" Type="http://schemas.openxmlformats.org/officeDocument/2006/relationships/package" Target="embeddings/Microsoft_Visio_Drawing.vsdx"/><Relationship Id="rId33" Type="http://schemas.openxmlformats.org/officeDocument/2006/relationships/hyperlink" Target="https://www.hra.nhs.uk/approvals-amendments/managing-your-approval/safety-reporting/" TargetMode="External"/><Relationship Id="rId38" Type="http://schemas.openxmlformats.org/officeDocument/2006/relationships/hyperlink" Target="https://www.hra.nhs.uk/approvals-amendments/managing-your-approval/safety-reporting/" TargetMode="External"/><Relationship Id="rId46" Type="http://schemas.openxmlformats.org/officeDocument/2006/relationships/hyperlink" Target="https://eur-lex.europa.eu/legal-content/EN/TXT/HTML/?uri=CELEX:32017R0745&amp;from=EN" TargetMode="External"/><Relationship Id="rId59" Type="http://schemas.openxmlformats.org/officeDocument/2006/relationships/hyperlink" Target="http://www.legislation.gov.uk/uksi/2004/1031/contents/made" TargetMode="External"/><Relationship Id="rId67" Type="http://schemas.openxmlformats.org/officeDocument/2006/relationships/footer" Target="footer8.xml"/><Relationship Id="rId20" Type="http://schemas.openxmlformats.org/officeDocument/2006/relationships/footer" Target="footer4.xml"/><Relationship Id="rId41" Type="http://schemas.openxmlformats.org/officeDocument/2006/relationships/hyperlink" Target="https://www.birmingham.ac.uk/research/activity/mds/mds-rkto/governance/index.aspx" TargetMode="External"/><Relationship Id="rId54" Type="http://schemas.openxmlformats.org/officeDocument/2006/relationships/hyperlink" Target="https://www.gov.uk/guidance/clinical-trials-for-medicines-manage-your-authorisation-report-safety-issues" TargetMode="External"/><Relationship Id="rId62" Type="http://schemas.openxmlformats.org/officeDocument/2006/relationships/hyperlink" Target="https://www.england.nhs.uk/ahp/role/"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topic/medicines-medical-devices-blood/medical-devices-regulation-safety" TargetMode="External"/><Relationship Id="rId23" Type="http://schemas.openxmlformats.org/officeDocument/2006/relationships/footer" Target="footer6.xml"/><Relationship Id="rId28" Type="http://schemas.openxmlformats.org/officeDocument/2006/relationships/hyperlink" Target="https://www.ema.europa.eu/en/documents/scientific-guideline/ich-e-6-r2-guideline-good-clinical-practice-step-5_en.pdf" TargetMode="External"/><Relationship Id="rId36" Type="http://schemas.openxmlformats.org/officeDocument/2006/relationships/hyperlink" Target="https://ec.europa.eu/docsroom/documents/16477/attachments/1/translations/en/renditions/native" TargetMode="External"/><Relationship Id="rId49" Type="http://schemas.openxmlformats.org/officeDocument/2006/relationships/hyperlink" Target="https://www.ema.europa.eu/en/documents/scientific-guideline/ich-e-6-r2-guideline-good-clinical-practice-step-5_en.pdf" TargetMode="External"/><Relationship Id="rId57" Type="http://schemas.openxmlformats.org/officeDocument/2006/relationships/hyperlink" Target="https://www.gov.uk/guidance/advanced-therapy-medicinal-products-regulation-and-licensing" TargetMode="External"/><Relationship Id="rId10" Type="http://schemas.openxmlformats.org/officeDocument/2006/relationships/footer" Target="footer2.xml"/><Relationship Id="rId31" Type="http://schemas.openxmlformats.org/officeDocument/2006/relationships/hyperlink" Target="https://www.gov.uk/guidance/clinical-trials-for-medicines-manage-your-authorisation-report-safety-issues" TargetMode="External"/><Relationship Id="rId44" Type="http://schemas.openxmlformats.org/officeDocument/2006/relationships/hyperlink" Target="https://bsol.bsigroup.com/" TargetMode="External"/><Relationship Id="rId52" Type="http://schemas.openxmlformats.org/officeDocument/2006/relationships/hyperlink" Target="http://www.legislation.gov.uk/uksi/2002/618/contents/made" TargetMode="External"/><Relationship Id="rId60" Type="http://schemas.openxmlformats.org/officeDocument/2006/relationships/hyperlink" Target="https://www.hra.nhs.uk/planning-and-improving-research/policies-standards-legislation/uk-policy-framework-health-social-care-research/" TargetMode="External"/><Relationship Id="rId65"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legislation.gov.uk/uksi/2004/1031/contents/made" TargetMode="External"/><Relationship Id="rId18" Type="http://schemas.openxmlformats.org/officeDocument/2006/relationships/header" Target="header3.xml"/><Relationship Id="rId39" Type="http://schemas.openxmlformats.org/officeDocument/2006/relationships/hyperlink" Target="https://www.gov.uk/guidance/guidance-on-submitting-clinical-trial-safety-reports" TargetMode="External"/><Relationship Id="rId34" Type="http://schemas.openxmlformats.org/officeDocument/2006/relationships/hyperlink" Target="https://www.birmingham.ac.uk/Documents/university/legal/research.pdf" TargetMode="External"/><Relationship Id="rId50" Type="http://schemas.openxmlformats.org/officeDocument/2006/relationships/hyperlink" Target="https://icsrsubmissions.mhra.gov.uk/login" TargetMode="External"/><Relationship Id="rId55" Type="http://schemas.openxmlformats.org/officeDocument/2006/relationships/hyperlink" Target="https://www.gov.uk/government/uploads/system/uploads/attachment_data/file/343677/Risk-adapted_approaches_to_the_management_of_clinical_trials_of_investigational_medicinal_products.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1.%20Templates\QMS%20Templates\UoB%20SOP%20template%20v9.0%20vd%2018-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SOP template v9.0 vd 18-Jan-2022</Template>
  <TotalTime>15</TotalTime>
  <Pages>14</Pages>
  <Words>6826</Words>
  <Characters>38909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UoB SOP template v9.0 vd 18-Jan-2022</vt:lpstr>
    </vt:vector>
  </TitlesOfParts>
  <Company>MDS</Company>
  <LinksUpToDate>false</LinksUpToDate>
  <CharactersWithSpaces>45644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v9.0 vd 18-Jan-2022</dc:title>
  <dc:creator>Jamie Douglas-Pugh (Medical and Dental Sciences)</dc:creator>
  <cp:lastModifiedBy>Jamie Douglas-Pugh (Medical and Dental Sciences)</cp:lastModifiedBy>
  <cp:revision>3</cp:revision>
  <cp:lastPrinted>2019-05-31T11:18:00Z</cp:lastPrinted>
  <dcterms:created xsi:type="dcterms:W3CDTF">2022-12-09T11:46:00Z</dcterms:created>
  <dcterms:modified xsi:type="dcterms:W3CDTF">2022-12-09T12:07:00Z</dcterms:modified>
</cp:coreProperties>
</file>