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73EB7" w14:textId="1BB9AC20" w:rsidR="7F669E3B" w:rsidRDefault="7F669E3B" w:rsidP="244CAB46">
      <w:pPr>
        <w:rPr>
          <w:b/>
          <w:bCs/>
        </w:rPr>
      </w:pPr>
      <w:r w:rsidRPr="244CAB46">
        <w:rPr>
          <w:b/>
          <w:bCs/>
        </w:rPr>
        <w:t>Frequently Asked Questions (FAQ)</w:t>
      </w:r>
    </w:p>
    <w:p w14:paraId="26CFC62C" w14:textId="3A909ABF" w:rsidR="7F669E3B" w:rsidRDefault="7F669E3B" w:rsidP="244CAB46">
      <w:pPr>
        <w:pStyle w:val="Heading3"/>
        <w:spacing w:before="281" w:after="281"/>
        <w:rPr>
          <w:rFonts w:eastAsiaTheme="minorEastAsia" w:cstheme="minorBidi"/>
          <w:b/>
          <w:bCs/>
          <w:color w:val="000000" w:themeColor="text1"/>
          <w:sz w:val="24"/>
          <w:szCs w:val="24"/>
        </w:rPr>
      </w:pPr>
      <w:r w:rsidRPr="244CAB46">
        <w:rPr>
          <w:rFonts w:eastAsiaTheme="minorEastAsia" w:cstheme="minorBidi"/>
          <w:b/>
          <w:bCs/>
          <w:color w:val="000000" w:themeColor="text1"/>
          <w:sz w:val="24"/>
          <w:szCs w:val="24"/>
        </w:rPr>
        <w:t>What OCT machine is used by Specsavers?</w:t>
      </w:r>
    </w:p>
    <w:p w14:paraId="7562777E" w14:textId="65FDD334" w:rsidR="7F669E3B" w:rsidRDefault="44F17B32" w:rsidP="3306A1A1">
      <w:pPr>
        <w:spacing w:before="240" w:after="240"/>
        <w:jc w:val="both"/>
        <w:rPr>
          <w:color w:val="4C94D8" w:themeColor="text2" w:themeTint="80"/>
        </w:rPr>
      </w:pPr>
      <w:r w:rsidRPr="3306A1A1">
        <w:rPr>
          <w:color w:val="0E2740"/>
        </w:rPr>
        <w:t xml:space="preserve">Approximately 95% of Specsavers practices are equipped with </w:t>
      </w:r>
      <w:proofErr w:type="spellStart"/>
      <w:r w:rsidRPr="3306A1A1">
        <w:rPr>
          <w:color w:val="0E2740"/>
        </w:rPr>
        <w:t>Nidek</w:t>
      </w:r>
      <w:proofErr w:type="spellEnd"/>
      <w:r w:rsidRPr="3306A1A1">
        <w:rPr>
          <w:color w:val="0E2740"/>
        </w:rPr>
        <w:t xml:space="preserve"> OCT machines,</w:t>
      </w:r>
      <w:r w:rsidR="45087BDF" w:rsidRPr="3306A1A1">
        <w:rPr>
          <w:color w:val="0E2740"/>
        </w:rPr>
        <w:t xml:space="preserve"> </w:t>
      </w:r>
      <w:r w:rsidRPr="3306A1A1">
        <w:rPr>
          <w:color w:val="0E2740"/>
        </w:rPr>
        <w:t>ensuring consistency across different sites.</w:t>
      </w:r>
      <w:r w:rsidR="29AB4F04" w:rsidRPr="3306A1A1">
        <w:rPr>
          <w:color w:val="0E2740"/>
        </w:rPr>
        <w:t xml:space="preserve"> We will only be using those stores with </w:t>
      </w:r>
      <w:proofErr w:type="spellStart"/>
      <w:r w:rsidR="29AB4F04" w:rsidRPr="3306A1A1">
        <w:rPr>
          <w:color w:val="0E2740"/>
        </w:rPr>
        <w:t>Nidek</w:t>
      </w:r>
      <w:proofErr w:type="spellEnd"/>
      <w:r w:rsidR="29AB4F04" w:rsidRPr="3306A1A1">
        <w:rPr>
          <w:color w:val="0E2740"/>
        </w:rPr>
        <w:t xml:space="preserve"> machine. </w:t>
      </w:r>
    </w:p>
    <w:p w14:paraId="4BF61682" w14:textId="1A3A4023" w:rsidR="7F669E3B" w:rsidRDefault="7F669E3B" w:rsidP="244CAB46">
      <w:pPr>
        <w:spacing w:before="240" w:after="240"/>
        <w:rPr>
          <w:color w:val="000000" w:themeColor="text1"/>
        </w:rPr>
      </w:pPr>
      <w:r w:rsidRPr="244CAB46">
        <w:rPr>
          <w:color w:val="000000" w:themeColor="text1"/>
        </w:rPr>
        <w:t xml:space="preserve"> </w:t>
      </w:r>
    </w:p>
    <w:p w14:paraId="5E468264" w14:textId="32C783E6" w:rsidR="7F669E3B" w:rsidRDefault="7F669E3B" w:rsidP="244CAB46">
      <w:pPr>
        <w:pStyle w:val="Heading3"/>
        <w:spacing w:before="281" w:after="281"/>
        <w:rPr>
          <w:rFonts w:eastAsiaTheme="minorEastAsia" w:cstheme="minorBidi"/>
          <w:b/>
          <w:bCs/>
          <w:color w:val="000000" w:themeColor="text1"/>
          <w:sz w:val="24"/>
          <w:szCs w:val="24"/>
        </w:rPr>
      </w:pPr>
      <w:r w:rsidRPr="244CAB46">
        <w:rPr>
          <w:rFonts w:eastAsiaTheme="minorEastAsia" w:cstheme="minorBidi"/>
          <w:b/>
          <w:bCs/>
          <w:color w:val="000000" w:themeColor="text1"/>
          <w:sz w:val="24"/>
          <w:szCs w:val="24"/>
        </w:rPr>
        <w:t xml:space="preserve">Why is Specsavers chosen instead of using </w:t>
      </w:r>
      <w:proofErr w:type="spellStart"/>
      <w:r w:rsidRPr="244CAB46">
        <w:rPr>
          <w:rFonts w:eastAsiaTheme="minorEastAsia" w:cstheme="minorBidi"/>
          <w:b/>
          <w:bCs/>
          <w:color w:val="000000" w:themeColor="text1"/>
          <w:sz w:val="24"/>
          <w:szCs w:val="24"/>
        </w:rPr>
        <w:t>Spectralis</w:t>
      </w:r>
      <w:proofErr w:type="spellEnd"/>
      <w:r w:rsidRPr="244CAB46">
        <w:rPr>
          <w:rFonts w:eastAsiaTheme="minorEastAsia" w:cstheme="minorBidi"/>
          <w:b/>
          <w:bCs/>
          <w:color w:val="000000" w:themeColor="text1"/>
          <w:sz w:val="24"/>
          <w:szCs w:val="24"/>
        </w:rPr>
        <w:t xml:space="preserve"> OCT under the NHS?</w:t>
      </w:r>
    </w:p>
    <w:p w14:paraId="4C43A774" w14:textId="4C5942D3" w:rsidR="7F669E3B" w:rsidRPr="002961EE" w:rsidRDefault="7F669E3B" w:rsidP="244CAB46">
      <w:pPr>
        <w:spacing w:before="240" w:after="240"/>
        <w:jc w:val="both"/>
      </w:pPr>
      <w:r w:rsidRPr="002961EE">
        <w:t>Conducting trials within the NHS has become increasingly challenging due to limited capacity for OCT scanning. This constraint has led to significant delays, with some trial sites taking up to 2–3 years to open. To address these barriers and reduce the burden on the NHS, OCT scanning for this study has been pragmatically moved into the community via Specsavers.</w:t>
      </w:r>
    </w:p>
    <w:p w14:paraId="6767D434" w14:textId="3FF5397A" w:rsidR="244CAB46" w:rsidRDefault="244CAB46" w:rsidP="244CAB46">
      <w:pPr>
        <w:spacing w:before="240" w:after="240"/>
        <w:rPr>
          <w:color w:val="000000" w:themeColor="text1"/>
        </w:rPr>
      </w:pPr>
    </w:p>
    <w:p w14:paraId="43C9180B" w14:textId="25B07EC7" w:rsidR="7F669E3B" w:rsidRDefault="7F669E3B" w:rsidP="244CAB46">
      <w:pPr>
        <w:pStyle w:val="Heading3"/>
        <w:spacing w:before="281" w:after="281"/>
        <w:rPr>
          <w:rFonts w:eastAsiaTheme="minorEastAsia" w:cstheme="minorBidi"/>
          <w:b/>
          <w:bCs/>
          <w:color w:val="000000" w:themeColor="text1"/>
          <w:sz w:val="24"/>
          <w:szCs w:val="24"/>
        </w:rPr>
      </w:pPr>
      <w:r w:rsidRPr="244CAB46">
        <w:rPr>
          <w:rFonts w:eastAsiaTheme="minorEastAsia" w:cstheme="minorBidi"/>
          <w:b/>
          <w:bCs/>
          <w:color w:val="000000" w:themeColor="text1"/>
          <w:sz w:val="24"/>
          <w:szCs w:val="24"/>
        </w:rPr>
        <w:t>How is a standardised process ensured?</w:t>
      </w:r>
    </w:p>
    <w:p w14:paraId="4404D36F" w14:textId="38A3BA3C" w:rsidR="7F669E3B" w:rsidRDefault="44F17B32" w:rsidP="3306A1A1">
      <w:pPr>
        <w:spacing w:before="240" w:after="240"/>
        <w:jc w:val="both"/>
        <w:rPr>
          <w:color w:val="4C94D8" w:themeColor="text2" w:themeTint="80"/>
        </w:rPr>
      </w:pPr>
      <w:r w:rsidRPr="3306A1A1">
        <w:rPr>
          <w:color w:val="0E2740"/>
        </w:rPr>
        <w:t xml:space="preserve">All participating Specsavers practices follow a standardised IIH </w:t>
      </w:r>
      <w:r w:rsidR="739160B3" w:rsidRPr="3306A1A1">
        <w:rPr>
          <w:color w:val="0E2740"/>
        </w:rPr>
        <w:t xml:space="preserve">scanning </w:t>
      </w:r>
      <w:r w:rsidRPr="3306A1A1">
        <w:rPr>
          <w:color w:val="0E2740"/>
        </w:rPr>
        <w:t>protocol</w:t>
      </w:r>
      <w:r w:rsidR="57F66D74" w:rsidRPr="3306A1A1">
        <w:rPr>
          <w:color w:val="0E2740"/>
        </w:rPr>
        <w:t xml:space="preserve"> on the same </w:t>
      </w:r>
      <w:proofErr w:type="spellStart"/>
      <w:r w:rsidR="57F66D74" w:rsidRPr="3306A1A1">
        <w:rPr>
          <w:color w:val="0E2740"/>
        </w:rPr>
        <w:t>Nidek</w:t>
      </w:r>
      <w:proofErr w:type="spellEnd"/>
      <w:r w:rsidR="57F66D74" w:rsidRPr="3306A1A1">
        <w:rPr>
          <w:color w:val="0E2740"/>
        </w:rPr>
        <w:t xml:space="preserve"> machine</w:t>
      </w:r>
      <w:r w:rsidRPr="3306A1A1">
        <w:rPr>
          <w:color w:val="0E2740"/>
        </w:rPr>
        <w:t xml:space="preserve"> developed specifically for this trial. Technicians have been formally </w:t>
      </w:r>
      <w:r w:rsidR="1A69512D" w:rsidRPr="3306A1A1">
        <w:rPr>
          <w:color w:val="0E2740"/>
        </w:rPr>
        <w:t xml:space="preserve">trained and </w:t>
      </w:r>
      <w:r w:rsidRPr="3306A1A1">
        <w:rPr>
          <w:color w:val="0E2740"/>
        </w:rPr>
        <w:t>accredited</w:t>
      </w:r>
      <w:r w:rsidR="4BB1251C" w:rsidRPr="3306A1A1">
        <w:rPr>
          <w:color w:val="0E2740"/>
        </w:rPr>
        <w:t xml:space="preserve"> by Specsavers</w:t>
      </w:r>
      <w:r w:rsidRPr="3306A1A1">
        <w:rPr>
          <w:color w:val="0E2740"/>
        </w:rPr>
        <w:t xml:space="preserve"> to perform </w:t>
      </w:r>
      <w:r w:rsidR="703E61A8" w:rsidRPr="3306A1A1">
        <w:rPr>
          <w:color w:val="0E2740"/>
        </w:rPr>
        <w:t xml:space="preserve">OCT </w:t>
      </w:r>
      <w:r w:rsidRPr="3306A1A1">
        <w:rPr>
          <w:color w:val="0E2740"/>
        </w:rPr>
        <w:t>scans.</w:t>
      </w:r>
    </w:p>
    <w:p w14:paraId="14F5DE3A" w14:textId="332B06D2" w:rsidR="244CAB46" w:rsidRDefault="244CAB46" w:rsidP="244CAB46">
      <w:pPr>
        <w:rPr>
          <w:color w:val="000000" w:themeColor="text1"/>
        </w:rPr>
      </w:pPr>
    </w:p>
    <w:p w14:paraId="710983FD" w14:textId="03E46CE4" w:rsidR="7F669E3B" w:rsidRDefault="44F17B32" w:rsidP="244CAB46">
      <w:pPr>
        <w:pStyle w:val="Heading3"/>
        <w:spacing w:before="281" w:after="281"/>
        <w:rPr>
          <w:rFonts w:eastAsiaTheme="minorEastAsia" w:cstheme="minorBidi"/>
          <w:b/>
          <w:bCs/>
          <w:color w:val="000000" w:themeColor="text1"/>
          <w:sz w:val="24"/>
          <w:szCs w:val="24"/>
        </w:rPr>
      </w:pPr>
      <w:r w:rsidRPr="3306A1A1">
        <w:rPr>
          <w:rFonts w:eastAsiaTheme="minorEastAsia" w:cstheme="minorBidi"/>
          <w:b/>
          <w:bCs/>
          <w:color w:val="000000" w:themeColor="text1"/>
          <w:sz w:val="24"/>
          <w:szCs w:val="24"/>
        </w:rPr>
        <w:t xml:space="preserve">Are </w:t>
      </w:r>
      <w:r w:rsidR="25147EF9" w:rsidRPr="3306A1A1">
        <w:rPr>
          <w:rFonts w:eastAsiaTheme="minorEastAsia" w:cstheme="minorBidi"/>
          <w:b/>
          <w:bCs/>
          <w:color w:val="000000" w:themeColor="text1"/>
          <w:sz w:val="24"/>
          <w:szCs w:val="24"/>
        </w:rPr>
        <w:t>patients</w:t>
      </w:r>
      <w:r w:rsidR="2AC0A5CD" w:rsidRPr="3306A1A1">
        <w:rPr>
          <w:rFonts w:eastAsiaTheme="minorEastAsia" w:cstheme="minorBidi"/>
          <w:b/>
          <w:bCs/>
          <w:color w:val="000000" w:themeColor="text1"/>
          <w:sz w:val="24"/>
          <w:szCs w:val="24"/>
        </w:rPr>
        <w:t xml:space="preserve"> advised if </w:t>
      </w:r>
      <w:r w:rsidRPr="3306A1A1">
        <w:rPr>
          <w:rFonts w:eastAsiaTheme="minorEastAsia" w:cstheme="minorBidi"/>
          <w:b/>
          <w:bCs/>
          <w:color w:val="000000" w:themeColor="text1"/>
          <w:sz w:val="24"/>
          <w:szCs w:val="24"/>
        </w:rPr>
        <w:t xml:space="preserve">fulminant </w:t>
      </w:r>
      <w:r w:rsidR="121440EE" w:rsidRPr="3306A1A1">
        <w:rPr>
          <w:rFonts w:eastAsiaTheme="minorEastAsia" w:cstheme="minorBidi"/>
          <w:b/>
          <w:bCs/>
          <w:color w:val="000000" w:themeColor="text1"/>
          <w:sz w:val="24"/>
          <w:szCs w:val="24"/>
        </w:rPr>
        <w:t>I</w:t>
      </w:r>
      <w:r w:rsidR="41EC6369" w:rsidRPr="3306A1A1">
        <w:rPr>
          <w:rFonts w:eastAsiaTheme="minorEastAsia" w:cstheme="minorBidi"/>
          <w:b/>
          <w:bCs/>
          <w:color w:val="000000" w:themeColor="text1"/>
          <w:sz w:val="24"/>
          <w:szCs w:val="24"/>
        </w:rPr>
        <w:t>I</w:t>
      </w:r>
      <w:r w:rsidR="121440EE" w:rsidRPr="3306A1A1">
        <w:rPr>
          <w:rFonts w:eastAsiaTheme="minorEastAsia" w:cstheme="minorBidi"/>
          <w:b/>
          <w:bCs/>
          <w:color w:val="000000" w:themeColor="text1"/>
          <w:sz w:val="24"/>
          <w:szCs w:val="24"/>
        </w:rPr>
        <w:t xml:space="preserve">H (severe optic disc </w:t>
      </w:r>
      <w:r w:rsidRPr="3306A1A1">
        <w:rPr>
          <w:rFonts w:eastAsiaTheme="minorEastAsia" w:cstheme="minorBidi"/>
          <w:b/>
          <w:bCs/>
          <w:color w:val="000000" w:themeColor="text1"/>
          <w:sz w:val="24"/>
          <w:szCs w:val="24"/>
        </w:rPr>
        <w:t>swelling</w:t>
      </w:r>
      <w:r w:rsidR="5BF46131" w:rsidRPr="3306A1A1">
        <w:rPr>
          <w:rFonts w:eastAsiaTheme="minorEastAsia" w:cstheme="minorBidi"/>
          <w:b/>
          <w:bCs/>
          <w:color w:val="000000" w:themeColor="text1"/>
          <w:sz w:val="24"/>
          <w:szCs w:val="24"/>
        </w:rPr>
        <w:t>)</w:t>
      </w:r>
      <w:r w:rsidRPr="3306A1A1">
        <w:rPr>
          <w:rFonts w:eastAsiaTheme="minorEastAsia" w:cstheme="minorBidi"/>
          <w:b/>
          <w:bCs/>
          <w:color w:val="000000" w:themeColor="text1"/>
          <w:sz w:val="24"/>
          <w:szCs w:val="24"/>
        </w:rPr>
        <w:t xml:space="preserve"> is detected?</w:t>
      </w:r>
    </w:p>
    <w:p w14:paraId="17EEBE01" w14:textId="494B6232" w:rsidR="7F669E3B" w:rsidRDefault="44F17B32" w:rsidP="3306A1A1">
      <w:pPr>
        <w:spacing w:before="240" w:after="240"/>
        <w:jc w:val="both"/>
        <w:rPr>
          <w:color w:val="4C94D8" w:themeColor="text2" w:themeTint="80"/>
        </w:rPr>
      </w:pPr>
      <w:r w:rsidRPr="3306A1A1">
        <w:rPr>
          <w:color w:val="0E2740"/>
        </w:rPr>
        <w:t xml:space="preserve">A safety protocol is in place within the trial. All OCT scans are reviewed, and if </w:t>
      </w:r>
      <w:r w:rsidR="0CE7DB6A" w:rsidRPr="3306A1A1">
        <w:rPr>
          <w:color w:val="0E2740"/>
        </w:rPr>
        <w:t>possible f</w:t>
      </w:r>
      <w:r w:rsidR="0CE7DB6A" w:rsidRPr="3306A1A1">
        <w:rPr>
          <w:color w:val="000000" w:themeColor="text1"/>
        </w:rPr>
        <w:t xml:space="preserve">ulminant IIH (severe optic disc swelling) </w:t>
      </w:r>
      <w:r w:rsidRPr="3306A1A1">
        <w:rPr>
          <w:color w:val="0E2740"/>
        </w:rPr>
        <w:t xml:space="preserve">is identified, the clinical care team is alerted </w:t>
      </w:r>
      <w:r w:rsidR="4C6DC55C" w:rsidRPr="3306A1A1">
        <w:rPr>
          <w:color w:val="0E2740"/>
        </w:rPr>
        <w:t>immediately,</w:t>
      </w:r>
      <w:r w:rsidRPr="3306A1A1">
        <w:rPr>
          <w:color w:val="0E2740"/>
        </w:rPr>
        <w:t xml:space="preserve"> and the patient is advised accordingly.</w:t>
      </w:r>
      <w:r w:rsidR="01D71F31" w:rsidRPr="3306A1A1">
        <w:rPr>
          <w:color w:val="0E2740"/>
        </w:rPr>
        <w:t xml:space="preserve"> </w:t>
      </w:r>
    </w:p>
    <w:p w14:paraId="0FBEBFA9" w14:textId="4D170586" w:rsidR="244CAB46" w:rsidRDefault="244CAB46" w:rsidP="244CAB46">
      <w:pPr>
        <w:spacing w:before="240" w:after="240"/>
        <w:rPr>
          <w:b/>
          <w:bCs/>
          <w:color w:val="000000" w:themeColor="text1"/>
        </w:rPr>
      </w:pPr>
    </w:p>
    <w:p w14:paraId="606BAB95" w14:textId="4418A624" w:rsidR="7F669E3B" w:rsidRDefault="7F669E3B" w:rsidP="244CAB46">
      <w:pPr>
        <w:spacing w:before="240" w:after="240"/>
        <w:rPr>
          <w:b/>
          <w:bCs/>
          <w:color w:val="000000" w:themeColor="text1"/>
        </w:rPr>
      </w:pPr>
      <w:r w:rsidRPr="244CAB46">
        <w:rPr>
          <w:b/>
          <w:bCs/>
          <w:color w:val="000000" w:themeColor="text1"/>
        </w:rPr>
        <w:t>Will the macular ganglion cell layer be monitored as a baseline to ensure disc swelling reduction is genuine and not due to optic atrophy?</w:t>
      </w:r>
    </w:p>
    <w:p w14:paraId="2134C11E" w14:textId="27224AD5" w:rsidR="7F669E3B" w:rsidRDefault="14C99A8F" w:rsidP="3306A1A1">
      <w:pPr>
        <w:spacing w:before="240" w:after="240"/>
        <w:jc w:val="both"/>
        <w:rPr>
          <w:color w:val="4C94D8" w:themeColor="text2" w:themeTint="80"/>
        </w:rPr>
      </w:pPr>
      <w:r w:rsidRPr="2246ABDB">
        <w:rPr>
          <w:color w:val="0E2740"/>
        </w:rPr>
        <w:t>Yes. Both RNFL (Retinal Nerve Fibre Layer) and GCL (Ganglion Cell Layer) will be measured and analysed</w:t>
      </w:r>
      <w:r w:rsidR="624C0C32" w:rsidRPr="2246ABDB">
        <w:rPr>
          <w:color w:val="0E2740"/>
        </w:rPr>
        <w:t xml:space="preserve"> for </w:t>
      </w:r>
      <w:r w:rsidR="5C998367" w:rsidRPr="2246ABDB">
        <w:rPr>
          <w:color w:val="0E2740"/>
        </w:rPr>
        <w:t>research from</w:t>
      </w:r>
      <w:r w:rsidRPr="2246ABDB">
        <w:rPr>
          <w:color w:val="0E2740"/>
        </w:rPr>
        <w:t xml:space="preserve"> OCT scan data collected at Specsavers.</w:t>
      </w:r>
      <w:r w:rsidR="36C658EA" w:rsidRPr="2246ABDB">
        <w:rPr>
          <w:color w:val="0E2740"/>
        </w:rPr>
        <w:t xml:space="preserve"> In addition</w:t>
      </w:r>
      <w:r w:rsidR="6885B2AC" w:rsidRPr="2246ABDB">
        <w:rPr>
          <w:color w:val="0E2740"/>
        </w:rPr>
        <w:t xml:space="preserve">, clinicians will conduct their usual IIH monitoring in the NHS. </w:t>
      </w:r>
    </w:p>
    <w:p w14:paraId="4CFD154F" w14:textId="74464ABE" w:rsidR="3306A1A1" w:rsidRDefault="3306A1A1" w:rsidP="3306A1A1">
      <w:pPr>
        <w:spacing w:before="240" w:after="240"/>
        <w:jc w:val="both"/>
        <w:rPr>
          <w:color w:val="0E2740"/>
        </w:rPr>
      </w:pPr>
    </w:p>
    <w:p w14:paraId="2BD8833B" w14:textId="60A72B09" w:rsidR="100743F3" w:rsidRDefault="6885B2AC" w:rsidP="2246ABDB">
      <w:pPr>
        <w:spacing w:before="240" w:after="240"/>
        <w:jc w:val="both"/>
        <w:rPr>
          <w:b/>
          <w:bCs/>
          <w:color w:val="0E2740"/>
        </w:rPr>
      </w:pPr>
      <w:r w:rsidRPr="2246ABDB">
        <w:rPr>
          <w:b/>
          <w:bCs/>
          <w:color w:val="0E2740"/>
        </w:rPr>
        <w:lastRenderedPageBreak/>
        <w:t xml:space="preserve">Will the OCT scans done at Specsavers for </w:t>
      </w:r>
      <w:r w:rsidR="152C4B6C" w:rsidRPr="2246ABDB">
        <w:rPr>
          <w:b/>
          <w:bCs/>
          <w:color w:val="0E2740"/>
        </w:rPr>
        <w:t>research</w:t>
      </w:r>
      <w:r w:rsidRPr="2246ABDB">
        <w:rPr>
          <w:b/>
          <w:bCs/>
          <w:color w:val="0E2740"/>
        </w:rPr>
        <w:t xml:space="preserve"> be given to the NHS </w:t>
      </w:r>
      <w:r w:rsidR="775812A7" w:rsidRPr="2246ABDB">
        <w:rPr>
          <w:b/>
          <w:bCs/>
          <w:color w:val="0E2740"/>
        </w:rPr>
        <w:t>clinical</w:t>
      </w:r>
      <w:r w:rsidRPr="2246ABDB">
        <w:rPr>
          <w:b/>
          <w:bCs/>
          <w:color w:val="0E2740"/>
        </w:rPr>
        <w:t xml:space="preserve"> team?</w:t>
      </w:r>
    </w:p>
    <w:p w14:paraId="6CFA1F38" w14:textId="61A0DDD7" w:rsidR="100743F3" w:rsidRDefault="6885B2AC" w:rsidP="3306A1A1">
      <w:pPr>
        <w:spacing w:before="240" w:after="240"/>
        <w:jc w:val="both"/>
        <w:rPr>
          <w:color w:val="0E2740"/>
        </w:rPr>
      </w:pPr>
      <w:r w:rsidRPr="2246ABDB">
        <w:rPr>
          <w:color w:val="0E2740"/>
        </w:rPr>
        <w:t xml:space="preserve">No, </w:t>
      </w:r>
      <w:r w:rsidR="36BAFF11" w:rsidRPr="2246ABDB">
        <w:rPr>
          <w:color w:val="0E2740"/>
        </w:rPr>
        <w:t>the</w:t>
      </w:r>
      <w:r w:rsidRPr="2246ABDB">
        <w:rPr>
          <w:color w:val="0E2740"/>
        </w:rPr>
        <w:t xml:space="preserve"> </w:t>
      </w:r>
      <w:r w:rsidR="479DF7F9" w:rsidRPr="2246ABDB">
        <w:rPr>
          <w:color w:val="0E2740"/>
        </w:rPr>
        <w:t>research</w:t>
      </w:r>
      <w:r w:rsidRPr="2246ABDB">
        <w:rPr>
          <w:color w:val="0E2740"/>
        </w:rPr>
        <w:t xml:space="preserve"> OCT scans </w:t>
      </w:r>
      <w:r w:rsidR="412267DF" w:rsidRPr="2246ABDB">
        <w:rPr>
          <w:color w:val="0E2740"/>
        </w:rPr>
        <w:t>performed</w:t>
      </w:r>
      <w:r w:rsidRPr="2246ABDB">
        <w:rPr>
          <w:color w:val="0E2740"/>
        </w:rPr>
        <w:t xml:space="preserve"> at </w:t>
      </w:r>
      <w:r w:rsidR="0A513D70" w:rsidRPr="2246ABDB">
        <w:rPr>
          <w:color w:val="0E2740"/>
        </w:rPr>
        <w:t>Specsavers</w:t>
      </w:r>
      <w:r w:rsidRPr="2246ABDB">
        <w:rPr>
          <w:color w:val="0E2740"/>
        </w:rPr>
        <w:t xml:space="preserve"> are used as an outcome </w:t>
      </w:r>
      <w:r w:rsidR="2542A3BA" w:rsidRPr="2246ABDB">
        <w:rPr>
          <w:color w:val="0E2740"/>
        </w:rPr>
        <w:t>m</w:t>
      </w:r>
      <w:r w:rsidR="6C9639EB" w:rsidRPr="2246ABDB">
        <w:rPr>
          <w:color w:val="0E2740"/>
        </w:rPr>
        <w:t>eas</w:t>
      </w:r>
      <w:r w:rsidR="2542A3BA" w:rsidRPr="2246ABDB">
        <w:rPr>
          <w:color w:val="0E2740"/>
        </w:rPr>
        <w:t>ure</w:t>
      </w:r>
      <w:r w:rsidRPr="2246ABDB">
        <w:rPr>
          <w:color w:val="0E2740"/>
        </w:rPr>
        <w:t xml:space="preserve"> </w:t>
      </w:r>
      <w:r w:rsidR="66459D73" w:rsidRPr="2246ABDB">
        <w:rPr>
          <w:color w:val="0E2740"/>
        </w:rPr>
        <w:t>for the IIH Advance</w:t>
      </w:r>
      <w:r w:rsidRPr="2246ABDB">
        <w:rPr>
          <w:color w:val="0E2740"/>
        </w:rPr>
        <w:t xml:space="preserve"> </w:t>
      </w:r>
      <w:r w:rsidR="5DDBAB0C" w:rsidRPr="2246ABDB">
        <w:rPr>
          <w:color w:val="0E2740"/>
        </w:rPr>
        <w:t>clinical</w:t>
      </w:r>
      <w:r w:rsidRPr="2246ABDB">
        <w:rPr>
          <w:color w:val="0E2740"/>
        </w:rPr>
        <w:t xml:space="preserve"> tri</w:t>
      </w:r>
      <w:r w:rsidR="2904E7F6" w:rsidRPr="2246ABDB">
        <w:rPr>
          <w:color w:val="0E2740"/>
        </w:rPr>
        <w:t>a</w:t>
      </w:r>
      <w:r w:rsidRPr="2246ABDB">
        <w:rPr>
          <w:color w:val="0E2740"/>
        </w:rPr>
        <w:t xml:space="preserve">l. The </w:t>
      </w:r>
      <w:r w:rsidR="0175BB0E" w:rsidRPr="2246ABDB">
        <w:rPr>
          <w:color w:val="0E2740"/>
        </w:rPr>
        <w:t xml:space="preserve">research </w:t>
      </w:r>
      <w:r w:rsidRPr="2246ABDB">
        <w:rPr>
          <w:color w:val="0E2740"/>
        </w:rPr>
        <w:t xml:space="preserve">OCT </w:t>
      </w:r>
      <w:r w:rsidR="6B649C31" w:rsidRPr="2246ABDB">
        <w:rPr>
          <w:color w:val="0E2740"/>
        </w:rPr>
        <w:t>s</w:t>
      </w:r>
      <w:r w:rsidRPr="2246ABDB">
        <w:rPr>
          <w:color w:val="0E2740"/>
        </w:rPr>
        <w:t>canning DOES NOT replace usual NHS care</w:t>
      </w:r>
      <w:r w:rsidR="6B490177" w:rsidRPr="2246ABDB">
        <w:rPr>
          <w:color w:val="0E2740"/>
        </w:rPr>
        <w:t xml:space="preserve"> (with OCT scans as </w:t>
      </w:r>
      <w:r w:rsidR="3E8451E4" w:rsidRPr="2246ABDB">
        <w:rPr>
          <w:color w:val="0E2740"/>
        </w:rPr>
        <w:t>needed) which</w:t>
      </w:r>
      <w:r w:rsidRPr="2246ABDB">
        <w:rPr>
          <w:color w:val="0E2740"/>
        </w:rPr>
        <w:t xml:space="preserve"> should continue alongside the research </w:t>
      </w:r>
      <w:r w:rsidR="091691DF" w:rsidRPr="2246ABDB">
        <w:rPr>
          <w:color w:val="0E2740"/>
        </w:rPr>
        <w:t>evaluations.</w:t>
      </w:r>
    </w:p>
    <w:p w14:paraId="4F6EB9D3" w14:textId="28A5BC4E" w:rsidR="244CAB46" w:rsidRDefault="244CAB46" w:rsidP="244CAB46">
      <w:pPr>
        <w:spacing w:before="240" w:after="240"/>
        <w:rPr>
          <w:color w:val="000000" w:themeColor="text1"/>
        </w:rPr>
      </w:pPr>
    </w:p>
    <w:p w14:paraId="6D2C7F4C" w14:textId="2DA45C8F" w:rsidR="7F669E3B" w:rsidRDefault="7F669E3B" w:rsidP="244CAB46">
      <w:pPr>
        <w:pStyle w:val="Heading3"/>
        <w:spacing w:before="281" w:after="281"/>
        <w:rPr>
          <w:rFonts w:eastAsiaTheme="minorEastAsia" w:cstheme="minorBidi"/>
          <w:b/>
          <w:bCs/>
          <w:color w:val="000000" w:themeColor="text1"/>
          <w:sz w:val="24"/>
          <w:szCs w:val="24"/>
        </w:rPr>
      </w:pPr>
      <w:r w:rsidRPr="244CAB46">
        <w:rPr>
          <w:rFonts w:eastAsiaTheme="minorEastAsia" w:cstheme="minorBidi"/>
          <w:b/>
          <w:bCs/>
          <w:color w:val="000000" w:themeColor="text1"/>
          <w:sz w:val="24"/>
          <w:szCs w:val="24"/>
        </w:rPr>
        <w:t>Can participants be prescribed acetazolamide or topiramate?</w:t>
      </w:r>
    </w:p>
    <w:p w14:paraId="778C9B41" w14:textId="1DCFD3D9" w:rsidR="7F669E3B" w:rsidRDefault="44F17B32" w:rsidP="3306A1A1">
      <w:pPr>
        <w:spacing w:before="240" w:after="240"/>
        <w:rPr>
          <w:color w:val="4C94D8" w:themeColor="text2" w:themeTint="80"/>
        </w:rPr>
      </w:pPr>
      <w:r w:rsidRPr="3306A1A1">
        <w:rPr>
          <w:color w:val="0E2740"/>
        </w:rPr>
        <w:t>Yes. Prescribing decisions for these medications remain the responsibility of NHS clinicians as part of standard care</w:t>
      </w:r>
      <w:r w:rsidR="6115E25B" w:rsidRPr="3306A1A1">
        <w:rPr>
          <w:color w:val="0E2740"/>
        </w:rPr>
        <w:t xml:space="preserve"> for IIH</w:t>
      </w:r>
      <w:r w:rsidRPr="3306A1A1">
        <w:rPr>
          <w:color w:val="0E2740"/>
        </w:rPr>
        <w:t>.</w:t>
      </w:r>
    </w:p>
    <w:p w14:paraId="2D1D49E2" w14:textId="2C6F9ADE" w:rsidR="244CAB46" w:rsidRDefault="244CAB46" w:rsidP="244CAB46">
      <w:pPr>
        <w:spacing w:before="240" w:after="240"/>
        <w:rPr>
          <w:color w:val="000000" w:themeColor="text1"/>
        </w:rPr>
      </w:pPr>
    </w:p>
    <w:p w14:paraId="721A470A" w14:textId="30A8BB3C" w:rsidR="7F669E3B" w:rsidRDefault="7F669E3B" w:rsidP="244CAB46">
      <w:pPr>
        <w:pStyle w:val="Heading3"/>
        <w:spacing w:before="281" w:after="281"/>
        <w:rPr>
          <w:rFonts w:eastAsiaTheme="minorEastAsia" w:cstheme="minorBidi"/>
          <w:b/>
          <w:bCs/>
          <w:color w:val="000000" w:themeColor="text1"/>
          <w:sz w:val="24"/>
          <w:szCs w:val="24"/>
        </w:rPr>
      </w:pPr>
      <w:r w:rsidRPr="244CAB46">
        <w:rPr>
          <w:rFonts w:eastAsiaTheme="minorEastAsia" w:cstheme="minorBidi"/>
          <w:b/>
          <w:bCs/>
          <w:color w:val="000000" w:themeColor="text1"/>
          <w:sz w:val="24"/>
          <w:szCs w:val="24"/>
        </w:rPr>
        <w:t>How is the effect of other ICP-lowering medications accounted for?</w:t>
      </w:r>
    </w:p>
    <w:p w14:paraId="6D7A28FD" w14:textId="79E9151F" w:rsidR="7F669E3B" w:rsidRDefault="44F17B32" w:rsidP="3306A1A1">
      <w:pPr>
        <w:spacing w:before="240" w:after="240"/>
        <w:rPr>
          <w:color w:val="4C94D8" w:themeColor="text2" w:themeTint="80"/>
        </w:rPr>
      </w:pPr>
      <w:r w:rsidRPr="3306A1A1">
        <w:rPr>
          <w:color w:val="0E2740"/>
        </w:rPr>
        <w:t>Information on all relevant medications will be collected and incorporated into the statistical analysis</w:t>
      </w:r>
      <w:r w:rsidR="7DB2F948" w:rsidRPr="3306A1A1">
        <w:rPr>
          <w:color w:val="0E2740"/>
        </w:rPr>
        <w:t xml:space="preserve"> plan</w:t>
      </w:r>
      <w:r w:rsidRPr="3306A1A1">
        <w:rPr>
          <w:color w:val="0E2740"/>
        </w:rPr>
        <w:t xml:space="preserve"> to ensure accurate interpretation of trial outcomes.</w:t>
      </w:r>
    </w:p>
    <w:p w14:paraId="75943904" w14:textId="6242D169" w:rsidR="244CAB46" w:rsidRDefault="244CAB46" w:rsidP="244CAB46">
      <w:pPr>
        <w:spacing w:before="240" w:after="240"/>
        <w:rPr>
          <w:color w:val="000000" w:themeColor="text1"/>
        </w:rPr>
      </w:pPr>
    </w:p>
    <w:p w14:paraId="3CD8FC0D" w14:textId="12D8F14F" w:rsidR="7F669E3B" w:rsidRDefault="7F669E3B" w:rsidP="244CAB46">
      <w:pPr>
        <w:pStyle w:val="Heading3"/>
        <w:spacing w:before="281" w:after="281"/>
        <w:rPr>
          <w:rFonts w:eastAsiaTheme="minorEastAsia" w:cstheme="minorBidi"/>
          <w:b/>
          <w:bCs/>
          <w:color w:val="000000" w:themeColor="text1"/>
          <w:sz w:val="24"/>
          <w:szCs w:val="24"/>
        </w:rPr>
      </w:pPr>
      <w:r w:rsidRPr="244CAB46">
        <w:rPr>
          <w:rFonts w:eastAsiaTheme="minorEastAsia" w:cstheme="minorBidi"/>
          <w:b/>
          <w:bCs/>
          <w:color w:val="000000" w:themeColor="text1"/>
          <w:sz w:val="24"/>
          <w:szCs w:val="24"/>
        </w:rPr>
        <w:t>How will patient engagement with NHS clinics be encouraged if they are being monitored through Specsavers?</w:t>
      </w:r>
    </w:p>
    <w:p w14:paraId="64B21BB4" w14:textId="1E116ADA" w:rsidR="7F669E3B" w:rsidRPr="002961EE" w:rsidRDefault="7F669E3B" w:rsidP="244CAB46">
      <w:pPr>
        <w:spacing w:before="240" w:after="240"/>
      </w:pPr>
      <w:r w:rsidRPr="002961EE">
        <w:t>It is made clear to participants that the management of IIH remains with their usual NHS team. Ongoing NHS care is essential and will be reinforced to all participants.</w:t>
      </w:r>
    </w:p>
    <w:p w14:paraId="4A31CC6F" w14:textId="0A5FA2D6" w:rsidR="244CAB46" w:rsidRDefault="244CAB46" w:rsidP="244CAB46">
      <w:pPr>
        <w:spacing w:before="240" w:after="240"/>
        <w:rPr>
          <w:color w:val="000000" w:themeColor="text1"/>
        </w:rPr>
      </w:pPr>
    </w:p>
    <w:p w14:paraId="4DC20628" w14:textId="77D99F82" w:rsidR="7F669E3B" w:rsidRDefault="44F17B32" w:rsidP="244CAB46">
      <w:pPr>
        <w:pStyle w:val="Heading3"/>
        <w:spacing w:before="281" w:after="281"/>
        <w:rPr>
          <w:rFonts w:eastAsiaTheme="minorEastAsia" w:cstheme="minorBidi"/>
          <w:b/>
          <w:bCs/>
          <w:color w:val="000000" w:themeColor="text1"/>
          <w:sz w:val="24"/>
          <w:szCs w:val="24"/>
        </w:rPr>
      </w:pPr>
      <w:r w:rsidRPr="3306A1A1">
        <w:rPr>
          <w:rFonts w:eastAsiaTheme="minorEastAsia" w:cstheme="minorBidi"/>
          <w:b/>
          <w:bCs/>
          <w:color w:val="000000" w:themeColor="text1"/>
          <w:sz w:val="24"/>
          <w:szCs w:val="24"/>
        </w:rPr>
        <w:t xml:space="preserve">Is psychological support offered, for example regarding dietary </w:t>
      </w:r>
      <w:r w:rsidR="1FE044F5" w:rsidRPr="3306A1A1">
        <w:rPr>
          <w:rFonts w:eastAsiaTheme="minorEastAsia" w:cstheme="minorBidi"/>
          <w:b/>
          <w:bCs/>
          <w:color w:val="000000" w:themeColor="text1"/>
          <w:sz w:val="24"/>
          <w:szCs w:val="24"/>
        </w:rPr>
        <w:t>advise</w:t>
      </w:r>
      <w:r w:rsidRPr="3306A1A1">
        <w:rPr>
          <w:rFonts w:eastAsiaTheme="minorEastAsia" w:cstheme="minorBidi"/>
          <w:b/>
          <w:bCs/>
          <w:color w:val="000000" w:themeColor="text1"/>
          <w:sz w:val="24"/>
          <w:szCs w:val="24"/>
        </w:rPr>
        <w:t xml:space="preserve"> or psychological approaches to food?</w:t>
      </w:r>
    </w:p>
    <w:p w14:paraId="6B3A9A6C" w14:textId="238CEA09" w:rsidR="7F669E3B" w:rsidRDefault="14C99A8F" w:rsidP="3306A1A1">
      <w:pPr>
        <w:spacing w:before="240" w:after="240"/>
        <w:rPr>
          <w:color w:val="4C94D8" w:themeColor="text2" w:themeTint="80"/>
        </w:rPr>
      </w:pPr>
      <w:r w:rsidRPr="2246ABDB">
        <w:rPr>
          <w:color w:val="0E2740"/>
        </w:rPr>
        <w:t>No. This trial does not provide psychological support in these areas</w:t>
      </w:r>
      <w:r w:rsidR="7BB69186" w:rsidRPr="2246ABDB">
        <w:rPr>
          <w:color w:val="0E2740"/>
        </w:rPr>
        <w:t xml:space="preserve">. Patients can still access weight management support within the NHS care. </w:t>
      </w:r>
    </w:p>
    <w:p w14:paraId="656ED4E9" w14:textId="50D31FB3" w:rsidR="2246ABDB" w:rsidRDefault="2246ABDB" w:rsidP="2246ABDB">
      <w:pPr>
        <w:spacing w:before="240" w:after="240"/>
        <w:rPr>
          <w:color w:val="0E2740"/>
        </w:rPr>
      </w:pPr>
    </w:p>
    <w:p w14:paraId="4F9E26A8" w14:textId="26B859E9" w:rsidR="7F669E3B" w:rsidRDefault="7F669E3B" w:rsidP="244CAB46">
      <w:pPr>
        <w:pStyle w:val="Heading3"/>
        <w:spacing w:before="281" w:after="281"/>
        <w:rPr>
          <w:rFonts w:eastAsiaTheme="minorEastAsia" w:cstheme="minorBidi"/>
          <w:b/>
          <w:bCs/>
          <w:color w:val="000000" w:themeColor="text1"/>
          <w:sz w:val="24"/>
          <w:szCs w:val="24"/>
        </w:rPr>
      </w:pPr>
      <w:r w:rsidRPr="244CAB46">
        <w:rPr>
          <w:rFonts w:eastAsiaTheme="minorEastAsia" w:cstheme="minorBidi"/>
          <w:b/>
          <w:bCs/>
          <w:color w:val="000000" w:themeColor="text1"/>
          <w:sz w:val="24"/>
          <w:szCs w:val="24"/>
        </w:rPr>
        <w:t>Are measures taken to prevent weight gain after stopping the drug, or does involvement end at that point?</w:t>
      </w:r>
    </w:p>
    <w:p w14:paraId="4CA85041" w14:textId="63C6D29D" w:rsidR="7F669E3B" w:rsidRDefault="44F17B32" w:rsidP="3306A1A1">
      <w:pPr>
        <w:spacing w:before="240" w:after="240"/>
        <w:rPr>
          <w:color w:val="4C94D8" w:themeColor="text2" w:themeTint="80"/>
        </w:rPr>
      </w:pPr>
      <w:r w:rsidRPr="3306A1A1">
        <w:rPr>
          <w:color w:val="0E2740"/>
        </w:rPr>
        <w:t xml:space="preserve">Weight regain is common after discontinuing anti-obesity medications, with approximately 75% of weight typically regained within 12 months. It is not yet known </w:t>
      </w:r>
      <w:r w:rsidRPr="3306A1A1">
        <w:rPr>
          <w:color w:val="0E2740"/>
        </w:rPr>
        <w:lastRenderedPageBreak/>
        <w:t xml:space="preserve">whether </w:t>
      </w:r>
      <w:proofErr w:type="spellStart"/>
      <w:r w:rsidRPr="3306A1A1">
        <w:rPr>
          <w:color w:val="0E2740"/>
        </w:rPr>
        <w:t>papilloedema</w:t>
      </w:r>
      <w:proofErr w:type="spellEnd"/>
      <w:r w:rsidRPr="3306A1A1">
        <w:rPr>
          <w:color w:val="0E2740"/>
        </w:rPr>
        <w:t xml:space="preserve"> </w:t>
      </w:r>
      <w:r w:rsidR="423A7434" w:rsidRPr="3306A1A1">
        <w:rPr>
          <w:color w:val="0E2740"/>
        </w:rPr>
        <w:t xml:space="preserve">and IIH </w:t>
      </w:r>
      <w:r w:rsidRPr="3306A1A1">
        <w:rPr>
          <w:color w:val="0E2740"/>
        </w:rPr>
        <w:t>will recur following weight regain, and this is a key question for the trial. In clinical practice, some patients remain in IIH remission while others relapse, highlighting the uncertainty that this study aims to clarify.</w:t>
      </w:r>
    </w:p>
    <w:p w14:paraId="1351C8DE" w14:textId="6B7E0944" w:rsidR="244CAB46" w:rsidRDefault="244CAB46" w:rsidP="244CAB46">
      <w:pPr>
        <w:rPr>
          <w:rFonts w:ascii="Segoe UI" w:eastAsia="Segoe UI" w:hAnsi="Segoe UI" w:cs="Segoe UI"/>
          <w:color w:val="000000" w:themeColor="text1"/>
          <w:sz w:val="21"/>
          <w:szCs w:val="21"/>
        </w:rPr>
      </w:pPr>
    </w:p>
    <w:sectPr w:rsidR="244CAB4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932B14"/>
    <w:rsid w:val="002961EE"/>
    <w:rsid w:val="00A75C1F"/>
    <w:rsid w:val="00D75C5A"/>
    <w:rsid w:val="0175BB0E"/>
    <w:rsid w:val="01D71F31"/>
    <w:rsid w:val="0531C1F9"/>
    <w:rsid w:val="07FD5500"/>
    <w:rsid w:val="091691DF"/>
    <w:rsid w:val="09F61270"/>
    <w:rsid w:val="0A513D70"/>
    <w:rsid w:val="0AEE3DB9"/>
    <w:rsid w:val="0CE7DB6A"/>
    <w:rsid w:val="0FC41652"/>
    <w:rsid w:val="100743F3"/>
    <w:rsid w:val="105B9B1B"/>
    <w:rsid w:val="1104933C"/>
    <w:rsid w:val="121440EE"/>
    <w:rsid w:val="14C99A8F"/>
    <w:rsid w:val="14DC00A6"/>
    <w:rsid w:val="152C4B6C"/>
    <w:rsid w:val="1588BC80"/>
    <w:rsid w:val="19D1373C"/>
    <w:rsid w:val="1A4A71C0"/>
    <w:rsid w:val="1A69512D"/>
    <w:rsid w:val="1B7CFDBC"/>
    <w:rsid w:val="1CF4FDE6"/>
    <w:rsid w:val="1D3E5358"/>
    <w:rsid w:val="1FE044F5"/>
    <w:rsid w:val="219878A8"/>
    <w:rsid w:val="221ADC23"/>
    <w:rsid w:val="2246ABDB"/>
    <w:rsid w:val="244CAB46"/>
    <w:rsid w:val="24ED2F8F"/>
    <w:rsid w:val="25147EF9"/>
    <w:rsid w:val="2542A3BA"/>
    <w:rsid w:val="2904E7F6"/>
    <w:rsid w:val="29AB4F04"/>
    <w:rsid w:val="2A3DDC40"/>
    <w:rsid w:val="2AC0A5CD"/>
    <w:rsid w:val="2E7B89A6"/>
    <w:rsid w:val="2E932B14"/>
    <w:rsid w:val="2EF04E36"/>
    <w:rsid w:val="31E4ECF6"/>
    <w:rsid w:val="3306A1A1"/>
    <w:rsid w:val="3322FACE"/>
    <w:rsid w:val="33E7509B"/>
    <w:rsid w:val="345CC5DB"/>
    <w:rsid w:val="35C91FD5"/>
    <w:rsid w:val="36BAFF11"/>
    <w:rsid w:val="36C658EA"/>
    <w:rsid w:val="3D3B3248"/>
    <w:rsid w:val="3E7295F0"/>
    <w:rsid w:val="3E8451E4"/>
    <w:rsid w:val="3EBCBB74"/>
    <w:rsid w:val="3FAB521D"/>
    <w:rsid w:val="412267DF"/>
    <w:rsid w:val="418A71D9"/>
    <w:rsid w:val="41EC6369"/>
    <w:rsid w:val="423A7434"/>
    <w:rsid w:val="44F17B32"/>
    <w:rsid w:val="45042524"/>
    <w:rsid w:val="45087BDF"/>
    <w:rsid w:val="4645575C"/>
    <w:rsid w:val="468EF9B7"/>
    <w:rsid w:val="479DF7F9"/>
    <w:rsid w:val="49932A11"/>
    <w:rsid w:val="4BB1251C"/>
    <w:rsid w:val="4BEE5529"/>
    <w:rsid w:val="4C6D4E19"/>
    <w:rsid w:val="4C6DC55C"/>
    <w:rsid w:val="4E097927"/>
    <w:rsid w:val="5006EE9F"/>
    <w:rsid w:val="51D991CF"/>
    <w:rsid w:val="546AA15E"/>
    <w:rsid w:val="555E57A1"/>
    <w:rsid w:val="57464278"/>
    <w:rsid w:val="57F66D74"/>
    <w:rsid w:val="585C75A9"/>
    <w:rsid w:val="59574D16"/>
    <w:rsid w:val="5BF46131"/>
    <w:rsid w:val="5C998367"/>
    <w:rsid w:val="5DDBAB0C"/>
    <w:rsid w:val="5E6B446A"/>
    <w:rsid w:val="6115E25B"/>
    <w:rsid w:val="6188FC8A"/>
    <w:rsid w:val="624C0C32"/>
    <w:rsid w:val="628BE6A2"/>
    <w:rsid w:val="63F54F03"/>
    <w:rsid w:val="640486F0"/>
    <w:rsid w:val="65A114CC"/>
    <w:rsid w:val="66459D73"/>
    <w:rsid w:val="6777F83B"/>
    <w:rsid w:val="6885B2AC"/>
    <w:rsid w:val="690120CD"/>
    <w:rsid w:val="6B490177"/>
    <w:rsid w:val="6B649C31"/>
    <w:rsid w:val="6C902C23"/>
    <w:rsid w:val="6C9639EB"/>
    <w:rsid w:val="6D595647"/>
    <w:rsid w:val="703E61A8"/>
    <w:rsid w:val="70E71A03"/>
    <w:rsid w:val="71022EE4"/>
    <w:rsid w:val="72BCFABC"/>
    <w:rsid w:val="739160B3"/>
    <w:rsid w:val="73B51E14"/>
    <w:rsid w:val="7739D716"/>
    <w:rsid w:val="775812A7"/>
    <w:rsid w:val="78C197DF"/>
    <w:rsid w:val="7B848515"/>
    <w:rsid w:val="7BB69186"/>
    <w:rsid w:val="7DB2F948"/>
    <w:rsid w:val="7F669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32B14"/>
  <w15:chartTrackingRefBased/>
  <w15:docId w15:val="{946565F0-3F6C-4EC7-A3FF-36E65019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uiPriority w:val="9"/>
    <w:unhideWhenUsed/>
    <w:qFormat/>
    <w:rsid w:val="244CAB46"/>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Roboto"/>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534</Words>
  <Characters>2948</Characters>
  <Application>Microsoft Office Word</Application>
  <DocSecurity>0</DocSecurity>
  <Lines>226</Lines>
  <Paragraphs>108</Paragraphs>
  <ScaleCrop>false</ScaleCrop>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Gew (Metabolism and Systems Science)</dc:creator>
  <cp:keywords/>
  <dc:description/>
  <cp:lastModifiedBy>Leliana Jardim (CMH - Administration)</cp:lastModifiedBy>
  <cp:revision>2</cp:revision>
  <dcterms:created xsi:type="dcterms:W3CDTF">2026-01-07T11:38:00Z</dcterms:created>
  <dcterms:modified xsi:type="dcterms:W3CDTF">2026-01-07T11:38:00Z</dcterms:modified>
</cp:coreProperties>
</file>