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A8" w:rsidRPr="00356718" w:rsidRDefault="002F1AE1" w:rsidP="003B54A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 w:rsidRPr="00C84C69">
        <w:rPr>
          <w:rFonts w:ascii="Arial" w:hAnsi="Arial" w:cs="Arial"/>
          <w:szCs w:val="24"/>
          <w:highlight w:val="yellow"/>
          <w:lang w:eastAsia="en-US"/>
        </w:rPr>
        <w:t>TO BE PRINTED ON LOCAL TRUST HEADED PAPER</w:t>
      </w:r>
    </w:p>
    <w:p w:rsidR="003B54A8" w:rsidRDefault="00356718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679F71CD" wp14:editId="6ADDAB13">
            <wp:simplePos x="0" y="0"/>
            <wp:positionH relativeFrom="column">
              <wp:posOffset>-66040</wp:posOffset>
            </wp:positionH>
            <wp:positionV relativeFrom="paragraph">
              <wp:posOffset>55245</wp:posOffset>
            </wp:positionV>
            <wp:extent cx="1155700" cy="11557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TEC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E1" w:rsidRDefault="002F1AE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2F1AE1" w:rsidRDefault="002F1AE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2F1AE1" w:rsidRDefault="002F1AE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2F1AE1" w:rsidRDefault="002F1AE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3B54A8" w:rsidRPr="00D45D09" w:rsidRDefault="003B54A8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3B54A8" w:rsidRPr="00D45D09" w:rsidRDefault="003B54A8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3B54A8" w:rsidRPr="00D45D09" w:rsidRDefault="003B54A8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3B54A8" w:rsidRPr="00D45D09" w:rsidRDefault="003B54A8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4C55E9" w:rsidRDefault="00C71DEC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&lt;Doctor&gt;</w:t>
      </w:r>
    </w:p>
    <w:p w:rsidR="00C71DEC" w:rsidRDefault="00C71DEC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&lt;Practice&gt;</w:t>
      </w:r>
    </w:p>
    <w:p w:rsidR="00C71DEC" w:rsidRDefault="00C71DEC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&lt;Street&gt;</w:t>
      </w:r>
    </w:p>
    <w:p w:rsidR="00C71DEC" w:rsidRDefault="00C71DEC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&lt;City&gt;</w:t>
      </w:r>
    </w:p>
    <w:p w:rsidR="00C71DEC" w:rsidRDefault="00C71DEC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&lt;Postcode&gt;</w:t>
      </w:r>
    </w:p>
    <w:p w:rsidR="00C71DEC" w:rsidRDefault="00C71DEC" w:rsidP="00C71DEC">
      <w:pPr>
        <w:jc w:val="both"/>
        <w:rPr>
          <w:rFonts w:ascii="Arial" w:hAnsi="Arial" w:cs="Arial"/>
          <w:sz w:val="22"/>
          <w:szCs w:val="22"/>
        </w:rPr>
      </w:pPr>
    </w:p>
    <w:p w:rsidR="00C71DEC" w:rsidRDefault="00C71DEC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&lt;Date&gt;</w:t>
      </w:r>
    </w:p>
    <w:p w:rsidR="00C71DEC" w:rsidRDefault="00C71DEC" w:rsidP="00C71DEC">
      <w:pPr>
        <w:jc w:val="both"/>
        <w:rPr>
          <w:rFonts w:ascii="Arial" w:hAnsi="Arial" w:cs="Arial"/>
          <w:sz w:val="22"/>
          <w:szCs w:val="22"/>
        </w:rPr>
      </w:pPr>
    </w:p>
    <w:p w:rsidR="002F1AE1" w:rsidRPr="00C71DEC" w:rsidRDefault="002F1AE1" w:rsidP="00C71DEC">
      <w:pPr>
        <w:jc w:val="both"/>
        <w:rPr>
          <w:rFonts w:ascii="Arial" w:hAnsi="Arial" w:cs="Arial"/>
          <w:sz w:val="22"/>
          <w:szCs w:val="22"/>
        </w:rPr>
      </w:pPr>
    </w:p>
    <w:p w:rsidR="004C55E9" w:rsidRPr="00C71DEC" w:rsidRDefault="00C71DEC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 xml:space="preserve"> &lt;GP name&gt;</w:t>
      </w:r>
      <w:r w:rsidR="004C55E9" w:rsidRPr="00C71DEC">
        <w:rPr>
          <w:rFonts w:ascii="Arial" w:hAnsi="Arial" w:cs="Arial"/>
          <w:sz w:val="22"/>
          <w:szCs w:val="22"/>
        </w:rPr>
        <w:t>,</w:t>
      </w:r>
    </w:p>
    <w:p w:rsidR="004C55E9" w:rsidRDefault="004C55E9" w:rsidP="00C71DEC">
      <w:pPr>
        <w:jc w:val="both"/>
        <w:rPr>
          <w:rFonts w:ascii="Arial" w:hAnsi="Arial" w:cs="Arial"/>
          <w:sz w:val="22"/>
          <w:szCs w:val="22"/>
        </w:rPr>
      </w:pPr>
    </w:p>
    <w:p w:rsidR="002F1AE1" w:rsidRPr="00C71DEC" w:rsidRDefault="002F1AE1" w:rsidP="00C71DEC">
      <w:pPr>
        <w:jc w:val="both"/>
        <w:rPr>
          <w:rFonts w:ascii="Arial" w:hAnsi="Arial" w:cs="Arial"/>
          <w:sz w:val="22"/>
          <w:szCs w:val="22"/>
        </w:rPr>
      </w:pPr>
    </w:p>
    <w:p w:rsidR="00C71DEC" w:rsidRPr="00C71DEC" w:rsidRDefault="004C55E9" w:rsidP="00C71DEC">
      <w:pPr>
        <w:pStyle w:val="Heading1"/>
        <w:jc w:val="both"/>
        <w:rPr>
          <w:rFonts w:ascii="Arial" w:hAnsi="Arial" w:cs="Arial"/>
          <w:sz w:val="16"/>
          <w:szCs w:val="16"/>
        </w:rPr>
      </w:pPr>
      <w:r w:rsidRPr="00C71DEC">
        <w:rPr>
          <w:rFonts w:ascii="Arial" w:hAnsi="Arial" w:cs="Arial"/>
          <w:sz w:val="22"/>
          <w:szCs w:val="22"/>
        </w:rPr>
        <w:t xml:space="preserve">Re:  </w:t>
      </w:r>
      <w:r w:rsidR="00C71DEC">
        <w:rPr>
          <w:rFonts w:ascii="Arial" w:hAnsi="Arial" w:cs="Arial"/>
          <w:sz w:val="22"/>
          <w:szCs w:val="22"/>
        </w:rPr>
        <w:tab/>
        <w:t xml:space="preserve">Name: </w:t>
      </w:r>
      <w:r w:rsidR="00C71DE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</w:t>
      </w:r>
    </w:p>
    <w:p w:rsidR="004C55E9" w:rsidRDefault="004C55E9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C71DEC" w:rsidRPr="00C71DEC" w:rsidRDefault="00C71DEC" w:rsidP="00C71DEC">
      <w:pPr>
        <w:pStyle w:val="Heading1"/>
        <w:ind w:firstLine="720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71DEC">
        <w:rPr>
          <w:rFonts w:ascii="Arial" w:hAnsi="Arial" w:cs="Arial"/>
          <w:sz w:val="22"/>
          <w:szCs w:val="22"/>
        </w:rPr>
        <w:t>DoB</w:t>
      </w:r>
      <w:proofErr w:type="spellEnd"/>
      <w:proofErr w:type="gramEnd"/>
      <w:r w:rsidRPr="00C71D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……………………………………………………………………………………………………………….</w:t>
      </w:r>
    </w:p>
    <w:p w:rsidR="00C71DEC" w:rsidRPr="00C71DEC" w:rsidRDefault="00C71DEC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C71DEC" w:rsidRPr="00C71DEC" w:rsidRDefault="00C71DEC" w:rsidP="00C71DEC">
      <w:pPr>
        <w:pStyle w:val="Heading1"/>
        <w:ind w:firstLine="720"/>
        <w:jc w:val="both"/>
        <w:rPr>
          <w:rFonts w:ascii="Arial" w:hAnsi="Arial" w:cs="Arial"/>
          <w:sz w:val="16"/>
          <w:szCs w:val="16"/>
        </w:rPr>
      </w:pPr>
      <w:r w:rsidRPr="00C71DEC">
        <w:rPr>
          <w:rFonts w:ascii="Arial" w:hAnsi="Arial" w:cs="Arial"/>
          <w:sz w:val="22"/>
          <w:szCs w:val="22"/>
        </w:rPr>
        <w:t>NHS 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:rsidR="00C71DEC" w:rsidRPr="00C71DEC" w:rsidRDefault="00C71DEC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4C55E9" w:rsidRPr="00F57F7D" w:rsidRDefault="00D05D13" w:rsidP="00C71DE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05D13">
        <w:rPr>
          <w:rFonts w:ascii="Arial" w:hAnsi="Arial" w:cs="Arial"/>
          <w:b/>
          <w:sz w:val="22"/>
          <w:szCs w:val="22"/>
        </w:rPr>
        <w:t>Eculizumab</w:t>
      </w:r>
      <w:proofErr w:type="spellEnd"/>
      <w:r w:rsidRPr="00D05D13">
        <w:rPr>
          <w:rFonts w:ascii="Arial" w:hAnsi="Arial" w:cs="Arial"/>
          <w:b/>
          <w:sz w:val="22"/>
          <w:szCs w:val="22"/>
        </w:rPr>
        <w:t xml:space="preserve"> in Shiga-toxin producing </w:t>
      </w:r>
      <w:proofErr w:type="spellStart"/>
      <w:r w:rsidRPr="00D05D13">
        <w:rPr>
          <w:rFonts w:ascii="Arial" w:hAnsi="Arial" w:cs="Arial"/>
          <w:b/>
          <w:sz w:val="22"/>
          <w:szCs w:val="22"/>
        </w:rPr>
        <w:t>E.Coli</w:t>
      </w:r>
      <w:proofErr w:type="spellEnd"/>
      <w:r w:rsidRPr="00D05D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05D13">
        <w:rPr>
          <w:rFonts w:ascii="Arial" w:hAnsi="Arial" w:cs="Arial"/>
          <w:b/>
          <w:sz w:val="22"/>
          <w:szCs w:val="22"/>
        </w:rPr>
        <w:t>Haemolytic</w:t>
      </w:r>
      <w:proofErr w:type="spellEnd"/>
      <w:r w:rsidRPr="00D05D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05D13">
        <w:rPr>
          <w:rFonts w:ascii="Arial" w:hAnsi="Arial" w:cs="Arial"/>
          <w:b/>
          <w:sz w:val="22"/>
          <w:szCs w:val="22"/>
        </w:rPr>
        <w:t>Uraemic</w:t>
      </w:r>
      <w:proofErr w:type="spellEnd"/>
      <w:r w:rsidRPr="00D05D13">
        <w:rPr>
          <w:rFonts w:ascii="Arial" w:hAnsi="Arial" w:cs="Arial"/>
          <w:b/>
          <w:sz w:val="22"/>
          <w:szCs w:val="22"/>
        </w:rPr>
        <w:t xml:space="preserve"> Syndrome (ECUSTEC): A </w:t>
      </w:r>
      <w:proofErr w:type="spellStart"/>
      <w:r w:rsidRPr="00D05D13">
        <w:rPr>
          <w:rFonts w:ascii="Arial" w:hAnsi="Arial" w:cs="Arial"/>
          <w:b/>
          <w:sz w:val="22"/>
          <w:szCs w:val="22"/>
        </w:rPr>
        <w:t>Randomised</w:t>
      </w:r>
      <w:proofErr w:type="spellEnd"/>
      <w:r w:rsidRPr="00D05D13">
        <w:rPr>
          <w:rFonts w:ascii="Arial" w:hAnsi="Arial" w:cs="Arial"/>
          <w:b/>
          <w:sz w:val="22"/>
          <w:szCs w:val="22"/>
        </w:rPr>
        <w:t>, Double-Blind, Placebo-Controlled Trial</w:t>
      </w:r>
      <w:r w:rsidR="00F57F7D" w:rsidRPr="00F57F7D">
        <w:rPr>
          <w:rFonts w:ascii="Arial" w:hAnsi="Arial" w:cs="Arial"/>
          <w:b/>
          <w:sz w:val="22"/>
          <w:szCs w:val="22"/>
        </w:rPr>
        <w:t>.</w:t>
      </w:r>
    </w:p>
    <w:p w:rsidR="00F57F7D" w:rsidRDefault="00F57F7D" w:rsidP="00C71DEC">
      <w:pPr>
        <w:jc w:val="both"/>
        <w:rPr>
          <w:rFonts w:ascii="Arial" w:hAnsi="Arial" w:cs="Arial"/>
          <w:sz w:val="22"/>
          <w:szCs w:val="22"/>
        </w:rPr>
      </w:pPr>
    </w:p>
    <w:p w:rsidR="00F11A7A" w:rsidRDefault="00F11A7A" w:rsidP="004610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enrolment:  ____/_____/_____ (DD/MM/YYYY)</w:t>
      </w:r>
    </w:p>
    <w:p w:rsidR="00F11A7A" w:rsidRDefault="00F11A7A" w:rsidP="004610B3">
      <w:pPr>
        <w:jc w:val="both"/>
        <w:rPr>
          <w:rFonts w:ascii="Arial" w:hAnsi="Arial" w:cs="Arial"/>
          <w:sz w:val="22"/>
          <w:szCs w:val="22"/>
        </w:rPr>
      </w:pPr>
    </w:p>
    <w:p w:rsidR="004C55E9" w:rsidRPr="00D4769C" w:rsidRDefault="004C55E9" w:rsidP="004610B3">
      <w:pPr>
        <w:jc w:val="both"/>
        <w:rPr>
          <w:rFonts w:ascii="Arial" w:hAnsi="Arial" w:cs="Arial"/>
          <w:sz w:val="22"/>
          <w:szCs w:val="22"/>
        </w:rPr>
      </w:pPr>
      <w:r w:rsidRPr="00D4769C">
        <w:rPr>
          <w:rFonts w:ascii="Arial" w:hAnsi="Arial" w:cs="Arial"/>
          <w:sz w:val="22"/>
          <w:szCs w:val="22"/>
        </w:rPr>
        <w:t xml:space="preserve">I am writing </w:t>
      </w:r>
      <w:r w:rsidR="00487263" w:rsidRPr="00D4769C">
        <w:rPr>
          <w:rFonts w:ascii="Arial" w:hAnsi="Arial" w:cs="Arial"/>
          <w:sz w:val="22"/>
          <w:szCs w:val="22"/>
        </w:rPr>
        <w:t xml:space="preserve">to inform you that your patient, named above, </w:t>
      </w:r>
      <w:r w:rsidR="00C71DEC" w:rsidRPr="00D4769C">
        <w:rPr>
          <w:rFonts w:ascii="Arial" w:hAnsi="Arial" w:cs="Arial"/>
          <w:sz w:val="22"/>
          <w:szCs w:val="22"/>
        </w:rPr>
        <w:t>h</w:t>
      </w:r>
      <w:r w:rsidRPr="00D4769C">
        <w:rPr>
          <w:rFonts w:ascii="Arial" w:hAnsi="Arial" w:cs="Arial"/>
          <w:sz w:val="22"/>
          <w:szCs w:val="22"/>
        </w:rPr>
        <w:t xml:space="preserve">as agreed to take part in </w:t>
      </w:r>
      <w:r w:rsidR="00634290" w:rsidRPr="00D4769C">
        <w:rPr>
          <w:rFonts w:ascii="Arial" w:hAnsi="Arial" w:cs="Arial"/>
          <w:sz w:val="22"/>
          <w:szCs w:val="22"/>
        </w:rPr>
        <w:t xml:space="preserve">the </w:t>
      </w:r>
      <w:r w:rsidR="0083768A" w:rsidRPr="00D4769C">
        <w:rPr>
          <w:rFonts w:ascii="Arial" w:hAnsi="Arial" w:cs="Arial"/>
          <w:sz w:val="22"/>
          <w:szCs w:val="22"/>
        </w:rPr>
        <w:t>ECUSTEC</w:t>
      </w:r>
      <w:r w:rsidR="00F57F7D" w:rsidRPr="00D4769C">
        <w:rPr>
          <w:rFonts w:ascii="Arial" w:hAnsi="Arial" w:cs="Arial"/>
          <w:sz w:val="22"/>
          <w:szCs w:val="22"/>
        </w:rPr>
        <w:t xml:space="preserve"> </w:t>
      </w:r>
      <w:r w:rsidR="00634290" w:rsidRPr="00D4769C">
        <w:rPr>
          <w:rFonts w:ascii="Arial" w:hAnsi="Arial" w:cs="Arial"/>
          <w:sz w:val="22"/>
          <w:szCs w:val="22"/>
        </w:rPr>
        <w:t>study</w:t>
      </w:r>
      <w:r w:rsidR="004610B3" w:rsidRPr="00D4769C">
        <w:rPr>
          <w:rFonts w:ascii="Arial" w:hAnsi="Arial" w:cs="Arial"/>
          <w:sz w:val="22"/>
          <w:szCs w:val="22"/>
        </w:rPr>
        <w:t xml:space="preserve"> which will assess the use of </w:t>
      </w:r>
      <w:proofErr w:type="spellStart"/>
      <w:r w:rsidR="004610B3"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="004610B3" w:rsidRPr="00D4769C">
        <w:rPr>
          <w:rFonts w:ascii="Arial" w:hAnsi="Arial" w:cs="Arial"/>
          <w:sz w:val="22"/>
          <w:szCs w:val="22"/>
        </w:rPr>
        <w:t xml:space="preserve"> in Shiga-toxin producing E. coli </w:t>
      </w:r>
      <w:proofErr w:type="spellStart"/>
      <w:r w:rsidR="004610B3" w:rsidRPr="00D4769C">
        <w:rPr>
          <w:rFonts w:ascii="Arial" w:hAnsi="Arial" w:cs="Arial"/>
          <w:sz w:val="22"/>
          <w:szCs w:val="22"/>
        </w:rPr>
        <w:t>Haemolytic</w:t>
      </w:r>
      <w:proofErr w:type="spellEnd"/>
      <w:r w:rsidR="004610B3" w:rsidRPr="00D476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0B3" w:rsidRPr="00D4769C">
        <w:rPr>
          <w:rFonts w:ascii="Arial" w:hAnsi="Arial" w:cs="Arial"/>
          <w:sz w:val="22"/>
          <w:szCs w:val="22"/>
        </w:rPr>
        <w:t>Uraemic</w:t>
      </w:r>
      <w:proofErr w:type="spellEnd"/>
      <w:r w:rsidR="004610B3" w:rsidRPr="00D4769C">
        <w:rPr>
          <w:rFonts w:ascii="Arial" w:hAnsi="Arial" w:cs="Arial"/>
          <w:sz w:val="22"/>
          <w:szCs w:val="22"/>
        </w:rPr>
        <w:t xml:space="preserve"> Syndrome (STEC HUS). </w:t>
      </w:r>
      <w:r w:rsidR="00040C33" w:rsidRPr="00D4769C">
        <w:rPr>
          <w:rFonts w:ascii="Arial" w:hAnsi="Arial" w:cs="Arial"/>
          <w:sz w:val="22"/>
          <w:szCs w:val="22"/>
        </w:rPr>
        <w:t xml:space="preserve">Our hypothesis is that </w:t>
      </w:r>
      <w:proofErr w:type="spellStart"/>
      <w:r w:rsidR="00040C33"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="00040C33" w:rsidRPr="00D4769C">
        <w:rPr>
          <w:rFonts w:ascii="Arial" w:hAnsi="Arial" w:cs="Arial"/>
          <w:sz w:val="22"/>
          <w:szCs w:val="22"/>
        </w:rPr>
        <w:t xml:space="preserve"> reduces the severity of STEC HUS. </w:t>
      </w:r>
      <w:r w:rsidR="003438A9" w:rsidRPr="00D4769C">
        <w:rPr>
          <w:rFonts w:ascii="Arial" w:hAnsi="Arial" w:cs="Arial"/>
          <w:sz w:val="22"/>
          <w:szCs w:val="22"/>
        </w:rPr>
        <w:t>I am</w:t>
      </w:r>
      <w:r w:rsidRPr="00D4769C">
        <w:rPr>
          <w:rFonts w:ascii="Arial" w:hAnsi="Arial" w:cs="Arial"/>
          <w:sz w:val="22"/>
          <w:szCs w:val="22"/>
        </w:rPr>
        <w:t xml:space="preserve"> writing to give you some information about the study.</w:t>
      </w:r>
    </w:p>
    <w:p w:rsidR="004C55E9" w:rsidRPr="00D4769C" w:rsidRDefault="004C55E9" w:rsidP="00C71DEC">
      <w:pPr>
        <w:jc w:val="both"/>
        <w:rPr>
          <w:rFonts w:ascii="Arial" w:hAnsi="Arial" w:cs="Arial"/>
          <w:sz w:val="22"/>
          <w:szCs w:val="22"/>
        </w:rPr>
      </w:pPr>
    </w:p>
    <w:p w:rsidR="004610B3" w:rsidRPr="00D4769C" w:rsidRDefault="00040C33" w:rsidP="004610B3">
      <w:pPr>
        <w:jc w:val="both"/>
        <w:rPr>
          <w:rFonts w:ascii="Arial" w:hAnsi="Arial" w:cs="Arial"/>
          <w:sz w:val="22"/>
          <w:szCs w:val="22"/>
        </w:rPr>
      </w:pPr>
      <w:r w:rsidRPr="00D4769C">
        <w:rPr>
          <w:rFonts w:ascii="Arial" w:hAnsi="Arial" w:cs="Arial"/>
          <w:sz w:val="22"/>
          <w:szCs w:val="22"/>
        </w:rPr>
        <w:t xml:space="preserve">STEC HUS is the most common cause of </w:t>
      </w:r>
      <w:proofErr w:type="spellStart"/>
      <w:r w:rsidRPr="00D4769C">
        <w:rPr>
          <w:rFonts w:ascii="Arial" w:hAnsi="Arial" w:cs="Arial"/>
          <w:sz w:val="22"/>
          <w:szCs w:val="22"/>
        </w:rPr>
        <w:t>paediatric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 acute kidney injury and affects ~100 UK children each year. It has a 2-3% mortality rate and considerable morbidity with 50-60% requiring dialysis. </w:t>
      </w:r>
      <w:proofErr w:type="gramStart"/>
      <w:r w:rsidRPr="00D4769C">
        <w:rPr>
          <w:rFonts w:ascii="Arial" w:hAnsi="Arial" w:cs="Arial"/>
          <w:sz w:val="22"/>
          <w:szCs w:val="22"/>
        </w:rPr>
        <w:t>A proportion develop</w:t>
      </w:r>
      <w:proofErr w:type="gramEnd"/>
      <w:r w:rsidRPr="00D4769C">
        <w:rPr>
          <w:rFonts w:ascii="Arial" w:hAnsi="Arial" w:cs="Arial"/>
          <w:sz w:val="22"/>
          <w:szCs w:val="22"/>
        </w:rPr>
        <w:t xml:space="preserve"> severe disease with other organ involvement including brain (20-25%), bowel perforation and diabetes. Long term complications such as chronic kidney disease (CKD, including end-stage kidney disease) or more rarely permanent brain injury, occur in up to 1/3 of survivors. Experimental evidence suggests a role for complement in the pathogenesis of STEC HUS. </w:t>
      </w:r>
      <w:proofErr w:type="spellStart"/>
      <w:r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 (a monoclonal antibody that inhibits complement) is remarkably effective in a related condition, atypical HUS. Following anecdotal case reports of benefit from </w:t>
      </w:r>
      <w:proofErr w:type="spellStart"/>
      <w:r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 in STEC HUS it was studied in a prospective, non-controlled trial in adults with STEC HUS due to STEC O10</w:t>
      </w:r>
      <w:r w:rsidR="00F11A7A" w:rsidRPr="00D4769C">
        <w:rPr>
          <w:rFonts w:ascii="Arial" w:hAnsi="Arial" w:cs="Arial"/>
          <w:sz w:val="22"/>
          <w:szCs w:val="22"/>
        </w:rPr>
        <w:t>4 with inconclusive results</w:t>
      </w:r>
      <w:r w:rsidRPr="00D4769C">
        <w:rPr>
          <w:rFonts w:ascii="Arial" w:hAnsi="Arial" w:cs="Arial"/>
          <w:sz w:val="22"/>
          <w:szCs w:val="22"/>
        </w:rPr>
        <w:t xml:space="preserve">. </w:t>
      </w:r>
    </w:p>
    <w:p w:rsidR="00D51393" w:rsidRPr="00D4769C" w:rsidRDefault="00040C33" w:rsidP="00F11A7A">
      <w:pPr>
        <w:jc w:val="both"/>
        <w:rPr>
          <w:rFonts w:ascii="Arial" w:hAnsi="Arial" w:cs="Arial"/>
          <w:sz w:val="22"/>
          <w:szCs w:val="22"/>
        </w:rPr>
      </w:pPr>
      <w:r w:rsidRPr="00D4769C">
        <w:rPr>
          <w:rFonts w:ascii="Arial" w:hAnsi="Arial" w:cs="Arial"/>
          <w:sz w:val="22"/>
          <w:szCs w:val="22"/>
        </w:rPr>
        <w:t xml:space="preserve">We </w:t>
      </w:r>
      <w:r w:rsidR="00A85F27">
        <w:rPr>
          <w:rFonts w:ascii="Arial" w:hAnsi="Arial" w:cs="Arial"/>
          <w:sz w:val="22"/>
          <w:szCs w:val="22"/>
        </w:rPr>
        <w:t>are undertaking</w:t>
      </w:r>
      <w:r w:rsidRPr="00D476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4769C">
        <w:rPr>
          <w:rFonts w:ascii="Arial" w:hAnsi="Arial" w:cs="Arial"/>
          <w:sz w:val="22"/>
          <w:szCs w:val="22"/>
        </w:rPr>
        <w:t>randomised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, double-blind, placebo-controlled trial of </w:t>
      </w:r>
      <w:proofErr w:type="spellStart"/>
      <w:r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 in 134 children aged 6</w:t>
      </w:r>
      <w:r w:rsidR="004610B3" w:rsidRPr="00D4769C">
        <w:rPr>
          <w:rFonts w:ascii="Arial" w:hAnsi="Arial" w:cs="Arial"/>
          <w:sz w:val="22"/>
          <w:szCs w:val="22"/>
        </w:rPr>
        <w:t xml:space="preserve"> </w:t>
      </w:r>
      <w:r w:rsidRPr="00D4769C">
        <w:rPr>
          <w:rFonts w:ascii="Arial" w:hAnsi="Arial" w:cs="Arial"/>
          <w:sz w:val="22"/>
          <w:szCs w:val="22"/>
        </w:rPr>
        <w:t>m</w:t>
      </w:r>
      <w:r w:rsidR="004610B3" w:rsidRPr="00D4769C">
        <w:rPr>
          <w:rFonts w:ascii="Arial" w:hAnsi="Arial" w:cs="Arial"/>
          <w:sz w:val="22"/>
          <w:szCs w:val="22"/>
        </w:rPr>
        <w:t>onths</w:t>
      </w:r>
      <w:r w:rsidRPr="00D4769C">
        <w:rPr>
          <w:rFonts w:ascii="Arial" w:hAnsi="Arial" w:cs="Arial"/>
          <w:sz w:val="22"/>
          <w:szCs w:val="22"/>
        </w:rPr>
        <w:t xml:space="preserve"> </w:t>
      </w:r>
      <w:r w:rsidR="004610B3" w:rsidRPr="00D4769C">
        <w:rPr>
          <w:rFonts w:ascii="Arial" w:hAnsi="Arial" w:cs="Arial"/>
          <w:sz w:val="22"/>
          <w:szCs w:val="22"/>
        </w:rPr>
        <w:t>–</w:t>
      </w:r>
      <w:r w:rsidRPr="00D4769C">
        <w:rPr>
          <w:rFonts w:ascii="Arial" w:hAnsi="Arial" w:cs="Arial"/>
          <w:sz w:val="22"/>
          <w:szCs w:val="22"/>
        </w:rPr>
        <w:t xml:space="preserve"> 18</w:t>
      </w:r>
      <w:r w:rsidR="004610B3" w:rsidRPr="00D4769C">
        <w:rPr>
          <w:rFonts w:ascii="Arial" w:hAnsi="Arial" w:cs="Arial"/>
          <w:sz w:val="22"/>
          <w:szCs w:val="22"/>
        </w:rPr>
        <w:t xml:space="preserve"> </w:t>
      </w:r>
      <w:r w:rsidRPr="00D4769C">
        <w:rPr>
          <w:rFonts w:ascii="Arial" w:hAnsi="Arial" w:cs="Arial"/>
          <w:sz w:val="22"/>
          <w:szCs w:val="22"/>
        </w:rPr>
        <w:t>y</w:t>
      </w:r>
      <w:r w:rsidR="004610B3" w:rsidRPr="00D4769C">
        <w:rPr>
          <w:rFonts w:ascii="Arial" w:hAnsi="Arial" w:cs="Arial"/>
          <w:sz w:val="22"/>
          <w:szCs w:val="22"/>
        </w:rPr>
        <w:t>ea</w:t>
      </w:r>
      <w:r w:rsidRPr="00D4769C">
        <w:rPr>
          <w:rFonts w:ascii="Arial" w:hAnsi="Arial" w:cs="Arial"/>
          <w:sz w:val="22"/>
          <w:szCs w:val="22"/>
        </w:rPr>
        <w:t xml:space="preserve">rs with presumed STEC HUS, recruited over 48 months. </w:t>
      </w:r>
      <w:r w:rsidRPr="00D4769C">
        <w:rPr>
          <w:rFonts w:ascii="Arial" w:hAnsi="Arial" w:cs="Arial"/>
          <w:sz w:val="22"/>
          <w:szCs w:val="22"/>
        </w:rPr>
        <w:lastRenderedPageBreak/>
        <w:t xml:space="preserve">Participants </w:t>
      </w:r>
      <w:r w:rsidR="00A85F27">
        <w:rPr>
          <w:rFonts w:ascii="Arial" w:hAnsi="Arial" w:cs="Arial"/>
          <w:sz w:val="22"/>
          <w:szCs w:val="22"/>
        </w:rPr>
        <w:t xml:space="preserve">have </w:t>
      </w:r>
      <w:r w:rsidRPr="00D4769C">
        <w:rPr>
          <w:rFonts w:ascii="Arial" w:hAnsi="Arial" w:cs="Arial"/>
          <w:sz w:val="22"/>
          <w:szCs w:val="22"/>
        </w:rPr>
        <w:t>receive</w:t>
      </w:r>
      <w:r w:rsidR="00A85F27">
        <w:rPr>
          <w:rFonts w:ascii="Arial" w:hAnsi="Arial" w:cs="Arial"/>
          <w:sz w:val="22"/>
          <w:szCs w:val="22"/>
        </w:rPr>
        <w:t>d</w:t>
      </w:r>
      <w:r w:rsidRPr="00D4769C">
        <w:rPr>
          <w:rFonts w:ascii="Arial" w:hAnsi="Arial" w:cs="Arial"/>
          <w:sz w:val="22"/>
          <w:szCs w:val="22"/>
        </w:rPr>
        <w:t xml:space="preserve"> 2 doses of </w:t>
      </w:r>
      <w:proofErr w:type="spellStart"/>
      <w:r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sz w:val="22"/>
          <w:szCs w:val="22"/>
        </w:rPr>
        <w:t xml:space="preserve"> or placebo 1 week apart. Patients </w:t>
      </w:r>
      <w:r w:rsidR="00A85F27">
        <w:rPr>
          <w:rFonts w:ascii="Arial" w:hAnsi="Arial" w:cs="Arial"/>
          <w:sz w:val="22"/>
          <w:szCs w:val="22"/>
        </w:rPr>
        <w:t>are</w:t>
      </w:r>
      <w:r w:rsidRPr="00D4769C">
        <w:rPr>
          <w:rFonts w:ascii="Arial" w:hAnsi="Arial" w:cs="Arial"/>
          <w:sz w:val="22"/>
          <w:szCs w:val="22"/>
        </w:rPr>
        <w:t xml:space="preserve"> followed for 1 y</w:t>
      </w:r>
      <w:r w:rsidR="004610B3" w:rsidRPr="00D4769C">
        <w:rPr>
          <w:rFonts w:ascii="Arial" w:hAnsi="Arial" w:cs="Arial"/>
          <w:sz w:val="22"/>
          <w:szCs w:val="22"/>
        </w:rPr>
        <w:t>ear</w:t>
      </w:r>
      <w:r w:rsidRPr="00D4769C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4769C">
        <w:rPr>
          <w:rFonts w:ascii="Arial" w:hAnsi="Arial" w:cs="Arial"/>
          <w:sz w:val="22"/>
          <w:szCs w:val="22"/>
        </w:rPr>
        <w:t>randomisation</w:t>
      </w:r>
      <w:proofErr w:type="spellEnd"/>
      <w:r w:rsidRPr="00D4769C">
        <w:rPr>
          <w:rFonts w:ascii="Arial" w:hAnsi="Arial" w:cs="Arial"/>
          <w:sz w:val="22"/>
          <w:szCs w:val="22"/>
        </w:rPr>
        <w:t>, with daily assessments until hospital discharge, then 30 &amp; 60 days, 6 months and 1 y</w:t>
      </w:r>
      <w:r w:rsidR="00475C6A" w:rsidRPr="00D4769C">
        <w:rPr>
          <w:rFonts w:ascii="Arial" w:hAnsi="Arial" w:cs="Arial"/>
          <w:sz w:val="22"/>
          <w:szCs w:val="22"/>
        </w:rPr>
        <w:t>ear</w:t>
      </w:r>
      <w:r w:rsidRPr="00D4769C">
        <w:rPr>
          <w:rFonts w:ascii="Arial" w:hAnsi="Arial" w:cs="Arial"/>
          <w:sz w:val="22"/>
          <w:szCs w:val="22"/>
        </w:rPr>
        <w:t xml:space="preserve"> post </w:t>
      </w:r>
      <w:proofErr w:type="spellStart"/>
      <w:r w:rsidR="009B05CA">
        <w:rPr>
          <w:rFonts w:ascii="Arial" w:hAnsi="Arial" w:cs="Arial"/>
          <w:sz w:val="22"/>
          <w:szCs w:val="22"/>
        </w:rPr>
        <w:t>randomisation</w:t>
      </w:r>
      <w:proofErr w:type="spellEnd"/>
      <w:r w:rsidR="009B05CA">
        <w:rPr>
          <w:rFonts w:ascii="Arial" w:hAnsi="Arial" w:cs="Arial"/>
          <w:sz w:val="22"/>
          <w:szCs w:val="22"/>
        </w:rPr>
        <w:t xml:space="preserve"> (if admission ≥14 days then</w:t>
      </w:r>
      <w:r w:rsidR="00DB5960">
        <w:rPr>
          <w:rFonts w:ascii="Arial" w:hAnsi="Arial" w:cs="Arial"/>
          <w:sz w:val="22"/>
          <w:szCs w:val="22"/>
        </w:rPr>
        <w:t xml:space="preserve"> assessments will be</w:t>
      </w:r>
      <w:r w:rsidR="009B05CA">
        <w:rPr>
          <w:rFonts w:ascii="Arial" w:hAnsi="Arial" w:cs="Arial"/>
          <w:sz w:val="22"/>
          <w:szCs w:val="22"/>
        </w:rPr>
        <w:t xml:space="preserve"> weekly from day 14 to discharge or day 60, whichever is soonest)</w:t>
      </w:r>
      <w:r w:rsidRPr="00D4769C">
        <w:rPr>
          <w:rFonts w:ascii="Arial" w:hAnsi="Arial" w:cs="Arial"/>
          <w:sz w:val="22"/>
          <w:szCs w:val="22"/>
        </w:rPr>
        <w:t>.</w:t>
      </w:r>
      <w:r w:rsidR="004610B3" w:rsidRPr="00D4769C">
        <w:rPr>
          <w:rFonts w:ascii="Arial" w:hAnsi="Arial" w:cs="Arial"/>
          <w:sz w:val="22"/>
          <w:szCs w:val="22"/>
        </w:rPr>
        <w:t xml:space="preserve"> Our aim is to determine if STEC HUS is less severe in those who receive </w:t>
      </w:r>
      <w:proofErr w:type="spellStart"/>
      <w:r w:rsidR="004610B3" w:rsidRPr="00D4769C">
        <w:rPr>
          <w:rFonts w:ascii="Arial" w:hAnsi="Arial" w:cs="Arial"/>
          <w:sz w:val="22"/>
          <w:szCs w:val="22"/>
        </w:rPr>
        <w:t>eculizumab</w:t>
      </w:r>
      <w:proofErr w:type="spellEnd"/>
      <w:r w:rsidR="004610B3" w:rsidRPr="00D4769C">
        <w:rPr>
          <w:rFonts w:ascii="Arial" w:hAnsi="Arial" w:cs="Arial"/>
          <w:sz w:val="22"/>
          <w:szCs w:val="22"/>
        </w:rPr>
        <w:t xml:space="preserve"> vs. placebo.</w:t>
      </w:r>
      <w:r w:rsidR="00F11A7A" w:rsidRPr="00D4769C">
        <w:rPr>
          <w:rFonts w:ascii="Arial" w:hAnsi="Arial" w:cs="Arial"/>
          <w:sz w:val="22"/>
          <w:szCs w:val="22"/>
        </w:rPr>
        <w:t xml:space="preserve"> </w:t>
      </w:r>
      <w:r w:rsidR="001B3D97" w:rsidRPr="00D4769C">
        <w:rPr>
          <w:rFonts w:ascii="Arial" w:hAnsi="Arial" w:cs="Arial"/>
          <w:sz w:val="22"/>
          <w:szCs w:val="22"/>
        </w:rPr>
        <w:t>The study will r</w:t>
      </w:r>
      <w:r w:rsidR="00F11A7A" w:rsidRPr="00D4769C">
        <w:rPr>
          <w:rFonts w:ascii="Arial" w:hAnsi="Arial" w:cs="Arial"/>
          <w:sz w:val="22"/>
          <w:szCs w:val="22"/>
        </w:rPr>
        <w:t>eceive full UK</w:t>
      </w:r>
      <w:r w:rsidR="001B3D97" w:rsidRPr="00D4769C">
        <w:rPr>
          <w:rFonts w:ascii="Arial" w:hAnsi="Arial" w:cs="Arial"/>
          <w:sz w:val="22"/>
          <w:szCs w:val="22"/>
        </w:rPr>
        <w:t>CRN support.</w:t>
      </w:r>
    </w:p>
    <w:p w:rsidR="00F11A7A" w:rsidRPr="00D4769C" w:rsidRDefault="00F11A7A" w:rsidP="00C71DEC">
      <w:pPr>
        <w:jc w:val="both"/>
        <w:rPr>
          <w:rFonts w:ascii="Arial" w:hAnsi="Arial" w:cs="Arial"/>
          <w:b/>
          <w:sz w:val="22"/>
          <w:szCs w:val="22"/>
        </w:rPr>
      </w:pPr>
    </w:p>
    <w:p w:rsidR="0028742E" w:rsidRDefault="0028742E" w:rsidP="0028742E">
      <w:pPr>
        <w:jc w:val="both"/>
        <w:rPr>
          <w:rFonts w:ascii="Arial" w:hAnsi="Arial" w:cs="Arial"/>
          <w:b/>
          <w:sz w:val="22"/>
          <w:szCs w:val="22"/>
        </w:rPr>
      </w:pPr>
      <w:r w:rsidRPr="00D4769C">
        <w:rPr>
          <w:rFonts w:ascii="Arial" w:hAnsi="Arial" w:cs="Arial"/>
          <w:b/>
          <w:sz w:val="22"/>
          <w:szCs w:val="22"/>
        </w:rPr>
        <w:t xml:space="preserve">As your patient may have received two doses of </w:t>
      </w:r>
      <w:proofErr w:type="spellStart"/>
      <w:r w:rsidRPr="00D4769C">
        <w:rPr>
          <w:rFonts w:ascii="Arial" w:hAnsi="Arial" w:cs="Arial"/>
          <w:b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b/>
          <w:sz w:val="22"/>
          <w:szCs w:val="22"/>
        </w:rPr>
        <w:t xml:space="preserve">, they may be at increased risk of meningococcal disease for a period not greater than 8 weeks from the date of enrolment (date given above). All trial participants (those receiving </w:t>
      </w:r>
      <w:proofErr w:type="spellStart"/>
      <w:r w:rsidRPr="00D4769C">
        <w:rPr>
          <w:rFonts w:ascii="Arial" w:hAnsi="Arial" w:cs="Arial"/>
          <w:b/>
          <w:sz w:val="22"/>
          <w:szCs w:val="22"/>
        </w:rPr>
        <w:t>eculizumab</w:t>
      </w:r>
      <w:proofErr w:type="spellEnd"/>
      <w:r w:rsidRPr="00D4769C">
        <w:rPr>
          <w:rFonts w:ascii="Arial" w:hAnsi="Arial" w:cs="Arial"/>
          <w:b/>
          <w:sz w:val="22"/>
          <w:szCs w:val="22"/>
        </w:rPr>
        <w:t xml:space="preserve"> or placebo) have been given additional precautions against menin</w:t>
      </w:r>
      <w:r>
        <w:rPr>
          <w:rFonts w:ascii="Arial" w:hAnsi="Arial" w:cs="Arial"/>
          <w:b/>
          <w:sz w:val="22"/>
          <w:szCs w:val="22"/>
        </w:rPr>
        <w:t>gococcal disease:</w:t>
      </w:r>
    </w:p>
    <w:p w:rsidR="0028742E" w:rsidRDefault="0028742E" w:rsidP="0028742E">
      <w:pPr>
        <w:jc w:val="both"/>
        <w:rPr>
          <w:rFonts w:ascii="Arial" w:hAnsi="Arial" w:cs="Arial"/>
          <w:b/>
          <w:sz w:val="22"/>
          <w:szCs w:val="22"/>
        </w:rPr>
      </w:pPr>
    </w:p>
    <w:p w:rsidR="0028742E" w:rsidRPr="005E53C3" w:rsidRDefault="0028742E" w:rsidP="0028742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E53C3">
        <w:rPr>
          <w:rFonts w:ascii="Arial" w:hAnsi="Arial" w:cs="Arial"/>
          <w:b/>
          <w:sz w:val="22"/>
          <w:szCs w:val="22"/>
        </w:rPr>
        <w:t>All have received one dose of tetravalent ACWY vaccine</w:t>
      </w:r>
      <w:r w:rsidR="000C4B16">
        <w:rPr>
          <w:rFonts w:ascii="Arial" w:hAnsi="Arial" w:cs="Arial"/>
          <w:b/>
          <w:sz w:val="22"/>
          <w:szCs w:val="22"/>
        </w:rPr>
        <w:t>.</w:t>
      </w:r>
    </w:p>
    <w:p w:rsidR="0028742E" w:rsidRPr="005E53C3" w:rsidRDefault="0028742E" w:rsidP="0028742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E53C3">
        <w:rPr>
          <w:rFonts w:ascii="Arial" w:hAnsi="Arial" w:cs="Arial"/>
          <w:b/>
          <w:sz w:val="22"/>
          <w:szCs w:val="22"/>
        </w:rPr>
        <w:t>All should receive 8 weeks of penicillin V (or erythromycin if penicillin allergic) – see below</w:t>
      </w:r>
      <w:r w:rsidR="000C4B16">
        <w:rPr>
          <w:rFonts w:ascii="Arial" w:hAnsi="Arial" w:cs="Arial"/>
          <w:b/>
          <w:sz w:val="22"/>
          <w:szCs w:val="22"/>
        </w:rPr>
        <w:t>.</w:t>
      </w:r>
    </w:p>
    <w:p w:rsidR="00D005FD" w:rsidRDefault="0028742E" w:rsidP="00D005FD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D005FD">
        <w:rPr>
          <w:rFonts w:ascii="Arial" w:hAnsi="Arial" w:cs="Arial"/>
          <w:b/>
          <w:sz w:val="22"/>
          <w:szCs w:val="22"/>
        </w:rPr>
        <w:t xml:space="preserve">Those not already included in the UK Vaccination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programme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for </w:t>
      </w:r>
      <w:proofErr w:type="spellStart"/>
      <w:r w:rsidR="00D005FD" w:rsidRPr="00D005FD">
        <w:rPr>
          <w:rFonts w:ascii="Arial" w:hAnsi="Arial" w:cs="Arial"/>
          <w:b/>
          <w:sz w:val="22"/>
          <w:szCs w:val="22"/>
        </w:rPr>
        <w:t>Bexsero</w:t>
      </w:r>
      <w:proofErr w:type="spellEnd"/>
      <w:r w:rsidR="00D005FD" w:rsidRPr="00D005FD">
        <w:rPr>
          <w:rFonts w:ascii="Arial" w:hAnsi="Arial" w:cs="Arial"/>
          <w:b/>
          <w:sz w:val="22"/>
          <w:szCs w:val="22"/>
        </w:rPr>
        <w:t xml:space="preserve"> </w:t>
      </w:r>
      <w:r w:rsidRPr="00D005FD">
        <w:rPr>
          <w:rFonts w:ascii="Arial" w:hAnsi="Arial" w:cs="Arial"/>
          <w:b/>
          <w:sz w:val="22"/>
          <w:szCs w:val="22"/>
        </w:rPr>
        <w:t xml:space="preserve">have received one dose of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Bexsero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. To complete the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immunisation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course, these patients will be offered a</w:t>
      </w:r>
      <w:r w:rsidR="00D005FD" w:rsidRPr="00D005FD">
        <w:rPr>
          <w:rFonts w:ascii="Arial" w:hAnsi="Arial" w:cs="Arial"/>
          <w:b/>
          <w:sz w:val="22"/>
          <w:szCs w:val="22"/>
        </w:rPr>
        <w:t>n optional</w:t>
      </w:r>
      <w:r w:rsidRPr="00D005FD">
        <w:rPr>
          <w:rFonts w:ascii="Arial" w:hAnsi="Arial" w:cs="Arial"/>
          <w:b/>
          <w:sz w:val="22"/>
          <w:szCs w:val="22"/>
        </w:rPr>
        <w:t xml:space="preserve"> second dose of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Bexsero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at their study visit on day 60 after enrolment (although this is not mandatory since the effect of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eculizumab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will no longer be present). We will notify</w:t>
      </w:r>
      <w:r w:rsidR="00146FA3" w:rsidRPr="00D005FD">
        <w:rPr>
          <w:rFonts w:ascii="Arial" w:hAnsi="Arial" w:cs="Arial"/>
          <w:b/>
          <w:sz w:val="22"/>
          <w:szCs w:val="22"/>
        </w:rPr>
        <w:t xml:space="preserve"> you if a second dose is given</w:t>
      </w:r>
      <w:r w:rsidR="000C4B16">
        <w:rPr>
          <w:rFonts w:ascii="Arial" w:hAnsi="Arial" w:cs="Arial"/>
          <w:b/>
          <w:sz w:val="22"/>
          <w:szCs w:val="22"/>
        </w:rPr>
        <w:t>.</w:t>
      </w:r>
    </w:p>
    <w:p w:rsidR="0028742E" w:rsidRPr="00D005FD" w:rsidRDefault="00D005FD" w:rsidP="00D005FD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D005FD">
        <w:rPr>
          <w:rFonts w:ascii="Arial" w:hAnsi="Arial" w:cs="Arial"/>
          <w:b/>
          <w:sz w:val="22"/>
          <w:szCs w:val="22"/>
        </w:rPr>
        <w:t xml:space="preserve">In children under 2 years old at first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Bexsero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dose, a booster is indicated between 12 and 23 months after the second dose. Again this is not mandatory but we will offer it to complete the </w:t>
      </w:r>
      <w:proofErr w:type="spellStart"/>
      <w:r w:rsidRPr="00D005FD">
        <w:rPr>
          <w:rFonts w:ascii="Arial" w:hAnsi="Arial" w:cs="Arial"/>
          <w:b/>
          <w:sz w:val="22"/>
          <w:szCs w:val="22"/>
        </w:rPr>
        <w:t>immunisation</w:t>
      </w:r>
      <w:proofErr w:type="spellEnd"/>
      <w:r w:rsidRPr="00D005FD">
        <w:rPr>
          <w:rFonts w:ascii="Arial" w:hAnsi="Arial" w:cs="Arial"/>
          <w:b/>
          <w:sz w:val="22"/>
          <w:szCs w:val="22"/>
        </w:rPr>
        <w:t xml:space="preserve"> course. We will notify you to ask you to undertake this third dose if it is indicated with details of how to claim reimbursement</w:t>
      </w:r>
      <w:r w:rsidR="000C4B16">
        <w:rPr>
          <w:rFonts w:ascii="Arial" w:hAnsi="Arial" w:cs="Arial"/>
          <w:b/>
          <w:sz w:val="22"/>
          <w:szCs w:val="22"/>
        </w:rPr>
        <w:t>.</w:t>
      </w:r>
    </w:p>
    <w:p w:rsidR="00146FA3" w:rsidRPr="00146FA3" w:rsidRDefault="00146FA3" w:rsidP="00146FA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Details of vaccines received </w:t>
      </w:r>
      <w:r w:rsidR="000A1935">
        <w:rPr>
          <w:rFonts w:ascii="Arial" w:hAnsi="Arial" w:cs="Arial"/>
          <w:b/>
          <w:sz w:val="22"/>
          <w:szCs w:val="22"/>
        </w:rPr>
        <w:t xml:space="preserve">so far </w:t>
      </w:r>
      <w:r>
        <w:rPr>
          <w:rFonts w:ascii="Arial" w:hAnsi="Arial" w:cs="Arial"/>
          <w:b/>
          <w:sz w:val="22"/>
          <w:szCs w:val="22"/>
        </w:rPr>
        <w:t>are given in Appendix 1</w:t>
      </w:r>
      <w:r w:rsidR="000C4B16">
        <w:rPr>
          <w:rFonts w:ascii="Arial" w:hAnsi="Arial" w:cs="Arial"/>
          <w:b/>
          <w:sz w:val="22"/>
          <w:szCs w:val="22"/>
        </w:rPr>
        <w:t>.</w:t>
      </w:r>
    </w:p>
    <w:p w:rsidR="0028742E" w:rsidRPr="0028742E" w:rsidRDefault="0028742E" w:rsidP="0028742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8742E">
        <w:rPr>
          <w:rFonts w:ascii="Arial" w:hAnsi="Arial" w:cs="Arial"/>
          <w:b/>
          <w:sz w:val="22"/>
          <w:szCs w:val="22"/>
        </w:rPr>
        <w:t>Participants have also been given information about the symptoms and signs of meningococcal disease.</w:t>
      </w:r>
    </w:p>
    <w:p w:rsidR="0028742E" w:rsidRDefault="0028742E" w:rsidP="0028742E">
      <w:pPr>
        <w:jc w:val="both"/>
        <w:rPr>
          <w:rFonts w:ascii="Arial" w:hAnsi="Arial" w:cs="Arial"/>
          <w:b/>
          <w:sz w:val="22"/>
          <w:szCs w:val="22"/>
        </w:rPr>
      </w:pPr>
    </w:p>
    <w:p w:rsidR="0028742E" w:rsidRDefault="0028742E" w:rsidP="002874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prescribe the following for your patient until _____/_____/_____ (8 weeks after enrolment)</w:t>
      </w:r>
    </w:p>
    <w:p w:rsidR="00E72C5C" w:rsidRDefault="00E72C5C" w:rsidP="00C71DE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3402"/>
      </w:tblGrid>
      <w:tr w:rsidR="00E72C5C" w:rsidRPr="005F3B5C" w:rsidTr="007066DF">
        <w:trPr>
          <w:trHeight w:val="261"/>
        </w:trPr>
        <w:tc>
          <w:tcPr>
            <w:tcW w:w="6204" w:type="dxa"/>
            <w:gridSpan w:val="2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72C5C">
              <w:rPr>
                <w:rFonts w:ascii="Arial" w:hAnsi="Arial" w:cs="Arial"/>
                <w:b/>
                <w:sz w:val="18"/>
                <w:szCs w:val="18"/>
              </w:rPr>
              <w:t>Penicillin</w:t>
            </w:r>
          </w:p>
        </w:tc>
      </w:tr>
      <w:tr w:rsidR="00E72C5C" w:rsidRPr="005F3B5C" w:rsidTr="007066DF">
        <w:trPr>
          <w:trHeight w:val="242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</w:tr>
      <w:tr w:rsidR="00E72C5C" w:rsidRPr="005F3B5C" w:rsidTr="007066DF">
        <w:trPr>
          <w:trHeight w:val="261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Under 1 year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62.5 mg twice daily for 8 weeks</w:t>
            </w:r>
          </w:p>
        </w:tc>
      </w:tr>
      <w:tr w:rsidR="00E72C5C" w:rsidRPr="005F3B5C" w:rsidTr="007066DF">
        <w:trPr>
          <w:trHeight w:val="242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1–5 years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125 mg twice daily for 8 weeks</w:t>
            </w:r>
          </w:p>
        </w:tc>
      </w:tr>
      <w:tr w:rsidR="00E72C5C" w:rsidRPr="005F3B5C" w:rsidTr="007066DF">
        <w:trPr>
          <w:trHeight w:val="261"/>
        </w:trPr>
        <w:tc>
          <w:tcPr>
            <w:tcW w:w="28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5–18 years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250 mg twice daily for 8 weeks</w:t>
            </w:r>
          </w:p>
        </w:tc>
      </w:tr>
      <w:tr w:rsidR="00E72C5C" w:rsidRPr="005F3B5C" w:rsidTr="007066DF">
        <w:trPr>
          <w:trHeight w:val="242"/>
        </w:trPr>
        <w:tc>
          <w:tcPr>
            <w:tcW w:w="6204" w:type="dxa"/>
            <w:gridSpan w:val="2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72C5C">
              <w:rPr>
                <w:rFonts w:ascii="Arial" w:hAnsi="Arial" w:cs="Arial"/>
                <w:b/>
                <w:sz w:val="18"/>
                <w:szCs w:val="18"/>
              </w:rPr>
              <w:t>Erythromycin if penicillin allergic</w:t>
            </w:r>
          </w:p>
        </w:tc>
      </w:tr>
      <w:tr w:rsidR="00E72C5C" w:rsidRPr="005F3B5C" w:rsidTr="007066DF">
        <w:trPr>
          <w:trHeight w:val="261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</w:tr>
      <w:tr w:rsidR="00E72C5C" w:rsidRPr="005F3B5C" w:rsidTr="007066DF">
        <w:trPr>
          <w:trHeight w:val="242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6 months – 2 years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125 mg twice daily for 8 weeks</w:t>
            </w:r>
          </w:p>
        </w:tc>
      </w:tr>
      <w:tr w:rsidR="00E72C5C" w:rsidRPr="005F3B5C" w:rsidTr="007066DF">
        <w:trPr>
          <w:trHeight w:val="242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2–8 years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250 mg twice daily for 8 weeks</w:t>
            </w:r>
          </w:p>
        </w:tc>
      </w:tr>
      <w:tr w:rsidR="00E72C5C" w:rsidRPr="005F3B5C" w:rsidTr="007066DF">
        <w:trPr>
          <w:trHeight w:val="279"/>
        </w:trPr>
        <w:tc>
          <w:tcPr>
            <w:tcW w:w="28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8–18 years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2C5C" w:rsidRPr="00E72C5C" w:rsidRDefault="00E72C5C" w:rsidP="007066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72C5C">
              <w:rPr>
                <w:rFonts w:ascii="Arial" w:hAnsi="Arial" w:cs="Arial"/>
                <w:sz w:val="18"/>
                <w:szCs w:val="18"/>
              </w:rPr>
              <w:t>500 mg twice daily for 8 weeks</w:t>
            </w:r>
          </w:p>
        </w:tc>
      </w:tr>
    </w:tbl>
    <w:p w:rsidR="00E72C5C" w:rsidRDefault="00E72C5C" w:rsidP="00C71DEC">
      <w:pPr>
        <w:jc w:val="both"/>
        <w:rPr>
          <w:rFonts w:ascii="Arial" w:hAnsi="Arial" w:cs="Arial"/>
          <w:b/>
          <w:sz w:val="22"/>
          <w:szCs w:val="22"/>
        </w:rPr>
      </w:pPr>
    </w:p>
    <w:p w:rsidR="00D4769C" w:rsidRPr="00C71DEC" w:rsidRDefault="00D4769C" w:rsidP="00C71DEC">
      <w:pPr>
        <w:jc w:val="both"/>
        <w:rPr>
          <w:rFonts w:ascii="Arial" w:hAnsi="Arial" w:cs="Arial"/>
          <w:sz w:val="22"/>
          <w:szCs w:val="22"/>
        </w:rPr>
      </w:pPr>
    </w:p>
    <w:p w:rsidR="007D4A44" w:rsidRDefault="0083768A" w:rsidP="00D05D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ECUSTEC</w:t>
      </w:r>
      <w:r w:rsidR="00F57F7D">
        <w:rPr>
          <w:rFonts w:ascii="Arial" w:hAnsi="Arial" w:cs="Arial"/>
          <w:sz w:val="22"/>
          <w:szCs w:val="22"/>
        </w:rPr>
        <w:t xml:space="preserve"> </w:t>
      </w:r>
      <w:r w:rsidR="007D4A44">
        <w:rPr>
          <w:rFonts w:ascii="Arial" w:hAnsi="Arial" w:cs="Arial"/>
          <w:sz w:val="22"/>
          <w:szCs w:val="22"/>
        </w:rPr>
        <w:t xml:space="preserve">is being coordinated by the University of </w:t>
      </w:r>
      <w:r w:rsidR="007D4A44" w:rsidRPr="00167505">
        <w:rPr>
          <w:rFonts w:ascii="Arial" w:hAnsi="Arial" w:cs="Arial"/>
          <w:sz w:val="22"/>
          <w:szCs w:val="22"/>
        </w:rPr>
        <w:t>Birmingham Clinical Trials Unit</w:t>
      </w:r>
      <w:r w:rsidR="007D4A44">
        <w:rPr>
          <w:rFonts w:ascii="Arial" w:hAnsi="Arial" w:cs="Arial"/>
          <w:sz w:val="22"/>
          <w:szCs w:val="22"/>
        </w:rPr>
        <w:t xml:space="preserve"> (address below), and is being funded by the </w:t>
      </w:r>
      <w:r w:rsidR="00D05D13" w:rsidRPr="00D05D13">
        <w:rPr>
          <w:rFonts w:ascii="Arial" w:hAnsi="Arial" w:cs="Arial"/>
          <w:sz w:val="22"/>
          <w:szCs w:val="22"/>
        </w:rPr>
        <w:t xml:space="preserve">National Institute for Health Research, Efficacy and Mechanism Evaluation </w:t>
      </w:r>
      <w:proofErr w:type="spellStart"/>
      <w:r w:rsidR="00D05D13" w:rsidRPr="00D05D13">
        <w:rPr>
          <w:rFonts w:ascii="Arial" w:hAnsi="Arial" w:cs="Arial"/>
          <w:sz w:val="22"/>
          <w:szCs w:val="22"/>
        </w:rPr>
        <w:t>Programme</w:t>
      </w:r>
      <w:proofErr w:type="spellEnd"/>
      <w:r w:rsidR="00D05D13" w:rsidRPr="00D05D13">
        <w:rPr>
          <w:rFonts w:ascii="Arial" w:hAnsi="Arial" w:cs="Arial"/>
          <w:sz w:val="22"/>
          <w:szCs w:val="22"/>
        </w:rPr>
        <w:t xml:space="preserve"> (NIHR EME)</w:t>
      </w:r>
      <w:r w:rsidR="00D05D13">
        <w:rPr>
          <w:rFonts w:ascii="Arial" w:hAnsi="Arial" w:cs="Arial"/>
          <w:sz w:val="22"/>
          <w:szCs w:val="22"/>
        </w:rPr>
        <w:t xml:space="preserve">, Ref: </w:t>
      </w:r>
      <w:r w:rsidR="00D05D13" w:rsidRPr="00D05D13">
        <w:rPr>
          <w:rFonts w:ascii="Arial" w:hAnsi="Arial" w:cs="Arial"/>
          <w:sz w:val="22"/>
          <w:szCs w:val="22"/>
        </w:rPr>
        <w:t>14/48/43</w:t>
      </w:r>
      <w:r w:rsidR="00D05D13">
        <w:rPr>
          <w:rFonts w:ascii="Arial" w:hAnsi="Arial" w:cs="Arial"/>
          <w:sz w:val="22"/>
          <w:szCs w:val="22"/>
        </w:rPr>
        <w:t>.</w:t>
      </w:r>
      <w:r w:rsidR="007D4A44">
        <w:rPr>
          <w:rFonts w:ascii="Arial" w:hAnsi="Arial" w:cs="Arial"/>
          <w:sz w:val="22"/>
          <w:szCs w:val="22"/>
        </w:rPr>
        <w:t xml:space="preserve"> The trial has been approved by </w:t>
      </w:r>
      <w:r w:rsidR="000B62A6" w:rsidRPr="000B62A6">
        <w:rPr>
          <w:rFonts w:ascii="Arial" w:hAnsi="Arial" w:cs="Arial"/>
          <w:sz w:val="22"/>
          <w:szCs w:val="22"/>
        </w:rPr>
        <w:t xml:space="preserve">North East – </w:t>
      </w:r>
      <w:r w:rsidR="00944B2D">
        <w:rPr>
          <w:rFonts w:ascii="Arial" w:hAnsi="Arial" w:cs="Arial"/>
          <w:sz w:val="22"/>
          <w:szCs w:val="22"/>
        </w:rPr>
        <w:t xml:space="preserve">Newcastle and North </w:t>
      </w:r>
      <w:proofErr w:type="spellStart"/>
      <w:r w:rsidR="00944B2D">
        <w:rPr>
          <w:rFonts w:ascii="Arial" w:hAnsi="Arial" w:cs="Arial"/>
          <w:sz w:val="22"/>
          <w:szCs w:val="22"/>
        </w:rPr>
        <w:t>Tyneside</w:t>
      </w:r>
      <w:proofErr w:type="spellEnd"/>
      <w:r w:rsidR="00944B2D">
        <w:rPr>
          <w:rFonts w:ascii="Arial" w:hAnsi="Arial" w:cs="Arial"/>
          <w:sz w:val="22"/>
          <w:szCs w:val="22"/>
        </w:rPr>
        <w:t xml:space="preserve"> 1</w:t>
      </w:r>
      <w:r w:rsidR="00AF3608" w:rsidRPr="00AF3608">
        <w:rPr>
          <w:rFonts w:ascii="Arial" w:hAnsi="Arial" w:cs="Arial"/>
          <w:sz w:val="22"/>
          <w:szCs w:val="22"/>
        </w:rPr>
        <w:t xml:space="preserve"> Research Ethics Committee</w:t>
      </w:r>
      <w:r w:rsidR="007D4A44">
        <w:rPr>
          <w:rFonts w:ascii="Arial" w:hAnsi="Arial" w:cs="Arial"/>
          <w:sz w:val="22"/>
          <w:szCs w:val="22"/>
        </w:rPr>
        <w:t>.</w:t>
      </w:r>
      <w:r w:rsidR="006342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ECUSTEC</w:t>
      </w:r>
      <w:r w:rsidR="00F57F7D">
        <w:rPr>
          <w:rFonts w:ascii="Arial" w:hAnsi="Arial" w:cs="Arial"/>
          <w:sz w:val="22"/>
          <w:szCs w:val="22"/>
        </w:rPr>
        <w:t xml:space="preserve"> </w:t>
      </w:r>
      <w:r w:rsidR="00634290">
        <w:rPr>
          <w:rFonts w:ascii="Arial" w:hAnsi="Arial" w:cs="Arial"/>
          <w:sz w:val="22"/>
          <w:szCs w:val="22"/>
        </w:rPr>
        <w:t xml:space="preserve">is </w:t>
      </w:r>
      <w:r w:rsidR="00D05D13">
        <w:rPr>
          <w:rFonts w:ascii="Arial" w:hAnsi="Arial" w:cs="Arial"/>
          <w:sz w:val="22"/>
          <w:szCs w:val="22"/>
        </w:rPr>
        <w:t>s</w:t>
      </w:r>
      <w:r w:rsidR="00634290">
        <w:rPr>
          <w:rFonts w:ascii="Arial" w:hAnsi="Arial" w:cs="Arial"/>
          <w:sz w:val="22"/>
          <w:szCs w:val="22"/>
        </w:rPr>
        <w:t>ponsored by the</w:t>
      </w:r>
      <w:r w:rsidR="00D05D13">
        <w:rPr>
          <w:rFonts w:ascii="Arial" w:hAnsi="Arial" w:cs="Arial"/>
          <w:sz w:val="22"/>
          <w:szCs w:val="22"/>
        </w:rPr>
        <w:t xml:space="preserve"> </w:t>
      </w:r>
      <w:r w:rsidR="00D05D13" w:rsidRPr="00D05D13">
        <w:rPr>
          <w:rFonts w:ascii="Arial" w:hAnsi="Arial" w:cs="Arial"/>
          <w:sz w:val="22"/>
          <w:szCs w:val="22"/>
        </w:rPr>
        <w:t>Newcastle Upon Tyne Hospitals NHS Foundation Trust</w:t>
      </w:r>
      <w:r w:rsidR="00634290">
        <w:rPr>
          <w:rFonts w:ascii="Arial" w:hAnsi="Arial" w:cs="Arial"/>
          <w:sz w:val="22"/>
          <w:szCs w:val="22"/>
        </w:rPr>
        <w:t>.</w:t>
      </w:r>
    </w:p>
    <w:p w:rsidR="00634290" w:rsidRDefault="00634290" w:rsidP="007D4A44">
      <w:pPr>
        <w:jc w:val="both"/>
        <w:rPr>
          <w:rFonts w:ascii="Arial" w:hAnsi="Arial" w:cs="Arial"/>
          <w:sz w:val="22"/>
          <w:szCs w:val="22"/>
        </w:rPr>
      </w:pPr>
    </w:p>
    <w:p w:rsidR="00634290" w:rsidRPr="00167505" w:rsidRDefault="00634290" w:rsidP="007D4A44">
      <w:pPr>
        <w:jc w:val="both"/>
        <w:rPr>
          <w:rFonts w:ascii="Arial" w:hAnsi="Arial" w:cs="Arial"/>
          <w:sz w:val="22"/>
          <w:szCs w:val="22"/>
        </w:rPr>
      </w:pPr>
      <w:r w:rsidRPr="00634290">
        <w:rPr>
          <w:rFonts w:ascii="Arial" w:hAnsi="Arial" w:cs="Arial"/>
          <w:sz w:val="22"/>
          <w:szCs w:val="22"/>
        </w:rPr>
        <w:lastRenderedPageBreak/>
        <w:t xml:space="preserve">If you have cause to see your patient during the course of the study and want to discuss any aspect of their management e.g. treatment regimen, contra-indications etc., please do not hesitate to contact me on Tel: </w:t>
      </w:r>
      <w:r w:rsidRPr="00634290">
        <w:rPr>
          <w:rFonts w:ascii="Arial" w:hAnsi="Arial" w:cs="Arial"/>
          <w:i/>
          <w:sz w:val="22"/>
          <w:szCs w:val="22"/>
        </w:rPr>
        <w:t xml:space="preserve">&lt;insert </w:t>
      </w:r>
      <w:r w:rsidR="00894043" w:rsidRPr="007D4A44">
        <w:rPr>
          <w:rFonts w:ascii="Arial" w:hAnsi="Arial" w:cs="Arial"/>
          <w:i/>
          <w:sz w:val="22"/>
          <w:szCs w:val="22"/>
        </w:rPr>
        <w:t xml:space="preserve">responsible clinician </w:t>
      </w:r>
      <w:r w:rsidRPr="00634290">
        <w:rPr>
          <w:rFonts w:ascii="Arial" w:hAnsi="Arial" w:cs="Arial"/>
          <w:i/>
          <w:sz w:val="22"/>
          <w:szCs w:val="22"/>
        </w:rPr>
        <w:t>telephone number&gt;</w:t>
      </w:r>
      <w:r w:rsidRPr="00634290">
        <w:rPr>
          <w:rFonts w:ascii="Arial" w:hAnsi="Arial" w:cs="Arial"/>
          <w:sz w:val="22"/>
          <w:szCs w:val="22"/>
        </w:rPr>
        <w:t>.  It would be particularly helpful if you could inform me of any adverse events your patient reports to you or any therapy changes you make or wish to make.</w:t>
      </w:r>
    </w:p>
    <w:p w:rsidR="007D4A44" w:rsidRDefault="007D4A44" w:rsidP="00C71DEC">
      <w:pPr>
        <w:jc w:val="both"/>
        <w:rPr>
          <w:rFonts w:ascii="Arial" w:hAnsi="Arial" w:cs="Arial"/>
          <w:sz w:val="22"/>
          <w:szCs w:val="22"/>
        </w:rPr>
      </w:pPr>
    </w:p>
    <w:p w:rsidR="004C55E9" w:rsidRPr="00C71DEC" w:rsidRDefault="004C55E9" w:rsidP="00C71DEC">
      <w:pPr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>Yours sincerely,</w:t>
      </w:r>
    </w:p>
    <w:p w:rsidR="004C55E9" w:rsidRDefault="004C55E9" w:rsidP="00C71DEC">
      <w:pPr>
        <w:jc w:val="both"/>
        <w:rPr>
          <w:rFonts w:ascii="Arial" w:hAnsi="Arial" w:cs="Arial"/>
          <w:sz w:val="22"/>
          <w:szCs w:val="22"/>
        </w:rPr>
      </w:pPr>
    </w:p>
    <w:p w:rsidR="007D4A44" w:rsidRDefault="007D4A44" w:rsidP="00C71DEC">
      <w:pPr>
        <w:jc w:val="both"/>
        <w:rPr>
          <w:rFonts w:ascii="Arial" w:hAnsi="Arial" w:cs="Arial"/>
          <w:sz w:val="22"/>
          <w:szCs w:val="22"/>
        </w:rPr>
      </w:pPr>
    </w:p>
    <w:p w:rsidR="007D4A44" w:rsidRDefault="007D4A44" w:rsidP="00C71DEC">
      <w:pPr>
        <w:jc w:val="both"/>
        <w:rPr>
          <w:rFonts w:ascii="Arial" w:hAnsi="Arial" w:cs="Arial"/>
          <w:sz w:val="22"/>
          <w:szCs w:val="22"/>
        </w:rPr>
      </w:pPr>
    </w:p>
    <w:p w:rsidR="007D4A44" w:rsidRPr="00C71DEC" w:rsidRDefault="007D4A44" w:rsidP="00C71DEC">
      <w:pPr>
        <w:jc w:val="both"/>
        <w:rPr>
          <w:rFonts w:ascii="Arial" w:hAnsi="Arial" w:cs="Arial"/>
          <w:sz w:val="22"/>
          <w:szCs w:val="22"/>
        </w:rPr>
      </w:pPr>
    </w:p>
    <w:p w:rsidR="004C55E9" w:rsidRDefault="007D4A44" w:rsidP="00C71DEC">
      <w:pPr>
        <w:jc w:val="both"/>
        <w:rPr>
          <w:rFonts w:ascii="Arial" w:hAnsi="Arial" w:cs="Arial"/>
          <w:i/>
          <w:sz w:val="22"/>
          <w:szCs w:val="22"/>
        </w:rPr>
      </w:pPr>
      <w:r w:rsidRPr="007D4A44">
        <w:rPr>
          <w:rFonts w:ascii="Arial" w:hAnsi="Arial" w:cs="Arial"/>
          <w:i/>
          <w:sz w:val="22"/>
          <w:szCs w:val="22"/>
        </w:rPr>
        <w:t>&lt;</w:t>
      </w:r>
      <w:proofErr w:type="gramStart"/>
      <w:r w:rsidRPr="007D4A44">
        <w:rPr>
          <w:rFonts w:ascii="Arial" w:hAnsi="Arial" w:cs="Arial"/>
          <w:i/>
          <w:sz w:val="22"/>
          <w:szCs w:val="22"/>
        </w:rPr>
        <w:t>insert</w:t>
      </w:r>
      <w:proofErr w:type="gramEnd"/>
      <w:r w:rsidRPr="007D4A44">
        <w:rPr>
          <w:rFonts w:ascii="Arial" w:hAnsi="Arial" w:cs="Arial"/>
          <w:i/>
          <w:sz w:val="22"/>
          <w:szCs w:val="22"/>
        </w:rPr>
        <w:t xml:space="preserve"> responsible clinician name&gt;</w:t>
      </w:r>
    </w:p>
    <w:p w:rsidR="007D4A44" w:rsidRDefault="007D4A44" w:rsidP="00C71DEC">
      <w:pPr>
        <w:jc w:val="both"/>
        <w:rPr>
          <w:rFonts w:ascii="Arial" w:hAnsi="Arial" w:cs="Arial"/>
          <w:i/>
          <w:sz w:val="22"/>
          <w:szCs w:val="22"/>
        </w:rPr>
      </w:pPr>
    </w:p>
    <w:p w:rsidR="007D4A44" w:rsidRDefault="007D4A44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4A44" w:rsidRPr="00356718" w:rsidRDefault="007D4A44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4A44" w:rsidRPr="00C84C69" w:rsidRDefault="0083768A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C84C69">
        <w:rPr>
          <w:rFonts w:ascii="Arial" w:hAnsi="Arial" w:cs="Arial"/>
          <w:bCs/>
          <w:iCs/>
          <w:sz w:val="22"/>
          <w:szCs w:val="22"/>
        </w:rPr>
        <w:t>ECUSTEC</w:t>
      </w:r>
      <w:r w:rsidR="0094747C" w:rsidRPr="00C84C69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4A44" w:rsidRPr="00C84C69">
        <w:rPr>
          <w:rFonts w:ascii="Arial" w:hAnsi="Arial" w:cs="Arial"/>
          <w:bCs/>
          <w:iCs/>
          <w:sz w:val="22"/>
          <w:szCs w:val="22"/>
        </w:rPr>
        <w:t xml:space="preserve">Study Office, The University of Birmingham Clinical Trials Unit, College of Medical &amp; Dental Sciences, </w:t>
      </w:r>
      <w:r w:rsidR="00D05D13" w:rsidRPr="00C84C69">
        <w:rPr>
          <w:rFonts w:ascii="Arial" w:hAnsi="Arial" w:cs="Arial"/>
          <w:bCs/>
          <w:iCs/>
          <w:sz w:val="22"/>
          <w:szCs w:val="22"/>
        </w:rPr>
        <w:t>Institute of Applied Health Research</w:t>
      </w:r>
      <w:r w:rsidR="007D4A44" w:rsidRPr="00C84C69">
        <w:rPr>
          <w:rFonts w:ascii="Arial" w:hAnsi="Arial" w:cs="Arial"/>
          <w:bCs/>
          <w:iCs/>
          <w:sz w:val="22"/>
          <w:szCs w:val="22"/>
        </w:rPr>
        <w:t xml:space="preserve">, University of Birmingham, </w:t>
      </w:r>
      <w:proofErr w:type="spellStart"/>
      <w:r w:rsidR="007D4A44" w:rsidRPr="00C84C69">
        <w:rPr>
          <w:rFonts w:ascii="Arial" w:hAnsi="Arial" w:cs="Arial"/>
          <w:bCs/>
          <w:iCs/>
          <w:sz w:val="22"/>
          <w:szCs w:val="22"/>
        </w:rPr>
        <w:t>Edgbaston</w:t>
      </w:r>
      <w:proofErr w:type="spellEnd"/>
      <w:r w:rsidR="007D4A44" w:rsidRPr="00C84C69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gramStart"/>
      <w:r w:rsidR="007D4A44" w:rsidRPr="00C84C69">
        <w:rPr>
          <w:rFonts w:ascii="Arial" w:hAnsi="Arial" w:cs="Arial"/>
          <w:bCs/>
          <w:iCs/>
          <w:sz w:val="22"/>
          <w:szCs w:val="22"/>
        </w:rPr>
        <w:t>Birmingham</w:t>
      </w:r>
      <w:proofErr w:type="gramEnd"/>
      <w:r w:rsidR="007D4A44" w:rsidRPr="00C84C69">
        <w:rPr>
          <w:rFonts w:ascii="Arial" w:hAnsi="Arial" w:cs="Arial"/>
          <w:bCs/>
          <w:iCs/>
          <w:sz w:val="22"/>
          <w:szCs w:val="22"/>
        </w:rPr>
        <w:t>, B15 2TT.</w:t>
      </w:r>
    </w:p>
    <w:p w:rsidR="007D4A44" w:rsidRPr="00C84C69" w:rsidRDefault="007D4A44" w:rsidP="007D4A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84C69">
        <w:rPr>
          <w:rFonts w:ascii="Arial" w:hAnsi="Arial"/>
          <w:bCs/>
          <w:iCs/>
          <w:sz w:val="22"/>
          <w:szCs w:val="22"/>
        </w:rPr>
        <w:t>Web address: www.b</w:t>
      </w:r>
      <w:r w:rsidR="00F57F7D" w:rsidRPr="00C84C69">
        <w:rPr>
          <w:rFonts w:ascii="Arial" w:hAnsi="Arial"/>
          <w:bCs/>
          <w:iCs/>
          <w:sz w:val="22"/>
          <w:szCs w:val="22"/>
        </w:rPr>
        <w:t>irmingham</w:t>
      </w:r>
      <w:r w:rsidRPr="00C84C69">
        <w:rPr>
          <w:rFonts w:ascii="Arial" w:hAnsi="Arial"/>
          <w:bCs/>
          <w:iCs/>
          <w:sz w:val="22"/>
          <w:szCs w:val="22"/>
        </w:rPr>
        <w:t>.ac.uk</w:t>
      </w:r>
      <w:r w:rsidR="00D05D13" w:rsidRPr="00C84C69">
        <w:rPr>
          <w:rFonts w:ascii="Arial" w:hAnsi="Arial"/>
          <w:bCs/>
          <w:iCs/>
          <w:sz w:val="22"/>
          <w:szCs w:val="22"/>
        </w:rPr>
        <w:t>/ECUSTEC</w:t>
      </w:r>
    </w:p>
    <w:p w:rsidR="007D4A44" w:rsidRPr="00356718" w:rsidRDefault="007D4A44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146FA3" w:rsidRDefault="00146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46FA3" w:rsidRDefault="00146FA3" w:rsidP="00146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Appendix 1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Details of vaccination given (please update your information systems accordingly):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ACWY vaccine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Vaccine name: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 name: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Batch number: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Expiry date: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Dose administered: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used:</w:t>
      </w:r>
      <w:bookmarkStart w:id="0" w:name="_GoBack"/>
      <w:bookmarkEnd w:id="0"/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</w:t>
      </w:r>
      <w:proofErr w:type="spellStart"/>
      <w:r>
        <w:rPr>
          <w:rFonts w:ascii="Arial" w:hAnsi="Arial" w:cs="Arial"/>
          <w:sz w:val="22"/>
          <w:szCs w:val="22"/>
        </w:rPr>
        <w:t>immunisation</w:t>
      </w:r>
      <w:proofErr w:type="spellEnd"/>
      <w:r>
        <w:rPr>
          <w:rFonts w:ascii="Arial" w:hAnsi="Arial" w:cs="Arial"/>
          <w:sz w:val="22"/>
          <w:szCs w:val="22"/>
        </w:rPr>
        <w:t xml:space="preserve"> given: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Group B meningococcal vaccine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Vaccine name: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 name: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Batch number: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Expiry date: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Dose administered: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used: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356718" w:rsidRDefault="00356718" w:rsidP="00146FA3">
      <w:pPr>
        <w:jc w:val="both"/>
        <w:rPr>
          <w:rFonts w:ascii="Arial" w:hAnsi="Arial" w:cs="Arial"/>
          <w:sz w:val="22"/>
          <w:szCs w:val="22"/>
        </w:rPr>
      </w:pP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</w:t>
      </w:r>
      <w:proofErr w:type="spellStart"/>
      <w:r>
        <w:rPr>
          <w:rFonts w:ascii="Arial" w:hAnsi="Arial" w:cs="Arial"/>
          <w:sz w:val="22"/>
          <w:szCs w:val="22"/>
        </w:rPr>
        <w:t>immunisation</w:t>
      </w:r>
      <w:proofErr w:type="spellEnd"/>
      <w:r>
        <w:rPr>
          <w:rFonts w:ascii="Arial" w:hAnsi="Arial" w:cs="Arial"/>
          <w:sz w:val="22"/>
          <w:szCs w:val="22"/>
        </w:rPr>
        <w:t xml:space="preserve"> given:</w:t>
      </w:r>
    </w:p>
    <w:p w:rsidR="00146FA3" w:rsidRDefault="00146FA3" w:rsidP="00146FA3">
      <w:pPr>
        <w:jc w:val="both"/>
        <w:rPr>
          <w:rFonts w:ascii="Arial" w:hAnsi="Arial" w:cs="Arial"/>
          <w:sz w:val="22"/>
          <w:szCs w:val="22"/>
        </w:rPr>
      </w:pPr>
    </w:p>
    <w:p w:rsidR="00951F56" w:rsidRDefault="005F3728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EF890" wp14:editId="20629E48">
                <wp:simplePos x="0" y="0"/>
                <wp:positionH relativeFrom="column">
                  <wp:posOffset>5508625</wp:posOffset>
                </wp:positionH>
                <wp:positionV relativeFrom="paragraph">
                  <wp:posOffset>10160</wp:posOffset>
                </wp:positionV>
                <wp:extent cx="375920" cy="285115"/>
                <wp:effectExtent l="0" t="0" r="2413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85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33.75pt;margin-top:.8pt;width:29.6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" filled="f" strokecolor="windowText" strokeweight="2pt"/>
            </w:pict>
          </mc:Fallback>
        </mc:AlternateContent>
      </w:r>
      <w:r w:rsidR="00951F56">
        <w:rPr>
          <w:rFonts w:ascii="Arial" w:hAnsi="Arial" w:cs="Arial"/>
          <w:sz w:val="22"/>
          <w:szCs w:val="22"/>
        </w:rPr>
        <w:t xml:space="preserve">Vaccine not given as child already included in UK Vaccination </w:t>
      </w:r>
      <w:proofErr w:type="spellStart"/>
      <w:r w:rsidR="00951F56">
        <w:rPr>
          <w:rFonts w:ascii="Arial" w:hAnsi="Arial" w:cs="Arial"/>
          <w:sz w:val="22"/>
          <w:szCs w:val="22"/>
        </w:rPr>
        <w:t>programme</w:t>
      </w:r>
      <w:proofErr w:type="spellEnd"/>
      <w:r w:rsidR="00951F56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951F56">
        <w:rPr>
          <w:rFonts w:ascii="Arial" w:hAnsi="Arial" w:cs="Arial"/>
          <w:sz w:val="22"/>
          <w:szCs w:val="22"/>
        </w:rPr>
        <w:t>Bexsero</w:t>
      </w:r>
      <w:proofErr w:type="spellEnd"/>
    </w:p>
    <w:p w:rsidR="00822FD7" w:rsidRPr="00822FD7" w:rsidRDefault="00822FD7" w:rsidP="00C71DEC">
      <w:pPr>
        <w:jc w:val="both"/>
        <w:rPr>
          <w:rFonts w:ascii="Arial" w:hAnsi="Arial" w:cs="Arial"/>
          <w:i/>
          <w:sz w:val="18"/>
          <w:szCs w:val="18"/>
        </w:rPr>
      </w:pPr>
      <w:r w:rsidRPr="00822FD7">
        <w:rPr>
          <w:rFonts w:ascii="Arial" w:hAnsi="Arial" w:cs="Arial"/>
          <w:i/>
          <w:sz w:val="18"/>
          <w:szCs w:val="18"/>
        </w:rPr>
        <w:t>Study team to tick if applicable</w:t>
      </w:r>
    </w:p>
    <w:sectPr w:rsidR="00822FD7" w:rsidRPr="00822FD7" w:rsidSect="00213A48">
      <w:headerReference w:type="default" r:id="rId9"/>
      <w:footerReference w:type="default" r:id="rId10"/>
      <w:pgSz w:w="12240" w:h="15840"/>
      <w:pgMar w:top="1134" w:right="130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97" w:rsidRDefault="001B3D97">
      <w:r>
        <w:separator/>
      </w:r>
    </w:p>
  </w:endnote>
  <w:endnote w:type="continuationSeparator" w:id="0">
    <w:p w:rsidR="001B3D97" w:rsidRDefault="001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CC" w:rsidRDefault="0083768A">
    <w:pPr>
      <w:pStyle w:val="Footer"/>
      <w:rPr>
        <w:rFonts w:ascii="Arial" w:hAnsi="Arial" w:cs="Arial"/>
        <w:szCs w:val="16"/>
        <w:lang w:val="en-GB"/>
      </w:rPr>
    </w:pPr>
    <w:r w:rsidRPr="004429CC">
      <w:rPr>
        <w:rFonts w:ascii="Arial" w:hAnsi="Arial" w:cs="Arial"/>
        <w:szCs w:val="16"/>
        <w:lang w:val="en-GB"/>
      </w:rPr>
      <w:t>ECUSTEC</w:t>
    </w:r>
    <w:r w:rsidR="001B3D97" w:rsidRPr="004429CC">
      <w:rPr>
        <w:rFonts w:ascii="Arial" w:hAnsi="Arial" w:cs="Arial"/>
        <w:szCs w:val="16"/>
        <w:lang w:val="en-GB"/>
      </w:rPr>
      <w:t xml:space="preserve"> </w:t>
    </w:r>
    <w:r w:rsidR="00356718">
      <w:rPr>
        <w:rFonts w:ascii="Arial" w:hAnsi="Arial" w:cs="Arial"/>
        <w:szCs w:val="16"/>
        <w:lang w:val="en-GB"/>
      </w:rPr>
      <w:t xml:space="preserve">Initial </w:t>
    </w:r>
    <w:r w:rsidR="001B3D97" w:rsidRPr="004429CC">
      <w:rPr>
        <w:rFonts w:ascii="Arial" w:hAnsi="Arial" w:cs="Arial"/>
        <w:szCs w:val="16"/>
        <w:lang w:val="en-GB"/>
      </w:rPr>
      <w:t xml:space="preserve">Letter to GP, Version </w:t>
    </w:r>
    <w:r w:rsidR="00356718">
      <w:rPr>
        <w:rFonts w:ascii="Arial" w:hAnsi="Arial" w:cs="Arial"/>
        <w:szCs w:val="16"/>
        <w:lang w:val="en-GB"/>
      </w:rPr>
      <w:t>1.0</w:t>
    </w:r>
    <w:r w:rsidR="001B3D97" w:rsidRPr="004429CC">
      <w:rPr>
        <w:rFonts w:ascii="Arial" w:hAnsi="Arial" w:cs="Arial"/>
        <w:szCs w:val="16"/>
        <w:lang w:val="en-GB"/>
      </w:rPr>
      <w:t xml:space="preserve">, </w:t>
    </w:r>
    <w:r w:rsidR="007E2E64">
      <w:rPr>
        <w:rFonts w:ascii="Arial" w:hAnsi="Arial" w:cs="Arial"/>
        <w:szCs w:val="16"/>
        <w:lang w:val="en-GB"/>
      </w:rPr>
      <w:t>7</w:t>
    </w:r>
    <w:r w:rsidR="007E2E64" w:rsidRPr="007E2E64">
      <w:rPr>
        <w:rFonts w:ascii="Arial" w:hAnsi="Arial" w:cs="Arial"/>
        <w:szCs w:val="16"/>
        <w:vertAlign w:val="superscript"/>
        <w:lang w:val="en-GB"/>
      </w:rPr>
      <w:t>th</w:t>
    </w:r>
    <w:r w:rsidR="007E2E64">
      <w:rPr>
        <w:rFonts w:ascii="Arial" w:hAnsi="Arial" w:cs="Arial"/>
        <w:szCs w:val="16"/>
        <w:lang w:val="en-GB"/>
      </w:rPr>
      <w:t xml:space="preserve"> September</w:t>
    </w:r>
    <w:r w:rsidR="00356718">
      <w:rPr>
        <w:rFonts w:ascii="Arial" w:hAnsi="Arial" w:cs="Arial"/>
        <w:szCs w:val="16"/>
        <w:lang w:val="en-GB"/>
      </w:rPr>
      <w:t xml:space="preserve"> </w:t>
    </w:r>
    <w:r w:rsidR="001B3D97" w:rsidRPr="004429CC">
      <w:rPr>
        <w:rFonts w:ascii="Arial" w:hAnsi="Arial" w:cs="Arial"/>
        <w:szCs w:val="16"/>
        <w:lang w:val="en-GB"/>
      </w:rPr>
      <w:t>201</w:t>
    </w:r>
    <w:r w:rsidR="00D05D13" w:rsidRPr="004429CC">
      <w:rPr>
        <w:rFonts w:ascii="Arial" w:hAnsi="Arial" w:cs="Arial"/>
        <w:szCs w:val="16"/>
        <w:lang w:val="en-GB"/>
      </w:rPr>
      <w:t>6</w:t>
    </w:r>
    <w:r w:rsidR="001B3D97" w:rsidRPr="004429CC">
      <w:rPr>
        <w:rFonts w:ascii="Arial" w:hAnsi="Arial" w:cs="Arial"/>
        <w:szCs w:val="16"/>
        <w:lang w:val="en-GB"/>
      </w:rPr>
      <w:tab/>
      <w:t xml:space="preserve">                                              </w:t>
    </w:r>
  </w:p>
  <w:p w:rsidR="001B3D97" w:rsidRPr="004429CC" w:rsidRDefault="001B3D97">
    <w:pPr>
      <w:pStyle w:val="Footer"/>
      <w:rPr>
        <w:rFonts w:ascii="Arial" w:hAnsi="Arial" w:cs="Arial"/>
        <w:szCs w:val="16"/>
        <w:lang w:val="en-GB"/>
      </w:rPr>
    </w:pPr>
    <w:r w:rsidRPr="004429CC">
      <w:rPr>
        <w:rFonts w:ascii="Arial" w:hAnsi="Arial" w:cs="Arial"/>
        <w:szCs w:val="16"/>
        <w:lang w:val="en-GB"/>
      </w:rPr>
      <w:t xml:space="preserve">EudraCT Number: </w:t>
    </w:r>
    <w:r w:rsidR="00D05D13" w:rsidRPr="004429CC">
      <w:rPr>
        <w:rFonts w:ascii="Arial" w:hAnsi="Arial" w:cs="Arial"/>
        <w:szCs w:val="16"/>
        <w:lang w:val="en-GB"/>
      </w:rPr>
      <w:t>2016-000997-39</w:t>
    </w:r>
  </w:p>
  <w:sdt>
    <w:sdtPr>
      <w:rPr>
        <w:rFonts w:ascii="Arial" w:hAnsi="Arial" w:cs="Arial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1B3D97" w:rsidRPr="004429CC" w:rsidRDefault="001B3D97" w:rsidP="004429CC">
        <w:pPr>
          <w:jc w:val="right"/>
          <w:rPr>
            <w:rFonts w:ascii="Arial" w:hAnsi="Arial" w:cs="Arial"/>
            <w:szCs w:val="16"/>
          </w:rPr>
        </w:pPr>
        <w:r w:rsidRPr="004429CC">
          <w:rPr>
            <w:rFonts w:ascii="Arial" w:hAnsi="Arial" w:cs="Arial"/>
            <w:szCs w:val="16"/>
          </w:rPr>
          <w:t xml:space="preserve">Page </w:t>
        </w:r>
        <w:r w:rsidR="00A07BB7" w:rsidRPr="004429CC">
          <w:rPr>
            <w:rFonts w:ascii="Arial" w:hAnsi="Arial" w:cs="Arial"/>
            <w:szCs w:val="16"/>
          </w:rPr>
          <w:fldChar w:fldCharType="begin"/>
        </w:r>
        <w:r w:rsidRPr="004429CC">
          <w:rPr>
            <w:rFonts w:ascii="Arial" w:hAnsi="Arial" w:cs="Arial"/>
            <w:szCs w:val="16"/>
          </w:rPr>
          <w:instrText xml:space="preserve"> PAGE </w:instrText>
        </w:r>
        <w:r w:rsidR="00A07BB7" w:rsidRPr="004429CC">
          <w:rPr>
            <w:rFonts w:ascii="Arial" w:hAnsi="Arial" w:cs="Arial"/>
            <w:szCs w:val="16"/>
          </w:rPr>
          <w:fldChar w:fldCharType="separate"/>
        </w:r>
        <w:r w:rsidR="00F522AC">
          <w:rPr>
            <w:rFonts w:ascii="Arial" w:hAnsi="Arial" w:cs="Arial"/>
            <w:noProof/>
            <w:szCs w:val="16"/>
          </w:rPr>
          <w:t>4</w:t>
        </w:r>
        <w:r w:rsidR="00A07BB7" w:rsidRPr="004429CC">
          <w:rPr>
            <w:rFonts w:ascii="Arial" w:hAnsi="Arial" w:cs="Arial"/>
            <w:szCs w:val="16"/>
          </w:rPr>
          <w:fldChar w:fldCharType="end"/>
        </w:r>
        <w:r w:rsidRPr="004429CC">
          <w:rPr>
            <w:rFonts w:ascii="Arial" w:hAnsi="Arial" w:cs="Arial"/>
            <w:szCs w:val="16"/>
          </w:rPr>
          <w:t xml:space="preserve"> of </w:t>
        </w:r>
        <w:r w:rsidR="00A07BB7" w:rsidRPr="004429CC">
          <w:rPr>
            <w:rFonts w:ascii="Arial" w:hAnsi="Arial" w:cs="Arial"/>
            <w:szCs w:val="16"/>
          </w:rPr>
          <w:fldChar w:fldCharType="begin"/>
        </w:r>
        <w:r w:rsidRPr="004429CC">
          <w:rPr>
            <w:rFonts w:ascii="Arial" w:hAnsi="Arial" w:cs="Arial"/>
            <w:szCs w:val="16"/>
          </w:rPr>
          <w:instrText xml:space="preserve"> NUMPAGES  </w:instrText>
        </w:r>
        <w:r w:rsidR="00A07BB7" w:rsidRPr="004429CC">
          <w:rPr>
            <w:rFonts w:ascii="Arial" w:hAnsi="Arial" w:cs="Arial"/>
            <w:szCs w:val="16"/>
          </w:rPr>
          <w:fldChar w:fldCharType="separate"/>
        </w:r>
        <w:r w:rsidR="00F522AC">
          <w:rPr>
            <w:rFonts w:ascii="Arial" w:hAnsi="Arial" w:cs="Arial"/>
            <w:noProof/>
            <w:szCs w:val="16"/>
          </w:rPr>
          <w:t>4</w:t>
        </w:r>
        <w:r w:rsidR="00A07BB7" w:rsidRPr="004429CC">
          <w:rPr>
            <w:rFonts w:ascii="Arial" w:hAnsi="Arial" w:cs="Arial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97" w:rsidRDefault="001B3D97">
      <w:r>
        <w:separator/>
      </w:r>
    </w:p>
  </w:footnote>
  <w:footnote w:type="continuationSeparator" w:id="0">
    <w:p w:rsidR="001B3D97" w:rsidRDefault="001B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8" w:rsidRDefault="00356718" w:rsidP="00356718">
    <w:r w:rsidRPr="005201FF">
      <w:rPr>
        <w:rFonts w:ascii="Arial" w:hAnsi="Arial" w:cs="Arial"/>
        <w:b/>
        <w:bCs/>
        <w:iCs/>
        <w:sz w:val="22"/>
        <w:szCs w:val="22"/>
      </w:rPr>
      <w:t>CONFIDENTIAL ONCE COMPLETED</w:t>
    </w:r>
  </w:p>
  <w:p w:rsidR="00356718" w:rsidRDefault="00356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2636"/>
    <w:multiLevelType w:val="hybridMultilevel"/>
    <w:tmpl w:val="8E40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14"/>
    <w:rsid w:val="00040C33"/>
    <w:rsid w:val="000A1935"/>
    <w:rsid w:val="000B62A6"/>
    <w:rsid w:val="000C4B16"/>
    <w:rsid w:val="000D36FD"/>
    <w:rsid w:val="00126619"/>
    <w:rsid w:val="00146FA3"/>
    <w:rsid w:val="00150B71"/>
    <w:rsid w:val="001B3D97"/>
    <w:rsid w:val="00213A48"/>
    <w:rsid w:val="0024045D"/>
    <w:rsid w:val="0028742E"/>
    <w:rsid w:val="002F1AE1"/>
    <w:rsid w:val="00333075"/>
    <w:rsid w:val="003438A9"/>
    <w:rsid w:val="00356718"/>
    <w:rsid w:val="003A39BB"/>
    <w:rsid w:val="003B54A8"/>
    <w:rsid w:val="003C6104"/>
    <w:rsid w:val="003D34E5"/>
    <w:rsid w:val="00417DE9"/>
    <w:rsid w:val="004429CC"/>
    <w:rsid w:val="00453BA1"/>
    <w:rsid w:val="004610B3"/>
    <w:rsid w:val="00475C6A"/>
    <w:rsid w:val="00487263"/>
    <w:rsid w:val="004A5AC1"/>
    <w:rsid w:val="004C55E9"/>
    <w:rsid w:val="005177A2"/>
    <w:rsid w:val="00555890"/>
    <w:rsid w:val="00564F7A"/>
    <w:rsid w:val="005F29B7"/>
    <w:rsid w:val="005F3728"/>
    <w:rsid w:val="00617920"/>
    <w:rsid w:val="00634290"/>
    <w:rsid w:val="006353B5"/>
    <w:rsid w:val="006A032D"/>
    <w:rsid w:val="00726C51"/>
    <w:rsid w:val="0078134F"/>
    <w:rsid w:val="007942D1"/>
    <w:rsid w:val="007D4A44"/>
    <w:rsid w:val="007D6D41"/>
    <w:rsid w:val="007E2E64"/>
    <w:rsid w:val="00822FD7"/>
    <w:rsid w:val="0083768A"/>
    <w:rsid w:val="00894043"/>
    <w:rsid w:val="00944B2D"/>
    <w:rsid w:val="0094747C"/>
    <w:rsid w:val="00951F56"/>
    <w:rsid w:val="009A27E6"/>
    <w:rsid w:val="009B05CA"/>
    <w:rsid w:val="009B13D1"/>
    <w:rsid w:val="009D5121"/>
    <w:rsid w:val="00A07BB7"/>
    <w:rsid w:val="00A85F27"/>
    <w:rsid w:val="00AA63CA"/>
    <w:rsid w:val="00AF3608"/>
    <w:rsid w:val="00B20FFC"/>
    <w:rsid w:val="00B2697E"/>
    <w:rsid w:val="00B657B0"/>
    <w:rsid w:val="00C71DEC"/>
    <w:rsid w:val="00C84C69"/>
    <w:rsid w:val="00D0055F"/>
    <w:rsid w:val="00D005FD"/>
    <w:rsid w:val="00D05D13"/>
    <w:rsid w:val="00D11CF0"/>
    <w:rsid w:val="00D4769C"/>
    <w:rsid w:val="00D51393"/>
    <w:rsid w:val="00D92D60"/>
    <w:rsid w:val="00DB5960"/>
    <w:rsid w:val="00DE0A14"/>
    <w:rsid w:val="00E46C9F"/>
    <w:rsid w:val="00E72C5C"/>
    <w:rsid w:val="00EF689B"/>
    <w:rsid w:val="00F11A7A"/>
    <w:rsid w:val="00F16D6E"/>
    <w:rsid w:val="00F522AC"/>
    <w:rsid w:val="00F57F7D"/>
    <w:rsid w:val="00FA36E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A5AC1"/>
    <w:pPr>
      <w:ind w:left="720"/>
    </w:pPr>
    <w:rPr>
      <w:rFonts w:ascii="Arial" w:hAnsi="Arial"/>
      <w:lang w:val="en-GB"/>
    </w:rPr>
  </w:style>
  <w:style w:type="paragraph" w:styleId="Header">
    <w:name w:val="header"/>
    <w:basedOn w:val="Normal"/>
    <w:rsid w:val="004A5A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AC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13A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4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6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71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A5AC1"/>
    <w:pPr>
      <w:ind w:left="720"/>
    </w:pPr>
    <w:rPr>
      <w:rFonts w:ascii="Arial" w:hAnsi="Arial"/>
      <w:lang w:val="en-GB"/>
    </w:rPr>
  </w:style>
  <w:style w:type="paragraph" w:styleId="Header">
    <w:name w:val="header"/>
    <w:basedOn w:val="Normal"/>
    <w:rsid w:val="004A5A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AC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13A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4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6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71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895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(Hospital headed paper)</vt:lpstr>
    </vt:vector>
  </TitlesOfParts>
  <Company>Fujisawa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(Hospital headed paper)</dc:title>
  <dc:creator>kathryn gibson</dc:creator>
  <cp:lastModifiedBy>Emma Barsoum</cp:lastModifiedBy>
  <cp:revision>7</cp:revision>
  <cp:lastPrinted>2016-09-07T14:58:00Z</cp:lastPrinted>
  <dcterms:created xsi:type="dcterms:W3CDTF">2016-07-25T16:00:00Z</dcterms:created>
  <dcterms:modified xsi:type="dcterms:W3CDTF">2016-09-07T14:58:00Z</dcterms:modified>
</cp:coreProperties>
</file>