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EFE73" w14:textId="0D63C71C" w:rsidR="00D145CC" w:rsidRDefault="00D26677" w:rsidP="00D26677">
      <w:pPr>
        <w:spacing w:after="0" w:line="240" w:lineRule="auto"/>
        <w:jc w:val="right"/>
        <w:rPr>
          <w:rFonts w:ascii="Arial" w:eastAsia="Aptos" w:hAnsi="Arial" w:cs="Arial"/>
          <w:b/>
          <w:bCs/>
          <w:sz w:val="32"/>
          <w:szCs w:val="32"/>
          <w:shd w:val="clear" w:color="auto" w:fill="FFFFFF"/>
        </w:rPr>
      </w:pPr>
      <w:r>
        <w:rPr>
          <w:rFonts w:ascii="Arial" w:eastAsia="Aptos" w:hAnsi="Arial" w:cs="Arial"/>
          <w:b/>
          <w:bCs/>
          <w:noProof/>
          <w:sz w:val="32"/>
          <w:szCs w:val="32"/>
          <w:shd w:val="clear" w:color="auto" w:fill="FFFFFF"/>
        </w:rPr>
        <w:drawing>
          <wp:inline distT="0" distB="0" distL="0" distR="0" wp14:anchorId="64E54D79" wp14:editId="75373A0A">
            <wp:extent cx="3778416" cy="1612900"/>
            <wp:effectExtent l="0" t="0" r="0" b="6350"/>
            <wp:docPr id="524186892" name="Picture 1" descr="Logo for University of Birm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86892" name="Picture 1" descr="Logo for University of Birmingha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6457" cy="1629138"/>
                    </a:xfrm>
                    <a:prstGeom prst="rect">
                      <a:avLst/>
                    </a:prstGeom>
                    <a:noFill/>
                  </pic:spPr>
                </pic:pic>
              </a:graphicData>
            </a:graphic>
          </wp:inline>
        </w:drawing>
      </w:r>
    </w:p>
    <w:p w14:paraId="4157D68D" w14:textId="77777777" w:rsidR="00D145CC" w:rsidRDefault="00D145CC" w:rsidP="00D145CC">
      <w:pPr>
        <w:spacing w:after="0" w:line="240" w:lineRule="auto"/>
        <w:rPr>
          <w:rFonts w:ascii="Arial" w:eastAsia="Aptos" w:hAnsi="Arial" w:cs="Arial"/>
          <w:b/>
          <w:bCs/>
          <w:sz w:val="32"/>
          <w:szCs w:val="32"/>
          <w:shd w:val="clear" w:color="auto" w:fill="FFFFFF"/>
        </w:rPr>
      </w:pPr>
    </w:p>
    <w:p w14:paraId="69D1E005" w14:textId="77777777" w:rsidR="00874B06" w:rsidRDefault="00874B06" w:rsidP="00D145CC">
      <w:pPr>
        <w:spacing w:after="0" w:line="240" w:lineRule="auto"/>
        <w:rPr>
          <w:rFonts w:ascii="Arial" w:eastAsia="Aptos" w:hAnsi="Arial" w:cs="Arial"/>
          <w:b/>
          <w:bCs/>
          <w:sz w:val="32"/>
          <w:szCs w:val="32"/>
          <w:shd w:val="clear" w:color="auto" w:fill="FFFFFF"/>
        </w:rPr>
      </w:pPr>
    </w:p>
    <w:p w14:paraId="1DC43EE2" w14:textId="77777777" w:rsidR="00874B06" w:rsidRDefault="00874B06" w:rsidP="00D145CC">
      <w:pPr>
        <w:spacing w:after="0" w:line="240" w:lineRule="auto"/>
        <w:rPr>
          <w:rFonts w:ascii="Arial" w:eastAsia="Aptos" w:hAnsi="Arial" w:cs="Arial"/>
          <w:b/>
          <w:bCs/>
          <w:sz w:val="32"/>
          <w:szCs w:val="32"/>
          <w:shd w:val="clear" w:color="auto" w:fill="FFFFFF"/>
        </w:rPr>
      </w:pPr>
    </w:p>
    <w:p w14:paraId="6B11C09F" w14:textId="77777777" w:rsidR="00786BA5" w:rsidRDefault="00786BA5" w:rsidP="00D145CC">
      <w:pPr>
        <w:spacing w:after="0" w:line="240" w:lineRule="auto"/>
        <w:rPr>
          <w:rFonts w:ascii="Arial" w:eastAsia="Aptos" w:hAnsi="Arial" w:cs="Arial"/>
          <w:b/>
          <w:bCs/>
          <w:sz w:val="32"/>
          <w:szCs w:val="32"/>
          <w:shd w:val="clear" w:color="auto" w:fill="FFFFFF"/>
        </w:rPr>
      </w:pPr>
    </w:p>
    <w:p w14:paraId="4FCEDCCD" w14:textId="39CF919B" w:rsidR="00D145CC" w:rsidRDefault="00D145CC" w:rsidP="00D145CC">
      <w:pPr>
        <w:spacing w:after="0" w:line="240" w:lineRule="auto"/>
        <w:rPr>
          <w:rFonts w:ascii="Arial" w:eastAsia="Aptos" w:hAnsi="Arial" w:cs="Arial"/>
          <w:b/>
          <w:bCs/>
          <w:sz w:val="32"/>
          <w:szCs w:val="32"/>
          <w:shd w:val="clear" w:color="auto" w:fill="FFFFFF"/>
        </w:rPr>
      </w:pPr>
      <w:r w:rsidRPr="00E152F5">
        <w:rPr>
          <w:rFonts w:ascii="Arial" w:eastAsia="Aptos" w:hAnsi="Arial" w:cs="Arial"/>
          <w:b/>
          <w:bCs/>
          <w:sz w:val="32"/>
          <w:szCs w:val="32"/>
          <w:shd w:val="clear" w:color="auto" w:fill="FFFFFF"/>
        </w:rPr>
        <w:t>A review of lessons from previous initiatives to improve patient flow and shift care from hospitals to the community</w:t>
      </w:r>
      <w:r>
        <w:rPr>
          <w:rFonts w:ascii="Arial" w:eastAsia="Aptos" w:hAnsi="Arial" w:cs="Arial"/>
          <w:b/>
          <w:bCs/>
          <w:sz w:val="32"/>
          <w:szCs w:val="32"/>
          <w:shd w:val="clear" w:color="auto" w:fill="FFFFFF"/>
        </w:rPr>
        <w:t xml:space="preserve"> </w:t>
      </w:r>
      <w:r w:rsidR="00D26677">
        <w:rPr>
          <w:rFonts w:ascii="Arial" w:eastAsia="Aptos" w:hAnsi="Arial" w:cs="Arial"/>
          <w:b/>
          <w:bCs/>
          <w:sz w:val="32"/>
          <w:szCs w:val="32"/>
          <w:shd w:val="clear" w:color="auto" w:fill="FFFFFF"/>
        </w:rPr>
        <w:t>(on behalf of UKRI)</w:t>
      </w:r>
    </w:p>
    <w:p w14:paraId="762AC358" w14:textId="77777777" w:rsidR="00D145CC" w:rsidRDefault="00D145CC" w:rsidP="00D145CC">
      <w:pPr>
        <w:spacing w:after="0" w:line="240" w:lineRule="auto"/>
        <w:rPr>
          <w:rFonts w:ascii="Arial" w:eastAsia="Aptos" w:hAnsi="Arial" w:cs="Arial"/>
          <w:b/>
          <w:bCs/>
          <w:sz w:val="32"/>
          <w:szCs w:val="32"/>
          <w:shd w:val="clear" w:color="auto" w:fill="FFFFFF"/>
        </w:rPr>
      </w:pPr>
    </w:p>
    <w:p w14:paraId="2DFBCC40" w14:textId="77777777" w:rsidR="00D145CC" w:rsidRDefault="00D145CC" w:rsidP="00D145CC">
      <w:pPr>
        <w:spacing w:after="0" w:line="240" w:lineRule="auto"/>
        <w:rPr>
          <w:rFonts w:ascii="Arial" w:eastAsia="Aptos" w:hAnsi="Arial" w:cs="Arial"/>
          <w:b/>
          <w:bCs/>
          <w:sz w:val="32"/>
          <w:szCs w:val="32"/>
          <w:shd w:val="clear" w:color="auto" w:fill="FFFFFF"/>
        </w:rPr>
      </w:pPr>
    </w:p>
    <w:p w14:paraId="5FFDE6FD" w14:textId="77777777" w:rsidR="00D26677" w:rsidRDefault="00D26677" w:rsidP="00D145CC">
      <w:pPr>
        <w:spacing w:after="0" w:line="240" w:lineRule="auto"/>
        <w:rPr>
          <w:rFonts w:ascii="Arial" w:eastAsia="Aptos" w:hAnsi="Arial" w:cs="Arial"/>
          <w:b/>
          <w:bCs/>
          <w:sz w:val="32"/>
          <w:szCs w:val="32"/>
          <w:shd w:val="clear" w:color="auto" w:fill="FFFFFF"/>
        </w:rPr>
      </w:pPr>
    </w:p>
    <w:p w14:paraId="047FA358" w14:textId="6F399A05" w:rsidR="00D145CC" w:rsidRPr="00E152F5" w:rsidRDefault="00D145CC" w:rsidP="00D145CC">
      <w:pPr>
        <w:spacing w:after="0" w:line="240" w:lineRule="auto"/>
        <w:rPr>
          <w:rFonts w:ascii="Arial" w:eastAsia="Aptos" w:hAnsi="Arial" w:cs="Arial"/>
          <w:b/>
          <w:bCs/>
          <w:sz w:val="32"/>
          <w:szCs w:val="32"/>
          <w:shd w:val="clear" w:color="auto" w:fill="FFFFFF"/>
        </w:rPr>
      </w:pPr>
      <w:r>
        <w:rPr>
          <w:rFonts w:ascii="Arial" w:eastAsia="Aptos" w:hAnsi="Arial" w:cs="Arial"/>
          <w:b/>
          <w:bCs/>
          <w:sz w:val="32"/>
          <w:szCs w:val="32"/>
          <w:shd w:val="clear" w:color="auto" w:fill="FFFFFF"/>
        </w:rPr>
        <w:t xml:space="preserve">Appendix </w:t>
      </w:r>
      <w:r w:rsidR="006A2E86">
        <w:rPr>
          <w:rFonts w:ascii="Arial" w:eastAsia="Aptos" w:hAnsi="Arial" w:cs="Arial"/>
          <w:b/>
          <w:bCs/>
          <w:sz w:val="32"/>
          <w:szCs w:val="32"/>
          <w:shd w:val="clear" w:color="auto" w:fill="FFFFFF"/>
        </w:rPr>
        <w:t>1</w:t>
      </w:r>
      <w:r>
        <w:rPr>
          <w:rFonts w:ascii="Arial" w:eastAsia="Aptos" w:hAnsi="Arial" w:cs="Arial"/>
          <w:b/>
          <w:bCs/>
          <w:sz w:val="32"/>
          <w:szCs w:val="32"/>
          <w:shd w:val="clear" w:color="auto" w:fill="FFFFFF"/>
        </w:rPr>
        <w:t xml:space="preserve">: </w:t>
      </w:r>
      <w:r w:rsidR="004E1CD0">
        <w:rPr>
          <w:rFonts w:ascii="Arial" w:eastAsia="Aptos" w:hAnsi="Arial" w:cs="Arial"/>
          <w:b/>
          <w:bCs/>
          <w:sz w:val="32"/>
          <w:szCs w:val="32"/>
          <w:shd w:val="clear" w:color="auto" w:fill="FFFFFF"/>
        </w:rPr>
        <w:t>lessons from previous policy makers, leaders and researchers</w:t>
      </w:r>
    </w:p>
    <w:p w14:paraId="61BE9C65" w14:textId="77777777" w:rsidR="00D145CC" w:rsidRPr="00E152F5" w:rsidRDefault="00D145CC" w:rsidP="00D145CC">
      <w:pPr>
        <w:spacing w:after="0" w:line="240" w:lineRule="auto"/>
        <w:rPr>
          <w:rFonts w:ascii="Arial" w:eastAsia="Aptos" w:hAnsi="Arial" w:cs="Arial"/>
          <w:b/>
          <w:bCs/>
          <w:shd w:val="clear" w:color="auto" w:fill="FFFFFF"/>
        </w:rPr>
      </w:pPr>
    </w:p>
    <w:p w14:paraId="6882C227" w14:textId="77777777" w:rsidR="00D145CC" w:rsidRDefault="00D145CC" w:rsidP="00D145CC">
      <w:pPr>
        <w:spacing w:after="0" w:line="240" w:lineRule="auto"/>
        <w:rPr>
          <w:rFonts w:ascii="Arial" w:eastAsia="Aptos" w:hAnsi="Arial" w:cs="Arial"/>
          <w:b/>
          <w:bCs/>
          <w:shd w:val="clear" w:color="auto" w:fill="FFFFFF"/>
        </w:rPr>
      </w:pPr>
    </w:p>
    <w:p w14:paraId="0B388C9C" w14:textId="77777777" w:rsidR="00D145CC" w:rsidRDefault="00D145CC" w:rsidP="00D145CC">
      <w:pPr>
        <w:spacing w:after="0" w:line="240" w:lineRule="auto"/>
        <w:rPr>
          <w:rFonts w:ascii="Arial" w:eastAsia="Aptos" w:hAnsi="Arial" w:cs="Arial"/>
          <w:b/>
          <w:bCs/>
          <w:shd w:val="clear" w:color="auto" w:fill="FFFFFF"/>
        </w:rPr>
      </w:pPr>
    </w:p>
    <w:p w14:paraId="53554595" w14:textId="77777777" w:rsidR="00D145CC" w:rsidRDefault="00D145CC" w:rsidP="00D145CC">
      <w:pPr>
        <w:spacing w:after="0" w:line="240" w:lineRule="auto"/>
        <w:rPr>
          <w:rFonts w:ascii="Arial" w:eastAsia="Aptos" w:hAnsi="Arial" w:cs="Arial"/>
          <w:b/>
          <w:bCs/>
          <w:shd w:val="clear" w:color="auto" w:fill="FFFFFF"/>
        </w:rPr>
      </w:pPr>
    </w:p>
    <w:p w14:paraId="0CB3BFF5" w14:textId="77777777" w:rsidR="00D145CC" w:rsidRDefault="00D145CC" w:rsidP="00D145CC">
      <w:pPr>
        <w:spacing w:after="0" w:line="240" w:lineRule="auto"/>
        <w:rPr>
          <w:rFonts w:ascii="Arial" w:eastAsia="Aptos" w:hAnsi="Arial" w:cs="Arial"/>
          <w:b/>
          <w:bCs/>
          <w:shd w:val="clear" w:color="auto" w:fill="FFFFFF"/>
        </w:rPr>
      </w:pPr>
    </w:p>
    <w:p w14:paraId="7B5F4ED8" w14:textId="77777777" w:rsidR="00D145CC" w:rsidRDefault="00D145CC" w:rsidP="00D145CC">
      <w:pPr>
        <w:spacing w:after="0" w:line="240" w:lineRule="auto"/>
        <w:rPr>
          <w:rFonts w:ascii="Arial" w:eastAsia="Aptos" w:hAnsi="Arial" w:cs="Arial"/>
          <w:b/>
          <w:bCs/>
          <w:shd w:val="clear" w:color="auto" w:fill="FFFFFF"/>
        </w:rPr>
      </w:pPr>
    </w:p>
    <w:p w14:paraId="551D975E" w14:textId="77777777" w:rsidR="00D145CC" w:rsidRDefault="00D145CC" w:rsidP="00D145CC">
      <w:pPr>
        <w:spacing w:after="0" w:line="240" w:lineRule="auto"/>
        <w:rPr>
          <w:rFonts w:ascii="Arial" w:eastAsia="Aptos" w:hAnsi="Arial" w:cs="Arial"/>
          <w:b/>
          <w:bCs/>
          <w:shd w:val="clear" w:color="auto" w:fill="FFFFFF"/>
        </w:rPr>
      </w:pPr>
    </w:p>
    <w:p w14:paraId="57CB5C8D" w14:textId="77777777" w:rsidR="00786BA5" w:rsidRPr="00E152F5" w:rsidRDefault="00786BA5" w:rsidP="00D145CC">
      <w:pPr>
        <w:spacing w:after="0" w:line="240" w:lineRule="auto"/>
        <w:rPr>
          <w:rFonts w:ascii="Arial" w:eastAsia="Aptos" w:hAnsi="Arial" w:cs="Arial"/>
          <w:b/>
          <w:bCs/>
          <w:shd w:val="clear" w:color="auto" w:fill="FFFFFF"/>
        </w:rPr>
      </w:pPr>
    </w:p>
    <w:p w14:paraId="0567398F" w14:textId="77777777" w:rsidR="00F84FF0" w:rsidRDefault="00F84FF0" w:rsidP="00D145CC">
      <w:pPr>
        <w:spacing w:after="0" w:line="240" w:lineRule="auto"/>
        <w:rPr>
          <w:rFonts w:ascii="Arial" w:eastAsia="Aptos" w:hAnsi="Arial" w:cs="Arial"/>
          <w:b/>
          <w:bCs/>
          <w:shd w:val="clear" w:color="auto" w:fill="FFFFFF"/>
        </w:rPr>
      </w:pPr>
    </w:p>
    <w:p w14:paraId="001FB592" w14:textId="77777777" w:rsidR="00F84FF0" w:rsidRDefault="00F84FF0" w:rsidP="00D145CC">
      <w:pPr>
        <w:spacing w:after="0" w:line="240" w:lineRule="auto"/>
        <w:rPr>
          <w:rFonts w:ascii="Arial" w:eastAsia="Aptos" w:hAnsi="Arial" w:cs="Arial"/>
          <w:b/>
          <w:bCs/>
          <w:shd w:val="clear" w:color="auto" w:fill="FFFFFF"/>
        </w:rPr>
      </w:pPr>
    </w:p>
    <w:p w14:paraId="1260BE44" w14:textId="7D7260B5" w:rsidR="00D145CC" w:rsidRDefault="006A2E86" w:rsidP="00D145CC">
      <w:pPr>
        <w:spacing w:after="0" w:line="240" w:lineRule="auto"/>
        <w:rPr>
          <w:rFonts w:ascii="Arial" w:eastAsia="Aptos" w:hAnsi="Arial" w:cs="Arial"/>
          <w:b/>
          <w:bCs/>
          <w:shd w:val="clear" w:color="auto" w:fill="FFFFFF"/>
        </w:rPr>
      </w:pPr>
      <w:r>
        <w:rPr>
          <w:rFonts w:ascii="Arial" w:eastAsia="Aptos" w:hAnsi="Arial" w:cs="Arial"/>
          <w:b/>
          <w:bCs/>
          <w:shd w:val="clear" w:color="auto" w:fill="FFFFFF"/>
        </w:rPr>
        <w:t xml:space="preserve">Jon Glasby, Ross Millar, </w:t>
      </w:r>
      <w:r w:rsidR="004E1CD0">
        <w:rPr>
          <w:rFonts w:ascii="Arial" w:eastAsia="Aptos" w:hAnsi="Arial" w:cs="Arial"/>
          <w:b/>
          <w:bCs/>
          <w:shd w:val="clear" w:color="auto" w:fill="FFFFFF"/>
        </w:rPr>
        <w:t>M</w:t>
      </w:r>
      <w:r>
        <w:rPr>
          <w:rFonts w:ascii="Arial" w:eastAsia="Aptos" w:hAnsi="Arial" w:cs="Arial"/>
          <w:b/>
          <w:bCs/>
          <w:shd w:val="clear" w:color="auto" w:fill="FFFFFF"/>
        </w:rPr>
        <w:t>artin Powell, Amy Grove</w:t>
      </w:r>
      <w:r w:rsidR="00FD769F">
        <w:rPr>
          <w:rFonts w:ascii="Arial" w:eastAsia="Aptos" w:hAnsi="Arial" w:cs="Arial"/>
          <w:b/>
          <w:bCs/>
          <w:shd w:val="clear" w:color="auto" w:fill="FFFFFF"/>
        </w:rPr>
        <w:t>, Arabella Scantlebury</w:t>
      </w:r>
      <w:r w:rsidR="007445EE">
        <w:rPr>
          <w:rFonts w:ascii="Arial" w:eastAsia="Aptos" w:hAnsi="Arial" w:cs="Arial"/>
          <w:b/>
          <w:bCs/>
          <w:shd w:val="clear" w:color="auto" w:fill="FFFFFF"/>
        </w:rPr>
        <w:t xml:space="preserve"> and</w:t>
      </w:r>
      <w:r>
        <w:rPr>
          <w:rFonts w:ascii="Arial" w:eastAsia="Aptos" w:hAnsi="Arial" w:cs="Arial"/>
          <w:b/>
          <w:bCs/>
          <w:shd w:val="clear" w:color="auto" w:fill="FFFFFF"/>
        </w:rPr>
        <w:t xml:space="preserve"> A</w:t>
      </w:r>
      <w:r w:rsidR="00D451B5">
        <w:rPr>
          <w:rFonts w:ascii="Arial" w:eastAsia="Aptos" w:hAnsi="Arial" w:cs="Arial"/>
          <w:b/>
          <w:bCs/>
          <w:shd w:val="clear" w:color="auto" w:fill="FFFFFF"/>
        </w:rPr>
        <w:t>del Elfeky</w:t>
      </w:r>
    </w:p>
    <w:p w14:paraId="508DCA4B" w14:textId="77777777" w:rsidR="007445EE" w:rsidRPr="00E152F5" w:rsidRDefault="007445EE" w:rsidP="00D145CC">
      <w:pPr>
        <w:spacing w:after="0" w:line="240" w:lineRule="auto"/>
        <w:rPr>
          <w:rFonts w:ascii="Arial" w:eastAsia="Aptos" w:hAnsi="Arial" w:cs="Arial"/>
          <w:b/>
          <w:bCs/>
          <w:shd w:val="clear" w:color="auto" w:fill="FFFFFF"/>
        </w:rPr>
      </w:pPr>
    </w:p>
    <w:p w14:paraId="246FEBAE" w14:textId="77777777" w:rsidR="00D145CC" w:rsidRPr="00E152F5" w:rsidRDefault="00D145CC" w:rsidP="00D145CC">
      <w:pPr>
        <w:spacing w:after="0" w:line="240" w:lineRule="auto"/>
        <w:rPr>
          <w:rFonts w:ascii="Arial" w:eastAsia="Aptos" w:hAnsi="Arial" w:cs="Arial"/>
          <w:b/>
          <w:bCs/>
          <w:shd w:val="clear" w:color="auto" w:fill="FFFFFF"/>
        </w:rPr>
      </w:pPr>
    </w:p>
    <w:p w14:paraId="74B135CB" w14:textId="40A140DF" w:rsidR="00D145CC" w:rsidRDefault="00D145CC" w:rsidP="00D145CC">
      <w:pPr>
        <w:spacing w:after="0" w:line="240" w:lineRule="auto"/>
        <w:rPr>
          <w:rFonts w:ascii="Arial" w:eastAsia="Aptos" w:hAnsi="Arial" w:cs="Arial"/>
          <w:b/>
          <w:bCs/>
          <w:shd w:val="clear" w:color="auto" w:fill="FFFFFF"/>
        </w:rPr>
      </w:pPr>
      <w:r>
        <w:rPr>
          <w:rFonts w:ascii="Arial" w:eastAsia="Aptos" w:hAnsi="Arial" w:cs="Arial"/>
          <w:b/>
          <w:bCs/>
          <w:shd w:val="clear" w:color="auto" w:fill="FFFFFF"/>
        </w:rPr>
        <w:t>August</w:t>
      </w:r>
      <w:r w:rsidRPr="00E152F5">
        <w:rPr>
          <w:rFonts w:ascii="Arial" w:eastAsia="Aptos" w:hAnsi="Arial" w:cs="Arial"/>
          <w:b/>
          <w:bCs/>
          <w:shd w:val="clear" w:color="auto" w:fill="FFFFFF"/>
        </w:rPr>
        <w:t xml:space="preserve"> 2025</w:t>
      </w:r>
    </w:p>
    <w:p w14:paraId="5236A2D3" w14:textId="77777777" w:rsidR="00D145CC" w:rsidRPr="00E152F5" w:rsidRDefault="00D145CC" w:rsidP="00D145CC">
      <w:pPr>
        <w:spacing w:after="0" w:line="240" w:lineRule="auto"/>
        <w:rPr>
          <w:rFonts w:ascii="Arial" w:eastAsia="Aptos" w:hAnsi="Arial" w:cs="Arial"/>
          <w:b/>
          <w:bCs/>
          <w:shd w:val="clear" w:color="auto" w:fill="FFFFFF"/>
        </w:rPr>
      </w:pPr>
    </w:p>
    <w:p w14:paraId="4D69A6CE" w14:textId="77777777" w:rsidR="00D145CC" w:rsidRPr="00E152F5" w:rsidRDefault="00D145CC" w:rsidP="00D145CC">
      <w:pPr>
        <w:spacing w:after="0" w:line="240" w:lineRule="auto"/>
        <w:rPr>
          <w:rFonts w:ascii="Arial" w:eastAsia="Aptos" w:hAnsi="Arial" w:cs="Arial"/>
          <w:b/>
          <w:bCs/>
          <w:shd w:val="clear" w:color="auto" w:fill="FFFFFF"/>
        </w:rPr>
      </w:pPr>
    </w:p>
    <w:p w14:paraId="693102A0" w14:textId="2A844617" w:rsidR="00CE71EE" w:rsidRDefault="00CE71EE">
      <w:pPr>
        <w:rPr>
          <w:rFonts w:ascii="Arial" w:eastAsia="Aptos" w:hAnsi="Arial" w:cs="Arial"/>
          <w:shd w:val="clear" w:color="auto" w:fill="FFFFFF"/>
        </w:rPr>
      </w:pPr>
      <w:r>
        <w:rPr>
          <w:rFonts w:ascii="Arial" w:eastAsia="Aptos" w:hAnsi="Arial" w:cs="Arial"/>
          <w:shd w:val="clear" w:color="auto" w:fill="FFFFFF"/>
        </w:rPr>
        <w:br w:type="page"/>
      </w:r>
    </w:p>
    <w:p w14:paraId="65E27173" w14:textId="77777777" w:rsidR="00CE71EE" w:rsidRPr="008A066B" w:rsidRDefault="00CE71EE" w:rsidP="008A066B">
      <w:pPr>
        <w:spacing w:after="0" w:line="240" w:lineRule="auto"/>
        <w:rPr>
          <w:rFonts w:ascii="Arial" w:eastAsia="Aptos" w:hAnsi="Arial" w:cs="Arial"/>
          <w:shd w:val="clear" w:color="auto" w:fill="FFFFFF"/>
        </w:rPr>
      </w:pPr>
      <w:r w:rsidRPr="008A066B">
        <w:rPr>
          <w:rFonts w:ascii="Arial" w:eastAsia="Aptos" w:hAnsi="Arial" w:cs="Arial"/>
          <w:b/>
          <w:bCs/>
          <w:shd w:val="clear" w:color="auto" w:fill="FFFFFF"/>
        </w:rPr>
        <w:lastRenderedPageBreak/>
        <w:t>Introduction</w:t>
      </w:r>
    </w:p>
    <w:p w14:paraId="3B272F0E" w14:textId="77777777" w:rsidR="00CE71EE" w:rsidRPr="008A066B" w:rsidRDefault="00CE71EE" w:rsidP="008A066B">
      <w:pPr>
        <w:spacing w:after="0" w:line="240" w:lineRule="auto"/>
        <w:rPr>
          <w:rFonts w:ascii="Arial" w:eastAsia="Aptos" w:hAnsi="Arial" w:cs="Arial"/>
          <w:shd w:val="clear" w:color="auto" w:fill="FFFFFF"/>
        </w:rPr>
      </w:pPr>
    </w:p>
    <w:p w14:paraId="6945039A" w14:textId="77777777" w:rsidR="00CE71EE" w:rsidRPr="008A066B" w:rsidRDefault="00CE71EE" w:rsidP="008A066B">
      <w:pPr>
        <w:spacing w:after="0" w:line="240" w:lineRule="auto"/>
        <w:rPr>
          <w:rFonts w:ascii="Arial" w:eastAsia="Aptos" w:hAnsi="Arial" w:cs="Arial"/>
          <w:shd w:val="clear" w:color="auto" w:fill="FFFFFF"/>
        </w:rPr>
      </w:pPr>
      <w:r w:rsidRPr="008A066B">
        <w:rPr>
          <w:rFonts w:ascii="Arial" w:eastAsia="Aptos" w:hAnsi="Arial" w:cs="Arial"/>
          <w:shd w:val="clear" w:color="auto" w:fill="FFFFFF"/>
        </w:rPr>
        <w:t xml:space="preserve">Current government policy seeks to make ‘three strategic </w:t>
      </w:r>
      <w:proofErr w:type="gramStart"/>
      <w:r w:rsidRPr="008A066B">
        <w:rPr>
          <w:rFonts w:ascii="Arial" w:eastAsia="Aptos" w:hAnsi="Arial" w:cs="Arial"/>
          <w:shd w:val="clear" w:color="auto" w:fill="FFFFFF"/>
        </w:rPr>
        <w:t>shifts’</w:t>
      </w:r>
      <w:proofErr w:type="gramEnd"/>
      <w:r w:rsidRPr="008A066B">
        <w:rPr>
          <w:rFonts w:ascii="Arial" w:eastAsia="Aptos" w:hAnsi="Arial" w:cs="Arial"/>
          <w:shd w:val="clear" w:color="auto" w:fill="FFFFFF"/>
        </w:rPr>
        <w:t>:</w:t>
      </w:r>
    </w:p>
    <w:p w14:paraId="17A80AC8" w14:textId="77777777" w:rsidR="00CE71EE" w:rsidRPr="008A066B" w:rsidRDefault="00CE71EE" w:rsidP="008A066B">
      <w:pPr>
        <w:spacing w:after="0" w:line="240" w:lineRule="auto"/>
        <w:ind w:left="360"/>
        <w:contextualSpacing/>
        <w:rPr>
          <w:rFonts w:ascii="Arial" w:eastAsia="Aptos" w:hAnsi="Arial" w:cs="Arial"/>
          <w:shd w:val="clear" w:color="auto" w:fill="FFFFFF"/>
        </w:rPr>
      </w:pPr>
    </w:p>
    <w:p w14:paraId="24B25A59" w14:textId="77777777" w:rsidR="00CE71EE" w:rsidRPr="008A066B" w:rsidRDefault="00CE71EE" w:rsidP="00FD769F">
      <w:pPr>
        <w:numPr>
          <w:ilvl w:val="0"/>
          <w:numId w:val="12"/>
        </w:numPr>
        <w:spacing w:after="0" w:line="240" w:lineRule="auto"/>
        <w:contextualSpacing/>
        <w:rPr>
          <w:rFonts w:ascii="Arial" w:eastAsia="Aptos" w:hAnsi="Arial" w:cs="Arial"/>
          <w:shd w:val="clear" w:color="auto" w:fill="FFFFFF"/>
        </w:rPr>
      </w:pPr>
      <w:r w:rsidRPr="008A066B">
        <w:rPr>
          <w:rFonts w:ascii="Arial" w:eastAsia="Aptos" w:hAnsi="Arial" w:cs="Arial"/>
          <w:shd w:val="clear" w:color="auto" w:fill="FFFFFF"/>
        </w:rPr>
        <w:t>Moving care from hospitals to communities</w:t>
      </w:r>
    </w:p>
    <w:p w14:paraId="6940CAF1" w14:textId="77777777" w:rsidR="00CE71EE" w:rsidRPr="008A066B" w:rsidRDefault="00CE71EE" w:rsidP="00FD769F">
      <w:pPr>
        <w:numPr>
          <w:ilvl w:val="0"/>
          <w:numId w:val="12"/>
        </w:numPr>
        <w:spacing w:after="0" w:line="240" w:lineRule="auto"/>
        <w:contextualSpacing/>
        <w:rPr>
          <w:rFonts w:ascii="Arial" w:eastAsia="Aptos" w:hAnsi="Arial" w:cs="Arial"/>
          <w:shd w:val="clear" w:color="auto" w:fill="FFFFFF"/>
        </w:rPr>
      </w:pPr>
      <w:r w:rsidRPr="008A066B">
        <w:rPr>
          <w:rFonts w:ascii="Arial" w:eastAsia="Aptos" w:hAnsi="Arial" w:cs="Arial"/>
          <w:shd w:val="clear" w:color="auto" w:fill="FFFFFF"/>
        </w:rPr>
        <w:t>Making better use of technology</w:t>
      </w:r>
    </w:p>
    <w:p w14:paraId="75B66BBF" w14:textId="77777777" w:rsidR="00CE71EE" w:rsidRPr="008A066B" w:rsidRDefault="00CE71EE" w:rsidP="00FD769F">
      <w:pPr>
        <w:numPr>
          <w:ilvl w:val="0"/>
          <w:numId w:val="12"/>
        </w:numPr>
        <w:spacing w:after="0" w:line="240" w:lineRule="auto"/>
        <w:contextualSpacing/>
        <w:rPr>
          <w:rFonts w:ascii="Arial" w:eastAsia="Aptos" w:hAnsi="Arial" w:cs="Arial"/>
          <w:shd w:val="clear" w:color="auto" w:fill="FFFFFF"/>
        </w:rPr>
      </w:pPr>
      <w:r w:rsidRPr="008A066B">
        <w:rPr>
          <w:rFonts w:ascii="Arial" w:eastAsia="Aptos" w:hAnsi="Arial" w:cs="Arial"/>
          <w:shd w:val="clear" w:color="auto" w:fill="FFFFFF"/>
        </w:rPr>
        <w:t>Focusing on preventing sickness, not just treating it</w:t>
      </w:r>
    </w:p>
    <w:p w14:paraId="72506350" w14:textId="77777777" w:rsidR="00CE71EE" w:rsidRPr="008A066B" w:rsidRDefault="00CE71EE" w:rsidP="008A066B">
      <w:pPr>
        <w:spacing w:after="0" w:line="240" w:lineRule="auto"/>
        <w:rPr>
          <w:rFonts w:ascii="Arial" w:eastAsia="Aptos" w:hAnsi="Arial" w:cs="Arial"/>
          <w:shd w:val="clear" w:color="auto" w:fill="FFFFFF"/>
        </w:rPr>
      </w:pPr>
    </w:p>
    <w:p w14:paraId="10FEE7AE" w14:textId="52B73F5D" w:rsidR="00CE71EE" w:rsidRPr="008A066B" w:rsidRDefault="00CE71EE" w:rsidP="008A066B">
      <w:pPr>
        <w:spacing w:after="0" w:line="240" w:lineRule="auto"/>
        <w:rPr>
          <w:rFonts w:ascii="Arial" w:eastAsia="Aptos" w:hAnsi="Arial" w:cs="Arial"/>
          <w:shd w:val="clear" w:color="auto" w:fill="FFFFFF"/>
        </w:rPr>
      </w:pPr>
      <w:r w:rsidRPr="008A066B">
        <w:rPr>
          <w:rFonts w:ascii="Arial" w:eastAsia="Aptos" w:hAnsi="Arial" w:cs="Arial"/>
          <w:shd w:val="clear" w:color="auto" w:fill="FFFFFF"/>
        </w:rPr>
        <w:t xml:space="preserve">The focus here is on the first of these - moving care from hospitals to communities. While this has long been a policy aspiration, previous attempts to shift care are widely perceived to have been insufficient to rebalance the health care system. Some argue that the balance may even have shifted the other way, inadvertently serving to prioritise hospital-based care at the expense of primary care and community-based support. </w:t>
      </w:r>
    </w:p>
    <w:p w14:paraId="1E0ABC2E" w14:textId="77777777" w:rsidR="00CE71EE" w:rsidRPr="008A066B" w:rsidRDefault="00CE71EE" w:rsidP="008A066B">
      <w:pPr>
        <w:spacing w:after="0" w:line="240" w:lineRule="auto"/>
        <w:rPr>
          <w:rFonts w:ascii="Arial" w:eastAsia="Aptos" w:hAnsi="Arial" w:cs="Arial"/>
          <w:shd w:val="clear" w:color="auto" w:fill="FFFFFF"/>
        </w:rPr>
      </w:pPr>
    </w:p>
    <w:p w14:paraId="212015EE" w14:textId="601E328B" w:rsidR="008A066B" w:rsidRDefault="00CE71EE" w:rsidP="008A066B">
      <w:pPr>
        <w:spacing w:after="0" w:line="240" w:lineRule="auto"/>
        <w:rPr>
          <w:rFonts w:ascii="Arial" w:eastAsia="Aptos" w:hAnsi="Arial" w:cs="Arial"/>
          <w:shd w:val="clear" w:color="auto" w:fill="FFFFFF"/>
        </w:rPr>
      </w:pPr>
      <w:r w:rsidRPr="008A066B">
        <w:rPr>
          <w:rFonts w:ascii="Arial" w:eastAsia="Aptos" w:hAnsi="Arial" w:cs="Arial"/>
          <w:shd w:val="clear" w:color="auto" w:fill="FFFFFF"/>
        </w:rPr>
        <w:t>Against this background, the University of Birmingham’s Health Services Management Centre (HSMC), Department of Social Work and Social Care (SWSC) and Centre for Evidence and Implementation Science (CEIS) held a policy roundtable, conducted a desk-based review of lessons from previous initiatives and carried out an evidence synthesis to identify successful initiatives aimed at improving patient flow and/or shifting care from hospitals to the community, key lessons learned and key gaps in knowledge. Throughout, the emphasis was on strategic</w:t>
      </w:r>
      <w:r w:rsidR="00FD769F">
        <w:rPr>
          <w:rFonts w:ascii="Arial" w:eastAsia="Aptos" w:hAnsi="Arial" w:cs="Arial"/>
          <w:shd w:val="clear" w:color="auto" w:fill="FFFFFF"/>
        </w:rPr>
        <w:t xml:space="preserve"> and </w:t>
      </w:r>
      <w:r w:rsidRPr="008A066B">
        <w:rPr>
          <w:rFonts w:ascii="Arial" w:eastAsia="Aptos" w:hAnsi="Arial" w:cs="Arial"/>
          <w:shd w:val="clear" w:color="auto" w:fill="FFFFFF"/>
        </w:rPr>
        <w:t xml:space="preserve">systemic attempts to shift care, rather than on the </w:t>
      </w:r>
      <w:proofErr w:type="gramStart"/>
      <w:r w:rsidRPr="008A066B">
        <w:rPr>
          <w:rFonts w:ascii="Arial" w:eastAsia="Aptos" w:hAnsi="Arial" w:cs="Arial"/>
          <w:shd w:val="clear" w:color="auto" w:fill="FFFFFF"/>
        </w:rPr>
        <w:t>myriad</w:t>
      </w:r>
      <w:proofErr w:type="gramEnd"/>
      <w:r w:rsidRPr="008A066B">
        <w:rPr>
          <w:rFonts w:ascii="Arial" w:eastAsia="Aptos" w:hAnsi="Arial" w:cs="Arial"/>
          <w:shd w:val="clear" w:color="auto" w:fill="FFFFFF"/>
        </w:rPr>
        <w:t xml:space="preserve"> of individual</w:t>
      </w:r>
      <w:r w:rsidR="00FD769F">
        <w:rPr>
          <w:rFonts w:ascii="Arial" w:eastAsia="Aptos" w:hAnsi="Arial" w:cs="Arial"/>
          <w:shd w:val="clear" w:color="auto" w:fill="FFFFFF"/>
        </w:rPr>
        <w:t xml:space="preserve">, </w:t>
      </w:r>
      <w:r w:rsidRPr="008A066B">
        <w:rPr>
          <w:rFonts w:ascii="Arial" w:eastAsia="Aptos" w:hAnsi="Arial" w:cs="Arial"/>
          <w:shd w:val="clear" w:color="auto" w:fill="FFFFFF"/>
        </w:rPr>
        <w:t>small-scale pilot projects that may have existed at any one moment in time.</w:t>
      </w:r>
      <w:r w:rsidR="004371F2" w:rsidRPr="008A066B">
        <w:rPr>
          <w:rFonts w:ascii="Arial" w:eastAsia="Aptos" w:hAnsi="Arial" w:cs="Arial"/>
          <w:shd w:val="clear" w:color="auto" w:fill="FFFFFF"/>
        </w:rPr>
        <w:t xml:space="preserve"> </w:t>
      </w:r>
    </w:p>
    <w:p w14:paraId="07F6FB35" w14:textId="77777777" w:rsidR="008A066B" w:rsidRDefault="008A066B" w:rsidP="008A066B">
      <w:pPr>
        <w:spacing w:after="0" w:line="240" w:lineRule="auto"/>
        <w:rPr>
          <w:rFonts w:ascii="Arial" w:eastAsia="Aptos" w:hAnsi="Arial" w:cs="Arial"/>
          <w:shd w:val="clear" w:color="auto" w:fill="FFFFFF"/>
        </w:rPr>
      </w:pPr>
    </w:p>
    <w:p w14:paraId="4E0A63CE" w14:textId="261C492A" w:rsidR="00A4117D" w:rsidRPr="008A066B" w:rsidRDefault="00CE71EE" w:rsidP="008A066B">
      <w:pPr>
        <w:spacing w:after="0" w:line="240" w:lineRule="auto"/>
        <w:rPr>
          <w:rFonts w:ascii="Arial" w:eastAsia="Aptos" w:hAnsi="Arial" w:cs="Arial"/>
          <w:shd w:val="clear" w:color="auto" w:fill="FFFFFF"/>
        </w:rPr>
      </w:pPr>
      <w:r w:rsidRPr="008A066B">
        <w:rPr>
          <w:rFonts w:ascii="Arial" w:eastAsia="Aptos" w:hAnsi="Arial" w:cs="Arial"/>
          <w:shd w:val="clear" w:color="auto" w:fill="FFFFFF"/>
        </w:rPr>
        <w:t xml:space="preserve">This document – intended as </w:t>
      </w:r>
      <w:r w:rsidR="00475075">
        <w:rPr>
          <w:rFonts w:ascii="Arial" w:eastAsia="Aptos" w:hAnsi="Arial" w:cs="Arial"/>
          <w:shd w:val="clear" w:color="auto" w:fill="FFFFFF"/>
        </w:rPr>
        <w:t>an</w:t>
      </w:r>
      <w:r w:rsidRPr="008A066B">
        <w:rPr>
          <w:rFonts w:ascii="Arial" w:eastAsia="Aptos" w:hAnsi="Arial" w:cs="Arial"/>
          <w:shd w:val="clear" w:color="auto" w:fill="FFFFFF"/>
        </w:rPr>
        <w:t xml:space="preserve"> appendix to the overview report – summarises key themes from </w:t>
      </w:r>
      <w:r w:rsidR="00A4117D" w:rsidRPr="008A066B">
        <w:rPr>
          <w:rFonts w:ascii="Arial" w:eastAsia="Aptos" w:hAnsi="Arial" w:cs="Arial"/>
          <w:shd w:val="clear" w:color="auto" w:fill="FFFFFF"/>
        </w:rPr>
        <w:t>the policy roundtable, seeking to share lessons learned from previous versions of this debate</w:t>
      </w:r>
      <w:r w:rsidR="0022645B" w:rsidRPr="008A066B">
        <w:rPr>
          <w:rFonts w:ascii="Arial" w:eastAsia="Aptos" w:hAnsi="Arial" w:cs="Arial"/>
          <w:shd w:val="clear" w:color="auto" w:fill="FFFFFF"/>
        </w:rPr>
        <w:t>/previous attempts to shift care.</w:t>
      </w:r>
    </w:p>
    <w:p w14:paraId="43C88657" w14:textId="77777777" w:rsidR="00A4117D" w:rsidRPr="008A066B" w:rsidRDefault="00A4117D" w:rsidP="008A066B">
      <w:pPr>
        <w:spacing w:after="0" w:line="240" w:lineRule="auto"/>
        <w:rPr>
          <w:rFonts w:ascii="Arial" w:eastAsia="Aptos" w:hAnsi="Arial" w:cs="Arial"/>
          <w:shd w:val="clear" w:color="auto" w:fill="FFFFFF"/>
        </w:rPr>
      </w:pPr>
    </w:p>
    <w:p w14:paraId="4DF94D03" w14:textId="77777777" w:rsidR="008A066B" w:rsidRDefault="008A066B" w:rsidP="008A066B">
      <w:pPr>
        <w:spacing w:after="0" w:line="240" w:lineRule="auto"/>
        <w:rPr>
          <w:rFonts w:ascii="Arial" w:eastAsia="Aptos" w:hAnsi="Arial" w:cs="Arial"/>
          <w:b/>
          <w:bCs/>
          <w:shd w:val="clear" w:color="auto" w:fill="FFFFFF"/>
        </w:rPr>
      </w:pPr>
    </w:p>
    <w:p w14:paraId="2B06780F" w14:textId="7B1ACB61" w:rsidR="00CE71EE" w:rsidRPr="008A066B" w:rsidRDefault="00CE71EE" w:rsidP="008A066B">
      <w:pPr>
        <w:spacing w:after="0" w:line="240" w:lineRule="auto"/>
        <w:rPr>
          <w:rFonts w:ascii="Arial" w:eastAsia="Aptos" w:hAnsi="Arial" w:cs="Arial"/>
          <w:b/>
          <w:bCs/>
          <w:shd w:val="clear" w:color="auto" w:fill="FFFFFF"/>
        </w:rPr>
      </w:pPr>
      <w:r w:rsidRPr="008A066B">
        <w:rPr>
          <w:rFonts w:ascii="Arial" w:eastAsia="Aptos" w:hAnsi="Arial" w:cs="Arial"/>
          <w:b/>
          <w:bCs/>
          <w:shd w:val="clear" w:color="auto" w:fill="FFFFFF"/>
        </w:rPr>
        <w:t>Methods</w:t>
      </w:r>
    </w:p>
    <w:p w14:paraId="3238A214" w14:textId="77777777" w:rsidR="00CE71EE" w:rsidRPr="008A066B" w:rsidRDefault="00CE71EE" w:rsidP="008A066B">
      <w:pPr>
        <w:spacing w:after="0" w:line="240" w:lineRule="auto"/>
        <w:rPr>
          <w:rFonts w:ascii="Arial" w:eastAsia="Aptos" w:hAnsi="Arial" w:cs="Arial"/>
        </w:rPr>
      </w:pPr>
    </w:p>
    <w:p w14:paraId="120B8178" w14:textId="77777777" w:rsidR="001945CB" w:rsidRPr="008A066B" w:rsidRDefault="00CE71EE" w:rsidP="008A066B">
      <w:pPr>
        <w:spacing w:after="0" w:line="240" w:lineRule="auto"/>
        <w:rPr>
          <w:rFonts w:ascii="Arial" w:eastAsia="Aptos" w:hAnsi="Arial" w:cs="Arial"/>
        </w:rPr>
      </w:pPr>
      <w:r w:rsidRPr="008A066B">
        <w:rPr>
          <w:rFonts w:ascii="Arial" w:eastAsia="Aptos" w:hAnsi="Arial" w:cs="Arial"/>
        </w:rPr>
        <w:t>This element of the re</w:t>
      </w:r>
      <w:r w:rsidR="00C2230C" w:rsidRPr="008A066B">
        <w:rPr>
          <w:rFonts w:ascii="Arial" w:eastAsia="Aptos" w:hAnsi="Arial" w:cs="Arial"/>
        </w:rPr>
        <w:t>view took the form of an online policy roundtable for an invited audience of around 20 previous health service policy makers, leaders and researchers who had been involved in previous attempts to shift care over the last 20 years. After inputs from key figures who were exploring these issues in the early</w:t>
      </w:r>
      <w:r w:rsidR="001945CB" w:rsidRPr="008A066B">
        <w:rPr>
          <w:rFonts w:ascii="Arial" w:eastAsia="Aptos" w:hAnsi="Arial" w:cs="Arial"/>
        </w:rPr>
        <w:t>/</w:t>
      </w:r>
      <w:r w:rsidR="00C2230C" w:rsidRPr="008A066B">
        <w:rPr>
          <w:rFonts w:ascii="Arial" w:eastAsia="Aptos" w:hAnsi="Arial" w:cs="Arial"/>
        </w:rPr>
        <w:t xml:space="preserve">mid 2000s, the early 2010s and in the current context, the group explored what previous policies were hoping to achieve; how they went about it; what happened in practice; what helped and hindered; lessons learned; </w:t>
      </w:r>
      <w:r w:rsidR="00991124" w:rsidRPr="008A066B">
        <w:rPr>
          <w:rFonts w:ascii="Arial" w:eastAsia="Aptos" w:hAnsi="Arial" w:cs="Arial"/>
        </w:rPr>
        <w:t xml:space="preserve">key gaps in the evidence; </w:t>
      </w:r>
      <w:r w:rsidR="00C2230C" w:rsidRPr="008A066B">
        <w:rPr>
          <w:rFonts w:ascii="Arial" w:eastAsia="Aptos" w:hAnsi="Arial" w:cs="Arial"/>
        </w:rPr>
        <w:t xml:space="preserve">and things they know now that they wished they knew then/advice they would give to current colleagues. </w:t>
      </w:r>
    </w:p>
    <w:p w14:paraId="6B7CFFD2" w14:textId="77777777" w:rsidR="001945CB" w:rsidRPr="008A066B" w:rsidRDefault="001945CB" w:rsidP="008A066B">
      <w:pPr>
        <w:spacing w:after="0" w:line="240" w:lineRule="auto"/>
        <w:rPr>
          <w:rFonts w:ascii="Arial" w:eastAsia="Aptos" w:hAnsi="Arial" w:cs="Arial"/>
        </w:rPr>
      </w:pPr>
    </w:p>
    <w:p w14:paraId="14665773" w14:textId="0588EAAD" w:rsidR="00991124" w:rsidRPr="008A066B" w:rsidRDefault="00991124" w:rsidP="008A066B">
      <w:pPr>
        <w:spacing w:after="0" w:line="240" w:lineRule="auto"/>
        <w:rPr>
          <w:rFonts w:ascii="Arial" w:eastAsia="Aptos" w:hAnsi="Arial" w:cs="Arial"/>
        </w:rPr>
      </w:pPr>
      <w:r w:rsidRPr="008A066B">
        <w:rPr>
          <w:rFonts w:ascii="Arial" w:eastAsia="Aptos" w:hAnsi="Arial" w:cs="Arial"/>
        </w:rPr>
        <w:t>Given that UKRI are also interested in support for people living with dementia, the discussion included consideration of the needs of people with physical health problems as well as the needs of people with mental health problems</w:t>
      </w:r>
      <w:r w:rsidR="00BE370D">
        <w:rPr>
          <w:rFonts w:ascii="Arial" w:eastAsia="Aptos" w:hAnsi="Arial" w:cs="Arial"/>
        </w:rPr>
        <w:t xml:space="preserve"> or cognitive impairments</w:t>
      </w:r>
      <w:r w:rsidRPr="008A066B">
        <w:rPr>
          <w:rFonts w:ascii="Arial" w:eastAsia="Aptos" w:hAnsi="Arial" w:cs="Arial"/>
        </w:rPr>
        <w:t>.</w:t>
      </w:r>
    </w:p>
    <w:p w14:paraId="60DABEBC" w14:textId="77777777" w:rsidR="00991124" w:rsidRPr="008A066B" w:rsidRDefault="00991124" w:rsidP="008A066B">
      <w:pPr>
        <w:spacing w:after="0" w:line="240" w:lineRule="auto"/>
        <w:rPr>
          <w:rFonts w:ascii="Arial" w:eastAsia="Aptos" w:hAnsi="Arial" w:cs="Arial"/>
        </w:rPr>
      </w:pPr>
    </w:p>
    <w:p w14:paraId="6991252E" w14:textId="1C2DCD79" w:rsidR="0022645B" w:rsidRPr="008A066B" w:rsidRDefault="00C2230C" w:rsidP="008A066B">
      <w:pPr>
        <w:spacing w:after="0" w:line="240" w:lineRule="auto"/>
        <w:rPr>
          <w:rFonts w:ascii="Arial" w:eastAsia="Aptos" w:hAnsi="Arial" w:cs="Arial"/>
        </w:rPr>
      </w:pPr>
      <w:r w:rsidRPr="008A066B">
        <w:rPr>
          <w:rFonts w:ascii="Arial" w:eastAsia="Aptos" w:hAnsi="Arial" w:cs="Arial"/>
        </w:rPr>
        <w:t>Th</w:t>
      </w:r>
      <w:r w:rsidR="00991124" w:rsidRPr="008A066B">
        <w:rPr>
          <w:rFonts w:ascii="Arial" w:eastAsia="Aptos" w:hAnsi="Arial" w:cs="Arial"/>
        </w:rPr>
        <w:t>e workshop</w:t>
      </w:r>
      <w:r w:rsidRPr="008A066B">
        <w:rPr>
          <w:rFonts w:ascii="Arial" w:eastAsia="Aptos" w:hAnsi="Arial" w:cs="Arial"/>
        </w:rPr>
        <w:t xml:space="preserve"> was designed to capture practical </w:t>
      </w:r>
      <w:r w:rsidR="00C951BA">
        <w:rPr>
          <w:rFonts w:ascii="Arial" w:eastAsia="Aptos" w:hAnsi="Arial" w:cs="Arial"/>
        </w:rPr>
        <w:t xml:space="preserve">and experiential </w:t>
      </w:r>
      <w:r w:rsidRPr="008A066B">
        <w:rPr>
          <w:rFonts w:ascii="Arial" w:eastAsia="Aptos" w:hAnsi="Arial" w:cs="Arial"/>
        </w:rPr>
        <w:t xml:space="preserve">learning in a safe space that may not otherwise be readily available. Where people were not able to </w:t>
      </w:r>
      <w:r w:rsidRPr="008A066B">
        <w:rPr>
          <w:rFonts w:ascii="Arial" w:eastAsia="Aptos" w:hAnsi="Arial" w:cs="Arial"/>
        </w:rPr>
        <w:lastRenderedPageBreak/>
        <w:t xml:space="preserve">attend the roundtable, they sent in personal thoughts and reflections around these questions for the research team to include in the current report. </w:t>
      </w:r>
    </w:p>
    <w:p w14:paraId="55D8231F" w14:textId="77777777" w:rsidR="00991124" w:rsidRPr="008A066B" w:rsidRDefault="00991124" w:rsidP="008A066B">
      <w:pPr>
        <w:spacing w:after="0" w:line="240" w:lineRule="auto"/>
        <w:rPr>
          <w:rFonts w:ascii="Arial" w:eastAsia="Aptos" w:hAnsi="Arial" w:cs="Arial"/>
        </w:rPr>
      </w:pPr>
    </w:p>
    <w:p w14:paraId="2245AD49" w14:textId="3FD678EC" w:rsidR="00991124" w:rsidRPr="008A066B" w:rsidRDefault="00991124" w:rsidP="008A066B">
      <w:pPr>
        <w:spacing w:after="0" w:line="240" w:lineRule="auto"/>
        <w:rPr>
          <w:rFonts w:ascii="Arial" w:eastAsia="Aptos" w:hAnsi="Arial" w:cs="Arial"/>
        </w:rPr>
      </w:pPr>
      <w:r w:rsidRPr="008A066B">
        <w:rPr>
          <w:rFonts w:ascii="Arial" w:eastAsia="Aptos" w:hAnsi="Arial" w:cs="Arial"/>
        </w:rPr>
        <w:t xml:space="preserve">To enable this to be a safe space to discuss difficult issues, we have not listed </w:t>
      </w:r>
      <w:r w:rsidR="001945CB" w:rsidRPr="008A066B">
        <w:rPr>
          <w:rFonts w:ascii="Arial" w:eastAsia="Aptos" w:hAnsi="Arial" w:cs="Arial"/>
        </w:rPr>
        <w:t xml:space="preserve">individual </w:t>
      </w:r>
      <w:r w:rsidRPr="008A066B">
        <w:rPr>
          <w:rFonts w:ascii="Arial" w:eastAsia="Aptos" w:hAnsi="Arial" w:cs="Arial"/>
        </w:rPr>
        <w:t>participants – but the</w:t>
      </w:r>
      <w:r w:rsidR="001945CB" w:rsidRPr="008A066B">
        <w:rPr>
          <w:rFonts w:ascii="Arial" w:eastAsia="Aptos" w:hAnsi="Arial" w:cs="Arial"/>
        </w:rPr>
        <w:t xml:space="preserve">se included </w:t>
      </w:r>
      <w:r w:rsidRPr="008A066B">
        <w:rPr>
          <w:rFonts w:ascii="Arial" w:eastAsia="Aptos" w:hAnsi="Arial" w:cs="Arial"/>
        </w:rPr>
        <w:t>very senior</w:t>
      </w:r>
      <w:r w:rsidR="00013710" w:rsidRPr="008A066B">
        <w:rPr>
          <w:rFonts w:ascii="Arial" w:eastAsia="Aptos" w:hAnsi="Arial" w:cs="Arial"/>
        </w:rPr>
        <w:t xml:space="preserve"> and experienced national figures who had sought to shift care under a variety of different governments. </w:t>
      </w:r>
    </w:p>
    <w:p w14:paraId="4CE289ED" w14:textId="77777777" w:rsidR="00384C61" w:rsidRPr="008A066B" w:rsidRDefault="00384C61" w:rsidP="008A066B">
      <w:pPr>
        <w:spacing w:after="0" w:line="240" w:lineRule="auto"/>
        <w:rPr>
          <w:rFonts w:ascii="Arial" w:eastAsia="Aptos" w:hAnsi="Arial" w:cs="Arial"/>
          <w:kern w:val="0"/>
          <w14:ligatures w14:val="none"/>
        </w:rPr>
      </w:pPr>
    </w:p>
    <w:p w14:paraId="14193E62" w14:textId="77777777" w:rsidR="00CE71EE" w:rsidRPr="008A066B" w:rsidRDefault="00CE71EE" w:rsidP="008A066B">
      <w:pPr>
        <w:spacing w:after="0" w:line="240" w:lineRule="auto"/>
        <w:rPr>
          <w:rFonts w:ascii="Arial" w:eastAsia="Aptos" w:hAnsi="Arial" w:cs="Arial"/>
          <w:b/>
          <w:bCs/>
          <w:kern w:val="0"/>
        </w:rPr>
      </w:pPr>
    </w:p>
    <w:p w14:paraId="411ACA5D" w14:textId="77777777" w:rsidR="00013710" w:rsidRPr="008A066B" w:rsidRDefault="00013710" w:rsidP="008A066B">
      <w:pPr>
        <w:spacing w:after="0" w:line="240" w:lineRule="auto"/>
        <w:rPr>
          <w:rFonts w:ascii="Arial" w:eastAsia="Aptos" w:hAnsi="Arial" w:cs="Arial"/>
          <w:b/>
          <w:bCs/>
          <w:kern w:val="0"/>
        </w:rPr>
      </w:pPr>
      <w:r w:rsidRPr="008A066B">
        <w:rPr>
          <w:rFonts w:ascii="Arial" w:eastAsia="Aptos" w:hAnsi="Arial" w:cs="Arial"/>
          <w:b/>
          <w:bCs/>
          <w:kern w:val="0"/>
        </w:rPr>
        <w:t>Key themes</w:t>
      </w:r>
    </w:p>
    <w:p w14:paraId="09F73E41" w14:textId="77777777" w:rsidR="00013710" w:rsidRPr="008A066B" w:rsidRDefault="00013710" w:rsidP="008A066B">
      <w:pPr>
        <w:spacing w:after="0" w:line="240" w:lineRule="auto"/>
        <w:rPr>
          <w:rFonts w:ascii="Arial" w:eastAsia="Aptos" w:hAnsi="Arial" w:cs="Arial"/>
          <w:b/>
          <w:bCs/>
          <w:kern w:val="0"/>
        </w:rPr>
      </w:pPr>
    </w:p>
    <w:p w14:paraId="7303C0DA" w14:textId="5A6F5432" w:rsidR="001D182E" w:rsidRPr="008A066B" w:rsidRDefault="009D77A2" w:rsidP="008A066B">
      <w:pPr>
        <w:spacing w:after="0" w:line="240" w:lineRule="auto"/>
        <w:rPr>
          <w:rFonts w:ascii="Arial" w:eastAsia="Aptos" w:hAnsi="Arial" w:cs="Arial"/>
          <w:b/>
          <w:bCs/>
          <w:i/>
          <w:iCs/>
          <w:kern w:val="0"/>
        </w:rPr>
      </w:pPr>
      <w:r w:rsidRPr="008A066B">
        <w:rPr>
          <w:rFonts w:ascii="Arial" w:eastAsia="Aptos" w:hAnsi="Arial" w:cs="Arial"/>
          <w:b/>
          <w:bCs/>
          <w:i/>
          <w:iCs/>
          <w:kern w:val="0"/>
        </w:rPr>
        <w:t xml:space="preserve">A brief overview of </w:t>
      </w:r>
      <w:r w:rsidR="001945CB" w:rsidRPr="008A066B">
        <w:rPr>
          <w:rFonts w:ascii="Arial" w:eastAsia="Aptos" w:hAnsi="Arial" w:cs="Arial"/>
          <w:b/>
          <w:bCs/>
          <w:i/>
          <w:iCs/>
          <w:kern w:val="0"/>
        </w:rPr>
        <w:t>previous policy</w:t>
      </w:r>
    </w:p>
    <w:p w14:paraId="0B5DE4BB" w14:textId="77777777" w:rsidR="001D182E" w:rsidRPr="008A066B" w:rsidRDefault="001D182E" w:rsidP="008A066B">
      <w:pPr>
        <w:spacing w:after="0" w:line="240" w:lineRule="auto"/>
        <w:rPr>
          <w:rFonts w:ascii="Arial" w:eastAsia="Aptos" w:hAnsi="Arial" w:cs="Arial"/>
          <w:b/>
          <w:bCs/>
          <w:kern w:val="0"/>
        </w:rPr>
      </w:pPr>
    </w:p>
    <w:p w14:paraId="22666EFC" w14:textId="6F141984" w:rsidR="001D182E" w:rsidRPr="008A066B" w:rsidRDefault="001D182E" w:rsidP="008A066B">
      <w:pPr>
        <w:spacing w:after="0" w:line="240" w:lineRule="auto"/>
        <w:rPr>
          <w:rFonts w:ascii="Arial" w:hAnsi="Arial" w:cs="Arial"/>
        </w:rPr>
      </w:pPr>
      <w:r w:rsidRPr="008A066B">
        <w:rPr>
          <w:rFonts w:ascii="Arial" w:hAnsi="Arial" w:cs="Arial"/>
        </w:rPr>
        <w:t>In the early 2000s,</w:t>
      </w:r>
      <w:r w:rsidR="00080FE5" w:rsidRPr="008A066B">
        <w:rPr>
          <w:rFonts w:ascii="Arial" w:hAnsi="Arial" w:cs="Arial"/>
        </w:rPr>
        <w:t xml:space="preserve"> </w:t>
      </w:r>
      <w:r w:rsidR="00080FE5" w:rsidRPr="008A066B">
        <w:rPr>
          <w:rFonts w:ascii="Arial" w:hAnsi="Arial" w:cs="Arial"/>
          <w:i/>
          <w:iCs/>
        </w:rPr>
        <w:t>Th</w:t>
      </w:r>
      <w:r w:rsidRPr="008A066B">
        <w:rPr>
          <w:rFonts w:ascii="Arial" w:hAnsi="Arial" w:cs="Arial"/>
          <w:i/>
          <w:iCs/>
        </w:rPr>
        <w:t>e NHS Plan</w:t>
      </w:r>
      <w:r w:rsidRPr="008A066B">
        <w:rPr>
          <w:rFonts w:ascii="Arial" w:hAnsi="Arial" w:cs="Arial"/>
        </w:rPr>
        <w:t xml:space="preserve"> and subsequent policies were primarily focused on acute care. This was a response to the winter crisis of 1999, long elective waits and longstanding neglect of some of the </w:t>
      </w:r>
      <w:r w:rsidR="001945CB" w:rsidRPr="008A066B">
        <w:rPr>
          <w:rFonts w:ascii="Arial" w:hAnsi="Arial" w:cs="Arial"/>
        </w:rPr>
        <w:t>major</w:t>
      </w:r>
      <w:r w:rsidRPr="008A066B">
        <w:rPr>
          <w:rFonts w:ascii="Arial" w:hAnsi="Arial" w:cs="Arial"/>
        </w:rPr>
        <w:t xml:space="preserve"> clinical priorities (such as cancer and coronary heart disease). </w:t>
      </w:r>
      <w:r w:rsidR="0084416C" w:rsidRPr="008A066B">
        <w:rPr>
          <w:rFonts w:ascii="Arial" w:hAnsi="Arial" w:cs="Arial"/>
        </w:rPr>
        <w:t>In response, k</w:t>
      </w:r>
      <w:r w:rsidRPr="008A066B">
        <w:rPr>
          <w:rFonts w:ascii="Arial" w:hAnsi="Arial" w:cs="Arial"/>
        </w:rPr>
        <w:t xml:space="preserve">ey reforms included new financial incentives (‘Payment by Results’/the money following the patient), increased capacity in the private sector, Independent Sector Treatment Centres, Foundation Trust status for high performing hospitals, a series of National Service Frameworks and support to improve flow through hospital via the work of the Modernisation Agency. There was steady progress made around all these, which subsequently accelerated with significant and sustained funding increases. By the late 2010s, the government could reasonably claim to have brought NHS </w:t>
      </w:r>
      <w:r w:rsidR="004D0AA6" w:rsidRPr="008A066B">
        <w:rPr>
          <w:rFonts w:ascii="Arial" w:hAnsi="Arial" w:cs="Arial"/>
        </w:rPr>
        <w:t xml:space="preserve">spending and </w:t>
      </w:r>
      <w:r w:rsidRPr="008A066B">
        <w:rPr>
          <w:rFonts w:ascii="Arial" w:hAnsi="Arial" w:cs="Arial"/>
        </w:rPr>
        <w:t xml:space="preserve">performance up to </w:t>
      </w:r>
      <w:r w:rsidR="004D0AA6" w:rsidRPr="008A066B">
        <w:rPr>
          <w:rFonts w:ascii="Arial" w:hAnsi="Arial" w:cs="Arial"/>
        </w:rPr>
        <w:t xml:space="preserve">the levels seen in other </w:t>
      </w:r>
      <w:r w:rsidRPr="008A066B">
        <w:rPr>
          <w:rFonts w:ascii="Arial" w:hAnsi="Arial" w:cs="Arial"/>
        </w:rPr>
        <w:t xml:space="preserve">EU </w:t>
      </w:r>
      <w:r w:rsidR="004D0AA6" w:rsidRPr="008A066B">
        <w:rPr>
          <w:rFonts w:ascii="Arial" w:hAnsi="Arial" w:cs="Arial"/>
        </w:rPr>
        <w:t>countries, and to have made substantial progress through a combination of reform and funding.</w:t>
      </w:r>
    </w:p>
    <w:p w14:paraId="26E6617C" w14:textId="77777777" w:rsidR="001D182E" w:rsidRPr="008A066B" w:rsidRDefault="001D182E" w:rsidP="008A066B">
      <w:pPr>
        <w:spacing w:after="0" w:line="240" w:lineRule="auto"/>
        <w:rPr>
          <w:rFonts w:ascii="Arial" w:hAnsi="Arial" w:cs="Arial"/>
        </w:rPr>
      </w:pPr>
    </w:p>
    <w:p w14:paraId="1153871D" w14:textId="0E1C785F" w:rsidR="001D182E" w:rsidRPr="008A066B" w:rsidRDefault="001D182E" w:rsidP="008A066B">
      <w:pPr>
        <w:spacing w:after="0" w:line="240" w:lineRule="auto"/>
        <w:rPr>
          <w:rFonts w:ascii="Arial" w:hAnsi="Arial" w:cs="Arial"/>
        </w:rPr>
      </w:pPr>
      <w:r w:rsidRPr="008A066B">
        <w:rPr>
          <w:rFonts w:ascii="Arial" w:hAnsi="Arial" w:cs="Arial"/>
        </w:rPr>
        <w:t xml:space="preserve">It was not until 2006 that </w:t>
      </w:r>
      <w:r w:rsidRPr="008A066B">
        <w:rPr>
          <w:rFonts w:ascii="Arial" w:hAnsi="Arial" w:cs="Arial"/>
          <w:i/>
          <w:iCs/>
        </w:rPr>
        <w:t>Our Health, Our Care, Our Say</w:t>
      </w:r>
      <w:r w:rsidRPr="008A066B">
        <w:rPr>
          <w:rFonts w:ascii="Arial" w:hAnsi="Arial" w:cs="Arial"/>
        </w:rPr>
        <w:t xml:space="preserve"> attempted to set out a vision for shifting care from hospitals to the community, reforming community services and promoting more integrated care. However, </w:t>
      </w:r>
      <w:r w:rsidR="00F978B0" w:rsidRPr="008A066B">
        <w:rPr>
          <w:rFonts w:ascii="Arial" w:hAnsi="Arial" w:cs="Arial"/>
        </w:rPr>
        <w:t xml:space="preserve">the White Paper lacked a credible implementation plan, and most responses </w:t>
      </w:r>
      <w:r w:rsidR="001945CB" w:rsidRPr="008A066B">
        <w:rPr>
          <w:rFonts w:ascii="Arial" w:hAnsi="Arial" w:cs="Arial"/>
        </w:rPr>
        <w:t xml:space="preserve">then and since </w:t>
      </w:r>
      <w:r w:rsidR="00F978B0" w:rsidRPr="008A066B">
        <w:rPr>
          <w:rFonts w:ascii="Arial" w:hAnsi="Arial" w:cs="Arial"/>
        </w:rPr>
        <w:t xml:space="preserve">took the form of relatively small-scale pilots. </w:t>
      </w:r>
      <w:proofErr w:type="gramStart"/>
      <w:r w:rsidR="00F978B0" w:rsidRPr="008A066B">
        <w:rPr>
          <w:rFonts w:ascii="Arial" w:hAnsi="Arial" w:cs="Arial"/>
        </w:rPr>
        <w:t>In particular, there</w:t>
      </w:r>
      <w:proofErr w:type="gramEnd"/>
      <w:r w:rsidR="00F978B0" w:rsidRPr="008A066B">
        <w:rPr>
          <w:rFonts w:ascii="Arial" w:hAnsi="Arial" w:cs="Arial"/>
        </w:rPr>
        <w:t xml:space="preserve"> was nothing comparable to the scale</w:t>
      </w:r>
      <w:r w:rsidR="00B71D7A" w:rsidRPr="008A066B">
        <w:rPr>
          <w:rFonts w:ascii="Arial" w:hAnsi="Arial" w:cs="Arial"/>
        </w:rPr>
        <w:t xml:space="preserve">, focus and </w:t>
      </w:r>
      <w:r w:rsidR="00CF45D6" w:rsidRPr="008A066B">
        <w:rPr>
          <w:rFonts w:ascii="Arial" w:hAnsi="Arial" w:cs="Arial"/>
        </w:rPr>
        <w:t xml:space="preserve">sustained </w:t>
      </w:r>
      <w:r w:rsidR="00B71D7A" w:rsidRPr="008A066B">
        <w:rPr>
          <w:rFonts w:ascii="Arial" w:hAnsi="Arial" w:cs="Arial"/>
        </w:rPr>
        <w:t xml:space="preserve">commitment </w:t>
      </w:r>
      <w:r w:rsidR="00CF45D6" w:rsidRPr="008A066B">
        <w:rPr>
          <w:rFonts w:ascii="Arial" w:hAnsi="Arial" w:cs="Arial"/>
        </w:rPr>
        <w:t>behind</w:t>
      </w:r>
      <w:r w:rsidR="00B71D7A" w:rsidRPr="008A066B">
        <w:rPr>
          <w:rFonts w:ascii="Arial" w:hAnsi="Arial" w:cs="Arial"/>
        </w:rPr>
        <w:t xml:space="preserve"> the acute care reforms </w:t>
      </w:r>
      <w:r w:rsidR="002A365E" w:rsidRPr="008A066B">
        <w:rPr>
          <w:rFonts w:ascii="Arial" w:hAnsi="Arial" w:cs="Arial"/>
        </w:rPr>
        <w:t>of</w:t>
      </w:r>
      <w:r w:rsidR="00B71D7A" w:rsidRPr="008A066B">
        <w:rPr>
          <w:rFonts w:ascii="Arial" w:hAnsi="Arial" w:cs="Arial"/>
        </w:rPr>
        <w:t xml:space="preserve"> the earlier 2000s. Funding was then much tighter following the global financial crisis, making it harder to maintain spending on hospitals whilst also investing in community alternatives (</w:t>
      </w:r>
      <w:r w:rsidR="00080FE5" w:rsidRPr="008A066B">
        <w:rPr>
          <w:rFonts w:ascii="Arial" w:hAnsi="Arial" w:cs="Arial"/>
        </w:rPr>
        <w:t>double running costs during a planned transition to new ways of working).</w:t>
      </w:r>
    </w:p>
    <w:p w14:paraId="79BBF7ED" w14:textId="77777777" w:rsidR="001D182E" w:rsidRPr="008A066B" w:rsidRDefault="001D182E" w:rsidP="008A066B">
      <w:pPr>
        <w:spacing w:after="0" w:line="240" w:lineRule="auto"/>
        <w:rPr>
          <w:rFonts w:ascii="Arial" w:hAnsi="Arial" w:cs="Arial"/>
        </w:rPr>
      </w:pPr>
    </w:p>
    <w:p w14:paraId="59BACF35" w14:textId="3A13F39B" w:rsidR="001D182E" w:rsidRPr="008A066B" w:rsidRDefault="00080FE5" w:rsidP="008A066B">
      <w:pPr>
        <w:spacing w:after="0" w:line="240" w:lineRule="auto"/>
        <w:rPr>
          <w:rFonts w:ascii="Arial" w:eastAsia="Times New Roman" w:hAnsi="Arial" w:cs="Arial"/>
          <w:color w:val="000000"/>
          <w:kern w:val="0"/>
          <w:lang w:eastAsia="en-GB"/>
          <w14:ligatures w14:val="none"/>
        </w:rPr>
      </w:pPr>
      <w:r w:rsidRPr="008A066B">
        <w:rPr>
          <w:rFonts w:ascii="Arial" w:hAnsi="Arial" w:cs="Arial"/>
        </w:rPr>
        <w:t xml:space="preserve">From 2010, the </w:t>
      </w:r>
      <w:r w:rsidR="00415353" w:rsidRPr="008A066B">
        <w:rPr>
          <w:rFonts w:ascii="Arial" w:hAnsi="Arial" w:cs="Arial"/>
        </w:rPr>
        <w:t xml:space="preserve">major reorganisations which accompanied </w:t>
      </w:r>
      <w:r w:rsidR="00415353" w:rsidRPr="008A066B">
        <w:rPr>
          <w:rFonts w:ascii="Arial" w:hAnsi="Arial" w:cs="Arial"/>
          <w:i/>
          <w:iCs/>
        </w:rPr>
        <w:t>Liberating the NHS</w:t>
      </w:r>
      <w:r w:rsidR="00415353" w:rsidRPr="008A066B">
        <w:rPr>
          <w:rFonts w:ascii="Arial" w:hAnsi="Arial" w:cs="Arial"/>
        </w:rPr>
        <w:t xml:space="preserve"> </w:t>
      </w:r>
      <w:r w:rsidR="001D182E" w:rsidRPr="008A066B">
        <w:rPr>
          <w:rFonts w:ascii="Arial" w:eastAsia="Times New Roman" w:hAnsi="Arial" w:cs="Arial"/>
          <w:color w:val="000000"/>
          <w:kern w:val="0"/>
          <w:lang w:eastAsia="en-GB"/>
          <w14:ligatures w14:val="none"/>
        </w:rPr>
        <w:t xml:space="preserve">created </w:t>
      </w:r>
      <w:r w:rsidR="002A365E" w:rsidRPr="008A066B">
        <w:rPr>
          <w:rFonts w:ascii="Arial" w:eastAsia="Times New Roman" w:hAnsi="Arial" w:cs="Arial"/>
          <w:color w:val="000000"/>
          <w:kern w:val="0"/>
          <w:lang w:eastAsia="en-GB"/>
          <w14:ligatures w14:val="none"/>
        </w:rPr>
        <w:t xml:space="preserve">significant </w:t>
      </w:r>
      <w:r w:rsidR="001D182E" w:rsidRPr="008A066B">
        <w:rPr>
          <w:rFonts w:ascii="Arial" w:eastAsia="Times New Roman" w:hAnsi="Arial" w:cs="Arial"/>
          <w:color w:val="000000"/>
          <w:kern w:val="0"/>
          <w:lang w:eastAsia="en-GB"/>
          <w14:ligatures w14:val="none"/>
        </w:rPr>
        <w:t xml:space="preserve">fragmentation, described by one participant as </w:t>
      </w:r>
      <w:r w:rsidR="009D5609" w:rsidRPr="00E52BE2">
        <w:rPr>
          <w:rFonts w:ascii="Arial" w:eastAsia="Times New Roman" w:hAnsi="Arial" w:cs="Arial"/>
          <w:i/>
          <w:iCs/>
          <w:color w:val="000000"/>
          <w:kern w:val="0"/>
          <w:lang w:eastAsia="en-GB"/>
          <w14:ligatures w14:val="none"/>
        </w:rPr>
        <w:t>“</w:t>
      </w:r>
      <w:r w:rsidR="001D182E" w:rsidRPr="00E52BE2">
        <w:rPr>
          <w:rFonts w:ascii="Arial" w:eastAsia="Times New Roman" w:hAnsi="Arial" w:cs="Arial"/>
          <w:i/>
          <w:iCs/>
          <w:color w:val="000000"/>
          <w:kern w:val="0"/>
          <w:lang w:eastAsia="en-GB"/>
          <w14:ligatures w14:val="none"/>
        </w:rPr>
        <w:t>throwing a major spanner in the works</w:t>
      </w:r>
      <w:r w:rsidR="00415353" w:rsidRPr="00E52BE2">
        <w:rPr>
          <w:rFonts w:ascii="Arial" w:eastAsia="Times New Roman" w:hAnsi="Arial" w:cs="Arial"/>
          <w:i/>
          <w:iCs/>
          <w:color w:val="000000"/>
          <w:kern w:val="0"/>
          <w:lang w:eastAsia="en-GB"/>
          <w14:ligatures w14:val="none"/>
        </w:rPr>
        <w:t>.</w:t>
      </w:r>
      <w:r w:rsidR="009D5609" w:rsidRPr="00E52BE2">
        <w:rPr>
          <w:rFonts w:ascii="Arial" w:eastAsia="Times New Roman" w:hAnsi="Arial" w:cs="Arial"/>
          <w:i/>
          <w:iCs/>
          <w:color w:val="000000"/>
          <w:kern w:val="0"/>
          <w:lang w:eastAsia="en-GB"/>
          <w14:ligatures w14:val="none"/>
        </w:rPr>
        <w:t>”</w:t>
      </w:r>
      <w:r w:rsidR="001D182E" w:rsidRPr="008A066B">
        <w:rPr>
          <w:rFonts w:ascii="Arial" w:eastAsia="Times New Roman" w:hAnsi="Arial" w:cs="Arial"/>
          <w:color w:val="000000"/>
          <w:kern w:val="0"/>
          <w:lang w:eastAsia="en-GB"/>
          <w14:ligatures w14:val="none"/>
        </w:rPr>
        <w:t xml:space="preserve"> These changes were experienced</w:t>
      </w:r>
      <w:r w:rsidR="00415353" w:rsidRPr="008A066B">
        <w:rPr>
          <w:rFonts w:ascii="Arial" w:eastAsia="Times New Roman" w:hAnsi="Arial" w:cs="Arial"/>
          <w:color w:val="000000"/>
          <w:kern w:val="0"/>
          <w:lang w:eastAsia="en-GB"/>
          <w14:ligatures w14:val="none"/>
        </w:rPr>
        <w:t xml:space="preserve"> as</w:t>
      </w:r>
      <w:r w:rsidR="001D182E" w:rsidRPr="008A066B">
        <w:rPr>
          <w:rFonts w:ascii="Arial" w:eastAsia="Times New Roman" w:hAnsi="Arial" w:cs="Arial"/>
          <w:color w:val="000000"/>
          <w:kern w:val="0"/>
          <w:lang w:eastAsia="en-GB"/>
          <w14:ligatures w14:val="none"/>
        </w:rPr>
        <w:t xml:space="preserve"> increasing a longstanding tension between approaches based on collaboration and those based on </w:t>
      </w:r>
      <w:proofErr w:type="gramStart"/>
      <w:r w:rsidR="001D182E" w:rsidRPr="008A066B">
        <w:rPr>
          <w:rFonts w:ascii="Arial" w:eastAsia="Times New Roman" w:hAnsi="Arial" w:cs="Arial"/>
          <w:color w:val="000000"/>
          <w:kern w:val="0"/>
          <w:lang w:eastAsia="en-GB"/>
          <w14:ligatures w14:val="none"/>
        </w:rPr>
        <w:t>competition, and</w:t>
      </w:r>
      <w:proofErr w:type="gramEnd"/>
      <w:r w:rsidR="001D182E" w:rsidRPr="008A066B">
        <w:rPr>
          <w:rFonts w:ascii="Arial" w:eastAsia="Times New Roman" w:hAnsi="Arial" w:cs="Arial"/>
          <w:color w:val="000000"/>
          <w:kern w:val="0"/>
          <w:lang w:eastAsia="en-GB"/>
          <w14:ligatures w14:val="none"/>
        </w:rPr>
        <w:t xml:space="preserve"> making it harder to promote joint working/shift care.</w:t>
      </w:r>
      <w:r w:rsidR="00415353" w:rsidRPr="008A066B">
        <w:rPr>
          <w:rFonts w:ascii="Arial" w:eastAsia="Times New Roman" w:hAnsi="Arial" w:cs="Arial"/>
          <w:color w:val="000000"/>
          <w:kern w:val="0"/>
          <w:lang w:eastAsia="en-GB"/>
          <w14:ligatures w14:val="none"/>
        </w:rPr>
        <w:t xml:space="preserve"> During this period and beyond, the tendency to focus on multiple, small-scale pilots and on ‘sticking plaster’ injections of funding for specific initiatives continued, and created significant overlap, duplication and confusion. </w:t>
      </w:r>
    </w:p>
    <w:p w14:paraId="3BDD346A" w14:textId="77777777" w:rsidR="00CF45D6" w:rsidRPr="008A066B" w:rsidRDefault="00CF45D6" w:rsidP="008A066B">
      <w:pPr>
        <w:spacing w:after="0" w:line="240" w:lineRule="auto"/>
        <w:rPr>
          <w:rFonts w:ascii="Arial" w:eastAsia="Times New Roman" w:hAnsi="Arial" w:cs="Arial"/>
          <w:color w:val="000000"/>
          <w:kern w:val="0"/>
          <w:lang w:eastAsia="en-GB"/>
          <w14:ligatures w14:val="none"/>
        </w:rPr>
      </w:pPr>
    </w:p>
    <w:p w14:paraId="6D1C962D" w14:textId="00CDF4E4" w:rsidR="0053718A" w:rsidRPr="008A066B" w:rsidRDefault="00CF45D6" w:rsidP="008A066B">
      <w:pPr>
        <w:spacing w:after="0" w:line="240" w:lineRule="auto"/>
        <w:rPr>
          <w:rFonts w:ascii="Arial" w:eastAsia="Times New Roman" w:hAnsi="Arial" w:cs="Arial"/>
          <w:color w:val="000000"/>
          <w:kern w:val="0"/>
          <w:lang w:eastAsia="en-GB"/>
          <w14:ligatures w14:val="none"/>
        </w:rPr>
      </w:pPr>
      <w:r w:rsidRPr="008A066B">
        <w:rPr>
          <w:rFonts w:ascii="Arial" w:eastAsia="Times New Roman" w:hAnsi="Arial" w:cs="Arial"/>
          <w:color w:val="000000"/>
          <w:kern w:val="0"/>
          <w:lang w:eastAsia="en-GB"/>
          <w14:ligatures w14:val="none"/>
        </w:rPr>
        <w:t xml:space="preserve">Looking back, participants concluded that </w:t>
      </w:r>
      <w:r w:rsidR="000C581F" w:rsidRPr="000C581F">
        <w:rPr>
          <w:rFonts w:ascii="Arial" w:eastAsia="Times New Roman" w:hAnsi="Arial" w:cs="Arial"/>
          <w:color w:val="000000"/>
          <w:kern w:val="0"/>
          <w:lang w:eastAsia="en-GB"/>
          <w14:ligatures w14:val="none"/>
        </w:rPr>
        <w:t>“</w:t>
      </w:r>
      <w:r w:rsidR="000C581F" w:rsidRPr="000C581F">
        <w:rPr>
          <w:rFonts w:ascii="Arial" w:eastAsia="Times New Roman" w:hAnsi="Arial" w:cs="Arial"/>
          <w:i/>
          <w:iCs/>
          <w:color w:val="000000"/>
          <w:kern w:val="0"/>
          <w:lang w:eastAsia="en-GB"/>
          <w14:ligatures w14:val="none"/>
        </w:rPr>
        <w:t>if you will the ends of shifting care from hospitals to community you will need to will the means”</w:t>
      </w:r>
      <w:r w:rsidR="000C581F" w:rsidRPr="000C581F">
        <w:rPr>
          <w:rFonts w:ascii="Arial" w:eastAsia="Times New Roman" w:hAnsi="Arial" w:cs="Arial"/>
          <w:color w:val="000000"/>
          <w:kern w:val="0"/>
          <w:lang w:eastAsia="en-GB"/>
          <w14:ligatures w14:val="none"/>
        </w:rPr>
        <w:t xml:space="preserve"> </w:t>
      </w:r>
      <w:r w:rsidR="0053718A" w:rsidRPr="008A066B">
        <w:rPr>
          <w:rFonts w:ascii="Arial" w:eastAsia="Times New Roman" w:hAnsi="Arial" w:cs="Arial"/>
          <w:color w:val="000000"/>
          <w:kern w:val="0"/>
          <w:lang w:eastAsia="en-GB"/>
          <w14:ligatures w14:val="none"/>
        </w:rPr>
        <w:t>– and that this has never really happened in practice, with predictable results.</w:t>
      </w:r>
    </w:p>
    <w:p w14:paraId="789F66CF" w14:textId="77777777" w:rsidR="002838FE" w:rsidRDefault="002838FE" w:rsidP="008A066B">
      <w:pPr>
        <w:spacing w:after="0" w:line="240" w:lineRule="auto"/>
        <w:rPr>
          <w:rFonts w:ascii="Arial" w:eastAsia="Times New Roman" w:hAnsi="Arial" w:cs="Arial"/>
          <w:color w:val="000000"/>
          <w:kern w:val="0"/>
          <w:lang w:eastAsia="en-GB"/>
          <w14:ligatures w14:val="none"/>
        </w:rPr>
      </w:pPr>
    </w:p>
    <w:p w14:paraId="5D46551B" w14:textId="77777777" w:rsidR="008A066B" w:rsidRPr="008A066B" w:rsidRDefault="008A066B" w:rsidP="008A066B">
      <w:pPr>
        <w:spacing w:after="0" w:line="240" w:lineRule="auto"/>
        <w:rPr>
          <w:rFonts w:ascii="Arial" w:eastAsia="Times New Roman" w:hAnsi="Arial" w:cs="Arial"/>
          <w:color w:val="000000"/>
          <w:kern w:val="0"/>
          <w:lang w:eastAsia="en-GB"/>
          <w14:ligatures w14:val="none"/>
        </w:rPr>
      </w:pPr>
    </w:p>
    <w:p w14:paraId="0A0B655F" w14:textId="6E3BE0B8" w:rsidR="002838FE" w:rsidRPr="008A066B" w:rsidRDefault="002838FE" w:rsidP="008A066B">
      <w:pPr>
        <w:spacing w:after="0" w:line="240" w:lineRule="auto"/>
        <w:rPr>
          <w:rFonts w:ascii="Arial" w:eastAsia="Times New Roman" w:hAnsi="Arial" w:cs="Arial"/>
          <w:b/>
          <w:bCs/>
          <w:i/>
          <w:iCs/>
          <w:color w:val="000000"/>
          <w:kern w:val="0"/>
          <w:lang w:eastAsia="en-GB"/>
          <w14:ligatures w14:val="none"/>
        </w:rPr>
      </w:pPr>
      <w:r w:rsidRPr="008A066B">
        <w:rPr>
          <w:rFonts w:ascii="Arial" w:eastAsia="Times New Roman" w:hAnsi="Arial" w:cs="Arial"/>
          <w:b/>
          <w:bCs/>
          <w:i/>
          <w:iCs/>
          <w:color w:val="000000"/>
          <w:kern w:val="0"/>
          <w:lang w:eastAsia="en-GB"/>
          <w14:ligatures w14:val="none"/>
        </w:rPr>
        <w:lastRenderedPageBreak/>
        <w:t>Broader debates</w:t>
      </w:r>
    </w:p>
    <w:p w14:paraId="220E9205" w14:textId="77777777" w:rsidR="002838FE" w:rsidRPr="008A066B" w:rsidRDefault="002838FE" w:rsidP="008A066B">
      <w:pPr>
        <w:spacing w:after="0" w:line="240" w:lineRule="auto"/>
        <w:rPr>
          <w:rFonts w:ascii="Arial" w:eastAsia="Times New Roman" w:hAnsi="Arial" w:cs="Arial"/>
          <w:color w:val="000000"/>
          <w:kern w:val="0"/>
          <w:lang w:eastAsia="en-GB"/>
          <w14:ligatures w14:val="none"/>
        </w:rPr>
      </w:pPr>
    </w:p>
    <w:p w14:paraId="140D5A39" w14:textId="3CBD1013" w:rsidR="001D182E" w:rsidRPr="008A066B" w:rsidRDefault="001D182E" w:rsidP="008A066B">
      <w:pPr>
        <w:spacing w:after="0" w:line="240" w:lineRule="auto"/>
        <w:rPr>
          <w:rFonts w:ascii="Arial" w:eastAsia="Times New Roman" w:hAnsi="Arial" w:cs="Arial"/>
          <w:color w:val="000000"/>
          <w:kern w:val="0"/>
          <w:lang w:eastAsia="en-GB"/>
          <w14:ligatures w14:val="none"/>
        </w:rPr>
      </w:pPr>
      <w:r w:rsidRPr="008A066B">
        <w:rPr>
          <w:rFonts w:ascii="Arial" w:eastAsia="Times New Roman" w:hAnsi="Arial" w:cs="Arial"/>
          <w:color w:val="000000"/>
          <w:kern w:val="0"/>
          <w:lang w:eastAsia="en-GB"/>
          <w14:ligatures w14:val="none"/>
        </w:rPr>
        <w:t xml:space="preserve">More generally, the balance of power in the NHS was felt </w:t>
      </w:r>
      <w:r w:rsidR="00415353" w:rsidRPr="008A066B">
        <w:rPr>
          <w:rFonts w:ascii="Arial" w:eastAsia="Times New Roman" w:hAnsi="Arial" w:cs="Arial"/>
          <w:color w:val="000000"/>
          <w:kern w:val="0"/>
          <w:lang w:eastAsia="en-GB"/>
          <w14:ligatures w14:val="none"/>
        </w:rPr>
        <w:t xml:space="preserve">by participants </w:t>
      </w:r>
      <w:r w:rsidRPr="008A066B">
        <w:rPr>
          <w:rFonts w:ascii="Arial" w:eastAsia="Times New Roman" w:hAnsi="Arial" w:cs="Arial"/>
          <w:color w:val="000000"/>
          <w:kern w:val="0"/>
          <w:lang w:eastAsia="en-GB"/>
          <w14:ligatures w14:val="none"/>
        </w:rPr>
        <w:t xml:space="preserve">to have always tilted towards acute hospitals and specialist care. In contrast, primary care and community services have often been the poor relations. Hence it is not surprising that the share of NHS budget going to acute services has increased, even when policy has pointed in </w:t>
      </w:r>
      <w:r w:rsidR="000C581F">
        <w:rPr>
          <w:rFonts w:ascii="Arial" w:eastAsia="Times New Roman" w:hAnsi="Arial" w:cs="Arial"/>
          <w:color w:val="000000"/>
          <w:kern w:val="0"/>
          <w:lang w:eastAsia="en-GB"/>
          <w14:ligatures w14:val="none"/>
        </w:rPr>
        <w:t xml:space="preserve">the </w:t>
      </w:r>
      <w:r w:rsidRPr="008A066B">
        <w:rPr>
          <w:rFonts w:ascii="Arial" w:eastAsia="Times New Roman" w:hAnsi="Arial" w:cs="Arial"/>
          <w:color w:val="000000"/>
          <w:kern w:val="0"/>
          <w:lang w:eastAsia="en-GB"/>
          <w14:ligatures w14:val="none"/>
        </w:rPr>
        <w:t>other direction. This was not felt to be the result of any ‘conspiracy’, but simply a social and political reality, based in part on the importance that the public and the media place on hospitals.</w:t>
      </w:r>
    </w:p>
    <w:p w14:paraId="5F4AF38E" w14:textId="77777777" w:rsidR="001D182E" w:rsidRPr="008A066B" w:rsidRDefault="001D182E" w:rsidP="008A066B">
      <w:pPr>
        <w:spacing w:after="0" w:line="240" w:lineRule="auto"/>
        <w:rPr>
          <w:rFonts w:ascii="Arial" w:eastAsia="Times New Roman" w:hAnsi="Arial" w:cs="Arial"/>
          <w:color w:val="000000"/>
          <w:kern w:val="0"/>
          <w:lang w:eastAsia="en-GB"/>
          <w14:ligatures w14:val="none"/>
        </w:rPr>
      </w:pPr>
    </w:p>
    <w:p w14:paraId="6A038A6F" w14:textId="77777777" w:rsidR="009D77A2" w:rsidRPr="008A066B" w:rsidRDefault="009D77A2" w:rsidP="008A066B">
      <w:pPr>
        <w:spacing w:after="0" w:line="240" w:lineRule="auto"/>
        <w:rPr>
          <w:rFonts w:ascii="Arial" w:eastAsia="Times New Roman" w:hAnsi="Arial" w:cs="Arial"/>
          <w:kern w:val="0"/>
          <w:lang w:eastAsia="en-GB"/>
          <w14:ligatures w14:val="none"/>
        </w:rPr>
      </w:pPr>
      <w:r w:rsidRPr="008A066B">
        <w:rPr>
          <w:rFonts w:ascii="Arial" w:eastAsia="Times New Roman" w:hAnsi="Arial" w:cs="Arial"/>
          <w:color w:val="000000"/>
          <w:kern w:val="0"/>
          <w:lang w:eastAsia="en-GB"/>
          <w14:ligatures w14:val="none"/>
        </w:rPr>
        <w:t xml:space="preserve">Taking a step back from current debates, the transformation of mental health service from the 1960s and 1970s was seen as an example of care </w:t>
      </w:r>
      <w:proofErr w:type="gramStart"/>
      <w:r w:rsidRPr="008A066B">
        <w:rPr>
          <w:rFonts w:ascii="Arial" w:eastAsia="Times New Roman" w:hAnsi="Arial" w:cs="Arial"/>
          <w:color w:val="000000"/>
          <w:kern w:val="0"/>
          <w:lang w:eastAsia="en-GB"/>
          <w14:ligatures w14:val="none"/>
        </w:rPr>
        <w:t>actually moving</w:t>
      </w:r>
      <w:proofErr w:type="gramEnd"/>
      <w:r w:rsidRPr="008A066B">
        <w:rPr>
          <w:rFonts w:ascii="Arial" w:eastAsia="Times New Roman" w:hAnsi="Arial" w:cs="Arial"/>
          <w:color w:val="000000"/>
          <w:kern w:val="0"/>
          <w:lang w:eastAsia="en-GB"/>
          <w14:ligatures w14:val="none"/>
        </w:rPr>
        <w:t xml:space="preserve"> from the asylums to the community, albeit with lots of caveats about how well this was done in practice </w:t>
      </w:r>
      <w:r w:rsidRPr="008A066B">
        <w:rPr>
          <w:rFonts w:ascii="Arial" w:eastAsia="Times New Roman" w:hAnsi="Arial" w:cs="Arial"/>
          <w:kern w:val="0"/>
          <w:lang w:eastAsia="en-GB"/>
          <w14:ligatures w14:val="none"/>
        </w:rPr>
        <w:t xml:space="preserve">(see Gilburt </w:t>
      </w:r>
      <w:r w:rsidRPr="008A066B">
        <w:rPr>
          <w:rFonts w:ascii="Arial" w:eastAsia="Times New Roman" w:hAnsi="Arial" w:cs="Arial"/>
          <w:i/>
          <w:iCs/>
          <w:kern w:val="0"/>
          <w:lang w:eastAsia="en-GB"/>
          <w14:ligatures w14:val="none"/>
        </w:rPr>
        <w:t>et al</w:t>
      </w:r>
      <w:r w:rsidRPr="008A066B">
        <w:rPr>
          <w:rFonts w:ascii="Arial" w:eastAsia="Times New Roman" w:hAnsi="Arial" w:cs="Arial"/>
          <w:kern w:val="0"/>
          <w:lang w:eastAsia="en-GB"/>
          <w14:ligatures w14:val="none"/>
        </w:rPr>
        <w:t>., 2014 for a summary of key lessons).</w:t>
      </w:r>
    </w:p>
    <w:p w14:paraId="24E2A549" w14:textId="77777777" w:rsidR="009D77A2" w:rsidRPr="008A066B" w:rsidRDefault="009D77A2" w:rsidP="008A066B">
      <w:pPr>
        <w:spacing w:after="0" w:line="240" w:lineRule="auto"/>
        <w:rPr>
          <w:rFonts w:ascii="Arial" w:eastAsia="Times New Roman" w:hAnsi="Arial" w:cs="Arial"/>
          <w:kern w:val="0"/>
          <w:lang w:eastAsia="en-GB"/>
          <w14:ligatures w14:val="none"/>
        </w:rPr>
      </w:pPr>
    </w:p>
    <w:p w14:paraId="25EB96A5" w14:textId="77777777" w:rsidR="009D77A2" w:rsidRPr="008A066B" w:rsidRDefault="009D77A2" w:rsidP="008A066B">
      <w:pPr>
        <w:spacing w:after="0" w:line="240" w:lineRule="auto"/>
        <w:rPr>
          <w:rFonts w:ascii="Arial" w:hAnsi="Arial" w:cs="Arial"/>
        </w:rPr>
      </w:pPr>
      <w:r w:rsidRPr="008A066B">
        <w:rPr>
          <w:rFonts w:ascii="Arial" w:hAnsi="Arial" w:cs="Arial"/>
        </w:rPr>
        <w:t xml:space="preserve">Throughout these debates, the focus was often on older people or people with multiple (physical) long-term conditions – but often lacking an explicit acknowledgement that most health and social care services for older people are likely to include large numbers of people living with dementia, who might also have additional and specific needs. Rather than just focusing on clinical pathways as people’s condition changes, there may be scope for a more ‘social’ pathway which is about living well with dementia (see, for example, Crowther, 2024; NHS Greater Manchester </w:t>
      </w:r>
      <w:r w:rsidRPr="00D75579">
        <w:rPr>
          <w:rFonts w:ascii="Arial" w:hAnsi="Arial" w:cs="Arial"/>
        </w:rPr>
        <w:t>et al</w:t>
      </w:r>
      <w:r w:rsidRPr="008A066B">
        <w:rPr>
          <w:rFonts w:ascii="Arial" w:hAnsi="Arial" w:cs="Arial"/>
        </w:rPr>
        <w:t>., 2024).</w:t>
      </w:r>
    </w:p>
    <w:p w14:paraId="612E2603" w14:textId="77777777" w:rsidR="00F2167A" w:rsidRPr="008A066B" w:rsidRDefault="00F2167A" w:rsidP="008A066B">
      <w:pPr>
        <w:spacing w:after="0" w:line="240" w:lineRule="auto"/>
        <w:rPr>
          <w:rFonts w:ascii="Arial" w:hAnsi="Arial" w:cs="Arial"/>
        </w:rPr>
      </w:pPr>
    </w:p>
    <w:p w14:paraId="23DB9403" w14:textId="759E9BAB" w:rsidR="00F2167A" w:rsidRPr="008A066B" w:rsidRDefault="00F2167A" w:rsidP="008A066B">
      <w:pPr>
        <w:spacing w:after="0" w:line="240" w:lineRule="auto"/>
        <w:rPr>
          <w:rFonts w:ascii="Arial" w:hAnsi="Arial" w:cs="Arial"/>
        </w:rPr>
      </w:pPr>
      <w:r w:rsidRPr="008A066B">
        <w:rPr>
          <w:rFonts w:ascii="Arial" w:hAnsi="Arial" w:cs="Arial"/>
        </w:rPr>
        <w:t>Overall, meaningful change was felt to be more likely when:</w:t>
      </w:r>
    </w:p>
    <w:p w14:paraId="4914C947" w14:textId="77777777" w:rsidR="00F2167A" w:rsidRPr="008A066B" w:rsidRDefault="00F2167A" w:rsidP="008A066B">
      <w:pPr>
        <w:spacing w:after="0" w:line="240" w:lineRule="auto"/>
        <w:rPr>
          <w:rFonts w:ascii="Arial" w:hAnsi="Arial" w:cs="Arial"/>
        </w:rPr>
      </w:pPr>
    </w:p>
    <w:p w14:paraId="2131642C" w14:textId="3C38F747" w:rsidR="00F2167A" w:rsidRPr="008A066B" w:rsidRDefault="00F2167A" w:rsidP="008A066B">
      <w:pPr>
        <w:pStyle w:val="ListParagraph"/>
        <w:numPr>
          <w:ilvl w:val="0"/>
          <w:numId w:val="10"/>
        </w:numPr>
        <w:spacing w:after="0" w:line="240" w:lineRule="auto"/>
        <w:rPr>
          <w:rFonts w:ascii="Arial" w:hAnsi="Arial" w:cs="Arial"/>
        </w:rPr>
      </w:pPr>
      <w:r w:rsidRPr="008A066B">
        <w:rPr>
          <w:rFonts w:ascii="Arial" w:hAnsi="Arial" w:cs="Arial"/>
        </w:rPr>
        <w:t xml:space="preserve">There is significant alignment between the aims of national </w:t>
      </w:r>
      <w:r w:rsidR="00CA2B77" w:rsidRPr="008A066B">
        <w:rPr>
          <w:rFonts w:ascii="Arial" w:hAnsi="Arial" w:cs="Arial"/>
        </w:rPr>
        <w:t>politicians and health service leaders (especially if the Treasury and the Prime Minister are also supportive of the direction of travel).</w:t>
      </w:r>
    </w:p>
    <w:p w14:paraId="7F491272" w14:textId="77777777" w:rsidR="00CA2B77" w:rsidRPr="008A066B" w:rsidRDefault="00CA2B77" w:rsidP="008A066B">
      <w:pPr>
        <w:pStyle w:val="ListParagraph"/>
        <w:spacing w:after="0" w:line="240" w:lineRule="auto"/>
        <w:ind w:left="360"/>
        <w:rPr>
          <w:rFonts w:ascii="Arial" w:hAnsi="Arial" w:cs="Arial"/>
        </w:rPr>
      </w:pPr>
    </w:p>
    <w:p w14:paraId="0C6AD1E5" w14:textId="2ED0907D" w:rsidR="00CA2B77" w:rsidRPr="008A066B" w:rsidRDefault="00CA2B77" w:rsidP="008A066B">
      <w:pPr>
        <w:pStyle w:val="ListParagraph"/>
        <w:numPr>
          <w:ilvl w:val="0"/>
          <w:numId w:val="10"/>
        </w:numPr>
        <w:spacing w:after="0" w:line="240" w:lineRule="auto"/>
        <w:rPr>
          <w:rFonts w:ascii="Arial" w:hAnsi="Arial" w:cs="Arial"/>
        </w:rPr>
      </w:pPr>
      <w:r w:rsidRPr="008A066B">
        <w:rPr>
          <w:rFonts w:ascii="Arial" w:hAnsi="Arial" w:cs="Arial"/>
        </w:rPr>
        <w:t xml:space="preserve">Reforms become so embedded that they can survive </w:t>
      </w:r>
      <w:r w:rsidR="0043580E" w:rsidRPr="008A066B">
        <w:rPr>
          <w:rFonts w:ascii="Arial" w:hAnsi="Arial" w:cs="Arial"/>
        </w:rPr>
        <w:t>periodic changes in Secretary of State – rather than a scenario where a new person is appointed with new priorities, and the previous person’s agenda is never referred to again.</w:t>
      </w:r>
    </w:p>
    <w:p w14:paraId="6341C2CB" w14:textId="77777777" w:rsidR="00694C7B" w:rsidRPr="008A066B" w:rsidRDefault="00694C7B" w:rsidP="008A066B">
      <w:pPr>
        <w:pStyle w:val="ListParagraph"/>
        <w:spacing w:after="0" w:line="240" w:lineRule="auto"/>
        <w:rPr>
          <w:rFonts w:ascii="Arial" w:hAnsi="Arial" w:cs="Arial"/>
        </w:rPr>
      </w:pPr>
    </w:p>
    <w:p w14:paraId="0F91B10C" w14:textId="1E87D1AC" w:rsidR="00694C7B" w:rsidRPr="008A066B" w:rsidRDefault="00694C7B" w:rsidP="008A066B">
      <w:pPr>
        <w:pStyle w:val="ListParagraph"/>
        <w:numPr>
          <w:ilvl w:val="0"/>
          <w:numId w:val="10"/>
        </w:numPr>
        <w:spacing w:after="0" w:line="240" w:lineRule="auto"/>
        <w:rPr>
          <w:rFonts w:ascii="Arial" w:hAnsi="Arial" w:cs="Arial"/>
        </w:rPr>
      </w:pPr>
      <w:r w:rsidRPr="008A066B">
        <w:rPr>
          <w:rFonts w:ascii="Arial" w:hAnsi="Arial" w:cs="Arial"/>
        </w:rPr>
        <w:t xml:space="preserve">There is </w:t>
      </w:r>
      <w:r w:rsidR="009707E8" w:rsidRPr="008A066B">
        <w:rPr>
          <w:rFonts w:ascii="Arial" w:hAnsi="Arial" w:cs="Arial"/>
        </w:rPr>
        <w:t>widespread understanding</w:t>
      </w:r>
      <w:r w:rsidR="0065763C">
        <w:rPr>
          <w:rFonts w:ascii="Arial" w:hAnsi="Arial" w:cs="Arial"/>
        </w:rPr>
        <w:t xml:space="preserve"> and </w:t>
      </w:r>
      <w:r w:rsidR="009707E8" w:rsidRPr="008A066B">
        <w:rPr>
          <w:rFonts w:ascii="Arial" w:hAnsi="Arial" w:cs="Arial"/>
        </w:rPr>
        <w:t xml:space="preserve">acceptance of the need to change and a clear call to action. Although an extreme </w:t>
      </w:r>
      <w:r w:rsidR="009D0968">
        <w:rPr>
          <w:rFonts w:ascii="Arial" w:hAnsi="Arial" w:cs="Arial"/>
        </w:rPr>
        <w:t>case</w:t>
      </w:r>
      <w:r w:rsidR="009707E8" w:rsidRPr="008A066B">
        <w:rPr>
          <w:rFonts w:ascii="Arial" w:hAnsi="Arial" w:cs="Arial"/>
        </w:rPr>
        <w:t xml:space="preserve">, </w:t>
      </w:r>
      <w:r w:rsidR="009D0968">
        <w:rPr>
          <w:rFonts w:ascii="Arial" w:hAnsi="Arial" w:cs="Arial"/>
        </w:rPr>
        <w:t>some</w:t>
      </w:r>
      <w:r w:rsidR="009707E8" w:rsidRPr="008A066B">
        <w:rPr>
          <w:rFonts w:ascii="Arial" w:hAnsi="Arial" w:cs="Arial"/>
        </w:rPr>
        <w:t xml:space="preserve"> people mentioned the relationships and creativity that emerged in response to COVID</w:t>
      </w:r>
      <w:r w:rsidR="002F1D08">
        <w:rPr>
          <w:rFonts w:ascii="Arial" w:hAnsi="Arial" w:cs="Arial"/>
        </w:rPr>
        <w:t>-19</w:t>
      </w:r>
      <w:r w:rsidR="009707E8" w:rsidRPr="008A066B">
        <w:rPr>
          <w:rFonts w:ascii="Arial" w:hAnsi="Arial" w:cs="Arial"/>
        </w:rPr>
        <w:t xml:space="preserve"> as examples of what’s possible when </w:t>
      </w:r>
      <w:r w:rsidR="00CA6A04" w:rsidRPr="008A066B">
        <w:rPr>
          <w:rFonts w:ascii="Arial" w:hAnsi="Arial" w:cs="Arial"/>
        </w:rPr>
        <w:t xml:space="preserve">we </w:t>
      </w:r>
      <w:r w:rsidR="007C44FE" w:rsidRPr="008A066B">
        <w:rPr>
          <w:rFonts w:ascii="Arial" w:hAnsi="Arial" w:cs="Arial"/>
        </w:rPr>
        <w:t>work together to focus on what really matters</w:t>
      </w:r>
      <w:r w:rsidR="009539FB" w:rsidRPr="008A066B">
        <w:rPr>
          <w:rFonts w:ascii="Arial" w:hAnsi="Arial" w:cs="Arial"/>
        </w:rPr>
        <w:t>.</w:t>
      </w:r>
    </w:p>
    <w:p w14:paraId="228D56F0" w14:textId="77777777" w:rsidR="0043580E" w:rsidRPr="008A066B" w:rsidRDefault="0043580E" w:rsidP="008A066B">
      <w:pPr>
        <w:pStyle w:val="ListParagraph"/>
        <w:spacing w:after="0" w:line="240" w:lineRule="auto"/>
        <w:rPr>
          <w:rFonts w:ascii="Arial" w:hAnsi="Arial" w:cs="Arial"/>
        </w:rPr>
      </w:pPr>
    </w:p>
    <w:p w14:paraId="79A74EF7" w14:textId="15B02C9A" w:rsidR="0043580E" w:rsidRPr="008A066B" w:rsidRDefault="0043580E" w:rsidP="008A066B">
      <w:pPr>
        <w:pStyle w:val="ListParagraph"/>
        <w:numPr>
          <w:ilvl w:val="0"/>
          <w:numId w:val="10"/>
        </w:numPr>
        <w:spacing w:after="0" w:line="240" w:lineRule="auto"/>
        <w:rPr>
          <w:rFonts w:ascii="Arial" w:hAnsi="Arial" w:cs="Arial"/>
        </w:rPr>
      </w:pPr>
      <w:r w:rsidRPr="008A066B">
        <w:rPr>
          <w:rFonts w:ascii="Arial" w:hAnsi="Arial" w:cs="Arial"/>
        </w:rPr>
        <w:t>Reforms are ro</w:t>
      </w:r>
      <w:r w:rsidR="002F1D08">
        <w:rPr>
          <w:rFonts w:ascii="Arial" w:hAnsi="Arial" w:cs="Arial"/>
        </w:rPr>
        <w:t>o</w:t>
      </w:r>
      <w:r w:rsidRPr="008A066B">
        <w:rPr>
          <w:rFonts w:ascii="Arial" w:hAnsi="Arial" w:cs="Arial"/>
        </w:rPr>
        <w:t>ted in local neighbourhoods</w:t>
      </w:r>
      <w:r w:rsidR="00796A32" w:rsidRPr="008A066B">
        <w:rPr>
          <w:rFonts w:ascii="Arial" w:hAnsi="Arial" w:cs="Arial"/>
        </w:rPr>
        <w:t xml:space="preserve"> and the kinds of lives that people and communities want to lead.</w:t>
      </w:r>
    </w:p>
    <w:p w14:paraId="56258B7E" w14:textId="77777777" w:rsidR="00796A32" w:rsidRPr="008A066B" w:rsidRDefault="00796A32" w:rsidP="008A066B">
      <w:pPr>
        <w:pStyle w:val="ListParagraph"/>
        <w:spacing w:after="0" w:line="240" w:lineRule="auto"/>
        <w:rPr>
          <w:rFonts w:ascii="Arial" w:hAnsi="Arial" w:cs="Arial"/>
        </w:rPr>
      </w:pPr>
    </w:p>
    <w:p w14:paraId="705DB63F" w14:textId="7E15A675" w:rsidR="00796A32" w:rsidRPr="008A066B" w:rsidRDefault="00796A32" w:rsidP="008A066B">
      <w:pPr>
        <w:pStyle w:val="ListParagraph"/>
        <w:numPr>
          <w:ilvl w:val="0"/>
          <w:numId w:val="10"/>
        </w:numPr>
        <w:spacing w:after="0" w:line="240" w:lineRule="auto"/>
        <w:rPr>
          <w:rFonts w:ascii="Arial" w:hAnsi="Arial" w:cs="Arial"/>
        </w:rPr>
      </w:pPr>
      <w:r w:rsidRPr="008A066B">
        <w:rPr>
          <w:rFonts w:ascii="Arial" w:hAnsi="Arial" w:cs="Arial"/>
        </w:rPr>
        <w:t xml:space="preserve">Attempts are made to bring local people with you as services change, rather than </w:t>
      </w:r>
      <w:r w:rsidR="005040B6" w:rsidRPr="008A066B">
        <w:rPr>
          <w:rFonts w:ascii="Arial" w:hAnsi="Arial" w:cs="Arial"/>
        </w:rPr>
        <w:t>any changes being seen as a potential ‘attack’ on beloved local services.</w:t>
      </w:r>
    </w:p>
    <w:p w14:paraId="74897B57" w14:textId="77777777" w:rsidR="005040B6" w:rsidRPr="008A066B" w:rsidRDefault="005040B6" w:rsidP="008A066B">
      <w:pPr>
        <w:pStyle w:val="ListParagraph"/>
        <w:spacing w:after="0" w:line="240" w:lineRule="auto"/>
        <w:rPr>
          <w:rFonts w:ascii="Arial" w:hAnsi="Arial" w:cs="Arial"/>
        </w:rPr>
      </w:pPr>
    </w:p>
    <w:p w14:paraId="4FB88314" w14:textId="54E6B1F1" w:rsidR="005040B6" w:rsidRPr="00D75579" w:rsidRDefault="005040B6" w:rsidP="008A066B">
      <w:pPr>
        <w:pStyle w:val="ListParagraph"/>
        <w:numPr>
          <w:ilvl w:val="0"/>
          <w:numId w:val="10"/>
        </w:numPr>
        <w:spacing w:after="0" w:line="240" w:lineRule="auto"/>
        <w:rPr>
          <w:rFonts w:ascii="Arial" w:hAnsi="Arial" w:cs="Arial"/>
        </w:rPr>
      </w:pPr>
      <w:r w:rsidRPr="008A066B">
        <w:rPr>
          <w:rFonts w:ascii="Arial" w:hAnsi="Arial" w:cs="Arial"/>
        </w:rPr>
        <w:t>There is an understanding of/plan for managing large-scale change (</w:t>
      </w:r>
      <w:proofErr w:type="gramStart"/>
      <w:r w:rsidR="00C05F42" w:rsidRPr="008A066B">
        <w:rPr>
          <w:rFonts w:ascii="Arial" w:hAnsi="Arial" w:cs="Arial"/>
        </w:rPr>
        <w:t>in particular drawing</w:t>
      </w:r>
      <w:proofErr w:type="gramEnd"/>
      <w:r w:rsidR="00C05F42" w:rsidRPr="008A066B">
        <w:rPr>
          <w:rFonts w:ascii="Arial" w:hAnsi="Arial" w:cs="Arial"/>
        </w:rPr>
        <w:t xml:space="preserve"> on longstanding insights into the approaches that are needed to lead change in complex, adaptive systems </w:t>
      </w:r>
      <w:r w:rsidR="00632FA4" w:rsidRPr="008A066B">
        <w:rPr>
          <w:rFonts w:ascii="Arial" w:hAnsi="Arial" w:cs="Arial"/>
        </w:rPr>
        <w:t xml:space="preserve">and to create receptive contexts </w:t>
      </w:r>
      <w:r w:rsidR="00C05F42" w:rsidRPr="008A066B">
        <w:rPr>
          <w:rFonts w:ascii="Arial" w:hAnsi="Arial" w:cs="Arial"/>
        </w:rPr>
        <w:t xml:space="preserve">– see, for example, </w:t>
      </w:r>
      <w:r w:rsidR="00632FA4" w:rsidRPr="008A066B">
        <w:rPr>
          <w:rFonts w:ascii="Arial" w:hAnsi="Arial" w:cs="Arial"/>
        </w:rPr>
        <w:t xml:space="preserve">Pettigrew </w:t>
      </w:r>
      <w:r w:rsidR="00632FA4" w:rsidRPr="00D75579">
        <w:rPr>
          <w:rFonts w:ascii="Arial" w:hAnsi="Arial" w:cs="Arial"/>
        </w:rPr>
        <w:t>et al., 1992</w:t>
      </w:r>
      <w:r w:rsidR="002047C0" w:rsidRPr="00D75579">
        <w:rPr>
          <w:rFonts w:ascii="Arial" w:hAnsi="Arial" w:cs="Arial"/>
        </w:rPr>
        <w:t xml:space="preserve">; </w:t>
      </w:r>
      <w:r w:rsidR="00EE64FF" w:rsidRPr="00D75579">
        <w:rPr>
          <w:rFonts w:ascii="Arial" w:hAnsi="Arial" w:cs="Arial"/>
        </w:rPr>
        <w:t xml:space="preserve">Ferlie and Shortell, 2003; </w:t>
      </w:r>
      <w:r w:rsidR="008B4871" w:rsidRPr="00D75579">
        <w:rPr>
          <w:rFonts w:ascii="Arial" w:hAnsi="Arial" w:cs="Arial"/>
        </w:rPr>
        <w:t xml:space="preserve">Ham et al., 2008; </w:t>
      </w:r>
      <w:r w:rsidR="002047C0" w:rsidRPr="00D75579">
        <w:rPr>
          <w:rFonts w:ascii="Arial" w:hAnsi="Arial" w:cs="Arial"/>
        </w:rPr>
        <w:t>Ham, 2023</w:t>
      </w:r>
      <w:r w:rsidR="00C05F42" w:rsidRPr="00D75579">
        <w:rPr>
          <w:rFonts w:ascii="Arial" w:hAnsi="Arial" w:cs="Arial"/>
        </w:rPr>
        <w:t>).</w:t>
      </w:r>
    </w:p>
    <w:p w14:paraId="5D016636" w14:textId="77777777" w:rsidR="009539FB" w:rsidRPr="008A066B" w:rsidRDefault="009539FB" w:rsidP="008A066B">
      <w:pPr>
        <w:pStyle w:val="ListParagraph"/>
        <w:spacing w:after="0" w:line="240" w:lineRule="auto"/>
        <w:rPr>
          <w:rFonts w:ascii="Arial" w:hAnsi="Arial" w:cs="Arial"/>
        </w:rPr>
      </w:pPr>
    </w:p>
    <w:p w14:paraId="6808C551" w14:textId="7D57AD50" w:rsidR="009D77A2" w:rsidRPr="008A066B" w:rsidRDefault="009D77A2" w:rsidP="008A066B">
      <w:pPr>
        <w:spacing w:after="0" w:line="240" w:lineRule="auto"/>
        <w:rPr>
          <w:rFonts w:ascii="Arial" w:eastAsia="Times New Roman" w:hAnsi="Arial" w:cs="Arial"/>
          <w:b/>
          <w:bCs/>
          <w:i/>
          <w:iCs/>
          <w:color w:val="000000"/>
          <w:kern w:val="0"/>
          <w:lang w:eastAsia="en-GB"/>
          <w14:ligatures w14:val="none"/>
        </w:rPr>
      </w:pPr>
      <w:r w:rsidRPr="008A066B">
        <w:rPr>
          <w:rFonts w:ascii="Arial" w:eastAsia="Times New Roman" w:hAnsi="Arial" w:cs="Arial"/>
          <w:b/>
          <w:bCs/>
          <w:i/>
          <w:iCs/>
          <w:color w:val="000000"/>
          <w:kern w:val="0"/>
          <w:lang w:eastAsia="en-GB"/>
          <w14:ligatures w14:val="none"/>
        </w:rPr>
        <w:t>Key barriers</w:t>
      </w:r>
    </w:p>
    <w:p w14:paraId="5195B89E" w14:textId="77777777" w:rsidR="009D77A2" w:rsidRPr="008A066B" w:rsidRDefault="009D77A2" w:rsidP="008A066B">
      <w:pPr>
        <w:spacing w:after="0" w:line="240" w:lineRule="auto"/>
        <w:rPr>
          <w:rFonts w:ascii="Arial" w:eastAsia="Times New Roman" w:hAnsi="Arial" w:cs="Arial"/>
          <w:color w:val="000000"/>
          <w:kern w:val="0"/>
          <w:lang w:eastAsia="en-GB"/>
          <w14:ligatures w14:val="none"/>
        </w:rPr>
      </w:pPr>
    </w:p>
    <w:p w14:paraId="596E66ED" w14:textId="3386B335" w:rsidR="001D182E" w:rsidRPr="008A066B" w:rsidRDefault="001D182E" w:rsidP="008A066B">
      <w:pPr>
        <w:spacing w:after="0" w:line="240" w:lineRule="auto"/>
        <w:rPr>
          <w:rFonts w:ascii="Arial" w:eastAsia="Times New Roman" w:hAnsi="Arial" w:cs="Arial"/>
          <w:color w:val="000000"/>
          <w:kern w:val="0"/>
          <w:lang w:eastAsia="en-GB"/>
          <w14:ligatures w14:val="none"/>
        </w:rPr>
      </w:pPr>
      <w:r w:rsidRPr="008A066B">
        <w:rPr>
          <w:rFonts w:ascii="Arial" w:eastAsia="Times New Roman" w:hAnsi="Arial" w:cs="Arial"/>
          <w:color w:val="000000"/>
          <w:kern w:val="0"/>
          <w:lang w:eastAsia="en-GB"/>
          <w14:ligatures w14:val="none"/>
        </w:rPr>
        <w:t>Such are the barriers to be overcome that pledges to more fundamentally shift care have often felt somewhat half-hearted and under-powered:</w:t>
      </w:r>
    </w:p>
    <w:p w14:paraId="7B6F71DA" w14:textId="77777777" w:rsidR="001D182E" w:rsidRPr="008A066B" w:rsidRDefault="001D182E" w:rsidP="008A066B">
      <w:pPr>
        <w:spacing w:after="0" w:line="240" w:lineRule="auto"/>
        <w:rPr>
          <w:rFonts w:ascii="Arial" w:eastAsia="Times New Roman" w:hAnsi="Arial" w:cs="Arial"/>
          <w:color w:val="000000"/>
          <w:kern w:val="0"/>
          <w:lang w:eastAsia="en-GB"/>
          <w14:ligatures w14:val="none"/>
        </w:rPr>
      </w:pPr>
    </w:p>
    <w:p w14:paraId="7D6FBDA4" w14:textId="43FF8864" w:rsidR="001D182E" w:rsidRPr="008A066B" w:rsidRDefault="009D77A2" w:rsidP="008A066B">
      <w:pPr>
        <w:pStyle w:val="ListParagraph"/>
        <w:numPr>
          <w:ilvl w:val="0"/>
          <w:numId w:val="8"/>
        </w:numPr>
        <w:spacing w:after="0" w:line="240" w:lineRule="auto"/>
        <w:ind w:left="357"/>
        <w:rPr>
          <w:rFonts w:ascii="Arial" w:hAnsi="Arial" w:cs="Arial"/>
        </w:rPr>
      </w:pPr>
      <w:r w:rsidRPr="008A066B">
        <w:rPr>
          <w:rFonts w:ascii="Arial" w:hAnsi="Arial" w:cs="Arial"/>
        </w:rPr>
        <w:t>As discussed above, s</w:t>
      </w:r>
      <w:r w:rsidR="001D182E" w:rsidRPr="008A066B">
        <w:rPr>
          <w:rFonts w:ascii="Arial" w:hAnsi="Arial" w:cs="Arial"/>
        </w:rPr>
        <w:t xml:space="preserve">ome policy responses have taken the form of </w:t>
      </w:r>
      <w:proofErr w:type="gramStart"/>
      <w:r w:rsidR="001D182E" w:rsidRPr="008A066B">
        <w:rPr>
          <w:rFonts w:ascii="Arial" w:hAnsi="Arial" w:cs="Arial"/>
        </w:rPr>
        <w:t>fairly small</w:t>
      </w:r>
      <w:proofErr w:type="gramEnd"/>
      <w:r w:rsidR="001D182E" w:rsidRPr="008A066B">
        <w:rPr>
          <w:rFonts w:ascii="Arial" w:hAnsi="Arial" w:cs="Arial"/>
        </w:rPr>
        <w:t xml:space="preserve">, time-limited pilots, which have not proved sufficient to significantly shift care and with timescales that proved unrealistic. Ultimately, </w:t>
      </w:r>
      <w:proofErr w:type="gramStart"/>
      <w:r w:rsidR="001D182E" w:rsidRPr="008A066B">
        <w:rPr>
          <w:rFonts w:ascii="Arial" w:hAnsi="Arial" w:cs="Arial"/>
        </w:rPr>
        <w:t>a number of</w:t>
      </w:r>
      <w:proofErr w:type="gramEnd"/>
      <w:r w:rsidR="001D182E" w:rsidRPr="008A066B">
        <w:rPr>
          <w:rFonts w:ascii="Arial" w:hAnsi="Arial" w:cs="Arial"/>
        </w:rPr>
        <w:t xml:space="preserve"> pledges to boost services outside hospital and to more fully integrate health and social care were felt to be easy to say, but difficult to do – often over-promising and under-delivering.</w:t>
      </w:r>
    </w:p>
    <w:p w14:paraId="42CB29C0" w14:textId="77777777" w:rsidR="001D182E" w:rsidRPr="008A066B" w:rsidRDefault="001D182E" w:rsidP="008A066B">
      <w:pPr>
        <w:pStyle w:val="ListParagraph"/>
        <w:spacing w:after="0" w:line="240" w:lineRule="auto"/>
        <w:rPr>
          <w:rFonts w:ascii="Arial" w:hAnsi="Arial" w:cs="Arial"/>
        </w:rPr>
      </w:pPr>
    </w:p>
    <w:p w14:paraId="1650D9D2" w14:textId="7F93EBB3" w:rsidR="007506BC" w:rsidRDefault="001D182E" w:rsidP="007506BC">
      <w:pPr>
        <w:pStyle w:val="ListParagraph"/>
        <w:numPr>
          <w:ilvl w:val="0"/>
          <w:numId w:val="8"/>
        </w:numPr>
        <w:spacing w:after="0" w:line="240" w:lineRule="auto"/>
        <w:rPr>
          <w:rFonts w:ascii="Arial" w:hAnsi="Arial" w:cs="Arial"/>
        </w:rPr>
      </w:pPr>
      <w:r w:rsidRPr="008A066B">
        <w:rPr>
          <w:rFonts w:ascii="Arial" w:hAnsi="Arial" w:cs="Arial"/>
        </w:rPr>
        <w:t xml:space="preserve">A common issue has been a failure to agree on the outcomes to be achieved. At different stages, different people seemed to have been trying to improve efficiency in acute care; improve patient experience; deliver care in more convenient, homely settings; </w:t>
      </w:r>
      <w:r w:rsidR="00415353" w:rsidRPr="008A066B">
        <w:rPr>
          <w:rFonts w:ascii="Arial" w:hAnsi="Arial" w:cs="Arial"/>
        </w:rPr>
        <w:t xml:space="preserve">tackle health inequalities; </w:t>
      </w:r>
      <w:r w:rsidRPr="008A066B">
        <w:rPr>
          <w:rFonts w:ascii="Arial" w:hAnsi="Arial" w:cs="Arial"/>
        </w:rPr>
        <w:t xml:space="preserve">free up money to </w:t>
      </w:r>
      <w:r w:rsidR="002A365E" w:rsidRPr="008A066B">
        <w:rPr>
          <w:rFonts w:ascii="Arial" w:hAnsi="Arial" w:cs="Arial"/>
        </w:rPr>
        <w:t>re-</w:t>
      </w:r>
      <w:r w:rsidRPr="008A066B">
        <w:rPr>
          <w:rFonts w:ascii="Arial" w:hAnsi="Arial" w:cs="Arial"/>
        </w:rPr>
        <w:t xml:space="preserve">invest in other priorities; and/or actively save money. These are all potentially laudable </w:t>
      </w:r>
      <w:proofErr w:type="gramStart"/>
      <w:r w:rsidRPr="008A066B">
        <w:rPr>
          <w:rFonts w:ascii="Arial" w:hAnsi="Arial" w:cs="Arial"/>
        </w:rPr>
        <w:t>aims, but</w:t>
      </w:r>
      <w:proofErr w:type="gramEnd"/>
      <w:r w:rsidRPr="008A066B">
        <w:rPr>
          <w:rFonts w:ascii="Arial" w:hAnsi="Arial" w:cs="Arial"/>
        </w:rPr>
        <w:t xml:space="preserve"> are very different – it feels unlikely that one set of policies could ever really achieve all these different aims at</w:t>
      </w:r>
      <w:r w:rsidR="007B161D">
        <w:rPr>
          <w:rFonts w:ascii="Arial" w:hAnsi="Arial" w:cs="Arial"/>
        </w:rPr>
        <w:t xml:space="preserve"> simultaneously</w:t>
      </w:r>
      <w:r w:rsidRPr="008A066B">
        <w:rPr>
          <w:rFonts w:ascii="Arial" w:hAnsi="Arial" w:cs="Arial"/>
        </w:rPr>
        <w:t xml:space="preserve">. </w:t>
      </w:r>
    </w:p>
    <w:p w14:paraId="36C0FC32" w14:textId="77777777" w:rsidR="007506BC" w:rsidRPr="007506BC" w:rsidRDefault="007506BC" w:rsidP="007506BC">
      <w:pPr>
        <w:pStyle w:val="ListParagraph"/>
        <w:rPr>
          <w:rFonts w:ascii="Arial" w:hAnsi="Arial" w:cs="Arial"/>
        </w:rPr>
      </w:pPr>
    </w:p>
    <w:p w14:paraId="71618E81" w14:textId="4D79D1F4" w:rsidR="007506BC" w:rsidRPr="007506BC" w:rsidRDefault="007506BC" w:rsidP="007506BC">
      <w:pPr>
        <w:pStyle w:val="ListParagraph"/>
        <w:numPr>
          <w:ilvl w:val="0"/>
          <w:numId w:val="8"/>
        </w:numPr>
        <w:spacing w:after="0" w:line="240" w:lineRule="auto"/>
        <w:rPr>
          <w:rFonts w:ascii="Arial" w:hAnsi="Arial" w:cs="Arial"/>
        </w:rPr>
      </w:pPr>
      <w:r>
        <w:rPr>
          <w:rFonts w:ascii="Arial" w:hAnsi="Arial" w:cs="Arial"/>
        </w:rPr>
        <w:t>Perhaps linked to this, there was a feeling that key performance measures that services are asked to deliver have not necessarily shifted when care has moved into the community</w:t>
      </w:r>
      <w:r w:rsidR="007B161D">
        <w:rPr>
          <w:rFonts w:ascii="Arial" w:hAnsi="Arial" w:cs="Arial"/>
        </w:rPr>
        <w:t>. T</w:t>
      </w:r>
      <w:r>
        <w:rPr>
          <w:rFonts w:ascii="Arial" w:hAnsi="Arial" w:cs="Arial"/>
        </w:rPr>
        <w:t>here is often a very clear sense of the priorities, key measures and relative performance in acute care, but much less clarity or meaningful measurement in some community settings. If ‘what</w:t>
      </w:r>
      <w:r w:rsidR="005C19CA">
        <w:rPr>
          <w:rFonts w:ascii="Arial" w:hAnsi="Arial" w:cs="Arial"/>
        </w:rPr>
        <w:t xml:space="preserve">’s measured is what matters’, then </w:t>
      </w:r>
      <w:r w:rsidR="00EF4BB1">
        <w:rPr>
          <w:rFonts w:ascii="Arial" w:hAnsi="Arial" w:cs="Arial"/>
        </w:rPr>
        <w:t>our key performance indicators send a very clear signal about the extent to which we’re serious or not about shifting care.</w:t>
      </w:r>
      <w:r w:rsidR="005C19CA">
        <w:rPr>
          <w:rFonts w:ascii="Arial" w:hAnsi="Arial" w:cs="Arial"/>
        </w:rPr>
        <w:t xml:space="preserve"> </w:t>
      </w:r>
    </w:p>
    <w:p w14:paraId="2AA4BD8D" w14:textId="77777777" w:rsidR="001D182E" w:rsidRPr="008A066B" w:rsidRDefault="001D182E" w:rsidP="008A066B">
      <w:pPr>
        <w:pStyle w:val="ListParagraph"/>
        <w:spacing w:after="0" w:line="240" w:lineRule="auto"/>
        <w:rPr>
          <w:rFonts w:ascii="Arial" w:hAnsi="Arial" w:cs="Arial"/>
        </w:rPr>
      </w:pPr>
    </w:p>
    <w:p w14:paraId="3D408F4B" w14:textId="15EE7D36" w:rsidR="001D182E" w:rsidRPr="008A066B" w:rsidRDefault="001D182E" w:rsidP="008A066B">
      <w:pPr>
        <w:pStyle w:val="ListParagraph"/>
        <w:numPr>
          <w:ilvl w:val="0"/>
          <w:numId w:val="8"/>
        </w:numPr>
        <w:spacing w:after="0" w:line="240" w:lineRule="auto"/>
        <w:rPr>
          <w:rFonts w:ascii="Arial" w:hAnsi="Arial" w:cs="Arial"/>
        </w:rPr>
      </w:pPr>
      <w:r w:rsidRPr="008A066B">
        <w:rPr>
          <w:rFonts w:ascii="Arial" w:hAnsi="Arial" w:cs="Arial"/>
        </w:rPr>
        <w:t xml:space="preserve">Some of these aspirations may have been based on a series of unproven assumptions. For some participants, the perceived importance of providing care at home was driven by the belief (in theory) that care </w:t>
      </w:r>
      <w:r w:rsidRPr="008A066B">
        <w:rPr>
          <w:rFonts w:ascii="Arial" w:hAnsi="Arial" w:cs="Arial"/>
          <w:i/>
          <w:iCs/>
        </w:rPr>
        <w:t>could</w:t>
      </w:r>
      <w:r w:rsidRPr="008A066B">
        <w:rPr>
          <w:rFonts w:ascii="Arial" w:hAnsi="Arial" w:cs="Arial"/>
        </w:rPr>
        <w:t xml:space="preserve"> be provided out of hospital and that it </w:t>
      </w:r>
      <w:r w:rsidRPr="008A066B">
        <w:rPr>
          <w:rFonts w:ascii="Arial" w:hAnsi="Arial" w:cs="Arial"/>
          <w:i/>
          <w:iCs/>
        </w:rPr>
        <w:t>would</w:t>
      </w:r>
      <w:r w:rsidRPr="008A066B">
        <w:rPr>
          <w:rFonts w:ascii="Arial" w:hAnsi="Arial" w:cs="Arial"/>
        </w:rPr>
        <w:t xml:space="preserve"> benefit patients (through better outcomes), as well as the healthcare system (through lower costs). However, achieving such outcomes proved more difficult in practice, and questions of ‘is it working’ sometimes focused on whether it was acceptable to key stakeholders and seemed to demonstrate a degree of initial value for money, rather than on more robust evaluation of long-term clinical outcomes, knock-on effects and detailed, whole system costs/opportunity costs.</w:t>
      </w:r>
      <w:r w:rsidR="00193D0E" w:rsidRPr="008A066B">
        <w:rPr>
          <w:rFonts w:ascii="Arial" w:hAnsi="Arial" w:cs="Arial"/>
        </w:rPr>
        <w:t xml:space="preserve"> </w:t>
      </w:r>
      <w:r w:rsidRPr="008A066B">
        <w:rPr>
          <w:rFonts w:ascii="Arial" w:hAnsi="Arial" w:cs="Arial"/>
        </w:rPr>
        <w:t xml:space="preserve">Given the pressure to show success, </w:t>
      </w:r>
      <w:r w:rsidR="00193D0E" w:rsidRPr="008A066B">
        <w:rPr>
          <w:rFonts w:ascii="Arial" w:hAnsi="Arial" w:cs="Arial"/>
        </w:rPr>
        <w:t xml:space="preserve">moreover, </w:t>
      </w:r>
      <w:r w:rsidRPr="008A066B">
        <w:rPr>
          <w:rFonts w:ascii="Arial" w:hAnsi="Arial" w:cs="Arial"/>
        </w:rPr>
        <w:t>the process by which ‘new ideas’ attract initial attention, become piloted and then are either sustained or not seems opaque and sometimes lacking in a clear evidence base</w:t>
      </w:r>
      <w:r w:rsidR="00887966">
        <w:rPr>
          <w:rFonts w:ascii="Arial" w:hAnsi="Arial" w:cs="Arial"/>
        </w:rPr>
        <w:t xml:space="preserve"> and </w:t>
      </w:r>
      <w:r w:rsidRPr="008A066B">
        <w:rPr>
          <w:rFonts w:ascii="Arial" w:hAnsi="Arial" w:cs="Arial"/>
        </w:rPr>
        <w:t xml:space="preserve">proper evaluation. </w:t>
      </w:r>
    </w:p>
    <w:p w14:paraId="70C61373" w14:textId="77777777" w:rsidR="001D182E" w:rsidRPr="008A066B" w:rsidRDefault="001D182E" w:rsidP="008A066B">
      <w:pPr>
        <w:pStyle w:val="ListParagraph"/>
        <w:spacing w:after="0" w:line="240" w:lineRule="auto"/>
        <w:rPr>
          <w:rFonts w:ascii="Arial" w:hAnsi="Arial" w:cs="Arial"/>
        </w:rPr>
      </w:pPr>
    </w:p>
    <w:p w14:paraId="37681E17" w14:textId="5AA10D3B" w:rsidR="00741BD9" w:rsidRPr="008A066B" w:rsidRDefault="001D182E" w:rsidP="008A066B">
      <w:pPr>
        <w:pStyle w:val="ListParagraph"/>
        <w:numPr>
          <w:ilvl w:val="0"/>
          <w:numId w:val="8"/>
        </w:numPr>
        <w:spacing w:after="0" w:line="240" w:lineRule="auto"/>
        <w:rPr>
          <w:rFonts w:ascii="Arial" w:hAnsi="Arial" w:cs="Arial"/>
        </w:rPr>
      </w:pPr>
      <w:r w:rsidRPr="008A066B">
        <w:rPr>
          <w:rFonts w:ascii="Arial" w:hAnsi="Arial" w:cs="Arial"/>
        </w:rPr>
        <w:t>Despite the stated aim to shift care, there was a feeling that broader policy was not always fully aligned to this goal. If future aspirations are to be achieved, then the whole system</w:t>
      </w:r>
      <w:r w:rsidR="00193D0E" w:rsidRPr="008A066B">
        <w:rPr>
          <w:rFonts w:ascii="Arial" w:hAnsi="Arial" w:cs="Arial"/>
        </w:rPr>
        <w:t xml:space="preserve"> will </w:t>
      </w:r>
      <w:r w:rsidRPr="008A066B">
        <w:rPr>
          <w:rFonts w:ascii="Arial" w:hAnsi="Arial" w:cs="Arial"/>
        </w:rPr>
        <w:t>need to be fully focused on this aspiration (including payment mechanisms</w:t>
      </w:r>
      <w:r w:rsidR="00887966">
        <w:rPr>
          <w:rFonts w:ascii="Arial" w:hAnsi="Arial" w:cs="Arial"/>
        </w:rPr>
        <w:t>;</w:t>
      </w:r>
      <w:r w:rsidR="007E03C9" w:rsidRPr="008A066B">
        <w:rPr>
          <w:rFonts w:ascii="Arial" w:hAnsi="Arial" w:cs="Arial"/>
        </w:rPr>
        <w:t xml:space="preserve"> performance measures</w:t>
      </w:r>
      <w:r w:rsidRPr="008A066B">
        <w:rPr>
          <w:rFonts w:ascii="Arial" w:hAnsi="Arial" w:cs="Arial"/>
        </w:rPr>
        <w:t xml:space="preserve"> and incentives</w:t>
      </w:r>
      <w:r w:rsidR="007E03C9" w:rsidRPr="008A066B">
        <w:rPr>
          <w:rFonts w:ascii="Arial" w:hAnsi="Arial" w:cs="Arial"/>
        </w:rPr>
        <w:t>;</w:t>
      </w:r>
      <w:r w:rsidRPr="008A066B">
        <w:rPr>
          <w:rFonts w:ascii="Arial" w:hAnsi="Arial" w:cs="Arial"/>
        </w:rPr>
        <w:t xml:space="preserve"> capital funding</w:t>
      </w:r>
      <w:r w:rsidR="007E03C9" w:rsidRPr="008A066B">
        <w:rPr>
          <w:rFonts w:ascii="Arial" w:hAnsi="Arial" w:cs="Arial"/>
        </w:rPr>
        <w:t>;</w:t>
      </w:r>
      <w:r w:rsidRPr="008A066B">
        <w:rPr>
          <w:rFonts w:ascii="Arial" w:hAnsi="Arial" w:cs="Arial"/>
        </w:rPr>
        <w:t xml:space="preserve"> IT</w:t>
      </w:r>
      <w:r w:rsidR="007E03C9" w:rsidRPr="008A066B">
        <w:rPr>
          <w:rFonts w:ascii="Arial" w:hAnsi="Arial" w:cs="Arial"/>
        </w:rPr>
        <w:t>;</w:t>
      </w:r>
      <w:r w:rsidRPr="008A066B">
        <w:rPr>
          <w:rFonts w:ascii="Arial" w:hAnsi="Arial" w:cs="Arial"/>
        </w:rPr>
        <w:t xml:space="preserve"> education and training</w:t>
      </w:r>
      <w:r w:rsidR="007E03C9" w:rsidRPr="008A066B">
        <w:rPr>
          <w:rFonts w:ascii="Arial" w:hAnsi="Arial" w:cs="Arial"/>
        </w:rPr>
        <w:t>;</w:t>
      </w:r>
      <w:r w:rsidRPr="008A066B">
        <w:rPr>
          <w:rFonts w:ascii="Arial" w:hAnsi="Arial" w:cs="Arial"/>
        </w:rPr>
        <w:t xml:space="preserve"> leadership development</w:t>
      </w:r>
      <w:r w:rsidR="007E03C9" w:rsidRPr="008A066B">
        <w:rPr>
          <w:rFonts w:ascii="Arial" w:hAnsi="Arial" w:cs="Arial"/>
        </w:rPr>
        <w:t>;</w:t>
      </w:r>
      <w:r w:rsidRPr="008A066B">
        <w:rPr>
          <w:rFonts w:ascii="Arial" w:hAnsi="Arial" w:cs="Arial"/>
        </w:rPr>
        <w:t xml:space="preserve"> communications</w:t>
      </w:r>
      <w:r w:rsidR="007E03C9" w:rsidRPr="008A066B">
        <w:rPr>
          <w:rFonts w:ascii="Arial" w:hAnsi="Arial" w:cs="Arial"/>
        </w:rPr>
        <w:t>,</w:t>
      </w:r>
      <w:r w:rsidRPr="008A066B">
        <w:rPr>
          <w:rFonts w:ascii="Arial" w:hAnsi="Arial" w:cs="Arial"/>
        </w:rPr>
        <w:t xml:space="preserve"> and so on).</w:t>
      </w:r>
      <w:r w:rsidR="004414AC" w:rsidRPr="008A066B">
        <w:rPr>
          <w:rFonts w:ascii="Arial" w:hAnsi="Arial" w:cs="Arial"/>
        </w:rPr>
        <w:t xml:space="preserve"> </w:t>
      </w:r>
      <w:r w:rsidR="00A521C2" w:rsidRPr="008A066B">
        <w:rPr>
          <w:rFonts w:ascii="Arial" w:hAnsi="Arial" w:cs="Arial"/>
        </w:rPr>
        <w:t xml:space="preserve">An observation was also made that an agenda like ‘Getting it Right the First Time’ </w:t>
      </w:r>
      <w:r w:rsidR="00A521C2" w:rsidRPr="008A066B">
        <w:rPr>
          <w:rFonts w:ascii="Arial" w:hAnsi="Arial" w:cs="Arial"/>
        </w:rPr>
        <w:lastRenderedPageBreak/>
        <w:t xml:space="preserve">(GIRFT) </w:t>
      </w:r>
      <w:r w:rsidR="00411691" w:rsidRPr="008A066B">
        <w:rPr>
          <w:rFonts w:ascii="Arial" w:hAnsi="Arial" w:cs="Arial"/>
        </w:rPr>
        <w:t xml:space="preserve">was felt to have provided helpful data and insights in acute settings, but to have </w:t>
      </w:r>
      <w:r w:rsidR="00686F12">
        <w:rPr>
          <w:rFonts w:ascii="Arial" w:hAnsi="Arial" w:cs="Arial"/>
        </w:rPr>
        <w:t xml:space="preserve">made less progress in some </w:t>
      </w:r>
      <w:r w:rsidR="00411691" w:rsidRPr="008A066B">
        <w:rPr>
          <w:rFonts w:ascii="Arial" w:hAnsi="Arial" w:cs="Arial"/>
        </w:rPr>
        <w:t>community services</w:t>
      </w:r>
      <w:r w:rsidR="00A521C2" w:rsidRPr="008A066B">
        <w:rPr>
          <w:rFonts w:ascii="Arial" w:hAnsi="Arial" w:cs="Arial"/>
        </w:rPr>
        <w:t xml:space="preserve">. </w:t>
      </w:r>
    </w:p>
    <w:p w14:paraId="305721C9" w14:textId="77777777" w:rsidR="00741BD9" w:rsidRPr="008A066B" w:rsidRDefault="00741BD9" w:rsidP="008A066B">
      <w:pPr>
        <w:pStyle w:val="ListParagraph"/>
        <w:spacing w:after="0" w:line="240" w:lineRule="auto"/>
        <w:rPr>
          <w:rFonts w:ascii="Arial" w:hAnsi="Arial" w:cs="Arial"/>
        </w:rPr>
      </w:pPr>
    </w:p>
    <w:p w14:paraId="79E50F7F" w14:textId="064B90B3" w:rsidR="001D182E" w:rsidRPr="008A066B" w:rsidRDefault="00411691" w:rsidP="008A066B">
      <w:pPr>
        <w:pStyle w:val="ListParagraph"/>
        <w:numPr>
          <w:ilvl w:val="0"/>
          <w:numId w:val="8"/>
        </w:numPr>
        <w:spacing w:after="0" w:line="240" w:lineRule="auto"/>
        <w:rPr>
          <w:rFonts w:ascii="Arial" w:hAnsi="Arial" w:cs="Arial"/>
        </w:rPr>
      </w:pPr>
      <w:r w:rsidRPr="008A066B">
        <w:rPr>
          <w:rFonts w:ascii="Arial" w:hAnsi="Arial" w:cs="Arial"/>
        </w:rPr>
        <w:t xml:space="preserve">Going forwards, </w:t>
      </w:r>
      <w:r w:rsidR="00741BD9" w:rsidRPr="008A066B">
        <w:rPr>
          <w:rFonts w:ascii="Arial" w:hAnsi="Arial" w:cs="Arial"/>
        </w:rPr>
        <w:t xml:space="preserve">any genuine attempt to shift care </w:t>
      </w:r>
      <w:r w:rsidR="001D182E" w:rsidRPr="008A066B">
        <w:rPr>
          <w:rFonts w:ascii="Arial" w:hAnsi="Arial" w:cs="Arial"/>
        </w:rPr>
        <w:t xml:space="preserve">will need to be sustained over the long term, rather than </w:t>
      </w:r>
      <w:proofErr w:type="gramStart"/>
      <w:r w:rsidR="001D182E" w:rsidRPr="008A066B">
        <w:rPr>
          <w:rFonts w:ascii="Arial" w:hAnsi="Arial" w:cs="Arial"/>
        </w:rPr>
        <w:t>reverting back</w:t>
      </w:r>
      <w:proofErr w:type="gramEnd"/>
      <w:r w:rsidR="001D182E" w:rsidRPr="008A066B">
        <w:rPr>
          <w:rFonts w:ascii="Arial" w:hAnsi="Arial" w:cs="Arial"/>
        </w:rPr>
        <w:t xml:space="preserve"> to previous ways of working when things get difficult. There might also be some very challenging </w:t>
      </w:r>
      <w:r w:rsidR="00415353" w:rsidRPr="008A066B">
        <w:rPr>
          <w:rFonts w:ascii="Arial" w:hAnsi="Arial" w:cs="Arial"/>
        </w:rPr>
        <w:t xml:space="preserve">national and </w:t>
      </w:r>
      <w:r w:rsidR="001D182E" w:rsidRPr="008A066B">
        <w:rPr>
          <w:rFonts w:ascii="Arial" w:hAnsi="Arial" w:cs="Arial"/>
        </w:rPr>
        <w:t xml:space="preserve">local political issues to resolve. For example, a key test of how serious we are may be if a hospital needed to close or downgrade its A&amp;E because so much care had shifted to the community – would national and local leaders defend this as a positive outcome, or would there be too much resistance? </w:t>
      </w:r>
      <w:r w:rsidR="00694C61" w:rsidRPr="008A066B">
        <w:rPr>
          <w:rFonts w:ascii="Arial" w:hAnsi="Arial" w:cs="Arial"/>
        </w:rPr>
        <w:t>As an illustration of these risks, some participants describe</w:t>
      </w:r>
      <w:r w:rsidR="00C56EFC">
        <w:rPr>
          <w:rFonts w:ascii="Arial" w:hAnsi="Arial" w:cs="Arial"/>
        </w:rPr>
        <w:t>d</w:t>
      </w:r>
      <w:r w:rsidR="00694C61" w:rsidRPr="008A066B">
        <w:rPr>
          <w:rFonts w:ascii="Arial" w:hAnsi="Arial" w:cs="Arial"/>
        </w:rPr>
        <w:t xml:space="preserve"> their involvement in the previous </w:t>
      </w:r>
      <w:r w:rsidR="00694C61" w:rsidRPr="008A066B">
        <w:rPr>
          <w:rFonts w:ascii="Arial" w:hAnsi="Arial" w:cs="Arial"/>
          <w:i/>
          <w:iCs/>
        </w:rPr>
        <w:t>Transforming Community Services</w:t>
      </w:r>
      <w:r w:rsidR="00694C61" w:rsidRPr="008A066B">
        <w:rPr>
          <w:rFonts w:ascii="Arial" w:hAnsi="Arial" w:cs="Arial"/>
        </w:rPr>
        <w:t xml:space="preserve"> agenda, when people </w:t>
      </w:r>
      <w:r w:rsidR="008472B1">
        <w:rPr>
          <w:rFonts w:ascii="Arial" w:hAnsi="Arial" w:cs="Arial"/>
        </w:rPr>
        <w:t>were encouraged to explore</w:t>
      </w:r>
      <w:r w:rsidR="009D77A2" w:rsidRPr="008A066B">
        <w:rPr>
          <w:rFonts w:ascii="Arial" w:hAnsi="Arial" w:cs="Arial"/>
        </w:rPr>
        <w:t xml:space="preserve"> scope to ‘spin out’ of the NHS and to </w:t>
      </w:r>
      <w:r w:rsidR="00694C61" w:rsidRPr="008A066B">
        <w:rPr>
          <w:rFonts w:ascii="Arial" w:hAnsi="Arial" w:cs="Arial"/>
        </w:rPr>
        <w:t>pilot</w:t>
      </w:r>
      <w:r w:rsidR="009D77A2" w:rsidRPr="008A066B">
        <w:rPr>
          <w:rFonts w:ascii="Arial" w:hAnsi="Arial" w:cs="Arial"/>
        </w:rPr>
        <w:t xml:space="preserve"> new organisational forms, such as </w:t>
      </w:r>
      <w:r w:rsidR="00694C61" w:rsidRPr="008A066B">
        <w:rPr>
          <w:rFonts w:ascii="Arial" w:hAnsi="Arial" w:cs="Arial"/>
        </w:rPr>
        <w:t>social enterprise</w:t>
      </w:r>
      <w:r w:rsidR="008472B1">
        <w:rPr>
          <w:rFonts w:ascii="Arial" w:hAnsi="Arial" w:cs="Arial"/>
        </w:rPr>
        <w:t>. They</w:t>
      </w:r>
      <w:r w:rsidR="00D0592C" w:rsidRPr="008A066B">
        <w:rPr>
          <w:rFonts w:ascii="Arial" w:hAnsi="Arial" w:cs="Arial"/>
        </w:rPr>
        <w:t xml:space="preserve"> </w:t>
      </w:r>
      <w:r w:rsidR="009D77A2" w:rsidRPr="008A066B">
        <w:rPr>
          <w:rFonts w:ascii="Arial" w:hAnsi="Arial" w:cs="Arial"/>
        </w:rPr>
        <w:t xml:space="preserve">were passionate about delivering better care and creating better working conditions for </w:t>
      </w:r>
      <w:proofErr w:type="gramStart"/>
      <w:r w:rsidR="009D77A2" w:rsidRPr="008A066B">
        <w:rPr>
          <w:rFonts w:ascii="Arial" w:hAnsi="Arial" w:cs="Arial"/>
        </w:rPr>
        <w:t>staff</w:t>
      </w:r>
      <w:r w:rsidR="008472B1">
        <w:rPr>
          <w:rFonts w:ascii="Arial" w:hAnsi="Arial" w:cs="Arial"/>
        </w:rPr>
        <w:t>,</w:t>
      </w:r>
      <w:r w:rsidR="009D77A2" w:rsidRPr="008A066B">
        <w:rPr>
          <w:rFonts w:ascii="Arial" w:hAnsi="Arial" w:cs="Arial"/>
        </w:rPr>
        <w:t xml:space="preserve"> but</w:t>
      </w:r>
      <w:proofErr w:type="gramEnd"/>
      <w:r w:rsidR="009D77A2" w:rsidRPr="008A066B">
        <w:rPr>
          <w:rFonts w:ascii="Arial" w:hAnsi="Arial" w:cs="Arial"/>
        </w:rPr>
        <w:t xml:space="preserve"> </w:t>
      </w:r>
      <w:r w:rsidR="00D0592C" w:rsidRPr="008A066B">
        <w:rPr>
          <w:rFonts w:ascii="Arial" w:hAnsi="Arial" w:cs="Arial"/>
        </w:rPr>
        <w:t xml:space="preserve">were </w:t>
      </w:r>
      <w:r w:rsidR="009D77A2" w:rsidRPr="008A066B">
        <w:rPr>
          <w:rFonts w:ascii="Arial" w:hAnsi="Arial" w:cs="Arial"/>
        </w:rPr>
        <w:t>also worried that they would be seen as ‘privatising the NHS’ and that policy would change, leaving them out on a limb and vulnerable.</w:t>
      </w:r>
    </w:p>
    <w:p w14:paraId="55944CE2" w14:textId="77777777" w:rsidR="00A80CE3" w:rsidRPr="008A066B" w:rsidRDefault="00A80CE3" w:rsidP="008A066B">
      <w:pPr>
        <w:pStyle w:val="ListParagraph"/>
        <w:spacing w:after="0" w:line="240" w:lineRule="auto"/>
        <w:rPr>
          <w:rFonts w:ascii="Arial" w:hAnsi="Arial" w:cs="Arial"/>
        </w:rPr>
      </w:pPr>
    </w:p>
    <w:p w14:paraId="2C92D3DA" w14:textId="1EA72B89" w:rsidR="007C5C0E" w:rsidRPr="008A066B" w:rsidRDefault="00DF3592" w:rsidP="008A066B">
      <w:pPr>
        <w:pStyle w:val="ListParagraph"/>
        <w:numPr>
          <w:ilvl w:val="0"/>
          <w:numId w:val="8"/>
        </w:numPr>
        <w:spacing w:after="0" w:line="240" w:lineRule="auto"/>
        <w:rPr>
          <w:rFonts w:ascii="Arial" w:hAnsi="Arial" w:cs="Arial"/>
        </w:rPr>
      </w:pPr>
      <w:r w:rsidRPr="008A066B">
        <w:rPr>
          <w:rFonts w:ascii="Arial" w:eastAsia="Aptos" w:hAnsi="Arial" w:cs="Arial"/>
          <w:lang w:eastAsia="en-GB"/>
          <w14:ligatures w14:val="none"/>
        </w:rPr>
        <w:t>While there are lots of opportunities in the current context to develop new ways of working</w:t>
      </w:r>
      <w:r w:rsidR="00F6505A" w:rsidRPr="008A066B">
        <w:rPr>
          <w:rFonts w:ascii="Arial" w:eastAsia="Aptos" w:hAnsi="Arial" w:cs="Arial"/>
          <w:lang w:eastAsia="en-GB"/>
          <w14:ligatures w14:val="none"/>
        </w:rPr>
        <w:t xml:space="preserve">, this will not work if there is a </w:t>
      </w:r>
      <w:r w:rsidR="00690188" w:rsidRPr="008A066B">
        <w:rPr>
          <w:rFonts w:ascii="Arial" w:eastAsia="Aptos" w:hAnsi="Arial" w:cs="Arial"/>
          <w:lang w:eastAsia="en-GB"/>
          <w14:ligatures w14:val="none"/>
        </w:rPr>
        <w:t>‘lift and drop’ model (of taking an existing service from secondary care and simply moving in wholesale to a more community-based setting).</w:t>
      </w:r>
    </w:p>
    <w:p w14:paraId="2AF7FF72" w14:textId="77777777" w:rsidR="0058056B" w:rsidRPr="008A066B" w:rsidRDefault="0058056B" w:rsidP="008A066B">
      <w:pPr>
        <w:spacing w:after="0" w:line="240" w:lineRule="auto"/>
        <w:rPr>
          <w:rFonts w:ascii="Arial" w:hAnsi="Arial" w:cs="Arial"/>
          <w:b/>
          <w:bCs/>
        </w:rPr>
      </w:pPr>
    </w:p>
    <w:p w14:paraId="694D85AB" w14:textId="77777777" w:rsidR="00690188" w:rsidRPr="008A066B" w:rsidRDefault="00690188" w:rsidP="008A066B">
      <w:pPr>
        <w:spacing w:after="0" w:line="240" w:lineRule="auto"/>
        <w:rPr>
          <w:rFonts w:ascii="Arial" w:hAnsi="Arial" w:cs="Arial"/>
          <w:b/>
          <w:bCs/>
        </w:rPr>
      </w:pPr>
    </w:p>
    <w:p w14:paraId="6FDA15CC" w14:textId="2D13D2CF" w:rsidR="0058056B" w:rsidRPr="008A066B" w:rsidRDefault="006F25C1" w:rsidP="008A066B">
      <w:pPr>
        <w:spacing w:after="0" w:line="240" w:lineRule="auto"/>
        <w:rPr>
          <w:rFonts w:ascii="Arial" w:hAnsi="Arial" w:cs="Arial"/>
          <w:b/>
          <w:bCs/>
          <w:i/>
          <w:iCs/>
        </w:rPr>
      </w:pPr>
      <w:r w:rsidRPr="008A066B">
        <w:rPr>
          <w:rFonts w:ascii="Arial" w:hAnsi="Arial" w:cs="Arial"/>
          <w:b/>
          <w:bCs/>
          <w:i/>
          <w:iCs/>
        </w:rPr>
        <w:t>T</w:t>
      </w:r>
      <w:r w:rsidR="0058056B" w:rsidRPr="008A066B">
        <w:rPr>
          <w:rFonts w:ascii="Arial" w:hAnsi="Arial" w:cs="Arial"/>
          <w:b/>
          <w:bCs/>
          <w:i/>
          <w:iCs/>
        </w:rPr>
        <w:t>hings that might help</w:t>
      </w:r>
    </w:p>
    <w:p w14:paraId="39D78CD3" w14:textId="77777777" w:rsidR="0058056B" w:rsidRPr="008A066B" w:rsidRDefault="0058056B" w:rsidP="008A066B">
      <w:pPr>
        <w:spacing w:after="0" w:line="240" w:lineRule="auto"/>
        <w:rPr>
          <w:rFonts w:ascii="Arial" w:hAnsi="Arial" w:cs="Arial"/>
        </w:rPr>
      </w:pPr>
    </w:p>
    <w:p w14:paraId="3600163F" w14:textId="271ED352" w:rsidR="00B71AB2" w:rsidRPr="008A066B" w:rsidRDefault="00B71AB2" w:rsidP="008A066B">
      <w:pPr>
        <w:spacing w:after="0" w:line="240" w:lineRule="auto"/>
        <w:rPr>
          <w:rFonts w:ascii="Arial" w:hAnsi="Arial" w:cs="Arial"/>
        </w:rPr>
      </w:pPr>
      <w:r w:rsidRPr="008A066B">
        <w:rPr>
          <w:rFonts w:ascii="Arial" w:hAnsi="Arial" w:cs="Arial"/>
        </w:rPr>
        <w:t xml:space="preserve">Moving from </w:t>
      </w:r>
      <w:r w:rsidR="005359C2" w:rsidRPr="008A066B">
        <w:rPr>
          <w:rFonts w:ascii="Arial" w:hAnsi="Arial" w:cs="Arial"/>
        </w:rPr>
        <w:t xml:space="preserve">previous barriers, to approaches and other sources of learning that might make a difference, the group discussed </w:t>
      </w:r>
      <w:proofErr w:type="gramStart"/>
      <w:r w:rsidR="005359C2" w:rsidRPr="008A066B">
        <w:rPr>
          <w:rFonts w:ascii="Arial" w:hAnsi="Arial" w:cs="Arial"/>
        </w:rPr>
        <w:t>a number of</w:t>
      </w:r>
      <w:proofErr w:type="gramEnd"/>
      <w:r w:rsidR="005359C2" w:rsidRPr="008A066B">
        <w:rPr>
          <w:rFonts w:ascii="Arial" w:hAnsi="Arial" w:cs="Arial"/>
        </w:rPr>
        <w:t xml:space="preserve"> potential ways forward:</w:t>
      </w:r>
    </w:p>
    <w:p w14:paraId="0321FE3F" w14:textId="77777777" w:rsidR="005359C2" w:rsidRPr="008A066B" w:rsidRDefault="005359C2" w:rsidP="008A066B">
      <w:pPr>
        <w:spacing w:after="0" w:line="240" w:lineRule="auto"/>
        <w:rPr>
          <w:rFonts w:ascii="Arial" w:hAnsi="Arial" w:cs="Arial"/>
        </w:rPr>
      </w:pPr>
    </w:p>
    <w:p w14:paraId="3E200F64" w14:textId="66918FF1" w:rsidR="007E03C9" w:rsidRPr="008A066B" w:rsidRDefault="001C1FC3" w:rsidP="008A066B">
      <w:pPr>
        <w:pStyle w:val="ListParagraph"/>
        <w:numPr>
          <w:ilvl w:val="0"/>
          <w:numId w:val="8"/>
        </w:numPr>
        <w:spacing w:after="0" w:line="240" w:lineRule="auto"/>
        <w:rPr>
          <w:rFonts w:ascii="Arial" w:hAnsi="Arial" w:cs="Arial"/>
        </w:rPr>
      </w:pPr>
      <w:r w:rsidRPr="008A066B">
        <w:rPr>
          <w:rFonts w:ascii="Arial" w:hAnsi="Arial" w:cs="Arial"/>
        </w:rPr>
        <w:t>Throughout these debates, the role of people and communities, the voluntary and community sector, social care, public health and broader local government tend to have been overlooked</w:t>
      </w:r>
      <w:r w:rsidR="00137B41">
        <w:rPr>
          <w:rFonts w:ascii="Arial" w:hAnsi="Arial" w:cs="Arial"/>
        </w:rPr>
        <w:t xml:space="preserve">. At the </w:t>
      </w:r>
      <w:r w:rsidRPr="008A066B">
        <w:rPr>
          <w:rFonts w:ascii="Arial" w:hAnsi="Arial" w:cs="Arial"/>
        </w:rPr>
        <w:t xml:space="preserve">very least </w:t>
      </w:r>
      <w:r w:rsidR="00137B41">
        <w:rPr>
          <w:rFonts w:ascii="Arial" w:hAnsi="Arial" w:cs="Arial"/>
        </w:rPr>
        <w:t xml:space="preserve">they have been </w:t>
      </w:r>
      <w:r w:rsidRPr="008A066B">
        <w:rPr>
          <w:rFonts w:ascii="Arial" w:hAnsi="Arial" w:cs="Arial"/>
        </w:rPr>
        <w:t xml:space="preserve">seen mainly as a way of </w:t>
      </w:r>
      <w:r w:rsidR="000D0FB9" w:rsidRPr="008A066B">
        <w:rPr>
          <w:rFonts w:ascii="Arial" w:hAnsi="Arial" w:cs="Arial"/>
        </w:rPr>
        <w:t xml:space="preserve">supporting hospitals, rather than as a set of services based alongside people in their own homes and local communities, helping them to lead chosen lives and to stay healthy and well for longer. </w:t>
      </w:r>
      <w:r w:rsidR="0058056B" w:rsidRPr="008A066B">
        <w:rPr>
          <w:rFonts w:ascii="Arial" w:hAnsi="Arial" w:cs="Arial"/>
        </w:rPr>
        <w:t xml:space="preserve">Approaches that </w:t>
      </w:r>
      <w:r w:rsidR="00E4293E" w:rsidRPr="008A066B">
        <w:rPr>
          <w:rFonts w:ascii="Arial" w:hAnsi="Arial" w:cs="Arial"/>
        </w:rPr>
        <w:t>are not just inclusive of, but that also start from more person- and community-centred places, would be welcomed.</w:t>
      </w:r>
      <w:r w:rsidR="00646770" w:rsidRPr="008A066B">
        <w:rPr>
          <w:rFonts w:ascii="Arial" w:hAnsi="Arial" w:cs="Arial"/>
        </w:rPr>
        <w:t xml:space="preserve"> </w:t>
      </w:r>
      <w:proofErr w:type="gramStart"/>
      <w:r w:rsidR="00646770" w:rsidRPr="008A066B">
        <w:rPr>
          <w:rFonts w:ascii="Arial" w:hAnsi="Arial" w:cs="Arial"/>
        </w:rPr>
        <w:t>In particular, local</w:t>
      </w:r>
      <w:proofErr w:type="gramEnd"/>
      <w:r w:rsidR="00646770" w:rsidRPr="008A066B">
        <w:rPr>
          <w:rFonts w:ascii="Arial" w:hAnsi="Arial" w:cs="Arial"/>
        </w:rPr>
        <w:t xml:space="preserve"> authorities are often seen as leaders of local </w:t>
      </w:r>
      <w:proofErr w:type="gramStart"/>
      <w:r w:rsidR="00646770" w:rsidRPr="008A066B">
        <w:rPr>
          <w:rFonts w:ascii="Arial" w:hAnsi="Arial" w:cs="Arial"/>
        </w:rPr>
        <w:t>place, and</w:t>
      </w:r>
      <w:proofErr w:type="gramEnd"/>
      <w:r w:rsidR="00646770" w:rsidRPr="008A066B">
        <w:rPr>
          <w:rFonts w:ascii="Arial" w:hAnsi="Arial" w:cs="Arial"/>
        </w:rPr>
        <w:t xml:space="preserve"> are perhaps more familiar with working with the politics of service change</w:t>
      </w:r>
      <w:r w:rsidR="00137B41">
        <w:rPr>
          <w:rFonts w:ascii="Arial" w:hAnsi="Arial" w:cs="Arial"/>
        </w:rPr>
        <w:t>. T</w:t>
      </w:r>
      <w:r w:rsidR="00A25C2B" w:rsidRPr="008A066B">
        <w:rPr>
          <w:rFonts w:ascii="Arial" w:hAnsi="Arial" w:cs="Arial"/>
        </w:rPr>
        <w:t>heir role is crucial, as are approaches which amplify the voices of people and communities.</w:t>
      </w:r>
    </w:p>
    <w:p w14:paraId="106481C9" w14:textId="77777777" w:rsidR="001C1FC3" w:rsidRPr="008A066B" w:rsidRDefault="001C1FC3" w:rsidP="008A066B">
      <w:pPr>
        <w:pStyle w:val="ListParagraph"/>
        <w:spacing w:after="0" w:line="240" w:lineRule="auto"/>
        <w:rPr>
          <w:rFonts w:ascii="Arial" w:hAnsi="Arial" w:cs="Arial"/>
        </w:rPr>
      </w:pPr>
    </w:p>
    <w:p w14:paraId="0BE3483D" w14:textId="6F93C27D" w:rsidR="000D0FB9" w:rsidRPr="008A066B" w:rsidRDefault="0058056B" w:rsidP="008A066B">
      <w:pPr>
        <w:pStyle w:val="ListParagraph"/>
        <w:numPr>
          <w:ilvl w:val="0"/>
          <w:numId w:val="8"/>
        </w:numPr>
        <w:spacing w:after="0" w:line="240" w:lineRule="auto"/>
        <w:rPr>
          <w:rFonts w:ascii="Arial" w:hAnsi="Arial" w:cs="Arial"/>
        </w:rPr>
      </w:pPr>
      <w:r w:rsidRPr="008A066B">
        <w:rPr>
          <w:rFonts w:ascii="Arial" w:hAnsi="Arial" w:cs="Arial"/>
        </w:rPr>
        <w:t>Linked to this, g</w:t>
      </w:r>
      <w:r w:rsidR="000D0FB9" w:rsidRPr="008A066B">
        <w:rPr>
          <w:rFonts w:ascii="Arial" w:hAnsi="Arial" w:cs="Arial"/>
        </w:rPr>
        <w:t>eneral practice is in ma</w:t>
      </w:r>
      <w:r w:rsidR="00F20764" w:rsidRPr="008A066B">
        <w:rPr>
          <w:rFonts w:ascii="Arial" w:hAnsi="Arial" w:cs="Arial"/>
        </w:rPr>
        <w:t>n</w:t>
      </w:r>
      <w:r w:rsidR="000D0FB9" w:rsidRPr="008A066B">
        <w:rPr>
          <w:rFonts w:ascii="Arial" w:hAnsi="Arial" w:cs="Arial"/>
        </w:rPr>
        <w:t xml:space="preserve">y ways </w:t>
      </w:r>
      <w:r w:rsidR="00C56EFC" w:rsidRPr="00C56EFC">
        <w:rPr>
          <w:rFonts w:ascii="Arial" w:hAnsi="Arial" w:cs="Arial"/>
          <w:i/>
          <w:iCs/>
        </w:rPr>
        <w:t>“</w:t>
      </w:r>
      <w:r w:rsidR="000D0FB9" w:rsidRPr="00C56EFC">
        <w:rPr>
          <w:rFonts w:ascii="Arial" w:hAnsi="Arial" w:cs="Arial"/>
          <w:i/>
          <w:iCs/>
        </w:rPr>
        <w:t>the jewel of the NHS</w:t>
      </w:r>
      <w:r w:rsidR="00C56EFC" w:rsidRPr="00C56EFC">
        <w:rPr>
          <w:rFonts w:ascii="Arial" w:hAnsi="Arial" w:cs="Arial"/>
          <w:i/>
          <w:iCs/>
        </w:rPr>
        <w:t>”</w:t>
      </w:r>
      <w:r w:rsidR="000D0FB9" w:rsidRPr="008A066B">
        <w:rPr>
          <w:rFonts w:ascii="Arial" w:hAnsi="Arial" w:cs="Arial"/>
        </w:rPr>
        <w:t xml:space="preserve">, yet we have repeatedly struggled to find ways to support general practice to make an even greater contribution at greater scale, and to </w:t>
      </w:r>
      <w:r w:rsidR="006F1C46" w:rsidRPr="008A066B">
        <w:rPr>
          <w:rFonts w:ascii="Arial" w:hAnsi="Arial" w:cs="Arial"/>
        </w:rPr>
        <w:t xml:space="preserve">focus support on areas where need is greatest. </w:t>
      </w:r>
      <w:r w:rsidR="00401F52" w:rsidRPr="008A066B">
        <w:rPr>
          <w:rFonts w:ascii="Arial" w:hAnsi="Arial" w:cs="Arial"/>
        </w:rPr>
        <w:t xml:space="preserve">Some previous </w:t>
      </w:r>
      <w:r w:rsidR="00137B41">
        <w:rPr>
          <w:rFonts w:ascii="Arial" w:hAnsi="Arial" w:cs="Arial"/>
        </w:rPr>
        <w:t>initiatives</w:t>
      </w:r>
      <w:r w:rsidR="00401F52" w:rsidRPr="008A066B">
        <w:rPr>
          <w:rFonts w:ascii="Arial" w:hAnsi="Arial" w:cs="Arial"/>
        </w:rPr>
        <w:t xml:space="preserve"> have also felt as if they were </w:t>
      </w:r>
      <w:r w:rsidR="00694C7B" w:rsidRPr="008A066B">
        <w:rPr>
          <w:rFonts w:ascii="Arial" w:hAnsi="Arial" w:cs="Arial"/>
        </w:rPr>
        <w:t xml:space="preserve">done </w:t>
      </w:r>
      <w:r w:rsidR="00694C7B" w:rsidRPr="008A066B">
        <w:rPr>
          <w:rFonts w:ascii="Arial" w:hAnsi="Arial" w:cs="Arial"/>
          <w:i/>
          <w:iCs/>
        </w:rPr>
        <w:t>to</w:t>
      </w:r>
      <w:r w:rsidR="00694C7B" w:rsidRPr="008A066B">
        <w:rPr>
          <w:rFonts w:ascii="Arial" w:hAnsi="Arial" w:cs="Arial"/>
        </w:rPr>
        <w:t xml:space="preserve"> general practice rather than </w:t>
      </w:r>
      <w:r w:rsidR="00694C7B" w:rsidRPr="008A066B">
        <w:rPr>
          <w:rFonts w:ascii="Arial" w:hAnsi="Arial" w:cs="Arial"/>
          <w:i/>
          <w:iCs/>
        </w:rPr>
        <w:t>with</w:t>
      </w:r>
      <w:r w:rsidR="00694C7B" w:rsidRPr="008A066B">
        <w:rPr>
          <w:rFonts w:ascii="Arial" w:hAnsi="Arial" w:cs="Arial"/>
        </w:rPr>
        <w:t xml:space="preserve"> it</w:t>
      </w:r>
      <w:r w:rsidR="00401F52" w:rsidRPr="008A066B">
        <w:rPr>
          <w:rFonts w:ascii="Arial" w:hAnsi="Arial" w:cs="Arial"/>
        </w:rPr>
        <w:t xml:space="preserve">. </w:t>
      </w:r>
      <w:r w:rsidR="00694C7B" w:rsidRPr="008A066B">
        <w:rPr>
          <w:rFonts w:ascii="Arial" w:hAnsi="Arial" w:cs="Arial"/>
        </w:rPr>
        <w:t>There was a clear consensus that a</w:t>
      </w:r>
      <w:r w:rsidR="006F1C46" w:rsidRPr="008A066B">
        <w:rPr>
          <w:rFonts w:ascii="Arial" w:hAnsi="Arial" w:cs="Arial"/>
        </w:rPr>
        <w:t>ny reforms without a rejuvenated general practice at the heart are unlikely to be successful.</w:t>
      </w:r>
      <w:r w:rsidR="00401F52" w:rsidRPr="008A066B">
        <w:rPr>
          <w:rFonts w:ascii="Arial" w:hAnsi="Arial" w:cs="Arial"/>
        </w:rPr>
        <w:t xml:space="preserve"> </w:t>
      </w:r>
    </w:p>
    <w:p w14:paraId="61C3788C" w14:textId="77777777" w:rsidR="006F1C46" w:rsidRPr="008A066B" w:rsidRDefault="006F1C46" w:rsidP="008A066B">
      <w:pPr>
        <w:pStyle w:val="ListParagraph"/>
        <w:spacing w:after="0" w:line="240" w:lineRule="auto"/>
        <w:rPr>
          <w:rFonts w:ascii="Arial" w:hAnsi="Arial" w:cs="Arial"/>
        </w:rPr>
      </w:pPr>
    </w:p>
    <w:p w14:paraId="0AF2F0EA" w14:textId="030CDF6D" w:rsidR="00571779" w:rsidRPr="008A066B" w:rsidRDefault="00000A13" w:rsidP="008A066B">
      <w:pPr>
        <w:pStyle w:val="ListParagraph"/>
        <w:numPr>
          <w:ilvl w:val="0"/>
          <w:numId w:val="11"/>
        </w:numPr>
        <w:spacing w:after="0" w:line="240" w:lineRule="auto"/>
        <w:rPr>
          <w:rFonts w:ascii="Arial" w:hAnsi="Arial" w:cs="Arial"/>
        </w:rPr>
      </w:pPr>
      <w:r w:rsidRPr="008A066B">
        <w:rPr>
          <w:rFonts w:ascii="Arial" w:hAnsi="Arial" w:cs="Arial"/>
        </w:rPr>
        <w:lastRenderedPageBreak/>
        <w:t>Conversations</w:t>
      </w:r>
      <w:r w:rsidR="006F1C46" w:rsidRPr="008A066B">
        <w:rPr>
          <w:rFonts w:ascii="Arial" w:hAnsi="Arial" w:cs="Arial"/>
        </w:rPr>
        <w:t xml:space="preserve"> with other systems suggests that our approach to population health management and to identifying/</w:t>
      </w:r>
      <w:r w:rsidRPr="008A066B">
        <w:rPr>
          <w:rFonts w:ascii="Arial" w:hAnsi="Arial" w:cs="Arial"/>
        </w:rPr>
        <w:t>targeting</w:t>
      </w:r>
      <w:r w:rsidR="006F1C46" w:rsidRPr="008A066B">
        <w:rPr>
          <w:rFonts w:ascii="Arial" w:hAnsi="Arial" w:cs="Arial"/>
        </w:rPr>
        <w:t xml:space="preserve"> people most at risk of </w:t>
      </w:r>
      <w:r w:rsidRPr="008A066B">
        <w:rPr>
          <w:rFonts w:ascii="Arial" w:hAnsi="Arial" w:cs="Arial"/>
        </w:rPr>
        <w:t>deterioration is under-developed. Typically, more insurance-based systems are</w:t>
      </w:r>
      <w:r w:rsidR="00137B41">
        <w:rPr>
          <w:rFonts w:ascii="Arial" w:hAnsi="Arial" w:cs="Arial"/>
        </w:rPr>
        <w:t xml:space="preserve"> </w:t>
      </w:r>
      <w:r w:rsidR="00571779" w:rsidRPr="008A066B">
        <w:rPr>
          <w:rFonts w:ascii="Arial" w:hAnsi="Arial" w:cs="Arial"/>
        </w:rPr>
        <w:t>better at identifying such individuals and intervening early, before they</w:t>
      </w:r>
      <w:r w:rsidRPr="008A066B">
        <w:rPr>
          <w:rFonts w:ascii="Arial" w:hAnsi="Arial" w:cs="Arial"/>
        </w:rPr>
        <w:t xml:space="preserve"> experience a crisis (and in financial terms,</w:t>
      </w:r>
      <w:r w:rsidR="00571779" w:rsidRPr="008A066B">
        <w:rPr>
          <w:rFonts w:ascii="Arial" w:hAnsi="Arial" w:cs="Arial"/>
        </w:rPr>
        <w:t xml:space="preserve"> become </w:t>
      </w:r>
      <w:r w:rsidRPr="008A066B">
        <w:rPr>
          <w:rFonts w:ascii="Arial" w:hAnsi="Arial" w:cs="Arial"/>
        </w:rPr>
        <w:t xml:space="preserve">very </w:t>
      </w:r>
      <w:r w:rsidR="00571779" w:rsidRPr="008A066B">
        <w:rPr>
          <w:rFonts w:ascii="Arial" w:hAnsi="Arial" w:cs="Arial"/>
        </w:rPr>
        <w:t>expensive</w:t>
      </w:r>
      <w:r w:rsidRPr="008A066B">
        <w:rPr>
          <w:rFonts w:ascii="Arial" w:hAnsi="Arial" w:cs="Arial"/>
        </w:rPr>
        <w:t>)</w:t>
      </w:r>
      <w:r w:rsidR="00571779" w:rsidRPr="008A066B">
        <w:rPr>
          <w:rFonts w:ascii="Arial" w:hAnsi="Arial" w:cs="Arial"/>
        </w:rPr>
        <w:t>.</w:t>
      </w:r>
      <w:r w:rsidRPr="008A066B">
        <w:rPr>
          <w:rFonts w:ascii="Arial" w:hAnsi="Arial" w:cs="Arial"/>
        </w:rPr>
        <w:t xml:space="preserve"> One example might be frail older people with multiple long-term conditions (including dementia) – who are often poorly served by our current pattern of services</w:t>
      </w:r>
      <w:r w:rsidR="00400240" w:rsidRPr="008A066B">
        <w:rPr>
          <w:rFonts w:ascii="Arial" w:hAnsi="Arial" w:cs="Arial"/>
        </w:rPr>
        <w:t xml:space="preserve"> and are some of the people most likely to become ‘stuck’ in hospital.</w:t>
      </w:r>
    </w:p>
    <w:p w14:paraId="511660A7" w14:textId="77777777" w:rsidR="00E4293E" w:rsidRPr="008A066B" w:rsidRDefault="00E4293E" w:rsidP="008A066B">
      <w:pPr>
        <w:pStyle w:val="ListParagraph"/>
        <w:spacing w:after="0" w:line="240" w:lineRule="auto"/>
        <w:ind w:left="360"/>
        <w:rPr>
          <w:rFonts w:ascii="Arial" w:hAnsi="Arial" w:cs="Arial"/>
        </w:rPr>
      </w:pPr>
    </w:p>
    <w:p w14:paraId="1F7FF090" w14:textId="59EB5E36" w:rsidR="00E4293E" w:rsidRPr="00D75579" w:rsidRDefault="00E4293E" w:rsidP="008A066B">
      <w:pPr>
        <w:pStyle w:val="ListParagraph"/>
        <w:numPr>
          <w:ilvl w:val="0"/>
          <w:numId w:val="11"/>
        </w:numPr>
        <w:spacing w:after="0" w:line="240" w:lineRule="auto"/>
        <w:rPr>
          <w:rFonts w:ascii="Arial" w:hAnsi="Arial" w:cs="Arial"/>
        </w:rPr>
      </w:pPr>
      <w:r w:rsidRPr="008A066B">
        <w:rPr>
          <w:rFonts w:ascii="Arial" w:hAnsi="Arial" w:cs="Arial"/>
        </w:rPr>
        <w:t>Whilst recognising th</w:t>
      </w:r>
      <w:r w:rsidR="00D84FA8" w:rsidRPr="008A066B">
        <w:rPr>
          <w:rFonts w:ascii="Arial" w:hAnsi="Arial" w:cs="Arial"/>
        </w:rPr>
        <w:t>at we can</w:t>
      </w:r>
      <w:r w:rsidR="003E7180" w:rsidRPr="008A066B">
        <w:rPr>
          <w:rFonts w:ascii="Arial" w:hAnsi="Arial" w:cs="Arial"/>
        </w:rPr>
        <w:t xml:space="preserve">not </w:t>
      </w:r>
      <w:r w:rsidR="00D84FA8" w:rsidRPr="008A066B">
        <w:rPr>
          <w:rFonts w:ascii="Arial" w:hAnsi="Arial" w:cs="Arial"/>
        </w:rPr>
        <w:t xml:space="preserve">just ‘lift and shift’ approaches from elsewhere to a UK context, there </w:t>
      </w:r>
      <w:r w:rsidR="003E7180" w:rsidRPr="008A066B">
        <w:rPr>
          <w:rFonts w:ascii="Arial" w:hAnsi="Arial" w:cs="Arial"/>
        </w:rPr>
        <w:t>may be</w:t>
      </w:r>
      <w:r w:rsidR="00D84FA8" w:rsidRPr="008A066B">
        <w:rPr>
          <w:rFonts w:ascii="Arial" w:hAnsi="Arial" w:cs="Arial"/>
        </w:rPr>
        <w:t xml:space="preserve"> scope to learn from other systems. This could be within and across the four nations of the UK</w:t>
      </w:r>
      <w:r w:rsidR="00220F37" w:rsidRPr="008A066B">
        <w:rPr>
          <w:rFonts w:ascii="Arial" w:hAnsi="Arial" w:cs="Arial"/>
        </w:rPr>
        <w:t xml:space="preserve">; from other countries (lessons from Denmark and Ireland were mentioned during the workshop); and/or from previous attempts to implement international learning (such </w:t>
      </w:r>
      <w:r w:rsidR="003E7180" w:rsidRPr="008A066B">
        <w:rPr>
          <w:rFonts w:ascii="Arial" w:hAnsi="Arial" w:cs="Arial"/>
        </w:rPr>
        <w:t>a</w:t>
      </w:r>
      <w:r w:rsidR="00220F37" w:rsidRPr="008A066B">
        <w:rPr>
          <w:rFonts w:ascii="Arial" w:hAnsi="Arial" w:cs="Arial"/>
        </w:rPr>
        <w:t>s when insights from the approach developed by Kaiser Permanente w</w:t>
      </w:r>
      <w:r w:rsidR="00137B41">
        <w:rPr>
          <w:rFonts w:ascii="Arial" w:hAnsi="Arial" w:cs="Arial"/>
        </w:rPr>
        <w:t>ere</w:t>
      </w:r>
      <w:r w:rsidR="00220F37" w:rsidRPr="008A066B">
        <w:rPr>
          <w:rFonts w:ascii="Arial" w:hAnsi="Arial" w:cs="Arial"/>
        </w:rPr>
        <w:t xml:space="preserve"> </w:t>
      </w:r>
      <w:r w:rsidR="009E6475" w:rsidRPr="008A066B">
        <w:rPr>
          <w:rFonts w:ascii="Arial" w:hAnsi="Arial" w:cs="Arial"/>
        </w:rPr>
        <w:t xml:space="preserve">adopted by a number of local services, including in areas such as Torbay – see </w:t>
      </w:r>
      <w:r w:rsidR="00357885" w:rsidRPr="008A066B">
        <w:rPr>
          <w:rFonts w:ascii="Arial" w:hAnsi="Arial" w:cs="Arial"/>
        </w:rPr>
        <w:t xml:space="preserve">Ham </w:t>
      </w:r>
      <w:r w:rsidR="00357885" w:rsidRPr="00D75579">
        <w:rPr>
          <w:rFonts w:ascii="Arial" w:hAnsi="Arial" w:cs="Arial"/>
        </w:rPr>
        <w:t>et al., 2003; Thistlethwaite, 2011</w:t>
      </w:r>
      <w:r w:rsidR="009E6475" w:rsidRPr="00D75579">
        <w:rPr>
          <w:rFonts w:ascii="Arial" w:hAnsi="Arial" w:cs="Arial"/>
        </w:rPr>
        <w:t>).</w:t>
      </w:r>
      <w:r w:rsidR="00D84FA8" w:rsidRPr="00D75579">
        <w:rPr>
          <w:rFonts w:ascii="Arial" w:hAnsi="Arial" w:cs="Arial"/>
        </w:rPr>
        <w:t xml:space="preserve"> </w:t>
      </w:r>
    </w:p>
    <w:p w14:paraId="1D64C1CC" w14:textId="77777777" w:rsidR="00C0024B" w:rsidRPr="008A066B" w:rsidRDefault="00C0024B" w:rsidP="008A066B">
      <w:pPr>
        <w:pStyle w:val="ListParagraph"/>
        <w:spacing w:after="0" w:line="240" w:lineRule="auto"/>
        <w:jc w:val="center"/>
        <w:rPr>
          <w:rFonts w:ascii="Arial" w:hAnsi="Arial" w:cs="Arial"/>
        </w:rPr>
      </w:pPr>
    </w:p>
    <w:p w14:paraId="5C465643" w14:textId="0D7EF782" w:rsidR="00C0024B" w:rsidRPr="00D75579" w:rsidRDefault="00C0024B" w:rsidP="008A066B">
      <w:pPr>
        <w:pStyle w:val="ListParagraph"/>
        <w:numPr>
          <w:ilvl w:val="0"/>
          <w:numId w:val="11"/>
        </w:numPr>
        <w:spacing w:after="0" w:line="240" w:lineRule="auto"/>
        <w:rPr>
          <w:rFonts w:ascii="Arial" w:hAnsi="Arial" w:cs="Arial"/>
        </w:rPr>
      </w:pPr>
      <w:r w:rsidRPr="008A066B">
        <w:rPr>
          <w:rFonts w:ascii="Arial" w:hAnsi="Arial" w:cs="Arial"/>
        </w:rPr>
        <w:t xml:space="preserve">There are also examples from other services/sectors which could help with current debates. Participants mentioned </w:t>
      </w:r>
      <w:r w:rsidR="00BC3389" w:rsidRPr="008A066B">
        <w:rPr>
          <w:rFonts w:ascii="Arial" w:hAnsi="Arial" w:cs="Arial"/>
        </w:rPr>
        <w:t>‘</w:t>
      </w:r>
      <w:r w:rsidRPr="008A066B">
        <w:rPr>
          <w:rFonts w:ascii="Arial" w:hAnsi="Arial" w:cs="Arial"/>
        </w:rPr>
        <w:t xml:space="preserve">Home Treatment </w:t>
      </w:r>
      <w:r w:rsidR="00137B41">
        <w:rPr>
          <w:rFonts w:ascii="Arial" w:hAnsi="Arial" w:cs="Arial"/>
        </w:rPr>
        <w:t>T</w:t>
      </w:r>
      <w:r w:rsidRPr="008A066B">
        <w:rPr>
          <w:rFonts w:ascii="Arial" w:hAnsi="Arial" w:cs="Arial"/>
        </w:rPr>
        <w:t>eams</w:t>
      </w:r>
      <w:r w:rsidR="00BC3389" w:rsidRPr="008A066B">
        <w:rPr>
          <w:rFonts w:ascii="Arial" w:hAnsi="Arial" w:cs="Arial"/>
        </w:rPr>
        <w:t>’</w:t>
      </w:r>
      <w:r w:rsidRPr="008A066B">
        <w:rPr>
          <w:rFonts w:ascii="Arial" w:hAnsi="Arial" w:cs="Arial"/>
        </w:rPr>
        <w:t xml:space="preserve"> in mental health and initiatives such as </w:t>
      </w:r>
      <w:r w:rsidR="00BC3389" w:rsidRPr="008A066B">
        <w:rPr>
          <w:rFonts w:ascii="Arial" w:hAnsi="Arial" w:cs="Arial"/>
        </w:rPr>
        <w:t>‘</w:t>
      </w:r>
      <w:r w:rsidRPr="008A066B">
        <w:rPr>
          <w:rFonts w:ascii="Arial" w:hAnsi="Arial" w:cs="Arial"/>
        </w:rPr>
        <w:t>Sure Start</w:t>
      </w:r>
      <w:r w:rsidR="00BC3389" w:rsidRPr="008A066B">
        <w:rPr>
          <w:rFonts w:ascii="Arial" w:hAnsi="Arial" w:cs="Arial"/>
        </w:rPr>
        <w:t>’</w:t>
      </w:r>
      <w:r w:rsidRPr="008A066B">
        <w:rPr>
          <w:rFonts w:ascii="Arial" w:hAnsi="Arial" w:cs="Arial"/>
        </w:rPr>
        <w:t xml:space="preserve">. These were initially well-funded, </w:t>
      </w:r>
      <w:proofErr w:type="gramStart"/>
      <w:r w:rsidRPr="008A066B">
        <w:rPr>
          <w:rFonts w:ascii="Arial" w:hAnsi="Arial" w:cs="Arial"/>
        </w:rPr>
        <w:t>locally-based</w:t>
      </w:r>
      <w:proofErr w:type="gramEnd"/>
      <w:r w:rsidRPr="008A066B">
        <w:rPr>
          <w:rFonts w:ascii="Arial" w:hAnsi="Arial" w:cs="Arial"/>
        </w:rPr>
        <w:t xml:space="preserve"> and had significant autonomy to do what was needed/built strong relationships with people and communities. They often had long-term outcomes to achieve, but with recognition that change would be slow and sometimes difficult to see in the heat of the moment. However, both were felt to have become less effective as funding reduced, ways of working became more standardised/</w:t>
      </w:r>
      <w:proofErr w:type="gramStart"/>
      <w:r w:rsidRPr="008A066B">
        <w:rPr>
          <w:rFonts w:ascii="Arial" w:hAnsi="Arial" w:cs="Arial"/>
        </w:rPr>
        <w:t>bureaucratic</w:t>
      </w:r>
      <w:proofErr w:type="gramEnd"/>
      <w:r w:rsidRPr="008A066B">
        <w:rPr>
          <w:rFonts w:ascii="Arial" w:hAnsi="Arial" w:cs="Arial"/>
        </w:rPr>
        <w:t xml:space="preserve"> and performance management became </w:t>
      </w:r>
      <w:proofErr w:type="gramStart"/>
      <w:r w:rsidRPr="008A066B">
        <w:rPr>
          <w:rFonts w:ascii="Arial" w:hAnsi="Arial" w:cs="Arial"/>
        </w:rPr>
        <w:t>more narrow</w:t>
      </w:r>
      <w:proofErr w:type="gramEnd"/>
      <w:r w:rsidRPr="008A066B">
        <w:rPr>
          <w:rFonts w:ascii="Arial" w:hAnsi="Arial" w:cs="Arial"/>
        </w:rPr>
        <w:t xml:space="preserve"> in focus. </w:t>
      </w:r>
      <w:r w:rsidR="008A00BF" w:rsidRPr="008A066B">
        <w:rPr>
          <w:rFonts w:ascii="Arial" w:hAnsi="Arial" w:cs="Arial"/>
        </w:rPr>
        <w:t xml:space="preserve">Other models such as the ‘Rapid Assessment Interface and Discharge’ (RAID) </w:t>
      </w:r>
      <w:r w:rsidR="003E7180" w:rsidRPr="008A066B">
        <w:rPr>
          <w:rFonts w:ascii="Arial" w:hAnsi="Arial" w:cs="Arial"/>
        </w:rPr>
        <w:t>s</w:t>
      </w:r>
      <w:r w:rsidR="008A00BF" w:rsidRPr="008A066B">
        <w:rPr>
          <w:rFonts w:ascii="Arial" w:hAnsi="Arial" w:cs="Arial"/>
        </w:rPr>
        <w:t xml:space="preserve">ervice (which </w:t>
      </w:r>
      <w:r w:rsidR="001D2DB0" w:rsidRPr="008A066B">
        <w:rPr>
          <w:rFonts w:ascii="Arial" w:hAnsi="Arial" w:cs="Arial"/>
        </w:rPr>
        <w:t xml:space="preserve">provided in-reach </w:t>
      </w:r>
      <w:r w:rsidR="008A00BF" w:rsidRPr="008A066B">
        <w:rPr>
          <w:rFonts w:ascii="Arial" w:hAnsi="Arial" w:cs="Arial"/>
        </w:rPr>
        <w:t>psychiatric liaison service to prevent avoidable admissions to inpatient wards and</w:t>
      </w:r>
      <w:r w:rsidR="001D2DB0" w:rsidRPr="008A066B">
        <w:rPr>
          <w:rFonts w:ascii="Arial" w:hAnsi="Arial" w:cs="Arial"/>
        </w:rPr>
        <w:t xml:space="preserve"> </w:t>
      </w:r>
      <w:r w:rsidR="008A00BF" w:rsidRPr="008A066B">
        <w:rPr>
          <w:rFonts w:ascii="Arial" w:hAnsi="Arial" w:cs="Arial"/>
        </w:rPr>
        <w:t>mitigate longer lengths of stay</w:t>
      </w:r>
      <w:r w:rsidR="001D2DB0" w:rsidRPr="008A066B">
        <w:rPr>
          <w:rFonts w:ascii="Arial" w:hAnsi="Arial" w:cs="Arial"/>
        </w:rPr>
        <w:t xml:space="preserve">) were also felt to have been positive (see, for example, </w:t>
      </w:r>
      <w:r w:rsidR="006E4A9C" w:rsidRPr="008A066B">
        <w:rPr>
          <w:rFonts w:ascii="Arial" w:hAnsi="Arial" w:cs="Arial"/>
        </w:rPr>
        <w:t xml:space="preserve">Strategy Unit, 2018; </w:t>
      </w:r>
      <w:r w:rsidR="00BC3389" w:rsidRPr="00D75579">
        <w:rPr>
          <w:rFonts w:ascii="Arial" w:hAnsi="Arial" w:cs="Arial"/>
        </w:rPr>
        <w:t>Tadros et al., 2013</w:t>
      </w:r>
      <w:r w:rsidR="001D2DB0" w:rsidRPr="00D75579">
        <w:rPr>
          <w:rFonts w:ascii="Arial" w:hAnsi="Arial" w:cs="Arial"/>
        </w:rPr>
        <w:t>).</w:t>
      </w:r>
    </w:p>
    <w:p w14:paraId="0EDC6A2D" w14:textId="77777777" w:rsidR="00B32178" w:rsidRPr="008A066B" w:rsidRDefault="00B32178" w:rsidP="008A066B">
      <w:pPr>
        <w:pStyle w:val="ListParagraph"/>
        <w:spacing w:after="0" w:line="240" w:lineRule="auto"/>
        <w:rPr>
          <w:rFonts w:ascii="Arial" w:hAnsi="Arial" w:cs="Arial"/>
        </w:rPr>
      </w:pPr>
    </w:p>
    <w:p w14:paraId="6E27741B" w14:textId="1294E708" w:rsidR="003F2553" w:rsidRPr="00D75579" w:rsidRDefault="007B76AB" w:rsidP="008A066B">
      <w:pPr>
        <w:pStyle w:val="ListParagraph"/>
        <w:numPr>
          <w:ilvl w:val="0"/>
          <w:numId w:val="11"/>
        </w:numPr>
        <w:spacing w:after="0" w:line="240" w:lineRule="auto"/>
        <w:rPr>
          <w:rFonts w:ascii="Arial" w:hAnsi="Arial" w:cs="Arial"/>
        </w:rPr>
      </w:pPr>
      <w:proofErr w:type="gramStart"/>
      <w:r w:rsidRPr="008A066B">
        <w:rPr>
          <w:rFonts w:ascii="Arial" w:hAnsi="Arial" w:cs="Arial"/>
        </w:rPr>
        <w:t>A number of</w:t>
      </w:r>
      <w:proofErr w:type="gramEnd"/>
      <w:r w:rsidRPr="008A066B">
        <w:rPr>
          <w:rFonts w:ascii="Arial" w:hAnsi="Arial" w:cs="Arial"/>
        </w:rPr>
        <w:t xml:space="preserve"> current services could have a key role to play, yet their current contribution is sometimes not always fully visible </w:t>
      </w:r>
      <w:r w:rsidR="00CA4B29" w:rsidRPr="008A066B">
        <w:rPr>
          <w:rFonts w:ascii="Arial" w:hAnsi="Arial" w:cs="Arial"/>
        </w:rPr>
        <w:t xml:space="preserve">and can be </w:t>
      </w:r>
      <w:r w:rsidR="00042A8E" w:rsidRPr="008A066B">
        <w:rPr>
          <w:rFonts w:ascii="Arial" w:hAnsi="Arial" w:cs="Arial"/>
        </w:rPr>
        <w:t>ambiguous</w:t>
      </w:r>
      <w:r w:rsidR="0095245E" w:rsidRPr="008A066B">
        <w:rPr>
          <w:rFonts w:ascii="Arial" w:hAnsi="Arial" w:cs="Arial"/>
        </w:rPr>
        <w:t xml:space="preserve"> or </w:t>
      </w:r>
      <w:r w:rsidR="00042A8E" w:rsidRPr="008A066B">
        <w:rPr>
          <w:rFonts w:ascii="Arial" w:hAnsi="Arial" w:cs="Arial"/>
        </w:rPr>
        <w:t xml:space="preserve">contentious. </w:t>
      </w:r>
      <w:r w:rsidRPr="008A066B">
        <w:rPr>
          <w:rFonts w:ascii="Arial" w:hAnsi="Arial" w:cs="Arial"/>
        </w:rPr>
        <w:t>Examples might include the role of community hospitals (see, for example,</w:t>
      </w:r>
      <w:r w:rsidR="00A33AF7" w:rsidRPr="008A066B">
        <w:rPr>
          <w:rFonts w:ascii="Arial" w:hAnsi="Arial" w:cs="Arial"/>
        </w:rPr>
        <w:t xml:space="preserve"> </w:t>
      </w:r>
      <w:r w:rsidR="00A33AF7" w:rsidRPr="00D75579">
        <w:rPr>
          <w:rFonts w:ascii="Arial" w:hAnsi="Arial" w:cs="Arial"/>
        </w:rPr>
        <w:t>Davidson et al., 2019</w:t>
      </w:r>
      <w:r w:rsidRPr="00D75579">
        <w:rPr>
          <w:rFonts w:ascii="Arial" w:hAnsi="Arial" w:cs="Arial"/>
        </w:rPr>
        <w:t>) or of care homes</w:t>
      </w:r>
      <w:r w:rsidR="003F2553" w:rsidRPr="00D75579">
        <w:rPr>
          <w:rFonts w:ascii="Arial" w:hAnsi="Arial" w:cs="Arial"/>
        </w:rPr>
        <w:t xml:space="preserve">. </w:t>
      </w:r>
      <w:proofErr w:type="gramStart"/>
      <w:r w:rsidR="003F2553" w:rsidRPr="00D75579">
        <w:rPr>
          <w:rFonts w:ascii="Arial" w:hAnsi="Arial" w:cs="Arial"/>
        </w:rPr>
        <w:t>With regard to</w:t>
      </w:r>
      <w:proofErr w:type="gramEnd"/>
      <w:r w:rsidR="003F2553" w:rsidRPr="00D75579">
        <w:rPr>
          <w:rFonts w:ascii="Arial" w:hAnsi="Arial" w:cs="Arial"/>
        </w:rPr>
        <w:t xml:space="preserve"> the latter, participants observed that there are 15,000 care homes and that these could be a key community resource</w:t>
      </w:r>
      <w:r w:rsidR="00CA4B29" w:rsidRPr="00D75579">
        <w:rPr>
          <w:rFonts w:ascii="Arial" w:hAnsi="Arial" w:cs="Arial"/>
        </w:rPr>
        <w:t xml:space="preserve"> at the heart of attempts to shift care. At the same time, care homes can sometimes be seen as ‘mini hospitals</w:t>
      </w:r>
      <w:r w:rsidR="003E7180" w:rsidRPr="00D75579">
        <w:rPr>
          <w:rFonts w:ascii="Arial" w:hAnsi="Arial" w:cs="Arial"/>
        </w:rPr>
        <w:t>’</w:t>
      </w:r>
      <w:r w:rsidR="00CA4B29" w:rsidRPr="00D75579">
        <w:rPr>
          <w:rFonts w:ascii="Arial" w:hAnsi="Arial" w:cs="Arial"/>
        </w:rPr>
        <w:t xml:space="preserve"> </w:t>
      </w:r>
      <w:r w:rsidR="003E7180" w:rsidRPr="00D75579">
        <w:rPr>
          <w:rFonts w:ascii="Arial" w:hAnsi="Arial" w:cs="Arial"/>
        </w:rPr>
        <w:t xml:space="preserve">(institutional forms of support that </w:t>
      </w:r>
      <w:r w:rsidR="003F2553" w:rsidRPr="00D75579">
        <w:rPr>
          <w:rFonts w:ascii="Arial" w:hAnsi="Arial" w:cs="Arial"/>
        </w:rPr>
        <w:t xml:space="preserve">we </w:t>
      </w:r>
      <w:r w:rsidR="00CA4B29" w:rsidRPr="00D75579">
        <w:rPr>
          <w:rFonts w:ascii="Arial" w:hAnsi="Arial" w:cs="Arial"/>
        </w:rPr>
        <w:t xml:space="preserve">seek </w:t>
      </w:r>
      <w:r w:rsidR="003F2553" w:rsidRPr="00D75579">
        <w:rPr>
          <w:rFonts w:ascii="Arial" w:hAnsi="Arial" w:cs="Arial"/>
        </w:rPr>
        <w:t xml:space="preserve">to avoid as we </w:t>
      </w:r>
      <w:r w:rsidR="003E7180" w:rsidRPr="00D75579">
        <w:rPr>
          <w:rFonts w:ascii="Arial" w:hAnsi="Arial" w:cs="Arial"/>
        </w:rPr>
        <w:t>try</w:t>
      </w:r>
      <w:r w:rsidR="003F2553" w:rsidRPr="00D75579">
        <w:rPr>
          <w:rFonts w:ascii="Arial" w:hAnsi="Arial" w:cs="Arial"/>
        </w:rPr>
        <w:t xml:space="preserve"> to support people at home</w:t>
      </w:r>
      <w:r w:rsidR="003E7180" w:rsidRPr="00D75579">
        <w:rPr>
          <w:rFonts w:ascii="Arial" w:hAnsi="Arial" w:cs="Arial"/>
        </w:rPr>
        <w:t>)</w:t>
      </w:r>
      <w:r w:rsidR="00042A8E" w:rsidRPr="00D75579">
        <w:rPr>
          <w:rFonts w:ascii="Arial" w:hAnsi="Arial" w:cs="Arial"/>
        </w:rPr>
        <w:t>.</w:t>
      </w:r>
      <w:r w:rsidR="0095245E" w:rsidRPr="00D75579">
        <w:rPr>
          <w:rFonts w:ascii="Arial" w:hAnsi="Arial" w:cs="Arial"/>
        </w:rPr>
        <w:t xml:space="preserve"> Other participants mentioned the importance of </w:t>
      </w:r>
      <w:proofErr w:type="gramStart"/>
      <w:r w:rsidR="0095245E" w:rsidRPr="00D75579">
        <w:rPr>
          <w:rFonts w:ascii="Arial" w:hAnsi="Arial" w:cs="Arial"/>
        </w:rPr>
        <w:t>pharmacies, but</w:t>
      </w:r>
      <w:proofErr w:type="gramEnd"/>
      <w:r w:rsidR="0095245E" w:rsidRPr="00D75579">
        <w:rPr>
          <w:rFonts w:ascii="Arial" w:hAnsi="Arial" w:cs="Arial"/>
        </w:rPr>
        <w:t xml:space="preserve"> felt that these are sometimes not fully considered when exploring new ways of working.</w:t>
      </w:r>
    </w:p>
    <w:p w14:paraId="2188ADF1" w14:textId="77777777" w:rsidR="00CA7C15" w:rsidRPr="00D75579" w:rsidRDefault="00CA7C15" w:rsidP="008A066B">
      <w:pPr>
        <w:pStyle w:val="ListParagraph"/>
        <w:spacing w:after="0" w:line="240" w:lineRule="auto"/>
        <w:rPr>
          <w:rFonts w:ascii="Arial" w:hAnsi="Arial" w:cs="Arial"/>
        </w:rPr>
      </w:pPr>
    </w:p>
    <w:p w14:paraId="2A5532C0" w14:textId="599B3C95" w:rsidR="00CA7C15" w:rsidRPr="00D75579" w:rsidRDefault="00CA7C15" w:rsidP="008A066B">
      <w:pPr>
        <w:pStyle w:val="ListParagraph"/>
        <w:numPr>
          <w:ilvl w:val="0"/>
          <w:numId w:val="11"/>
        </w:numPr>
        <w:spacing w:after="0" w:line="240" w:lineRule="auto"/>
        <w:rPr>
          <w:rFonts w:ascii="Arial" w:hAnsi="Arial" w:cs="Arial"/>
        </w:rPr>
      </w:pPr>
      <w:r w:rsidRPr="00D75579">
        <w:rPr>
          <w:rFonts w:ascii="Arial" w:hAnsi="Arial" w:cs="Arial"/>
        </w:rPr>
        <w:t xml:space="preserve">Despite the limitations of previous small-scale pilots, there remains helpful learning from previous evaluations </w:t>
      </w:r>
      <w:r w:rsidR="003E7180" w:rsidRPr="00D75579">
        <w:rPr>
          <w:rFonts w:ascii="Arial" w:hAnsi="Arial" w:cs="Arial"/>
        </w:rPr>
        <w:t xml:space="preserve">of these initiatives </w:t>
      </w:r>
      <w:r w:rsidRPr="00D75579">
        <w:rPr>
          <w:rFonts w:ascii="Arial" w:hAnsi="Arial" w:cs="Arial"/>
        </w:rPr>
        <w:t>(see, for example,</w:t>
      </w:r>
      <w:r w:rsidR="00A05A38" w:rsidRPr="00D75579">
        <w:rPr>
          <w:rFonts w:ascii="Arial" w:hAnsi="Arial" w:cs="Arial"/>
        </w:rPr>
        <w:t xml:space="preserve"> </w:t>
      </w:r>
      <w:r w:rsidR="00676333" w:rsidRPr="00D75579">
        <w:rPr>
          <w:rFonts w:ascii="Arial" w:hAnsi="Arial" w:cs="Arial"/>
        </w:rPr>
        <w:t xml:space="preserve">Ham et al., 2008; </w:t>
      </w:r>
      <w:r w:rsidR="00A53D2C" w:rsidRPr="00D75579">
        <w:rPr>
          <w:rFonts w:ascii="Arial" w:hAnsi="Arial" w:cs="Arial"/>
        </w:rPr>
        <w:t>Lewis et al., 20</w:t>
      </w:r>
      <w:r w:rsidR="00B6672C" w:rsidRPr="00D75579">
        <w:rPr>
          <w:rFonts w:ascii="Arial" w:hAnsi="Arial" w:cs="Arial"/>
        </w:rPr>
        <w:t>21</w:t>
      </w:r>
      <w:r w:rsidR="00A53D2C" w:rsidRPr="00D75579">
        <w:rPr>
          <w:rFonts w:ascii="Arial" w:hAnsi="Arial" w:cs="Arial"/>
        </w:rPr>
        <w:t xml:space="preserve">; </w:t>
      </w:r>
      <w:r w:rsidR="00A05A38" w:rsidRPr="00D75579">
        <w:rPr>
          <w:rFonts w:ascii="Arial" w:hAnsi="Arial" w:cs="Arial"/>
        </w:rPr>
        <w:t>DHSC, 2025</w:t>
      </w:r>
      <w:r w:rsidRPr="00D75579">
        <w:rPr>
          <w:rFonts w:ascii="Arial" w:hAnsi="Arial" w:cs="Arial"/>
        </w:rPr>
        <w:t>).</w:t>
      </w:r>
    </w:p>
    <w:p w14:paraId="6F229C58" w14:textId="77777777" w:rsidR="004A3834" w:rsidRPr="00D75579" w:rsidRDefault="004A3834" w:rsidP="008A066B">
      <w:pPr>
        <w:spacing w:after="0" w:line="240" w:lineRule="auto"/>
        <w:rPr>
          <w:rFonts w:ascii="Arial" w:hAnsi="Arial" w:cs="Arial"/>
        </w:rPr>
      </w:pPr>
    </w:p>
    <w:p w14:paraId="174DAE9D" w14:textId="77777777" w:rsidR="00BD608C" w:rsidRPr="008A066B" w:rsidRDefault="00BD608C" w:rsidP="008A066B">
      <w:pPr>
        <w:pStyle w:val="ListParagraph"/>
        <w:numPr>
          <w:ilvl w:val="0"/>
          <w:numId w:val="8"/>
        </w:numPr>
        <w:spacing w:after="0" w:line="240" w:lineRule="auto"/>
        <w:rPr>
          <w:rFonts w:ascii="Arial" w:hAnsi="Arial" w:cs="Arial"/>
        </w:rPr>
      </w:pPr>
      <w:r w:rsidRPr="008A066B">
        <w:rPr>
          <w:rFonts w:ascii="Arial" w:hAnsi="Arial" w:cs="Arial"/>
        </w:rPr>
        <w:t xml:space="preserve">Previous attempts to shift care have tended to focus on creating new organisational structures (often seen as </w:t>
      </w:r>
      <w:r w:rsidRPr="00B20C0A">
        <w:rPr>
          <w:rFonts w:ascii="Arial" w:hAnsi="Arial" w:cs="Arial"/>
          <w:i/>
          <w:iCs/>
        </w:rPr>
        <w:t>“a distraction”</w:t>
      </w:r>
      <w:r w:rsidRPr="008A066B">
        <w:rPr>
          <w:rFonts w:ascii="Arial" w:hAnsi="Arial" w:cs="Arial"/>
        </w:rPr>
        <w:t xml:space="preserve"> by participants), on </w:t>
      </w:r>
      <w:r w:rsidRPr="00B20C0A">
        <w:rPr>
          <w:rFonts w:ascii="Arial" w:hAnsi="Arial" w:cs="Arial"/>
          <w:i/>
          <w:iCs/>
        </w:rPr>
        <w:t xml:space="preserve">“who’s </w:t>
      </w:r>
      <w:r w:rsidRPr="00B20C0A">
        <w:rPr>
          <w:rFonts w:ascii="Arial" w:hAnsi="Arial" w:cs="Arial"/>
          <w:i/>
          <w:iCs/>
        </w:rPr>
        <w:lastRenderedPageBreak/>
        <w:t>in charge”</w:t>
      </w:r>
      <w:r w:rsidRPr="008A066B">
        <w:rPr>
          <w:rFonts w:ascii="Arial" w:hAnsi="Arial" w:cs="Arial"/>
        </w:rPr>
        <w:t xml:space="preserve"> and on creating a sense of </w:t>
      </w:r>
      <w:r w:rsidRPr="00B20C0A">
        <w:rPr>
          <w:rFonts w:ascii="Arial" w:hAnsi="Arial" w:cs="Arial"/>
          <w:i/>
          <w:iCs/>
        </w:rPr>
        <w:t>“winners and losers.”</w:t>
      </w:r>
      <w:r w:rsidRPr="008A066B">
        <w:rPr>
          <w:rFonts w:ascii="Arial" w:hAnsi="Arial" w:cs="Arial"/>
        </w:rPr>
        <w:t xml:space="preserve"> This was felt to have little to do with how care is </w:t>
      </w:r>
      <w:proofErr w:type="gramStart"/>
      <w:r w:rsidRPr="008A066B">
        <w:rPr>
          <w:rFonts w:ascii="Arial" w:hAnsi="Arial" w:cs="Arial"/>
        </w:rPr>
        <w:t>actually delivered</w:t>
      </w:r>
      <w:proofErr w:type="gramEnd"/>
      <w:r w:rsidRPr="008A066B">
        <w:rPr>
          <w:rFonts w:ascii="Arial" w:hAnsi="Arial" w:cs="Arial"/>
        </w:rPr>
        <w:t xml:space="preserve"> on the ground, with a need for greater collaboration, clinical leadership and cultural change </w:t>
      </w:r>
      <w:proofErr w:type="gramStart"/>
      <w:r w:rsidRPr="008A066B">
        <w:rPr>
          <w:rFonts w:ascii="Arial" w:hAnsi="Arial" w:cs="Arial"/>
        </w:rPr>
        <w:t>in order to</w:t>
      </w:r>
      <w:proofErr w:type="gramEnd"/>
      <w:r w:rsidRPr="008A066B">
        <w:rPr>
          <w:rFonts w:ascii="Arial" w:hAnsi="Arial" w:cs="Arial"/>
        </w:rPr>
        <w:t xml:space="preserve"> break down barriers to more effective joint working at local level. Colleagues from Northern Ireland in particular fed back that having an integrated system on paper does not always make care feel integrated on the ground and in practice.</w:t>
      </w:r>
    </w:p>
    <w:p w14:paraId="1A3087AB" w14:textId="77777777" w:rsidR="00BD608C" w:rsidRPr="008A066B" w:rsidRDefault="00BD608C" w:rsidP="008A066B">
      <w:pPr>
        <w:pStyle w:val="ListParagraph"/>
        <w:spacing w:after="0" w:line="240" w:lineRule="auto"/>
        <w:rPr>
          <w:rFonts w:ascii="Arial" w:hAnsi="Arial" w:cs="Arial"/>
        </w:rPr>
      </w:pPr>
    </w:p>
    <w:p w14:paraId="52D15B4D" w14:textId="43B05178" w:rsidR="00BD608C" w:rsidRPr="008A066B" w:rsidRDefault="00BD608C" w:rsidP="008A066B">
      <w:pPr>
        <w:pStyle w:val="ListParagraph"/>
        <w:numPr>
          <w:ilvl w:val="0"/>
          <w:numId w:val="8"/>
        </w:numPr>
        <w:spacing w:after="0" w:line="240" w:lineRule="auto"/>
        <w:rPr>
          <w:rFonts w:ascii="Arial" w:hAnsi="Arial" w:cs="Arial"/>
        </w:rPr>
      </w:pPr>
      <w:r w:rsidRPr="008A066B">
        <w:rPr>
          <w:rFonts w:ascii="Arial" w:hAnsi="Arial" w:cs="Arial"/>
        </w:rPr>
        <w:t xml:space="preserve">Linked to this, some debates almost seem to portray hospitals as </w:t>
      </w:r>
      <w:r w:rsidRPr="00B20C0A">
        <w:rPr>
          <w:rFonts w:ascii="Arial" w:hAnsi="Arial" w:cs="Arial"/>
          <w:i/>
          <w:iCs/>
        </w:rPr>
        <w:t>“part of the problem”</w:t>
      </w:r>
      <w:r w:rsidRPr="008A066B">
        <w:rPr>
          <w:rFonts w:ascii="Arial" w:hAnsi="Arial" w:cs="Arial"/>
        </w:rPr>
        <w:t xml:space="preserve"> and not wanting to give up power and resource, when </w:t>
      </w:r>
      <w:proofErr w:type="gramStart"/>
      <w:r w:rsidRPr="008A066B">
        <w:rPr>
          <w:rFonts w:ascii="Arial" w:hAnsi="Arial" w:cs="Arial"/>
        </w:rPr>
        <w:t>really</w:t>
      </w:r>
      <w:proofErr w:type="gramEnd"/>
      <w:r w:rsidRPr="008A066B">
        <w:rPr>
          <w:rFonts w:ascii="Arial" w:hAnsi="Arial" w:cs="Arial"/>
        </w:rPr>
        <w:t xml:space="preserve"> we will only shift care when everyone is working together towards a joint goal. Indeed, most people recognise that hospital is not the best place for people unless they really need the services provided there and that there are significant risks when services are under so much constant pressure. Most hospital</w:t>
      </w:r>
      <w:r w:rsidR="001855E0">
        <w:rPr>
          <w:rFonts w:ascii="Arial" w:hAnsi="Arial" w:cs="Arial"/>
        </w:rPr>
        <w:t>s</w:t>
      </w:r>
      <w:r w:rsidRPr="008A066B">
        <w:rPr>
          <w:rFonts w:ascii="Arial" w:hAnsi="Arial" w:cs="Arial"/>
        </w:rPr>
        <w:t xml:space="preserve"> would be very supportive of community alternatives, </w:t>
      </w:r>
      <w:proofErr w:type="gramStart"/>
      <w:r w:rsidRPr="008A066B">
        <w:rPr>
          <w:rFonts w:ascii="Arial" w:hAnsi="Arial" w:cs="Arial"/>
        </w:rPr>
        <w:t>as long as</w:t>
      </w:r>
      <w:proofErr w:type="gramEnd"/>
      <w:r w:rsidRPr="008A066B">
        <w:rPr>
          <w:rFonts w:ascii="Arial" w:hAnsi="Arial" w:cs="Arial"/>
        </w:rPr>
        <w:t xml:space="preserve"> they were safe, jointly planned and genuinely reduced pressure on the hospital front-door. Rather than fighting against the power and prestige of acute care, this would mean harnessing such strength and expertise in pursuit of new ways of working. </w:t>
      </w:r>
    </w:p>
    <w:p w14:paraId="5BEDA955" w14:textId="77777777" w:rsidR="00B05A6D" w:rsidRPr="008A066B" w:rsidRDefault="00B05A6D" w:rsidP="008A066B">
      <w:pPr>
        <w:pStyle w:val="ListParagraph"/>
        <w:spacing w:after="0" w:line="240" w:lineRule="auto"/>
        <w:rPr>
          <w:rFonts w:ascii="Arial" w:hAnsi="Arial" w:cs="Arial"/>
        </w:rPr>
      </w:pPr>
    </w:p>
    <w:p w14:paraId="76CE1AF9" w14:textId="2952AB52" w:rsidR="00B05A6D" w:rsidRPr="008A066B" w:rsidRDefault="00B05A6D" w:rsidP="008A066B">
      <w:pPr>
        <w:pStyle w:val="ListParagraph"/>
        <w:numPr>
          <w:ilvl w:val="0"/>
          <w:numId w:val="8"/>
        </w:numPr>
        <w:spacing w:after="0" w:line="240" w:lineRule="auto"/>
        <w:rPr>
          <w:rFonts w:ascii="Arial" w:hAnsi="Arial" w:cs="Arial"/>
        </w:rPr>
      </w:pPr>
      <w:r w:rsidRPr="008A066B">
        <w:rPr>
          <w:rFonts w:ascii="Arial" w:hAnsi="Arial" w:cs="Arial"/>
        </w:rPr>
        <w:t>We need to focus much more on the experiences of working in partnership at local level</w:t>
      </w:r>
      <w:r w:rsidR="007C7AF8" w:rsidRPr="008A066B">
        <w:rPr>
          <w:rFonts w:ascii="Arial" w:hAnsi="Arial" w:cs="Arial"/>
        </w:rPr>
        <w:t>;</w:t>
      </w:r>
      <w:r w:rsidRPr="008A066B">
        <w:rPr>
          <w:rFonts w:ascii="Arial" w:hAnsi="Arial" w:cs="Arial"/>
        </w:rPr>
        <w:t xml:space="preserve"> </w:t>
      </w:r>
      <w:r w:rsidR="00B96716" w:rsidRPr="008A066B">
        <w:rPr>
          <w:rFonts w:ascii="Arial" w:hAnsi="Arial" w:cs="Arial"/>
        </w:rPr>
        <w:t>on</w:t>
      </w:r>
      <w:r w:rsidRPr="008A066B">
        <w:rPr>
          <w:rFonts w:ascii="Arial" w:hAnsi="Arial" w:cs="Arial"/>
        </w:rPr>
        <w:t xml:space="preserve"> what motivates front-line staff</w:t>
      </w:r>
      <w:r w:rsidR="007C7AF8" w:rsidRPr="008A066B">
        <w:rPr>
          <w:rFonts w:ascii="Arial" w:hAnsi="Arial" w:cs="Arial"/>
        </w:rPr>
        <w:t xml:space="preserve"> and how to create rewarding roles; and </w:t>
      </w:r>
      <w:r w:rsidR="00B96716" w:rsidRPr="008A066B">
        <w:rPr>
          <w:rFonts w:ascii="Arial" w:hAnsi="Arial" w:cs="Arial"/>
        </w:rPr>
        <w:t>on</w:t>
      </w:r>
      <w:r w:rsidR="007C7AF8" w:rsidRPr="008A066B">
        <w:rPr>
          <w:rFonts w:ascii="Arial" w:hAnsi="Arial" w:cs="Arial"/>
        </w:rPr>
        <w:t xml:space="preserve"> the workforce strategies </w:t>
      </w:r>
      <w:r w:rsidR="00B96716" w:rsidRPr="008A066B">
        <w:rPr>
          <w:rFonts w:ascii="Arial" w:hAnsi="Arial" w:cs="Arial"/>
        </w:rPr>
        <w:t xml:space="preserve">and innovations </w:t>
      </w:r>
      <w:r w:rsidR="007C7AF8" w:rsidRPr="008A066B">
        <w:rPr>
          <w:rFonts w:ascii="Arial" w:hAnsi="Arial" w:cs="Arial"/>
        </w:rPr>
        <w:t>needed to support the workforce of the future (much better able to work across organisational and professional boundaries, and alongside people in local communities). This may have implications for training and development</w:t>
      </w:r>
      <w:r w:rsidR="00B96716" w:rsidRPr="008A066B">
        <w:rPr>
          <w:rFonts w:ascii="Arial" w:hAnsi="Arial" w:cs="Arial"/>
        </w:rPr>
        <w:t>;</w:t>
      </w:r>
      <w:r w:rsidR="007C7AF8" w:rsidRPr="008A066B">
        <w:rPr>
          <w:rFonts w:ascii="Arial" w:hAnsi="Arial" w:cs="Arial"/>
        </w:rPr>
        <w:t xml:space="preserve"> the balance between generalist and specialist skills; </w:t>
      </w:r>
      <w:r w:rsidR="00B96716" w:rsidRPr="008A066B">
        <w:rPr>
          <w:rFonts w:ascii="Arial" w:hAnsi="Arial" w:cs="Arial"/>
        </w:rPr>
        <w:t xml:space="preserve">expertise in terms of </w:t>
      </w:r>
      <w:r w:rsidR="007C7AF8" w:rsidRPr="008A066B">
        <w:rPr>
          <w:rFonts w:ascii="Arial" w:hAnsi="Arial" w:cs="Arial"/>
        </w:rPr>
        <w:t>physical and mental health; and the sorts of skills and contributions we value and celebrate.</w:t>
      </w:r>
    </w:p>
    <w:p w14:paraId="61CF8A48" w14:textId="77777777" w:rsidR="009539FB" w:rsidRPr="008A066B" w:rsidRDefault="009539FB" w:rsidP="008A066B">
      <w:pPr>
        <w:pStyle w:val="ListParagraph"/>
        <w:spacing w:after="0" w:line="240" w:lineRule="auto"/>
        <w:rPr>
          <w:rFonts w:ascii="Arial" w:hAnsi="Arial" w:cs="Arial"/>
        </w:rPr>
      </w:pPr>
    </w:p>
    <w:p w14:paraId="795C37A4" w14:textId="658F0C36" w:rsidR="009539FB" w:rsidRPr="008A066B" w:rsidRDefault="009539FB" w:rsidP="008A066B">
      <w:pPr>
        <w:pStyle w:val="ListParagraph"/>
        <w:numPr>
          <w:ilvl w:val="0"/>
          <w:numId w:val="8"/>
        </w:numPr>
        <w:spacing w:after="0" w:line="240" w:lineRule="auto"/>
        <w:rPr>
          <w:rFonts w:ascii="Arial" w:hAnsi="Arial" w:cs="Arial"/>
        </w:rPr>
      </w:pPr>
      <w:r w:rsidRPr="008A066B">
        <w:rPr>
          <w:rFonts w:ascii="Arial" w:hAnsi="Arial" w:cs="Arial"/>
        </w:rPr>
        <w:t xml:space="preserve">While the </w:t>
      </w:r>
      <w:r w:rsidR="002B32FD" w:rsidRPr="008A066B">
        <w:rPr>
          <w:rFonts w:ascii="Arial" w:hAnsi="Arial" w:cs="Arial"/>
        </w:rPr>
        <w:t xml:space="preserve">benefits of new and emerging technology can prove difficult to realise in practice, </w:t>
      </w:r>
      <w:r w:rsidR="002F5FE1" w:rsidRPr="008A066B">
        <w:rPr>
          <w:rFonts w:ascii="Arial" w:hAnsi="Arial" w:cs="Arial"/>
        </w:rPr>
        <w:t>there are clearly significant opportunities here. As but one example, participants felt that technology-enabled r</w:t>
      </w:r>
      <w:r w:rsidR="002B32FD" w:rsidRPr="008A066B">
        <w:rPr>
          <w:rFonts w:ascii="Arial" w:hAnsi="Arial" w:cs="Arial"/>
        </w:rPr>
        <w:t>apid/real</w:t>
      </w:r>
      <w:r w:rsidR="002F5FE1" w:rsidRPr="008A066B">
        <w:rPr>
          <w:rFonts w:ascii="Arial" w:hAnsi="Arial" w:cs="Arial"/>
        </w:rPr>
        <w:t>-</w:t>
      </w:r>
      <w:r w:rsidR="002B32FD" w:rsidRPr="008A066B">
        <w:rPr>
          <w:rFonts w:ascii="Arial" w:hAnsi="Arial" w:cs="Arial"/>
        </w:rPr>
        <w:t xml:space="preserve">time dialogue </w:t>
      </w:r>
      <w:r w:rsidR="002F5FE1" w:rsidRPr="008A066B">
        <w:rPr>
          <w:rFonts w:ascii="Arial" w:hAnsi="Arial" w:cs="Arial"/>
        </w:rPr>
        <w:t xml:space="preserve">between </w:t>
      </w:r>
      <w:r w:rsidR="00B23065" w:rsidRPr="008A066B">
        <w:rPr>
          <w:rFonts w:ascii="Arial" w:hAnsi="Arial" w:cs="Arial"/>
        </w:rPr>
        <w:t xml:space="preserve">patients, </w:t>
      </w:r>
      <w:r w:rsidR="002F5FE1" w:rsidRPr="008A066B">
        <w:rPr>
          <w:rFonts w:ascii="Arial" w:hAnsi="Arial" w:cs="Arial"/>
        </w:rPr>
        <w:t xml:space="preserve">primary and community services and </w:t>
      </w:r>
      <w:r w:rsidR="00B23065" w:rsidRPr="008A066B">
        <w:rPr>
          <w:rFonts w:ascii="Arial" w:hAnsi="Arial" w:cs="Arial"/>
        </w:rPr>
        <w:t xml:space="preserve">specialist teams could optimise care, rather than </w:t>
      </w:r>
      <w:r w:rsidR="00B96716" w:rsidRPr="008A066B">
        <w:rPr>
          <w:rFonts w:ascii="Arial" w:hAnsi="Arial" w:cs="Arial"/>
        </w:rPr>
        <w:t xml:space="preserve">rely on what some saw as </w:t>
      </w:r>
      <w:r w:rsidR="00B23065" w:rsidRPr="008A066B">
        <w:rPr>
          <w:rFonts w:ascii="Arial" w:hAnsi="Arial" w:cs="Arial"/>
        </w:rPr>
        <w:t xml:space="preserve">the </w:t>
      </w:r>
      <w:r w:rsidR="00B96716" w:rsidRPr="00B20C0A">
        <w:rPr>
          <w:rFonts w:ascii="Arial" w:hAnsi="Arial" w:cs="Arial"/>
          <w:i/>
          <w:iCs/>
        </w:rPr>
        <w:t>“</w:t>
      </w:r>
      <w:r w:rsidR="002B32FD" w:rsidRPr="00B20C0A">
        <w:rPr>
          <w:rFonts w:ascii="Arial" w:hAnsi="Arial" w:cs="Arial"/>
          <w:i/>
          <w:iCs/>
        </w:rPr>
        <w:t>1950s single disease conveyor belt of outpatients</w:t>
      </w:r>
      <w:r w:rsidR="00B96716" w:rsidRPr="00B20C0A">
        <w:rPr>
          <w:rFonts w:ascii="Arial" w:hAnsi="Arial" w:cs="Arial"/>
          <w:i/>
          <w:iCs/>
        </w:rPr>
        <w:t>.”</w:t>
      </w:r>
    </w:p>
    <w:p w14:paraId="2C5A17BE" w14:textId="77777777" w:rsidR="00BD608C" w:rsidRPr="008A066B" w:rsidRDefault="00BD608C" w:rsidP="008A066B">
      <w:pPr>
        <w:spacing w:after="0" w:line="240" w:lineRule="auto"/>
        <w:rPr>
          <w:rFonts w:ascii="Arial" w:hAnsi="Arial" w:cs="Arial"/>
          <w:b/>
          <w:bCs/>
        </w:rPr>
      </w:pPr>
    </w:p>
    <w:p w14:paraId="050A0FDD" w14:textId="77777777" w:rsidR="00741BD9" w:rsidRPr="008A066B" w:rsidRDefault="00741BD9" w:rsidP="008A066B">
      <w:pPr>
        <w:spacing w:after="0" w:line="240" w:lineRule="auto"/>
        <w:rPr>
          <w:rFonts w:ascii="Arial" w:hAnsi="Arial" w:cs="Arial"/>
          <w:b/>
          <w:bCs/>
        </w:rPr>
      </w:pPr>
    </w:p>
    <w:p w14:paraId="2510E6A0" w14:textId="786B99E0" w:rsidR="00571779" w:rsidRPr="008A066B" w:rsidRDefault="00741BD9" w:rsidP="008A066B">
      <w:pPr>
        <w:spacing w:after="0" w:line="240" w:lineRule="auto"/>
        <w:rPr>
          <w:rFonts w:ascii="Arial" w:hAnsi="Arial" w:cs="Arial"/>
          <w:b/>
          <w:bCs/>
        </w:rPr>
      </w:pPr>
      <w:r w:rsidRPr="008A066B">
        <w:rPr>
          <w:rFonts w:ascii="Arial" w:hAnsi="Arial" w:cs="Arial"/>
          <w:b/>
          <w:bCs/>
        </w:rPr>
        <w:t>Summary</w:t>
      </w:r>
    </w:p>
    <w:p w14:paraId="5EDF62CE" w14:textId="77777777" w:rsidR="00B96716" w:rsidRPr="008A066B" w:rsidRDefault="00B96716" w:rsidP="008A066B">
      <w:pPr>
        <w:spacing w:after="0" w:line="240" w:lineRule="auto"/>
        <w:rPr>
          <w:rFonts w:ascii="Arial" w:hAnsi="Arial" w:cs="Arial"/>
          <w:b/>
          <w:bCs/>
        </w:rPr>
      </w:pPr>
    </w:p>
    <w:p w14:paraId="02C252B9" w14:textId="5511A9DB" w:rsidR="00B96716" w:rsidRPr="008A066B" w:rsidRDefault="00BE7AED" w:rsidP="008A066B">
      <w:pPr>
        <w:spacing w:after="0" w:line="240" w:lineRule="auto"/>
        <w:rPr>
          <w:rFonts w:ascii="Arial" w:hAnsi="Arial" w:cs="Arial"/>
        </w:rPr>
      </w:pPr>
      <w:r w:rsidRPr="008A066B">
        <w:rPr>
          <w:rFonts w:ascii="Arial" w:hAnsi="Arial" w:cs="Arial"/>
        </w:rPr>
        <w:t xml:space="preserve">When new policy attempts to achieve a major change that was also the aspiration of previous policy makers, there is merit in taking stock of where we have come from, where we are now and what might prove fruitful next. </w:t>
      </w:r>
      <w:r w:rsidR="009D0DB1" w:rsidRPr="008A066B">
        <w:rPr>
          <w:rFonts w:ascii="Arial" w:hAnsi="Arial" w:cs="Arial"/>
        </w:rPr>
        <w:t xml:space="preserve">‘Shifting care’ may be a laudable aim, but it is unlikely to be realised unless we are clear on the outcomes we are trying to deliver; clear on how we will go about implementing the </w:t>
      </w:r>
      <w:r w:rsidR="00312CC8" w:rsidRPr="008A066B">
        <w:rPr>
          <w:rFonts w:ascii="Arial" w:hAnsi="Arial" w:cs="Arial"/>
        </w:rPr>
        <w:t xml:space="preserve">multi-level </w:t>
      </w:r>
      <w:r w:rsidR="009D0DB1" w:rsidRPr="008A066B">
        <w:rPr>
          <w:rFonts w:ascii="Arial" w:hAnsi="Arial" w:cs="Arial"/>
        </w:rPr>
        <w:t>changes tha</w:t>
      </w:r>
      <w:r w:rsidR="00186DFB" w:rsidRPr="008A066B">
        <w:rPr>
          <w:rFonts w:ascii="Arial" w:hAnsi="Arial" w:cs="Arial"/>
        </w:rPr>
        <w:t>t</w:t>
      </w:r>
      <w:r w:rsidR="009D0DB1" w:rsidRPr="008A066B">
        <w:rPr>
          <w:rFonts w:ascii="Arial" w:hAnsi="Arial" w:cs="Arial"/>
        </w:rPr>
        <w:t xml:space="preserve"> are needed; serious and sustained in our intent; </w:t>
      </w:r>
      <w:r w:rsidR="00186DFB" w:rsidRPr="008A066B">
        <w:rPr>
          <w:rFonts w:ascii="Arial" w:hAnsi="Arial" w:cs="Arial"/>
        </w:rPr>
        <w:t>focu</w:t>
      </w:r>
      <w:r w:rsidR="00312CC8" w:rsidRPr="008A066B">
        <w:rPr>
          <w:rFonts w:ascii="Arial" w:hAnsi="Arial" w:cs="Arial"/>
        </w:rPr>
        <w:t xml:space="preserve">sed on the realities of joint working on the ground; </w:t>
      </w:r>
      <w:r w:rsidR="00EF330A" w:rsidRPr="008A066B">
        <w:rPr>
          <w:rFonts w:ascii="Arial" w:hAnsi="Arial" w:cs="Arial"/>
        </w:rPr>
        <w:t>mindful of the role of a wide range of partners; harness the potential benefits of new technology; and start from the lives that people want to lead in the places where they live, rather than simply moving services from one location to another.</w:t>
      </w:r>
      <w:r w:rsidR="00312CC8" w:rsidRPr="008A066B">
        <w:rPr>
          <w:rFonts w:ascii="Arial" w:hAnsi="Arial" w:cs="Arial"/>
        </w:rPr>
        <w:t xml:space="preserve"> </w:t>
      </w:r>
    </w:p>
    <w:p w14:paraId="374C4ED2" w14:textId="77777777" w:rsidR="00400240" w:rsidRPr="008A066B" w:rsidRDefault="00400240" w:rsidP="008A066B">
      <w:pPr>
        <w:spacing w:after="0" w:line="240" w:lineRule="auto"/>
        <w:rPr>
          <w:rFonts w:ascii="Arial" w:hAnsi="Arial" w:cs="Arial"/>
        </w:rPr>
      </w:pPr>
    </w:p>
    <w:p w14:paraId="41F0336A" w14:textId="3D838B72" w:rsidR="00DD7209" w:rsidRPr="008A066B" w:rsidRDefault="00DD7209" w:rsidP="008A066B">
      <w:pPr>
        <w:spacing w:after="0" w:line="240" w:lineRule="auto"/>
        <w:rPr>
          <w:rFonts w:ascii="Arial" w:hAnsi="Arial" w:cs="Arial"/>
        </w:rPr>
      </w:pPr>
      <w:r w:rsidRPr="008A066B">
        <w:rPr>
          <w:rFonts w:ascii="Arial" w:hAnsi="Arial" w:cs="Arial"/>
        </w:rPr>
        <w:br w:type="page"/>
      </w:r>
    </w:p>
    <w:p w14:paraId="487CA1D4" w14:textId="77777777" w:rsidR="00DD7209" w:rsidRPr="008A066B" w:rsidRDefault="00DD7209" w:rsidP="008A066B">
      <w:pPr>
        <w:spacing w:after="0" w:line="240" w:lineRule="auto"/>
        <w:rPr>
          <w:rFonts w:ascii="Arial" w:hAnsi="Arial" w:cs="Arial"/>
          <w:b/>
          <w:bCs/>
        </w:rPr>
      </w:pPr>
      <w:r w:rsidRPr="008A066B">
        <w:rPr>
          <w:rFonts w:ascii="Arial" w:hAnsi="Arial" w:cs="Arial"/>
          <w:b/>
          <w:bCs/>
        </w:rPr>
        <w:lastRenderedPageBreak/>
        <w:t>References</w:t>
      </w:r>
    </w:p>
    <w:p w14:paraId="70591E40" w14:textId="77777777" w:rsidR="00DD7209" w:rsidRPr="008A066B" w:rsidRDefault="00DD7209" w:rsidP="008A066B">
      <w:pPr>
        <w:spacing w:after="0" w:line="240" w:lineRule="auto"/>
        <w:rPr>
          <w:rFonts w:ascii="Arial" w:hAnsi="Arial" w:cs="Arial"/>
          <w:b/>
          <w:bCs/>
        </w:rPr>
      </w:pPr>
    </w:p>
    <w:p w14:paraId="25EA6E18" w14:textId="77777777" w:rsidR="00DD7209" w:rsidRPr="008A066B" w:rsidRDefault="00DD7209" w:rsidP="008A066B">
      <w:pPr>
        <w:spacing w:after="0" w:line="240" w:lineRule="auto"/>
        <w:rPr>
          <w:rFonts w:ascii="Arial" w:hAnsi="Arial" w:cs="Arial"/>
        </w:rPr>
      </w:pPr>
      <w:r w:rsidRPr="008A066B">
        <w:rPr>
          <w:rFonts w:ascii="Arial" w:hAnsi="Arial" w:cs="Arial"/>
        </w:rPr>
        <w:t xml:space="preserve">Crowther, N. (2024) </w:t>
      </w:r>
      <w:r w:rsidRPr="008A066B">
        <w:rPr>
          <w:rFonts w:ascii="Arial" w:hAnsi="Arial" w:cs="Arial"/>
          <w:i/>
          <w:iCs/>
        </w:rPr>
        <w:t>A ‘dementia pathway’?</w:t>
      </w:r>
      <w:r w:rsidRPr="008A066B">
        <w:rPr>
          <w:rFonts w:ascii="Arial" w:hAnsi="Arial" w:cs="Arial"/>
        </w:rPr>
        <w:t xml:space="preserve"> Available online via </w:t>
      </w:r>
      <w:hyperlink r:id="rId6" w:history="1">
        <w:r w:rsidRPr="008A066B">
          <w:rPr>
            <w:rStyle w:val="Hyperlink"/>
            <w:rFonts w:ascii="Arial" w:hAnsi="Arial" w:cs="Arial"/>
          </w:rPr>
          <w:t>https://makingrightsmakesense.wordpress.com/2024/10/27/a-dementia-pathway/</w:t>
        </w:r>
      </w:hyperlink>
      <w:r w:rsidRPr="008A066B">
        <w:rPr>
          <w:rFonts w:ascii="Arial" w:hAnsi="Arial" w:cs="Arial"/>
        </w:rPr>
        <w:t xml:space="preserve"> </w:t>
      </w:r>
    </w:p>
    <w:p w14:paraId="2D8E577A" w14:textId="77777777" w:rsidR="00DD7209" w:rsidRPr="008A066B" w:rsidRDefault="00DD7209" w:rsidP="008A066B">
      <w:pPr>
        <w:spacing w:after="0" w:line="240" w:lineRule="auto"/>
        <w:rPr>
          <w:rFonts w:ascii="Arial" w:hAnsi="Arial" w:cs="Arial"/>
        </w:rPr>
      </w:pPr>
    </w:p>
    <w:p w14:paraId="0930553A" w14:textId="29FB9A4D" w:rsidR="00A33AF7" w:rsidRPr="008A066B" w:rsidRDefault="00A33AF7" w:rsidP="008A066B">
      <w:pPr>
        <w:spacing w:after="0" w:line="240" w:lineRule="auto"/>
        <w:rPr>
          <w:rFonts w:ascii="Arial" w:hAnsi="Arial" w:cs="Arial"/>
        </w:rPr>
      </w:pPr>
      <w:r w:rsidRPr="008A066B">
        <w:rPr>
          <w:rFonts w:ascii="Arial" w:hAnsi="Arial" w:cs="Arial"/>
        </w:rPr>
        <w:t xml:space="preserve">Davidson, D. </w:t>
      </w:r>
      <w:r w:rsidRPr="00D75579">
        <w:rPr>
          <w:rFonts w:ascii="Arial" w:hAnsi="Arial" w:cs="Arial"/>
        </w:rPr>
        <w:t>et al</w:t>
      </w:r>
      <w:r w:rsidRPr="008A066B">
        <w:rPr>
          <w:rFonts w:ascii="Arial" w:hAnsi="Arial" w:cs="Arial"/>
        </w:rPr>
        <w:t xml:space="preserve"> (2019) Analysis of the profile, characteristics, patient experience and community value of community hospitals: a multimethod study, </w:t>
      </w:r>
      <w:r w:rsidRPr="008A066B">
        <w:rPr>
          <w:rFonts w:ascii="Arial" w:hAnsi="Arial" w:cs="Arial"/>
          <w:i/>
          <w:iCs/>
        </w:rPr>
        <w:t>Health and Social Care Delivery Research</w:t>
      </w:r>
      <w:r w:rsidRPr="008A066B">
        <w:rPr>
          <w:rFonts w:ascii="Arial" w:hAnsi="Arial" w:cs="Arial"/>
        </w:rPr>
        <w:t>, 7(1)</w:t>
      </w:r>
      <w:r w:rsidR="004A3834" w:rsidRPr="008A066B">
        <w:rPr>
          <w:rFonts w:ascii="Arial" w:hAnsi="Arial" w:cs="Arial"/>
        </w:rPr>
        <w:t xml:space="preserve"> (</w:t>
      </w:r>
      <w:hyperlink r:id="rId7" w:history="1">
        <w:r w:rsidR="004A3834" w:rsidRPr="008A066B">
          <w:rPr>
            <w:rStyle w:val="Hyperlink"/>
            <w:rFonts w:ascii="Arial" w:hAnsi="Arial" w:cs="Arial"/>
          </w:rPr>
          <w:t>https://doi.org/10.3310/hsdr07010</w:t>
        </w:r>
      </w:hyperlink>
      <w:r w:rsidR="004A3834" w:rsidRPr="008A066B">
        <w:rPr>
          <w:rFonts w:ascii="Arial" w:hAnsi="Arial" w:cs="Arial"/>
        </w:rPr>
        <w:t xml:space="preserve">) </w:t>
      </w:r>
    </w:p>
    <w:p w14:paraId="448C54C9" w14:textId="77777777" w:rsidR="004A3834" w:rsidRPr="008A066B" w:rsidRDefault="004A3834" w:rsidP="008A066B">
      <w:pPr>
        <w:spacing w:after="0" w:line="240" w:lineRule="auto"/>
        <w:rPr>
          <w:rFonts w:ascii="Arial" w:hAnsi="Arial" w:cs="Arial"/>
        </w:rPr>
      </w:pPr>
    </w:p>
    <w:p w14:paraId="041A2ECD" w14:textId="77777777" w:rsidR="00DD7209" w:rsidRPr="008A066B" w:rsidRDefault="00DD7209" w:rsidP="008A066B">
      <w:pPr>
        <w:spacing w:after="0" w:line="240" w:lineRule="auto"/>
        <w:rPr>
          <w:rFonts w:ascii="Arial" w:hAnsi="Arial" w:cs="Arial"/>
        </w:rPr>
      </w:pPr>
      <w:r w:rsidRPr="008A066B">
        <w:rPr>
          <w:rFonts w:ascii="Arial" w:hAnsi="Arial" w:cs="Arial"/>
        </w:rPr>
        <w:t xml:space="preserve">Department of Health (2000) </w:t>
      </w:r>
      <w:r w:rsidRPr="008A066B">
        <w:rPr>
          <w:rFonts w:ascii="Arial" w:hAnsi="Arial" w:cs="Arial"/>
          <w:i/>
          <w:iCs/>
        </w:rPr>
        <w:t>The NHS plan: a plan for investment, a plan for reform</w:t>
      </w:r>
      <w:r w:rsidRPr="008A066B">
        <w:rPr>
          <w:rFonts w:ascii="Arial" w:hAnsi="Arial" w:cs="Arial"/>
        </w:rPr>
        <w:t>. London, TSO</w:t>
      </w:r>
    </w:p>
    <w:p w14:paraId="7B822AF0" w14:textId="77777777" w:rsidR="00DD7209" w:rsidRPr="008A066B" w:rsidRDefault="00DD7209" w:rsidP="008A066B">
      <w:pPr>
        <w:spacing w:after="0" w:line="240" w:lineRule="auto"/>
        <w:rPr>
          <w:rFonts w:ascii="Arial" w:hAnsi="Arial" w:cs="Arial"/>
        </w:rPr>
      </w:pPr>
    </w:p>
    <w:p w14:paraId="5552156B" w14:textId="77777777" w:rsidR="00DD7209" w:rsidRPr="008A066B" w:rsidRDefault="00DD7209" w:rsidP="008A066B">
      <w:pPr>
        <w:spacing w:after="0" w:line="240" w:lineRule="auto"/>
        <w:rPr>
          <w:rFonts w:ascii="Arial" w:hAnsi="Arial" w:cs="Arial"/>
        </w:rPr>
      </w:pPr>
      <w:r w:rsidRPr="008A066B">
        <w:rPr>
          <w:rFonts w:ascii="Arial" w:hAnsi="Arial" w:cs="Arial"/>
        </w:rPr>
        <w:t xml:space="preserve">Department of Health (2006) </w:t>
      </w:r>
      <w:r w:rsidRPr="008A066B">
        <w:rPr>
          <w:rFonts w:ascii="Arial" w:hAnsi="Arial" w:cs="Arial"/>
          <w:i/>
          <w:iCs/>
        </w:rPr>
        <w:t>Our health, our care, our say: a new direction for community services</w:t>
      </w:r>
      <w:r w:rsidRPr="008A066B">
        <w:rPr>
          <w:rFonts w:ascii="Arial" w:hAnsi="Arial" w:cs="Arial"/>
        </w:rPr>
        <w:t>. London, TSO</w:t>
      </w:r>
    </w:p>
    <w:p w14:paraId="490C9325" w14:textId="77777777" w:rsidR="00DD7209" w:rsidRPr="008A066B" w:rsidRDefault="00DD7209" w:rsidP="008A066B">
      <w:pPr>
        <w:spacing w:after="0" w:line="240" w:lineRule="auto"/>
        <w:rPr>
          <w:rFonts w:ascii="Arial" w:hAnsi="Arial" w:cs="Arial"/>
        </w:rPr>
      </w:pPr>
    </w:p>
    <w:p w14:paraId="48BC87ED" w14:textId="77777777" w:rsidR="00DD7209" w:rsidRPr="008A066B" w:rsidRDefault="00DD7209" w:rsidP="008A066B">
      <w:pPr>
        <w:spacing w:after="0" w:line="240" w:lineRule="auto"/>
        <w:rPr>
          <w:rFonts w:ascii="Arial" w:hAnsi="Arial" w:cs="Arial"/>
        </w:rPr>
      </w:pPr>
      <w:r w:rsidRPr="008A066B">
        <w:rPr>
          <w:rFonts w:ascii="Arial" w:hAnsi="Arial" w:cs="Arial"/>
        </w:rPr>
        <w:t xml:space="preserve">Department of Health (2010) </w:t>
      </w:r>
      <w:r w:rsidRPr="008A066B">
        <w:rPr>
          <w:rFonts w:ascii="Arial" w:hAnsi="Arial" w:cs="Arial"/>
          <w:i/>
          <w:iCs/>
        </w:rPr>
        <w:t>Equity and excellence: liberating the NHS</w:t>
      </w:r>
      <w:r w:rsidRPr="008A066B">
        <w:rPr>
          <w:rFonts w:ascii="Arial" w:hAnsi="Arial" w:cs="Arial"/>
        </w:rPr>
        <w:t>. London, TSO</w:t>
      </w:r>
    </w:p>
    <w:p w14:paraId="03B77561" w14:textId="77777777" w:rsidR="00DD7209" w:rsidRPr="008A066B" w:rsidRDefault="00DD7209" w:rsidP="008A066B">
      <w:pPr>
        <w:spacing w:after="0" w:line="240" w:lineRule="auto"/>
        <w:rPr>
          <w:rFonts w:ascii="Arial" w:hAnsi="Arial" w:cs="Arial"/>
        </w:rPr>
      </w:pPr>
    </w:p>
    <w:p w14:paraId="62EC4CA7" w14:textId="1C52FFE1" w:rsidR="002A2868" w:rsidRPr="008A066B" w:rsidRDefault="002A2868" w:rsidP="008A066B">
      <w:pPr>
        <w:spacing w:after="0" w:line="240" w:lineRule="auto"/>
        <w:rPr>
          <w:rFonts w:ascii="Arial" w:hAnsi="Arial" w:cs="Arial"/>
        </w:rPr>
      </w:pPr>
      <w:r w:rsidRPr="008A066B">
        <w:rPr>
          <w:rFonts w:ascii="Arial" w:hAnsi="Arial" w:cs="Arial"/>
        </w:rPr>
        <w:t>Department of Health and Social Care (2025)</w:t>
      </w:r>
      <w:r w:rsidRPr="008A066B">
        <w:rPr>
          <w:rFonts w:ascii="Arial" w:eastAsia="Times New Roman" w:hAnsi="Arial" w:cs="Arial"/>
          <w:b/>
          <w:bCs/>
          <w:color w:val="FFFFFF"/>
          <w:kern w:val="36"/>
          <w:sz w:val="48"/>
          <w:szCs w:val="48"/>
          <w:lang w:eastAsia="en-GB"/>
          <w14:ligatures w14:val="none"/>
        </w:rPr>
        <w:t xml:space="preserve"> </w:t>
      </w:r>
      <w:r w:rsidRPr="008A066B">
        <w:rPr>
          <w:rFonts w:ascii="Arial" w:hAnsi="Arial" w:cs="Arial"/>
          <w:i/>
          <w:iCs/>
        </w:rPr>
        <w:t>Evaluation of the Better Care Fund Support Programme, 2023 to 2025</w:t>
      </w:r>
      <w:r w:rsidRPr="008A066B">
        <w:rPr>
          <w:rFonts w:ascii="Arial" w:hAnsi="Arial" w:cs="Arial"/>
        </w:rPr>
        <w:t xml:space="preserve">. Available online via </w:t>
      </w:r>
      <w:hyperlink r:id="rId8" w:history="1">
        <w:r w:rsidRPr="008A066B">
          <w:rPr>
            <w:rStyle w:val="Hyperlink"/>
            <w:rFonts w:ascii="Arial" w:hAnsi="Arial" w:cs="Arial"/>
          </w:rPr>
          <w:t>www.gov.uk/government/publications/evaluation-of-the-better-care-fund-support-programme-2023-to-2025/evaluation-of-the-better-care-fund-support-programme-2023-to-2025</w:t>
        </w:r>
      </w:hyperlink>
      <w:bookmarkStart w:id="0" w:name="_Hlk200966695"/>
    </w:p>
    <w:p w14:paraId="6E24B219" w14:textId="77777777" w:rsidR="002A2868" w:rsidRPr="008A066B" w:rsidRDefault="002A2868" w:rsidP="008A066B">
      <w:pPr>
        <w:spacing w:after="0" w:line="240" w:lineRule="auto"/>
        <w:rPr>
          <w:rFonts w:ascii="Arial" w:hAnsi="Arial" w:cs="Arial"/>
        </w:rPr>
      </w:pPr>
    </w:p>
    <w:p w14:paraId="2902E75D" w14:textId="1E4592FD" w:rsidR="00EE64FF" w:rsidRPr="008A066B" w:rsidRDefault="00EE64FF" w:rsidP="008A066B">
      <w:pPr>
        <w:spacing w:after="0" w:line="240" w:lineRule="auto"/>
        <w:rPr>
          <w:rFonts w:ascii="Arial" w:hAnsi="Arial" w:cs="Arial"/>
        </w:rPr>
      </w:pPr>
      <w:r w:rsidRPr="008A066B">
        <w:rPr>
          <w:rFonts w:ascii="Arial" w:eastAsia="Aptos" w:hAnsi="Arial" w:cs="Arial"/>
        </w:rPr>
        <w:t xml:space="preserve">Ferlie, E. and Shortell, S. (2003) </w:t>
      </w:r>
      <w:bookmarkEnd w:id="0"/>
      <w:r w:rsidRPr="008A066B">
        <w:rPr>
          <w:rFonts w:ascii="Arial" w:eastAsia="Aptos" w:hAnsi="Arial" w:cs="Arial"/>
        </w:rPr>
        <w:t xml:space="preserve">Improving the quality of health care in the United Kingdom and the United States: a framework for change, </w:t>
      </w:r>
      <w:r w:rsidRPr="008A066B">
        <w:rPr>
          <w:rFonts w:ascii="Arial" w:eastAsia="Aptos" w:hAnsi="Arial" w:cs="Arial"/>
          <w:i/>
          <w:iCs/>
        </w:rPr>
        <w:t>The Milbank Quarterly</w:t>
      </w:r>
      <w:r w:rsidRPr="008A066B">
        <w:rPr>
          <w:rFonts w:ascii="Arial" w:eastAsia="Aptos" w:hAnsi="Arial" w:cs="Arial"/>
        </w:rPr>
        <w:t>, 79, 281–315</w:t>
      </w:r>
    </w:p>
    <w:p w14:paraId="46DD0B2F" w14:textId="77777777" w:rsidR="00EE64FF" w:rsidRPr="008A066B" w:rsidRDefault="00EE64FF" w:rsidP="008A066B">
      <w:pPr>
        <w:spacing w:after="0" w:line="240" w:lineRule="auto"/>
        <w:rPr>
          <w:rFonts w:ascii="Arial" w:hAnsi="Arial" w:cs="Arial"/>
        </w:rPr>
      </w:pPr>
    </w:p>
    <w:p w14:paraId="1409C9F3" w14:textId="77777777" w:rsidR="00DD7209" w:rsidRPr="008A066B" w:rsidRDefault="00DD7209" w:rsidP="008A066B">
      <w:pPr>
        <w:spacing w:after="0" w:line="240" w:lineRule="auto"/>
        <w:rPr>
          <w:rFonts w:ascii="Arial" w:hAnsi="Arial" w:cs="Arial"/>
        </w:rPr>
      </w:pPr>
      <w:r w:rsidRPr="008A066B">
        <w:rPr>
          <w:rFonts w:ascii="Arial" w:hAnsi="Arial" w:cs="Arial"/>
        </w:rPr>
        <w:t xml:space="preserve">Gilburt, H. </w:t>
      </w:r>
      <w:r w:rsidRPr="00D75579">
        <w:rPr>
          <w:rFonts w:ascii="Arial" w:hAnsi="Arial" w:cs="Arial"/>
        </w:rPr>
        <w:t>et al</w:t>
      </w:r>
      <w:r w:rsidRPr="008A066B">
        <w:rPr>
          <w:rFonts w:ascii="Arial" w:hAnsi="Arial" w:cs="Arial"/>
        </w:rPr>
        <w:t xml:space="preserve"> (2014) </w:t>
      </w:r>
      <w:r w:rsidRPr="008A066B">
        <w:rPr>
          <w:rFonts w:ascii="Arial" w:hAnsi="Arial" w:cs="Arial"/>
          <w:i/>
          <w:iCs/>
        </w:rPr>
        <w:t>Service transformation: lessons from mental health</w:t>
      </w:r>
      <w:r w:rsidRPr="008A066B">
        <w:rPr>
          <w:rFonts w:ascii="Arial" w:hAnsi="Arial" w:cs="Arial"/>
        </w:rPr>
        <w:t>. London, King’s Fund</w:t>
      </w:r>
    </w:p>
    <w:p w14:paraId="0F474250" w14:textId="77777777" w:rsidR="007E35C3" w:rsidRPr="008A066B" w:rsidRDefault="007E35C3" w:rsidP="008A066B">
      <w:pPr>
        <w:spacing w:after="0" w:line="240" w:lineRule="auto"/>
        <w:rPr>
          <w:rFonts w:ascii="Arial" w:hAnsi="Arial" w:cs="Arial"/>
        </w:rPr>
      </w:pPr>
    </w:p>
    <w:p w14:paraId="78E2DF67" w14:textId="35115789" w:rsidR="007E35C3" w:rsidRPr="008A066B" w:rsidRDefault="007E35C3" w:rsidP="008A066B">
      <w:pPr>
        <w:spacing w:after="0" w:line="240" w:lineRule="auto"/>
        <w:rPr>
          <w:rFonts w:ascii="Arial" w:hAnsi="Arial" w:cs="Arial"/>
        </w:rPr>
      </w:pPr>
      <w:r w:rsidRPr="008A066B">
        <w:rPr>
          <w:rFonts w:ascii="Arial" w:hAnsi="Arial" w:cs="Arial"/>
        </w:rPr>
        <w:t>Ham, C. (2023)</w:t>
      </w:r>
      <w:r w:rsidR="00C52EA3" w:rsidRPr="008A066B">
        <w:rPr>
          <w:rFonts w:ascii="Arial" w:hAnsi="Arial" w:cs="Arial"/>
        </w:rPr>
        <w:t xml:space="preserve"> </w:t>
      </w:r>
      <w:r w:rsidR="00C52EA3" w:rsidRPr="008A066B">
        <w:rPr>
          <w:rFonts w:ascii="Arial" w:hAnsi="Arial" w:cs="Arial"/>
          <w:i/>
          <w:iCs/>
        </w:rPr>
        <w:t>Improving health and care at scale: learning from the experience of systems</w:t>
      </w:r>
      <w:r w:rsidR="00C52EA3" w:rsidRPr="008A066B">
        <w:rPr>
          <w:rFonts w:ascii="Arial" w:hAnsi="Arial" w:cs="Arial"/>
        </w:rPr>
        <w:t xml:space="preserve">. </w:t>
      </w:r>
      <w:r w:rsidR="008640B3" w:rsidRPr="008A066B">
        <w:rPr>
          <w:rFonts w:ascii="Arial" w:hAnsi="Arial" w:cs="Arial"/>
        </w:rPr>
        <w:t>London, NHS Confederation and partners</w:t>
      </w:r>
    </w:p>
    <w:p w14:paraId="6857A56E" w14:textId="77777777" w:rsidR="00A14175" w:rsidRPr="008A066B" w:rsidRDefault="00A14175" w:rsidP="008A066B">
      <w:pPr>
        <w:spacing w:after="0" w:line="240" w:lineRule="auto"/>
        <w:rPr>
          <w:rFonts w:ascii="Arial" w:hAnsi="Arial" w:cs="Arial"/>
        </w:rPr>
      </w:pPr>
    </w:p>
    <w:p w14:paraId="0F23B4D8" w14:textId="30604C08" w:rsidR="00A14175" w:rsidRDefault="00A14175" w:rsidP="008A066B">
      <w:pPr>
        <w:spacing w:after="0" w:line="240" w:lineRule="auto"/>
        <w:rPr>
          <w:rFonts w:ascii="Arial" w:hAnsi="Arial" w:cs="Arial"/>
        </w:rPr>
      </w:pPr>
      <w:r w:rsidRPr="008A066B">
        <w:rPr>
          <w:rFonts w:ascii="Arial" w:hAnsi="Arial" w:cs="Arial"/>
        </w:rPr>
        <w:t>Ham</w:t>
      </w:r>
      <w:r w:rsidR="00633929" w:rsidRPr="008A066B">
        <w:rPr>
          <w:rFonts w:ascii="Arial" w:hAnsi="Arial" w:cs="Arial"/>
        </w:rPr>
        <w:t xml:space="preserve">, C. </w:t>
      </w:r>
      <w:r w:rsidR="00633929" w:rsidRPr="00D75579">
        <w:rPr>
          <w:rFonts w:ascii="Arial" w:hAnsi="Arial" w:cs="Arial"/>
        </w:rPr>
        <w:t>et al</w:t>
      </w:r>
      <w:r w:rsidR="00633929" w:rsidRPr="008A066B">
        <w:rPr>
          <w:rFonts w:ascii="Arial" w:hAnsi="Arial" w:cs="Arial"/>
          <w:i/>
          <w:iCs/>
        </w:rPr>
        <w:t xml:space="preserve"> </w:t>
      </w:r>
      <w:r w:rsidR="00633929" w:rsidRPr="008A066B">
        <w:rPr>
          <w:rFonts w:ascii="Arial" w:hAnsi="Arial" w:cs="Arial"/>
        </w:rPr>
        <w:t xml:space="preserve">(2003) Hospital bed utilisation in the NHS, Kaiser Permanente, and the US Medicare programme: analysis of routine data, </w:t>
      </w:r>
      <w:r w:rsidR="00633929" w:rsidRPr="008A066B">
        <w:rPr>
          <w:rFonts w:ascii="Arial" w:hAnsi="Arial" w:cs="Arial"/>
          <w:i/>
          <w:iCs/>
        </w:rPr>
        <w:t>British Medical Journal</w:t>
      </w:r>
      <w:r w:rsidR="00101AAF" w:rsidRPr="008A066B">
        <w:rPr>
          <w:rFonts w:ascii="Arial" w:hAnsi="Arial" w:cs="Arial"/>
        </w:rPr>
        <w:t>, 327 (</w:t>
      </w:r>
      <w:proofErr w:type="spellStart"/>
      <w:r w:rsidR="00633929" w:rsidRPr="008A066B">
        <w:rPr>
          <w:rFonts w:ascii="Arial" w:hAnsi="Arial" w:cs="Arial"/>
        </w:rPr>
        <w:t>doi</w:t>
      </w:r>
      <w:proofErr w:type="spellEnd"/>
      <w:r w:rsidR="00633929" w:rsidRPr="008A066B">
        <w:rPr>
          <w:rFonts w:ascii="Arial" w:hAnsi="Arial" w:cs="Arial"/>
        </w:rPr>
        <w:t>: </w:t>
      </w:r>
      <w:hyperlink r:id="rId9" w:history="1">
        <w:r w:rsidR="00633929" w:rsidRPr="008A066B">
          <w:rPr>
            <w:rStyle w:val="Hyperlink"/>
            <w:rFonts w:ascii="Arial" w:hAnsi="Arial" w:cs="Arial"/>
          </w:rPr>
          <w:t>https://doi.org/10.1136/bmj.327.7426.1257</w:t>
        </w:r>
      </w:hyperlink>
      <w:r w:rsidR="00633929" w:rsidRPr="008A066B">
        <w:rPr>
          <w:rFonts w:ascii="Arial" w:hAnsi="Arial" w:cs="Arial"/>
        </w:rPr>
        <w:t>)</w:t>
      </w:r>
    </w:p>
    <w:p w14:paraId="483B2F10" w14:textId="77777777" w:rsidR="00676333" w:rsidRDefault="00676333" w:rsidP="008A066B">
      <w:pPr>
        <w:spacing w:after="0" w:line="240" w:lineRule="auto"/>
        <w:rPr>
          <w:rFonts w:ascii="Arial" w:hAnsi="Arial" w:cs="Arial"/>
        </w:rPr>
      </w:pPr>
    </w:p>
    <w:p w14:paraId="2B460D13" w14:textId="7FE67474" w:rsidR="00676333" w:rsidRPr="008A066B" w:rsidRDefault="00676333" w:rsidP="008A066B">
      <w:pPr>
        <w:spacing w:after="0" w:line="240" w:lineRule="auto"/>
        <w:rPr>
          <w:rFonts w:ascii="Arial" w:hAnsi="Arial" w:cs="Arial"/>
        </w:rPr>
      </w:pPr>
      <w:r>
        <w:rPr>
          <w:rFonts w:ascii="Arial" w:hAnsi="Arial" w:cs="Arial"/>
        </w:rPr>
        <w:t xml:space="preserve">Ham, C. </w:t>
      </w:r>
      <w:r w:rsidRPr="00D75579">
        <w:rPr>
          <w:rFonts w:ascii="Arial" w:hAnsi="Arial" w:cs="Arial"/>
        </w:rPr>
        <w:t>et al</w:t>
      </w:r>
      <w:r>
        <w:rPr>
          <w:rFonts w:ascii="Arial" w:hAnsi="Arial" w:cs="Arial"/>
        </w:rPr>
        <w:t xml:space="preserve"> (2008) Making the shift from hospital to the community: lessons from an evaluation of a pilot programme, </w:t>
      </w:r>
      <w:r w:rsidRPr="00676333">
        <w:rPr>
          <w:rFonts w:ascii="Arial" w:hAnsi="Arial" w:cs="Arial"/>
          <w:i/>
          <w:iCs/>
        </w:rPr>
        <w:t xml:space="preserve">Primary Health </w:t>
      </w:r>
      <w:r>
        <w:rPr>
          <w:rFonts w:ascii="Arial" w:hAnsi="Arial" w:cs="Arial"/>
          <w:i/>
          <w:iCs/>
        </w:rPr>
        <w:t>C</w:t>
      </w:r>
      <w:r w:rsidRPr="00676333">
        <w:rPr>
          <w:rFonts w:ascii="Arial" w:hAnsi="Arial" w:cs="Arial"/>
          <w:i/>
          <w:iCs/>
        </w:rPr>
        <w:t>are Research and Development</w:t>
      </w:r>
      <w:r>
        <w:rPr>
          <w:rFonts w:ascii="Arial" w:hAnsi="Arial" w:cs="Arial"/>
        </w:rPr>
        <w:t>, 9, 299-309</w:t>
      </w:r>
    </w:p>
    <w:p w14:paraId="569531E3" w14:textId="77777777" w:rsidR="00DD7209" w:rsidRPr="008A066B" w:rsidRDefault="00DD7209" w:rsidP="008A066B">
      <w:pPr>
        <w:spacing w:after="0" w:line="240" w:lineRule="auto"/>
        <w:rPr>
          <w:rFonts w:ascii="Arial" w:hAnsi="Arial" w:cs="Arial"/>
        </w:rPr>
      </w:pPr>
    </w:p>
    <w:p w14:paraId="1511530C" w14:textId="79A03D89" w:rsidR="007512D4" w:rsidRPr="008A066B" w:rsidRDefault="007512D4" w:rsidP="008A066B">
      <w:pPr>
        <w:spacing w:after="0" w:line="240" w:lineRule="auto"/>
        <w:rPr>
          <w:rFonts w:ascii="Arial" w:hAnsi="Arial" w:cs="Arial"/>
          <w:shd w:val="clear" w:color="auto" w:fill="FFFFFF"/>
        </w:rPr>
      </w:pPr>
      <w:r w:rsidRPr="008A066B">
        <w:rPr>
          <w:rFonts w:ascii="Arial" w:hAnsi="Arial" w:cs="Arial"/>
          <w:shd w:val="clear" w:color="auto" w:fill="FFFFFF"/>
        </w:rPr>
        <w:t xml:space="preserve">Lewis, R. </w:t>
      </w:r>
      <w:r w:rsidRPr="00D75579">
        <w:rPr>
          <w:rFonts w:ascii="Arial" w:hAnsi="Arial" w:cs="Arial"/>
          <w:shd w:val="clear" w:color="auto" w:fill="FFFFFF"/>
        </w:rPr>
        <w:t>et al</w:t>
      </w:r>
      <w:r w:rsidRPr="008A066B">
        <w:rPr>
          <w:rFonts w:ascii="Arial" w:hAnsi="Arial" w:cs="Arial"/>
          <w:shd w:val="clear" w:color="auto" w:fill="FFFFFF"/>
        </w:rPr>
        <w:t xml:space="preserve"> (2021) Integrated care in England – what can we learn from a decade of national pilot programmes?, </w:t>
      </w:r>
      <w:r w:rsidRPr="008A066B">
        <w:rPr>
          <w:rFonts w:ascii="Arial" w:hAnsi="Arial" w:cs="Arial"/>
          <w:i/>
          <w:iCs/>
          <w:shd w:val="clear" w:color="auto" w:fill="FFFFFF"/>
        </w:rPr>
        <w:t>International Journal of Integrated Care</w:t>
      </w:r>
      <w:r w:rsidRPr="008A066B">
        <w:rPr>
          <w:rFonts w:ascii="Arial" w:hAnsi="Arial" w:cs="Arial"/>
          <w:shd w:val="clear" w:color="auto" w:fill="FFFFFF"/>
        </w:rPr>
        <w:t xml:space="preserve">, 21(S2) </w:t>
      </w:r>
      <w:r w:rsidR="00A53D2C" w:rsidRPr="008A066B">
        <w:rPr>
          <w:rFonts w:ascii="Arial" w:hAnsi="Arial" w:cs="Arial"/>
          <w:shd w:val="clear" w:color="auto" w:fill="FFFFFF"/>
        </w:rPr>
        <w:t>(</w:t>
      </w:r>
      <w:hyperlink r:id="rId10" w:history="1">
        <w:r w:rsidR="00A53D2C" w:rsidRPr="008A066B">
          <w:rPr>
            <w:rStyle w:val="Hyperlink"/>
            <w:rFonts w:ascii="Arial" w:hAnsi="Arial" w:cs="Arial"/>
            <w:shd w:val="clear" w:color="auto" w:fill="FFFFFF"/>
          </w:rPr>
          <w:t>https://doi.org/10.5334/ijic.5631</w:t>
        </w:r>
      </w:hyperlink>
      <w:r w:rsidR="00A53D2C" w:rsidRPr="008A066B">
        <w:rPr>
          <w:rFonts w:ascii="Arial" w:hAnsi="Arial" w:cs="Arial"/>
          <w:color w:val="606060"/>
          <w:shd w:val="clear" w:color="auto" w:fill="FFFFFF"/>
        </w:rPr>
        <w:t>)</w:t>
      </w:r>
    </w:p>
    <w:p w14:paraId="4DBBCD2A" w14:textId="77777777" w:rsidR="007512D4" w:rsidRPr="008A066B" w:rsidRDefault="007512D4" w:rsidP="008A066B">
      <w:pPr>
        <w:spacing w:after="0" w:line="240" w:lineRule="auto"/>
        <w:rPr>
          <w:rFonts w:ascii="Arial" w:hAnsi="Arial" w:cs="Arial"/>
        </w:rPr>
      </w:pPr>
    </w:p>
    <w:p w14:paraId="7DC408B4" w14:textId="0E2C1A77" w:rsidR="00DD7209" w:rsidRPr="008A066B" w:rsidRDefault="00DD7209" w:rsidP="008A066B">
      <w:pPr>
        <w:spacing w:after="0" w:line="240" w:lineRule="auto"/>
        <w:rPr>
          <w:rFonts w:ascii="Arial" w:hAnsi="Arial" w:cs="Arial"/>
        </w:rPr>
      </w:pPr>
      <w:r w:rsidRPr="008A066B">
        <w:rPr>
          <w:rFonts w:ascii="Arial" w:hAnsi="Arial" w:cs="Arial"/>
        </w:rPr>
        <w:t xml:space="preserve">NHS Greater Manchester et al (2024) </w:t>
      </w:r>
      <w:r w:rsidRPr="008A066B">
        <w:rPr>
          <w:rFonts w:ascii="Arial" w:hAnsi="Arial" w:cs="Arial"/>
          <w:i/>
          <w:iCs/>
        </w:rPr>
        <w:t>Dementia: live well</w:t>
      </w:r>
      <w:r w:rsidRPr="008A066B">
        <w:rPr>
          <w:rFonts w:ascii="Arial" w:hAnsi="Arial" w:cs="Arial"/>
        </w:rPr>
        <w:t xml:space="preserve">. </w:t>
      </w:r>
      <w:r w:rsidR="006E078A">
        <w:rPr>
          <w:rFonts w:ascii="Arial" w:hAnsi="Arial" w:cs="Arial"/>
        </w:rPr>
        <w:t>Manchester, NHS Greater Manchester</w:t>
      </w:r>
      <w:r w:rsidRPr="008A066B">
        <w:rPr>
          <w:rFonts w:ascii="Arial" w:hAnsi="Arial" w:cs="Arial"/>
        </w:rPr>
        <w:t xml:space="preserve"> </w:t>
      </w:r>
    </w:p>
    <w:p w14:paraId="7EA5B364" w14:textId="77777777" w:rsidR="007E35C3" w:rsidRPr="008A066B" w:rsidRDefault="007E35C3" w:rsidP="008A066B">
      <w:pPr>
        <w:spacing w:after="0" w:line="240" w:lineRule="auto"/>
        <w:rPr>
          <w:rFonts w:ascii="Arial" w:hAnsi="Arial" w:cs="Arial"/>
        </w:rPr>
      </w:pPr>
    </w:p>
    <w:p w14:paraId="2A1C3F56" w14:textId="0B59AC48" w:rsidR="00EE64FF" w:rsidRDefault="00EE64FF" w:rsidP="008A066B">
      <w:pPr>
        <w:spacing w:after="0" w:line="240" w:lineRule="auto"/>
        <w:rPr>
          <w:rFonts w:ascii="Arial" w:eastAsia="Aptos" w:hAnsi="Arial" w:cs="Arial"/>
        </w:rPr>
      </w:pPr>
      <w:r w:rsidRPr="00EE64FF">
        <w:rPr>
          <w:rFonts w:ascii="Arial" w:eastAsia="Aptos" w:hAnsi="Arial" w:cs="Arial"/>
        </w:rPr>
        <w:lastRenderedPageBreak/>
        <w:t xml:space="preserve">Pettigrew, A., Ferlie, E. and McKee, L. </w:t>
      </w:r>
      <w:r w:rsidRPr="008A066B">
        <w:rPr>
          <w:rFonts w:ascii="Arial" w:eastAsia="Aptos" w:hAnsi="Arial" w:cs="Arial"/>
        </w:rPr>
        <w:t>(</w:t>
      </w:r>
      <w:r w:rsidRPr="00EE64FF">
        <w:rPr>
          <w:rFonts w:ascii="Arial" w:eastAsia="Aptos" w:hAnsi="Arial" w:cs="Arial"/>
        </w:rPr>
        <w:t>1992</w:t>
      </w:r>
      <w:r w:rsidRPr="008A066B">
        <w:rPr>
          <w:rFonts w:ascii="Arial" w:eastAsia="Aptos" w:hAnsi="Arial" w:cs="Arial"/>
        </w:rPr>
        <w:t>)</w:t>
      </w:r>
      <w:r w:rsidRPr="00EE64FF">
        <w:rPr>
          <w:rFonts w:ascii="Arial" w:eastAsia="Aptos" w:hAnsi="Arial" w:cs="Arial"/>
        </w:rPr>
        <w:t xml:space="preserve"> </w:t>
      </w:r>
      <w:r w:rsidRPr="00EE64FF">
        <w:rPr>
          <w:rFonts w:ascii="Arial" w:eastAsia="Aptos" w:hAnsi="Arial" w:cs="Arial"/>
          <w:i/>
          <w:iCs/>
        </w:rPr>
        <w:t>Shaping strategic change</w:t>
      </w:r>
      <w:r w:rsidRPr="008A066B">
        <w:rPr>
          <w:rFonts w:ascii="Arial" w:eastAsia="Aptos" w:hAnsi="Arial" w:cs="Arial"/>
          <w:i/>
          <w:iCs/>
        </w:rPr>
        <w:t>:</w:t>
      </w:r>
      <w:r w:rsidRPr="00EE64FF">
        <w:rPr>
          <w:rFonts w:ascii="Arial" w:eastAsia="Aptos" w:hAnsi="Arial" w:cs="Arial"/>
          <w:i/>
          <w:iCs/>
        </w:rPr>
        <w:t xml:space="preserve"> </w:t>
      </w:r>
      <w:r w:rsidRPr="008A066B">
        <w:rPr>
          <w:rFonts w:ascii="Arial" w:eastAsia="Aptos" w:hAnsi="Arial" w:cs="Arial"/>
          <w:i/>
          <w:iCs/>
        </w:rPr>
        <w:t>m</w:t>
      </w:r>
      <w:r w:rsidRPr="00EE64FF">
        <w:rPr>
          <w:rFonts w:ascii="Arial" w:eastAsia="Aptos" w:hAnsi="Arial" w:cs="Arial"/>
          <w:i/>
          <w:iCs/>
        </w:rPr>
        <w:t>aking change in large organisations: the case of the National Health Service</w:t>
      </w:r>
      <w:r w:rsidRPr="00EE64FF">
        <w:rPr>
          <w:rFonts w:ascii="Arial" w:eastAsia="Aptos" w:hAnsi="Arial" w:cs="Arial"/>
        </w:rPr>
        <w:t>. London</w:t>
      </w:r>
      <w:r w:rsidRPr="008A066B">
        <w:rPr>
          <w:rFonts w:ascii="Arial" w:eastAsia="Aptos" w:hAnsi="Arial" w:cs="Arial"/>
        </w:rPr>
        <w:t>,</w:t>
      </w:r>
      <w:r w:rsidRPr="00EE64FF">
        <w:rPr>
          <w:rFonts w:ascii="Arial" w:eastAsia="Aptos" w:hAnsi="Arial" w:cs="Arial"/>
        </w:rPr>
        <w:t xml:space="preserve"> Sage</w:t>
      </w:r>
    </w:p>
    <w:p w14:paraId="2E27BA48" w14:textId="77777777" w:rsidR="00884DBC" w:rsidRPr="00EE64FF" w:rsidRDefault="00884DBC" w:rsidP="008A066B">
      <w:pPr>
        <w:spacing w:after="0" w:line="240" w:lineRule="auto"/>
        <w:rPr>
          <w:rFonts w:ascii="Arial" w:eastAsia="Aptos" w:hAnsi="Arial" w:cs="Arial"/>
        </w:rPr>
      </w:pPr>
    </w:p>
    <w:p w14:paraId="550D3D05" w14:textId="77777777" w:rsidR="00DD7209" w:rsidRPr="008A066B" w:rsidRDefault="00DD7209" w:rsidP="008A066B">
      <w:pPr>
        <w:spacing w:after="0" w:line="240" w:lineRule="auto"/>
        <w:rPr>
          <w:rFonts w:ascii="Arial" w:hAnsi="Arial" w:cs="Arial"/>
        </w:rPr>
      </w:pPr>
      <w:r w:rsidRPr="008A066B">
        <w:rPr>
          <w:rFonts w:ascii="Arial" w:hAnsi="Arial" w:cs="Arial"/>
        </w:rPr>
        <w:t xml:space="preserve">Powell, M. and Dowling, B. (2006) New Labour’s partnerships: comparing conceptual models with existing forms, </w:t>
      </w:r>
      <w:r w:rsidRPr="008A066B">
        <w:rPr>
          <w:rFonts w:ascii="Arial" w:hAnsi="Arial" w:cs="Arial"/>
          <w:i/>
          <w:iCs/>
        </w:rPr>
        <w:t>Social Policy and Society</w:t>
      </w:r>
      <w:r w:rsidRPr="008A066B">
        <w:rPr>
          <w:rFonts w:ascii="Arial" w:hAnsi="Arial" w:cs="Arial"/>
        </w:rPr>
        <w:t>, 5(2), 305-314</w:t>
      </w:r>
    </w:p>
    <w:p w14:paraId="7A8965B5" w14:textId="77777777" w:rsidR="00D145CC" w:rsidRPr="008A066B" w:rsidRDefault="00D145CC" w:rsidP="008A066B">
      <w:pPr>
        <w:spacing w:after="0" w:line="240" w:lineRule="auto"/>
        <w:rPr>
          <w:rFonts w:ascii="Arial" w:hAnsi="Arial" w:cs="Arial"/>
        </w:rPr>
      </w:pPr>
    </w:p>
    <w:p w14:paraId="7D41E183" w14:textId="474C3077" w:rsidR="00521406" w:rsidRPr="008A066B" w:rsidRDefault="00521406" w:rsidP="008A066B">
      <w:pPr>
        <w:spacing w:after="0" w:line="240" w:lineRule="auto"/>
        <w:rPr>
          <w:rFonts w:ascii="Arial" w:hAnsi="Arial" w:cs="Arial"/>
        </w:rPr>
      </w:pPr>
      <w:r w:rsidRPr="008A066B">
        <w:rPr>
          <w:rFonts w:ascii="Arial" w:hAnsi="Arial" w:cs="Arial"/>
        </w:rPr>
        <w:t xml:space="preserve">Strategy Unit (2018) Evaluation of an integrated mental health liaison service (RAID). </w:t>
      </w:r>
      <w:r w:rsidR="004C7321" w:rsidRPr="008A066B">
        <w:rPr>
          <w:rFonts w:ascii="Arial" w:hAnsi="Arial" w:cs="Arial"/>
        </w:rPr>
        <w:t>NHS Midlands and Lancashire Commissioning Support Unit</w:t>
      </w:r>
    </w:p>
    <w:p w14:paraId="069B3F30" w14:textId="77777777" w:rsidR="00BC3389" w:rsidRPr="008A066B" w:rsidRDefault="00BC3389" w:rsidP="008A066B">
      <w:pPr>
        <w:spacing w:after="0" w:line="240" w:lineRule="auto"/>
        <w:rPr>
          <w:rFonts w:ascii="Arial" w:hAnsi="Arial" w:cs="Arial"/>
        </w:rPr>
      </w:pPr>
    </w:p>
    <w:p w14:paraId="32811B00" w14:textId="726D3F0B" w:rsidR="00BC3389" w:rsidRPr="008A066B" w:rsidRDefault="00BC3389" w:rsidP="008A066B">
      <w:pPr>
        <w:spacing w:after="0" w:line="240" w:lineRule="auto"/>
        <w:rPr>
          <w:rFonts w:ascii="Arial" w:hAnsi="Arial" w:cs="Arial"/>
        </w:rPr>
      </w:pPr>
      <w:r w:rsidRPr="008A066B">
        <w:rPr>
          <w:rFonts w:ascii="Arial" w:hAnsi="Arial" w:cs="Arial"/>
        </w:rPr>
        <w:t xml:space="preserve">Tadros, G. </w:t>
      </w:r>
      <w:r w:rsidRPr="00D75579">
        <w:rPr>
          <w:rFonts w:ascii="Arial" w:hAnsi="Arial" w:cs="Arial"/>
        </w:rPr>
        <w:t>et al</w:t>
      </w:r>
      <w:r w:rsidRPr="008A066B">
        <w:rPr>
          <w:rFonts w:ascii="Arial" w:hAnsi="Arial" w:cs="Arial"/>
          <w:i/>
          <w:iCs/>
        </w:rPr>
        <w:t xml:space="preserve"> </w:t>
      </w:r>
      <w:r w:rsidRPr="008A066B">
        <w:rPr>
          <w:rFonts w:ascii="Arial" w:hAnsi="Arial" w:cs="Arial"/>
        </w:rPr>
        <w:t xml:space="preserve">(2013) Impact of an integrated rapid response psychiatric liaison team on quality improvement and cost savings: the Birmingham RAID model, </w:t>
      </w:r>
      <w:r w:rsidRPr="008A066B">
        <w:rPr>
          <w:rFonts w:ascii="Arial" w:hAnsi="Arial" w:cs="Arial"/>
          <w:i/>
          <w:iCs/>
        </w:rPr>
        <w:t>The Psychiatrist</w:t>
      </w:r>
      <w:r w:rsidRPr="008A066B">
        <w:rPr>
          <w:rFonts w:ascii="Arial" w:hAnsi="Arial" w:cs="Arial"/>
        </w:rPr>
        <w:t>, 37(1), 4-10</w:t>
      </w:r>
    </w:p>
    <w:p w14:paraId="1262C717" w14:textId="77777777" w:rsidR="00521406" w:rsidRPr="008A066B" w:rsidRDefault="00521406" w:rsidP="008A066B">
      <w:pPr>
        <w:spacing w:after="0" w:line="240" w:lineRule="auto"/>
        <w:rPr>
          <w:rFonts w:ascii="Arial" w:hAnsi="Arial" w:cs="Arial"/>
        </w:rPr>
      </w:pPr>
    </w:p>
    <w:p w14:paraId="73246C6E" w14:textId="7167E3DC" w:rsidR="00A14175" w:rsidRPr="008A066B" w:rsidRDefault="00A14175" w:rsidP="008A066B">
      <w:pPr>
        <w:spacing w:after="0" w:line="240" w:lineRule="auto"/>
        <w:rPr>
          <w:rFonts w:ascii="Arial" w:hAnsi="Arial" w:cs="Arial"/>
        </w:rPr>
      </w:pPr>
      <w:r w:rsidRPr="008A066B">
        <w:rPr>
          <w:rFonts w:ascii="Arial" w:hAnsi="Arial" w:cs="Arial"/>
        </w:rPr>
        <w:t xml:space="preserve">Thistlethwaite, P. (2011) </w:t>
      </w:r>
      <w:r w:rsidRPr="008A066B">
        <w:rPr>
          <w:rFonts w:ascii="Arial" w:hAnsi="Arial" w:cs="Arial"/>
          <w:i/>
          <w:iCs/>
        </w:rPr>
        <w:t>Integrating health and social care in Torbay: improving care for Mrs Smith</w:t>
      </w:r>
      <w:r w:rsidRPr="008A066B">
        <w:rPr>
          <w:rFonts w:ascii="Arial" w:hAnsi="Arial" w:cs="Arial"/>
        </w:rPr>
        <w:t>. London, King’s Fund</w:t>
      </w:r>
    </w:p>
    <w:sectPr w:rsidR="00A14175" w:rsidRPr="008A06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04D"/>
    <w:multiLevelType w:val="hybridMultilevel"/>
    <w:tmpl w:val="E3E69F48"/>
    <w:lvl w:ilvl="0" w:tplc="A348902E">
      <w:start w:val="17"/>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A770152"/>
    <w:multiLevelType w:val="hybridMultilevel"/>
    <w:tmpl w:val="A4F6E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9916EA"/>
    <w:multiLevelType w:val="hybridMultilevel"/>
    <w:tmpl w:val="2146DCAA"/>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2B0B70FB"/>
    <w:multiLevelType w:val="hybridMultilevel"/>
    <w:tmpl w:val="89BC6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4C350EB"/>
    <w:multiLevelType w:val="hybridMultilevel"/>
    <w:tmpl w:val="1B7CBD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5F85E4E"/>
    <w:multiLevelType w:val="hybridMultilevel"/>
    <w:tmpl w:val="271E0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B7D20FA"/>
    <w:multiLevelType w:val="hybridMultilevel"/>
    <w:tmpl w:val="B48C1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19A10BC"/>
    <w:multiLevelType w:val="hybridMultilevel"/>
    <w:tmpl w:val="13B21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3E211B6"/>
    <w:multiLevelType w:val="hybridMultilevel"/>
    <w:tmpl w:val="3FFE6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0385D61"/>
    <w:multiLevelType w:val="hybridMultilevel"/>
    <w:tmpl w:val="172C4C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747C1192"/>
    <w:multiLevelType w:val="hybridMultilevel"/>
    <w:tmpl w:val="6ADAB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2B7F86"/>
    <w:multiLevelType w:val="hybridMultilevel"/>
    <w:tmpl w:val="B5AE69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8897422">
    <w:abstractNumId w:val="9"/>
  </w:num>
  <w:num w:numId="2" w16cid:durableId="1642466589">
    <w:abstractNumId w:val="4"/>
  </w:num>
  <w:num w:numId="3" w16cid:durableId="1833527332">
    <w:abstractNumId w:val="5"/>
  </w:num>
  <w:num w:numId="4" w16cid:durableId="1847286117">
    <w:abstractNumId w:val="0"/>
  </w:num>
  <w:num w:numId="5" w16cid:durableId="782767982">
    <w:abstractNumId w:val="1"/>
  </w:num>
  <w:num w:numId="6" w16cid:durableId="1929267800">
    <w:abstractNumId w:val="11"/>
  </w:num>
  <w:num w:numId="7" w16cid:durableId="1590574613">
    <w:abstractNumId w:val="7"/>
  </w:num>
  <w:num w:numId="8" w16cid:durableId="1321079501">
    <w:abstractNumId w:val="10"/>
  </w:num>
  <w:num w:numId="9" w16cid:durableId="1788701213">
    <w:abstractNumId w:val="3"/>
  </w:num>
  <w:num w:numId="10" w16cid:durableId="1824008513">
    <w:abstractNumId w:val="8"/>
  </w:num>
  <w:num w:numId="11" w16cid:durableId="1854613321">
    <w:abstractNumId w:val="6"/>
  </w:num>
  <w:num w:numId="12" w16cid:durableId="1045330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CC"/>
    <w:rsid w:val="00000A13"/>
    <w:rsid w:val="00013710"/>
    <w:rsid w:val="00042A8E"/>
    <w:rsid w:val="00080FE5"/>
    <w:rsid w:val="000C581F"/>
    <w:rsid w:val="000D0FB9"/>
    <w:rsid w:val="00101AAF"/>
    <w:rsid w:val="00105990"/>
    <w:rsid w:val="00137B41"/>
    <w:rsid w:val="00170E9A"/>
    <w:rsid w:val="001855E0"/>
    <w:rsid w:val="00186DFB"/>
    <w:rsid w:val="00193D0E"/>
    <w:rsid w:val="001945CB"/>
    <w:rsid w:val="001B19AC"/>
    <w:rsid w:val="001C1FC3"/>
    <w:rsid w:val="001C7FD7"/>
    <w:rsid w:val="001D182E"/>
    <w:rsid w:val="001D2DB0"/>
    <w:rsid w:val="002047C0"/>
    <w:rsid w:val="00220F37"/>
    <w:rsid w:val="0022645B"/>
    <w:rsid w:val="00242651"/>
    <w:rsid w:val="002838FE"/>
    <w:rsid w:val="002A2868"/>
    <w:rsid w:val="002A365E"/>
    <w:rsid w:val="002B32FD"/>
    <w:rsid w:val="002F1D08"/>
    <w:rsid w:val="002F5FE1"/>
    <w:rsid w:val="00312CC8"/>
    <w:rsid w:val="0035774E"/>
    <w:rsid w:val="00357885"/>
    <w:rsid w:val="00357C9E"/>
    <w:rsid w:val="00365B4F"/>
    <w:rsid w:val="0037525F"/>
    <w:rsid w:val="00384C61"/>
    <w:rsid w:val="0039071A"/>
    <w:rsid w:val="003C32A4"/>
    <w:rsid w:val="003E7180"/>
    <w:rsid w:val="003F2553"/>
    <w:rsid w:val="00400240"/>
    <w:rsid w:val="00401F52"/>
    <w:rsid w:val="00411691"/>
    <w:rsid w:val="00415353"/>
    <w:rsid w:val="0043524D"/>
    <w:rsid w:val="0043580E"/>
    <w:rsid w:val="004371F2"/>
    <w:rsid w:val="004414AC"/>
    <w:rsid w:val="00475075"/>
    <w:rsid w:val="004A3834"/>
    <w:rsid w:val="004C7321"/>
    <w:rsid w:val="004D0AA6"/>
    <w:rsid w:val="004E1CD0"/>
    <w:rsid w:val="004F09FF"/>
    <w:rsid w:val="005040B6"/>
    <w:rsid w:val="00521406"/>
    <w:rsid w:val="005359C2"/>
    <w:rsid w:val="0053718A"/>
    <w:rsid w:val="00571779"/>
    <w:rsid w:val="0058056B"/>
    <w:rsid w:val="005C19CA"/>
    <w:rsid w:val="00632FA4"/>
    <w:rsid w:val="00633929"/>
    <w:rsid w:val="00646770"/>
    <w:rsid w:val="006471E3"/>
    <w:rsid w:val="0065505A"/>
    <w:rsid w:val="0065763C"/>
    <w:rsid w:val="00676333"/>
    <w:rsid w:val="00686F12"/>
    <w:rsid w:val="00690188"/>
    <w:rsid w:val="00694C61"/>
    <w:rsid w:val="00694C7B"/>
    <w:rsid w:val="006A2E86"/>
    <w:rsid w:val="006B5B12"/>
    <w:rsid w:val="006C2B8E"/>
    <w:rsid w:val="006E078A"/>
    <w:rsid w:val="006E4A9C"/>
    <w:rsid w:val="006F1C46"/>
    <w:rsid w:val="006F25C1"/>
    <w:rsid w:val="00735C97"/>
    <w:rsid w:val="007406C3"/>
    <w:rsid w:val="00741BD9"/>
    <w:rsid w:val="007445EE"/>
    <w:rsid w:val="007506BC"/>
    <w:rsid w:val="007512D4"/>
    <w:rsid w:val="007826BB"/>
    <w:rsid w:val="00786BA5"/>
    <w:rsid w:val="00796A32"/>
    <w:rsid w:val="007B161D"/>
    <w:rsid w:val="007B76AB"/>
    <w:rsid w:val="007C44FE"/>
    <w:rsid w:val="007C5C0E"/>
    <w:rsid w:val="007C7AF8"/>
    <w:rsid w:val="007E03C9"/>
    <w:rsid w:val="007E35C3"/>
    <w:rsid w:val="0084416C"/>
    <w:rsid w:val="008472B1"/>
    <w:rsid w:val="008640B3"/>
    <w:rsid w:val="00874B06"/>
    <w:rsid w:val="00884DBC"/>
    <w:rsid w:val="00887966"/>
    <w:rsid w:val="008A00BF"/>
    <w:rsid w:val="008A066B"/>
    <w:rsid w:val="008B4871"/>
    <w:rsid w:val="0095245E"/>
    <w:rsid w:val="009539FB"/>
    <w:rsid w:val="009707E8"/>
    <w:rsid w:val="00981E15"/>
    <w:rsid w:val="00991124"/>
    <w:rsid w:val="009D0968"/>
    <w:rsid w:val="009D0DB1"/>
    <w:rsid w:val="009D5609"/>
    <w:rsid w:val="009D77A2"/>
    <w:rsid w:val="009E6475"/>
    <w:rsid w:val="009F758F"/>
    <w:rsid w:val="00A05A38"/>
    <w:rsid w:val="00A14175"/>
    <w:rsid w:val="00A211FE"/>
    <w:rsid w:val="00A25C2B"/>
    <w:rsid w:val="00A33AF7"/>
    <w:rsid w:val="00A4117D"/>
    <w:rsid w:val="00A521C2"/>
    <w:rsid w:val="00A53D2C"/>
    <w:rsid w:val="00A80CE3"/>
    <w:rsid w:val="00B05A6D"/>
    <w:rsid w:val="00B05EB6"/>
    <w:rsid w:val="00B17490"/>
    <w:rsid w:val="00B20C0A"/>
    <w:rsid w:val="00B23065"/>
    <w:rsid w:val="00B32178"/>
    <w:rsid w:val="00B42A30"/>
    <w:rsid w:val="00B6672C"/>
    <w:rsid w:val="00B71AB2"/>
    <w:rsid w:val="00B71D7A"/>
    <w:rsid w:val="00B96716"/>
    <w:rsid w:val="00BC3389"/>
    <w:rsid w:val="00BD608C"/>
    <w:rsid w:val="00BE370D"/>
    <w:rsid w:val="00BE7AED"/>
    <w:rsid w:val="00C0024B"/>
    <w:rsid w:val="00C05F42"/>
    <w:rsid w:val="00C2230C"/>
    <w:rsid w:val="00C52EA3"/>
    <w:rsid w:val="00C56EFC"/>
    <w:rsid w:val="00C951BA"/>
    <w:rsid w:val="00CA2B77"/>
    <w:rsid w:val="00CA4B29"/>
    <w:rsid w:val="00CA6A04"/>
    <w:rsid w:val="00CA7C15"/>
    <w:rsid w:val="00CE71EE"/>
    <w:rsid w:val="00CF45D6"/>
    <w:rsid w:val="00D0592C"/>
    <w:rsid w:val="00D145CC"/>
    <w:rsid w:val="00D26677"/>
    <w:rsid w:val="00D451B5"/>
    <w:rsid w:val="00D75579"/>
    <w:rsid w:val="00D84FA8"/>
    <w:rsid w:val="00DD31CC"/>
    <w:rsid w:val="00DD7209"/>
    <w:rsid w:val="00DE0641"/>
    <w:rsid w:val="00DF3592"/>
    <w:rsid w:val="00E4293E"/>
    <w:rsid w:val="00E46498"/>
    <w:rsid w:val="00E52BE2"/>
    <w:rsid w:val="00E82113"/>
    <w:rsid w:val="00EA3E4F"/>
    <w:rsid w:val="00EE64FF"/>
    <w:rsid w:val="00EF330A"/>
    <w:rsid w:val="00EF4BB1"/>
    <w:rsid w:val="00F20764"/>
    <w:rsid w:val="00F2167A"/>
    <w:rsid w:val="00F6505A"/>
    <w:rsid w:val="00F84FF0"/>
    <w:rsid w:val="00F978B0"/>
    <w:rsid w:val="00FD1327"/>
    <w:rsid w:val="00FD7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0A9A"/>
  <w15:chartTrackingRefBased/>
  <w15:docId w15:val="{1EC80D48-57B4-4FBB-A8AF-8DC256F4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CC"/>
  </w:style>
  <w:style w:type="paragraph" w:styleId="Heading1">
    <w:name w:val="heading 1"/>
    <w:basedOn w:val="Normal"/>
    <w:next w:val="Normal"/>
    <w:link w:val="Heading1Char"/>
    <w:uiPriority w:val="9"/>
    <w:qFormat/>
    <w:rsid w:val="00D14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5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5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5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5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5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5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5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5CC"/>
    <w:rPr>
      <w:rFonts w:eastAsiaTheme="majorEastAsia" w:cstheme="majorBidi"/>
      <w:color w:val="272727" w:themeColor="text1" w:themeTint="D8"/>
    </w:rPr>
  </w:style>
  <w:style w:type="paragraph" w:styleId="Title">
    <w:name w:val="Title"/>
    <w:basedOn w:val="Normal"/>
    <w:next w:val="Normal"/>
    <w:link w:val="TitleChar"/>
    <w:uiPriority w:val="10"/>
    <w:qFormat/>
    <w:rsid w:val="00D14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5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5CC"/>
    <w:pPr>
      <w:spacing w:before="160"/>
      <w:jc w:val="center"/>
    </w:pPr>
    <w:rPr>
      <w:i/>
      <w:iCs/>
      <w:color w:val="404040" w:themeColor="text1" w:themeTint="BF"/>
    </w:rPr>
  </w:style>
  <w:style w:type="character" w:customStyle="1" w:styleId="QuoteChar">
    <w:name w:val="Quote Char"/>
    <w:basedOn w:val="DefaultParagraphFont"/>
    <w:link w:val="Quote"/>
    <w:uiPriority w:val="29"/>
    <w:rsid w:val="00D145CC"/>
    <w:rPr>
      <w:i/>
      <w:iCs/>
      <w:color w:val="404040" w:themeColor="text1" w:themeTint="BF"/>
    </w:rPr>
  </w:style>
  <w:style w:type="paragraph" w:styleId="ListParagraph">
    <w:name w:val="List Paragraph"/>
    <w:basedOn w:val="Normal"/>
    <w:uiPriority w:val="34"/>
    <w:qFormat/>
    <w:rsid w:val="00D145CC"/>
    <w:pPr>
      <w:ind w:left="720"/>
      <w:contextualSpacing/>
    </w:pPr>
  </w:style>
  <w:style w:type="character" w:styleId="IntenseEmphasis">
    <w:name w:val="Intense Emphasis"/>
    <w:basedOn w:val="DefaultParagraphFont"/>
    <w:uiPriority w:val="21"/>
    <w:qFormat/>
    <w:rsid w:val="00D145CC"/>
    <w:rPr>
      <w:i/>
      <w:iCs/>
      <w:color w:val="0F4761" w:themeColor="accent1" w:themeShade="BF"/>
    </w:rPr>
  </w:style>
  <w:style w:type="paragraph" w:styleId="IntenseQuote">
    <w:name w:val="Intense Quote"/>
    <w:basedOn w:val="Normal"/>
    <w:next w:val="Normal"/>
    <w:link w:val="IntenseQuoteChar"/>
    <w:uiPriority w:val="30"/>
    <w:qFormat/>
    <w:rsid w:val="00D14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5CC"/>
    <w:rPr>
      <w:i/>
      <w:iCs/>
      <w:color w:val="0F4761" w:themeColor="accent1" w:themeShade="BF"/>
    </w:rPr>
  </w:style>
  <w:style w:type="character" w:styleId="IntenseReference">
    <w:name w:val="Intense Reference"/>
    <w:basedOn w:val="DefaultParagraphFont"/>
    <w:uiPriority w:val="32"/>
    <w:qFormat/>
    <w:rsid w:val="00D145CC"/>
    <w:rPr>
      <w:b/>
      <w:bCs/>
      <w:smallCaps/>
      <w:color w:val="0F4761" w:themeColor="accent1" w:themeShade="BF"/>
      <w:spacing w:val="5"/>
    </w:rPr>
  </w:style>
  <w:style w:type="character" w:styleId="Hyperlink">
    <w:name w:val="Hyperlink"/>
    <w:basedOn w:val="DefaultParagraphFont"/>
    <w:uiPriority w:val="99"/>
    <w:unhideWhenUsed/>
    <w:rsid w:val="00571779"/>
    <w:rPr>
      <w:color w:val="0000FF"/>
      <w:u w:val="single"/>
    </w:rPr>
  </w:style>
  <w:style w:type="character" w:styleId="UnresolvedMention">
    <w:name w:val="Unresolved Mention"/>
    <w:basedOn w:val="DefaultParagraphFont"/>
    <w:uiPriority w:val="99"/>
    <w:semiHidden/>
    <w:unhideWhenUsed/>
    <w:rsid w:val="00DD7209"/>
    <w:rPr>
      <w:color w:val="605E5C"/>
      <w:shd w:val="clear" w:color="auto" w:fill="E1DFDD"/>
    </w:rPr>
  </w:style>
  <w:style w:type="character" w:styleId="FollowedHyperlink">
    <w:name w:val="FollowedHyperlink"/>
    <w:basedOn w:val="DefaultParagraphFont"/>
    <w:uiPriority w:val="99"/>
    <w:semiHidden/>
    <w:unhideWhenUsed/>
    <w:rsid w:val="00632FA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570714">
      <w:bodyDiv w:val="1"/>
      <w:marLeft w:val="0"/>
      <w:marRight w:val="0"/>
      <w:marTop w:val="0"/>
      <w:marBottom w:val="0"/>
      <w:divBdr>
        <w:top w:val="none" w:sz="0" w:space="0" w:color="auto"/>
        <w:left w:val="none" w:sz="0" w:space="0" w:color="auto"/>
        <w:bottom w:val="none" w:sz="0" w:space="0" w:color="auto"/>
        <w:right w:val="none" w:sz="0" w:space="0" w:color="auto"/>
      </w:divBdr>
    </w:div>
    <w:div w:id="1072511710">
      <w:bodyDiv w:val="1"/>
      <w:marLeft w:val="0"/>
      <w:marRight w:val="0"/>
      <w:marTop w:val="0"/>
      <w:marBottom w:val="0"/>
      <w:divBdr>
        <w:top w:val="none" w:sz="0" w:space="0" w:color="auto"/>
        <w:left w:val="none" w:sz="0" w:space="0" w:color="auto"/>
        <w:bottom w:val="none" w:sz="0" w:space="0" w:color="auto"/>
        <w:right w:val="none" w:sz="0" w:space="0" w:color="auto"/>
      </w:divBdr>
    </w:div>
    <w:div w:id="1592809107">
      <w:bodyDiv w:val="1"/>
      <w:marLeft w:val="0"/>
      <w:marRight w:val="0"/>
      <w:marTop w:val="0"/>
      <w:marBottom w:val="0"/>
      <w:divBdr>
        <w:top w:val="none" w:sz="0" w:space="0" w:color="auto"/>
        <w:left w:val="none" w:sz="0" w:space="0" w:color="auto"/>
        <w:bottom w:val="none" w:sz="0" w:space="0" w:color="auto"/>
        <w:right w:val="none" w:sz="0" w:space="0" w:color="auto"/>
      </w:divBdr>
    </w:div>
    <w:div w:id="197166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evaluation-of-the-better-care-fund-support-programme-2023-to-2025/evaluation-of-the-better-care-fund-support-programme-2023-to-2025" TargetMode="External"/><Relationship Id="rId3" Type="http://schemas.openxmlformats.org/officeDocument/2006/relationships/settings" Target="settings.xml"/><Relationship Id="rId7" Type="http://schemas.openxmlformats.org/officeDocument/2006/relationships/hyperlink" Target="https://doi.org/10.3310/hsdr070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kingrightsmakesense.wordpress.com/2024/10/27/a-dementia-pathway/"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doi.org/10.5334/ijic.5631" TargetMode="External"/><Relationship Id="rId4" Type="http://schemas.openxmlformats.org/officeDocument/2006/relationships/webSettings" Target="webSettings.xml"/><Relationship Id="rId9" Type="http://schemas.openxmlformats.org/officeDocument/2006/relationships/hyperlink" Target="https://doi.org/10.1136/bmj.327.7426.1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3666</Words>
  <Characters>20899</Characters>
  <Application>Microsoft Office Word</Application>
  <DocSecurity>0</DocSecurity>
  <Lines>174</Lines>
  <Paragraphs>49</Paragraphs>
  <ScaleCrop>false</ScaleCrop>
  <Company>University of Birmingham</Company>
  <LinksUpToDate>false</LinksUpToDate>
  <CharactersWithSpaces>24516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Glasby (Social Policy and Society)</dc:creator>
  <cp:keywords/>
  <dc:description/>
  <cp:lastModifiedBy>Hajur Gill (Social Sciences)</cp:lastModifiedBy>
  <cp:revision>2</cp:revision>
  <dcterms:created xsi:type="dcterms:W3CDTF">2025-07-16T13:26:00Z</dcterms:created>
  <dcterms:modified xsi:type="dcterms:W3CDTF">2025-07-16T13:26:00Z</dcterms:modified>
</cp:coreProperties>
</file>