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1153C" w14:textId="77777777" w:rsidR="00022382" w:rsidRDefault="00022382" w:rsidP="00B809A0">
      <w:pPr>
        <w:pStyle w:val="Heading1"/>
        <w:spacing w:before="0" w:line="240" w:lineRule="auto"/>
      </w:pPr>
      <w:r>
        <w:rPr>
          <w:noProof/>
          <w:lang w:eastAsia="en-GB"/>
        </w:rPr>
        <w:drawing>
          <wp:inline distT="0" distB="0" distL="0" distR="0" wp14:anchorId="58644E4E" wp14:editId="5D5AE4FC">
            <wp:extent cx="2962275" cy="43481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erprise lock up landscap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08134" cy="441546"/>
                    </a:xfrm>
                    <a:prstGeom prst="rect">
                      <a:avLst/>
                    </a:prstGeom>
                  </pic:spPr>
                </pic:pic>
              </a:graphicData>
            </a:graphic>
          </wp:inline>
        </w:drawing>
      </w:r>
    </w:p>
    <w:p w14:paraId="1354916F" w14:textId="77777777" w:rsidR="000156BC" w:rsidRPr="00EB3C03" w:rsidRDefault="000156BC" w:rsidP="00B809A0">
      <w:pPr>
        <w:rPr>
          <w:rFonts w:ascii="Arial" w:hAnsi="Arial" w:cs="Arial"/>
          <w:b/>
          <w:sz w:val="21"/>
          <w:szCs w:val="21"/>
        </w:rPr>
      </w:pPr>
    </w:p>
    <w:p w14:paraId="1F253B90" w14:textId="30C86843" w:rsidR="00701053" w:rsidRDefault="0063139B" w:rsidP="00B809A0">
      <w:pPr>
        <w:rPr>
          <w:rFonts w:cs="Calibri"/>
          <w:b/>
        </w:rPr>
      </w:pPr>
      <w:r w:rsidRPr="00D41F53">
        <w:rPr>
          <w:rFonts w:cs="Calibri"/>
          <w:b/>
        </w:rPr>
        <w:t>Job Description</w:t>
      </w:r>
    </w:p>
    <w:p w14:paraId="459BF93D" w14:textId="77777777" w:rsidR="00B809A0" w:rsidRPr="00D41F53" w:rsidRDefault="00B809A0" w:rsidP="00B809A0">
      <w:pPr>
        <w:rPr>
          <w:rFonts w:cs="Calibri"/>
          <w:b/>
        </w:rPr>
      </w:pPr>
    </w:p>
    <w:p w14:paraId="70FA5731" w14:textId="747C44EA" w:rsidR="003C145A" w:rsidRDefault="0063139B" w:rsidP="00B809A0">
      <w:pPr>
        <w:rPr>
          <w:rFonts w:cs="Calibri"/>
        </w:rPr>
      </w:pPr>
      <w:r w:rsidRPr="00D41F53">
        <w:rPr>
          <w:rFonts w:cs="Calibri"/>
          <w:b/>
        </w:rPr>
        <w:t>Post:</w:t>
      </w:r>
      <w:r w:rsidRPr="00D41F53">
        <w:rPr>
          <w:rFonts w:cs="Calibri"/>
        </w:rPr>
        <w:t xml:space="preserve"> </w:t>
      </w:r>
      <w:r w:rsidR="00C546E3" w:rsidRPr="00D41F53">
        <w:rPr>
          <w:rFonts w:cs="Calibri"/>
        </w:rPr>
        <w:t>Academic Commercial Service</w:t>
      </w:r>
      <w:r w:rsidR="003C145A" w:rsidRPr="00D41F53">
        <w:rPr>
          <w:rFonts w:cs="Calibri"/>
        </w:rPr>
        <w:t xml:space="preserve">s </w:t>
      </w:r>
      <w:r w:rsidR="007724E4">
        <w:rPr>
          <w:rFonts w:cs="Calibri"/>
        </w:rPr>
        <w:t>Associate</w:t>
      </w:r>
    </w:p>
    <w:p w14:paraId="4CAA65EB" w14:textId="77777777" w:rsidR="00B809A0" w:rsidRPr="00D41F53" w:rsidRDefault="00B809A0" w:rsidP="00B809A0">
      <w:pPr>
        <w:rPr>
          <w:rFonts w:cs="Calibri"/>
        </w:rPr>
      </w:pPr>
    </w:p>
    <w:p w14:paraId="4517B2B9" w14:textId="1F7FED31" w:rsidR="003C145A" w:rsidRDefault="0063139B" w:rsidP="00B809A0">
      <w:pPr>
        <w:rPr>
          <w:rFonts w:cs="Calibri"/>
        </w:rPr>
      </w:pPr>
      <w:r w:rsidRPr="001A1242">
        <w:rPr>
          <w:rFonts w:cs="Calibri"/>
          <w:b/>
        </w:rPr>
        <w:t>Employer:</w:t>
      </w:r>
      <w:r w:rsidRPr="001A1242">
        <w:rPr>
          <w:rFonts w:cs="Calibri"/>
        </w:rPr>
        <w:t xml:space="preserve"> </w:t>
      </w:r>
      <w:r w:rsidR="003C145A" w:rsidRPr="001A1242">
        <w:rPr>
          <w:rFonts w:cs="Calibri"/>
        </w:rPr>
        <w:t>University of Birmingham Enterprise Ltd</w:t>
      </w:r>
      <w:r w:rsidR="00EB3C03" w:rsidRPr="001A1242">
        <w:rPr>
          <w:rFonts w:cs="Calibri"/>
        </w:rPr>
        <w:t xml:space="preserve"> </w:t>
      </w:r>
      <w:r w:rsidR="003C145A" w:rsidRPr="001A1242">
        <w:rPr>
          <w:rFonts w:cs="Calibri"/>
        </w:rPr>
        <w:t>(</w:t>
      </w:r>
      <w:r w:rsidR="00EB3C03" w:rsidRPr="001A1242">
        <w:rPr>
          <w:rFonts w:cs="Calibri"/>
        </w:rPr>
        <w:t>“UoBE” [</w:t>
      </w:r>
      <w:r w:rsidR="003C145A" w:rsidRPr="001A1242">
        <w:rPr>
          <w:rFonts w:cs="Calibri"/>
        </w:rPr>
        <w:t>100% subsidiary of The University of Birmingham</w:t>
      </w:r>
      <w:r w:rsidR="00EB3C03" w:rsidRPr="001A1242">
        <w:rPr>
          <w:rFonts w:cs="Calibri"/>
        </w:rPr>
        <w:t>]</w:t>
      </w:r>
      <w:r w:rsidR="003C145A" w:rsidRPr="001A1242">
        <w:rPr>
          <w:rFonts w:cs="Calibri"/>
        </w:rPr>
        <w:t>)</w:t>
      </w:r>
    </w:p>
    <w:p w14:paraId="79C9E800" w14:textId="77777777" w:rsidR="00B809A0" w:rsidRPr="001A1242" w:rsidRDefault="00B809A0" w:rsidP="00B809A0">
      <w:pPr>
        <w:rPr>
          <w:rFonts w:cs="Calibri"/>
        </w:rPr>
      </w:pPr>
    </w:p>
    <w:p w14:paraId="3296965C" w14:textId="52308E41" w:rsidR="00586861" w:rsidRDefault="00BB418D" w:rsidP="00B809A0">
      <w:pPr>
        <w:rPr>
          <w:rFonts w:cs="Calibri"/>
          <w:b/>
          <w:bCs/>
        </w:rPr>
      </w:pPr>
      <w:r w:rsidRPr="00BB418D">
        <w:rPr>
          <w:rFonts w:cs="Calibri"/>
          <w:b/>
          <w:bCs/>
        </w:rPr>
        <w:t xml:space="preserve">Salary: </w:t>
      </w:r>
      <w:r w:rsidR="008E1452" w:rsidRPr="008E1452">
        <w:rPr>
          <w:rFonts w:cs="Calibri"/>
        </w:rPr>
        <w:t>Likely i</w:t>
      </w:r>
      <w:r w:rsidR="00503B87" w:rsidRPr="008E1452">
        <w:rPr>
          <w:rFonts w:cs="Calibri"/>
        </w:rPr>
        <w:t>n t</w:t>
      </w:r>
      <w:r w:rsidR="00503B87" w:rsidRPr="00586861">
        <w:rPr>
          <w:rFonts w:cs="Calibri"/>
        </w:rPr>
        <w:t xml:space="preserve">he range of </w:t>
      </w:r>
      <w:r w:rsidRPr="00586861">
        <w:rPr>
          <w:rFonts w:cs="Calibri"/>
        </w:rPr>
        <w:t xml:space="preserve">£40,000–£50,000 per annum, commensurate with experience, plus a </w:t>
      </w:r>
      <w:r w:rsidR="00503B87" w:rsidRPr="00586861">
        <w:rPr>
          <w:rFonts w:cs="Calibri"/>
        </w:rPr>
        <w:t xml:space="preserve">discretionary </w:t>
      </w:r>
      <w:r w:rsidRPr="00586861">
        <w:rPr>
          <w:rFonts w:cs="Calibri"/>
        </w:rPr>
        <w:t>performance-related bonus of up to 15% per annum, split equally between company and individual performance</w:t>
      </w:r>
    </w:p>
    <w:p w14:paraId="20B75171" w14:textId="77777777" w:rsidR="00B809A0" w:rsidRDefault="00B809A0" w:rsidP="00B809A0">
      <w:pPr>
        <w:rPr>
          <w:rFonts w:cs="Calibri"/>
          <w:b/>
          <w:bCs/>
        </w:rPr>
      </w:pPr>
    </w:p>
    <w:p w14:paraId="41468F2A" w14:textId="19A70D7B" w:rsidR="00D23F90" w:rsidRPr="00586861" w:rsidRDefault="003C145A" w:rsidP="00B809A0">
      <w:pPr>
        <w:rPr>
          <w:rFonts w:cs="Calibri"/>
        </w:rPr>
      </w:pPr>
      <w:r w:rsidRPr="001A1242">
        <w:rPr>
          <w:rFonts w:cs="Calibri"/>
          <w:b/>
          <w:bCs/>
        </w:rPr>
        <w:t>Responsible to</w:t>
      </w:r>
      <w:r w:rsidR="005B6450">
        <w:rPr>
          <w:rFonts w:cs="Calibri"/>
          <w:b/>
          <w:bCs/>
        </w:rPr>
        <w:t>:</w:t>
      </w:r>
      <w:r w:rsidR="00BD76E2" w:rsidRPr="001A1242">
        <w:rPr>
          <w:rFonts w:cs="Calibri"/>
        </w:rPr>
        <w:t xml:space="preserve"> </w:t>
      </w:r>
      <w:r w:rsidR="00CE5352" w:rsidRPr="001A1242">
        <w:rPr>
          <w:rFonts w:cs="Calibri"/>
        </w:rPr>
        <w:t>Head of Academic Commercial Services</w:t>
      </w:r>
      <w:r w:rsidR="0063139B" w:rsidRPr="00586861">
        <w:rPr>
          <w:rFonts w:cs="Calibri"/>
        </w:rPr>
        <w:br/>
      </w:r>
    </w:p>
    <w:p w14:paraId="66F98E11" w14:textId="469182C8" w:rsidR="00CF4EF1" w:rsidRDefault="00CF4EF1" w:rsidP="00B809A0">
      <w:pPr>
        <w:rPr>
          <w:rFonts w:cs="Calibri"/>
          <w:b/>
          <w:bCs/>
        </w:rPr>
      </w:pPr>
      <w:r w:rsidRPr="000D40D7">
        <w:rPr>
          <w:rFonts w:cs="Calibri"/>
          <w:b/>
          <w:bCs/>
        </w:rPr>
        <w:t>Company overview:</w:t>
      </w:r>
    </w:p>
    <w:p w14:paraId="227E4C9D" w14:textId="77777777" w:rsidR="00B809A0" w:rsidRPr="000D40D7" w:rsidRDefault="00B809A0" w:rsidP="00B809A0">
      <w:pPr>
        <w:rPr>
          <w:rFonts w:cs="Calibri"/>
          <w:b/>
          <w:bCs/>
        </w:rPr>
      </w:pPr>
    </w:p>
    <w:p w14:paraId="48D0A2B9" w14:textId="69CCF5EE" w:rsidR="00CF4EF1" w:rsidRPr="000D40D7" w:rsidRDefault="00CF4EF1" w:rsidP="00B809A0">
      <w:pPr>
        <w:rPr>
          <w:rFonts w:cs="Calibri"/>
        </w:rPr>
      </w:pPr>
      <w:r w:rsidRPr="000D40D7">
        <w:rPr>
          <w:rFonts w:cs="Calibri"/>
        </w:rPr>
        <w:t xml:space="preserve">University of Birmingham Enterprise (UoBE) is the University’s enterprise and commercialisation company, dedicated to turning world-class research and expertise into products, services and ventures that deliver real impact locally, regionally and globally. With a mission to catalyse the adoption of innovations developed </w:t>
      </w:r>
      <w:r w:rsidRPr="000D40D7">
        <w:rPr>
          <w:rFonts w:cs="Calibri"/>
          <w:i/>
          <w:iCs/>
        </w:rPr>
        <w:t>by, with or at</w:t>
      </w:r>
      <w:r w:rsidRPr="000D40D7">
        <w:rPr>
          <w:rFonts w:cs="Calibri"/>
        </w:rPr>
        <w:t xml:space="preserve"> the University, UoBE supports intellectual property protection, licensing, spin-out and Operating Division creation, consultancy and incubation. UoBE also manages Birmingham Research Park, a vibrant innovation ecosystem home to over 50 companies. Operating collaboratively, open to new ideas, and driven by impact, UoBE plays a pivotal role in enabling innovation pathways from discovery to market.</w:t>
      </w:r>
    </w:p>
    <w:p w14:paraId="13438191" w14:textId="77777777" w:rsidR="00927039" w:rsidRPr="0083508B" w:rsidRDefault="00927039" w:rsidP="00B809A0">
      <w:pPr>
        <w:rPr>
          <w:rFonts w:cs="Calibri"/>
        </w:rPr>
      </w:pPr>
    </w:p>
    <w:p w14:paraId="2A5D55AC" w14:textId="38D0DE34" w:rsidR="00927039" w:rsidRDefault="00927039" w:rsidP="00B809A0">
      <w:pPr>
        <w:rPr>
          <w:rFonts w:cs="Calibri"/>
          <w:b/>
          <w:bCs/>
        </w:rPr>
      </w:pPr>
      <w:r w:rsidRPr="0083508B">
        <w:rPr>
          <w:rFonts w:cs="Calibri"/>
          <w:b/>
          <w:bCs/>
        </w:rPr>
        <w:t>Role summary:</w:t>
      </w:r>
    </w:p>
    <w:p w14:paraId="608CC15A" w14:textId="77777777" w:rsidR="00B809A0" w:rsidRPr="0083508B" w:rsidRDefault="00B809A0" w:rsidP="00B809A0">
      <w:pPr>
        <w:rPr>
          <w:rFonts w:cs="Calibri"/>
          <w:b/>
          <w:bCs/>
        </w:rPr>
      </w:pPr>
    </w:p>
    <w:p w14:paraId="05B72BBE" w14:textId="0F0E9D15" w:rsidR="00927039" w:rsidRDefault="00927039" w:rsidP="00B809A0">
      <w:pPr>
        <w:rPr>
          <w:rFonts w:cs="Calibri"/>
        </w:rPr>
      </w:pPr>
      <w:r w:rsidRPr="0083508B">
        <w:rPr>
          <w:rFonts w:cs="Calibri"/>
        </w:rPr>
        <w:t xml:space="preserve">Reporting to the Head of Academic Commercial Services, the Academic Commercial Services </w:t>
      </w:r>
      <w:r w:rsidR="007724E4">
        <w:rPr>
          <w:rFonts w:cs="Calibri"/>
        </w:rPr>
        <w:t>Associate</w:t>
      </w:r>
      <w:r w:rsidR="007724E4" w:rsidRPr="0083508B">
        <w:rPr>
          <w:rFonts w:cs="Calibri"/>
        </w:rPr>
        <w:t xml:space="preserve"> </w:t>
      </w:r>
      <w:r w:rsidRPr="0083508B">
        <w:rPr>
          <w:rFonts w:cs="Calibri"/>
        </w:rPr>
        <w:t>supports the delivery of academic consultancy and operating division activity across the University through University of Birmingham Enterprise. The role provides hands-on commercial, contractual and operational support to academics, enabling them to translate their expertise into compliant, financially robust and high-quality commercial activity.</w:t>
      </w:r>
    </w:p>
    <w:p w14:paraId="51A87C6D" w14:textId="77777777" w:rsidR="00A53CE5" w:rsidRPr="0083508B" w:rsidRDefault="00A53CE5" w:rsidP="00B809A0">
      <w:pPr>
        <w:rPr>
          <w:rFonts w:cs="Calibri"/>
        </w:rPr>
      </w:pPr>
    </w:p>
    <w:p w14:paraId="5F15D17E" w14:textId="77777777" w:rsidR="00927039" w:rsidRDefault="00927039" w:rsidP="00B809A0">
      <w:pPr>
        <w:rPr>
          <w:rFonts w:cs="Calibri"/>
        </w:rPr>
      </w:pPr>
      <w:r w:rsidRPr="0083508B">
        <w:rPr>
          <w:rFonts w:cs="Calibri"/>
        </w:rPr>
        <w:t>The postholder will manage a portfolio of consultancy and services activity, supporting projects from initial enquiry through to contract completion. This includes fee setting, commercial negotiation, risk and governance considerations, financial compliance, and ensuring appropriate protection for both academics and the organisation. The role requires close working with academics, UoBE colleagues and external clients, and the ability to provide clear, confident advice across both standard and non-standard activity.</w:t>
      </w:r>
    </w:p>
    <w:p w14:paraId="0857AA11" w14:textId="77777777" w:rsidR="00A53CE5" w:rsidRPr="0083508B" w:rsidRDefault="00A53CE5" w:rsidP="00B809A0">
      <w:pPr>
        <w:rPr>
          <w:rFonts w:cs="Calibri"/>
        </w:rPr>
      </w:pPr>
    </w:p>
    <w:p w14:paraId="6312B4D3" w14:textId="07393D24" w:rsidR="00927039" w:rsidRPr="0083508B" w:rsidRDefault="00927039" w:rsidP="00B809A0">
      <w:pPr>
        <w:rPr>
          <w:rFonts w:cs="Calibri"/>
        </w:rPr>
      </w:pPr>
      <w:r w:rsidRPr="0083508B">
        <w:rPr>
          <w:rFonts w:cs="Calibri"/>
        </w:rPr>
        <w:t xml:space="preserve">The Academic Commercial Services </w:t>
      </w:r>
      <w:r w:rsidR="00A63241">
        <w:rPr>
          <w:rFonts w:cs="Calibri"/>
        </w:rPr>
        <w:t>Associate</w:t>
      </w:r>
      <w:r w:rsidR="00A63241" w:rsidRPr="0083508B">
        <w:rPr>
          <w:rFonts w:cs="Calibri"/>
        </w:rPr>
        <w:t xml:space="preserve"> </w:t>
      </w:r>
      <w:r w:rsidRPr="0083508B">
        <w:rPr>
          <w:rFonts w:cs="Calibri"/>
        </w:rPr>
        <w:t>will play a key role in supporting and advising on trading models such as operating divisions, helping to assess suitability, establish appropriate frameworks and ensure activity operates in line with UoBE and University requirements. The role is well suited to a commercially minded professional who enjoys working at the academic and business interface in a fast-paced environment.</w:t>
      </w:r>
    </w:p>
    <w:p w14:paraId="1D1C2E8F" w14:textId="77777777" w:rsidR="00927039" w:rsidRPr="0083508B" w:rsidRDefault="00927039" w:rsidP="00B809A0">
      <w:pPr>
        <w:rPr>
          <w:rFonts w:cs="Calibri"/>
        </w:rPr>
      </w:pPr>
    </w:p>
    <w:p w14:paraId="2B1C73D4" w14:textId="40751FD6" w:rsidR="001B42A2" w:rsidRPr="0083508B" w:rsidRDefault="003C145A" w:rsidP="00B809A0">
      <w:pPr>
        <w:autoSpaceDE w:val="0"/>
        <w:autoSpaceDN w:val="0"/>
        <w:adjustRightInd w:val="0"/>
        <w:rPr>
          <w:rFonts w:asciiTheme="minorHAnsi" w:hAnsiTheme="minorHAnsi" w:cstheme="minorHAnsi"/>
          <w:b/>
          <w:bCs/>
        </w:rPr>
      </w:pPr>
      <w:bookmarkStart w:id="0" w:name="_Hlk175219440"/>
      <w:r w:rsidRPr="0083508B">
        <w:rPr>
          <w:rFonts w:asciiTheme="minorHAnsi" w:hAnsiTheme="minorHAnsi" w:cstheme="minorHAnsi"/>
          <w:b/>
          <w:bCs/>
        </w:rPr>
        <w:t>Main Duties</w:t>
      </w:r>
      <w:r w:rsidR="00FA3587" w:rsidRPr="0083508B">
        <w:rPr>
          <w:rFonts w:asciiTheme="minorHAnsi" w:hAnsiTheme="minorHAnsi" w:cstheme="minorHAnsi"/>
          <w:b/>
          <w:bCs/>
        </w:rPr>
        <w:t xml:space="preserve">: </w:t>
      </w:r>
    </w:p>
    <w:p w14:paraId="09DB1C1B" w14:textId="77777777" w:rsidR="00896702" w:rsidRPr="0083508B" w:rsidRDefault="00896702" w:rsidP="00B809A0">
      <w:pPr>
        <w:rPr>
          <w:rFonts w:asciiTheme="minorHAnsi" w:hAnsiTheme="minorHAnsi" w:cstheme="minorHAnsi"/>
          <w:u w:val="single"/>
        </w:rPr>
      </w:pPr>
    </w:p>
    <w:p w14:paraId="6E50C56E" w14:textId="43220C43" w:rsidR="00896702" w:rsidRPr="0083508B" w:rsidRDefault="0019795B" w:rsidP="00B809A0">
      <w:pPr>
        <w:rPr>
          <w:rFonts w:asciiTheme="minorHAnsi" w:hAnsiTheme="minorHAnsi" w:cstheme="minorHAnsi"/>
        </w:rPr>
      </w:pPr>
      <w:r w:rsidRPr="0083508B">
        <w:rPr>
          <w:rFonts w:asciiTheme="minorHAnsi" w:hAnsiTheme="minorHAnsi" w:cstheme="minorHAnsi"/>
        </w:rPr>
        <w:t xml:space="preserve">Academic Commercial </w:t>
      </w:r>
      <w:r w:rsidR="00896702" w:rsidRPr="0083508B">
        <w:rPr>
          <w:rFonts w:asciiTheme="minorHAnsi" w:hAnsiTheme="minorHAnsi" w:cstheme="minorHAnsi"/>
        </w:rPr>
        <w:t>Service Delivery</w:t>
      </w:r>
    </w:p>
    <w:p w14:paraId="27172F78" w14:textId="1DA5D175" w:rsidR="00F3343B" w:rsidRPr="00FF4B5C" w:rsidRDefault="00F3343B" w:rsidP="00B809A0">
      <w:pPr>
        <w:pStyle w:val="NormalWeb"/>
        <w:numPr>
          <w:ilvl w:val="0"/>
          <w:numId w:val="34"/>
        </w:numPr>
        <w:spacing w:after="0" w:afterAutospacing="0"/>
        <w:rPr>
          <w:rFonts w:asciiTheme="minorHAnsi" w:hAnsiTheme="minorHAnsi" w:cstheme="minorHAnsi"/>
          <w:sz w:val="22"/>
          <w:szCs w:val="22"/>
        </w:rPr>
      </w:pPr>
      <w:r w:rsidRPr="00FF4B5C">
        <w:rPr>
          <w:rFonts w:asciiTheme="minorHAnsi" w:hAnsiTheme="minorHAnsi" w:cstheme="minorHAnsi"/>
          <w:sz w:val="22"/>
          <w:szCs w:val="22"/>
        </w:rPr>
        <w:t>Deliver a high-quality Academic Commercial Service (ACS), providing end-to-end support to academics undertaking consultancy and services activity, including managing enquiries, fee setting, contract negotiation and advising academics throughout project delivery.</w:t>
      </w:r>
    </w:p>
    <w:p w14:paraId="3F84D999" w14:textId="2942A235" w:rsidR="00F3343B" w:rsidRPr="00FF4B5C" w:rsidRDefault="00F3343B" w:rsidP="00B809A0">
      <w:pPr>
        <w:pStyle w:val="NormalWeb"/>
        <w:numPr>
          <w:ilvl w:val="0"/>
          <w:numId w:val="34"/>
        </w:numPr>
        <w:spacing w:after="0" w:afterAutospacing="0"/>
        <w:rPr>
          <w:rFonts w:asciiTheme="minorHAnsi" w:hAnsiTheme="minorHAnsi" w:cstheme="minorHAnsi"/>
          <w:sz w:val="22"/>
          <w:szCs w:val="22"/>
        </w:rPr>
      </w:pPr>
      <w:r w:rsidRPr="00FF4B5C">
        <w:rPr>
          <w:rFonts w:asciiTheme="minorHAnsi" w:hAnsiTheme="minorHAnsi" w:cstheme="minorHAnsi"/>
          <w:sz w:val="22"/>
          <w:szCs w:val="22"/>
        </w:rPr>
        <w:t>Act as a trusted point of expertise and ‘go-to’ adviser on academic consultancy, providing clear, authoritative guidance to academics on processes, requirements and best practice.</w:t>
      </w:r>
    </w:p>
    <w:p w14:paraId="669C959A" w14:textId="34E1F2A2" w:rsidR="00F3343B" w:rsidRPr="00FF4B5C" w:rsidRDefault="00F3343B" w:rsidP="00B809A0">
      <w:pPr>
        <w:pStyle w:val="NormalWeb"/>
        <w:numPr>
          <w:ilvl w:val="0"/>
          <w:numId w:val="34"/>
        </w:numPr>
        <w:spacing w:after="0" w:afterAutospacing="0"/>
        <w:rPr>
          <w:rFonts w:asciiTheme="minorHAnsi" w:hAnsiTheme="minorHAnsi" w:cstheme="minorHAnsi"/>
          <w:sz w:val="22"/>
          <w:szCs w:val="22"/>
        </w:rPr>
      </w:pPr>
      <w:r w:rsidRPr="00FF4B5C">
        <w:rPr>
          <w:rFonts w:asciiTheme="minorHAnsi" w:hAnsiTheme="minorHAnsi" w:cstheme="minorHAnsi"/>
          <w:sz w:val="22"/>
          <w:szCs w:val="22"/>
        </w:rPr>
        <w:t>Support academics to undertake consultancy activity in a timely, financially robust and legally compliant manner, ensuring they feel well supported, informed and protected.</w:t>
      </w:r>
    </w:p>
    <w:p w14:paraId="763CB657" w14:textId="77777777" w:rsidR="00FF4B5C" w:rsidRDefault="00F3343B" w:rsidP="00B809A0">
      <w:pPr>
        <w:pStyle w:val="NormalWeb"/>
        <w:numPr>
          <w:ilvl w:val="0"/>
          <w:numId w:val="34"/>
        </w:numPr>
        <w:spacing w:after="0" w:afterAutospacing="0"/>
        <w:rPr>
          <w:rFonts w:asciiTheme="minorHAnsi" w:hAnsiTheme="minorHAnsi" w:cstheme="minorHAnsi"/>
          <w:sz w:val="22"/>
          <w:szCs w:val="22"/>
        </w:rPr>
      </w:pPr>
      <w:r w:rsidRPr="00FF4B5C">
        <w:rPr>
          <w:rFonts w:asciiTheme="minorHAnsi" w:hAnsiTheme="minorHAnsi" w:cstheme="minorHAnsi"/>
          <w:sz w:val="22"/>
          <w:szCs w:val="22"/>
        </w:rPr>
        <w:t>Manage a varied and complex portfolio of activity in a fast-paced, reactive environment, balancing proactive planning with responsiveness to emerging issues and priorities.</w:t>
      </w:r>
    </w:p>
    <w:p w14:paraId="4A971CF8" w14:textId="52A74631" w:rsidR="00FF4B5C" w:rsidRPr="00FF4B5C" w:rsidRDefault="00777BE8" w:rsidP="00B809A0">
      <w:pPr>
        <w:pStyle w:val="NormalWeb"/>
        <w:numPr>
          <w:ilvl w:val="0"/>
          <w:numId w:val="34"/>
        </w:numPr>
        <w:spacing w:after="0" w:afterAutospacing="0"/>
        <w:rPr>
          <w:rFonts w:asciiTheme="minorHAnsi" w:hAnsiTheme="minorHAnsi" w:cstheme="minorHAnsi"/>
          <w:sz w:val="22"/>
          <w:szCs w:val="22"/>
        </w:rPr>
      </w:pPr>
      <w:r w:rsidRPr="00FF4B5C">
        <w:rPr>
          <w:rFonts w:asciiTheme="minorHAnsi" w:hAnsiTheme="minorHAnsi" w:cstheme="minorHAnsi"/>
          <w:sz w:val="22"/>
          <w:szCs w:val="22"/>
        </w:rPr>
        <w:lastRenderedPageBreak/>
        <w:t>Engage with academics proposing new, innovative or non-standard activity, advising on suitability and working with colleagues to develop creative, compliant delivery frameworks where appropriate.</w:t>
      </w:r>
    </w:p>
    <w:p w14:paraId="1879DFA6" w14:textId="77777777" w:rsidR="00FF4B5C" w:rsidRPr="009D27CB" w:rsidRDefault="00777BE8" w:rsidP="00B809A0">
      <w:pPr>
        <w:pStyle w:val="NormalWeb"/>
        <w:numPr>
          <w:ilvl w:val="0"/>
          <w:numId w:val="34"/>
        </w:numPr>
        <w:spacing w:after="0" w:afterAutospacing="0"/>
        <w:rPr>
          <w:rFonts w:asciiTheme="minorHAnsi" w:hAnsiTheme="minorHAnsi" w:cstheme="minorHAnsi"/>
          <w:sz w:val="22"/>
          <w:szCs w:val="22"/>
        </w:rPr>
      </w:pPr>
      <w:r w:rsidRPr="009D27CB">
        <w:rPr>
          <w:rFonts w:asciiTheme="minorHAnsi" w:hAnsiTheme="minorHAnsi" w:cstheme="minorHAnsi"/>
          <w:sz w:val="22"/>
          <w:szCs w:val="22"/>
        </w:rPr>
        <w:t>Contribute to the effective operation of the ACS by supporting accurate reporting and provision of information required to monitor compliance, commercial performance and financial outcomes.</w:t>
      </w:r>
    </w:p>
    <w:p w14:paraId="4653054C" w14:textId="57157392" w:rsidR="00896702" w:rsidRPr="009D27CB" w:rsidRDefault="007828FA" w:rsidP="00B809A0">
      <w:pPr>
        <w:pStyle w:val="NormalWeb"/>
        <w:numPr>
          <w:ilvl w:val="0"/>
          <w:numId w:val="34"/>
        </w:numPr>
        <w:spacing w:after="0" w:afterAutospacing="0"/>
        <w:rPr>
          <w:rFonts w:asciiTheme="minorHAnsi" w:hAnsiTheme="minorHAnsi" w:cstheme="minorHAnsi"/>
          <w:sz w:val="22"/>
          <w:szCs w:val="22"/>
        </w:rPr>
      </w:pPr>
      <w:r w:rsidRPr="009D27CB">
        <w:rPr>
          <w:rFonts w:asciiTheme="minorHAnsi" w:hAnsiTheme="minorHAnsi" w:cstheme="minorHAnsi"/>
          <w:sz w:val="22"/>
          <w:szCs w:val="22"/>
        </w:rPr>
        <w:t>Work collaboratively with colleagues across University of Birmingham Enterprise to support the development and delivery of related consultancy and operating division sub-programmes, including Spin-OD, Consult-OD and SHAPE-OD.</w:t>
      </w:r>
    </w:p>
    <w:p w14:paraId="49CE7875" w14:textId="77777777" w:rsidR="00896702" w:rsidRPr="00CE6723" w:rsidRDefault="00896702" w:rsidP="00B809A0">
      <w:pPr>
        <w:rPr>
          <w:rFonts w:cs="Calibri"/>
          <w:u w:val="single"/>
        </w:rPr>
      </w:pPr>
    </w:p>
    <w:p w14:paraId="63FD96A6" w14:textId="1E7EE97E" w:rsidR="00E35534" w:rsidRDefault="00E35534" w:rsidP="00B809A0">
      <w:pPr>
        <w:rPr>
          <w:rFonts w:cs="Calibri"/>
        </w:rPr>
      </w:pPr>
      <w:r w:rsidRPr="00E35534">
        <w:rPr>
          <w:rFonts w:cs="Calibri"/>
        </w:rPr>
        <w:t>Commercial, Contractual and Governance Support</w:t>
      </w:r>
      <w:r>
        <w:rPr>
          <w:rFonts w:cs="Calibri"/>
        </w:rPr>
        <w:t xml:space="preserve"> </w:t>
      </w:r>
    </w:p>
    <w:p w14:paraId="1522966D" w14:textId="77777777" w:rsidR="00CE6723" w:rsidRPr="00CE6723" w:rsidRDefault="00CE6723" w:rsidP="00B809A0">
      <w:pPr>
        <w:rPr>
          <w:rFonts w:cs="Calibri"/>
        </w:rPr>
      </w:pPr>
    </w:p>
    <w:p w14:paraId="67251893" w14:textId="77777777" w:rsidR="00CE6723" w:rsidRDefault="00F00B08" w:rsidP="00B809A0">
      <w:pPr>
        <w:pStyle w:val="ListParagraph"/>
        <w:numPr>
          <w:ilvl w:val="0"/>
          <w:numId w:val="25"/>
        </w:numPr>
        <w:spacing w:after="0" w:line="240" w:lineRule="auto"/>
        <w:rPr>
          <w:rFonts w:ascii="Calibri" w:hAnsi="Calibri" w:cs="Calibri"/>
        </w:rPr>
      </w:pPr>
      <w:r w:rsidRPr="00F00B08">
        <w:rPr>
          <w:rFonts w:ascii="Calibri" w:hAnsi="Calibri" w:cs="Calibri"/>
        </w:rPr>
        <w:t>Apply commercial judgement to set and negotiate appropriate fees for academic consultancy and services activity, taking account of the nature of the work, academic expertise, market context and client requirements, and ensuring equitable and consistent pricing.</w:t>
      </w:r>
    </w:p>
    <w:p w14:paraId="338296C2" w14:textId="05A9F7AA" w:rsidR="00CE6723" w:rsidRPr="00D8411B" w:rsidRDefault="00152138" w:rsidP="00B809A0">
      <w:pPr>
        <w:pStyle w:val="ListParagraph"/>
        <w:numPr>
          <w:ilvl w:val="0"/>
          <w:numId w:val="25"/>
        </w:numPr>
        <w:spacing w:after="0" w:line="240" w:lineRule="auto"/>
        <w:rPr>
          <w:rFonts w:ascii="Calibri" w:hAnsi="Calibri" w:cs="Calibri"/>
        </w:rPr>
      </w:pPr>
      <w:r w:rsidRPr="00D8411B">
        <w:rPr>
          <w:rFonts w:ascii="Calibri" w:hAnsi="Calibri" w:cs="Calibri"/>
        </w:rPr>
        <w:t xml:space="preserve">Negotiate and manage consultancy, services, facilities and equipment access agreements, and operating divisions, across the Institution. </w:t>
      </w:r>
    </w:p>
    <w:p w14:paraId="51138CED" w14:textId="77777777" w:rsidR="00CE6723" w:rsidRDefault="003542F5" w:rsidP="00B809A0">
      <w:pPr>
        <w:pStyle w:val="ListParagraph"/>
        <w:numPr>
          <w:ilvl w:val="0"/>
          <w:numId w:val="25"/>
        </w:numPr>
        <w:spacing w:after="0" w:line="240" w:lineRule="auto"/>
        <w:rPr>
          <w:rFonts w:ascii="Calibri" w:hAnsi="Calibri" w:cs="Calibri"/>
        </w:rPr>
      </w:pPr>
      <w:r w:rsidRPr="003542F5">
        <w:rPr>
          <w:rFonts w:ascii="Calibri" w:hAnsi="Calibri" w:cs="Calibri"/>
        </w:rPr>
        <w:t>Ensure contracts are progressed efficiently and to a high standard, supporting academics to meet bid and client deadlines without compromising quality or compliance.</w:t>
      </w:r>
      <w:r>
        <w:rPr>
          <w:rFonts w:ascii="Calibri" w:hAnsi="Calibri" w:cs="Calibri"/>
        </w:rPr>
        <w:t xml:space="preserve"> </w:t>
      </w:r>
    </w:p>
    <w:p w14:paraId="5FBCABA3" w14:textId="77777777" w:rsidR="00CE6723" w:rsidRPr="00D8411B" w:rsidRDefault="0020055C" w:rsidP="00B809A0">
      <w:pPr>
        <w:pStyle w:val="ListParagraph"/>
        <w:numPr>
          <w:ilvl w:val="0"/>
          <w:numId w:val="25"/>
        </w:numPr>
        <w:spacing w:after="0" w:line="240" w:lineRule="auto"/>
        <w:rPr>
          <w:rFonts w:ascii="Calibri" w:hAnsi="Calibri" w:cs="Calibri"/>
        </w:rPr>
      </w:pPr>
      <w:r w:rsidRPr="00D8411B">
        <w:rPr>
          <w:rFonts w:ascii="Calibri" w:hAnsi="Calibri" w:cs="Calibri"/>
        </w:rPr>
        <w:t xml:space="preserve">Identify, assess and mitigate commercial, legal, reputational and ethical risks, ensuring that intellectual property considerations are appropriately addressed within contractual arrangements. </w:t>
      </w:r>
    </w:p>
    <w:p w14:paraId="3FFA251F" w14:textId="77777777" w:rsidR="00DE0DD9" w:rsidRDefault="0020055C" w:rsidP="00B809A0">
      <w:pPr>
        <w:pStyle w:val="ListParagraph"/>
        <w:numPr>
          <w:ilvl w:val="0"/>
          <w:numId w:val="25"/>
        </w:numPr>
        <w:spacing w:after="0" w:line="240" w:lineRule="auto"/>
        <w:rPr>
          <w:rFonts w:ascii="Calibri" w:hAnsi="Calibri" w:cs="Calibri"/>
        </w:rPr>
      </w:pPr>
      <w:r w:rsidRPr="0020055C">
        <w:rPr>
          <w:rFonts w:ascii="Calibri" w:hAnsi="Calibri" w:cs="Calibri"/>
        </w:rPr>
        <w:t xml:space="preserve">Work collaboratively with colleagues across UoBE and the University to seek and provide advice on contractual, commercial and governance </w:t>
      </w:r>
      <w:proofErr w:type="gramStart"/>
      <w:r w:rsidRPr="0020055C">
        <w:rPr>
          <w:rFonts w:ascii="Calibri" w:hAnsi="Calibri" w:cs="Calibri"/>
        </w:rPr>
        <w:t>matters</w:t>
      </w:r>
      <w:proofErr w:type="gramEnd"/>
      <w:r w:rsidRPr="0020055C">
        <w:rPr>
          <w:rFonts w:ascii="Calibri" w:hAnsi="Calibri" w:cs="Calibri"/>
        </w:rPr>
        <w:t xml:space="preserve"> as required.</w:t>
      </w:r>
      <w:r>
        <w:rPr>
          <w:rFonts w:ascii="Calibri" w:hAnsi="Calibri" w:cs="Calibri"/>
        </w:rPr>
        <w:t xml:space="preserve"> </w:t>
      </w:r>
    </w:p>
    <w:p w14:paraId="591D418D" w14:textId="77777777" w:rsidR="00DE0DD9" w:rsidRDefault="0056427E" w:rsidP="00B809A0">
      <w:pPr>
        <w:pStyle w:val="ListParagraph"/>
        <w:numPr>
          <w:ilvl w:val="0"/>
          <w:numId w:val="25"/>
        </w:numPr>
        <w:spacing w:after="0" w:line="240" w:lineRule="auto"/>
        <w:rPr>
          <w:rFonts w:ascii="Calibri" w:hAnsi="Calibri" w:cs="Calibri"/>
        </w:rPr>
      </w:pPr>
      <w:r w:rsidRPr="0056427E">
        <w:rPr>
          <w:rFonts w:ascii="Calibri" w:hAnsi="Calibri" w:cs="Calibri"/>
        </w:rPr>
        <w:t>Ensure all contracts and related documentation are completed in line with UoBE and University governance, legal and financial requirements, providing appropriate protection for both the organisation and individual academics.</w:t>
      </w:r>
      <w:r>
        <w:rPr>
          <w:rFonts w:ascii="Calibri" w:hAnsi="Calibri" w:cs="Calibri"/>
        </w:rPr>
        <w:t xml:space="preserve"> </w:t>
      </w:r>
    </w:p>
    <w:p w14:paraId="153A364E" w14:textId="0D9CF2DA" w:rsidR="00896702" w:rsidRDefault="0056427E" w:rsidP="00B809A0">
      <w:pPr>
        <w:pStyle w:val="ListParagraph"/>
        <w:numPr>
          <w:ilvl w:val="0"/>
          <w:numId w:val="25"/>
        </w:numPr>
        <w:spacing w:after="0" w:line="240" w:lineRule="auto"/>
        <w:rPr>
          <w:rFonts w:ascii="Calibri" w:hAnsi="Calibri" w:cs="Calibri"/>
        </w:rPr>
      </w:pPr>
      <w:r w:rsidRPr="0056427E">
        <w:rPr>
          <w:rFonts w:ascii="Calibri" w:hAnsi="Calibri" w:cs="Calibri"/>
        </w:rPr>
        <w:t>Ensure consultancy and services activity is costed, priced and invoiced accurately and in accordance with UoBE and University financial regulations, with due regard for revenue generation and financial sustainability.</w:t>
      </w:r>
      <w:r>
        <w:rPr>
          <w:rFonts w:ascii="Calibri" w:hAnsi="Calibri" w:cs="Calibri"/>
        </w:rPr>
        <w:t xml:space="preserve"> </w:t>
      </w:r>
    </w:p>
    <w:p w14:paraId="18EC4D1A" w14:textId="77777777" w:rsidR="00B809A0" w:rsidRPr="00DE0DD9" w:rsidRDefault="00B809A0" w:rsidP="00B809A0">
      <w:pPr>
        <w:pStyle w:val="ListParagraph"/>
        <w:spacing w:after="0" w:line="240" w:lineRule="auto"/>
        <w:rPr>
          <w:rFonts w:ascii="Calibri" w:hAnsi="Calibri" w:cs="Calibri"/>
        </w:rPr>
      </w:pPr>
    </w:p>
    <w:p w14:paraId="3DC7D9E4" w14:textId="3B7F9A1D" w:rsidR="0004281C" w:rsidRDefault="00947BE2" w:rsidP="00B809A0">
      <w:pPr>
        <w:rPr>
          <w:rFonts w:cs="Calibri"/>
        </w:rPr>
      </w:pPr>
      <w:r w:rsidRPr="00947BE2">
        <w:rPr>
          <w:rFonts w:cs="Calibri"/>
        </w:rPr>
        <w:t>Additional Responsibilities and Stakeholder Engagement</w:t>
      </w:r>
    </w:p>
    <w:p w14:paraId="46A0D8AB" w14:textId="77777777" w:rsidR="00947BE2" w:rsidRPr="0004281C" w:rsidRDefault="00947BE2" w:rsidP="00B809A0">
      <w:pPr>
        <w:rPr>
          <w:rFonts w:cs="Calibri"/>
        </w:rPr>
      </w:pPr>
    </w:p>
    <w:p w14:paraId="4DA95392" w14:textId="77777777" w:rsidR="006E713D" w:rsidRDefault="00077C59" w:rsidP="00B809A0">
      <w:pPr>
        <w:pStyle w:val="ListParagraph"/>
        <w:numPr>
          <w:ilvl w:val="0"/>
          <w:numId w:val="25"/>
        </w:numPr>
        <w:spacing w:after="0" w:line="240" w:lineRule="auto"/>
        <w:rPr>
          <w:rFonts w:ascii="Calibri" w:hAnsi="Calibri" w:cs="Calibri"/>
        </w:rPr>
      </w:pPr>
      <w:r w:rsidRPr="00077C59">
        <w:rPr>
          <w:rFonts w:ascii="Calibri" w:hAnsi="Calibri" w:cs="Calibri"/>
        </w:rPr>
        <w:t xml:space="preserve">Support the Head of Academic Commercial Services with continuous improvement activity, including contributing to business development initiatives and identifying high-impact consultancy and services projects aligned with </w:t>
      </w:r>
      <w:proofErr w:type="spellStart"/>
      <w:r w:rsidRPr="00077C59">
        <w:rPr>
          <w:rFonts w:ascii="Calibri" w:hAnsi="Calibri" w:cs="Calibri"/>
        </w:rPr>
        <w:t>UoBE’s</w:t>
      </w:r>
      <w:proofErr w:type="spellEnd"/>
      <w:r w:rsidRPr="00077C59">
        <w:rPr>
          <w:rFonts w:ascii="Calibri" w:hAnsi="Calibri" w:cs="Calibri"/>
        </w:rPr>
        <w:t xml:space="preserve"> strategic objectives.</w:t>
      </w:r>
      <w:r>
        <w:rPr>
          <w:rFonts w:ascii="Calibri" w:hAnsi="Calibri" w:cs="Calibri"/>
        </w:rPr>
        <w:t xml:space="preserve"> </w:t>
      </w:r>
      <w:r w:rsidR="00895E0E">
        <w:rPr>
          <w:rFonts w:ascii="Calibri" w:hAnsi="Calibri" w:cs="Calibri"/>
        </w:rPr>
        <w:t xml:space="preserve"> </w:t>
      </w:r>
    </w:p>
    <w:p w14:paraId="59FDC044" w14:textId="7B8237F3" w:rsidR="00895E0E" w:rsidRPr="0004281C" w:rsidRDefault="00895E0E" w:rsidP="00B809A0">
      <w:pPr>
        <w:pStyle w:val="ListParagraph"/>
        <w:numPr>
          <w:ilvl w:val="0"/>
          <w:numId w:val="25"/>
        </w:numPr>
        <w:spacing w:after="0" w:line="240" w:lineRule="auto"/>
        <w:rPr>
          <w:rFonts w:ascii="Calibri" w:hAnsi="Calibri" w:cs="Calibri"/>
        </w:rPr>
      </w:pPr>
      <w:r w:rsidRPr="00895E0E">
        <w:rPr>
          <w:rFonts w:ascii="Calibri" w:hAnsi="Calibri" w:cs="Calibri"/>
        </w:rPr>
        <w:t>Contribute to the assessment, set-up and effective operation of trading models such as operating divisions, providing advice and guidance to academics and UoBE colleagues on suitability, governance and delivery.</w:t>
      </w:r>
    </w:p>
    <w:p w14:paraId="5FDFF3FF" w14:textId="77777777" w:rsidR="003714F7" w:rsidRDefault="00C51A6F" w:rsidP="00B809A0">
      <w:pPr>
        <w:pStyle w:val="ListParagraph"/>
        <w:numPr>
          <w:ilvl w:val="0"/>
          <w:numId w:val="25"/>
        </w:numPr>
        <w:spacing w:after="0" w:line="240" w:lineRule="auto"/>
        <w:rPr>
          <w:rFonts w:cs="Calibri"/>
        </w:rPr>
      </w:pPr>
      <w:r w:rsidRPr="003714F7">
        <w:rPr>
          <w:rFonts w:cs="Calibri"/>
        </w:rPr>
        <w:t>Provide advice, guidance and support to senior leaders and key stakeholders within the University where specialist commercial or independent input is required.</w:t>
      </w:r>
    </w:p>
    <w:p w14:paraId="736FE86F" w14:textId="17457D2D" w:rsidR="003714F7" w:rsidRPr="00D8411B" w:rsidRDefault="00C51A6F" w:rsidP="00B809A0">
      <w:pPr>
        <w:pStyle w:val="ListParagraph"/>
        <w:numPr>
          <w:ilvl w:val="0"/>
          <w:numId w:val="25"/>
        </w:numPr>
        <w:spacing w:after="0" w:line="240" w:lineRule="auto"/>
        <w:rPr>
          <w:rFonts w:cs="Calibri"/>
        </w:rPr>
      </w:pPr>
      <w:r w:rsidRPr="00D8411B">
        <w:rPr>
          <w:rFonts w:cs="Calibri"/>
        </w:rPr>
        <w:t xml:space="preserve">Work collaboratively with colleagues across UoBE and the wider University to support engagement activity relating to consultancy, services and operating divisions, including contributing to presentations, briefings or workshops where appropriate. </w:t>
      </w:r>
    </w:p>
    <w:p w14:paraId="3EE6BEA0" w14:textId="77777777" w:rsidR="003714F7" w:rsidRPr="00D8411B" w:rsidRDefault="00246B17" w:rsidP="00B809A0">
      <w:pPr>
        <w:pStyle w:val="ListParagraph"/>
        <w:numPr>
          <w:ilvl w:val="0"/>
          <w:numId w:val="25"/>
        </w:numPr>
        <w:spacing w:after="0" w:line="240" w:lineRule="auto"/>
        <w:rPr>
          <w:rFonts w:cs="Calibri"/>
        </w:rPr>
      </w:pPr>
      <w:r w:rsidRPr="00D8411B">
        <w:rPr>
          <w:rFonts w:cs="Calibri"/>
        </w:rPr>
        <w:t>Undertake other duties as reasonably required in line with the needs of University of Birmingham Enterprise as the organisation continues to grow and evolve.</w:t>
      </w:r>
      <w:r w:rsidR="00C51A6F" w:rsidRPr="00D8411B">
        <w:rPr>
          <w:rFonts w:cs="Calibri"/>
        </w:rPr>
        <w:t xml:space="preserve"> </w:t>
      </w:r>
    </w:p>
    <w:p w14:paraId="685EAABB" w14:textId="77777777" w:rsidR="006A24A0" w:rsidRDefault="006A24A0" w:rsidP="00B809A0">
      <w:pPr>
        <w:rPr>
          <w:rFonts w:cs="Calibri"/>
        </w:rPr>
      </w:pPr>
    </w:p>
    <w:p w14:paraId="32914E11" w14:textId="150912F9" w:rsidR="00896702" w:rsidRPr="0009655B" w:rsidRDefault="00896702" w:rsidP="00B809A0">
      <w:pPr>
        <w:rPr>
          <w:rFonts w:cs="Calibri"/>
          <w:b/>
          <w:bCs/>
        </w:rPr>
      </w:pPr>
      <w:r w:rsidRPr="0009655B">
        <w:rPr>
          <w:rFonts w:cs="Calibri"/>
          <w:b/>
          <w:bCs/>
        </w:rPr>
        <w:t>Person Specification</w:t>
      </w:r>
      <w:r w:rsidR="0009655B" w:rsidRPr="0009655B">
        <w:rPr>
          <w:rFonts w:cs="Calibri"/>
          <w:b/>
          <w:bCs/>
        </w:rPr>
        <w:t>:</w:t>
      </w:r>
    </w:p>
    <w:bookmarkEnd w:id="0"/>
    <w:p w14:paraId="093E4FF9" w14:textId="274E6118" w:rsidR="00A53CE5" w:rsidRPr="002B77B8" w:rsidRDefault="00A53CE5" w:rsidP="00B809A0">
      <w:pPr>
        <w:pStyle w:val="NormalWeb"/>
        <w:numPr>
          <w:ilvl w:val="0"/>
          <w:numId w:val="25"/>
        </w:numPr>
        <w:spacing w:after="0" w:afterAutospacing="0"/>
        <w:rPr>
          <w:rFonts w:ascii="Calibri" w:hAnsi="Calibri" w:cs="Calibri"/>
          <w:sz w:val="22"/>
          <w:szCs w:val="22"/>
        </w:rPr>
      </w:pPr>
      <w:r w:rsidRPr="002B77B8">
        <w:rPr>
          <w:rFonts w:ascii="Calibri" w:hAnsi="Calibri" w:cs="Calibri"/>
          <w:sz w:val="22"/>
          <w:szCs w:val="22"/>
        </w:rPr>
        <w:t xml:space="preserve">Educated to degree level or able to demonstrate equivalent professional experience gained through progressively </w:t>
      </w:r>
      <w:r>
        <w:rPr>
          <w:rFonts w:ascii="Calibri" w:hAnsi="Calibri" w:cs="Calibri"/>
          <w:sz w:val="22"/>
          <w:szCs w:val="22"/>
        </w:rPr>
        <w:t xml:space="preserve">more </w:t>
      </w:r>
      <w:r w:rsidRPr="002B77B8">
        <w:rPr>
          <w:rFonts w:ascii="Calibri" w:hAnsi="Calibri" w:cs="Calibri"/>
          <w:sz w:val="22"/>
          <w:szCs w:val="22"/>
        </w:rPr>
        <w:t>responsible roles at the academic–business interface.</w:t>
      </w:r>
    </w:p>
    <w:p w14:paraId="368EC000" w14:textId="24E92DF7" w:rsidR="00A53CE5" w:rsidRPr="002B77B8" w:rsidRDefault="00A53CE5" w:rsidP="00B809A0">
      <w:pPr>
        <w:pStyle w:val="NormalWeb"/>
        <w:numPr>
          <w:ilvl w:val="0"/>
          <w:numId w:val="25"/>
        </w:numPr>
        <w:spacing w:after="0" w:afterAutospacing="0"/>
        <w:rPr>
          <w:rFonts w:ascii="Calibri" w:hAnsi="Calibri" w:cs="Calibri"/>
          <w:sz w:val="22"/>
          <w:szCs w:val="22"/>
        </w:rPr>
      </w:pPr>
      <w:r w:rsidRPr="002B77B8">
        <w:rPr>
          <w:rFonts w:ascii="Calibri" w:hAnsi="Calibri" w:cs="Calibri"/>
          <w:sz w:val="22"/>
          <w:szCs w:val="22"/>
        </w:rPr>
        <w:t>A resilient, self-motivated professional with strong personal accountability, able to prioritise effectively, use initiative and manage a high volume of complex work in a fast-paced, reactive environment while maintaining high standards of accuracy.</w:t>
      </w:r>
    </w:p>
    <w:p w14:paraId="1D6890DA" w14:textId="0A65449E" w:rsidR="00A53CE5" w:rsidRPr="002B77B8" w:rsidRDefault="00A53CE5" w:rsidP="00B809A0">
      <w:pPr>
        <w:pStyle w:val="NormalWeb"/>
        <w:numPr>
          <w:ilvl w:val="0"/>
          <w:numId w:val="25"/>
        </w:numPr>
        <w:spacing w:after="0" w:afterAutospacing="0"/>
        <w:rPr>
          <w:rFonts w:ascii="Calibri" w:hAnsi="Calibri" w:cs="Calibri"/>
          <w:sz w:val="22"/>
          <w:szCs w:val="22"/>
        </w:rPr>
      </w:pPr>
      <w:r w:rsidRPr="002B77B8">
        <w:rPr>
          <w:rFonts w:ascii="Calibri" w:hAnsi="Calibri" w:cs="Calibri"/>
          <w:sz w:val="22"/>
          <w:szCs w:val="22"/>
        </w:rPr>
        <w:t>Excellent written and verbal communication skills, with the ability to explain complex issues clearly and to influence and negotiate effectively.</w:t>
      </w:r>
    </w:p>
    <w:p w14:paraId="4F89AE4C" w14:textId="71D4CBF1" w:rsidR="00A53CE5" w:rsidRPr="002B77B8" w:rsidRDefault="00A53CE5" w:rsidP="00B809A0">
      <w:pPr>
        <w:pStyle w:val="NormalWeb"/>
        <w:numPr>
          <w:ilvl w:val="0"/>
          <w:numId w:val="25"/>
        </w:numPr>
        <w:spacing w:after="0" w:afterAutospacing="0"/>
        <w:rPr>
          <w:rFonts w:ascii="Calibri" w:hAnsi="Calibri" w:cs="Calibri"/>
          <w:sz w:val="22"/>
          <w:szCs w:val="22"/>
        </w:rPr>
      </w:pPr>
      <w:r w:rsidRPr="002B77B8">
        <w:rPr>
          <w:rFonts w:ascii="Calibri" w:hAnsi="Calibri" w:cs="Calibri"/>
          <w:sz w:val="22"/>
          <w:szCs w:val="22"/>
        </w:rPr>
        <w:t>Strong interpersonal skills, with the ability to establish credibility and work diplomatically with academics, senior University colleagues and external commercial, legal and procurement counterparts.</w:t>
      </w:r>
    </w:p>
    <w:p w14:paraId="6FF06ECD" w14:textId="0A36FCB7" w:rsidR="00A53CE5" w:rsidRPr="00D26A35" w:rsidRDefault="00A53CE5" w:rsidP="00B809A0">
      <w:pPr>
        <w:pStyle w:val="NormalWeb"/>
        <w:numPr>
          <w:ilvl w:val="0"/>
          <w:numId w:val="25"/>
        </w:numPr>
        <w:spacing w:after="0" w:afterAutospacing="0"/>
        <w:rPr>
          <w:rFonts w:asciiTheme="minorHAnsi" w:hAnsiTheme="minorHAnsi" w:cstheme="minorHAnsi"/>
          <w:sz w:val="22"/>
          <w:szCs w:val="22"/>
        </w:rPr>
      </w:pPr>
      <w:r w:rsidRPr="002B77B8">
        <w:rPr>
          <w:rFonts w:ascii="Calibri" w:hAnsi="Calibri" w:cs="Calibri"/>
          <w:sz w:val="22"/>
          <w:szCs w:val="22"/>
        </w:rPr>
        <w:lastRenderedPageBreak/>
        <w:t>Dem</w:t>
      </w:r>
      <w:r w:rsidRPr="00D26A35">
        <w:rPr>
          <w:rFonts w:asciiTheme="minorHAnsi" w:hAnsiTheme="minorHAnsi" w:cstheme="minorHAnsi"/>
          <w:sz w:val="22"/>
          <w:szCs w:val="22"/>
        </w:rPr>
        <w:t>onstrable experience of developing commercial proposals and managing commercial contracts, including negotiating and drafting agreements in line with governance and compliance requirements.</w:t>
      </w:r>
    </w:p>
    <w:p w14:paraId="75D79C77" w14:textId="77B9C1FD" w:rsidR="00A53CE5" w:rsidRPr="00D26A35" w:rsidRDefault="00A53CE5" w:rsidP="00B809A0">
      <w:pPr>
        <w:pStyle w:val="NormalWeb"/>
        <w:numPr>
          <w:ilvl w:val="0"/>
          <w:numId w:val="25"/>
        </w:numPr>
        <w:spacing w:after="0" w:afterAutospacing="0"/>
        <w:rPr>
          <w:rFonts w:asciiTheme="minorHAnsi" w:hAnsiTheme="minorHAnsi" w:cstheme="minorHAnsi"/>
          <w:sz w:val="22"/>
          <w:szCs w:val="22"/>
        </w:rPr>
      </w:pPr>
      <w:r w:rsidRPr="00D26A35">
        <w:rPr>
          <w:rFonts w:asciiTheme="minorHAnsi" w:hAnsiTheme="minorHAnsi" w:cstheme="minorHAnsi"/>
          <w:sz w:val="22"/>
          <w:szCs w:val="22"/>
        </w:rPr>
        <w:t>Strong problem-solving skills and professional judgement, with the ability to develop pragmatic, compliant solutions for non-standard or novel activity.</w:t>
      </w:r>
    </w:p>
    <w:p w14:paraId="0A823A97" w14:textId="77777777" w:rsidR="00D26A35" w:rsidRPr="00D26A35" w:rsidRDefault="00A53CE5" w:rsidP="00B809A0">
      <w:pPr>
        <w:pStyle w:val="NormalWeb"/>
        <w:numPr>
          <w:ilvl w:val="0"/>
          <w:numId w:val="25"/>
        </w:numPr>
        <w:spacing w:after="0" w:afterAutospacing="0"/>
        <w:rPr>
          <w:rFonts w:asciiTheme="minorHAnsi" w:hAnsiTheme="minorHAnsi" w:cstheme="minorHAnsi"/>
          <w:sz w:val="22"/>
          <w:szCs w:val="22"/>
        </w:rPr>
      </w:pPr>
      <w:r w:rsidRPr="00D26A35">
        <w:rPr>
          <w:rFonts w:asciiTheme="minorHAnsi" w:hAnsiTheme="minorHAnsi" w:cstheme="minorHAnsi"/>
          <w:sz w:val="22"/>
          <w:szCs w:val="22"/>
        </w:rPr>
        <w:t>Experience of working at the academic and business interface, with an understanding of how universities and technology transfer or enterprise organisations operate, and an appreciation of the differing objectives, drivers and timescales of academic and commercial environments is desirable.</w:t>
      </w:r>
    </w:p>
    <w:p w14:paraId="5F9E7685" w14:textId="518F88DC" w:rsidR="002B77B8" w:rsidRPr="00D26A35" w:rsidRDefault="00A53CE5" w:rsidP="00B809A0">
      <w:pPr>
        <w:pStyle w:val="NormalWeb"/>
        <w:numPr>
          <w:ilvl w:val="0"/>
          <w:numId w:val="25"/>
        </w:numPr>
        <w:spacing w:after="0" w:afterAutospacing="0"/>
        <w:rPr>
          <w:rFonts w:asciiTheme="minorHAnsi" w:hAnsiTheme="minorHAnsi" w:cstheme="minorHAnsi"/>
          <w:sz w:val="22"/>
          <w:szCs w:val="22"/>
        </w:rPr>
      </w:pPr>
      <w:r w:rsidRPr="00D26A35">
        <w:rPr>
          <w:rFonts w:asciiTheme="minorHAnsi" w:hAnsiTheme="minorHAnsi" w:cstheme="minorHAnsi"/>
          <w:sz w:val="22"/>
          <w:szCs w:val="22"/>
        </w:rPr>
        <w:t>An appreciation of equality, diversity and inclusivity. The postholder will need to ensure that the team and our activities are as inclusive and accessible as possible.</w:t>
      </w:r>
    </w:p>
    <w:p w14:paraId="6B084412" w14:textId="77777777" w:rsidR="002B77B8" w:rsidRDefault="002B77B8" w:rsidP="00B809A0">
      <w:pPr>
        <w:rPr>
          <w:rFonts w:eastAsia="Times New Roman" w:cs="Calibri"/>
          <w:lang w:eastAsia="en-GB"/>
        </w:rPr>
      </w:pPr>
    </w:p>
    <w:p w14:paraId="299693A5" w14:textId="7A4BD172" w:rsidR="00321125" w:rsidRPr="000562E4" w:rsidRDefault="00321125" w:rsidP="00B809A0">
      <w:pPr>
        <w:rPr>
          <w:b/>
        </w:rPr>
      </w:pPr>
      <w:r w:rsidRPr="000562E4">
        <w:rPr>
          <w:b/>
        </w:rPr>
        <w:t xml:space="preserve">Our </w:t>
      </w:r>
      <w:r w:rsidR="00D26A35">
        <w:rPr>
          <w:b/>
        </w:rPr>
        <w:t>V</w:t>
      </w:r>
      <w:r w:rsidRPr="000562E4">
        <w:rPr>
          <w:b/>
        </w:rPr>
        <w:t xml:space="preserve">alues and </w:t>
      </w:r>
      <w:r w:rsidR="00D26A35">
        <w:rPr>
          <w:b/>
        </w:rPr>
        <w:t>B</w:t>
      </w:r>
      <w:r w:rsidRPr="000562E4">
        <w:rPr>
          <w:b/>
        </w:rPr>
        <w:t>ehaviours</w:t>
      </w:r>
      <w:r w:rsidR="00D26A35">
        <w:rPr>
          <w:b/>
        </w:rPr>
        <w:t>:</w:t>
      </w:r>
    </w:p>
    <w:p w14:paraId="10AAE55B" w14:textId="5FD31790" w:rsidR="00321125" w:rsidRPr="000562E4" w:rsidRDefault="00321125" w:rsidP="00B809A0">
      <w:pPr>
        <w:rPr>
          <w:b/>
        </w:rPr>
      </w:pPr>
    </w:p>
    <w:p w14:paraId="403BC6C1" w14:textId="4DAA95B9" w:rsidR="00926DF2" w:rsidRPr="000562E4" w:rsidRDefault="00926DF2" w:rsidP="00B809A0">
      <w:pPr>
        <w:rPr>
          <w:b/>
        </w:rPr>
      </w:pPr>
      <w:r w:rsidRPr="000562E4">
        <w:rPr>
          <w:noProof/>
        </w:rPr>
        <w:drawing>
          <wp:anchor distT="0" distB="0" distL="114300" distR="114300" simplePos="0" relativeHeight="251658240" behindDoc="0" locked="0" layoutInCell="1" allowOverlap="1" wp14:anchorId="4DDAB4B6" wp14:editId="6B9250DD">
            <wp:simplePos x="0" y="0"/>
            <wp:positionH relativeFrom="column">
              <wp:posOffset>635</wp:posOffset>
            </wp:positionH>
            <wp:positionV relativeFrom="paragraph">
              <wp:posOffset>-3175</wp:posOffset>
            </wp:positionV>
            <wp:extent cx="6551930" cy="2827020"/>
            <wp:effectExtent l="0" t="0" r="127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551930" cy="2827020"/>
                    </a:xfrm>
                    <a:prstGeom prst="rect">
                      <a:avLst/>
                    </a:prstGeom>
                    <a:noFill/>
                    <a:ln>
                      <a:noFill/>
                    </a:ln>
                  </pic:spPr>
                </pic:pic>
              </a:graphicData>
            </a:graphic>
          </wp:anchor>
        </w:drawing>
      </w:r>
    </w:p>
    <w:sectPr w:rsidR="00926DF2" w:rsidRPr="000562E4" w:rsidSect="000F0363">
      <w:pgSz w:w="11906" w:h="16838"/>
      <w:pgMar w:top="794" w:right="794" w:bottom="794"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B9A"/>
    <w:multiLevelType w:val="hybridMultilevel"/>
    <w:tmpl w:val="3C5E6D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B319C"/>
    <w:multiLevelType w:val="multilevel"/>
    <w:tmpl w:val="C9600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D66F5F"/>
    <w:multiLevelType w:val="hybridMultilevel"/>
    <w:tmpl w:val="E10AD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23F51"/>
    <w:multiLevelType w:val="hybridMultilevel"/>
    <w:tmpl w:val="1B4819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5532C8"/>
    <w:multiLevelType w:val="hybridMultilevel"/>
    <w:tmpl w:val="A920E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E66E54"/>
    <w:multiLevelType w:val="multilevel"/>
    <w:tmpl w:val="CA5A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7A7788"/>
    <w:multiLevelType w:val="hybridMultilevel"/>
    <w:tmpl w:val="E6A602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3781E9D"/>
    <w:multiLevelType w:val="hybridMultilevel"/>
    <w:tmpl w:val="652A6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C86F53"/>
    <w:multiLevelType w:val="hybridMultilevel"/>
    <w:tmpl w:val="CE289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6D4739"/>
    <w:multiLevelType w:val="hybridMultilevel"/>
    <w:tmpl w:val="564E4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C55AE2"/>
    <w:multiLevelType w:val="hybridMultilevel"/>
    <w:tmpl w:val="A948C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B32C74"/>
    <w:multiLevelType w:val="multilevel"/>
    <w:tmpl w:val="3B54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5A3C6A"/>
    <w:multiLevelType w:val="multilevel"/>
    <w:tmpl w:val="EFECF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710F87"/>
    <w:multiLevelType w:val="multilevel"/>
    <w:tmpl w:val="E0FE2D1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331C0F"/>
    <w:multiLevelType w:val="hybridMultilevel"/>
    <w:tmpl w:val="617672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2DB3F81"/>
    <w:multiLevelType w:val="hybridMultilevel"/>
    <w:tmpl w:val="F60019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9400EB2"/>
    <w:multiLevelType w:val="hybridMultilevel"/>
    <w:tmpl w:val="FD88171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D463BE"/>
    <w:multiLevelType w:val="hybridMultilevel"/>
    <w:tmpl w:val="3DD6A9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CA26F9"/>
    <w:multiLevelType w:val="hybridMultilevel"/>
    <w:tmpl w:val="38FC8A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964C27"/>
    <w:multiLevelType w:val="hybridMultilevel"/>
    <w:tmpl w:val="58BA5B9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0019D5"/>
    <w:multiLevelType w:val="hybridMultilevel"/>
    <w:tmpl w:val="875C5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47510F3"/>
    <w:multiLevelType w:val="hybridMultilevel"/>
    <w:tmpl w:val="C284B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3D02D0"/>
    <w:multiLevelType w:val="multilevel"/>
    <w:tmpl w:val="2C10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4F3E63"/>
    <w:multiLevelType w:val="multilevel"/>
    <w:tmpl w:val="43F8E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1E5B20"/>
    <w:multiLevelType w:val="hybridMultilevel"/>
    <w:tmpl w:val="28522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0C3FCA"/>
    <w:multiLevelType w:val="hybridMultilevel"/>
    <w:tmpl w:val="D1B0F8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5E5AAA"/>
    <w:multiLevelType w:val="hybridMultilevel"/>
    <w:tmpl w:val="DAF8DE14"/>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7" w15:restartNumberingAfterBreak="0">
    <w:nsid w:val="643A41C5"/>
    <w:multiLevelType w:val="hybridMultilevel"/>
    <w:tmpl w:val="E74AC4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A1A30D7"/>
    <w:multiLevelType w:val="hybridMultilevel"/>
    <w:tmpl w:val="E8D28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9F0881"/>
    <w:multiLevelType w:val="hybridMultilevel"/>
    <w:tmpl w:val="EAEE3E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1657454"/>
    <w:multiLevelType w:val="hybridMultilevel"/>
    <w:tmpl w:val="28A0E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55330B"/>
    <w:multiLevelType w:val="multilevel"/>
    <w:tmpl w:val="F2FE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5940314"/>
    <w:multiLevelType w:val="hybridMultilevel"/>
    <w:tmpl w:val="7340C436"/>
    <w:lvl w:ilvl="0" w:tplc="08090011">
      <w:start w:val="1"/>
      <w:numFmt w:val="decimal"/>
      <w:lvlText w:val="%1)"/>
      <w:lvlJc w:val="left"/>
      <w:pPr>
        <w:ind w:left="644" w:hanging="360"/>
      </w:p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33" w15:restartNumberingAfterBreak="0">
    <w:nsid w:val="76753357"/>
    <w:multiLevelType w:val="hybridMultilevel"/>
    <w:tmpl w:val="9BFC96B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4" w15:restartNumberingAfterBreak="0">
    <w:nsid w:val="76DF1773"/>
    <w:multiLevelType w:val="hybridMultilevel"/>
    <w:tmpl w:val="79701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AF963E1"/>
    <w:multiLevelType w:val="hybridMultilevel"/>
    <w:tmpl w:val="FDF43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E374E9"/>
    <w:multiLevelType w:val="hybridMultilevel"/>
    <w:tmpl w:val="DF8ED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3599070">
    <w:abstractNumId w:val="32"/>
    <w:lvlOverride w:ilvl="0">
      <w:startOverride w:val="1"/>
    </w:lvlOverride>
    <w:lvlOverride w:ilvl="1"/>
    <w:lvlOverride w:ilvl="2"/>
    <w:lvlOverride w:ilvl="3"/>
    <w:lvlOverride w:ilvl="4"/>
    <w:lvlOverride w:ilvl="5"/>
    <w:lvlOverride w:ilvl="6"/>
    <w:lvlOverride w:ilvl="7"/>
    <w:lvlOverride w:ilvl="8"/>
  </w:num>
  <w:num w:numId="2" w16cid:durableId="1236937987">
    <w:abstractNumId w:val="17"/>
  </w:num>
  <w:num w:numId="3" w16cid:durableId="796948759">
    <w:abstractNumId w:val="18"/>
  </w:num>
  <w:num w:numId="4" w16cid:durableId="817498213">
    <w:abstractNumId w:val="14"/>
  </w:num>
  <w:num w:numId="5" w16cid:durableId="1224410008">
    <w:abstractNumId w:val="32"/>
  </w:num>
  <w:num w:numId="6" w16cid:durableId="250819829">
    <w:abstractNumId w:val="16"/>
  </w:num>
  <w:num w:numId="7" w16cid:durableId="1639799499">
    <w:abstractNumId w:val="28"/>
  </w:num>
  <w:num w:numId="8" w16cid:durableId="2076856210">
    <w:abstractNumId w:val="30"/>
  </w:num>
  <w:num w:numId="9" w16cid:durableId="1582371774">
    <w:abstractNumId w:val="33"/>
  </w:num>
  <w:num w:numId="10" w16cid:durableId="1772581629">
    <w:abstractNumId w:val="25"/>
  </w:num>
  <w:num w:numId="11" w16cid:durableId="1703942143">
    <w:abstractNumId w:val="0"/>
  </w:num>
  <w:num w:numId="12" w16cid:durableId="1039547492">
    <w:abstractNumId w:val="12"/>
  </w:num>
  <w:num w:numId="13" w16cid:durableId="1018889474">
    <w:abstractNumId w:val="1"/>
  </w:num>
  <w:num w:numId="14" w16cid:durableId="364985392">
    <w:abstractNumId w:val="13"/>
  </w:num>
  <w:num w:numId="15" w16cid:durableId="1064567588">
    <w:abstractNumId w:val="22"/>
  </w:num>
  <w:num w:numId="16" w16cid:durableId="953172181">
    <w:abstractNumId w:val="10"/>
  </w:num>
  <w:num w:numId="17" w16cid:durableId="954482021">
    <w:abstractNumId w:val="35"/>
  </w:num>
  <w:num w:numId="18" w16cid:durableId="73362526">
    <w:abstractNumId w:val="4"/>
  </w:num>
  <w:num w:numId="19" w16cid:durableId="2117483612">
    <w:abstractNumId w:val="7"/>
  </w:num>
  <w:num w:numId="20" w16cid:durableId="157574286">
    <w:abstractNumId w:val="34"/>
  </w:num>
  <w:num w:numId="21" w16cid:durableId="1226187996">
    <w:abstractNumId w:val="15"/>
  </w:num>
  <w:num w:numId="22" w16cid:durableId="1943145116">
    <w:abstractNumId w:val="21"/>
  </w:num>
  <w:num w:numId="23" w16cid:durableId="930313166">
    <w:abstractNumId w:val="36"/>
  </w:num>
  <w:num w:numId="24" w16cid:durableId="1234896899">
    <w:abstractNumId w:val="2"/>
  </w:num>
  <w:num w:numId="25" w16cid:durableId="760371908">
    <w:abstractNumId w:val="24"/>
  </w:num>
  <w:num w:numId="26" w16cid:durableId="1207983650">
    <w:abstractNumId w:val="8"/>
  </w:num>
  <w:num w:numId="27" w16cid:durableId="543832074">
    <w:abstractNumId w:val="31"/>
  </w:num>
  <w:num w:numId="28" w16cid:durableId="950669775">
    <w:abstractNumId w:val="23"/>
  </w:num>
  <w:num w:numId="29" w16cid:durableId="1233272368">
    <w:abstractNumId w:val="11"/>
  </w:num>
  <w:num w:numId="30" w16cid:durableId="2037845101">
    <w:abstractNumId w:val="5"/>
  </w:num>
  <w:num w:numId="31" w16cid:durableId="740054929">
    <w:abstractNumId w:val="3"/>
  </w:num>
  <w:num w:numId="32" w16cid:durableId="838735296">
    <w:abstractNumId w:val="9"/>
  </w:num>
  <w:num w:numId="33" w16cid:durableId="1207529409">
    <w:abstractNumId w:val="19"/>
  </w:num>
  <w:num w:numId="34" w16cid:durableId="1732969759">
    <w:abstractNumId w:val="29"/>
  </w:num>
  <w:num w:numId="35" w16cid:durableId="1003704982">
    <w:abstractNumId w:val="27"/>
  </w:num>
  <w:num w:numId="36" w16cid:durableId="763693577">
    <w:abstractNumId w:val="20"/>
  </w:num>
  <w:num w:numId="37" w16cid:durableId="1535461709">
    <w:abstractNumId w:val="6"/>
  </w:num>
  <w:num w:numId="38" w16cid:durableId="15322429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B74"/>
    <w:rsid w:val="00004428"/>
    <w:rsid w:val="00015357"/>
    <w:rsid w:val="000156BC"/>
    <w:rsid w:val="00022382"/>
    <w:rsid w:val="000240DA"/>
    <w:rsid w:val="00035178"/>
    <w:rsid w:val="0004281C"/>
    <w:rsid w:val="000562E4"/>
    <w:rsid w:val="000778AA"/>
    <w:rsid w:val="00077C59"/>
    <w:rsid w:val="00086046"/>
    <w:rsid w:val="00092CE0"/>
    <w:rsid w:val="0009655B"/>
    <w:rsid w:val="00097D17"/>
    <w:rsid w:val="000A6C9A"/>
    <w:rsid w:val="000B021C"/>
    <w:rsid w:val="000B534C"/>
    <w:rsid w:val="000D1C68"/>
    <w:rsid w:val="000D40D7"/>
    <w:rsid w:val="000F0363"/>
    <w:rsid w:val="0011328D"/>
    <w:rsid w:val="00125A3D"/>
    <w:rsid w:val="00134503"/>
    <w:rsid w:val="0013651F"/>
    <w:rsid w:val="00142BB4"/>
    <w:rsid w:val="00152138"/>
    <w:rsid w:val="001966C7"/>
    <w:rsid w:val="0019795B"/>
    <w:rsid w:val="001A1242"/>
    <w:rsid w:val="001B42A2"/>
    <w:rsid w:val="001B7E03"/>
    <w:rsid w:val="001C3450"/>
    <w:rsid w:val="001D0D7A"/>
    <w:rsid w:val="001D2277"/>
    <w:rsid w:val="001F75AD"/>
    <w:rsid w:val="0020055C"/>
    <w:rsid w:val="002039EC"/>
    <w:rsid w:val="00221DE1"/>
    <w:rsid w:val="0024212B"/>
    <w:rsid w:val="00242CE7"/>
    <w:rsid w:val="00246B17"/>
    <w:rsid w:val="0025160E"/>
    <w:rsid w:val="00263D03"/>
    <w:rsid w:val="002650B7"/>
    <w:rsid w:val="00274988"/>
    <w:rsid w:val="002839B8"/>
    <w:rsid w:val="002A6CBE"/>
    <w:rsid w:val="002B77B8"/>
    <w:rsid w:val="002C10DB"/>
    <w:rsid w:val="002D0856"/>
    <w:rsid w:val="002D2581"/>
    <w:rsid w:val="002F68D8"/>
    <w:rsid w:val="002F6C85"/>
    <w:rsid w:val="00307453"/>
    <w:rsid w:val="00321125"/>
    <w:rsid w:val="003542F5"/>
    <w:rsid w:val="003714F7"/>
    <w:rsid w:val="003A1102"/>
    <w:rsid w:val="003C145A"/>
    <w:rsid w:val="003F2DF6"/>
    <w:rsid w:val="00402921"/>
    <w:rsid w:val="00410BA1"/>
    <w:rsid w:val="004114C8"/>
    <w:rsid w:val="0041281E"/>
    <w:rsid w:val="00470380"/>
    <w:rsid w:val="00477C95"/>
    <w:rsid w:val="004A0D40"/>
    <w:rsid w:val="004A40C0"/>
    <w:rsid w:val="004A5F6A"/>
    <w:rsid w:val="004C2DCB"/>
    <w:rsid w:val="004F3ABC"/>
    <w:rsid w:val="00503B87"/>
    <w:rsid w:val="00506241"/>
    <w:rsid w:val="00540859"/>
    <w:rsid w:val="005418A7"/>
    <w:rsid w:val="00550E79"/>
    <w:rsid w:val="0055135D"/>
    <w:rsid w:val="0056427E"/>
    <w:rsid w:val="00573211"/>
    <w:rsid w:val="00581CE9"/>
    <w:rsid w:val="00583C9E"/>
    <w:rsid w:val="00586861"/>
    <w:rsid w:val="005B6450"/>
    <w:rsid w:val="005D6713"/>
    <w:rsid w:val="005E0453"/>
    <w:rsid w:val="006021FF"/>
    <w:rsid w:val="00626822"/>
    <w:rsid w:val="0063139B"/>
    <w:rsid w:val="00636CE4"/>
    <w:rsid w:val="00644FBB"/>
    <w:rsid w:val="00654C93"/>
    <w:rsid w:val="0065685D"/>
    <w:rsid w:val="00657E48"/>
    <w:rsid w:val="006670CA"/>
    <w:rsid w:val="00674EB1"/>
    <w:rsid w:val="006A24A0"/>
    <w:rsid w:val="006D3B60"/>
    <w:rsid w:val="006D68B8"/>
    <w:rsid w:val="006E6290"/>
    <w:rsid w:val="006E713D"/>
    <w:rsid w:val="00701053"/>
    <w:rsid w:val="00725BDB"/>
    <w:rsid w:val="007410A1"/>
    <w:rsid w:val="0074258E"/>
    <w:rsid w:val="007724E4"/>
    <w:rsid w:val="0077291E"/>
    <w:rsid w:val="00777BE8"/>
    <w:rsid w:val="007813C0"/>
    <w:rsid w:val="007828FA"/>
    <w:rsid w:val="00783803"/>
    <w:rsid w:val="00787C63"/>
    <w:rsid w:val="007B4337"/>
    <w:rsid w:val="007B4BD8"/>
    <w:rsid w:val="007B6F61"/>
    <w:rsid w:val="007C2C59"/>
    <w:rsid w:val="007C6646"/>
    <w:rsid w:val="007E0C28"/>
    <w:rsid w:val="007E330D"/>
    <w:rsid w:val="007E4A4F"/>
    <w:rsid w:val="007F42FA"/>
    <w:rsid w:val="007F6CD6"/>
    <w:rsid w:val="008031B9"/>
    <w:rsid w:val="0083508B"/>
    <w:rsid w:val="00844117"/>
    <w:rsid w:val="008945F5"/>
    <w:rsid w:val="00895E0E"/>
    <w:rsid w:val="00896702"/>
    <w:rsid w:val="008B0506"/>
    <w:rsid w:val="008B780C"/>
    <w:rsid w:val="008E1452"/>
    <w:rsid w:val="00920CF7"/>
    <w:rsid w:val="0092563B"/>
    <w:rsid w:val="00926DF2"/>
    <w:rsid w:val="00927039"/>
    <w:rsid w:val="00927E22"/>
    <w:rsid w:val="00947945"/>
    <w:rsid w:val="00947BE2"/>
    <w:rsid w:val="0096519F"/>
    <w:rsid w:val="00966A00"/>
    <w:rsid w:val="00985833"/>
    <w:rsid w:val="00987FAB"/>
    <w:rsid w:val="009954B9"/>
    <w:rsid w:val="009A0F32"/>
    <w:rsid w:val="009A691D"/>
    <w:rsid w:val="009C4847"/>
    <w:rsid w:val="009C7F6C"/>
    <w:rsid w:val="009D27CB"/>
    <w:rsid w:val="00A0075B"/>
    <w:rsid w:val="00A361B4"/>
    <w:rsid w:val="00A47611"/>
    <w:rsid w:val="00A53CE5"/>
    <w:rsid w:val="00A63241"/>
    <w:rsid w:val="00A66611"/>
    <w:rsid w:val="00A81B63"/>
    <w:rsid w:val="00A82A70"/>
    <w:rsid w:val="00A83588"/>
    <w:rsid w:val="00AA1EE6"/>
    <w:rsid w:val="00AA3741"/>
    <w:rsid w:val="00B51A32"/>
    <w:rsid w:val="00B5268A"/>
    <w:rsid w:val="00B809A0"/>
    <w:rsid w:val="00B84508"/>
    <w:rsid w:val="00B94250"/>
    <w:rsid w:val="00B97672"/>
    <w:rsid w:val="00BA5730"/>
    <w:rsid w:val="00BB418D"/>
    <w:rsid w:val="00BC486A"/>
    <w:rsid w:val="00BC607A"/>
    <w:rsid w:val="00BC6E1C"/>
    <w:rsid w:val="00BD76E2"/>
    <w:rsid w:val="00C00150"/>
    <w:rsid w:val="00C14DE8"/>
    <w:rsid w:val="00C34064"/>
    <w:rsid w:val="00C51A6F"/>
    <w:rsid w:val="00C546E3"/>
    <w:rsid w:val="00C738B5"/>
    <w:rsid w:val="00CC2B35"/>
    <w:rsid w:val="00CE40E5"/>
    <w:rsid w:val="00CE5352"/>
    <w:rsid w:val="00CE6723"/>
    <w:rsid w:val="00CE76DA"/>
    <w:rsid w:val="00CF4EF1"/>
    <w:rsid w:val="00D15E04"/>
    <w:rsid w:val="00D23F90"/>
    <w:rsid w:val="00D26A35"/>
    <w:rsid w:val="00D403D7"/>
    <w:rsid w:val="00D41F53"/>
    <w:rsid w:val="00D50AC4"/>
    <w:rsid w:val="00D600CF"/>
    <w:rsid w:val="00D8411B"/>
    <w:rsid w:val="00D93564"/>
    <w:rsid w:val="00D97D1E"/>
    <w:rsid w:val="00DA53BE"/>
    <w:rsid w:val="00DB071C"/>
    <w:rsid w:val="00DB4096"/>
    <w:rsid w:val="00DE0DD9"/>
    <w:rsid w:val="00DF557F"/>
    <w:rsid w:val="00E1594D"/>
    <w:rsid w:val="00E21E8E"/>
    <w:rsid w:val="00E279ED"/>
    <w:rsid w:val="00E334A9"/>
    <w:rsid w:val="00E33D97"/>
    <w:rsid w:val="00E35534"/>
    <w:rsid w:val="00E54786"/>
    <w:rsid w:val="00E651D2"/>
    <w:rsid w:val="00E77E6B"/>
    <w:rsid w:val="00EA1F38"/>
    <w:rsid w:val="00EA4E99"/>
    <w:rsid w:val="00EB3C03"/>
    <w:rsid w:val="00EC08A0"/>
    <w:rsid w:val="00EC6E3B"/>
    <w:rsid w:val="00ED550E"/>
    <w:rsid w:val="00EE55AC"/>
    <w:rsid w:val="00EF5158"/>
    <w:rsid w:val="00F00B08"/>
    <w:rsid w:val="00F15D1B"/>
    <w:rsid w:val="00F17B95"/>
    <w:rsid w:val="00F3343B"/>
    <w:rsid w:val="00F43F39"/>
    <w:rsid w:val="00F44E6D"/>
    <w:rsid w:val="00F452B9"/>
    <w:rsid w:val="00F60080"/>
    <w:rsid w:val="00F63B74"/>
    <w:rsid w:val="00F70394"/>
    <w:rsid w:val="00F852C8"/>
    <w:rsid w:val="00F862C6"/>
    <w:rsid w:val="00FA3587"/>
    <w:rsid w:val="00FA5A59"/>
    <w:rsid w:val="00FB2798"/>
    <w:rsid w:val="00FB4F7A"/>
    <w:rsid w:val="00FD11E5"/>
    <w:rsid w:val="00FE00C3"/>
    <w:rsid w:val="00FE3C2C"/>
    <w:rsid w:val="00FE4C73"/>
    <w:rsid w:val="00FE68D7"/>
    <w:rsid w:val="00FE7FBD"/>
    <w:rsid w:val="00FF4B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DA6DD9"/>
  <w15:docId w15:val="{506B9BAB-81DC-4468-A905-C3DFA2F81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B74"/>
    <w:rPr>
      <w:rFonts w:ascii="Calibri" w:hAnsi="Calibri" w:cs="Times New Roman"/>
    </w:rPr>
  </w:style>
  <w:style w:type="paragraph" w:styleId="Heading1">
    <w:name w:val="heading 1"/>
    <w:basedOn w:val="Normal"/>
    <w:next w:val="Normal"/>
    <w:link w:val="Heading1Char"/>
    <w:uiPriority w:val="9"/>
    <w:qFormat/>
    <w:rsid w:val="0002238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F63B74"/>
    <w:pPr>
      <w:spacing w:after="220"/>
      <w:jc w:val="both"/>
    </w:pPr>
    <w:rPr>
      <w:rFonts w:ascii="Palatino" w:hAnsi="Palatino"/>
      <w:sz w:val="24"/>
      <w:szCs w:val="24"/>
    </w:rPr>
  </w:style>
  <w:style w:type="character" w:customStyle="1" w:styleId="BodyTextChar">
    <w:name w:val="Body Text Char"/>
    <w:basedOn w:val="DefaultParagraphFont"/>
    <w:link w:val="BodyText"/>
    <w:uiPriority w:val="99"/>
    <w:rsid w:val="00F63B74"/>
    <w:rPr>
      <w:rFonts w:ascii="Palatino" w:hAnsi="Palatino" w:cs="Times New Roman"/>
      <w:sz w:val="24"/>
      <w:szCs w:val="24"/>
    </w:rPr>
  </w:style>
  <w:style w:type="paragraph" w:styleId="ListParagraph">
    <w:name w:val="List Paragraph"/>
    <w:basedOn w:val="Normal"/>
    <w:uiPriority w:val="34"/>
    <w:qFormat/>
    <w:rsid w:val="00DB071C"/>
    <w:pPr>
      <w:spacing w:after="200" w:line="276" w:lineRule="auto"/>
      <w:ind w:left="720"/>
      <w:contextualSpacing/>
    </w:pPr>
    <w:rPr>
      <w:rFonts w:asciiTheme="minorHAnsi" w:eastAsiaTheme="minorEastAsia" w:hAnsiTheme="minorHAnsi" w:cstheme="minorBidi"/>
      <w:lang w:eastAsia="en-GB"/>
    </w:rPr>
  </w:style>
  <w:style w:type="paragraph" w:styleId="BalloonText">
    <w:name w:val="Balloon Text"/>
    <w:basedOn w:val="Normal"/>
    <w:link w:val="BalloonTextChar"/>
    <w:uiPriority w:val="99"/>
    <w:semiHidden/>
    <w:unhideWhenUsed/>
    <w:rsid w:val="001966C7"/>
    <w:rPr>
      <w:rFonts w:ascii="Tahoma" w:hAnsi="Tahoma" w:cs="Tahoma"/>
      <w:sz w:val="16"/>
      <w:szCs w:val="16"/>
    </w:rPr>
  </w:style>
  <w:style w:type="character" w:customStyle="1" w:styleId="BalloonTextChar">
    <w:name w:val="Balloon Text Char"/>
    <w:basedOn w:val="DefaultParagraphFont"/>
    <w:link w:val="BalloonText"/>
    <w:uiPriority w:val="99"/>
    <w:semiHidden/>
    <w:rsid w:val="001966C7"/>
    <w:rPr>
      <w:rFonts w:ascii="Tahoma" w:hAnsi="Tahoma" w:cs="Tahoma"/>
      <w:sz w:val="16"/>
      <w:szCs w:val="16"/>
    </w:rPr>
  </w:style>
  <w:style w:type="paragraph" w:customStyle="1" w:styleId="Default">
    <w:name w:val="Default"/>
    <w:rsid w:val="00D15E04"/>
    <w:pPr>
      <w:autoSpaceDE w:val="0"/>
      <w:autoSpaceDN w:val="0"/>
      <w:adjustRightInd w:val="0"/>
    </w:pPr>
    <w:rPr>
      <w:color w:val="000000"/>
      <w:sz w:val="24"/>
      <w:szCs w:val="24"/>
    </w:rPr>
  </w:style>
  <w:style w:type="character" w:customStyle="1" w:styleId="Heading1Char">
    <w:name w:val="Heading 1 Char"/>
    <w:basedOn w:val="DefaultParagraphFont"/>
    <w:link w:val="Heading1"/>
    <w:uiPriority w:val="9"/>
    <w:rsid w:val="00022382"/>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142BB4"/>
    <w:rPr>
      <w:sz w:val="16"/>
      <w:szCs w:val="16"/>
    </w:rPr>
  </w:style>
  <w:style w:type="paragraph" w:styleId="CommentText">
    <w:name w:val="annotation text"/>
    <w:basedOn w:val="Normal"/>
    <w:link w:val="CommentTextChar"/>
    <w:uiPriority w:val="99"/>
    <w:unhideWhenUsed/>
    <w:rsid w:val="00142BB4"/>
    <w:rPr>
      <w:sz w:val="20"/>
      <w:szCs w:val="20"/>
    </w:rPr>
  </w:style>
  <w:style w:type="character" w:customStyle="1" w:styleId="CommentTextChar">
    <w:name w:val="Comment Text Char"/>
    <w:basedOn w:val="DefaultParagraphFont"/>
    <w:link w:val="CommentText"/>
    <w:uiPriority w:val="99"/>
    <w:rsid w:val="00142BB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42BB4"/>
    <w:rPr>
      <w:b/>
      <w:bCs/>
    </w:rPr>
  </w:style>
  <w:style w:type="character" w:customStyle="1" w:styleId="CommentSubjectChar">
    <w:name w:val="Comment Subject Char"/>
    <w:basedOn w:val="CommentTextChar"/>
    <w:link w:val="CommentSubject"/>
    <w:uiPriority w:val="99"/>
    <w:semiHidden/>
    <w:rsid w:val="00142BB4"/>
    <w:rPr>
      <w:rFonts w:ascii="Calibri" w:hAnsi="Calibri" w:cs="Times New Roman"/>
      <w:b/>
      <w:bCs/>
      <w:sz w:val="20"/>
      <w:szCs w:val="20"/>
    </w:rPr>
  </w:style>
  <w:style w:type="paragraph" w:styleId="Revision">
    <w:name w:val="Revision"/>
    <w:hidden/>
    <w:uiPriority w:val="99"/>
    <w:semiHidden/>
    <w:rsid w:val="00926DF2"/>
    <w:rPr>
      <w:rFonts w:ascii="Calibri" w:hAnsi="Calibri" w:cs="Times New Roman"/>
    </w:rPr>
  </w:style>
  <w:style w:type="paragraph" w:styleId="NormalWeb">
    <w:name w:val="Normal (Web)"/>
    <w:basedOn w:val="Normal"/>
    <w:uiPriority w:val="99"/>
    <w:unhideWhenUsed/>
    <w:rsid w:val="00A53CE5"/>
    <w:pPr>
      <w:spacing w:before="100" w:beforeAutospacing="1" w:after="100" w:afterAutospacing="1"/>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392479">
      <w:bodyDiv w:val="1"/>
      <w:marLeft w:val="0"/>
      <w:marRight w:val="0"/>
      <w:marTop w:val="0"/>
      <w:marBottom w:val="0"/>
      <w:divBdr>
        <w:top w:val="none" w:sz="0" w:space="0" w:color="auto"/>
        <w:left w:val="none" w:sz="0" w:space="0" w:color="auto"/>
        <w:bottom w:val="none" w:sz="0" w:space="0" w:color="auto"/>
        <w:right w:val="none" w:sz="0" w:space="0" w:color="auto"/>
      </w:divBdr>
    </w:div>
    <w:div w:id="1746028720">
      <w:bodyDiv w:val="1"/>
      <w:marLeft w:val="0"/>
      <w:marRight w:val="0"/>
      <w:marTop w:val="0"/>
      <w:marBottom w:val="0"/>
      <w:divBdr>
        <w:top w:val="none" w:sz="0" w:space="0" w:color="auto"/>
        <w:left w:val="none" w:sz="0" w:space="0" w:color="auto"/>
        <w:bottom w:val="none" w:sz="0" w:space="0" w:color="auto"/>
        <w:right w:val="none" w:sz="0" w:space="0" w:color="auto"/>
      </w:divBdr>
    </w:div>
    <w:div w:id="213459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cid:image001.png@01D8D290.B31F0DB0"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E9100CD8E7A648A03158BB4DBF918B" ma:contentTypeVersion="14" ma:contentTypeDescription="Create a new document." ma:contentTypeScope="" ma:versionID="0ca2b6ce301b7f7def9f9950a2a79822">
  <xsd:schema xmlns:xsd="http://www.w3.org/2001/XMLSchema" xmlns:xs="http://www.w3.org/2001/XMLSchema" xmlns:p="http://schemas.microsoft.com/office/2006/metadata/properties" xmlns:ns3="7372c4f9-eb59-4d38-ab9c-c2c4edbc89c3" xmlns:ns4="de2daaeb-eb87-4992-839d-1aa6955d5d87" targetNamespace="http://schemas.microsoft.com/office/2006/metadata/properties" ma:root="true" ma:fieldsID="71b4d60259e70ed4a04d7009a27d48fa" ns3:_="" ns4:_="">
    <xsd:import namespace="7372c4f9-eb59-4d38-ab9c-c2c4edbc89c3"/>
    <xsd:import namespace="de2daaeb-eb87-4992-839d-1aa6955d5d8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72c4f9-eb59-4d38-ab9c-c2c4edbc89c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2daaeb-eb87-4992-839d-1aa6955d5d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e2daaeb-eb87-4992-839d-1aa6955d5d8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A5D9B6-2892-4989-813C-0C214AC2E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72c4f9-eb59-4d38-ab9c-c2c4edbc89c3"/>
    <ds:schemaRef ds:uri="de2daaeb-eb87-4992-839d-1aa6955d5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D4832D-FDE1-4C6B-B938-4A5E97469FB3}">
  <ds:schemaRefs>
    <ds:schemaRef ds:uri="http://schemas.microsoft.com/office/2006/metadata/properties"/>
    <ds:schemaRef ds:uri="http://schemas.microsoft.com/office/infopath/2007/PartnerControls"/>
    <ds:schemaRef ds:uri="de2daaeb-eb87-4992-839d-1aa6955d5d87"/>
  </ds:schemaRefs>
</ds:datastoreItem>
</file>

<file path=customXml/itemProps3.xml><?xml version="1.0" encoding="utf-8"?>
<ds:datastoreItem xmlns:ds="http://schemas.openxmlformats.org/officeDocument/2006/customXml" ds:itemID="{703EA688-9C85-4038-8479-4B5D36CE57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3</Pages>
  <Words>1063</Words>
  <Characters>7131</Characters>
  <Application>Microsoft Office Word</Application>
  <DocSecurity>0</DocSecurity>
  <Lines>120</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Tibbatts</dc:creator>
  <cp:lastModifiedBy>Sam Hickman (University of Birmingham Enterprise Ltd)</cp:lastModifiedBy>
  <cp:revision>51</cp:revision>
  <dcterms:created xsi:type="dcterms:W3CDTF">2026-01-06T14:24:00Z</dcterms:created>
  <dcterms:modified xsi:type="dcterms:W3CDTF">2026-02-06T11:10:00Z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0x01010016E9100CD8E7A648A03158BB4DBF918B</vt:lpwstr>
  </property>
</Properties>
</file>