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FB64" w14:textId="4E108292" w:rsidR="00FF5031" w:rsidRDefault="00FF5031" w:rsidP="321DCC62">
      <w:pPr>
        <w:jc w:val="center"/>
        <w:rPr>
          <w:b/>
          <w:bCs/>
          <w:u w:val="single"/>
        </w:rPr>
      </w:pPr>
      <w:r>
        <w:rPr>
          <w:noProof/>
        </w:rPr>
        <w:drawing>
          <wp:inline distT="0" distB="0" distL="0" distR="0" wp14:anchorId="6A6E067C" wp14:editId="4AEC22F9">
            <wp:extent cx="2381250" cy="935364"/>
            <wp:effectExtent l="0" t="0" r="0" b="4445"/>
            <wp:docPr id="1" name="Picture 1" descr="The University of Birmingham crest and word marque lock-u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Birmingham crest and word marque lock-up.">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626" cy="954759"/>
                    </a:xfrm>
                    <a:prstGeom prst="rect">
                      <a:avLst/>
                    </a:prstGeom>
                    <a:noFill/>
                    <a:ln>
                      <a:noFill/>
                    </a:ln>
                  </pic:spPr>
                </pic:pic>
              </a:graphicData>
            </a:graphic>
          </wp:inline>
        </w:drawing>
      </w:r>
    </w:p>
    <w:p w14:paraId="54D962A1" w14:textId="1A788C7B" w:rsidR="00C95059" w:rsidRPr="00EB331C" w:rsidRDefault="009248D4" w:rsidP="00B22EB0">
      <w:pPr>
        <w:pStyle w:val="Heading1"/>
        <w:jc w:val="center"/>
        <w:rPr>
          <w:rFonts w:ascii="Arial" w:hAnsi="Arial" w:cs="Arial"/>
          <w:sz w:val="32"/>
          <w:szCs w:val="32"/>
        </w:rPr>
      </w:pPr>
      <w:r w:rsidRPr="00EB331C">
        <w:rPr>
          <w:rFonts w:ascii="Arial" w:hAnsi="Arial" w:cs="Arial"/>
          <w:sz w:val="32"/>
          <w:szCs w:val="32"/>
        </w:rPr>
        <w:t>Responsible Investment Policy</w:t>
      </w:r>
    </w:p>
    <w:p w14:paraId="4263C774" w14:textId="77777777" w:rsidR="00FF5031" w:rsidRDefault="00FF5031" w:rsidP="321DCC62">
      <w:pPr>
        <w:rPr>
          <w:b/>
          <w:bCs/>
          <w:u w:val="single"/>
        </w:rPr>
      </w:pPr>
    </w:p>
    <w:p w14:paraId="3EA0E46A" w14:textId="73489407" w:rsidR="00C95059" w:rsidRPr="00B22EB0" w:rsidRDefault="009248D4"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Introduction</w:t>
      </w:r>
    </w:p>
    <w:p w14:paraId="1102C5D8" w14:textId="52539974" w:rsidR="0048266A" w:rsidRPr="0048266A" w:rsidRDefault="0048266A" w:rsidP="0048266A">
      <w:pPr>
        <w:rPr>
          <w:rFonts w:ascii="Arial" w:hAnsi="Arial" w:cs="Arial"/>
        </w:rPr>
      </w:pPr>
      <w:r w:rsidRPr="321DCC62">
        <w:rPr>
          <w:rFonts w:ascii="Arial" w:hAnsi="Arial" w:cs="Arial"/>
        </w:rPr>
        <w:t>This Policy explains how the University of Birmingham approaches responsible investment. It sets out the principles, standards and governance framework that apply to the University’s investment arrangements.</w:t>
      </w:r>
    </w:p>
    <w:p w14:paraId="326CA412" w14:textId="3F7FD5A8" w:rsidR="0048266A" w:rsidRPr="0048266A" w:rsidRDefault="0048266A" w:rsidP="00EB331C">
      <w:pPr>
        <w:spacing w:after="240"/>
        <w:rPr>
          <w:rFonts w:ascii="Arial" w:hAnsi="Arial" w:cs="Arial"/>
        </w:rPr>
      </w:pPr>
      <w:r w:rsidRPr="321DCC62">
        <w:rPr>
          <w:rFonts w:ascii="Arial" w:hAnsi="Arial" w:cs="Arial"/>
        </w:rPr>
        <w:t xml:space="preserve">The Policy has been developed with the intention of promoting investment in companies and funds whose practices fit the University’s values as a socially responsible institution. It also sets expectations for the University’s decision-makers and delegated managers and is designed to be consistent with the University’s </w:t>
      </w:r>
      <w:r w:rsidR="04D1E73D" w:rsidRPr="321DCC62">
        <w:rPr>
          <w:rFonts w:ascii="Arial" w:hAnsi="Arial" w:cs="Arial"/>
        </w:rPr>
        <w:t xml:space="preserve">fiduciary </w:t>
      </w:r>
      <w:r w:rsidRPr="321DCC62">
        <w:rPr>
          <w:rFonts w:ascii="Arial" w:hAnsi="Arial" w:cs="Arial"/>
        </w:rPr>
        <w:t>duty to seek the best financial return within an acceptable level of risk.</w:t>
      </w:r>
    </w:p>
    <w:p w14:paraId="78D952F0" w14:textId="77777777" w:rsidR="00C95059" w:rsidRPr="00B22EB0" w:rsidRDefault="009248D4"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Background</w:t>
      </w:r>
    </w:p>
    <w:p w14:paraId="66F6FDF7" w14:textId="745CE2A2" w:rsidR="0048266A" w:rsidRDefault="0048266A" w:rsidP="0048266A">
      <w:pPr>
        <w:spacing w:after="0"/>
        <w:rPr>
          <w:rFonts w:ascii="Arial" w:hAnsi="Arial" w:cs="Arial"/>
        </w:rPr>
      </w:pPr>
      <w:r w:rsidRPr="321DCC62">
        <w:rPr>
          <w:rFonts w:ascii="Arial" w:hAnsi="Arial" w:cs="Arial"/>
        </w:rPr>
        <w:t>As a civic university, the University supports the United Nations Sustainable Development Goals. The University recognises that environmental, social and governance</w:t>
      </w:r>
      <w:r w:rsidR="2F1B0FA8" w:rsidRPr="321DCC62">
        <w:rPr>
          <w:rFonts w:ascii="Arial" w:hAnsi="Arial" w:cs="Arial"/>
        </w:rPr>
        <w:t xml:space="preserve"> (ESG)</w:t>
      </w:r>
      <w:r w:rsidRPr="321DCC62">
        <w:rPr>
          <w:rFonts w:ascii="Arial" w:hAnsi="Arial" w:cs="Arial"/>
        </w:rPr>
        <w:t xml:space="preserve"> issues can affect long-term outcomes for society, the environment and investment markets.</w:t>
      </w:r>
    </w:p>
    <w:p w14:paraId="700FC8FF" w14:textId="77777777" w:rsidR="0048266A" w:rsidRPr="0048266A" w:rsidRDefault="0048266A" w:rsidP="0048266A">
      <w:pPr>
        <w:spacing w:after="0"/>
        <w:rPr>
          <w:rFonts w:ascii="Arial" w:hAnsi="Arial" w:cs="Arial"/>
        </w:rPr>
      </w:pPr>
    </w:p>
    <w:p w14:paraId="2887D7E1" w14:textId="3F8174EE" w:rsidR="0048266A" w:rsidRPr="00900F53" w:rsidRDefault="0048266A" w:rsidP="00EB331C">
      <w:pPr>
        <w:spacing w:after="240"/>
        <w:rPr>
          <w:rFonts w:ascii="Arial" w:hAnsi="Arial" w:cs="Arial"/>
        </w:rPr>
      </w:pPr>
      <w:r w:rsidRPr="321DCC62">
        <w:rPr>
          <w:rFonts w:ascii="Arial" w:hAnsi="Arial" w:cs="Arial"/>
        </w:rPr>
        <w:t xml:space="preserve">The University has a strong record on sustainability. Sustainability is one of the six pillars of the University’s 2030 Strategic Framework. That framework commits the University to embed sustainability across research, education and global impact, </w:t>
      </w:r>
      <w:bookmarkStart w:id="0" w:name="_Int_qBmMTuAg"/>
      <w:r w:rsidRPr="321DCC62">
        <w:rPr>
          <w:rFonts w:ascii="Arial" w:hAnsi="Arial" w:cs="Arial"/>
        </w:rPr>
        <w:t>lead</w:t>
      </w:r>
      <w:bookmarkEnd w:id="0"/>
      <w:r w:rsidRPr="321DCC62">
        <w:rPr>
          <w:rFonts w:ascii="Arial" w:hAnsi="Arial" w:cs="Arial"/>
        </w:rPr>
        <w:t xml:space="preserve"> by example through environmentally responsible practices, and co-create sustainable solutions with lasting impact beyond the campus. The University’s teaching, </w:t>
      </w:r>
      <w:r w:rsidR="37A0499E" w:rsidRPr="321DCC62">
        <w:rPr>
          <w:rFonts w:ascii="Arial" w:hAnsi="Arial" w:cs="Arial"/>
        </w:rPr>
        <w:t>research,</w:t>
      </w:r>
      <w:r w:rsidRPr="321DCC62">
        <w:rPr>
          <w:rFonts w:ascii="Arial" w:hAnsi="Arial" w:cs="Arial"/>
        </w:rPr>
        <w:t xml:space="preserve"> and wider social responsibility work are important parts of that commitment. Research at the University of Birmingham affects lives regionally, </w:t>
      </w:r>
      <w:r w:rsidR="0972742E" w:rsidRPr="321DCC62">
        <w:rPr>
          <w:rFonts w:ascii="Arial" w:hAnsi="Arial" w:cs="Arial"/>
        </w:rPr>
        <w:t>nationally,</w:t>
      </w:r>
      <w:r w:rsidRPr="321DCC62">
        <w:rPr>
          <w:rFonts w:ascii="Arial" w:hAnsi="Arial" w:cs="Arial"/>
        </w:rPr>
        <w:t xml:space="preserve"> and globally, and the University is home to leading academics working on global sustainability research and the United Nations Sustainable Development Goals.</w:t>
      </w:r>
    </w:p>
    <w:p w14:paraId="4C300328" w14:textId="0370562E" w:rsidR="00C95059" w:rsidRPr="00B22EB0" w:rsidRDefault="009248D4"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Investment of Funds</w:t>
      </w:r>
    </w:p>
    <w:p w14:paraId="05A22668" w14:textId="468B663B" w:rsidR="0048266A" w:rsidRPr="0048266A" w:rsidRDefault="0048266A" w:rsidP="0048266A">
      <w:pPr>
        <w:rPr>
          <w:rFonts w:ascii="Arial" w:hAnsi="Arial" w:cs="Arial"/>
        </w:rPr>
      </w:pPr>
      <w:r w:rsidRPr="321DCC62">
        <w:rPr>
          <w:rFonts w:ascii="Arial" w:hAnsi="Arial" w:cs="Arial"/>
        </w:rPr>
        <w:t>The University has appointed J.P. Morgan as its Outsourced Chief Investment Officer (OCIO). The OCIO invests and monitors the University’s portfolios and reports regularly to the Investment Sub-Committee.</w:t>
      </w:r>
    </w:p>
    <w:p w14:paraId="38A829EA" w14:textId="77777777" w:rsidR="0048266A" w:rsidRPr="0048266A" w:rsidRDefault="0048266A" w:rsidP="0048266A">
      <w:pPr>
        <w:rPr>
          <w:rFonts w:ascii="Arial" w:hAnsi="Arial" w:cs="Arial"/>
        </w:rPr>
      </w:pPr>
      <w:r w:rsidRPr="321DCC62">
        <w:rPr>
          <w:rFonts w:ascii="Arial" w:hAnsi="Arial" w:cs="Arial"/>
        </w:rPr>
        <w:t>The University holds several types of investments:</w:t>
      </w:r>
    </w:p>
    <w:p w14:paraId="265CD073" w14:textId="77777777" w:rsidR="0048266A" w:rsidRPr="0048266A" w:rsidRDefault="0048266A" w:rsidP="0048266A">
      <w:pPr>
        <w:numPr>
          <w:ilvl w:val="0"/>
          <w:numId w:val="1"/>
        </w:numPr>
        <w:rPr>
          <w:rFonts w:ascii="Arial" w:hAnsi="Arial" w:cs="Arial"/>
        </w:rPr>
      </w:pPr>
      <w:r w:rsidRPr="321DCC62">
        <w:rPr>
          <w:rFonts w:ascii="Arial" w:hAnsi="Arial" w:cs="Arial"/>
        </w:rPr>
        <w:t xml:space="preserve">direct investments in subsidiaries and associated companies, usually linked to </w:t>
      </w:r>
      <w:bookmarkStart w:id="1" w:name="_Int_gq5WDi4m"/>
      <w:proofErr w:type="gramStart"/>
      <w:r w:rsidRPr="321DCC62">
        <w:rPr>
          <w:rFonts w:ascii="Arial" w:hAnsi="Arial" w:cs="Arial"/>
        </w:rPr>
        <w:t>University</w:t>
      </w:r>
      <w:bookmarkEnd w:id="1"/>
      <w:proofErr w:type="gramEnd"/>
      <w:r w:rsidRPr="321DCC62">
        <w:rPr>
          <w:rFonts w:ascii="Arial" w:hAnsi="Arial" w:cs="Arial"/>
        </w:rPr>
        <w:t xml:space="preserve"> operations, trading activity or the commercialisation of intellectual </w:t>
      </w:r>
      <w:proofErr w:type="gramStart"/>
      <w:r w:rsidRPr="321DCC62">
        <w:rPr>
          <w:rFonts w:ascii="Arial" w:hAnsi="Arial" w:cs="Arial"/>
        </w:rPr>
        <w:t>property;</w:t>
      </w:r>
      <w:proofErr w:type="gramEnd"/>
    </w:p>
    <w:p w14:paraId="51B58878" w14:textId="77777777" w:rsidR="0048266A" w:rsidRPr="0048266A" w:rsidRDefault="0048266A" w:rsidP="0048266A">
      <w:pPr>
        <w:numPr>
          <w:ilvl w:val="0"/>
          <w:numId w:val="1"/>
        </w:numPr>
        <w:rPr>
          <w:rFonts w:ascii="Arial" w:hAnsi="Arial" w:cs="Arial"/>
        </w:rPr>
      </w:pPr>
      <w:r w:rsidRPr="321DCC62">
        <w:rPr>
          <w:rFonts w:ascii="Arial" w:hAnsi="Arial" w:cs="Arial"/>
        </w:rPr>
        <w:lastRenderedPageBreak/>
        <w:t>surplus funds in the Mid-Term Portfolio to support the University’s capital plan; and</w:t>
      </w:r>
    </w:p>
    <w:p w14:paraId="3C414261" w14:textId="77777777" w:rsidR="0048266A" w:rsidRPr="0048266A" w:rsidRDefault="0048266A" w:rsidP="0048266A">
      <w:pPr>
        <w:numPr>
          <w:ilvl w:val="0"/>
          <w:numId w:val="1"/>
        </w:numPr>
        <w:rPr>
          <w:rFonts w:ascii="Arial" w:hAnsi="Arial" w:cs="Arial"/>
        </w:rPr>
      </w:pPr>
      <w:r w:rsidRPr="321DCC62">
        <w:rPr>
          <w:rFonts w:ascii="Arial" w:hAnsi="Arial" w:cs="Arial"/>
        </w:rPr>
        <w:t>endowment funds in the Long-Term Portfolio, including permanent and expendable endowments, some of which are restricted for specific purposes.</w:t>
      </w:r>
    </w:p>
    <w:p w14:paraId="236AF63B" w14:textId="7C8E079F" w:rsidR="00F7088C" w:rsidRPr="00F7088C" w:rsidRDefault="00F7088C" w:rsidP="00EB331C">
      <w:pPr>
        <w:spacing w:after="240"/>
        <w:rPr>
          <w:rFonts w:ascii="Arial" w:hAnsi="Arial" w:cs="Arial"/>
        </w:rPr>
      </w:pPr>
      <w:r w:rsidRPr="321DCC62">
        <w:rPr>
          <w:rFonts w:ascii="Arial" w:hAnsi="Arial" w:cs="Arial"/>
        </w:rPr>
        <w:t xml:space="preserve">The endowment fund is invested in perpetuity across a diversified range of asset classes, including bonds, equities, property, infrastructure, private credit, private </w:t>
      </w:r>
      <w:r w:rsidR="3B37C04B" w:rsidRPr="321DCC62">
        <w:rPr>
          <w:rFonts w:ascii="Arial" w:hAnsi="Arial" w:cs="Arial"/>
        </w:rPr>
        <w:t>equity,</w:t>
      </w:r>
      <w:r w:rsidRPr="321DCC62">
        <w:rPr>
          <w:rFonts w:ascii="Arial" w:hAnsi="Arial" w:cs="Arial"/>
        </w:rPr>
        <w:t xml:space="preserve"> and sustainable forestry.</w:t>
      </w:r>
    </w:p>
    <w:p w14:paraId="5E31F42B" w14:textId="679B4CB2" w:rsidR="00C95059" w:rsidRPr="00B22EB0" w:rsidRDefault="009248D4"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 xml:space="preserve">Scope and </w:t>
      </w:r>
      <w:r w:rsidR="00600820" w:rsidRPr="00B22EB0">
        <w:rPr>
          <w:rFonts w:ascii="Arial" w:hAnsi="Arial" w:cs="Arial"/>
          <w:color w:val="000000" w:themeColor="text1"/>
          <w:u w:val="single"/>
        </w:rPr>
        <w:t>A</w:t>
      </w:r>
      <w:r w:rsidRPr="00B22EB0">
        <w:rPr>
          <w:rFonts w:ascii="Arial" w:hAnsi="Arial" w:cs="Arial"/>
          <w:color w:val="000000" w:themeColor="text1"/>
          <w:u w:val="single"/>
        </w:rPr>
        <w:t>pplication</w:t>
      </w:r>
    </w:p>
    <w:p w14:paraId="671F8B65" w14:textId="23C79018" w:rsidR="0048266A" w:rsidRPr="0048266A" w:rsidRDefault="0048266A" w:rsidP="0048266A">
      <w:pPr>
        <w:rPr>
          <w:rFonts w:ascii="Arial" w:hAnsi="Arial" w:cs="Arial"/>
        </w:rPr>
      </w:pPr>
      <w:r w:rsidRPr="321DCC62">
        <w:rPr>
          <w:rFonts w:ascii="Arial" w:hAnsi="Arial" w:cs="Arial"/>
        </w:rPr>
        <w:t>This Policy applies to the full range of the University’s investments. This includes investments managed through the OCIO investment model and any material direct holdings where responsible investment issues are relevant.</w:t>
      </w:r>
    </w:p>
    <w:p w14:paraId="40338592" w14:textId="77777777" w:rsidR="0048266A" w:rsidRPr="0048266A" w:rsidRDefault="0048266A" w:rsidP="00EB331C">
      <w:pPr>
        <w:spacing w:after="240"/>
        <w:rPr>
          <w:rFonts w:ascii="Arial" w:hAnsi="Arial" w:cs="Arial"/>
        </w:rPr>
      </w:pPr>
      <w:r w:rsidRPr="321DCC62">
        <w:rPr>
          <w:rFonts w:ascii="Arial" w:hAnsi="Arial" w:cs="Arial"/>
        </w:rPr>
        <w:t>Where an investment is subject to specific legal or contractual requirements, the University will apply this Policy in a way that is consistent with those requirements.</w:t>
      </w:r>
    </w:p>
    <w:p w14:paraId="7E599728" w14:textId="3A2361D4" w:rsidR="00C95059" w:rsidRPr="00B22EB0" w:rsidRDefault="004A5047"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Minimum Standards, Legal Compliance and Sanctions</w:t>
      </w:r>
    </w:p>
    <w:p w14:paraId="17214CE5" w14:textId="6E66674C" w:rsidR="0048266A" w:rsidRPr="0048266A" w:rsidRDefault="0048266A" w:rsidP="0048266A">
      <w:pPr>
        <w:rPr>
          <w:rFonts w:ascii="Arial" w:hAnsi="Arial" w:cs="Arial"/>
        </w:rPr>
      </w:pPr>
      <w:r w:rsidRPr="321DCC62">
        <w:rPr>
          <w:rFonts w:ascii="Arial" w:hAnsi="Arial" w:cs="Arial"/>
        </w:rPr>
        <w:t xml:space="preserve">The University expects its investments to be managed with integrity and in line with applicable law and regulation. Its approach is progressive and </w:t>
      </w:r>
      <w:r w:rsidR="02A89E60" w:rsidRPr="321DCC62">
        <w:rPr>
          <w:rFonts w:ascii="Arial" w:hAnsi="Arial" w:cs="Arial"/>
        </w:rPr>
        <w:t>evidence led</w:t>
      </w:r>
      <w:r w:rsidRPr="321DCC62">
        <w:rPr>
          <w:rFonts w:ascii="Arial" w:hAnsi="Arial" w:cs="Arial"/>
        </w:rPr>
        <w:t>. In practice, this means investing in organisations that show strong standards on ESG issues, using stewardship and engagement to encourage improvement, and working within the practical limits of a pooled-fund investment model and the University’s fiduciary duties.</w:t>
      </w:r>
    </w:p>
    <w:p w14:paraId="738FBD49" w14:textId="77777777" w:rsidR="0048266A" w:rsidRPr="0048266A" w:rsidRDefault="0048266A" w:rsidP="0048266A">
      <w:pPr>
        <w:rPr>
          <w:rFonts w:ascii="Arial" w:hAnsi="Arial" w:cs="Arial"/>
        </w:rPr>
      </w:pPr>
      <w:r w:rsidRPr="321DCC62">
        <w:rPr>
          <w:rFonts w:ascii="Arial" w:hAnsi="Arial" w:cs="Arial"/>
        </w:rPr>
        <w:t>The University requires its investments to comply with applicable law and regulation. This includes UK financial sanctions and related restrictions, as implemented by HM Treasury’s Office of Financial Sanctions Implementation (OFSI), and by reference to the UK Sanctions List and associated statutory instruments and guidance, as updated from time to time.</w:t>
      </w:r>
    </w:p>
    <w:p w14:paraId="6C5DA063" w14:textId="77777777" w:rsidR="0048266A" w:rsidRPr="0048266A" w:rsidRDefault="0048266A" w:rsidP="0048266A">
      <w:pPr>
        <w:rPr>
          <w:rFonts w:ascii="Arial" w:hAnsi="Arial" w:cs="Arial"/>
        </w:rPr>
      </w:pPr>
      <w:r w:rsidRPr="321DCC62">
        <w:rPr>
          <w:rFonts w:ascii="Arial" w:hAnsi="Arial" w:cs="Arial"/>
        </w:rPr>
        <w:t>The University expects the OCIO and underlying managers not to invest in activities that would be unlawful under UK law or prohibited under international arms control treaties to which the UK is a signatory. Where money is invested through pooled funds and full look-through or direct control is not possible, the University expects the OCIO to take a proportionate best-endeavours approach to manager selection and monitoring and to provide assurance that suitable compliance controls are in place.</w:t>
      </w:r>
    </w:p>
    <w:p w14:paraId="5EDEF45E" w14:textId="77777777" w:rsidR="0048266A" w:rsidRPr="0048266A" w:rsidRDefault="0048266A" w:rsidP="00EB331C">
      <w:pPr>
        <w:spacing w:after="240"/>
        <w:rPr>
          <w:rFonts w:ascii="Arial" w:hAnsi="Arial" w:cs="Arial"/>
        </w:rPr>
      </w:pPr>
      <w:r w:rsidRPr="321DCC62">
        <w:rPr>
          <w:rFonts w:ascii="Arial" w:hAnsi="Arial" w:cs="Arial"/>
        </w:rPr>
        <w:t>This minimum standard includes compliance with UK legal prohibitions relating to anti-personnel mines and cluster munitions. It also includes UK obligations that implement prohibitions on chemical and biological weapons, while recognising that the legal detail may change over time.</w:t>
      </w:r>
    </w:p>
    <w:p w14:paraId="521ADC84" w14:textId="77777777" w:rsidR="00C95059" w:rsidRPr="00B22EB0" w:rsidRDefault="009248D4" w:rsidP="00B22EB0">
      <w:pPr>
        <w:pStyle w:val="Heading2"/>
        <w:spacing w:after="120"/>
        <w:rPr>
          <w:rFonts w:ascii="Arial" w:hAnsi="Arial" w:cs="Arial"/>
          <w:color w:val="000000" w:themeColor="text1"/>
          <w:u w:val="single"/>
        </w:rPr>
      </w:pPr>
      <w:r w:rsidRPr="00B22EB0">
        <w:rPr>
          <w:rFonts w:ascii="Arial" w:hAnsi="Arial" w:cs="Arial"/>
          <w:color w:val="000000" w:themeColor="text1"/>
          <w:u w:val="single"/>
        </w:rPr>
        <w:t>Investment Principles</w:t>
      </w:r>
    </w:p>
    <w:p w14:paraId="3B083D7A" w14:textId="0DC56BB3" w:rsidR="0048266A" w:rsidRPr="0048266A" w:rsidRDefault="0048266A" w:rsidP="0048266A">
      <w:pPr>
        <w:rPr>
          <w:rFonts w:ascii="Arial" w:hAnsi="Arial" w:cs="Arial"/>
        </w:rPr>
      </w:pPr>
      <w:r w:rsidRPr="321DCC62">
        <w:rPr>
          <w:rFonts w:ascii="Arial" w:hAnsi="Arial" w:cs="Arial"/>
        </w:rPr>
        <w:t>The University expects its investments to follow these core principles:</w:t>
      </w:r>
    </w:p>
    <w:p w14:paraId="462B56D9" w14:textId="77777777" w:rsidR="0048266A" w:rsidRPr="0048266A" w:rsidRDefault="0048266A" w:rsidP="0048266A">
      <w:pPr>
        <w:numPr>
          <w:ilvl w:val="0"/>
          <w:numId w:val="1"/>
        </w:numPr>
        <w:rPr>
          <w:rFonts w:ascii="Arial" w:hAnsi="Arial" w:cs="Arial"/>
        </w:rPr>
      </w:pPr>
      <w:r w:rsidRPr="321DCC62">
        <w:rPr>
          <w:rFonts w:ascii="Arial" w:hAnsi="Arial" w:cs="Arial"/>
        </w:rPr>
        <w:t>Long-term focus: Responsible investment should support sustainable long-term risk-adjusted returns that align with the University’s status as a perpetual institution.</w:t>
      </w:r>
    </w:p>
    <w:p w14:paraId="07AFA165" w14:textId="77777777" w:rsidR="0048266A" w:rsidRPr="0048266A" w:rsidRDefault="0048266A" w:rsidP="0048266A">
      <w:pPr>
        <w:numPr>
          <w:ilvl w:val="0"/>
          <w:numId w:val="1"/>
        </w:numPr>
        <w:rPr>
          <w:rFonts w:ascii="Arial" w:hAnsi="Arial" w:cs="Arial"/>
        </w:rPr>
      </w:pPr>
      <w:r w:rsidRPr="321DCC62">
        <w:rPr>
          <w:rFonts w:ascii="Arial" w:hAnsi="Arial" w:cs="Arial"/>
        </w:rPr>
        <w:lastRenderedPageBreak/>
        <w:t>Good governance and accountability: Clear governance, sound decision-making and effective oversight matter.</w:t>
      </w:r>
    </w:p>
    <w:p w14:paraId="77CF5C01" w14:textId="5D497B24" w:rsidR="0048266A" w:rsidRPr="0048266A" w:rsidRDefault="0048266A" w:rsidP="0048266A">
      <w:pPr>
        <w:numPr>
          <w:ilvl w:val="0"/>
          <w:numId w:val="1"/>
        </w:numPr>
        <w:rPr>
          <w:rFonts w:ascii="Arial" w:hAnsi="Arial" w:cs="Arial"/>
        </w:rPr>
      </w:pPr>
      <w:r w:rsidRPr="321DCC62">
        <w:rPr>
          <w:rFonts w:ascii="Arial" w:hAnsi="Arial" w:cs="Arial"/>
        </w:rPr>
        <w:t xml:space="preserve">Material ESG integration: Financially material ESG factors should be considered in manager selection, </w:t>
      </w:r>
      <w:r w:rsidR="5A3D0B49" w:rsidRPr="321DCC62">
        <w:rPr>
          <w:rFonts w:ascii="Arial" w:hAnsi="Arial" w:cs="Arial"/>
        </w:rPr>
        <w:t>monitoring,</w:t>
      </w:r>
      <w:r w:rsidRPr="321DCC62">
        <w:rPr>
          <w:rFonts w:ascii="Arial" w:hAnsi="Arial" w:cs="Arial"/>
        </w:rPr>
        <w:t xml:space="preserve"> and stewardship.</w:t>
      </w:r>
    </w:p>
    <w:p w14:paraId="69099B08" w14:textId="045C7169" w:rsidR="0048266A" w:rsidRPr="0048266A" w:rsidRDefault="0048266A" w:rsidP="0048266A">
      <w:pPr>
        <w:numPr>
          <w:ilvl w:val="0"/>
          <w:numId w:val="1"/>
        </w:numPr>
        <w:rPr>
          <w:rFonts w:ascii="Arial" w:hAnsi="Arial" w:cs="Arial"/>
        </w:rPr>
      </w:pPr>
      <w:r w:rsidRPr="321DCC62">
        <w:rPr>
          <w:rFonts w:ascii="Arial" w:hAnsi="Arial" w:cs="Arial"/>
        </w:rPr>
        <w:t xml:space="preserve">Stewardship and engagement: Where the University invests through pooled funds and external managers, it expects active ownership, </w:t>
      </w:r>
      <w:r w:rsidR="67C3E648" w:rsidRPr="321DCC62">
        <w:rPr>
          <w:rFonts w:ascii="Arial" w:hAnsi="Arial" w:cs="Arial"/>
        </w:rPr>
        <w:t>engagement,</w:t>
      </w:r>
      <w:r w:rsidRPr="321DCC62">
        <w:rPr>
          <w:rFonts w:ascii="Arial" w:hAnsi="Arial" w:cs="Arial"/>
        </w:rPr>
        <w:t xml:space="preserve"> and escalation on a proportionate basis.</w:t>
      </w:r>
    </w:p>
    <w:p w14:paraId="308D67BC" w14:textId="77777777" w:rsidR="0048266A" w:rsidRPr="0048266A" w:rsidRDefault="0048266A" w:rsidP="00EB331C">
      <w:pPr>
        <w:numPr>
          <w:ilvl w:val="0"/>
          <w:numId w:val="1"/>
        </w:numPr>
        <w:spacing w:after="240"/>
        <w:ind w:left="357" w:hanging="357"/>
        <w:rPr>
          <w:rFonts w:ascii="Arial" w:hAnsi="Arial" w:cs="Arial"/>
        </w:rPr>
      </w:pPr>
      <w:r w:rsidRPr="321DCC62">
        <w:rPr>
          <w:rFonts w:ascii="Arial" w:hAnsi="Arial" w:cs="Arial"/>
        </w:rPr>
        <w:t>Evidence-led and risk-aware transparency: The University will provide disclosure on a proportionate basis while recognising the limits of available data and the delegated nature of investment decisions.</w:t>
      </w:r>
    </w:p>
    <w:p w14:paraId="1238E9AC" w14:textId="77777777" w:rsidR="00C95059" w:rsidRPr="00EB331C" w:rsidRDefault="009248D4" w:rsidP="00EB331C">
      <w:pPr>
        <w:pStyle w:val="Heading3"/>
        <w:spacing w:after="120"/>
        <w:rPr>
          <w:rFonts w:ascii="Arial" w:hAnsi="Arial" w:cs="Arial"/>
          <w:color w:val="000000" w:themeColor="text1"/>
          <w:u w:val="single"/>
        </w:rPr>
      </w:pPr>
      <w:r w:rsidRPr="00EB331C">
        <w:rPr>
          <w:rFonts w:ascii="Arial" w:hAnsi="Arial" w:cs="Arial"/>
          <w:color w:val="000000" w:themeColor="text1"/>
          <w:u w:val="single"/>
        </w:rPr>
        <w:t>Stewardship</w:t>
      </w:r>
    </w:p>
    <w:p w14:paraId="48CE8D05" w14:textId="772935E4" w:rsidR="0048266A" w:rsidRPr="0048266A" w:rsidRDefault="0048266A" w:rsidP="0048266A">
      <w:pPr>
        <w:rPr>
          <w:rFonts w:ascii="Arial" w:hAnsi="Arial" w:cs="Arial"/>
        </w:rPr>
      </w:pPr>
      <w:r w:rsidRPr="321DCC62">
        <w:rPr>
          <w:rFonts w:ascii="Arial" w:hAnsi="Arial" w:cs="Arial"/>
        </w:rPr>
        <w:t xml:space="preserve">The University sets an investment mandate for the OCIO. A core expectation in that mandate is that the OCIO applies ESG-based investment criteria. </w:t>
      </w:r>
      <w:r w:rsidR="2231B96E" w:rsidRPr="321DCC62">
        <w:rPr>
          <w:rFonts w:ascii="Arial" w:hAnsi="Arial" w:cs="Arial"/>
        </w:rPr>
        <w:t>The</w:t>
      </w:r>
      <w:r w:rsidRPr="321DCC62">
        <w:rPr>
          <w:rFonts w:ascii="Arial" w:hAnsi="Arial" w:cs="Arial"/>
        </w:rPr>
        <w:t xml:space="preserve"> University requires the OCIO to confirm that it has robust ESG policies, and it also reviews how those policies are applied when investment decisions are made.</w:t>
      </w:r>
    </w:p>
    <w:p w14:paraId="3704E204" w14:textId="4BB76358" w:rsidR="0048266A" w:rsidRPr="0048266A" w:rsidRDefault="67DCF8DA">
      <w:pPr>
        <w:rPr>
          <w:rFonts w:ascii="Arial" w:hAnsi="Arial" w:cs="Arial"/>
        </w:rPr>
      </w:pPr>
      <w:r w:rsidRPr="321DCC62">
        <w:rPr>
          <w:rFonts w:ascii="Arial" w:hAnsi="Arial" w:cs="Arial"/>
        </w:rPr>
        <w:t xml:space="preserve">As </w:t>
      </w:r>
      <w:r w:rsidR="0048266A" w:rsidRPr="321DCC62">
        <w:rPr>
          <w:rFonts w:ascii="Arial" w:hAnsi="Arial" w:cs="Arial"/>
        </w:rPr>
        <w:t>day-to-day investment management is delegated to the OCIO, the University expects the OCIO to monitor the active ownership policies and actions of the pooled funds in which the University invests.</w:t>
      </w:r>
    </w:p>
    <w:p w14:paraId="515F8E31" w14:textId="77777777" w:rsidR="0048266A" w:rsidRPr="0048266A" w:rsidRDefault="0048266A" w:rsidP="0048266A">
      <w:pPr>
        <w:rPr>
          <w:rFonts w:ascii="Arial" w:hAnsi="Arial" w:cs="Arial"/>
        </w:rPr>
      </w:pPr>
      <w:r w:rsidRPr="321DCC62">
        <w:rPr>
          <w:rFonts w:ascii="Arial" w:hAnsi="Arial" w:cs="Arial"/>
        </w:rPr>
        <w:t>The University expects the OCIO to take account of the following areas when making investment decisions:</w:t>
      </w:r>
    </w:p>
    <w:p w14:paraId="59DEC65D" w14:textId="58319F5B" w:rsidR="0048266A" w:rsidRPr="0048266A" w:rsidRDefault="0048266A" w:rsidP="0048266A">
      <w:pPr>
        <w:numPr>
          <w:ilvl w:val="0"/>
          <w:numId w:val="1"/>
        </w:numPr>
        <w:rPr>
          <w:rFonts w:ascii="Arial" w:hAnsi="Arial" w:cs="Arial"/>
        </w:rPr>
      </w:pPr>
      <w:r w:rsidRPr="321DCC62">
        <w:rPr>
          <w:rFonts w:ascii="Arial" w:hAnsi="Arial" w:cs="Arial"/>
        </w:rPr>
        <w:t xml:space="preserve">human rights, including equality of gender, </w:t>
      </w:r>
      <w:r w:rsidR="28B85108" w:rsidRPr="321DCC62">
        <w:rPr>
          <w:rFonts w:ascii="Arial" w:hAnsi="Arial" w:cs="Arial"/>
        </w:rPr>
        <w:t>race,</w:t>
      </w:r>
      <w:r w:rsidRPr="321DCC62">
        <w:rPr>
          <w:rFonts w:ascii="Arial" w:hAnsi="Arial" w:cs="Arial"/>
        </w:rPr>
        <w:t xml:space="preserve"> and sexuality;</w:t>
      </w:r>
    </w:p>
    <w:p w14:paraId="526CD273" w14:textId="77777777" w:rsidR="0048266A" w:rsidRPr="0048266A" w:rsidRDefault="0048266A" w:rsidP="0048266A">
      <w:pPr>
        <w:numPr>
          <w:ilvl w:val="0"/>
          <w:numId w:val="1"/>
        </w:numPr>
        <w:rPr>
          <w:rFonts w:ascii="Arial" w:hAnsi="Arial" w:cs="Arial"/>
        </w:rPr>
      </w:pPr>
      <w:r w:rsidRPr="321DCC62">
        <w:rPr>
          <w:rFonts w:ascii="Arial" w:hAnsi="Arial" w:cs="Arial"/>
        </w:rPr>
        <w:t>good business ethics and good employment practices;</w:t>
      </w:r>
    </w:p>
    <w:p w14:paraId="33D25880" w14:textId="77777777" w:rsidR="0048266A" w:rsidRPr="0048266A" w:rsidRDefault="0048266A" w:rsidP="0048266A">
      <w:pPr>
        <w:numPr>
          <w:ilvl w:val="0"/>
          <w:numId w:val="1"/>
        </w:numPr>
        <w:rPr>
          <w:rFonts w:ascii="Arial" w:hAnsi="Arial" w:cs="Arial"/>
        </w:rPr>
      </w:pPr>
      <w:r w:rsidRPr="321DCC62">
        <w:rPr>
          <w:rFonts w:ascii="Arial" w:hAnsi="Arial" w:cs="Arial"/>
        </w:rPr>
        <w:t>protection of the environment, the climate and biodiversity; and</w:t>
      </w:r>
    </w:p>
    <w:p w14:paraId="2799EE5C" w14:textId="77777777" w:rsidR="0048266A" w:rsidRPr="0048266A" w:rsidRDefault="0048266A" w:rsidP="0048266A">
      <w:pPr>
        <w:numPr>
          <w:ilvl w:val="0"/>
          <w:numId w:val="1"/>
        </w:numPr>
        <w:rPr>
          <w:rFonts w:ascii="Arial" w:hAnsi="Arial" w:cs="Arial"/>
        </w:rPr>
      </w:pPr>
      <w:r w:rsidRPr="321DCC62">
        <w:rPr>
          <w:rFonts w:ascii="Arial" w:hAnsi="Arial" w:cs="Arial"/>
        </w:rPr>
        <w:t>promotion of international co-operation.</w:t>
      </w:r>
    </w:p>
    <w:p w14:paraId="5759FA50" w14:textId="77777777" w:rsidR="0048266A" w:rsidRPr="0048266A" w:rsidRDefault="0048266A" w:rsidP="0048266A">
      <w:pPr>
        <w:rPr>
          <w:rFonts w:ascii="Arial" w:hAnsi="Arial" w:cs="Arial"/>
        </w:rPr>
      </w:pPr>
      <w:r w:rsidRPr="321DCC62">
        <w:rPr>
          <w:rFonts w:ascii="Arial" w:hAnsi="Arial" w:cs="Arial"/>
        </w:rPr>
        <w:t>Within those expectations, the OCIO keeps discretion over direct bond and stock holdings and over the choice of pooled funds, subject to the governance expectations in this Policy. The University expects the OCIO, as part of its normal research and analysis, to consider ESG factors when selecting, retaining and realising investments and considers that good management of ESG risks can support long-term financial performance.</w:t>
      </w:r>
    </w:p>
    <w:p w14:paraId="31E4C66D" w14:textId="77777777" w:rsidR="0048266A" w:rsidRPr="0048266A" w:rsidRDefault="0048266A" w:rsidP="0048266A">
      <w:pPr>
        <w:rPr>
          <w:rFonts w:ascii="Arial" w:hAnsi="Arial" w:cs="Arial"/>
        </w:rPr>
      </w:pPr>
      <w:r w:rsidRPr="321DCC62">
        <w:rPr>
          <w:rFonts w:ascii="Arial" w:hAnsi="Arial" w:cs="Arial"/>
        </w:rPr>
        <w:t>The University requires the OCIO to be a signatory to the United Nations Principles for Responsible Investment. It also encourages investment in pooled funds that use engagement and shareholder voting to influence company behaviour.</w:t>
      </w:r>
    </w:p>
    <w:p w14:paraId="309D04A3" w14:textId="77777777" w:rsidR="0048266A" w:rsidRPr="0048266A" w:rsidRDefault="0048266A" w:rsidP="0048266A">
      <w:pPr>
        <w:rPr>
          <w:rFonts w:ascii="Arial" w:hAnsi="Arial" w:cs="Arial"/>
        </w:rPr>
      </w:pPr>
      <w:r w:rsidRPr="321DCC62">
        <w:rPr>
          <w:rFonts w:ascii="Arial" w:hAnsi="Arial" w:cs="Arial"/>
        </w:rPr>
        <w:t xml:space="preserve">Voting and engagement are delegated to external managers through the OCIO. The University does not exercise direct voting control over pooled funds. It therefore expects the OCIO to select and monitor managers that have credible voting and stewardship policies and that </w:t>
      </w:r>
      <w:r w:rsidRPr="321DCC62">
        <w:rPr>
          <w:rFonts w:ascii="Arial" w:hAnsi="Arial" w:cs="Arial"/>
        </w:rPr>
        <w:lastRenderedPageBreak/>
        <w:t>provide periodic reporting to support governance oversight. Reporting will be sought on a proportionate basis because data availability and contractual rights vary across pooled funds.</w:t>
      </w:r>
    </w:p>
    <w:p w14:paraId="12C7AE2B" w14:textId="77777777" w:rsidR="0048266A" w:rsidRPr="0048266A" w:rsidRDefault="0048266A" w:rsidP="00EB331C">
      <w:pPr>
        <w:spacing w:after="240"/>
        <w:rPr>
          <w:rFonts w:ascii="Arial" w:hAnsi="Arial" w:cs="Arial"/>
        </w:rPr>
      </w:pPr>
      <w:r w:rsidRPr="321DCC62">
        <w:rPr>
          <w:rFonts w:ascii="Arial" w:hAnsi="Arial" w:cs="Arial"/>
        </w:rPr>
        <w:t>The University expects the OCIO to provide, on a best-endeavours basis, an annual voting and stewardship summary. This should include key themes, examples of escalation and any significant votes where that information is available. The OCIO must report regularly to the Investment Sub-Committee through investment reports and an annual voting and stewardship summary report. Investment reports should include details of engagement with companies and shareholder voting activity where that information is available.</w:t>
      </w:r>
    </w:p>
    <w:p w14:paraId="023E9A67" w14:textId="7D9E689C" w:rsidR="00C95059" w:rsidRPr="00EB331C" w:rsidRDefault="00E72E55" w:rsidP="00EB331C">
      <w:pPr>
        <w:pStyle w:val="Heading3"/>
        <w:spacing w:after="120"/>
        <w:rPr>
          <w:rFonts w:ascii="Arial" w:hAnsi="Arial" w:cs="Arial"/>
          <w:color w:val="000000" w:themeColor="text1"/>
          <w:u w:val="single"/>
        </w:rPr>
      </w:pPr>
      <w:r w:rsidRPr="00EB331C">
        <w:rPr>
          <w:rFonts w:ascii="Arial" w:hAnsi="Arial" w:cs="Arial"/>
          <w:color w:val="000000" w:themeColor="text1"/>
          <w:u w:val="single"/>
        </w:rPr>
        <w:t>Environmental, Social and Governance (ESG) Integration and Systematic Sustainability Issues</w:t>
      </w:r>
    </w:p>
    <w:p w14:paraId="6E1A7872" w14:textId="57532115" w:rsidR="0048266A" w:rsidRPr="0048266A" w:rsidRDefault="0048266A" w:rsidP="0048266A">
      <w:pPr>
        <w:rPr>
          <w:rFonts w:ascii="Arial" w:hAnsi="Arial" w:cs="Arial"/>
        </w:rPr>
      </w:pPr>
      <w:r w:rsidRPr="321DCC62">
        <w:rPr>
          <w:rFonts w:ascii="Arial" w:hAnsi="Arial" w:cs="Arial"/>
        </w:rPr>
        <w:t>The University sees ESG factors as factors that can affect long-term investment risk and return. The University believes that thoughtful integration of ESG issues into investment management and ownership practices can support financial performance.</w:t>
      </w:r>
    </w:p>
    <w:p w14:paraId="088BABE6" w14:textId="77777777" w:rsidR="0048266A" w:rsidRPr="0048266A" w:rsidRDefault="0048266A" w:rsidP="0048266A">
      <w:pPr>
        <w:rPr>
          <w:rFonts w:ascii="Arial" w:hAnsi="Arial" w:cs="Arial"/>
        </w:rPr>
      </w:pPr>
      <w:r w:rsidRPr="321DCC62">
        <w:rPr>
          <w:rFonts w:ascii="Arial" w:hAnsi="Arial" w:cs="Arial"/>
        </w:rPr>
        <w:t>The University adopts broad, non-exhaustive definitions of environmental, social and governance (ESG) issues, drawing on the Principles for Responsible Investment (PRI) Reporting Framework:</w:t>
      </w:r>
    </w:p>
    <w:p w14:paraId="714E3B0B" w14:textId="77777777" w:rsidR="0048266A" w:rsidRPr="0048266A" w:rsidRDefault="0048266A" w:rsidP="0048266A">
      <w:pPr>
        <w:numPr>
          <w:ilvl w:val="0"/>
          <w:numId w:val="1"/>
        </w:numPr>
        <w:rPr>
          <w:rFonts w:ascii="Arial" w:hAnsi="Arial" w:cs="Arial"/>
        </w:rPr>
      </w:pPr>
      <w:r w:rsidRPr="321DCC62">
        <w:rPr>
          <w:rFonts w:ascii="Arial" w:hAnsi="Arial" w:cs="Arial"/>
        </w:rPr>
        <w:t>Environmental issues relate to the quality and functioning of the natural environment and natural systems. They include matters such as biodiversity loss, greenhouse gas emissions, climate change, renewable energy, energy efficiency, pollution, waste management, land-use change and ocean acidification.</w:t>
      </w:r>
    </w:p>
    <w:p w14:paraId="613C0071" w14:textId="284AD8B6" w:rsidR="0048266A" w:rsidRPr="0048266A" w:rsidRDefault="0048266A" w:rsidP="0048266A">
      <w:pPr>
        <w:numPr>
          <w:ilvl w:val="0"/>
          <w:numId w:val="1"/>
        </w:numPr>
        <w:rPr>
          <w:rFonts w:ascii="Arial" w:hAnsi="Arial" w:cs="Arial"/>
        </w:rPr>
      </w:pPr>
      <w:r w:rsidRPr="321DCC62">
        <w:rPr>
          <w:rFonts w:ascii="Arial" w:hAnsi="Arial" w:cs="Arial"/>
        </w:rPr>
        <w:t xml:space="preserve">Social issues relate to the rights, well-being and interests of people and communities. They include matters such as human rights, labour standards in the supply chain, workplace health and safety, freedom of association and freedom of expression, diversity, relations with local communities, activities in conflict zones, consumer </w:t>
      </w:r>
      <w:r w:rsidR="3E7F8F1E" w:rsidRPr="321DCC62">
        <w:rPr>
          <w:rFonts w:ascii="Arial" w:hAnsi="Arial" w:cs="Arial"/>
        </w:rPr>
        <w:t>protection,</w:t>
      </w:r>
      <w:r w:rsidRPr="321DCC62">
        <w:rPr>
          <w:rFonts w:ascii="Arial" w:hAnsi="Arial" w:cs="Arial"/>
        </w:rPr>
        <w:t xml:space="preserve"> and controversial weapons.</w:t>
      </w:r>
    </w:p>
    <w:p w14:paraId="55E9DB2C" w14:textId="22A8AE7A" w:rsidR="0048266A" w:rsidRPr="0048266A" w:rsidRDefault="0048266A" w:rsidP="0048266A">
      <w:pPr>
        <w:numPr>
          <w:ilvl w:val="0"/>
          <w:numId w:val="1"/>
        </w:numPr>
        <w:rPr>
          <w:rFonts w:ascii="Arial" w:hAnsi="Arial" w:cs="Arial"/>
        </w:rPr>
      </w:pPr>
      <w:r w:rsidRPr="321DCC62">
        <w:rPr>
          <w:rFonts w:ascii="Arial" w:hAnsi="Arial" w:cs="Arial"/>
        </w:rPr>
        <w:t xml:space="preserve">Governance issues relate to the governance of companies and other investee entities. They include matters such as board structure, size, diversity, skills and independence, executive pay, shareholder rights, stakeholder interaction, disclosure of information, business ethics, bribery and corruption, internal </w:t>
      </w:r>
      <w:r w:rsidR="00F9D3EE" w:rsidRPr="321DCC62">
        <w:rPr>
          <w:rFonts w:ascii="Arial" w:hAnsi="Arial" w:cs="Arial"/>
        </w:rPr>
        <w:t>controls,</w:t>
      </w:r>
      <w:r w:rsidRPr="321DCC62">
        <w:rPr>
          <w:rFonts w:ascii="Arial" w:hAnsi="Arial" w:cs="Arial"/>
        </w:rPr>
        <w:t xml:space="preserve"> and risk management.</w:t>
      </w:r>
    </w:p>
    <w:p w14:paraId="54EC8936" w14:textId="63C42DB1" w:rsidR="0048266A" w:rsidRPr="0048266A" w:rsidRDefault="0048266A" w:rsidP="0048266A">
      <w:pPr>
        <w:rPr>
          <w:rFonts w:ascii="Arial" w:hAnsi="Arial" w:cs="Arial"/>
        </w:rPr>
      </w:pPr>
      <w:r w:rsidRPr="321DCC62">
        <w:rPr>
          <w:rFonts w:ascii="Arial" w:hAnsi="Arial" w:cs="Arial"/>
        </w:rPr>
        <w:t xml:space="preserve">The University recognises that some sustainability issues are systematic. That means they can affect long-term risks and returns across sectors, asset </w:t>
      </w:r>
      <w:r w:rsidR="1E071190" w:rsidRPr="321DCC62">
        <w:rPr>
          <w:rFonts w:ascii="Arial" w:hAnsi="Arial" w:cs="Arial"/>
        </w:rPr>
        <w:t>classes,</w:t>
      </w:r>
      <w:r w:rsidRPr="321DCC62">
        <w:rPr>
          <w:rFonts w:ascii="Arial" w:hAnsi="Arial" w:cs="Arial"/>
        </w:rPr>
        <w:t xml:space="preserve"> and geographies. Within the limits of a mainly </w:t>
      </w:r>
      <w:r w:rsidR="050DF6D8" w:rsidRPr="321DCC62">
        <w:rPr>
          <w:rFonts w:ascii="Arial" w:hAnsi="Arial" w:cs="Arial"/>
        </w:rPr>
        <w:t>pooled fund</w:t>
      </w:r>
      <w:r w:rsidRPr="321DCC62">
        <w:rPr>
          <w:rFonts w:ascii="Arial" w:hAnsi="Arial" w:cs="Arial"/>
        </w:rPr>
        <w:t xml:space="preserve"> and OCIO model, the University expects the OCIO to consider these issues in manager selection, </w:t>
      </w:r>
      <w:r w:rsidR="2B935251" w:rsidRPr="321DCC62">
        <w:rPr>
          <w:rFonts w:ascii="Arial" w:hAnsi="Arial" w:cs="Arial"/>
        </w:rPr>
        <w:t>monitoring,</w:t>
      </w:r>
      <w:r w:rsidRPr="321DCC62">
        <w:rPr>
          <w:rFonts w:ascii="Arial" w:hAnsi="Arial" w:cs="Arial"/>
        </w:rPr>
        <w:t xml:space="preserve"> and stewardship, and to report on them on a proportionate basis.</w:t>
      </w:r>
    </w:p>
    <w:p w14:paraId="2CF50542" w14:textId="5A5AD911" w:rsidR="008D6367" w:rsidRPr="00EB331C" w:rsidRDefault="0048266A" w:rsidP="00EB331C">
      <w:pPr>
        <w:spacing w:after="240"/>
        <w:rPr>
          <w:rFonts w:ascii="Arial" w:hAnsi="Arial" w:cs="Arial"/>
        </w:rPr>
      </w:pPr>
      <w:r w:rsidRPr="321DCC62">
        <w:rPr>
          <w:rFonts w:ascii="Arial" w:hAnsi="Arial" w:cs="Arial"/>
        </w:rPr>
        <w:t>These issues include, but are not limited to, climate change and the transition to a low-carbon economy, human rights and labour standards, and nature-related risks, including biodiversity loss. The University does not require the OCIO or underlying managers to apply University-specific investment instructions where that is not practical in pooled funds. It does, however, expect evidence-based consideration of these issues and escalation through stewardship where material risks are identified.</w:t>
      </w:r>
    </w:p>
    <w:p w14:paraId="266369F1" w14:textId="2B9FCFD6" w:rsidR="00C95059" w:rsidRPr="00EB331C" w:rsidRDefault="009248D4" w:rsidP="00EB331C">
      <w:pPr>
        <w:pStyle w:val="Heading2"/>
        <w:spacing w:after="120"/>
        <w:rPr>
          <w:rFonts w:ascii="Arial" w:hAnsi="Arial" w:cs="Arial"/>
          <w:color w:val="000000" w:themeColor="text1"/>
          <w:u w:val="single"/>
        </w:rPr>
      </w:pPr>
      <w:r w:rsidRPr="00EB331C">
        <w:rPr>
          <w:rFonts w:ascii="Arial" w:hAnsi="Arial" w:cs="Arial"/>
          <w:color w:val="000000" w:themeColor="text1"/>
          <w:u w:val="single"/>
        </w:rPr>
        <w:lastRenderedPageBreak/>
        <w:t>High-</w:t>
      </w:r>
      <w:r w:rsidR="00600820" w:rsidRPr="00EB331C">
        <w:rPr>
          <w:rFonts w:ascii="Arial" w:hAnsi="Arial" w:cs="Arial"/>
          <w:color w:val="000000" w:themeColor="text1"/>
          <w:u w:val="single"/>
        </w:rPr>
        <w:t>R</w:t>
      </w:r>
      <w:r w:rsidRPr="00EB331C">
        <w:rPr>
          <w:rFonts w:ascii="Arial" w:hAnsi="Arial" w:cs="Arial"/>
          <w:color w:val="000000" w:themeColor="text1"/>
          <w:u w:val="single"/>
        </w:rPr>
        <w:t xml:space="preserve">isk </w:t>
      </w:r>
      <w:r w:rsidR="00600820" w:rsidRPr="00EB331C">
        <w:rPr>
          <w:rFonts w:ascii="Arial" w:hAnsi="Arial" w:cs="Arial"/>
          <w:color w:val="000000" w:themeColor="text1"/>
          <w:u w:val="single"/>
        </w:rPr>
        <w:t>S</w:t>
      </w:r>
      <w:r w:rsidRPr="00EB331C">
        <w:rPr>
          <w:rFonts w:ascii="Arial" w:hAnsi="Arial" w:cs="Arial"/>
          <w:color w:val="000000" w:themeColor="text1"/>
          <w:u w:val="single"/>
        </w:rPr>
        <w:t xml:space="preserve">ectors and </w:t>
      </w:r>
      <w:r w:rsidR="00600820" w:rsidRPr="00EB331C">
        <w:rPr>
          <w:rFonts w:ascii="Arial" w:hAnsi="Arial" w:cs="Arial"/>
          <w:color w:val="000000" w:themeColor="text1"/>
          <w:u w:val="single"/>
        </w:rPr>
        <w:t>E</w:t>
      </w:r>
      <w:r w:rsidRPr="00EB331C">
        <w:rPr>
          <w:rFonts w:ascii="Arial" w:hAnsi="Arial" w:cs="Arial"/>
          <w:color w:val="000000" w:themeColor="text1"/>
          <w:u w:val="single"/>
        </w:rPr>
        <w:t xml:space="preserve">levated </w:t>
      </w:r>
      <w:r w:rsidR="00600820" w:rsidRPr="00EB331C">
        <w:rPr>
          <w:rFonts w:ascii="Arial" w:hAnsi="Arial" w:cs="Arial"/>
          <w:color w:val="000000" w:themeColor="text1"/>
          <w:u w:val="single"/>
        </w:rPr>
        <w:t>R</w:t>
      </w:r>
      <w:r w:rsidRPr="00EB331C">
        <w:rPr>
          <w:rFonts w:ascii="Arial" w:hAnsi="Arial" w:cs="Arial"/>
          <w:color w:val="000000" w:themeColor="text1"/>
          <w:u w:val="single"/>
        </w:rPr>
        <w:t xml:space="preserve">isk </w:t>
      </w:r>
      <w:r w:rsidR="00600820" w:rsidRPr="00EB331C">
        <w:rPr>
          <w:rFonts w:ascii="Arial" w:hAnsi="Arial" w:cs="Arial"/>
          <w:color w:val="000000" w:themeColor="text1"/>
          <w:u w:val="single"/>
        </w:rPr>
        <w:t>C</w:t>
      </w:r>
      <w:r w:rsidRPr="00EB331C">
        <w:rPr>
          <w:rFonts w:ascii="Arial" w:hAnsi="Arial" w:cs="Arial"/>
          <w:color w:val="000000" w:themeColor="text1"/>
          <w:u w:val="single"/>
        </w:rPr>
        <w:t>onsiderations</w:t>
      </w:r>
    </w:p>
    <w:p w14:paraId="06D8128A" w14:textId="1BC321DD" w:rsidR="0048266A" w:rsidRPr="0048266A" w:rsidRDefault="0048266A" w:rsidP="0048266A">
      <w:pPr>
        <w:rPr>
          <w:rFonts w:ascii="Arial" w:hAnsi="Arial" w:cs="Arial"/>
        </w:rPr>
      </w:pPr>
      <w:r w:rsidRPr="321DCC62">
        <w:rPr>
          <w:rFonts w:ascii="Arial" w:hAnsi="Arial" w:cs="Arial"/>
        </w:rPr>
        <w:t xml:space="preserve">The University recognises that some sectors and activities may involve higher ethical, legal, </w:t>
      </w:r>
      <w:r w:rsidR="78F573D9" w:rsidRPr="321DCC62">
        <w:rPr>
          <w:rFonts w:ascii="Arial" w:hAnsi="Arial" w:cs="Arial"/>
        </w:rPr>
        <w:t>reputational,</w:t>
      </w:r>
      <w:r w:rsidRPr="321DCC62">
        <w:rPr>
          <w:rFonts w:ascii="Arial" w:hAnsi="Arial" w:cs="Arial"/>
        </w:rPr>
        <w:t xml:space="preserve"> and human rights risks. The University expects the OCIO and underlying managers to identify and manage those risks through robust due diligence, </w:t>
      </w:r>
      <w:r w:rsidR="2AF81178" w:rsidRPr="321DCC62">
        <w:rPr>
          <w:rFonts w:ascii="Arial" w:hAnsi="Arial" w:cs="Arial"/>
        </w:rPr>
        <w:t>stewardship,</w:t>
      </w:r>
      <w:r w:rsidRPr="321DCC62">
        <w:rPr>
          <w:rFonts w:ascii="Arial" w:hAnsi="Arial" w:cs="Arial"/>
        </w:rPr>
        <w:t xml:space="preserve"> and escalation, consistent with applicable law and the University’s fiduciary duties.</w:t>
      </w:r>
    </w:p>
    <w:p w14:paraId="2A4BE2C5" w14:textId="77777777" w:rsidR="0048266A" w:rsidRPr="0048266A" w:rsidRDefault="0048266A" w:rsidP="00EB331C">
      <w:pPr>
        <w:spacing w:after="240"/>
        <w:rPr>
          <w:rFonts w:ascii="Arial" w:hAnsi="Arial" w:cs="Arial"/>
        </w:rPr>
      </w:pPr>
      <w:r w:rsidRPr="321DCC62">
        <w:rPr>
          <w:rFonts w:ascii="Arial" w:hAnsi="Arial" w:cs="Arial"/>
        </w:rPr>
        <w:t>As a minimum, the University expects compliance with sanctions regimes and legal prohibitions. Beyond that baseline, where investments have material exposure to elevated-risk activities, the University expects the OCIO to be able to explain the investment rationale, the controls in place and the stewardship approach used to manage the relevant ESG risks.</w:t>
      </w:r>
    </w:p>
    <w:p w14:paraId="7FF2C05A" w14:textId="6D9C9C6B" w:rsidR="00C95059" w:rsidRPr="00EB331C" w:rsidRDefault="009248D4" w:rsidP="00EB331C">
      <w:pPr>
        <w:pStyle w:val="Heading3"/>
        <w:spacing w:after="120"/>
        <w:rPr>
          <w:rFonts w:ascii="Arial" w:hAnsi="Arial" w:cs="Arial"/>
          <w:color w:val="000000" w:themeColor="text1"/>
          <w:u w:val="single"/>
        </w:rPr>
      </w:pPr>
      <w:r w:rsidRPr="00EB331C">
        <w:rPr>
          <w:rFonts w:ascii="Arial" w:hAnsi="Arial" w:cs="Arial"/>
          <w:color w:val="000000" w:themeColor="text1"/>
          <w:u w:val="single"/>
        </w:rPr>
        <w:t>Climate-</w:t>
      </w:r>
      <w:r w:rsidR="00600820" w:rsidRPr="00EB331C">
        <w:rPr>
          <w:rFonts w:ascii="Arial" w:hAnsi="Arial" w:cs="Arial"/>
          <w:color w:val="000000" w:themeColor="text1"/>
          <w:u w:val="single"/>
        </w:rPr>
        <w:t>R</w:t>
      </w:r>
      <w:r w:rsidRPr="00EB331C">
        <w:rPr>
          <w:rFonts w:ascii="Arial" w:hAnsi="Arial" w:cs="Arial"/>
          <w:color w:val="000000" w:themeColor="text1"/>
          <w:u w:val="single"/>
        </w:rPr>
        <w:t>elated Risks and Opportunities</w:t>
      </w:r>
    </w:p>
    <w:p w14:paraId="6E5E2841" w14:textId="412A24CD" w:rsidR="0048266A" w:rsidRPr="0048266A" w:rsidRDefault="0048266A" w:rsidP="0048266A">
      <w:pPr>
        <w:rPr>
          <w:rFonts w:ascii="Arial" w:hAnsi="Arial" w:cs="Arial"/>
        </w:rPr>
      </w:pPr>
      <w:r w:rsidRPr="321DCC62">
        <w:rPr>
          <w:rFonts w:ascii="Arial" w:hAnsi="Arial" w:cs="Arial"/>
        </w:rPr>
        <w:t xml:space="preserve">The University considers climate-related risks and opportunities to be a relevant part of long-term investment risk and return. Under the delegated OCIO </w:t>
      </w:r>
      <w:r w:rsidR="00AB7D72" w:rsidRPr="321DCC62">
        <w:rPr>
          <w:rFonts w:ascii="Arial" w:hAnsi="Arial" w:cs="Arial"/>
        </w:rPr>
        <w:t xml:space="preserve">investment </w:t>
      </w:r>
      <w:r w:rsidRPr="321DCC62">
        <w:rPr>
          <w:rFonts w:ascii="Arial" w:hAnsi="Arial" w:cs="Arial"/>
        </w:rPr>
        <w:t>model, the identification and assessment of climate-related risks and opportunities rely on information and analysis provided by the OCIO and underlying managers.</w:t>
      </w:r>
    </w:p>
    <w:p w14:paraId="2D3B4A50" w14:textId="75B44CD3" w:rsidR="0048266A" w:rsidRPr="0048266A" w:rsidRDefault="0048266A" w:rsidP="00EB331C">
      <w:pPr>
        <w:spacing w:after="240"/>
        <w:rPr>
          <w:rFonts w:ascii="Arial" w:hAnsi="Arial" w:cs="Arial"/>
        </w:rPr>
      </w:pPr>
      <w:r w:rsidRPr="321DCC62">
        <w:rPr>
          <w:rFonts w:ascii="Arial" w:hAnsi="Arial" w:cs="Arial"/>
        </w:rPr>
        <w:t xml:space="preserve">The Investment Sub-Committee reviews relevant climate information as part of its regular oversight of the OCIO. It does this while recognising limits in data coverage and methodology within pooled funds. Through that governance process, the University identifies, </w:t>
      </w:r>
      <w:r w:rsidR="1F6A42B8" w:rsidRPr="321DCC62">
        <w:rPr>
          <w:rFonts w:ascii="Arial" w:hAnsi="Arial" w:cs="Arial"/>
        </w:rPr>
        <w:t>reviews,</w:t>
      </w:r>
      <w:r w:rsidRPr="321DCC62">
        <w:rPr>
          <w:rFonts w:ascii="Arial" w:hAnsi="Arial" w:cs="Arial"/>
        </w:rPr>
        <w:t xml:space="preserve"> and documents material climate-related risks and opportunities. It also considers any stewardship or portfolio actions that may be needed within the practical limits of pooled funds.</w:t>
      </w:r>
    </w:p>
    <w:p w14:paraId="17065521" w14:textId="491E6F00" w:rsidR="00C95059" w:rsidRPr="00EB331C" w:rsidRDefault="009248D4" w:rsidP="00EB331C">
      <w:pPr>
        <w:pStyle w:val="Heading2"/>
        <w:spacing w:after="120"/>
        <w:rPr>
          <w:rFonts w:ascii="Arial" w:hAnsi="Arial" w:cs="Arial"/>
          <w:color w:val="000000" w:themeColor="text1"/>
          <w:u w:val="single"/>
        </w:rPr>
      </w:pPr>
      <w:r w:rsidRPr="00EB331C">
        <w:rPr>
          <w:rFonts w:ascii="Arial" w:hAnsi="Arial" w:cs="Arial"/>
          <w:color w:val="000000" w:themeColor="text1"/>
          <w:u w:val="single"/>
        </w:rPr>
        <w:t>United Nations Principles for Responsible Investment</w:t>
      </w:r>
    </w:p>
    <w:p w14:paraId="0995970E" w14:textId="633D5107" w:rsidR="0048266A" w:rsidRPr="0048266A" w:rsidRDefault="0048266A" w:rsidP="0048266A">
      <w:pPr>
        <w:rPr>
          <w:rFonts w:ascii="Arial" w:hAnsi="Arial" w:cs="Arial"/>
        </w:rPr>
      </w:pPr>
      <w:r w:rsidRPr="321DCC62">
        <w:rPr>
          <w:rFonts w:ascii="Arial" w:hAnsi="Arial" w:cs="Arial"/>
        </w:rPr>
        <w:t>The University became a signatory to the United Nations Principles for Responsible Investment (UNPRI) in December 2019. UNPRI is a United Nations-supported international network of investors working together to implement six aspirational principles. Its goal is to help investors understand the implications of sustainability and support them in incorporating these issues into investment decision-making and ownership practices.</w:t>
      </w:r>
    </w:p>
    <w:p w14:paraId="3E7DD232" w14:textId="028192B7" w:rsidR="00AC4114" w:rsidRDefault="0048266A" w:rsidP="0048266A">
      <w:pPr>
        <w:rPr>
          <w:rFonts w:ascii="Arial" w:hAnsi="Arial" w:cs="Arial"/>
        </w:rPr>
      </w:pPr>
      <w:r w:rsidRPr="321DCC62">
        <w:rPr>
          <w:rFonts w:ascii="Arial" w:hAnsi="Arial" w:cs="Arial"/>
        </w:rPr>
        <w:t xml:space="preserve">The Principles for Responsible Investment are a voluntary set of principles that help investors take account of ESG issues in investment decisions and ownership practices. </w:t>
      </w:r>
      <w:r w:rsidR="00401349" w:rsidRPr="00401349">
        <w:rPr>
          <w:rFonts w:ascii="Arial" w:hAnsi="Arial" w:cs="Arial"/>
        </w:rPr>
        <w:t>The six principles set out below are the UNPRI principles adopted by the University as a signatory and should be read alongside the University’s own responsible investment governance framework, minimum standards and manager expectations set out in this Policy.</w:t>
      </w:r>
    </w:p>
    <w:p w14:paraId="4AD0A41D" w14:textId="2D916935" w:rsidR="0048266A" w:rsidRPr="0048266A" w:rsidRDefault="0048266A" w:rsidP="0048266A">
      <w:pPr>
        <w:rPr>
          <w:rFonts w:ascii="Arial" w:hAnsi="Arial" w:cs="Arial"/>
        </w:rPr>
      </w:pPr>
      <w:r w:rsidRPr="321DCC62">
        <w:rPr>
          <w:rFonts w:ascii="Arial" w:hAnsi="Arial" w:cs="Arial"/>
        </w:rPr>
        <w:t>The University has adopted the following statement:</w:t>
      </w:r>
    </w:p>
    <w:p w14:paraId="4134D6EF" w14:textId="2D4E5B93" w:rsidR="0048266A" w:rsidRPr="00EB331C" w:rsidRDefault="0048266A" w:rsidP="321DCC62">
      <w:pPr>
        <w:rPr>
          <w:rFonts w:ascii="Arial" w:hAnsi="Arial" w:cs="Arial"/>
          <w:b/>
          <w:bCs/>
        </w:rPr>
      </w:pPr>
      <w:r w:rsidRPr="00EB331C">
        <w:rPr>
          <w:rFonts w:ascii="Arial" w:hAnsi="Arial" w:cs="Arial"/>
          <w:b/>
          <w:bCs/>
        </w:rPr>
        <w:t xml:space="preserve">As an institutional investor, we have a duty to act in the best long-term interests of our beneficiaries. In this fiduciary role, we believe that environmental, </w:t>
      </w:r>
      <w:r w:rsidR="23B72551" w:rsidRPr="00EB331C">
        <w:rPr>
          <w:rFonts w:ascii="Arial" w:hAnsi="Arial" w:cs="Arial"/>
          <w:b/>
          <w:bCs/>
        </w:rPr>
        <w:t>social,</w:t>
      </w:r>
      <w:r w:rsidRPr="00EB331C">
        <w:rPr>
          <w:rFonts w:ascii="Arial" w:hAnsi="Arial" w:cs="Arial"/>
          <w:b/>
          <w:bCs/>
        </w:rPr>
        <w:t xml:space="preserve"> and corporate governance issues can affect the performance of investment portfolios across companies, sectors, </w:t>
      </w:r>
      <w:r w:rsidR="1C60BF15" w:rsidRPr="00EB331C">
        <w:rPr>
          <w:rFonts w:ascii="Arial" w:hAnsi="Arial" w:cs="Arial"/>
          <w:b/>
          <w:bCs/>
        </w:rPr>
        <w:t>regions,</w:t>
      </w:r>
      <w:r w:rsidRPr="00EB331C">
        <w:rPr>
          <w:rFonts w:ascii="Arial" w:hAnsi="Arial" w:cs="Arial"/>
          <w:b/>
          <w:bCs/>
        </w:rPr>
        <w:t xml:space="preserve"> and asset classes and through time.</w:t>
      </w:r>
    </w:p>
    <w:p w14:paraId="232665F8" w14:textId="77777777" w:rsidR="0048266A" w:rsidRPr="00EB331C" w:rsidRDefault="0048266A" w:rsidP="321DCC62">
      <w:pPr>
        <w:rPr>
          <w:rFonts w:ascii="Arial" w:hAnsi="Arial" w:cs="Arial"/>
        </w:rPr>
      </w:pPr>
      <w:r w:rsidRPr="00EB331C">
        <w:rPr>
          <w:rFonts w:ascii="Arial" w:hAnsi="Arial" w:cs="Arial"/>
        </w:rPr>
        <w:t>We also recognise that applying these Principles may better align investors with broader objectives of society. Therefore, where consistent with our fiduciary responsibilities, we commit to the following:</w:t>
      </w:r>
    </w:p>
    <w:p w14:paraId="13229817" w14:textId="77777777" w:rsidR="0048266A" w:rsidRPr="00EB331C" w:rsidRDefault="0048266A" w:rsidP="321DCC62">
      <w:pPr>
        <w:numPr>
          <w:ilvl w:val="0"/>
          <w:numId w:val="1"/>
        </w:numPr>
        <w:rPr>
          <w:rFonts w:ascii="Arial" w:hAnsi="Arial" w:cs="Arial"/>
        </w:rPr>
      </w:pPr>
      <w:r w:rsidRPr="00EB331C">
        <w:rPr>
          <w:rFonts w:ascii="Arial" w:hAnsi="Arial" w:cs="Arial"/>
        </w:rPr>
        <w:lastRenderedPageBreak/>
        <w:t>Principle 1: We will incorporate ESG issues into investment analysis and decision-making processes.</w:t>
      </w:r>
    </w:p>
    <w:p w14:paraId="3131584A" w14:textId="77777777" w:rsidR="0048266A" w:rsidRPr="00EB331C" w:rsidRDefault="0048266A" w:rsidP="321DCC62">
      <w:pPr>
        <w:numPr>
          <w:ilvl w:val="0"/>
          <w:numId w:val="1"/>
        </w:numPr>
        <w:rPr>
          <w:rFonts w:ascii="Arial" w:hAnsi="Arial" w:cs="Arial"/>
        </w:rPr>
      </w:pPr>
      <w:r w:rsidRPr="00EB331C">
        <w:rPr>
          <w:rFonts w:ascii="Arial" w:hAnsi="Arial" w:cs="Arial"/>
        </w:rPr>
        <w:t>Principle 2: We will be active owners and incorporate ESG issues into our ownership policies and practices.</w:t>
      </w:r>
    </w:p>
    <w:p w14:paraId="4D14CF9F" w14:textId="77777777" w:rsidR="0048266A" w:rsidRPr="00EB331C" w:rsidRDefault="0048266A" w:rsidP="321DCC62">
      <w:pPr>
        <w:numPr>
          <w:ilvl w:val="0"/>
          <w:numId w:val="1"/>
        </w:numPr>
        <w:rPr>
          <w:rFonts w:ascii="Arial" w:hAnsi="Arial" w:cs="Arial"/>
        </w:rPr>
      </w:pPr>
      <w:r w:rsidRPr="00EB331C">
        <w:rPr>
          <w:rFonts w:ascii="Arial" w:hAnsi="Arial" w:cs="Arial"/>
        </w:rPr>
        <w:t>Principle 3: We will seek appropriate disclosure on ESG issues by the entities in which we invest.</w:t>
      </w:r>
    </w:p>
    <w:p w14:paraId="326DDE34" w14:textId="77777777" w:rsidR="0048266A" w:rsidRPr="00EB331C" w:rsidRDefault="0048266A" w:rsidP="321DCC62">
      <w:pPr>
        <w:numPr>
          <w:ilvl w:val="0"/>
          <w:numId w:val="1"/>
        </w:numPr>
        <w:rPr>
          <w:rFonts w:ascii="Arial" w:hAnsi="Arial" w:cs="Arial"/>
        </w:rPr>
      </w:pPr>
      <w:r w:rsidRPr="00EB331C">
        <w:rPr>
          <w:rFonts w:ascii="Arial" w:hAnsi="Arial" w:cs="Arial"/>
        </w:rPr>
        <w:t xml:space="preserve">Principle 4: We will promote acceptance and implementation of the </w:t>
      </w:r>
      <w:bookmarkStart w:id="2" w:name="_Int_DHbVeTKB"/>
      <w:proofErr w:type="gramStart"/>
      <w:r w:rsidRPr="00EB331C">
        <w:rPr>
          <w:rFonts w:ascii="Arial" w:hAnsi="Arial" w:cs="Arial"/>
        </w:rPr>
        <w:t>Principles</w:t>
      </w:r>
      <w:bookmarkEnd w:id="2"/>
      <w:proofErr w:type="gramEnd"/>
      <w:r w:rsidRPr="00EB331C">
        <w:rPr>
          <w:rFonts w:ascii="Arial" w:hAnsi="Arial" w:cs="Arial"/>
        </w:rPr>
        <w:t xml:space="preserve"> within the investment industry.</w:t>
      </w:r>
    </w:p>
    <w:p w14:paraId="3BF249C2" w14:textId="77777777" w:rsidR="0048266A" w:rsidRPr="00EB331C" w:rsidRDefault="0048266A" w:rsidP="321DCC62">
      <w:pPr>
        <w:numPr>
          <w:ilvl w:val="0"/>
          <w:numId w:val="1"/>
        </w:numPr>
        <w:rPr>
          <w:rFonts w:ascii="Arial" w:hAnsi="Arial" w:cs="Arial"/>
        </w:rPr>
      </w:pPr>
      <w:r w:rsidRPr="00EB331C">
        <w:rPr>
          <w:rFonts w:ascii="Arial" w:hAnsi="Arial" w:cs="Arial"/>
        </w:rPr>
        <w:t xml:space="preserve">Principle 5: We will work together to enhance our effectiveness in implementing the </w:t>
      </w:r>
      <w:bookmarkStart w:id="3" w:name="_Int_3IUJUA8A"/>
      <w:proofErr w:type="gramStart"/>
      <w:r w:rsidRPr="00EB331C">
        <w:rPr>
          <w:rFonts w:ascii="Arial" w:hAnsi="Arial" w:cs="Arial"/>
        </w:rPr>
        <w:t>Principles</w:t>
      </w:r>
      <w:bookmarkEnd w:id="3"/>
      <w:proofErr w:type="gramEnd"/>
      <w:r w:rsidRPr="00EB331C">
        <w:rPr>
          <w:rFonts w:ascii="Arial" w:hAnsi="Arial" w:cs="Arial"/>
        </w:rPr>
        <w:t>.</w:t>
      </w:r>
    </w:p>
    <w:p w14:paraId="59045B49" w14:textId="77777777" w:rsidR="0048266A" w:rsidRPr="00EB331C" w:rsidRDefault="0048266A" w:rsidP="00EB331C">
      <w:pPr>
        <w:numPr>
          <w:ilvl w:val="0"/>
          <w:numId w:val="1"/>
        </w:numPr>
        <w:spacing w:after="240"/>
        <w:ind w:left="357" w:hanging="357"/>
        <w:rPr>
          <w:rFonts w:ascii="Arial" w:hAnsi="Arial" w:cs="Arial"/>
        </w:rPr>
      </w:pPr>
      <w:r w:rsidRPr="00EB331C">
        <w:rPr>
          <w:rFonts w:ascii="Arial" w:hAnsi="Arial" w:cs="Arial"/>
        </w:rPr>
        <w:t xml:space="preserve">Principle 6: We will each report on our activities and progress towards implementing the </w:t>
      </w:r>
      <w:bookmarkStart w:id="4" w:name="_Int_1gL48hBU"/>
      <w:proofErr w:type="gramStart"/>
      <w:r w:rsidRPr="00EB331C">
        <w:rPr>
          <w:rFonts w:ascii="Arial" w:hAnsi="Arial" w:cs="Arial"/>
        </w:rPr>
        <w:t>Principles</w:t>
      </w:r>
      <w:bookmarkEnd w:id="4"/>
      <w:proofErr w:type="gramEnd"/>
      <w:r w:rsidRPr="00EB331C">
        <w:rPr>
          <w:rFonts w:ascii="Arial" w:hAnsi="Arial" w:cs="Arial"/>
        </w:rPr>
        <w:t>.</w:t>
      </w:r>
    </w:p>
    <w:p w14:paraId="2BC9776E" w14:textId="4CEDDE51" w:rsidR="00C95059" w:rsidRPr="00EB331C" w:rsidRDefault="009248D4" w:rsidP="00EB331C">
      <w:pPr>
        <w:pStyle w:val="Heading2"/>
        <w:spacing w:after="120"/>
        <w:rPr>
          <w:rFonts w:ascii="Arial" w:hAnsi="Arial" w:cs="Arial"/>
          <w:color w:val="000000" w:themeColor="text1"/>
          <w:u w:val="single"/>
        </w:rPr>
      </w:pPr>
      <w:r w:rsidRPr="00EB331C">
        <w:rPr>
          <w:rFonts w:ascii="Arial" w:hAnsi="Arial" w:cs="Arial"/>
          <w:color w:val="000000" w:themeColor="text1"/>
          <w:u w:val="single"/>
        </w:rPr>
        <w:t xml:space="preserve">Implementation </w:t>
      </w:r>
      <w:r w:rsidR="00600820" w:rsidRPr="00EB331C">
        <w:rPr>
          <w:rFonts w:ascii="Arial" w:hAnsi="Arial" w:cs="Arial"/>
          <w:color w:val="000000" w:themeColor="text1"/>
          <w:u w:val="single"/>
        </w:rPr>
        <w:t>S</w:t>
      </w:r>
      <w:r w:rsidRPr="00EB331C">
        <w:rPr>
          <w:rFonts w:ascii="Arial" w:hAnsi="Arial" w:cs="Arial"/>
          <w:color w:val="000000" w:themeColor="text1"/>
          <w:u w:val="single"/>
        </w:rPr>
        <w:t xml:space="preserve">tandards and </w:t>
      </w:r>
      <w:r w:rsidR="00600820" w:rsidRPr="00EB331C">
        <w:rPr>
          <w:rFonts w:ascii="Arial" w:hAnsi="Arial" w:cs="Arial"/>
          <w:color w:val="000000" w:themeColor="text1"/>
          <w:u w:val="single"/>
        </w:rPr>
        <w:t>M</w:t>
      </w:r>
      <w:r w:rsidRPr="00EB331C">
        <w:rPr>
          <w:rFonts w:ascii="Arial" w:hAnsi="Arial" w:cs="Arial"/>
          <w:color w:val="000000" w:themeColor="text1"/>
          <w:u w:val="single"/>
        </w:rPr>
        <w:t xml:space="preserve">anager </w:t>
      </w:r>
      <w:r w:rsidR="00600820" w:rsidRPr="00EB331C">
        <w:rPr>
          <w:rFonts w:ascii="Arial" w:hAnsi="Arial" w:cs="Arial"/>
          <w:color w:val="000000" w:themeColor="text1"/>
          <w:u w:val="single"/>
        </w:rPr>
        <w:t>R</w:t>
      </w:r>
      <w:r w:rsidRPr="00EB331C">
        <w:rPr>
          <w:rFonts w:ascii="Arial" w:hAnsi="Arial" w:cs="Arial"/>
          <w:color w:val="000000" w:themeColor="text1"/>
          <w:u w:val="single"/>
        </w:rPr>
        <w:t>equirements</w:t>
      </w:r>
    </w:p>
    <w:p w14:paraId="1588A3D5" w14:textId="18DCA714" w:rsidR="0048266A" w:rsidRPr="0048266A" w:rsidRDefault="0048266A" w:rsidP="0048266A">
      <w:pPr>
        <w:rPr>
          <w:rFonts w:ascii="Arial" w:hAnsi="Arial" w:cs="Arial"/>
        </w:rPr>
      </w:pPr>
      <w:r w:rsidRPr="321DCC62">
        <w:rPr>
          <w:rFonts w:ascii="Arial" w:hAnsi="Arial" w:cs="Arial"/>
        </w:rPr>
        <w:t xml:space="preserve">The University implements this Policy </w:t>
      </w:r>
      <w:r w:rsidR="14757C16" w:rsidRPr="321DCC62">
        <w:rPr>
          <w:rFonts w:ascii="Arial" w:hAnsi="Arial" w:cs="Arial"/>
        </w:rPr>
        <w:t>through</w:t>
      </w:r>
      <w:r w:rsidRPr="321DCC62">
        <w:rPr>
          <w:rFonts w:ascii="Arial" w:hAnsi="Arial" w:cs="Arial"/>
        </w:rPr>
        <w:t xml:space="preserve"> its delegated OCIO investment model.</w:t>
      </w:r>
    </w:p>
    <w:p w14:paraId="3601D794" w14:textId="77777777" w:rsidR="0048266A" w:rsidRPr="0048266A" w:rsidRDefault="0048266A" w:rsidP="0048266A">
      <w:pPr>
        <w:rPr>
          <w:rFonts w:ascii="Arial" w:hAnsi="Arial" w:cs="Arial"/>
        </w:rPr>
      </w:pPr>
      <w:r w:rsidRPr="321DCC62">
        <w:rPr>
          <w:rFonts w:ascii="Arial" w:hAnsi="Arial" w:cs="Arial"/>
        </w:rPr>
        <w:t>The University expects the OCIO and underlying managers to:</w:t>
      </w:r>
    </w:p>
    <w:p w14:paraId="7FB82141" w14:textId="1BFD6E2D" w:rsidR="0048266A" w:rsidRPr="0048266A" w:rsidRDefault="0048266A" w:rsidP="0048266A">
      <w:pPr>
        <w:numPr>
          <w:ilvl w:val="0"/>
          <w:numId w:val="1"/>
        </w:numPr>
        <w:rPr>
          <w:rFonts w:ascii="Arial" w:hAnsi="Arial" w:cs="Arial"/>
        </w:rPr>
      </w:pPr>
      <w:r w:rsidRPr="321DCC62">
        <w:rPr>
          <w:rFonts w:ascii="Arial" w:hAnsi="Arial" w:cs="Arial"/>
        </w:rPr>
        <w:t xml:space="preserve">maintain and apply robust responsible investment and stewardship policies, including the appropriate use of ESG data, </w:t>
      </w:r>
      <w:r w:rsidR="1778C11D" w:rsidRPr="321DCC62">
        <w:rPr>
          <w:rFonts w:ascii="Arial" w:hAnsi="Arial" w:cs="Arial"/>
        </w:rPr>
        <w:t>engagement,</w:t>
      </w:r>
      <w:r w:rsidRPr="321DCC62">
        <w:rPr>
          <w:rFonts w:ascii="Arial" w:hAnsi="Arial" w:cs="Arial"/>
        </w:rPr>
        <w:t xml:space="preserve"> and escalation;</w:t>
      </w:r>
    </w:p>
    <w:p w14:paraId="55E0A84F" w14:textId="1F3F7BE0" w:rsidR="0048266A" w:rsidRPr="0048266A" w:rsidRDefault="0048266A" w:rsidP="0048266A">
      <w:pPr>
        <w:numPr>
          <w:ilvl w:val="0"/>
          <w:numId w:val="1"/>
        </w:numPr>
        <w:rPr>
          <w:rFonts w:ascii="Arial" w:hAnsi="Arial" w:cs="Arial"/>
        </w:rPr>
      </w:pPr>
      <w:r w:rsidRPr="321DCC62">
        <w:rPr>
          <w:rFonts w:ascii="Arial" w:hAnsi="Arial" w:cs="Arial"/>
        </w:rPr>
        <w:t xml:space="preserve">show how relevant sustainability risks and opportunities are considered in research, portfolio </w:t>
      </w:r>
      <w:r w:rsidR="1C3CDADF" w:rsidRPr="321DCC62">
        <w:rPr>
          <w:rFonts w:ascii="Arial" w:hAnsi="Arial" w:cs="Arial"/>
        </w:rPr>
        <w:t>construction,</w:t>
      </w:r>
      <w:r w:rsidRPr="321DCC62">
        <w:rPr>
          <w:rFonts w:ascii="Arial" w:hAnsi="Arial" w:cs="Arial"/>
        </w:rPr>
        <w:t xml:space="preserve"> and risk management; and</w:t>
      </w:r>
    </w:p>
    <w:p w14:paraId="26A5B58B" w14:textId="0C2B8A68" w:rsidR="0048266A" w:rsidRPr="0048266A" w:rsidRDefault="0048266A" w:rsidP="009D4550">
      <w:pPr>
        <w:numPr>
          <w:ilvl w:val="0"/>
          <w:numId w:val="1"/>
        </w:numPr>
        <w:spacing w:after="240"/>
        <w:ind w:left="357" w:hanging="357"/>
        <w:rPr>
          <w:rFonts w:ascii="Arial" w:hAnsi="Arial" w:cs="Arial"/>
        </w:rPr>
      </w:pPr>
      <w:r w:rsidRPr="321DCC62">
        <w:rPr>
          <w:rFonts w:ascii="Arial" w:hAnsi="Arial" w:cs="Arial"/>
        </w:rPr>
        <w:t xml:space="preserve">provide evidence and assurance to support governance oversight, including on policy alignment, stewardship </w:t>
      </w:r>
      <w:r w:rsidR="1A6068A7" w:rsidRPr="321DCC62">
        <w:rPr>
          <w:rFonts w:ascii="Arial" w:hAnsi="Arial" w:cs="Arial"/>
        </w:rPr>
        <w:t>activity,</w:t>
      </w:r>
      <w:r w:rsidRPr="321DCC62">
        <w:rPr>
          <w:rFonts w:ascii="Arial" w:hAnsi="Arial" w:cs="Arial"/>
        </w:rPr>
        <w:t xml:space="preserve"> and compliance controls.</w:t>
      </w:r>
    </w:p>
    <w:p w14:paraId="4693982B" w14:textId="77777777" w:rsidR="00C95059" w:rsidRPr="009D4550" w:rsidRDefault="009248D4" w:rsidP="009D4550">
      <w:pPr>
        <w:pStyle w:val="Heading3"/>
        <w:spacing w:after="120"/>
        <w:rPr>
          <w:rFonts w:ascii="Arial" w:hAnsi="Arial" w:cs="Arial"/>
          <w:color w:val="000000" w:themeColor="text1"/>
          <w:u w:val="single"/>
        </w:rPr>
      </w:pPr>
      <w:r w:rsidRPr="009D4550">
        <w:rPr>
          <w:rFonts w:ascii="Arial" w:hAnsi="Arial" w:cs="Arial"/>
          <w:color w:val="000000" w:themeColor="text1"/>
          <w:u w:val="single"/>
        </w:rPr>
        <w:t>Manager Discretion and the Use of Pooled Funds</w:t>
      </w:r>
    </w:p>
    <w:p w14:paraId="2A04AA55" w14:textId="74C6338A" w:rsidR="0048266A" w:rsidRPr="0048266A" w:rsidRDefault="0048266A" w:rsidP="0048266A">
      <w:pPr>
        <w:rPr>
          <w:rFonts w:ascii="Arial" w:hAnsi="Arial" w:cs="Arial"/>
        </w:rPr>
      </w:pPr>
      <w:r w:rsidRPr="321DCC62">
        <w:rPr>
          <w:rFonts w:ascii="Arial" w:hAnsi="Arial" w:cs="Arial"/>
        </w:rPr>
        <w:t xml:space="preserve">The University primarily invests through pooled investment vehicles managed through the OCIO. In these structures, the University’s assets may represent only a small share of the total fund, and the University </w:t>
      </w:r>
      <w:r w:rsidR="2BC36BD2" w:rsidRPr="321DCC62">
        <w:rPr>
          <w:rFonts w:ascii="Arial" w:hAnsi="Arial" w:cs="Arial"/>
        </w:rPr>
        <w:t xml:space="preserve">is not </w:t>
      </w:r>
      <w:r w:rsidRPr="321DCC62">
        <w:rPr>
          <w:rFonts w:ascii="Arial" w:hAnsi="Arial" w:cs="Arial"/>
        </w:rPr>
        <w:t>able to influence each underlying holding directly.</w:t>
      </w:r>
    </w:p>
    <w:p w14:paraId="100740AB" w14:textId="77777777" w:rsidR="0048266A" w:rsidRPr="0048266A" w:rsidRDefault="0048266A" w:rsidP="0048266A">
      <w:pPr>
        <w:rPr>
          <w:rFonts w:ascii="Arial" w:hAnsi="Arial" w:cs="Arial"/>
        </w:rPr>
      </w:pPr>
      <w:r w:rsidRPr="321DCC62">
        <w:rPr>
          <w:rFonts w:ascii="Arial" w:hAnsi="Arial" w:cs="Arial"/>
        </w:rPr>
        <w:t>Pooled funds can offer important benefits:</w:t>
      </w:r>
    </w:p>
    <w:p w14:paraId="0148A609" w14:textId="77777777" w:rsidR="0048266A" w:rsidRPr="0048266A" w:rsidRDefault="0048266A" w:rsidP="0048266A">
      <w:pPr>
        <w:numPr>
          <w:ilvl w:val="0"/>
          <w:numId w:val="1"/>
        </w:numPr>
        <w:rPr>
          <w:rFonts w:ascii="Arial" w:hAnsi="Arial" w:cs="Arial"/>
        </w:rPr>
      </w:pPr>
      <w:r w:rsidRPr="321DCC62">
        <w:rPr>
          <w:rFonts w:ascii="Arial" w:hAnsi="Arial" w:cs="Arial"/>
        </w:rPr>
        <w:t>They can provide access to assets with large minimum investment sizes, such as property and infrastructure.</w:t>
      </w:r>
    </w:p>
    <w:p w14:paraId="5B164670" w14:textId="77777777" w:rsidR="0048266A" w:rsidRPr="0048266A" w:rsidRDefault="0048266A" w:rsidP="0048266A">
      <w:pPr>
        <w:numPr>
          <w:ilvl w:val="0"/>
          <w:numId w:val="1"/>
        </w:numPr>
        <w:rPr>
          <w:rFonts w:ascii="Arial" w:hAnsi="Arial" w:cs="Arial"/>
        </w:rPr>
      </w:pPr>
      <w:r w:rsidRPr="321DCC62">
        <w:rPr>
          <w:rFonts w:ascii="Arial" w:hAnsi="Arial" w:cs="Arial"/>
        </w:rPr>
        <w:t>They can also improve diversification in a cost-effective way.</w:t>
      </w:r>
    </w:p>
    <w:p w14:paraId="0099261C" w14:textId="77777777" w:rsidR="0048266A" w:rsidRPr="0048266A" w:rsidRDefault="0048266A" w:rsidP="0048266A">
      <w:pPr>
        <w:rPr>
          <w:rFonts w:ascii="Arial" w:hAnsi="Arial" w:cs="Arial"/>
        </w:rPr>
      </w:pPr>
      <w:r w:rsidRPr="321DCC62">
        <w:rPr>
          <w:rFonts w:ascii="Arial" w:hAnsi="Arial" w:cs="Arial"/>
        </w:rPr>
        <w:t>Within this model, the University sees stewardship as an important tool. Through the OCIO, the University expects managers to engage with companies and promote positive ESG standards on the University’s behalf.</w:t>
      </w:r>
    </w:p>
    <w:p w14:paraId="0E57C2F0" w14:textId="77777777" w:rsidR="0048266A" w:rsidRPr="0048266A" w:rsidRDefault="0048266A" w:rsidP="009D4550">
      <w:pPr>
        <w:spacing w:after="240"/>
        <w:rPr>
          <w:rFonts w:ascii="Arial" w:hAnsi="Arial" w:cs="Arial"/>
        </w:rPr>
      </w:pPr>
      <w:r w:rsidRPr="321DCC62">
        <w:rPr>
          <w:rFonts w:ascii="Arial" w:hAnsi="Arial" w:cs="Arial"/>
        </w:rPr>
        <w:lastRenderedPageBreak/>
        <w:t>When pooled funds are selected, the University expects the OCIO to consider whether those funds are compatible with the stewardship and ESG integration principles in this Policy. The University expects a best-endeavours approach to align pooled-fund selection and monitoring with this Policy, while recognising that some pooled funds, including index-related products, may limit the ability to apply investor-specific constraints.</w:t>
      </w:r>
    </w:p>
    <w:p w14:paraId="3323694F" w14:textId="77777777" w:rsidR="00C95059" w:rsidRPr="009D4550" w:rsidRDefault="009248D4" w:rsidP="009D4550">
      <w:pPr>
        <w:pStyle w:val="Heading3"/>
        <w:spacing w:after="120"/>
        <w:rPr>
          <w:rFonts w:ascii="Arial" w:hAnsi="Arial" w:cs="Arial"/>
          <w:color w:val="000000" w:themeColor="text1"/>
          <w:u w:val="single"/>
        </w:rPr>
      </w:pPr>
      <w:r w:rsidRPr="009D4550">
        <w:rPr>
          <w:rFonts w:ascii="Arial" w:hAnsi="Arial" w:cs="Arial"/>
          <w:color w:val="000000" w:themeColor="text1"/>
          <w:u w:val="single"/>
        </w:rPr>
        <w:t>Transparency and Reporting</w:t>
      </w:r>
    </w:p>
    <w:p w14:paraId="75AFF369" w14:textId="3939FF64" w:rsidR="0048266A" w:rsidRPr="0048266A" w:rsidRDefault="0048266A" w:rsidP="0048266A">
      <w:pPr>
        <w:rPr>
          <w:rFonts w:ascii="Arial" w:hAnsi="Arial" w:cs="Arial"/>
        </w:rPr>
      </w:pPr>
      <w:r w:rsidRPr="321DCC62">
        <w:rPr>
          <w:rFonts w:ascii="Arial" w:hAnsi="Arial" w:cs="Arial"/>
        </w:rPr>
        <w:t xml:space="preserve">The University will continue to </w:t>
      </w:r>
      <w:r w:rsidR="00E64A8C" w:rsidRPr="321DCC62">
        <w:rPr>
          <w:rFonts w:ascii="Arial" w:hAnsi="Arial" w:cs="Arial"/>
        </w:rPr>
        <w:t>provide</w:t>
      </w:r>
      <w:r w:rsidRPr="321DCC62">
        <w:rPr>
          <w:rFonts w:ascii="Arial" w:hAnsi="Arial" w:cs="Arial"/>
        </w:rPr>
        <w:t xml:space="preserve"> transparency by publishing, on a proportionate basis, an annual responsible investment update on the University’s responsible investment web pages. The annual update will be evidence-led. It will use clear definitions and explain any limits in the data or in the University’s delegated decision-making model.</w:t>
      </w:r>
    </w:p>
    <w:p w14:paraId="7A19F568" w14:textId="77777777" w:rsidR="0048266A" w:rsidRPr="0048266A" w:rsidRDefault="0048266A" w:rsidP="0048266A">
      <w:pPr>
        <w:rPr>
          <w:rFonts w:ascii="Arial" w:hAnsi="Arial" w:cs="Arial"/>
        </w:rPr>
      </w:pPr>
      <w:r w:rsidRPr="321DCC62">
        <w:rPr>
          <w:rFonts w:ascii="Arial" w:hAnsi="Arial" w:cs="Arial"/>
        </w:rPr>
        <w:t>As a minimum, the annual update is expected to include:</w:t>
      </w:r>
    </w:p>
    <w:p w14:paraId="50E89722" w14:textId="77777777" w:rsidR="0048266A" w:rsidRPr="0048266A" w:rsidRDefault="0048266A" w:rsidP="0048266A">
      <w:pPr>
        <w:numPr>
          <w:ilvl w:val="0"/>
          <w:numId w:val="1"/>
        </w:numPr>
        <w:rPr>
          <w:rFonts w:ascii="Arial" w:hAnsi="Arial" w:cs="Arial"/>
        </w:rPr>
      </w:pPr>
      <w:r w:rsidRPr="321DCC62">
        <w:rPr>
          <w:rFonts w:ascii="Arial" w:hAnsi="Arial" w:cs="Arial"/>
        </w:rPr>
        <w:t>policy alignment and compliance assurance from the OCIO, including confirmation of the approach used to apply this Policy in pooled funds;</w:t>
      </w:r>
    </w:p>
    <w:p w14:paraId="05FAD30A" w14:textId="01076517" w:rsidR="0048266A" w:rsidRPr="0048266A" w:rsidRDefault="0048266A" w:rsidP="0048266A">
      <w:pPr>
        <w:numPr>
          <w:ilvl w:val="0"/>
          <w:numId w:val="1"/>
        </w:numPr>
        <w:rPr>
          <w:rFonts w:ascii="Arial" w:hAnsi="Arial" w:cs="Arial"/>
        </w:rPr>
      </w:pPr>
      <w:r w:rsidRPr="321DCC62">
        <w:rPr>
          <w:rFonts w:ascii="Arial" w:hAnsi="Arial" w:cs="Arial"/>
        </w:rPr>
        <w:t>quarterly investment portfolio data, including a downloadable spreadsheet of the University’s pooled funds and their market value at the reporting date, together with high-level asset allocation information;</w:t>
      </w:r>
    </w:p>
    <w:p w14:paraId="027ED864" w14:textId="03504A79" w:rsidR="0048266A" w:rsidRPr="0048266A" w:rsidRDefault="0048266A" w:rsidP="0048266A">
      <w:pPr>
        <w:numPr>
          <w:ilvl w:val="0"/>
          <w:numId w:val="1"/>
        </w:numPr>
        <w:rPr>
          <w:rFonts w:ascii="Arial" w:hAnsi="Arial" w:cs="Arial"/>
        </w:rPr>
      </w:pPr>
      <w:r w:rsidRPr="321DCC62">
        <w:rPr>
          <w:rFonts w:ascii="Arial" w:hAnsi="Arial" w:cs="Arial"/>
        </w:rPr>
        <w:t xml:space="preserve">a stewardship and engagement summary, including themes, </w:t>
      </w:r>
      <w:r w:rsidR="64A98EF8" w:rsidRPr="321DCC62">
        <w:rPr>
          <w:rFonts w:ascii="Arial" w:hAnsi="Arial" w:cs="Arial"/>
        </w:rPr>
        <w:t>outcomes,</w:t>
      </w:r>
      <w:r w:rsidRPr="321DCC62">
        <w:rPr>
          <w:rFonts w:ascii="Arial" w:hAnsi="Arial" w:cs="Arial"/>
        </w:rPr>
        <w:t xml:space="preserve"> and examples of escalation where available;</w:t>
      </w:r>
    </w:p>
    <w:p w14:paraId="574018D1" w14:textId="77777777" w:rsidR="0048266A" w:rsidRPr="0048266A" w:rsidRDefault="0048266A" w:rsidP="0048266A">
      <w:pPr>
        <w:numPr>
          <w:ilvl w:val="0"/>
          <w:numId w:val="1"/>
        </w:numPr>
        <w:rPr>
          <w:rFonts w:ascii="Arial" w:hAnsi="Arial" w:cs="Arial"/>
        </w:rPr>
      </w:pPr>
      <w:r w:rsidRPr="321DCC62">
        <w:rPr>
          <w:rFonts w:ascii="Arial" w:hAnsi="Arial" w:cs="Arial"/>
        </w:rPr>
        <w:t>a delegated voting summary, both qualitative and, where feasible, quantitative, including significant votes and key voting themes where available; and</w:t>
      </w:r>
    </w:p>
    <w:p w14:paraId="5104F560" w14:textId="77777777" w:rsidR="0048266A" w:rsidRPr="0048266A" w:rsidRDefault="0048266A" w:rsidP="0048266A">
      <w:pPr>
        <w:numPr>
          <w:ilvl w:val="0"/>
          <w:numId w:val="1"/>
        </w:numPr>
        <w:rPr>
          <w:rFonts w:ascii="Arial" w:hAnsi="Arial" w:cs="Arial"/>
        </w:rPr>
      </w:pPr>
      <w:r w:rsidRPr="321DCC62">
        <w:rPr>
          <w:rFonts w:ascii="Arial" w:hAnsi="Arial" w:cs="Arial"/>
        </w:rPr>
        <w:t>a concise summary of headline climate metrics and other relevant systematic sustainability information available from the OCIO, together with clear explanation of coverage, methodology and limitations.</w:t>
      </w:r>
    </w:p>
    <w:p w14:paraId="758593F0" w14:textId="374B00F4" w:rsidR="00E64A8C" w:rsidRDefault="0048266A" w:rsidP="0048266A">
      <w:pPr>
        <w:rPr>
          <w:rFonts w:ascii="Arial" w:hAnsi="Arial" w:cs="Arial"/>
        </w:rPr>
      </w:pPr>
      <w:r w:rsidRPr="321DCC62">
        <w:rPr>
          <w:rFonts w:ascii="Arial" w:hAnsi="Arial" w:cs="Arial"/>
        </w:rPr>
        <w:t xml:space="preserve">The University recognises that full look-through holdings data may be limited, </w:t>
      </w:r>
      <w:r w:rsidR="53C16FEA" w:rsidRPr="321DCC62">
        <w:rPr>
          <w:rFonts w:ascii="Arial" w:hAnsi="Arial" w:cs="Arial"/>
        </w:rPr>
        <w:t>delayed,</w:t>
      </w:r>
      <w:r w:rsidRPr="321DCC62">
        <w:rPr>
          <w:rFonts w:ascii="Arial" w:hAnsi="Arial" w:cs="Arial"/>
        </w:rPr>
        <w:t xml:space="preserve"> or restricted in pooled funds and some private market structures. </w:t>
      </w:r>
    </w:p>
    <w:p w14:paraId="4646407C" w14:textId="13BDDAF5" w:rsidR="0048266A" w:rsidRPr="0048266A" w:rsidRDefault="0048266A" w:rsidP="009D4550">
      <w:pPr>
        <w:spacing w:after="240"/>
        <w:rPr>
          <w:rFonts w:ascii="Arial" w:hAnsi="Arial" w:cs="Arial"/>
        </w:rPr>
      </w:pPr>
      <w:r w:rsidRPr="321DCC62">
        <w:rPr>
          <w:rFonts w:ascii="Arial" w:hAnsi="Arial" w:cs="Arial"/>
        </w:rPr>
        <w:t>The University will also continue to engage, on a proportionate basis, with its banking and cash-management providers on relevant ESG and sustainability issues, in a way that is consistent with this Policy and the University’s fiduciary duties.</w:t>
      </w:r>
    </w:p>
    <w:p w14:paraId="7A0D7E47" w14:textId="77777777" w:rsidR="00C95059" w:rsidRPr="009D4550" w:rsidRDefault="009248D4" w:rsidP="009D4550">
      <w:pPr>
        <w:pStyle w:val="Heading2"/>
        <w:spacing w:after="120"/>
        <w:rPr>
          <w:rFonts w:ascii="Arial" w:hAnsi="Arial" w:cs="Arial"/>
          <w:color w:val="000000" w:themeColor="text1"/>
          <w:u w:val="single"/>
        </w:rPr>
      </w:pPr>
      <w:r w:rsidRPr="009D4550">
        <w:rPr>
          <w:rFonts w:ascii="Arial" w:hAnsi="Arial" w:cs="Arial"/>
          <w:color w:val="000000" w:themeColor="text1"/>
          <w:u w:val="single"/>
        </w:rPr>
        <w:t>Governance</w:t>
      </w:r>
    </w:p>
    <w:p w14:paraId="46D569B9" w14:textId="5C854B6A" w:rsidR="0048266A" w:rsidRPr="0048266A" w:rsidRDefault="0048266A" w:rsidP="0048266A">
      <w:pPr>
        <w:rPr>
          <w:rFonts w:ascii="Arial" w:hAnsi="Arial" w:cs="Arial"/>
        </w:rPr>
      </w:pPr>
      <w:r w:rsidRPr="321DCC62">
        <w:rPr>
          <w:rFonts w:ascii="Arial" w:hAnsi="Arial" w:cs="Arial"/>
        </w:rPr>
        <w:t>The University’s Council is the trustee of the University’s investment portfolios. Council has ultimate responsibility for the proper investment and safekeeping of those funds.</w:t>
      </w:r>
    </w:p>
    <w:p w14:paraId="0445C7A3" w14:textId="77777777" w:rsidR="0048266A" w:rsidRPr="0048266A" w:rsidRDefault="0048266A" w:rsidP="0048266A">
      <w:pPr>
        <w:rPr>
          <w:rFonts w:ascii="Arial" w:hAnsi="Arial" w:cs="Arial"/>
        </w:rPr>
      </w:pPr>
      <w:r w:rsidRPr="321DCC62">
        <w:rPr>
          <w:rFonts w:ascii="Arial" w:hAnsi="Arial" w:cs="Arial"/>
        </w:rPr>
        <w:t>The Strategy, Planning and Resources Committee (SPRC) provides governance of the investment portfolios on behalf of Council. SPRC receives regular reports on the work of the Investment Sub-Committee. SPRC membership includes student representation.</w:t>
      </w:r>
    </w:p>
    <w:p w14:paraId="04085B23" w14:textId="77777777" w:rsidR="0048266A" w:rsidRPr="0048266A" w:rsidRDefault="0048266A" w:rsidP="0048266A">
      <w:pPr>
        <w:rPr>
          <w:rFonts w:ascii="Arial" w:hAnsi="Arial" w:cs="Arial"/>
        </w:rPr>
      </w:pPr>
      <w:r w:rsidRPr="321DCC62">
        <w:rPr>
          <w:rFonts w:ascii="Arial" w:hAnsi="Arial" w:cs="Arial"/>
        </w:rPr>
        <w:t>The Investment Sub-Committee is established by SPRC to determine investment strategy and monitor investment performance in support of the University’s objectives.</w:t>
      </w:r>
    </w:p>
    <w:p w14:paraId="5C177A52" w14:textId="0AB486C5" w:rsidR="00957341" w:rsidRPr="00957341" w:rsidRDefault="0048266A" w:rsidP="009D4550">
      <w:pPr>
        <w:spacing w:after="240"/>
        <w:rPr>
          <w:rFonts w:ascii="Arial" w:hAnsi="Arial" w:cs="Arial"/>
        </w:rPr>
      </w:pPr>
      <w:r w:rsidRPr="321DCC62">
        <w:rPr>
          <w:rFonts w:ascii="Arial" w:hAnsi="Arial" w:cs="Arial"/>
        </w:rPr>
        <w:lastRenderedPageBreak/>
        <w:t xml:space="preserve">The Sustainability Steering Group (SSG) reviews the Responsible Investment Policy and provides input and feedback to inform the Investment Sub-Committee and SPRC. SSG also includes student </w:t>
      </w:r>
      <w:r w:rsidR="00C5168A" w:rsidRPr="321DCC62">
        <w:rPr>
          <w:rFonts w:ascii="Arial" w:hAnsi="Arial" w:cs="Arial"/>
        </w:rPr>
        <w:t>representation.</w:t>
      </w:r>
    </w:p>
    <w:p w14:paraId="64F9D8E6" w14:textId="77777777" w:rsidR="00C95059" w:rsidRPr="009D4550" w:rsidRDefault="009248D4" w:rsidP="009D4550">
      <w:pPr>
        <w:pStyle w:val="Heading2"/>
        <w:spacing w:after="120"/>
        <w:rPr>
          <w:rFonts w:ascii="Arial" w:hAnsi="Arial" w:cs="Arial"/>
          <w:color w:val="000000" w:themeColor="text1"/>
          <w:u w:val="single"/>
        </w:rPr>
      </w:pPr>
      <w:r w:rsidRPr="009D4550">
        <w:rPr>
          <w:rFonts w:ascii="Arial" w:hAnsi="Arial" w:cs="Arial"/>
          <w:color w:val="000000" w:themeColor="text1"/>
          <w:u w:val="single"/>
        </w:rPr>
        <w:t>Monitoring</w:t>
      </w:r>
    </w:p>
    <w:p w14:paraId="2B4A2829" w14:textId="65AB22C9" w:rsidR="0048266A" w:rsidRPr="0048266A" w:rsidRDefault="0048266A" w:rsidP="0048266A">
      <w:pPr>
        <w:rPr>
          <w:rFonts w:ascii="Arial" w:hAnsi="Arial" w:cs="Arial"/>
        </w:rPr>
      </w:pPr>
      <w:r w:rsidRPr="321DCC62">
        <w:rPr>
          <w:rFonts w:ascii="Arial" w:hAnsi="Arial" w:cs="Arial"/>
        </w:rPr>
        <w:t>To monitor implementation of this Policy, the University will:</w:t>
      </w:r>
    </w:p>
    <w:p w14:paraId="56F36A42" w14:textId="77777777" w:rsidR="0048266A" w:rsidRPr="0048266A" w:rsidRDefault="0048266A" w:rsidP="0048266A">
      <w:pPr>
        <w:numPr>
          <w:ilvl w:val="0"/>
          <w:numId w:val="1"/>
        </w:numPr>
        <w:rPr>
          <w:rFonts w:ascii="Arial" w:hAnsi="Arial" w:cs="Arial"/>
        </w:rPr>
      </w:pPr>
      <w:r w:rsidRPr="321DCC62">
        <w:rPr>
          <w:rFonts w:ascii="Arial" w:hAnsi="Arial" w:cs="Arial"/>
        </w:rPr>
        <w:t>publish the Responsible Investment Policy on its website;</w:t>
      </w:r>
    </w:p>
    <w:p w14:paraId="53405D1D" w14:textId="77777777" w:rsidR="0048266A" w:rsidRPr="0048266A" w:rsidRDefault="0048266A" w:rsidP="0048266A">
      <w:pPr>
        <w:numPr>
          <w:ilvl w:val="0"/>
          <w:numId w:val="1"/>
        </w:numPr>
        <w:rPr>
          <w:rFonts w:ascii="Arial" w:hAnsi="Arial" w:cs="Arial"/>
        </w:rPr>
      </w:pPr>
      <w:r w:rsidRPr="321DCC62">
        <w:rPr>
          <w:rFonts w:ascii="Arial" w:hAnsi="Arial" w:cs="Arial"/>
        </w:rPr>
        <w:t>publish investment portfolio data on its website in line with the Transparency and Reporting section of this Policy;</w:t>
      </w:r>
    </w:p>
    <w:p w14:paraId="6740F407" w14:textId="77777777" w:rsidR="0048266A" w:rsidRPr="0048266A" w:rsidRDefault="0048266A" w:rsidP="0048266A">
      <w:pPr>
        <w:numPr>
          <w:ilvl w:val="0"/>
          <w:numId w:val="1"/>
        </w:numPr>
        <w:rPr>
          <w:rFonts w:ascii="Arial" w:hAnsi="Arial" w:cs="Arial"/>
        </w:rPr>
      </w:pPr>
      <w:r w:rsidRPr="321DCC62">
        <w:rPr>
          <w:rFonts w:ascii="Arial" w:hAnsi="Arial" w:cs="Arial"/>
        </w:rPr>
        <w:t>issue the Policy to the OCIO and hold regular meetings to monitor alignment with it;</w:t>
      </w:r>
    </w:p>
    <w:p w14:paraId="41DEB039" w14:textId="77777777" w:rsidR="0048266A" w:rsidRPr="0048266A" w:rsidRDefault="0048266A" w:rsidP="0048266A">
      <w:pPr>
        <w:numPr>
          <w:ilvl w:val="0"/>
          <w:numId w:val="1"/>
        </w:numPr>
        <w:rPr>
          <w:rFonts w:ascii="Arial" w:hAnsi="Arial" w:cs="Arial"/>
        </w:rPr>
      </w:pPr>
      <w:r w:rsidRPr="321DCC62">
        <w:rPr>
          <w:rFonts w:ascii="Arial" w:hAnsi="Arial" w:cs="Arial"/>
        </w:rPr>
        <w:t>publish assurance from the OCIO that the University’s funds are invested in alignment with this Policy, while recognising delegated decision-making and pooled-fund limits;</w:t>
      </w:r>
    </w:p>
    <w:p w14:paraId="171B41F7" w14:textId="77777777" w:rsidR="0048266A" w:rsidRPr="0048266A" w:rsidRDefault="0048266A" w:rsidP="0048266A">
      <w:pPr>
        <w:numPr>
          <w:ilvl w:val="0"/>
          <w:numId w:val="1"/>
        </w:numPr>
        <w:rPr>
          <w:rFonts w:ascii="Arial" w:hAnsi="Arial" w:cs="Arial"/>
        </w:rPr>
      </w:pPr>
      <w:r w:rsidRPr="321DCC62">
        <w:rPr>
          <w:rFonts w:ascii="Arial" w:hAnsi="Arial" w:cs="Arial"/>
        </w:rPr>
        <w:t>obtain periodic assurance from the OCIO that suitable compliance controls are in place to support adherence to applicable law and UK sanctions requirements, and that any identified exceptions are escalated through governance on a timely basis;</w:t>
      </w:r>
    </w:p>
    <w:p w14:paraId="0BBE709C" w14:textId="77777777" w:rsidR="0048266A" w:rsidRPr="0048266A" w:rsidRDefault="0048266A" w:rsidP="0048266A">
      <w:pPr>
        <w:numPr>
          <w:ilvl w:val="0"/>
          <w:numId w:val="1"/>
        </w:numPr>
        <w:rPr>
          <w:rFonts w:ascii="Arial" w:hAnsi="Arial" w:cs="Arial"/>
        </w:rPr>
      </w:pPr>
      <w:r w:rsidRPr="321DCC62">
        <w:rPr>
          <w:rFonts w:ascii="Arial" w:hAnsi="Arial" w:cs="Arial"/>
        </w:rPr>
        <w:t>enable student representation through student membership of SPRC; and</w:t>
      </w:r>
    </w:p>
    <w:p w14:paraId="23F2B5EA" w14:textId="77777777" w:rsidR="0048266A" w:rsidRPr="0048266A" w:rsidRDefault="0048266A" w:rsidP="0048266A">
      <w:pPr>
        <w:numPr>
          <w:ilvl w:val="0"/>
          <w:numId w:val="1"/>
        </w:numPr>
        <w:rPr>
          <w:rFonts w:ascii="Arial" w:hAnsi="Arial" w:cs="Arial"/>
        </w:rPr>
      </w:pPr>
      <w:r w:rsidRPr="321DCC62">
        <w:rPr>
          <w:rFonts w:ascii="Arial" w:hAnsi="Arial" w:cs="Arial"/>
        </w:rPr>
        <w:t>consider representations from members of the University community about the University’s investments.</w:t>
      </w:r>
    </w:p>
    <w:p w14:paraId="3139900D" w14:textId="77777777" w:rsidR="0048266A" w:rsidRPr="0048266A" w:rsidRDefault="0048266A" w:rsidP="009D4550">
      <w:pPr>
        <w:spacing w:after="240"/>
        <w:rPr>
          <w:rFonts w:ascii="Arial" w:hAnsi="Arial" w:cs="Arial"/>
        </w:rPr>
      </w:pPr>
      <w:r w:rsidRPr="321DCC62">
        <w:rPr>
          <w:rFonts w:ascii="Arial" w:hAnsi="Arial" w:cs="Arial"/>
        </w:rPr>
        <w:t>If the Investment Sub-Committee considers that an investment may be inconsistent with this Policy, it will review the position with the OCIO. It will then seek to reallocate funds as appropriate, taking account of feasibility and any limits arising from pooled-fund structures.</w:t>
      </w:r>
    </w:p>
    <w:p w14:paraId="480B6A47" w14:textId="77777777" w:rsidR="00C95059" w:rsidRPr="009D4550" w:rsidRDefault="009248D4" w:rsidP="009D4550">
      <w:pPr>
        <w:pStyle w:val="Heading2"/>
        <w:spacing w:after="120"/>
        <w:rPr>
          <w:rFonts w:ascii="Arial" w:hAnsi="Arial" w:cs="Arial"/>
          <w:color w:val="000000" w:themeColor="text1"/>
          <w:u w:val="single"/>
        </w:rPr>
      </w:pPr>
      <w:r w:rsidRPr="009D4550">
        <w:rPr>
          <w:rFonts w:ascii="Arial" w:hAnsi="Arial" w:cs="Arial"/>
          <w:color w:val="000000" w:themeColor="text1"/>
          <w:u w:val="single"/>
        </w:rPr>
        <w:t>Representation process</w:t>
      </w:r>
    </w:p>
    <w:p w14:paraId="5FC988C4" w14:textId="6279C2A4" w:rsidR="0048266A" w:rsidRPr="0048266A" w:rsidRDefault="0048266A" w:rsidP="0048266A">
      <w:pPr>
        <w:rPr>
          <w:rFonts w:ascii="Arial" w:hAnsi="Arial" w:cs="Arial"/>
        </w:rPr>
      </w:pPr>
      <w:r w:rsidRPr="321DCC62">
        <w:rPr>
          <w:rFonts w:ascii="Arial" w:hAnsi="Arial" w:cs="Arial"/>
        </w:rPr>
        <w:t>The Responsible Investment Policy will be published on the University’s external website with an appropriate feedback option so that members of the University community can engage with the Policy.</w:t>
      </w:r>
    </w:p>
    <w:p w14:paraId="5190C083" w14:textId="77777777" w:rsidR="0048266A" w:rsidRPr="0048266A" w:rsidRDefault="0048266A" w:rsidP="0048266A">
      <w:pPr>
        <w:rPr>
          <w:rFonts w:ascii="Arial" w:hAnsi="Arial" w:cs="Arial"/>
        </w:rPr>
      </w:pPr>
      <w:r w:rsidRPr="321DCC62">
        <w:rPr>
          <w:rFonts w:ascii="Arial" w:hAnsi="Arial" w:cs="Arial"/>
        </w:rPr>
        <w:t>Staff and students can submit feedback and suggestions through the Responsible Investment website feedback form. While the University cannot respond to each individual submission, feedback will be grouped and presented to the Investment Sub-Committee.</w:t>
      </w:r>
    </w:p>
    <w:p w14:paraId="39363E5A" w14:textId="77777777" w:rsidR="0048266A" w:rsidRPr="0048266A" w:rsidRDefault="0048266A" w:rsidP="0048266A">
      <w:pPr>
        <w:rPr>
          <w:rFonts w:ascii="Arial" w:hAnsi="Arial" w:cs="Arial"/>
        </w:rPr>
      </w:pPr>
      <w:r w:rsidRPr="321DCC62">
        <w:rPr>
          <w:rFonts w:ascii="Arial" w:hAnsi="Arial" w:cs="Arial"/>
        </w:rPr>
        <w:t>Students may also submit feedback directly to the President of the Guild of Students or to their local Guild representative.</w:t>
      </w:r>
    </w:p>
    <w:p w14:paraId="7102D796" w14:textId="77777777" w:rsidR="0048266A" w:rsidRPr="0048266A" w:rsidRDefault="0048266A" w:rsidP="009D4550">
      <w:pPr>
        <w:spacing w:after="240"/>
        <w:rPr>
          <w:rFonts w:ascii="Arial" w:hAnsi="Arial" w:cs="Arial"/>
        </w:rPr>
      </w:pPr>
      <w:r w:rsidRPr="321DCC62">
        <w:rPr>
          <w:rFonts w:ascii="Arial" w:hAnsi="Arial" w:cs="Arial"/>
        </w:rPr>
        <w:t xml:space="preserve">Representations about investments or the application of this Policy should, </w:t>
      </w:r>
      <w:bookmarkStart w:id="5" w:name="_Int_vKhqHNUS"/>
      <w:r w:rsidRPr="321DCC62">
        <w:rPr>
          <w:rFonts w:ascii="Arial" w:hAnsi="Arial" w:cs="Arial"/>
        </w:rPr>
        <w:t>where</w:t>
      </w:r>
      <w:bookmarkEnd w:id="5"/>
      <w:r w:rsidRPr="321DCC62">
        <w:rPr>
          <w:rFonts w:ascii="Arial" w:hAnsi="Arial" w:cs="Arial"/>
        </w:rPr>
        <w:t xml:space="preserve"> reasonably practicable, set out an evidence-based case.</w:t>
      </w:r>
    </w:p>
    <w:p w14:paraId="07467B90" w14:textId="77777777" w:rsidR="00C95059" w:rsidRPr="009D4550" w:rsidRDefault="009248D4" w:rsidP="009D4550">
      <w:pPr>
        <w:pStyle w:val="Heading2"/>
        <w:spacing w:after="120"/>
        <w:rPr>
          <w:rFonts w:ascii="Arial" w:hAnsi="Arial" w:cs="Arial"/>
          <w:color w:val="000000" w:themeColor="text1"/>
          <w:u w:val="single"/>
        </w:rPr>
      </w:pPr>
      <w:r w:rsidRPr="009D4550">
        <w:rPr>
          <w:rFonts w:ascii="Arial" w:hAnsi="Arial" w:cs="Arial"/>
          <w:color w:val="000000" w:themeColor="text1"/>
          <w:u w:val="single"/>
        </w:rPr>
        <w:t>Review process</w:t>
      </w:r>
    </w:p>
    <w:p w14:paraId="70C7B156" w14:textId="681856FB" w:rsidR="0048266A" w:rsidRPr="0048266A" w:rsidRDefault="0048266A" w:rsidP="0048266A">
      <w:pPr>
        <w:rPr>
          <w:rFonts w:ascii="Arial" w:hAnsi="Arial" w:cs="Arial"/>
        </w:rPr>
      </w:pPr>
      <w:r w:rsidRPr="321DCC62">
        <w:rPr>
          <w:rFonts w:ascii="Arial" w:hAnsi="Arial" w:cs="Arial"/>
        </w:rPr>
        <w:t>The Responsible Investment Policy is subject to ongoing monitoring by the Investment Sub-Committee, with a formal review undertaken at least every two years.</w:t>
      </w:r>
    </w:p>
    <w:p w14:paraId="37EB2D13" w14:textId="77777777" w:rsidR="0048266A" w:rsidRPr="0048266A" w:rsidRDefault="0048266A" w:rsidP="0048266A">
      <w:pPr>
        <w:rPr>
          <w:rFonts w:ascii="Arial" w:hAnsi="Arial" w:cs="Arial"/>
        </w:rPr>
      </w:pPr>
      <w:r w:rsidRPr="321DCC62">
        <w:rPr>
          <w:rFonts w:ascii="Arial" w:hAnsi="Arial" w:cs="Arial"/>
        </w:rPr>
        <w:lastRenderedPageBreak/>
        <w:t>The formal review will be conducted by the Investment Sub-Committee in collaboration with SSG.</w:t>
      </w:r>
    </w:p>
    <w:p w14:paraId="542CFD0E" w14:textId="77777777" w:rsidR="0048266A" w:rsidRPr="0048266A" w:rsidRDefault="0048266A" w:rsidP="009D4550">
      <w:pPr>
        <w:spacing w:after="240"/>
        <w:rPr>
          <w:rFonts w:ascii="Arial" w:hAnsi="Arial" w:cs="Arial"/>
        </w:rPr>
      </w:pPr>
      <w:r w:rsidRPr="321DCC62">
        <w:rPr>
          <w:rFonts w:ascii="Arial" w:hAnsi="Arial" w:cs="Arial"/>
        </w:rPr>
        <w:t>The outcome of that review will be reported to SPRC for consideration, with any recommended changes to the Policy submitted for approval.</w:t>
      </w:r>
    </w:p>
    <w:p w14:paraId="7FAA12C5" w14:textId="77777777" w:rsidR="0069140A" w:rsidRPr="009D4550" w:rsidRDefault="0069140A" w:rsidP="009D4550">
      <w:pPr>
        <w:pStyle w:val="Heading2"/>
        <w:spacing w:after="120"/>
        <w:rPr>
          <w:rFonts w:ascii="Arial" w:hAnsi="Arial" w:cs="Arial"/>
          <w:color w:val="000000" w:themeColor="text1"/>
          <w:u w:val="single"/>
        </w:rPr>
      </w:pPr>
      <w:r w:rsidRPr="009D4550">
        <w:rPr>
          <w:rFonts w:ascii="Arial" w:hAnsi="Arial" w:cs="Arial"/>
          <w:color w:val="000000" w:themeColor="text1"/>
          <w:u w:val="single"/>
        </w:rPr>
        <w:t xml:space="preserve">Document control </w:t>
      </w:r>
    </w:p>
    <w:p w14:paraId="726C7BEA" w14:textId="77777777" w:rsidR="00541453" w:rsidRPr="00541453" w:rsidRDefault="00541453" w:rsidP="00541453">
      <w:pPr>
        <w:rPr>
          <w:rFonts w:ascii="Arial" w:hAnsi="Arial" w:cs="Arial"/>
        </w:rPr>
      </w:pPr>
      <w:r w:rsidRPr="321DCC62">
        <w:rPr>
          <w:rFonts w:ascii="Arial" w:hAnsi="Arial" w:cs="Arial"/>
        </w:rPr>
        <w:t>Policy Owner: Chief Financial Officer (CFO).</w:t>
      </w:r>
    </w:p>
    <w:p w14:paraId="46DAC24F" w14:textId="77777777" w:rsidR="00541453" w:rsidRPr="00541453" w:rsidRDefault="00541453" w:rsidP="00541453">
      <w:pPr>
        <w:rPr>
          <w:rFonts w:ascii="Arial" w:hAnsi="Arial" w:cs="Arial"/>
        </w:rPr>
      </w:pPr>
      <w:r w:rsidRPr="321DCC62">
        <w:rPr>
          <w:rFonts w:ascii="Arial" w:hAnsi="Arial" w:cs="Arial"/>
        </w:rPr>
        <w:t>Approving Body: Strategy, Planning and Resources Committee (SPRC).</w:t>
      </w:r>
    </w:p>
    <w:p w14:paraId="515D25BE" w14:textId="3C704CEF" w:rsidR="00541453" w:rsidRPr="00541453" w:rsidRDefault="00541453" w:rsidP="00541453">
      <w:pPr>
        <w:rPr>
          <w:rFonts w:ascii="Arial" w:hAnsi="Arial" w:cs="Arial"/>
        </w:rPr>
      </w:pPr>
      <w:r w:rsidRPr="321DCC62">
        <w:rPr>
          <w:rFonts w:ascii="Arial" w:hAnsi="Arial" w:cs="Arial"/>
        </w:rPr>
        <w:t xml:space="preserve">Effective Date: </w:t>
      </w:r>
      <w:r w:rsidR="008436A2">
        <w:rPr>
          <w:rFonts w:ascii="Arial" w:hAnsi="Arial" w:cs="Arial"/>
        </w:rPr>
        <w:t>11 June 2026</w:t>
      </w:r>
    </w:p>
    <w:p w14:paraId="7D7DCA14" w14:textId="77777777" w:rsidR="00541453" w:rsidRPr="00541453" w:rsidRDefault="00541453" w:rsidP="00541453">
      <w:pPr>
        <w:rPr>
          <w:rFonts w:ascii="Arial" w:hAnsi="Arial" w:cs="Arial"/>
        </w:rPr>
      </w:pPr>
      <w:r w:rsidRPr="321DCC62">
        <w:rPr>
          <w:rFonts w:ascii="Arial" w:hAnsi="Arial" w:cs="Arial"/>
        </w:rPr>
        <w:t>Review Cycle: Formal review at least every two years by the Investment Sub-Committee, with recommendations to SPRC.</w:t>
      </w:r>
    </w:p>
    <w:p w14:paraId="204E0E4E" w14:textId="016A533F" w:rsidR="00FF5031" w:rsidRPr="00FF5031" w:rsidRDefault="00FF5031" w:rsidP="00957341">
      <w:pPr>
        <w:rPr>
          <w:rFonts w:ascii="Arial" w:hAnsi="Arial" w:cs="Arial"/>
        </w:rPr>
      </w:pPr>
    </w:p>
    <w:p w14:paraId="0EBF128B" w14:textId="08E7912C" w:rsidR="00C95059" w:rsidRPr="00FF5031" w:rsidRDefault="00C95059">
      <w:pPr>
        <w:rPr>
          <w:rFonts w:ascii="Arial" w:hAnsi="Arial" w:cs="Arial"/>
        </w:rPr>
      </w:pPr>
    </w:p>
    <w:sectPr w:rsidR="00C95059" w:rsidRPr="00FF5031" w:rsidSect="00CD671D">
      <w:footerReference w:type="default" r:id="rId9"/>
      <w:pgSz w:w="12240" w:h="15840"/>
      <w:pgMar w:top="993" w:right="1467" w:bottom="1440" w:left="156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B30F" w14:textId="77777777" w:rsidR="006066A9" w:rsidRDefault="006066A9" w:rsidP="0061784D">
      <w:pPr>
        <w:spacing w:after="0" w:line="240" w:lineRule="auto"/>
      </w:pPr>
      <w:r>
        <w:separator/>
      </w:r>
    </w:p>
  </w:endnote>
  <w:endnote w:type="continuationSeparator" w:id="0">
    <w:p w14:paraId="4B56A8AF" w14:textId="77777777" w:rsidR="006066A9" w:rsidRDefault="006066A9" w:rsidP="0061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10967"/>
      <w:docPartObj>
        <w:docPartGallery w:val="Page Numbers (Bottom of Page)"/>
        <w:docPartUnique/>
      </w:docPartObj>
    </w:sdtPr>
    <w:sdtEndPr>
      <w:rPr>
        <w:noProof/>
      </w:rPr>
    </w:sdtEndPr>
    <w:sdtContent>
      <w:p w14:paraId="2C132F4D" w14:textId="77777777" w:rsidR="0061784D" w:rsidRDefault="0061784D">
        <w:pPr>
          <w:pStyle w:val="Footer"/>
          <w:jc w:val="center"/>
        </w:pPr>
        <w:r>
          <w:fldChar w:fldCharType="begin"/>
        </w:r>
        <w:r>
          <w:instrText xml:space="preserve"> PAGE   \* MERGEFORMAT </w:instrText>
        </w:r>
        <w:r>
          <w:fldChar w:fldCharType="separate"/>
        </w:r>
        <w:r w:rsidR="321DCC62">
          <w:t>2</w:t>
        </w:r>
        <w:r>
          <w:fldChar w:fldCharType="end"/>
        </w:r>
      </w:p>
    </w:sdtContent>
  </w:sdt>
  <w:p w14:paraId="152A1634" w14:textId="77777777" w:rsidR="0061784D" w:rsidRDefault="00617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82CA" w14:textId="77777777" w:rsidR="006066A9" w:rsidRDefault="006066A9" w:rsidP="0061784D">
      <w:pPr>
        <w:spacing w:after="0" w:line="240" w:lineRule="auto"/>
      </w:pPr>
      <w:r>
        <w:separator/>
      </w:r>
    </w:p>
  </w:footnote>
  <w:footnote w:type="continuationSeparator" w:id="0">
    <w:p w14:paraId="31567957" w14:textId="77777777" w:rsidR="006066A9" w:rsidRDefault="006066A9" w:rsidP="0061784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BmMTuAg" int2:invalidationBookmarkName="" int2:hashCode="jLM7J1TlP+yk91" int2:id="DhZQP40i">
      <int2:state int2:value="Rejected" int2:type="gram"/>
    </int2:bookmark>
    <int2:bookmark int2:bookmarkName="_Int_gq5WDi4m" int2:invalidationBookmarkName="" int2:hashCode="cVQy3PML4QQtCl" int2:id="Fhrcr4uZ">
      <int2:state int2:value="Rejected" int2:type="gram"/>
    </int2:bookmark>
    <int2:bookmark int2:bookmarkName="_Int_vKhqHNUS" int2:invalidationBookmarkName="" int2:hashCode="RhSMw7TSs6yAc/" int2:id="iZzIV0JC">
      <int2:state int2:value="Rejected" int2:type="gram"/>
    </int2:bookmark>
    <int2:bookmark int2:bookmarkName="_Int_1gL48hBU" int2:invalidationBookmarkName="" int2:hashCode="SozwgAeWEmC+RG" int2:id="9D1gxpMC">
      <int2:state int2:value="Rejected" int2:type="gram"/>
    </int2:bookmark>
    <int2:bookmark int2:bookmarkName="_Int_3IUJUA8A" int2:invalidationBookmarkName="" int2:hashCode="SozwgAeWEmC+RG" int2:id="HlcUWY6Z">
      <int2:state int2:value="Rejected" int2:type="gram"/>
    </int2:bookmark>
    <int2:bookmark int2:bookmarkName="_Int_DHbVeTKB" int2:invalidationBookmarkName="" int2:hashCode="SozwgAeWEmC+RG" int2:id="CpGKsf4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D622258"/>
    <w:lvl w:ilvl="0">
      <w:start w:val="1"/>
      <w:numFmt w:val="decimal"/>
      <w:pStyle w:val="ListNumber"/>
      <w:lvlText w:val="%1."/>
      <w:lvlJc w:val="left"/>
      <w:pPr>
        <w:tabs>
          <w:tab w:val="num" w:pos="360"/>
        </w:tabs>
        <w:ind w:left="360" w:hanging="360"/>
      </w:pPr>
      <w:rPr>
        <w:b/>
        <w:bCs/>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9E6788"/>
    <w:multiLevelType w:val="multilevel"/>
    <w:tmpl w:val="241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81AEC"/>
    <w:multiLevelType w:val="hybridMultilevel"/>
    <w:tmpl w:val="F62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337654">
    <w:abstractNumId w:val="8"/>
  </w:num>
  <w:num w:numId="2" w16cid:durableId="17316304">
    <w:abstractNumId w:val="6"/>
  </w:num>
  <w:num w:numId="3" w16cid:durableId="385877919">
    <w:abstractNumId w:val="5"/>
  </w:num>
  <w:num w:numId="4" w16cid:durableId="731394988">
    <w:abstractNumId w:val="4"/>
  </w:num>
  <w:num w:numId="5" w16cid:durableId="648480907">
    <w:abstractNumId w:val="7"/>
  </w:num>
  <w:num w:numId="6" w16cid:durableId="1144854326">
    <w:abstractNumId w:val="3"/>
  </w:num>
  <w:num w:numId="7" w16cid:durableId="585765271">
    <w:abstractNumId w:val="2"/>
  </w:num>
  <w:num w:numId="8" w16cid:durableId="287591136">
    <w:abstractNumId w:val="1"/>
  </w:num>
  <w:num w:numId="9" w16cid:durableId="808590819">
    <w:abstractNumId w:val="0"/>
  </w:num>
  <w:num w:numId="10" w16cid:durableId="1513571337">
    <w:abstractNumId w:val="9"/>
  </w:num>
  <w:num w:numId="11" w16cid:durableId="800415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EA3"/>
    <w:rsid w:val="00041B8F"/>
    <w:rsid w:val="00047A71"/>
    <w:rsid w:val="0006063C"/>
    <w:rsid w:val="000B0FD8"/>
    <w:rsid w:val="000C276D"/>
    <w:rsid w:val="000D03A0"/>
    <w:rsid w:val="000D60EF"/>
    <w:rsid w:val="000E44BF"/>
    <w:rsid w:val="000F15FA"/>
    <w:rsid w:val="00101CA6"/>
    <w:rsid w:val="00110019"/>
    <w:rsid w:val="00111E2E"/>
    <w:rsid w:val="0015074B"/>
    <w:rsid w:val="00150888"/>
    <w:rsid w:val="0015617D"/>
    <w:rsid w:val="00161628"/>
    <w:rsid w:val="00202D4A"/>
    <w:rsid w:val="002056FD"/>
    <w:rsid w:val="00206A55"/>
    <w:rsid w:val="00231EE2"/>
    <w:rsid w:val="002347F0"/>
    <w:rsid w:val="002639EB"/>
    <w:rsid w:val="0027100B"/>
    <w:rsid w:val="00276047"/>
    <w:rsid w:val="0029639D"/>
    <w:rsid w:val="002C27AF"/>
    <w:rsid w:val="00324DCB"/>
    <w:rsid w:val="00326F90"/>
    <w:rsid w:val="00344E97"/>
    <w:rsid w:val="00380B2B"/>
    <w:rsid w:val="0039405A"/>
    <w:rsid w:val="003B2354"/>
    <w:rsid w:val="003D543E"/>
    <w:rsid w:val="00401349"/>
    <w:rsid w:val="00423C30"/>
    <w:rsid w:val="004379D7"/>
    <w:rsid w:val="0048266A"/>
    <w:rsid w:val="004A5047"/>
    <w:rsid w:val="004A62A2"/>
    <w:rsid w:val="004C47D2"/>
    <w:rsid w:val="004F0C20"/>
    <w:rsid w:val="005350EA"/>
    <w:rsid w:val="00541453"/>
    <w:rsid w:val="005C04B5"/>
    <w:rsid w:val="00600820"/>
    <w:rsid w:val="006066A9"/>
    <w:rsid w:val="0061784D"/>
    <w:rsid w:val="00651962"/>
    <w:rsid w:val="0065250A"/>
    <w:rsid w:val="0069140A"/>
    <w:rsid w:val="006C183C"/>
    <w:rsid w:val="006C4E94"/>
    <w:rsid w:val="006F1A5F"/>
    <w:rsid w:val="0070546F"/>
    <w:rsid w:val="007560AA"/>
    <w:rsid w:val="00760CEC"/>
    <w:rsid w:val="00772856"/>
    <w:rsid w:val="00784B34"/>
    <w:rsid w:val="00790115"/>
    <w:rsid w:val="007E46FD"/>
    <w:rsid w:val="008026FC"/>
    <w:rsid w:val="008436A2"/>
    <w:rsid w:val="00851F1D"/>
    <w:rsid w:val="00866AB8"/>
    <w:rsid w:val="00871348"/>
    <w:rsid w:val="00882BB4"/>
    <w:rsid w:val="00897459"/>
    <w:rsid w:val="008C2EF2"/>
    <w:rsid w:val="008D6367"/>
    <w:rsid w:val="00900F53"/>
    <w:rsid w:val="00902EB3"/>
    <w:rsid w:val="00916C9E"/>
    <w:rsid w:val="009248D4"/>
    <w:rsid w:val="0095220B"/>
    <w:rsid w:val="00957341"/>
    <w:rsid w:val="009D2A18"/>
    <w:rsid w:val="009D4550"/>
    <w:rsid w:val="009F0CC1"/>
    <w:rsid w:val="00A41881"/>
    <w:rsid w:val="00A87485"/>
    <w:rsid w:val="00AA1D8D"/>
    <w:rsid w:val="00AB7D72"/>
    <w:rsid w:val="00AC4114"/>
    <w:rsid w:val="00AF0404"/>
    <w:rsid w:val="00B03248"/>
    <w:rsid w:val="00B22EB0"/>
    <w:rsid w:val="00B47730"/>
    <w:rsid w:val="00B57509"/>
    <w:rsid w:val="00B6256D"/>
    <w:rsid w:val="00B7451A"/>
    <w:rsid w:val="00BB73DB"/>
    <w:rsid w:val="00BE42AC"/>
    <w:rsid w:val="00C05CC5"/>
    <w:rsid w:val="00C06C26"/>
    <w:rsid w:val="00C5168A"/>
    <w:rsid w:val="00C5497B"/>
    <w:rsid w:val="00C84A6C"/>
    <w:rsid w:val="00C86DE3"/>
    <w:rsid w:val="00C95059"/>
    <w:rsid w:val="00C96907"/>
    <w:rsid w:val="00CB0664"/>
    <w:rsid w:val="00CD671D"/>
    <w:rsid w:val="00CF2DDF"/>
    <w:rsid w:val="00D77CB8"/>
    <w:rsid w:val="00D8034E"/>
    <w:rsid w:val="00D87257"/>
    <w:rsid w:val="00DB6E19"/>
    <w:rsid w:val="00DD1D79"/>
    <w:rsid w:val="00DF0D31"/>
    <w:rsid w:val="00E154BB"/>
    <w:rsid w:val="00E64A8C"/>
    <w:rsid w:val="00E72E55"/>
    <w:rsid w:val="00E92659"/>
    <w:rsid w:val="00EB331C"/>
    <w:rsid w:val="00F10BDE"/>
    <w:rsid w:val="00F1348D"/>
    <w:rsid w:val="00F6613D"/>
    <w:rsid w:val="00F7088C"/>
    <w:rsid w:val="00F8079A"/>
    <w:rsid w:val="00F8363B"/>
    <w:rsid w:val="00F9D3EE"/>
    <w:rsid w:val="00FB251D"/>
    <w:rsid w:val="00FC1260"/>
    <w:rsid w:val="00FC693F"/>
    <w:rsid w:val="00FF5031"/>
    <w:rsid w:val="02A89E60"/>
    <w:rsid w:val="04D1E73D"/>
    <w:rsid w:val="050DF6D8"/>
    <w:rsid w:val="05FBEF4B"/>
    <w:rsid w:val="080A3C64"/>
    <w:rsid w:val="0972742E"/>
    <w:rsid w:val="14757C16"/>
    <w:rsid w:val="1778C11D"/>
    <w:rsid w:val="1A6068A7"/>
    <w:rsid w:val="1C3CDADF"/>
    <w:rsid w:val="1C60BF15"/>
    <w:rsid w:val="1DD3FAAD"/>
    <w:rsid w:val="1E071190"/>
    <w:rsid w:val="1F6A42B8"/>
    <w:rsid w:val="2231B96E"/>
    <w:rsid w:val="23B72551"/>
    <w:rsid w:val="24C5E0EA"/>
    <w:rsid w:val="280A1A3F"/>
    <w:rsid w:val="28B85108"/>
    <w:rsid w:val="2AF81178"/>
    <w:rsid w:val="2B935251"/>
    <w:rsid w:val="2BC36BD2"/>
    <w:rsid w:val="2CEF7443"/>
    <w:rsid w:val="2E9F2374"/>
    <w:rsid w:val="2F1B0FA8"/>
    <w:rsid w:val="321DCC62"/>
    <w:rsid w:val="37A0499E"/>
    <w:rsid w:val="3B37C04B"/>
    <w:rsid w:val="3E7F8F1E"/>
    <w:rsid w:val="531CCF73"/>
    <w:rsid w:val="53C16FEA"/>
    <w:rsid w:val="5A3D0B49"/>
    <w:rsid w:val="5DA48697"/>
    <w:rsid w:val="64A98EF8"/>
    <w:rsid w:val="67C3E648"/>
    <w:rsid w:val="67DCF8DA"/>
    <w:rsid w:val="77FA1ED4"/>
    <w:rsid w:val="78103A4E"/>
    <w:rsid w:val="78F573D9"/>
    <w:rsid w:val="7D85BB1B"/>
    <w:rsid w:val="7F049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B2F59"/>
  <w14:defaultImageDpi w14:val="300"/>
  <w15:docId w15:val="{B68F6B06-C6B3-4705-A4DE-BE37DBFC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21DCC62"/>
    <w:rPr>
      <w:rFonts w:ascii="Calibri" w:hAnsi="Calibri"/>
      <w:lang w:val="en-GB"/>
    </w:rPr>
  </w:style>
  <w:style w:type="paragraph" w:styleId="Heading1">
    <w:name w:val="heading 1"/>
    <w:basedOn w:val="Normal"/>
    <w:next w:val="Normal"/>
    <w:link w:val="Heading1Char"/>
    <w:uiPriority w:val="9"/>
    <w:qFormat/>
    <w:rsid w:val="321DC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321DCC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321DCC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321DCC6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321DCC62"/>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321DCC62"/>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321DCC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321DCC6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321DCC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21DC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321DC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321DCC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321DCC62"/>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321DCC62"/>
    <w:pPr>
      <w:ind w:left="720"/>
      <w:contextualSpacing/>
    </w:pPr>
  </w:style>
  <w:style w:type="paragraph" w:styleId="BodyText">
    <w:name w:val="Body Text"/>
    <w:basedOn w:val="Normal"/>
    <w:link w:val="BodyTextChar"/>
    <w:uiPriority w:val="99"/>
    <w:unhideWhenUsed/>
    <w:rsid w:val="321DCC62"/>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321DCC62"/>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321DCC62"/>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321DCC62"/>
    <w:pPr>
      <w:ind w:left="360" w:hanging="360"/>
      <w:contextualSpacing/>
    </w:pPr>
  </w:style>
  <w:style w:type="paragraph" w:styleId="List2">
    <w:name w:val="List 2"/>
    <w:basedOn w:val="Normal"/>
    <w:uiPriority w:val="99"/>
    <w:unhideWhenUsed/>
    <w:rsid w:val="321DCC62"/>
    <w:pPr>
      <w:ind w:left="720" w:hanging="360"/>
      <w:contextualSpacing/>
    </w:pPr>
  </w:style>
  <w:style w:type="paragraph" w:styleId="List3">
    <w:name w:val="List 3"/>
    <w:basedOn w:val="Normal"/>
    <w:uiPriority w:val="99"/>
    <w:unhideWhenUsed/>
    <w:rsid w:val="321DCC62"/>
    <w:pPr>
      <w:ind w:left="1080" w:hanging="360"/>
      <w:contextualSpacing/>
    </w:pPr>
  </w:style>
  <w:style w:type="paragraph" w:styleId="ListBullet">
    <w:name w:val="List Bullet"/>
    <w:basedOn w:val="Normal"/>
    <w:uiPriority w:val="99"/>
    <w:unhideWhenUsed/>
    <w:rsid w:val="321DCC62"/>
    <w:pPr>
      <w:numPr>
        <w:numId w:val="1"/>
      </w:numPr>
      <w:contextualSpacing/>
    </w:pPr>
  </w:style>
  <w:style w:type="paragraph" w:styleId="ListBullet2">
    <w:name w:val="List Bullet 2"/>
    <w:basedOn w:val="Normal"/>
    <w:uiPriority w:val="99"/>
    <w:unhideWhenUsed/>
    <w:rsid w:val="321DCC62"/>
    <w:pPr>
      <w:numPr>
        <w:numId w:val="2"/>
      </w:numPr>
      <w:contextualSpacing/>
    </w:pPr>
  </w:style>
  <w:style w:type="paragraph" w:styleId="ListBullet3">
    <w:name w:val="List Bullet 3"/>
    <w:basedOn w:val="Normal"/>
    <w:uiPriority w:val="99"/>
    <w:unhideWhenUsed/>
    <w:rsid w:val="321DCC62"/>
    <w:pPr>
      <w:numPr>
        <w:numId w:val="3"/>
      </w:numPr>
      <w:contextualSpacing/>
    </w:pPr>
  </w:style>
  <w:style w:type="paragraph" w:styleId="ListNumber">
    <w:name w:val="List Number"/>
    <w:basedOn w:val="Normal"/>
    <w:uiPriority w:val="99"/>
    <w:unhideWhenUsed/>
    <w:rsid w:val="321DCC62"/>
    <w:pPr>
      <w:numPr>
        <w:numId w:val="5"/>
      </w:numPr>
      <w:contextualSpacing/>
    </w:pPr>
  </w:style>
  <w:style w:type="paragraph" w:styleId="ListNumber2">
    <w:name w:val="List Number 2"/>
    <w:basedOn w:val="Normal"/>
    <w:uiPriority w:val="99"/>
    <w:unhideWhenUsed/>
    <w:rsid w:val="321DCC62"/>
    <w:pPr>
      <w:numPr>
        <w:numId w:val="6"/>
      </w:numPr>
      <w:contextualSpacing/>
    </w:pPr>
  </w:style>
  <w:style w:type="paragraph" w:styleId="ListNumber3">
    <w:name w:val="List Number 3"/>
    <w:basedOn w:val="Normal"/>
    <w:uiPriority w:val="99"/>
    <w:unhideWhenUsed/>
    <w:rsid w:val="321DCC62"/>
    <w:pPr>
      <w:numPr>
        <w:numId w:val="7"/>
      </w:numPr>
      <w:contextualSpacing/>
    </w:pPr>
  </w:style>
  <w:style w:type="paragraph" w:styleId="ListContinue">
    <w:name w:val="List Continue"/>
    <w:basedOn w:val="Normal"/>
    <w:uiPriority w:val="99"/>
    <w:unhideWhenUsed/>
    <w:rsid w:val="321DCC62"/>
    <w:pPr>
      <w:spacing w:after="120"/>
      <w:ind w:left="360"/>
      <w:contextualSpacing/>
    </w:pPr>
  </w:style>
  <w:style w:type="paragraph" w:styleId="ListContinue2">
    <w:name w:val="List Continue 2"/>
    <w:basedOn w:val="Normal"/>
    <w:uiPriority w:val="99"/>
    <w:unhideWhenUsed/>
    <w:rsid w:val="321DCC62"/>
    <w:pPr>
      <w:spacing w:after="120"/>
      <w:ind w:left="720"/>
      <w:contextualSpacing/>
    </w:pPr>
  </w:style>
  <w:style w:type="paragraph" w:styleId="ListContinue3">
    <w:name w:val="List Continue 3"/>
    <w:basedOn w:val="Normal"/>
    <w:uiPriority w:val="99"/>
    <w:unhideWhenUsed/>
    <w:rsid w:val="321DCC62"/>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321DCC62"/>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321DCC62"/>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321DCC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77CB8"/>
    <w:pPr>
      <w:spacing w:after="0" w:line="240" w:lineRule="auto"/>
    </w:pPr>
    <w:rPr>
      <w:rFonts w:ascii="Calibri" w:hAnsi="Calibri"/>
    </w:rPr>
  </w:style>
  <w:style w:type="paragraph" w:styleId="NormalWeb">
    <w:name w:val="Normal (Web)"/>
    <w:basedOn w:val="Normal"/>
    <w:uiPriority w:val="99"/>
    <w:semiHidden/>
    <w:unhideWhenUsed/>
    <w:rsid w:val="321DCC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Tootell (Campaigns and Reputation)</cp:lastModifiedBy>
  <cp:revision>2</cp:revision>
  <cp:lastPrinted>2026-06-15T16:08:00Z</cp:lastPrinted>
  <dcterms:created xsi:type="dcterms:W3CDTF">2026-06-16T11:59:00Z</dcterms:created>
  <dcterms:modified xsi:type="dcterms:W3CDTF">2026-06-16T11:59:00Z</dcterms:modified>
  <cp:category/>
</cp:coreProperties>
</file>