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B63C" w14:textId="6C33506B" w:rsidR="00B41AA3" w:rsidRPr="003500FB" w:rsidRDefault="00B41AA3" w:rsidP="003500FB">
      <w:pPr>
        <w:pStyle w:val="Heading1"/>
        <w:spacing w:before="120" w:after="120" w:line="360" w:lineRule="auto"/>
        <w:rPr>
          <w:rFonts w:ascii="Arial" w:hAnsi="Arial" w:cs="Arial"/>
        </w:rPr>
      </w:pPr>
      <w:r w:rsidRPr="003500FB">
        <w:rPr>
          <w:rFonts w:ascii="Arial" w:hAnsi="Arial" w:cs="Arial"/>
        </w:rPr>
        <w:t xml:space="preserve">Principle of </w:t>
      </w:r>
      <w:r w:rsidR="00454BE2" w:rsidRPr="003500FB">
        <w:rPr>
          <w:rFonts w:ascii="Arial" w:hAnsi="Arial" w:cs="Arial"/>
        </w:rPr>
        <w:t>Sustainability Education</w:t>
      </w:r>
      <w:r w:rsidR="00D04D6B" w:rsidRPr="003500FB">
        <w:rPr>
          <w:rFonts w:ascii="Arial" w:hAnsi="Arial" w:cs="Arial"/>
        </w:rPr>
        <w:tab/>
      </w:r>
    </w:p>
    <w:p w14:paraId="67F6EEF8" w14:textId="4BA61E3D" w:rsidR="00454BE2" w:rsidRPr="003500FB" w:rsidRDefault="00454BE2" w:rsidP="003500FB">
      <w:pPr>
        <w:pStyle w:val="Heading1"/>
        <w:spacing w:before="120" w:after="120" w:line="360" w:lineRule="auto"/>
        <w:rPr>
          <w:rFonts w:ascii="Arial" w:hAnsi="Arial" w:cs="Arial"/>
        </w:rPr>
      </w:pPr>
      <w:r w:rsidRPr="003500FB">
        <w:rPr>
          <w:rFonts w:ascii="Arial" w:hAnsi="Arial" w:cs="Arial"/>
        </w:rPr>
        <w:t>Julia Myatt</w:t>
      </w:r>
      <w:r w:rsidR="0099402C" w:rsidRPr="003500FB">
        <w:rPr>
          <w:rFonts w:ascii="Arial" w:hAnsi="Arial" w:cs="Arial"/>
        </w:rPr>
        <w:t xml:space="preserve">, </w:t>
      </w:r>
      <w:r w:rsidRPr="003500FB">
        <w:rPr>
          <w:rFonts w:ascii="Arial" w:hAnsi="Arial" w:cs="Arial"/>
        </w:rPr>
        <w:t>Academic Director of Sustainability Education</w:t>
      </w:r>
    </w:p>
    <w:p w14:paraId="4EA84903" w14:textId="6C7422E4" w:rsidR="00284EAE" w:rsidRPr="003500FB" w:rsidRDefault="00F95113" w:rsidP="003500FB">
      <w:pPr>
        <w:pStyle w:val="Heading1"/>
        <w:spacing w:before="120" w:after="120" w:line="360" w:lineRule="auto"/>
        <w:rPr>
          <w:rFonts w:ascii="Arial" w:hAnsi="Arial" w:cs="Arial"/>
        </w:rPr>
      </w:pPr>
      <w:r w:rsidRPr="003500FB">
        <w:rPr>
          <w:rFonts w:ascii="Arial" w:hAnsi="Arial" w:cs="Arial"/>
        </w:rPr>
        <w:t xml:space="preserve">Created June 2024; reviewed June 2025. </w:t>
      </w:r>
    </w:p>
    <w:p w14:paraId="4899A3CB" w14:textId="77777777" w:rsidR="00284EAE" w:rsidRPr="0099402C" w:rsidRDefault="00284EAE" w:rsidP="0099402C">
      <w:pPr>
        <w:spacing w:after="0" w:line="240" w:lineRule="auto"/>
        <w:rPr>
          <w:rFonts w:ascii="Arial" w:hAnsi="Arial" w:cs="Arial"/>
          <w:b/>
          <w:bCs/>
          <w:sz w:val="24"/>
          <w:szCs w:val="24"/>
        </w:rPr>
      </w:pPr>
    </w:p>
    <w:p w14:paraId="299A21EE" w14:textId="14E098C6" w:rsidR="0099402C" w:rsidRPr="003500FB" w:rsidRDefault="0099402C" w:rsidP="003500FB">
      <w:pPr>
        <w:pStyle w:val="Heading2"/>
        <w:rPr>
          <w:rFonts w:ascii="Arial" w:hAnsi="Arial" w:cs="Arial"/>
        </w:rPr>
      </w:pPr>
      <w:r w:rsidRPr="003500FB">
        <w:rPr>
          <w:rFonts w:ascii="Arial" w:hAnsi="Arial" w:cs="Arial"/>
        </w:rPr>
        <w:t>Introduction</w:t>
      </w:r>
    </w:p>
    <w:p w14:paraId="723AEE37" w14:textId="5DA10D16" w:rsidR="003F5663" w:rsidRPr="0099402C" w:rsidRDefault="00785351" w:rsidP="0099402C">
      <w:pPr>
        <w:spacing w:after="0" w:line="240" w:lineRule="auto"/>
        <w:rPr>
          <w:rFonts w:ascii="Arial" w:hAnsi="Arial" w:cs="Arial"/>
          <w:sz w:val="24"/>
          <w:szCs w:val="24"/>
        </w:rPr>
      </w:pPr>
      <w:r w:rsidRPr="0099402C">
        <w:rPr>
          <w:rFonts w:ascii="Arial" w:hAnsi="Arial" w:cs="Arial"/>
          <w:sz w:val="24"/>
          <w:szCs w:val="24"/>
        </w:rPr>
        <w:t xml:space="preserve">We are committed to </w:t>
      </w:r>
      <w:r w:rsidR="008C43FF" w:rsidRPr="0099402C">
        <w:rPr>
          <w:rFonts w:ascii="Arial" w:hAnsi="Arial" w:cs="Arial"/>
          <w:sz w:val="24"/>
          <w:szCs w:val="24"/>
        </w:rPr>
        <w:t>ensur</w:t>
      </w:r>
      <w:r w:rsidR="00E93D23" w:rsidRPr="0099402C">
        <w:rPr>
          <w:rFonts w:ascii="Arial" w:hAnsi="Arial" w:cs="Arial"/>
          <w:sz w:val="24"/>
          <w:szCs w:val="24"/>
        </w:rPr>
        <w:t>ing</w:t>
      </w:r>
      <w:r w:rsidR="008C43FF" w:rsidRPr="0099402C">
        <w:rPr>
          <w:rFonts w:ascii="Arial" w:hAnsi="Arial" w:cs="Arial"/>
          <w:sz w:val="24"/>
          <w:szCs w:val="24"/>
        </w:rPr>
        <w:t xml:space="preserve"> that all students receive </w:t>
      </w:r>
      <w:r w:rsidR="004A5A46" w:rsidRPr="0099402C">
        <w:rPr>
          <w:rFonts w:ascii="Arial" w:hAnsi="Arial" w:cs="Arial"/>
          <w:sz w:val="24"/>
          <w:szCs w:val="24"/>
        </w:rPr>
        <w:t>a comprehensive education in sustainability</w:t>
      </w:r>
      <w:r w:rsidR="00790C3B" w:rsidRPr="0099402C">
        <w:rPr>
          <w:rFonts w:ascii="Arial" w:hAnsi="Arial" w:cs="Arial"/>
          <w:sz w:val="24"/>
          <w:szCs w:val="24"/>
        </w:rPr>
        <w:t xml:space="preserve">. Our </w:t>
      </w:r>
      <w:r w:rsidR="008C43FF" w:rsidRPr="0099402C">
        <w:rPr>
          <w:rFonts w:ascii="Arial" w:hAnsi="Arial" w:cs="Arial"/>
          <w:sz w:val="24"/>
          <w:szCs w:val="24"/>
        </w:rPr>
        <w:t xml:space="preserve">ambition is </w:t>
      </w:r>
      <w:r w:rsidR="00D52EFC" w:rsidRPr="0099402C">
        <w:rPr>
          <w:rFonts w:ascii="Arial" w:hAnsi="Arial" w:cs="Arial"/>
          <w:sz w:val="24"/>
          <w:szCs w:val="24"/>
        </w:rPr>
        <w:t>to integrate sustainability principles</w:t>
      </w:r>
      <w:r w:rsidR="00875131" w:rsidRPr="0099402C">
        <w:rPr>
          <w:rFonts w:ascii="Arial" w:hAnsi="Arial" w:cs="Arial"/>
          <w:sz w:val="24"/>
          <w:szCs w:val="24"/>
        </w:rPr>
        <w:t>,</w:t>
      </w:r>
      <w:r w:rsidR="00D52EFC" w:rsidRPr="0099402C">
        <w:rPr>
          <w:rFonts w:ascii="Arial" w:hAnsi="Arial" w:cs="Arial"/>
          <w:sz w:val="24"/>
          <w:szCs w:val="24"/>
        </w:rPr>
        <w:t xml:space="preserve"> both within and alongside </w:t>
      </w:r>
      <w:r w:rsidR="00564B0C" w:rsidRPr="0099402C">
        <w:rPr>
          <w:rFonts w:ascii="Arial" w:hAnsi="Arial" w:cs="Arial"/>
          <w:sz w:val="24"/>
          <w:szCs w:val="24"/>
        </w:rPr>
        <w:t>the curriculum</w:t>
      </w:r>
      <w:r w:rsidR="00875131" w:rsidRPr="0099402C">
        <w:rPr>
          <w:rFonts w:ascii="Arial" w:hAnsi="Arial" w:cs="Arial"/>
          <w:sz w:val="24"/>
          <w:szCs w:val="24"/>
        </w:rPr>
        <w:t>, to</w:t>
      </w:r>
      <w:r w:rsidR="00523836" w:rsidRPr="0099402C">
        <w:rPr>
          <w:rFonts w:ascii="Arial" w:hAnsi="Arial" w:cs="Arial"/>
          <w:sz w:val="24"/>
          <w:szCs w:val="24"/>
        </w:rPr>
        <w:t xml:space="preserve"> </w:t>
      </w:r>
      <w:r w:rsidR="00BA7088" w:rsidRPr="0099402C">
        <w:rPr>
          <w:rFonts w:ascii="Arial" w:hAnsi="Arial" w:cs="Arial"/>
          <w:sz w:val="24"/>
          <w:szCs w:val="24"/>
        </w:rPr>
        <w:t xml:space="preserve">ensure our students are well-equipped to tackle </w:t>
      </w:r>
      <w:r w:rsidR="00BE7847" w:rsidRPr="0099402C">
        <w:rPr>
          <w:rFonts w:ascii="Arial" w:hAnsi="Arial" w:cs="Arial"/>
          <w:sz w:val="24"/>
          <w:szCs w:val="24"/>
        </w:rPr>
        <w:t>global challenges</w:t>
      </w:r>
      <w:r w:rsidR="00BA7088" w:rsidRPr="0099402C">
        <w:rPr>
          <w:rFonts w:ascii="Arial" w:hAnsi="Arial" w:cs="Arial"/>
          <w:sz w:val="24"/>
          <w:szCs w:val="24"/>
        </w:rPr>
        <w:t xml:space="preserve"> for the future</w:t>
      </w:r>
      <w:r w:rsidR="00217248" w:rsidRPr="0099402C">
        <w:rPr>
          <w:rFonts w:ascii="Arial" w:hAnsi="Arial" w:cs="Arial"/>
          <w:sz w:val="24"/>
          <w:szCs w:val="24"/>
        </w:rPr>
        <w:t xml:space="preserve">. </w:t>
      </w:r>
      <w:r w:rsidR="002C1576" w:rsidRPr="0099402C">
        <w:rPr>
          <w:rFonts w:ascii="Arial" w:hAnsi="Arial" w:cs="Arial"/>
          <w:sz w:val="24"/>
          <w:szCs w:val="24"/>
        </w:rPr>
        <w:t>Education for Sustainability (</w:t>
      </w:r>
      <w:proofErr w:type="spellStart"/>
      <w:r w:rsidR="002C1576" w:rsidRPr="0099402C">
        <w:rPr>
          <w:rFonts w:ascii="Arial" w:hAnsi="Arial" w:cs="Arial"/>
          <w:sz w:val="24"/>
          <w:szCs w:val="24"/>
        </w:rPr>
        <w:t>EfS</w:t>
      </w:r>
      <w:proofErr w:type="spellEnd"/>
      <w:r w:rsidR="002C1576" w:rsidRPr="0099402C">
        <w:rPr>
          <w:rFonts w:ascii="Arial" w:hAnsi="Arial" w:cs="Arial"/>
          <w:sz w:val="24"/>
          <w:szCs w:val="24"/>
        </w:rPr>
        <w:t>) is an approach to teaching and learning that highlights the principles and practices of sustainability. The focus of Education for Sustainability is the development of the skills, knowledge and motivation to engage with sustainability</w:t>
      </w:r>
      <w:r w:rsidR="00604A4D" w:rsidRPr="0099402C">
        <w:rPr>
          <w:rFonts w:ascii="Arial" w:hAnsi="Arial" w:cs="Arial"/>
          <w:sz w:val="24"/>
          <w:szCs w:val="24"/>
        </w:rPr>
        <w:t xml:space="preserve">, the </w:t>
      </w:r>
      <w:r w:rsidR="009567DE">
        <w:rPr>
          <w:rFonts w:ascii="Arial" w:hAnsi="Arial" w:cs="Arial"/>
          <w:sz w:val="24"/>
          <w:szCs w:val="24"/>
        </w:rPr>
        <w:t xml:space="preserve">UN </w:t>
      </w:r>
      <w:r w:rsidR="00604A4D" w:rsidRPr="0099402C">
        <w:rPr>
          <w:rFonts w:ascii="Arial" w:hAnsi="Arial" w:cs="Arial"/>
          <w:sz w:val="24"/>
          <w:szCs w:val="24"/>
        </w:rPr>
        <w:t>Sustainable Development Goals (SDGs)</w:t>
      </w:r>
      <w:r w:rsidR="002C1576" w:rsidRPr="0099402C">
        <w:rPr>
          <w:rFonts w:ascii="Arial" w:hAnsi="Arial" w:cs="Arial"/>
          <w:sz w:val="24"/>
          <w:szCs w:val="24"/>
        </w:rPr>
        <w:t xml:space="preserve"> and to understand the interconnections between the three pillars of sustainability: environmental, social and economic systems.</w:t>
      </w:r>
      <w:r w:rsidR="009926B3" w:rsidRPr="0099402C">
        <w:rPr>
          <w:rFonts w:ascii="Arial" w:hAnsi="Arial" w:cs="Arial"/>
          <w:sz w:val="24"/>
          <w:szCs w:val="24"/>
        </w:rPr>
        <w:t xml:space="preserve"> </w:t>
      </w:r>
    </w:p>
    <w:p w14:paraId="5E111433" w14:textId="77777777" w:rsidR="003F5663" w:rsidRDefault="003F5663" w:rsidP="0099402C">
      <w:pPr>
        <w:spacing w:after="0" w:line="240" w:lineRule="auto"/>
        <w:rPr>
          <w:rFonts w:ascii="Arial" w:hAnsi="Arial" w:cs="Arial"/>
          <w:sz w:val="24"/>
          <w:szCs w:val="24"/>
        </w:rPr>
      </w:pPr>
    </w:p>
    <w:p w14:paraId="5FAF413A" w14:textId="274C3E70" w:rsidR="009567DE" w:rsidRPr="00EB6FD5" w:rsidRDefault="009567DE" w:rsidP="00EB6FD5">
      <w:pPr>
        <w:pStyle w:val="paragraph"/>
        <w:spacing w:before="0" w:beforeAutospacing="0" w:after="0" w:afterAutospacing="0"/>
        <w:textAlignment w:val="baseline"/>
        <w:rPr>
          <w:rFonts w:ascii="Arial" w:hAnsi="Arial" w:cs="Arial"/>
        </w:rPr>
      </w:pPr>
      <w:r w:rsidRPr="00EB6FD5">
        <w:rPr>
          <w:rFonts w:ascii="Arial" w:hAnsi="Arial" w:cs="Arial"/>
        </w:rPr>
        <w:t xml:space="preserve">There are eight core competencies for </w:t>
      </w:r>
      <w:proofErr w:type="spellStart"/>
      <w:r w:rsidRPr="00EB6FD5">
        <w:rPr>
          <w:rFonts w:ascii="Arial" w:hAnsi="Arial" w:cs="Arial"/>
        </w:rPr>
        <w:t>EfS</w:t>
      </w:r>
      <w:proofErr w:type="spellEnd"/>
      <w:r w:rsidRPr="00EB6FD5">
        <w:rPr>
          <w:rFonts w:ascii="Arial" w:hAnsi="Arial" w:cs="Arial"/>
        </w:rPr>
        <w:t xml:space="preserve"> supported by </w:t>
      </w:r>
      <w:hyperlink r:id="rId8" w:history="1">
        <w:r w:rsidRPr="00EB6FD5">
          <w:rPr>
            <w:rStyle w:val="Hyperlink"/>
            <w:rFonts w:ascii="Arial" w:hAnsi="Arial" w:cs="Arial"/>
          </w:rPr>
          <w:t>UNESCO</w:t>
        </w:r>
      </w:hyperlink>
      <w:r w:rsidRPr="00EB6FD5">
        <w:rPr>
          <w:rFonts w:ascii="Arial" w:hAnsi="Arial" w:cs="Arial"/>
        </w:rPr>
        <w:t xml:space="preserve"> (2017), often achieved through pedagogical tools such as scenario planning, problem-based teamwork, case studies, reflective practice, formal debate and role play (see the </w:t>
      </w:r>
      <w:hyperlink r:id="rId9" w:history="1">
        <w:r w:rsidRPr="00EB6FD5">
          <w:rPr>
            <w:rStyle w:val="Hyperlink"/>
            <w:rFonts w:ascii="Arial" w:hAnsi="Arial" w:cs="Arial"/>
          </w:rPr>
          <w:t>Education Excellence Newsletter 3</w:t>
        </w:r>
      </w:hyperlink>
      <w:r w:rsidRPr="00EB6FD5">
        <w:rPr>
          <w:rFonts w:ascii="Arial" w:hAnsi="Arial" w:cs="Arial"/>
        </w:rPr>
        <w:t xml:space="preserve"> for a table of the competencies). The primary distinction with </w:t>
      </w:r>
      <w:proofErr w:type="spellStart"/>
      <w:r w:rsidRPr="00EB6FD5">
        <w:rPr>
          <w:rFonts w:ascii="Arial" w:hAnsi="Arial" w:cs="Arial"/>
        </w:rPr>
        <w:t>EfS</w:t>
      </w:r>
      <w:proofErr w:type="spellEnd"/>
      <w:r w:rsidRPr="00EB6FD5">
        <w:rPr>
          <w:rFonts w:ascii="Arial" w:hAnsi="Arial" w:cs="Arial"/>
        </w:rPr>
        <w:t xml:space="preserve">, however, lies in the requirement to embed sustainability as the central theme, alongside emphasizing the interconnections among competencies. This could be by integrating critical issues such as climate change, biodiversity, sustainable consumption and production, energy, and resource utilization, in addition to the consideration of justice and equity, into the curriculum in a holistic way. </w:t>
      </w:r>
    </w:p>
    <w:p w14:paraId="26F08900" w14:textId="77777777" w:rsidR="009567DE" w:rsidRPr="0099402C" w:rsidRDefault="009567DE" w:rsidP="0099402C">
      <w:pPr>
        <w:spacing w:after="0" w:line="240" w:lineRule="auto"/>
        <w:rPr>
          <w:rFonts w:ascii="Arial" w:hAnsi="Arial" w:cs="Arial"/>
          <w:sz w:val="24"/>
          <w:szCs w:val="24"/>
        </w:rPr>
      </w:pPr>
    </w:p>
    <w:p w14:paraId="7EF70DB6" w14:textId="176F42A0" w:rsidR="00CE1B10" w:rsidRPr="0099402C" w:rsidRDefault="00F71475" w:rsidP="0099402C">
      <w:pPr>
        <w:spacing w:after="0" w:line="240" w:lineRule="auto"/>
        <w:rPr>
          <w:rFonts w:ascii="Arial" w:hAnsi="Arial" w:cs="Arial"/>
          <w:sz w:val="24"/>
          <w:szCs w:val="24"/>
        </w:rPr>
      </w:pPr>
      <w:r w:rsidRPr="0099402C">
        <w:rPr>
          <w:rFonts w:ascii="Arial" w:hAnsi="Arial" w:cs="Arial"/>
          <w:sz w:val="24"/>
          <w:szCs w:val="24"/>
        </w:rPr>
        <w:t xml:space="preserve">As one of </w:t>
      </w:r>
      <w:r w:rsidR="009D65D4" w:rsidRPr="0099402C">
        <w:rPr>
          <w:rFonts w:ascii="Arial" w:hAnsi="Arial" w:cs="Arial"/>
          <w:sz w:val="24"/>
          <w:szCs w:val="24"/>
        </w:rPr>
        <w:t>our</w:t>
      </w:r>
      <w:r w:rsidRPr="0099402C">
        <w:rPr>
          <w:rFonts w:ascii="Arial" w:hAnsi="Arial" w:cs="Arial"/>
          <w:sz w:val="24"/>
          <w:szCs w:val="24"/>
        </w:rPr>
        <w:t xml:space="preserve"> </w:t>
      </w:r>
      <w:r w:rsidR="009D65D4" w:rsidRPr="0099402C">
        <w:rPr>
          <w:rFonts w:ascii="Arial" w:hAnsi="Arial" w:cs="Arial"/>
          <w:sz w:val="24"/>
          <w:szCs w:val="24"/>
        </w:rPr>
        <w:t>G</w:t>
      </w:r>
      <w:r w:rsidRPr="0099402C">
        <w:rPr>
          <w:rFonts w:ascii="Arial" w:hAnsi="Arial" w:cs="Arial"/>
          <w:sz w:val="24"/>
          <w:szCs w:val="24"/>
        </w:rPr>
        <w:t xml:space="preserve">raduate </w:t>
      </w:r>
      <w:r w:rsidR="009D65D4" w:rsidRPr="0099402C">
        <w:rPr>
          <w:rFonts w:ascii="Arial" w:hAnsi="Arial" w:cs="Arial"/>
          <w:sz w:val="24"/>
          <w:szCs w:val="24"/>
        </w:rPr>
        <w:t>A</w:t>
      </w:r>
      <w:r w:rsidRPr="0099402C">
        <w:rPr>
          <w:rFonts w:ascii="Arial" w:hAnsi="Arial" w:cs="Arial"/>
          <w:sz w:val="24"/>
          <w:szCs w:val="24"/>
        </w:rPr>
        <w:t xml:space="preserve">ttributes, the ability for students to be able to </w:t>
      </w:r>
      <w:r w:rsidR="00571B2A" w:rsidRPr="0099402C">
        <w:rPr>
          <w:rFonts w:ascii="Arial" w:hAnsi="Arial" w:cs="Arial"/>
          <w:sz w:val="24"/>
          <w:szCs w:val="24"/>
        </w:rPr>
        <w:t xml:space="preserve">demonstrate the skills and knowledge to be </w:t>
      </w:r>
      <w:r w:rsidR="00511EFD" w:rsidRPr="0099402C">
        <w:rPr>
          <w:rFonts w:ascii="Arial" w:hAnsi="Arial" w:cs="Arial"/>
          <w:sz w:val="24"/>
          <w:szCs w:val="24"/>
        </w:rPr>
        <w:t>sustainability-focused is a core competency</w:t>
      </w:r>
      <w:r w:rsidR="00571B2A" w:rsidRPr="0099402C">
        <w:rPr>
          <w:rFonts w:ascii="Arial" w:hAnsi="Arial" w:cs="Arial"/>
          <w:sz w:val="24"/>
          <w:szCs w:val="24"/>
        </w:rPr>
        <w:t xml:space="preserve">, </w:t>
      </w:r>
      <w:r w:rsidR="00511EFD" w:rsidRPr="0099402C">
        <w:rPr>
          <w:rFonts w:ascii="Arial" w:hAnsi="Arial" w:cs="Arial"/>
          <w:sz w:val="24"/>
          <w:szCs w:val="24"/>
        </w:rPr>
        <w:t>one increasingly s</w:t>
      </w:r>
      <w:r w:rsidR="009C6DBB" w:rsidRPr="0099402C">
        <w:rPr>
          <w:rFonts w:ascii="Arial" w:hAnsi="Arial" w:cs="Arial"/>
          <w:sz w:val="24"/>
          <w:szCs w:val="24"/>
        </w:rPr>
        <w:t>o</w:t>
      </w:r>
      <w:r w:rsidR="00E71572" w:rsidRPr="0099402C">
        <w:rPr>
          <w:rFonts w:ascii="Arial" w:hAnsi="Arial" w:cs="Arial"/>
          <w:sz w:val="24"/>
          <w:szCs w:val="24"/>
        </w:rPr>
        <w:t>ught</w:t>
      </w:r>
      <w:r w:rsidR="00511EFD" w:rsidRPr="0099402C">
        <w:rPr>
          <w:rFonts w:ascii="Arial" w:hAnsi="Arial" w:cs="Arial"/>
          <w:sz w:val="24"/>
          <w:szCs w:val="24"/>
        </w:rPr>
        <w:t xml:space="preserve"> by employers. </w:t>
      </w:r>
      <w:r w:rsidR="00AB14D3" w:rsidRPr="0099402C">
        <w:rPr>
          <w:rFonts w:ascii="Arial" w:hAnsi="Arial" w:cs="Arial"/>
          <w:sz w:val="24"/>
          <w:szCs w:val="24"/>
        </w:rPr>
        <w:t xml:space="preserve">It is therefore </w:t>
      </w:r>
      <w:r w:rsidR="00E71572" w:rsidRPr="0099402C">
        <w:rPr>
          <w:rFonts w:ascii="Arial" w:hAnsi="Arial" w:cs="Arial"/>
          <w:sz w:val="24"/>
          <w:szCs w:val="24"/>
        </w:rPr>
        <w:t>essential</w:t>
      </w:r>
      <w:r w:rsidR="00AB14D3" w:rsidRPr="0099402C">
        <w:rPr>
          <w:rFonts w:ascii="Arial" w:hAnsi="Arial" w:cs="Arial"/>
          <w:sz w:val="24"/>
          <w:szCs w:val="24"/>
        </w:rPr>
        <w:t xml:space="preserve"> that all staff are aware of how their own teaching </w:t>
      </w:r>
      <w:r w:rsidR="00297624" w:rsidRPr="0099402C">
        <w:rPr>
          <w:rFonts w:ascii="Arial" w:hAnsi="Arial" w:cs="Arial"/>
          <w:sz w:val="24"/>
          <w:szCs w:val="24"/>
        </w:rPr>
        <w:t xml:space="preserve">can support this and </w:t>
      </w:r>
      <w:r w:rsidR="00571B2A" w:rsidRPr="0099402C">
        <w:rPr>
          <w:rFonts w:ascii="Arial" w:hAnsi="Arial" w:cs="Arial"/>
          <w:sz w:val="24"/>
          <w:szCs w:val="24"/>
        </w:rPr>
        <w:t xml:space="preserve">to </w:t>
      </w:r>
      <w:r w:rsidR="00297624" w:rsidRPr="0099402C">
        <w:rPr>
          <w:rFonts w:ascii="Arial" w:hAnsi="Arial" w:cs="Arial"/>
          <w:sz w:val="24"/>
          <w:szCs w:val="24"/>
        </w:rPr>
        <w:t xml:space="preserve">enable students to </w:t>
      </w:r>
      <w:r w:rsidR="008D4F1F" w:rsidRPr="0099402C">
        <w:rPr>
          <w:rFonts w:ascii="Arial" w:hAnsi="Arial" w:cs="Arial"/>
          <w:sz w:val="24"/>
          <w:szCs w:val="24"/>
        </w:rPr>
        <w:t>understand the role of their discipline</w:t>
      </w:r>
      <w:r w:rsidR="0044211A" w:rsidRPr="0099402C">
        <w:rPr>
          <w:rFonts w:ascii="Arial" w:hAnsi="Arial" w:cs="Arial"/>
          <w:sz w:val="24"/>
          <w:szCs w:val="24"/>
        </w:rPr>
        <w:t xml:space="preserve"> and others</w:t>
      </w:r>
      <w:r w:rsidR="008D4F1F" w:rsidRPr="0099402C">
        <w:rPr>
          <w:rFonts w:ascii="Arial" w:hAnsi="Arial" w:cs="Arial"/>
          <w:sz w:val="24"/>
          <w:szCs w:val="24"/>
        </w:rPr>
        <w:t xml:space="preserve"> in developing </w:t>
      </w:r>
      <w:r w:rsidRPr="0099402C">
        <w:rPr>
          <w:rFonts w:ascii="Arial" w:hAnsi="Arial" w:cs="Arial"/>
          <w:sz w:val="24"/>
          <w:szCs w:val="24"/>
        </w:rPr>
        <w:t xml:space="preserve">a more sustainable future for all. </w:t>
      </w:r>
    </w:p>
    <w:p w14:paraId="5DCD730C" w14:textId="77777777" w:rsidR="0040468D" w:rsidRDefault="0040468D" w:rsidP="003F5663">
      <w:pPr>
        <w:pStyle w:val="paragraph"/>
        <w:spacing w:before="0" w:beforeAutospacing="0" w:after="0" w:afterAutospacing="0"/>
        <w:textAlignment w:val="baseline"/>
        <w:rPr>
          <w:rFonts w:asciiTheme="minorHAnsi" w:hAnsiTheme="minorHAnsi" w:cstheme="minorHAnsi"/>
          <w:sz w:val="22"/>
          <w:szCs w:val="22"/>
        </w:rPr>
      </w:pPr>
    </w:p>
    <w:p w14:paraId="5E79BA90" w14:textId="77777777" w:rsidR="00CE1B10" w:rsidRPr="00284EAE" w:rsidRDefault="00CE1B10" w:rsidP="00CB1454">
      <w:pPr>
        <w:pStyle w:val="paragraph"/>
        <w:spacing w:before="0" w:beforeAutospacing="0" w:after="0" w:afterAutospacing="0"/>
        <w:textAlignment w:val="baseline"/>
        <w:rPr>
          <w:rStyle w:val="normaltextrun"/>
          <w:rFonts w:ascii="Aptos" w:eastAsiaTheme="majorEastAsia" w:hAnsi="Aptos"/>
          <w:sz w:val="22"/>
          <w:szCs w:val="22"/>
        </w:rPr>
      </w:pPr>
    </w:p>
    <w:p w14:paraId="54853882" w14:textId="13B844DB" w:rsidR="00CB1454" w:rsidRDefault="0044211A" w:rsidP="003500FB">
      <w:pPr>
        <w:pStyle w:val="Heading2"/>
        <w:rPr>
          <w:rStyle w:val="eop"/>
          <w:rFonts w:ascii="Arial" w:hAnsi="Arial" w:cs="Arial"/>
        </w:rPr>
      </w:pPr>
      <w:r w:rsidRPr="0099402C">
        <w:rPr>
          <w:rStyle w:val="normaltextrun"/>
          <w:rFonts w:ascii="Arial" w:hAnsi="Arial" w:cs="Arial"/>
          <w:b/>
          <w:bCs/>
        </w:rPr>
        <w:t>P</w:t>
      </w:r>
      <w:r w:rsidR="00CB1454" w:rsidRPr="0099402C">
        <w:rPr>
          <w:rStyle w:val="normaltextrun"/>
          <w:rFonts w:ascii="Arial" w:hAnsi="Arial" w:cs="Arial"/>
          <w:b/>
          <w:bCs/>
        </w:rPr>
        <w:t>rinciples</w:t>
      </w:r>
      <w:r w:rsidR="00CB1454" w:rsidRPr="0099402C">
        <w:rPr>
          <w:rStyle w:val="eop"/>
          <w:rFonts w:ascii="Arial" w:hAnsi="Arial" w:cs="Arial"/>
        </w:rPr>
        <w:t> </w:t>
      </w:r>
    </w:p>
    <w:p w14:paraId="41B352D4" w14:textId="73FA7E3D" w:rsidR="00805F52" w:rsidRDefault="00805F52" w:rsidP="00CB1454">
      <w:pPr>
        <w:pStyle w:val="paragraph"/>
        <w:spacing w:before="0" w:beforeAutospacing="0" w:after="0" w:afterAutospacing="0"/>
        <w:textAlignment w:val="baseline"/>
        <w:rPr>
          <w:rStyle w:val="eop"/>
          <w:rFonts w:ascii="Arial" w:eastAsiaTheme="majorEastAsia" w:hAnsi="Arial" w:cs="Arial"/>
        </w:rPr>
      </w:pPr>
    </w:p>
    <w:p w14:paraId="3B5EED0C" w14:textId="1776EB40" w:rsidR="00805F52" w:rsidRPr="0099402C" w:rsidRDefault="00805F52" w:rsidP="00CB1454">
      <w:pPr>
        <w:pStyle w:val="paragraph"/>
        <w:spacing w:before="0" w:beforeAutospacing="0" w:after="0" w:afterAutospacing="0"/>
        <w:textAlignment w:val="baseline"/>
        <w:rPr>
          <w:rStyle w:val="eop"/>
          <w:rFonts w:ascii="Arial" w:eastAsiaTheme="majorEastAsia" w:hAnsi="Arial" w:cs="Arial"/>
        </w:rPr>
      </w:pPr>
      <w:r>
        <w:rPr>
          <w:rStyle w:val="eop"/>
          <w:rFonts w:ascii="Arial" w:eastAsiaTheme="majorEastAsia" w:hAnsi="Arial" w:cs="Arial"/>
        </w:rPr>
        <w:t xml:space="preserve">The over-arching principles, together with the role-holders responsible are provided below, together with some examples. Staff can also join the Sustainability Education Community of Practice to </w:t>
      </w:r>
      <w:r w:rsidR="00C40688">
        <w:rPr>
          <w:rStyle w:val="eop"/>
          <w:rFonts w:ascii="Arial" w:eastAsiaTheme="majorEastAsia" w:hAnsi="Arial" w:cs="Arial"/>
        </w:rPr>
        <w:t xml:space="preserve">access more examples, expand their knowledge and work with like-minded colleagues in this space. </w:t>
      </w:r>
    </w:p>
    <w:p w14:paraId="3A2941BF" w14:textId="77777777" w:rsidR="00EB6FD5" w:rsidRDefault="00EB6FD5" w:rsidP="00CB1454">
      <w:pPr>
        <w:pStyle w:val="paragraph"/>
        <w:spacing w:before="0" w:beforeAutospacing="0" w:after="0" w:afterAutospacing="0"/>
        <w:textAlignment w:val="baseline"/>
        <w:rPr>
          <w:rStyle w:val="eop"/>
          <w:rFonts w:ascii="Arial" w:eastAsiaTheme="majorEastAsia" w:hAnsi="Arial" w:cs="Arial"/>
        </w:rPr>
      </w:pPr>
    </w:p>
    <w:p w14:paraId="6F5FC544" w14:textId="24144F0C" w:rsidR="0044211A" w:rsidRPr="0099402C" w:rsidRDefault="0044211A" w:rsidP="00CB1454">
      <w:pPr>
        <w:pStyle w:val="paragraph"/>
        <w:spacing w:before="0" w:beforeAutospacing="0" w:after="0" w:afterAutospacing="0"/>
        <w:textAlignment w:val="baseline"/>
        <w:rPr>
          <w:rStyle w:val="eop"/>
          <w:rFonts w:ascii="Arial" w:eastAsiaTheme="majorEastAsia" w:hAnsi="Arial" w:cs="Arial"/>
        </w:rPr>
      </w:pPr>
      <w:r w:rsidRPr="0099402C">
        <w:rPr>
          <w:rStyle w:val="eop"/>
          <w:rFonts w:ascii="Arial" w:eastAsiaTheme="majorEastAsia" w:hAnsi="Arial" w:cs="Arial"/>
        </w:rPr>
        <w:t xml:space="preserve">Strategies towards the </w:t>
      </w:r>
      <w:r w:rsidR="005A2735" w:rsidRPr="0099402C">
        <w:rPr>
          <w:rStyle w:val="eop"/>
          <w:rFonts w:ascii="Arial" w:eastAsiaTheme="majorEastAsia" w:hAnsi="Arial" w:cs="Arial"/>
        </w:rPr>
        <w:t>embedding of sustainability in teaching, learning and assessment at the University of Birmingham should:</w:t>
      </w:r>
    </w:p>
    <w:p w14:paraId="15D5B8C2" w14:textId="77777777" w:rsidR="00CB1454" w:rsidRPr="0099402C" w:rsidRDefault="00CB1454" w:rsidP="00A2745B">
      <w:pPr>
        <w:pStyle w:val="paragraph"/>
        <w:numPr>
          <w:ilvl w:val="0"/>
          <w:numId w:val="1"/>
        </w:numPr>
        <w:tabs>
          <w:tab w:val="clear" w:pos="720"/>
          <w:tab w:val="num" w:pos="426"/>
        </w:tabs>
        <w:spacing w:before="0" w:beforeAutospacing="0" w:after="0" w:afterAutospacing="0"/>
        <w:ind w:left="426" w:hanging="230"/>
        <w:textAlignment w:val="baseline"/>
        <w:rPr>
          <w:rFonts w:ascii="Arial" w:hAnsi="Arial" w:cs="Arial"/>
        </w:rPr>
      </w:pPr>
      <w:r w:rsidRPr="0099402C">
        <w:rPr>
          <w:rStyle w:val="normaltextrun"/>
          <w:rFonts w:ascii="Arial" w:eastAsiaTheme="majorEastAsia" w:hAnsi="Arial" w:cs="Arial"/>
        </w:rPr>
        <w:t>Aid all students in understanding the significance of sustainability, specifically in relation to their discipline, enabling them to become climate conscious citizens of the future. </w:t>
      </w:r>
      <w:r w:rsidRPr="0099402C">
        <w:rPr>
          <w:rStyle w:val="eop"/>
          <w:rFonts w:ascii="Arial" w:eastAsiaTheme="majorEastAsia" w:hAnsi="Arial" w:cs="Arial"/>
        </w:rPr>
        <w:t> </w:t>
      </w:r>
    </w:p>
    <w:p w14:paraId="431DA2AC" w14:textId="3911D01E" w:rsidR="00CB1454" w:rsidRPr="0099402C" w:rsidRDefault="00CB1454" w:rsidP="00A2745B">
      <w:pPr>
        <w:pStyle w:val="paragraph"/>
        <w:numPr>
          <w:ilvl w:val="0"/>
          <w:numId w:val="2"/>
        </w:numPr>
        <w:tabs>
          <w:tab w:val="clear" w:pos="720"/>
          <w:tab w:val="num" w:pos="426"/>
        </w:tabs>
        <w:spacing w:before="0" w:beforeAutospacing="0" w:after="0" w:afterAutospacing="0"/>
        <w:ind w:left="426" w:hanging="230"/>
        <w:textAlignment w:val="baseline"/>
        <w:rPr>
          <w:rFonts w:ascii="Arial" w:hAnsi="Arial" w:cs="Arial"/>
        </w:rPr>
      </w:pPr>
      <w:r w:rsidRPr="0099402C">
        <w:rPr>
          <w:rStyle w:val="normaltextrun"/>
          <w:rFonts w:ascii="Arial" w:eastAsiaTheme="majorEastAsia" w:hAnsi="Arial" w:cs="Arial"/>
        </w:rPr>
        <w:t xml:space="preserve">Provide students with </w:t>
      </w:r>
      <w:r w:rsidR="00E07F30" w:rsidRPr="0099402C">
        <w:rPr>
          <w:rStyle w:val="normaltextrun"/>
          <w:rFonts w:ascii="Arial" w:eastAsiaTheme="majorEastAsia" w:hAnsi="Arial" w:cs="Arial"/>
        </w:rPr>
        <w:t xml:space="preserve">further </w:t>
      </w:r>
      <w:r w:rsidRPr="0099402C">
        <w:rPr>
          <w:rStyle w:val="normaltextrun"/>
          <w:rFonts w:ascii="Arial" w:eastAsiaTheme="majorEastAsia" w:hAnsi="Arial" w:cs="Arial"/>
        </w:rPr>
        <w:t>opportunities to develop the skills necessary to tackle the multifaceted and interconnected challenges of the environmental, social and economic pillars of sustainability. </w:t>
      </w:r>
      <w:r w:rsidRPr="0099402C">
        <w:rPr>
          <w:rStyle w:val="eop"/>
          <w:rFonts w:ascii="Arial" w:eastAsiaTheme="majorEastAsia" w:hAnsi="Arial" w:cs="Arial"/>
        </w:rPr>
        <w:t> </w:t>
      </w:r>
    </w:p>
    <w:p w14:paraId="62F6832A" w14:textId="77777777" w:rsidR="00CB1454" w:rsidRPr="0099402C" w:rsidRDefault="00CB1454" w:rsidP="00A2745B">
      <w:pPr>
        <w:pStyle w:val="paragraph"/>
        <w:numPr>
          <w:ilvl w:val="0"/>
          <w:numId w:val="3"/>
        </w:numPr>
        <w:tabs>
          <w:tab w:val="num" w:pos="426"/>
        </w:tabs>
        <w:spacing w:before="0" w:beforeAutospacing="0" w:after="0" w:afterAutospacing="0"/>
        <w:ind w:left="426" w:hanging="230"/>
        <w:textAlignment w:val="baseline"/>
        <w:rPr>
          <w:rFonts w:ascii="Arial" w:hAnsi="Arial" w:cs="Arial"/>
        </w:rPr>
      </w:pPr>
      <w:r w:rsidRPr="0099402C">
        <w:rPr>
          <w:rStyle w:val="normaltextrun"/>
          <w:rFonts w:ascii="Arial" w:eastAsiaTheme="majorEastAsia" w:hAnsi="Arial" w:cs="Arial"/>
        </w:rPr>
        <w:t>Empower students to engage in action-oriented and participatory learning, reflect on their responsibilities and act as a voice for sustainability within their wider community. </w:t>
      </w:r>
      <w:r w:rsidRPr="0099402C">
        <w:rPr>
          <w:rStyle w:val="eop"/>
          <w:rFonts w:ascii="Arial" w:eastAsiaTheme="majorEastAsia" w:hAnsi="Arial" w:cs="Arial"/>
        </w:rPr>
        <w:t> </w:t>
      </w:r>
    </w:p>
    <w:p w14:paraId="18E751E3" w14:textId="77777777" w:rsidR="0099402C" w:rsidRDefault="0099402C" w:rsidP="0099402C">
      <w:pPr>
        <w:rPr>
          <w:b/>
          <w:bCs/>
        </w:rPr>
      </w:pPr>
    </w:p>
    <w:p w14:paraId="11E84A41" w14:textId="77777777" w:rsidR="0099402C" w:rsidRDefault="0099402C" w:rsidP="0099402C">
      <w:pPr>
        <w:tabs>
          <w:tab w:val="num" w:pos="426"/>
        </w:tabs>
        <w:sectPr w:rsidR="0099402C" w:rsidSect="0099402C">
          <w:pgSz w:w="16838" w:h="11906" w:orient="landscape"/>
          <w:pgMar w:top="720" w:right="720" w:bottom="720" w:left="720" w:header="708" w:footer="708" w:gutter="0"/>
          <w:cols w:space="708"/>
          <w:docGrid w:linePitch="360"/>
        </w:sectPr>
      </w:pPr>
    </w:p>
    <w:tbl>
      <w:tblPr>
        <w:tblStyle w:val="TableGrid"/>
        <w:tblW w:w="14165" w:type="dxa"/>
        <w:tblLayout w:type="fixed"/>
        <w:tblLook w:val="04A0" w:firstRow="1" w:lastRow="0" w:firstColumn="1" w:lastColumn="0" w:noHBand="0" w:noVBand="1"/>
      </w:tblPr>
      <w:tblGrid>
        <w:gridCol w:w="2550"/>
        <w:gridCol w:w="7930"/>
        <w:gridCol w:w="3685"/>
      </w:tblGrid>
      <w:tr w:rsidR="007E2E00" w14:paraId="49469674" w14:textId="77777777" w:rsidTr="007E2E00">
        <w:trPr>
          <w:trHeight w:val="573"/>
        </w:trPr>
        <w:tc>
          <w:tcPr>
            <w:tcW w:w="2550" w:type="dxa"/>
            <w:tcBorders>
              <w:top w:val="single" w:sz="8" w:space="0" w:color="auto"/>
              <w:left w:val="single" w:sz="8" w:space="0" w:color="auto"/>
              <w:bottom w:val="single" w:sz="8" w:space="0" w:color="auto"/>
              <w:right w:val="single" w:sz="8" w:space="0" w:color="auto"/>
            </w:tcBorders>
            <w:shd w:val="clear" w:color="auto" w:fill="3A3A3A" w:themeFill="background2" w:themeFillShade="40"/>
            <w:tcMar>
              <w:left w:w="108" w:type="dxa"/>
              <w:right w:w="108" w:type="dxa"/>
            </w:tcMar>
            <w:vAlign w:val="center"/>
          </w:tcPr>
          <w:p w14:paraId="1F1A395B" w14:textId="77777777" w:rsidR="007E2E00" w:rsidRPr="0099402C" w:rsidRDefault="007E2E00" w:rsidP="009607B6">
            <w:pPr>
              <w:jc w:val="center"/>
              <w:rPr>
                <w:rFonts w:ascii="Arial" w:hAnsi="Arial" w:cs="Arial"/>
                <w:color w:val="FFFFFF" w:themeColor="background1"/>
                <w:sz w:val="24"/>
                <w:szCs w:val="24"/>
              </w:rPr>
            </w:pPr>
            <w:r w:rsidRPr="0099402C">
              <w:rPr>
                <w:rFonts w:ascii="Arial" w:eastAsia="Calibri" w:hAnsi="Arial" w:cs="Arial"/>
                <w:b/>
                <w:bCs/>
                <w:color w:val="FFFFFF" w:themeColor="background1"/>
                <w:sz w:val="24"/>
                <w:szCs w:val="24"/>
              </w:rPr>
              <w:lastRenderedPageBreak/>
              <w:t>Principles</w:t>
            </w:r>
          </w:p>
        </w:tc>
        <w:tc>
          <w:tcPr>
            <w:tcW w:w="7930" w:type="dxa"/>
            <w:tcBorders>
              <w:top w:val="single" w:sz="8" w:space="0" w:color="auto"/>
              <w:left w:val="single" w:sz="8" w:space="0" w:color="auto"/>
              <w:bottom w:val="single" w:sz="8" w:space="0" w:color="auto"/>
              <w:right w:val="single" w:sz="8" w:space="0" w:color="auto"/>
            </w:tcBorders>
            <w:shd w:val="clear" w:color="auto" w:fill="3A3A3A" w:themeFill="background2" w:themeFillShade="40"/>
            <w:tcMar>
              <w:left w:w="108" w:type="dxa"/>
              <w:right w:w="108" w:type="dxa"/>
            </w:tcMar>
            <w:vAlign w:val="center"/>
          </w:tcPr>
          <w:p w14:paraId="4C17284E" w14:textId="77777777" w:rsidR="007E2E00" w:rsidRPr="0099402C" w:rsidRDefault="007E2E00" w:rsidP="009607B6">
            <w:pPr>
              <w:jc w:val="center"/>
              <w:rPr>
                <w:rFonts w:ascii="Arial" w:hAnsi="Arial" w:cs="Arial"/>
                <w:color w:val="FFFFFF" w:themeColor="background1"/>
                <w:sz w:val="24"/>
                <w:szCs w:val="24"/>
              </w:rPr>
            </w:pPr>
            <w:r w:rsidRPr="0099402C">
              <w:rPr>
                <w:rFonts w:ascii="Arial" w:eastAsia="Calibri" w:hAnsi="Arial" w:cs="Arial"/>
                <w:b/>
                <w:bCs/>
                <w:color w:val="FFFFFF" w:themeColor="background1"/>
                <w:sz w:val="24"/>
                <w:szCs w:val="24"/>
              </w:rPr>
              <w:t>Birmingham Standard (and Responsible Lead)</w:t>
            </w:r>
          </w:p>
        </w:tc>
        <w:tc>
          <w:tcPr>
            <w:tcW w:w="3685" w:type="dxa"/>
            <w:tcBorders>
              <w:top w:val="single" w:sz="8" w:space="0" w:color="auto"/>
              <w:left w:val="single" w:sz="8" w:space="0" w:color="auto"/>
              <w:bottom w:val="single" w:sz="8" w:space="0" w:color="auto"/>
              <w:right w:val="single" w:sz="8" w:space="0" w:color="auto"/>
            </w:tcBorders>
            <w:shd w:val="clear" w:color="auto" w:fill="3A3A3A" w:themeFill="background2" w:themeFillShade="40"/>
            <w:tcMar>
              <w:left w:w="108" w:type="dxa"/>
              <w:right w:w="108" w:type="dxa"/>
            </w:tcMar>
            <w:vAlign w:val="center"/>
          </w:tcPr>
          <w:p w14:paraId="2F7226C8" w14:textId="77777777" w:rsidR="007E2E00" w:rsidRPr="0099402C" w:rsidRDefault="007E2E00" w:rsidP="009607B6">
            <w:pPr>
              <w:jc w:val="center"/>
              <w:rPr>
                <w:rFonts w:ascii="Arial" w:hAnsi="Arial" w:cs="Arial"/>
                <w:color w:val="FFFFFF" w:themeColor="background1"/>
                <w:sz w:val="24"/>
                <w:szCs w:val="24"/>
              </w:rPr>
            </w:pPr>
            <w:r w:rsidRPr="0099402C">
              <w:rPr>
                <w:rFonts w:ascii="Arial" w:eastAsia="Calibri" w:hAnsi="Arial" w:cs="Arial"/>
                <w:b/>
                <w:bCs/>
                <w:color w:val="FFFFFF" w:themeColor="background1"/>
                <w:sz w:val="24"/>
                <w:szCs w:val="24"/>
              </w:rPr>
              <w:t>Examples of Enhanced Practice</w:t>
            </w:r>
          </w:p>
        </w:tc>
      </w:tr>
      <w:tr w:rsidR="007E2E00" w:rsidRPr="000E1269" w14:paraId="33E6B691" w14:textId="77777777" w:rsidTr="007E2E00">
        <w:trPr>
          <w:trHeight w:val="300"/>
        </w:trPr>
        <w:tc>
          <w:tcPr>
            <w:tcW w:w="2550" w:type="dxa"/>
            <w:vMerge w:val="restart"/>
            <w:tcBorders>
              <w:top w:val="single" w:sz="8" w:space="0" w:color="auto"/>
              <w:left w:val="single" w:sz="8" w:space="0" w:color="auto"/>
              <w:right w:val="single" w:sz="8" w:space="0" w:color="auto"/>
            </w:tcBorders>
            <w:shd w:val="clear" w:color="auto" w:fill="F2F2F2" w:themeFill="background1" w:themeFillShade="F2"/>
            <w:tcMar>
              <w:left w:w="108" w:type="dxa"/>
              <w:right w:w="108" w:type="dxa"/>
            </w:tcMar>
            <w:vAlign w:val="center"/>
          </w:tcPr>
          <w:p w14:paraId="3406CB24" w14:textId="77777777" w:rsidR="007E2E00" w:rsidRPr="00261940" w:rsidRDefault="007E2E00" w:rsidP="007E2E00">
            <w:pPr>
              <w:pStyle w:val="paragraph"/>
              <w:numPr>
                <w:ilvl w:val="0"/>
                <w:numId w:val="5"/>
              </w:numPr>
              <w:spacing w:before="0" w:beforeAutospacing="0" w:after="0" w:afterAutospacing="0"/>
              <w:textAlignment w:val="baseline"/>
              <w:rPr>
                <w:rFonts w:ascii="Arial" w:hAnsi="Arial" w:cs="Arial"/>
              </w:rPr>
            </w:pPr>
            <w:r w:rsidRPr="00261940">
              <w:rPr>
                <w:rStyle w:val="normaltextrun"/>
                <w:rFonts w:ascii="Arial" w:hAnsi="Arial" w:cs="Arial"/>
              </w:rPr>
              <w:t>Aid all students in understanding the significance of sustainability, specifically in relation to their discipline, enabling them to become climate conscious citizens of the future. </w:t>
            </w:r>
            <w:r w:rsidRPr="00261940">
              <w:rPr>
                <w:rStyle w:val="eop"/>
                <w:rFonts w:ascii="Arial" w:hAnsi="Arial" w:cs="Arial"/>
              </w:rPr>
              <w:t> </w:t>
            </w:r>
          </w:p>
          <w:p w14:paraId="03ABE63E" w14:textId="77777777" w:rsidR="007E2E00" w:rsidRPr="00261940" w:rsidRDefault="007E2E00" w:rsidP="009607B6">
            <w:pPr>
              <w:rPr>
                <w:rFonts w:ascii="Arial" w:eastAsia="Calibri" w:hAnsi="Arial" w:cs="Arial"/>
              </w:rPr>
            </w:pPr>
          </w:p>
          <w:p w14:paraId="74AC9AE8" w14:textId="77777777" w:rsidR="007E2E00" w:rsidRPr="00261940" w:rsidRDefault="007E2E00" w:rsidP="009607B6">
            <w:pPr>
              <w:rPr>
                <w:rFonts w:ascii="Arial" w:eastAsia="Calibri" w:hAnsi="Arial" w:cs="Arial"/>
              </w:rPr>
            </w:pPr>
          </w:p>
        </w:tc>
        <w:tc>
          <w:tcPr>
            <w:tcW w:w="79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1CBFB3F0" w14:textId="77777777" w:rsidR="007E2E00" w:rsidRPr="0099402C" w:rsidRDefault="007E2E00" w:rsidP="0099402C">
            <w:pPr>
              <w:pStyle w:val="Heading2"/>
              <w:keepNext w:val="0"/>
              <w:keepLines w:val="0"/>
              <w:spacing w:before="240" w:after="240"/>
              <w:rPr>
                <w:rFonts w:ascii="Arial" w:eastAsia="Calibri" w:hAnsi="Arial" w:cs="Arial"/>
                <w:b/>
                <w:bCs/>
                <w:color w:val="000000" w:themeColor="text1"/>
                <w:sz w:val="24"/>
                <w:szCs w:val="24"/>
              </w:rPr>
            </w:pPr>
            <w:r w:rsidRPr="0099402C">
              <w:rPr>
                <w:rFonts w:ascii="Arial" w:eastAsia="Calibri" w:hAnsi="Arial" w:cs="Arial"/>
                <w:b/>
                <w:bCs/>
                <w:color w:val="000000" w:themeColor="text1"/>
                <w:sz w:val="24"/>
                <w:szCs w:val="24"/>
              </w:rPr>
              <w:t>Head of School/Head of Education</w:t>
            </w:r>
          </w:p>
        </w:tc>
        <w:tc>
          <w:tcPr>
            <w:tcW w:w="3685"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7E65523E" w14:textId="4664C2D8" w:rsidR="00DC2AEA" w:rsidRPr="00DC2AEA" w:rsidRDefault="00DF1C24" w:rsidP="007E2E00">
            <w:pPr>
              <w:pStyle w:val="Heading2"/>
              <w:keepNext w:val="0"/>
              <w:keepLines w:val="0"/>
              <w:numPr>
                <w:ilvl w:val="0"/>
                <w:numId w:val="6"/>
              </w:numPr>
              <w:spacing w:before="240" w:after="240"/>
              <w:rPr>
                <w:rFonts w:ascii="Arial" w:hAnsi="Arial" w:cs="Arial"/>
                <w:b/>
                <w:bCs/>
                <w:color w:val="auto"/>
                <w:sz w:val="22"/>
                <w:szCs w:val="22"/>
              </w:rPr>
            </w:pPr>
            <w:r>
              <w:rPr>
                <w:rFonts w:ascii="Arial" w:hAnsi="Arial" w:cs="Arial"/>
                <w:color w:val="auto"/>
                <w:sz w:val="22"/>
                <w:szCs w:val="22"/>
              </w:rPr>
              <w:t xml:space="preserve">The QAA is in the process of updating all </w:t>
            </w:r>
            <w:hyperlink r:id="rId10" w:history="1">
              <w:r w:rsidRPr="00154A6C">
                <w:rPr>
                  <w:rStyle w:val="Hyperlink"/>
                  <w:rFonts w:ascii="Arial" w:hAnsi="Arial" w:cs="Arial"/>
                  <w:color w:val="0B769F" w:themeColor="accent4" w:themeShade="BF"/>
                  <w:sz w:val="22"/>
                  <w:szCs w:val="22"/>
                </w:rPr>
                <w:t>subject benchma</w:t>
              </w:r>
              <w:r w:rsidR="0099402C" w:rsidRPr="00154A6C">
                <w:rPr>
                  <w:rStyle w:val="Hyperlink"/>
                  <w:rFonts w:ascii="Arial" w:hAnsi="Arial" w:cs="Arial"/>
                  <w:color w:val="0B769F" w:themeColor="accent4" w:themeShade="BF"/>
                  <w:sz w:val="22"/>
                  <w:szCs w:val="22"/>
                </w:rPr>
                <w:t>r</w:t>
              </w:r>
              <w:r w:rsidRPr="00154A6C">
                <w:rPr>
                  <w:rStyle w:val="Hyperlink"/>
                  <w:rFonts w:ascii="Arial" w:hAnsi="Arial" w:cs="Arial"/>
                  <w:color w:val="0B769F" w:themeColor="accent4" w:themeShade="BF"/>
                  <w:sz w:val="22"/>
                  <w:szCs w:val="22"/>
                </w:rPr>
                <w:t>king statements</w:t>
              </w:r>
            </w:hyperlink>
            <w:r>
              <w:rPr>
                <w:rFonts w:ascii="Arial" w:hAnsi="Arial" w:cs="Arial"/>
                <w:color w:val="auto"/>
                <w:sz w:val="22"/>
                <w:szCs w:val="22"/>
              </w:rPr>
              <w:t xml:space="preserve"> to include Education for Sustainable Development</w:t>
            </w:r>
            <w:r w:rsidR="006C01B2">
              <w:rPr>
                <w:rFonts w:ascii="Arial" w:hAnsi="Arial" w:cs="Arial"/>
                <w:color w:val="auto"/>
                <w:sz w:val="22"/>
                <w:szCs w:val="22"/>
              </w:rPr>
              <w:t>, which should be reviewed</w:t>
            </w:r>
            <w:r>
              <w:rPr>
                <w:rFonts w:ascii="Arial" w:hAnsi="Arial" w:cs="Arial"/>
                <w:color w:val="auto"/>
                <w:sz w:val="22"/>
                <w:szCs w:val="22"/>
              </w:rPr>
              <w:t xml:space="preserve">. </w:t>
            </w:r>
            <w:r w:rsidR="00DC2AEA">
              <w:rPr>
                <w:rFonts w:ascii="Arial" w:hAnsi="Arial" w:cs="Arial"/>
                <w:color w:val="auto"/>
                <w:sz w:val="22"/>
                <w:szCs w:val="22"/>
              </w:rPr>
              <w:t xml:space="preserve">In the School of Pharmacy </w:t>
            </w:r>
            <w:r w:rsidR="009324EB">
              <w:rPr>
                <w:rFonts w:ascii="Arial" w:hAnsi="Arial" w:cs="Arial"/>
                <w:color w:val="auto"/>
                <w:sz w:val="22"/>
                <w:szCs w:val="22"/>
              </w:rPr>
              <w:t xml:space="preserve">staff are </w:t>
            </w:r>
            <w:r w:rsidR="001C7FEF">
              <w:rPr>
                <w:rFonts w:ascii="Arial" w:hAnsi="Arial" w:cs="Arial"/>
                <w:color w:val="auto"/>
                <w:sz w:val="22"/>
                <w:szCs w:val="22"/>
              </w:rPr>
              <w:t xml:space="preserve">using the </w:t>
            </w:r>
            <w:r w:rsidR="003C5274">
              <w:rPr>
                <w:rFonts w:ascii="Arial" w:hAnsi="Arial" w:cs="Arial"/>
                <w:color w:val="auto"/>
                <w:sz w:val="22"/>
                <w:szCs w:val="22"/>
              </w:rPr>
              <w:t xml:space="preserve">updated General </w:t>
            </w:r>
            <w:r w:rsidR="0099402C">
              <w:rPr>
                <w:rFonts w:ascii="Arial" w:hAnsi="Arial" w:cs="Arial"/>
                <w:color w:val="auto"/>
                <w:sz w:val="22"/>
                <w:szCs w:val="22"/>
              </w:rPr>
              <w:t>Pharmaceutical</w:t>
            </w:r>
            <w:r w:rsidR="003C5274">
              <w:rPr>
                <w:rFonts w:ascii="Arial" w:hAnsi="Arial" w:cs="Arial"/>
                <w:color w:val="auto"/>
                <w:sz w:val="22"/>
                <w:szCs w:val="22"/>
              </w:rPr>
              <w:t xml:space="preserve"> Council </w:t>
            </w:r>
            <w:r w:rsidR="00EE3C7E">
              <w:rPr>
                <w:rFonts w:ascii="Arial" w:hAnsi="Arial" w:cs="Arial"/>
                <w:color w:val="auto"/>
                <w:sz w:val="22"/>
                <w:szCs w:val="22"/>
              </w:rPr>
              <w:t xml:space="preserve">(GPhC) </w:t>
            </w:r>
            <w:r w:rsidR="003C5274">
              <w:rPr>
                <w:rFonts w:ascii="Arial" w:hAnsi="Arial" w:cs="Arial"/>
                <w:color w:val="auto"/>
                <w:sz w:val="22"/>
                <w:szCs w:val="22"/>
              </w:rPr>
              <w:t xml:space="preserve">standards </w:t>
            </w:r>
            <w:r w:rsidR="00186805">
              <w:rPr>
                <w:rFonts w:ascii="Arial" w:hAnsi="Arial" w:cs="Arial"/>
                <w:color w:val="auto"/>
                <w:sz w:val="22"/>
                <w:szCs w:val="22"/>
              </w:rPr>
              <w:t xml:space="preserve">to </w:t>
            </w:r>
            <w:r w:rsidR="004F6048">
              <w:rPr>
                <w:rFonts w:ascii="Arial" w:hAnsi="Arial" w:cs="Arial"/>
                <w:color w:val="auto"/>
                <w:sz w:val="22"/>
                <w:szCs w:val="22"/>
              </w:rPr>
              <w:t xml:space="preserve">begin embedding sustainability into their curriculum, </w:t>
            </w:r>
            <w:r w:rsidR="00EE3C7E">
              <w:rPr>
                <w:rFonts w:ascii="Arial" w:hAnsi="Arial" w:cs="Arial"/>
                <w:color w:val="auto"/>
                <w:sz w:val="22"/>
                <w:szCs w:val="22"/>
              </w:rPr>
              <w:t xml:space="preserve">using a </w:t>
            </w:r>
            <w:hyperlink r:id="rId11" w:history="1">
              <w:r w:rsidR="00EE3C7E" w:rsidRPr="003500FB">
                <w:rPr>
                  <w:rStyle w:val="Hyperlink"/>
                  <w:rFonts w:ascii="Arial" w:hAnsi="Arial" w:cs="Arial"/>
                  <w:color w:val="0B769F" w:themeColor="accent4" w:themeShade="BF"/>
                  <w:sz w:val="22"/>
                  <w:szCs w:val="22"/>
                </w:rPr>
                <w:t>framework</w:t>
              </w:r>
            </w:hyperlink>
            <w:r w:rsidR="00EE3C7E">
              <w:rPr>
                <w:rFonts w:ascii="Arial" w:hAnsi="Arial" w:cs="Arial"/>
                <w:color w:val="auto"/>
                <w:sz w:val="22"/>
                <w:szCs w:val="22"/>
              </w:rPr>
              <w:t xml:space="preserve"> which maps sustainability onto the GPhC learning outcomes.</w:t>
            </w:r>
            <w:r w:rsidR="00C468BB">
              <w:rPr>
                <w:rFonts w:ascii="Arial" w:hAnsi="Arial" w:cs="Arial"/>
                <w:color w:val="auto"/>
                <w:sz w:val="22"/>
                <w:szCs w:val="22"/>
              </w:rPr>
              <w:t xml:space="preserve"> </w:t>
            </w:r>
          </w:p>
          <w:p w14:paraId="5F412FD2" w14:textId="0A92584E" w:rsidR="007E2E00" w:rsidRPr="00DC2AEA" w:rsidRDefault="00512A48" w:rsidP="007E2E00">
            <w:pPr>
              <w:pStyle w:val="Heading2"/>
              <w:keepNext w:val="0"/>
              <w:keepLines w:val="0"/>
              <w:numPr>
                <w:ilvl w:val="0"/>
                <w:numId w:val="6"/>
              </w:numPr>
              <w:spacing w:before="240" w:after="240"/>
              <w:rPr>
                <w:rFonts w:ascii="Arial" w:hAnsi="Arial" w:cs="Arial"/>
                <w:b/>
                <w:bCs/>
                <w:color w:val="auto"/>
                <w:sz w:val="22"/>
                <w:szCs w:val="22"/>
              </w:rPr>
            </w:pPr>
            <w:r>
              <w:rPr>
                <w:rFonts w:ascii="Arial" w:hAnsi="Arial" w:cs="Arial"/>
                <w:color w:val="auto"/>
                <w:sz w:val="22"/>
                <w:szCs w:val="22"/>
              </w:rPr>
              <w:t>A</w:t>
            </w:r>
            <w:r w:rsidR="00C468BB">
              <w:rPr>
                <w:rFonts w:ascii="Arial" w:hAnsi="Arial" w:cs="Arial"/>
                <w:color w:val="auto"/>
                <w:sz w:val="22"/>
                <w:szCs w:val="22"/>
              </w:rPr>
              <w:t xml:space="preserve"> school-wide</w:t>
            </w:r>
            <w:r w:rsidR="007E2E00" w:rsidRPr="00DC2AEA">
              <w:rPr>
                <w:rFonts w:ascii="Arial" w:hAnsi="Arial" w:cs="Arial"/>
                <w:color w:val="auto"/>
                <w:sz w:val="22"/>
                <w:szCs w:val="22"/>
              </w:rPr>
              <w:t xml:space="preserve"> introduction</w:t>
            </w:r>
            <w:r w:rsidR="00842D6B">
              <w:rPr>
                <w:rFonts w:ascii="Arial" w:hAnsi="Arial" w:cs="Arial"/>
                <w:color w:val="auto"/>
                <w:sz w:val="22"/>
                <w:szCs w:val="22"/>
              </w:rPr>
              <w:t xml:space="preserve"> </w:t>
            </w:r>
            <w:r w:rsidR="007E2E00" w:rsidRPr="00DC2AEA">
              <w:rPr>
                <w:rFonts w:ascii="Arial" w:hAnsi="Arial" w:cs="Arial"/>
                <w:color w:val="auto"/>
                <w:sz w:val="22"/>
                <w:szCs w:val="22"/>
              </w:rPr>
              <w:t xml:space="preserve">might take place via a tutorial programme, as part of a core module, or as an initial induction session at the start of an academic year. It can include specifically directing students to relevant </w:t>
            </w:r>
            <w:proofErr w:type="gramStart"/>
            <w:r w:rsidR="007E2E00" w:rsidRPr="00DC2AEA">
              <w:rPr>
                <w:rFonts w:ascii="Arial" w:hAnsi="Arial" w:cs="Arial"/>
                <w:color w:val="auto"/>
                <w:sz w:val="22"/>
                <w:szCs w:val="22"/>
              </w:rPr>
              <w:t>centrally-managed</w:t>
            </w:r>
            <w:proofErr w:type="gramEnd"/>
            <w:r w:rsidR="007E2E00" w:rsidRPr="00DC2AEA">
              <w:rPr>
                <w:rFonts w:ascii="Arial" w:hAnsi="Arial" w:cs="Arial"/>
                <w:color w:val="auto"/>
                <w:sz w:val="22"/>
                <w:szCs w:val="22"/>
              </w:rPr>
              <w:t xml:space="preserve"> training courses</w:t>
            </w:r>
            <w:r w:rsidR="00DC07AE">
              <w:rPr>
                <w:rFonts w:ascii="Arial" w:hAnsi="Arial" w:cs="Arial"/>
                <w:color w:val="auto"/>
                <w:sz w:val="22"/>
                <w:szCs w:val="22"/>
              </w:rPr>
              <w:t xml:space="preserve"> (e.g. </w:t>
            </w:r>
            <w:r w:rsidR="00192223">
              <w:rPr>
                <w:rFonts w:ascii="Arial" w:hAnsi="Arial" w:cs="Arial"/>
                <w:color w:val="auto"/>
                <w:sz w:val="22"/>
                <w:szCs w:val="22"/>
              </w:rPr>
              <w:t xml:space="preserve">our </w:t>
            </w:r>
            <w:hyperlink r:id="rId12" w:history="1">
              <w:r w:rsidR="00192223" w:rsidRPr="00154A6C">
                <w:rPr>
                  <w:rStyle w:val="Hyperlink"/>
                  <w:rFonts w:ascii="Arial" w:hAnsi="Arial" w:cs="Arial"/>
                  <w:color w:val="0B769F" w:themeColor="accent4" w:themeShade="BF"/>
                  <w:sz w:val="22"/>
                  <w:szCs w:val="22"/>
                </w:rPr>
                <w:t>Biodiversity literacy</w:t>
              </w:r>
            </w:hyperlink>
            <w:r w:rsidR="00192223">
              <w:rPr>
                <w:rFonts w:ascii="Arial" w:hAnsi="Arial" w:cs="Arial"/>
                <w:color w:val="auto"/>
                <w:sz w:val="22"/>
                <w:szCs w:val="22"/>
              </w:rPr>
              <w:t xml:space="preserve"> course)</w:t>
            </w:r>
            <w:r w:rsidR="007E2E00" w:rsidRPr="00DC2AEA">
              <w:rPr>
                <w:rFonts w:ascii="Arial" w:hAnsi="Arial" w:cs="Arial"/>
                <w:color w:val="auto"/>
                <w:sz w:val="22"/>
                <w:szCs w:val="22"/>
              </w:rPr>
              <w:t xml:space="preserve"> and carrying out complementary activities. </w:t>
            </w:r>
          </w:p>
          <w:p w14:paraId="0AB3EF0F" w14:textId="6F7ED11D" w:rsidR="007E2E00" w:rsidRPr="00143CE0" w:rsidRDefault="007E2E00" w:rsidP="00143CE0">
            <w:pPr>
              <w:pStyle w:val="ListParagraph"/>
              <w:numPr>
                <w:ilvl w:val="0"/>
                <w:numId w:val="6"/>
              </w:numPr>
              <w:rPr>
                <w:rFonts w:ascii="Arial" w:hAnsi="Arial" w:cs="Arial"/>
              </w:rPr>
            </w:pPr>
            <w:r w:rsidRPr="00261940">
              <w:rPr>
                <w:rFonts w:ascii="Arial" w:hAnsi="Arial" w:cs="Arial"/>
              </w:rPr>
              <w:t xml:space="preserve">Use the common language of the SDGs to highlight </w:t>
            </w:r>
            <w:r w:rsidRPr="006F2CD3">
              <w:rPr>
                <w:rFonts w:ascii="Arial" w:hAnsi="Arial" w:cs="Arial"/>
              </w:rPr>
              <w:t xml:space="preserve">how/where students </w:t>
            </w:r>
            <w:r w:rsidR="00CF0B1C">
              <w:rPr>
                <w:rFonts w:ascii="Arial" w:hAnsi="Arial" w:cs="Arial"/>
              </w:rPr>
              <w:t>are</w:t>
            </w:r>
            <w:r w:rsidRPr="00263C3D">
              <w:rPr>
                <w:rFonts w:ascii="Arial" w:hAnsi="Arial" w:cs="Arial"/>
              </w:rPr>
              <w:t xml:space="preserve"> </w:t>
            </w:r>
            <w:r w:rsidRPr="00263C3D">
              <w:rPr>
                <w:rFonts w:ascii="Arial" w:hAnsi="Arial" w:cs="Arial"/>
              </w:rPr>
              <w:lastRenderedPageBreak/>
              <w:t>engag</w:t>
            </w:r>
            <w:r w:rsidR="00CF0B1C">
              <w:rPr>
                <w:rFonts w:ascii="Arial" w:hAnsi="Arial" w:cs="Arial"/>
              </w:rPr>
              <w:t>ing</w:t>
            </w:r>
            <w:r w:rsidRPr="00263C3D">
              <w:rPr>
                <w:rFonts w:ascii="Arial" w:hAnsi="Arial" w:cs="Arial"/>
              </w:rPr>
              <w:t xml:space="preserve"> with</w:t>
            </w:r>
            <w:r w:rsidR="00CF0B1C">
              <w:rPr>
                <w:rFonts w:ascii="Arial" w:hAnsi="Arial" w:cs="Arial"/>
              </w:rPr>
              <w:t xml:space="preserve"> </w:t>
            </w:r>
            <w:r w:rsidRPr="00263C3D">
              <w:rPr>
                <w:rFonts w:ascii="Arial" w:hAnsi="Arial" w:cs="Arial"/>
              </w:rPr>
              <w:t>different aspects of sustainability e.g.</w:t>
            </w:r>
            <w:r w:rsidR="0013778C">
              <w:rPr>
                <w:rFonts w:ascii="Arial" w:hAnsi="Arial" w:cs="Arial"/>
              </w:rPr>
              <w:t xml:space="preserve"> </w:t>
            </w:r>
            <w:r w:rsidRPr="00263C3D">
              <w:rPr>
                <w:rFonts w:ascii="Arial" w:hAnsi="Arial" w:cs="Arial"/>
              </w:rPr>
              <w:t xml:space="preserve">providing information </w:t>
            </w:r>
            <w:r w:rsidR="00520551">
              <w:rPr>
                <w:rFonts w:ascii="Arial" w:hAnsi="Arial" w:cs="Arial"/>
              </w:rPr>
              <w:t>within</w:t>
            </w:r>
            <w:r w:rsidRPr="00263C3D">
              <w:rPr>
                <w:rFonts w:ascii="Arial" w:hAnsi="Arial" w:cs="Arial"/>
              </w:rPr>
              <w:t xml:space="preserve"> modules.</w:t>
            </w:r>
            <w:r w:rsidR="00413EDB">
              <w:rPr>
                <w:rFonts w:ascii="Arial" w:hAnsi="Arial" w:cs="Arial"/>
              </w:rPr>
              <w:t xml:space="preserve"> For example </w:t>
            </w:r>
            <w:hyperlink r:id="rId13" w:history="1">
              <w:r w:rsidR="00413EDB" w:rsidRPr="00154A6C">
                <w:rPr>
                  <w:rStyle w:val="Hyperlink"/>
                  <w:rFonts w:ascii="Arial" w:hAnsi="Arial" w:cs="Arial"/>
                  <w:color w:val="0B769F" w:themeColor="accent4" w:themeShade="BF"/>
                </w:rPr>
                <w:t>28822 LI Animal Biology: Principles and Mechanisms</w:t>
              </w:r>
            </w:hyperlink>
            <w:r w:rsidR="00CD022B">
              <w:rPr>
                <w:rFonts w:ascii="Arial" w:hAnsi="Arial" w:cs="Arial"/>
              </w:rPr>
              <w:t xml:space="preserve"> and </w:t>
            </w:r>
            <w:hyperlink r:id="rId14" w:history="1">
              <w:r w:rsidR="00DC1547" w:rsidRPr="00154A6C">
                <w:rPr>
                  <w:rStyle w:val="Hyperlink"/>
                  <w:rFonts w:ascii="Arial" w:hAnsi="Arial" w:cs="Arial"/>
                  <w:color w:val="0B769F" w:themeColor="accent4" w:themeShade="BF"/>
                </w:rPr>
                <w:t>37115 LI Microbiology: Medicine, Environment and Industry</w:t>
              </w:r>
            </w:hyperlink>
            <w:r w:rsidR="00413EDB">
              <w:rPr>
                <w:rFonts w:ascii="Arial" w:hAnsi="Arial" w:cs="Arial"/>
              </w:rPr>
              <w:t xml:space="preserve"> </w:t>
            </w:r>
            <w:r w:rsidR="00CD022B">
              <w:rPr>
                <w:rFonts w:ascii="Arial" w:hAnsi="Arial" w:cs="Arial"/>
              </w:rPr>
              <w:t>ar</w:t>
            </w:r>
            <w:r w:rsidR="00DC1547">
              <w:rPr>
                <w:rFonts w:ascii="Arial" w:hAnsi="Arial" w:cs="Arial"/>
              </w:rPr>
              <w:t>e</w:t>
            </w:r>
            <w:r w:rsidR="00413EDB">
              <w:rPr>
                <w:rFonts w:ascii="Arial" w:hAnsi="Arial" w:cs="Arial"/>
              </w:rPr>
              <w:t xml:space="preserve">  discipline-specific module</w:t>
            </w:r>
            <w:r w:rsidR="00CD022B">
              <w:rPr>
                <w:rFonts w:ascii="Arial" w:hAnsi="Arial" w:cs="Arial"/>
              </w:rPr>
              <w:t>s</w:t>
            </w:r>
            <w:r w:rsidR="00F12B26">
              <w:rPr>
                <w:rFonts w:ascii="Arial" w:hAnsi="Arial" w:cs="Arial"/>
              </w:rPr>
              <w:t>,</w:t>
            </w:r>
            <w:r w:rsidR="00413EDB">
              <w:rPr>
                <w:rFonts w:ascii="Arial" w:hAnsi="Arial" w:cs="Arial"/>
              </w:rPr>
              <w:t xml:space="preserve"> </w:t>
            </w:r>
            <w:r w:rsidR="009102B7">
              <w:rPr>
                <w:rFonts w:ascii="Arial" w:hAnsi="Arial" w:cs="Arial"/>
              </w:rPr>
              <w:t xml:space="preserve">but </w:t>
            </w:r>
            <w:r w:rsidR="00877C95">
              <w:rPr>
                <w:rFonts w:ascii="Arial" w:hAnsi="Arial" w:cs="Arial"/>
              </w:rPr>
              <w:t>the</w:t>
            </w:r>
            <w:r w:rsidR="009102B7">
              <w:rPr>
                <w:rFonts w:ascii="Arial" w:hAnsi="Arial" w:cs="Arial"/>
              </w:rPr>
              <w:t>y flag the</w:t>
            </w:r>
            <w:r w:rsidR="00877C95">
              <w:rPr>
                <w:rFonts w:ascii="Arial" w:hAnsi="Arial" w:cs="Arial"/>
              </w:rPr>
              <w:t xml:space="preserve"> relevant SDGs</w:t>
            </w:r>
            <w:r w:rsidR="00CD022B">
              <w:rPr>
                <w:rFonts w:ascii="Arial" w:hAnsi="Arial" w:cs="Arial"/>
              </w:rPr>
              <w:t xml:space="preserve"> and use specific-case studies to highlight the wider susta</w:t>
            </w:r>
            <w:r w:rsidR="00A749E4">
              <w:rPr>
                <w:rFonts w:ascii="Arial" w:hAnsi="Arial" w:cs="Arial"/>
              </w:rPr>
              <w:t>i</w:t>
            </w:r>
            <w:r w:rsidR="00CD022B">
              <w:rPr>
                <w:rFonts w:ascii="Arial" w:hAnsi="Arial" w:cs="Arial"/>
              </w:rPr>
              <w:t>nability relevance of the</w:t>
            </w:r>
            <w:r w:rsidR="009102B7">
              <w:rPr>
                <w:rFonts w:ascii="Arial" w:hAnsi="Arial" w:cs="Arial"/>
              </w:rPr>
              <w:t>ir</w:t>
            </w:r>
            <w:r w:rsidR="00CD022B">
              <w:rPr>
                <w:rFonts w:ascii="Arial" w:hAnsi="Arial" w:cs="Arial"/>
              </w:rPr>
              <w:t xml:space="preserve"> topics. </w:t>
            </w:r>
          </w:p>
        </w:tc>
      </w:tr>
      <w:tr w:rsidR="007E2E00" w:rsidRPr="000E1269" w14:paraId="5B3CD740" w14:textId="77777777" w:rsidTr="007E2E00">
        <w:trPr>
          <w:trHeight w:val="300"/>
        </w:trPr>
        <w:tc>
          <w:tcPr>
            <w:tcW w:w="2550" w:type="dxa"/>
            <w:vMerge/>
            <w:tcBorders>
              <w:left w:val="single" w:sz="8" w:space="0" w:color="auto"/>
              <w:right w:val="single" w:sz="8" w:space="0" w:color="auto"/>
            </w:tcBorders>
            <w:shd w:val="clear" w:color="auto" w:fill="F2F2F2" w:themeFill="background1" w:themeFillShade="F2"/>
            <w:tcMar>
              <w:left w:w="108" w:type="dxa"/>
              <w:right w:w="108" w:type="dxa"/>
            </w:tcMar>
            <w:vAlign w:val="center"/>
          </w:tcPr>
          <w:p w14:paraId="34F6A148" w14:textId="77777777" w:rsidR="007E2E00" w:rsidRPr="00261940" w:rsidRDefault="007E2E00" w:rsidP="009607B6">
            <w:pPr>
              <w:pStyle w:val="ListParagraph"/>
              <w:ind w:left="360"/>
              <w:rPr>
                <w:rFonts w:ascii="Arial" w:eastAsia="Calibri" w:hAnsi="Arial" w:cs="Arial"/>
              </w:rPr>
            </w:pPr>
          </w:p>
        </w:tc>
        <w:tc>
          <w:tcPr>
            <w:tcW w:w="79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7496215E" w14:textId="77777777" w:rsidR="007E2E00" w:rsidRPr="00261940" w:rsidRDefault="007E2E00" w:rsidP="009607B6">
            <w:pPr>
              <w:pStyle w:val="ListParagraph"/>
              <w:spacing w:before="240" w:after="240"/>
              <w:ind w:left="360"/>
              <w:rPr>
                <w:rFonts w:ascii="Arial" w:hAnsi="Arial" w:cs="Arial"/>
              </w:rPr>
            </w:pPr>
          </w:p>
          <w:p w14:paraId="3E8B07AA" w14:textId="3A94FBDA" w:rsidR="007E2E00" w:rsidRPr="00261940" w:rsidRDefault="007E2E00" w:rsidP="007E2E00">
            <w:pPr>
              <w:pStyle w:val="ListParagraph"/>
              <w:numPr>
                <w:ilvl w:val="0"/>
                <w:numId w:val="4"/>
              </w:numPr>
              <w:spacing w:before="240" w:after="240"/>
              <w:rPr>
                <w:rFonts w:ascii="Arial" w:hAnsi="Arial" w:cs="Arial"/>
              </w:rPr>
            </w:pPr>
            <w:r w:rsidRPr="00261940">
              <w:rPr>
                <w:rFonts w:ascii="Arial" w:hAnsi="Arial" w:cs="Arial"/>
              </w:rPr>
              <w:t xml:space="preserve"> The embedding of sustainability</w:t>
            </w:r>
            <w:r w:rsidR="00AA06D6">
              <w:rPr>
                <w:rFonts w:ascii="Arial" w:hAnsi="Arial" w:cs="Arial"/>
              </w:rPr>
              <w:t xml:space="preserve">, </w:t>
            </w:r>
            <w:r w:rsidRPr="00261940">
              <w:rPr>
                <w:rFonts w:ascii="Arial" w:hAnsi="Arial" w:cs="Arial"/>
              </w:rPr>
              <w:t>the sustainability education core competencies</w:t>
            </w:r>
            <w:r w:rsidR="00AA06D6">
              <w:rPr>
                <w:rFonts w:ascii="Arial" w:hAnsi="Arial" w:cs="Arial"/>
              </w:rPr>
              <w:t xml:space="preserve"> and the SDGs</w:t>
            </w:r>
            <w:r w:rsidRPr="00261940">
              <w:rPr>
                <w:rFonts w:ascii="Arial" w:hAnsi="Arial" w:cs="Arial"/>
              </w:rPr>
              <w:t xml:space="preserve"> should be considered, and regularly reviewed, at School and programme levels to ensure consistency in the approach of academic staff, and in the messaging to students regarding its value and relevance. </w:t>
            </w:r>
          </w:p>
          <w:p w14:paraId="76B1C99D" w14:textId="77777777" w:rsidR="007E2E00" w:rsidRPr="00261940" w:rsidRDefault="007E2E00" w:rsidP="009607B6">
            <w:pPr>
              <w:pStyle w:val="ListParagraph"/>
              <w:spacing w:before="240" w:after="240"/>
              <w:ind w:left="360"/>
              <w:rPr>
                <w:rFonts w:ascii="Arial" w:hAnsi="Arial" w:cs="Arial"/>
              </w:rPr>
            </w:pPr>
          </w:p>
          <w:p w14:paraId="1D908978" w14:textId="42D8FA36" w:rsidR="007E2E00" w:rsidRPr="00261940" w:rsidRDefault="007E2E00" w:rsidP="007E2E00">
            <w:pPr>
              <w:pStyle w:val="ListParagraph"/>
              <w:numPr>
                <w:ilvl w:val="0"/>
                <w:numId w:val="4"/>
              </w:numPr>
              <w:spacing w:before="240" w:after="240"/>
              <w:rPr>
                <w:rFonts w:ascii="Arial" w:hAnsi="Arial" w:cs="Arial"/>
              </w:rPr>
            </w:pPr>
            <w:r w:rsidRPr="00261940">
              <w:rPr>
                <w:rFonts w:ascii="Arial" w:hAnsi="Arial" w:cs="Arial"/>
              </w:rPr>
              <w:t xml:space="preserve"> Ensure all students </w:t>
            </w:r>
            <w:proofErr w:type="gramStart"/>
            <w:r w:rsidRPr="00261940">
              <w:rPr>
                <w:rFonts w:ascii="Arial" w:hAnsi="Arial" w:cs="Arial"/>
              </w:rPr>
              <w:t>are able to</w:t>
            </w:r>
            <w:proofErr w:type="gramEnd"/>
            <w:r w:rsidRPr="00261940">
              <w:rPr>
                <w:rFonts w:ascii="Arial" w:hAnsi="Arial" w:cs="Arial"/>
              </w:rPr>
              <w:t xml:space="preserve"> engage with an introduction to sustainability</w:t>
            </w:r>
            <w:r w:rsidR="002726B7">
              <w:rPr>
                <w:rFonts w:ascii="Arial" w:hAnsi="Arial" w:cs="Arial"/>
              </w:rPr>
              <w:t xml:space="preserve"> as part of their studies</w:t>
            </w:r>
            <w:r w:rsidRPr="00261940">
              <w:rPr>
                <w:rFonts w:ascii="Arial" w:hAnsi="Arial" w:cs="Arial"/>
              </w:rPr>
              <w:t xml:space="preserve"> including: </w:t>
            </w:r>
          </w:p>
          <w:p w14:paraId="4CF676C4" w14:textId="77777777" w:rsidR="007E2E00" w:rsidRPr="00261940" w:rsidRDefault="007E2E00" w:rsidP="007E2E00">
            <w:pPr>
              <w:pStyle w:val="ListParagraph"/>
              <w:numPr>
                <w:ilvl w:val="1"/>
                <w:numId w:val="4"/>
              </w:numPr>
              <w:spacing w:before="240" w:after="240"/>
              <w:rPr>
                <w:rFonts w:ascii="Arial" w:hAnsi="Arial" w:cs="Arial"/>
              </w:rPr>
            </w:pPr>
            <w:r w:rsidRPr="00261940">
              <w:rPr>
                <w:rFonts w:ascii="Arial" w:hAnsi="Arial" w:cs="Arial"/>
              </w:rPr>
              <w:t>its potential role in enhancing learning and supporting the development of their graduate attributes.</w:t>
            </w:r>
          </w:p>
          <w:p w14:paraId="2637238F" w14:textId="1E576720" w:rsidR="007E2E00" w:rsidRPr="00261940" w:rsidRDefault="003829E2" w:rsidP="007E2E00">
            <w:pPr>
              <w:pStyle w:val="ListParagraph"/>
              <w:numPr>
                <w:ilvl w:val="1"/>
                <w:numId w:val="4"/>
              </w:numPr>
              <w:spacing w:before="240" w:after="240"/>
              <w:rPr>
                <w:rFonts w:ascii="Arial" w:hAnsi="Arial" w:cs="Arial"/>
              </w:rPr>
            </w:pPr>
            <w:r w:rsidRPr="00261940">
              <w:rPr>
                <w:rFonts w:ascii="Arial" w:hAnsi="Arial" w:cs="Arial"/>
              </w:rPr>
              <w:t>w</w:t>
            </w:r>
            <w:r w:rsidR="007E2E00" w:rsidRPr="00261940">
              <w:rPr>
                <w:rFonts w:ascii="Arial" w:hAnsi="Arial" w:cs="Arial"/>
              </w:rPr>
              <w:t xml:space="preserve">hat sustainability is, how individuals </w:t>
            </w:r>
            <w:proofErr w:type="gramStart"/>
            <w:r w:rsidR="007E2E00" w:rsidRPr="00261940">
              <w:rPr>
                <w:rFonts w:ascii="Arial" w:hAnsi="Arial" w:cs="Arial"/>
              </w:rPr>
              <w:t>are able to</w:t>
            </w:r>
            <w:proofErr w:type="gramEnd"/>
            <w:r w:rsidR="007E2E00" w:rsidRPr="00261940">
              <w:rPr>
                <w:rFonts w:ascii="Arial" w:hAnsi="Arial" w:cs="Arial"/>
              </w:rPr>
              <w:t xml:space="preserve"> engage with sustainability, and the relevance of their chosen discipline for supporting a more sustainable future for all.  </w:t>
            </w:r>
          </w:p>
        </w:tc>
        <w:tc>
          <w:tcPr>
            <w:tcW w:w="3685" w:type="dxa"/>
            <w:vMerge/>
            <w:tcBorders>
              <w:left w:val="single" w:sz="8" w:space="0" w:color="auto"/>
              <w:right w:val="single" w:sz="8" w:space="0" w:color="auto"/>
            </w:tcBorders>
            <w:shd w:val="clear" w:color="auto" w:fill="F2F2F2" w:themeFill="background1" w:themeFillShade="F2"/>
            <w:vAlign w:val="center"/>
          </w:tcPr>
          <w:p w14:paraId="2C5BDD12" w14:textId="77777777" w:rsidR="007E2E00" w:rsidRPr="00582808" w:rsidRDefault="007E2E00" w:rsidP="007E2E00">
            <w:pPr>
              <w:pStyle w:val="Heading2"/>
              <w:keepNext w:val="0"/>
              <w:keepLines w:val="0"/>
              <w:numPr>
                <w:ilvl w:val="0"/>
                <w:numId w:val="6"/>
              </w:numPr>
              <w:spacing w:before="240" w:after="240"/>
              <w:rPr>
                <w:rFonts w:ascii="Arial" w:hAnsi="Arial" w:cs="Arial"/>
                <w:b/>
                <w:bCs/>
                <w:sz w:val="22"/>
                <w:szCs w:val="22"/>
              </w:rPr>
            </w:pPr>
          </w:p>
        </w:tc>
      </w:tr>
      <w:tr w:rsidR="007E2E00" w:rsidRPr="000E1269" w14:paraId="312D921E" w14:textId="77777777" w:rsidTr="007E2E00">
        <w:trPr>
          <w:trHeight w:val="300"/>
        </w:trPr>
        <w:tc>
          <w:tcPr>
            <w:tcW w:w="2550" w:type="dxa"/>
            <w:vMerge/>
            <w:tcBorders>
              <w:left w:val="single" w:sz="8" w:space="0" w:color="auto"/>
              <w:right w:val="single" w:sz="8" w:space="0" w:color="auto"/>
            </w:tcBorders>
            <w:shd w:val="clear" w:color="auto" w:fill="F2F2F2" w:themeFill="background1" w:themeFillShade="F2"/>
            <w:tcMar>
              <w:left w:w="108" w:type="dxa"/>
              <w:right w:w="108" w:type="dxa"/>
            </w:tcMar>
            <w:vAlign w:val="center"/>
          </w:tcPr>
          <w:p w14:paraId="481A98AD" w14:textId="77777777" w:rsidR="007E2E00" w:rsidRPr="00261940" w:rsidRDefault="007E2E00" w:rsidP="009607B6">
            <w:pPr>
              <w:pStyle w:val="ListParagraph"/>
              <w:ind w:left="360"/>
              <w:rPr>
                <w:rFonts w:ascii="Arial" w:eastAsia="Calibri" w:hAnsi="Arial" w:cs="Arial"/>
              </w:rPr>
            </w:pPr>
          </w:p>
        </w:tc>
        <w:tc>
          <w:tcPr>
            <w:tcW w:w="79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F600A4D" w14:textId="77777777" w:rsidR="007E2E00" w:rsidRPr="00B00B87" w:rsidRDefault="007E2E00" w:rsidP="0099402C">
            <w:pPr>
              <w:pStyle w:val="Heading2"/>
              <w:keepNext w:val="0"/>
              <w:keepLines w:val="0"/>
              <w:spacing w:before="240" w:after="240"/>
              <w:rPr>
                <w:rFonts w:ascii="Arial" w:hAnsi="Arial" w:cs="Arial"/>
                <w:b/>
                <w:bCs/>
                <w:color w:val="auto"/>
                <w:sz w:val="28"/>
                <w:szCs w:val="28"/>
              </w:rPr>
            </w:pPr>
            <w:r w:rsidRPr="0099402C">
              <w:rPr>
                <w:rFonts w:ascii="Arial" w:eastAsia="Calibri" w:hAnsi="Arial" w:cs="Arial"/>
                <w:b/>
                <w:bCs/>
                <w:color w:val="000000" w:themeColor="text1"/>
                <w:sz w:val="24"/>
                <w:szCs w:val="24"/>
              </w:rPr>
              <w:t>Module Lead/Lecturer</w:t>
            </w:r>
          </w:p>
        </w:tc>
        <w:tc>
          <w:tcPr>
            <w:tcW w:w="3685" w:type="dxa"/>
            <w:vMerge/>
            <w:tcBorders>
              <w:left w:val="single" w:sz="8" w:space="0" w:color="auto"/>
              <w:right w:val="single" w:sz="8" w:space="0" w:color="auto"/>
            </w:tcBorders>
            <w:shd w:val="clear" w:color="auto" w:fill="F2F2F2" w:themeFill="background1" w:themeFillShade="F2"/>
            <w:vAlign w:val="center"/>
          </w:tcPr>
          <w:p w14:paraId="62780390" w14:textId="77777777" w:rsidR="007E2E00" w:rsidRPr="000E1269" w:rsidRDefault="007E2E00" w:rsidP="009607B6">
            <w:pPr>
              <w:pStyle w:val="Heading2"/>
              <w:rPr>
                <w:rFonts w:ascii="Arial" w:hAnsi="Arial" w:cs="Arial"/>
              </w:rPr>
            </w:pPr>
          </w:p>
        </w:tc>
      </w:tr>
      <w:tr w:rsidR="007E2E00" w:rsidRPr="000E1269" w14:paraId="26E614ED" w14:textId="77777777" w:rsidTr="007E2E00">
        <w:trPr>
          <w:trHeight w:val="300"/>
        </w:trPr>
        <w:tc>
          <w:tcPr>
            <w:tcW w:w="2550" w:type="dxa"/>
            <w:vMerge/>
            <w:tcBorders>
              <w:left w:val="single" w:sz="8" w:space="0" w:color="auto"/>
              <w:right w:val="single" w:sz="8" w:space="0" w:color="auto"/>
            </w:tcBorders>
            <w:shd w:val="clear" w:color="auto" w:fill="F2F2F2" w:themeFill="background1" w:themeFillShade="F2"/>
            <w:tcMar>
              <w:left w:w="108" w:type="dxa"/>
              <w:right w:w="108" w:type="dxa"/>
            </w:tcMar>
            <w:vAlign w:val="center"/>
          </w:tcPr>
          <w:p w14:paraId="3C4B4478" w14:textId="77777777" w:rsidR="007E2E00" w:rsidRPr="000E1269" w:rsidRDefault="007E2E00" w:rsidP="009607B6">
            <w:pPr>
              <w:pStyle w:val="ListParagraph"/>
              <w:ind w:left="360"/>
              <w:rPr>
                <w:rFonts w:ascii="Arial" w:eastAsia="Calibri" w:hAnsi="Arial" w:cs="Arial"/>
                <w:color w:val="000000" w:themeColor="text1"/>
              </w:rPr>
            </w:pPr>
          </w:p>
        </w:tc>
        <w:tc>
          <w:tcPr>
            <w:tcW w:w="79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2E8E7295" w14:textId="77777777" w:rsidR="007E2E00" w:rsidRDefault="007E2E00" w:rsidP="009607B6">
            <w:pPr>
              <w:pStyle w:val="ListParagraph"/>
              <w:spacing w:before="240" w:after="240"/>
              <w:ind w:left="360"/>
              <w:rPr>
                <w:rFonts w:ascii="Arial" w:hAnsi="Arial" w:cs="Arial"/>
              </w:rPr>
            </w:pPr>
          </w:p>
          <w:p w14:paraId="29CE8071" w14:textId="61E8D73E" w:rsidR="007E2E00" w:rsidRPr="00EC3C72" w:rsidRDefault="007E2E00" w:rsidP="007E2E00">
            <w:pPr>
              <w:pStyle w:val="ListParagraph"/>
              <w:numPr>
                <w:ilvl w:val="0"/>
                <w:numId w:val="4"/>
              </w:numPr>
              <w:spacing w:before="240" w:after="240"/>
              <w:rPr>
                <w:rFonts w:ascii="Arial" w:hAnsi="Arial" w:cs="Arial"/>
              </w:rPr>
            </w:pPr>
            <w:r>
              <w:rPr>
                <w:rFonts w:ascii="Arial" w:hAnsi="Arial" w:cs="Arial"/>
              </w:rPr>
              <w:t xml:space="preserve"> </w:t>
            </w:r>
            <w:r w:rsidRPr="00EC3C72">
              <w:rPr>
                <w:rFonts w:ascii="Arial" w:hAnsi="Arial" w:cs="Arial"/>
              </w:rPr>
              <w:t>Embed sustainability topics within existing</w:t>
            </w:r>
            <w:r>
              <w:rPr>
                <w:rFonts w:ascii="Arial" w:hAnsi="Arial" w:cs="Arial"/>
              </w:rPr>
              <w:t xml:space="preserve"> modules</w:t>
            </w:r>
            <w:r w:rsidRPr="00EC3C72">
              <w:rPr>
                <w:rFonts w:ascii="Arial" w:hAnsi="Arial" w:cs="Arial"/>
              </w:rPr>
              <w:t xml:space="preserve"> across disciplines. Encourage faculty to incorporate the S</w:t>
            </w:r>
            <w:r w:rsidR="00A749E4">
              <w:rPr>
                <w:rFonts w:ascii="Arial" w:hAnsi="Arial" w:cs="Arial"/>
              </w:rPr>
              <w:t>DGs</w:t>
            </w:r>
            <w:r w:rsidRPr="00EC3C72">
              <w:rPr>
                <w:rFonts w:ascii="Arial" w:hAnsi="Arial" w:cs="Arial"/>
              </w:rPr>
              <w:t>, climate-related content, case studies, and practical examples into their teaching materials</w:t>
            </w:r>
            <w:r>
              <w:rPr>
                <w:rFonts w:ascii="Arial" w:hAnsi="Arial" w:cs="Arial"/>
              </w:rPr>
              <w:t xml:space="preserve"> and assessment topics</w:t>
            </w:r>
            <w:r w:rsidRPr="00EC3C72">
              <w:rPr>
                <w:rFonts w:ascii="Arial" w:hAnsi="Arial" w:cs="Arial"/>
              </w:rPr>
              <w:t>. By doing so, students will recognize the relevance of sustainability in their field of study.</w:t>
            </w:r>
          </w:p>
        </w:tc>
        <w:tc>
          <w:tcPr>
            <w:tcW w:w="3685"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72223F5F" w14:textId="77777777" w:rsidR="007E2E00" w:rsidRPr="000E1269" w:rsidRDefault="007E2E00" w:rsidP="009607B6">
            <w:pPr>
              <w:pStyle w:val="Heading2"/>
              <w:rPr>
                <w:rFonts w:ascii="Arial" w:hAnsi="Arial" w:cs="Arial"/>
              </w:rPr>
            </w:pPr>
          </w:p>
        </w:tc>
      </w:tr>
    </w:tbl>
    <w:p w14:paraId="155489A4" w14:textId="77777777" w:rsidR="007E2E00" w:rsidRDefault="007E2E00"/>
    <w:tbl>
      <w:tblPr>
        <w:tblStyle w:val="TableGrid"/>
        <w:tblW w:w="14165" w:type="dxa"/>
        <w:tblLayout w:type="fixed"/>
        <w:tblLook w:val="04A0" w:firstRow="1" w:lastRow="0" w:firstColumn="1" w:lastColumn="0" w:noHBand="0" w:noVBand="1"/>
      </w:tblPr>
      <w:tblGrid>
        <w:gridCol w:w="2550"/>
        <w:gridCol w:w="7930"/>
        <w:gridCol w:w="3685"/>
      </w:tblGrid>
      <w:tr w:rsidR="00282872" w:rsidRPr="0099402C" w14:paraId="3BC564BB" w14:textId="77777777" w:rsidTr="00385651">
        <w:trPr>
          <w:trHeight w:val="573"/>
        </w:trPr>
        <w:tc>
          <w:tcPr>
            <w:tcW w:w="2550" w:type="dxa"/>
            <w:tcBorders>
              <w:top w:val="single" w:sz="8" w:space="0" w:color="auto"/>
              <w:left w:val="single" w:sz="8" w:space="0" w:color="auto"/>
              <w:bottom w:val="single" w:sz="8" w:space="0" w:color="auto"/>
              <w:right w:val="single" w:sz="8" w:space="0" w:color="auto"/>
            </w:tcBorders>
            <w:shd w:val="clear" w:color="auto" w:fill="3A3A3A" w:themeFill="background2" w:themeFillShade="40"/>
            <w:tcMar>
              <w:left w:w="108" w:type="dxa"/>
              <w:right w:w="108" w:type="dxa"/>
            </w:tcMar>
            <w:vAlign w:val="center"/>
          </w:tcPr>
          <w:p w14:paraId="642B2B0C" w14:textId="77777777" w:rsidR="00282872" w:rsidRPr="0099402C" w:rsidRDefault="00282872" w:rsidP="009607B6">
            <w:pPr>
              <w:jc w:val="center"/>
              <w:rPr>
                <w:rFonts w:ascii="Arial" w:hAnsi="Arial" w:cs="Arial"/>
                <w:color w:val="FFFFFF" w:themeColor="background1"/>
                <w:sz w:val="24"/>
                <w:szCs w:val="24"/>
              </w:rPr>
            </w:pPr>
            <w:r w:rsidRPr="0099402C">
              <w:rPr>
                <w:rFonts w:ascii="Arial" w:eastAsia="Calibri" w:hAnsi="Arial" w:cs="Arial"/>
                <w:b/>
                <w:bCs/>
                <w:color w:val="FFFFFF" w:themeColor="background1"/>
                <w:sz w:val="24"/>
                <w:szCs w:val="24"/>
              </w:rPr>
              <w:t>Principles</w:t>
            </w:r>
          </w:p>
        </w:tc>
        <w:tc>
          <w:tcPr>
            <w:tcW w:w="7930" w:type="dxa"/>
            <w:tcBorders>
              <w:top w:val="single" w:sz="8" w:space="0" w:color="auto"/>
              <w:left w:val="single" w:sz="8" w:space="0" w:color="auto"/>
              <w:bottom w:val="single" w:sz="8" w:space="0" w:color="auto"/>
              <w:right w:val="single" w:sz="8" w:space="0" w:color="auto"/>
            </w:tcBorders>
            <w:shd w:val="clear" w:color="auto" w:fill="3A3A3A" w:themeFill="background2" w:themeFillShade="40"/>
            <w:tcMar>
              <w:left w:w="108" w:type="dxa"/>
              <w:right w:w="108" w:type="dxa"/>
            </w:tcMar>
            <w:vAlign w:val="center"/>
          </w:tcPr>
          <w:p w14:paraId="671F6797" w14:textId="77777777" w:rsidR="00282872" w:rsidRPr="0099402C" w:rsidRDefault="00282872" w:rsidP="009607B6">
            <w:pPr>
              <w:jc w:val="center"/>
              <w:rPr>
                <w:rFonts w:ascii="Arial" w:hAnsi="Arial" w:cs="Arial"/>
                <w:color w:val="FFFFFF" w:themeColor="background1"/>
                <w:sz w:val="24"/>
                <w:szCs w:val="24"/>
              </w:rPr>
            </w:pPr>
            <w:r w:rsidRPr="0099402C">
              <w:rPr>
                <w:rFonts w:ascii="Arial" w:eastAsia="Calibri" w:hAnsi="Arial" w:cs="Arial"/>
                <w:b/>
                <w:bCs/>
                <w:color w:val="FFFFFF" w:themeColor="background1"/>
                <w:sz w:val="24"/>
                <w:szCs w:val="24"/>
              </w:rPr>
              <w:t>Birmingham Standard (and Responsible Lead)</w:t>
            </w:r>
          </w:p>
        </w:tc>
        <w:tc>
          <w:tcPr>
            <w:tcW w:w="3685" w:type="dxa"/>
            <w:tcBorders>
              <w:top w:val="single" w:sz="8" w:space="0" w:color="auto"/>
              <w:left w:val="single" w:sz="8" w:space="0" w:color="auto"/>
              <w:bottom w:val="single" w:sz="8" w:space="0" w:color="auto"/>
              <w:right w:val="single" w:sz="8" w:space="0" w:color="auto"/>
            </w:tcBorders>
            <w:shd w:val="clear" w:color="auto" w:fill="3A3A3A" w:themeFill="background2" w:themeFillShade="40"/>
            <w:tcMar>
              <w:left w:w="108" w:type="dxa"/>
              <w:right w:w="108" w:type="dxa"/>
            </w:tcMar>
            <w:vAlign w:val="center"/>
          </w:tcPr>
          <w:p w14:paraId="3AD5EBD7" w14:textId="77777777" w:rsidR="00282872" w:rsidRPr="0099402C" w:rsidRDefault="00282872" w:rsidP="009607B6">
            <w:pPr>
              <w:jc w:val="center"/>
              <w:rPr>
                <w:rFonts w:ascii="Arial" w:hAnsi="Arial" w:cs="Arial"/>
                <w:color w:val="FFFFFF" w:themeColor="background1"/>
                <w:sz w:val="24"/>
                <w:szCs w:val="24"/>
              </w:rPr>
            </w:pPr>
            <w:r w:rsidRPr="0099402C">
              <w:rPr>
                <w:rFonts w:ascii="Arial" w:eastAsia="Calibri" w:hAnsi="Arial" w:cs="Arial"/>
                <w:b/>
                <w:bCs/>
                <w:color w:val="FFFFFF" w:themeColor="background1"/>
                <w:sz w:val="24"/>
                <w:szCs w:val="24"/>
              </w:rPr>
              <w:t>Examples of Enhanced Practice</w:t>
            </w:r>
          </w:p>
        </w:tc>
      </w:tr>
      <w:tr w:rsidR="00282872" w:rsidRPr="000E1269" w14:paraId="38D5498D" w14:textId="77777777" w:rsidTr="00385651">
        <w:trPr>
          <w:trHeight w:val="300"/>
        </w:trPr>
        <w:tc>
          <w:tcPr>
            <w:tcW w:w="2550" w:type="dxa"/>
            <w:vMerge w:val="restart"/>
            <w:tcBorders>
              <w:top w:val="single" w:sz="8" w:space="0" w:color="auto"/>
              <w:left w:val="single" w:sz="8" w:space="0" w:color="auto"/>
              <w:right w:val="single" w:sz="8" w:space="0" w:color="auto"/>
            </w:tcBorders>
            <w:shd w:val="clear" w:color="auto" w:fill="F2F2F2" w:themeFill="background1" w:themeFillShade="F2"/>
            <w:tcMar>
              <w:left w:w="108" w:type="dxa"/>
              <w:right w:w="108" w:type="dxa"/>
            </w:tcMar>
            <w:vAlign w:val="center"/>
          </w:tcPr>
          <w:p w14:paraId="6A96E156" w14:textId="77777777" w:rsidR="0099402C" w:rsidRDefault="0099402C" w:rsidP="0099402C">
            <w:pPr>
              <w:pStyle w:val="paragraph"/>
              <w:spacing w:before="0" w:beforeAutospacing="0" w:after="0" w:afterAutospacing="0"/>
              <w:ind w:left="360"/>
              <w:textAlignment w:val="baseline"/>
              <w:rPr>
                <w:rStyle w:val="normaltextrun"/>
                <w:rFonts w:ascii="Arial" w:hAnsi="Arial" w:cs="Arial"/>
                <w:sz w:val="22"/>
                <w:szCs w:val="22"/>
              </w:rPr>
            </w:pPr>
          </w:p>
          <w:p w14:paraId="3C21C5BD" w14:textId="77777777" w:rsidR="0099402C" w:rsidRDefault="0099402C" w:rsidP="0099402C">
            <w:pPr>
              <w:pStyle w:val="paragraph"/>
              <w:spacing w:before="0" w:beforeAutospacing="0" w:after="0" w:afterAutospacing="0"/>
              <w:ind w:left="360"/>
              <w:textAlignment w:val="baseline"/>
              <w:rPr>
                <w:rStyle w:val="normaltextrun"/>
                <w:rFonts w:ascii="Arial" w:hAnsi="Arial" w:cs="Arial"/>
                <w:sz w:val="22"/>
                <w:szCs w:val="22"/>
              </w:rPr>
            </w:pPr>
          </w:p>
          <w:p w14:paraId="32642DC6" w14:textId="77777777" w:rsidR="0099402C" w:rsidRDefault="0099402C" w:rsidP="0099402C">
            <w:pPr>
              <w:pStyle w:val="paragraph"/>
              <w:spacing w:before="0" w:beforeAutospacing="0" w:after="0" w:afterAutospacing="0"/>
              <w:ind w:left="360"/>
              <w:textAlignment w:val="baseline"/>
              <w:rPr>
                <w:rStyle w:val="normaltextrun"/>
                <w:rFonts w:ascii="Arial" w:hAnsi="Arial" w:cs="Arial"/>
                <w:sz w:val="22"/>
                <w:szCs w:val="22"/>
              </w:rPr>
            </w:pPr>
          </w:p>
          <w:p w14:paraId="1EB63AAB" w14:textId="4A1A3603" w:rsidR="00282872" w:rsidRPr="0099402C" w:rsidRDefault="00282872" w:rsidP="00282872">
            <w:pPr>
              <w:pStyle w:val="paragraph"/>
              <w:numPr>
                <w:ilvl w:val="0"/>
                <w:numId w:val="5"/>
              </w:numPr>
              <w:spacing w:before="0" w:beforeAutospacing="0" w:after="0" w:afterAutospacing="0"/>
              <w:textAlignment w:val="baseline"/>
              <w:rPr>
                <w:rFonts w:ascii="Arial" w:hAnsi="Arial" w:cs="Arial"/>
                <w:sz w:val="22"/>
                <w:szCs w:val="22"/>
              </w:rPr>
            </w:pPr>
            <w:r w:rsidRPr="0099402C">
              <w:rPr>
                <w:rStyle w:val="normaltextrun"/>
                <w:rFonts w:ascii="Arial" w:hAnsi="Arial" w:cs="Arial"/>
                <w:sz w:val="22"/>
                <w:szCs w:val="22"/>
              </w:rPr>
              <w:t>Provide students with opportunities to develop the skills necessary to tackle the multifaceted and interconnected challenges of the environmental, social and economic pillars of sustainability.</w:t>
            </w:r>
          </w:p>
          <w:p w14:paraId="4FF578B4" w14:textId="77777777" w:rsidR="00282872" w:rsidRPr="008E45D4" w:rsidRDefault="00282872" w:rsidP="009607B6">
            <w:pPr>
              <w:pStyle w:val="paragraph"/>
              <w:spacing w:before="0" w:beforeAutospacing="0" w:after="0" w:afterAutospacing="0"/>
              <w:textAlignment w:val="baseline"/>
              <w:rPr>
                <w:rFonts w:ascii="Arial" w:hAnsi="Arial" w:cs="Arial"/>
              </w:rPr>
            </w:pPr>
            <w:r w:rsidRPr="008E45D4">
              <w:rPr>
                <w:rStyle w:val="normaltextrun"/>
                <w:rFonts w:ascii="Arial" w:hAnsi="Arial" w:cs="Arial"/>
              </w:rPr>
              <w:t> </w:t>
            </w:r>
            <w:r w:rsidRPr="008E45D4">
              <w:rPr>
                <w:rStyle w:val="eop"/>
                <w:rFonts w:ascii="Arial" w:hAnsi="Arial" w:cs="Arial"/>
              </w:rPr>
              <w:t> </w:t>
            </w:r>
          </w:p>
          <w:p w14:paraId="17246F47" w14:textId="77777777" w:rsidR="00282872" w:rsidRPr="008E45D4" w:rsidRDefault="00282872" w:rsidP="009607B6">
            <w:pPr>
              <w:rPr>
                <w:rFonts w:ascii="Arial" w:eastAsia="Calibri" w:hAnsi="Arial" w:cs="Arial"/>
                <w:color w:val="000000" w:themeColor="text1"/>
              </w:rPr>
            </w:pPr>
          </w:p>
          <w:p w14:paraId="6BCDC11F" w14:textId="77777777" w:rsidR="00282872" w:rsidRPr="00BE12C4" w:rsidRDefault="00282872" w:rsidP="009607B6">
            <w:pPr>
              <w:rPr>
                <w:rFonts w:ascii="Arial" w:eastAsia="Calibri" w:hAnsi="Arial" w:cs="Arial"/>
                <w:color w:val="000000" w:themeColor="text1"/>
              </w:rPr>
            </w:pPr>
          </w:p>
        </w:tc>
        <w:tc>
          <w:tcPr>
            <w:tcW w:w="79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F76A34B" w14:textId="77777777" w:rsidR="00282872" w:rsidRPr="00B00B87" w:rsidRDefault="00282872" w:rsidP="0099402C">
            <w:pPr>
              <w:pStyle w:val="Heading2"/>
              <w:keepNext w:val="0"/>
              <w:keepLines w:val="0"/>
              <w:spacing w:before="240" w:after="240"/>
              <w:rPr>
                <w:rFonts w:ascii="Arial" w:hAnsi="Arial" w:cs="Arial"/>
                <w:b/>
                <w:bCs/>
                <w:sz w:val="28"/>
                <w:szCs w:val="28"/>
              </w:rPr>
            </w:pPr>
            <w:r w:rsidRPr="0099402C">
              <w:rPr>
                <w:rFonts w:ascii="Arial" w:eastAsia="Calibri" w:hAnsi="Arial" w:cs="Arial"/>
                <w:b/>
                <w:bCs/>
                <w:color w:val="000000" w:themeColor="text1"/>
                <w:sz w:val="24"/>
                <w:szCs w:val="24"/>
              </w:rPr>
              <w:lastRenderedPageBreak/>
              <w:t>Head of School/Head of Education</w:t>
            </w:r>
          </w:p>
        </w:tc>
        <w:tc>
          <w:tcPr>
            <w:tcW w:w="3685"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156356C8" w14:textId="7E20C720" w:rsidR="00282872" w:rsidRDefault="00282872" w:rsidP="00282872">
            <w:pPr>
              <w:pStyle w:val="Heading2"/>
              <w:keepNext w:val="0"/>
              <w:keepLines w:val="0"/>
              <w:numPr>
                <w:ilvl w:val="0"/>
                <w:numId w:val="6"/>
              </w:numPr>
              <w:spacing w:before="240" w:after="240"/>
              <w:rPr>
                <w:color w:val="auto"/>
                <w:sz w:val="22"/>
                <w:szCs w:val="22"/>
              </w:rPr>
            </w:pPr>
            <w:r w:rsidRPr="003F7D9C">
              <w:rPr>
                <w:rFonts w:ascii="Arial" w:hAnsi="Arial" w:cs="Arial"/>
                <w:color w:val="auto"/>
                <w:sz w:val="22"/>
                <w:szCs w:val="22"/>
              </w:rPr>
              <w:t xml:space="preserve">The development of college-level modules shared by multiple programmes (e.g. </w:t>
            </w:r>
            <w:hyperlink r:id="rId15" w:history="1">
              <w:r w:rsidR="00717205" w:rsidRPr="003500FB">
                <w:rPr>
                  <w:rStyle w:val="Hyperlink"/>
                  <w:rFonts w:ascii="Arial" w:hAnsi="Arial" w:cs="Arial"/>
                  <w:color w:val="0B769F" w:themeColor="accent4" w:themeShade="BF"/>
                  <w:sz w:val="22"/>
                  <w:szCs w:val="22"/>
                </w:rPr>
                <w:t xml:space="preserve">38933 </w:t>
              </w:r>
              <w:r w:rsidRPr="003500FB">
                <w:rPr>
                  <w:rStyle w:val="Hyperlink"/>
                  <w:rFonts w:ascii="Arial" w:hAnsi="Arial" w:cs="Arial"/>
                  <w:color w:val="0B769F" w:themeColor="accent4" w:themeShade="BF"/>
                  <w:sz w:val="22"/>
                  <w:szCs w:val="22"/>
                </w:rPr>
                <w:t>LI/LH Sustainable Development: Climate, Culture, Society and Policy</w:t>
              </w:r>
            </w:hyperlink>
            <w:r w:rsidRPr="003F7D9C">
              <w:rPr>
                <w:rFonts w:ascii="Arial" w:hAnsi="Arial" w:cs="Arial"/>
                <w:color w:val="auto"/>
                <w:sz w:val="22"/>
                <w:szCs w:val="22"/>
              </w:rPr>
              <w:t xml:space="preserve"> in the College of Arts and Law).</w:t>
            </w:r>
            <w:r w:rsidRPr="003F7D9C">
              <w:rPr>
                <w:color w:val="auto"/>
                <w:sz w:val="22"/>
                <w:szCs w:val="22"/>
              </w:rPr>
              <w:t xml:space="preserve"> </w:t>
            </w:r>
          </w:p>
          <w:p w14:paraId="2FB6D765" w14:textId="610818EA" w:rsidR="00AC181B" w:rsidRPr="005E1AB6" w:rsidRDefault="008A4D7A" w:rsidP="00AC181B">
            <w:pPr>
              <w:pStyle w:val="ListParagraph"/>
              <w:numPr>
                <w:ilvl w:val="0"/>
                <w:numId w:val="6"/>
              </w:numPr>
              <w:rPr>
                <w:rFonts w:ascii="Arial" w:hAnsi="Arial" w:cs="Arial"/>
              </w:rPr>
            </w:pPr>
            <w:r>
              <w:rPr>
                <w:rFonts w:ascii="Arial" w:hAnsi="Arial" w:cs="Arial"/>
              </w:rPr>
              <w:t>E</w:t>
            </w:r>
            <w:r w:rsidR="00AC181B" w:rsidRPr="005E1AB6">
              <w:rPr>
                <w:rFonts w:ascii="Arial" w:hAnsi="Arial" w:cs="Arial"/>
              </w:rPr>
              <w:t>nsur</w:t>
            </w:r>
            <w:r>
              <w:rPr>
                <w:rFonts w:ascii="Arial" w:hAnsi="Arial" w:cs="Arial"/>
              </w:rPr>
              <w:t>e</w:t>
            </w:r>
            <w:r w:rsidR="00AC181B" w:rsidRPr="005E1AB6">
              <w:rPr>
                <w:rFonts w:ascii="Arial" w:hAnsi="Arial" w:cs="Arial"/>
              </w:rPr>
              <w:t xml:space="preserve"> students are aware of opportunities such as the Year in Environmental Sustainability </w:t>
            </w:r>
            <w:r w:rsidR="008A00CC" w:rsidRPr="005E1AB6">
              <w:rPr>
                <w:rFonts w:ascii="Arial" w:hAnsi="Arial" w:cs="Arial"/>
              </w:rPr>
              <w:t xml:space="preserve">or </w:t>
            </w:r>
            <w:r w:rsidR="003E1D83" w:rsidRPr="005E1AB6">
              <w:rPr>
                <w:rFonts w:ascii="Arial" w:hAnsi="Arial" w:cs="Arial"/>
              </w:rPr>
              <w:t xml:space="preserve">online courses such as the Professional Skills Academy ‘One Planet, One Future: </w:t>
            </w:r>
            <w:r w:rsidR="003E1D83" w:rsidRPr="005E1AB6">
              <w:rPr>
                <w:rFonts w:ascii="Arial" w:hAnsi="Arial" w:cs="Arial"/>
              </w:rPr>
              <w:lastRenderedPageBreak/>
              <w:t>Biodiversity, Climate Change and Sustainability’ course</w:t>
            </w:r>
            <w:r>
              <w:rPr>
                <w:rFonts w:ascii="Arial" w:hAnsi="Arial" w:cs="Arial"/>
              </w:rPr>
              <w:t>, by highlighting through the tutorial system or in relevant module spaces</w:t>
            </w:r>
            <w:r w:rsidR="003E1D83" w:rsidRPr="005E1AB6">
              <w:rPr>
                <w:rFonts w:ascii="Arial" w:hAnsi="Arial" w:cs="Arial"/>
              </w:rPr>
              <w:t xml:space="preserve">. </w:t>
            </w:r>
          </w:p>
          <w:p w14:paraId="03F86312" w14:textId="037ACF18" w:rsidR="007C092F" w:rsidRPr="007C092F" w:rsidRDefault="008A4D7A" w:rsidP="003F7D9C">
            <w:pPr>
              <w:pStyle w:val="Heading2"/>
              <w:keepNext w:val="0"/>
              <w:keepLines w:val="0"/>
              <w:numPr>
                <w:ilvl w:val="0"/>
                <w:numId w:val="6"/>
              </w:numPr>
              <w:spacing w:before="240" w:after="240"/>
              <w:rPr>
                <w:rFonts w:ascii="Arial" w:hAnsi="Arial" w:cs="Arial"/>
              </w:rPr>
            </w:pPr>
            <w:r>
              <w:rPr>
                <w:rFonts w:ascii="Arial" w:hAnsi="Arial" w:cs="Arial"/>
                <w:color w:val="auto"/>
                <w:sz w:val="22"/>
                <w:szCs w:val="22"/>
              </w:rPr>
              <w:t>Embed</w:t>
            </w:r>
            <w:r w:rsidR="00282872" w:rsidRPr="003F7D9C">
              <w:rPr>
                <w:rFonts w:ascii="Arial" w:hAnsi="Arial" w:cs="Arial"/>
                <w:color w:val="auto"/>
                <w:sz w:val="22"/>
                <w:szCs w:val="22"/>
              </w:rPr>
              <w:t xml:space="preserve"> guest lecturer sessions as part of modules to demonstrate the relevance of a discipline beyond the usual boundaries</w:t>
            </w:r>
            <w:r w:rsidR="00012A27">
              <w:rPr>
                <w:rFonts w:ascii="Arial" w:hAnsi="Arial" w:cs="Arial"/>
                <w:color w:val="auto"/>
                <w:sz w:val="22"/>
                <w:szCs w:val="22"/>
              </w:rPr>
              <w:t>,</w:t>
            </w:r>
            <w:r w:rsidR="00282872" w:rsidRPr="003F7D9C">
              <w:rPr>
                <w:rFonts w:ascii="Arial" w:hAnsi="Arial" w:cs="Arial"/>
                <w:color w:val="auto"/>
                <w:sz w:val="22"/>
                <w:szCs w:val="22"/>
              </w:rPr>
              <w:t xml:space="preserve"> or a joint seminar on climate change could involve science, economics, and sociology faculties, fostering holistic understanding and problem-solving</w:t>
            </w:r>
            <w:r w:rsidR="00BF4CB7">
              <w:rPr>
                <w:rFonts w:ascii="Arial" w:hAnsi="Arial" w:cs="Arial"/>
                <w:color w:val="auto"/>
                <w:sz w:val="22"/>
                <w:szCs w:val="22"/>
              </w:rPr>
              <w:t xml:space="preserve"> e.g. The module </w:t>
            </w:r>
            <w:hyperlink r:id="rId16" w:history="1">
              <w:r w:rsidR="003C7A85" w:rsidRPr="003500FB">
                <w:rPr>
                  <w:rStyle w:val="Hyperlink"/>
                  <w:rFonts w:ascii="Arial" w:hAnsi="Arial" w:cs="Arial"/>
                  <w:color w:val="0B769F" w:themeColor="accent4" w:themeShade="BF"/>
                  <w:sz w:val="22"/>
                  <w:szCs w:val="22"/>
                </w:rPr>
                <w:t xml:space="preserve">37527 LC </w:t>
              </w:r>
              <w:r w:rsidR="00BF4CB7" w:rsidRPr="003500FB">
                <w:rPr>
                  <w:rStyle w:val="Hyperlink"/>
                  <w:rFonts w:ascii="Arial" w:hAnsi="Arial" w:cs="Arial"/>
                  <w:color w:val="0B769F" w:themeColor="accent4" w:themeShade="BF"/>
                  <w:sz w:val="22"/>
                  <w:szCs w:val="22"/>
                </w:rPr>
                <w:t xml:space="preserve">One </w:t>
              </w:r>
              <w:r w:rsidR="00865705" w:rsidRPr="003500FB">
                <w:rPr>
                  <w:rStyle w:val="Hyperlink"/>
                  <w:rFonts w:ascii="Arial" w:hAnsi="Arial" w:cs="Arial"/>
                  <w:color w:val="0B769F" w:themeColor="accent4" w:themeShade="BF"/>
                  <w:sz w:val="22"/>
                  <w:szCs w:val="22"/>
                </w:rPr>
                <w:t>Planet Thinking</w:t>
              </w:r>
            </w:hyperlink>
            <w:r w:rsidR="00865705">
              <w:rPr>
                <w:rFonts w:ascii="Arial" w:hAnsi="Arial" w:cs="Arial"/>
                <w:color w:val="auto"/>
                <w:sz w:val="22"/>
                <w:szCs w:val="22"/>
              </w:rPr>
              <w:t xml:space="preserve"> in GEES has </w:t>
            </w:r>
            <w:r w:rsidR="0012337E">
              <w:rPr>
                <w:rFonts w:ascii="Arial" w:hAnsi="Arial" w:cs="Arial"/>
                <w:color w:val="auto"/>
                <w:sz w:val="22"/>
                <w:szCs w:val="22"/>
              </w:rPr>
              <w:t xml:space="preserve">additional </w:t>
            </w:r>
            <w:r w:rsidR="00865705">
              <w:rPr>
                <w:rFonts w:ascii="Arial" w:hAnsi="Arial" w:cs="Arial"/>
                <w:color w:val="auto"/>
                <w:sz w:val="22"/>
                <w:szCs w:val="22"/>
              </w:rPr>
              <w:t xml:space="preserve">sessions taught by staff in the Business School, Engineering and Professional Services staff engaged in sustainability. </w:t>
            </w:r>
          </w:p>
          <w:p w14:paraId="1F04E4AA" w14:textId="26D742CB" w:rsidR="00282872" w:rsidRPr="003F7D9C" w:rsidRDefault="00282872" w:rsidP="007C092F">
            <w:pPr>
              <w:pStyle w:val="Heading2"/>
              <w:keepNext w:val="0"/>
              <w:keepLines w:val="0"/>
              <w:spacing w:before="240" w:after="240"/>
              <w:ind w:left="360"/>
              <w:rPr>
                <w:rFonts w:ascii="Arial" w:hAnsi="Arial" w:cs="Arial"/>
              </w:rPr>
            </w:pPr>
            <w:r w:rsidRPr="003F7D9C">
              <w:rPr>
                <w:rFonts w:ascii="Arial" w:hAnsi="Arial" w:cs="Arial"/>
                <w:color w:val="auto"/>
                <w:sz w:val="22"/>
                <w:szCs w:val="22"/>
              </w:rPr>
              <w:t>Enhanced practice would provide students with the opportunity to develop the skills needed to operate in this space e.g. systems thinking, integrated problem-solving and collaboration. This could be achieved through team-based project work/assessments in combination with skills workshops</w:t>
            </w:r>
            <w:r w:rsidR="007C092F">
              <w:rPr>
                <w:rFonts w:ascii="Arial" w:hAnsi="Arial" w:cs="Arial"/>
                <w:color w:val="auto"/>
                <w:sz w:val="22"/>
                <w:szCs w:val="22"/>
              </w:rPr>
              <w:t>. E</w:t>
            </w:r>
            <w:r w:rsidR="00A03830">
              <w:rPr>
                <w:rFonts w:ascii="Arial" w:hAnsi="Arial" w:cs="Arial"/>
                <w:color w:val="auto"/>
                <w:sz w:val="22"/>
                <w:szCs w:val="22"/>
              </w:rPr>
              <w:t xml:space="preserve">xamples include </w:t>
            </w:r>
            <w:r w:rsidR="00A03830">
              <w:rPr>
                <w:rFonts w:ascii="Arial" w:hAnsi="Arial" w:cs="Arial"/>
                <w:color w:val="auto"/>
                <w:sz w:val="22"/>
                <w:szCs w:val="22"/>
              </w:rPr>
              <w:lastRenderedPageBreak/>
              <w:t>modules such as</w:t>
            </w:r>
            <w:r w:rsidR="0012337E">
              <w:rPr>
                <w:rFonts w:ascii="Arial" w:hAnsi="Arial" w:cs="Arial"/>
                <w:color w:val="auto"/>
                <w:sz w:val="22"/>
                <w:szCs w:val="22"/>
              </w:rPr>
              <w:t xml:space="preserve"> those described above in addition to</w:t>
            </w:r>
            <w:r w:rsidR="00827759">
              <w:rPr>
                <w:rFonts w:ascii="Arial" w:hAnsi="Arial" w:cs="Arial"/>
                <w:color w:val="auto"/>
                <w:sz w:val="22"/>
                <w:szCs w:val="22"/>
              </w:rPr>
              <w:t xml:space="preserve"> </w:t>
            </w:r>
            <w:hyperlink r:id="rId17" w:history="1">
              <w:r w:rsidR="00827759" w:rsidRPr="003500FB">
                <w:rPr>
                  <w:rStyle w:val="Hyperlink"/>
                  <w:rFonts w:ascii="Arial" w:hAnsi="Arial" w:cs="Arial"/>
                  <w:color w:val="0B769F" w:themeColor="accent4" w:themeShade="BF"/>
                  <w:sz w:val="22"/>
                  <w:szCs w:val="22"/>
                </w:rPr>
                <w:t>31633</w:t>
              </w:r>
              <w:r w:rsidR="0012337E" w:rsidRPr="003500FB">
                <w:rPr>
                  <w:rStyle w:val="Hyperlink"/>
                  <w:rFonts w:ascii="Arial" w:hAnsi="Arial" w:cs="Arial"/>
                  <w:color w:val="0B769F" w:themeColor="accent4" w:themeShade="BF"/>
                  <w:sz w:val="22"/>
                  <w:szCs w:val="22"/>
                </w:rPr>
                <w:t xml:space="preserve"> </w:t>
              </w:r>
              <w:r w:rsidR="00F41FEA" w:rsidRPr="003500FB">
                <w:rPr>
                  <w:rStyle w:val="Hyperlink"/>
                  <w:rFonts w:ascii="Arial" w:hAnsi="Arial" w:cs="Arial"/>
                  <w:color w:val="0B769F" w:themeColor="accent4" w:themeShade="BF"/>
                  <w:sz w:val="22"/>
                  <w:szCs w:val="22"/>
                </w:rPr>
                <w:t>LI Sustainable Process Engineering</w:t>
              </w:r>
            </w:hyperlink>
            <w:r w:rsidR="00F41FEA">
              <w:rPr>
                <w:rFonts w:ascii="Arial" w:hAnsi="Arial" w:cs="Arial"/>
                <w:color w:val="auto"/>
                <w:sz w:val="22"/>
                <w:szCs w:val="22"/>
              </w:rPr>
              <w:t xml:space="preserve"> in Chemical Engineering</w:t>
            </w:r>
            <w:r w:rsidR="00827759">
              <w:rPr>
                <w:rFonts w:ascii="Arial" w:hAnsi="Arial" w:cs="Arial"/>
                <w:color w:val="auto"/>
                <w:sz w:val="22"/>
                <w:szCs w:val="22"/>
              </w:rPr>
              <w:t xml:space="preserve">, where students undertake a group project </w:t>
            </w:r>
            <w:r w:rsidR="007C092F">
              <w:rPr>
                <w:rFonts w:ascii="Arial" w:hAnsi="Arial" w:cs="Arial"/>
                <w:color w:val="auto"/>
                <w:sz w:val="22"/>
                <w:szCs w:val="22"/>
              </w:rPr>
              <w:t>using Lifecycle Assessment</w:t>
            </w:r>
            <w:r w:rsidR="00F257E3">
              <w:rPr>
                <w:rFonts w:ascii="Arial" w:hAnsi="Arial" w:cs="Arial"/>
                <w:color w:val="auto"/>
                <w:sz w:val="22"/>
                <w:szCs w:val="22"/>
              </w:rPr>
              <w:t xml:space="preserve"> or </w:t>
            </w:r>
            <w:hyperlink r:id="rId18" w:history="1">
              <w:r w:rsidR="00A971AE" w:rsidRPr="003500FB">
                <w:rPr>
                  <w:rStyle w:val="Hyperlink"/>
                  <w:rFonts w:ascii="Arial" w:hAnsi="Arial" w:cs="Arial"/>
                  <w:color w:val="0B769F" w:themeColor="accent4" w:themeShade="BF"/>
                  <w:sz w:val="22"/>
                  <w:szCs w:val="22"/>
                </w:rPr>
                <w:t>35351 LM Professional Integrity and the Reflective Practitioner</w:t>
              </w:r>
            </w:hyperlink>
            <w:r w:rsidR="003168E2">
              <w:rPr>
                <w:rFonts w:ascii="Arial" w:hAnsi="Arial" w:cs="Arial"/>
                <w:color w:val="auto"/>
                <w:sz w:val="22"/>
                <w:szCs w:val="22"/>
              </w:rPr>
              <w:t xml:space="preserve"> in the Business School which uses </w:t>
            </w:r>
            <w:r w:rsidR="00F2052A">
              <w:rPr>
                <w:rFonts w:ascii="Arial" w:hAnsi="Arial" w:cs="Arial"/>
                <w:color w:val="auto"/>
                <w:sz w:val="22"/>
                <w:szCs w:val="22"/>
              </w:rPr>
              <w:t>improvised role play to engage students with a real-life scenario</w:t>
            </w:r>
            <w:r w:rsidR="00B3283A">
              <w:rPr>
                <w:rFonts w:ascii="Arial" w:hAnsi="Arial" w:cs="Arial"/>
                <w:color w:val="auto"/>
                <w:sz w:val="22"/>
                <w:szCs w:val="22"/>
              </w:rPr>
              <w:t xml:space="preserve">. </w:t>
            </w:r>
          </w:p>
          <w:p w14:paraId="19C51578" w14:textId="77777777" w:rsidR="00282872" w:rsidRPr="00BE12C4" w:rsidRDefault="00282872" w:rsidP="009607B6">
            <w:pPr>
              <w:pStyle w:val="Heading2"/>
              <w:rPr>
                <w:rFonts w:ascii="Arial" w:hAnsi="Arial" w:cs="Arial"/>
              </w:rPr>
            </w:pPr>
          </w:p>
        </w:tc>
      </w:tr>
      <w:tr w:rsidR="00282872" w:rsidRPr="000E1269" w14:paraId="3FD18893" w14:textId="77777777" w:rsidTr="00385651">
        <w:trPr>
          <w:trHeight w:val="300"/>
        </w:trPr>
        <w:tc>
          <w:tcPr>
            <w:tcW w:w="2550" w:type="dxa"/>
            <w:vMerge/>
            <w:tcBorders>
              <w:left w:val="single" w:sz="8" w:space="0" w:color="auto"/>
              <w:right w:val="single" w:sz="8" w:space="0" w:color="auto"/>
            </w:tcBorders>
            <w:shd w:val="clear" w:color="auto" w:fill="F2F2F2" w:themeFill="background1" w:themeFillShade="F2"/>
            <w:tcMar>
              <w:left w:w="108" w:type="dxa"/>
              <w:right w:w="108" w:type="dxa"/>
            </w:tcMar>
            <w:vAlign w:val="center"/>
          </w:tcPr>
          <w:p w14:paraId="69737F76" w14:textId="77777777" w:rsidR="00282872" w:rsidRPr="000E1269" w:rsidRDefault="00282872" w:rsidP="009607B6">
            <w:pPr>
              <w:pStyle w:val="ListParagraph"/>
              <w:ind w:left="360"/>
              <w:rPr>
                <w:rFonts w:ascii="Arial" w:eastAsia="Calibri" w:hAnsi="Arial" w:cs="Arial"/>
                <w:color w:val="000000" w:themeColor="text1"/>
              </w:rPr>
            </w:pPr>
          </w:p>
        </w:tc>
        <w:tc>
          <w:tcPr>
            <w:tcW w:w="79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0EEDB886" w14:textId="77777777" w:rsidR="00282872" w:rsidRDefault="00282872" w:rsidP="009607B6">
            <w:pPr>
              <w:pStyle w:val="ListParagraph"/>
              <w:spacing w:before="240" w:after="240"/>
              <w:ind w:left="360"/>
              <w:rPr>
                <w:rFonts w:ascii="Arial" w:hAnsi="Arial" w:cs="Arial"/>
              </w:rPr>
            </w:pPr>
          </w:p>
          <w:p w14:paraId="50CC9A4F" w14:textId="77777777" w:rsidR="00282872" w:rsidRPr="00006E38" w:rsidRDefault="00282872" w:rsidP="009607B6">
            <w:pPr>
              <w:pStyle w:val="ListParagraph"/>
              <w:spacing w:before="240" w:after="240"/>
              <w:ind w:left="360"/>
              <w:rPr>
                <w:rFonts w:ascii="Arial" w:hAnsi="Arial" w:cs="Arial"/>
              </w:rPr>
            </w:pPr>
          </w:p>
          <w:p w14:paraId="5448BA4A" w14:textId="6F292C7C" w:rsidR="00282872" w:rsidRDefault="00282872" w:rsidP="00282872">
            <w:pPr>
              <w:pStyle w:val="ListParagraph"/>
              <w:numPr>
                <w:ilvl w:val="1"/>
                <w:numId w:val="7"/>
              </w:numPr>
              <w:spacing w:before="240" w:after="240"/>
              <w:rPr>
                <w:rFonts w:ascii="Arial" w:hAnsi="Arial" w:cs="Arial"/>
              </w:rPr>
            </w:pPr>
            <w:r w:rsidRPr="009D6303">
              <w:rPr>
                <w:rFonts w:ascii="Arial" w:hAnsi="Arial" w:cs="Arial"/>
              </w:rPr>
              <w:t>Foster cross-disciplinary collaboration at the design and implementation stage</w:t>
            </w:r>
            <w:r>
              <w:rPr>
                <w:rFonts w:ascii="Arial" w:hAnsi="Arial" w:cs="Arial"/>
              </w:rPr>
              <w:t xml:space="preserve"> of programmes and modules</w:t>
            </w:r>
            <w:r w:rsidRPr="009D6303">
              <w:rPr>
                <w:rFonts w:ascii="Arial" w:hAnsi="Arial" w:cs="Arial"/>
              </w:rPr>
              <w:t xml:space="preserve"> (e.g. through annual review processes). Encourage academic staff to collaborate with colleagues to develop joint projects or workshops related to sustainability. This could be within the same </w:t>
            </w:r>
            <w:r w:rsidR="00244B35">
              <w:rPr>
                <w:rFonts w:ascii="Arial" w:hAnsi="Arial" w:cs="Arial"/>
              </w:rPr>
              <w:t>S</w:t>
            </w:r>
            <w:r w:rsidRPr="009D6303">
              <w:rPr>
                <w:rFonts w:ascii="Arial" w:hAnsi="Arial" w:cs="Arial"/>
              </w:rPr>
              <w:t xml:space="preserve">chool/department or between different </w:t>
            </w:r>
            <w:r w:rsidR="00244B35">
              <w:rPr>
                <w:rFonts w:ascii="Arial" w:hAnsi="Arial" w:cs="Arial"/>
              </w:rPr>
              <w:t>S</w:t>
            </w:r>
            <w:r w:rsidRPr="009D6303">
              <w:rPr>
                <w:rFonts w:ascii="Arial" w:hAnsi="Arial" w:cs="Arial"/>
              </w:rPr>
              <w:t xml:space="preserve">chools/departments and even colleges. This approach allows students to explore sustainability issues from multiple angles and appreciate its interconnectedness across disciplines. </w:t>
            </w:r>
          </w:p>
          <w:p w14:paraId="51A9F7C7" w14:textId="77777777" w:rsidR="0099402C" w:rsidRPr="0099402C" w:rsidRDefault="0099402C" w:rsidP="0099402C">
            <w:pPr>
              <w:spacing w:before="240" w:after="240"/>
              <w:rPr>
                <w:rFonts w:ascii="Arial" w:hAnsi="Arial" w:cs="Arial"/>
              </w:rPr>
            </w:pPr>
          </w:p>
          <w:p w14:paraId="051F90D0" w14:textId="42CA62C4" w:rsidR="00282872" w:rsidRPr="00DA2D3F" w:rsidRDefault="00282872" w:rsidP="00282872">
            <w:pPr>
              <w:pStyle w:val="ListParagraph"/>
              <w:numPr>
                <w:ilvl w:val="1"/>
                <w:numId w:val="7"/>
              </w:numPr>
              <w:spacing w:before="240" w:after="240"/>
              <w:rPr>
                <w:rFonts w:ascii="Arial" w:hAnsi="Arial" w:cs="Arial"/>
              </w:rPr>
            </w:pPr>
            <w:r>
              <w:rPr>
                <w:rFonts w:ascii="Arial" w:hAnsi="Arial" w:cs="Arial"/>
              </w:rPr>
              <w:lastRenderedPageBreak/>
              <w:t>Support and promote wider opportunities for students to engage with sustainability outside of their degree programme to enable students to develop knowledge of other disciplinary perspectives around sustainability</w:t>
            </w:r>
            <w:r w:rsidR="008A00CC">
              <w:rPr>
                <w:rFonts w:ascii="Arial" w:hAnsi="Arial" w:cs="Arial"/>
              </w:rPr>
              <w:t xml:space="preserve">. </w:t>
            </w:r>
          </w:p>
        </w:tc>
        <w:tc>
          <w:tcPr>
            <w:tcW w:w="3685" w:type="dxa"/>
            <w:vMerge/>
            <w:tcBorders>
              <w:left w:val="single" w:sz="8" w:space="0" w:color="auto"/>
              <w:right w:val="single" w:sz="8" w:space="0" w:color="auto"/>
            </w:tcBorders>
            <w:shd w:val="clear" w:color="auto" w:fill="F2F2F2" w:themeFill="background1" w:themeFillShade="F2"/>
            <w:vAlign w:val="center"/>
          </w:tcPr>
          <w:p w14:paraId="27032C91" w14:textId="77777777" w:rsidR="00282872" w:rsidRPr="00582808" w:rsidRDefault="00282872" w:rsidP="00282872">
            <w:pPr>
              <w:pStyle w:val="Heading2"/>
              <w:keepNext w:val="0"/>
              <w:keepLines w:val="0"/>
              <w:numPr>
                <w:ilvl w:val="0"/>
                <w:numId w:val="6"/>
              </w:numPr>
              <w:spacing w:before="240" w:after="240"/>
              <w:rPr>
                <w:rFonts w:ascii="Arial" w:hAnsi="Arial" w:cs="Arial"/>
                <w:b/>
                <w:bCs/>
                <w:sz w:val="22"/>
                <w:szCs w:val="22"/>
              </w:rPr>
            </w:pPr>
          </w:p>
        </w:tc>
      </w:tr>
      <w:tr w:rsidR="00282872" w:rsidRPr="000E1269" w14:paraId="7F773959" w14:textId="77777777" w:rsidTr="00385651">
        <w:trPr>
          <w:trHeight w:val="300"/>
        </w:trPr>
        <w:tc>
          <w:tcPr>
            <w:tcW w:w="2550" w:type="dxa"/>
            <w:vMerge/>
            <w:tcBorders>
              <w:left w:val="single" w:sz="8" w:space="0" w:color="auto"/>
              <w:right w:val="single" w:sz="8" w:space="0" w:color="auto"/>
            </w:tcBorders>
            <w:shd w:val="clear" w:color="auto" w:fill="F2F2F2" w:themeFill="background1" w:themeFillShade="F2"/>
            <w:tcMar>
              <w:left w:w="108" w:type="dxa"/>
              <w:right w:w="108" w:type="dxa"/>
            </w:tcMar>
            <w:vAlign w:val="center"/>
          </w:tcPr>
          <w:p w14:paraId="64713755" w14:textId="77777777" w:rsidR="00282872" w:rsidRPr="000E1269" w:rsidRDefault="00282872" w:rsidP="009607B6">
            <w:pPr>
              <w:pStyle w:val="ListParagraph"/>
              <w:ind w:left="360"/>
              <w:rPr>
                <w:rFonts w:ascii="Arial" w:eastAsia="Calibri" w:hAnsi="Arial" w:cs="Arial"/>
                <w:color w:val="000000" w:themeColor="text1"/>
              </w:rPr>
            </w:pPr>
          </w:p>
        </w:tc>
        <w:tc>
          <w:tcPr>
            <w:tcW w:w="79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6664A01A" w14:textId="77777777" w:rsidR="00282872" w:rsidRPr="000E1269" w:rsidRDefault="00282872" w:rsidP="0099402C">
            <w:pPr>
              <w:pStyle w:val="Heading2"/>
              <w:keepNext w:val="0"/>
              <w:keepLines w:val="0"/>
              <w:spacing w:before="240" w:after="240"/>
              <w:rPr>
                <w:rFonts w:ascii="Arial" w:hAnsi="Arial" w:cs="Arial"/>
              </w:rPr>
            </w:pPr>
            <w:r w:rsidRPr="0099402C">
              <w:rPr>
                <w:rFonts w:ascii="Arial" w:eastAsia="Calibri" w:hAnsi="Arial" w:cs="Arial"/>
                <w:b/>
                <w:bCs/>
                <w:color w:val="000000" w:themeColor="text1"/>
                <w:sz w:val="24"/>
                <w:szCs w:val="24"/>
              </w:rPr>
              <w:t>Module Lead/Lecturer</w:t>
            </w:r>
          </w:p>
        </w:tc>
        <w:tc>
          <w:tcPr>
            <w:tcW w:w="3685" w:type="dxa"/>
            <w:vMerge/>
            <w:tcBorders>
              <w:left w:val="single" w:sz="8" w:space="0" w:color="auto"/>
              <w:right w:val="single" w:sz="8" w:space="0" w:color="auto"/>
            </w:tcBorders>
            <w:shd w:val="clear" w:color="auto" w:fill="F2F2F2" w:themeFill="background1" w:themeFillShade="F2"/>
            <w:vAlign w:val="center"/>
          </w:tcPr>
          <w:p w14:paraId="3D5EF8AF" w14:textId="77777777" w:rsidR="00282872" w:rsidRPr="000E1269" w:rsidRDefault="00282872" w:rsidP="009607B6">
            <w:pPr>
              <w:pStyle w:val="Heading2"/>
              <w:rPr>
                <w:rFonts w:ascii="Arial" w:hAnsi="Arial" w:cs="Arial"/>
              </w:rPr>
            </w:pPr>
          </w:p>
        </w:tc>
      </w:tr>
      <w:tr w:rsidR="00282872" w:rsidRPr="000E1269" w14:paraId="416ED61C" w14:textId="77777777" w:rsidTr="00385651">
        <w:trPr>
          <w:trHeight w:val="300"/>
        </w:trPr>
        <w:tc>
          <w:tcPr>
            <w:tcW w:w="2550" w:type="dxa"/>
            <w:vMerge/>
            <w:tcBorders>
              <w:left w:val="single" w:sz="8" w:space="0" w:color="auto"/>
              <w:right w:val="single" w:sz="8" w:space="0" w:color="auto"/>
            </w:tcBorders>
            <w:shd w:val="clear" w:color="auto" w:fill="F2F2F2" w:themeFill="background1" w:themeFillShade="F2"/>
            <w:tcMar>
              <w:left w:w="108" w:type="dxa"/>
              <w:right w:w="108" w:type="dxa"/>
            </w:tcMar>
            <w:vAlign w:val="center"/>
          </w:tcPr>
          <w:p w14:paraId="1BDFFB21" w14:textId="77777777" w:rsidR="00282872" w:rsidRPr="000E1269" w:rsidRDefault="00282872" w:rsidP="009607B6">
            <w:pPr>
              <w:pStyle w:val="ListParagraph"/>
              <w:ind w:left="360"/>
              <w:rPr>
                <w:rFonts w:ascii="Arial" w:eastAsia="Calibri" w:hAnsi="Arial" w:cs="Arial"/>
                <w:color w:val="000000" w:themeColor="text1"/>
              </w:rPr>
            </w:pPr>
          </w:p>
        </w:tc>
        <w:tc>
          <w:tcPr>
            <w:tcW w:w="79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133C2A63" w14:textId="77777777" w:rsidR="00282872" w:rsidRDefault="00282872" w:rsidP="00282872">
            <w:pPr>
              <w:pStyle w:val="ListParagraph"/>
              <w:numPr>
                <w:ilvl w:val="1"/>
                <w:numId w:val="7"/>
              </w:numPr>
              <w:spacing w:before="240" w:after="240"/>
              <w:rPr>
                <w:rFonts w:ascii="Arial" w:hAnsi="Arial" w:cs="Arial"/>
              </w:rPr>
            </w:pPr>
            <w:r w:rsidRPr="008F1A70">
              <w:rPr>
                <w:rFonts w:ascii="Arial" w:hAnsi="Arial" w:cs="Arial"/>
              </w:rPr>
              <w:t xml:space="preserve">Where sustainability is embedded into taught content, staff should ensure that the three pillars of sustainability are considered and acknowledged. </w:t>
            </w:r>
          </w:p>
          <w:p w14:paraId="782A0248" w14:textId="77777777" w:rsidR="0099402C" w:rsidRPr="008F1A70" w:rsidRDefault="0099402C" w:rsidP="0099402C">
            <w:pPr>
              <w:pStyle w:val="ListParagraph"/>
              <w:spacing w:before="240" w:after="240"/>
              <w:rPr>
                <w:rFonts w:ascii="Arial" w:hAnsi="Arial" w:cs="Arial"/>
              </w:rPr>
            </w:pPr>
          </w:p>
          <w:p w14:paraId="0632E106" w14:textId="6B84A60B" w:rsidR="00282872" w:rsidRPr="00054D20" w:rsidRDefault="00282872" w:rsidP="00282872">
            <w:pPr>
              <w:pStyle w:val="ListParagraph"/>
              <w:numPr>
                <w:ilvl w:val="1"/>
                <w:numId w:val="7"/>
              </w:numPr>
              <w:spacing w:before="240" w:after="240"/>
              <w:rPr>
                <w:rFonts w:ascii="Arial" w:hAnsi="Arial" w:cs="Arial"/>
              </w:rPr>
            </w:pPr>
            <w:r w:rsidRPr="00C80E99">
              <w:rPr>
                <w:rFonts w:ascii="Arial" w:hAnsi="Arial" w:cs="Arial"/>
              </w:rPr>
              <w:t xml:space="preserve">Promote </w:t>
            </w:r>
            <w:r>
              <w:rPr>
                <w:rFonts w:ascii="Arial" w:hAnsi="Arial" w:cs="Arial"/>
              </w:rPr>
              <w:t>core competencies</w:t>
            </w:r>
            <w:r w:rsidR="002568DC">
              <w:rPr>
                <w:rFonts w:ascii="Arial" w:hAnsi="Arial" w:cs="Arial"/>
              </w:rPr>
              <w:t xml:space="preserve"> for sustainability education</w:t>
            </w:r>
            <w:r>
              <w:rPr>
                <w:rFonts w:ascii="Arial" w:hAnsi="Arial" w:cs="Arial"/>
              </w:rPr>
              <w:t xml:space="preserve"> such as </w:t>
            </w:r>
            <w:r w:rsidRPr="00C80E99">
              <w:rPr>
                <w:rFonts w:ascii="Arial" w:hAnsi="Arial" w:cs="Arial"/>
              </w:rPr>
              <w:t>systems-thinking</w:t>
            </w:r>
            <w:r>
              <w:rPr>
                <w:rFonts w:ascii="Arial" w:hAnsi="Arial" w:cs="Arial"/>
              </w:rPr>
              <w:t>, collaborative</w:t>
            </w:r>
            <w:r w:rsidRPr="00C80E99">
              <w:rPr>
                <w:rFonts w:ascii="Arial" w:hAnsi="Arial" w:cs="Arial"/>
              </w:rPr>
              <w:t xml:space="preserve"> approaches in teaching</w:t>
            </w:r>
            <w:r w:rsidR="002568DC">
              <w:rPr>
                <w:rFonts w:ascii="Arial" w:hAnsi="Arial" w:cs="Arial"/>
              </w:rPr>
              <w:t xml:space="preserve"> (see Education Excellence newsletter 3)</w:t>
            </w:r>
            <w:r w:rsidR="00163839">
              <w:rPr>
                <w:rFonts w:ascii="Arial" w:hAnsi="Arial" w:cs="Arial"/>
              </w:rPr>
              <w:t xml:space="preserve"> using </w:t>
            </w:r>
            <w:r w:rsidR="00F257E3">
              <w:rPr>
                <w:rFonts w:ascii="Arial" w:hAnsi="Arial" w:cs="Arial"/>
              </w:rPr>
              <w:t>methods such as debate, role play, reflective practice and teamwork</w:t>
            </w:r>
            <w:r w:rsidRPr="00C80E99">
              <w:rPr>
                <w:rFonts w:ascii="Arial" w:hAnsi="Arial" w:cs="Arial"/>
              </w:rPr>
              <w:t xml:space="preserve">. Encourage </w:t>
            </w:r>
            <w:r>
              <w:rPr>
                <w:rFonts w:ascii="Arial" w:hAnsi="Arial" w:cs="Arial"/>
              </w:rPr>
              <w:t>students</w:t>
            </w:r>
            <w:r w:rsidRPr="00C80E99">
              <w:rPr>
                <w:rFonts w:ascii="Arial" w:hAnsi="Arial" w:cs="Arial"/>
              </w:rPr>
              <w:t xml:space="preserve"> to explore complex sustainability challenges through interconnected lenses </w:t>
            </w:r>
            <w:r w:rsidR="00134E83">
              <w:rPr>
                <w:rFonts w:ascii="Arial" w:hAnsi="Arial" w:cs="Arial"/>
              </w:rPr>
              <w:t>e.g.</w:t>
            </w:r>
            <w:r w:rsidRPr="00C80E99">
              <w:rPr>
                <w:rFonts w:ascii="Arial" w:hAnsi="Arial" w:cs="Arial"/>
              </w:rPr>
              <w:t xml:space="preserve"> a </w:t>
            </w:r>
            <w:r>
              <w:rPr>
                <w:rFonts w:ascii="Arial" w:hAnsi="Arial" w:cs="Arial"/>
              </w:rPr>
              <w:t>case-study</w:t>
            </w:r>
            <w:r w:rsidRPr="00C80E99">
              <w:rPr>
                <w:rFonts w:ascii="Arial" w:hAnsi="Arial" w:cs="Arial"/>
              </w:rPr>
              <w:t xml:space="preserve"> could analyse food systems, considering environmental impact, social equity, and economic viability simultaneously. This cultivates critical thinking and holistic problem-solving skills.</w:t>
            </w:r>
          </w:p>
        </w:tc>
        <w:tc>
          <w:tcPr>
            <w:tcW w:w="3685"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68EF5A79" w14:textId="77777777" w:rsidR="00282872" w:rsidRPr="000E1269" w:rsidRDefault="00282872" w:rsidP="009607B6">
            <w:pPr>
              <w:pStyle w:val="Heading2"/>
              <w:rPr>
                <w:rFonts w:ascii="Arial" w:hAnsi="Arial" w:cs="Arial"/>
              </w:rPr>
            </w:pPr>
          </w:p>
        </w:tc>
      </w:tr>
    </w:tbl>
    <w:p w14:paraId="39C20AF5" w14:textId="77777777" w:rsidR="00282872" w:rsidRDefault="00282872"/>
    <w:tbl>
      <w:tblPr>
        <w:tblStyle w:val="TableGrid"/>
        <w:tblW w:w="14165" w:type="dxa"/>
        <w:tblLayout w:type="fixed"/>
        <w:tblLook w:val="04A0" w:firstRow="1" w:lastRow="0" w:firstColumn="1" w:lastColumn="0" w:noHBand="0" w:noVBand="1"/>
      </w:tblPr>
      <w:tblGrid>
        <w:gridCol w:w="2550"/>
        <w:gridCol w:w="7930"/>
        <w:gridCol w:w="3685"/>
      </w:tblGrid>
      <w:tr w:rsidR="001430DD" w14:paraId="1831EF3A" w14:textId="77777777" w:rsidTr="00385651">
        <w:trPr>
          <w:trHeight w:val="573"/>
        </w:trPr>
        <w:tc>
          <w:tcPr>
            <w:tcW w:w="2550" w:type="dxa"/>
            <w:tcBorders>
              <w:top w:val="single" w:sz="8" w:space="0" w:color="auto"/>
              <w:left w:val="single" w:sz="8" w:space="0" w:color="auto"/>
              <w:bottom w:val="single" w:sz="8" w:space="0" w:color="auto"/>
              <w:right w:val="single" w:sz="8" w:space="0" w:color="auto"/>
            </w:tcBorders>
            <w:shd w:val="clear" w:color="auto" w:fill="3A3A3A" w:themeFill="background2" w:themeFillShade="40"/>
            <w:tcMar>
              <w:left w:w="108" w:type="dxa"/>
              <w:right w:w="108" w:type="dxa"/>
            </w:tcMar>
            <w:vAlign w:val="center"/>
          </w:tcPr>
          <w:p w14:paraId="329E7C32" w14:textId="77777777" w:rsidR="001430DD" w:rsidRPr="000E1269" w:rsidRDefault="001430DD" w:rsidP="009607B6">
            <w:pPr>
              <w:jc w:val="center"/>
              <w:rPr>
                <w:rFonts w:ascii="Arial" w:hAnsi="Arial" w:cs="Arial"/>
                <w:color w:val="FFFFFF" w:themeColor="background1"/>
              </w:rPr>
            </w:pPr>
            <w:r w:rsidRPr="000E1269">
              <w:rPr>
                <w:rFonts w:ascii="Arial" w:eastAsia="Calibri" w:hAnsi="Arial" w:cs="Arial"/>
                <w:b/>
                <w:bCs/>
                <w:color w:val="FFFFFF" w:themeColor="background1"/>
              </w:rPr>
              <w:t>Principles</w:t>
            </w:r>
          </w:p>
        </w:tc>
        <w:tc>
          <w:tcPr>
            <w:tcW w:w="7930" w:type="dxa"/>
            <w:tcBorders>
              <w:top w:val="single" w:sz="8" w:space="0" w:color="auto"/>
              <w:left w:val="single" w:sz="8" w:space="0" w:color="auto"/>
              <w:bottom w:val="single" w:sz="8" w:space="0" w:color="auto"/>
              <w:right w:val="single" w:sz="8" w:space="0" w:color="auto"/>
            </w:tcBorders>
            <w:shd w:val="clear" w:color="auto" w:fill="3A3A3A" w:themeFill="background2" w:themeFillShade="40"/>
            <w:tcMar>
              <w:left w:w="108" w:type="dxa"/>
              <w:right w:w="108" w:type="dxa"/>
            </w:tcMar>
            <w:vAlign w:val="center"/>
          </w:tcPr>
          <w:p w14:paraId="050F691A" w14:textId="77777777" w:rsidR="001430DD" w:rsidRPr="000E1269" w:rsidRDefault="001430DD" w:rsidP="009607B6">
            <w:pPr>
              <w:jc w:val="center"/>
              <w:rPr>
                <w:rFonts w:ascii="Arial" w:hAnsi="Arial" w:cs="Arial"/>
                <w:color w:val="FFFFFF" w:themeColor="background1"/>
              </w:rPr>
            </w:pPr>
            <w:r w:rsidRPr="000E1269">
              <w:rPr>
                <w:rFonts w:ascii="Arial" w:eastAsia="Calibri" w:hAnsi="Arial" w:cs="Arial"/>
                <w:b/>
                <w:bCs/>
                <w:color w:val="FFFFFF" w:themeColor="background1"/>
              </w:rPr>
              <w:t>Birmingham Standard (and Responsible Lead)</w:t>
            </w:r>
          </w:p>
        </w:tc>
        <w:tc>
          <w:tcPr>
            <w:tcW w:w="3685" w:type="dxa"/>
            <w:tcBorders>
              <w:top w:val="single" w:sz="8" w:space="0" w:color="auto"/>
              <w:left w:val="single" w:sz="8" w:space="0" w:color="auto"/>
              <w:bottom w:val="single" w:sz="8" w:space="0" w:color="auto"/>
              <w:right w:val="single" w:sz="8" w:space="0" w:color="auto"/>
            </w:tcBorders>
            <w:shd w:val="clear" w:color="auto" w:fill="3A3A3A" w:themeFill="background2" w:themeFillShade="40"/>
            <w:tcMar>
              <w:left w:w="108" w:type="dxa"/>
              <w:right w:w="108" w:type="dxa"/>
            </w:tcMar>
            <w:vAlign w:val="center"/>
          </w:tcPr>
          <w:p w14:paraId="3B3FC33E" w14:textId="77777777" w:rsidR="001430DD" w:rsidRPr="000E1269" w:rsidRDefault="001430DD" w:rsidP="009607B6">
            <w:pPr>
              <w:jc w:val="center"/>
              <w:rPr>
                <w:rFonts w:ascii="Arial" w:hAnsi="Arial" w:cs="Arial"/>
                <w:color w:val="FFFFFF" w:themeColor="background1"/>
              </w:rPr>
            </w:pPr>
            <w:r w:rsidRPr="000E1269">
              <w:rPr>
                <w:rFonts w:ascii="Arial" w:eastAsia="Calibri" w:hAnsi="Arial" w:cs="Arial"/>
                <w:b/>
                <w:bCs/>
                <w:color w:val="FFFFFF" w:themeColor="background1"/>
              </w:rPr>
              <w:t>Examples of Enhanced Practice</w:t>
            </w:r>
          </w:p>
        </w:tc>
      </w:tr>
      <w:tr w:rsidR="001430DD" w:rsidRPr="000E1269" w14:paraId="03032BC6" w14:textId="77777777" w:rsidTr="00385651">
        <w:trPr>
          <w:trHeight w:val="300"/>
        </w:trPr>
        <w:tc>
          <w:tcPr>
            <w:tcW w:w="2550" w:type="dxa"/>
            <w:vMerge w:val="restart"/>
            <w:tcBorders>
              <w:top w:val="single" w:sz="8" w:space="0" w:color="auto"/>
              <w:left w:val="single" w:sz="8" w:space="0" w:color="auto"/>
              <w:right w:val="single" w:sz="8" w:space="0" w:color="auto"/>
            </w:tcBorders>
            <w:shd w:val="clear" w:color="auto" w:fill="F2F2F2" w:themeFill="background1" w:themeFillShade="F2"/>
            <w:tcMar>
              <w:left w:w="108" w:type="dxa"/>
              <w:right w:w="108" w:type="dxa"/>
            </w:tcMar>
            <w:vAlign w:val="center"/>
          </w:tcPr>
          <w:p w14:paraId="1C9EAFA9" w14:textId="77777777" w:rsidR="0099402C" w:rsidRDefault="0099402C" w:rsidP="0099402C">
            <w:pPr>
              <w:pStyle w:val="paragraph"/>
              <w:spacing w:before="0" w:beforeAutospacing="0" w:after="0" w:afterAutospacing="0"/>
              <w:ind w:left="400"/>
              <w:textAlignment w:val="baseline"/>
              <w:rPr>
                <w:rFonts w:ascii="Arial" w:hAnsi="Arial" w:cs="Arial"/>
              </w:rPr>
            </w:pPr>
          </w:p>
          <w:p w14:paraId="6BF838F3" w14:textId="77777777" w:rsidR="0099402C" w:rsidRDefault="0099402C" w:rsidP="0099402C">
            <w:pPr>
              <w:pStyle w:val="paragraph"/>
              <w:spacing w:before="0" w:beforeAutospacing="0" w:after="0" w:afterAutospacing="0"/>
              <w:ind w:left="400"/>
              <w:textAlignment w:val="baseline"/>
              <w:rPr>
                <w:rFonts w:ascii="Arial" w:hAnsi="Arial" w:cs="Arial"/>
              </w:rPr>
            </w:pPr>
          </w:p>
          <w:p w14:paraId="4EB34568" w14:textId="2A73194F" w:rsidR="001430DD" w:rsidRPr="0099402C" w:rsidRDefault="001430DD" w:rsidP="001430DD">
            <w:pPr>
              <w:pStyle w:val="paragraph"/>
              <w:numPr>
                <w:ilvl w:val="0"/>
                <w:numId w:val="7"/>
              </w:numPr>
              <w:spacing w:before="0" w:beforeAutospacing="0" w:after="0" w:afterAutospacing="0"/>
              <w:textAlignment w:val="baseline"/>
              <w:rPr>
                <w:rFonts w:ascii="Arial" w:hAnsi="Arial" w:cs="Arial"/>
                <w:sz w:val="22"/>
                <w:szCs w:val="22"/>
              </w:rPr>
            </w:pPr>
            <w:r w:rsidRPr="0099402C">
              <w:rPr>
                <w:rFonts w:ascii="Arial" w:hAnsi="Arial" w:cs="Arial"/>
                <w:sz w:val="22"/>
                <w:szCs w:val="22"/>
              </w:rPr>
              <w:t xml:space="preserve">Empower students to engage in action-oriented and participatory learning, reflect on their responsibilities and act as a voice for sustainability within their wider community.  </w:t>
            </w:r>
          </w:p>
          <w:p w14:paraId="4E7A8F9B" w14:textId="77777777" w:rsidR="001430DD" w:rsidRPr="008E45D4" w:rsidRDefault="001430DD" w:rsidP="009607B6">
            <w:pPr>
              <w:rPr>
                <w:rFonts w:ascii="Arial" w:eastAsia="Calibri" w:hAnsi="Arial" w:cs="Arial"/>
                <w:color w:val="000000" w:themeColor="text1"/>
              </w:rPr>
            </w:pPr>
          </w:p>
          <w:p w14:paraId="4EE40B91" w14:textId="77777777" w:rsidR="001430DD" w:rsidRPr="00BE12C4" w:rsidRDefault="001430DD" w:rsidP="009607B6">
            <w:pPr>
              <w:rPr>
                <w:rFonts w:ascii="Arial" w:eastAsia="Calibri" w:hAnsi="Arial" w:cs="Arial"/>
                <w:color w:val="000000" w:themeColor="text1"/>
              </w:rPr>
            </w:pPr>
          </w:p>
        </w:tc>
        <w:tc>
          <w:tcPr>
            <w:tcW w:w="79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1D9CA6D9" w14:textId="77777777" w:rsidR="001430DD" w:rsidRPr="007C092F" w:rsidRDefault="001430DD" w:rsidP="0099402C">
            <w:pPr>
              <w:pStyle w:val="Heading2"/>
              <w:keepNext w:val="0"/>
              <w:keepLines w:val="0"/>
              <w:spacing w:before="240" w:after="240"/>
              <w:rPr>
                <w:rFonts w:ascii="Arial" w:hAnsi="Arial" w:cs="Arial"/>
                <w:b/>
                <w:bCs/>
                <w:sz w:val="28"/>
                <w:szCs w:val="28"/>
              </w:rPr>
            </w:pPr>
            <w:r w:rsidRPr="0099402C">
              <w:rPr>
                <w:rFonts w:ascii="Arial" w:eastAsia="Calibri" w:hAnsi="Arial" w:cs="Arial"/>
                <w:b/>
                <w:bCs/>
                <w:color w:val="000000" w:themeColor="text1"/>
                <w:sz w:val="24"/>
                <w:szCs w:val="24"/>
              </w:rPr>
              <w:lastRenderedPageBreak/>
              <w:t>Head of School/Head of Education</w:t>
            </w:r>
          </w:p>
        </w:tc>
        <w:tc>
          <w:tcPr>
            <w:tcW w:w="3685"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1DB99F43" w14:textId="05EF4B1E" w:rsidR="001430DD" w:rsidRPr="007C092F" w:rsidRDefault="001430DD" w:rsidP="001430DD">
            <w:pPr>
              <w:pStyle w:val="Heading2"/>
              <w:keepNext w:val="0"/>
              <w:keepLines w:val="0"/>
              <w:numPr>
                <w:ilvl w:val="0"/>
                <w:numId w:val="6"/>
              </w:numPr>
              <w:spacing w:before="240" w:after="240"/>
              <w:rPr>
                <w:rFonts w:ascii="Arial" w:hAnsi="Arial" w:cs="Arial"/>
                <w:color w:val="auto"/>
                <w:sz w:val="22"/>
                <w:szCs w:val="22"/>
              </w:rPr>
            </w:pPr>
            <w:r w:rsidRPr="007C092F">
              <w:rPr>
                <w:rFonts w:ascii="Arial" w:hAnsi="Arial" w:cs="Arial"/>
                <w:color w:val="auto"/>
                <w:sz w:val="22"/>
                <w:szCs w:val="22"/>
              </w:rPr>
              <w:t>Promote and support students to have a voice in department/school and college-level sustainability committees e.g. through representation on committees</w:t>
            </w:r>
            <w:r w:rsidR="003B38A7">
              <w:rPr>
                <w:rFonts w:ascii="Arial" w:hAnsi="Arial" w:cs="Arial"/>
                <w:color w:val="auto"/>
                <w:sz w:val="22"/>
                <w:szCs w:val="22"/>
              </w:rPr>
              <w:t xml:space="preserve"> (e.g. seen in CoSS College Sustainability committee)</w:t>
            </w:r>
            <w:r w:rsidR="00EA0E9F">
              <w:rPr>
                <w:rFonts w:ascii="Arial" w:hAnsi="Arial" w:cs="Arial"/>
                <w:color w:val="auto"/>
                <w:sz w:val="22"/>
                <w:szCs w:val="22"/>
              </w:rPr>
              <w:t xml:space="preserve"> or by engaging with relevant </w:t>
            </w:r>
            <w:r w:rsidR="00B00685">
              <w:rPr>
                <w:rFonts w:ascii="Arial" w:hAnsi="Arial" w:cs="Arial"/>
                <w:color w:val="auto"/>
                <w:sz w:val="22"/>
                <w:szCs w:val="22"/>
              </w:rPr>
              <w:t xml:space="preserve">student </w:t>
            </w:r>
            <w:r w:rsidR="00EA0E9F">
              <w:rPr>
                <w:rFonts w:ascii="Arial" w:hAnsi="Arial" w:cs="Arial"/>
                <w:color w:val="auto"/>
                <w:sz w:val="22"/>
                <w:szCs w:val="22"/>
              </w:rPr>
              <w:t>societies e.g.</w:t>
            </w:r>
            <w:r w:rsidR="00535D13">
              <w:rPr>
                <w:rFonts w:ascii="Arial" w:hAnsi="Arial" w:cs="Arial"/>
                <w:color w:val="auto"/>
                <w:sz w:val="22"/>
                <w:szCs w:val="22"/>
              </w:rPr>
              <w:t xml:space="preserve"> </w:t>
            </w:r>
            <w:proofErr w:type="spellStart"/>
            <w:r w:rsidR="00535D13">
              <w:rPr>
                <w:rFonts w:ascii="Arial" w:hAnsi="Arial" w:cs="Arial"/>
                <w:color w:val="auto"/>
                <w:sz w:val="22"/>
                <w:szCs w:val="22"/>
              </w:rPr>
              <w:t>BioSoc</w:t>
            </w:r>
            <w:proofErr w:type="spellEnd"/>
            <w:r w:rsidR="00535D13">
              <w:rPr>
                <w:rFonts w:ascii="Arial" w:hAnsi="Arial" w:cs="Arial"/>
                <w:color w:val="auto"/>
                <w:sz w:val="22"/>
                <w:szCs w:val="22"/>
              </w:rPr>
              <w:t xml:space="preserve"> in the School of Biosciences h</w:t>
            </w:r>
            <w:r w:rsidR="004671C1">
              <w:rPr>
                <w:rFonts w:ascii="Arial" w:hAnsi="Arial" w:cs="Arial"/>
                <w:color w:val="auto"/>
                <w:sz w:val="22"/>
                <w:szCs w:val="22"/>
              </w:rPr>
              <w:t xml:space="preserve">eld a </w:t>
            </w:r>
            <w:r w:rsidR="005C5C0F">
              <w:rPr>
                <w:rFonts w:ascii="Arial" w:hAnsi="Arial" w:cs="Arial"/>
                <w:color w:val="auto"/>
                <w:sz w:val="22"/>
                <w:szCs w:val="22"/>
              </w:rPr>
              <w:t xml:space="preserve">hedgehog-themed </w:t>
            </w:r>
            <w:r w:rsidR="004671C1">
              <w:rPr>
                <w:rFonts w:ascii="Arial" w:hAnsi="Arial" w:cs="Arial"/>
                <w:color w:val="auto"/>
                <w:sz w:val="22"/>
                <w:szCs w:val="22"/>
              </w:rPr>
              <w:t xml:space="preserve">cake sale </w:t>
            </w:r>
            <w:r w:rsidR="005C5C0F">
              <w:rPr>
                <w:rFonts w:ascii="Arial" w:hAnsi="Arial" w:cs="Arial"/>
                <w:color w:val="auto"/>
                <w:sz w:val="22"/>
                <w:szCs w:val="22"/>
              </w:rPr>
              <w:t xml:space="preserve">for students and staff to raise money for the </w:t>
            </w:r>
            <w:r w:rsidR="005C5C0F">
              <w:rPr>
                <w:rFonts w:ascii="Arial" w:hAnsi="Arial" w:cs="Arial"/>
                <w:color w:val="auto"/>
                <w:sz w:val="22"/>
                <w:szCs w:val="22"/>
              </w:rPr>
              <w:lastRenderedPageBreak/>
              <w:t>Birmingham and Black Country Wildlife Trust</w:t>
            </w:r>
            <w:r w:rsidRPr="007C092F">
              <w:rPr>
                <w:rFonts w:ascii="Arial" w:hAnsi="Arial" w:cs="Arial"/>
                <w:color w:val="auto"/>
                <w:sz w:val="22"/>
                <w:szCs w:val="22"/>
              </w:rPr>
              <w:t xml:space="preserve">. </w:t>
            </w:r>
          </w:p>
          <w:p w14:paraId="751F8B4D" w14:textId="10635476" w:rsidR="001430DD" w:rsidRDefault="001430DD" w:rsidP="001430DD">
            <w:pPr>
              <w:pStyle w:val="Heading2"/>
              <w:keepNext w:val="0"/>
              <w:keepLines w:val="0"/>
              <w:numPr>
                <w:ilvl w:val="0"/>
                <w:numId w:val="6"/>
              </w:numPr>
              <w:spacing w:before="240" w:after="240"/>
              <w:rPr>
                <w:rFonts w:ascii="Arial" w:hAnsi="Arial" w:cs="Arial"/>
                <w:color w:val="auto"/>
                <w:sz w:val="22"/>
                <w:szCs w:val="22"/>
              </w:rPr>
            </w:pPr>
            <w:r w:rsidRPr="007C092F">
              <w:rPr>
                <w:rFonts w:ascii="Arial" w:hAnsi="Arial" w:cs="Arial"/>
                <w:color w:val="auto"/>
                <w:sz w:val="22"/>
                <w:szCs w:val="22"/>
              </w:rPr>
              <w:t xml:space="preserve">Actively promote and celebrate the </w:t>
            </w:r>
            <w:hyperlink r:id="rId19" w:history="1">
              <w:r w:rsidRPr="003500FB">
                <w:rPr>
                  <w:rStyle w:val="Hyperlink"/>
                  <w:rFonts w:ascii="Arial" w:hAnsi="Arial" w:cs="Arial"/>
                  <w:color w:val="0B769F" w:themeColor="accent4" w:themeShade="BF"/>
                  <w:sz w:val="22"/>
                  <w:szCs w:val="22"/>
                </w:rPr>
                <w:t>sustainability champions network</w:t>
              </w:r>
            </w:hyperlink>
            <w:r w:rsidRPr="007C092F">
              <w:rPr>
                <w:rFonts w:ascii="Arial" w:hAnsi="Arial" w:cs="Arial"/>
                <w:color w:val="auto"/>
                <w:sz w:val="22"/>
                <w:szCs w:val="22"/>
              </w:rPr>
              <w:t xml:space="preserve"> with both students and staff to facilitate whole-community engagement. Demonstrate a commitment to supporting initiatives such as Green Week and relevant </w:t>
            </w:r>
            <w:proofErr w:type="spellStart"/>
            <w:r w:rsidRPr="007C092F">
              <w:rPr>
                <w:rFonts w:ascii="Arial" w:hAnsi="Arial" w:cs="Arial"/>
                <w:color w:val="auto"/>
                <w:sz w:val="22"/>
                <w:szCs w:val="22"/>
              </w:rPr>
              <w:t>UoB</w:t>
            </w:r>
            <w:proofErr w:type="spellEnd"/>
            <w:r w:rsidRPr="007C092F">
              <w:rPr>
                <w:rFonts w:ascii="Arial" w:hAnsi="Arial" w:cs="Arial"/>
                <w:color w:val="auto"/>
                <w:sz w:val="22"/>
                <w:szCs w:val="22"/>
              </w:rPr>
              <w:t xml:space="preserve"> Xtra activities.  </w:t>
            </w:r>
          </w:p>
          <w:p w14:paraId="30CC509A" w14:textId="4B6AF5D8" w:rsidR="00453B18" w:rsidRPr="00EB3956" w:rsidRDefault="00453B18" w:rsidP="00453B18">
            <w:pPr>
              <w:pStyle w:val="ListParagraph"/>
              <w:numPr>
                <w:ilvl w:val="0"/>
                <w:numId w:val="6"/>
              </w:numPr>
              <w:rPr>
                <w:rFonts w:ascii="Arial" w:hAnsi="Arial" w:cs="Arial"/>
              </w:rPr>
            </w:pPr>
            <w:r w:rsidRPr="00EB3956">
              <w:rPr>
                <w:rFonts w:ascii="Arial" w:hAnsi="Arial" w:cs="Arial"/>
              </w:rPr>
              <w:t xml:space="preserve">Facilitate </w:t>
            </w:r>
            <w:r w:rsidR="004B1929" w:rsidRPr="00EB3956">
              <w:rPr>
                <w:rFonts w:ascii="Arial" w:hAnsi="Arial" w:cs="Arial"/>
              </w:rPr>
              <w:t xml:space="preserve">engagement with external organisations e.g. </w:t>
            </w:r>
            <w:hyperlink r:id="rId20" w:history="1">
              <w:r w:rsidR="006F6EEB" w:rsidRPr="003500FB">
                <w:rPr>
                  <w:rStyle w:val="Hyperlink"/>
                  <w:rFonts w:ascii="Arial" w:hAnsi="Arial" w:cs="Arial"/>
                  <w:color w:val="0B769F" w:themeColor="accent4" w:themeShade="BF"/>
                </w:rPr>
                <w:t>22728 LM Transforming Development for Sustainability</w:t>
              </w:r>
            </w:hyperlink>
            <w:r w:rsidR="006F6EEB" w:rsidRPr="00EB3956">
              <w:rPr>
                <w:rFonts w:ascii="Arial" w:hAnsi="Arial" w:cs="Arial"/>
              </w:rPr>
              <w:t xml:space="preserve"> </w:t>
            </w:r>
            <w:r w:rsidR="00E27DCC">
              <w:rPr>
                <w:rFonts w:ascii="Arial" w:hAnsi="Arial" w:cs="Arial"/>
              </w:rPr>
              <w:t xml:space="preserve">students in the School of Government </w:t>
            </w:r>
            <w:r w:rsidR="006F6EEB" w:rsidRPr="00EB3956">
              <w:rPr>
                <w:rFonts w:ascii="Arial" w:hAnsi="Arial" w:cs="Arial"/>
              </w:rPr>
              <w:t>go on a day-trip to</w:t>
            </w:r>
            <w:r w:rsidR="00EB3956" w:rsidRPr="00EB3956">
              <w:rPr>
                <w:rFonts w:ascii="Arial" w:hAnsi="Arial" w:cs="Arial"/>
              </w:rPr>
              <w:t xml:space="preserve"> the Centre for Alternative Technology. </w:t>
            </w:r>
          </w:p>
          <w:p w14:paraId="23E3B990" w14:textId="77777777" w:rsidR="00453B18" w:rsidRPr="00EB3956" w:rsidRDefault="00453B18" w:rsidP="00453B18">
            <w:pPr>
              <w:rPr>
                <w:rFonts w:ascii="Arial" w:hAnsi="Arial" w:cs="Arial"/>
              </w:rPr>
            </w:pPr>
          </w:p>
          <w:p w14:paraId="5630117E" w14:textId="65B82C1E" w:rsidR="001430DD" w:rsidRPr="007C092F" w:rsidRDefault="001430DD" w:rsidP="001430DD">
            <w:pPr>
              <w:pStyle w:val="ListParagraph"/>
              <w:numPr>
                <w:ilvl w:val="0"/>
                <w:numId w:val="6"/>
              </w:numPr>
              <w:rPr>
                <w:rFonts w:ascii="Arial" w:hAnsi="Arial" w:cs="Arial"/>
              </w:rPr>
            </w:pPr>
            <w:r w:rsidRPr="007C092F">
              <w:rPr>
                <w:rFonts w:ascii="Arial" w:hAnsi="Arial" w:cs="Arial"/>
              </w:rPr>
              <w:t>Work with local communities and external organisations to provide real-world opportunities e.g. through group-based projects, case studies, placements and internships</w:t>
            </w:r>
            <w:r w:rsidR="001553F5">
              <w:rPr>
                <w:rFonts w:ascii="Arial" w:hAnsi="Arial" w:cs="Arial"/>
              </w:rPr>
              <w:t xml:space="preserve"> (e.g. </w:t>
            </w:r>
            <w:hyperlink r:id="rId21" w:history="1">
              <w:r w:rsidR="001553F5" w:rsidRPr="003500FB">
                <w:rPr>
                  <w:rStyle w:val="Hyperlink"/>
                  <w:rFonts w:ascii="Arial" w:hAnsi="Arial" w:cs="Arial"/>
                  <w:color w:val="0B769F" w:themeColor="accent4" w:themeShade="BF"/>
                </w:rPr>
                <w:t>the B</w:t>
              </w:r>
              <w:r w:rsidR="00225285" w:rsidRPr="003500FB">
                <w:rPr>
                  <w:rStyle w:val="Hyperlink"/>
                  <w:rFonts w:ascii="Arial" w:hAnsi="Arial" w:cs="Arial"/>
                  <w:color w:val="0B769F" w:themeColor="accent4" w:themeShade="BF"/>
                </w:rPr>
                <w:t>irmingham</w:t>
              </w:r>
              <w:r w:rsidR="001553F5" w:rsidRPr="003500FB">
                <w:rPr>
                  <w:rStyle w:val="Hyperlink"/>
                  <w:rFonts w:ascii="Arial" w:hAnsi="Arial" w:cs="Arial"/>
                  <w:color w:val="0B769F" w:themeColor="accent4" w:themeShade="BF"/>
                </w:rPr>
                <w:t xml:space="preserve"> </w:t>
              </w:r>
              <w:r w:rsidR="00225285" w:rsidRPr="003500FB">
                <w:rPr>
                  <w:rStyle w:val="Hyperlink"/>
                  <w:rFonts w:ascii="Arial" w:hAnsi="Arial" w:cs="Arial"/>
                  <w:color w:val="0B769F" w:themeColor="accent4" w:themeShade="BF"/>
                </w:rPr>
                <w:t>P</w:t>
              </w:r>
              <w:r w:rsidR="001553F5" w:rsidRPr="003500FB">
                <w:rPr>
                  <w:rStyle w:val="Hyperlink"/>
                  <w:rFonts w:ascii="Arial" w:hAnsi="Arial" w:cs="Arial"/>
                  <w:color w:val="0B769F" w:themeColor="accent4" w:themeShade="BF"/>
                </w:rPr>
                <w:t>roject</w:t>
              </w:r>
            </w:hyperlink>
            <w:r w:rsidR="001553F5">
              <w:rPr>
                <w:rFonts w:ascii="Arial" w:hAnsi="Arial" w:cs="Arial"/>
              </w:rPr>
              <w:t xml:space="preserve"> </w:t>
            </w:r>
            <w:r w:rsidR="00CB23DA">
              <w:rPr>
                <w:rFonts w:ascii="Arial" w:hAnsi="Arial" w:cs="Arial"/>
              </w:rPr>
              <w:t>has embedded th</w:t>
            </w:r>
            <w:r w:rsidR="00545BF4">
              <w:rPr>
                <w:rFonts w:ascii="Arial" w:hAnsi="Arial" w:cs="Arial"/>
              </w:rPr>
              <w:t xml:space="preserve">e </w:t>
            </w:r>
            <w:r w:rsidR="004639DD">
              <w:rPr>
                <w:rFonts w:ascii="Arial" w:hAnsi="Arial" w:cs="Arial"/>
              </w:rPr>
              <w:t xml:space="preserve">Education for </w:t>
            </w:r>
            <w:r w:rsidR="00CB23DA">
              <w:rPr>
                <w:rFonts w:ascii="Arial" w:hAnsi="Arial" w:cs="Arial"/>
              </w:rPr>
              <w:t>Sustainability Competencies)</w:t>
            </w:r>
            <w:r w:rsidRPr="007C092F">
              <w:rPr>
                <w:rFonts w:ascii="Arial" w:hAnsi="Arial" w:cs="Arial"/>
              </w:rPr>
              <w:t xml:space="preserve">.  </w:t>
            </w:r>
          </w:p>
          <w:p w14:paraId="0D1BE6D1" w14:textId="77777777" w:rsidR="001430DD" w:rsidRPr="007C092F" w:rsidRDefault="001430DD" w:rsidP="009607B6">
            <w:pPr>
              <w:pStyle w:val="ListParagraph"/>
              <w:ind w:left="360"/>
              <w:rPr>
                <w:rFonts w:ascii="Arial" w:hAnsi="Arial" w:cs="Arial"/>
              </w:rPr>
            </w:pPr>
          </w:p>
          <w:p w14:paraId="0272A3D1" w14:textId="3466567B" w:rsidR="001430DD" w:rsidRPr="009A2DDB" w:rsidRDefault="001430DD" w:rsidP="001430DD">
            <w:pPr>
              <w:pStyle w:val="ListParagraph"/>
              <w:numPr>
                <w:ilvl w:val="0"/>
                <w:numId w:val="6"/>
              </w:numPr>
              <w:rPr>
                <w:rFonts w:ascii="Arial" w:hAnsi="Arial" w:cs="Arial"/>
              </w:rPr>
            </w:pPr>
            <w:r w:rsidRPr="007C092F">
              <w:rPr>
                <w:rFonts w:ascii="Arial" w:hAnsi="Arial" w:cs="Arial"/>
              </w:rPr>
              <w:t xml:space="preserve">Offer workshops/sessions on ethical decision-making and </w:t>
            </w:r>
            <w:r w:rsidRPr="007C092F">
              <w:rPr>
                <w:rFonts w:ascii="Arial" w:hAnsi="Arial" w:cs="Arial"/>
              </w:rPr>
              <w:lastRenderedPageBreak/>
              <w:t>responsible leadership. This will expose students to complex sustainability dilemmas, considering societal norms, cultural context, and ethical frameworks. These skills empower them to advocate for positive change.</w:t>
            </w:r>
            <w:r w:rsidR="00E96CFE">
              <w:rPr>
                <w:rFonts w:ascii="Arial" w:hAnsi="Arial" w:cs="Arial"/>
              </w:rPr>
              <w:t xml:space="preserve"> E.g. </w:t>
            </w:r>
            <w:hyperlink r:id="rId22" w:history="1">
              <w:r w:rsidR="0093065E" w:rsidRPr="003500FB">
                <w:rPr>
                  <w:rStyle w:val="Hyperlink"/>
                  <w:rFonts w:ascii="Arial" w:hAnsi="Arial" w:cs="Arial"/>
                  <w:color w:val="0B769F" w:themeColor="accent4" w:themeShade="BF"/>
                </w:rPr>
                <w:t>31699 LI Responsible Business: Theory and Practice</w:t>
              </w:r>
            </w:hyperlink>
            <w:r w:rsidR="0093065E">
              <w:rPr>
                <w:rFonts w:ascii="Arial" w:hAnsi="Arial" w:cs="Arial"/>
              </w:rPr>
              <w:t xml:space="preserve"> in the Birmingham Business School </w:t>
            </w:r>
            <w:r w:rsidR="00E90650">
              <w:rPr>
                <w:rFonts w:ascii="Arial" w:hAnsi="Arial" w:cs="Arial"/>
              </w:rPr>
              <w:t>explores the growing movement towards responsible business transformation</w:t>
            </w:r>
            <w:r w:rsidR="00A92706">
              <w:rPr>
                <w:rFonts w:ascii="Arial" w:hAnsi="Arial" w:cs="Arial"/>
              </w:rPr>
              <w:t xml:space="preserve"> </w:t>
            </w:r>
            <w:r w:rsidR="00AC0A57">
              <w:rPr>
                <w:rFonts w:ascii="Arial" w:hAnsi="Arial" w:cs="Arial"/>
              </w:rPr>
              <w:t xml:space="preserve">and </w:t>
            </w:r>
            <w:hyperlink r:id="rId23" w:history="1">
              <w:r w:rsidR="00AC0A57" w:rsidRPr="003500FB">
                <w:rPr>
                  <w:rStyle w:val="Hyperlink"/>
                  <w:rFonts w:ascii="Arial" w:hAnsi="Arial" w:cs="Arial"/>
                  <w:color w:val="0B769F" w:themeColor="accent4" w:themeShade="BF"/>
                </w:rPr>
                <w:t>38929 LI Climate and Environmental Ethics</w:t>
              </w:r>
            </w:hyperlink>
            <w:r w:rsidR="00AC0A57">
              <w:rPr>
                <w:rFonts w:ascii="Arial" w:hAnsi="Arial" w:cs="Arial"/>
              </w:rPr>
              <w:t xml:space="preserve"> in </w:t>
            </w:r>
            <w:r w:rsidR="007B0357">
              <w:rPr>
                <w:rFonts w:ascii="Arial" w:hAnsi="Arial" w:cs="Arial"/>
              </w:rPr>
              <w:t xml:space="preserve">the School of </w:t>
            </w:r>
            <w:r w:rsidR="007F7E6F">
              <w:rPr>
                <w:rFonts w:ascii="Arial" w:hAnsi="Arial" w:cs="Arial"/>
              </w:rPr>
              <w:t xml:space="preserve">Philosophy, Theology and Religion </w:t>
            </w:r>
            <w:r w:rsidR="00A92706">
              <w:rPr>
                <w:rFonts w:ascii="Arial" w:hAnsi="Arial" w:cs="Arial"/>
              </w:rPr>
              <w:t xml:space="preserve">engages student with a series of </w:t>
            </w:r>
            <w:r w:rsidR="00BD3EEF">
              <w:rPr>
                <w:rFonts w:ascii="Arial" w:hAnsi="Arial" w:cs="Arial"/>
              </w:rPr>
              <w:t>political and ethical questions around climate change.</w:t>
            </w:r>
          </w:p>
        </w:tc>
      </w:tr>
      <w:tr w:rsidR="001430DD" w:rsidRPr="000E1269" w14:paraId="209DA5A4" w14:textId="77777777" w:rsidTr="00385651">
        <w:trPr>
          <w:trHeight w:val="300"/>
        </w:trPr>
        <w:tc>
          <w:tcPr>
            <w:tcW w:w="2550" w:type="dxa"/>
            <w:vMerge/>
            <w:tcBorders>
              <w:left w:val="single" w:sz="8" w:space="0" w:color="auto"/>
              <w:right w:val="single" w:sz="8" w:space="0" w:color="auto"/>
            </w:tcBorders>
            <w:shd w:val="clear" w:color="auto" w:fill="F2F2F2" w:themeFill="background1" w:themeFillShade="F2"/>
            <w:tcMar>
              <w:left w:w="108" w:type="dxa"/>
              <w:right w:w="108" w:type="dxa"/>
            </w:tcMar>
            <w:vAlign w:val="center"/>
          </w:tcPr>
          <w:p w14:paraId="2BB2E9CE" w14:textId="77777777" w:rsidR="001430DD" w:rsidRPr="000E1269" w:rsidRDefault="001430DD" w:rsidP="009607B6">
            <w:pPr>
              <w:pStyle w:val="ListParagraph"/>
              <w:ind w:left="360"/>
              <w:rPr>
                <w:rFonts w:ascii="Arial" w:eastAsia="Calibri" w:hAnsi="Arial" w:cs="Arial"/>
                <w:color w:val="000000" w:themeColor="text1"/>
              </w:rPr>
            </w:pPr>
          </w:p>
        </w:tc>
        <w:tc>
          <w:tcPr>
            <w:tcW w:w="79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09C04805" w14:textId="77777777" w:rsidR="001430DD" w:rsidRDefault="001430DD" w:rsidP="009607B6">
            <w:pPr>
              <w:pStyle w:val="ListParagraph"/>
              <w:spacing w:before="240" w:after="240"/>
              <w:ind w:left="360"/>
              <w:rPr>
                <w:rFonts w:ascii="Arial" w:hAnsi="Arial" w:cs="Arial"/>
              </w:rPr>
            </w:pPr>
          </w:p>
          <w:p w14:paraId="30979EE4" w14:textId="77777777" w:rsidR="001430DD" w:rsidRPr="00006E38" w:rsidRDefault="001430DD" w:rsidP="009607B6">
            <w:pPr>
              <w:pStyle w:val="ListParagraph"/>
              <w:spacing w:before="240" w:after="240"/>
              <w:ind w:left="360"/>
              <w:rPr>
                <w:rFonts w:ascii="Arial" w:hAnsi="Arial" w:cs="Arial"/>
              </w:rPr>
            </w:pPr>
          </w:p>
          <w:p w14:paraId="43B757B6" w14:textId="612AEAE9" w:rsidR="001430DD" w:rsidRDefault="001430DD" w:rsidP="001430DD">
            <w:pPr>
              <w:pStyle w:val="ListParagraph"/>
              <w:numPr>
                <w:ilvl w:val="1"/>
                <w:numId w:val="7"/>
              </w:numPr>
              <w:spacing w:before="240" w:after="240"/>
              <w:rPr>
                <w:rFonts w:ascii="Arial" w:hAnsi="Arial" w:cs="Arial"/>
              </w:rPr>
            </w:pPr>
            <w:r w:rsidRPr="006934F7">
              <w:rPr>
                <w:rFonts w:ascii="Arial" w:hAnsi="Arial" w:cs="Arial"/>
              </w:rPr>
              <w:t xml:space="preserve">Establish platforms for student voices within </w:t>
            </w:r>
            <w:r w:rsidR="0061669B">
              <w:rPr>
                <w:rFonts w:ascii="Arial" w:hAnsi="Arial" w:cs="Arial"/>
              </w:rPr>
              <w:t xml:space="preserve">the </w:t>
            </w:r>
            <w:proofErr w:type="spellStart"/>
            <w:r w:rsidR="00F94E77">
              <w:rPr>
                <w:rFonts w:ascii="Arial" w:hAnsi="Arial" w:cs="Arial"/>
              </w:rPr>
              <w:t>UoB</w:t>
            </w:r>
            <w:proofErr w:type="spellEnd"/>
            <w:r w:rsidR="00F94E77">
              <w:rPr>
                <w:rFonts w:ascii="Arial" w:hAnsi="Arial" w:cs="Arial"/>
              </w:rPr>
              <w:t xml:space="preserve"> </w:t>
            </w:r>
            <w:r w:rsidRPr="006934F7">
              <w:rPr>
                <w:rFonts w:ascii="Arial" w:hAnsi="Arial" w:cs="Arial"/>
              </w:rPr>
              <w:t>community and encourage engagement</w:t>
            </w:r>
            <w:r>
              <w:rPr>
                <w:rFonts w:ascii="Arial" w:hAnsi="Arial" w:cs="Arial"/>
              </w:rPr>
              <w:t xml:space="preserve"> with university sustainability practices and opportunities. </w:t>
            </w:r>
          </w:p>
          <w:p w14:paraId="1C2B328F" w14:textId="77777777" w:rsidR="0099402C" w:rsidRDefault="0099402C" w:rsidP="0099402C">
            <w:pPr>
              <w:pStyle w:val="ListParagraph"/>
              <w:spacing w:before="240" w:after="240"/>
              <w:rPr>
                <w:rFonts w:ascii="Arial" w:hAnsi="Arial" w:cs="Arial"/>
              </w:rPr>
            </w:pPr>
          </w:p>
          <w:p w14:paraId="5BC991E4" w14:textId="77777777" w:rsidR="0099402C" w:rsidRDefault="001430DD" w:rsidP="001430DD">
            <w:pPr>
              <w:pStyle w:val="ListParagraph"/>
              <w:numPr>
                <w:ilvl w:val="1"/>
                <w:numId w:val="7"/>
              </w:numPr>
              <w:spacing w:before="240" w:after="240"/>
              <w:rPr>
                <w:rFonts w:ascii="Arial" w:hAnsi="Arial" w:cs="Arial"/>
              </w:rPr>
            </w:pPr>
            <w:r>
              <w:rPr>
                <w:rFonts w:ascii="Arial" w:hAnsi="Arial" w:cs="Arial"/>
              </w:rPr>
              <w:t>Develop opportunities for students to engage in participatory learning and engage with external organisations to work on real-world problems.</w:t>
            </w:r>
          </w:p>
          <w:p w14:paraId="5EEEC42C" w14:textId="77777777" w:rsidR="0099402C" w:rsidRPr="0099402C" w:rsidRDefault="0099402C" w:rsidP="0099402C">
            <w:pPr>
              <w:pStyle w:val="ListParagraph"/>
              <w:rPr>
                <w:rFonts w:ascii="Arial" w:hAnsi="Arial" w:cs="Arial"/>
              </w:rPr>
            </w:pPr>
          </w:p>
          <w:p w14:paraId="6BACB483" w14:textId="403F69C5" w:rsidR="001430DD" w:rsidRPr="00931BA2" w:rsidRDefault="001430DD" w:rsidP="0099402C">
            <w:pPr>
              <w:pStyle w:val="ListParagraph"/>
              <w:spacing w:before="240" w:after="240"/>
              <w:rPr>
                <w:rFonts w:ascii="Arial" w:hAnsi="Arial" w:cs="Arial"/>
              </w:rPr>
            </w:pPr>
            <w:r>
              <w:rPr>
                <w:rFonts w:ascii="Arial" w:hAnsi="Arial" w:cs="Arial"/>
              </w:rPr>
              <w:t xml:space="preserve"> </w:t>
            </w:r>
          </w:p>
        </w:tc>
        <w:tc>
          <w:tcPr>
            <w:tcW w:w="3685" w:type="dxa"/>
            <w:vMerge/>
            <w:tcBorders>
              <w:left w:val="single" w:sz="8" w:space="0" w:color="auto"/>
              <w:right w:val="single" w:sz="8" w:space="0" w:color="auto"/>
            </w:tcBorders>
            <w:shd w:val="clear" w:color="auto" w:fill="F2F2F2" w:themeFill="background1" w:themeFillShade="F2"/>
            <w:vAlign w:val="center"/>
          </w:tcPr>
          <w:p w14:paraId="5B95E5CC" w14:textId="77777777" w:rsidR="001430DD" w:rsidRPr="00582808" w:rsidRDefault="001430DD" w:rsidP="001430DD">
            <w:pPr>
              <w:pStyle w:val="Heading2"/>
              <w:keepNext w:val="0"/>
              <w:keepLines w:val="0"/>
              <w:numPr>
                <w:ilvl w:val="0"/>
                <w:numId w:val="6"/>
              </w:numPr>
              <w:spacing w:before="240" w:after="240"/>
              <w:rPr>
                <w:rFonts w:ascii="Arial" w:hAnsi="Arial" w:cs="Arial"/>
                <w:b/>
                <w:bCs/>
                <w:sz w:val="22"/>
                <w:szCs w:val="22"/>
              </w:rPr>
            </w:pPr>
          </w:p>
        </w:tc>
      </w:tr>
      <w:tr w:rsidR="001430DD" w:rsidRPr="000E1269" w14:paraId="0BE8CCE4" w14:textId="77777777" w:rsidTr="00385651">
        <w:trPr>
          <w:trHeight w:val="300"/>
        </w:trPr>
        <w:tc>
          <w:tcPr>
            <w:tcW w:w="2550" w:type="dxa"/>
            <w:vMerge/>
            <w:tcBorders>
              <w:left w:val="single" w:sz="8" w:space="0" w:color="auto"/>
              <w:right w:val="single" w:sz="8" w:space="0" w:color="auto"/>
            </w:tcBorders>
            <w:shd w:val="clear" w:color="auto" w:fill="F2F2F2" w:themeFill="background1" w:themeFillShade="F2"/>
            <w:tcMar>
              <w:left w:w="108" w:type="dxa"/>
              <w:right w:w="108" w:type="dxa"/>
            </w:tcMar>
            <w:vAlign w:val="center"/>
          </w:tcPr>
          <w:p w14:paraId="5AE858F2" w14:textId="77777777" w:rsidR="001430DD" w:rsidRPr="000E1269" w:rsidRDefault="001430DD" w:rsidP="009607B6">
            <w:pPr>
              <w:pStyle w:val="ListParagraph"/>
              <w:ind w:left="360"/>
              <w:rPr>
                <w:rFonts w:ascii="Arial" w:eastAsia="Calibri" w:hAnsi="Arial" w:cs="Arial"/>
                <w:color w:val="000000" w:themeColor="text1"/>
              </w:rPr>
            </w:pPr>
          </w:p>
        </w:tc>
        <w:tc>
          <w:tcPr>
            <w:tcW w:w="79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1EA929FC" w14:textId="77777777" w:rsidR="001430DD" w:rsidRPr="007C092F" w:rsidRDefault="001430DD" w:rsidP="0099402C">
            <w:pPr>
              <w:pStyle w:val="Heading2"/>
              <w:keepNext w:val="0"/>
              <w:keepLines w:val="0"/>
              <w:spacing w:before="240" w:after="240"/>
              <w:rPr>
                <w:rFonts w:ascii="Arial" w:hAnsi="Arial" w:cs="Arial"/>
                <w:b/>
                <w:bCs/>
                <w:sz w:val="28"/>
                <w:szCs w:val="28"/>
              </w:rPr>
            </w:pPr>
            <w:r w:rsidRPr="0099402C">
              <w:rPr>
                <w:rFonts w:ascii="Arial" w:eastAsia="Calibri" w:hAnsi="Arial" w:cs="Arial"/>
                <w:b/>
                <w:bCs/>
                <w:color w:val="000000" w:themeColor="text1"/>
                <w:sz w:val="24"/>
                <w:szCs w:val="24"/>
              </w:rPr>
              <w:t>Module Lead/Lecturer</w:t>
            </w:r>
          </w:p>
        </w:tc>
        <w:tc>
          <w:tcPr>
            <w:tcW w:w="3685" w:type="dxa"/>
            <w:vMerge/>
            <w:tcBorders>
              <w:left w:val="single" w:sz="8" w:space="0" w:color="auto"/>
              <w:right w:val="single" w:sz="8" w:space="0" w:color="auto"/>
            </w:tcBorders>
            <w:shd w:val="clear" w:color="auto" w:fill="F2F2F2" w:themeFill="background1" w:themeFillShade="F2"/>
            <w:vAlign w:val="center"/>
          </w:tcPr>
          <w:p w14:paraId="5ABC7BDE" w14:textId="77777777" w:rsidR="001430DD" w:rsidRPr="000E1269" w:rsidRDefault="001430DD" w:rsidP="009607B6">
            <w:pPr>
              <w:pStyle w:val="Heading2"/>
              <w:rPr>
                <w:rFonts w:ascii="Arial" w:hAnsi="Arial" w:cs="Arial"/>
              </w:rPr>
            </w:pPr>
          </w:p>
        </w:tc>
      </w:tr>
      <w:tr w:rsidR="001430DD" w:rsidRPr="000E1269" w14:paraId="051BF880" w14:textId="77777777" w:rsidTr="00385651">
        <w:trPr>
          <w:trHeight w:val="300"/>
        </w:trPr>
        <w:tc>
          <w:tcPr>
            <w:tcW w:w="2550" w:type="dxa"/>
            <w:vMerge/>
            <w:tcBorders>
              <w:left w:val="single" w:sz="8" w:space="0" w:color="auto"/>
              <w:right w:val="single" w:sz="8" w:space="0" w:color="auto"/>
            </w:tcBorders>
            <w:shd w:val="clear" w:color="auto" w:fill="F2F2F2" w:themeFill="background1" w:themeFillShade="F2"/>
            <w:tcMar>
              <w:left w:w="108" w:type="dxa"/>
              <w:right w:w="108" w:type="dxa"/>
            </w:tcMar>
            <w:vAlign w:val="center"/>
          </w:tcPr>
          <w:p w14:paraId="7D09071D" w14:textId="77777777" w:rsidR="001430DD" w:rsidRPr="000E1269" w:rsidRDefault="001430DD" w:rsidP="009607B6">
            <w:pPr>
              <w:pStyle w:val="ListParagraph"/>
              <w:ind w:left="360"/>
              <w:rPr>
                <w:rFonts w:ascii="Arial" w:eastAsia="Calibri" w:hAnsi="Arial" w:cs="Arial"/>
                <w:color w:val="000000" w:themeColor="text1"/>
              </w:rPr>
            </w:pPr>
          </w:p>
        </w:tc>
        <w:tc>
          <w:tcPr>
            <w:tcW w:w="79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11E7657F" w14:textId="11DB1C4B" w:rsidR="001430DD" w:rsidRDefault="001430DD" w:rsidP="001430DD">
            <w:pPr>
              <w:pStyle w:val="ListParagraph"/>
              <w:numPr>
                <w:ilvl w:val="1"/>
                <w:numId w:val="7"/>
              </w:numPr>
              <w:spacing w:before="240" w:after="240"/>
              <w:rPr>
                <w:rFonts w:ascii="Arial" w:hAnsi="Arial" w:cs="Arial"/>
              </w:rPr>
            </w:pPr>
            <w:r>
              <w:rPr>
                <w:rFonts w:ascii="Arial" w:hAnsi="Arial" w:cs="Arial"/>
              </w:rPr>
              <w:t>Be aware</w:t>
            </w:r>
            <w:r w:rsidR="00A95F83">
              <w:rPr>
                <w:rFonts w:ascii="Arial" w:hAnsi="Arial" w:cs="Arial"/>
              </w:rPr>
              <w:t xml:space="preserve"> of and disseminate information about</w:t>
            </w:r>
            <w:r>
              <w:rPr>
                <w:rFonts w:ascii="Arial" w:hAnsi="Arial" w:cs="Arial"/>
              </w:rPr>
              <w:t xml:space="preserve"> </w:t>
            </w:r>
            <w:proofErr w:type="gramStart"/>
            <w:r w:rsidR="0057577B">
              <w:rPr>
                <w:rFonts w:ascii="Arial" w:hAnsi="Arial" w:cs="Arial"/>
              </w:rPr>
              <w:t>U</w:t>
            </w:r>
            <w:r>
              <w:rPr>
                <w:rFonts w:ascii="Arial" w:hAnsi="Arial" w:cs="Arial"/>
              </w:rPr>
              <w:t>niversity</w:t>
            </w:r>
            <w:proofErr w:type="gramEnd"/>
            <w:r>
              <w:rPr>
                <w:rFonts w:ascii="Arial" w:hAnsi="Arial" w:cs="Arial"/>
              </w:rPr>
              <w:t>-wide initiatives that students can engage with</w:t>
            </w:r>
            <w:r w:rsidRPr="001D39E5">
              <w:rPr>
                <w:rFonts w:ascii="Arial" w:hAnsi="Arial" w:cs="Arial"/>
              </w:rPr>
              <w:t xml:space="preserve"> and highlight how/where they align with module content. </w:t>
            </w:r>
          </w:p>
          <w:p w14:paraId="548F58D2" w14:textId="77777777" w:rsidR="0099402C" w:rsidRDefault="0099402C" w:rsidP="0099402C">
            <w:pPr>
              <w:pStyle w:val="ListParagraph"/>
              <w:spacing w:before="240" w:after="240"/>
              <w:rPr>
                <w:rFonts w:ascii="Arial" w:hAnsi="Arial" w:cs="Arial"/>
              </w:rPr>
            </w:pPr>
          </w:p>
          <w:p w14:paraId="752D81AA" w14:textId="36253B36" w:rsidR="001430DD" w:rsidRPr="001D39E5" w:rsidRDefault="001430DD" w:rsidP="001430DD">
            <w:pPr>
              <w:pStyle w:val="ListParagraph"/>
              <w:numPr>
                <w:ilvl w:val="1"/>
                <w:numId w:val="7"/>
              </w:numPr>
              <w:spacing w:before="240" w:after="240"/>
              <w:rPr>
                <w:rFonts w:ascii="Arial" w:hAnsi="Arial" w:cs="Arial"/>
              </w:rPr>
            </w:pPr>
            <w:r w:rsidRPr="00405F6A">
              <w:rPr>
                <w:rFonts w:ascii="Arial" w:hAnsi="Arial" w:cs="Arial"/>
              </w:rPr>
              <w:t>Allow students</w:t>
            </w:r>
            <w:r w:rsidR="0057577B">
              <w:rPr>
                <w:rFonts w:ascii="Arial" w:hAnsi="Arial" w:cs="Arial"/>
              </w:rPr>
              <w:t xml:space="preserve"> opportunities</w:t>
            </w:r>
            <w:r w:rsidRPr="00405F6A">
              <w:rPr>
                <w:rFonts w:ascii="Arial" w:hAnsi="Arial" w:cs="Arial"/>
              </w:rPr>
              <w:t xml:space="preserve"> to express their perspectives, influence policies, and drive sustainable practices beyond campus boundaries.</w:t>
            </w:r>
          </w:p>
        </w:tc>
        <w:tc>
          <w:tcPr>
            <w:tcW w:w="3685"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6DD4505D" w14:textId="77777777" w:rsidR="001430DD" w:rsidRPr="000E1269" w:rsidRDefault="001430DD" w:rsidP="009607B6">
            <w:pPr>
              <w:pStyle w:val="Heading2"/>
              <w:rPr>
                <w:rFonts w:ascii="Arial" w:hAnsi="Arial" w:cs="Arial"/>
              </w:rPr>
            </w:pPr>
          </w:p>
        </w:tc>
      </w:tr>
    </w:tbl>
    <w:p w14:paraId="4B05F1AC" w14:textId="77777777" w:rsidR="005F118B" w:rsidRDefault="005F118B" w:rsidP="008E5CA0"/>
    <w:p w14:paraId="54412432" w14:textId="3B41717A" w:rsidR="008E5CA0" w:rsidRPr="00993B36" w:rsidRDefault="008E5CA0" w:rsidP="008E5CA0">
      <w:pPr>
        <w:rPr>
          <w:rFonts w:ascii="Arial" w:hAnsi="Arial" w:cs="Arial"/>
          <w:sz w:val="24"/>
          <w:szCs w:val="24"/>
        </w:rPr>
      </w:pPr>
      <w:r w:rsidRPr="00993B36">
        <w:rPr>
          <w:rFonts w:ascii="Arial" w:hAnsi="Arial" w:cs="Arial"/>
          <w:sz w:val="24"/>
          <w:szCs w:val="24"/>
        </w:rPr>
        <w:t>Th</w:t>
      </w:r>
      <w:r w:rsidR="00141BAA" w:rsidRPr="00993B36">
        <w:rPr>
          <w:rFonts w:ascii="Arial" w:hAnsi="Arial" w:cs="Arial"/>
          <w:sz w:val="24"/>
          <w:szCs w:val="24"/>
        </w:rPr>
        <w:t xml:space="preserve">ese principles are provided as part of the </w:t>
      </w:r>
      <w:hyperlink r:id="rId24" w:history="1">
        <w:r w:rsidR="00141BAA" w:rsidRPr="00993B36">
          <w:rPr>
            <w:rStyle w:val="Hyperlink"/>
            <w:rFonts w:ascii="Arial" w:hAnsi="Arial" w:cs="Arial"/>
            <w:sz w:val="24"/>
            <w:szCs w:val="24"/>
          </w:rPr>
          <w:t xml:space="preserve">University of Birmingham Teaching and Learning </w:t>
        </w:r>
        <w:r w:rsidRPr="00993B36">
          <w:rPr>
            <w:rStyle w:val="Hyperlink"/>
            <w:rFonts w:ascii="Arial" w:hAnsi="Arial" w:cs="Arial"/>
            <w:sz w:val="24"/>
            <w:szCs w:val="24"/>
          </w:rPr>
          <w:t>Handbook</w:t>
        </w:r>
      </w:hyperlink>
      <w:r w:rsidRPr="00993B36">
        <w:rPr>
          <w:rFonts w:ascii="Arial" w:hAnsi="Arial" w:cs="Arial"/>
          <w:sz w:val="24"/>
          <w:szCs w:val="24"/>
        </w:rPr>
        <w:t xml:space="preserve"> </w:t>
      </w:r>
      <w:r w:rsidR="00141BAA" w:rsidRPr="00993B36">
        <w:rPr>
          <w:rFonts w:ascii="Arial" w:hAnsi="Arial" w:cs="Arial"/>
          <w:sz w:val="24"/>
          <w:szCs w:val="24"/>
        </w:rPr>
        <w:t xml:space="preserve">which </w:t>
      </w:r>
      <w:r w:rsidRPr="00993B36">
        <w:rPr>
          <w:rFonts w:ascii="Arial" w:hAnsi="Arial" w:cs="Arial"/>
          <w:sz w:val="24"/>
          <w:szCs w:val="24"/>
        </w:rPr>
        <w:t xml:space="preserve">details the </w:t>
      </w:r>
      <w:r w:rsidRPr="00993B36">
        <w:rPr>
          <w:rFonts w:ascii="Arial" w:hAnsi="Arial" w:cs="Arial"/>
          <w:b/>
          <w:bCs/>
          <w:sz w:val="24"/>
          <w:szCs w:val="24"/>
        </w:rPr>
        <w:t>Birmingham standards (minimum expectations)</w:t>
      </w:r>
      <w:r w:rsidRPr="00993B36">
        <w:rPr>
          <w:rFonts w:ascii="Arial" w:hAnsi="Arial" w:cs="Arial"/>
          <w:sz w:val="24"/>
          <w:szCs w:val="24"/>
        </w:rPr>
        <w:t xml:space="preserve"> and leads responsible for ensuring they are met. The Handbook also contains examples of enhanced practice and links to key sources of further advice and inspiration.  </w:t>
      </w:r>
    </w:p>
    <w:sectPr w:rsidR="008E5CA0" w:rsidRPr="00993B36" w:rsidSect="007E2E0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46013"/>
    <w:multiLevelType w:val="hybridMultilevel"/>
    <w:tmpl w:val="0BD40D22"/>
    <w:lvl w:ilvl="0" w:tplc="0EDC5CF0">
      <w:start w:val="1"/>
      <w:numFmt w:val="decimal"/>
      <w:suff w:val="nothing"/>
      <w:lvlText w:val="1.%1."/>
      <w:lvlJc w:val="left"/>
      <w:pPr>
        <w:ind w:left="360" w:hanging="360"/>
      </w:pPr>
      <w:rPr>
        <w:rFonts w:hint="default"/>
        <w:sz w:val="22"/>
        <w:szCs w:val="22"/>
      </w:rPr>
    </w:lvl>
    <w:lvl w:ilvl="1" w:tplc="08090019">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179267C2"/>
    <w:multiLevelType w:val="multilevel"/>
    <w:tmpl w:val="7DAC9AB0"/>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1276B37"/>
    <w:multiLevelType w:val="hybridMultilevel"/>
    <w:tmpl w:val="F580C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AC2D23"/>
    <w:multiLevelType w:val="multilevel"/>
    <w:tmpl w:val="D86C2D62"/>
    <w:lvl w:ilvl="0">
      <w:start w:val="1"/>
      <w:numFmt w:val="decimal"/>
      <w:lvlText w:val="%1."/>
      <w:lvlJc w:val="left"/>
      <w:pPr>
        <w:ind w:left="360" w:hanging="360"/>
      </w:pPr>
      <w:rPr>
        <w:rFonts w:ascii="Arial" w:eastAsia="Calibri" w:hAnsi="Arial" w:cs="Arial" w:hint="default"/>
        <w:color w:val="000000" w:themeColor="text1"/>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5DEF66E9"/>
    <w:multiLevelType w:val="hybridMultilevel"/>
    <w:tmpl w:val="CF58E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5D74034"/>
    <w:multiLevelType w:val="multilevel"/>
    <w:tmpl w:val="82B269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EE3FF4"/>
    <w:multiLevelType w:val="multilevel"/>
    <w:tmpl w:val="5E8C889C"/>
    <w:lvl w:ilvl="0">
      <w:start w:val="3"/>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7" w15:restartNumberingAfterBreak="0">
    <w:nsid w:val="78FF32EF"/>
    <w:multiLevelType w:val="multilevel"/>
    <w:tmpl w:val="70F27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2569941">
    <w:abstractNumId w:val="7"/>
  </w:num>
  <w:num w:numId="2" w16cid:durableId="82188875">
    <w:abstractNumId w:val="5"/>
  </w:num>
  <w:num w:numId="3" w16cid:durableId="613291988">
    <w:abstractNumId w:val="6"/>
  </w:num>
  <w:num w:numId="4" w16cid:durableId="14887381">
    <w:abstractNumId w:val="0"/>
  </w:num>
  <w:num w:numId="5" w16cid:durableId="2070374042">
    <w:abstractNumId w:val="3"/>
  </w:num>
  <w:num w:numId="6" w16cid:durableId="1420640672">
    <w:abstractNumId w:val="4"/>
  </w:num>
  <w:num w:numId="7" w16cid:durableId="1998487319">
    <w:abstractNumId w:val="1"/>
  </w:num>
  <w:num w:numId="8" w16cid:durableId="856887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454"/>
    <w:rsid w:val="00012A27"/>
    <w:rsid w:val="00013F55"/>
    <w:rsid w:val="00015046"/>
    <w:rsid w:val="000355D9"/>
    <w:rsid w:val="00092294"/>
    <w:rsid w:val="000D5BE7"/>
    <w:rsid w:val="001044FD"/>
    <w:rsid w:val="00105EAD"/>
    <w:rsid w:val="0012337E"/>
    <w:rsid w:val="0012583B"/>
    <w:rsid w:val="00134E83"/>
    <w:rsid w:val="0013778C"/>
    <w:rsid w:val="00141BAA"/>
    <w:rsid w:val="001430DD"/>
    <w:rsid w:val="00143CE0"/>
    <w:rsid w:val="00147088"/>
    <w:rsid w:val="00154A6C"/>
    <w:rsid w:val="001553F5"/>
    <w:rsid w:val="00163839"/>
    <w:rsid w:val="00183522"/>
    <w:rsid w:val="00186805"/>
    <w:rsid w:val="00192223"/>
    <w:rsid w:val="00196DFA"/>
    <w:rsid w:val="001B0EDE"/>
    <w:rsid w:val="001C7FEF"/>
    <w:rsid w:val="001E0D70"/>
    <w:rsid w:val="002007E0"/>
    <w:rsid w:val="00217248"/>
    <w:rsid w:val="00225285"/>
    <w:rsid w:val="00244B35"/>
    <w:rsid w:val="002568DC"/>
    <w:rsid w:val="00261940"/>
    <w:rsid w:val="002726B7"/>
    <w:rsid w:val="00282872"/>
    <w:rsid w:val="00284EAE"/>
    <w:rsid w:val="00297624"/>
    <w:rsid w:val="002C1576"/>
    <w:rsid w:val="0030037A"/>
    <w:rsid w:val="00300CA7"/>
    <w:rsid w:val="003168E2"/>
    <w:rsid w:val="003236CD"/>
    <w:rsid w:val="00327699"/>
    <w:rsid w:val="003500FB"/>
    <w:rsid w:val="003829E2"/>
    <w:rsid w:val="00385651"/>
    <w:rsid w:val="003B38A7"/>
    <w:rsid w:val="003C1856"/>
    <w:rsid w:val="003C5274"/>
    <w:rsid w:val="003C7A85"/>
    <w:rsid w:val="003E1D83"/>
    <w:rsid w:val="003F2E23"/>
    <w:rsid w:val="003F5663"/>
    <w:rsid w:val="003F7D9C"/>
    <w:rsid w:val="0040468D"/>
    <w:rsid w:val="00411C11"/>
    <w:rsid w:val="00413EDB"/>
    <w:rsid w:val="00422D78"/>
    <w:rsid w:val="0044211A"/>
    <w:rsid w:val="00443F77"/>
    <w:rsid w:val="00453B18"/>
    <w:rsid w:val="00454BE2"/>
    <w:rsid w:val="004639DD"/>
    <w:rsid w:val="004671C1"/>
    <w:rsid w:val="004A5A46"/>
    <w:rsid w:val="004B1929"/>
    <w:rsid w:val="004C60B6"/>
    <w:rsid w:val="004F6048"/>
    <w:rsid w:val="0050421B"/>
    <w:rsid w:val="00511EFD"/>
    <w:rsid w:val="00512A48"/>
    <w:rsid w:val="00520551"/>
    <w:rsid w:val="00523836"/>
    <w:rsid w:val="00531CC8"/>
    <w:rsid w:val="00535928"/>
    <w:rsid w:val="00535D13"/>
    <w:rsid w:val="00545BF4"/>
    <w:rsid w:val="00564B0C"/>
    <w:rsid w:val="00571B2A"/>
    <w:rsid w:val="0057577B"/>
    <w:rsid w:val="00591611"/>
    <w:rsid w:val="005A2735"/>
    <w:rsid w:val="005C5C0F"/>
    <w:rsid w:val="005E1AB6"/>
    <w:rsid w:val="005F118B"/>
    <w:rsid w:val="005F1314"/>
    <w:rsid w:val="005F35E7"/>
    <w:rsid w:val="00604A4D"/>
    <w:rsid w:val="0061669B"/>
    <w:rsid w:val="00624F2C"/>
    <w:rsid w:val="006A5CDE"/>
    <w:rsid w:val="006C01B2"/>
    <w:rsid w:val="006C299E"/>
    <w:rsid w:val="006C3B3C"/>
    <w:rsid w:val="006D6A92"/>
    <w:rsid w:val="006F2CD3"/>
    <w:rsid w:val="006F6EEB"/>
    <w:rsid w:val="00711DAC"/>
    <w:rsid w:val="00717205"/>
    <w:rsid w:val="00785351"/>
    <w:rsid w:val="00790C3B"/>
    <w:rsid w:val="007B0357"/>
    <w:rsid w:val="007C092F"/>
    <w:rsid w:val="007E00B8"/>
    <w:rsid w:val="007E2E00"/>
    <w:rsid w:val="007F7E6F"/>
    <w:rsid w:val="00805F52"/>
    <w:rsid w:val="008111A9"/>
    <w:rsid w:val="008227A4"/>
    <w:rsid w:val="0082502F"/>
    <w:rsid w:val="00827759"/>
    <w:rsid w:val="00842D6B"/>
    <w:rsid w:val="00865705"/>
    <w:rsid w:val="00875131"/>
    <w:rsid w:val="00877C95"/>
    <w:rsid w:val="008A00CC"/>
    <w:rsid w:val="008A4D7A"/>
    <w:rsid w:val="008B5729"/>
    <w:rsid w:val="008C2295"/>
    <w:rsid w:val="008C43FF"/>
    <w:rsid w:val="008D4F1F"/>
    <w:rsid w:val="008E5CA0"/>
    <w:rsid w:val="009102B7"/>
    <w:rsid w:val="0093065E"/>
    <w:rsid w:val="009324EB"/>
    <w:rsid w:val="00954F24"/>
    <w:rsid w:val="009567DE"/>
    <w:rsid w:val="009715F8"/>
    <w:rsid w:val="009767B4"/>
    <w:rsid w:val="00987DBE"/>
    <w:rsid w:val="009926B3"/>
    <w:rsid w:val="00993B36"/>
    <w:rsid w:val="0099402C"/>
    <w:rsid w:val="009C6DBB"/>
    <w:rsid w:val="009D65D4"/>
    <w:rsid w:val="009E55F4"/>
    <w:rsid w:val="00A03830"/>
    <w:rsid w:val="00A26EE6"/>
    <w:rsid w:val="00A2745B"/>
    <w:rsid w:val="00A749E4"/>
    <w:rsid w:val="00A92706"/>
    <w:rsid w:val="00A92B1C"/>
    <w:rsid w:val="00A95F83"/>
    <w:rsid w:val="00A971AE"/>
    <w:rsid w:val="00AA06D6"/>
    <w:rsid w:val="00AA20EB"/>
    <w:rsid w:val="00AA62A0"/>
    <w:rsid w:val="00AB14D3"/>
    <w:rsid w:val="00AC0A57"/>
    <w:rsid w:val="00AC181B"/>
    <w:rsid w:val="00B00685"/>
    <w:rsid w:val="00B007D7"/>
    <w:rsid w:val="00B00B87"/>
    <w:rsid w:val="00B3283A"/>
    <w:rsid w:val="00B41AA3"/>
    <w:rsid w:val="00B961B9"/>
    <w:rsid w:val="00BA5D3B"/>
    <w:rsid w:val="00BA7088"/>
    <w:rsid w:val="00BD3EEF"/>
    <w:rsid w:val="00BE7847"/>
    <w:rsid w:val="00BF473B"/>
    <w:rsid w:val="00BF4CB7"/>
    <w:rsid w:val="00C40688"/>
    <w:rsid w:val="00C468BB"/>
    <w:rsid w:val="00CB1454"/>
    <w:rsid w:val="00CB23DA"/>
    <w:rsid w:val="00CD022B"/>
    <w:rsid w:val="00CD26DF"/>
    <w:rsid w:val="00CE1B10"/>
    <w:rsid w:val="00CE3FB2"/>
    <w:rsid w:val="00CF0B1C"/>
    <w:rsid w:val="00D04D6B"/>
    <w:rsid w:val="00D327BA"/>
    <w:rsid w:val="00D51263"/>
    <w:rsid w:val="00D52EFC"/>
    <w:rsid w:val="00D53F65"/>
    <w:rsid w:val="00DB20CC"/>
    <w:rsid w:val="00DB2F38"/>
    <w:rsid w:val="00DC07AE"/>
    <w:rsid w:val="00DC1547"/>
    <w:rsid w:val="00DC2AEA"/>
    <w:rsid w:val="00DF1C24"/>
    <w:rsid w:val="00E07F30"/>
    <w:rsid w:val="00E25617"/>
    <w:rsid w:val="00E27DCC"/>
    <w:rsid w:val="00E71572"/>
    <w:rsid w:val="00E90650"/>
    <w:rsid w:val="00E93D23"/>
    <w:rsid w:val="00E96CFE"/>
    <w:rsid w:val="00EA0E9F"/>
    <w:rsid w:val="00EB3956"/>
    <w:rsid w:val="00EB6FD5"/>
    <w:rsid w:val="00ED66A2"/>
    <w:rsid w:val="00EE3C7E"/>
    <w:rsid w:val="00F12483"/>
    <w:rsid w:val="00F12B26"/>
    <w:rsid w:val="00F2052A"/>
    <w:rsid w:val="00F2146A"/>
    <w:rsid w:val="00F257E3"/>
    <w:rsid w:val="00F269E5"/>
    <w:rsid w:val="00F2725A"/>
    <w:rsid w:val="00F41FEA"/>
    <w:rsid w:val="00F4458E"/>
    <w:rsid w:val="00F71475"/>
    <w:rsid w:val="00F82A97"/>
    <w:rsid w:val="00F94E77"/>
    <w:rsid w:val="00F95113"/>
    <w:rsid w:val="00FC0454"/>
    <w:rsid w:val="00FF4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03CDF"/>
  <w15:chartTrackingRefBased/>
  <w15:docId w15:val="{57472ADD-0741-45BF-A717-F6BEBCAA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4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1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4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4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4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4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4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14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4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4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4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454"/>
    <w:rPr>
      <w:rFonts w:eastAsiaTheme="majorEastAsia" w:cstheme="majorBidi"/>
      <w:color w:val="272727" w:themeColor="text1" w:themeTint="D8"/>
    </w:rPr>
  </w:style>
  <w:style w:type="paragraph" w:styleId="Title">
    <w:name w:val="Title"/>
    <w:basedOn w:val="Normal"/>
    <w:next w:val="Normal"/>
    <w:link w:val="TitleChar"/>
    <w:uiPriority w:val="10"/>
    <w:qFormat/>
    <w:rsid w:val="00CB1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4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454"/>
    <w:pPr>
      <w:spacing w:before="160"/>
      <w:jc w:val="center"/>
    </w:pPr>
    <w:rPr>
      <w:i/>
      <w:iCs/>
      <w:color w:val="404040" w:themeColor="text1" w:themeTint="BF"/>
    </w:rPr>
  </w:style>
  <w:style w:type="character" w:customStyle="1" w:styleId="QuoteChar">
    <w:name w:val="Quote Char"/>
    <w:basedOn w:val="DefaultParagraphFont"/>
    <w:link w:val="Quote"/>
    <w:uiPriority w:val="29"/>
    <w:rsid w:val="00CB1454"/>
    <w:rPr>
      <w:i/>
      <w:iCs/>
      <w:color w:val="404040" w:themeColor="text1" w:themeTint="BF"/>
    </w:rPr>
  </w:style>
  <w:style w:type="paragraph" w:styleId="ListParagraph">
    <w:name w:val="List Paragraph"/>
    <w:basedOn w:val="Normal"/>
    <w:uiPriority w:val="34"/>
    <w:qFormat/>
    <w:rsid w:val="00CB1454"/>
    <w:pPr>
      <w:ind w:left="720"/>
      <w:contextualSpacing/>
    </w:pPr>
  </w:style>
  <w:style w:type="character" w:styleId="IntenseEmphasis">
    <w:name w:val="Intense Emphasis"/>
    <w:basedOn w:val="DefaultParagraphFont"/>
    <w:uiPriority w:val="21"/>
    <w:qFormat/>
    <w:rsid w:val="00CB1454"/>
    <w:rPr>
      <w:i/>
      <w:iCs/>
      <w:color w:val="0F4761" w:themeColor="accent1" w:themeShade="BF"/>
    </w:rPr>
  </w:style>
  <w:style w:type="paragraph" w:styleId="IntenseQuote">
    <w:name w:val="Intense Quote"/>
    <w:basedOn w:val="Normal"/>
    <w:next w:val="Normal"/>
    <w:link w:val="IntenseQuoteChar"/>
    <w:uiPriority w:val="30"/>
    <w:qFormat/>
    <w:rsid w:val="00CB1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454"/>
    <w:rPr>
      <w:i/>
      <w:iCs/>
      <w:color w:val="0F4761" w:themeColor="accent1" w:themeShade="BF"/>
    </w:rPr>
  </w:style>
  <w:style w:type="character" w:styleId="IntenseReference">
    <w:name w:val="Intense Reference"/>
    <w:basedOn w:val="DefaultParagraphFont"/>
    <w:uiPriority w:val="32"/>
    <w:qFormat/>
    <w:rsid w:val="00CB1454"/>
    <w:rPr>
      <w:b/>
      <w:bCs/>
      <w:smallCaps/>
      <w:color w:val="0F4761" w:themeColor="accent1" w:themeShade="BF"/>
      <w:spacing w:val="5"/>
    </w:rPr>
  </w:style>
  <w:style w:type="paragraph" w:customStyle="1" w:styleId="paragraph">
    <w:name w:val="paragraph"/>
    <w:basedOn w:val="Normal"/>
    <w:rsid w:val="00CB145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B1454"/>
  </w:style>
  <w:style w:type="character" w:customStyle="1" w:styleId="eop">
    <w:name w:val="eop"/>
    <w:basedOn w:val="DefaultParagraphFont"/>
    <w:rsid w:val="00CB1454"/>
  </w:style>
  <w:style w:type="character" w:styleId="Hyperlink">
    <w:name w:val="Hyperlink"/>
    <w:basedOn w:val="DefaultParagraphFont"/>
    <w:uiPriority w:val="99"/>
    <w:unhideWhenUsed/>
    <w:rsid w:val="00284EAE"/>
    <w:rPr>
      <w:color w:val="467886" w:themeColor="hyperlink"/>
      <w:u w:val="single"/>
    </w:rPr>
  </w:style>
  <w:style w:type="character" w:styleId="UnresolvedMention">
    <w:name w:val="Unresolved Mention"/>
    <w:basedOn w:val="DefaultParagraphFont"/>
    <w:uiPriority w:val="99"/>
    <w:semiHidden/>
    <w:unhideWhenUsed/>
    <w:rsid w:val="00284EAE"/>
    <w:rPr>
      <w:color w:val="605E5C"/>
      <w:shd w:val="clear" w:color="auto" w:fill="E1DFDD"/>
    </w:rPr>
  </w:style>
  <w:style w:type="paragraph" w:customStyle="1" w:styleId="Default">
    <w:name w:val="Default"/>
    <w:rsid w:val="00CE1B10"/>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7E0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00B8"/>
    <w:rPr>
      <w:sz w:val="16"/>
      <w:szCs w:val="16"/>
    </w:rPr>
  </w:style>
  <w:style w:type="paragraph" w:styleId="CommentText">
    <w:name w:val="annotation text"/>
    <w:basedOn w:val="Normal"/>
    <w:link w:val="CommentTextChar"/>
    <w:uiPriority w:val="99"/>
    <w:unhideWhenUsed/>
    <w:rsid w:val="007E00B8"/>
    <w:pPr>
      <w:spacing w:line="240" w:lineRule="auto"/>
    </w:pPr>
    <w:rPr>
      <w:sz w:val="20"/>
      <w:szCs w:val="20"/>
    </w:rPr>
  </w:style>
  <w:style w:type="character" w:customStyle="1" w:styleId="CommentTextChar">
    <w:name w:val="Comment Text Char"/>
    <w:basedOn w:val="DefaultParagraphFont"/>
    <w:link w:val="CommentText"/>
    <w:uiPriority w:val="99"/>
    <w:rsid w:val="007E00B8"/>
    <w:rPr>
      <w:sz w:val="20"/>
      <w:szCs w:val="20"/>
    </w:rPr>
  </w:style>
  <w:style w:type="paragraph" w:styleId="CommentSubject">
    <w:name w:val="annotation subject"/>
    <w:basedOn w:val="CommentText"/>
    <w:next w:val="CommentText"/>
    <w:link w:val="CommentSubjectChar"/>
    <w:uiPriority w:val="99"/>
    <w:semiHidden/>
    <w:unhideWhenUsed/>
    <w:rsid w:val="007E00B8"/>
    <w:rPr>
      <w:b/>
      <w:bCs/>
    </w:rPr>
  </w:style>
  <w:style w:type="character" w:customStyle="1" w:styleId="CommentSubjectChar">
    <w:name w:val="Comment Subject Char"/>
    <w:basedOn w:val="CommentTextChar"/>
    <w:link w:val="CommentSubject"/>
    <w:uiPriority w:val="99"/>
    <w:semiHidden/>
    <w:rsid w:val="007E00B8"/>
    <w:rPr>
      <w:b/>
      <w:bCs/>
      <w:sz w:val="20"/>
      <w:szCs w:val="20"/>
    </w:rPr>
  </w:style>
  <w:style w:type="paragraph" w:styleId="Revision">
    <w:name w:val="Revision"/>
    <w:hidden/>
    <w:uiPriority w:val="99"/>
    <w:semiHidden/>
    <w:rsid w:val="00ED66A2"/>
    <w:pPr>
      <w:spacing w:after="0" w:line="240" w:lineRule="auto"/>
    </w:pPr>
  </w:style>
  <w:style w:type="character" w:styleId="FollowedHyperlink">
    <w:name w:val="FollowedHyperlink"/>
    <w:basedOn w:val="DefaultParagraphFont"/>
    <w:uiPriority w:val="99"/>
    <w:semiHidden/>
    <w:unhideWhenUsed/>
    <w:rsid w:val="006C3B3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94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esco.org/en/articles/education-sustainable-development-goals-learning-objectives" TargetMode="External"/><Relationship Id="rId13" Type="http://schemas.openxmlformats.org/officeDocument/2006/relationships/hyperlink" Target="https://program-and-modules-handbook.bham.ac.uk/webhandbooks/WebHandbooks-control-servlet?Action=getModuleDetailsList&amp;pgSubj=03&amp;pgCrse=28822&amp;searchTerm=002023" TargetMode="External"/><Relationship Id="rId18" Type="http://schemas.openxmlformats.org/officeDocument/2006/relationships/hyperlink" Target="https://program-and-modules-handbook.bham.ac.uk/webhandbooks/WebHandbooks-control-servlet?Action=getModuleDetailsList&amp;pgSubj=07&amp;pgCrse=36351&amp;searchTerm=00202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ntranet.birmingham.ac.uk/as/employability/bhamproject/index.aspx" TargetMode="External"/><Relationship Id="rId7" Type="http://schemas.openxmlformats.org/officeDocument/2006/relationships/webSettings" Target="webSettings.xml"/><Relationship Id="rId12" Type="http://schemas.openxmlformats.org/officeDocument/2006/relationships/hyperlink" Target="https://canvas.bham.ac.uk/enroll/XLGKR6" TargetMode="External"/><Relationship Id="rId17" Type="http://schemas.openxmlformats.org/officeDocument/2006/relationships/hyperlink" Target="https://program-and-modules-handbook.bham.ac.uk/webhandbooks/WebHandbooks-control-servlet?Action=getModuleDetailsList&amp;pgSubj=04&amp;pgCrse=31633&amp;searchTerm=00202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gram-and-modules-handbook.bham.ac.uk/webhandbooks/WebHandbooks-control-servlet?Action=getModuleDetailsList&amp;pgSubj=08&amp;pgCrse=37527&amp;searchTerm=002023" TargetMode="External"/><Relationship Id="rId20" Type="http://schemas.openxmlformats.org/officeDocument/2006/relationships/hyperlink" Target="https://program-and-modules-handbook.bham.ac.uk/webhandbooks/WebHandbooks-control-servlet?Action=getModuleDetailsList&amp;pgSubj=07&amp;pgCrse=22728&amp;searchTerm=00202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ive.google.com/file/d/1VsGb6vnaFOFLgCO41Yr4miMPRoQxhWhF/view" TargetMode="External"/><Relationship Id="rId24" Type="http://schemas.openxmlformats.org/officeDocument/2006/relationships/hyperlink" Target="https://bham.sharepoint.com/sites/EducationExcellence/SitePages/teaching-learning-handbook.aspx" TargetMode="External"/><Relationship Id="rId5" Type="http://schemas.openxmlformats.org/officeDocument/2006/relationships/styles" Target="styles.xml"/><Relationship Id="rId15" Type="http://schemas.openxmlformats.org/officeDocument/2006/relationships/hyperlink" Target="https://program-and-modules-handbook.bham.ac.uk/webhandbooks/WebHandbooks-control-servlet?Action=getModuleDetailsList&amp;pgSubj=09&amp;pgCrse=38933&amp;searchTerm=002023" TargetMode="External"/><Relationship Id="rId23" Type="http://schemas.openxmlformats.org/officeDocument/2006/relationships/hyperlink" Target="https://program-and-modules-handbook.bham.ac.uk/webhandbooks/WebHandbooks-control-servlet?Action=getModuleDetailsList&amp;pgSubj=08&amp;pgCrse=38929&amp;searchTerm=002023" TargetMode="External"/><Relationship Id="rId10" Type="http://schemas.openxmlformats.org/officeDocument/2006/relationships/hyperlink" Target="https://www.qaa.ac.uk/the-quality-code/subject-benchmark-statements" TargetMode="External"/><Relationship Id="rId19" Type="http://schemas.openxmlformats.org/officeDocument/2006/relationships/hyperlink" Target="https://forms.office.com/Pages/ResponsePage.aspx?id=z8oksN7eQUKhXDyX1VPp8_XwsRzVZs9Jn5asDzNbgGZUMlJTQTZPQlE0TjY0UUJESktMRTNKTFAxSC4u" TargetMode="External"/><Relationship Id="rId4" Type="http://schemas.openxmlformats.org/officeDocument/2006/relationships/numbering" Target="numbering.xml"/><Relationship Id="rId9" Type="http://schemas.openxmlformats.org/officeDocument/2006/relationships/hyperlink" Target="https://bham.sharepoint.com/sites/EducationExcellence/SitePages/newsletter-2023-24-e3.aspx" TargetMode="External"/><Relationship Id="rId14" Type="http://schemas.openxmlformats.org/officeDocument/2006/relationships/hyperlink" Target="https://program-and-modules-handbook.bham.ac.uk/webhandbooks/WebHandbooks-control-servlet?Action=getModuleDetailsList&amp;pgSubj=03&amp;pgCrse=37115&amp;searchTerm=002023" TargetMode="External"/><Relationship Id="rId22" Type="http://schemas.openxmlformats.org/officeDocument/2006/relationships/hyperlink" Target="https://program-and-modules-handbook.bham.ac.uk/webhandbooks/WebHandbooks-control-servlet?Action=getModuleDetailsList&amp;pgSubj=07&amp;pgCrse=31699&amp;searchTerm=00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9C12F7CAD55A41915F20BA8A42B82C" ma:contentTypeVersion="18" ma:contentTypeDescription="Create a new document." ma:contentTypeScope="" ma:versionID="8453c729ff237b416323a6c0fd84b05b">
  <xsd:schema xmlns:xsd="http://www.w3.org/2001/XMLSchema" xmlns:xs="http://www.w3.org/2001/XMLSchema" xmlns:p="http://schemas.microsoft.com/office/2006/metadata/properties" xmlns:ns3="a58bd318-324e-4d15-8e09-212ffddb670e" xmlns:ns4="de148b54-c044-4bcc-8610-11499f3baa05" targetNamespace="http://schemas.microsoft.com/office/2006/metadata/properties" ma:root="true" ma:fieldsID="acdf740703692e2496290e2d0552b75b" ns3:_="" ns4:_="">
    <xsd:import namespace="a58bd318-324e-4d15-8e09-212ffddb670e"/>
    <xsd:import namespace="de148b54-c044-4bcc-8610-11499f3baa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bd318-324e-4d15-8e09-212ffddb6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148b54-c044-4bcc-8610-11499f3baa0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58bd318-324e-4d15-8e09-212ffddb670e" xsi:nil="true"/>
  </documentManagement>
</p:properties>
</file>

<file path=customXml/itemProps1.xml><?xml version="1.0" encoding="utf-8"?>
<ds:datastoreItem xmlns:ds="http://schemas.openxmlformats.org/officeDocument/2006/customXml" ds:itemID="{DF268A2A-29FE-483C-A49B-F529EBC68D52}">
  <ds:schemaRefs>
    <ds:schemaRef ds:uri="http://schemas.microsoft.com/sharepoint/v3/contenttype/forms"/>
  </ds:schemaRefs>
</ds:datastoreItem>
</file>

<file path=customXml/itemProps2.xml><?xml version="1.0" encoding="utf-8"?>
<ds:datastoreItem xmlns:ds="http://schemas.openxmlformats.org/officeDocument/2006/customXml" ds:itemID="{100EA2D4-36C6-405D-977B-DC7FFF727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bd318-324e-4d15-8e09-212ffddb670e"/>
    <ds:schemaRef ds:uri="de148b54-c044-4bcc-8610-11499f3ba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D1BF8-D4B0-4E6C-9C0F-6152CF0CC1F9}">
  <ds:schemaRefs>
    <ds:schemaRef ds:uri="http://schemas.microsoft.com/office/2006/metadata/properties"/>
    <ds:schemaRef ds:uri="http://schemas.microsoft.com/office/infopath/2007/PartnerControls"/>
    <ds:schemaRef ds:uri="a58bd318-324e-4d15-8e09-212ffddb670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2138</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Myatt (Vice-Chancellor's Office)</dc:creator>
  <cp:keywords/>
  <dc:description/>
  <cp:lastModifiedBy>Andy Tootell (Campaigns and Reputation)</cp:lastModifiedBy>
  <cp:revision>2</cp:revision>
  <dcterms:created xsi:type="dcterms:W3CDTF">2025-10-29T16:18:00Z</dcterms:created>
  <dcterms:modified xsi:type="dcterms:W3CDTF">2025-10-29T16:18:00Z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0x010100B69C12F7CAD55A41915F20BA8A42B82C</vt:lpwstr>
  </property>
</Properties>
</file>