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08D2E003" w:rsidR="00E21211" w:rsidRDefault="0ECBDBF5" w:rsidP="16732B31">
      <w:pPr>
        <w:pStyle w:val="Title"/>
      </w:pPr>
      <w:r>
        <w:t>Abstracts</w:t>
      </w:r>
    </w:p>
    <w:p w14:paraId="29AAFF9A" w14:textId="7A109E25" w:rsidR="27DCEC7B" w:rsidRDefault="28733501" w:rsidP="16732B31">
      <w:pPr>
        <w:pStyle w:val="Heading1"/>
      </w:pPr>
      <w:r>
        <w:t>Keynote</w:t>
      </w:r>
    </w:p>
    <w:p w14:paraId="7B44573A" w14:textId="05C7E825" w:rsidR="28733501" w:rsidRDefault="28733501" w:rsidP="16732B31">
      <w:pPr>
        <w:pStyle w:val="Heading2"/>
      </w:pPr>
      <w:r>
        <w:t>Miriam Neigert</w:t>
      </w:r>
      <w:r w:rsidR="7B814A1E">
        <w:t>, University of New England, Australia</w:t>
      </w:r>
    </w:p>
    <w:p w14:paraId="5D23DAB1" w14:textId="7A015354" w:rsidR="3E61B327" w:rsidRDefault="3E61B327" w:rsidP="16732B31">
      <w:pPr>
        <w:pStyle w:val="Heading3"/>
        <w:rPr>
          <w:rFonts w:ascii="Calibri" w:eastAsia="Calibri" w:hAnsi="Calibri" w:cs="Calibri"/>
          <w:sz w:val="22"/>
          <w:szCs w:val="22"/>
        </w:rPr>
      </w:pPr>
      <w:r w:rsidRPr="16732B31">
        <w:t>Humanizing Assessment</w:t>
      </w:r>
    </w:p>
    <w:p w14:paraId="638B996F" w14:textId="1B94F4F4" w:rsidR="3E61B327" w:rsidRDefault="3E61B327" w:rsidP="16732B31">
      <w:pPr>
        <w:spacing w:after="0"/>
      </w:pPr>
      <w:r w:rsidRPr="16732B31">
        <w:t>Miriam has been a lecturer at University of New England, Australia, since 2018 and is the Discipline Convenor of German Studies. In 2023, she received a Citation for Outstanding Contributions to Student Learning, Australian Awards for University Teaching (AAUT) 2023, in recognition of the portfolio work she designed and introduced into all the German units at UNE.</w:t>
      </w:r>
    </w:p>
    <w:p w14:paraId="3526963B" w14:textId="6EE186C0" w:rsidR="3E61B327" w:rsidRDefault="3E61B327" w:rsidP="16732B31">
      <w:pPr>
        <w:spacing w:after="0"/>
      </w:pPr>
      <w:r w:rsidRPr="16732B31">
        <w:t xml:space="preserve"> </w:t>
      </w:r>
    </w:p>
    <w:p w14:paraId="4590B38F" w14:textId="1154400E" w:rsidR="3E61B327" w:rsidRDefault="3E61B327" w:rsidP="16732B31">
      <w:pPr>
        <w:spacing w:after="0"/>
      </w:pPr>
      <w:r w:rsidRPr="16732B31">
        <w:t>Miriam works a very long way away from teachers of German in the UK. However, that does not mean she is distant from us when it comes to issues of student recruitment and retention. That is why her ideas on, examples for and approach to portfolio assessment as ‘humane’ assessment can be particularly stimulating in the context of this Meeting.</w:t>
      </w:r>
    </w:p>
    <w:p w14:paraId="0C16E81E" w14:textId="69523857" w:rsidR="338E5781" w:rsidRDefault="17A39D9A" w:rsidP="125219CA">
      <w:pPr>
        <w:pStyle w:val="Heading1"/>
      </w:pPr>
      <w:r>
        <w:t>Workshops and Lightning Talks</w:t>
      </w:r>
    </w:p>
    <w:p w14:paraId="7AA73761" w14:textId="33A89629" w:rsidR="04366FC7" w:rsidRDefault="04366FC7" w:rsidP="04366FC7"/>
    <w:p w14:paraId="075A1D89" w14:textId="195D3E76" w:rsidR="0ECBDBF5" w:rsidRDefault="0ECBDBF5" w:rsidP="16732B31">
      <w:pPr>
        <w:pStyle w:val="Heading2"/>
        <w:spacing w:before="0" w:after="0"/>
      </w:pPr>
      <w:r>
        <w:t>Helen Jones, Lancaster University</w:t>
      </w:r>
    </w:p>
    <w:p w14:paraId="1F48E3A3" w14:textId="6540E84A" w:rsidR="0ECBDBF5" w:rsidRDefault="0ECBDBF5" w:rsidP="27DCEC7B">
      <w:pPr>
        <w:pStyle w:val="Heading3"/>
        <w:rPr>
          <w:rFonts w:ascii="Aptos" w:eastAsia="Aptos" w:hAnsi="Aptos" w:cs="Aptos"/>
          <w:color w:val="000000" w:themeColor="text1"/>
          <w:sz w:val="24"/>
          <w:szCs w:val="24"/>
        </w:rPr>
      </w:pPr>
      <w:r w:rsidRPr="16732B31">
        <w:t xml:space="preserve">Creative collaborative writing approaches to support assessment with B1-B2 learners. </w:t>
      </w:r>
    </w:p>
    <w:p w14:paraId="7DDC1E7B" w14:textId="6357AC56" w:rsidR="16D9DC51" w:rsidRDefault="16D9DC51" w:rsidP="16732B31">
      <w:pPr>
        <w:spacing w:after="0"/>
        <w:rPr>
          <w:rFonts w:ascii="Aptos" w:eastAsia="Aptos" w:hAnsi="Aptos" w:cs="Aptos"/>
          <w:color w:val="000000" w:themeColor="text1"/>
        </w:rPr>
      </w:pPr>
      <w:r w:rsidRPr="16732B31">
        <w:rPr>
          <w:rFonts w:ascii="Aptos" w:eastAsia="Aptos" w:hAnsi="Aptos" w:cs="Aptos"/>
          <w:color w:val="000000" w:themeColor="text1"/>
        </w:rPr>
        <w:t>I am often struck by the reticence of first-year students (post A-Level equivalent) in writing freely and under timed constraints. Conversations indicate a fear of making grammatical mistakes and a concern about vocabulary range. Writing under time constraints can add pressure to those who have a learning and support plan, for example, due to anxiety, a sensory impairment or dyslexia.</w:t>
      </w:r>
    </w:p>
    <w:p w14:paraId="427E0320" w14:textId="338EBE59" w:rsidR="16732B31" w:rsidRDefault="16732B31" w:rsidP="16732B31">
      <w:pPr>
        <w:spacing w:after="0"/>
        <w:rPr>
          <w:rFonts w:ascii="Aptos" w:eastAsia="Aptos" w:hAnsi="Aptos" w:cs="Aptos"/>
          <w:color w:val="000000" w:themeColor="text1"/>
        </w:rPr>
      </w:pPr>
    </w:p>
    <w:p w14:paraId="2E359B3E" w14:textId="3DBF6224" w:rsidR="16D9DC51" w:rsidRDefault="16D9DC51" w:rsidP="16732B31">
      <w:pPr>
        <w:spacing w:after="0"/>
        <w:rPr>
          <w:rFonts w:ascii="Aptos" w:eastAsia="Aptos" w:hAnsi="Aptos" w:cs="Aptos"/>
          <w:color w:val="000000" w:themeColor="text1"/>
        </w:rPr>
      </w:pPr>
      <w:r w:rsidRPr="16732B31">
        <w:rPr>
          <w:rFonts w:ascii="Aptos" w:eastAsia="Aptos" w:hAnsi="Aptos" w:cs="Aptos"/>
          <w:color w:val="000000" w:themeColor="text1"/>
        </w:rPr>
        <w:t xml:space="preserve">For the past three years, therefore, I have run a summer term (pre-summer exams) creative writing project over an average of 3 weeks, based on a combination of ideas from creative writing software, sources such as Doris </w:t>
      </w:r>
      <w:proofErr w:type="spellStart"/>
      <w:r w:rsidRPr="16732B31">
        <w:rPr>
          <w:rFonts w:ascii="Aptos" w:eastAsia="Aptos" w:hAnsi="Aptos" w:cs="Aptos"/>
          <w:color w:val="000000" w:themeColor="text1"/>
        </w:rPr>
        <w:t>Dörrie</w:t>
      </w:r>
      <w:proofErr w:type="spellEnd"/>
      <w:r w:rsidRPr="16732B31">
        <w:rPr>
          <w:rFonts w:ascii="Aptos" w:eastAsia="Aptos" w:hAnsi="Aptos" w:cs="Aptos"/>
          <w:color w:val="000000" w:themeColor="text1"/>
        </w:rPr>
        <w:t xml:space="preserve">, game play such as Call of </w:t>
      </w:r>
      <w:proofErr w:type="spellStart"/>
      <w:r w:rsidRPr="16732B31">
        <w:rPr>
          <w:rFonts w:ascii="Aptos" w:eastAsia="Aptos" w:hAnsi="Aptos" w:cs="Aptos"/>
          <w:color w:val="000000" w:themeColor="text1"/>
        </w:rPr>
        <w:t>Cthulu</w:t>
      </w:r>
      <w:proofErr w:type="spellEnd"/>
      <w:r w:rsidRPr="16732B31">
        <w:rPr>
          <w:rFonts w:ascii="Aptos" w:eastAsia="Aptos" w:hAnsi="Aptos" w:cs="Aptos"/>
          <w:color w:val="000000" w:themeColor="text1"/>
        </w:rPr>
        <w:t xml:space="preserve">, my past research on narration and point of view, and 5 years community experience outside HE as an Asset-Based Community Development practitioner (a </w:t>
      </w:r>
      <w:proofErr w:type="spellStart"/>
      <w:r w:rsidRPr="16732B31">
        <w:rPr>
          <w:rFonts w:ascii="Aptos" w:eastAsia="Aptos" w:hAnsi="Aptos" w:cs="Aptos"/>
          <w:color w:val="000000" w:themeColor="text1"/>
        </w:rPr>
        <w:t>neighbourhood</w:t>
      </w:r>
      <w:proofErr w:type="spellEnd"/>
      <w:r w:rsidRPr="16732B31">
        <w:rPr>
          <w:rFonts w:ascii="Aptos" w:eastAsia="Aptos" w:hAnsi="Aptos" w:cs="Aptos"/>
          <w:color w:val="000000" w:themeColor="text1"/>
        </w:rPr>
        <w:t xml:space="preserve"> approach bringing together people on the basis of individual gifts rather than needs). </w:t>
      </w:r>
    </w:p>
    <w:p w14:paraId="56BAFBDD" w14:textId="62D4B19B" w:rsidR="16732B31" w:rsidRDefault="16732B31" w:rsidP="16732B31">
      <w:pPr>
        <w:spacing w:after="0"/>
        <w:rPr>
          <w:rFonts w:ascii="Aptos" w:eastAsia="Aptos" w:hAnsi="Aptos" w:cs="Aptos"/>
          <w:color w:val="000000" w:themeColor="text1"/>
        </w:rPr>
      </w:pPr>
    </w:p>
    <w:p w14:paraId="502B61EB" w14:textId="456E1070" w:rsidR="16D9DC51" w:rsidRDefault="16D9DC51" w:rsidP="16732B31">
      <w:pPr>
        <w:spacing w:after="0"/>
        <w:rPr>
          <w:rFonts w:ascii="Aptos" w:eastAsia="Aptos" w:hAnsi="Aptos" w:cs="Aptos"/>
          <w:color w:val="000000" w:themeColor="text1"/>
        </w:rPr>
      </w:pPr>
      <w:r w:rsidRPr="16732B31">
        <w:rPr>
          <w:rFonts w:ascii="Aptos" w:eastAsia="Aptos" w:hAnsi="Aptos" w:cs="Aptos"/>
          <w:color w:val="000000" w:themeColor="text1"/>
        </w:rPr>
        <w:t>Each group of around 8-15 students produces a short story. The process involves seminar activity with role allocations, levels of competition and collaboration.</w:t>
      </w:r>
      <w:r w:rsidR="17DE63E1" w:rsidRPr="16732B31">
        <w:rPr>
          <w:rFonts w:ascii="Aptos" w:eastAsia="Aptos" w:hAnsi="Aptos" w:cs="Aptos"/>
          <w:color w:val="000000" w:themeColor="text1"/>
        </w:rPr>
        <w:t xml:space="preserve"> </w:t>
      </w:r>
      <w:r w:rsidRPr="16732B31">
        <w:rPr>
          <w:rFonts w:ascii="Aptos" w:eastAsia="Aptos" w:hAnsi="Aptos" w:cs="Aptos"/>
          <w:color w:val="000000" w:themeColor="text1"/>
        </w:rPr>
        <w:t>The roles are distributed and negotiated according to students' strengths: whether</w:t>
      </w:r>
      <w:r w:rsidR="2A1EC231" w:rsidRPr="16732B31">
        <w:rPr>
          <w:rFonts w:ascii="Aptos" w:eastAsia="Aptos" w:hAnsi="Aptos" w:cs="Aptos"/>
          <w:color w:val="000000" w:themeColor="text1"/>
        </w:rPr>
        <w:t xml:space="preserve"> that be</w:t>
      </w:r>
      <w:r w:rsidRPr="16732B31">
        <w:rPr>
          <w:rFonts w:ascii="Aptos" w:eastAsia="Aptos" w:hAnsi="Aptos" w:cs="Aptos"/>
          <w:color w:val="000000" w:themeColor="text1"/>
        </w:rPr>
        <w:t xml:space="preserve"> creativity, </w:t>
      </w:r>
      <w:proofErr w:type="spellStart"/>
      <w:r w:rsidRPr="16732B31">
        <w:rPr>
          <w:rFonts w:ascii="Aptos" w:eastAsia="Aptos" w:hAnsi="Aptos" w:cs="Aptos"/>
          <w:color w:val="000000" w:themeColor="text1"/>
        </w:rPr>
        <w:t>organisation</w:t>
      </w:r>
      <w:proofErr w:type="spellEnd"/>
      <w:r w:rsidRPr="16732B31">
        <w:rPr>
          <w:rFonts w:ascii="Aptos" w:eastAsia="Aptos" w:hAnsi="Aptos" w:cs="Aptos"/>
          <w:color w:val="000000" w:themeColor="text1"/>
        </w:rPr>
        <w:t xml:space="preserve"> or an eye for detail, </w:t>
      </w:r>
      <w:r w:rsidR="00FB02FC" w:rsidRPr="16732B31">
        <w:rPr>
          <w:rFonts w:ascii="Aptos" w:eastAsia="Aptos" w:hAnsi="Aptos" w:cs="Aptos"/>
          <w:color w:val="000000" w:themeColor="text1"/>
        </w:rPr>
        <w:t>to name but a few</w:t>
      </w:r>
      <w:r w:rsidRPr="16732B31">
        <w:rPr>
          <w:rFonts w:ascii="Aptos" w:eastAsia="Aptos" w:hAnsi="Aptos" w:cs="Aptos"/>
          <w:color w:val="000000" w:themeColor="text1"/>
        </w:rPr>
        <w:t>.</w:t>
      </w:r>
    </w:p>
    <w:p w14:paraId="7394423C" w14:textId="11D66901" w:rsidR="16732B31" w:rsidRDefault="16732B31" w:rsidP="16732B31">
      <w:pPr>
        <w:spacing w:after="0"/>
        <w:rPr>
          <w:rFonts w:ascii="Aptos" w:eastAsia="Aptos" w:hAnsi="Aptos" w:cs="Aptos"/>
          <w:color w:val="000000" w:themeColor="text1"/>
        </w:rPr>
      </w:pPr>
    </w:p>
    <w:p w14:paraId="7206176D" w14:textId="52A4DE8B" w:rsidR="6F26FBE6" w:rsidRDefault="6F26FBE6" w:rsidP="16732B31">
      <w:pPr>
        <w:spacing w:after="0"/>
        <w:rPr>
          <w:rFonts w:ascii="Aptos" w:eastAsia="Aptos" w:hAnsi="Aptos" w:cs="Aptos"/>
          <w:color w:val="000000" w:themeColor="text1"/>
        </w:rPr>
      </w:pPr>
      <w:r w:rsidRPr="16732B31">
        <w:rPr>
          <w:rFonts w:ascii="Aptos" w:eastAsia="Aptos" w:hAnsi="Aptos" w:cs="Aptos"/>
          <w:color w:val="000000" w:themeColor="text1"/>
        </w:rPr>
        <w:t>My</w:t>
      </w:r>
      <w:r w:rsidR="16D9DC51" w:rsidRPr="16732B31">
        <w:rPr>
          <w:rFonts w:ascii="Aptos" w:eastAsia="Aptos" w:hAnsi="Aptos" w:cs="Aptos"/>
          <w:color w:val="000000" w:themeColor="text1"/>
        </w:rPr>
        <w:t xml:space="preserve"> session covers the process, refined over three years, the positives and the pitfalls, and a very short taster on getting started to demonstrate.</w:t>
      </w:r>
    </w:p>
    <w:p w14:paraId="0E31AF10" w14:textId="6C11C86E" w:rsidR="16732B31" w:rsidRDefault="16732B31" w:rsidP="16732B31">
      <w:pPr>
        <w:spacing w:after="0"/>
        <w:rPr>
          <w:rFonts w:ascii="Aptos" w:eastAsia="Aptos" w:hAnsi="Aptos" w:cs="Aptos"/>
          <w:color w:val="000000" w:themeColor="text1"/>
        </w:rPr>
      </w:pPr>
    </w:p>
    <w:p w14:paraId="5BF65B8A" w14:textId="697FC733" w:rsidR="442A6799" w:rsidRDefault="442A6799" w:rsidP="5E838075">
      <w:pPr>
        <w:pStyle w:val="Heading2"/>
      </w:pPr>
      <w:r w:rsidRPr="16732B31">
        <w:t>Britta Schrader, Oxford University – Language Centre</w:t>
      </w:r>
    </w:p>
    <w:p w14:paraId="42EBD7B8" w14:textId="2E68DE6D" w:rsidR="442A6799" w:rsidRDefault="442A6799" w:rsidP="3F35ABBA">
      <w:pPr>
        <w:pStyle w:val="Heading3"/>
      </w:pPr>
      <w:r w:rsidRPr="16732B31">
        <w:t>The Promise of Authenticity</w:t>
      </w:r>
    </w:p>
    <w:p w14:paraId="2D2165DA" w14:textId="59AE8B53" w:rsidR="442A6799" w:rsidRPr="00C62BC7" w:rsidRDefault="442A6799" w:rsidP="00C62BC7">
      <w:pPr>
        <w:spacing w:line="278" w:lineRule="auto"/>
        <w:rPr>
          <w:rFonts w:ascii="Aptos" w:eastAsia="Aptos" w:hAnsi="Aptos" w:cs="Aptos"/>
        </w:rPr>
      </w:pPr>
      <w:r w:rsidRPr="00C62BC7">
        <w:rPr>
          <w:rFonts w:ascii="Aptos" w:eastAsia="Aptos" w:hAnsi="Aptos" w:cs="Aptos"/>
          <w:i/>
          <w:iCs/>
        </w:rPr>
        <w:t>Blogs</w:t>
      </w:r>
      <w:r w:rsidRPr="00C62BC7">
        <w:rPr>
          <w:rFonts w:ascii="Aptos" w:eastAsia="Aptos" w:hAnsi="Aptos" w:cs="Aptos"/>
        </w:rPr>
        <w:t xml:space="preserve">, </w:t>
      </w:r>
      <w:r w:rsidRPr="00C62BC7">
        <w:rPr>
          <w:rFonts w:ascii="Aptos" w:eastAsia="Aptos" w:hAnsi="Aptos" w:cs="Aptos"/>
          <w:i/>
          <w:iCs/>
        </w:rPr>
        <w:t>Portfolios</w:t>
      </w:r>
      <w:r w:rsidRPr="00C62BC7">
        <w:rPr>
          <w:rFonts w:ascii="Aptos" w:eastAsia="Aptos" w:hAnsi="Aptos" w:cs="Aptos"/>
        </w:rPr>
        <w:t xml:space="preserve">, </w:t>
      </w:r>
      <w:r w:rsidRPr="00C62BC7">
        <w:rPr>
          <w:rFonts w:ascii="Aptos" w:eastAsia="Aptos" w:hAnsi="Aptos" w:cs="Aptos"/>
          <w:i/>
          <w:iCs/>
        </w:rPr>
        <w:t>Learner diaries</w:t>
      </w:r>
      <w:r w:rsidRPr="00C62BC7">
        <w:rPr>
          <w:rFonts w:ascii="Aptos" w:eastAsia="Aptos" w:hAnsi="Aptos" w:cs="Aptos"/>
        </w:rPr>
        <w:t xml:space="preserve"> and </w:t>
      </w:r>
      <w:r w:rsidRPr="00C62BC7">
        <w:rPr>
          <w:rFonts w:ascii="Aptos" w:eastAsia="Aptos" w:hAnsi="Aptos" w:cs="Aptos"/>
          <w:i/>
          <w:iCs/>
        </w:rPr>
        <w:t>self-assessment</w:t>
      </w:r>
      <w:r w:rsidRPr="00C62BC7">
        <w:rPr>
          <w:rFonts w:ascii="Aptos" w:eastAsia="Aptos" w:hAnsi="Aptos" w:cs="Aptos"/>
        </w:rPr>
        <w:t xml:space="preserve"> – there is now a whole gamut of assignments designed to be “authentic”.  However, a closer look at some specific tasks, marking criteria and submissions leads to question the assumption that everything designed to reflect student’s interests, to mirror real life tasks and thus make learning meaningful is being perceived by students as such. Instead, submissions which tap deliberately into student’s personal experiences / lives are frequently completed purely performatively, without any significant difference to any other “unauthentic” assessment. Does the students’ strife for perfection (respectively a good mark) stand in the way of revealing anything about themselves?</w:t>
      </w:r>
    </w:p>
    <w:p w14:paraId="0F4D011A" w14:textId="77777777" w:rsidR="00C62BC7" w:rsidRPr="00C62BC7" w:rsidRDefault="00C62BC7" w:rsidP="7A42E0E3">
      <w:pPr>
        <w:pStyle w:val="Heading2"/>
        <w:rPr>
          <w:sz w:val="24"/>
          <w:szCs w:val="24"/>
        </w:rPr>
      </w:pPr>
    </w:p>
    <w:p w14:paraId="78C7BC58" w14:textId="42854FA3" w:rsidR="5478E8D0" w:rsidRDefault="385850DB" w:rsidP="7A42E0E3">
      <w:pPr>
        <w:pStyle w:val="Heading2"/>
        <w:rPr>
          <w:rFonts w:ascii="Helvetica" w:eastAsia="Helvetica" w:hAnsi="Helvetica" w:cs="Helvetica"/>
          <w:sz w:val="24"/>
          <w:szCs w:val="24"/>
        </w:rPr>
      </w:pPr>
      <w:r>
        <w:t>Sandra Reisenleutner (Nottingham University)</w:t>
      </w:r>
    </w:p>
    <w:p w14:paraId="438FA60E" w14:textId="29848601" w:rsidR="5478E8D0" w:rsidRDefault="385850DB" w:rsidP="7A42E0E3">
      <w:pPr>
        <w:pStyle w:val="Heading3"/>
        <w:rPr>
          <w:rFonts w:ascii="Calibri" w:eastAsia="Calibri" w:hAnsi="Calibri" w:cs="Calibri"/>
          <w:sz w:val="22"/>
          <w:szCs w:val="22"/>
        </w:rPr>
      </w:pPr>
      <w:r>
        <w:t xml:space="preserve">Small adaptations to add more authenticity to </w:t>
      </w:r>
      <w:proofErr w:type="spellStart"/>
      <w:r>
        <w:t>harmonised</w:t>
      </w:r>
      <w:proofErr w:type="spellEnd"/>
      <w:r>
        <w:t xml:space="preserve"> assessment</w:t>
      </w:r>
    </w:p>
    <w:p w14:paraId="027D480F" w14:textId="2464E7B6" w:rsidR="5478E8D0" w:rsidRPr="00C62BC7" w:rsidRDefault="385850DB" w:rsidP="00C62BC7">
      <w:pPr>
        <w:spacing w:line="278" w:lineRule="auto"/>
        <w:rPr>
          <w:rFonts w:eastAsia="Helvetica" w:cs="Helvetica"/>
        </w:rPr>
      </w:pPr>
      <w:r w:rsidRPr="00C62BC7">
        <w:rPr>
          <w:rFonts w:eastAsia="Helvetica" w:cs="Helvetica"/>
        </w:rPr>
        <w:t xml:space="preserve">In the Language Centre of the University of Nottingham, language assessment is </w:t>
      </w:r>
      <w:proofErr w:type="spellStart"/>
      <w:r w:rsidRPr="00C62BC7">
        <w:rPr>
          <w:rFonts w:eastAsia="Helvetica" w:cs="Helvetica"/>
        </w:rPr>
        <w:t>harmonised</w:t>
      </w:r>
      <w:proofErr w:type="spellEnd"/>
      <w:r w:rsidRPr="00C62BC7">
        <w:rPr>
          <w:rFonts w:eastAsia="Helvetica" w:cs="Helvetica"/>
        </w:rPr>
        <w:t xml:space="preserve"> across languages for each level. While this format aims at comparability, it also raises the question, how classroom practice can be reflected in the assessment and how assessment can include a degree of authenticity. This short talk will look at the reading and listening comprehension tasks in the language tests of stage 2, i.e. a module at A2 level, and examine how those tasks can be more authentic by adding a task-based approach to a set piece of assessment.</w:t>
      </w:r>
    </w:p>
    <w:p w14:paraId="10F0D2B8" w14:textId="32F67A18" w:rsidR="5478E8D0" w:rsidRDefault="5478E8D0" w:rsidP="7A42E0E3"/>
    <w:p w14:paraId="089C5C38" w14:textId="117E6395" w:rsidR="385850DB" w:rsidRDefault="385850DB" w:rsidP="7A42E0E3">
      <w:pPr>
        <w:pStyle w:val="Heading2"/>
        <w:rPr>
          <w:lang w:val="en-GB"/>
        </w:rPr>
      </w:pPr>
      <w:r w:rsidRPr="7A42E0E3">
        <w:rPr>
          <w:lang w:val="en-GB"/>
        </w:rPr>
        <w:t>Ulrike Bavendiek, Liverpool University</w:t>
      </w:r>
    </w:p>
    <w:p w14:paraId="78ECDC9D" w14:textId="4C3BDF43" w:rsidR="385850DB" w:rsidRDefault="385850DB" w:rsidP="7A42E0E3">
      <w:pPr>
        <w:pStyle w:val="Heading3"/>
        <w:rPr>
          <w:rFonts w:ascii="Aptos" w:eastAsia="Aptos" w:hAnsi="Aptos" w:cs="Aptos"/>
          <w:color w:val="000000" w:themeColor="text1"/>
          <w:sz w:val="24"/>
          <w:szCs w:val="24"/>
        </w:rPr>
      </w:pPr>
      <w:r w:rsidRPr="7A42E0E3">
        <w:rPr>
          <w:lang w:val="en-GB"/>
        </w:rPr>
        <w:t>A culture-based portfolio for ab initio language learners</w:t>
      </w:r>
    </w:p>
    <w:p w14:paraId="1BD78C93" w14:textId="1E322199" w:rsidR="385850DB" w:rsidRDefault="385850DB" w:rsidP="7A42E0E3">
      <w:pPr>
        <w:spacing w:before="160" w:line="278" w:lineRule="auto"/>
        <w:rPr>
          <w:rFonts w:ascii="Aptos" w:eastAsia="Aptos" w:hAnsi="Aptos" w:cs="Aptos"/>
          <w:color w:val="000000" w:themeColor="text1"/>
        </w:rPr>
      </w:pPr>
      <w:r w:rsidRPr="7A42E0E3">
        <w:rPr>
          <w:rFonts w:ascii="Aptos" w:eastAsia="Aptos" w:hAnsi="Aptos" w:cs="Aptos"/>
          <w:color w:val="000000" w:themeColor="text1"/>
          <w:lang w:val="en-GB"/>
        </w:rPr>
        <w:t>I will present a range of assessed portfolio tasks for first year ab initio students at A2 level which invite students to develop authentic responses to works of art. The portfolio was based on the following premises:</w:t>
      </w:r>
    </w:p>
    <w:p w14:paraId="7B8A190D" w14:textId="006E0C48" w:rsidR="385850DB" w:rsidRDefault="385850DB" w:rsidP="7A42E0E3">
      <w:pPr>
        <w:pStyle w:val="ListParagraph"/>
        <w:numPr>
          <w:ilvl w:val="0"/>
          <w:numId w:val="4"/>
        </w:numPr>
        <w:spacing w:before="160" w:line="278" w:lineRule="auto"/>
        <w:rPr>
          <w:rFonts w:ascii="Aptos" w:eastAsia="Aptos" w:hAnsi="Aptos" w:cs="Aptos"/>
          <w:color w:val="000000" w:themeColor="text1"/>
        </w:rPr>
      </w:pPr>
      <w:r w:rsidRPr="7A42E0E3">
        <w:rPr>
          <w:rFonts w:ascii="Aptos" w:eastAsia="Aptos" w:hAnsi="Aptos" w:cs="Aptos"/>
          <w:color w:val="000000" w:themeColor="text1"/>
          <w:lang w:val="en-GB"/>
        </w:rPr>
        <w:t>Language degree students are interested in the culture of a community as well as in their language.</w:t>
      </w:r>
    </w:p>
    <w:p w14:paraId="4603E290" w14:textId="79549E0C" w:rsidR="385850DB" w:rsidRDefault="385850DB" w:rsidP="7A42E0E3">
      <w:pPr>
        <w:pStyle w:val="ListParagraph"/>
        <w:numPr>
          <w:ilvl w:val="0"/>
          <w:numId w:val="4"/>
        </w:numPr>
        <w:spacing w:before="160" w:line="278" w:lineRule="auto"/>
        <w:rPr>
          <w:rFonts w:ascii="Aptos" w:eastAsia="Aptos" w:hAnsi="Aptos" w:cs="Aptos"/>
          <w:color w:val="000000" w:themeColor="text1"/>
        </w:rPr>
      </w:pPr>
      <w:r w:rsidRPr="7A42E0E3">
        <w:rPr>
          <w:rFonts w:ascii="Aptos" w:eastAsia="Aptos" w:hAnsi="Aptos" w:cs="Aptos"/>
          <w:color w:val="000000" w:themeColor="text1"/>
          <w:lang w:val="en-GB"/>
        </w:rPr>
        <w:t>The ability to communicate about culture in the target language is an important skill for language graduates.</w:t>
      </w:r>
    </w:p>
    <w:p w14:paraId="7CAC5B6A" w14:textId="2CA1D1CB" w:rsidR="385850DB" w:rsidRDefault="385850DB" w:rsidP="7A42E0E3">
      <w:pPr>
        <w:pStyle w:val="ListParagraph"/>
        <w:numPr>
          <w:ilvl w:val="0"/>
          <w:numId w:val="4"/>
        </w:numPr>
        <w:spacing w:before="160" w:line="278" w:lineRule="auto"/>
        <w:rPr>
          <w:rFonts w:ascii="Aptos" w:eastAsia="Aptos" w:hAnsi="Aptos" w:cs="Aptos"/>
          <w:color w:val="000000" w:themeColor="text1"/>
        </w:rPr>
      </w:pPr>
      <w:r w:rsidRPr="7A42E0E3">
        <w:rPr>
          <w:rFonts w:ascii="Aptos" w:eastAsia="Aptos" w:hAnsi="Aptos" w:cs="Aptos"/>
          <w:color w:val="000000" w:themeColor="text1"/>
          <w:lang w:val="en-GB"/>
        </w:rPr>
        <w:t>The critical use of AI for language learning should be taught and assessed.</w:t>
      </w:r>
    </w:p>
    <w:p w14:paraId="52F87E69" w14:textId="46F3F6E7" w:rsidR="385850DB" w:rsidRDefault="385850DB" w:rsidP="7A42E0E3">
      <w:pPr>
        <w:pStyle w:val="ListParagraph"/>
        <w:numPr>
          <w:ilvl w:val="0"/>
          <w:numId w:val="4"/>
        </w:numPr>
        <w:spacing w:before="160" w:line="278" w:lineRule="auto"/>
        <w:rPr>
          <w:rFonts w:ascii="Aptos" w:eastAsia="Aptos" w:hAnsi="Aptos" w:cs="Aptos"/>
          <w:color w:val="000000" w:themeColor="text1"/>
        </w:rPr>
      </w:pPr>
      <w:r w:rsidRPr="7A42E0E3">
        <w:rPr>
          <w:rFonts w:ascii="Aptos" w:eastAsia="Aptos" w:hAnsi="Aptos" w:cs="Aptos"/>
          <w:color w:val="000000" w:themeColor="text1"/>
          <w:lang w:val="en-GB"/>
        </w:rPr>
        <w:t>A playful, nonpunitive approach to language learning leads to deeper engagement, feeling of control and motivation.</w:t>
      </w:r>
    </w:p>
    <w:p w14:paraId="53036380" w14:textId="6C9E44C5" w:rsidR="7A42E0E3" w:rsidRDefault="7A42E0E3" w:rsidP="7A42E0E3">
      <w:pPr>
        <w:spacing w:before="160" w:line="278" w:lineRule="auto"/>
        <w:rPr>
          <w:rFonts w:ascii="Aptos" w:eastAsia="Aptos" w:hAnsi="Aptos" w:cs="Aptos"/>
          <w:color w:val="000000" w:themeColor="text1"/>
        </w:rPr>
      </w:pPr>
    </w:p>
    <w:p w14:paraId="2F073B41" w14:textId="543FEA9C" w:rsidR="0DA55D91" w:rsidRDefault="0DA55D91" w:rsidP="7A42E0E3">
      <w:pPr>
        <w:pStyle w:val="Heading2"/>
        <w:spacing w:line="257" w:lineRule="auto"/>
      </w:pPr>
      <w:r w:rsidRPr="7A42E0E3">
        <w:rPr>
          <w:rFonts w:ascii="Aptos Display" w:eastAsia="Aptos Display" w:hAnsi="Aptos Display" w:cs="Aptos Display"/>
        </w:rPr>
        <w:lastRenderedPageBreak/>
        <w:t>Jonas Langner, KCL</w:t>
      </w:r>
    </w:p>
    <w:p w14:paraId="2F68AB09" w14:textId="617F7C98" w:rsidR="0DA55D91" w:rsidRDefault="0DA55D91" w:rsidP="7A42E0E3">
      <w:pPr>
        <w:pStyle w:val="Heading3"/>
        <w:rPr>
          <w:rFonts w:ascii="Aptos" w:eastAsia="Aptos" w:hAnsi="Aptos" w:cs="Aptos"/>
          <w:sz w:val="22"/>
          <w:szCs w:val="22"/>
        </w:rPr>
      </w:pPr>
      <w:r>
        <w:t>Mediation in language learning</w:t>
      </w:r>
    </w:p>
    <w:p w14:paraId="1B7B8D8A" w14:textId="557B0A06" w:rsidR="0DA55D91" w:rsidRPr="00C62BC7" w:rsidRDefault="0DA55D91" w:rsidP="7A42E0E3">
      <w:pPr>
        <w:spacing w:line="257" w:lineRule="auto"/>
        <w:rPr>
          <w:rFonts w:ascii="Aptos" w:eastAsia="Aptos" w:hAnsi="Aptos" w:cs="Aptos"/>
        </w:rPr>
      </w:pPr>
      <w:r w:rsidRPr="00C62BC7">
        <w:rPr>
          <w:rFonts w:ascii="Aptos" w:eastAsia="Aptos" w:hAnsi="Aptos" w:cs="Aptos"/>
        </w:rPr>
        <w:t>Mediation, one of the key skills for language learners according to the CEFR, offers plenty of opportunities for authentic assessment of language learning. Mediation skills enable learners to combine their language skills and intercultural competence and use them in situations that reflect real-life scenarios, both in professional and everyday contexts. This approach provides learners with useful transferable skills whilst allowing them to bring their personality and background to the task. This approach is not only about the target language and culture but also the language(s) and culture(s) of the students and how to use these to construct (new) meaning. It is therefore a creative way in also addressing Universities’ employability agendas.</w:t>
      </w:r>
    </w:p>
    <w:p w14:paraId="3DACA9F1" w14:textId="2F8113AC" w:rsidR="0DA55D91" w:rsidRPr="00C62BC7" w:rsidRDefault="0DA55D91" w:rsidP="7A42E0E3">
      <w:pPr>
        <w:spacing w:line="257" w:lineRule="auto"/>
      </w:pPr>
      <w:r w:rsidRPr="00C62BC7">
        <w:rPr>
          <w:rFonts w:ascii="Aptos" w:eastAsia="Aptos" w:hAnsi="Aptos" w:cs="Aptos"/>
        </w:rPr>
        <w:t xml:space="preserve">I will present ideas of how to </w:t>
      </w:r>
      <w:proofErr w:type="spellStart"/>
      <w:r w:rsidRPr="00C62BC7">
        <w:rPr>
          <w:rFonts w:ascii="Aptos" w:eastAsia="Aptos" w:hAnsi="Aptos" w:cs="Aptos"/>
        </w:rPr>
        <w:t>utilise</w:t>
      </w:r>
      <w:proofErr w:type="spellEnd"/>
      <w:r w:rsidRPr="00C62BC7">
        <w:rPr>
          <w:rFonts w:ascii="Aptos" w:eastAsia="Aptos" w:hAnsi="Aptos" w:cs="Aptos"/>
        </w:rPr>
        <w:t xml:space="preserve"> the potential of mediation for authentic assessment. Different examples will address various descriptors for mediation from the Companion Volume of the CEFR. </w:t>
      </w:r>
    </w:p>
    <w:p w14:paraId="3EB4BB34" w14:textId="6E15AC99" w:rsidR="0DA55D91" w:rsidRPr="00C62BC7" w:rsidRDefault="0DA55D91" w:rsidP="7A42E0E3">
      <w:pPr>
        <w:spacing w:line="257" w:lineRule="auto"/>
      </w:pPr>
      <w:r w:rsidRPr="00C62BC7">
        <w:rPr>
          <w:rFonts w:ascii="Aptos" w:eastAsia="Aptos" w:hAnsi="Aptos" w:cs="Aptos"/>
        </w:rPr>
        <w:t>Sources:</w:t>
      </w:r>
    </w:p>
    <w:p w14:paraId="400E7E80" w14:textId="755BF070" w:rsidR="0DA55D91" w:rsidRPr="00C62BC7" w:rsidRDefault="0DA55D91" w:rsidP="7A42E0E3">
      <w:pPr>
        <w:pStyle w:val="ListParagraph"/>
        <w:numPr>
          <w:ilvl w:val="0"/>
          <w:numId w:val="7"/>
        </w:numPr>
        <w:spacing w:after="0" w:line="257" w:lineRule="auto"/>
        <w:rPr>
          <w:rFonts w:ascii="Aptos" w:eastAsia="Aptos" w:hAnsi="Aptos" w:cs="Aptos"/>
        </w:rPr>
      </w:pPr>
      <w:r w:rsidRPr="00C62BC7">
        <w:rPr>
          <w:rFonts w:ascii="Aptos" w:eastAsia="Aptos" w:hAnsi="Aptos" w:cs="Aptos"/>
        </w:rPr>
        <w:t>Council of Europe, “Common European Framework of Reference for Languages: Learning, Teaching, Assessment. Companion volume”, 2020.</w:t>
      </w:r>
    </w:p>
    <w:p w14:paraId="66E90767" w14:textId="51F7A175" w:rsidR="0DA55D91" w:rsidRPr="00C62BC7" w:rsidRDefault="0DA55D91" w:rsidP="7A42E0E3">
      <w:pPr>
        <w:pStyle w:val="ListParagraph"/>
        <w:numPr>
          <w:ilvl w:val="0"/>
          <w:numId w:val="7"/>
        </w:numPr>
        <w:spacing w:after="0" w:line="257" w:lineRule="auto"/>
        <w:rPr>
          <w:rFonts w:ascii="Aptos" w:eastAsia="Aptos" w:hAnsi="Aptos" w:cs="Aptos"/>
        </w:rPr>
      </w:pPr>
      <w:r w:rsidRPr="00C62BC7">
        <w:rPr>
          <w:rFonts w:ascii="Aptos" w:eastAsia="Aptos" w:hAnsi="Aptos" w:cs="Aptos"/>
        </w:rPr>
        <w:t xml:space="preserve">Judith T. M. Gulikers, Theo J. </w:t>
      </w:r>
      <w:proofErr w:type="spellStart"/>
      <w:r w:rsidRPr="00C62BC7">
        <w:rPr>
          <w:rFonts w:ascii="Aptos" w:eastAsia="Aptos" w:hAnsi="Aptos" w:cs="Aptos"/>
        </w:rPr>
        <w:t>Bastiaens</w:t>
      </w:r>
      <w:proofErr w:type="spellEnd"/>
      <w:r w:rsidRPr="00C62BC7">
        <w:rPr>
          <w:rFonts w:ascii="Aptos" w:eastAsia="Aptos" w:hAnsi="Aptos" w:cs="Aptos"/>
        </w:rPr>
        <w:t xml:space="preserve"> and Paul A. Kirschner, “A Five-Dimensional Framework for Authentic Assessment”, in Educational Technology Research and Development, 52 (3), 2004.</w:t>
      </w:r>
    </w:p>
    <w:p w14:paraId="6AA12E11" w14:textId="699995D2" w:rsidR="7A42E0E3" w:rsidRDefault="7A42E0E3"/>
    <w:p w14:paraId="604E4815" w14:textId="3123D2A8" w:rsidR="7A42E0E3" w:rsidRPr="00C62BC7" w:rsidRDefault="00B21447" w:rsidP="7A42E0E3">
      <w:pPr>
        <w:rPr>
          <w:lang w:val="en-GB"/>
        </w:rPr>
      </w:pPr>
      <w:r w:rsidRPr="00B21447">
        <w:rPr>
          <w:rStyle w:val="Heading2Char"/>
          <w:lang w:val="en-GB"/>
        </w:rPr>
        <w:t>Darren Lester, Wycliffe College</w:t>
      </w:r>
      <w:r w:rsidRPr="00B21447">
        <w:rPr>
          <w:lang w:val="en-GB"/>
        </w:rPr>
        <w:br/>
      </w:r>
      <w:r w:rsidRPr="00B21447">
        <w:rPr>
          <w:rStyle w:val="Heading3Char"/>
          <w:lang w:val="en-GB"/>
        </w:rPr>
        <w:t>Using CEFR Levels for meaningful assessment</w:t>
      </w:r>
      <w:r w:rsidRPr="00B21447">
        <w:rPr>
          <w:lang w:val="en-GB"/>
        </w:rPr>
        <w:br/>
        <w:t>The Common European Framework of Reference for Languages (CEFR) is a six-point</w:t>
      </w:r>
      <w:r w:rsidRPr="00B21447">
        <w:rPr>
          <w:lang w:val="en-GB"/>
        </w:rPr>
        <w:br/>
        <w:t>scale designed to be an international standard for describing linguistic ability</w:t>
      </w:r>
      <w:r w:rsidRPr="00B21447">
        <w:rPr>
          <w:lang w:val="en-GB"/>
        </w:rPr>
        <w:br/>
        <w:t>(Cambridge University Press &amp; Assessment, 2024) but is predominantly used to define</w:t>
      </w:r>
      <w:r w:rsidRPr="00B21447">
        <w:rPr>
          <w:lang w:val="en-GB"/>
        </w:rPr>
        <w:br/>
        <w:t>entry requirements for international students in higher education (</w:t>
      </w:r>
      <w:proofErr w:type="spellStart"/>
      <w:r w:rsidRPr="00B21447">
        <w:rPr>
          <w:lang w:val="en-GB"/>
        </w:rPr>
        <w:t>Piccardo</w:t>
      </w:r>
      <w:proofErr w:type="spellEnd"/>
      <w:r w:rsidRPr="00B21447">
        <w:rPr>
          <w:lang w:val="en-GB"/>
        </w:rPr>
        <w:t>, 2021) rather</w:t>
      </w:r>
      <w:r w:rsidRPr="00B21447">
        <w:rPr>
          <w:lang w:val="en-GB"/>
        </w:rPr>
        <w:br/>
        <w:t>than to assess linguistic ability at a terminal level (see, for example, the lack of</w:t>
      </w:r>
      <w:r w:rsidRPr="00B21447">
        <w:rPr>
          <w:lang w:val="en-GB"/>
        </w:rPr>
        <w:br/>
        <w:t>correlation between CEFR levels and GCSE or A Level grading).</w:t>
      </w:r>
      <w:r w:rsidRPr="00B21447">
        <w:rPr>
          <w:lang w:val="en-GB"/>
        </w:rPr>
        <w:br/>
        <w:t>In this talk, I will advocate for the increased explicit use of CEFR levels at all stages of</w:t>
      </w:r>
      <w:r w:rsidRPr="00B21447">
        <w:rPr>
          <w:lang w:val="en-GB"/>
        </w:rPr>
        <w:br/>
      </w:r>
      <w:r w:rsidRPr="00B21447">
        <w:rPr>
          <w:lang w:val="en-GB"/>
        </w:rPr>
        <w:lastRenderedPageBreak/>
        <w:t>language assessment in the UK (from EYFS to tertiary education) so that it becomes</w:t>
      </w:r>
      <w:r w:rsidRPr="00B21447">
        <w:rPr>
          <w:lang w:val="en-GB"/>
        </w:rPr>
        <w:br/>
        <w:t>part of the vocabulary of German assessment and of our students and so that we can</w:t>
      </w:r>
      <w:r w:rsidRPr="00B21447">
        <w:rPr>
          <w:lang w:val="en-GB"/>
        </w:rPr>
        <w:br/>
        <w:t>more explicitly discuss the levels of language proficiency amongst our students. I will</w:t>
      </w:r>
      <w:r w:rsidRPr="00B21447">
        <w:rPr>
          <w:lang w:val="en-GB"/>
        </w:rPr>
        <w:br/>
        <w:t>explore the correlation between the CEFR and end-point assessments at KS2, 3, 4 and</w:t>
      </w:r>
      <w:r w:rsidRPr="00B21447">
        <w:rPr>
          <w:lang w:val="en-GB"/>
        </w:rPr>
        <w:br/>
        <w:t>5 as well as my own tool for facilitating comparisons (which will be made freely available</w:t>
      </w:r>
      <w:r w:rsidRPr="00B21447">
        <w:rPr>
          <w:lang w:val="en-GB"/>
        </w:rPr>
        <w:br/>
        <w:t>to attendees).</w:t>
      </w:r>
    </w:p>
    <w:p w14:paraId="27F0E356" w14:textId="15F90F83" w:rsidR="64BDA68F" w:rsidRDefault="64BDA68F" w:rsidP="16732B31">
      <w:pPr>
        <w:pStyle w:val="Heading1"/>
      </w:pPr>
      <w:r w:rsidRPr="16732B31">
        <w:t>Outreach and partnerships</w:t>
      </w:r>
    </w:p>
    <w:p w14:paraId="7F0CE927" w14:textId="62E7464A" w:rsidR="16732B31" w:rsidRPr="00C62BC7" w:rsidRDefault="64BDA68F" w:rsidP="00EB04C1">
      <w:pPr>
        <w:pStyle w:val="ListParagraph"/>
        <w:numPr>
          <w:ilvl w:val="0"/>
          <w:numId w:val="5"/>
        </w:numPr>
        <w:spacing w:after="0" w:line="240" w:lineRule="auto"/>
        <w:rPr>
          <w:rFonts w:eastAsia="Calibri" w:cs="Calibri"/>
          <w:color w:val="000000" w:themeColor="text1"/>
        </w:rPr>
      </w:pPr>
      <w:r w:rsidRPr="00C62BC7">
        <w:rPr>
          <w:rFonts w:eastAsia="Calibri" w:cs="Calibri"/>
          <w:color w:val="000000" w:themeColor="text1"/>
          <w:lang w:val="de-AT"/>
        </w:rPr>
        <w:t xml:space="preserve">Thorsten Egner, Head of Language Courses, Goethe Institut London and Dr Regina Seiwald: </w:t>
      </w:r>
      <w:r w:rsidRPr="00C62BC7">
        <w:rPr>
          <w:rFonts w:eastAsia="Calibri" w:cs="Calibri"/>
          <w:color w:val="000000" w:themeColor="text1"/>
          <w:lang w:val="en-GB"/>
        </w:rPr>
        <w:t>Exam partnerships with the Goethe-</w:t>
      </w:r>
      <w:proofErr w:type="spellStart"/>
      <w:r w:rsidRPr="00C62BC7">
        <w:rPr>
          <w:rFonts w:eastAsia="Calibri" w:cs="Calibri"/>
          <w:color w:val="000000" w:themeColor="text1"/>
          <w:lang w:val="en-GB"/>
        </w:rPr>
        <w:t>Institut</w:t>
      </w:r>
      <w:proofErr w:type="spellEnd"/>
      <w:r w:rsidRPr="00C62BC7">
        <w:rPr>
          <w:rFonts w:eastAsia="Calibri" w:cs="Calibri"/>
          <w:color w:val="000000" w:themeColor="text1"/>
          <w:lang w:val="en-GB"/>
        </w:rPr>
        <w:t>: Goethe-</w:t>
      </w:r>
      <w:proofErr w:type="spellStart"/>
      <w:r w:rsidRPr="00C62BC7">
        <w:rPr>
          <w:rFonts w:eastAsia="Calibri" w:cs="Calibri"/>
          <w:i/>
          <w:iCs/>
          <w:color w:val="000000" w:themeColor="text1"/>
          <w:lang w:val="en-GB"/>
        </w:rPr>
        <w:t>Zertifikat</w:t>
      </w:r>
      <w:proofErr w:type="spellEnd"/>
      <w:r w:rsidRPr="00C62BC7">
        <w:rPr>
          <w:rFonts w:eastAsia="Calibri" w:cs="Calibri"/>
          <w:i/>
          <w:iCs/>
          <w:color w:val="000000" w:themeColor="text1"/>
          <w:lang w:val="en-GB"/>
        </w:rPr>
        <w:t xml:space="preserve"> </w:t>
      </w:r>
      <w:r w:rsidRPr="00C62BC7">
        <w:rPr>
          <w:rFonts w:eastAsia="Calibri" w:cs="Calibri"/>
          <w:color w:val="000000" w:themeColor="text1"/>
          <w:lang w:val="en-GB"/>
        </w:rPr>
        <w:t xml:space="preserve">exams </w:t>
      </w:r>
      <w:r w:rsidR="00C62BC7">
        <w:rPr>
          <w:rFonts w:eastAsia="Calibri" w:cs="Calibri"/>
          <w:color w:val="000000" w:themeColor="text1"/>
          <w:lang w:val="en-GB"/>
        </w:rPr>
        <w:br/>
      </w:r>
    </w:p>
    <w:p w14:paraId="3EE82607" w14:textId="2D83A674" w:rsidR="64BDA68F" w:rsidRPr="00C62BC7" w:rsidRDefault="64BDA68F" w:rsidP="16732B31">
      <w:pPr>
        <w:pStyle w:val="ListParagraph"/>
        <w:numPr>
          <w:ilvl w:val="0"/>
          <w:numId w:val="5"/>
        </w:numPr>
        <w:spacing w:after="0" w:line="240" w:lineRule="auto"/>
        <w:rPr>
          <w:rFonts w:eastAsia="Calibri" w:cs="Calibri"/>
          <w:color w:val="000000" w:themeColor="text1"/>
        </w:rPr>
      </w:pPr>
      <w:r w:rsidRPr="00C62BC7">
        <w:rPr>
          <w:rFonts w:eastAsia="Calibri" w:cs="Calibri"/>
          <w:color w:val="000000" w:themeColor="text1"/>
          <w:lang w:val="en-GB"/>
        </w:rPr>
        <w:t>Dr Edward Boothroyd (University of Birmingham, Dept of Modern Languages) - Working with hub schools of the NCLE (Dr Edward Boothroyd)</w:t>
      </w:r>
      <w:r w:rsidRPr="00C62BC7">
        <w:br/>
      </w:r>
    </w:p>
    <w:p w14:paraId="2A5B6A2C" w14:textId="17DC7F3D" w:rsidR="64BDA68F" w:rsidRPr="00C62BC7" w:rsidRDefault="64BDA68F" w:rsidP="16732B31">
      <w:pPr>
        <w:pStyle w:val="ListParagraph"/>
        <w:numPr>
          <w:ilvl w:val="0"/>
          <w:numId w:val="5"/>
        </w:numPr>
        <w:spacing w:after="0" w:line="240" w:lineRule="auto"/>
        <w:rPr>
          <w:rFonts w:eastAsia="Calibri" w:cs="Calibri"/>
          <w:color w:val="000000" w:themeColor="text1"/>
        </w:rPr>
      </w:pPr>
      <w:r w:rsidRPr="00C62BC7">
        <w:rPr>
          <w:rFonts w:eastAsia="Calibri" w:cs="Calibri"/>
          <w:color w:val="000000" w:themeColor="text1"/>
          <w:lang w:val="en-GB"/>
        </w:rPr>
        <w:t>Doris Zimmermann, University of Nottingham &amp; John Goodyear, University of Birmingham (Co-Directors of the Midland German Network): Report on the audit of the German learning landscape at primary, secondary and tertiary level in the Midlands – and reasons given by schools for choosing German (in contrast to or together with other languages)</w:t>
      </w:r>
      <w:r w:rsidRPr="00C62BC7">
        <w:br/>
      </w:r>
    </w:p>
    <w:p w14:paraId="625D2AF0" w14:textId="7E3DA17F" w:rsidR="64BDA68F" w:rsidRPr="00C62BC7" w:rsidRDefault="64BDA68F" w:rsidP="16732B31">
      <w:pPr>
        <w:pStyle w:val="ListParagraph"/>
        <w:numPr>
          <w:ilvl w:val="0"/>
          <w:numId w:val="5"/>
        </w:numPr>
        <w:spacing w:after="0" w:line="240" w:lineRule="auto"/>
        <w:rPr>
          <w:rFonts w:eastAsia="Calibri" w:cs="Calibri"/>
          <w:color w:val="242424"/>
        </w:rPr>
      </w:pPr>
      <w:r w:rsidRPr="00C62BC7">
        <w:rPr>
          <w:rFonts w:eastAsia="Calibri" w:cs="Calibri"/>
          <w:color w:val="000000" w:themeColor="text1"/>
          <w:lang w:val="en-GB"/>
        </w:rPr>
        <w:t xml:space="preserve">Dr Sandra </w:t>
      </w:r>
      <w:proofErr w:type="spellStart"/>
      <w:r w:rsidRPr="00C62BC7">
        <w:rPr>
          <w:rFonts w:eastAsia="Calibri" w:cs="Calibri"/>
          <w:color w:val="000000" w:themeColor="text1"/>
          <w:lang w:val="en-GB"/>
        </w:rPr>
        <w:t>Reisenleutner</w:t>
      </w:r>
      <w:proofErr w:type="spellEnd"/>
      <w:r w:rsidRPr="00C62BC7">
        <w:rPr>
          <w:rFonts w:eastAsia="Calibri" w:cs="Calibri"/>
          <w:color w:val="000000" w:themeColor="text1"/>
          <w:lang w:val="en-GB"/>
        </w:rPr>
        <w:t xml:space="preserve">, </w:t>
      </w:r>
      <w:proofErr w:type="spellStart"/>
      <w:r w:rsidRPr="00C62BC7">
        <w:rPr>
          <w:rFonts w:eastAsia="Calibri" w:cs="Calibri"/>
          <w:color w:val="000000" w:themeColor="text1"/>
          <w:lang w:val="en-GB"/>
        </w:rPr>
        <w:t>Univ</w:t>
      </w:r>
      <w:proofErr w:type="spellEnd"/>
      <w:r w:rsidRPr="00C62BC7">
        <w:rPr>
          <w:rFonts w:eastAsia="Calibri" w:cs="Calibri"/>
          <w:color w:val="000000" w:themeColor="text1"/>
          <w:lang w:val="en-GB"/>
        </w:rPr>
        <w:t xml:space="preserve"> of Nottingham: </w:t>
      </w:r>
      <w:r w:rsidRPr="00C62BC7">
        <w:rPr>
          <w:rFonts w:eastAsia="Calibri" w:cs="Calibri"/>
          <w:color w:val="242424"/>
          <w:lang w:val="en-GB"/>
        </w:rPr>
        <w:t xml:space="preserve">The German Language Teaching Network – possible ways forward </w:t>
      </w:r>
      <w:r w:rsidRPr="00C62BC7">
        <w:br/>
      </w:r>
    </w:p>
    <w:p w14:paraId="62DA7D89" w14:textId="67326904" w:rsidR="64BDA68F" w:rsidRPr="00C62BC7" w:rsidRDefault="64BDA68F" w:rsidP="16732B31">
      <w:pPr>
        <w:pStyle w:val="ListParagraph"/>
        <w:numPr>
          <w:ilvl w:val="0"/>
          <w:numId w:val="5"/>
        </w:numPr>
        <w:spacing w:after="0" w:line="240" w:lineRule="auto"/>
        <w:rPr>
          <w:rFonts w:eastAsia="Calibri" w:cs="Calibri"/>
          <w:b/>
          <w:bCs/>
          <w:color w:val="000000" w:themeColor="text1"/>
        </w:rPr>
      </w:pPr>
      <w:r w:rsidRPr="00C62BC7">
        <w:rPr>
          <w:rFonts w:eastAsia="Calibri" w:cs="Calibri"/>
          <w:color w:val="000000" w:themeColor="text1"/>
          <w:lang w:val="en-GB"/>
        </w:rPr>
        <w:t>Prof Sara Jones (</w:t>
      </w:r>
      <w:proofErr w:type="spellStart"/>
      <w:r w:rsidRPr="00C62BC7">
        <w:rPr>
          <w:rFonts w:eastAsia="Calibri" w:cs="Calibri"/>
          <w:color w:val="000000" w:themeColor="text1"/>
          <w:lang w:val="en-GB"/>
        </w:rPr>
        <w:t>UoB</w:t>
      </w:r>
      <w:proofErr w:type="spellEnd"/>
      <w:r w:rsidRPr="00C62BC7">
        <w:rPr>
          <w:rFonts w:eastAsia="Calibri" w:cs="Calibri"/>
          <w:color w:val="000000" w:themeColor="text1"/>
          <w:lang w:val="en-GB"/>
        </w:rPr>
        <w:t>): Europe’s East, the Second World War, and the Holocaust: A transnational Education Project – Introduction to Educational Resources for Secondary Schools as well as a pupil and teacher competition</w:t>
      </w:r>
    </w:p>
    <w:p w14:paraId="665B0B78" w14:textId="14D30C34" w:rsidR="27DCEC7B" w:rsidRDefault="27DCEC7B" w:rsidP="27DCEC7B">
      <w:pPr>
        <w:spacing w:after="0"/>
        <w:rPr>
          <w:rFonts w:ascii="Aptos" w:eastAsia="Aptos" w:hAnsi="Aptos" w:cs="Aptos"/>
          <w:color w:val="000000" w:themeColor="text1"/>
        </w:rPr>
      </w:pPr>
    </w:p>
    <w:p w14:paraId="2AB533B2" w14:textId="35FBDFEB" w:rsidR="27DCEC7B" w:rsidRDefault="27DCEC7B" w:rsidP="27DCEC7B"/>
    <w:p w14:paraId="6905F8EA" w14:textId="5C61F0EE" w:rsidR="27DCEC7B" w:rsidRDefault="27DCEC7B" w:rsidP="27DCEC7B"/>
    <w:p w14:paraId="6077B153" w14:textId="053533C8" w:rsidR="27DCEC7B" w:rsidRDefault="27DCEC7B" w:rsidP="27DCEC7B"/>
    <w:sectPr w:rsidR="27DCEC7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0906C" w14:textId="77777777" w:rsidR="00E93EF2" w:rsidRDefault="00E93EF2">
      <w:pPr>
        <w:spacing w:after="0" w:line="240" w:lineRule="auto"/>
      </w:pPr>
      <w:r>
        <w:separator/>
      </w:r>
    </w:p>
  </w:endnote>
  <w:endnote w:type="continuationSeparator" w:id="0">
    <w:p w14:paraId="08B390D6" w14:textId="77777777" w:rsidR="00E93EF2" w:rsidRDefault="00E93EF2">
      <w:pPr>
        <w:spacing w:after="0" w:line="240" w:lineRule="auto"/>
      </w:pPr>
      <w:r>
        <w:continuationSeparator/>
      </w:r>
    </w:p>
  </w:endnote>
  <w:endnote w:type="continuationNotice" w:id="1">
    <w:p w14:paraId="77868422" w14:textId="77777777" w:rsidR="00E93EF2" w:rsidRDefault="00E93E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9AA5B" w14:textId="77777777" w:rsidR="00164DF2" w:rsidRDefault="00164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B0912" w14:textId="418353A2" w:rsidR="00140645" w:rsidRDefault="00140645" w:rsidP="00140645">
    <w:pPr>
      <w:pStyle w:val="Footer"/>
      <w:rPr>
        <w:noProof/>
      </w:rPr>
    </w:pPr>
    <w:bookmarkStart w:id="0" w:name="_Hlk176336735"/>
    <w:bookmarkStart w:id="1" w:name="_Hlk176336736"/>
    <w:r>
      <w:rPr>
        <w:noProof/>
      </w:rPr>
      <w:drawing>
        <wp:inline distT="0" distB="0" distL="0" distR="0" wp14:anchorId="475A4515" wp14:editId="6652BA0B">
          <wp:extent cx="2341055" cy="583012"/>
          <wp:effectExtent l="0" t="0" r="0" b="1270"/>
          <wp:docPr id="14708586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58612"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808" cy="588429"/>
                  </a:xfrm>
                  <a:prstGeom prst="rect">
                    <a:avLst/>
                  </a:prstGeom>
                  <a:noFill/>
                  <a:ln>
                    <a:noFill/>
                  </a:ln>
                </pic:spPr>
              </pic:pic>
            </a:graphicData>
          </a:graphic>
        </wp:inline>
      </w:drawing>
    </w:r>
    <w:r>
      <w:rPr>
        <w:noProof/>
      </w:rPr>
      <w:t xml:space="preserve">                        </w:t>
    </w:r>
    <w:r>
      <w:rPr>
        <w:noProof/>
      </w:rPr>
      <w:drawing>
        <wp:inline distT="0" distB="0" distL="0" distR="0" wp14:anchorId="662C4A16" wp14:editId="4BBE34CB">
          <wp:extent cx="2505341" cy="923925"/>
          <wp:effectExtent l="0" t="0" r="0" b="3175"/>
          <wp:docPr id="21423281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28109"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3992" cy="927115"/>
                  </a:xfrm>
                  <a:prstGeom prst="rect">
                    <a:avLst/>
                  </a:prstGeom>
                  <a:noFill/>
                  <a:ln>
                    <a:noFill/>
                  </a:ln>
                </pic:spPr>
              </pic:pic>
            </a:graphicData>
          </a:graphic>
        </wp:inline>
      </w:drawing>
    </w:r>
    <w:r>
      <w:rPr>
        <w:noProof/>
      </w:rPr>
      <w:t xml:space="preserve">             </w:t>
    </w:r>
  </w:p>
  <w:p w14:paraId="0A79BD0D" w14:textId="77777777" w:rsidR="00140645" w:rsidRDefault="00140645" w:rsidP="00140645">
    <w:pPr>
      <w:pStyle w:val="Footer"/>
      <w:rPr>
        <w:noProof/>
      </w:rPr>
    </w:pPr>
  </w:p>
  <w:p w14:paraId="7BFB0AC4" w14:textId="5C3957B1" w:rsidR="16732B31" w:rsidRDefault="00830050" w:rsidP="00140645">
    <w:pPr>
      <w:pStyle w:val="Footer"/>
    </w:pPr>
    <w:r>
      <w:ptab w:relativeTo="margin" w:alignment="center" w:leader="none"/>
    </w:r>
    <w:r w:rsidR="00140645">
      <w:rPr>
        <w:noProof/>
      </w:rPr>
      <w:drawing>
        <wp:inline distT="0" distB="0" distL="0" distR="0" wp14:anchorId="1DA41A61" wp14:editId="503161D4">
          <wp:extent cx="5731510" cy="544830"/>
          <wp:effectExtent l="0" t="0" r="0" b="1270"/>
          <wp:docPr id="16631711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71158" name="Picture 1">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1510" cy="544830"/>
                  </a:xfrm>
                  <a:prstGeom prst="rect">
                    <a:avLst/>
                  </a:prstGeom>
                  <a:noFill/>
                  <a:ln>
                    <a:noFill/>
                  </a:ln>
                </pic:spPr>
              </pic:pic>
            </a:graphicData>
          </a:graphic>
        </wp:inline>
      </w:drawing>
    </w:r>
    <w:r>
      <w:ptab w:relativeTo="margin" w:alignment="right" w:leader="none"/>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337F9" w14:textId="77777777" w:rsidR="00164DF2" w:rsidRDefault="00164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3F3BE" w14:textId="77777777" w:rsidR="00E93EF2" w:rsidRDefault="00E93EF2">
      <w:pPr>
        <w:spacing w:after="0" w:line="240" w:lineRule="auto"/>
      </w:pPr>
      <w:r>
        <w:separator/>
      </w:r>
    </w:p>
  </w:footnote>
  <w:footnote w:type="continuationSeparator" w:id="0">
    <w:p w14:paraId="38F428A7" w14:textId="77777777" w:rsidR="00E93EF2" w:rsidRDefault="00E93EF2">
      <w:pPr>
        <w:spacing w:after="0" w:line="240" w:lineRule="auto"/>
      </w:pPr>
      <w:r>
        <w:continuationSeparator/>
      </w:r>
    </w:p>
  </w:footnote>
  <w:footnote w:type="continuationNotice" w:id="1">
    <w:p w14:paraId="66476CF3" w14:textId="77777777" w:rsidR="00E93EF2" w:rsidRDefault="00E93E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4B65" w14:textId="77777777" w:rsidR="00164DF2" w:rsidRDefault="00164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3245102"/>
      <w:docPartObj>
        <w:docPartGallery w:val="Page Numbers (Top of Page)"/>
        <w:docPartUnique/>
      </w:docPartObj>
    </w:sdtPr>
    <w:sdtEndPr>
      <w:rPr>
        <w:noProof/>
      </w:rPr>
    </w:sdtEndPr>
    <w:sdtContent>
      <w:p w14:paraId="47922067" w14:textId="485F4335" w:rsidR="00830050" w:rsidRDefault="0083005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588A6A" w14:textId="78A7AF9C" w:rsidR="16732B31" w:rsidRDefault="00830050" w:rsidP="16732B31">
    <w:pPr>
      <w:pStyle w:val="Header"/>
    </w:pPr>
    <w:r>
      <w:t>German Network Meeting on Tue 17</w:t>
    </w:r>
    <w:r w:rsidRPr="00830050">
      <w:rPr>
        <w:vertAlign w:val="superscript"/>
      </w:rPr>
      <w:t>th</w:t>
    </w:r>
    <w:r>
      <w:t xml:space="preserve"> Sept 2024, University of Birmingham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59847" w14:textId="77777777" w:rsidR="00164DF2" w:rsidRDefault="00164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BFA5D"/>
    <w:multiLevelType w:val="hybridMultilevel"/>
    <w:tmpl w:val="B632494C"/>
    <w:lvl w:ilvl="0" w:tplc="789EBAD6">
      <w:start w:val="1"/>
      <w:numFmt w:val="bullet"/>
      <w:lvlText w:val="·"/>
      <w:lvlJc w:val="left"/>
      <w:pPr>
        <w:ind w:left="720" w:hanging="360"/>
      </w:pPr>
      <w:rPr>
        <w:rFonts w:ascii="Symbol" w:hAnsi="Symbol" w:hint="default"/>
      </w:rPr>
    </w:lvl>
    <w:lvl w:ilvl="1" w:tplc="51709454">
      <w:start w:val="1"/>
      <w:numFmt w:val="bullet"/>
      <w:lvlText w:val="o"/>
      <w:lvlJc w:val="left"/>
      <w:pPr>
        <w:ind w:left="1440" w:hanging="360"/>
      </w:pPr>
      <w:rPr>
        <w:rFonts w:ascii="Courier New" w:hAnsi="Courier New" w:hint="default"/>
      </w:rPr>
    </w:lvl>
    <w:lvl w:ilvl="2" w:tplc="E05CDC82">
      <w:start w:val="1"/>
      <w:numFmt w:val="bullet"/>
      <w:lvlText w:val=""/>
      <w:lvlJc w:val="left"/>
      <w:pPr>
        <w:ind w:left="2160" w:hanging="360"/>
      </w:pPr>
      <w:rPr>
        <w:rFonts w:ascii="Wingdings" w:hAnsi="Wingdings" w:hint="default"/>
      </w:rPr>
    </w:lvl>
    <w:lvl w:ilvl="3" w:tplc="F8C439EE">
      <w:start w:val="1"/>
      <w:numFmt w:val="bullet"/>
      <w:lvlText w:val=""/>
      <w:lvlJc w:val="left"/>
      <w:pPr>
        <w:ind w:left="2880" w:hanging="360"/>
      </w:pPr>
      <w:rPr>
        <w:rFonts w:ascii="Symbol" w:hAnsi="Symbol" w:hint="default"/>
      </w:rPr>
    </w:lvl>
    <w:lvl w:ilvl="4" w:tplc="C776959C">
      <w:start w:val="1"/>
      <w:numFmt w:val="bullet"/>
      <w:lvlText w:val="o"/>
      <w:lvlJc w:val="left"/>
      <w:pPr>
        <w:ind w:left="3600" w:hanging="360"/>
      </w:pPr>
      <w:rPr>
        <w:rFonts w:ascii="Courier New" w:hAnsi="Courier New" w:hint="default"/>
      </w:rPr>
    </w:lvl>
    <w:lvl w:ilvl="5" w:tplc="E932B38E">
      <w:start w:val="1"/>
      <w:numFmt w:val="bullet"/>
      <w:lvlText w:val=""/>
      <w:lvlJc w:val="left"/>
      <w:pPr>
        <w:ind w:left="4320" w:hanging="360"/>
      </w:pPr>
      <w:rPr>
        <w:rFonts w:ascii="Wingdings" w:hAnsi="Wingdings" w:hint="default"/>
      </w:rPr>
    </w:lvl>
    <w:lvl w:ilvl="6" w:tplc="CC707E3E">
      <w:start w:val="1"/>
      <w:numFmt w:val="bullet"/>
      <w:lvlText w:val=""/>
      <w:lvlJc w:val="left"/>
      <w:pPr>
        <w:ind w:left="5040" w:hanging="360"/>
      </w:pPr>
      <w:rPr>
        <w:rFonts w:ascii="Symbol" w:hAnsi="Symbol" w:hint="default"/>
      </w:rPr>
    </w:lvl>
    <w:lvl w:ilvl="7" w:tplc="AD008348">
      <w:start w:val="1"/>
      <w:numFmt w:val="bullet"/>
      <w:lvlText w:val="o"/>
      <w:lvlJc w:val="left"/>
      <w:pPr>
        <w:ind w:left="5760" w:hanging="360"/>
      </w:pPr>
      <w:rPr>
        <w:rFonts w:ascii="Courier New" w:hAnsi="Courier New" w:hint="default"/>
      </w:rPr>
    </w:lvl>
    <w:lvl w:ilvl="8" w:tplc="D5223B0A">
      <w:start w:val="1"/>
      <w:numFmt w:val="bullet"/>
      <w:lvlText w:val=""/>
      <w:lvlJc w:val="left"/>
      <w:pPr>
        <w:ind w:left="6480" w:hanging="360"/>
      </w:pPr>
      <w:rPr>
        <w:rFonts w:ascii="Wingdings" w:hAnsi="Wingdings" w:hint="default"/>
      </w:rPr>
    </w:lvl>
  </w:abstractNum>
  <w:abstractNum w:abstractNumId="1" w15:restartNumberingAfterBreak="0">
    <w:nsid w:val="38E6A11A"/>
    <w:multiLevelType w:val="hybridMultilevel"/>
    <w:tmpl w:val="CD001B2E"/>
    <w:lvl w:ilvl="0" w:tplc="231C2B24">
      <w:start w:val="1"/>
      <w:numFmt w:val="bullet"/>
      <w:lvlText w:val=""/>
      <w:lvlJc w:val="left"/>
      <w:pPr>
        <w:ind w:left="720" w:hanging="360"/>
      </w:pPr>
      <w:rPr>
        <w:rFonts w:ascii="Symbol" w:hAnsi="Symbol" w:hint="default"/>
      </w:rPr>
    </w:lvl>
    <w:lvl w:ilvl="1" w:tplc="75580D0C">
      <w:start w:val="1"/>
      <w:numFmt w:val="bullet"/>
      <w:lvlText w:val="o"/>
      <w:lvlJc w:val="left"/>
      <w:pPr>
        <w:ind w:left="1440" w:hanging="360"/>
      </w:pPr>
      <w:rPr>
        <w:rFonts w:ascii="Courier New" w:hAnsi="Courier New" w:hint="default"/>
      </w:rPr>
    </w:lvl>
    <w:lvl w:ilvl="2" w:tplc="DBC0038A">
      <w:start w:val="1"/>
      <w:numFmt w:val="bullet"/>
      <w:lvlText w:val=""/>
      <w:lvlJc w:val="left"/>
      <w:pPr>
        <w:ind w:left="2160" w:hanging="360"/>
      </w:pPr>
      <w:rPr>
        <w:rFonts w:ascii="Wingdings" w:hAnsi="Wingdings" w:hint="default"/>
      </w:rPr>
    </w:lvl>
    <w:lvl w:ilvl="3" w:tplc="339084D6">
      <w:start w:val="1"/>
      <w:numFmt w:val="bullet"/>
      <w:lvlText w:val=""/>
      <w:lvlJc w:val="left"/>
      <w:pPr>
        <w:ind w:left="2880" w:hanging="360"/>
      </w:pPr>
      <w:rPr>
        <w:rFonts w:ascii="Symbol" w:hAnsi="Symbol" w:hint="default"/>
      </w:rPr>
    </w:lvl>
    <w:lvl w:ilvl="4" w:tplc="8AD80712">
      <w:start w:val="1"/>
      <w:numFmt w:val="bullet"/>
      <w:lvlText w:val="o"/>
      <w:lvlJc w:val="left"/>
      <w:pPr>
        <w:ind w:left="3600" w:hanging="360"/>
      </w:pPr>
      <w:rPr>
        <w:rFonts w:ascii="Courier New" w:hAnsi="Courier New" w:hint="default"/>
      </w:rPr>
    </w:lvl>
    <w:lvl w:ilvl="5" w:tplc="B9A0A8F2">
      <w:start w:val="1"/>
      <w:numFmt w:val="bullet"/>
      <w:lvlText w:val=""/>
      <w:lvlJc w:val="left"/>
      <w:pPr>
        <w:ind w:left="4320" w:hanging="360"/>
      </w:pPr>
      <w:rPr>
        <w:rFonts w:ascii="Wingdings" w:hAnsi="Wingdings" w:hint="default"/>
      </w:rPr>
    </w:lvl>
    <w:lvl w:ilvl="6" w:tplc="BB6CD274">
      <w:start w:val="1"/>
      <w:numFmt w:val="bullet"/>
      <w:lvlText w:val=""/>
      <w:lvlJc w:val="left"/>
      <w:pPr>
        <w:ind w:left="5040" w:hanging="360"/>
      </w:pPr>
      <w:rPr>
        <w:rFonts w:ascii="Symbol" w:hAnsi="Symbol" w:hint="default"/>
      </w:rPr>
    </w:lvl>
    <w:lvl w:ilvl="7" w:tplc="31CE34D6">
      <w:start w:val="1"/>
      <w:numFmt w:val="bullet"/>
      <w:lvlText w:val="o"/>
      <w:lvlJc w:val="left"/>
      <w:pPr>
        <w:ind w:left="5760" w:hanging="360"/>
      </w:pPr>
      <w:rPr>
        <w:rFonts w:ascii="Courier New" w:hAnsi="Courier New" w:hint="default"/>
      </w:rPr>
    </w:lvl>
    <w:lvl w:ilvl="8" w:tplc="6C06C25A">
      <w:start w:val="1"/>
      <w:numFmt w:val="bullet"/>
      <w:lvlText w:val=""/>
      <w:lvlJc w:val="left"/>
      <w:pPr>
        <w:ind w:left="6480" w:hanging="360"/>
      </w:pPr>
      <w:rPr>
        <w:rFonts w:ascii="Wingdings" w:hAnsi="Wingdings" w:hint="default"/>
      </w:rPr>
    </w:lvl>
  </w:abstractNum>
  <w:abstractNum w:abstractNumId="2" w15:restartNumberingAfterBreak="0">
    <w:nsid w:val="3A3A4B72"/>
    <w:multiLevelType w:val="hybridMultilevel"/>
    <w:tmpl w:val="CE5E7402"/>
    <w:lvl w:ilvl="0" w:tplc="F5DEDF00">
      <w:start w:val="1"/>
      <w:numFmt w:val="bullet"/>
      <w:lvlText w:val=""/>
      <w:lvlJc w:val="left"/>
      <w:pPr>
        <w:ind w:left="720" w:hanging="360"/>
      </w:pPr>
      <w:rPr>
        <w:rFonts w:ascii="Symbol" w:hAnsi="Symbol" w:hint="default"/>
      </w:rPr>
    </w:lvl>
    <w:lvl w:ilvl="1" w:tplc="8E4A4E8E">
      <w:start w:val="1"/>
      <w:numFmt w:val="bullet"/>
      <w:lvlText w:val="o"/>
      <w:lvlJc w:val="left"/>
      <w:pPr>
        <w:ind w:left="1440" w:hanging="360"/>
      </w:pPr>
      <w:rPr>
        <w:rFonts w:ascii="Courier New" w:hAnsi="Courier New" w:hint="default"/>
      </w:rPr>
    </w:lvl>
    <w:lvl w:ilvl="2" w:tplc="2F009BE4">
      <w:start w:val="1"/>
      <w:numFmt w:val="bullet"/>
      <w:lvlText w:val=""/>
      <w:lvlJc w:val="left"/>
      <w:pPr>
        <w:ind w:left="2160" w:hanging="360"/>
      </w:pPr>
      <w:rPr>
        <w:rFonts w:ascii="Wingdings" w:hAnsi="Wingdings" w:hint="default"/>
      </w:rPr>
    </w:lvl>
    <w:lvl w:ilvl="3" w:tplc="E506C3E2">
      <w:start w:val="1"/>
      <w:numFmt w:val="bullet"/>
      <w:lvlText w:val=""/>
      <w:lvlJc w:val="left"/>
      <w:pPr>
        <w:ind w:left="2880" w:hanging="360"/>
      </w:pPr>
      <w:rPr>
        <w:rFonts w:ascii="Symbol" w:hAnsi="Symbol" w:hint="default"/>
      </w:rPr>
    </w:lvl>
    <w:lvl w:ilvl="4" w:tplc="47B2D018">
      <w:start w:val="1"/>
      <w:numFmt w:val="bullet"/>
      <w:lvlText w:val="o"/>
      <w:lvlJc w:val="left"/>
      <w:pPr>
        <w:ind w:left="3600" w:hanging="360"/>
      </w:pPr>
      <w:rPr>
        <w:rFonts w:ascii="Courier New" w:hAnsi="Courier New" w:hint="default"/>
      </w:rPr>
    </w:lvl>
    <w:lvl w:ilvl="5" w:tplc="D458CF60">
      <w:start w:val="1"/>
      <w:numFmt w:val="bullet"/>
      <w:lvlText w:val=""/>
      <w:lvlJc w:val="left"/>
      <w:pPr>
        <w:ind w:left="4320" w:hanging="360"/>
      </w:pPr>
      <w:rPr>
        <w:rFonts w:ascii="Wingdings" w:hAnsi="Wingdings" w:hint="default"/>
      </w:rPr>
    </w:lvl>
    <w:lvl w:ilvl="6" w:tplc="4D58A000">
      <w:start w:val="1"/>
      <w:numFmt w:val="bullet"/>
      <w:lvlText w:val=""/>
      <w:lvlJc w:val="left"/>
      <w:pPr>
        <w:ind w:left="5040" w:hanging="360"/>
      </w:pPr>
      <w:rPr>
        <w:rFonts w:ascii="Symbol" w:hAnsi="Symbol" w:hint="default"/>
      </w:rPr>
    </w:lvl>
    <w:lvl w:ilvl="7" w:tplc="87A404BA">
      <w:start w:val="1"/>
      <w:numFmt w:val="bullet"/>
      <w:lvlText w:val="o"/>
      <w:lvlJc w:val="left"/>
      <w:pPr>
        <w:ind w:left="5760" w:hanging="360"/>
      </w:pPr>
      <w:rPr>
        <w:rFonts w:ascii="Courier New" w:hAnsi="Courier New" w:hint="default"/>
      </w:rPr>
    </w:lvl>
    <w:lvl w:ilvl="8" w:tplc="D60C3EEC">
      <w:start w:val="1"/>
      <w:numFmt w:val="bullet"/>
      <w:lvlText w:val=""/>
      <w:lvlJc w:val="left"/>
      <w:pPr>
        <w:ind w:left="6480" w:hanging="360"/>
      </w:pPr>
      <w:rPr>
        <w:rFonts w:ascii="Wingdings" w:hAnsi="Wingdings" w:hint="default"/>
      </w:rPr>
    </w:lvl>
  </w:abstractNum>
  <w:abstractNum w:abstractNumId="3" w15:restartNumberingAfterBreak="0">
    <w:nsid w:val="48A962A7"/>
    <w:multiLevelType w:val="hybridMultilevel"/>
    <w:tmpl w:val="9D821FCC"/>
    <w:lvl w:ilvl="0" w:tplc="40FA1734">
      <w:start w:val="1"/>
      <w:numFmt w:val="bullet"/>
      <w:lvlText w:val=""/>
      <w:lvlJc w:val="left"/>
      <w:pPr>
        <w:ind w:left="720" w:hanging="360"/>
      </w:pPr>
      <w:rPr>
        <w:rFonts w:ascii="Symbol" w:hAnsi="Symbol" w:hint="default"/>
      </w:rPr>
    </w:lvl>
    <w:lvl w:ilvl="1" w:tplc="9E1C278E">
      <w:start w:val="1"/>
      <w:numFmt w:val="bullet"/>
      <w:lvlText w:val="o"/>
      <w:lvlJc w:val="left"/>
      <w:pPr>
        <w:ind w:left="1440" w:hanging="360"/>
      </w:pPr>
      <w:rPr>
        <w:rFonts w:ascii="Courier New" w:hAnsi="Courier New" w:hint="default"/>
      </w:rPr>
    </w:lvl>
    <w:lvl w:ilvl="2" w:tplc="E2AED70E">
      <w:start w:val="1"/>
      <w:numFmt w:val="bullet"/>
      <w:lvlText w:val=""/>
      <w:lvlJc w:val="left"/>
      <w:pPr>
        <w:ind w:left="2160" w:hanging="360"/>
      </w:pPr>
      <w:rPr>
        <w:rFonts w:ascii="Wingdings" w:hAnsi="Wingdings" w:hint="default"/>
      </w:rPr>
    </w:lvl>
    <w:lvl w:ilvl="3" w:tplc="B2C0F172">
      <w:start w:val="1"/>
      <w:numFmt w:val="bullet"/>
      <w:lvlText w:val=""/>
      <w:lvlJc w:val="left"/>
      <w:pPr>
        <w:ind w:left="2880" w:hanging="360"/>
      </w:pPr>
      <w:rPr>
        <w:rFonts w:ascii="Symbol" w:hAnsi="Symbol" w:hint="default"/>
      </w:rPr>
    </w:lvl>
    <w:lvl w:ilvl="4" w:tplc="4178F6AC">
      <w:start w:val="1"/>
      <w:numFmt w:val="bullet"/>
      <w:lvlText w:val="o"/>
      <w:lvlJc w:val="left"/>
      <w:pPr>
        <w:ind w:left="3600" w:hanging="360"/>
      </w:pPr>
      <w:rPr>
        <w:rFonts w:ascii="Courier New" w:hAnsi="Courier New" w:hint="default"/>
      </w:rPr>
    </w:lvl>
    <w:lvl w:ilvl="5" w:tplc="BFB28C5C">
      <w:start w:val="1"/>
      <w:numFmt w:val="bullet"/>
      <w:lvlText w:val=""/>
      <w:lvlJc w:val="left"/>
      <w:pPr>
        <w:ind w:left="4320" w:hanging="360"/>
      </w:pPr>
      <w:rPr>
        <w:rFonts w:ascii="Wingdings" w:hAnsi="Wingdings" w:hint="default"/>
      </w:rPr>
    </w:lvl>
    <w:lvl w:ilvl="6" w:tplc="40B4CED8">
      <w:start w:val="1"/>
      <w:numFmt w:val="bullet"/>
      <w:lvlText w:val=""/>
      <w:lvlJc w:val="left"/>
      <w:pPr>
        <w:ind w:left="5040" w:hanging="360"/>
      </w:pPr>
      <w:rPr>
        <w:rFonts w:ascii="Symbol" w:hAnsi="Symbol" w:hint="default"/>
      </w:rPr>
    </w:lvl>
    <w:lvl w:ilvl="7" w:tplc="EF16D086">
      <w:start w:val="1"/>
      <w:numFmt w:val="bullet"/>
      <w:lvlText w:val="o"/>
      <w:lvlJc w:val="left"/>
      <w:pPr>
        <w:ind w:left="5760" w:hanging="360"/>
      </w:pPr>
      <w:rPr>
        <w:rFonts w:ascii="Courier New" w:hAnsi="Courier New" w:hint="default"/>
      </w:rPr>
    </w:lvl>
    <w:lvl w:ilvl="8" w:tplc="1E307B52">
      <w:start w:val="1"/>
      <w:numFmt w:val="bullet"/>
      <w:lvlText w:val=""/>
      <w:lvlJc w:val="left"/>
      <w:pPr>
        <w:ind w:left="6480" w:hanging="360"/>
      </w:pPr>
      <w:rPr>
        <w:rFonts w:ascii="Wingdings" w:hAnsi="Wingdings" w:hint="default"/>
      </w:rPr>
    </w:lvl>
  </w:abstractNum>
  <w:abstractNum w:abstractNumId="4" w15:restartNumberingAfterBreak="0">
    <w:nsid w:val="4C8E79B2"/>
    <w:multiLevelType w:val="hybridMultilevel"/>
    <w:tmpl w:val="7EA856E6"/>
    <w:lvl w:ilvl="0" w:tplc="0D28FF2C">
      <w:start w:val="1"/>
      <w:numFmt w:val="bullet"/>
      <w:lvlText w:val="·"/>
      <w:lvlJc w:val="left"/>
      <w:pPr>
        <w:ind w:left="720" w:hanging="360"/>
      </w:pPr>
      <w:rPr>
        <w:rFonts w:ascii="Symbol" w:hAnsi="Symbol" w:hint="default"/>
      </w:rPr>
    </w:lvl>
    <w:lvl w:ilvl="1" w:tplc="BFBE5D9A">
      <w:start w:val="1"/>
      <w:numFmt w:val="bullet"/>
      <w:lvlText w:val="o"/>
      <w:lvlJc w:val="left"/>
      <w:pPr>
        <w:ind w:left="1440" w:hanging="360"/>
      </w:pPr>
      <w:rPr>
        <w:rFonts w:ascii="Courier New" w:hAnsi="Courier New" w:hint="default"/>
      </w:rPr>
    </w:lvl>
    <w:lvl w:ilvl="2" w:tplc="709CA052">
      <w:start w:val="1"/>
      <w:numFmt w:val="bullet"/>
      <w:lvlText w:val=""/>
      <w:lvlJc w:val="left"/>
      <w:pPr>
        <w:ind w:left="2160" w:hanging="360"/>
      </w:pPr>
      <w:rPr>
        <w:rFonts w:ascii="Wingdings" w:hAnsi="Wingdings" w:hint="default"/>
      </w:rPr>
    </w:lvl>
    <w:lvl w:ilvl="3" w:tplc="FC36473E">
      <w:start w:val="1"/>
      <w:numFmt w:val="bullet"/>
      <w:lvlText w:val=""/>
      <w:lvlJc w:val="left"/>
      <w:pPr>
        <w:ind w:left="2880" w:hanging="360"/>
      </w:pPr>
      <w:rPr>
        <w:rFonts w:ascii="Symbol" w:hAnsi="Symbol" w:hint="default"/>
      </w:rPr>
    </w:lvl>
    <w:lvl w:ilvl="4" w:tplc="93885FB8">
      <w:start w:val="1"/>
      <w:numFmt w:val="bullet"/>
      <w:lvlText w:val="o"/>
      <w:lvlJc w:val="left"/>
      <w:pPr>
        <w:ind w:left="3600" w:hanging="360"/>
      </w:pPr>
      <w:rPr>
        <w:rFonts w:ascii="Courier New" w:hAnsi="Courier New" w:hint="default"/>
      </w:rPr>
    </w:lvl>
    <w:lvl w:ilvl="5" w:tplc="8E50FDB8">
      <w:start w:val="1"/>
      <w:numFmt w:val="bullet"/>
      <w:lvlText w:val=""/>
      <w:lvlJc w:val="left"/>
      <w:pPr>
        <w:ind w:left="4320" w:hanging="360"/>
      </w:pPr>
      <w:rPr>
        <w:rFonts w:ascii="Wingdings" w:hAnsi="Wingdings" w:hint="default"/>
      </w:rPr>
    </w:lvl>
    <w:lvl w:ilvl="6" w:tplc="198A16EC">
      <w:start w:val="1"/>
      <w:numFmt w:val="bullet"/>
      <w:lvlText w:val=""/>
      <w:lvlJc w:val="left"/>
      <w:pPr>
        <w:ind w:left="5040" w:hanging="360"/>
      </w:pPr>
      <w:rPr>
        <w:rFonts w:ascii="Symbol" w:hAnsi="Symbol" w:hint="default"/>
      </w:rPr>
    </w:lvl>
    <w:lvl w:ilvl="7" w:tplc="A4D03AFE">
      <w:start w:val="1"/>
      <w:numFmt w:val="bullet"/>
      <w:lvlText w:val="o"/>
      <w:lvlJc w:val="left"/>
      <w:pPr>
        <w:ind w:left="5760" w:hanging="360"/>
      </w:pPr>
      <w:rPr>
        <w:rFonts w:ascii="Courier New" w:hAnsi="Courier New" w:hint="default"/>
      </w:rPr>
    </w:lvl>
    <w:lvl w:ilvl="8" w:tplc="90CEBA28">
      <w:start w:val="1"/>
      <w:numFmt w:val="bullet"/>
      <w:lvlText w:val=""/>
      <w:lvlJc w:val="left"/>
      <w:pPr>
        <w:ind w:left="6480" w:hanging="360"/>
      </w:pPr>
      <w:rPr>
        <w:rFonts w:ascii="Wingdings" w:hAnsi="Wingdings" w:hint="default"/>
      </w:rPr>
    </w:lvl>
  </w:abstractNum>
  <w:abstractNum w:abstractNumId="5" w15:restartNumberingAfterBreak="0">
    <w:nsid w:val="596A5EC0"/>
    <w:multiLevelType w:val="hybridMultilevel"/>
    <w:tmpl w:val="B574D332"/>
    <w:lvl w:ilvl="0" w:tplc="CC7E7CA6">
      <w:start w:val="1"/>
      <w:numFmt w:val="bullet"/>
      <w:lvlText w:val=""/>
      <w:lvlJc w:val="left"/>
      <w:pPr>
        <w:ind w:left="720" w:hanging="360"/>
      </w:pPr>
      <w:rPr>
        <w:rFonts w:ascii="Symbol" w:hAnsi="Symbol" w:hint="default"/>
      </w:rPr>
    </w:lvl>
    <w:lvl w:ilvl="1" w:tplc="5BFE75AC">
      <w:start w:val="1"/>
      <w:numFmt w:val="bullet"/>
      <w:lvlText w:val="o"/>
      <w:lvlJc w:val="left"/>
      <w:pPr>
        <w:ind w:left="1440" w:hanging="360"/>
      </w:pPr>
      <w:rPr>
        <w:rFonts w:ascii="Courier New" w:hAnsi="Courier New" w:hint="default"/>
      </w:rPr>
    </w:lvl>
    <w:lvl w:ilvl="2" w:tplc="C6729646">
      <w:start w:val="1"/>
      <w:numFmt w:val="bullet"/>
      <w:lvlText w:val=""/>
      <w:lvlJc w:val="left"/>
      <w:pPr>
        <w:ind w:left="2160" w:hanging="360"/>
      </w:pPr>
      <w:rPr>
        <w:rFonts w:ascii="Wingdings" w:hAnsi="Wingdings" w:hint="default"/>
      </w:rPr>
    </w:lvl>
    <w:lvl w:ilvl="3" w:tplc="7FB0218C">
      <w:start w:val="1"/>
      <w:numFmt w:val="bullet"/>
      <w:lvlText w:val=""/>
      <w:lvlJc w:val="left"/>
      <w:pPr>
        <w:ind w:left="2880" w:hanging="360"/>
      </w:pPr>
      <w:rPr>
        <w:rFonts w:ascii="Symbol" w:hAnsi="Symbol" w:hint="default"/>
      </w:rPr>
    </w:lvl>
    <w:lvl w:ilvl="4" w:tplc="436CE1FA">
      <w:start w:val="1"/>
      <w:numFmt w:val="bullet"/>
      <w:lvlText w:val="o"/>
      <w:lvlJc w:val="left"/>
      <w:pPr>
        <w:ind w:left="3600" w:hanging="360"/>
      </w:pPr>
      <w:rPr>
        <w:rFonts w:ascii="Courier New" w:hAnsi="Courier New" w:hint="default"/>
      </w:rPr>
    </w:lvl>
    <w:lvl w:ilvl="5" w:tplc="BCEA11B8">
      <w:start w:val="1"/>
      <w:numFmt w:val="bullet"/>
      <w:lvlText w:val=""/>
      <w:lvlJc w:val="left"/>
      <w:pPr>
        <w:ind w:left="4320" w:hanging="360"/>
      </w:pPr>
      <w:rPr>
        <w:rFonts w:ascii="Wingdings" w:hAnsi="Wingdings" w:hint="default"/>
      </w:rPr>
    </w:lvl>
    <w:lvl w:ilvl="6" w:tplc="3A543294">
      <w:start w:val="1"/>
      <w:numFmt w:val="bullet"/>
      <w:lvlText w:val=""/>
      <w:lvlJc w:val="left"/>
      <w:pPr>
        <w:ind w:left="5040" w:hanging="360"/>
      </w:pPr>
      <w:rPr>
        <w:rFonts w:ascii="Symbol" w:hAnsi="Symbol" w:hint="default"/>
      </w:rPr>
    </w:lvl>
    <w:lvl w:ilvl="7" w:tplc="9E221272">
      <w:start w:val="1"/>
      <w:numFmt w:val="bullet"/>
      <w:lvlText w:val="o"/>
      <w:lvlJc w:val="left"/>
      <w:pPr>
        <w:ind w:left="5760" w:hanging="360"/>
      </w:pPr>
      <w:rPr>
        <w:rFonts w:ascii="Courier New" w:hAnsi="Courier New" w:hint="default"/>
      </w:rPr>
    </w:lvl>
    <w:lvl w:ilvl="8" w:tplc="16D094EC">
      <w:start w:val="1"/>
      <w:numFmt w:val="bullet"/>
      <w:lvlText w:val=""/>
      <w:lvlJc w:val="left"/>
      <w:pPr>
        <w:ind w:left="6480" w:hanging="360"/>
      </w:pPr>
      <w:rPr>
        <w:rFonts w:ascii="Wingdings" w:hAnsi="Wingdings" w:hint="default"/>
      </w:rPr>
    </w:lvl>
  </w:abstractNum>
  <w:abstractNum w:abstractNumId="6" w15:restartNumberingAfterBreak="0">
    <w:nsid w:val="6CF0354A"/>
    <w:multiLevelType w:val="hybridMultilevel"/>
    <w:tmpl w:val="8CA28B7A"/>
    <w:lvl w:ilvl="0" w:tplc="6A16666A">
      <w:numFmt w:val="bullet"/>
      <w:lvlText w:val="•"/>
      <w:lvlJc w:val="left"/>
      <w:pPr>
        <w:ind w:left="1080" w:hanging="720"/>
      </w:pPr>
      <w:rPr>
        <w:rFonts w:ascii="Calibri" w:hAnsi="Calibri" w:hint="default"/>
      </w:rPr>
    </w:lvl>
    <w:lvl w:ilvl="1" w:tplc="629EA2D8">
      <w:start w:val="1"/>
      <w:numFmt w:val="bullet"/>
      <w:lvlText w:val="o"/>
      <w:lvlJc w:val="left"/>
      <w:pPr>
        <w:ind w:left="1440" w:hanging="360"/>
      </w:pPr>
      <w:rPr>
        <w:rFonts w:ascii="Courier New" w:hAnsi="Courier New" w:hint="default"/>
      </w:rPr>
    </w:lvl>
    <w:lvl w:ilvl="2" w:tplc="DA2C77BC">
      <w:start w:val="1"/>
      <w:numFmt w:val="bullet"/>
      <w:lvlText w:val=""/>
      <w:lvlJc w:val="left"/>
      <w:pPr>
        <w:ind w:left="2160" w:hanging="360"/>
      </w:pPr>
      <w:rPr>
        <w:rFonts w:ascii="Wingdings" w:hAnsi="Wingdings" w:hint="default"/>
      </w:rPr>
    </w:lvl>
    <w:lvl w:ilvl="3" w:tplc="C6A672FE">
      <w:start w:val="1"/>
      <w:numFmt w:val="bullet"/>
      <w:lvlText w:val=""/>
      <w:lvlJc w:val="left"/>
      <w:pPr>
        <w:ind w:left="2880" w:hanging="360"/>
      </w:pPr>
      <w:rPr>
        <w:rFonts w:ascii="Symbol" w:hAnsi="Symbol" w:hint="default"/>
      </w:rPr>
    </w:lvl>
    <w:lvl w:ilvl="4" w:tplc="19763FCA">
      <w:start w:val="1"/>
      <w:numFmt w:val="bullet"/>
      <w:lvlText w:val="o"/>
      <w:lvlJc w:val="left"/>
      <w:pPr>
        <w:ind w:left="3600" w:hanging="360"/>
      </w:pPr>
      <w:rPr>
        <w:rFonts w:ascii="Courier New" w:hAnsi="Courier New" w:hint="default"/>
      </w:rPr>
    </w:lvl>
    <w:lvl w:ilvl="5" w:tplc="A5C4B940">
      <w:start w:val="1"/>
      <w:numFmt w:val="bullet"/>
      <w:lvlText w:val=""/>
      <w:lvlJc w:val="left"/>
      <w:pPr>
        <w:ind w:left="4320" w:hanging="360"/>
      </w:pPr>
      <w:rPr>
        <w:rFonts w:ascii="Wingdings" w:hAnsi="Wingdings" w:hint="default"/>
      </w:rPr>
    </w:lvl>
    <w:lvl w:ilvl="6" w:tplc="74507A5A">
      <w:start w:val="1"/>
      <w:numFmt w:val="bullet"/>
      <w:lvlText w:val=""/>
      <w:lvlJc w:val="left"/>
      <w:pPr>
        <w:ind w:left="5040" w:hanging="360"/>
      </w:pPr>
      <w:rPr>
        <w:rFonts w:ascii="Symbol" w:hAnsi="Symbol" w:hint="default"/>
      </w:rPr>
    </w:lvl>
    <w:lvl w:ilvl="7" w:tplc="7626F07A">
      <w:start w:val="1"/>
      <w:numFmt w:val="bullet"/>
      <w:lvlText w:val="o"/>
      <w:lvlJc w:val="left"/>
      <w:pPr>
        <w:ind w:left="5760" w:hanging="360"/>
      </w:pPr>
      <w:rPr>
        <w:rFonts w:ascii="Courier New" w:hAnsi="Courier New" w:hint="default"/>
      </w:rPr>
    </w:lvl>
    <w:lvl w:ilvl="8" w:tplc="3000E92E">
      <w:start w:val="1"/>
      <w:numFmt w:val="bullet"/>
      <w:lvlText w:val=""/>
      <w:lvlJc w:val="left"/>
      <w:pPr>
        <w:ind w:left="6480" w:hanging="360"/>
      </w:pPr>
      <w:rPr>
        <w:rFonts w:ascii="Wingdings" w:hAnsi="Wingdings" w:hint="default"/>
      </w:rPr>
    </w:lvl>
  </w:abstractNum>
  <w:num w:numId="1" w16cid:durableId="2122454433">
    <w:abstractNumId w:val="5"/>
  </w:num>
  <w:num w:numId="2" w16cid:durableId="349575221">
    <w:abstractNumId w:val="1"/>
  </w:num>
  <w:num w:numId="3" w16cid:durableId="790903177">
    <w:abstractNumId w:val="2"/>
  </w:num>
  <w:num w:numId="4" w16cid:durableId="1383407798">
    <w:abstractNumId w:val="3"/>
  </w:num>
  <w:num w:numId="5" w16cid:durableId="930312666">
    <w:abstractNumId w:val="6"/>
  </w:num>
  <w:num w:numId="6" w16cid:durableId="1699164264">
    <w:abstractNumId w:val="4"/>
  </w:num>
  <w:num w:numId="7" w16cid:durableId="1133447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043A64"/>
    <w:rsid w:val="000D4B96"/>
    <w:rsid w:val="001257B2"/>
    <w:rsid w:val="00140645"/>
    <w:rsid w:val="00141C70"/>
    <w:rsid w:val="00164DF2"/>
    <w:rsid w:val="002117D4"/>
    <w:rsid w:val="00237F33"/>
    <w:rsid w:val="00256168"/>
    <w:rsid w:val="00294269"/>
    <w:rsid w:val="002C59CC"/>
    <w:rsid w:val="003850DA"/>
    <w:rsid w:val="0039498B"/>
    <w:rsid w:val="003D6016"/>
    <w:rsid w:val="004017A4"/>
    <w:rsid w:val="00403CC6"/>
    <w:rsid w:val="004F0995"/>
    <w:rsid w:val="00535631"/>
    <w:rsid w:val="005C63AB"/>
    <w:rsid w:val="005D7571"/>
    <w:rsid w:val="00606FE4"/>
    <w:rsid w:val="00632F66"/>
    <w:rsid w:val="006F1002"/>
    <w:rsid w:val="00711F97"/>
    <w:rsid w:val="00734105"/>
    <w:rsid w:val="007A3976"/>
    <w:rsid w:val="007D4EFC"/>
    <w:rsid w:val="007D766A"/>
    <w:rsid w:val="007E78AF"/>
    <w:rsid w:val="008044D9"/>
    <w:rsid w:val="00830050"/>
    <w:rsid w:val="00927204"/>
    <w:rsid w:val="00957FC3"/>
    <w:rsid w:val="00982C91"/>
    <w:rsid w:val="009E58CE"/>
    <w:rsid w:val="00AA7B6F"/>
    <w:rsid w:val="00AB1E9C"/>
    <w:rsid w:val="00AF1CAA"/>
    <w:rsid w:val="00B21447"/>
    <w:rsid w:val="00B727A4"/>
    <w:rsid w:val="00BD7C34"/>
    <w:rsid w:val="00C16D6E"/>
    <w:rsid w:val="00C343B2"/>
    <w:rsid w:val="00C577EA"/>
    <w:rsid w:val="00C62BC7"/>
    <w:rsid w:val="00D75BE2"/>
    <w:rsid w:val="00D956E7"/>
    <w:rsid w:val="00E21211"/>
    <w:rsid w:val="00E6261C"/>
    <w:rsid w:val="00E93EF2"/>
    <w:rsid w:val="00EA23BA"/>
    <w:rsid w:val="00EE2DFA"/>
    <w:rsid w:val="00F35E38"/>
    <w:rsid w:val="00F9710F"/>
    <w:rsid w:val="00FA6AA2"/>
    <w:rsid w:val="00FB02FC"/>
    <w:rsid w:val="00FC7C25"/>
    <w:rsid w:val="036B8BA7"/>
    <w:rsid w:val="04039709"/>
    <w:rsid w:val="04366FC7"/>
    <w:rsid w:val="05B094AD"/>
    <w:rsid w:val="05B99B6D"/>
    <w:rsid w:val="07990A9B"/>
    <w:rsid w:val="097C996A"/>
    <w:rsid w:val="0A136742"/>
    <w:rsid w:val="0AD3E04C"/>
    <w:rsid w:val="0B1064A0"/>
    <w:rsid w:val="0CFC1F8D"/>
    <w:rsid w:val="0D050E8D"/>
    <w:rsid w:val="0DA55D91"/>
    <w:rsid w:val="0DFA6028"/>
    <w:rsid w:val="0ECBDBF5"/>
    <w:rsid w:val="0EE9ECDE"/>
    <w:rsid w:val="0EEF6A6E"/>
    <w:rsid w:val="106E3745"/>
    <w:rsid w:val="125219CA"/>
    <w:rsid w:val="12F2DC71"/>
    <w:rsid w:val="136738F2"/>
    <w:rsid w:val="15DF3746"/>
    <w:rsid w:val="16732B31"/>
    <w:rsid w:val="16D9DC51"/>
    <w:rsid w:val="17A39D9A"/>
    <w:rsid w:val="17DE63E1"/>
    <w:rsid w:val="18C0ACA8"/>
    <w:rsid w:val="19D5D2CD"/>
    <w:rsid w:val="21835C17"/>
    <w:rsid w:val="21843489"/>
    <w:rsid w:val="2191C87E"/>
    <w:rsid w:val="21DD1F76"/>
    <w:rsid w:val="226B9151"/>
    <w:rsid w:val="271C153A"/>
    <w:rsid w:val="27DCEC7B"/>
    <w:rsid w:val="2831DE68"/>
    <w:rsid w:val="28733501"/>
    <w:rsid w:val="28A94F9F"/>
    <w:rsid w:val="2A1EC231"/>
    <w:rsid w:val="2BEBB53E"/>
    <w:rsid w:val="2C4EB2C9"/>
    <w:rsid w:val="2CBA364E"/>
    <w:rsid w:val="2D1D45F8"/>
    <w:rsid w:val="2E5A7D6B"/>
    <w:rsid w:val="2E871716"/>
    <w:rsid w:val="30766AF8"/>
    <w:rsid w:val="30CAE63A"/>
    <w:rsid w:val="3240F98B"/>
    <w:rsid w:val="32614556"/>
    <w:rsid w:val="32C209AF"/>
    <w:rsid w:val="338E5781"/>
    <w:rsid w:val="33AA2043"/>
    <w:rsid w:val="351FA361"/>
    <w:rsid w:val="362024CB"/>
    <w:rsid w:val="36A290C2"/>
    <w:rsid w:val="3823C12D"/>
    <w:rsid w:val="3833212E"/>
    <w:rsid w:val="385850DB"/>
    <w:rsid w:val="3AC913B4"/>
    <w:rsid w:val="3B756D80"/>
    <w:rsid w:val="3BC24416"/>
    <w:rsid w:val="3BE1C20E"/>
    <w:rsid w:val="3CA16625"/>
    <w:rsid w:val="3CBEA9D7"/>
    <w:rsid w:val="3DB1694C"/>
    <w:rsid w:val="3E17E40D"/>
    <w:rsid w:val="3E469CC2"/>
    <w:rsid w:val="3E61B327"/>
    <w:rsid w:val="3E8AEDA7"/>
    <w:rsid w:val="3EA0D4EB"/>
    <w:rsid w:val="3F35ABBA"/>
    <w:rsid w:val="3FEA1247"/>
    <w:rsid w:val="40934F11"/>
    <w:rsid w:val="4118F275"/>
    <w:rsid w:val="43924491"/>
    <w:rsid w:val="442A6799"/>
    <w:rsid w:val="46CF2CF7"/>
    <w:rsid w:val="4748B037"/>
    <w:rsid w:val="480B487C"/>
    <w:rsid w:val="491463D5"/>
    <w:rsid w:val="49864478"/>
    <w:rsid w:val="4B543F47"/>
    <w:rsid w:val="4D96F054"/>
    <w:rsid w:val="4E2587CE"/>
    <w:rsid w:val="50033F09"/>
    <w:rsid w:val="508CA452"/>
    <w:rsid w:val="509E912E"/>
    <w:rsid w:val="5478E8D0"/>
    <w:rsid w:val="5575C1E7"/>
    <w:rsid w:val="56551BD2"/>
    <w:rsid w:val="57AA8C01"/>
    <w:rsid w:val="583784AD"/>
    <w:rsid w:val="59AF9A78"/>
    <w:rsid w:val="5A63EA84"/>
    <w:rsid w:val="5B696384"/>
    <w:rsid w:val="5B91AEB8"/>
    <w:rsid w:val="5D001192"/>
    <w:rsid w:val="5E838075"/>
    <w:rsid w:val="5FF506BF"/>
    <w:rsid w:val="607EE859"/>
    <w:rsid w:val="636CB94E"/>
    <w:rsid w:val="63E32F23"/>
    <w:rsid w:val="64A07802"/>
    <w:rsid w:val="64BDA68F"/>
    <w:rsid w:val="65B0184A"/>
    <w:rsid w:val="68153426"/>
    <w:rsid w:val="6C74199F"/>
    <w:rsid w:val="6D043A64"/>
    <w:rsid w:val="6E784B67"/>
    <w:rsid w:val="6F26FBE6"/>
    <w:rsid w:val="7053703D"/>
    <w:rsid w:val="706F26D8"/>
    <w:rsid w:val="70D48F37"/>
    <w:rsid w:val="727EF0CA"/>
    <w:rsid w:val="74DAB0FB"/>
    <w:rsid w:val="76D1D104"/>
    <w:rsid w:val="787968AF"/>
    <w:rsid w:val="78AC9833"/>
    <w:rsid w:val="7A42E0E3"/>
    <w:rsid w:val="7A67D54D"/>
    <w:rsid w:val="7B814A1E"/>
    <w:rsid w:val="7BCA149C"/>
    <w:rsid w:val="7C496143"/>
    <w:rsid w:val="7E510322"/>
    <w:rsid w:val="7EC83CB5"/>
    <w:rsid w:val="7F719CD4"/>
    <w:rsid w:val="7F8A278D"/>
    <w:rsid w:val="7F9C046D"/>
    <w:rsid w:val="7FB09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18D1D"/>
  <w15:chartTrackingRefBased/>
  <w15:docId w15:val="{696A0E52-E5D6-4B40-8A29-46C4C3BB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Revision">
    <w:name w:val="Revision"/>
    <w:hidden/>
    <w:uiPriority w:val="99"/>
    <w:semiHidden/>
    <w:rsid w:val="005C63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3175567">
      <w:bodyDiv w:val="1"/>
      <w:marLeft w:val="0"/>
      <w:marRight w:val="0"/>
      <w:marTop w:val="0"/>
      <w:marBottom w:val="0"/>
      <w:divBdr>
        <w:top w:val="none" w:sz="0" w:space="0" w:color="auto"/>
        <w:left w:val="none" w:sz="0" w:space="0" w:color="auto"/>
        <w:bottom w:val="none" w:sz="0" w:space="0" w:color="auto"/>
        <w:right w:val="none" w:sz="0" w:space="0" w:color="auto"/>
      </w:divBdr>
      <w:divsChild>
        <w:div w:id="839082978">
          <w:marLeft w:val="0"/>
          <w:marRight w:val="0"/>
          <w:marTop w:val="150"/>
          <w:marBottom w:val="150"/>
          <w:divBdr>
            <w:top w:val="none" w:sz="0" w:space="0" w:color="auto"/>
            <w:left w:val="none" w:sz="0" w:space="0" w:color="auto"/>
            <w:bottom w:val="none" w:sz="0" w:space="0" w:color="auto"/>
            <w:right w:val="none" w:sz="0" w:space="0" w:color="auto"/>
          </w:divBdr>
          <w:divsChild>
            <w:div w:id="1283342642">
              <w:marLeft w:val="0"/>
              <w:marRight w:val="0"/>
              <w:marTop w:val="0"/>
              <w:marBottom w:val="0"/>
              <w:divBdr>
                <w:top w:val="none" w:sz="0" w:space="0" w:color="auto"/>
                <w:left w:val="none" w:sz="0" w:space="0" w:color="auto"/>
                <w:bottom w:val="none" w:sz="0" w:space="0" w:color="auto"/>
                <w:right w:val="none" w:sz="0" w:space="0" w:color="auto"/>
              </w:divBdr>
            </w:div>
          </w:divsChild>
        </w:div>
        <w:div w:id="2076783385">
          <w:marLeft w:val="0"/>
          <w:marRight w:val="0"/>
          <w:marTop w:val="150"/>
          <w:marBottom w:val="150"/>
          <w:divBdr>
            <w:top w:val="none" w:sz="0" w:space="0" w:color="auto"/>
            <w:left w:val="none" w:sz="0" w:space="0" w:color="auto"/>
            <w:bottom w:val="none" w:sz="0" w:space="0" w:color="auto"/>
            <w:right w:val="none" w:sz="0" w:space="0" w:color="auto"/>
          </w:divBdr>
          <w:divsChild>
            <w:div w:id="18434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0189">
      <w:bodyDiv w:val="1"/>
      <w:marLeft w:val="0"/>
      <w:marRight w:val="0"/>
      <w:marTop w:val="0"/>
      <w:marBottom w:val="0"/>
      <w:divBdr>
        <w:top w:val="none" w:sz="0" w:space="0" w:color="auto"/>
        <w:left w:val="none" w:sz="0" w:space="0" w:color="auto"/>
        <w:bottom w:val="none" w:sz="0" w:space="0" w:color="auto"/>
        <w:right w:val="none" w:sz="0" w:space="0" w:color="auto"/>
      </w:divBdr>
      <w:divsChild>
        <w:div w:id="671958025">
          <w:marLeft w:val="0"/>
          <w:marRight w:val="0"/>
          <w:marTop w:val="150"/>
          <w:marBottom w:val="150"/>
          <w:divBdr>
            <w:top w:val="none" w:sz="0" w:space="0" w:color="auto"/>
            <w:left w:val="none" w:sz="0" w:space="0" w:color="auto"/>
            <w:bottom w:val="none" w:sz="0" w:space="0" w:color="auto"/>
            <w:right w:val="none" w:sz="0" w:space="0" w:color="auto"/>
          </w:divBdr>
          <w:divsChild>
            <w:div w:id="2071465329">
              <w:marLeft w:val="0"/>
              <w:marRight w:val="0"/>
              <w:marTop w:val="0"/>
              <w:marBottom w:val="0"/>
              <w:divBdr>
                <w:top w:val="none" w:sz="0" w:space="0" w:color="auto"/>
                <w:left w:val="none" w:sz="0" w:space="0" w:color="auto"/>
                <w:bottom w:val="none" w:sz="0" w:space="0" w:color="auto"/>
                <w:right w:val="none" w:sz="0" w:space="0" w:color="auto"/>
              </w:divBdr>
            </w:div>
          </w:divsChild>
        </w:div>
        <w:div w:id="1873229737">
          <w:marLeft w:val="0"/>
          <w:marRight w:val="0"/>
          <w:marTop w:val="150"/>
          <w:marBottom w:val="150"/>
          <w:divBdr>
            <w:top w:val="none" w:sz="0" w:space="0" w:color="auto"/>
            <w:left w:val="none" w:sz="0" w:space="0" w:color="auto"/>
            <w:bottom w:val="none" w:sz="0" w:space="0" w:color="auto"/>
            <w:right w:val="none" w:sz="0" w:space="0" w:color="auto"/>
          </w:divBdr>
          <w:divsChild>
            <w:div w:id="7079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ABE3656DC98C49882853A5A0B88858" ma:contentTypeVersion="6" ma:contentTypeDescription="Create a new document." ma:contentTypeScope="" ma:versionID="fad23e6ea3bc8e552ebfcce09db6874b">
  <xsd:schema xmlns:xsd="http://www.w3.org/2001/XMLSchema" xmlns:xs="http://www.w3.org/2001/XMLSchema" xmlns:p="http://schemas.microsoft.com/office/2006/metadata/properties" xmlns:ns2="6e86e9e5-003c-4568-ad39-ef8e2dce0096" xmlns:ns3="7620db45-6a54-439d-8932-dda02432f4ec" targetNamespace="http://schemas.microsoft.com/office/2006/metadata/properties" ma:root="true" ma:fieldsID="b51db2d634e6ead92015e9b22133ee20" ns2:_="" ns3:_="">
    <xsd:import namespace="6e86e9e5-003c-4568-ad39-ef8e2dce0096"/>
    <xsd:import namespace="7620db45-6a54-439d-8932-dda02432f4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6e9e5-003c-4568-ad39-ef8e2dce0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0db45-6a54-439d-8932-dda02432f4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E1D4B6-3E3F-4EC3-BDE8-2667D51EF7AC}">
  <ds:schemaRefs>
    <ds:schemaRef ds:uri="http://schemas.microsoft.com/sharepoint/v3/contenttype/forms"/>
  </ds:schemaRefs>
</ds:datastoreItem>
</file>

<file path=customXml/itemProps2.xml><?xml version="1.0" encoding="utf-8"?>
<ds:datastoreItem xmlns:ds="http://schemas.openxmlformats.org/officeDocument/2006/customXml" ds:itemID="{79A8455A-006D-4C23-BB86-A1832F0428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5F81D1-1BE0-4443-B117-E5C4B1D96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6e9e5-003c-4568-ad39-ef8e2dce0096"/>
    <ds:schemaRef ds:uri="7620db45-6a54-439d-8932-dda02432f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1185</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Whittle (Modern Languages)</dc:creator>
  <cp:keywords/>
  <dc:description/>
  <cp:lastModifiedBy>Jonathan Laidlow (Arts and Law)</cp:lastModifiedBy>
  <cp:revision>6</cp:revision>
  <dcterms:created xsi:type="dcterms:W3CDTF">2024-09-03T16:41:00Z</dcterms:created>
  <dcterms:modified xsi:type="dcterms:W3CDTF">2024-09-05T15:05:00Z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0x010100FFABE3656DC98C49882853A5A0B88858</vt:lpwstr>
  </property>
</Properties>
</file>