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83C3" w14:textId="69F7F86A" w:rsidR="00404D6B" w:rsidRDefault="00404D6B">
      <w:r>
        <w:t>Slide 1</w:t>
      </w:r>
    </w:p>
    <w:p w14:paraId="115B8AE2" w14:textId="6901F816" w:rsidR="005134DB" w:rsidRDefault="00404D6B">
      <w:r w:rsidRPr="00404D6B">
        <w:t>Critical perspectives on community engagement, involvement, and participation in global health research</w:t>
      </w:r>
    </w:p>
    <w:p w14:paraId="0B812967" w14:textId="77777777" w:rsidR="00404D6B" w:rsidRPr="00404D6B" w:rsidRDefault="00404D6B" w:rsidP="00404D6B">
      <w:r w:rsidRPr="00404D6B">
        <w:rPr>
          <w:lang w:val="en-US"/>
        </w:rPr>
        <w:t>24 April 2023</w:t>
      </w:r>
    </w:p>
    <w:p w14:paraId="751DFD1A" w14:textId="77777777" w:rsidR="00404D6B" w:rsidRPr="00404D6B" w:rsidRDefault="00404D6B" w:rsidP="00404D6B">
      <w:r w:rsidRPr="00404D6B">
        <w:rPr>
          <w:lang w:val="en-US"/>
        </w:rPr>
        <w:t>Dr. Christina Laurenzi</w:t>
      </w:r>
    </w:p>
    <w:p w14:paraId="1A83D77B" w14:textId="77777777" w:rsidR="00404D6B" w:rsidRPr="00404D6B" w:rsidRDefault="00404D6B" w:rsidP="00404D6B">
      <w:r w:rsidRPr="00404D6B">
        <w:rPr>
          <w:lang w:val="en-US"/>
        </w:rPr>
        <w:t>Institute for Life Course Health Research</w:t>
      </w:r>
    </w:p>
    <w:p w14:paraId="4EEE5CC7" w14:textId="77777777" w:rsidR="00404D6B" w:rsidRPr="00404D6B" w:rsidRDefault="00404D6B" w:rsidP="00404D6B">
      <w:r w:rsidRPr="00404D6B">
        <w:rPr>
          <w:lang w:val="en-US"/>
        </w:rPr>
        <w:t xml:space="preserve">Stellenbosch University, South Africa </w:t>
      </w:r>
    </w:p>
    <w:p w14:paraId="349494C3" w14:textId="77777777" w:rsidR="00404D6B" w:rsidRDefault="00404D6B"/>
    <w:p w14:paraId="0B974E52" w14:textId="431BD122" w:rsidR="00404D6B" w:rsidRDefault="00404D6B">
      <w:r>
        <w:t>Slide 2</w:t>
      </w:r>
    </w:p>
    <w:p w14:paraId="5A234547" w14:textId="77777777" w:rsidR="00AF1A7D" w:rsidRPr="00AF1A7D" w:rsidRDefault="00AF1A7D" w:rsidP="00AF1A7D">
      <w:r w:rsidRPr="00AF1A7D">
        <w:t xml:space="preserve">Tracing the trajectory of global health interventions and research </w:t>
      </w:r>
    </w:p>
    <w:p w14:paraId="16259AA0" w14:textId="77777777" w:rsidR="00AF1A7D" w:rsidRPr="00AF1A7D" w:rsidRDefault="00AF1A7D" w:rsidP="00AF1A7D">
      <w:r w:rsidRPr="00AF1A7D">
        <w:t xml:space="preserve">Reflecting on: </w:t>
      </w:r>
    </w:p>
    <w:p w14:paraId="3BA999D5" w14:textId="77777777" w:rsidR="00AF1A7D" w:rsidRPr="00AF1A7D" w:rsidRDefault="00AF1A7D" w:rsidP="00AF1A7D">
      <w:r w:rsidRPr="00AF1A7D">
        <w:t>The concepts of research ‘subjects’ and communities</w:t>
      </w:r>
    </w:p>
    <w:p w14:paraId="747F5293" w14:textId="77777777" w:rsidR="00AF1A7D" w:rsidRPr="00AF1A7D" w:rsidRDefault="00AF1A7D" w:rsidP="00AF1A7D">
      <w:r w:rsidRPr="00AF1A7D">
        <w:t>How knowledge is formulated</w:t>
      </w:r>
    </w:p>
    <w:p w14:paraId="1D32EC75" w14:textId="157FE6C9" w:rsidR="00404D6B" w:rsidRDefault="00AF1A7D" w:rsidP="00AF1A7D">
      <w:r w:rsidRPr="00AF1A7D">
        <w:t>The importance of expanding engagement, involvement, and participat</w:t>
      </w:r>
      <w:r>
        <w:t xml:space="preserve">ion </w:t>
      </w:r>
    </w:p>
    <w:p w14:paraId="66C578FF" w14:textId="40BFAF85" w:rsidR="00AF1A7D" w:rsidRDefault="00AF1A7D" w:rsidP="00AF1A7D"/>
    <w:p w14:paraId="14BD55D7" w14:textId="052F1CF0" w:rsidR="00AF1A7D" w:rsidRDefault="00AF1A7D" w:rsidP="00AF1A7D">
      <w:r>
        <w:t>Slide 3</w:t>
      </w:r>
    </w:p>
    <w:p w14:paraId="7B75E173" w14:textId="7AA8A49C" w:rsidR="00AF1A7D" w:rsidRDefault="00AF1A7D" w:rsidP="00AF1A7D">
      <w:r w:rsidRPr="00AF1A7D">
        <w:t>Global health in historical context</w:t>
      </w:r>
    </w:p>
    <w:p w14:paraId="175F3683" w14:textId="68CCA016" w:rsidR="00AF1A7D" w:rsidRPr="00AF1A7D" w:rsidRDefault="00AF1A7D" w:rsidP="00AF1A7D">
      <w:r w:rsidRPr="00AF1A7D">
        <w:t>Tropical medicine / colonial medicine: emphasis on sanitation, hygiene, and a broader civilising mission, embedded in the colonial project</w:t>
      </w:r>
    </w:p>
    <w:p w14:paraId="322AE9EE" w14:textId="27590A7F" w:rsidR="00AF1A7D" w:rsidRPr="00AF1A7D" w:rsidRDefault="00AF1A7D" w:rsidP="00AF1A7D">
      <w:r w:rsidRPr="00AF1A7D">
        <w:t xml:space="preserve">Linked to Christianity/morality, expansion of empire, and increasing </w:t>
      </w:r>
      <w:r w:rsidRPr="00AF1A7D">
        <w:t>labour</w:t>
      </w:r>
      <w:r w:rsidRPr="00AF1A7D">
        <w:t xml:space="preserve"> productivity </w:t>
      </w:r>
    </w:p>
    <w:p w14:paraId="32BFDF39" w14:textId="1DF4664E" w:rsidR="00AF1A7D" w:rsidRDefault="00AF1A7D" w:rsidP="00AF1A7D">
      <w:r w:rsidRPr="00AF1A7D">
        <w:t>Building this (colonial) workforce was also a means to improve quality of life, expand access to biomedical interventions, and respond to large-scale health emergencies</w:t>
      </w:r>
    </w:p>
    <w:p w14:paraId="440592B5" w14:textId="24D9F176" w:rsidR="00AF1A7D" w:rsidRDefault="00AF1A7D" w:rsidP="00AF1A7D"/>
    <w:p w14:paraId="58110F30" w14:textId="6A750AD8" w:rsidR="00AF1A7D" w:rsidRDefault="00AF1A7D" w:rsidP="00AF1A7D">
      <w:r>
        <w:t>Slide 4</w:t>
      </w:r>
    </w:p>
    <w:p w14:paraId="272DE8B2" w14:textId="5EF65E90" w:rsidR="00AF1A7D" w:rsidRDefault="00AF1A7D" w:rsidP="00AF1A7D">
      <w:r w:rsidRPr="00AF1A7D">
        <w:t>Global health in historical context</w:t>
      </w:r>
    </w:p>
    <w:p w14:paraId="676DFF45" w14:textId="502BFD61" w:rsidR="00AF1A7D" w:rsidRPr="00AF1A7D" w:rsidRDefault="00AF1A7D" w:rsidP="00AF1A7D">
      <w:r w:rsidRPr="00AF1A7D">
        <w:t>Social medicine: health as guided by social, political, and economic determinants</w:t>
      </w:r>
    </w:p>
    <w:p w14:paraId="1136879E" w14:textId="42A444F6" w:rsidR="00AF1A7D" w:rsidRPr="00AF1A7D" w:rsidRDefault="00AF1A7D" w:rsidP="00AF1A7D">
      <w:r w:rsidRPr="00AF1A7D">
        <w:t>Human rights, universalism</w:t>
      </w:r>
    </w:p>
    <w:p w14:paraId="5DA46797" w14:textId="32F65939" w:rsidR="00AF1A7D" w:rsidRPr="00AF1A7D" w:rsidRDefault="00AF1A7D" w:rsidP="00AF1A7D">
      <w:r w:rsidRPr="00AF1A7D">
        <w:t>In many places, linked to anti-colonial response, nation-building efforts</w:t>
      </w:r>
    </w:p>
    <w:p w14:paraId="2C969281" w14:textId="2FC9C0F7" w:rsidR="00AF1A7D" w:rsidRDefault="00AF1A7D" w:rsidP="00AF1A7D">
      <w:r w:rsidRPr="00AF1A7D">
        <w:t>Barefoot doctors in China, community health worker programmes expanded elsewhere</w:t>
      </w:r>
    </w:p>
    <w:p w14:paraId="69FC94BA" w14:textId="19E28AF9" w:rsidR="00AF1A7D" w:rsidRDefault="00AF1A7D" w:rsidP="00AF1A7D"/>
    <w:p w14:paraId="22FA3F69" w14:textId="423CCC5D" w:rsidR="00AF1A7D" w:rsidRDefault="00AF1A7D" w:rsidP="00AF1A7D">
      <w:r>
        <w:t>Slide 5</w:t>
      </w:r>
    </w:p>
    <w:p w14:paraId="3178DB36" w14:textId="7D147A52" w:rsidR="00AF1A7D" w:rsidRDefault="00AF1A7D" w:rsidP="00AF1A7D">
      <w:r w:rsidRPr="00AF1A7D">
        <w:t>Global health in historical context</w:t>
      </w:r>
    </w:p>
    <w:p w14:paraId="4AC2D2B6" w14:textId="1C52FBB4" w:rsidR="00AF1A7D" w:rsidRPr="00AF1A7D" w:rsidRDefault="00AF1A7D" w:rsidP="00AF1A7D">
      <w:r w:rsidRPr="00AF1A7D">
        <w:lastRenderedPageBreak/>
        <w:t xml:space="preserve">International and global health emerging as a technocratic, more top-down space </w:t>
      </w:r>
    </w:p>
    <w:p w14:paraId="217143EC" w14:textId="065C41BF" w:rsidR="00AF1A7D" w:rsidRPr="00AF1A7D" w:rsidRDefault="00AF1A7D" w:rsidP="00AF1A7D">
      <w:r w:rsidRPr="00AF1A7D">
        <w:t>Clinical but also increasingly technical roles to implement programmes at scale, increasingly globalized objectives</w:t>
      </w:r>
    </w:p>
    <w:p w14:paraId="7E21D282" w14:textId="368EEE86" w:rsidR="00AF1A7D" w:rsidRPr="00AF1A7D" w:rsidRDefault="00AF1A7D" w:rsidP="00AF1A7D">
      <w:r w:rsidRPr="00AF1A7D">
        <w:t>From individual nations to multilateral involvement: World Health Organization (est. 1948), World Bank, UNICEF</w:t>
      </w:r>
    </w:p>
    <w:p w14:paraId="15A5A9B5" w14:textId="2461651F" w:rsidR="00AF1A7D" w:rsidRDefault="00AF1A7D" w:rsidP="00AF1A7D">
      <w:r w:rsidRPr="00AF1A7D">
        <w:t>Mass vaccination, disease eradication campaigns (polio, smallpox)</w:t>
      </w:r>
    </w:p>
    <w:p w14:paraId="477112F4" w14:textId="57F0F96C" w:rsidR="00AF1A7D" w:rsidRDefault="00AF1A7D" w:rsidP="00AF1A7D"/>
    <w:p w14:paraId="529D9BD2" w14:textId="35C34B7B" w:rsidR="00AF1A7D" w:rsidRDefault="00AF1A7D" w:rsidP="00AF1A7D">
      <w:r>
        <w:t>Slide 6</w:t>
      </w:r>
    </w:p>
    <w:p w14:paraId="2033879A" w14:textId="614F02FA" w:rsidR="00AF1A7D" w:rsidRDefault="00AF1A7D" w:rsidP="00AF1A7D">
      <w:r w:rsidRPr="00AF1A7D">
        <w:t>Global health in historical context</w:t>
      </w:r>
    </w:p>
    <w:p w14:paraId="040672C3" w14:textId="3357D56D" w:rsidR="00AF1A7D" w:rsidRPr="00AF1A7D" w:rsidRDefault="00AF1A7D" w:rsidP="00AF1A7D">
      <w:r w:rsidRPr="00AF1A7D">
        <w:t>Later, enacted through the Millennium Development Goals (2000), Sustainable Development Goals (2015)</w:t>
      </w:r>
    </w:p>
    <w:p w14:paraId="2C5E6A0C" w14:textId="4BA3868C" w:rsidR="00AF1A7D" w:rsidRPr="00AF1A7D" w:rsidRDefault="00AF1A7D" w:rsidP="00AF1A7D">
      <w:r w:rsidRPr="00AF1A7D">
        <w:t>Programming, attention around key issues (</w:t>
      </w:r>
      <w:proofErr w:type="gramStart"/>
      <w:r w:rsidRPr="00AF1A7D">
        <w:t>e.g.</w:t>
      </w:r>
      <w:proofErr w:type="gramEnd"/>
      <w:r w:rsidRPr="00AF1A7D">
        <w:t xml:space="preserve"> HIV/AIDS, TB), alongside research funding</w:t>
      </w:r>
    </w:p>
    <w:p w14:paraId="39602160" w14:textId="5B6D7B6E" w:rsidR="00AF1A7D" w:rsidRPr="00AF1A7D" w:rsidRDefault="00AF1A7D" w:rsidP="00AF1A7D">
      <w:r w:rsidRPr="00AF1A7D">
        <w:t>Other major funders emerge: GAVI, PEPFAR, Gates Foundation</w:t>
      </w:r>
    </w:p>
    <w:p w14:paraId="2F32299B" w14:textId="12250B3F" w:rsidR="00AF1A7D" w:rsidRDefault="00AF1A7D" w:rsidP="00AF1A7D">
      <w:r w:rsidRPr="00AF1A7D">
        <w:t>Technical interventions, sometimes top-down, sometimes more holistic, with an evidence-generation mechanism through academic partnerships, multilaterals, NGOs, and government agencies/partners</w:t>
      </w:r>
    </w:p>
    <w:p w14:paraId="322D3306" w14:textId="0B0B3D6E" w:rsidR="00AF1A7D" w:rsidRDefault="00AF1A7D" w:rsidP="00AF1A7D"/>
    <w:p w14:paraId="49406D0B" w14:textId="4B7C94A2" w:rsidR="00AF1A7D" w:rsidRDefault="00AF1A7D" w:rsidP="00AF1A7D">
      <w:r>
        <w:t>Slide 7</w:t>
      </w:r>
    </w:p>
    <w:p w14:paraId="055EED03" w14:textId="3A6A1575" w:rsidR="00AF1A7D" w:rsidRDefault="00AF1A7D" w:rsidP="00AF1A7D">
      <w:r w:rsidRPr="00AF1A7D">
        <w:t>Where do “communities” fit?</w:t>
      </w:r>
    </w:p>
    <w:p w14:paraId="77A9424A" w14:textId="36656BDB" w:rsidR="00AF1A7D" w:rsidRPr="00AF1A7D" w:rsidRDefault="00AF1A7D" w:rsidP="00AF1A7D">
      <w:r w:rsidRPr="00AF1A7D">
        <w:t>Communities have variable involvement, voice, space to participate (in programming as well as research)</w:t>
      </w:r>
    </w:p>
    <w:p w14:paraId="2C2FDDE1" w14:textId="6BE78680" w:rsidR="00AF1A7D" w:rsidRPr="00AF1A7D" w:rsidRDefault="00AF1A7D" w:rsidP="00AF1A7D">
      <w:r w:rsidRPr="00AF1A7D">
        <w:t>Existing power dynamics reinforce hierarchies in global health spaces</w:t>
      </w:r>
    </w:p>
    <w:p w14:paraId="12C6000D" w14:textId="2C1FC374" w:rsidR="00AF1A7D" w:rsidRDefault="00AF1A7D" w:rsidP="00AF1A7D">
      <w:r w:rsidRPr="00AF1A7D">
        <w:t xml:space="preserve">Emergence of coordinated, multi-level advocacy campaigns that can elevate certain epidemics, </w:t>
      </w:r>
      <w:proofErr w:type="gramStart"/>
      <w:r w:rsidRPr="00AF1A7D">
        <w:t>e.g.</w:t>
      </w:r>
      <w:proofErr w:type="gramEnd"/>
      <w:r w:rsidRPr="00AF1A7D">
        <w:t xml:space="preserve"> HIV</w:t>
      </w:r>
    </w:p>
    <w:p w14:paraId="599A02CB" w14:textId="046A14CB" w:rsidR="00AF1A7D" w:rsidRDefault="00AF1A7D" w:rsidP="00AF1A7D"/>
    <w:p w14:paraId="74AC6A90" w14:textId="74A4B2F5" w:rsidR="00AF1A7D" w:rsidRDefault="00AF1A7D" w:rsidP="00AF1A7D">
      <w:r>
        <w:t xml:space="preserve">Slide 8 </w:t>
      </w:r>
    </w:p>
    <w:p w14:paraId="6D7249FA" w14:textId="369ED76D" w:rsidR="00AF1A7D" w:rsidRDefault="00AF1A7D" w:rsidP="00AF1A7D">
      <w:r w:rsidRPr="00AF1A7D">
        <w:t>Where is global health knowledge, evidence, and practice based?</w:t>
      </w:r>
    </w:p>
    <w:p w14:paraId="6212256D" w14:textId="5F1DEB49" w:rsidR="00AF1A7D" w:rsidRPr="00AF1A7D" w:rsidRDefault="00AF1A7D" w:rsidP="00AF1A7D">
      <w:r w:rsidRPr="00AF1A7D">
        <w:t xml:space="preserve">In recent years, research programs have moved to bridge the divide between medicine and public health </w:t>
      </w:r>
    </w:p>
    <w:p w14:paraId="4ACE9406" w14:textId="19D82863" w:rsidR="00AF1A7D" w:rsidRPr="00AF1A7D" w:rsidRDefault="00AF1A7D" w:rsidP="00AF1A7D">
      <w:r w:rsidRPr="00AF1A7D">
        <w:t>Proliferation of international health, public health, global health programs in university settings (undergraduate and graduate level), mainly in high-income settings</w:t>
      </w:r>
    </w:p>
    <w:p w14:paraId="06BB378F" w14:textId="149221C7" w:rsidR="00AF1A7D" w:rsidRDefault="00AF1A7D" w:rsidP="00AF1A7D">
      <w:r w:rsidRPr="00AF1A7D">
        <w:t>Imbalances persist in funding, infrastructure, knowledge creation, intervention coverage</w:t>
      </w:r>
    </w:p>
    <w:p w14:paraId="45269188" w14:textId="73A9D7C2" w:rsidR="00AF1A7D" w:rsidRDefault="00AF1A7D" w:rsidP="00AF1A7D"/>
    <w:p w14:paraId="4ED39A34" w14:textId="77777777" w:rsidR="00AF1A7D" w:rsidRDefault="00AF1A7D" w:rsidP="00AF1A7D"/>
    <w:p w14:paraId="55C72702" w14:textId="27359CF8" w:rsidR="00AF1A7D" w:rsidRDefault="00AF1A7D" w:rsidP="00AF1A7D">
      <w:r>
        <w:lastRenderedPageBreak/>
        <w:t xml:space="preserve">Slide 9 </w:t>
      </w:r>
    </w:p>
    <w:p w14:paraId="43DED89C" w14:textId="26CF9B01" w:rsidR="00AF1A7D" w:rsidRDefault="00AF1A7D" w:rsidP="00AF1A7D">
      <w:r w:rsidRPr="00AF1A7D">
        <w:t>Where is global health knowledge, evidence, and practice based?</w:t>
      </w:r>
    </w:p>
    <w:p w14:paraId="168F0CC4" w14:textId="57D680CB" w:rsidR="00234B1A" w:rsidRPr="00234B1A" w:rsidRDefault="00234B1A" w:rsidP="00234B1A">
      <w:r w:rsidRPr="00234B1A">
        <w:t xml:space="preserve">Funding schemes have tended to </w:t>
      </w:r>
      <w:proofErr w:type="spellStart"/>
      <w:r w:rsidRPr="00234B1A">
        <w:t>favor</w:t>
      </w:r>
      <w:proofErr w:type="spellEnd"/>
      <w:r w:rsidRPr="00234B1A">
        <w:t xml:space="preserve"> institutions from high-income settings</w:t>
      </w:r>
    </w:p>
    <w:p w14:paraId="7E3C5B66" w14:textId="5B17E341" w:rsidR="00234B1A" w:rsidRPr="00234B1A" w:rsidRDefault="00234B1A" w:rsidP="00234B1A">
      <w:r w:rsidRPr="00234B1A">
        <w:t xml:space="preserve">Better resourced to begin with, stronger oversight/reporting mechanisms, a more robust research and training pipeline, and the cycle continues </w:t>
      </w:r>
    </w:p>
    <w:p w14:paraId="057A2E3D" w14:textId="3E7629F4" w:rsidR="00AF1A7D" w:rsidRDefault="00234B1A" w:rsidP="00234B1A">
      <w:r w:rsidRPr="00234B1A">
        <w:t xml:space="preserve">“Helicopter” research – extracting, rather than co-generating, </w:t>
      </w:r>
      <w:proofErr w:type="gramStart"/>
      <w:r w:rsidRPr="00234B1A">
        <w:t>knowledge</w:t>
      </w:r>
      <w:proofErr w:type="gramEnd"/>
      <w:r w:rsidRPr="00234B1A">
        <w:t xml:space="preserve"> and data</w:t>
      </w:r>
    </w:p>
    <w:p w14:paraId="56343A59" w14:textId="2CAF57D4" w:rsidR="00234B1A" w:rsidRDefault="00234B1A" w:rsidP="00234B1A"/>
    <w:p w14:paraId="5DC91E48" w14:textId="0B6CADA9" w:rsidR="00234B1A" w:rsidRDefault="00234B1A" w:rsidP="00234B1A">
      <w:r>
        <w:t>Slide 10</w:t>
      </w:r>
    </w:p>
    <w:p w14:paraId="634EF466" w14:textId="46ECF031" w:rsidR="00234B1A" w:rsidRDefault="00234B1A" w:rsidP="00234B1A">
      <w:r w:rsidRPr="00234B1A">
        <w:t>Tensions</w:t>
      </w:r>
    </w:p>
    <w:p w14:paraId="5ECDB9A4" w14:textId="3628F061" w:rsidR="00234B1A" w:rsidRPr="00234B1A" w:rsidRDefault="00234B1A" w:rsidP="00234B1A">
      <w:r w:rsidRPr="00234B1A">
        <w:t>Between external forces and communities</w:t>
      </w:r>
    </w:p>
    <w:p w14:paraId="63067A9A" w14:textId="5B9A7D32" w:rsidR="00234B1A" w:rsidRPr="00234B1A" w:rsidRDefault="00234B1A" w:rsidP="00234B1A">
      <w:r w:rsidRPr="00234B1A">
        <w:t>Between control and self-determination</w:t>
      </w:r>
    </w:p>
    <w:p w14:paraId="5F845A87" w14:textId="50C1DDB3" w:rsidR="00234B1A" w:rsidRPr="00234B1A" w:rsidRDefault="00234B1A" w:rsidP="00234B1A">
      <w:r w:rsidRPr="00234B1A">
        <w:t>Between global interests and local concerns</w:t>
      </w:r>
    </w:p>
    <w:p w14:paraId="3D72FC26" w14:textId="38630381" w:rsidR="00234B1A" w:rsidRPr="00234B1A" w:rsidRDefault="00234B1A" w:rsidP="00234B1A">
      <w:r w:rsidRPr="00234B1A">
        <w:t>Between activists and technocrats</w:t>
      </w:r>
    </w:p>
    <w:p w14:paraId="0AC760F8" w14:textId="498A3FC8" w:rsidR="00234B1A" w:rsidRDefault="00234B1A" w:rsidP="00234B1A">
      <w:r w:rsidRPr="00234B1A">
        <w:t>Between those with means and those without</w:t>
      </w:r>
    </w:p>
    <w:p w14:paraId="57BDC647" w14:textId="266C7DD7" w:rsidR="00234B1A" w:rsidRDefault="00234B1A" w:rsidP="00234B1A"/>
    <w:p w14:paraId="2B247819" w14:textId="75397283" w:rsidR="00234B1A" w:rsidRDefault="00234B1A" w:rsidP="00234B1A">
      <w:r>
        <w:t>Slide 11</w:t>
      </w:r>
    </w:p>
    <w:p w14:paraId="37EB0BA5" w14:textId="781F9BAF" w:rsidR="00234B1A" w:rsidRDefault="00234B1A" w:rsidP="00234B1A">
      <w:r>
        <w:t xml:space="preserve">Pictures representing Covid-19 pandemic </w:t>
      </w:r>
    </w:p>
    <w:p w14:paraId="6FA482A1" w14:textId="153456A6" w:rsidR="00234B1A" w:rsidRDefault="00234B1A" w:rsidP="00234B1A"/>
    <w:p w14:paraId="13ECD109" w14:textId="76FF62CD" w:rsidR="00234B1A" w:rsidRDefault="00234B1A" w:rsidP="00234B1A">
      <w:r>
        <w:t>Slide 12</w:t>
      </w:r>
    </w:p>
    <w:p w14:paraId="3E7E5779" w14:textId="57FF63A4" w:rsidR="00234B1A" w:rsidRDefault="00234B1A" w:rsidP="00234B1A">
      <w:r w:rsidRPr="00234B1A">
        <w:t>Current trends in global health scholarship and practice</w:t>
      </w:r>
    </w:p>
    <w:p w14:paraId="6FE7B681" w14:textId="1A1311CE" w:rsidR="00234B1A" w:rsidRPr="00234B1A" w:rsidRDefault="00234B1A" w:rsidP="00234B1A">
      <w:r w:rsidRPr="00234B1A">
        <w:t>Examining and critiquing traditional hierarchies (age, geography, gender, race, position)</w:t>
      </w:r>
    </w:p>
    <w:p w14:paraId="762BF95F" w14:textId="689ED81C" w:rsidR="00234B1A" w:rsidRPr="00234B1A" w:rsidRDefault="00234B1A" w:rsidP="00234B1A">
      <w:r w:rsidRPr="00234B1A">
        <w:t>Considerations about power and privilege in spaces linked to funding, partnerships</w:t>
      </w:r>
    </w:p>
    <w:p w14:paraId="047EB4BF" w14:textId="30D5A6EE" w:rsidR="00234B1A" w:rsidRPr="00234B1A" w:rsidRDefault="00234B1A" w:rsidP="00234B1A">
      <w:r w:rsidRPr="00234B1A">
        <w:t xml:space="preserve">Emerging and growing field </w:t>
      </w:r>
      <w:proofErr w:type="spellStart"/>
      <w:r w:rsidRPr="00234B1A">
        <w:t>centered</w:t>
      </w:r>
      <w:proofErr w:type="spellEnd"/>
      <w:r w:rsidRPr="00234B1A">
        <w:t xml:space="preserve"> around ‘decolonization’ of global health</w:t>
      </w:r>
    </w:p>
    <w:p w14:paraId="7AD8A127" w14:textId="0F71BC80" w:rsidR="00234B1A" w:rsidRPr="00234B1A" w:rsidRDefault="00234B1A" w:rsidP="00234B1A">
      <w:r w:rsidRPr="00234B1A">
        <w:t>Questions of equity, capacity strengthening, knowledge exchange</w:t>
      </w:r>
    </w:p>
    <w:p w14:paraId="7B9E7533" w14:textId="19592B48" w:rsidR="00234B1A" w:rsidRDefault="00234B1A" w:rsidP="00234B1A">
      <w:r w:rsidRPr="00234B1A">
        <w:t>New programs and partnerships to encourage development and sustainability of Southern-led research</w:t>
      </w:r>
    </w:p>
    <w:p w14:paraId="0CDE2627" w14:textId="416A5419" w:rsidR="00234B1A" w:rsidRDefault="00234B1A" w:rsidP="00234B1A"/>
    <w:p w14:paraId="27292A2F" w14:textId="3904AC59" w:rsidR="00234B1A" w:rsidRDefault="00234B1A" w:rsidP="00234B1A">
      <w:r>
        <w:t>Slide 13</w:t>
      </w:r>
    </w:p>
    <w:p w14:paraId="0354AA87" w14:textId="71412635" w:rsidR="00234B1A" w:rsidRDefault="00234B1A" w:rsidP="00234B1A">
      <w:r>
        <w:t xml:space="preserve">First page of three articles: </w:t>
      </w:r>
    </w:p>
    <w:p w14:paraId="700F578A" w14:textId="48D5A2CE" w:rsidR="00234B1A" w:rsidRPr="00234B1A" w:rsidRDefault="00234B1A" w:rsidP="00234B1A">
      <w:r w:rsidRPr="00234B1A">
        <w:t>What Do Global Health Practitioners Think about Decolonizing Global Health?</w:t>
      </w:r>
      <w:r w:rsidRPr="00234B1A">
        <w:rPr>
          <w:rFonts w:ascii="Segoe UI" w:eastAsia="Times New Roman" w:hAnsi="Segoe UI" w:cs="Segoe UI"/>
          <w:color w:val="5B616B"/>
          <w:sz w:val="24"/>
          <w:szCs w:val="24"/>
          <w:lang w:eastAsia="en-GB"/>
        </w:rPr>
        <w:t xml:space="preserve"> </w:t>
      </w:r>
      <w:r w:rsidRPr="00234B1A">
        <w:t>Ann Glob Health</w:t>
      </w:r>
      <w:r>
        <w:t xml:space="preserve"> </w:t>
      </w:r>
      <w:r w:rsidRPr="00234B1A">
        <w:t>2022 Jul 27;88(1):61.</w:t>
      </w:r>
    </w:p>
    <w:p w14:paraId="4B69B237" w14:textId="4E463C91" w:rsidR="00234B1A" w:rsidRDefault="00234B1A" w:rsidP="00234B1A">
      <w:r w:rsidRPr="00234B1A">
        <w:lastRenderedPageBreak/>
        <w:t>Global health education in high-income countries: confronting coloniality and power asymmetry</w:t>
      </w:r>
      <w:r>
        <w:t xml:space="preserve">. </w:t>
      </w:r>
      <w:r w:rsidRPr="00234B1A">
        <w:t>BMJ Global Health 2022;</w:t>
      </w:r>
      <w:proofErr w:type="gramStart"/>
      <w:r w:rsidRPr="00234B1A">
        <w:t>7:e</w:t>
      </w:r>
      <w:proofErr w:type="gramEnd"/>
      <w:r w:rsidRPr="00234B1A">
        <w:t>008501.</w:t>
      </w:r>
    </w:p>
    <w:p w14:paraId="05A02B0C" w14:textId="6BEEE1A0" w:rsidR="00613CC9" w:rsidRDefault="00613CC9" w:rsidP="00613CC9">
      <w:r w:rsidRPr="00613CC9">
        <w:t>Funders: The missing link in equitable global health research?</w:t>
      </w:r>
      <w:r>
        <w:t xml:space="preserve"> </w:t>
      </w:r>
      <w:r w:rsidRPr="00613CC9">
        <w:t>PLOS Glob Public Health. 2022; 2(6): e0000583.</w:t>
      </w:r>
    </w:p>
    <w:p w14:paraId="46529D54" w14:textId="6A6A7010" w:rsidR="00613CC9" w:rsidRDefault="00613CC9" w:rsidP="00613CC9"/>
    <w:p w14:paraId="1059F9C5" w14:textId="262D83A6" w:rsidR="00613CC9" w:rsidRDefault="00613CC9" w:rsidP="00613CC9">
      <w:r>
        <w:t>Slide 14</w:t>
      </w:r>
    </w:p>
    <w:p w14:paraId="3B205172" w14:textId="7F536007" w:rsidR="00613CC9" w:rsidRDefault="00613CC9" w:rsidP="00613CC9">
      <w:r w:rsidRPr="00613CC9">
        <w:t>Questions linked to decolonization of knowledge</w:t>
      </w:r>
      <w:r w:rsidR="003853CC">
        <w:t xml:space="preserve">: </w:t>
      </w:r>
    </w:p>
    <w:p w14:paraId="47D1FB06" w14:textId="3C97F955" w:rsidR="003853CC" w:rsidRDefault="003853CC" w:rsidP="003853CC">
      <w:pPr>
        <w:rPr>
          <w:lang w:val="en-US"/>
        </w:rPr>
      </w:pPr>
      <w:r w:rsidRPr="003853CC">
        <w:rPr>
          <w:lang w:val="en-US"/>
        </w:rPr>
        <w:t xml:space="preserve">Where does expertise reside? </w:t>
      </w:r>
    </w:p>
    <w:p w14:paraId="53E5A65E" w14:textId="77777777" w:rsidR="003853CC" w:rsidRPr="003853CC" w:rsidRDefault="003853CC" w:rsidP="003853CC">
      <w:r w:rsidRPr="003853CC">
        <w:rPr>
          <w:lang w:val="en-US"/>
        </w:rPr>
        <w:t xml:space="preserve">What kinds of knowledge are most valued? </w:t>
      </w:r>
    </w:p>
    <w:p w14:paraId="13047503" w14:textId="07143DED" w:rsidR="003853CC" w:rsidRDefault="003853CC" w:rsidP="003853CC">
      <w:pPr>
        <w:rPr>
          <w:lang w:val="en-US"/>
        </w:rPr>
      </w:pPr>
      <w:r w:rsidRPr="003853CC">
        <w:rPr>
          <w:lang w:val="en-US"/>
        </w:rPr>
        <w:t xml:space="preserve">Who is involved in creating and refining evidence? Whose voices count? </w:t>
      </w:r>
    </w:p>
    <w:p w14:paraId="2E9862AC" w14:textId="59AB1AD5" w:rsidR="003853CC" w:rsidRDefault="003853CC" w:rsidP="003853CC">
      <w:r w:rsidRPr="003853CC">
        <w:t>Who governs who gets to participate, and how?</w:t>
      </w:r>
    </w:p>
    <w:p w14:paraId="14313A98" w14:textId="3FA18B32" w:rsidR="003853CC" w:rsidRDefault="003853CC" w:rsidP="003853CC"/>
    <w:p w14:paraId="3365DCEC" w14:textId="062001BA" w:rsidR="003853CC" w:rsidRDefault="003853CC" w:rsidP="003853CC">
      <w:r>
        <w:t>Slide 15</w:t>
      </w:r>
    </w:p>
    <w:p w14:paraId="14EEE4BC" w14:textId="460C2CD7" w:rsidR="003853CC" w:rsidRDefault="003853CC" w:rsidP="003853CC">
      <w:r w:rsidRPr="003853CC">
        <w:t>Continuing this thread</w:t>
      </w:r>
    </w:p>
    <w:p w14:paraId="4C41D65B" w14:textId="3E8B9C00" w:rsidR="003853CC" w:rsidRPr="003853CC" w:rsidRDefault="003853CC" w:rsidP="003853CC">
      <w:r w:rsidRPr="003853CC">
        <w:t>Beyond high-low income research partnerships, where do community members come in? (Who comprises the “community”?)</w:t>
      </w:r>
    </w:p>
    <w:p w14:paraId="07F94ED1" w14:textId="0CEC707D" w:rsidR="003853CC" w:rsidRPr="003853CC" w:rsidRDefault="003853CC" w:rsidP="003853CC">
      <w:r w:rsidRPr="003853CC">
        <w:t>Reflecting on what engagement, involvement, and participation looks like – in theory, in practice, and in the most aspirational terms</w:t>
      </w:r>
    </w:p>
    <w:p w14:paraId="5C211151" w14:textId="65A41FA2" w:rsidR="003853CC" w:rsidRDefault="003853CC" w:rsidP="003853CC">
      <w:r w:rsidRPr="003853CC">
        <w:t>What ethical responsibilities do we have to community members?</w:t>
      </w:r>
    </w:p>
    <w:p w14:paraId="645E7AD7" w14:textId="179B8704" w:rsidR="003853CC" w:rsidRDefault="003853CC" w:rsidP="003853CC"/>
    <w:p w14:paraId="44975010" w14:textId="23E24FB1" w:rsidR="003853CC" w:rsidRDefault="003853CC" w:rsidP="003853CC">
      <w:r>
        <w:t>Slide 16</w:t>
      </w:r>
    </w:p>
    <w:p w14:paraId="3C17F7F1" w14:textId="730C03EB" w:rsidR="003853CC" w:rsidRDefault="003853CC" w:rsidP="003853CC">
      <w:r w:rsidRPr="003853CC">
        <w:t>Towards community engagement, involvement, participation</w:t>
      </w:r>
    </w:p>
    <w:p w14:paraId="03C50988" w14:textId="11366B44" w:rsidR="003853CC" w:rsidRPr="003853CC" w:rsidRDefault="003853CC" w:rsidP="003853CC">
      <w:r w:rsidRPr="003853CC">
        <w:t xml:space="preserve">More global health research has begun to include provisions for community consultation, involvement, </w:t>
      </w:r>
      <w:proofErr w:type="gramStart"/>
      <w:r w:rsidRPr="003853CC">
        <w:t>engagement</w:t>
      </w:r>
      <w:proofErr w:type="gramEnd"/>
      <w:r w:rsidRPr="003853CC">
        <w:t xml:space="preserve"> and leadership</w:t>
      </w:r>
    </w:p>
    <w:p w14:paraId="01451EA5" w14:textId="6FBDD097" w:rsidR="003853CC" w:rsidRPr="003853CC" w:rsidRDefault="003853CC" w:rsidP="003853CC">
      <w:r w:rsidRPr="003853CC">
        <w:t>Community advisory boards or groups as sometimes required</w:t>
      </w:r>
    </w:p>
    <w:p w14:paraId="2EFF39E5" w14:textId="5FF8163B" w:rsidR="003853CC" w:rsidRDefault="003853CC" w:rsidP="003853CC">
      <w:r w:rsidRPr="003853CC">
        <w:t>Equity extended beyond balance of research teams in high + low-resource settings – to involve research participants / representatives from these groups</w:t>
      </w:r>
    </w:p>
    <w:p w14:paraId="4B79CC7F" w14:textId="1AA6EFAB" w:rsidR="003853CC" w:rsidRDefault="003853CC" w:rsidP="003853CC"/>
    <w:p w14:paraId="11452A32" w14:textId="11565C48" w:rsidR="003853CC" w:rsidRDefault="003853CC" w:rsidP="003853CC">
      <w:r>
        <w:t>Slide 17</w:t>
      </w:r>
    </w:p>
    <w:p w14:paraId="391EEAC2" w14:textId="459D23D4" w:rsidR="003853CC" w:rsidRPr="003853CC" w:rsidRDefault="003853CC" w:rsidP="003853CC">
      <w:r w:rsidRPr="003853CC">
        <w:t>Ethical obligations to research participants</w:t>
      </w:r>
    </w:p>
    <w:p w14:paraId="234EE81E" w14:textId="2486EB90" w:rsidR="003853CC" w:rsidRPr="003853CC" w:rsidRDefault="003853CC" w:rsidP="003853CC">
      <w:pPr>
        <w:spacing w:after="0" w:line="240" w:lineRule="auto"/>
        <w:rPr>
          <w:rFonts w:eastAsia="+mn-ea" w:cstheme="minorHAnsi"/>
          <w:kern w:val="24"/>
          <w:lang w:val="en-US" w:eastAsia="en-GB"/>
        </w:rPr>
      </w:pPr>
      <w:r w:rsidRPr="003853CC">
        <w:rPr>
          <w:rFonts w:eastAsia="+mn-ea" w:cstheme="minorHAnsi"/>
          <w:kern w:val="24"/>
          <w:lang w:val="en-US" w:eastAsia="en-GB"/>
        </w:rPr>
        <w:t>Recognition of human dignity (confidentiality, privacy)</w:t>
      </w:r>
    </w:p>
    <w:p w14:paraId="7210E017" w14:textId="77777777" w:rsidR="003853CC" w:rsidRDefault="003853CC" w:rsidP="003853CC">
      <w:pPr>
        <w:spacing w:after="0" w:line="240" w:lineRule="auto"/>
        <w:rPr>
          <w:rFonts w:eastAsia="+mn-ea" w:cstheme="minorHAnsi"/>
          <w:kern w:val="24"/>
          <w:lang w:val="en-US" w:eastAsia="en-GB"/>
        </w:rPr>
      </w:pPr>
    </w:p>
    <w:p w14:paraId="252B7D13" w14:textId="33A5934E" w:rsidR="003853CC" w:rsidRPr="003853CC" w:rsidRDefault="003853CC" w:rsidP="003853CC">
      <w:pPr>
        <w:spacing w:after="0" w:line="240" w:lineRule="auto"/>
        <w:rPr>
          <w:rFonts w:eastAsia="+mn-ea" w:cstheme="minorHAnsi"/>
          <w:kern w:val="24"/>
          <w:lang w:val="en-US" w:eastAsia="en-GB"/>
        </w:rPr>
      </w:pPr>
      <w:r w:rsidRPr="003853CC">
        <w:rPr>
          <w:rFonts w:eastAsia="+mn-ea" w:cstheme="minorHAnsi"/>
          <w:kern w:val="24"/>
          <w:lang w:val="en-US" w:eastAsia="en-GB"/>
        </w:rPr>
        <w:t>Informed consent (autonomy)</w:t>
      </w:r>
    </w:p>
    <w:p w14:paraId="7D3349DD" w14:textId="77777777" w:rsidR="003853CC" w:rsidRDefault="003853CC" w:rsidP="003853CC">
      <w:pPr>
        <w:spacing w:after="0" w:line="240" w:lineRule="auto"/>
        <w:rPr>
          <w:rFonts w:eastAsia="+mn-ea" w:cstheme="minorHAnsi"/>
          <w:kern w:val="24"/>
          <w:lang w:val="en-US" w:eastAsia="en-GB"/>
        </w:rPr>
      </w:pPr>
    </w:p>
    <w:p w14:paraId="106A01E5" w14:textId="261E8DD1" w:rsidR="003853CC" w:rsidRPr="003853CC" w:rsidRDefault="003853CC" w:rsidP="003853CC">
      <w:pPr>
        <w:spacing w:after="0" w:line="240" w:lineRule="auto"/>
        <w:rPr>
          <w:rFonts w:eastAsia="+mn-ea" w:cstheme="minorHAnsi"/>
          <w:kern w:val="24"/>
          <w:lang w:val="en-US" w:eastAsia="en-GB"/>
        </w:rPr>
      </w:pPr>
      <w:r w:rsidRPr="003853CC">
        <w:rPr>
          <w:rFonts w:eastAsia="+mn-ea" w:cstheme="minorHAnsi"/>
          <w:kern w:val="24"/>
          <w:lang w:val="en-US" w:eastAsia="en-GB"/>
        </w:rPr>
        <w:t>Minimizing</w:t>
      </w:r>
      <w:r w:rsidRPr="003853CC">
        <w:rPr>
          <w:rFonts w:eastAsia="+mn-ea" w:cstheme="minorHAnsi"/>
          <w:kern w:val="24"/>
          <w:lang w:val="en-US" w:eastAsia="en-GB"/>
        </w:rPr>
        <w:t xml:space="preserve"> harms, </w:t>
      </w:r>
      <w:proofErr w:type="spellStart"/>
      <w:r w:rsidRPr="003853CC">
        <w:rPr>
          <w:rFonts w:eastAsia="+mn-ea" w:cstheme="minorHAnsi"/>
          <w:kern w:val="24"/>
          <w:lang w:val="en-US" w:eastAsia="en-GB"/>
        </w:rPr>
        <w:t>maximising</w:t>
      </w:r>
      <w:proofErr w:type="spellEnd"/>
      <w:r w:rsidRPr="003853CC">
        <w:rPr>
          <w:rFonts w:eastAsia="+mn-ea" w:cstheme="minorHAnsi"/>
          <w:kern w:val="24"/>
          <w:lang w:val="en-US" w:eastAsia="en-GB"/>
        </w:rPr>
        <w:t xml:space="preserve"> benefits (beneficence / non-maleficence)</w:t>
      </w:r>
    </w:p>
    <w:p w14:paraId="4DD76650" w14:textId="77777777" w:rsidR="003853CC" w:rsidRPr="003853CC" w:rsidRDefault="003853CC" w:rsidP="003853CC">
      <w:pPr>
        <w:spacing w:after="0" w:line="240" w:lineRule="auto"/>
        <w:rPr>
          <w:rFonts w:eastAsia="+mn-ea" w:cstheme="minorHAnsi"/>
          <w:kern w:val="24"/>
          <w:lang w:val="en-US" w:eastAsia="en-GB"/>
        </w:rPr>
      </w:pPr>
      <w:r w:rsidRPr="003853CC">
        <w:rPr>
          <w:rFonts w:eastAsia="+mn-ea" w:cstheme="minorHAnsi"/>
          <w:kern w:val="24"/>
          <w:lang w:val="en-US" w:eastAsia="en-GB"/>
        </w:rPr>
        <w:lastRenderedPageBreak/>
        <w:t>Social and clinical value (research that is needed)</w:t>
      </w:r>
    </w:p>
    <w:p w14:paraId="61AE205B" w14:textId="77777777" w:rsidR="003853CC" w:rsidRPr="003853CC" w:rsidRDefault="003853CC" w:rsidP="003853CC">
      <w:pPr>
        <w:spacing w:after="0" w:line="240" w:lineRule="auto"/>
        <w:rPr>
          <w:rFonts w:eastAsia="+mn-ea" w:cstheme="minorHAnsi"/>
          <w:kern w:val="24"/>
          <w:lang w:val="en-US" w:eastAsia="en-GB"/>
        </w:rPr>
      </w:pPr>
    </w:p>
    <w:p w14:paraId="41126AFD" w14:textId="77777777" w:rsidR="003853CC" w:rsidRDefault="003853CC" w:rsidP="003853CC">
      <w:pPr>
        <w:spacing w:after="0" w:line="240" w:lineRule="auto"/>
        <w:rPr>
          <w:rFonts w:eastAsia="+mn-ea" w:cstheme="minorHAnsi"/>
          <w:kern w:val="24"/>
          <w:lang w:val="en-US" w:eastAsia="en-GB"/>
        </w:rPr>
      </w:pPr>
      <w:r w:rsidRPr="003853CC">
        <w:rPr>
          <w:rFonts w:eastAsia="+mn-ea" w:cstheme="minorHAnsi"/>
          <w:kern w:val="24"/>
          <w:lang w:val="en-US" w:eastAsia="en-GB"/>
        </w:rPr>
        <w:t>Essential ingredients vs. ideal ingredients – a spectrum</w:t>
      </w:r>
    </w:p>
    <w:p w14:paraId="4D436868" w14:textId="77777777" w:rsidR="003853CC" w:rsidRDefault="003853CC" w:rsidP="003853CC">
      <w:pPr>
        <w:spacing w:after="0" w:line="240" w:lineRule="auto"/>
        <w:rPr>
          <w:rFonts w:eastAsia="+mn-ea" w:cstheme="minorHAnsi"/>
          <w:kern w:val="24"/>
          <w:lang w:val="en-US" w:eastAsia="en-GB"/>
        </w:rPr>
      </w:pPr>
    </w:p>
    <w:p w14:paraId="164E02B0" w14:textId="77777777" w:rsidR="003853CC" w:rsidRDefault="003853CC" w:rsidP="003853CC">
      <w:pPr>
        <w:spacing w:after="0" w:line="240" w:lineRule="auto"/>
        <w:rPr>
          <w:rFonts w:eastAsia="+mn-ea" w:cstheme="minorHAnsi"/>
          <w:kern w:val="24"/>
          <w:lang w:val="en-US" w:eastAsia="en-GB"/>
        </w:rPr>
      </w:pPr>
    </w:p>
    <w:p w14:paraId="4E4FBBEF" w14:textId="63E9AAE5" w:rsidR="003853CC" w:rsidRDefault="003853CC" w:rsidP="003853CC">
      <w:pPr>
        <w:spacing w:after="0" w:line="240" w:lineRule="auto"/>
        <w:rPr>
          <w:rFonts w:eastAsia="+mn-ea" w:cstheme="minorHAnsi"/>
          <w:kern w:val="24"/>
          <w:lang w:val="en-US" w:eastAsia="en-GB"/>
        </w:rPr>
      </w:pPr>
      <w:r>
        <w:rPr>
          <w:rFonts w:eastAsia="+mn-ea" w:cstheme="minorHAnsi"/>
          <w:kern w:val="24"/>
          <w:lang w:val="en-US" w:eastAsia="en-GB"/>
        </w:rPr>
        <w:t>Slide 18</w:t>
      </w:r>
    </w:p>
    <w:p w14:paraId="29268596" w14:textId="5BD3256D" w:rsidR="003853CC" w:rsidRPr="003853CC" w:rsidRDefault="003853CC" w:rsidP="003853CC">
      <w:pPr>
        <w:spacing w:after="0" w:line="240" w:lineRule="auto"/>
        <w:rPr>
          <w:rFonts w:eastAsia="Times New Roman" w:cstheme="minorHAnsi"/>
          <w:lang w:eastAsia="en-GB"/>
        </w:rPr>
      </w:pPr>
      <w:r w:rsidRPr="003853CC">
        <w:rPr>
          <w:rFonts w:eastAsia="+mn-ea" w:cstheme="minorHAnsi"/>
          <w:kern w:val="24"/>
          <w:lang w:val="en-US" w:eastAsia="en-GB"/>
        </w:rPr>
        <w:t xml:space="preserve"> </w:t>
      </w:r>
      <w:r w:rsidRPr="003853CC">
        <w:rPr>
          <w:rFonts w:eastAsia="+mn-ea" w:cstheme="minorHAnsi"/>
          <w:color w:val="FFFFFF"/>
          <w:kern w:val="24"/>
          <w:lang w:val="en-US" w:eastAsia="en-GB"/>
        </w:rPr>
        <w:t xml:space="preserve">are hierarchies set up and maintained in the research domain? </w:t>
      </w:r>
    </w:p>
    <w:p w14:paraId="2D451769" w14:textId="11ACECA0" w:rsidR="003853CC" w:rsidRPr="003853CC" w:rsidRDefault="003853CC" w:rsidP="003853CC">
      <w:pPr>
        <w:rPr>
          <w:rFonts w:cstheme="minorHAnsi"/>
        </w:rPr>
      </w:pPr>
      <w:r w:rsidRPr="003853CC">
        <w:rPr>
          <w:rFonts w:cstheme="minorHAnsi"/>
        </w:rPr>
        <w:t>Participatory models of engagement</w:t>
      </w:r>
    </w:p>
    <w:p w14:paraId="778E76EA" w14:textId="25E524F6" w:rsidR="00234B1A" w:rsidRPr="003853CC" w:rsidRDefault="003853CC" w:rsidP="00234B1A">
      <w:pPr>
        <w:rPr>
          <w:rFonts w:cstheme="minorHAnsi"/>
        </w:rPr>
      </w:pPr>
      <w:proofErr w:type="spellStart"/>
      <w:r w:rsidRPr="003853CC">
        <w:rPr>
          <w:rFonts w:cstheme="minorHAnsi"/>
        </w:rPr>
        <w:t>Arnstein’s</w:t>
      </w:r>
      <w:proofErr w:type="spellEnd"/>
      <w:r w:rsidRPr="003853CC">
        <w:rPr>
          <w:rFonts w:cstheme="minorHAnsi"/>
        </w:rPr>
        <w:t xml:space="preserve"> Ladder of Citizen Participation</w:t>
      </w:r>
    </w:p>
    <w:p w14:paraId="6B63A322" w14:textId="4707EC39" w:rsidR="00234B1A" w:rsidRDefault="003853CC" w:rsidP="00234B1A">
      <w:pPr>
        <w:rPr>
          <w:rFonts w:cstheme="minorHAnsi"/>
        </w:rPr>
      </w:pPr>
      <w:proofErr w:type="spellStart"/>
      <w:r w:rsidRPr="003853CC">
        <w:rPr>
          <w:rFonts w:cstheme="minorHAnsi"/>
        </w:rPr>
        <w:t>Arnstein's</w:t>
      </w:r>
      <w:proofErr w:type="spellEnd"/>
      <w:r w:rsidRPr="003853CC">
        <w:rPr>
          <w:rFonts w:cstheme="minorHAnsi"/>
        </w:rPr>
        <w:t xml:space="preserve"> ladder is a model for understanding how the degree of citizen participation in government can affect public perceptions of legitimacy, </w:t>
      </w:r>
      <w:proofErr w:type="gramStart"/>
      <w:r w:rsidRPr="003853CC">
        <w:rPr>
          <w:rFonts w:cstheme="minorHAnsi"/>
        </w:rPr>
        <w:t>authority</w:t>
      </w:r>
      <w:proofErr w:type="gramEnd"/>
      <w:r w:rsidRPr="003853CC">
        <w:rPr>
          <w:rFonts w:cstheme="minorHAnsi"/>
        </w:rPr>
        <w:t xml:space="preserve"> and good governance. It presents different levels of public participation, with the 'most desirable' forms of participation found the higher you move up the ladder.</w:t>
      </w:r>
    </w:p>
    <w:p w14:paraId="15FE30E2" w14:textId="53A61056" w:rsidR="003853CC" w:rsidRDefault="003853CC" w:rsidP="00234B1A">
      <w:pPr>
        <w:rPr>
          <w:rFonts w:cstheme="minorHAnsi"/>
        </w:rPr>
      </w:pPr>
    </w:p>
    <w:p w14:paraId="24CDA2F6" w14:textId="011B5C68" w:rsidR="003853CC" w:rsidRDefault="003853CC" w:rsidP="00234B1A">
      <w:pPr>
        <w:rPr>
          <w:rFonts w:cstheme="minorHAnsi"/>
        </w:rPr>
      </w:pPr>
      <w:r>
        <w:rPr>
          <w:rFonts w:cstheme="minorHAnsi"/>
        </w:rPr>
        <w:t>Slide 19</w:t>
      </w:r>
    </w:p>
    <w:p w14:paraId="11B4B81B" w14:textId="099EE400" w:rsidR="003853CC" w:rsidRDefault="003853CC" w:rsidP="00234B1A">
      <w:pPr>
        <w:rPr>
          <w:rFonts w:cstheme="minorHAnsi"/>
        </w:rPr>
      </w:pPr>
      <w:r w:rsidRPr="003853CC">
        <w:rPr>
          <w:rFonts w:cstheme="minorHAnsi"/>
        </w:rPr>
        <w:t>P7 model of engagement</w:t>
      </w:r>
    </w:p>
    <w:p w14:paraId="560B0A52" w14:textId="354E718F" w:rsidR="003853CC" w:rsidRDefault="003853CC" w:rsidP="00234B1A">
      <w:pPr>
        <w:rPr>
          <w:rFonts w:cstheme="minorHAnsi"/>
        </w:rPr>
      </w:pPr>
      <w:r w:rsidRPr="003853CC">
        <w:rPr>
          <w:rFonts w:cstheme="minorHAnsi"/>
        </w:rPr>
        <w:t xml:space="preserve">The 7 aspects of engagement (responsiveness, curiosity, discovery, anticipation, persistence, </w:t>
      </w:r>
      <w:proofErr w:type="gramStart"/>
      <w:r w:rsidRPr="003853CC">
        <w:rPr>
          <w:rFonts w:cstheme="minorHAnsi"/>
        </w:rPr>
        <w:t>initiation</w:t>
      </w:r>
      <w:proofErr w:type="gramEnd"/>
      <w:r w:rsidRPr="003853CC">
        <w:rPr>
          <w:rFonts w:cstheme="minorHAnsi"/>
        </w:rPr>
        <w:t xml:space="preserve"> and investigation) were developed in 2011 as part of a research project into children with complex learning difficulties and disabilities.</w:t>
      </w:r>
    </w:p>
    <w:p w14:paraId="1D674FEC" w14:textId="1F71C377" w:rsidR="003853CC" w:rsidRDefault="003853CC" w:rsidP="00234B1A">
      <w:pPr>
        <w:rPr>
          <w:rFonts w:cstheme="minorHAnsi"/>
        </w:rPr>
      </w:pPr>
    </w:p>
    <w:p w14:paraId="6A645E94" w14:textId="5627ED5C" w:rsidR="003853CC" w:rsidRDefault="003853CC" w:rsidP="00234B1A">
      <w:pPr>
        <w:rPr>
          <w:rFonts w:cstheme="minorHAnsi"/>
        </w:rPr>
      </w:pPr>
      <w:r>
        <w:rPr>
          <w:rFonts w:cstheme="minorHAnsi"/>
        </w:rPr>
        <w:t>Slide 20</w:t>
      </w:r>
    </w:p>
    <w:p w14:paraId="54C9C5C7" w14:textId="09BC34CA" w:rsidR="003853CC" w:rsidRDefault="00DB1E23" w:rsidP="00234B1A">
      <w:pPr>
        <w:rPr>
          <w:rFonts w:cstheme="minorHAnsi"/>
        </w:rPr>
      </w:pPr>
      <w:r w:rsidRPr="00DB1E23">
        <w:rPr>
          <w:rFonts w:cstheme="minorHAnsi"/>
        </w:rPr>
        <w:t>Avoiding pitfalls of community engagement</w:t>
      </w:r>
    </w:p>
    <w:p w14:paraId="31BB96C9" w14:textId="77777777" w:rsidR="00DB1E23" w:rsidRPr="00DB1E23" w:rsidRDefault="00DB1E23" w:rsidP="00DB1E23">
      <w:pPr>
        <w:numPr>
          <w:ilvl w:val="0"/>
          <w:numId w:val="2"/>
        </w:numPr>
        <w:rPr>
          <w:rFonts w:cstheme="minorHAnsi"/>
        </w:rPr>
      </w:pPr>
      <w:r w:rsidRPr="00DB1E23">
        <w:rPr>
          <w:rFonts w:cstheme="minorHAnsi"/>
          <w:lang w:val="en-US"/>
        </w:rPr>
        <w:t>Tokenism</w:t>
      </w:r>
    </w:p>
    <w:p w14:paraId="7DAF53AF" w14:textId="651F583E" w:rsidR="00DB1E23" w:rsidRPr="00DB1E23" w:rsidRDefault="00DB1E23" w:rsidP="00DB1E23">
      <w:pPr>
        <w:numPr>
          <w:ilvl w:val="0"/>
          <w:numId w:val="2"/>
        </w:numPr>
        <w:rPr>
          <w:rFonts w:cstheme="minorHAnsi"/>
        </w:rPr>
      </w:pPr>
      <w:r w:rsidRPr="00DB1E23">
        <w:rPr>
          <w:rFonts w:cstheme="minorHAnsi"/>
          <w:lang w:val="en-US"/>
        </w:rPr>
        <w:t>Manipulation</w:t>
      </w:r>
    </w:p>
    <w:p w14:paraId="005F337D" w14:textId="77777777" w:rsidR="00DB1E23" w:rsidRPr="00DB1E23" w:rsidRDefault="00DB1E23" w:rsidP="00DB1E23">
      <w:pPr>
        <w:numPr>
          <w:ilvl w:val="0"/>
          <w:numId w:val="2"/>
        </w:numPr>
        <w:rPr>
          <w:rFonts w:cstheme="minorHAnsi"/>
        </w:rPr>
      </w:pPr>
      <w:r w:rsidRPr="00DB1E23">
        <w:rPr>
          <w:rFonts w:cstheme="minorHAnsi"/>
        </w:rPr>
        <w:t>Manipulation</w:t>
      </w:r>
    </w:p>
    <w:p w14:paraId="7E892C05" w14:textId="602DD959" w:rsidR="00DB1E23" w:rsidRDefault="00DB1E23" w:rsidP="00DB1E23">
      <w:pPr>
        <w:rPr>
          <w:rFonts w:cstheme="minorHAnsi"/>
        </w:rPr>
      </w:pPr>
    </w:p>
    <w:p w14:paraId="59F8197A" w14:textId="5787EBB0" w:rsidR="00DB1E23" w:rsidRDefault="00DB1E23" w:rsidP="00DB1E23">
      <w:pPr>
        <w:rPr>
          <w:rFonts w:cstheme="minorHAnsi"/>
        </w:rPr>
      </w:pPr>
      <w:r>
        <w:rPr>
          <w:rFonts w:cstheme="minorHAnsi"/>
        </w:rPr>
        <w:t>Slide 21</w:t>
      </w:r>
    </w:p>
    <w:p w14:paraId="1469AF2F" w14:textId="26AFB5E8" w:rsidR="00DB1E23" w:rsidRDefault="00DB1E23" w:rsidP="00DB1E23">
      <w:pPr>
        <w:rPr>
          <w:rFonts w:cstheme="minorHAnsi"/>
        </w:rPr>
      </w:pPr>
      <w:r w:rsidRPr="00DB1E23">
        <w:rPr>
          <w:rFonts w:cstheme="minorHAnsi"/>
        </w:rPr>
        <w:t>Lessons from the Equi-Injury collaboration</w:t>
      </w:r>
    </w:p>
    <w:p w14:paraId="1BB4587A" w14:textId="1889BC57" w:rsidR="00DB1E23" w:rsidRPr="00DB1E23" w:rsidRDefault="00DB1E23" w:rsidP="00DB1E23">
      <w:pPr>
        <w:rPr>
          <w:rFonts w:cstheme="minorHAnsi"/>
        </w:rPr>
      </w:pPr>
      <w:r w:rsidRPr="00DB1E23">
        <w:rPr>
          <w:rFonts w:cstheme="minorHAnsi"/>
        </w:rPr>
        <w:t xml:space="preserve">Context matters: Project embedded in multiple sites within multiple countries, each with distinct social, cultural, political, economic, systemic realities </w:t>
      </w:r>
    </w:p>
    <w:p w14:paraId="3DE24B57" w14:textId="770B20D5" w:rsidR="00DB1E23" w:rsidRDefault="00DB1E23" w:rsidP="00DB1E23">
      <w:pPr>
        <w:rPr>
          <w:rFonts w:cstheme="minorHAnsi"/>
        </w:rPr>
      </w:pPr>
      <w:r w:rsidRPr="00DB1E23">
        <w:rPr>
          <w:rFonts w:cstheme="minorHAnsi"/>
        </w:rPr>
        <w:t>Methods can shape findings: The questions we ask, and the methods and measures we select, shape the knowledge we are able to generate</w:t>
      </w:r>
    </w:p>
    <w:p w14:paraId="00F7734F" w14:textId="300F4EC7" w:rsidR="00DB1E23" w:rsidRDefault="00DB1E23" w:rsidP="00DB1E23">
      <w:pPr>
        <w:rPr>
          <w:rFonts w:cstheme="minorHAnsi"/>
        </w:rPr>
      </w:pPr>
    </w:p>
    <w:p w14:paraId="564E0128" w14:textId="7D3C97D6" w:rsidR="00DB1E23" w:rsidRDefault="00DB1E23" w:rsidP="00DB1E23">
      <w:pPr>
        <w:rPr>
          <w:rFonts w:cstheme="minorHAnsi"/>
        </w:rPr>
      </w:pPr>
      <w:r>
        <w:rPr>
          <w:rFonts w:cstheme="minorHAnsi"/>
        </w:rPr>
        <w:t>Slide 22</w:t>
      </w:r>
    </w:p>
    <w:p w14:paraId="2FB67994" w14:textId="534EC34D" w:rsidR="00DB1E23" w:rsidRDefault="00DB1E23" w:rsidP="00DB1E23">
      <w:pPr>
        <w:rPr>
          <w:rFonts w:cstheme="minorHAnsi"/>
        </w:rPr>
      </w:pPr>
      <w:r w:rsidRPr="00DB1E23">
        <w:rPr>
          <w:rFonts w:cstheme="minorHAnsi"/>
        </w:rPr>
        <w:t>Lessons from the Equi-Injury collaboration</w:t>
      </w:r>
    </w:p>
    <w:p w14:paraId="3B279189" w14:textId="77777777" w:rsidR="00DB1E23" w:rsidRPr="00DB1E23" w:rsidRDefault="00DB1E23" w:rsidP="00DB1E23">
      <w:pPr>
        <w:rPr>
          <w:rFonts w:cstheme="minorHAnsi"/>
        </w:rPr>
      </w:pPr>
      <w:r w:rsidRPr="00DB1E23">
        <w:rPr>
          <w:rFonts w:cstheme="minorHAnsi"/>
        </w:rPr>
        <w:t xml:space="preserve">Collaboration is inherently challenging, but critical: Bridging siloes as key to identifying solutions, pragmatism (but not tokenism) as an ideal guiding principle </w:t>
      </w:r>
    </w:p>
    <w:p w14:paraId="78070DEE" w14:textId="77777777" w:rsidR="00DB1E23" w:rsidRPr="00DB1E23" w:rsidRDefault="00DB1E23" w:rsidP="00DB1E23">
      <w:pPr>
        <w:rPr>
          <w:rFonts w:cstheme="minorHAnsi"/>
        </w:rPr>
      </w:pPr>
    </w:p>
    <w:p w14:paraId="5B12786A" w14:textId="7AFB648B" w:rsidR="00DB1E23" w:rsidRPr="00DB1E23" w:rsidRDefault="00DB1E23" w:rsidP="00DB1E23">
      <w:pPr>
        <w:rPr>
          <w:rFonts w:cstheme="minorHAnsi"/>
        </w:rPr>
      </w:pPr>
      <w:r w:rsidRPr="00DB1E23">
        <w:rPr>
          <w:rFonts w:cstheme="minorHAnsi"/>
        </w:rPr>
        <w:t>Issues and actors are dynamic: Interests of actors are not static – they change over time and space</w:t>
      </w:r>
    </w:p>
    <w:p w14:paraId="0FA73BF0" w14:textId="194D148C" w:rsidR="00DB1E23" w:rsidRDefault="00DB1E23" w:rsidP="00DB1E23">
      <w:pPr>
        <w:rPr>
          <w:rFonts w:cstheme="minorHAnsi"/>
        </w:rPr>
      </w:pPr>
      <w:r w:rsidRPr="00DB1E23">
        <w:rPr>
          <w:rFonts w:cstheme="minorHAnsi"/>
        </w:rPr>
        <w:t>Equity: Aims of achieving equity in health care access should mirror equity in research spaces</w:t>
      </w:r>
    </w:p>
    <w:p w14:paraId="3D19EFA3" w14:textId="270B2392" w:rsidR="00DB1E23" w:rsidRDefault="00DB1E23" w:rsidP="00DB1E23">
      <w:pPr>
        <w:rPr>
          <w:rFonts w:cstheme="minorHAnsi"/>
        </w:rPr>
      </w:pPr>
    </w:p>
    <w:p w14:paraId="71606C55" w14:textId="2DE9F3DB" w:rsidR="00DB1E23" w:rsidRDefault="00DB1E23" w:rsidP="00DB1E23">
      <w:pPr>
        <w:rPr>
          <w:rFonts w:cstheme="minorHAnsi"/>
        </w:rPr>
      </w:pPr>
      <w:r>
        <w:rPr>
          <w:rFonts w:cstheme="minorHAnsi"/>
        </w:rPr>
        <w:t>Slide 23</w:t>
      </w:r>
    </w:p>
    <w:p w14:paraId="033CD794" w14:textId="7C897762" w:rsidR="00DB1E23" w:rsidRDefault="00A87113" w:rsidP="00DB1E23">
      <w:pPr>
        <w:rPr>
          <w:rFonts w:cstheme="minorHAnsi"/>
        </w:rPr>
      </w:pPr>
      <w:r w:rsidRPr="00A87113">
        <w:rPr>
          <w:rFonts w:cstheme="minorHAnsi"/>
        </w:rPr>
        <w:t>Community/ patient groups</w:t>
      </w:r>
    </w:p>
    <w:p w14:paraId="13900EE3" w14:textId="2BE0544C" w:rsidR="00DB1E23" w:rsidRPr="00A87113" w:rsidRDefault="00A87113" w:rsidP="00A87113">
      <w:pPr>
        <w:pStyle w:val="ListParagraph"/>
        <w:numPr>
          <w:ilvl w:val="0"/>
          <w:numId w:val="4"/>
        </w:numPr>
        <w:rPr>
          <w:rFonts w:cstheme="minorHAnsi"/>
        </w:rPr>
      </w:pPr>
      <w:r w:rsidRPr="00A87113">
        <w:rPr>
          <w:rFonts w:cstheme="minorHAnsi"/>
        </w:rPr>
        <w:t>Community members</w:t>
      </w:r>
    </w:p>
    <w:p w14:paraId="580EA799" w14:textId="4A325EB3" w:rsidR="00A87113" w:rsidRPr="00A87113" w:rsidRDefault="00A87113" w:rsidP="00A87113">
      <w:pPr>
        <w:pStyle w:val="ListParagraph"/>
        <w:numPr>
          <w:ilvl w:val="0"/>
          <w:numId w:val="4"/>
        </w:numPr>
        <w:rPr>
          <w:rFonts w:cstheme="minorHAnsi"/>
        </w:rPr>
      </w:pPr>
      <w:r w:rsidRPr="00A87113">
        <w:rPr>
          <w:rFonts w:cstheme="minorHAnsi"/>
        </w:rPr>
        <w:t xml:space="preserve">Patients </w:t>
      </w:r>
    </w:p>
    <w:p w14:paraId="0967CBD4" w14:textId="6454841F" w:rsidR="00A87113" w:rsidRPr="00A87113" w:rsidRDefault="00A87113" w:rsidP="00A87113">
      <w:pPr>
        <w:pStyle w:val="ListParagraph"/>
        <w:numPr>
          <w:ilvl w:val="0"/>
          <w:numId w:val="4"/>
        </w:numPr>
        <w:rPr>
          <w:rFonts w:cstheme="minorHAnsi"/>
        </w:rPr>
      </w:pPr>
      <w:r w:rsidRPr="00A87113">
        <w:rPr>
          <w:rFonts w:cstheme="minorHAnsi"/>
        </w:rPr>
        <w:t>Local leadership</w:t>
      </w:r>
    </w:p>
    <w:p w14:paraId="5BC60C49" w14:textId="77777777" w:rsidR="00A87113" w:rsidRDefault="00A87113" w:rsidP="00DB1E23">
      <w:pPr>
        <w:rPr>
          <w:rFonts w:cstheme="minorHAnsi"/>
        </w:rPr>
      </w:pPr>
    </w:p>
    <w:p w14:paraId="6C467C8B" w14:textId="56613D72" w:rsidR="00A87113" w:rsidRDefault="00A87113" w:rsidP="00DB1E23">
      <w:pPr>
        <w:rPr>
          <w:rFonts w:cstheme="minorHAnsi"/>
        </w:rPr>
      </w:pPr>
      <w:r w:rsidRPr="00A87113">
        <w:rPr>
          <w:rFonts w:cstheme="minorHAnsi"/>
        </w:rPr>
        <w:t>Policymakers</w:t>
      </w:r>
    </w:p>
    <w:p w14:paraId="6B7F1EB2" w14:textId="6D65D3F9" w:rsidR="00A87113" w:rsidRPr="00A87113" w:rsidRDefault="00A87113" w:rsidP="00A87113">
      <w:pPr>
        <w:pStyle w:val="ListParagraph"/>
        <w:numPr>
          <w:ilvl w:val="0"/>
          <w:numId w:val="6"/>
        </w:numPr>
        <w:rPr>
          <w:rFonts w:cstheme="minorHAnsi"/>
        </w:rPr>
      </w:pPr>
      <w:r w:rsidRPr="00A87113">
        <w:rPr>
          <w:rFonts w:cstheme="minorHAnsi"/>
        </w:rPr>
        <w:t>Hospital CEOs</w:t>
      </w:r>
    </w:p>
    <w:p w14:paraId="7681DD82" w14:textId="709D1A0E" w:rsidR="00A87113" w:rsidRPr="00A87113" w:rsidRDefault="00A87113" w:rsidP="00A87113">
      <w:pPr>
        <w:pStyle w:val="ListParagraph"/>
        <w:numPr>
          <w:ilvl w:val="0"/>
          <w:numId w:val="6"/>
        </w:numPr>
        <w:rPr>
          <w:rFonts w:cstheme="minorHAnsi"/>
        </w:rPr>
      </w:pPr>
      <w:r w:rsidRPr="00A87113">
        <w:rPr>
          <w:rFonts w:cstheme="minorHAnsi"/>
        </w:rPr>
        <w:t>Traditional leadership</w:t>
      </w:r>
    </w:p>
    <w:p w14:paraId="55FD7675" w14:textId="57F32F70" w:rsidR="00A87113" w:rsidRPr="00A87113" w:rsidRDefault="00A87113" w:rsidP="00A87113">
      <w:pPr>
        <w:pStyle w:val="ListParagraph"/>
        <w:numPr>
          <w:ilvl w:val="0"/>
          <w:numId w:val="6"/>
        </w:numPr>
        <w:rPr>
          <w:rFonts w:cstheme="minorHAnsi"/>
        </w:rPr>
      </w:pPr>
      <w:r w:rsidRPr="00A87113">
        <w:rPr>
          <w:rFonts w:cstheme="minorHAnsi"/>
        </w:rPr>
        <w:t>Government ministers</w:t>
      </w:r>
    </w:p>
    <w:p w14:paraId="276FB215" w14:textId="1C296C2E" w:rsidR="00A87113" w:rsidRPr="00A87113" w:rsidRDefault="00A87113" w:rsidP="00A87113">
      <w:pPr>
        <w:pStyle w:val="ListParagraph"/>
        <w:numPr>
          <w:ilvl w:val="0"/>
          <w:numId w:val="6"/>
        </w:numPr>
        <w:rPr>
          <w:rFonts w:cstheme="minorHAnsi"/>
        </w:rPr>
      </w:pPr>
      <w:r w:rsidRPr="00A87113">
        <w:rPr>
          <w:rFonts w:cstheme="minorHAnsi"/>
        </w:rPr>
        <w:t xml:space="preserve">Provisional/district policy </w:t>
      </w:r>
    </w:p>
    <w:p w14:paraId="7AAD2781" w14:textId="77777777" w:rsidR="00A87113" w:rsidRDefault="00A87113" w:rsidP="00DB1E23">
      <w:pPr>
        <w:rPr>
          <w:rFonts w:cstheme="minorHAnsi"/>
        </w:rPr>
      </w:pPr>
    </w:p>
    <w:p w14:paraId="6EF64807" w14:textId="5FD16E4E" w:rsidR="00A87113" w:rsidRDefault="00A87113" w:rsidP="00DB1E23">
      <w:pPr>
        <w:rPr>
          <w:rFonts w:cstheme="minorHAnsi"/>
          <w:lang w:val="en-US"/>
        </w:rPr>
      </w:pPr>
      <w:r w:rsidRPr="00A87113">
        <w:rPr>
          <w:rFonts w:cstheme="minorHAnsi"/>
          <w:lang w:val="en-US"/>
        </w:rPr>
        <w:t xml:space="preserve">Healthcare </w:t>
      </w:r>
      <w:r w:rsidRPr="00A87113">
        <w:rPr>
          <w:rFonts w:cstheme="minorHAnsi"/>
          <w:lang w:val="en-US"/>
        </w:rPr>
        <w:t>workers</w:t>
      </w:r>
    </w:p>
    <w:p w14:paraId="00819CA7" w14:textId="0B51F616" w:rsidR="00A87113" w:rsidRPr="00A87113" w:rsidRDefault="00A87113" w:rsidP="00A87113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A87113">
        <w:rPr>
          <w:rFonts w:cstheme="minorHAnsi"/>
          <w:lang w:val="en-US"/>
        </w:rPr>
        <w:t>Nurses</w:t>
      </w:r>
    </w:p>
    <w:p w14:paraId="625A5D17" w14:textId="7CBEBBBA" w:rsidR="00A87113" w:rsidRPr="00A87113" w:rsidRDefault="00A87113" w:rsidP="00A87113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A87113">
        <w:rPr>
          <w:rFonts w:cstheme="minorHAnsi"/>
          <w:lang w:val="en-US"/>
        </w:rPr>
        <w:t xml:space="preserve">Surgeons </w:t>
      </w:r>
    </w:p>
    <w:p w14:paraId="3C34B79F" w14:textId="5C7FB6F5" w:rsidR="00A87113" w:rsidRPr="00A87113" w:rsidRDefault="00A87113" w:rsidP="00A87113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A87113">
        <w:rPr>
          <w:rFonts w:cstheme="minorHAnsi"/>
          <w:lang w:val="en-US"/>
        </w:rPr>
        <w:t>CHWs</w:t>
      </w:r>
    </w:p>
    <w:p w14:paraId="2A9AAFAB" w14:textId="7B732528" w:rsidR="00A87113" w:rsidRPr="00A87113" w:rsidRDefault="00A87113" w:rsidP="00A87113">
      <w:pPr>
        <w:pStyle w:val="ListParagraph"/>
        <w:numPr>
          <w:ilvl w:val="0"/>
          <w:numId w:val="5"/>
        </w:numPr>
        <w:rPr>
          <w:rFonts w:cstheme="minorHAnsi"/>
        </w:rPr>
      </w:pPr>
      <w:r w:rsidRPr="00A87113">
        <w:rPr>
          <w:rFonts w:cstheme="minorHAnsi"/>
          <w:lang w:val="en-US"/>
        </w:rPr>
        <w:t xml:space="preserve">Traditional healers </w:t>
      </w:r>
    </w:p>
    <w:p w14:paraId="36EDA860" w14:textId="77777777" w:rsidR="00A87113" w:rsidRDefault="00A87113" w:rsidP="00DB1E23">
      <w:pPr>
        <w:rPr>
          <w:rFonts w:cstheme="minorHAnsi"/>
        </w:rPr>
      </w:pPr>
    </w:p>
    <w:p w14:paraId="3A4EAB62" w14:textId="57D23950" w:rsidR="00DB1E23" w:rsidRDefault="00DB1E23" w:rsidP="00DB1E23">
      <w:pPr>
        <w:rPr>
          <w:rFonts w:cstheme="minorHAnsi"/>
        </w:rPr>
      </w:pPr>
      <w:r>
        <w:rPr>
          <w:rFonts w:cstheme="minorHAnsi"/>
        </w:rPr>
        <w:t>Slide 24</w:t>
      </w:r>
    </w:p>
    <w:p w14:paraId="05B8EA97" w14:textId="36725C04" w:rsidR="00DB1E23" w:rsidRDefault="00DB1E23" w:rsidP="00DB1E23">
      <w:pPr>
        <w:rPr>
          <w:rFonts w:cstheme="minorHAnsi"/>
        </w:rPr>
      </w:pPr>
      <w:r w:rsidRPr="00DB1E23">
        <w:rPr>
          <w:rFonts w:cstheme="minorHAnsi"/>
        </w:rPr>
        <w:t>Questions &amp; discussion</w:t>
      </w:r>
    </w:p>
    <w:p w14:paraId="41667741" w14:textId="77777777" w:rsidR="00DB1E23" w:rsidRDefault="00DB1E23" w:rsidP="00DB1E23">
      <w:pPr>
        <w:rPr>
          <w:rFonts w:cstheme="minorHAnsi"/>
        </w:rPr>
      </w:pPr>
    </w:p>
    <w:p w14:paraId="5C40E536" w14:textId="205FB8E6" w:rsidR="00DB1E23" w:rsidRDefault="00DB1E23" w:rsidP="00DB1E23">
      <w:pPr>
        <w:rPr>
          <w:rFonts w:cstheme="minorHAnsi"/>
        </w:rPr>
      </w:pPr>
      <w:r>
        <w:rPr>
          <w:rFonts w:cstheme="minorHAnsi"/>
        </w:rPr>
        <w:t>Slide 25</w:t>
      </w:r>
    </w:p>
    <w:p w14:paraId="73DAFECB" w14:textId="7F1A224F" w:rsidR="00DB1E23" w:rsidRDefault="00DB1E23" w:rsidP="00DB1E23">
      <w:pPr>
        <w:rPr>
          <w:rFonts w:cstheme="minorHAnsi"/>
        </w:rPr>
      </w:pPr>
      <w:r w:rsidRPr="00DB1E23">
        <w:rPr>
          <w:rFonts w:cstheme="minorHAnsi"/>
        </w:rPr>
        <w:t>Key readings</w:t>
      </w:r>
    </w:p>
    <w:p w14:paraId="2E793973" w14:textId="46563278" w:rsidR="00DB1E23" w:rsidRPr="00DB1E23" w:rsidRDefault="00DB1E23" w:rsidP="00DB1E23">
      <w:pPr>
        <w:rPr>
          <w:rFonts w:cstheme="minorHAnsi"/>
        </w:rPr>
      </w:pPr>
      <w:proofErr w:type="spellStart"/>
      <w:r w:rsidRPr="00DB1E23">
        <w:rPr>
          <w:rFonts w:cstheme="minorHAnsi"/>
        </w:rPr>
        <w:t>Arnstein</w:t>
      </w:r>
      <w:proofErr w:type="spellEnd"/>
      <w:r w:rsidRPr="00DB1E23">
        <w:rPr>
          <w:rFonts w:cstheme="minorHAnsi"/>
        </w:rPr>
        <w:t xml:space="preserve"> SR. A ladder of citizen participation. Journal of the American Institute of planners. 1969 Jul 1;35(4):216-24. </w:t>
      </w:r>
    </w:p>
    <w:p w14:paraId="7B9DAAFE" w14:textId="77777777" w:rsidR="00DB1E23" w:rsidRPr="00DB1E23" w:rsidRDefault="00DB1E23" w:rsidP="00DB1E23">
      <w:pPr>
        <w:rPr>
          <w:rFonts w:cstheme="minorHAnsi"/>
        </w:rPr>
      </w:pPr>
      <w:r w:rsidRPr="00DB1E23">
        <w:rPr>
          <w:rFonts w:cstheme="minorHAnsi"/>
        </w:rPr>
        <w:t xml:space="preserve">Au, S., and Cornet, A. (2021). Medicine and colonialism. In Medical histories of Belgium, Manchester, England: Manchester University Press. available from: &lt;https://doi.org/10.7765/9781526151070.00009&gt; [Accessed 17 April 2023] </w:t>
      </w:r>
    </w:p>
    <w:p w14:paraId="6AB5D7A5" w14:textId="77777777" w:rsidR="00DB1E23" w:rsidRPr="00DB1E23" w:rsidRDefault="00DB1E23" w:rsidP="00DB1E23">
      <w:pPr>
        <w:rPr>
          <w:rFonts w:cstheme="minorHAnsi"/>
        </w:rPr>
      </w:pPr>
      <w:r w:rsidRPr="00DB1E23">
        <w:rPr>
          <w:rFonts w:cstheme="minorHAnsi"/>
        </w:rPr>
        <w:t xml:space="preserve">Brazelton, M. A. (2022).  Health for </w:t>
      </w:r>
      <w:proofErr w:type="gramStart"/>
      <w:r w:rsidRPr="00DB1E23">
        <w:rPr>
          <w:rFonts w:cstheme="minorHAnsi"/>
        </w:rPr>
        <w:t>all?:</w:t>
      </w:r>
      <w:proofErr w:type="gramEnd"/>
      <w:r w:rsidRPr="00DB1E23">
        <w:rPr>
          <w:rFonts w:cstheme="minorHAnsi"/>
        </w:rPr>
        <w:t xml:space="preserve"> Histories of international and global health. History </w:t>
      </w:r>
      <w:proofErr w:type="gramStart"/>
      <w:r w:rsidRPr="00DB1E23">
        <w:rPr>
          <w:rFonts w:cstheme="minorHAnsi"/>
        </w:rPr>
        <w:t>Compass,  20</w:t>
      </w:r>
      <w:proofErr w:type="gramEnd"/>
      <w:r w:rsidRPr="00DB1E23">
        <w:rPr>
          <w:rFonts w:cstheme="minorHAnsi"/>
        </w:rPr>
        <w:t>( 1), e12700. https://doi.org/10.1111/hic3.12700</w:t>
      </w:r>
    </w:p>
    <w:p w14:paraId="5D1EBB11" w14:textId="77777777" w:rsidR="00DB1E23" w:rsidRPr="00DB1E23" w:rsidRDefault="00DB1E23" w:rsidP="00DB1E23">
      <w:pPr>
        <w:rPr>
          <w:rFonts w:cstheme="minorHAnsi"/>
        </w:rPr>
      </w:pPr>
      <w:r w:rsidRPr="00DB1E23">
        <w:rPr>
          <w:rFonts w:cstheme="minorHAnsi"/>
        </w:rPr>
        <w:lastRenderedPageBreak/>
        <w:t xml:space="preserve">Cahill, H. and </w:t>
      </w:r>
      <w:proofErr w:type="spellStart"/>
      <w:r w:rsidRPr="00DB1E23">
        <w:rPr>
          <w:rFonts w:cstheme="minorHAnsi"/>
        </w:rPr>
        <w:t>Dadvand</w:t>
      </w:r>
      <w:proofErr w:type="spellEnd"/>
      <w:r w:rsidRPr="00DB1E23">
        <w:rPr>
          <w:rFonts w:cstheme="minorHAnsi"/>
        </w:rPr>
        <w:t>, B., 2018. Re-conceptualising youth participation: A framework to inform action. Children and Youth Services Review, 95, pp.243-253.</w:t>
      </w:r>
    </w:p>
    <w:p w14:paraId="7EFB6B1D" w14:textId="77777777" w:rsidR="00DB1E23" w:rsidRPr="00DB1E23" w:rsidRDefault="00DB1E23" w:rsidP="00DB1E23">
      <w:pPr>
        <w:rPr>
          <w:rFonts w:cstheme="minorHAnsi"/>
        </w:rPr>
      </w:pPr>
      <w:proofErr w:type="spellStart"/>
      <w:r w:rsidRPr="00DB1E23">
        <w:rPr>
          <w:rFonts w:cstheme="minorHAnsi"/>
        </w:rPr>
        <w:t>Charani</w:t>
      </w:r>
      <w:proofErr w:type="spellEnd"/>
      <w:r w:rsidRPr="00DB1E23">
        <w:rPr>
          <w:rFonts w:cstheme="minorHAnsi"/>
        </w:rPr>
        <w:t xml:space="preserve"> E, Abimbola S, Pai M, </w:t>
      </w:r>
      <w:proofErr w:type="spellStart"/>
      <w:r w:rsidRPr="00DB1E23">
        <w:rPr>
          <w:rFonts w:cstheme="minorHAnsi"/>
        </w:rPr>
        <w:t>Adeyi</w:t>
      </w:r>
      <w:proofErr w:type="spellEnd"/>
      <w:r w:rsidRPr="00DB1E23">
        <w:rPr>
          <w:rFonts w:cstheme="minorHAnsi"/>
        </w:rPr>
        <w:t xml:space="preserve"> O, Mendelson M, et al. (2022) Funders: The missing link in equitable global health </w:t>
      </w:r>
      <w:proofErr w:type="gramStart"/>
      <w:r w:rsidRPr="00DB1E23">
        <w:rPr>
          <w:rFonts w:cstheme="minorHAnsi"/>
        </w:rPr>
        <w:t>research?.</w:t>
      </w:r>
      <w:proofErr w:type="gramEnd"/>
      <w:r w:rsidRPr="00DB1E23">
        <w:rPr>
          <w:rFonts w:cstheme="minorHAnsi"/>
        </w:rPr>
        <w:t xml:space="preserve"> PLOS Global Public Health 2(6): e0000583. https://doi.org/10.1371/journal.pgph.0000583 </w:t>
      </w:r>
    </w:p>
    <w:p w14:paraId="0E4945FA" w14:textId="77777777" w:rsidR="00DB1E23" w:rsidRPr="00DB1E23" w:rsidRDefault="00DB1E23" w:rsidP="00DB1E23">
      <w:pPr>
        <w:rPr>
          <w:rFonts w:cstheme="minorHAnsi"/>
        </w:rPr>
      </w:pPr>
      <w:r w:rsidRPr="00DB1E23">
        <w:rPr>
          <w:rFonts w:cstheme="minorHAnsi"/>
        </w:rPr>
        <w:t>Declaration of Helsinki, WMA, 2013. https://www.wma.net/policies-post/wma-declaration-of-helsinki-ethical-principles-for-medical-research-involving-human-subjects/</w:t>
      </w:r>
    </w:p>
    <w:p w14:paraId="2C0E46D6" w14:textId="77777777" w:rsidR="00DB1E23" w:rsidRPr="00DB1E23" w:rsidRDefault="00DB1E23" w:rsidP="00DB1E23">
      <w:pPr>
        <w:rPr>
          <w:rFonts w:cstheme="minorHAnsi"/>
        </w:rPr>
      </w:pPr>
      <w:proofErr w:type="spellStart"/>
      <w:r w:rsidRPr="00DB1E23">
        <w:rPr>
          <w:rFonts w:cstheme="minorHAnsi"/>
        </w:rPr>
        <w:t>Lenette</w:t>
      </w:r>
      <w:proofErr w:type="spellEnd"/>
      <w:r w:rsidRPr="00DB1E23">
        <w:rPr>
          <w:rFonts w:cstheme="minorHAnsi"/>
        </w:rPr>
        <w:t xml:space="preserve">, Caroline, 'Why Decolonize? Participatory Action Research’s Origins, Decolonial Research, and Intersectionality', Participatory Action Research: Ethics and Decolonization (New York, 2022; online </w:t>
      </w:r>
      <w:proofErr w:type="spellStart"/>
      <w:r w:rsidRPr="00DB1E23">
        <w:rPr>
          <w:rFonts w:cstheme="minorHAnsi"/>
        </w:rPr>
        <w:t>edn</w:t>
      </w:r>
      <w:proofErr w:type="spellEnd"/>
      <w:r w:rsidRPr="00DB1E23">
        <w:rPr>
          <w:rFonts w:cstheme="minorHAnsi"/>
        </w:rPr>
        <w:t>, Oxford Academic, 19 May 2022), https://doi.org/10.1093/oso/9780197512456.003.0002, accessed 21 Apr. 2023.</w:t>
      </w:r>
    </w:p>
    <w:p w14:paraId="3AC0505E" w14:textId="77777777" w:rsidR="00DB1E23" w:rsidRPr="00DB1E23" w:rsidRDefault="00DB1E23" w:rsidP="00DB1E23">
      <w:pPr>
        <w:rPr>
          <w:rFonts w:cstheme="minorHAnsi"/>
        </w:rPr>
      </w:pPr>
      <w:r w:rsidRPr="00DB1E23">
        <w:rPr>
          <w:rFonts w:cstheme="minorHAnsi"/>
        </w:rPr>
        <w:t xml:space="preserve">Vidyasagar, D. Global notes: the 10/90 gap disparities in global health research. J </w:t>
      </w:r>
      <w:proofErr w:type="spellStart"/>
      <w:r w:rsidRPr="00DB1E23">
        <w:rPr>
          <w:rFonts w:cstheme="minorHAnsi"/>
        </w:rPr>
        <w:t>Perinatol</w:t>
      </w:r>
      <w:proofErr w:type="spellEnd"/>
      <w:r w:rsidRPr="00DB1E23">
        <w:rPr>
          <w:rFonts w:cstheme="minorHAnsi"/>
        </w:rPr>
        <w:t>. 26, 55–56 (2006). https://doi.org/10.1038/sj.jp.7211402</w:t>
      </w:r>
    </w:p>
    <w:p w14:paraId="41D4E978" w14:textId="7ED7EAB4" w:rsidR="00DB1E23" w:rsidRPr="00DB1E23" w:rsidRDefault="00DB1E23" w:rsidP="00DB1E23">
      <w:pPr>
        <w:rPr>
          <w:rFonts w:cstheme="minorHAnsi"/>
        </w:rPr>
      </w:pPr>
      <w:proofErr w:type="spellStart"/>
      <w:r w:rsidRPr="00DB1E23">
        <w:rPr>
          <w:rFonts w:cstheme="minorHAnsi"/>
        </w:rPr>
        <w:t>Wernli</w:t>
      </w:r>
      <w:proofErr w:type="spellEnd"/>
      <w:r w:rsidRPr="00DB1E23">
        <w:rPr>
          <w:rFonts w:cstheme="minorHAnsi"/>
        </w:rPr>
        <w:t xml:space="preserve"> D, Tanner M, </w:t>
      </w:r>
      <w:proofErr w:type="spellStart"/>
      <w:r w:rsidRPr="00DB1E23">
        <w:rPr>
          <w:rFonts w:cstheme="minorHAnsi"/>
        </w:rPr>
        <w:t>Kickbusch</w:t>
      </w:r>
      <w:proofErr w:type="spellEnd"/>
      <w:r w:rsidRPr="00DB1E23">
        <w:rPr>
          <w:rFonts w:cstheme="minorHAnsi"/>
        </w:rPr>
        <w:t xml:space="preserve"> I, Escher G, </w:t>
      </w:r>
      <w:proofErr w:type="spellStart"/>
      <w:r w:rsidRPr="00DB1E23">
        <w:rPr>
          <w:rFonts w:cstheme="minorHAnsi"/>
        </w:rPr>
        <w:t>Paccaud</w:t>
      </w:r>
      <w:proofErr w:type="spellEnd"/>
      <w:r w:rsidRPr="00DB1E23">
        <w:rPr>
          <w:rFonts w:cstheme="minorHAnsi"/>
        </w:rPr>
        <w:t xml:space="preserve"> F, </w:t>
      </w:r>
      <w:proofErr w:type="spellStart"/>
      <w:r w:rsidRPr="00DB1E23">
        <w:rPr>
          <w:rFonts w:cstheme="minorHAnsi"/>
        </w:rPr>
        <w:t>Flahault</w:t>
      </w:r>
      <w:proofErr w:type="spellEnd"/>
      <w:r w:rsidRPr="00DB1E23">
        <w:rPr>
          <w:rFonts w:cstheme="minorHAnsi"/>
        </w:rPr>
        <w:t xml:space="preserve"> A. Moving global health forward in academic institutions. J Glob Health. 2016 Jun;6(1):010409. </w:t>
      </w:r>
      <w:proofErr w:type="spellStart"/>
      <w:r w:rsidRPr="00DB1E23">
        <w:rPr>
          <w:rFonts w:cstheme="minorHAnsi"/>
        </w:rPr>
        <w:t>doi</w:t>
      </w:r>
      <w:proofErr w:type="spellEnd"/>
      <w:r w:rsidRPr="00DB1E23">
        <w:rPr>
          <w:rFonts w:cstheme="minorHAnsi"/>
        </w:rPr>
        <w:t>: 10.7189/jogh.06.010409. PMID: 26955471; PMCID: PMC4766794.</w:t>
      </w:r>
    </w:p>
    <w:p w14:paraId="1441E81A" w14:textId="3F71E232" w:rsidR="00DB1E23" w:rsidRDefault="00DB1E23" w:rsidP="00234B1A">
      <w:pPr>
        <w:rPr>
          <w:rFonts w:cstheme="minorHAnsi"/>
        </w:rPr>
      </w:pPr>
    </w:p>
    <w:p w14:paraId="0EFF6D36" w14:textId="77777777" w:rsidR="00DB1E23" w:rsidRPr="003853CC" w:rsidRDefault="00DB1E23" w:rsidP="00234B1A">
      <w:pPr>
        <w:rPr>
          <w:rFonts w:cstheme="minorHAnsi"/>
        </w:rPr>
      </w:pPr>
    </w:p>
    <w:p w14:paraId="76E97119" w14:textId="77777777" w:rsidR="00AF1A7D" w:rsidRPr="003853CC" w:rsidRDefault="00AF1A7D" w:rsidP="00AF1A7D">
      <w:pPr>
        <w:rPr>
          <w:rFonts w:cstheme="minorHAnsi"/>
        </w:rPr>
      </w:pPr>
    </w:p>
    <w:sectPr w:rsidR="00AF1A7D" w:rsidRPr="00385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799"/>
    <w:multiLevelType w:val="hybridMultilevel"/>
    <w:tmpl w:val="70DE7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30DEF"/>
    <w:multiLevelType w:val="multilevel"/>
    <w:tmpl w:val="6290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F0664"/>
    <w:multiLevelType w:val="hybridMultilevel"/>
    <w:tmpl w:val="A5E24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1458B"/>
    <w:multiLevelType w:val="hybridMultilevel"/>
    <w:tmpl w:val="2E3E6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9562B"/>
    <w:multiLevelType w:val="hybridMultilevel"/>
    <w:tmpl w:val="D3E8E80C"/>
    <w:lvl w:ilvl="0" w:tplc="AA8EA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0A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4E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E3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0E8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B40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1A4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24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EE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3712AB8"/>
    <w:multiLevelType w:val="hybridMultilevel"/>
    <w:tmpl w:val="32D207A4"/>
    <w:lvl w:ilvl="0" w:tplc="75060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ED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A21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AB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8C6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8F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49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46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4854910">
    <w:abstractNumId w:val="1"/>
  </w:num>
  <w:num w:numId="2" w16cid:durableId="266887106">
    <w:abstractNumId w:val="4"/>
  </w:num>
  <w:num w:numId="3" w16cid:durableId="723288044">
    <w:abstractNumId w:val="5"/>
  </w:num>
  <w:num w:numId="4" w16cid:durableId="386072820">
    <w:abstractNumId w:val="2"/>
  </w:num>
  <w:num w:numId="5" w16cid:durableId="342901859">
    <w:abstractNumId w:val="3"/>
  </w:num>
  <w:num w:numId="6" w16cid:durableId="166589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6B"/>
    <w:rsid w:val="00234B1A"/>
    <w:rsid w:val="003853CC"/>
    <w:rsid w:val="00404D6B"/>
    <w:rsid w:val="005134DB"/>
    <w:rsid w:val="00556194"/>
    <w:rsid w:val="00613CC9"/>
    <w:rsid w:val="00A87113"/>
    <w:rsid w:val="00AF1A7D"/>
    <w:rsid w:val="00DB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F511A"/>
  <w15:chartTrackingRefBased/>
  <w15:docId w15:val="{049DB5A1-6591-45BA-A97E-C07A9CAF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C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53C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1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Ignatowicz (Applied Health Research)</dc:creator>
  <cp:keywords/>
  <dc:description/>
  <cp:lastModifiedBy>Agnieszka Ignatowicz (Applied Health Research)</cp:lastModifiedBy>
  <cp:revision>2</cp:revision>
  <dcterms:created xsi:type="dcterms:W3CDTF">2023-04-25T09:16:00Z</dcterms:created>
  <dcterms:modified xsi:type="dcterms:W3CDTF">2023-04-25T09:16:00Z</dcterms:modified>
</cp:coreProperties>
</file>