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tblLayout w:type="fixed"/>
        <w:tblLook w:val="0400" w:firstRow="0" w:lastRow="0" w:firstColumn="0" w:lastColumn="0" w:noHBand="0" w:noVBand="1"/>
      </w:tblPr>
      <w:tblGrid>
        <w:gridCol w:w="1980"/>
        <w:gridCol w:w="7654"/>
      </w:tblGrid>
      <w:tr w:rsidRPr="001A4E7F" w:rsidR="00976E14" w:rsidTr="0B2B6FDB" w14:paraId="08E09C3B" w14:textId="77777777">
        <w:trPr>
          <w:trHeight w:val="450"/>
        </w:trPr>
        <w:tc>
          <w:tcPr>
            <w:tcW w:w="1980" w:type="dxa"/>
            <w:vMerge w:val="restart"/>
            <w:tcMar/>
            <w:hideMark/>
          </w:tcPr>
          <w:p w:rsidRPr="001A4E7F" w:rsidR="00976E14" w:rsidP="0001115D" w:rsidRDefault="00976E14" w14:paraId="5299C368" w14:textId="057A0FF8">
            <w:pPr>
              <w:spacing w:after="120"/>
              <w:rPr>
                <w:rFonts w:eastAsia="Times New Roman" w:cstheme="minorHAnsi"/>
                <w:color w:val="000000"/>
                <w:lang w:eastAsia="en-GB"/>
              </w:rPr>
            </w:pPr>
            <w:r w:rsidRPr="001A4E7F">
              <w:rPr>
                <w:rFonts w:eastAsia="Times New Roman" w:cstheme="minorHAnsi"/>
                <w:color w:val="000000" w:themeColor="text1"/>
                <w:lang w:eastAsia="en-GB"/>
              </w:rPr>
              <w:t xml:space="preserve">Does the </w:t>
            </w:r>
            <w:r w:rsidRPr="001A4E7F" w:rsidR="082CC0ED">
              <w:rPr>
                <w:rFonts w:eastAsia="Times New Roman" w:cstheme="minorHAnsi"/>
                <w:color w:val="000000" w:themeColor="text1"/>
                <w:lang w:eastAsia="en-GB"/>
              </w:rPr>
              <w:t>Principal Investigator (</w:t>
            </w:r>
            <w:r w:rsidRPr="001A4E7F">
              <w:rPr>
                <w:rFonts w:eastAsia="Times New Roman" w:cstheme="minorHAnsi"/>
                <w:color w:val="000000" w:themeColor="text1"/>
                <w:lang w:eastAsia="en-GB"/>
              </w:rPr>
              <w:t>PI</w:t>
            </w:r>
            <w:r w:rsidRPr="001A4E7F" w:rsidR="1370FC4C">
              <w:rPr>
                <w:rFonts w:eastAsia="Times New Roman" w:cstheme="minorHAnsi"/>
                <w:color w:val="000000" w:themeColor="text1"/>
                <w:lang w:eastAsia="en-GB"/>
              </w:rPr>
              <w:t>)</w:t>
            </w:r>
            <w:r w:rsidRPr="001A4E7F">
              <w:rPr>
                <w:rFonts w:eastAsia="Times New Roman" w:cstheme="minorHAnsi"/>
                <w:color w:val="000000" w:themeColor="text1"/>
                <w:lang w:eastAsia="en-GB"/>
              </w:rPr>
              <w:t xml:space="preserve"> </w:t>
            </w:r>
            <w:r w:rsidRPr="001A4E7F" w:rsidR="5F483A79">
              <w:rPr>
                <w:rFonts w:eastAsia="Times New Roman" w:cstheme="minorHAnsi"/>
                <w:color w:val="000000" w:themeColor="text1"/>
                <w:lang w:eastAsia="en-GB"/>
              </w:rPr>
              <w:t xml:space="preserve">need to </w:t>
            </w:r>
            <w:r w:rsidRPr="001A4E7F">
              <w:rPr>
                <w:rFonts w:eastAsia="Times New Roman" w:cstheme="minorHAnsi"/>
                <w:color w:val="000000" w:themeColor="text1"/>
                <w:lang w:eastAsia="en-GB"/>
              </w:rPr>
              <w:t>be a GP?</w:t>
            </w:r>
          </w:p>
        </w:tc>
        <w:tc>
          <w:tcPr>
            <w:tcW w:w="7654" w:type="dxa"/>
            <w:vMerge w:val="restart"/>
            <w:tcMar/>
            <w:hideMark/>
          </w:tcPr>
          <w:p w:rsidRPr="001A4E7F" w:rsidR="00976E14" w:rsidP="00B13DCE" w:rsidRDefault="00AF6A9D" w14:paraId="6FEA4186" w14:textId="11B7A2E0">
            <w:pPr>
              <w:spacing w:after="120"/>
              <w:rPr>
                <w:rFonts w:eastAsia="Times New Roman" w:cstheme="minorHAnsi"/>
                <w:color w:val="000000"/>
                <w:lang w:eastAsia="en-GB"/>
              </w:rPr>
            </w:pPr>
            <w:r w:rsidRPr="001A4E7F">
              <w:rPr>
                <w:rFonts w:eastAsia="Times New Roman" w:cstheme="minorHAnsi"/>
                <w:color w:val="000000" w:themeColor="text1"/>
                <w:lang w:eastAsia="en-GB"/>
              </w:rPr>
              <w:t xml:space="preserve">In most cases, the </w:t>
            </w:r>
            <w:r w:rsidRPr="001A4E7F" w:rsidR="00245F9C">
              <w:rPr>
                <w:rFonts w:eastAsia="Times New Roman" w:cstheme="minorHAnsi"/>
                <w:color w:val="000000" w:themeColor="text1"/>
                <w:lang w:eastAsia="en-GB"/>
              </w:rPr>
              <w:t xml:space="preserve">site </w:t>
            </w:r>
            <w:r w:rsidRPr="001A4E7F">
              <w:rPr>
                <w:rFonts w:eastAsia="Times New Roman" w:cstheme="minorHAnsi"/>
                <w:color w:val="000000" w:themeColor="text1"/>
                <w:lang w:eastAsia="en-GB"/>
              </w:rPr>
              <w:t xml:space="preserve">PI will be a GP, but an </w:t>
            </w:r>
            <w:r w:rsidRPr="001A4E7F" w:rsidR="00976E14">
              <w:rPr>
                <w:rFonts w:eastAsia="Times New Roman" w:cstheme="minorHAnsi"/>
                <w:color w:val="000000" w:themeColor="text1"/>
                <w:lang w:eastAsia="en-GB"/>
              </w:rPr>
              <w:t>appropriately</w:t>
            </w:r>
            <w:r w:rsidRPr="001A4E7F">
              <w:rPr>
                <w:rFonts w:eastAsia="Times New Roman" w:cstheme="minorHAnsi"/>
                <w:color w:val="000000" w:themeColor="text1"/>
                <w:lang w:eastAsia="en-GB"/>
              </w:rPr>
              <w:t>-</w:t>
            </w:r>
            <w:r w:rsidRPr="001A4E7F" w:rsidR="00976E14">
              <w:rPr>
                <w:rFonts w:eastAsia="Times New Roman" w:cstheme="minorHAnsi"/>
                <w:color w:val="000000" w:themeColor="text1"/>
                <w:lang w:eastAsia="en-GB"/>
              </w:rPr>
              <w:t xml:space="preserve">qualified prescribing nurse or pharmacist </w:t>
            </w:r>
            <w:r w:rsidRPr="001A4E7F">
              <w:rPr>
                <w:rFonts w:eastAsia="Times New Roman" w:cstheme="minorHAnsi"/>
                <w:color w:val="000000" w:themeColor="text1"/>
                <w:lang w:eastAsia="en-GB"/>
              </w:rPr>
              <w:t>could</w:t>
            </w:r>
            <w:r w:rsidRPr="001A4E7F" w:rsidR="00976E14">
              <w:rPr>
                <w:rFonts w:eastAsia="Times New Roman" w:cstheme="minorHAnsi"/>
                <w:color w:val="000000" w:themeColor="text1"/>
                <w:lang w:eastAsia="en-GB"/>
              </w:rPr>
              <w:t xml:space="preserve"> </w:t>
            </w:r>
            <w:r w:rsidRPr="001A4E7F" w:rsidR="00245F9C">
              <w:rPr>
                <w:rFonts w:eastAsia="Times New Roman" w:cstheme="minorHAnsi"/>
                <w:color w:val="000000" w:themeColor="text1"/>
                <w:lang w:eastAsia="en-GB"/>
              </w:rPr>
              <w:t xml:space="preserve">also </w:t>
            </w:r>
            <w:r w:rsidRPr="001A4E7F" w:rsidR="00976E14">
              <w:rPr>
                <w:rFonts w:eastAsia="Times New Roman" w:cstheme="minorHAnsi"/>
                <w:color w:val="000000" w:themeColor="text1"/>
                <w:lang w:eastAsia="en-GB"/>
              </w:rPr>
              <w:t>become</w:t>
            </w:r>
            <w:r w:rsidRPr="001A4E7F" w:rsidR="009819F8">
              <w:rPr>
                <w:rFonts w:eastAsia="Times New Roman" w:cstheme="minorHAnsi"/>
                <w:color w:val="000000" w:themeColor="text1"/>
                <w:lang w:eastAsia="en-GB"/>
              </w:rPr>
              <w:t xml:space="preserve"> the</w:t>
            </w:r>
            <w:r w:rsidRPr="001A4E7F" w:rsidR="00976E14">
              <w:rPr>
                <w:rFonts w:eastAsia="Times New Roman" w:cstheme="minorHAnsi"/>
                <w:color w:val="000000" w:themeColor="text1"/>
                <w:lang w:eastAsia="en-GB"/>
              </w:rPr>
              <w:t xml:space="preserve"> </w:t>
            </w:r>
            <w:r w:rsidRPr="001A4E7F" w:rsidR="5227A5F8">
              <w:rPr>
                <w:rFonts w:eastAsia="Times New Roman" w:cstheme="minorHAnsi"/>
                <w:color w:val="000000" w:themeColor="text1"/>
                <w:lang w:eastAsia="en-GB"/>
              </w:rPr>
              <w:t>PI</w:t>
            </w:r>
            <w:r w:rsidRPr="001A4E7F" w:rsidR="00245F9C">
              <w:rPr>
                <w:rFonts w:eastAsia="Times New Roman" w:cstheme="minorHAnsi"/>
                <w:color w:val="000000" w:themeColor="text1"/>
                <w:lang w:eastAsia="en-GB"/>
              </w:rPr>
              <w:t>.</w:t>
            </w:r>
          </w:p>
        </w:tc>
      </w:tr>
      <w:tr w:rsidRPr="001A4E7F" w:rsidR="00976E14" w:rsidTr="0B2B6FDB" w14:paraId="66358E32" w14:textId="77777777">
        <w:trPr>
          <w:trHeight w:val="450"/>
        </w:trPr>
        <w:tc>
          <w:tcPr>
            <w:tcW w:w="1980" w:type="dxa"/>
            <w:vMerge/>
            <w:tcMar/>
            <w:hideMark/>
          </w:tcPr>
          <w:p w:rsidRPr="001A4E7F" w:rsidR="00976E14" w:rsidP="0001115D" w:rsidRDefault="00976E14" w14:paraId="2BD6424D" w14:textId="77777777">
            <w:pPr>
              <w:spacing w:after="120"/>
              <w:rPr>
                <w:rFonts w:eastAsia="Times New Roman" w:cstheme="minorHAnsi"/>
                <w:color w:val="000000"/>
                <w:lang w:eastAsia="en-GB"/>
              </w:rPr>
            </w:pPr>
          </w:p>
        </w:tc>
        <w:tc>
          <w:tcPr>
            <w:tcW w:w="7654" w:type="dxa"/>
            <w:vMerge/>
            <w:tcMar/>
            <w:hideMark/>
          </w:tcPr>
          <w:p w:rsidRPr="001A4E7F" w:rsidR="00976E14" w:rsidP="00B13DCE" w:rsidRDefault="00976E14" w14:paraId="55BA46A8" w14:textId="77777777">
            <w:pPr>
              <w:spacing w:after="120"/>
              <w:rPr>
                <w:rFonts w:eastAsia="Times New Roman" w:cstheme="minorHAnsi"/>
                <w:color w:val="000000"/>
                <w:lang w:eastAsia="en-GB"/>
              </w:rPr>
            </w:pPr>
          </w:p>
        </w:tc>
      </w:tr>
      <w:tr w:rsidRPr="001A4E7F" w:rsidR="00976E14" w:rsidTr="0B2B6FDB" w14:paraId="3B15A07E" w14:textId="77777777">
        <w:trPr>
          <w:trHeight w:val="450"/>
        </w:trPr>
        <w:tc>
          <w:tcPr>
            <w:tcW w:w="1980" w:type="dxa"/>
            <w:vMerge w:val="restart"/>
            <w:tcMar/>
            <w:hideMark/>
          </w:tcPr>
          <w:p w:rsidRPr="001A4E7F" w:rsidR="00976E14" w:rsidP="0001115D" w:rsidRDefault="00976E14" w14:paraId="2F9CF4F9" w14:textId="77777777">
            <w:pPr>
              <w:spacing w:after="120"/>
              <w:rPr>
                <w:rFonts w:eastAsia="Times New Roman" w:cstheme="minorHAnsi"/>
                <w:color w:val="000000"/>
                <w:lang w:eastAsia="en-GB"/>
              </w:rPr>
            </w:pPr>
            <w:r w:rsidRPr="001A4E7F">
              <w:rPr>
                <w:rFonts w:eastAsia="Times New Roman" w:cstheme="minorHAnsi"/>
                <w:color w:val="000000"/>
                <w:lang w:eastAsia="en-GB"/>
              </w:rPr>
              <w:t>What training is required?</w:t>
            </w:r>
          </w:p>
        </w:tc>
        <w:tc>
          <w:tcPr>
            <w:tcW w:w="7654" w:type="dxa"/>
            <w:vMerge w:val="restart"/>
            <w:tcMar/>
            <w:hideMark/>
          </w:tcPr>
          <w:p w:rsidRPr="001A4E7F" w:rsidR="00C50E02" w:rsidP="00B13DCE" w:rsidRDefault="00976E14" w14:paraId="3795EE94" w14:textId="77777777">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All PIs, delegated Investigators </w:t>
            </w:r>
            <w:r w:rsidRPr="001A4E7F" w:rsidR="006A413C">
              <w:rPr>
                <w:rFonts w:eastAsia="Times New Roman" w:cstheme="minorHAnsi"/>
                <w:color w:val="000000" w:themeColor="text1"/>
                <w:lang w:eastAsia="en-GB"/>
              </w:rPr>
              <w:t>or those providing</w:t>
            </w:r>
            <w:r w:rsidRPr="001A4E7F">
              <w:rPr>
                <w:rFonts w:eastAsia="Times New Roman" w:cstheme="minorHAnsi"/>
                <w:color w:val="000000" w:themeColor="text1"/>
                <w:lang w:eastAsia="en-GB"/>
              </w:rPr>
              <w:t xml:space="preserve"> </w:t>
            </w:r>
            <w:r w:rsidRPr="001A4E7F" w:rsidR="006A413C">
              <w:rPr>
                <w:rFonts w:eastAsia="Times New Roman" w:cstheme="minorHAnsi"/>
                <w:color w:val="000000" w:themeColor="text1"/>
                <w:lang w:eastAsia="en-GB"/>
              </w:rPr>
              <w:t>s</w:t>
            </w:r>
            <w:r w:rsidRPr="001A4E7F">
              <w:rPr>
                <w:rFonts w:eastAsia="Times New Roman" w:cstheme="minorHAnsi"/>
                <w:color w:val="000000" w:themeColor="text1"/>
                <w:lang w:eastAsia="en-GB"/>
              </w:rPr>
              <w:t xml:space="preserve">tudy </w:t>
            </w:r>
            <w:r w:rsidRPr="001A4E7F" w:rsidR="006A413C">
              <w:rPr>
                <w:rFonts w:eastAsia="Times New Roman" w:cstheme="minorHAnsi"/>
                <w:color w:val="000000" w:themeColor="text1"/>
                <w:lang w:eastAsia="en-GB"/>
              </w:rPr>
              <w:t>s</w:t>
            </w:r>
            <w:r w:rsidRPr="001A4E7F">
              <w:rPr>
                <w:rFonts w:eastAsia="Times New Roman" w:cstheme="minorHAnsi"/>
                <w:color w:val="000000" w:themeColor="text1"/>
                <w:lang w:eastAsia="en-GB"/>
              </w:rPr>
              <w:t xml:space="preserve">upport will need to have completed </w:t>
            </w:r>
            <w:r w:rsidRPr="001A4E7F">
              <w:rPr>
                <w:rFonts w:eastAsia="Times New Roman" w:cstheme="minorHAnsi"/>
                <w:b/>
                <w:bCs/>
                <w:color w:val="000000" w:themeColor="text1"/>
                <w:lang w:eastAsia="en-GB"/>
              </w:rPr>
              <w:t>Good Clinical Practice</w:t>
            </w:r>
            <w:r w:rsidRPr="001A4E7F">
              <w:rPr>
                <w:rFonts w:eastAsia="Times New Roman" w:cstheme="minorHAnsi"/>
                <w:color w:val="000000" w:themeColor="text1"/>
                <w:lang w:eastAsia="en-GB"/>
              </w:rPr>
              <w:t xml:space="preserve"> (GCP) training to carry out study tasks. </w:t>
            </w:r>
            <w:r w:rsidRPr="001A4E7F" w:rsidR="00C50E02">
              <w:rPr>
                <w:rFonts w:eastAsia="Times New Roman" w:cstheme="minorHAnsi"/>
                <w:color w:val="000000" w:themeColor="text1"/>
                <w:lang w:eastAsia="en-GB"/>
              </w:rPr>
              <w:t xml:space="preserve"> </w:t>
            </w:r>
            <w:r w:rsidRPr="001A4E7F">
              <w:rPr>
                <w:rFonts w:eastAsia="Times New Roman" w:cstheme="minorHAnsi"/>
                <w:color w:val="000000" w:themeColor="text1"/>
                <w:lang w:eastAsia="en-GB"/>
              </w:rPr>
              <w:t xml:space="preserve">Free </w:t>
            </w:r>
            <w:hyperlink r:id="rId11">
              <w:proofErr w:type="spellStart"/>
              <w:r w:rsidRPr="001A4E7F">
                <w:rPr>
                  <w:rStyle w:val="Hyperlink"/>
                  <w:rFonts w:eastAsia="Times New Roman" w:cstheme="minorHAnsi"/>
                  <w:lang w:eastAsia="en-GB"/>
                </w:rPr>
                <w:t>CPD</w:t>
              </w:r>
              <w:proofErr w:type="spellEnd"/>
              <w:r w:rsidRPr="001A4E7F">
                <w:rPr>
                  <w:rStyle w:val="Hyperlink"/>
                  <w:rFonts w:eastAsia="Times New Roman" w:cstheme="minorHAnsi"/>
                  <w:lang w:eastAsia="en-GB"/>
                </w:rPr>
                <w:t xml:space="preserve"> accredited training is available via NIHR Learn</w:t>
              </w:r>
            </w:hyperlink>
            <w:r w:rsidRPr="001A4E7F">
              <w:rPr>
                <w:rFonts w:eastAsia="Times New Roman" w:cstheme="minorHAnsi"/>
                <w:color w:val="000000" w:themeColor="text1"/>
                <w:lang w:eastAsia="en-GB"/>
              </w:rPr>
              <w:t xml:space="preserve">. </w:t>
            </w:r>
            <w:r w:rsidRPr="001A4E7F" w:rsidR="00C50E02">
              <w:rPr>
                <w:rFonts w:eastAsia="Times New Roman" w:cstheme="minorHAnsi"/>
                <w:color w:val="000000" w:themeColor="text1"/>
                <w:lang w:eastAsia="en-GB"/>
              </w:rPr>
              <w:t xml:space="preserve"> </w:t>
            </w:r>
          </w:p>
          <w:p w:rsidRPr="001A4E7F" w:rsidR="00976E14" w:rsidP="00B13DCE" w:rsidRDefault="00976E14" w14:paraId="336EC202" w14:textId="32BA43E8">
            <w:pPr>
              <w:spacing w:after="120"/>
              <w:rPr>
                <w:rFonts w:eastAsia="Times New Roman" w:cstheme="minorHAnsi"/>
                <w:color w:val="000000"/>
                <w:lang w:eastAsia="en-GB"/>
              </w:rPr>
            </w:pPr>
            <w:r w:rsidRPr="001A4E7F">
              <w:rPr>
                <w:rFonts w:eastAsia="Times New Roman" w:cstheme="minorHAnsi"/>
                <w:color w:val="000000" w:themeColor="text1"/>
                <w:lang w:eastAsia="en-GB"/>
              </w:rPr>
              <w:t xml:space="preserve">Before screening any patients, PIs and delegated staff will be required to complete a short </w:t>
            </w:r>
            <w:r w:rsidRPr="001A4E7F">
              <w:rPr>
                <w:rFonts w:eastAsia="Times New Roman" w:cstheme="minorHAnsi"/>
                <w:b/>
                <w:bCs/>
                <w:color w:val="000000" w:themeColor="text1"/>
                <w:lang w:eastAsia="en-GB"/>
              </w:rPr>
              <w:t>protocol training module</w:t>
            </w:r>
            <w:r w:rsidRPr="001A4E7F">
              <w:rPr>
                <w:rFonts w:eastAsia="Times New Roman" w:cstheme="minorHAnsi"/>
                <w:color w:val="000000" w:themeColor="text1"/>
                <w:lang w:eastAsia="en-GB"/>
              </w:rPr>
              <w:t xml:space="preserve"> on </w:t>
            </w:r>
            <w:r w:rsidRPr="001A4E7F" w:rsidR="15534CE7">
              <w:rPr>
                <w:rFonts w:eastAsia="Times New Roman" w:cstheme="minorHAnsi"/>
                <w:color w:val="000000" w:themeColor="text1"/>
                <w:lang w:eastAsia="en-GB"/>
              </w:rPr>
              <w:t xml:space="preserve">the </w:t>
            </w:r>
            <w:r w:rsidRPr="001A4E7F" w:rsidR="005176EF">
              <w:rPr>
                <w:rFonts w:eastAsia="Times New Roman" w:cstheme="minorHAnsi"/>
                <w:color w:val="000000" w:themeColor="text1"/>
                <w:lang w:eastAsia="en-GB"/>
              </w:rPr>
              <w:t xml:space="preserve">CPRD </w:t>
            </w:r>
            <w:r w:rsidRPr="001A4E7F" w:rsidR="15534CE7">
              <w:rPr>
                <w:rFonts w:eastAsia="Times New Roman" w:cstheme="minorHAnsi"/>
                <w:color w:val="000000" w:themeColor="text1"/>
                <w:lang w:eastAsia="en-GB"/>
              </w:rPr>
              <w:t>Interventional Research Services Platform (</w:t>
            </w:r>
            <w:proofErr w:type="spellStart"/>
            <w:r w:rsidRPr="001A4E7F">
              <w:rPr>
                <w:rFonts w:eastAsia="Times New Roman" w:cstheme="minorHAnsi"/>
                <w:color w:val="000000" w:themeColor="text1"/>
                <w:lang w:eastAsia="en-GB"/>
              </w:rPr>
              <w:t>IRSP</w:t>
            </w:r>
            <w:proofErr w:type="spellEnd"/>
            <w:r w:rsidRPr="001A4E7F" w:rsidR="2C7545A3">
              <w:rPr>
                <w:rFonts w:eastAsia="Times New Roman" w:cstheme="minorHAnsi"/>
                <w:color w:val="000000" w:themeColor="text1"/>
                <w:lang w:eastAsia="en-GB"/>
              </w:rPr>
              <w:t>)</w:t>
            </w:r>
            <w:r w:rsidRPr="001A4E7F">
              <w:rPr>
                <w:rFonts w:eastAsia="Times New Roman" w:cstheme="minorHAnsi"/>
                <w:color w:val="000000" w:themeColor="text1"/>
                <w:lang w:eastAsia="en-GB"/>
              </w:rPr>
              <w:t>.</w:t>
            </w:r>
          </w:p>
        </w:tc>
      </w:tr>
      <w:tr w:rsidRPr="001A4E7F" w:rsidR="00976E14" w:rsidTr="0B2B6FDB" w14:paraId="0341563C" w14:textId="77777777">
        <w:trPr>
          <w:trHeight w:val="1652"/>
        </w:trPr>
        <w:tc>
          <w:tcPr>
            <w:tcW w:w="1980" w:type="dxa"/>
            <w:vMerge/>
            <w:tcMar/>
            <w:hideMark/>
          </w:tcPr>
          <w:p w:rsidRPr="001A4E7F" w:rsidR="00976E14" w:rsidP="0001115D" w:rsidRDefault="00976E14" w14:paraId="47BACC7A" w14:textId="77777777">
            <w:pPr>
              <w:spacing w:after="120"/>
              <w:rPr>
                <w:rFonts w:eastAsia="Times New Roman" w:cstheme="minorHAnsi"/>
                <w:color w:val="000000"/>
                <w:lang w:eastAsia="en-GB"/>
              </w:rPr>
            </w:pPr>
          </w:p>
        </w:tc>
        <w:tc>
          <w:tcPr>
            <w:tcW w:w="7654" w:type="dxa"/>
            <w:vMerge/>
            <w:tcMar/>
            <w:hideMark/>
          </w:tcPr>
          <w:p w:rsidRPr="001A4E7F" w:rsidR="00976E14" w:rsidP="00B13DCE" w:rsidRDefault="00976E14" w14:paraId="644341D4" w14:textId="77777777">
            <w:pPr>
              <w:spacing w:after="120"/>
              <w:rPr>
                <w:rFonts w:eastAsia="Times New Roman" w:cstheme="minorHAnsi"/>
                <w:color w:val="000000"/>
                <w:lang w:eastAsia="en-GB"/>
              </w:rPr>
            </w:pPr>
          </w:p>
        </w:tc>
      </w:tr>
      <w:tr w:rsidRPr="001A4E7F" w:rsidR="009B128B" w:rsidTr="0B2B6FDB" w14:paraId="7FA5DD40" w14:textId="77777777">
        <w:trPr>
          <w:trHeight w:val="7785"/>
        </w:trPr>
        <w:tc>
          <w:tcPr>
            <w:tcW w:w="1980" w:type="dxa"/>
            <w:tcMar/>
            <w:hideMark/>
          </w:tcPr>
          <w:p w:rsidRPr="001A4E7F" w:rsidR="009B128B" w:rsidP="0001115D" w:rsidRDefault="009B128B" w14:paraId="7C95E4B4" w14:textId="77777777">
            <w:pPr>
              <w:spacing w:after="120"/>
              <w:rPr>
                <w:rFonts w:eastAsia="Times New Roman" w:cstheme="minorHAnsi"/>
                <w:color w:val="000000"/>
                <w:lang w:eastAsia="en-GB"/>
              </w:rPr>
            </w:pPr>
            <w:r w:rsidRPr="001A4E7F">
              <w:rPr>
                <w:rFonts w:eastAsia="Times New Roman" w:cstheme="minorHAnsi"/>
                <w:color w:val="000000"/>
                <w:lang w:eastAsia="en-GB"/>
              </w:rPr>
              <w:t>Who can complete study tasks?</w:t>
            </w:r>
          </w:p>
        </w:tc>
        <w:tc>
          <w:tcPr>
            <w:tcW w:w="7654" w:type="dxa"/>
            <w:tcMar/>
            <w:hideMark/>
          </w:tcPr>
          <w:p w:rsidRPr="001A4E7F" w:rsidR="009B128B" w:rsidP="00B13DCE" w:rsidRDefault="00C67B24" w14:paraId="22285DA7" w14:textId="5FB0B1A3">
            <w:pPr>
              <w:spacing w:after="120"/>
              <w:rPr>
                <w:rFonts w:eastAsia="Times New Roman" w:cstheme="minorHAnsi"/>
                <w:color w:val="000000"/>
                <w:lang w:eastAsia="en-GB"/>
              </w:rPr>
            </w:pPr>
            <w:r w:rsidRPr="001A4E7F">
              <w:rPr>
                <w:rFonts w:eastAsia="Times New Roman" w:cstheme="minorHAnsi"/>
                <w:color w:val="000000"/>
                <w:lang w:eastAsia="en-GB"/>
              </w:rPr>
              <w:t>T</w:t>
            </w:r>
            <w:r w:rsidRPr="001A4E7F" w:rsidR="009B128B">
              <w:rPr>
                <w:rFonts w:eastAsia="Times New Roman" w:cstheme="minorHAnsi"/>
                <w:color w:val="000000"/>
                <w:lang w:eastAsia="en-GB"/>
              </w:rPr>
              <w:t xml:space="preserve">asks </w:t>
            </w:r>
            <w:r w:rsidRPr="001A4E7F">
              <w:rPr>
                <w:rFonts w:eastAsia="Times New Roman" w:cstheme="minorHAnsi"/>
                <w:color w:val="000000"/>
                <w:lang w:eastAsia="en-GB"/>
              </w:rPr>
              <w:t>can</w:t>
            </w:r>
            <w:r w:rsidRPr="001A4E7F" w:rsidR="009B128B">
              <w:rPr>
                <w:rFonts w:eastAsia="Times New Roman" w:cstheme="minorHAnsi"/>
                <w:color w:val="000000"/>
                <w:lang w:eastAsia="en-GB"/>
              </w:rPr>
              <w:t xml:space="preserve"> be delegated to staff who have been assessed by the PI as having the </w:t>
            </w:r>
            <w:r w:rsidRPr="001A4E7F" w:rsidR="009B128B">
              <w:rPr>
                <w:rFonts w:eastAsia="Times New Roman" w:cstheme="minorHAnsi"/>
                <w:b/>
                <w:bCs/>
                <w:color w:val="000000"/>
                <w:lang w:eastAsia="en-GB"/>
              </w:rPr>
              <w:t>appropriate skill set</w:t>
            </w:r>
            <w:r w:rsidRPr="001A4E7F" w:rsidR="009B128B">
              <w:rPr>
                <w:rFonts w:eastAsia="Times New Roman" w:cstheme="minorHAnsi"/>
                <w:color w:val="000000"/>
                <w:lang w:eastAsia="en-GB"/>
              </w:rPr>
              <w:t xml:space="preserve"> to carry out the activity, have </w:t>
            </w:r>
            <w:r w:rsidRPr="001A4E7F" w:rsidR="009B128B">
              <w:rPr>
                <w:rFonts w:eastAsia="Times New Roman" w:cstheme="minorHAnsi"/>
                <w:b/>
                <w:bCs/>
                <w:color w:val="000000"/>
                <w:lang w:eastAsia="en-GB"/>
              </w:rPr>
              <w:t>completed GCP training</w:t>
            </w:r>
            <w:r w:rsidRPr="001A4E7F" w:rsidR="009B128B">
              <w:rPr>
                <w:rFonts w:eastAsia="Times New Roman" w:cstheme="minorHAnsi"/>
                <w:color w:val="000000"/>
                <w:lang w:eastAsia="en-GB"/>
              </w:rPr>
              <w:t xml:space="preserve"> and are named on the </w:t>
            </w:r>
            <w:r w:rsidRPr="001A4E7F" w:rsidR="009B128B">
              <w:rPr>
                <w:rFonts w:eastAsia="Times New Roman" w:cstheme="minorHAnsi"/>
                <w:b/>
                <w:bCs/>
                <w:color w:val="000000"/>
                <w:lang w:eastAsia="en-GB"/>
              </w:rPr>
              <w:t>site delegation log</w:t>
            </w:r>
            <w:r w:rsidRPr="001A4E7F" w:rsidR="008E2C31">
              <w:rPr>
                <w:rFonts w:eastAsia="Times New Roman" w:cstheme="minorHAnsi"/>
                <w:color w:val="000000"/>
                <w:lang w:eastAsia="en-GB"/>
              </w:rPr>
              <w:t xml:space="preserve">.  </w:t>
            </w:r>
            <w:r w:rsidRPr="001A4E7F" w:rsidR="005913FE">
              <w:rPr>
                <w:rFonts w:eastAsia="Times New Roman" w:cstheme="minorHAnsi"/>
                <w:color w:val="000000"/>
                <w:lang w:eastAsia="en-GB"/>
              </w:rPr>
              <w:t xml:space="preserve">Study support can be provided by </w:t>
            </w:r>
            <w:r w:rsidRPr="001A4E7F" w:rsidR="00EF65B1">
              <w:rPr>
                <w:rFonts w:eastAsia="Times New Roman" w:cstheme="minorHAnsi"/>
                <w:color w:val="000000"/>
                <w:lang w:eastAsia="en-GB"/>
              </w:rPr>
              <w:t xml:space="preserve">any </w:t>
            </w:r>
            <w:r w:rsidRPr="001A4E7F" w:rsidR="005913FE">
              <w:rPr>
                <w:rFonts w:eastAsia="Times New Roman" w:cstheme="minorHAnsi"/>
                <w:color w:val="000000"/>
                <w:lang w:eastAsia="en-GB"/>
              </w:rPr>
              <w:t>a</w:t>
            </w:r>
            <w:r w:rsidRPr="001A4E7F" w:rsidR="005913FE">
              <w:rPr>
                <w:rFonts w:eastAsia="Times New Roman" w:cstheme="minorHAnsi"/>
                <w:color w:val="000000"/>
                <w:lang w:eastAsia="en-GB"/>
              </w:rPr>
              <w:t>ppropriately qualified and delegated clinical personnel</w:t>
            </w:r>
            <w:r w:rsidRPr="001A4E7F" w:rsidR="003D07CC">
              <w:rPr>
                <w:rFonts w:eastAsia="Times New Roman" w:cstheme="minorHAnsi"/>
                <w:color w:val="000000"/>
                <w:lang w:eastAsia="en-GB"/>
              </w:rPr>
              <w:t>.</w:t>
            </w:r>
          </w:p>
          <w:tbl>
            <w:tblPr>
              <w:tblStyle w:val="TableGrid"/>
              <w:tblW w:w="73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43"/>
              <w:gridCol w:w="1559"/>
              <w:gridCol w:w="1560"/>
              <w:gridCol w:w="1134"/>
            </w:tblGrid>
            <w:tr w:rsidRPr="001A4E7F" w:rsidR="003D07CC" w:rsidTr="009E4E38" w14:paraId="71D0D41F" w14:textId="77777777">
              <w:trPr>
                <w:trHeight w:val="172"/>
              </w:trPr>
              <w:tc>
                <w:tcPr>
                  <w:tcW w:w="3143" w:type="dxa"/>
                  <w:shd w:val="clear" w:color="auto" w:fill="EBF0F9"/>
                  <w:hideMark/>
                </w:tcPr>
                <w:p w:rsidRPr="001A4E7F" w:rsidR="009B128B" w:rsidP="00B13DCE" w:rsidRDefault="009B128B" w14:paraId="7DD6029A" w14:textId="77777777">
                  <w:pPr>
                    <w:spacing w:after="120"/>
                    <w:rPr>
                      <w:rFonts w:cstheme="minorHAnsi"/>
                      <w:b/>
                      <w:bCs/>
                      <w:sz w:val="20"/>
                      <w:szCs w:val="20"/>
                    </w:rPr>
                  </w:pPr>
                  <w:r w:rsidRPr="001A4E7F">
                    <w:rPr>
                      <w:rFonts w:cstheme="minorHAnsi"/>
                      <w:b/>
                      <w:bCs/>
                      <w:sz w:val="20"/>
                      <w:szCs w:val="20"/>
                    </w:rPr>
                    <w:t>Task</w:t>
                  </w:r>
                </w:p>
              </w:tc>
              <w:tc>
                <w:tcPr>
                  <w:tcW w:w="1559" w:type="dxa"/>
                  <w:shd w:val="clear" w:color="auto" w:fill="EBF0F9"/>
                  <w:hideMark/>
                </w:tcPr>
                <w:p w:rsidRPr="001A4E7F" w:rsidR="009B128B" w:rsidP="00B13DCE" w:rsidRDefault="009B128B" w14:paraId="162ECB27" w14:textId="41F202A2">
                  <w:pPr>
                    <w:spacing w:after="120"/>
                    <w:rPr>
                      <w:rFonts w:cstheme="minorHAnsi"/>
                      <w:b/>
                      <w:bCs/>
                      <w:sz w:val="20"/>
                      <w:szCs w:val="20"/>
                    </w:rPr>
                  </w:pPr>
                  <w:r w:rsidRPr="001A4E7F">
                    <w:rPr>
                      <w:rFonts w:cstheme="minorHAnsi"/>
                      <w:b/>
                      <w:bCs/>
                      <w:sz w:val="20"/>
                      <w:szCs w:val="20"/>
                    </w:rPr>
                    <w:t>PI</w:t>
                  </w:r>
                  <w:r w:rsidRPr="001A4E7F" w:rsidR="004B2F22">
                    <w:rPr>
                      <w:rFonts w:cstheme="minorHAnsi"/>
                      <w:b/>
                      <w:bCs/>
                      <w:sz w:val="20"/>
                      <w:szCs w:val="20"/>
                    </w:rPr>
                    <w:t xml:space="preserve">: </w:t>
                  </w:r>
                  <w:r w:rsidRPr="001A4E7F" w:rsidR="004B2F22">
                    <w:rPr>
                      <w:rFonts w:cstheme="minorHAnsi"/>
                      <w:b/>
                      <w:bCs/>
                      <w:sz w:val="20"/>
                      <w:szCs w:val="20"/>
                    </w:rPr>
                    <w:t>GP or Independent Prescriber</w:t>
                  </w:r>
                  <w:r w:rsidRPr="001A4E7F">
                    <w:rPr>
                      <w:rFonts w:cstheme="minorHAnsi"/>
                      <w:b/>
                      <w:bCs/>
                      <w:sz w:val="20"/>
                      <w:szCs w:val="20"/>
                    </w:rPr>
                    <w:t xml:space="preserve"> </w:t>
                  </w:r>
                  <w:r w:rsidRPr="001A4E7F" w:rsidR="00C6180C">
                    <w:rPr>
                      <w:rFonts w:cstheme="minorHAnsi"/>
                      <w:b/>
                      <w:bCs/>
                      <w:sz w:val="20"/>
                      <w:szCs w:val="20"/>
                    </w:rPr>
                    <w:t>(IP)</w:t>
                  </w:r>
                </w:p>
              </w:tc>
              <w:tc>
                <w:tcPr>
                  <w:tcW w:w="1560" w:type="dxa"/>
                  <w:shd w:val="clear" w:color="auto" w:fill="EBF0F9"/>
                  <w:hideMark/>
                </w:tcPr>
                <w:p w:rsidRPr="001A4E7F" w:rsidR="009B128B" w:rsidP="00B13DCE" w:rsidRDefault="009B128B" w14:paraId="1C345EBA" w14:textId="24D4D1DF">
                  <w:pPr>
                    <w:spacing w:after="120"/>
                    <w:rPr>
                      <w:rFonts w:cstheme="minorHAnsi"/>
                      <w:b/>
                      <w:bCs/>
                      <w:sz w:val="20"/>
                      <w:szCs w:val="20"/>
                    </w:rPr>
                  </w:pPr>
                  <w:r w:rsidRPr="001A4E7F">
                    <w:rPr>
                      <w:rFonts w:cstheme="minorHAnsi"/>
                      <w:b/>
                      <w:bCs/>
                      <w:sz w:val="20"/>
                      <w:szCs w:val="20"/>
                    </w:rPr>
                    <w:t>Other Investigators</w:t>
                  </w:r>
                  <w:r w:rsidRPr="001A4E7F" w:rsidR="009F44FD">
                    <w:rPr>
                      <w:rFonts w:cstheme="minorHAnsi"/>
                      <w:b/>
                      <w:bCs/>
                      <w:sz w:val="20"/>
                      <w:szCs w:val="20"/>
                    </w:rPr>
                    <w:t>: GPs</w:t>
                  </w:r>
                  <w:r w:rsidRPr="001A4E7F" w:rsidR="00C6180C">
                    <w:rPr>
                      <w:rFonts w:cstheme="minorHAnsi"/>
                      <w:b/>
                      <w:bCs/>
                      <w:sz w:val="20"/>
                      <w:szCs w:val="20"/>
                    </w:rPr>
                    <w:t xml:space="preserve"> or IPs</w:t>
                  </w:r>
                </w:p>
              </w:tc>
              <w:tc>
                <w:tcPr>
                  <w:tcW w:w="1134" w:type="dxa"/>
                  <w:shd w:val="clear" w:color="auto" w:fill="EBF0F9"/>
                  <w:hideMark/>
                </w:tcPr>
                <w:p w:rsidRPr="001A4E7F" w:rsidR="009B128B" w:rsidP="00B13DCE" w:rsidRDefault="009B128B" w14:paraId="2022CAF5" w14:textId="77777777">
                  <w:pPr>
                    <w:spacing w:after="120"/>
                    <w:rPr>
                      <w:rFonts w:cstheme="minorHAnsi"/>
                      <w:b/>
                      <w:bCs/>
                      <w:sz w:val="20"/>
                      <w:szCs w:val="20"/>
                    </w:rPr>
                  </w:pPr>
                  <w:r w:rsidRPr="001A4E7F">
                    <w:rPr>
                      <w:rFonts w:cstheme="minorHAnsi"/>
                      <w:b/>
                      <w:bCs/>
                      <w:sz w:val="20"/>
                      <w:szCs w:val="20"/>
                    </w:rPr>
                    <w:t>Study Support</w:t>
                  </w:r>
                </w:p>
              </w:tc>
            </w:tr>
            <w:tr w:rsidRPr="001A4E7F" w:rsidR="003D07CC" w:rsidTr="003D07CC" w14:paraId="0F72A93A" w14:textId="77777777">
              <w:trPr>
                <w:trHeight w:val="56"/>
              </w:trPr>
              <w:tc>
                <w:tcPr>
                  <w:tcW w:w="3143" w:type="dxa"/>
                  <w:hideMark/>
                </w:tcPr>
                <w:p w:rsidRPr="001A4E7F" w:rsidR="009B128B" w:rsidP="00B13DCE" w:rsidRDefault="009B128B" w14:paraId="73668F29" w14:textId="77777777">
                  <w:pPr>
                    <w:spacing w:after="120"/>
                    <w:rPr>
                      <w:rFonts w:cstheme="minorHAnsi"/>
                      <w:sz w:val="20"/>
                      <w:szCs w:val="20"/>
                    </w:rPr>
                  </w:pPr>
                  <w:r w:rsidRPr="001A4E7F">
                    <w:rPr>
                      <w:rFonts w:cstheme="minorHAnsi"/>
                      <w:sz w:val="20"/>
                      <w:szCs w:val="20"/>
                    </w:rPr>
                    <w:t xml:space="preserve">Screen patient list </w:t>
                  </w:r>
                </w:p>
              </w:tc>
              <w:tc>
                <w:tcPr>
                  <w:tcW w:w="1559" w:type="dxa"/>
                  <w:hideMark/>
                </w:tcPr>
                <w:p w:rsidRPr="001A4E7F" w:rsidR="009B128B" w:rsidP="00B13DCE" w:rsidRDefault="009B128B" w14:paraId="408F194C" w14:textId="77777777">
                  <w:pPr>
                    <w:spacing w:after="120"/>
                    <w:rPr>
                      <w:rFonts w:cstheme="minorHAnsi"/>
                      <w:sz w:val="20"/>
                      <w:szCs w:val="20"/>
                    </w:rPr>
                  </w:pPr>
                  <w:r w:rsidRPr="001A4E7F">
                    <w:rPr>
                      <w:rFonts w:cstheme="minorHAnsi"/>
                      <w:sz w:val="20"/>
                      <w:szCs w:val="20"/>
                    </w:rPr>
                    <w:t xml:space="preserve">Yes </w:t>
                  </w:r>
                </w:p>
              </w:tc>
              <w:tc>
                <w:tcPr>
                  <w:tcW w:w="1560" w:type="dxa"/>
                  <w:hideMark/>
                </w:tcPr>
                <w:p w:rsidRPr="001A4E7F" w:rsidR="009B128B" w:rsidP="00B13DCE" w:rsidRDefault="009B128B" w14:paraId="4CCA46C2" w14:textId="77777777">
                  <w:pPr>
                    <w:spacing w:after="120"/>
                    <w:rPr>
                      <w:rFonts w:cstheme="minorHAnsi"/>
                      <w:sz w:val="20"/>
                      <w:szCs w:val="20"/>
                    </w:rPr>
                  </w:pPr>
                  <w:r w:rsidRPr="001A4E7F">
                    <w:rPr>
                      <w:rFonts w:cstheme="minorHAnsi"/>
                      <w:sz w:val="20"/>
                      <w:szCs w:val="20"/>
                    </w:rPr>
                    <w:t xml:space="preserve">Yes </w:t>
                  </w:r>
                </w:p>
              </w:tc>
              <w:tc>
                <w:tcPr>
                  <w:tcW w:w="1134" w:type="dxa"/>
                  <w:hideMark/>
                </w:tcPr>
                <w:p w:rsidRPr="001A4E7F" w:rsidR="009B128B" w:rsidP="00B13DCE" w:rsidRDefault="009B128B" w14:paraId="07096BA1" w14:textId="77777777">
                  <w:pPr>
                    <w:spacing w:after="120"/>
                    <w:rPr>
                      <w:rFonts w:cstheme="minorHAnsi"/>
                      <w:sz w:val="20"/>
                      <w:szCs w:val="20"/>
                    </w:rPr>
                  </w:pPr>
                  <w:r w:rsidRPr="001A4E7F">
                    <w:rPr>
                      <w:rFonts w:cstheme="minorHAnsi"/>
                      <w:sz w:val="20"/>
                      <w:szCs w:val="20"/>
                    </w:rPr>
                    <w:t>Yes</w:t>
                  </w:r>
                </w:p>
              </w:tc>
            </w:tr>
            <w:tr w:rsidRPr="001A4E7F" w:rsidR="003D07CC" w:rsidTr="009E4E38" w14:paraId="7CF2CD93" w14:textId="77777777">
              <w:trPr>
                <w:trHeight w:val="56"/>
              </w:trPr>
              <w:tc>
                <w:tcPr>
                  <w:tcW w:w="3143" w:type="dxa"/>
                  <w:shd w:val="clear" w:color="auto" w:fill="EBF0F9"/>
                  <w:hideMark/>
                </w:tcPr>
                <w:p w:rsidRPr="001A4E7F" w:rsidR="009B128B" w:rsidP="00B13DCE" w:rsidRDefault="009B128B" w14:paraId="3CD2D037" w14:textId="77777777">
                  <w:pPr>
                    <w:spacing w:after="120"/>
                    <w:rPr>
                      <w:rFonts w:cstheme="minorHAnsi"/>
                      <w:sz w:val="20"/>
                      <w:szCs w:val="20"/>
                    </w:rPr>
                  </w:pPr>
                  <w:r w:rsidRPr="001A4E7F">
                    <w:rPr>
                      <w:rFonts w:cstheme="minorHAnsi"/>
                      <w:sz w:val="20"/>
                      <w:szCs w:val="20"/>
                    </w:rPr>
                    <w:t xml:space="preserve">Enrol and randomise patient </w:t>
                  </w:r>
                </w:p>
              </w:tc>
              <w:tc>
                <w:tcPr>
                  <w:tcW w:w="1559" w:type="dxa"/>
                  <w:shd w:val="clear" w:color="auto" w:fill="EBF0F9"/>
                  <w:hideMark/>
                </w:tcPr>
                <w:p w:rsidRPr="001A4E7F" w:rsidR="009B128B" w:rsidP="00B13DCE" w:rsidRDefault="009B128B" w14:paraId="7E8AA605" w14:textId="77777777">
                  <w:pPr>
                    <w:spacing w:after="120"/>
                    <w:rPr>
                      <w:rFonts w:cstheme="minorHAnsi"/>
                      <w:sz w:val="20"/>
                      <w:szCs w:val="20"/>
                    </w:rPr>
                  </w:pPr>
                  <w:r w:rsidRPr="001A4E7F">
                    <w:rPr>
                      <w:rFonts w:cstheme="minorHAnsi"/>
                      <w:sz w:val="20"/>
                      <w:szCs w:val="20"/>
                    </w:rPr>
                    <w:t xml:space="preserve">Yes </w:t>
                  </w:r>
                </w:p>
              </w:tc>
              <w:tc>
                <w:tcPr>
                  <w:tcW w:w="1560" w:type="dxa"/>
                  <w:shd w:val="clear" w:color="auto" w:fill="EBF0F9"/>
                  <w:hideMark/>
                </w:tcPr>
                <w:p w:rsidRPr="001A4E7F" w:rsidR="009B128B" w:rsidP="00B13DCE" w:rsidRDefault="009B128B" w14:paraId="280FF811" w14:textId="77777777">
                  <w:pPr>
                    <w:spacing w:after="120"/>
                    <w:rPr>
                      <w:rFonts w:cstheme="minorHAnsi"/>
                      <w:sz w:val="20"/>
                      <w:szCs w:val="20"/>
                    </w:rPr>
                  </w:pPr>
                  <w:r w:rsidRPr="001A4E7F">
                    <w:rPr>
                      <w:rFonts w:cstheme="minorHAnsi"/>
                      <w:sz w:val="20"/>
                      <w:szCs w:val="20"/>
                    </w:rPr>
                    <w:t xml:space="preserve">Yes </w:t>
                  </w:r>
                </w:p>
              </w:tc>
              <w:tc>
                <w:tcPr>
                  <w:tcW w:w="1134" w:type="dxa"/>
                  <w:shd w:val="clear" w:color="auto" w:fill="EBF0F9"/>
                  <w:hideMark/>
                </w:tcPr>
                <w:p w:rsidRPr="001A4E7F" w:rsidR="009B128B" w:rsidP="00B13DCE" w:rsidRDefault="009B128B" w14:paraId="07AC6D89" w14:textId="77777777">
                  <w:pPr>
                    <w:spacing w:after="120"/>
                    <w:rPr>
                      <w:rFonts w:cstheme="minorHAnsi"/>
                      <w:sz w:val="20"/>
                      <w:szCs w:val="20"/>
                    </w:rPr>
                  </w:pPr>
                  <w:r w:rsidRPr="001A4E7F">
                    <w:rPr>
                      <w:rFonts w:cstheme="minorHAnsi"/>
                      <w:sz w:val="20"/>
                      <w:szCs w:val="20"/>
                    </w:rPr>
                    <w:t>No</w:t>
                  </w:r>
                </w:p>
              </w:tc>
            </w:tr>
            <w:tr w:rsidRPr="001A4E7F" w:rsidR="003D07CC" w:rsidTr="003D07CC" w14:paraId="7799C4DB" w14:textId="77777777">
              <w:trPr>
                <w:trHeight w:val="56"/>
              </w:trPr>
              <w:tc>
                <w:tcPr>
                  <w:tcW w:w="3143" w:type="dxa"/>
                  <w:hideMark/>
                </w:tcPr>
                <w:p w:rsidRPr="001A4E7F" w:rsidR="009B128B" w:rsidP="00B13DCE" w:rsidRDefault="009B128B" w14:paraId="09C57212" w14:textId="248852AC">
                  <w:pPr>
                    <w:spacing w:after="120"/>
                    <w:rPr>
                      <w:rFonts w:cstheme="minorHAnsi"/>
                      <w:sz w:val="20"/>
                      <w:szCs w:val="20"/>
                    </w:rPr>
                  </w:pPr>
                  <w:r w:rsidRPr="001A4E7F">
                    <w:rPr>
                      <w:rFonts w:cstheme="minorHAnsi"/>
                      <w:sz w:val="20"/>
                      <w:szCs w:val="20"/>
                    </w:rPr>
                    <w:t xml:space="preserve">Prescribe </w:t>
                  </w:r>
                  <w:r w:rsidRPr="001A4E7F" w:rsidR="7763257A">
                    <w:rPr>
                      <w:rFonts w:cstheme="minorHAnsi"/>
                      <w:sz w:val="20"/>
                      <w:szCs w:val="20"/>
                    </w:rPr>
                    <w:t>the Investigational Medicinal Product (</w:t>
                  </w:r>
                  <w:r w:rsidRPr="001A4E7F">
                    <w:rPr>
                      <w:rFonts w:cstheme="minorHAnsi"/>
                      <w:sz w:val="20"/>
                      <w:szCs w:val="20"/>
                    </w:rPr>
                    <w:t>IMP</w:t>
                  </w:r>
                  <w:r w:rsidRPr="001A4E7F" w:rsidR="2CB99B08">
                    <w:rPr>
                      <w:rFonts w:cstheme="minorHAnsi"/>
                      <w:sz w:val="20"/>
                      <w:szCs w:val="20"/>
                    </w:rPr>
                    <w:t>)</w:t>
                  </w:r>
                  <w:r w:rsidRPr="001A4E7F">
                    <w:rPr>
                      <w:rFonts w:cstheme="minorHAnsi"/>
                      <w:sz w:val="20"/>
                      <w:szCs w:val="20"/>
                    </w:rPr>
                    <w:t xml:space="preserve"> according to protocol and record prescription on </w:t>
                  </w:r>
                  <w:proofErr w:type="spellStart"/>
                  <w:r w:rsidRPr="001A4E7F">
                    <w:rPr>
                      <w:rFonts w:cstheme="minorHAnsi"/>
                      <w:sz w:val="20"/>
                      <w:szCs w:val="20"/>
                    </w:rPr>
                    <w:t>IRSP</w:t>
                  </w:r>
                  <w:proofErr w:type="spellEnd"/>
                </w:p>
              </w:tc>
              <w:tc>
                <w:tcPr>
                  <w:tcW w:w="1559" w:type="dxa"/>
                  <w:hideMark/>
                </w:tcPr>
                <w:p w:rsidRPr="001A4E7F" w:rsidR="009B128B" w:rsidP="00B13DCE" w:rsidRDefault="009B128B" w14:paraId="76B5E524" w14:textId="77777777">
                  <w:pPr>
                    <w:spacing w:after="120"/>
                    <w:rPr>
                      <w:rFonts w:cstheme="minorHAnsi"/>
                      <w:sz w:val="20"/>
                      <w:szCs w:val="20"/>
                    </w:rPr>
                  </w:pPr>
                  <w:r w:rsidRPr="001A4E7F">
                    <w:rPr>
                      <w:rFonts w:cstheme="minorHAnsi"/>
                      <w:sz w:val="20"/>
                      <w:szCs w:val="20"/>
                    </w:rPr>
                    <w:t xml:space="preserve">Yes </w:t>
                  </w:r>
                </w:p>
              </w:tc>
              <w:tc>
                <w:tcPr>
                  <w:tcW w:w="1560" w:type="dxa"/>
                  <w:hideMark/>
                </w:tcPr>
                <w:p w:rsidRPr="001A4E7F" w:rsidR="009B128B" w:rsidP="00B13DCE" w:rsidRDefault="009B128B" w14:paraId="3B2496A8" w14:textId="77777777">
                  <w:pPr>
                    <w:spacing w:after="120"/>
                    <w:rPr>
                      <w:rFonts w:cstheme="minorHAnsi"/>
                      <w:sz w:val="20"/>
                      <w:szCs w:val="20"/>
                    </w:rPr>
                  </w:pPr>
                  <w:r w:rsidRPr="001A4E7F">
                    <w:rPr>
                      <w:rFonts w:cstheme="minorHAnsi"/>
                      <w:sz w:val="20"/>
                      <w:szCs w:val="20"/>
                    </w:rPr>
                    <w:t xml:space="preserve">Yes </w:t>
                  </w:r>
                </w:p>
              </w:tc>
              <w:tc>
                <w:tcPr>
                  <w:tcW w:w="1134" w:type="dxa"/>
                  <w:hideMark/>
                </w:tcPr>
                <w:p w:rsidRPr="001A4E7F" w:rsidR="009B128B" w:rsidP="00B13DCE" w:rsidRDefault="009B128B" w14:paraId="05B4792F" w14:textId="77777777">
                  <w:pPr>
                    <w:spacing w:after="120"/>
                    <w:rPr>
                      <w:rFonts w:cstheme="minorHAnsi"/>
                      <w:sz w:val="20"/>
                      <w:szCs w:val="20"/>
                    </w:rPr>
                  </w:pPr>
                  <w:r w:rsidRPr="001A4E7F">
                    <w:rPr>
                      <w:rFonts w:cstheme="minorHAnsi"/>
                      <w:sz w:val="20"/>
                      <w:szCs w:val="20"/>
                    </w:rPr>
                    <w:t>No</w:t>
                  </w:r>
                </w:p>
              </w:tc>
            </w:tr>
            <w:tr w:rsidRPr="001A4E7F" w:rsidR="003D07CC" w:rsidTr="009E4E38" w14:paraId="24EB6A22" w14:textId="77777777">
              <w:trPr>
                <w:trHeight w:val="56"/>
              </w:trPr>
              <w:tc>
                <w:tcPr>
                  <w:tcW w:w="3143" w:type="dxa"/>
                  <w:shd w:val="clear" w:color="auto" w:fill="EBF0F9"/>
                  <w:hideMark/>
                </w:tcPr>
                <w:p w:rsidRPr="001A4E7F" w:rsidR="009B128B" w:rsidP="00B13DCE" w:rsidRDefault="009B128B" w14:paraId="6121FC05" w14:textId="38C83A93">
                  <w:pPr>
                    <w:spacing w:after="120"/>
                    <w:rPr>
                      <w:rFonts w:cstheme="minorHAnsi"/>
                      <w:sz w:val="20"/>
                      <w:szCs w:val="20"/>
                    </w:rPr>
                  </w:pPr>
                  <w:r w:rsidRPr="001A4E7F">
                    <w:rPr>
                      <w:rFonts w:cstheme="minorHAnsi"/>
                      <w:sz w:val="20"/>
                      <w:szCs w:val="20"/>
                    </w:rPr>
                    <w:t xml:space="preserve">Report </w:t>
                  </w:r>
                  <w:r w:rsidRPr="001A4E7F" w:rsidR="1810B2E2">
                    <w:rPr>
                      <w:rFonts w:cstheme="minorHAnsi"/>
                      <w:sz w:val="20"/>
                      <w:szCs w:val="20"/>
                    </w:rPr>
                    <w:t xml:space="preserve">Serious Adverse </w:t>
                  </w:r>
                  <w:r w:rsidRPr="001A4E7F" w:rsidR="6C2C2851">
                    <w:rPr>
                      <w:rFonts w:cstheme="minorHAnsi"/>
                      <w:sz w:val="20"/>
                      <w:szCs w:val="20"/>
                    </w:rPr>
                    <w:t>Events (</w:t>
                  </w:r>
                  <w:r w:rsidRPr="001A4E7F">
                    <w:rPr>
                      <w:rFonts w:cstheme="minorHAnsi"/>
                      <w:sz w:val="20"/>
                      <w:szCs w:val="20"/>
                    </w:rPr>
                    <w:t>SAEs</w:t>
                  </w:r>
                  <w:r w:rsidRPr="001A4E7F" w:rsidR="105E2E38">
                    <w:rPr>
                      <w:rFonts w:cstheme="minorHAnsi"/>
                      <w:sz w:val="20"/>
                      <w:szCs w:val="20"/>
                    </w:rPr>
                    <w:t>)</w:t>
                  </w:r>
                  <w:r w:rsidRPr="001A4E7F">
                    <w:rPr>
                      <w:rFonts w:cstheme="minorHAnsi"/>
                      <w:sz w:val="20"/>
                      <w:szCs w:val="20"/>
                    </w:rPr>
                    <w:t xml:space="preserve"> and update SAE forms as required</w:t>
                  </w:r>
                </w:p>
              </w:tc>
              <w:tc>
                <w:tcPr>
                  <w:tcW w:w="1559" w:type="dxa"/>
                  <w:shd w:val="clear" w:color="auto" w:fill="EBF0F9"/>
                  <w:hideMark/>
                </w:tcPr>
                <w:p w:rsidRPr="001A4E7F" w:rsidR="009B128B" w:rsidP="00B13DCE" w:rsidRDefault="009B128B" w14:paraId="6FCE2C65" w14:textId="77777777">
                  <w:pPr>
                    <w:spacing w:after="120"/>
                    <w:rPr>
                      <w:rFonts w:cstheme="minorHAnsi"/>
                      <w:sz w:val="20"/>
                      <w:szCs w:val="20"/>
                    </w:rPr>
                  </w:pPr>
                  <w:r w:rsidRPr="001A4E7F">
                    <w:rPr>
                      <w:rFonts w:cstheme="minorHAnsi"/>
                      <w:sz w:val="20"/>
                      <w:szCs w:val="20"/>
                    </w:rPr>
                    <w:t xml:space="preserve">Yes </w:t>
                  </w:r>
                </w:p>
              </w:tc>
              <w:tc>
                <w:tcPr>
                  <w:tcW w:w="1560" w:type="dxa"/>
                  <w:shd w:val="clear" w:color="auto" w:fill="EBF0F9"/>
                  <w:hideMark/>
                </w:tcPr>
                <w:p w:rsidRPr="001A4E7F" w:rsidR="009B128B" w:rsidP="00B13DCE" w:rsidRDefault="009B128B" w14:paraId="538A2410" w14:textId="77777777">
                  <w:pPr>
                    <w:spacing w:after="120"/>
                    <w:rPr>
                      <w:rFonts w:cstheme="minorHAnsi"/>
                      <w:sz w:val="20"/>
                      <w:szCs w:val="20"/>
                    </w:rPr>
                  </w:pPr>
                  <w:r w:rsidRPr="001A4E7F">
                    <w:rPr>
                      <w:rFonts w:cstheme="minorHAnsi"/>
                      <w:sz w:val="20"/>
                      <w:szCs w:val="20"/>
                    </w:rPr>
                    <w:t xml:space="preserve">Yes </w:t>
                  </w:r>
                </w:p>
              </w:tc>
              <w:tc>
                <w:tcPr>
                  <w:tcW w:w="1134" w:type="dxa"/>
                  <w:shd w:val="clear" w:color="auto" w:fill="EBF0F9"/>
                  <w:hideMark/>
                </w:tcPr>
                <w:p w:rsidRPr="001A4E7F" w:rsidR="009B128B" w:rsidP="00B13DCE" w:rsidRDefault="009B128B" w14:paraId="75965FF0" w14:textId="77777777">
                  <w:pPr>
                    <w:spacing w:after="120"/>
                    <w:rPr>
                      <w:rFonts w:cstheme="minorHAnsi"/>
                      <w:sz w:val="20"/>
                      <w:szCs w:val="20"/>
                    </w:rPr>
                  </w:pPr>
                  <w:r w:rsidRPr="001A4E7F">
                    <w:rPr>
                      <w:rFonts w:cstheme="minorHAnsi"/>
                      <w:sz w:val="20"/>
                      <w:szCs w:val="20"/>
                    </w:rPr>
                    <w:t>No</w:t>
                  </w:r>
                </w:p>
              </w:tc>
            </w:tr>
            <w:tr w:rsidRPr="001A4E7F" w:rsidR="003D07CC" w:rsidTr="003D07CC" w14:paraId="18585F47" w14:textId="77777777">
              <w:trPr>
                <w:trHeight w:val="56"/>
              </w:trPr>
              <w:tc>
                <w:tcPr>
                  <w:tcW w:w="3143" w:type="dxa"/>
                  <w:hideMark/>
                </w:tcPr>
                <w:p w:rsidRPr="001A4E7F" w:rsidR="009B128B" w:rsidP="00B13DCE" w:rsidRDefault="009B128B" w14:paraId="76535C36" w14:textId="77777777">
                  <w:pPr>
                    <w:spacing w:after="120"/>
                    <w:rPr>
                      <w:rFonts w:cstheme="minorHAnsi"/>
                      <w:sz w:val="20"/>
                      <w:szCs w:val="20"/>
                    </w:rPr>
                  </w:pPr>
                  <w:r w:rsidRPr="001A4E7F">
                    <w:rPr>
                      <w:rFonts w:cstheme="minorHAnsi"/>
                      <w:sz w:val="20"/>
                      <w:szCs w:val="20"/>
                    </w:rPr>
                    <w:t xml:space="preserve">Withdraw patient from trial </w:t>
                  </w:r>
                </w:p>
              </w:tc>
              <w:tc>
                <w:tcPr>
                  <w:tcW w:w="1559" w:type="dxa"/>
                  <w:hideMark/>
                </w:tcPr>
                <w:p w:rsidRPr="001A4E7F" w:rsidR="009B128B" w:rsidP="00B13DCE" w:rsidRDefault="009B128B" w14:paraId="770576DB" w14:textId="77777777">
                  <w:pPr>
                    <w:spacing w:after="120"/>
                    <w:rPr>
                      <w:rFonts w:cstheme="minorHAnsi"/>
                      <w:sz w:val="20"/>
                      <w:szCs w:val="20"/>
                    </w:rPr>
                  </w:pPr>
                  <w:r w:rsidRPr="001A4E7F">
                    <w:rPr>
                      <w:rFonts w:cstheme="minorHAnsi"/>
                      <w:sz w:val="20"/>
                      <w:szCs w:val="20"/>
                    </w:rPr>
                    <w:t xml:space="preserve">Yes </w:t>
                  </w:r>
                </w:p>
              </w:tc>
              <w:tc>
                <w:tcPr>
                  <w:tcW w:w="1560" w:type="dxa"/>
                  <w:hideMark/>
                </w:tcPr>
                <w:p w:rsidRPr="001A4E7F" w:rsidR="009B128B" w:rsidP="00B13DCE" w:rsidRDefault="009B128B" w14:paraId="27AD977C" w14:textId="77777777">
                  <w:pPr>
                    <w:spacing w:after="120"/>
                    <w:rPr>
                      <w:rFonts w:cstheme="minorHAnsi"/>
                      <w:sz w:val="20"/>
                      <w:szCs w:val="20"/>
                    </w:rPr>
                  </w:pPr>
                  <w:r w:rsidRPr="001A4E7F">
                    <w:rPr>
                      <w:rFonts w:cstheme="minorHAnsi"/>
                      <w:sz w:val="20"/>
                      <w:szCs w:val="20"/>
                    </w:rPr>
                    <w:t xml:space="preserve">Yes </w:t>
                  </w:r>
                </w:p>
              </w:tc>
              <w:tc>
                <w:tcPr>
                  <w:tcW w:w="1134" w:type="dxa"/>
                  <w:hideMark/>
                </w:tcPr>
                <w:p w:rsidRPr="001A4E7F" w:rsidR="009B128B" w:rsidP="00B13DCE" w:rsidRDefault="009B128B" w14:paraId="4999477D" w14:textId="77777777">
                  <w:pPr>
                    <w:spacing w:after="120"/>
                    <w:rPr>
                      <w:rFonts w:cstheme="minorHAnsi"/>
                      <w:sz w:val="20"/>
                      <w:szCs w:val="20"/>
                    </w:rPr>
                  </w:pPr>
                  <w:r w:rsidRPr="001A4E7F">
                    <w:rPr>
                      <w:rFonts w:cstheme="minorHAnsi"/>
                      <w:sz w:val="20"/>
                      <w:szCs w:val="20"/>
                    </w:rPr>
                    <w:t>No</w:t>
                  </w:r>
                </w:p>
              </w:tc>
            </w:tr>
            <w:tr w:rsidRPr="001A4E7F" w:rsidR="003D07CC" w:rsidTr="009E4E38" w14:paraId="4C2AAA78" w14:textId="77777777">
              <w:trPr>
                <w:trHeight w:val="56"/>
              </w:trPr>
              <w:tc>
                <w:tcPr>
                  <w:tcW w:w="3143" w:type="dxa"/>
                  <w:shd w:val="clear" w:color="auto" w:fill="EBF0F9"/>
                  <w:hideMark/>
                </w:tcPr>
                <w:p w:rsidRPr="001A4E7F" w:rsidR="009B128B" w:rsidP="00B13DCE" w:rsidRDefault="009B128B" w14:paraId="114BEA9B" w14:textId="77777777">
                  <w:pPr>
                    <w:spacing w:after="120"/>
                    <w:rPr>
                      <w:rFonts w:cstheme="minorHAnsi"/>
                      <w:sz w:val="20"/>
                      <w:szCs w:val="20"/>
                    </w:rPr>
                  </w:pPr>
                  <w:r w:rsidRPr="001A4E7F">
                    <w:rPr>
                      <w:rFonts w:cstheme="minorHAnsi"/>
                      <w:sz w:val="20"/>
                      <w:szCs w:val="20"/>
                    </w:rPr>
                    <w:t>Conduct informed consent discussion, initiate informed consent process via REDCap (enter patient details and forward link to patient)</w:t>
                  </w:r>
                </w:p>
              </w:tc>
              <w:tc>
                <w:tcPr>
                  <w:tcW w:w="1559" w:type="dxa"/>
                  <w:shd w:val="clear" w:color="auto" w:fill="EBF0F9"/>
                  <w:hideMark/>
                </w:tcPr>
                <w:p w:rsidRPr="001A4E7F" w:rsidR="009B128B" w:rsidP="00B13DCE" w:rsidRDefault="009B128B" w14:paraId="2873FE8C" w14:textId="77777777">
                  <w:pPr>
                    <w:spacing w:after="120"/>
                    <w:rPr>
                      <w:rFonts w:cstheme="minorHAnsi"/>
                      <w:sz w:val="20"/>
                      <w:szCs w:val="20"/>
                    </w:rPr>
                  </w:pPr>
                  <w:r w:rsidRPr="001A4E7F">
                    <w:rPr>
                      <w:rFonts w:cstheme="minorHAnsi"/>
                      <w:sz w:val="20"/>
                      <w:szCs w:val="20"/>
                    </w:rPr>
                    <w:t xml:space="preserve">Yes </w:t>
                  </w:r>
                </w:p>
              </w:tc>
              <w:tc>
                <w:tcPr>
                  <w:tcW w:w="1560" w:type="dxa"/>
                  <w:shd w:val="clear" w:color="auto" w:fill="EBF0F9"/>
                  <w:hideMark/>
                </w:tcPr>
                <w:p w:rsidRPr="001A4E7F" w:rsidR="009B128B" w:rsidP="00B13DCE" w:rsidRDefault="009B128B" w14:paraId="04F90A38" w14:textId="77777777">
                  <w:pPr>
                    <w:spacing w:after="120"/>
                    <w:rPr>
                      <w:rFonts w:cstheme="minorHAnsi"/>
                      <w:sz w:val="20"/>
                      <w:szCs w:val="20"/>
                    </w:rPr>
                  </w:pPr>
                  <w:r w:rsidRPr="001A4E7F">
                    <w:rPr>
                      <w:rFonts w:cstheme="minorHAnsi"/>
                      <w:sz w:val="20"/>
                      <w:szCs w:val="20"/>
                    </w:rPr>
                    <w:t xml:space="preserve">Yes </w:t>
                  </w:r>
                </w:p>
              </w:tc>
              <w:tc>
                <w:tcPr>
                  <w:tcW w:w="1134" w:type="dxa"/>
                  <w:shd w:val="clear" w:color="auto" w:fill="EBF0F9"/>
                  <w:hideMark/>
                </w:tcPr>
                <w:p w:rsidRPr="001A4E7F" w:rsidR="009B128B" w:rsidP="00B13DCE" w:rsidRDefault="009B128B" w14:paraId="6109B326" w14:textId="77777777">
                  <w:pPr>
                    <w:spacing w:after="120"/>
                    <w:rPr>
                      <w:rFonts w:cstheme="minorHAnsi"/>
                      <w:sz w:val="20"/>
                      <w:szCs w:val="20"/>
                    </w:rPr>
                  </w:pPr>
                  <w:r w:rsidRPr="001A4E7F">
                    <w:rPr>
                      <w:rFonts w:cstheme="minorHAnsi"/>
                      <w:sz w:val="20"/>
                      <w:szCs w:val="20"/>
                    </w:rPr>
                    <w:t>Yes</w:t>
                  </w:r>
                </w:p>
              </w:tc>
            </w:tr>
            <w:tr w:rsidRPr="001A4E7F" w:rsidR="003D07CC" w:rsidTr="003D07CC" w14:paraId="24A40002" w14:textId="77777777">
              <w:trPr>
                <w:trHeight w:val="56"/>
              </w:trPr>
              <w:tc>
                <w:tcPr>
                  <w:tcW w:w="3143" w:type="dxa"/>
                  <w:hideMark/>
                </w:tcPr>
                <w:p w:rsidRPr="001A4E7F" w:rsidR="009B128B" w:rsidP="00B13DCE" w:rsidRDefault="009B128B" w14:paraId="1BDAAC7D" w14:textId="77777777">
                  <w:pPr>
                    <w:spacing w:after="120"/>
                    <w:rPr>
                      <w:rFonts w:cstheme="minorHAnsi"/>
                      <w:sz w:val="20"/>
                      <w:szCs w:val="20"/>
                    </w:rPr>
                  </w:pPr>
                  <w:r w:rsidRPr="001A4E7F">
                    <w:rPr>
                      <w:rFonts w:cstheme="minorHAnsi"/>
                      <w:sz w:val="20"/>
                      <w:szCs w:val="20"/>
                    </w:rPr>
                    <w:t xml:space="preserve">Confirm patient consent </w:t>
                  </w:r>
                </w:p>
              </w:tc>
              <w:tc>
                <w:tcPr>
                  <w:tcW w:w="1559" w:type="dxa"/>
                  <w:hideMark/>
                </w:tcPr>
                <w:p w:rsidRPr="001A4E7F" w:rsidR="009B128B" w:rsidP="00B13DCE" w:rsidRDefault="009B128B" w14:paraId="2F180AA8" w14:textId="77777777">
                  <w:pPr>
                    <w:spacing w:after="120"/>
                    <w:rPr>
                      <w:rFonts w:cstheme="minorHAnsi"/>
                      <w:sz w:val="20"/>
                      <w:szCs w:val="20"/>
                    </w:rPr>
                  </w:pPr>
                  <w:r w:rsidRPr="001A4E7F">
                    <w:rPr>
                      <w:rFonts w:cstheme="minorHAnsi"/>
                      <w:sz w:val="20"/>
                      <w:szCs w:val="20"/>
                    </w:rPr>
                    <w:t xml:space="preserve">Yes </w:t>
                  </w:r>
                </w:p>
              </w:tc>
              <w:tc>
                <w:tcPr>
                  <w:tcW w:w="1560" w:type="dxa"/>
                  <w:hideMark/>
                </w:tcPr>
                <w:p w:rsidRPr="001A4E7F" w:rsidR="009B128B" w:rsidP="00B13DCE" w:rsidRDefault="009B128B" w14:paraId="485DA14D" w14:textId="77777777">
                  <w:pPr>
                    <w:spacing w:after="120"/>
                    <w:rPr>
                      <w:rFonts w:cstheme="minorHAnsi"/>
                      <w:sz w:val="20"/>
                      <w:szCs w:val="20"/>
                    </w:rPr>
                  </w:pPr>
                  <w:r w:rsidRPr="001A4E7F">
                    <w:rPr>
                      <w:rFonts w:cstheme="minorHAnsi"/>
                      <w:sz w:val="20"/>
                      <w:szCs w:val="20"/>
                    </w:rPr>
                    <w:t xml:space="preserve">Yes </w:t>
                  </w:r>
                </w:p>
              </w:tc>
              <w:tc>
                <w:tcPr>
                  <w:tcW w:w="1134" w:type="dxa"/>
                  <w:hideMark/>
                </w:tcPr>
                <w:p w:rsidRPr="001A4E7F" w:rsidR="009B128B" w:rsidP="00B13DCE" w:rsidRDefault="009B128B" w14:paraId="4B01F1BF" w14:textId="77777777">
                  <w:pPr>
                    <w:spacing w:after="120"/>
                    <w:rPr>
                      <w:rFonts w:cstheme="minorHAnsi"/>
                      <w:sz w:val="20"/>
                      <w:szCs w:val="20"/>
                    </w:rPr>
                  </w:pPr>
                  <w:r w:rsidRPr="001A4E7F">
                    <w:rPr>
                      <w:rFonts w:cstheme="minorHAnsi"/>
                      <w:sz w:val="20"/>
                      <w:szCs w:val="20"/>
                    </w:rPr>
                    <w:t>No</w:t>
                  </w:r>
                </w:p>
              </w:tc>
            </w:tr>
            <w:tr w:rsidRPr="001A4E7F" w:rsidR="003D07CC" w:rsidTr="009E4E38" w14:paraId="3A0C9F77" w14:textId="77777777">
              <w:trPr>
                <w:trHeight w:val="56"/>
              </w:trPr>
              <w:tc>
                <w:tcPr>
                  <w:tcW w:w="3143" w:type="dxa"/>
                  <w:shd w:val="clear" w:color="auto" w:fill="EBF0F9"/>
                  <w:hideMark/>
                </w:tcPr>
                <w:p w:rsidRPr="001A4E7F" w:rsidR="009B128B" w:rsidP="00B13DCE" w:rsidRDefault="009B128B" w14:paraId="42A11B7A" w14:textId="77777777">
                  <w:pPr>
                    <w:spacing w:after="120"/>
                    <w:rPr>
                      <w:rFonts w:cstheme="minorHAnsi"/>
                      <w:sz w:val="20"/>
                      <w:szCs w:val="20"/>
                    </w:rPr>
                  </w:pPr>
                  <w:r w:rsidRPr="001A4E7F">
                    <w:rPr>
                      <w:rFonts w:cstheme="minorHAnsi"/>
                      <w:sz w:val="20"/>
                      <w:szCs w:val="20"/>
                    </w:rPr>
                    <w:t>Maintain essential documents in the Investigator Site File (ISF)</w:t>
                  </w:r>
                </w:p>
              </w:tc>
              <w:tc>
                <w:tcPr>
                  <w:tcW w:w="1559" w:type="dxa"/>
                  <w:shd w:val="clear" w:color="auto" w:fill="EBF0F9"/>
                  <w:hideMark/>
                </w:tcPr>
                <w:p w:rsidRPr="001A4E7F" w:rsidR="009B128B" w:rsidP="00B13DCE" w:rsidRDefault="009B128B" w14:paraId="39A7ED7D" w14:textId="77777777">
                  <w:pPr>
                    <w:spacing w:after="120"/>
                    <w:rPr>
                      <w:rFonts w:cstheme="minorHAnsi"/>
                      <w:sz w:val="20"/>
                      <w:szCs w:val="20"/>
                    </w:rPr>
                  </w:pPr>
                  <w:r w:rsidRPr="001A4E7F">
                    <w:rPr>
                      <w:rFonts w:cstheme="minorHAnsi"/>
                      <w:sz w:val="20"/>
                      <w:szCs w:val="20"/>
                    </w:rPr>
                    <w:t>Yes</w:t>
                  </w:r>
                </w:p>
              </w:tc>
              <w:tc>
                <w:tcPr>
                  <w:tcW w:w="1560" w:type="dxa"/>
                  <w:shd w:val="clear" w:color="auto" w:fill="EBF0F9"/>
                  <w:hideMark/>
                </w:tcPr>
                <w:p w:rsidRPr="001A4E7F" w:rsidR="009B128B" w:rsidP="00B13DCE" w:rsidRDefault="009B128B" w14:paraId="7A4EA9E6" w14:textId="77777777">
                  <w:pPr>
                    <w:spacing w:after="120"/>
                    <w:rPr>
                      <w:rFonts w:cstheme="minorHAnsi"/>
                      <w:sz w:val="20"/>
                      <w:szCs w:val="20"/>
                    </w:rPr>
                  </w:pPr>
                  <w:r w:rsidRPr="001A4E7F">
                    <w:rPr>
                      <w:rFonts w:cstheme="minorHAnsi"/>
                      <w:sz w:val="20"/>
                      <w:szCs w:val="20"/>
                    </w:rPr>
                    <w:t>Yes</w:t>
                  </w:r>
                </w:p>
              </w:tc>
              <w:tc>
                <w:tcPr>
                  <w:tcW w:w="1134" w:type="dxa"/>
                  <w:shd w:val="clear" w:color="auto" w:fill="EBF0F9"/>
                  <w:hideMark/>
                </w:tcPr>
                <w:p w:rsidRPr="001A4E7F" w:rsidR="009B128B" w:rsidP="00B13DCE" w:rsidRDefault="009B128B" w14:paraId="36D8E66C" w14:textId="77777777">
                  <w:pPr>
                    <w:spacing w:after="120"/>
                    <w:rPr>
                      <w:rFonts w:cstheme="minorHAnsi"/>
                      <w:sz w:val="20"/>
                      <w:szCs w:val="20"/>
                    </w:rPr>
                  </w:pPr>
                  <w:r w:rsidRPr="001A4E7F">
                    <w:rPr>
                      <w:rFonts w:cstheme="minorHAnsi"/>
                      <w:sz w:val="20"/>
                      <w:szCs w:val="20"/>
                    </w:rPr>
                    <w:t>Yes</w:t>
                  </w:r>
                </w:p>
              </w:tc>
            </w:tr>
          </w:tbl>
          <w:p w:rsidRPr="001A4E7F" w:rsidR="009B128B" w:rsidP="00B13DCE" w:rsidRDefault="009B128B" w14:paraId="1D73D457" w14:textId="28221C4B">
            <w:pPr>
              <w:spacing w:after="120"/>
              <w:rPr>
                <w:rFonts w:eastAsia="Times New Roman" w:cstheme="minorHAnsi"/>
                <w:color w:val="000000"/>
                <w:lang w:eastAsia="en-GB"/>
              </w:rPr>
            </w:pPr>
          </w:p>
        </w:tc>
      </w:tr>
      <w:tr w:rsidRPr="001A4E7F" w:rsidR="00956505" w:rsidTr="0B2B6FDB" w14:paraId="4763B0D4" w14:textId="77777777">
        <w:trPr>
          <w:trHeight w:val="1774"/>
        </w:trPr>
        <w:tc>
          <w:tcPr>
            <w:tcW w:w="1980" w:type="dxa"/>
            <w:tcMar/>
          </w:tcPr>
          <w:p w:rsidRPr="001A4E7F" w:rsidR="00956505" w:rsidP="00956505" w:rsidRDefault="00956505" w14:paraId="6414433E" w14:textId="15693689">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Can a practice take part in the SAFER study and the DaRe2THINK trial?</w:t>
            </w:r>
          </w:p>
        </w:tc>
        <w:tc>
          <w:tcPr>
            <w:tcW w:w="7654" w:type="dxa"/>
            <w:tcMar/>
          </w:tcPr>
          <w:p w:rsidRPr="001A4E7F" w:rsidR="00956505" w:rsidP="00956505" w:rsidRDefault="00956505" w14:paraId="7864A039" w14:textId="2C192F6A">
            <w:pPr>
              <w:spacing w:after="120"/>
              <w:rPr>
                <w:rFonts w:eastAsia="Times New Roman" w:cstheme="minorHAnsi"/>
                <w:color w:val="000000" w:themeColor="text1"/>
                <w:lang w:eastAsia="en-GB"/>
              </w:rPr>
            </w:pPr>
            <w:r w:rsidRPr="001A4E7F">
              <w:rPr>
                <w:rFonts w:eastAsia="Times New Roman" w:cstheme="minorHAnsi"/>
                <w:b/>
                <w:bCs/>
                <w:color w:val="000000" w:themeColor="text1"/>
                <w:lang w:eastAsia="en-GB"/>
              </w:rPr>
              <w:t>Yes, both studies can be run at the same site</w:t>
            </w:r>
            <w:r w:rsidRPr="001A4E7F">
              <w:rPr>
                <w:rFonts w:eastAsia="Times New Roman" w:cstheme="minorHAnsi"/>
                <w:color w:val="000000" w:themeColor="text1"/>
                <w:lang w:eastAsia="en-GB"/>
              </w:rPr>
              <w:t xml:space="preserve">.  There is only a small theoretical overlap (men aged 70-73 who are not already anticoagulated).  The two trial teams have worked together to use coding to exclude any patients recruited to the other study.  We only ask that the PIs and study support personnel are aware, and avoid including SAFER patients in DaRe2THINK and vice versa.  For more information, see the following </w:t>
            </w:r>
            <w:commentRangeStart w:id="0"/>
            <w:r w:rsidRPr="001A4E7F">
              <w:rPr>
                <w:rFonts w:eastAsia="Times New Roman" w:cstheme="minorHAnsi"/>
                <w:color w:val="000000" w:themeColor="text1"/>
                <w:lang w:eastAsia="en-GB"/>
              </w:rPr>
              <w:t xml:space="preserve">letter </w:t>
            </w:r>
            <w:commentRangeEnd w:id="0"/>
            <w:r w:rsidRPr="001A4E7F">
              <w:rPr>
                <w:rStyle w:val="CommentReference"/>
                <w:rFonts w:ascii="Arial" w:hAnsi="Arial" w:eastAsiaTheme="minorHAnsi"/>
              </w:rPr>
              <w:commentReference w:id="0"/>
            </w:r>
            <w:r w:rsidRPr="001A4E7F">
              <w:rPr>
                <w:rFonts w:eastAsia="Times New Roman" w:cstheme="minorHAnsi"/>
                <w:color w:val="000000" w:themeColor="text1"/>
                <w:lang w:eastAsia="en-GB"/>
              </w:rPr>
              <w:t>from the Chief Investigators to the CRN.</w:t>
            </w:r>
          </w:p>
        </w:tc>
      </w:tr>
      <w:tr w:rsidRPr="001A4E7F" w:rsidR="00956505" w:rsidTr="0B2B6FDB" w14:paraId="0E98B172" w14:textId="77777777">
        <w:trPr>
          <w:trHeight w:val="1774"/>
        </w:trPr>
        <w:tc>
          <w:tcPr>
            <w:tcW w:w="1980" w:type="dxa"/>
            <w:tcMar/>
          </w:tcPr>
          <w:p w:rsidRPr="001A4E7F" w:rsidR="00956505" w:rsidP="00956505" w:rsidRDefault="00956505" w14:paraId="4EA39787" w14:textId="3BD790AD">
            <w:pPr>
              <w:spacing w:after="120"/>
              <w:rPr>
                <w:rFonts w:eastAsia="Times New Roman" w:cstheme="minorHAnsi"/>
                <w:color w:val="000000"/>
                <w:lang w:eastAsia="en-GB"/>
              </w:rPr>
            </w:pPr>
            <w:r w:rsidRPr="001A4E7F">
              <w:rPr>
                <w:rFonts w:eastAsia="Times New Roman" w:cstheme="minorHAnsi"/>
                <w:color w:val="000000" w:themeColor="text1"/>
                <w:lang w:eastAsia="en-GB"/>
              </w:rPr>
              <w:t>A patient on my list is coded as “AF resolved” do I need to exclude this patient?</w:t>
            </w:r>
          </w:p>
        </w:tc>
        <w:tc>
          <w:tcPr>
            <w:tcW w:w="7654" w:type="dxa"/>
            <w:tcMar/>
          </w:tcPr>
          <w:p w:rsidRPr="001A4E7F" w:rsidR="00956505" w:rsidP="00956505" w:rsidRDefault="00956505" w14:paraId="212C7799" w14:textId="6F56C6E7">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The inclusion criteria for DaRe2THINK are </w:t>
            </w:r>
            <w:r w:rsidRPr="001A4E7F">
              <w:rPr>
                <w:rFonts w:eastAsia="Times New Roman" w:cstheme="minorHAnsi"/>
                <w:b/>
                <w:bCs/>
                <w:color w:val="000000" w:themeColor="text1"/>
                <w:lang w:eastAsia="en-GB"/>
              </w:rPr>
              <w:t>patients with any diagnosis of AF (previous, current or chronic)</w:t>
            </w:r>
            <w:r w:rsidRPr="001A4E7F">
              <w:rPr>
                <w:rFonts w:eastAsia="Times New Roman" w:cstheme="minorHAnsi"/>
                <w:color w:val="000000" w:themeColor="text1"/>
                <w:lang w:eastAsia="en-GB"/>
              </w:rPr>
              <w:t>.  The reason for this is that AF is associated with stroke, thromboembolic and cognitive decline regardless of whether the patient is currently in AF or not.  Patients with paroxysmal AF, and those with transient or ‘resolved’ episodes also have an elevated risk of morbidity and mortality.  As seen in the</w:t>
            </w:r>
            <w:r>
              <w:rPr>
                <w:rFonts w:eastAsia="Times New Roman" w:cstheme="minorHAnsi"/>
                <w:color w:val="000000" w:themeColor="text1"/>
                <w:lang w:eastAsia="en-GB"/>
              </w:rPr>
              <w:t xml:space="preserve"> following</w:t>
            </w:r>
            <w:r w:rsidRPr="001A4E7F">
              <w:rPr>
                <w:rFonts w:eastAsia="Times New Roman" w:cstheme="minorHAnsi"/>
                <w:color w:val="000000" w:themeColor="text1"/>
                <w:lang w:eastAsia="en-GB"/>
              </w:rPr>
              <w:t xml:space="preserve"> two papers, this risk remains substantial and may be amenable to treatment with direct oral anticoagulants (DOACs), as tested in DaRe2THINK</w:t>
            </w:r>
            <w:r>
              <w:rPr>
                <w:rFonts w:eastAsia="Times New Roman" w:cstheme="minorHAnsi"/>
                <w:color w:val="000000" w:themeColor="text1"/>
                <w:lang w:eastAsia="en-GB"/>
              </w:rPr>
              <w:t>:</w:t>
            </w:r>
          </w:p>
          <w:p w:rsidRPr="001A4E7F" w:rsidR="00956505" w:rsidP="00956505" w:rsidRDefault="00956505" w14:paraId="41F4E5E0" w14:textId="6F196EAC">
            <w:pPr>
              <w:spacing w:after="120"/>
              <w:rPr>
                <w:rFonts w:eastAsia="Times New Roman" w:cstheme="minorHAnsi"/>
                <w:color w:val="000000" w:themeColor="text1"/>
                <w:lang w:eastAsia="en-GB"/>
              </w:rPr>
            </w:pPr>
            <w:hyperlink w:history="1" r:id="rId16">
              <w:r w:rsidRPr="001A4E7F">
                <w:rPr>
                  <w:rStyle w:val="Hyperlink"/>
                  <w:rFonts w:eastAsia="Times New Roman" w:cstheme="minorHAnsi"/>
                  <w:lang w:eastAsia="en-GB"/>
                </w:rPr>
                <w:t>BMJ article</w:t>
              </w:r>
            </w:hyperlink>
            <w:r w:rsidRPr="001A4E7F">
              <w:rPr>
                <w:rFonts w:eastAsia="Times New Roman" w:cstheme="minorHAnsi"/>
                <w:color w:val="000000" w:themeColor="text1"/>
                <w:lang w:eastAsia="en-GB"/>
              </w:rPr>
              <w:t xml:space="preserve"> on ‘resolved’ AF; </w:t>
            </w:r>
            <w:hyperlink w:history="1" r:id="rId17">
              <w:proofErr w:type="spellStart"/>
              <w:r w:rsidRPr="001A4E7F">
                <w:rPr>
                  <w:rStyle w:val="Hyperlink"/>
                  <w:rFonts w:eastAsia="Times New Roman" w:cstheme="minorHAnsi"/>
                  <w:lang w:eastAsia="en-GB"/>
                </w:rPr>
                <w:t>EHJ</w:t>
              </w:r>
              <w:proofErr w:type="spellEnd"/>
              <w:r w:rsidRPr="001A4E7F">
                <w:rPr>
                  <w:rStyle w:val="Hyperlink"/>
                  <w:rFonts w:eastAsia="Times New Roman" w:cstheme="minorHAnsi"/>
                  <w:lang w:eastAsia="en-GB"/>
                </w:rPr>
                <w:t xml:space="preserve"> article</w:t>
              </w:r>
            </w:hyperlink>
            <w:r w:rsidRPr="001A4E7F">
              <w:rPr>
                <w:rFonts w:eastAsia="Times New Roman" w:cstheme="minorHAnsi"/>
                <w:color w:val="000000" w:themeColor="text1"/>
                <w:lang w:eastAsia="en-GB"/>
              </w:rPr>
              <w:t xml:space="preserve"> on ‘transient’ AF;</w:t>
            </w:r>
            <w:r w:rsidRPr="001A4E7F">
              <w:rPr>
                <w:rFonts w:eastAsia="Times New Roman" w:cstheme="minorHAnsi"/>
                <w:color w:val="222222"/>
                <w:lang w:eastAsia="en-GB"/>
              </w:rPr>
              <w:t xml:space="preserve"> 2021/22 </w:t>
            </w:r>
            <w:proofErr w:type="spellStart"/>
            <w:r w:rsidRPr="001A4E7F">
              <w:rPr>
                <w:rFonts w:cstheme="minorHAnsi"/>
              </w:rPr>
              <w:fldChar w:fldCharType="begin"/>
            </w:r>
            <w:r w:rsidRPr="001A4E7F">
              <w:rPr>
                <w:rFonts w:cstheme="minorHAnsi"/>
              </w:rPr>
              <w:instrText xml:space="preserve"> HYPERLINK "https://www.england.nhs.uk/wp-content/uploads/2021/03/B0456-update-on-quality-outcomes-framework-changes-for-21-22-.pdf" \h </w:instrText>
            </w:r>
            <w:r w:rsidRPr="001A4E7F">
              <w:rPr>
                <w:rFonts w:cstheme="minorHAnsi"/>
              </w:rPr>
              <w:fldChar w:fldCharType="separate"/>
            </w:r>
            <w:r w:rsidRPr="001A4E7F">
              <w:rPr>
                <w:rFonts w:eastAsia="Times New Roman" w:cstheme="minorHAnsi"/>
                <w:color w:val="1155CC"/>
                <w:u w:val="single"/>
                <w:lang w:eastAsia="en-GB"/>
              </w:rPr>
              <w:t>QOF</w:t>
            </w:r>
            <w:proofErr w:type="spellEnd"/>
            <w:r w:rsidRPr="001A4E7F">
              <w:rPr>
                <w:rFonts w:eastAsia="Times New Roman" w:cstheme="minorHAnsi"/>
                <w:color w:val="1155CC"/>
                <w:u w:val="single"/>
                <w:lang w:eastAsia="en-GB"/>
              </w:rPr>
              <w:t xml:space="preserve"> Guid</w:t>
            </w:r>
            <w:r w:rsidRPr="001A4E7F">
              <w:rPr>
                <w:rFonts w:eastAsia="Times New Roman" w:cstheme="minorHAnsi"/>
                <w:color w:val="1155CC"/>
                <w:u w:val="single"/>
                <w:lang w:eastAsia="en-GB"/>
              </w:rPr>
              <w:t>a</w:t>
            </w:r>
            <w:r w:rsidRPr="001A4E7F">
              <w:rPr>
                <w:rFonts w:eastAsia="Times New Roman" w:cstheme="minorHAnsi"/>
                <w:color w:val="1155CC"/>
                <w:u w:val="single"/>
                <w:lang w:eastAsia="en-GB"/>
              </w:rPr>
              <w:t>nce</w:t>
            </w:r>
            <w:r w:rsidRPr="001A4E7F">
              <w:rPr>
                <w:rFonts w:eastAsia="Times New Roman" w:cstheme="minorHAnsi"/>
                <w:color w:val="1155CC"/>
                <w:u w:val="single"/>
                <w:lang w:eastAsia="en-GB"/>
              </w:rPr>
              <w:fldChar w:fldCharType="end"/>
            </w:r>
            <w:r>
              <w:rPr>
                <w:rFonts w:eastAsia="Times New Roman" w:cstheme="minorHAnsi"/>
                <w:color w:val="1155CC"/>
                <w:u w:val="single"/>
                <w:lang w:eastAsia="en-GB"/>
              </w:rPr>
              <w:t>.</w:t>
            </w:r>
          </w:p>
          <w:p w:rsidRPr="001A4E7F" w:rsidR="00956505" w:rsidP="00956505" w:rsidRDefault="00956505" w14:paraId="6B238C2D" w14:textId="7B243C20">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The clinical judgement of the PI is essential here, as there may be patients with resolved AF that are not eligible as they likely have no residual stroke risk (for example, where AF occurred during pregnancy but never again).  Here are some examples of patients you would or would not include, assuming all other inclusion and exclusion criteria </w:t>
            </w:r>
            <w:r w:rsidR="00BE2197">
              <w:rPr>
                <w:rFonts w:eastAsia="Times New Roman" w:cstheme="minorHAnsi"/>
                <w:color w:val="000000" w:themeColor="text1"/>
                <w:lang w:eastAsia="en-GB"/>
              </w:rPr>
              <w:t>are met</w:t>
            </w:r>
            <w:r w:rsidRPr="001A4E7F">
              <w:rPr>
                <w:rFonts w:eastAsia="Times New Roman" w:cstheme="minorHAnsi"/>
                <w:color w:val="000000" w:themeColor="text1"/>
                <w:lang w:eastAsia="en-GB"/>
              </w:rPr>
              <w:t>:</w:t>
            </w:r>
          </w:p>
          <w:p w:rsidRPr="001A4E7F" w:rsidR="00956505" w:rsidP="00956505" w:rsidRDefault="00956505" w14:paraId="4DC59754" w14:textId="77777777">
            <w:pPr>
              <w:pStyle w:val="ListParagraph"/>
              <w:numPr>
                <w:ilvl w:val="0"/>
                <w:numId w:val="2"/>
              </w:numPr>
              <w:spacing w:after="120"/>
              <w:ind w:left="357" w:hanging="357"/>
              <w:contextualSpacing w:val="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Episode of AF two years ago during admission for pneumonia: </w:t>
            </w:r>
            <w:r w:rsidRPr="001A4E7F">
              <w:rPr>
                <w:rFonts w:eastAsia="Times New Roman" w:cstheme="minorHAnsi"/>
                <w:b/>
                <w:bCs/>
                <w:color w:val="000000" w:themeColor="text1"/>
                <w:lang w:eastAsia="en-GB"/>
              </w:rPr>
              <w:t>Yes, recruit</w:t>
            </w:r>
            <w:r w:rsidRPr="001A4E7F">
              <w:rPr>
                <w:rFonts w:eastAsia="Times New Roman" w:cstheme="minorHAnsi"/>
                <w:color w:val="000000" w:themeColor="text1"/>
                <w:lang w:eastAsia="en-GB"/>
              </w:rPr>
              <w:t>.</w:t>
            </w:r>
          </w:p>
          <w:p w:rsidRPr="001A4E7F" w:rsidR="00956505" w:rsidP="00956505" w:rsidRDefault="00956505" w14:paraId="304B4A75" w14:textId="77777777">
            <w:pPr>
              <w:pStyle w:val="ListParagraph"/>
              <w:numPr>
                <w:ilvl w:val="0"/>
                <w:numId w:val="2"/>
              </w:numPr>
              <w:spacing w:after="120"/>
              <w:ind w:left="357" w:hanging="357"/>
              <w:contextualSpacing w:val="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Peri-partum AF 30 years ago: </w:t>
            </w:r>
            <w:r w:rsidRPr="001A4E7F">
              <w:rPr>
                <w:rFonts w:eastAsia="Times New Roman" w:cstheme="minorHAnsi"/>
                <w:b/>
                <w:bCs/>
                <w:color w:val="000000" w:themeColor="text1"/>
                <w:lang w:eastAsia="en-GB"/>
              </w:rPr>
              <w:t>No, don’t recruit.</w:t>
            </w:r>
          </w:p>
          <w:p w:rsidRPr="001A4E7F" w:rsidR="00956505" w:rsidP="00956505" w:rsidRDefault="00956505" w14:paraId="5884C419" w14:textId="77777777">
            <w:pPr>
              <w:pStyle w:val="ListParagraph"/>
              <w:numPr>
                <w:ilvl w:val="0"/>
                <w:numId w:val="2"/>
              </w:numPr>
              <w:spacing w:after="120"/>
              <w:ind w:left="357" w:hanging="357"/>
              <w:contextualSpacing w:val="0"/>
              <w:rPr>
                <w:rFonts w:eastAsia="Times New Roman" w:cstheme="minorHAnsi"/>
                <w:color w:val="000000"/>
                <w:lang w:eastAsia="en-GB"/>
              </w:rPr>
            </w:pPr>
            <w:r w:rsidRPr="001A4E7F">
              <w:rPr>
                <w:rFonts w:eastAsia="Times New Roman" w:cstheme="minorHAnsi"/>
                <w:color w:val="000000" w:themeColor="text1"/>
                <w:lang w:eastAsia="en-GB"/>
              </w:rPr>
              <w:t xml:space="preserve">Previous catheter ablation for AF but no longer anticoagulated: </w:t>
            </w:r>
            <w:r w:rsidRPr="001A4E7F">
              <w:rPr>
                <w:rFonts w:eastAsia="Times New Roman" w:cstheme="minorHAnsi"/>
                <w:b/>
                <w:bCs/>
                <w:color w:val="000000" w:themeColor="text1"/>
                <w:lang w:eastAsia="en-GB"/>
              </w:rPr>
              <w:t>Yes, recruit</w:t>
            </w:r>
            <w:r w:rsidRPr="001A4E7F">
              <w:rPr>
                <w:rFonts w:eastAsia="Times New Roman" w:cstheme="minorHAnsi"/>
                <w:color w:val="000000" w:themeColor="text1"/>
                <w:lang w:eastAsia="en-GB"/>
              </w:rPr>
              <w:t>.</w:t>
            </w:r>
          </w:p>
          <w:p w:rsidRPr="001A4E7F" w:rsidR="00956505" w:rsidP="00956505" w:rsidRDefault="00956505" w14:paraId="73C4BCF9" w14:textId="77777777">
            <w:pPr>
              <w:pStyle w:val="ListParagraph"/>
              <w:numPr>
                <w:ilvl w:val="0"/>
                <w:numId w:val="2"/>
              </w:numPr>
              <w:spacing w:after="120"/>
              <w:ind w:left="357" w:hanging="357"/>
              <w:contextualSpacing w:val="0"/>
              <w:rPr>
                <w:rFonts w:eastAsia="Times New Roman" w:cstheme="minorHAnsi"/>
                <w:color w:val="000000"/>
                <w:lang w:eastAsia="en-GB"/>
              </w:rPr>
            </w:pPr>
            <w:r w:rsidRPr="001A4E7F">
              <w:rPr>
                <w:rFonts w:eastAsia="Times New Roman" w:cstheme="minorHAnsi"/>
                <w:color w:val="000000" w:themeColor="text1"/>
                <w:lang w:eastAsia="en-GB"/>
              </w:rPr>
              <w:t xml:space="preserve">Post-operative AF four years ago treated and resolved: </w:t>
            </w:r>
            <w:r w:rsidRPr="001A4E7F">
              <w:rPr>
                <w:rFonts w:eastAsia="Times New Roman" w:cstheme="minorHAnsi"/>
                <w:b/>
                <w:bCs/>
                <w:color w:val="000000" w:themeColor="text1"/>
                <w:lang w:eastAsia="en-GB"/>
              </w:rPr>
              <w:t>Yes, recruit</w:t>
            </w:r>
            <w:r w:rsidRPr="001A4E7F">
              <w:rPr>
                <w:rFonts w:eastAsia="Times New Roman" w:cstheme="minorHAnsi"/>
                <w:color w:val="000000" w:themeColor="text1"/>
                <w:lang w:eastAsia="en-GB"/>
              </w:rPr>
              <w:t>.</w:t>
            </w:r>
            <w:r w:rsidRPr="001A4E7F">
              <w:rPr>
                <w:rFonts w:eastAsia="Times New Roman" w:cstheme="minorHAnsi"/>
                <w:b/>
                <w:bCs/>
                <w:color w:val="000000"/>
                <w:lang w:eastAsia="en-GB"/>
              </w:rPr>
              <w:t> </w:t>
            </w:r>
          </w:p>
          <w:p w:rsidRPr="001A4E7F" w:rsidR="00956505" w:rsidP="00956505" w:rsidRDefault="00956505" w14:paraId="74F8F9EB" w14:textId="0DF10E78">
            <w:pPr>
              <w:spacing w:after="120"/>
              <w:rPr>
                <w:rFonts w:eastAsia="Times New Roman" w:cstheme="minorHAnsi"/>
                <w:color w:val="000000"/>
                <w:lang w:eastAsia="en-GB"/>
              </w:rPr>
            </w:pPr>
          </w:p>
        </w:tc>
      </w:tr>
      <w:tr w:rsidRPr="001A4E7F" w:rsidR="00956505" w:rsidTr="0B2B6FDB" w14:paraId="7C0FDC5D" w14:textId="77777777">
        <w:trPr>
          <w:trHeight w:val="2959"/>
        </w:trPr>
        <w:tc>
          <w:tcPr>
            <w:tcW w:w="1980" w:type="dxa"/>
            <w:tcMar/>
          </w:tcPr>
          <w:p w:rsidRPr="001A4E7F" w:rsidR="00956505" w:rsidP="00956505" w:rsidRDefault="00956505" w14:paraId="2B8E9265" w14:textId="2A89FE24">
            <w:pPr>
              <w:spacing w:after="120"/>
              <w:rPr>
                <w:rFonts w:eastAsia="Times New Roman" w:cstheme="minorHAnsi"/>
                <w:color w:val="000000"/>
                <w:lang w:eastAsia="en-GB"/>
              </w:rPr>
            </w:pPr>
            <w:r w:rsidRPr="001A4E7F">
              <w:rPr>
                <w:rFonts w:eastAsia="Times New Roman" w:cstheme="minorHAnsi"/>
                <w:color w:val="000000"/>
                <w:lang w:eastAsia="en-GB"/>
              </w:rPr>
              <w:t>A patient on my list is coded as “Valvular AF” do I need to exclude this patient?</w:t>
            </w:r>
          </w:p>
        </w:tc>
        <w:tc>
          <w:tcPr>
            <w:tcW w:w="7654" w:type="dxa"/>
            <w:tcMar/>
          </w:tcPr>
          <w:p w:rsidRPr="001A4E7F" w:rsidR="00956505" w:rsidP="00956505" w:rsidRDefault="00956505" w14:paraId="0787D5B6" w14:textId="20BD9856">
            <w:pPr>
              <w:spacing w:after="120"/>
              <w:rPr>
                <w:rFonts w:eastAsia="Times New Roman" w:cstheme="minorHAnsi"/>
                <w:bCs/>
                <w:color w:val="000000"/>
                <w:lang w:eastAsia="en-GB"/>
              </w:rPr>
            </w:pPr>
            <w:r w:rsidRPr="001A4E7F">
              <w:rPr>
                <w:rFonts w:eastAsia="Times New Roman" w:cstheme="minorHAnsi"/>
                <w:bCs/>
                <w:color w:val="000000"/>
                <w:lang w:eastAsia="en-GB"/>
              </w:rPr>
              <w:t>The term ‘valvular’ AF has been largely removed from international guidelines as it is a confusing and inaccurate term.  While some forms of valvular heart disease can make AF more common, AF can also lead to valvular incompetence.</w:t>
            </w:r>
          </w:p>
          <w:p w:rsidRPr="001A4E7F" w:rsidR="00956505" w:rsidP="00956505" w:rsidRDefault="00956505" w14:paraId="1AACAE53" w14:textId="77777777">
            <w:pPr>
              <w:spacing w:after="120"/>
              <w:rPr>
                <w:rFonts w:eastAsia="Times New Roman" w:cstheme="minorHAnsi"/>
                <w:bCs/>
                <w:color w:val="000000"/>
                <w:lang w:eastAsia="en-GB"/>
              </w:rPr>
            </w:pPr>
            <w:r w:rsidRPr="001A4E7F">
              <w:rPr>
                <w:rFonts w:eastAsia="Times New Roman" w:cstheme="minorHAnsi"/>
                <w:b/>
                <w:color w:val="000000"/>
                <w:lang w:eastAsia="en-GB"/>
              </w:rPr>
              <w:t xml:space="preserve">Patients with valvular disease can be enrolled in </w:t>
            </w:r>
            <w:proofErr w:type="gramStart"/>
            <w:r w:rsidRPr="001A4E7F">
              <w:rPr>
                <w:rFonts w:eastAsia="Times New Roman" w:cstheme="minorHAnsi"/>
                <w:b/>
                <w:color w:val="000000"/>
                <w:lang w:eastAsia="en-GB"/>
              </w:rPr>
              <w:t>DaRe2THINK</w:t>
            </w:r>
            <w:r w:rsidRPr="001A4E7F">
              <w:rPr>
                <w:rFonts w:eastAsia="Times New Roman" w:cstheme="minorHAnsi"/>
                <w:bCs/>
                <w:color w:val="000000"/>
                <w:lang w:eastAsia="en-GB"/>
              </w:rPr>
              <w:t>, if</w:t>
            </w:r>
            <w:proofErr w:type="gramEnd"/>
            <w:r w:rsidRPr="001A4E7F">
              <w:rPr>
                <w:rFonts w:eastAsia="Times New Roman" w:cstheme="minorHAnsi"/>
                <w:bCs/>
                <w:color w:val="000000"/>
                <w:lang w:eastAsia="en-GB"/>
              </w:rPr>
              <w:t xml:space="preserve"> they meet the other inclusion and exclusion criteria. </w:t>
            </w:r>
          </w:p>
          <w:p w:rsidRPr="001A4E7F" w:rsidR="00956505" w:rsidP="00956505" w:rsidRDefault="00956505" w14:paraId="1792F6B9" w14:textId="4EDB35E2">
            <w:pPr>
              <w:spacing w:after="120"/>
              <w:rPr>
                <w:rFonts w:eastAsia="Times New Roman" w:cstheme="minorHAnsi"/>
                <w:bCs/>
                <w:color w:val="000000"/>
                <w:lang w:eastAsia="en-GB"/>
              </w:rPr>
            </w:pPr>
            <w:r w:rsidRPr="001A4E7F">
              <w:rPr>
                <w:rFonts w:eastAsia="Times New Roman" w:cstheme="minorHAnsi"/>
                <w:bCs/>
                <w:color w:val="000000"/>
                <w:lang w:eastAsia="en-GB"/>
              </w:rPr>
              <w:t xml:space="preserve">Nearly all patients with significant valvular disease and AF will already be anticoagulated by their hospital team, so would not be eligible for DaRe2THINK.  Patients with </w:t>
            </w:r>
            <w:r w:rsidRPr="001A4E7F">
              <w:rPr>
                <w:rFonts w:eastAsia="Times New Roman" w:cstheme="minorHAnsi"/>
                <w:bCs/>
                <w:color w:val="000000"/>
                <w:lang w:eastAsia="en-GB"/>
              </w:rPr>
              <w:t xml:space="preserve">moderate to severe </w:t>
            </w:r>
            <w:r w:rsidRPr="001A4E7F">
              <w:rPr>
                <w:rFonts w:eastAsia="Times New Roman" w:cstheme="minorHAnsi"/>
                <w:bCs/>
                <w:color w:val="000000"/>
                <w:lang w:eastAsia="en-GB"/>
              </w:rPr>
              <w:t xml:space="preserve">mitral valve stenosis or mechanical heart valves should </w:t>
            </w:r>
            <w:r w:rsidR="00B178E7">
              <w:rPr>
                <w:rFonts w:eastAsia="Times New Roman" w:cstheme="minorHAnsi"/>
                <w:bCs/>
                <w:color w:val="000000"/>
                <w:lang w:eastAsia="en-GB"/>
              </w:rPr>
              <w:t xml:space="preserve">be </w:t>
            </w:r>
            <w:r w:rsidRPr="001A4E7F">
              <w:rPr>
                <w:rFonts w:eastAsia="Times New Roman" w:cstheme="minorHAnsi"/>
                <w:bCs/>
                <w:color w:val="000000"/>
                <w:lang w:eastAsia="en-GB"/>
              </w:rPr>
              <w:t>receiv</w:t>
            </w:r>
            <w:r w:rsidR="00B178E7">
              <w:rPr>
                <w:rFonts w:eastAsia="Times New Roman" w:cstheme="minorHAnsi"/>
                <w:bCs/>
                <w:color w:val="000000"/>
                <w:lang w:eastAsia="en-GB"/>
              </w:rPr>
              <w:t>ing</w:t>
            </w:r>
            <w:r w:rsidRPr="001A4E7F">
              <w:rPr>
                <w:rFonts w:eastAsia="Times New Roman" w:cstheme="minorHAnsi"/>
                <w:bCs/>
                <w:color w:val="000000"/>
                <w:lang w:eastAsia="en-GB"/>
              </w:rPr>
              <w:t xml:space="preserve"> warfarin </w:t>
            </w:r>
            <w:r w:rsidR="00B178E7">
              <w:rPr>
                <w:rFonts w:eastAsia="Times New Roman" w:cstheme="minorHAnsi"/>
                <w:bCs/>
                <w:color w:val="000000"/>
                <w:lang w:eastAsia="en-GB"/>
              </w:rPr>
              <w:t>rather than</w:t>
            </w:r>
            <w:r w:rsidRPr="001A4E7F">
              <w:rPr>
                <w:rFonts w:eastAsia="Times New Roman" w:cstheme="minorHAnsi"/>
                <w:bCs/>
                <w:color w:val="000000"/>
                <w:lang w:eastAsia="en-GB"/>
              </w:rPr>
              <w:t xml:space="preserve"> a DOAC.</w:t>
            </w:r>
          </w:p>
        </w:tc>
      </w:tr>
      <w:tr w:rsidR="0B2B6FDB" w:rsidTr="0B2B6FDB" w14:paraId="455DEF0A">
        <w:trPr>
          <w:trHeight w:val="2108"/>
        </w:trPr>
        <w:tc>
          <w:tcPr>
            <w:tcW w:w="1980" w:type="dxa"/>
            <w:tcMar/>
          </w:tcPr>
          <w:p w:rsidR="30AF0FD0" w:rsidP="0B2B6FDB" w:rsidRDefault="30AF0FD0" w14:paraId="6DBBB6E2" w14:textId="74505FAC">
            <w:pPr>
              <w:pStyle w:val="Normal"/>
              <w:rPr>
                <w:rFonts w:eastAsia="Times New Roman" w:cs="Calibri" w:cstheme="minorAscii"/>
                <w:color w:val="000000" w:themeColor="text1" w:themeTint="FF" w:themeShade="FF"/>
                <w:lang w:eastAsia="en-GB"/>
              </w:rPr>
            </w:pPr>
            <w:r w:rsidRPr="0B2B6FDB" w:rsidR="30AF0FD0">
              <w:rPr>
                <w:rFonts w:eastAsia="Times New Roman" w:cs="Calibri" w:cstheme="minorAscii"/>
                <w:color w:val="000000" w:themeColor="text1" w:themeTint="FF" w:themeShade="FF"/>
                <w:lang w:eastAsia="en-GB"/>
              </w:rPr>
              <w:t xml:space="preserve">A patient is currently not </w:t>
            </w:r>
            <w:r w:rsidRPr="0B2B6FDB" w:rsidR="312C1194">
              <w:rPr>
                <w:rFonts w:eastAsia="Times New Roman" w:cs="Calibri" w:cstheme="minorAscii"/>
                <w:color w:val="000000" w:themeColor="text1" w:themeTint="FF" w:themeShade="FF"/>
                <w:lang w:eastAsia="en-GB"/>
              </w:rPr>
              <w:t>eligible to take part in</w:t>
            </w:r>
            <w:r w:rsidRPr="0B2B6FDB" w:rsidR="7549EA0F">
              <w:rPr>
                <w:rFonts w:eastAsia="Times New Roman" w:cs="Calibri" w:cstheme="minorAscii"/>
                <w:color w:val="000000" w:themeColor="text1" w:themeTint="FF" w:themeShade="FF"/>
                <w:lang w:eastAsia="en-GB"/>
              </w:rPr>
              <w:t xml:space="preserve"> </w:t>
            </w:r>
            <w:r w:rsidRPr="0B2B6FDB" w:rsidR="312C1194">
              <w:rPr>
                <w:rFonts w:eastAsia="Times New Roman" w:cs="Calibri" w:cstheme="minorAscii"/>
                <w:color w:val="000000" w:themeColor="text1" w:themeTint="FF" w:themeShade="FF"/>
                <w:lang w:eastAsia="en-GB"/>
              </w:rPr>
              <w:t>DaRe2THINK, but they may become eligible later</w:t>
            </w:r>
            <w:r w:rsidRPr="0B2B6FDB" w:rsidR="4597D4B3">
              <w:rPr>
                <w:rFonts w:eastAsia="Times New Roman" w:cs="Calibri" w:cstheme="minorAscii"/>
                <w:color w:val="000000" w:themeColor="text1" w:themeTint="FF" w:themeShade="FF"/>
                <w:lang w:eastAsia="en-GB"/>
              </w:rPr>
              <w:t>, should they be rejected</w:t>
            </w:r>
            <w:r w:rsidRPr="0B2B6FDB" w:rsidR="312C1194">
              <w:rPr>
                <w:rFonts w:eastAsia="Times New Roman" w:cs="Calibri" w:cstheme="minorAscii"/>
                <w:color w:val="000000" w:themeColor="text1" w:themeTint="FF" w:themeShade="FF"/>
                <w:lang w:eastAsia="en-GB"/>
              </w:rPr>
              <w:t>?</w:t>
            </w:r>
          </w:p>
        </w:tc>
        <w:tc>
          <w:tcPr>
            <w:tcW w:w="7654" w:type="dxa"/>
            <w:tcMar/>
          </w:tcPr>
          <w:p w:rsidR="312C1194" w:rsidP="0B2B6FDB" w:rsidRDefault="312C1194" w14:paraId="7D8A8835" w14:textId="63CCD56F">
            <w:pPr>
              <w:pStyle w:val="Normal"/>
              <w:rPr>
                <w:rFonts w:eastAsia="Times New Roman" w:cs="Calibri" w:cstheme="minorAscii"/>
                <w:color w:val="000000" w:themeColor="text1" w:themeTint="FF" w:themeShade="FF"/>
                <w:lang w:eastAsia="en-GB"/>
              </w:rPr>
            </w:pPr>
            <w:r w:rsidRPr="0B2B6FDB" w:rsidR="312C1194">
              <w:rPr>
                <w:rFonts w:eastAsia="Times New Roman" w:cs="Calibri" w:cstheme="minorAscii"/>
                <w:color w:val="000000" w:themeColor="text1" w:themeTint="FF" w:themeShade="FF"/>
                <w:lang w:eastAsia="en-GB"/>
              </w:rPr>
              <w:t xml:space="preserve">If you </w:t>
            </w:r>
            <w:r w:rsidRPr="0B2B6FDB" w:rsidR="33E9778F">
              <w:rPr>
                <w:rFonts w:eastAsia="Times New Roman" w:cs="Calibri" w:cstheme="minorAscii"/>
                <w:color w:val="000000" w:themeColor="text1" w:themeTint="FF" w:themeShade="FF"/>
                <w:lang w:eastAsia="en-GB"/>
              </w:rPr>
              <w:t>are</w:t>
            </w:r>
            <w:r w:rsidRPr="0B2B6FDB" w:rsidR="312C1194">
              <w:rPr>
                <w:rFonts w:eastAsia="Times New Roman" w:cs="Calibri" w:cstheme="minorAscii"/>
                <w:color w:val="000000" w:themeColor="text1" w:themeTint="FF" w:themeShade="FF"/>
                <w:lang w:eastAsia="en-GB"/>
              </w:rPr>
              <w:t xml:space="preserve"> unsure about the eligib</w:t>
            </w:r>
            <w:r w:rsidRPr="0B2B6FDB" w:rsidR="2E07134D">
              <w:rPr>
                <w:rFonts w:eastAsia="Times New Roman" w:cs="Calibri" w:cstheme="minorAscii"/>
                <w:color w:val="000000" w:themeColor="text1" w:themeTint="FF" w:themeShade="FF"/>
                <w:lang w:eastAsia="en-GB"/>
              </w:rPr>
              <w:t>il</w:t>
            </w:r>
            <w:r w:rsidRPr="0B2B6FDB" w:rsidR="312C1194">
              <w:rPr>
                <w:rFonts w:eastAsia="Times New Roman" w:cs="Calibri" w:cstheme="minorAscii"/>
                <w:color w:val="000000" w:themeColor="text1" w:themeTint="FF" w:themeShade="FF"/>
                <w:lang w:eastAsia="en-GB"/>
              </w:rPr>
              <w:t xml:space="preserve">ity of a patient or </w:t>
            </w:r>
            <w:r w:rsidRPr="0B2B6FDB" w:rsidR="5D9393A3">
              <w:rPr>
                <w:rFonts w:eastAsia="Times New Roman" w:cs="Calibri" w:cstheme="minorAscii"/>
                <w:color w:val="000000" w:themeColor="text1" w:themeTint="FF" w:themeShade="FF"/>
                <w:lang w:eastAsia="en-GB"/>
              </w:rPr>
              <w:t>think</w:t>
            </w:r>
            <w:r w:rsidRPr="0B2B6FDB" w:rsidR="312C1194">
              <w:rPr>
                <w:rFonts w:eastAsia="Times New Roman" w:cs="Calibri" w:cstheme="minorAscii"/>
                <w:color w:val="000000" w:themeColor="text1" w:themeTint="FF" w:themeShade="FF"/>
                <w:lang w:eastAsia="en-GB"/>
              </w:rPr>
              <w:t xml:space="preserve"> that the patient</w:t>
            </w:r>
            <w:r w:rsidRPr="0B2B6FDB" w:rsidR="4106CDB3">
              <w:rPr>
                <w:rFonts w:eastAsia="Times New Roman" w:cs="Calibri" w:cstheme="minorAscii"/>
                <w:color w:val="000000" w:themeColor="text1" w:themeTint="FF" w:themeShade="FF"/>
                <w:lang w:eastAsia="en-GB"/>
              </w:rPr>
              <w:t xml:space="preserve"> </w:t>
            </w:r>
            <w:r w:rsidRPr="0B2B6FDB" w:rsidR="312C1194">
              <w:rPr>
                <w:rFonts w:eastAsia="Times New Roman" w:cs="Calibri" w:cstheme="minorAscii"/>
                <w:color w:val="000000" w:themeColor="text1" w:themeTint="FF" w:themeShade="FF"/>
                <w:lang w:eastAsia="en-GB"/>
              </w:rPr>
              <w:t>might become eligible to take part in the future</w:t>
            </w:r>
            <w:r w:rsidRPr="0B2B6FDB" w:rsidR="0A1C9ABE">
              <w:rPr>
                <w:rFonts w:eastAsia="Times New Roman" w:cs="Calibri" w:cstheme="minorAscii"/>
                <w:color w:val="000000" w:themeColor="text1" w:themeTint="FF" w:themeShade="FF"/>
                <w:lang w:eastAsia="en-GB"/>
              </w:rPr>
              <w:t xml:space="preserve">, please </w:t>
            </w:r>
            <w:r w:rsidRPr="0B2B6FDB" w:rsidR="0A1C9ABE">
              <w:rPr>
                <w:rFonts w:eastAsia="Times New Roman" w:cs="Calibri" w:cstheme="minorAscii"/>
                <w:b w:val="1"/>
                <w:bCs w:val="1"/>
                <w:color w:val="000000" w:themeColor="text1" w:themeTint="FF" w:themeShade="FF"/>
                <w:lang w:eastAsia="en-GB"/>
              </w:rPr>
              <w:t>do not reject</w:t>
            </w:r>
            <w:r w:rsidRPr="0B2B6FDB" w:rsidR="0A1C9ABE">
              <w:rPr>
                <w:rFonts w:eastAsia="Times New Roman" w:cs="Calibri" w:cstheme="minorAscii"/>
                <w:color w:val="000000" w:themeColor="text1" w:themeTint="FF" w:themeShade="FF"/>
                <w:lang w:eastAsia="en-GB"/>
              </w:rPr>
              <w:t xml:space="preserve"> this patient</w:t>
            </w:r>
            <w:r w:rsidRPr="0B2B6FDB" w:rsidR="4BFE6B17">
              <w:rPr>
                <w:rFonts w:eastAsia="Times New Roman" w:cs="Calibri" w:cstheme="minorAscii"/>
                <w:color w:val="000000" w:themeColor="text1" w:themeTint="FF" w:themeShade="FF"/>
                <w:lang w:eastAsia="en-GB"/>
              </w:rPr>
              <w:t xml:space="preserve"> in you IRSP system. </w:t>
            </w:r>
          </w:p>
          <w:p w:rsidR="0B2B6FDB" w:rsidP="0B2B6FDB" w:rsidRDefault="0B2B6FDB" w14:paraId="33C9D49B" w14:textId="4621872B">
            <w:pPr>
              <w:pStyle w:val="Normal"/>
              <w:rPr>
                <w:rFonts w:eastAsia="Times New Roman" w:cs="Calibri" w:cstheme="minorAscii"/>
                <w:color w:val="000000" w:themeColor="text1" w:themeTint="FF" w:themeShade="FF"/>
                <w:lang w:eastAsia="en-GB"/>
              </w:rPr>
            </w:pPr>
          </w:p>
          <w:p w:rsidR="4BFE6B17" w:rsidP="0B2B6FDB" w:rsidRDefault="4BFE6B17" w14:paraId="471D45C8" w14:textId="75B45B81">
            <w:pPr>
              <w:pStyle w:val="Normal"/>
              <w:rPr>
                <w:rFonts w:eastAsia="Times New Roman" w:cs="Calibri" w:cstheme="minorAscii"/>
                <w:color w:val="000000" w:themeColor="text1" w:themeTint="FF" w:themeShade="FF"/>
                <w:lang w:eastAsia="en-GB"/>
              </w:rPr>
            </w:pPr>
            <w:r w:rsidRPr="0B2B6FDB" w:rsidR="4BFE6B17">
              <w:rPr>
                <w:rFonts w:eastAsia="Times New Roman" w:cs="Calibri" w:cstheme="minorAscii"/>
                <w:color w:val="000000" w:themeColor="text1" w:themeTint="FF" w:themeShade="FF"/>
                <w:lang w:eastAsia="en-GB"/>
              </w:rPr>
              <w:t>Once a patient is mark as rejecte</w:t>
            </w:r>
            <w:r w:rsidRPr="0B2B6FDB" w:rsidR="77F3BF3E">
              <w:rPr>
                <w:rFonts w:eastAsia="Times New Roman" w:cs="Calibri" w:cstheme="minorAscii"/>
                <w:color w:val="000000" w:themeColor="text1" w:themeTint="FF" w:themeShade="FF"/>
                <w:lang w:eastAsia="en-GB"/>
              </w:rPr>
              <w:t xml:space="preserve">d, they will not be eligible to be </w:t>
            </w:r>
            <w:r w:rsidRPr="0B2B6FDB" w:rsidR="66BB5B22">
              <w:rPr>
                <w:rFonts w:eastAsia="Times New Roman" w:cs="Calibri" w:cstheme="minorAscii"/>
                <w:color w:val="000000" w:themeColor="text1" w:themeTint="FF" w:themeShade="FF"/>
                <w:lang w:eastAsia="en-GB"/>
              </w:rPr>
              <w:t>enrolled in DaRe2THINK</w:t>
            </w:r>
            <w:r w:rsidRPr="0B2B6FDB" w:rsidR="77F3BF3E">
              <w:rPr>
                <w:rFonts w:eastAsia="Times New Roman" w:cs="Calibri" w:cstheme="minorAscii"/>
                <w:color w:val="000000" w:themeColor="text1" w:themeTint="FF" w:themeShade="FF"/>
                <w:lang w:eastAsia="en-GB"/>
              </w:rPr>
              <w:t xml:space="preserve"> in the future. Please leave the patient as </w:t>
            </w:r>
            <w:r w:rsidRPr="0B2B6FDB" w:rsidR="59C17522">
              <w:rPr>
                <w:rFonts w:eastAsia="Times New Roman" w:cs="Calibri" w:cstheme="minorAscii"/>
                <w:color w:val="000000" w:themeColor="text1" w:themeTint="FF" w:themeShade="FF"/>
                <w:lang w:eastAsia="en-GB"/>
              </w:rPr>
              <w:t>p</w:t>
            </w:r>
            <w:r w:rsidRPr="0B2B6FDB" w:rsidR="77F3BF3E">
              <w:rPr>
                <w:rFonts w:eastAsia="Times New Roman" w:cs="Calibri" w:cstheme="minorAscii"/>
                <w:color w:val="000000" w:themeColor="text1" w:themeTint="FF" w:themeShade="FF"/>
                <w:lang w:eastAsia="en-GB"/>
              </w:rPr>
              <w:t>re-screened and flag</w:t>
            </w:r>
            <w:r w:rsidRPr="0B2B6FDB" w:rsidR="21C09746">
              <w:rPr>
                <w:rFonts w:eastAsia="Times New Roman" w:cs="Calibri" w:cstheme="minorAscii"/>
                <w:color w:val="000000" w:themeColor="text1" w:themeTint="FF" w:themeShade="FF"/>
                <w:lang w:eastAsia="en-GB"/>
              </w:rPr>
              <w:t xml:space="preserve"> them</w:t>
            </w:r>
            <w:r w:rsidRPr="0B2B6FDB" w:rsidR="77F3BF3E">
              <w:rPr>
                <w:rFonts w:eastAsia="Times New Roman" w:cs="Calibri" w:cstheme="minorAscii"/>
                <w:color w:val="000000" w:themeColor="text1" w:themeTint="FF" w:themeShade="FF"/>
                <w:lang w:eastAsia="en-GB"/>
              </w:rPr>
              <w:t xml:space="preserve"> for review in the fut</w:t>
            </w:r>
            <w:r w:rsidRPr="0B2B6FDB" w:rsidR="281675F1">
              <w:rPr>
                <w:rFonts w:eastAsia="Times New Roman" w:cs="Calibri" w:cstheme="minorAscii"/>
                <w:color w:val="000000" w:themeColor="text1" w:themeTint="FF" w:themeShade="FF"/>
                <w:lang w:eastAsia="en-GB"/>
              </w:rPr>
              <w:t xml:space="preserve">ure. </w:t>
            </w:r>
          </w:p>
        </w:tc>
      </w:tr>
      <w:tr w:rsidRPr="001A4E7F" w:rsidR="00956505" w:rsidTr="0B2B6FDB" w14:paraId="43CEDA3D" w14:textId="77777777">
        <w:trPr>
          <w:trHeight w:val="2108"/>
        </w:trPr>
        <w:tc>
          <w:tcPr>
            <w:tcW w:w="1980" w:type="dxa"/>
            <w:tcMar/>
          </w:tcPr>
          <w:p w:rsidRPr="001A4E7F" w:rsidR="00956505" w:rsidP="00956505" w:rsidRDefault="00956505" w14:paraId="47F894CC" w14:textId="2420927D">
            <w:pPr>
              <w:spacing w:after="120"/>
              <w:rPr>
                <w:rFonts w:eastAsia="Times New Roman" w:cstheme="minorHAnsi"/>
                <w:color w:val="FFFFFF" w:themeColor="background1"/>
                <w:lang w:eastAsia="en-GB"/>
              </w:rPr>
            </w:pPr>
            <w:r w:rsidRPr="001A4E7F">
              <w:rPr>
                <w:rFonts w:eastAsia="Times New Roman" w:cstheme="minorHAnsi"/>
                <w:color w:val="000000"/>
                <w:lang w:eastAsia="en-GB"/>
              </w:rPr>
              <w:t>What if an invited patient does not want to take part?</w:t>
            </w:r>
          </w:p>
        </w:tc>
        <w:tc>
          <w:tcPr>
            <w:tcW w:w="7654" w:type="dxa"/>
            <w:tcMar/>
          </w:tcPr>
          <w:p w:rsidRPr="001A4E7F" w:rsidR="00956505" w:rsidP="00956505" w:rsidRDefault="00956505" w14:paraId="1BB4C14F" w14:textId="21FEF288">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You may wish to </w:t>
            </w:r>
            <w:r w:rsidRPr="001A4E7F">
              <w:rPr>
                <w:rFonts w:eastAsia="Times New Roman" w:cstheme="minorHAnsi"/>
                <w:b/>
                <w:bCs/>
                <w:color w:val="000000" w:themeColor="text1"/>
                <w:lang w:eastAsia="en-GB"/>
              </w:rPr>
              <w:t>speak the patient by phone</w:t>
            </w:r>
            <w:r w:rsidRPr="001A4E7F">
              <w:rPr>
                <w:rFonts w:eastAsia="Times New Roman" w:cstheme="minorHAnsi"/>
                <w:color w:val="000000" w:themeColor="text1"/>
                <w:lang w:eastAsia="en-GB"/>
              </w:rPr>
              <w:t xml:space="preserve"> to explain the rational for the study (prevention of cognitive decline, strokes and death) and explain the preventive nature of DOAC therapy and its safe use in millions of NHS patients. </w:t>
            </w:r>
          </w:p>
          <w:p w:rsidRPr="001A4E7F" w:rsidR="00956505" w:rsidP="00956505" w:rsidRDefault="00956505" w14:paraId="1E29C748" w14:textId="68474B7D">
            <w:pPr>
              <w:spacing w:after="120"/>
              <w:rPr>
                <w:rFonts w:eastAsia="Times New Roman" w:cstheme="minorHAnsi"/>
                <w:b/>
                <w:bCs/>
                <w:color w:val="FFFFFF" w:themeColor="background1"/>
                <w:lang w:eastAsia="en-GB"/>
              </w:rPr>
            </w:pPr>
            <w:r w:rsidRPr="001A4E7F">
              <w:rPr>
                <w:rFonts w:eastAsia="Times New Roman" w:cstheme="minorHAnsi"/>
                <w:color w:val="000000" w:themeColor="text1"/>
                <w:lang w:eastAsia="en-GB"/>
              </w:rPr>
              <w:t xml:space="preserve">If an invited patient responds to the invite letter and confirms they do not want to take part, please login to the </w:t>
            </w:r>
            <w:proofErr w:type="spellStart"/>
            <w:r w:rsidRPr="001A4E7F">
              <w:rPr>
                <w:rFonts w:eastAsia="Times New Roman" w:cstheme="minorHAnsi"/>
                <w:color w:val="000000" w:themeColor="text1"/>
                <w:lang w:eastAsia="en-GB"/>
              </w:rPr>
              <w:t>IRSP</w:t>
            </w:r>
            <w:proofErr w:type="spellEnd"/>
            <w:r w:rsidRPr="001A4E7F">
              <w:rPr>
                <w:rFonts w:eastAsia="Times New Roman" w:cstheme="minorHAnsi"/>
                <w:color w:val="000000" w:themeColor="text1"/>
                <w:lang w:eastAsia="en-GB"/>
              </w:rPr>
              <w:t xml:space="preserve"> system and </w:t>
            </w:r>
            <w:r w:rsidRPr="001A4E7F">
              <w:rPr>
                <w:rFonts w:eastAsia="Times New Roman" w:cstheme="minorHAnsi"/>
                <w:b/>
                <w:bCs/>
                <w:color w:val="000000" w:themeColor="text1"/>
                <w:lang w:eastAsia="en-GB"/>
              </w:rPr>
              <w:t>reject that patient</w:t>
            </w:r>
            <w:r w:rsidRPr="001A4E7F">
              <w:rPr>
                <w:rFonts w:eastAsia="Times New Roman" w:cstheme="minorHAnsi"/>
                <w:color w:val="000000" w:themeColor="text1"/>
                <w:lang w:eastAsia="en-GB"/>
              </w:rPr>
              <w:t xml:space="preserve"> from the trial.   You do not need to input any information on the REDCap system.</w:t>
            </w:r>
          </w:p>
        </w:tc>
      </w:tr>
      <w:tr w:rsidRPr="001A4E7F" w:rsidR="00956505" w:rsidTr="0B2B6FDB" w14:paraId="7EC832F2" w14:textId="77777777">
        <w:trPr>
          <w:trHeight w:val="450"/>
        </w:trPr>
        <w:tc>
          <w:tcPr>
            <w:tcW w:w="1980" w:type="dxa"/>
            <w:vMerge w:val="restart"/>
            <w:tcMar/>
            <w:hideMark/>
          </w:tcPr>
          <w:p w:rsidRPr="001A4E7F" w:rsidR="00956505" w:rsidP="00956505" w:rsidRDefault="00956505" w14:paraId="604CAF10" w14:textId="77777777">
            <w:pPr>
              <w:spacing w:after="120"/>
              <w:rPr>
                <w:rFonts w:eastAsia="Times New Roman" w:cstheme="minorHAnsi"/>
                <w:color w:val="000000"/>
                <w:lang w:eastAsia="en-GB"/>
              </w:rPr>
            </w:pPr>
            <w:r w:rsidRPr="001A4E7F">
              <w:rPr>
                <w:rFonts w:eastAsia="Times New Roman" w:cstheme="minorHAnsi"/>
                <w:color w:val="000000"/>
                <w:lang w:eastAsia="en-GB"/>
              </w:rPr>
              <w:t>Is the informed consent form in other languages?</w:t>
            </w:r>
          </w:p>
        </w:tc>
        <w:tc>
          <w:tcPr>
            <w:tcW w:w="7654" w:type="dxa"/>
            <w:vMerge w:val="restart"/>
            <w:tcMar/>
            <w:hideMark/>
          </w:tcPr>
          <w:p w:rsidRPr="001A4E7F" w:rsidR="00956505" w:rsidP="00956505" w:rsidRDefault="00956505" w14:paraId="78E4DB91" w14:textId="59611033">
            <w:pPr>
              <w:spacing w:after="120"/>
              <w:rPr>
                <w:rFonts w:eastAsia="Times New Roman" w:cstheme="minorHAnsi"/>
                <w:color w:val="000000"/>
                <w:lang w:eastAsia="en-GB"/>
              </w:rPr>
            </w:pPr>
            <w:r w:rsidRPr="001A4E7F">
              <w:rPr>
                <w:rFonts w:eastAsia="Times New Roman" w:cstheme="minorHAnsi"/>
                <w:color w:val="000000"/>
                <w:lang w:eastAsia="en-GB"/>
              </w:rPr>
              <w:t xml:space="preserve">No – however you wish to use a translator and there is a field for the patient to record if they have completed the form with the </w:t>
            </w:r>
            <w:r w:rsidRPr="001A4E7F">
              <w:rPr>
                <w:rFonts w:eastAsia="Times New Roman" w:cstheme="minorHAnsi"/>
                <w:b/>
                <w:bCs/>
                <w:color w:val="000000"/>
                <w:lang w:eastAsia="en-GB"/>
              </w:rPr>
              <w:t>assistance of a translator</w:t>
            </w:r>
            <w:r w:rsidRPr="001A4E7F">
              <w:rPr>
                <w:rFonts w:eastAsia="Times New Roman" w:cstheme="minorHAnsi"/>
                <w:color w:val="000000"/>
                <w:lang w:eastAsia="en-GB"/>
              </w:rPr>
              <w:t>.  The electronic patient-reported outcomes that participants receive on their mobile phone every six months are available in a range of languages.</w:t>
            </w:r>
          </w:p>
        </w:tc>
      </w:tr>
      <w:tr w:rsidRPr="001A4E7F" w:rsidR="00956505" w:rsidTr="0B2B6FDB" w14:paraId="3752E0B6" w14:textId="77777777">
        <w:trPr>
          <w:trHeight w:val="954"/>
        </w:trPr>
        <w:tc>
          <w:tcPr>
            <w:tcW w:w="1980" w:type="dxa"/>
            <w:vMerge/>
            <w:tcMar/>
            <w:hideMark/>
          </w:tcPr>
          <w:p w:rsidRPr="001A4E7F" w:rsidR="00956505" w:rsidP="00956505" w:rsidRDefault="00956505" w14:paraId="6157760F" w14:textId="77777777">
            <w:pPr>
              <w:spacing w:after="120"/>
              <w:rPr>
                <w:rFonts w:eastAsia="Times New Roman" w:cstheme="minorHAnsi"/>
                <w:color w:val="000000"/>
                <w:lang w:eastAsia="en-GB"/>
              </w:rPr>
            </w:pPr>
          </w:p>
        </w:tc>
        <w:tc>
          <w:tcPr>
            <w:tcW w:w="7654" w:type="dxa"/>
            <w:vMerge/>
            <w:tcMar/>
            <w:hideMark/>
          </w:tcPr>
          <w:p w:rsidRPr="001A4E7F" w:rsidR="00956505" w:rsidP="00956505" w:rsidRDefault="00956505" w14:paraId="7358F8EF" w14:textId="77777777">
            <w:pPr>
              <w:spacing w:after="120"/>
              <w:rPr>
                <w:rFonts w:eastAsia="Times New Roman" w:cstheme="minorHAnsi"/>
                <w:color w:val="000000"/>
                <w:lang w:eastAsia="en-GB"/>
              </w:rPr>
            </w:pPr>
          </w:p>
        </w:tc>
      </w:tr>
      <w:tr w:rsidRPr="001A4E7F" w:rsidR="00956505" w:rsidTr="0B2B6FDB" w14:paraId="429917E6" w14:textId="77777777">
        <w:trPr>
          <w:trHeight w:val="6593"/>
        </w:trPr>
        <w:tc>
          <w:tcPr>
            <w:tcW w:w="1980" w:type="dxa"/>
            <w:tcMar/>
            <w:hideMark/>
          </w:tcPr>
          <w:p w:rsidRPr="001A4E7F" w:rsidR="00956505" w:rsidP="00956505" w:rsidRDefault="00956505" w14:paraId="69638584" w14:textId="77777777">
            <w:pPr>
              <w:spacing w:after="120"/>
              <w:rPr>
                <w:rFonts w:eastAsia="Times New Roman" w:cstheme="minorHAnsi"/>
                <w:color w:val="000000"/>
                <w:lang w:eastAsia="en-GB"/>
              </w:rPr>
            </w:pPr>
            <w:r w:rsidRPr="001A4E7F">
              <w:rPr>
                <w:rFonts w:eastAsia="Times New Roman" w:cstheme="minorHAnsi"/>
                <w:color w:val="000000"/>
                <w:lang w:eastAsia="en-GB"/>
              </w:rPr>
              <w:t>Are we limited to one particular DOAC for this trial?</w:t>
            </w:r>
          </w:p>
        </w:tc>
        <w:tc>
          <w:tcPr>
            <w:tcW w:w="7654" w:type="dxa"/>
            <w:tcMar/>
            <w:hideMark/>
          </w:tcPr>
          <w:p w:rsidRPr="001A4E7F" w:rsidR="00956505" w:rsidP="00956505" w:rsidRDefault="00956505" w14:paraId="6E39D399" w14:textId="7771EFEF">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No, investigators can prescribe </w:t>
            </w:r>
            <w:r w:rsidRPr="001A4E7F">
              <w:rPr>
                <w:rFonts w:eastAsia="Times New Roman" w:cstheme="minorHAnsi"/>
                <w:b/>
                <w:bCs/>
                <w:color w:val="000000" w:themeColor="text1"/>
                <w:lang w:eastAsia="en-GB"/>
              </w:rPr>
              <w:t>any</w:t>
            </w:r>
            <w:r w:rsidRPr="001A4E7F">
              <w:rPr>
                <w:rFonts w:eastAsia="Times New Roman" w:cstheme="minorHAnsi"/>
                <w:color w:val="000000" w:themeColor="text1"/>
                <w:lang w:eastAsia="en-GB"/>
              </w:rPr>
              <w:t xml:space="preserve"> one for the 4 currently licensed DOACs for AF: Apixaban, Edoxaban, Dabigatran or Rivaroxaban, depending on local </w:t>
            </w:r>
            <w:r w:rsidR="009E693A">
              <w:rPr>
                <w:rFonts w:eastAsia="Times New Roman" w:cstheme="minorHAnsi"/>
                <w:color w:val="000000" w:themeColor="text1"/>
                <w:lang w:eastAsia="en-GB"/>
              </w:rPr>
              <w:t xml:space="preserve">experience, </w:t>
            </w:r>
            <w:r w:rsidRPr="001A4E7F">
              <w:rPr>
                <w:rFonts w:eastAsia="Times New Roman" w:cstheme="minorHAnsi"/>
                <w:color w:val="000000" w:themeColor="text1"/>
                <w:lang w:eastAsia="en-GB"/>
              </w:rPr>
              <w:t>policies and your CCG guidance.  However, we ask that all patients receive the full licensed dose, with dose reduction only for specific patients (see table below).</w:t>
            </w:r>
          </w:p>
          <w:tbl>
            <w:tblPr>
              <w:tblStyle w:val="TableGrid"/>
              <w:tblW w:w="74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305"/>
              <w:gridCol w:w="1134"/>
              <w:gridCol w:w="3544"/>
              <w:gridCol w:w="1418"/>
            </w:tblGrid>
            <w:tr w:rsidRPr="001A4E7F" w:rsidR="00956505" w:rsidTr="000416FC" w14:paraId="3EF1498A" w14:textId="77777777">
              <w:tc>
                <w:tcPr>
                  <w:tcW w:w="1305" w:type="dxa"/>
                  <w:shd w:val="clear" w:color="auto" w:fill="EBF0F9"/>
                </w:tcPr>
                <w:p w:rsidRPr="001A4E7F" w:rsidR="00956505" w:rsidP="00956505" w:rsidRDefault="00956505" w14:paraId="61B95A57" w14:textId="77777777">
                  <w:pPr>
                    <w:spacing w:before="60" w:after="60"/>
                    <w:rPr>
                      <w:b/>
                      <w:bCs/>
                      <w:sz w:val="20"/>
                    </w:rPr>
                  </w:pPr>
                  <w:r w:rsidRPr="001A4E7F">
                    <w:rPr>
                      <w:b/>
                      <w:bCs/>
                      <w:sz w:val="20"/>
                    </w:rPr>
                    <w:t>DOAC</w:t>
                  </w:r>
                </w:p>
              </w:tc>
              <w:tc>
                <w:tcPr>
                  <w:tcW w:w="1134" w:type="dxa"/>
                  <w:shd w:val="clear" w:color="auto" w:fill="EBF0F9"/>
                </w:tcPr>
                <w:p w:rsidRPr="001A4E7F" w:rsidR="00956505" w:rsidP="00956505" w:rsidRDefault="00956505" w14:paraId="1ECBAE19" w14:textId="7BABBBD9">
                  <w:pPr>
                    <w:spacing w:before="60" w:after="60"/>
                    <w:rPr>
                      <w:b/>
                      <w:bCs/>
                      <w:sz w:val="20"/>
                    </w:rPr>
                  </w:pPr>
                  <w:r w:rsidRPr="001A4E7F">
                    <w:rPr>
                      <w:b/>
                      <w:bCs/>
                      <w:sz w:val="20"/>
                    </w:rPr>
                    <w:t>Usual dose</w:t>
                  </w:r>
                </w:p>
              </w:tc>
              <w:tc>
                <w:tcPr>
                  <w:tcW w:w="3544" w:type="dxa"/>
                  <w:shd w:val="clear" w:color="auto" w:fill="EBF0F9"/>
                </w:tcPr>
                <w:p w:rsidRPr="001A4E7F" w:rsidR="00956505" w:rsidP="00956505" w:rsidRDefault="00956505" w14:paraId="06E2BD8B" w14:textId="77777777">
                  <w:pPr>
                    <w:spacing w:before="60" w:after="60"/>
                    <w:rPr>
                      <w:b/>
                      <w:bCs/>
                      <w:sz w:val="20"/>
                    </w:rPr>
                  </w:pPr>
                  <w:r w:rsidRPr="001A4E7F">
                    <w:rPr>
                      <w:b/>
                      <w:bCs/>
                      <w:sz w:val="20"/>
                    </w:rPr>
                    <w:t>Reasons for dose reduction</w:t>
                  </w:r>
                </w:p>
              </w:tc>
              <w:tc>
                <w:tcPr>
                  <w:tcW w:w="1418" w:type="dxa"/>
                  <w:shd w:val="clear" w:color="auto" w:fill="D9E2F3" w:themeFill="accent1" w:themeFillTint="33"/>
                </w:tcPr>
                <w:p w:rsidRPr="001A4E7F" w:rsidR="00956505" w:rsidP="00956505" w:rsidRDefault="00956505" w14:paraId="438E2369" w14:textId="77777777">
                  <w:pPr>
                    <w:spacing w:before="60" w:after="60"/>
                    <w:rPr>
                      <w:b/>
                      <w:bCs/>
                      <w:sz w:val="20"/>
                    </w:rPr>
                  </w:pPr>
                  <w:r w:rsidRPr="001A4E7F">
                    <w:rPr>
                      <w:b/>
                      <w:bCs/>
                      <w:sz w:val="20"/>
                    </w:rPr>
                    <w:t>Reduced dose</w:t>
                  </w:r>
                </w:p>
              </w:tc>
            </w:tr>
            <w:tr w:rsidRPr="001A4E7F" w:rsidR="00956505" w:rsidTr="000416FC" w14:paraId="24370459" w14:textId="77777777">
              <w:tc>
                <w:tcPr>
                  <w:tcW w:w="1305" w:type="dxa"/>
                </w:tcPr>
                <w:p w:rsidRPr="001A4E7F" w:rsidR="00956505" w:rsidP="00956505" w:rsidRDefault="00956505" w14:paraId="499EF72B" w14:textId="77777777">
                  <w:pPr>
                    <w:spacing w:before="60" w:after="60"/>
                    <w:rPr>
                      <w:sz w:val="20"/>
                    </w:rPr>
                  </w:pPr>
                  <w:r w:rsidRPr="001A4E7F">
                    <w:rPr>
                      <w:sz w:val="20"/>
                    </w:rPr>
                    <w:t>Apixaban</w:t>
                  </w:r>
                </w:p>
              </w:tc>
              <w:tc>
                <w:tcPr>
                  <w:tcW w:w="1134" w:type="dxa"/>
                </w:tcPr>
                <w:p w:rsidRPr="001A4E7F" w:rsidR="00956505" w:rsidP="00956505" w:rsidRDefault="00956505" w14:paraId="727D03C3" w14:textId="77777777">
                  <w:pPr>
                    <w:spacing w:before="60" w:after="60"/>
                    <w:rPr>
                      <w:sz w:val="20"/>
                    </w:rPr>
                  </w:pPr>
                  <w:r w:rsidRPr="001A4E7F">
                    <w:rPr>
                      <w:sz w:val="20"/>
                    </w:rPr>
                    <w:t>5mg twice daily</w:t>
                  </w:r>
                </w:p>
              </w:tc>
              <w:tc>
                <w:tcPr>
                  <w:tcW w:w="3544" w:type="dxa"/>
                </w:tcPr>
                <w:p w:rsidRPr="001A4E7F" w:rsidR="00956505" w:rsidP="00956505" w:rsidRDefault="00956505" w14:paraId="41063332" w14:textId="77777777">
                  <w:pPr>
                    <w:spacing w:before="60" w:after="60"/>
                    <w:rPr>
                      <w:sz w:val="20"/>
                    </w:rPr>
                  </w:pPr>
                  <w:r w:rsidRPr="001A4E7F">
                    <w:rPr>
                      <w:sz w:val="20"/>
                    </w:rPr>
                    <w:t>Two out of three indications: weight &lt;60kg, age &gt;80 years, serum creatinine &gt;133mmol/L (or estimated creatinine clearance &lt;30mL/min)</w:t>
                  </w:r>
                </w:p>
              </w:tc>
              <w:tc>
                <w:tcPr>
                  <w:tcW w:w="1418" w:type="dxa"/>
                </w:tcPr>
                <w:p w:rsidRPr="001A4E7F" w:rsidR="00956505" w:rsidP="00956505" w:rsidRDefault="00956505" w14:paraId="25E6D99C" w14:textId="77777777">
                  <w:pPr>
                    <w:spacing w:before="60" w:after="60"/>
                    <w:rPr>
                      <w:sz w:val="20"/>
                    </w:rPr>
                  </w:pPr>
                  <w:r w:rsidRPr="001A4E7F">
                    <w:rPr>
                      <w:sz w:val="20"/>
                    </w:rPr>
                    <w:t>2.5mg twice daily</w:t>
                  </w:r>
                </w:p>
              </w:tc>
            </w:tr>
            <w:tr w:rsidRPr="001A4E7F" w:rsidR="00956505" w:rsidTr="000416FC" w14:paraId="41C92519" w14:textId="77777777">
              <w:tc>
                <w:tcPr>
                  <w:tcW w:w="1305" w:type="dxa"/>
                  <w:shd w:val="clear" w:color="auto" w:fill="EBF0F9"/>
                </w:tcPr>
                <w:p w:rsidRPr="001A4E7F" w:rsidR="00956505" w:rsidP="00956505" w:rsidRDefault="00956505" w14:paraId="6DAE9987" w14:textId="77777777">
                  <w:pPr>
                    <w:spacing w:before="60" w:after="60"/>
                    <w:rPr>
                      <w:sz w:val="20"/>
                    </w:rPr>
                  </w:pPr>
                  <w:r w:rsidRPr="001A4E7F">
                    <w:rPr>
                      <w:sz w:val="20"/>
                    </w:rPr>
                    <w:t>Dabigatran</w:t>
                  </w:r>
                </w:p>
              </w:tc>
              <w:tc>
                <w:tcPr>
                  <w:tcW w:w="1134" w:type="dxa"/>
                  <w:shd w:val="clear" w:color="auto" w:fill="EBF0F9"/>
                </w:tcPr>
                <w:p w:rsidRPr="001A4E7F" w:rsidR="00956505" w:rsidP="00956505" w:rsidRDefault="00956505" w14:paraId="5E44D005" w14:textId="77777777">
                  <w:pPr>
                    <w:spacing w:before="60" w:after="60"/>
                    <w:rPr>
                      <w:sz w:val="20"/>
                    </w:rPr>
                  </w:pPr>
                  <w:r w:rsidRPr="001A4E7F">
                    <w:rPr>
                      <w:sz w:val="20"/>
                    </w:rPr>
                    <w:t>150mg twice daily</w:t>
                  </w:r>
                </w:p>
              </w:tc>
              <w:tc>
                <w:tcPr>
                  <w:tcW w:w="3544" w:type="dxa"/>
                  <w:shd w:val="clear" w:color="auto" w:fill="EBF0F9"/>
                </w:tcPr>
                <w:p w:rsidRPr="001A4E7F" w:rsidR="00956505" w:rsidP="00956505" w:rsidRDefault="00956505" w14:paraId="10ED32F3" w14:textId="77777777">
                  <w:pPr>
                    <w:spacing w:before="60" w:after="60"/>
                    <w:rPr>
                      <w:sz w:val="20"/>
                    </w:rPr>
                  </w:pPr>
                  <w:r w:rsidRPr="001A4E7F">
                    <w:rPr>
                      <w:sz w:val="20"/>
                    </w:rPr>
                    <w:t>Patients receiving regular oral verapamil</w:t>
                  </w:r>
                </w:p>
                <w:p w:rsidRPr="001A4E7F" w:rsidR="00956505" w:rsidP="00956505" w:rsidRDefault="00956505" w14:paraId="76C853AA" w14:textId="77777777">
                  <w:pPr>
                    <w:spacing w:before="60" w:after="60"/>
                    <w:rPr>
                      <w:sz w:val="20"/>
                    </w:rPr>
                  </w:pPr>
                  <w:r w:rsidRPr="001A4E7F">
                    <w:rPr>
                      <w:sz w:val="20"/>
                    </w:rPr>
                    <w:t>(Consider dose reduction on an individual basis if estimated creatinine clearance 30-50mL/min, in patients with gastritis, esophagitis or gastroesophageal reflux, and others at increased risk of bleeding)</w:t>
                  </w:r>
                </w:p>
              </w:tc>
              <w:tc>
                <w:tcPr>
                  <w:tcW w:w="1418" w:type="dxa"/>
                </w:tcPr>
                <w:p w:rsidRPr="001A4E7F" w:rsidR="00956505" w:rsidP="00956505" w:rsidRDefault="00956505" w14:paraId="7E3E9438" w14:textId="77777777">
                  <w:pPr>
                    <w:spacing w:before="60" w:after="60"/>
                    <w:rPr>
                      <w:sz w:val="20"/>
                    </w:rPr>
                  </w:pPr>
                  <w:r w:rsidRPr="001A4E7F">
                    <w:rPr>
                      <w:sz w:val="20"/>
                    </w:rPr>
                    <w:t>110mg twice daily</w:t>
                  </w:r>
                </w:p>
              </w:tc>
            </w:tr>
            <w:tr w:rsidRPr="001A4E7F" w:rsidR="00956505" w:rsidTr="000416FC" w14:paraId="1DC6204A" w14:textId="77777777">
              <w:tc>
                <w:tcPr>
                  <w:tcW w:w="1305" w:type="dxa"/>
                </w:tcPr>
                <w:p w:rsidRPr="001A4E7F" w:rsidR="00956505" w:rsidP="00956505" w:rsidRDefault="00956505" w14:paraId="5CA11A8E" w14:textId="77777777">
                  <w:pPr>
                    <w:spacing w:before="60" w:after="60"/>
                    <w:rPr>
                      <w:sz w:val="20"/>
                    </w:rPr>
                  </w:pPr>
                  <w:r w:rsidRPr="001A4E7F">
                    <w:rPr>
                      <w:sz w:val="20"/>
                    </w:rPr>
                    <w:t>Edoxaban</w:t>
                  </w:r>
                </w:p>
              </w:tc>
              <w:tc>
                <w:tcPr>
                  <w:tcW w:w="1134" w:type="dxa"/>
                </w:tcPr>
                <w:p w:rsidRPr="001A4E7F" w:rsidR="00956505" w:rsidP="00956505" w:rsidRDefault="00956505" w14:paraId="2B8497B3" w14:textId="77777777">
                  <w:pPr>
                    <w:spacing w:before="60" w:after="60"/>
                    <w:rPr>
                      <w:sz w:val="20"/>
                    </w:rPr>
                  </w:pPr>
                  <w:r w:rsidRPr="001A4E7F">
                    <w:rPr>
                      <w:sz w:val="20"/>
                    </w:rPr>
                    <w:t>60mg once daily</w:t>
                  </w:r>
                </w:p>
              </w:tc>
              <w:tc>
                <w:tcPr>
                  <w:tcW w:w="3544" w:type="dxa"/>
                </w:tcPr>
                <w:p w:rsidRPr="001A4E7F" w:rsidR="00956505" w:rsidP="00956505" w:rsidRDefault="00956505" w14:paraId="18BC66E7" w14:textId="77777777">
                  <w:pPr>
                    <w:spacing w:before="60" w:after="60"/>
                    <w:rPr>
                      <w:sz w:val="20"/>
                    </w:rPr>
                  </w:pPr>
                  <w:r w:rsidRPr="001A4E7F">
                    <w:rPr>
                      <w:sz w:val="20"/>
                    </w:rPr>
                    <w:t>Any of: weight &lt;60kg, estimated creatinine clearance &lt;50mL/min, or concomitant therapy with potent P-glycoprotein inhibitors</w:t>
                  </w:r>
                </w:p>
              </w:tc>
              <w:tc>
                <w:tcPr>
                  <w:tcW w:w="1418" w:type="dxa"/>
                </w:tcPr>
                <w:p w:rsidRPr="001A4E7F" w:rsidR="00956505" w:rsidP="00956505" w:rsidRDefault="00956505" w14:paraId="0EC45A3A" w14:textId="77777777">
                  <w:pPr>
                    <w:spacing w:before="60" w:after="60"/>
                    <w:rPr>
                      <w:sz w:val="20"/>
                    </w:rPr>
                  </w:pPr>
                  <w:r w:rsidRPr="001A4E7F">
                    <w:rPr>
                      <w:sz w:val="20"/>
                    </w:rPr>
                    <w:t>30mg once daily</w:t>
                  </w:r>
                </w:p>
              </w:tc>
            </w:tr>
            <w:tr w:rsidRPr="001A4E7F" w:rsidR="00956505" w:rsidTr="000416FC" w14:paraId="0963B575" w14:textId="77777777">
              <w:tc>
                <w:tcPr>
                  <w:tcW w:w="1305" w:type="dxa"/>
                  <w:shd w:val="clear" w:color="auto" w:fill="EBF0F9"/>
                </w:tcPr>
                <w:p w:rsidRPr="001A4E7F" w:rsidR="00956505" w:rsidP="00956505" w:rsidRDefault="00956505" w14:paraId="54D179B8" w14:textId="77777777">
                  <w:pPr>
                    <w:spacing w:before="60" w:after="60"/>
                    <w:rPr>
                      <w:sz w:val="20"/>
                    </w:rPr>
                  </w:pPr>
                  <w:r w:rsidRPr="001A4E7F">
                    <w:rPr>
                      <w:sz w:val="20"/>
                    </w:rPr>
                    <w:t>Rivaroxaban</w:t>
                  </w:r>
                </w:p>
              </w:tc>
              <w:tc>
                <w:tcPr>
                  <w:tcW w:w="1134" w:type="dxa"/>
                  <w:shd w:val="clear" w:color="auto" w:fill="EBF0F9"/>
                </w:tcPr>
                <w:p w:rsidRPr="001A4E7F" w:rsidR="00956505" w:rsidP="00956505" w:rsidRDefault="00956505" w14:paraId="03376296" w14:textId="77777777">
                  <w:pPr>
                    <w:spacing w:before="60" w:after="60"/>
                    <w:rPr>
                      <w:sz w:val="20"/>
                    </w:rPr>
                  </w:pPr>
                  <w:r w:rsidRPr="001A4E7F">
                    <w:rPr>
                      <w:sz w:val="20"/>
                    </w:rPr>
                    <w:t>20mg once daily</w:t>
                  </w:r>
                </w:p>
              </w:tc>
              <w:tc>
                <w:tcPr>
                  <w:tcW w:w="3544" w:type="dxa"/>
                  <w:shd w:val="clear" w:color="auto" w:fill="EBF0F9"/>
                </w:tcPr>
                <w:p w:rsidRPr="001A4E7F" w:rsidR="00956505" w:rsidP="00956505" w:rsidRDefault="00956505" w14:paraId="7ECDC6B1" w14:textId="77777777">
                  <w:pPr>
                    <w:spacing w:before="60" w:after="60"/>
                    <w:rPr>
                      <w:sz w:val="20"/>
                    </w:rPr>
                  </w:pPr>
                  <w:r w:rsidRPr="001A4E7F">
                    <w:rPr>
                      <w:sz w:val="20"/>
                    </w:rPr>
                    <w:t>Creatinine clearance &lt;50mL/min</w:t>
                  </w:r>
                </w:p>
              </w:tc>
              <w:tc>
                <w:tcPr>
                  <w:tcW w:w="1418" w:type="dxa"/>
                </w:tcPr>
                <w:p w:rsidRPr="001A4E7F" w:rsidR="00956505" w:rsidP="00956505" w:rsidRDefault="00956505" w14:paraId="374C68F8" w14:textId="77777777">
                  <w:pPr>
                    <w:spacing w:before="60" w:after="60"/>
                    <w:rPr>
                      <w:sz w:val="20"/>
                    </w:rPr>
                  </w:pPr>
                  <w:r w:rsidRPr="001A4E7F">
                    <w:rPr>
                      <w:sz w:val="20"/>
                    </w:rPr>
                    <w:t>15mg once daily</w:t>
                  </w:r>
                </w:p>
              </w:tc>
            </w:tr>
          </w:tbl>
          <w:p w:rsidRPr="001A4E7F" w:rsidR="00956505" w:rsidP="00956505" w:rsidRDefault="00956505" w14:paraId="2A05FBC9" w14:textId="1C1FE629">
            <w:pPr>
              <w:spacing w:after="120"/>
              <w:rPr>
                <w:rFonts w:eastAsia="Times New Roman" w:cstheme="minorHAnsi"/>
                <w:color w:val="000000"/>
                <w:lang w:eastAsia="en-GB"/>
              </w:rPr>
            </w:pPr>
          </w:p>
        </w:tc>
      </w:tr>
      <w:tr w:rsidRPr="001A4E7F" w:rsidR="00956505" w:rsidTr="0B2B6FDB" w14:paraId="5CACDA08" w14:textId="77777777">
        <w:trPr>
          <w:trHeight w:val="2959"/>
        </w:trPr>
        <w:tc>
          <w:tcPr>
            <w:tcW w:w="1980" w:type="dxa"/>
            <w:tcMar/>
          </w:tcPr>
          <w:p w:rsidRPr="001A4E7F" w:rsidR="00956505" w:rsidP="00956505" w:rsidRDefault="00956505" w14:paraId="1341FD99" w14:textId="09BC1F6B">
            <w:pPr>
              <w:spacing w:after="120"/>
              <w:rPr>
                <w:rFonts w:eastAsia="Times New Roman" w:cstheme="minorHAnsi"/>
                <w:color w:val="000000"/>
                <w:lang w:eastAsia="en-GB"/>
              </w:rPr>
            </w:pPr>
            <w:r w:rsidRPr="001A4E7F">
              <w:rPr>
                <w:rFonts w:eastAsia="Times New Roman" w:cstheme="minorHAnsi"/>
                <w:color w:val="000000"/>
                <w:lang w:eastAsia="en-GB"/>
              </w:rPr>
              <w:t>If a patient starts a DOAC in the trial, should I stop their aspirin?</w:t>
            </w:r>
          </w:p>
        </w:tc>
        <w:tc>
          <w:tcPr>
            <w:tcW w:w="7654" w:type="dxa"/>
            <w:tcMar/>
          </w:tcPr>
          <w:p w:rsidRPr="001A4E7F" w:rsidR="00956505" w:rsidP="00956505" w:rsidRDefault="00956505" w14:paraId="65AA9898" w14:textId="2B473018">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A</w:t>
            </w:r>
            <w:r w:rsidRPr="001A4E7F">
              <w:rPr>
                <w:rFonts w:eastAsia="Times New Roman" w:cstheme="minorHAnsi"/>
                <w:color w:val="000000" w:themeColor="text1"/>
                <w:lang w:eastAsia="en-GB"/>
              </w:rPr>
              <w:t xml:space="preserve">ntiplatelet agents </w:t>
            </w:r>
            <w:r w:rsidRPr="001A4E7F">
              <w:rPr>
                <w:rFonts w:eastAsia="Times New Roman" w:cstheme="minorHAnsi"/>
                <w:b/>
                <w:bCs/>
                <w:color w:val="000000" w:themeColor="text1"/>
                <w:lang w:eastAsia="en-GB"/>
              </w:rPr>
              <w:t>should be stopped in most patients</w:t>
            </w:r>
            <w:r w:rsidRPr="001A4E7F">
              <w:rPr>
                <w:rFonts w:eastAsia="Times New Roman" w:cstheme="minorHAnsi"/>
                <w:color w:val="000000" w:themeColor="text1"/>
                <w:lang w:eastAsia="en-GB"/>
              </w:rPr>
              <w:t xml:space="preserve"> when commencing a DOAC</w:t>
            </w:r>
            <w:r w:rsidRPr="001A4E7F">
              <w:rPr>
                <w:rFonts w:eastAsia="Times New Roman" w:cstheme="minorHAnsi"/>
                <w:color w:val="000000" w:themeColor="text1"/>
                <w:lang w:eastAsia="en-GB"/>
              </w:rPr>
              <w:t xml:space="preserve">, including </w:t>
            </w:r>
            <w:r w:rsidRPr="001A4E7F">
              <w:rPr>
                <w:rFonts w:eastAsia="Times New Roman" w:cstheme="minorHAnsi"/>
                <w:color w:val="000000" w:themeColor="text1"/>
                <w:lang w:eastAsia="en-GB"/>
              </w:rPr>
              <w:t xml:space="preserve">aspirin, dipyridamole, clopidogrel or prasugrel.  This </w:t>
            </w:r>
            <w:r w:rsidRPr="001A4E7F">
              <w:rPr>
                <w:rFonts w:eastAsia="Times New Roman" w:cstheme="minorHAnsi"/>
                <w:color w:val="000000" w:themeColor="text1"/>
                <w:lang w:eastAsia="en-GB"/>
              </w:rPr>
              <w:t>applies to</w:t>
            </w:r>
            <w:r w:rsidRPr="001A4E7F">
              <w:rPr>
                <w:rFonts w:eastAsia="Times New Roman" w:cstheme="minorHAnsi"/>
                <w:color w:val="000000" w:themeColor="text1"/>
                <w:lang w:eastAsia="en-GB"/>
              </w:rPr>
              <w:t xml:space="preserve"> patients who are taking antiplatelets for primary prevention reasons and those with stable coronary, cerebral or vascular disease, where monotherapy with a DOAC is recommended in patients with AF.  If a patient with prior acute coronary syndrome or percutaneous coronary stenting receives a DOAC, then in most cases antiplatelet therapy should cease at 12 months after the event, and thereafter the patient should receive a DOAC alone.  Cardiologists will have explicitly stated any exceptions to this rule in clinical documentation (for example, patients with unstable complex lesions or plans for further intervention).</w:t>
            </w:r>
          </w:p>
        </w:tc>
      </w:tr>
      <w:tr w:rsidRPr="001A4E7F" w:rsidR="00956505" w:rsidTr="0B2B6FDB" w14:paraId="5D23F5C5" w14:textId="77777777">
        <w:trPr>
          <w:trHeight w:val="3256"/>
        </w:trPr>
        <w:tc>
          <w:tcPr>
            <w:tcW w:w="1980" w:type="dxa"/>
            <w:tcMar/>
            <w:hideMark/>
          </w:tcPr>
          <w:p w:rsidRPr="001A4E7F" w:rsidR="00956505" w:rsidP="00956505" w:rsidRDefault="00956505" w14:paraId="6144349C" w14:textId="490BC1E2">
            <w:pPr>
              <w:spacing w:after="120"/>
              <w:rPr>
                <w:rFonts w:eastAsia="Times New Roman" w:cstheme="minorHAnsi"/>
                <w:color w:val="000000"/>
                <w:lang w:eastAsia="en-GB"/>
              </w:rPr>
            </w:pPr>
            <w:r w:rsidRPr="001A4E7F">
              <w:rPr>
                <w:rFonts w:eastAsia="Times New Roman" w:cstheme="minorHAnsi"/>
                <w:color w:val="000000"/>
                <w:lang w:eastAsia="en-GB"/>
              </w:rPr>
              <w:t>Can I prescribe an anticoagulant to a patient in the control arm?</w:t>
            </w:r>
          </w:p>
        </w:tc>
        <w:tc>
          <w:tcPr>
            <w:tcW w:w="7654" w:type="dxa"/>
            <w:tcMar/>
            <w:hideMark/>
          </w:tcPr>
          <w:p w:rsidRPr="001A4E7F" w:rsidR="00956505" w:rsidP="00956505" w:rsidRDefault="00956505" w14:paraId="7E3D74D5" w14:textId="4DE61D11">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DaRe2THINK is a pragmatic, NHS-embedded clinical trial comparing early use of DOAC therapy with standard-of-care.  If your patient develops any indication for anticoagulation in the future (e.g. accumulates 2 or more 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 xml:space="preserve">-VASc risk factors) then they can be prescribed an anticoagulant as usual.  Please do not start anticoagulation in patients in the control arm if they do not meet current </w:t>
            </w:r>
            <w:hyperlink w:history="1" r:id="rId18">
              <w:r w:rsidRPr="001A4E7F">
                <w:rPr>
                  <w:rStyle w:val="Hyperlink"/>
                  <w:rFonts w:eastAsia="Times New Roman" w:cstheme="minorHAnsi"/>
                  <w:lang w:eastAsia="en-GB"/>
                </w:rPr>
                <w:t>NICE requirements for AF</w:t>
              </w:r>
            </w:hyperlink>
            <w:r w:rsidRPr="001A4E7F">
              <w:rPr>
                <w:rFonts w:eastAsia="Times New Roman" w:cstheme="minorHAnsi"/>
                <w:color w:val="000000" w:themeColor="text1"/>
                <w:lang w:eastAsia="en-GB"/>
              </w:rPr>
              <w:t>.</w:t>
            </w:r>
          </w:p>
          <w:p w:rsidRPr="001A4E7F" w:rsidR="00956505" w:rsidP="00956505" w:rsidRDefault="00956505" w14:paraId="4DB456F1" w14:textId="06215001">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If a patient needs temporary anticoagulation (for example due to a DVT or PE), then they can receive this in the control arm as needed for the duration of their treatment.</w:t>
            </w:r>
          </w:p>
          <w:p w:rsidRPr="001A4E7F" w:rsidR="00956505" w:rsidP="00956505" w:rsidRDefault="00956505" w14:paraId="10A3208A" w14:textId="27E82D0F">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In either case, the patient can stay in the </w:t>
            </w:r>
            <w:r w:rsidRPr="001A4E7F">
              <w:rPr>
                <w:rFonts w:eastAsia="Times New Roman" w:cstheme="minorHAnsi"/>
                <w:color w:val="000000" w:themeColor="text1"/>
                <w:lang w:eastAsia="en-GB"/>
              </w:rPr>
              <w:t>DaRe2THINK</w:t>
            </w:r>
            <w:r w:rsidRPr="001A4E7F">
              <w:rPr>
                <w:rFonts w:eastAsia="Times New Roman" w:cstheme="minorHAnsi"/>
                <w:color w:val="000000" w:themeColor="text1"/>
                <w:lang w:eastAsia="en-GB"/>
              </w:rPr>
              <w:t xml:space="preserve"> trial and </w:t>
            </w:r>
            <w:r w:rsidRPr="001A4E7F">
              <w:rPr>
                <w:rFonts w:eastAsia="Times New Roman" w:cstheme="minorHAnsi"/>
                <w:b/>
                <w:bCs/>
                <w:color w:val="000000" w:themeColor="text1"/>
                <w:lang w:eastAsia="en-GB"/>
              </w:rPr>
              <w:t>does not need to be withdrawn</w:t>
            </w:r>
            <w:r w:rsidRPr="001A4E7F">
              <w:rPr>
                <w:rFonts w:eastAsia="Times New Roman" w:cstheme="minorHAnsi"/>
                <w:color w:val="000000" w:themeColor="text1"/>
                <w:lang w:eastAsia="en-GB"/>
              </w:rPr>
              <w:t xml:space="preserve">.  We will automatically capture use of </w:t>
            </w:r>
            <w:r w:rsidRPr="001A4E7F">
              <w:rPr>
                <w:rFonts w:eastAsia="Times New Roman" w:cstheme="minorHAnsi"/>
                <w:color w:val="000000" w:themeColor="text1"/>
                <w:lang w:eastAsia="en-GB"/>
              </w:rPr>
              <w:t>anticoagula</w:t>
            </w:r>
            <w:r w:rsidRPr="001A4E7F">
              <w:rPr>
                <w:rFonts w:eastAsia="Times New Roman" w:cstheme="minorHAnsi"/>
                <w:color w:val="000000" w:themeColor="text1"/>
                <w:lang w:eastAsia="en-GB"/>
              </w:rPr>
              <w:t xml:space="preserve">nts through EMIS prescribing.  </w:t>
            </w:r>
          </w:p>
        </w:tc>
      </w:tr>
      <w:tr w:rsidRPr="001A4E7F" w:rsidR="00956505" w:rsidTr="0B2B6FDB" w14:paraId="7533E348" w14:textId="77777777">
        <w:trPr>
          <w:trHeight w:val="4325"/>
        </w:trPr>
        <w:tc>
          <w:tcPr>
            <w:tcW w:w="1980" w:type="dxa"/>
            <w:tcMar/>
          </w:tcPr>
          <w:p w:rsidRPr="001A4E7F" w:rsidR="00956505" w:rsidP="00956505" w:rsidRDefault="00956505" w14:paraId="02003596" w14:textId="07A6810B">
            <w:pPr>
              <w:spacing w:after="120"/>
              <w:rPr>
                <w:rFonts w:eastAsia="Times New Roman" w:cstheme="minorHAnsi"/>
                <w:color w:val="000000"/>
                <w:lang w:eastAsia="en-GB"/>
              </w:rPr>
            </w:pPr>
            <w:r w:rsidRPr="001A4E7F">
              <w:rPr>
                <w:rFonts w:eastAsia="Times New Roman" w:cstheme="minorHAnsi"/>
                <w:color w:val="000000"/>
                <w:lang w:eastAsia="en-GB"/>
              </w:rPr>
              <w:t xml:space="preserve">How does </w:t>
            </w:r>
            <w:r w:rsidRPr="001A4E7F">
              <w:rPr>
                <w:rFonts w:eastAsia="Times New Roman" w:cstheme="minorHAnsi"/>
                <w:color w:val="000000" w:themeColor="text1"/>
                <w:lang w:eastAsia="en-GB"/>
              </w:rPr>
              <w:t>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-VASc</w:t>
            </w:r>
            <w:r w:rsidRPr="001A4E7F">
              <w:rPr>
                <w:rFonts w:eastAsia="Times New Roman" w:cstheme="minorHAnsi"/>
                <w:color w:val="000000" w:themeColor="text1"/>
                <w:lang w:eastAsia="en-GB"/>
              </w:rPr>
              <w:t xml:space="preserve"> work for women?</w:t>
            </w:r>
          </w:p>
        </w:tc>
        <w:tc>
          <w:tcPr>
            <w:tcW w:w="7654" w:type="dxa"/>
            <w:tcMar/>
          </w:tcPr>
          <w:p w:rsidRPr="001A4E7F" w:rsidR="00956505" w:rsidP="00956505" w:rsidRDefault="00956505" w14:paraId="31AB8DE1" w14:textId="60A73D1B">
            <w:pPr>
              <w:spacing w:after="120"/>
              <w:rPr>
                <w:rFonts w:eastAsia="Times New Roman" w:cstheme="minorHAnsi"/>
                <w:color w:val="000000" w:themeColor="text1"/>
                <w:lang w:eastAsia="en-GB"/>
              </w:rPr>
            </w:pPr>
            <w:r w:rsidRPr="001A4E7F">
              <w:rPr>
                <w:rFonts w:eastAsia="Times New Roman" w:cstheme="minorHAnsi"/>
                <w:color w:val="000000"/>
                <w:lang w:eastAsia="en-GB"/>
              </w:rPr>
              <w:t xml:space="preserve">For women and men, the </w:t>
            </w:r>
            <w:r w:rsidRPr="001A4E7F">
              <w:rPr>
                <w:rFonts w:eastAsia="Times New Roman" w:cstheme="minorHAnsi"/>
                <w:color w:val="000000" w:themeColor="text1"/>
                <w:lang w:eastAsia="en-GB"/>
              </w:rPr>
              <w:t>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 xml:space="preserve">-VASc </w:t>
            </w:r>
            <w:r w:rsidRPr="001A4E7F">
              <w:rPr>
                <w:rFonts w:eastAsia="Times New Roman" w:cstheme="minorHAnsi"/>
                <w:color w:val="000000" w:themeColor="text1"/>
                <w:lang w:eastAsia="en-GB"/>
              </w:rPr>
              <w:t xml:space="preserve">score only modestly predicts stroke and </w:t>
            </w:r>
            <w:r w:rsidRPr="001A4E7F">
              <w:rPr>
                <w:rFonts w:eastAsia="Times New Roman" w:cstheme="minorHAnsi"/>
                <w:color w:val="000000"/>
                <w:lang w:eastAsia="en-GB"/>
              </w:rPr>
              <w:t>thromboembolism</w:t>
            </w:r>
            <w:r w:rsidRPr="001A4E7F">
              <w:rPr>
                <w:rFonts w:eastAsia="Times New Roman" w:cstheme="minorHAnsi"/>
                <w:color w:val="000000"/>
                <w:lang w:eastAsia="en-GB"/>
              </w:rPr>
              <w:t xml:space="preserve">; hence the need for </w:t>
            </w:r>
            <w:r w:rsidRPr="001A4E7F">
              <w:rPr>
                <w:rFonts w:eastAsia="Times New Roman" w:cstheme="minorHAnsi"/>
                <w:color w:val="000000" w:themeColor="text1"/>
                <w:lang w:eastAsia="en-GB"/>
              </w:rPr>
              <w:t>DaRe2THINK</w:t>
            </w:r>
            <w:r w:rsidRPr="001A4E7F">
              <w:rPr>
                <w:rFonts w:eastAsia="Times New Roman" w:cstheme="minorHAnsi"/>
                <w:color w:val="000000" w:themeColor="text1"/>
                <w:lang w:eastAsia="en-GB"/>
              </w:rPr>
              <w:t xml:space="preserve"> to see if we can reduce these events by starting DOACs earlier irrespective of </w:t>
            </w:r>
            <w:r w:rsidRPr="001A4E7F">
              <w:rPr>
                <w:rFonts w:eastAsia="Times New Roman" w:cstheme="minorHAnsi"/>
                <w:color w:val="000000" w:themeColor="text1"/>
                <w:lang w:eastAsia="en-GB"/>
              </w:rPr>
              <w:t>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-VASc</w:t>
            </w:r>
            <w:r w:rsidRPr="001A4E7F">
              <w:rPr>
                <w:rFonts w:eastAsia="Times New Roman" w:cstheme="minorHAnsi"/>
                <w:color w:val="000000" w:themeColor="text1"/>
                <w:lang w:eastAsia="en-GB"/>
              </w:rPr>
              <w:t xml:space="preserve"> score.  </w:t>
            </w:r>
          </w:p>
          <w:p w:rsidRPr="001A4E7F" w:rsidR="00956505" w:rsidP="00956505" w:rsidRDefault="00956505" w14:paraId="37D8EECA" w14:textId="057C113F">
            <w:pPr>
              <w:spacing w:after="120"/>
              <w:rPr>
                <w:rFonts w:eastAsia="Times New Roman" w:cstheme="minorHAnsi"/>
                <w:color w:val="000000"/>
                <w:lang w:eastAsia="en-GB"/>
              </w:rPr>
            </w:pPr>
            <w:r w:rsidRPr="001A4E7F">
              <w:rPr>
                <w:rFonts w:eastAsia="Times New Roman" w:cstheme="minorHAnsi"/>
                <w:color w:val="000000" w:themeColor="text1"/>
                <w:lang w:eastAsia="en-GB"/>
              </w:rPr>
              <w:t xml:space="preserve">The </w:t>
            </w:r>
            <w:r w:rsidRPr="001A4E7F">
              <w:rPr>
                <w:rFonts w:eastAsia="Times New Roman" w:cstheme="minorHAnsi"/>
                <w:color w:val="000000" w:themeColor="text1"/>
                <w:lang w:eastAsia="en-GB"/>
              </w:rPr>
              <w:t>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 xml:space="preserve">-VASc </w:t>
            </w:r>
            <w:r w:rsidRPr="001A4E7F">
              <w:rPr>
                <w:rFonts w:eastAsia="Times New Roman" w:cstheme="minorHAnsi"/>
                <w:color w:val="000000" w:themeColor="text1"/>
                <w:lang w:eastAsia="en-GB"/>
              </w:rPr>
              <w:t xml:space="preserve">risk score is particularly difficult to use in women with AF, as female gender </w:t>
            </w:r>
            <w:r w:rsidRPr="001A4E7F">
              <w:rPr>
                <w:rFonts w:eastAsia="Times New Roman" w:cstheme="minorHAnsi"/>
                <w:color w:val="000000"/>
                <w:lang w:eastAsia="en-GB"/>
              </w:rPr>
              <w:t xml:space="preserve">is only associated with an </w:t>
            </w:r>
            <w:r w:rsidRPr="001A4E7F">
              <w:rPr>
                <w:rFonts w:eastAsia="Times New Roman" w:cstheme="minorHAnsi"/>
                <w:color w:val="000000"/>
                <w:lang w:eastAsia="en-GB"/>
              </w:rPr>
              <w:t>elevated risk of stroke or thromboembolism</w:t>
            </w:r>
            <w:r w:rsidRPr="001A4E7F">
              <w:rPr>
                <w:rFonts w:eastAsia="Times New Roman" w:cstheme="minorHAnsi"/>
                <w:color w:val="000000"/>
                <w:lang w:eastAsia="en-GB"/>
              </w:rPr>
              <w:t xml:space="preserve"> </w:t>
            </w:r>
            <w:r w:rsidRPr="001A4E7F">
              <w:rPr>
                <w:rFonts w:eastAsia="Times New Roman" w:cstheme="minorHAnsi"/>
                <w:b/>
                <w:bCs/>
                <w:color w:val="000000"/>
                <w:lang w:eastAsia="en-GB"/>
              </w:rPr>
              <w:t>in the presence of other risk factors</w:t>
            </w:r>
            <w:r w:rsidRPr="001A4E7F">
              <w:rPr>
                <w:rFonts w:eastAsia="Times New Roman" w:cstheme="minorHAnsi"/>
                <w:color w:val="000000"/>
                <w:lang w:eastAsia="en-GB"/>
              </w:rPr>
              <w:t>.</w:t>
            </w:r>
          </w:p>
          <w:p w:rsidRPr="001A4E7F" w:rsidR="00956505" w:rsidP="00956505" w:rsidRDefault="00956505" w14:paraId="718552D8" w14:textId="006D5B1F">
            <w:pPr>
              <w:spacing w:after="120"/>
              <w:rPr>
                <w:rFonts w:eastAsia="Times New Roman" w:cstheme="minorHAnsi"/>
                <w:color w:val="000000" w:themeColor="text1"/>
                <w:lang w:eastAsia="en-GB"/>
              </w:rPr>
            </w:pPr>
            <w:r w:rsidRPr="001A4E7F">
              <w:rPr>
                <w:rFonts w:eastAsia="Times New Roman" w:cstheme="minorHAnsi"/>
                <w:color w:val="000000"/>
                <w:lang w:eastAsia="en-GB"/>
              </w:rPr>
              <w:t xml:space="preserve">Women with a </w:t>
            </w:r>
            <w:r w:rsidRPr="001A4E7F">
              <w:rPr>
                <w:rFonts w:eastAsia="Times New Roman" w:cstheme="minorHAnsi"/>
                <w:color w:val="000000" w:themeColor="text1"/>
                <w:lang w:eastAsia="en-GB"/>
              </w:rPr>
              <w:t>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-VASc</w:t>
            </w:r>
            <w:r w:rsidRPr="001A4E7F">
              <w:rPr>
                <w:rFonts w:eastAsia="Times New Roman" w:cstheme="minorHAnsi"/>
                <w:color w:val="000000" w:themeColor="text1"/>
                <w:lang w:eastAsia="en-GB"/>
              </w:rPr>
              <w:t xml:space="preserve"> score of 1 (one point only due to their gender) who are aged 60-65 years can be enrolled in </w:t>
            </w:r>
            <w:r w:rsidRPr="001A4E7F">
              <w:rPr>
                <w:rFonts w:eastAsia="Times New Roman" w:cstheme="minorHAnsi"/>
                <w:color w:val="000000" w:themeColor="text1"/>
                <w:lang w:eastAsia="en-GB"/>
              </w:rPr>
              <w:t>DaRe2THINK</w:t>
            </w:r>
            <w:r w:rsidRPr="001A4E7F">
              <w:rPr>
                <w:rFonts w:eastAsia="Times New Roman" w:cstheme="minorHAnsi"/>
                <w:color w:val="000000" w:themeColor="text1"/>
                <w:lang w:eastAsia="en-GB"/>
              </w:rPr>
              <w:t>.</w:t>
            </w:r>
          </w:p>
          <w:p w:rsidRPr="001A4E7F" w:rsidR="00956505" w:rsidP="00956505" w:rsidRDefault="00956505" w14:paraId="15119982" w14:textId="04E604CC">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Women with a </w:t>
            </w:r>
            <w:r w:rsidRPr="001A4E7F">
              <w:rPr>
                <w:rFonts w:eastAsia="Times New Roman" w:cstheme="minorHAnsi"/>
                <w:color w:val="000000" w:themeColor="text1"/>
                <w:lang w:eastAsia="en-GB"/>
              </w:rPr>
              <w:t>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 xml:space="preserve">-VASc score of </w:t>
            </w:r>
            <w:r w:rsidRPr="001A4E7F">
              <w:rPr>
                <w:rFonts w:eastAsia="Times New Roman" w:cstheme="minorHAnsi"/>
                <w:color w:val="000000" w:themeColor="text1"/>
                <w:lang w:eastAsia="en-GB"/>
              </w:rPr>
              <w:t>2</w:t>
            </w:r>
            <w:r w:rsidRPr="001A4E7F">
              <w:rPr>
                <w:rFonts w:eastAsia="Times New Roman" w:cstheme="minorHAnsi"/>
                <w:color w:val="000000" w:themeColor="text1"/>
                <w:lang w:eastAsia="en-GB"/>
              </w:rPr>
              <w:t xml:space="preserve"> (one point </w:t>
            </w:r>
            <w:r w:rsidRPr="001A4E7F">
              <w:rPr>
                <w:rFonts w:eastAsia="Times New Roman" w:cstheme="minorHAnsi"/>
                <w:color w:val="000000" w:themeColor="text1"/>
                <w:lang w:eastAsia="en-GB"/>
              </w:rPr>
              <w:t>for</w:t>
            </w:r>
            <w:r w:rsidRPr="001A4E7F">
              <w:rPr>
                <w:rFonts w:eastAsia="Times New Roman" w:cstheme="minorHAnsi"/>
                <w:color w:val="000000" w:themeColor="text1"/>
                <w:lang w:eastAsia="en-GB"/>
              </w:rPr>
              <w:t xml:space="preserve"> gender</w:t>
            </w:r>
            <w:r w:rsidRPr="001A4E7F">
              <w:rPr>
                <w:rFonts w:eastAsia="Times New Roman" w:cstheme="minorHAnsi"/>
                <w:color w:val="000000" w:themeColor="text1"/>
                <w:lang w:eastAsia="en-GB"/>
              </w:rPr>
              <w:t xml:space="preserve"> and one point for another factor</w:t>
            </w:r>
            <w:r w:rsidRPr="001A4E7F">
              <w:rPr>
                <w:rFonts w:eastAsia="Times New Roman" w:cstheme="minorHAnsi"/>
                <w:color w:val="000000" w:themeColor="text1"/>
                <w:lang w:eastAsia="en-GB"/>
              </w:rPr>
              <w:t>) who are aged 60-65 years can be enrolled in DaRe2THINK</w:t>
            </w:r>
            <w:r w:rsidRPr="001A4E7F">
              <w:rPr>
                <w:rFonts w:eastAsia="Times New Roman" w:cstheme="minorHAnsi"/>
                <w:color w:val="000000" w:themeColor="text1"/>
                <w:lang w:eastAsia="en-GB"/>
              </w:rPr>
              <w:t xml:space="preserve"> if they are not already receiving anticoagulation and are not being considered for anticoagulation for their AF</w:t>
            </w:r>
            <w:r w:rsidRPr="001A4E7F">
              <w:rPr>
                <w:rFonts w:eastAsia="Times New Roman" w:cstheme="minorHAnsi"/>
                <w:color w:val="000000" w:themeColor="text1"/>
                <w:lang w:eastAsia="en-GB"/>
              </w:rPr>
              <w:t>.</w:t>
            </w:r>
          </w:p>
          <w:p w:rsidRPr="001A4E7F" w:rsidR="00956505" w:rsidP="00956505" w:rsidRDefault="00956505" w14:paraId="5D14775C" w14:textId="5DA0C70C">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Women with a 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-VASc score of</w:t>
            </w:r>
            <w:r w:rsidRPr="001A4E7F">
              <w:rPr>
                <w:rFonts w:eastAsia="Times New Roman" w:cstheme="minorHAnsi"/>
                <w:color w:val="000000" w:themeColor="text1"/>
                <w:lang w:eastAsia="en-GB"/>
              </w:rPr>
              <w:t xml:space="preserve"> 3 should already be receiving anticoagulation and hence are not eligible for </w:t>
            </w:r>
            <w:r w:rsidRPr="001A4E7F">
              <w:rPr>
                <w:rFonts w:eastAsia="Times New Roman" w:cstheme="minorHAnsi"/>
                <w:color w:val="000000" w:themeColor="text1"/>
                <w:lang w:eastAsia="en-GB"/>
              </w:rPr>
              <w:t>DaRe2THINK</w:t>
            </w:r>
            <w:r w:rsidRPr="001A4E7F">
              <w:rPr>
                <w:rFonts w:eastAsia="Times New Roman" w:cstheme="minorHAnsi"/>
                <w:color w:val="000000" w:themeColor="text1"/>
                <w:lang w:eastAsia="en-GB"/>
              </w:rPr>
              <w:t>.</w:t>
            </w:r>
          </w:p>
        </w:tc>
      </w:tr>
      <w:tr w:rsidR="0B2B6FDB" w:rsidTr="0B2B6FDB" w14:paraId="2AE2C9D5">
        <w:trPr>
          <w:trHeight w:val="1695"/>
        </w:trPr>
        <w:tc>
          <w:tcPr>
            <w:tcW w:w="1980" w:type="dxa"/>
            <w:tcMar/>
          </w:tcPr>
          <w:p w:rsidR="1541F0CC" w:rsidP="0B2B6FDB" w:rsidRDefault="1541F0CC" w14:paraId="4111D461" w14:textId="323B1CBC">
            <w:pPr>
              <w:pStyle w:val="Normal"/>
              <w:rPr>
                <w:rFonts w:eastAsia="Times New Roman" w:cs="Calibri" w:cstheme="minorAscii"/>
                <w:color w:val="000000" w:themeColor="text1" w:themeTint="FF" w:themeShade="FF"/>
                <w:lang w:eastAsia="en-GB"/>
              </w:rPr>
            </w:pPr>
            <w:r w:rsidRPr="0B2B6FDB" w:rsidR="1541F0CC">
              <w:rPr>
                <w:rFonts w:eastAsia="Times New Roman" w:cs="Calibri" w:cstheme="minorAscii"/>
                <w:color w:val="000000" w:themeColor="text1" w:themeTint="FF" w:themeShade="FF"/>
                <w:lang w:eastAsia="en-GB"/>
              </w:rPr>
              <w:t>Does</w:t>
            </w:r>
            <w:r w:rsidRPr="0B2B6FDB" w:rsidR="09123340">
              <w:rPr>
                <w:rFonts w:eastAsia="Times New Roman" w:cs="Calibri" w:cstheme="minorAscii"/>
                <w:color w:val="000000" w:themeColor="text1" w:themeTint="FF" w:themeShade="FF"/>
                <w:lang w:eastAsia="en-GB"/>
              </w:rPr>
              <w:t xml:space="preserve"> </w:t>
            </w:r>
            <w:r w:rsidRPr="0B2B6FDB" w:rsidR="4F2A9047">
              <w:rPr>
                <w:rFonts w:eastAsia="Times New Roman" w:cs="Calibri" w:cstheme="minorAscii"/>
                <w:color w:val="000000" w:themeColor="text1" w:themeTint="FF" w:themeShade="FF"/>
                <w:lang w:eastAsia="en-GB"/>
              </w:rPr>
              <w:t>a history of</w:t>
            </w:r>
            <w:r w:rsidRPr="0B2B6FDB" w:rsidR="1541F0CC">
              <w:rPr>
                <w:rFonts w:eastAsia="Times New Roman" w:cs="Calibri" w:cstheme="minorAscii"/>
                <w:color w:val="000000" w:themeColor="text1" w:themeTint="FF" w:themeShade="FF"/>
                <w:lang w:eastAsia="en-GB"/>
              </w:rPr>
              <w:t xml:space="preserve"> </w:t>
            </w:r>
            <w:r w:rsidRPr="0B2B6FDB" w:rsidR="3A4A13C3">
              <w:rPr>
                <w:rFonts w:eastAsia="Times New Roman" w:cs="Calibri" w:cstheme="minorAscii"/>
                <w:color w:val="000000" w:themeColor="text1" w:themeTint="FF" w:themeShade="FF"/>
                <w:lang w:eastAsia="en-GB"/>
              </w:rPr>
              <w:t>G</w:t>
            </w:r>
            <w:r w:rsidRPr="0B2B6FDB" w:rsidR="1541F0CC">
              <w:rPr>
                <w:rFonts w:eastAsia="Times New Roman" w:cs="Calibri" w:cstheme="minorAscii"/>
                <w:color w:val="000000" w:themeColor="text1" w:themeTint="FF" w:themeShade="FF"/>
                <w:lang w:eastAsia="en-GB"/>
              </w:rPr>
              <w:t>estational Diabetes count</w:t>
            </w:r>
            <w:r w:rsidRPr="0B2B6FDB" w:rsidR="36E278FF">
              <w:rPr>
                <w:rFonts w:eastAsia="Times New Roman" w:cs="Calibri" w:cstheme="minorAscii"/>
                <w:color w:val="000000" w:themeColor="text1" w:themeTint="FF" w:themeShade="FF"/>
                <w:lang w:eastAsia="en-GB"/>
              </w:rPr>
              <w:t xml:space="preserve"> as a CHA</w:t>
            </w:r>
            <w:r w:rsidRPr="0B2B6FDB" w:rsidR="36E278FF">
              <w:rPr>
                <w:rFonts w:eastAsia="Times New Roman" w:cs="Calibri" w:cstheme="minorAscii"/>
                <w:color w:val="000000" w:themeColor="text1" w:themeTint="FF" w:themeShade="FF"/>
                <w:vertAlign w:val="subscript"/>
                <w:lang w:eastAsia="en-GB"/>
              </w:rPr>
              <w:t>2</w:t>
            </w:r>
            <w:r w:rsidRPr="0B2B6FDB" w:rsidR="36E278FF">
              <w:rPr>
                <w:rFonts w:eastAsia="Times New Roman" w:cs="Calibri" w:cstheme="minorAscii"/>
                <w:color w:val="000000" w:themeColor="text1" w:themeTint="FF" w:themeShade="FF"/>
                <w:lang w:eastAsia="en-GB"/>
              </w:rPr>
              <w:t>DS</w:t>
            </w:r>
            <w:r w:rsidRPr="0B2B6FDB" w:rsidR="36E278FF">
              <w:rPr>
                <w:rFonts w:eastAsia="Times New Roman" w:cs="Calibri" w:cstheme="minorAscii"/>
                <w:color w:val="000000" w:themeColor="text1" w:themeTint="FF" w:themeShade="FF"/>
                <w:vertAlign w:val="subscript"/>
                <w:lang w:eastAsia="en-GB"/>
              </w:rPr>
              <w:t>2</w:t>
            </w:r>
            <w:r w:rsidRPr="0B2B6FDB" w:rsidR="36E278FF">
              <w:rPr>
                <w:rFonts w:eastAsia="Times New Roman" w:cs="Calibri" w:cstheme="minorAscii"/>
                <w:color w:val="000000" w:themeColor="text1" w:themeTint="FF" w:themeShade="FF"/>
                <w:lang w:eastAsia="en-GB"/>
              </w:rPr>
              <w:t>-VASc risk factor</w:t>
            </w:r>
            <w:r w:rsidRPr="0B2B6FDB" w:rsidR="7BE1F44E">
              <w:rPr>
                <w:rFonts w:eastAsia="Times New Roman" w:cs="Calibri" w:cstheme="minorAscii"/>
                <w:color w:val="000000" w:themeColor="text1" w:themeTint="FF" w:themeShade="FF"/>
                <w:lang w:eastAsia="en-GB"/>
              </w:rPr>
              <w:t>?</w:t>
            </w:r>
          </w:p>
        </w:tc>
        <w:tc>
          <w:tcPr>
            <w:tcW w:w="7654" w:type="dxa"/>
            <w:tcMar/>
          </w:tcPr>
          <w:p w:rsidR="27098B0A" w:rsidP="0B2B6FDB" w:rsidRDefault="27098B0A" w14:paraId="00EE4E3D" w14:textId="1F98532F">
            <w:pPr>
              <w:pStyle w:val="Normal"/>
              <w:bidi w:val="0"/>
              <w:spacing w:before="0" w:beforeAutospacing="off" w:after="0" w:afterAutospacing="off" w:line="259" w:lineRule="auto"/>
              <w:ind w:left="0" w:right="0"/>
              <w:jc w:val="left"/>
              <w:rPr>
                <w:rFonts w:eastAsia="Times New Roman" w:cs="Calibri" w:cstheme="minorAscii"/>
                <w:color w:val="000000" w:themeColor="text1" w:themeTint="FF" w:themeShade="FF"/>
                <w:lang w:eastAsia="en-GB"/>
              </w:rPr>
            </w:pPr>
            <w:r w:rsidRPr="0B2B6FDB" w:rsidR="27098B0A">
              <w:rPr>
                <w:rFonts w:eastAsia="Times New Roman" w:cs="Calibri" w:cstheme="minorAscii"/>
                <w:color w:val="000000" w:themeColor="text1" w:themeTint="FF" w:themeShade="FF"/>
                <w:lang w:eastAsia="en-GB"/>
              </w:rPr>
              <w:t>An</w:t>
            </w:r>
            <w:r w:rsidRPr="0B2B6FDB" w:rsidR="4D997CB3">
              <w:rPr>
                <w:rFonts w:eastAsia="Times New Roman" w:cs="Calibri" w:cstheme="minorAscii"/>
                <w:color w:val="000000" w:themeColor="text1" w:themeTint="FF" w:themeShade="FF"/>
                <w:lang w:eastAsia="en-GB"/>
              </w:rPr>
              <w:t xml:space="preserve"> episode </w:t>
            </w:r>
            <w:r w:rsidRPr="0B2B6FDB" w:rsidR="16B3332E">
              <w:rPr>
                <w:rFonts w:eastAsia="Times New Roman" w:cs="Calibri" w:cstheme="minorAscii"/>
                <w:color w:val="000000" w:themeColor="text1" w:themeTint="FF" w:themeShade="FF"/>
                <w:lang w:eastAsia="en-GB"/>
              </w:rPr>
              <w:t>o</w:t>
            </w:r>
            <w:r w:rsidRPr="0B2B6FDB" w:rsidR="4D997CB3">
              <w:rPr>
                <w:rFonts w:eastAsia="Times New Roman" w:cs="Calibri" w:cstheme="minorAscii"/>
                <w:color w:val="000000" w:themeColor="text1" w:themeTint="FF" w:themeShade="FF"/>
                <w:lang w:eastAsia="en-GB"/>
              </w:rPr>
              <w:t xml:space="preserve">f Gestational Diabetes in the past should not be taken into account when calculating a </w:t>
            </w:r>
            <w:r w:rsidRPr="0B2B6FDB" w:rsidR="4DB40210">
              <w:rPr>
                <w:rFonts w:eastAsia="Times New Roman" w:cs="Calibri" w:cstheme="minorAscii"/>
                <w:color w:val="000000" w:themeColor="text1" w:themeTint="FF" w:themeShade="FF"/>
                <w:lang w:eastAsia="en-GB"/>
              </w:rPr>
              <w:t>patients CHA</w:t>
            </w:r>
            <w:r w:rsidRPr="0B2B6FDB" w:rsidR="4D997CB3">
              <w:rPr>
                <w:rFonts w:eastAsia="Times New Roman" w:cs="Calibri" w:cstheme="minorAscii"/>
                <w:color w:val="000000" w:themeColor="text1" w:themeTint="FF" w:themeShade="FF"/>
                <w:vertAlign w:val="subscript"/>
                <w:lang w:eastAsia="en-GB"/>
              </w:rPr>
              <w:t>2</w:t>
            </w:r>
            <w:r w:rsidRPr="0B2B6FDB" w:rsidR="4D997CB3">
              <w:rPr>
                <w:rFonts w:eastAsia="Times New Roman" w:cs="Calibri" w:cstheme="minorAscii"/>
                <w:color w:val="000000" w:themeColor="text1" w:themeTint="FF" w:themeShade="FF"/>
                <w:lang w:eastAsia="en-GB"/>
              </w:rPr>
              <w:t>DS</w:t>
            </w:r>
            <w:r w:rsidRPr="0B2B6FDB" w:rsidR="4D997CB3">
              <w:rPr>
                <w:rFonts w:eastAsia="Times New Roman" w:cs="Calibri" w:cstheme="minorAscii"/>
                <w:color w:val="000000" w:themeColor="text1" w:themeTint="FF" w:themeShade="FF"/>
                <w:vertAlign w:val="subscript"/>
                <w:lang w:eastAsia="en-GB"/>
              </w:rPr>
              <w:t>2</w:t>
            </w:r>
            <w:r w:rsidRPr="0B2B6FDB" w:rsidR="4D997CB3">
              <w:rPr>
                <w:rFonts w:eastAsia="Times New Roman" w:cs="Calibri" w:cstheme="minorAscii"/>
                <w:color w:val="000000" w:themeColor="text1" w:themeTint="FF" w:themeShade="FF"/>
                <w:lang w:eastAsia="en-GB"/>
              </w:rPr>
              <w:t>-VASc</w:t>
            </w:r>
            <w:r w:rsidRPr="0B2B6FDB" w:rsidR="3F8F119E">
              <w:rPr>
                <w:rFonts w:eastAsia="Times New Roman" w:cs="Calibri" w:cstheme="minorAscii"/>
                <w:color w:val="000000" w:themeColor="text1" w:themeTint="FF" w:themeShade="FF"/>
                <w:lang w:eastAsia="en-GB"/>
              </w:rPr>
              <w:t xml:space="preserve"> risk score.</w:t>
            </w:r>
          </w:p>
        </w:tc>
      </w:tr>
      <w:tr w:rsidRPr="001A4E7F" w:rsidR="00F22852" w:rsidTr="0B2B6FDB" w14:paraId="0F2C8F63" w14:textId="77777777">
        <w:trPr>
          <w:trHeight w:val="3366"/>
        </w:trPr>
        <w:tc>
          <w:tcPr>
            <w:tcW w:w="1980" w:type="dxa"/>
            <w:tcMar/>
          </w:tcPr>
          <w:p w:rsidRPr="001A4E7F" w:rsidR="00F22852" w:rsidP="00F22852" w:rsidRDefault="00F22852" w14:paraId="65380F4A" w14:textId="3FC84AC8">
            <w:pPr>
              <w:spacing w:after="120"/>
              <w:rPr>
                <w:rFonts w:eastAsia="Times New Roman" w:cstheme="minorHAnsi"/>
                <w:color w:val="000000"/>
                <w:lang w:eastAsia="en-GB"/>
              </w:rPr>
            </w:pPr>
            <w:r w:rsidRPr="001A4E7F">
              <w:rPr>
                <w:rFonts w:eastAsia="Times New Roman" w:cstheme="minorHAnsi"/>
                <w:color w:val="000000"/>
                <w:lang w:eastAsia="en-GB"/>
              </w:rPr>
              <w:t>What happens to participants randomised to DOACs at the end of the study?</w:t>
            </w:r>
          </w:p>
        </w:tc>
        <w:tc>
          <w:tcPr>
            <w:tcW w:w="7654" w:type="dxa"/>
            <w:tcMar/>
          </w:tcPr>
          <w:p w:rsidRPr="001A4E7F" w:rsidR="00F22852" w:rsidP="00F22852" w:rsidRDefault="00F22852" w14:paraId="01E9BD44" w14:textId="77777777">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In the vast majority of cases, we would expect that DOACs could be continued after the five years of the trial in those patients that wish to do so.  Many participants will have accumulated sufficient risk factors by the end of the study to warrant anticoagulation (including advancing age).  The MHRA indication for DOACs is </w:t>
            </w:r>
            <w:r w:rsidRPr="001A4E7F">
              <w:rPr>
                <w:rFonts w:eastAsia="Times New Roman" w:cstheme="minorHAnsi"/>
                <w:b/>
                <w:bCs/>
                <w:i/>
                <w:iCs/>
                <w:color w:val="000000" w:themeColor="text1"/>
                <w:lang w:eastAsia="en-GB"/>
              </w:rPr>
              <w:t>AF with one or more risk factors</w:t>
            </w:r>
            <w:r w:rsidRPr="001A4E7F">
              <w:rPr>
                <w:rFonts w:eastAsia="Times New Roman" w:cstheme="minorHAnsi"/>
                <w:color w:val="000000" w:themeColor="text1"/>
                <w:lang w:eastAsia="en-GB"/>
              </w:rPr>
              <w:t>, so at the end of the trial a shared decision by the GP and patient on continuing the DOAC should take place, based on the individual clinical circumstances of each patient and the broad range of risk factors (not just those in the CHA</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DS</w:t>
            </w:r>
            <w:r w:rsidRPr="001A4E7F">
              <w:rPr>
                <w:rFonts w:eastAsia="Times New Roman" w:cstheme="minorHAnsi"/>
                <w:color w:val="000000" w:themeColor="text1"/>
                <w:vertAlign w:val="subscript"/>
                <w:lang w:eastAsia="en-GB"/>
              </w:rPr>
              <w:t>2</w:t>
            </w:r>
            <w:r w:rsidRPr="001A4E7F">
              <w:rPr>
                <w:rFonts w:eastAsia="Times New Roman" w:cstheme="minorHAnsi"/>
                <w:color w:val="000000" w:themeColor="text1"/>
                <w:lang w:eastAsia="en-GB"/>
              </w:rPr>
              <w:t>-VASc score).</w:t>
            </w:r>
          </w:p>
          <w:p w:rsidRPr="001A4E7F" w:rsidR="00F22852" w:rsidP="00F22852" w:rsidRDefault="00F22852" w14:paraId="32AF6E70" w14:textId="7F0E8EAD">
            <w:pPr>
              <w:spacing w:after="120"/>
              <w:rPr>
                <w:rFonts w:eastAsia="Times New Roman" w:cstheme="minorHAnsi"/>
                <w:color w:val="000000"/>
                <w:lang w:eastAsia="en-GB"/>
              </w:rPr>
            </w:pPr>
            <w:r w:rsidRPr="001A4E7F">
              <w:rPr>
                <w:rFonts w:eastAsia="Times New Roman" w:cstheme="minorHAnsi"/>
                <w:color w:val="000000" w:themeColor="text1"/>
                <w:lang w:eastAsia="en-GB"/>
              </w:rPr>
              <w:t xml:space="preserve">It may also be that </w:t>
            </w:r>
            <w:proofErr w:type="gramStart"/>
            <w:r w:rsidRPr="001A4E7F">
              <w:rPr>
                <w:rFonts w:eastAsia="Times New Roman" w:cstheme="minorHAnsi"/>
                <w:color w:val="000000" w:themeColor="text1"/>
                <w:lang w:eastAsia="en-GB"/>
              </w:rPr>
              <w:t>DaRe2THINK</w:t>
            </w:r>
            <w:proofErr w:type="gramEnd"/>
            <w:r w:rsidRPr="001A4E7F">
              <w:rPr>
                <w:rFonts w:eastAsia="Times New Roman" w:cstheme="minorHAnsi"/>
                <w:color w:val="000000" w:themeColor="text1"/>
                <w:lang w:eastAsia="en-GB"/>
              </w:rPr>
              <w:t xml:space="preserve"> or other studies advise this decision further – we will keep investigators apprised on any major developments in the field through the newsletter.</w:t>
            </w:r>
          </w:p>
        </w:tc>
      </w:tr>
      <w:tr w:rsidRPr="001A4E7F" w:rsidR="00F22852" w:rsidTr="0B2B6FDB" w14:paraId="15CBD75E" w14:textId="77777777">
        <w:trPr>
          <w:trHeight w:val="1348"/>
        </w:trPr>
        <w:tc>
          <w:tcPr>
            <w:tcW w:w="1980" w:type="dxa"/>
            <w:tcMar/>
          </w:tcPr>
          <w:p w:rsidRPr="001A4E7F" w:rsidR="00F22852" w:rsidP="00891328" w:rsidRDefault="00F22852" w14:paraId="60BE6631" w14:textId="77777777">
            <w:pPr>
              <w:spacing w:after="120"/>
              <w:rPr>
                <w:rFonts w:eastAsia="Times New Roman" w:cstheme="minorHAnsi"/>
                <w:color w:val="000000"/>
                <w:lang w:eastAsia="en-GB"/>
              </w:rPr>
            </w:pPr>
            <w:r w:rsidRPr="001A4E7F">
              <w:rPr>
                <w:rFonts w:eastAsia="Times New Roman" w:cstheme="minorHAnsi"/>
                <w:color w:val="000000"/>
                <w:lang w:eastAsia="en-GB"/>
              </w:rPr>
              <w:t xml:space="preserve">Can we have one PI looking after multiple sites (for example a </w:t>
            </w:r>
            <w:proofErr w:type="spellStart"/>
            <w:r w:rsidRPr="001A4E7F">
              <w:rPr>
                <w:rFonts w:eastAsia="Times New Roman" w:cstheme="minorHAnsi"/>
                <w:color w:val="000000"/>
                <w:lang w:eastAsia="en-GB"/>
              </w:rPr>
              <w:t>PCN</w:t>
            </w:r>
            <w:proofErr w:type="spellEnd"/>
            <w:r w:rsidRPr="001A4E7F">
              <w:rPr>
                <w:rFonts w:eastAsia="Times New Roman" w:cstheme="minorHAnsi"/>
                <w:color w:val="000000"/>
                <w:lang w:eastAsia="en-GB"/>
              </w:rPr>
              <w:t>)?</w:t>
            </w:r>
          </w:p>
        </w:tc>
        <w:tc>
          <w:tcPr>
            <w:tcW w:w="7654" w:type="dxa"/>
            <w:tcMar/>
          </w:tcPr>
          <w:p w:rsidRPr="001A4E7F" w:rsidR="00F22852" w:rsidP="00891328" w:rsidRDefault="00F22852" w14:paraId="03635BF7" w14:textId="77777777">
            <w:pPr>
              <w:spacing w:after="120"/>
              <w:rPr>
                <w:rFonts w:eastAsia="Times New Roman" w:cstheme="minorHAnsi"/>
                <w:color w:val="000000" w:themeColor="text1"/>
                <w:lang w:eastAsia="en-GB"/>
              </w:rPr>
            </w:pPr>
            <w:r w:rsidRPr="001A4E7F">
              <w:rPr>
                <w:rFonts w:eastAsia="Times New Roman" w:cstheme="minorHAnsi"/>
                <w:color w:val="000000" w:themeColor="text1"/>
                <w:lang w:eastAsia="en-GB"/>
              </w:rPr>
              <w:t xml:space="preserve">Sorry, no – DaRe2THINK requires a PI to be responsible </w:t>
            </w:r>
            <w:r w:rsidRPr="001A4E7F">
              <w:rPr>
                <w:rFonts w:eastAsia="Times New Roman" w:cstheme="minorHAnsi"/>
                <w:b/>
                <w:bCs/>
                <w:color w:val="000000" w:themeColor="text1"/>
                <w:lang w:eastAsia="en-GB"/>
              </w:rPr>
              <w:t>for each practice</w:t>
            </w:r>
            <w:r w:rsidRPr="001A4E7F">
              <w:rPr>
                <w:rFonts w:eastAsia="Times New Roman" w:cstheme="minorHAnsi"/>
                <w:color w:val="000000" w:themeColor="text1"/>
                <w:lang w:eastAsia="en-GB"/>
              </w:rPr>
              <w:t xml:space="preserve"> unless a group of practices share the same EMIS vendor ID</w:t>
            </w:r>
            <w:r>
              <w:rPr>
                <w:rFonts w:eastAsia="Times New Roman" w:cstheme="minorHAnsi"/>
                <w:color w:val="000000" w:themeColor="text1"/>
                <w:lang w:eastAsia="en-GB"/>
              </w:rPr>
              <w:t>,</w:t>
            </w:r>
            <w:r w:rsidRPr="001A4E7F">
              <w:rPr>
                <w:rFonts w:eastAsia="Times New Roman" w:cstheme="minorHAnsi"/>
                <w:color w:val="000000" w:themeColor="text1"/>
                <w:lang w:eastAsia="en-GB"/>
              </w:rPr>
              <w:t xml:space="preserve"> in which case one PI can cover all these practices.  If they have different vendor IDs, then a different PI is needed at each site. </w:t>
            </w:r>
          </w:p>
        </w:tc>
      </w:tr>
      <w:tr w:rsidRPr="001A4E7F" w:rsidR="00956505" w:rsidTr="0B2B6FDB" w14:paraId="639DA39C" w14:textId="77777777">
        <w:trPr>
          <w:trHeight w:val="930"/>
        </w:trPr>
        <w:tc>
          <w:tcPr>
            <w:tcW w:w="1980" w:type="dxa"/>
            <w:tcMar/>
            <w:hideMark/>
          </w:tcPr>
          <w:p w:rsidRPr="001A4E7F" w:rsidR="00956505" w:rsidP="00956505" w:rsidRDefault="00956505" w14:paraId="479863C7" w14:textId="19BD2F9D">
            <w:pPr>
              <w:spacing w:after="120"/>
              <w:rPr>
                <w:rFonts w:eastAsia="Times New Roman" w:cstheme="minorHAnsi"/>
                <w:color w:val="000000"/>
                <w:lang w:eastAsia="en-GB"/>
              </w:rPr>
            </w:pPr>
            <w:r w:rsidRPr="001A4E7F">
              <w:rPr>
                <w:rFonts w:eastAsia="Times New Roman" w:cstheme="minorHAnsi"/>
                <w:color w:val="000000"/>
                <w:lang w:eastAsia="en-GB"/>
              </w:rPr>
              <w:t>My practice is planning to change software providers. Can I continue to take part?</w:t>
            </w:r>
          </w:p>
        </w:tc>
        <w:tc>
          <w:tcPr>
            <w:tcW w:w="7654" w:type="dxa"/>
            <w:tcMar/>
            <w:hideMark/>
          </w:tcPr>
          <w:p w:rsidRPr="001A4E7F" w:rsidR="00956505" w:rsidP="00956505" w:rsidRDefault="00956505" w14:paraId="3C38A1A2" w14:textId="2246260F">
            <w:pPr>
              <w:spacing w:after="120"/>
              <w:rPr>
                <w:rFonts w:eastAsia="Times New Roman" w:cstheme="minorHAnsi"/>
                <w:color w:val="000000"/>
                <w:lang w:eastAsia="en-GB"/>
              </w:rPr>
            </w:pPr>
            <w:r w:rsidRPr="001A4E7F">
              <w:rPr>
                <w:rFonts w:eastAsia="Times New Roman" w:cstheme="minorHAnsi"/>
                <w:color w:val="000000"/>
                <w:lang w:eastAsia="en-GB"/>
              </w:rPr>
              <w:t xml:space="preserve">Unfortunately, we may lose the ability to automatically extract data, and this may mean more work for you and your team.  If your practice is planning on changing to </w:t>
            </w:r>
            <w:r w:rsidRPr="001A4E7F">
              <w:rPr>
                <w:rFonts w:eastAsia="Times New Roman" w:cstheme="minorHAnsi"/>
                <w:color w:val="000000"/>
                <w:lang w:eastAsia="en-GB"/>
              </w:rPr>
              <w:t>Vision or TPP</w:t>
            </w:r>
            <w:r w:rsidRPr="001A4E7F">
              <w:rPr>
                <w:rFonts w:eastAsia="Times New Roman" w:cstheme="minorHAnsi"/>
                <w:color w:val="000000"/>
                <w:lang w:eastAsia="en-GB"/>
              </w:rPr>
              <w:t xml:space="preserve">, then </w:t>
            </w:r>
            <w:r w:rsidRPr="001A4E7F">
              <w:rPr>
                <w:rFonts w:eastAsia="Times New Roman" w:cstheme="minorHAnsi"/>
                <w:b/>
                <w:bCs/>
                <w:color w:val="000000"/>
                <w:lang w:eastAsia="en-GB"/>
              </w:rPr>
              <w:t>please contact us</w:t>
            </w:r>
            <w:r w:rsidRPr="001A4E7F">
              <w:rPr>
                <w:rFonts w:eastAsia="Times New Roman" w:cstheme="minorHAnsi"/>
                <w:color w:val="000000"/>
                <w:lang w:eastAsia="en-GB"/>
              </w:rPr>
              <w:t xml:space="preserve"> as soon as possible so we can develop a practice-specific plan.</w:t>
            </w:r>
          </w:p>
        </w:tc>
      </w:tr>
    </w:tbl>
    <w:p w:rsidRPr="001A4E7F" w:rsidR="009B128B" w:rsidP="00B13DCE" w:rsidRDefault="009B128B" w14:paraId="120C4576" w14:textId="77777777">
      <w:pPr>
        <w:spacing w:after="120" w:line="240" w:lineRule="auto"/>
        <w:rPr>
          <w:rFonts w:asciiTheme="minorHAnsi" w:hAnsiTheme="minorHAnsi" w:cstheme="minorHAnsi"/>
          <w:b/>
          <w:bCs/>
          <w:sz w:val="20"/>
          <w:szCs w:val="20"/>
        </w:rPr>
      </w:pPr>
    </w:p>
    <w:p w:rsidRPr="007A4F9C" w:rsidR="00117797" w:rsidP="00B13DCE" w:rsidRDefault="009B128B" w14:paraId="391DC081" w14:textId="046FD71A">
      <w:pPr>
        <w:spacing w:after="120" w:line="240" w:lineRule="auto"/>
        <w:rPr>
          <w:rFonts w:asciiTheme="minorHAnsi" w:hAnsiTheme="minorHAnsi" w:cstheme="minorHAnsi"/>
          <w:b/>
          <w:bCs/>
        </w:rPr>
      </w:pPr>
      <w:r w:rsidRPr="007A4F9C">
        <w:rPr>
          <w:rFonts w:asciiTheme="minorHAnsi" w:hAnsiTheme="minorHAnsi" w:cstheme="minorHAnsi"/>
          <w:b/>
          <w:bCs/>
        </w:rPr>
        <w:t xml:space="preserve">Further </w:t>
      </w:r>
      <w:r w:rsidR="00F22852">
        <w:rPr>
          <w:rFonts w:asciiTheme="minorHAnsi" w:hAnsiTheme="minorHAnsi" w:cstheme="minorHAnsi"/>
          <w:b/>
          <w:bCs/>
        </w:rPr>
        <w:t>h</w:t>
      </w:r>
      <w:r w:rsidRPr="007A4F9C" w:rsidR="00086D97">
        <w:rPr>
          <w:rFonts w:asciiTheme="minorHAnsi" w:hAnsiTheme="minorHAnsi" w:cstheme="minorHAnsi"/>
          <w:b/>
          <w:bCs/>
        </w:rPr>
        <w:t>elpful documents</w:t>
      </w:r>
      <w:r w:rsidRPr="007A4F9C">
        <w:rPr>
          <w:rFonts w:asciiTheme="minorHAnsi" w:hAnsiTheme="minorHAnsi" w:cstheme="minorHAnsi"/>
          <w:b/>
          <w:bCs/>
        </w:rPr>
        <w:t xml:space="preserve"> and where to find them:</w:t>
      </w:r>
    </w:p>
    <w:p w:rsidRPr="007A4F9C" w:rsidR="009B128B" w:rsidP="00B13DCE" w:rsidRDefault="009B128B" w14:paraId="45C8F309" w14:textId="7C2DB9A9">
      <w:pPr>
        <w:spacing w:after="120" w:line="240" w:lineRule="auto"/>
        <w:rPr>
          <w:rFonts w:asciiTheme="minorHAnsi" w:hAnsiTheme="minorHAnsi" w:cstheme="minorHAnsi"/>
        </w:rPr>
      </w:pPr>
      <w:r w:rsidRPr="007A4F9C">
        <w:rPr>
          <w:rFonts w:asciiTheme="minorHAnsi" w:hAnsiTheme="minorHAnsi" w:cstheme="minorHAnsi"/>
        </w:rPr>
        <w:t xml:space="preserve">Protocol – on the </w:t>
      </w:r>
      <w:hyperlink w:history="1" r:id="rId19">
        <w:r w:rsidRPr="007A4F9C">
          <w:rPr>
            <w:rStyle w:val="Hyperlink"/>
            <w:rFonts w:asciiTheme="minorHAnsi" w:hAnsiTheme="minorHAnsi" w:cstheme="minorHAnsi"/>
          </w:rPr>
          <w:t xml:space="preserve">DaRe2THINK </w:t>
        </w:r>
        <w:r w:rsidR="007A4F9C">
          <w:rPr>
            <w:rStyle w:val="Hyperlink"/>
            <w:rFonts w:asciiTheme="minorHAnsi" w:hAnsiTheme="minorHAnsi" w:cstheme="minorHAnsi"/>
          </w:rPr>
          <w:t>w</w:t>
        </w:r>
        <w:r w:rsidRPr="007A4F9C">
          <w:rPr>
            <w:rStyle w:val="Hyperlink"/>
            <w:rFonts w:asciiTheme="minorHAnsi" w:hAnsiTheme="minorHAnsi" w:cstheme="minorHAnsi"/>
          </w:rPr>
          <w:t>ebsite</w:t>
        </w:r>
      </w:hyperlink>
    </w:p>
    <w:p w:rsidRPr="007A4F9C" w:rsidR="000E3C88" w:rsidP="00B13DCE" w:rsidRDefault="002E55BB" w14:paraId="2B4D7A4F" w14:textId="4E023570">
      <w:pPr>
        <w:spacing w:after="120" w:line="240" w:lineRule="auto"/>
        <w:rPr>
          <w:rFonts w:asciiTheme="minorHAnsi" w:hAnsiTheme="minorHAnsi" w:cstheme="minorHAnsi"/>
        </w:rPr>
      </w:pPr>
      <w:r w:rsidRPr="007A4F9C">
        <w:rPr>
          <w:rFonts w:asciiTheme="minorHAnsi" w:hAnsiTheme="minorHAnsi" w:cstheme="minorHAnsi"/>
        </w:rPr>
        <w:t xml:space="preserve">Protocol training – on </w:t>
      </w:r>
      <w:hyperlink w:history="1" r:id="rId20">
        <w:proofErr w:type="spellStart"/>
        <w:r w:rsidRPr="007A4F9C">
          <w:rPr>
            <w:rStyle w:val="Hyperlink"/>
            <w:rFonts w:asciiTheme="minorHAnsi" w:hAnsiTheme="minorHAnsi" w:cstheme="minorHAnsi"/>
          </w:rPr>
          <w:t>IRSP</w:t>
        </w:r>
        <w:proofErr w:type="spellEnd"/>
      </w:hyperlink>
    </w:p>
    <w:p w:rsidRPr="007A4F9C" w:rsidR="002E55BB" w:rsidP="00B13DCE" w:rsidRDefault="002E55BB" w14:paraId="470D6032" w14:textId="51EC78A3">
      <w:pPr>
        <w:spacing w:after="120" w:line="240" w:lineRule="auto"/>
        <w:rPr>
          <w:rFonts w:asciiTheme="minorHAnsi" w:hAnsiTheme="minorHAnsi" w:cstheme="minorHAnsi"/>
        </w:rPr>
      </w:pPr>
      <w:r w:rsidRPr="007A4F9C">
        <w:rPr>
          <w:rFonts w:asciiTheme="minorHAnsi" w:hAnsiTheme="minorHAnsi" w:cstheme="minorHAnsi"/>
        </w:rPr>
        <w:t xml:space="preserve">REDCap Instructions – on </w:t>
      </w:r>
      <w:hyperlink w:history="1" r:id="rId21">
        <w:proofErr w:type="spellStart"/>
        <w:r w:rsidRPr="007A4F9C">
          <w:rPr>
            <w:rStyle w:val="Hyperlink"/>
            <w:rFonts w:asciiTheme="minorHAnsi" w:hAnsiTheme="minorHAnsi" w:cstheme="minorHAnsi"/>
          </w:rPr>
          <w:t>IRSP</w:t>
        </w:r>
        <w:proofErr w:type="spellEnd"/>
      </w:hyperlink>
    </w:p>
    <w:p w:rsidRPr="007A4F9C" w:rsidR="002E55BB" w:rsidP="00B13DCE" w:rsidRDefault="00903874" w14:paraId="780C5965" w14:textId="1922256B">
      <w:pPr>
        <w:spacing w:after="120" w:line="240" w:lineRule="auto"/>
        <w:rPr>
          <w:rFonts w:asciiTheme="minorHAnsi" w:hAnsiTheme="minorHAnsi" w:cstheme="minorHAnsi"/>
        </w:rPr>
      </w:pPr>
      <w:proofErr w:type="spellStart"/>
      <w:r w:rsidRPr="007A4F9C">
        <w:rPr>
          <w:rFonts w:asciiTheme="minorHAnsi" w:hAnsiTheme="minorHAnsi" w:cstheme="minorHAnsi"/>
        </w:rPr>
        <w:t>IRSP</w:t>
      </w:r>
      <w:proofErr w:type="spellEnd"/>
      <w:r w:rsidRPr="007A4F9C">
        <w:rPr>
          <w:rFonts w:asciiTheme="minorHAnsi" w:hAnsiTheme="minorHAnsi" w:cstheme="minorHAnsi"/>
        </w:rPr>
        <w:t xml:space="preserve"> Instructions – on </w:t>
      </w:r>
      <w:hyperlink w:history="1" r:id="rId22">
        <w:proofErr w:type="spellStart"/>
        <w:r w:rsidRPr="007A4F9C">
          <w:rPr>
            <w:rStyle w:val="Hyperlink"/>
            <w:rFonts w:asciiTheme="minorHAnsi" w:hAnsiTheme="minorHAnsi" w:cstheme="minorHAnsi"/>
          </w:rPr>
          <w:t>IRSP</w:t>
        </w:r>
        <w:proofErr w:type="spellEnd"/>
      </w:hyperlink>
    </w:p>
    <w:p w:rsidRPr="007A4F9C" w:rsidR="00903874" w:rsidP="00B13DCE" w:rsidRDefault="002F5C66" w14:paraId="3B90FC8E" w14:textId="0BC9CBDF">
      <w:pPr>
        <w:spacing w:after="120" w:line="240" w:lineRule="auto"/>
        <w:rPr>
          <w:rFonts w:asciiTheme="minorHAnsi" w:hAnsiTheme="minorHAnsi" w:cstheme="minorHAnsi"/>
        </w:rPr>
      </w:pPr>
      <w:r w:rsidRPr="007A4F9C">
        <w:rPr>
          <w:rFonts w:asciiTheme="minorHAnsi" w:hAnsiTheme="minorHAnsi" w:cstheme="minorHAnsi"/>
        </w:rPr>
        <w:t xml:space="preserve">Paper consent &amp; SAE forms – in </w:t>
      </w:r>
      <w:r w:rsidR="007A4F9C">
        <w:rPr>
          <w:rFonts w:asciiTheme="minorHAnsi" w:hAnsiTheme="minorHAnsi" w:cstheme="minorHAnsi"/>
        </w:rPr>
        <w:t>your site file</w:t>
      </w:r>
    </w:p>
    <w:p w:rsidRPr="007A4F9C" w:rsidR="0066125C" w:rsidP="00B13DCE" w:rsidRDefault="007A4F9C" w14:paraId="233A1263" w14:textId="37A6B706">
      <w:pPr>
        <w:spacing w:after="120" w:line="240" w:lineRule="auto"/>
        <w:rPr>
          <w:rFonts w:asciiTheme="minorHAnsi" w:hAnsiTheme="minorHAnsi" w:cstheme="minorHAnsi"/>
        </w:rPr>
      </w:pPr>
      <w:r>
        <w:rPr>
          <w:rFonts w:asciiTheme="minorHAnsi" w:hAnsiTheme="minorHAnsi" w:cstheme="minorHAnsi"/>
        </w:rPr>
        <w:t>DaRe2THINK</w:t>
      </w:r>
      <w:r w:rsidRPr="007A4F9C" w:rsidR="00707B4B">
        <w:rPr>
          <w:rFonts w:asciiTheme="minorHAnsi" w:hAnsiTheme="minorHAnsi" w:cstheme="minorHAnsi"/>
        </w:rPr>
        <w:t xml:space="preserve"> EMIS protocol – on </w:t>
      </w:r>
      <w:hyperlink w:history="1" r:id="rId23">
        <w:r w:rsidRPr="007A4F9C" w:rsidR="000746A0">
          <w:rPr>
            <w:rStyle w:val="Hyperlink"/>
            <w:rFonts w:asciiTheme="minorHAnsi" w:hAnsiTheme="minorHAnsi" w:cstheme="minorHAnsi"/>
          </w:rPr>
          <w:t>EMIS Now</w:t>
        </w:r>
      </w:hyperlink>
      <w:bookmarkStart w:name="_GoBack" w:id="1"/>
      <w:bookmarkEnd w:id="1"/>
    </w:p>
    <w:sectPr w:rsidRPr="007A4F9C" w:rsidR="0066125C" w:rsidSect="00501218">
      <w:headerReference w:type="default" r:id="rId24"/>
      <w:pgSz w:w="11906" w:h="16838" w:orient="portrait"/>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DK(S" w:author="Dipak Kotecha (Cardiovascular Sciences)" w:date="2021-08-09T11:01:00Z" w:id="0">
    <w:p w:rsidR="00956505" w:rsidP="00E476CE" w:rsidRDefault="00956505" w14:paraId="5D3CB173" w14:textId="77777777">
      <w:pPr>
        <w:pStyle w:val="CommentText"/>
      </w:pPr>
      <w:r>
        <w:rPr>
          <w:rStyle w:val="CommentReference"/>
        </w:rPr>
        <w:annotationRef/>
      </w:r>
      <w:r>
        <w:t>Alastair - please add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3CB1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B89A7" w16cex:dateUtc="2021-08-09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3CB173" w16cid:durableId="24BB8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3418" w:rsidP="002A0C25" w:rsidRDefault="00583418" w14:paraId="40DBD6D5" w14:textId="77777777">
      <w:pPr>
        <w:spacing w:after="0" w:line="240" w:lineRule="auto"/>
      </w:pPr>
      <w:r>
        <w:separator/>
      </w:r>
    </w:p>
  </w:endnote>
  <w:endnote w:type="continuationSeparator" w:id="0">
    <w:p w:rsidR="00583418" w:rsidP="002A0C25" w:rsidRDefault="00583418" w14:paraId="04BF5B0B" w14:textId="77777777">
      <w:pPr>
        <w:spacing w:after="0" w:line="240" w:lineRule="auto"/>
      </w:pPr>
      <w:r>
        <w:continuationSeparator/>
      </w:r>
    </w:p>
  </w:endnote>
  <w:endnote w:type="continuationNotice" w:id="1">
    <w:p w:rsidR="00583418" w:rsidRDefault="00583418" w14:paraId="764C17E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3418" w:rsidP="002A0C25" w:rsidRDefault="00583418" w14:paraId="429B5B83" w14:textId="77777777">
      <w:pPr>
        <w:spacing w:after="0" w:line="240" w:lineRule="auto"/>
      </w:pPr>
      <w:r>
        <w:separator/>
      </w:r>
    </w:p>
  </w:footnote>
  <w:footnote w:type="continuationSeparator" w:id="0">
    <w:p w:rsidR="00583418" w:rsidP="002A0C25" w:rsidRDefault="00583418" w14:paraId="290DE9E3" w14:textId="77777777">
      <w:pPr>
        <w:spacing w:after="0" w:line="240" w:lineRule="auto"/>
      </w:pPr>
      <w:r>
        <w:continuationSeparator/>
      </w:r>
    </w:p>
  </w:footnote>
  <w:footnote w:type="continuationNotice" w:id="1">
    <w:p w:rsidR="00583418" w:rsidRDefault="00583418" w14:paraId="46D646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01218" w:rsidR="002A0C25" w:rsidP="00501218" w:rsidRDefault="002A0C25" w14:paraId="6B7B87F7" w14:textId="770024A8">
    <w:pPr>
      <w:shd w:val="clear" w:color="auto" w:fill="DBE5F1"/>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40" w:lineRule="auto"/>
      <w:rPr>
        <w:rFonts w:eastAsia="MS PGothic" w:asciiTheme="minorHAnsi" w:hAnsiTheme="minorHAnsi" w:cstheme="minorHAnsi"/>
        <w:b/>
        <w:bCs/>
        <w:szCs w:val="24"/>
      </w:rPr>
    </w:pPr>
    <w:r w:rsidRPr="002A0C25">
      <w:rPr>
        <w:rFonts w:eastAsia="MS PGothic" w:cs="Arial"/>
        <w:noProof/>
        <w:color w:val="2B579A"/>
        <w:szCs w:val="24"/>
        <w:shd w:val="clear" w:color="auto" w:fill="E6E6E6"/>
        <w:lang w:eastAsia="en-GB"/>
      </w:rPr>
      <w:drawing>
        <wp:anchor distT="0" distB="0" distL="114300" distR="114300" simplePos="0" relativeHeight="251660800" behindDoc="0" locked="0" layoutInCell="1" allowOverlap="1" wp14:anchorId="4EE5D166" wp14:editId="7C87B1B5">
          <wp:simplePos x="0" y="0"/>
          <wp:positionH relativeFrom="column">
            <wp:posOffset>-168275</wp:posOffset>
          </wp:positionH>
          <wp:positionV relativeFrom="paragraph">
            <wp:posOffset>-83820</wp:posOffset>
          </wp:positionV>
          <wp:extent cx="2355215" cy="706755"/>
          <wp:effectExtent l="0" t="0" r="6985" b="0"/>
          <wp:wrapSquare wrapText="bothSides"/>
          <wp:docPr id="5" name="Picture 5"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person&#10;&#10;Description automatically generated"/>
                  <pic:cNvPicPr/>
                </pic:nvPicPr>
                <pic:blipFill rotWithShape="1">
                  <a:blip r:embed="rId1"/>
                  <a:srcRect t="16734"/>
                  <a:stretch/>
                </pic:blipFill>
                <pic:spPr bwMode="auto">
                  <a:xfrm>
                    <a:off x="0" y="0"/>
                    <a:ext cx="2355215" cy="70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0C25">
      <w:rPr>
        <w:rFonts w:eastAsia="MS PGothic" w:cs="Arial"/>
        <w:szCs w:val="24"/>
      </w:rPr>
      <w:t xml:space="preserve">   </w:t>
    </w:r>
    <w:r w:rsidRPr="00501218">
      <w:rPr>
        <w:rFonts w:eastAsia="MS PGothic" w:asciiTheme="minorHAnsi" w:hAnsiTheme="minorHAnsi" w:cstheme="minorHAnsi"/>
        <w:b/>
        <w:bCs/>
        <w:sz w:val="32"/>
        <w:szCs w:val="36"/>
      </w:rPr>
      <w:t>Frequently Asked Questions</w:t>
    </w:r>
  </w:p>
  <w:p w:rsidRPr="00E80813" w:rsidR="002A0C25" w:rsidP="00E80813" w:rsidRDefault="002176CE" w14:paraId="7D1BF90D" w14:textId="22FF99B0">
    <w:pPr>
      <w:tabs>
        <w:tab w:val="center" w:pos="4513"/>
        <w:tab w:val="right" w:pos="9026"/>
      </w:tabs>
      <w:spacing w:after="0" w:line="240" w:lineRule="auto"/>
      <w:jc w:val="right"/>
      <w:rPr>
        <w:rFonts w:asciiTheme="minorHAnsi" w:hAnsiTheme="minorHAnsi" w:eastAsiaTheme="minorEastAsia" w:cstheme="minorHAnsi"/>
        <w:sz w:val="18"/>
        <w:lang w:val="en-US"/>
      </w:rPr>
    </w:pPr>
    <w:r>
      <w:rPr>
        <w:rFonts w:asciiTheme="minorHAnsi" w:hAnsiTheme="minorHAnsi" w:eastAsiaTheme="minorEastAsia" w:cstheme="minorHAnsi"/>
        <w:sz w:val="18"/>
        <w:lang w:val="en-US"/>
      </w:rPr>
      <w:t>Updated August 2021</w:t>
    </w:r>
    <w:r>
      <w:rPr>
        <w:rFonts w:asciiTheme="minorHAnsi" w:hAnsiTheme="minorHAnsi" w:eastAsiaTheme="minorEastAsia" w:cstheme="minorHAnsi"/>
        <w:sz w:val="18"/>
        <w:lang w:val="en-US"/>
      </w:rPr>
      <w:t xml:space="preserve">    </w:t>
    </w:r>
    <w:r w:rsidRPr="00964C11" w:rsidR="00964C11">
      <w:rPr>
        <w:rFonts w:asciiTheme="minorHAnsi" w:hAnsiTheme="minorHAnsi" w:eastAsiaTheme="minorEastAsia" w:cstheme="minorHAnsi"/>
        <w:sz w:val="18"/>
        <w:lang w:val="en-US"/>
      </w:rPr>
      <w:t xml:space="preserve">Page </w:t>
    </w:r>
    <w:r w:rsidR="00626568">
      <w:rPr>
        <w:rFonts w:asciiTheme="minorHAnsi" w:hAnsiTheme="minorHAnsi" w:eastAsiaTheme="minorEastAsia" w:cstheme="minorHAnsi"/>
        <w:sz w:val="18"/>
        <w:lang w:val="en-US"/>
      </w:rPr>
      <w:fldChar w:fldCharType="begin"/>
    </w:r>
    <w:r w:rsidR="00626568">
      <w:rPr>
        <w:rFonts w:asciiTheme="minorHAnsi" w:hAnsiTheme="minorHAnsi" w:eastAsiaTheme="minorEastAsia" w:cstheme="minorHAnsi"/>
        <w:sz w:val="18"/>
        <w:lang w:val="en-US"/>
      </w:rPr>
      <w:instrText xml:space="preserve"> PAGE   \* MERGEFORMAT </w:instrText>
    </w:r>
    <w:r w:rsidR="00626568">
      <w:rPr>
        <w:rFonts w:asciiTheme="minorHAnsi" w:hAnsiTheme="minorHAnsi" w:eastAsiaTheme="minorEastAsia" w:cstheme="minorHAnsi"/>
        <w:sz w:val="18"/>
        <w:lang w:val="en-US"/>
      </w:rPr>
      <w:fldChar w:fldCharType="separate"/>
    </w:r>
    <w:r w:rsidR="00626568">
      <w:rPr>
        <w:rFonts w:asciiTheme="minorHAnsi" w:hAnsiTheme="minorHAnsi" w:eastAsiaTheme="minorEastAsia" w:cstheme="minorHAnsi"/>
        <w:noProof/>
        <w:sz w:val="18"/>
        <w:lang w:val="en-US"/>
      </w:rPr>
      <w:t>4</w:t>
    </w:r>
    <w:r w:rsidR="00626568">
      <w:rPr>
        <w:rFonts w:asciiTheme="minorHAnsi" w:hAnsiTheme="minorHAnsi" w:eastAsiaTheme="minorEastAsia" w:cstheme="minorHAnsi"/>
        <w:sz w:val="18"/>
        <w:lang w:val="en-US"/>
      </w:rPr>
      <w:fldChar w:fldCharType="end"/>
    </w:r>
    <w:r w:rsidRPr="00964C11" w:rsidR="00964C11">
      <w:rPr>
        <w:rFonts w:asciiTheme="minorHAnsi" w:hAnsiTheme="minorHAnsi" w:eastAsiaTheme="minorEastAsia" w:cstheme="minorHAnsi"/>
        <w:sz w:val="18"/>
        <w:lang w:val="en-US"/>
      </w:rPr>
      <w:t xml:space="preserve"> of </w:t>
    </w:r>
    <w:r w:rsidR="00626568">
      <w:rPr>
        <w:rFonts w:asciiTheme="minorHAnsi" w:hAnsiTheme="minorHAnsi" w:eastAsiaTheme="minorEastAsia" w:cstheme="minorHAnsi"/>
        <w:sz w:val="18"/>
        <w:lang w:val="en-US"/>
      </w:rPr>
      <w:fldChar w:fldCharType="begin"/>
    </w:r>
    <w:r w:rsidR="00626568">
      <w:rPr>
        <w:rFonts w:asciiTheme="minorHAnsi" w:hAnsiTheme="minorHAnsi" w:eastAsiaTheme="minorEastAsia" w:cstheme="minorHAnsi"/>
        <w:sz w:val="18"/>
        <w:lang w:val="en-US"/>
      </w:rPr>
      <w:instrText xml:space="preserve"> NUMPAGES   \* MERGEFORMAT </w:instrText>
    </w:r>
    <w:r w:rsidR="00626568">
      <w:rPr>
        <w:rFonts w:asciiTheme="minorHAnsi" w:hAnsiTheme="minorHAnsi" w:eastAsiaTheme="minorEastAsia" w:cstheme="minorHAnsi"/>
        <w:sz w:val="18"/>
        <w:lang w:val="en-US"/>
      </w:rPr>
      <w:fldChar w:fldCharType="separate"/>
    </w:r>
    <w:r w:rsidR="00626568">
      <w:rPr>
        <w:rFonts w:asciiTheme="minorHAnsi" w:hAnsiTheme="minorHAnsi" w:eastAsiaTheme="minorEastAsia" w:cstheme="minorHAnsi"/>
        <w:noProof/>
        <w:sz w:val="18"/>
        <w:lang w:val="en-US"/>
      </w:rPr>
      <w:t>4</w:t>
    </w:r>
    <w:r w:rsidR="00626568">
      <w:rPr>
        <w:rFonts w:asciiTheme="minorHAnsi" w:hAnsiTheme="minorHAnsi" w:eastAsiaTheme="minorEastAsia" w:cstheme="minorHAnsi"/>
        <w:sz w:val="18"/>
        <w:lang w:val="en-US"/>
      </w:rPr>
      <w:fldChar w:fldCharType="end"/>
    </w:r>
    <w:r w:rsidRPr="00964C11" w:rsidR="00964C11">
      <w:rPr>
        <w:rFonts w:asciiTheme="minorHAnsi" w:hAnsiTheme="minorHAnsi" w:eastAsiaTheme="minorEastAsia" w:cstheme="minorHAnsi"/>
        <w:sz w:val="18"/>
        <w:lang w:val="en-US"/>
      </w:rPr>
      <w:t xml:space="preserve">   IRAS ID: 290420</w:t>
    </w:r>
    <w:r w:rsidR="00626568">
      <w:rPr>
        <w:rFonts w:asciiTheme="minorHAnsi" w:hAnsiTheme="minorHAnsi" w:eastAsiaTheme="minorEastAsia" w:cstheme="minorHAnsi"/>
        <w:sz w:val="18"/>
        <w:lang w:val="en-US"/>
      </w:rPr>
      <w:t>;</w:t>
    </w:r>
    <w:r w:rsidRPr="00964C11" w:rsidR="00964C11">
      <w:rPr>
        <w:rFonts w:asciiTheme="minorHAnsi" w:hAnsiTheme="minorHAnsi" w:eastAsiaTheme="minorEastAsia" w:cstheme="minorHAnsi"/>
        <w:sz w:val="18"/>
        <w:lang w:val="en-US"/>
      </w:rPr>
      <w:t xml:space="preserve"> EudraCT: 2020-005774-10</w:t>
    </w:r>
    <w:r>
      <w:rPr>
        <w:rFonts w:asciiTheme="minorHAnsi" w:hAnsiTheme="minorHAnsi" w:eastAsiaTheme="minorEastAsia" w:cstheme="minorHAnsi"/>
        <w:sz w:val="18"/>
        <w:lang w:val="en-US"/>
      </w:rPr>
      <w:t xml:space="preserve"> </w:t>
    </w:r>
  </w:p>
  <w:p w:rsidRPr="002A0C25" w:rsidR="002A0C25" w:rsidP="002A0C25" w:rsidRDefault="002A0C25" w14:paraId="352E5E56" w14:textId="77777777">
    <w:pPr>
      <w:tabs>
        <w:tab w:val="center" w:pos="4513"/>
        <w:tab w:val="right" w:pos="9026"/>
      </w:tabs>
      <w:spacing w:after="0" w:line="240" w:lineRule="auto"/>
      <w:rPr>
        <w:rFonts w:eastAsiaTheme="minorEastAsia" w:cstheme="minorHAnsi"/>
        <w:sz w:val="20"/>
        <w:szCs w:val="24"/>
        <w:lang w:val="en-US"/>
      </w:rPr>
    </w:pPr>
  </w:p>
  <w:p w:rsidR="002A0C25" w:rsidRDefault="002A0C25" w14:paraId="76B74E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13CA7"/>
    <w:multiLevelType w:val="hybridMultilevel"/>
    <w:tmpl w:val="1E203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AB759C5"/>
    <w:multiLevelType w:val="hybridMultilevel"/>
    <w:tmpl w:val="FAB822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pak Kotecha (Cardiovascular Sciences)">
    <w15:presenceInfo w15:providerId="AD" w15:userId="S::d.kotecha@bham.ac.uk::4c7d3256-bedd-48c7-b58d-01c5baed0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27"/>
    <w:rsid w:val="0001115D"/>
    <w:rsid w:val="00017A38"/>
    <w:rsid w:val="00022DB7"/>
    <w:rsid w:val="000416FC"/>
    <w:rsid w:val="00051B4B"/>
    <w:rsid w:val="000656E4"/>
    <w:rsid w:val="00072E80"/>
    <w:rsid w:val="000746A0"/>
    <w:rsid w:val="00086D97"/>
    <w:rsid w:val="000A2F21"/>
    <w:rsid w:val="000C0266"/>
    <w:rsid w:val="000C3ECF"/>
    <w:rsid w:val="000D1B50"/>
    <w:rsid w:val="000D3C51"/>
    <w:rsid w:val="000D6747"/>
    <w:rsid w:val="000E20AE"/>
    <w:rsid w:val="000E3C88"/>
    <w:rsid w:val="000E4E0F"/>
    <w:rsid w:val="000F53F6"/>
    <w:rsid w:val="00100384"/>
    <w:rsid w:val="00117797"/>
    <w:rsid w:val="00122B27"/>
    <w:rsid w:val="001232E8"/>
    <w:rsid w:val="00161543"/>
    <w:rsid w:val="001648A1"/>
    <w:rsid w:val="00164DED"/>
    <w:rsid w:val="00183FA6"/>
    <w:rsid w:val="00185A54"/>
    <w:rsid w:val="001A4E7F"/>
    <w:rsid w:val="001B4A23"/>
    <w:rsid w:val="001F4FD6"/>
    <w:rsid w:val="001F679E"/>
    <w:rsid w:val="00205D9F"/>
    <w:rsid w:val="0021349C"/>
    <w:rsid w:val="002176CE"/>
    <w:rsid w:val="00224A60"/>
    <w:rsid w:val="0022681B"/>
    <w:rsid w:val="002369B8"/>
    <w:rsid w:val="00237B84"/>
    <w:rsid w:val="00245F9C"/>
    <w:rsid w:val="00247852"/>
    <w:rsid w:val="00276FB1"/>
    <w:rsid w:val="002802AF"/>
    <w:rsid w:val="002861D9"/>
    <w:rsid w:val="002A0C25"/>
    <w:rsid w:val="002A1228"/>
    <w:rsid w:val="002E55BB"/>
    <w:rsid w:val="002F396A"/>
    <w:rsid w:val="002F5C66"/>
    <w:rsid w:val="00305540"/>
    <w:rsid w:val="00331EB8"/>
    <w:rsid w:val="00332882"/>
    <w:rsid w:val="003459FA"/>
    <w:rsid w:val="0035548C"/>
    <w:rsid w:val="00362D69"/>
    <w:rsid w:val="003636B2"/>
    <w:rsid w:val="003936CF"/>
    <w:rsid w:val="003A322B"/>
    <w:rsid w:val="003A5A90"/>
    <w:rsid w:val="003D07CC"/>
    <w:rsid w:val="003F1CB2"/>
    <w:rsid w:val="003F2827"/>
    <w:rsid w:val="00404BA5"/>
    <w:rsid w:val="00406A9B"/>
    <w:rsid w:val="004460C5"/>
    <w:rsid w:val="004615FC"/>
    <w:rsid w:val="00477F98"/>
    <w:rsid w:val="004B2F22"/>
    <w:rsid w:val="004E0C8D"/>
    <w:rsid w:val="004F5CA6"/>
    <w:rsid w:val="005004D1"/>
    <w:rsid w:val="00501218"/>
    <w:rsid w:val="005176EF"/>
    <w:rsid w:val="00530DC6"/>
    <w:rsid w:val="0053129B"/>
    <w:rsid w:val="005629A0"/>
    <w:rsid w:val="00570A0D"/>
    <w:rsid w:val="00583418"/>
    <w:rsid w:val="005913FE"/>
    <w:rsid w:val="005A144F"/>
    <w:rsid w:val="005A7B7B"/>
    <w:rsid w:val="005B4681"/>
    <w:rsid w:val="005D22C1"/>
    <w:rsid w:val="005E608C"/>
    <w:rsid w:val="00617FD6"/>
    <w:rsid w:val="006211C3"/>
    <w:rsid w:val="00626568"/>
    <w:rsid w:val="0062730D"/>
    <w:rsid w:val="006334BD"/>
    <w:rsid w:val="00634975"/>
    <w:rsid w:val="0064565D"/>
    <w:rsid w:val="00653688"/>
    <w:rsid w:val="0066120C"/>
    <w:rsid w:val="0066125C"/>
    <w:rsid w:val="00692C75"/>
    <w:rsid w:val="006A413C"/>
    <w:rsid w:val="006B28A2"/>
    <w:rsid w:val="006C056E"/>
    <w:rsid w:val="006C6AF3"/>
    <w:rsid w:val="00700BF1"/>
    <w:rsid w:val="00707B4B"/>
    <w:rsid w:val="00742513"/>
    <w:rsid w:val="00745A2A"/>
    <w:rsid w:val="00793583"/>
    <w:rsid w:val="007A174B"/>
    <w:rsid w:val="007A4F9C"/>
    <w:rsid w:val="007A50C4"/>
    <w:rsid w:val="007C0EEC"/>
    <w:rsid w:val="007D1EAD"/>
    <w:rsid w:val="007D436B"/>
    <w:rsid w:val="007D556E"/>
    <w:rsid w:val="007F1254"/>
    <w:rsid w:val="00806A0B"/>
    <w:rsid w:val="00820918"/>
    <w:rsid w:val="008466E6"/>
    <w:rsid w:val="00854602"/>
    <w:rsid w:val="00862619"/>
    <w:rsid w:val="00874667"/>
    <w:rsid w:val="008749A3"/>
    <w:rsid w:val="008900FC"/>
    <w:rsid w:val="00896F33"/>
    <w:rsid w:val="008A00BA"/>
    <w:rsid w:val="008D6F3D"/>
    <w:rsid w:val="008E2C31"/>
    <w:rsid w:val="00903874"/>
    <w:rsid w:val="00911FD4"/>
    <w:rsid w:val="009132E4"/>
    <w:rsid w:val="00915951"/>
    <w:rsid w:val="00922546"/>
    <w:rsid w:val="00933791"/>
    <w:rsid w:val="009337EB"/>
    <w:rsid w:val="00934D7D"/>
    <w:rsid w:val="00956505"/>
    <w:rsid w:val="00964C11"/>
    <w:rsid w:val="00970538"/>
    <w:rsid w:val="00976E14"/>
    <w:rsid w:val="009819F8"/>
    <w:rsid w:val="009A4ED6"/>
    <w:rsid w:val="009B128B"/>
    <w:rsid w:val="009B1DCB"/>
    <w:rsid w:val="009C7127"/>
    <w:rsid w:val="009D11C5"/>
    <w:rsid w:val="009E20F6"/>
    <w:rsid w:val="009E4E38"/>
    <w:rsid w:val="009E693A"/>
    <w:rsid w:val="009F44FD"/>
    <w:rsid w:val="009F775C"/>
    <w:rsid w:val="00A06DF3"/>
    <w:rsid w:val="00A6234C"/>
    <w:rsid w:val="00AC10EE"/>
    <w:rsid w:val="00AE157B"/>
    <w:rsid w:val="00AF6342"/>
    <w:rsid w:val="00AF6A9D"/>
    <w:rsid w:val="00B074A8"/>
    <w:rsid w:val="00B13DCE"/>
    <w:rsid w:val="00B178E7"/>
    <w:rsid w:val="00B31BE3"/>
    <w:rsid w:val="00B45E2C"/>
    <w:rsid w:val="00B53C2F"/>
    <w:rsid w:val="00B71826"/>
    <w:rsid w:val="00B7217A"/>
    <w:rsid w:val="00B916F9"/>
    <w:rsid w:val="00B97DF3"/>
    <w:rsid w:val="00BB4E2B"/>
    <w:rsid w:val="00BD3192"/>
    <w:rsid w:val="00BD320A"/>
    <w:rsid w:val="00BE2197"/>
    <w:rsid w:val="00C10D82"/>
    <w:rsid w:val="00C50E02"/>
    <w:rsid w:val="00C6180C"/>
    <w:rsid w:val="00C67B24"/>
    <w:rsid w:val="00C765E4"/>
    <w:rsid w:val="00C8704B"/>
    <w:rsid w:val="00C928DA"/>
    <w:rsid w:val="00CA18B0"/>
    <w:rsid w:val="00CA4259"/>
    <w:rsid w:val="00CA62C0"/>
    <w:rsid w:val="00CD7D79"/>
    <w:rsid w:val="00CF35FD"/>
    <w:rsid w:val="00CF4F2A"/>
    <w:rsid w:val="00CF51F5"/>
    <w:rsid w:val="00D115F2"/>
    <w:rsid w:val="00D551FA"/>
    <w:rsid w:val="00D61B58"/>
    <w:rsid w:val="00D644A5"/>
    <w:rsid w:val="00D73B85"/>
    <w:rsid w:val="00D84B4A"/>
    <w:rsid w:val="00DB5567"/>
    <w:rsid w:val="00DD1DA3"/>
    <w:rsid w:val="00DE47D5"/>
    <w:rsid w:val="00DF56A1"/>
    <w:rsid w:val="00E0284A"/>
    <w:rsid w:val="00E5419A"/>
    <w:rsid w:val="00E57EA0"/>
    <w:rsid w:val="00E70219"/>
    <w:rsid w:val="00E71F7F"/>
    <w:rsid w:val="00E7370B"/>
    <w:rsid w:val="00E80813"/>
    <w:rsid w:val="00EA44F9"/>
    <w:rsid w:val="00EC0D9F"/>
    <w:rsid w:val="00ED7871"/>
    <w:rsid w:val="00EE75FE"/>
    <w:rsid w:val="00EF04E5"/>
    <w:rsid w:val="00EF0688"/>
    <w:rsid w:val="00EF421A"/>
    <w:rsid w:val="00EF65B1"/>
    <w:rsid w:val="00F00809"/>
    <w:rsid w:val="00F22852"/>
    <w:rsid w:val="00F37A0A"/>
    <w:rsid w:val="00F4316A"/>
    <w:rsid w:val="00F71D41"/>
    <w:rsid w:val="00F72061"/>
    <w:rsid w:val="00F84C9F"/>
    <w:rsid w:val="00F96FE6"/>
    <w:rsid w:val="00F9785C"/>
    <w:rsid w:val="00FB287D"/>
    <w:rsid w:val="00FC4C0A"/>
    <w:rsid w:val="00FF2630"/>
    <w:rsid w:val="017B721A"/>
    <w:rsid w:val="026E4A2E"/>
    <w:rsid w:val="02F32136"/>
    <w:rsid w:val="0657FEB8"/>
    <w:rsid w:val="06A6AEB7"/>
    <w:rsid w:val="082CC0ED"/>
    <w:rsid w:val="09004E26"/>
    <w:rsid w:val="09123340"/>
    <w:rsid w:val="0A1C9ABE"/>
    <w:rsid w:val="0A4BB06A"/>
    <w:rsid w:val="0B2B6FDB"/>
    <w:rsid w:val="0C8912F9"/>
    <w:rsid w:val="0DB1E7B4"/>
    <w:rsid w:val="0DD4DEDC"/>
    <w:rsid w:val="0E47949C"/>
    <w:rsid w:val="0F55B6DB"/>
    <w:rsid w:val="105E2E38"/>
    <w:rsid w:val="115CA46C"/>
    <w:rsid w:val="1370FC4C"/>
    <w:rsid w:val="14212938"/>
    <w:rsid w:val="1541F0CC"/>
    <w:rsid w:val="15534CE7"/>
    <w:rsid w:val="15A3D13C"/>
    <w:rsid w:val="15A5A9DF"/>
    <w:rsid w:val="162FAAEB"/>
    <w:rsid w:val="16B3332E"/>
    <w:rsid w:val="18048010"/>
    <w:rsid w:val="1810B2E2"/>
    <w:rsid w:val="19674BAD"/>
    <w:rsid w:val="19EDACBB"/>
    <w:rsid w:val="1A4A9D17"/>
    <w:rsid w:val="1BC4EFF4"/>
    <w:rsid w:val="1D018B19"/>
    <w:rsid w:val="1DF94920"/>
    <w:rsid w:val="1E852F3C"/>
    <w:rsid w:val="1F61D639"/>
    <w:rsid w:val="1FD68D31"/>
    <w:rsid w:val="20AB84F3"/>
    <w:rsid w:val="20C6CA74"/>
    <w:rsid w:val="2113F847"/>
    <w:rsid w:val="2143743F"/>
    <w:rsid w:val="21C09746"/>
    <w:rsid w:val="2229C059"/>
    <w:rsid w:val="22E070BE"/>
    <w:rsid w:val="262CA658"/>
    <w:rsid w:val="26706E57"/>
    <w:rsid w:val="27098B0A"/>
    <w:rsid w:val="281675F1"/>
    <w:rsid w:val="2964471A"/>
    <w:rsid w:val="2991643F"/>
    <w:rsid w:val="2C7545A3"/>
    <w:rsid w:val="2CB99B08"/>
    <w:rsid w:val="2D12FC2B"/>
    <w:rsid w:val="2E07134D"/>
    <w:rsid w:val="30AF0FD0"/>
    <w:rsid w:val="30E70127"/>
    <w:rsid w:val="312C1194"/>
    <w:rsid w:val="323477AB"/>
    <w:rsid w:val="33E9778F"/>
    <w:rsid w:val="33EA6312"/>
    <w:rsid w:val="34E23DBD"/>
    <w:rsid w:val="35D88B4D"/>
    <w:rsid w:val="367E0E1E"/>
    <w:rsid w:val="36E278FF"/>
    <w:rsid w:val="3A4A13C3"/>
    <w:rsid w:val="3B3C025C"/>
    <w:rsid w:val="3E81E998"/>
    <w:rsid w:val="3F8F119E"/>
    <w:rsid w:val="3F998E92"/>
    <w:rsid w:val="4106CDB3"/>
    <w:rsid w:val="42955E4B"/>
    <w:rsid w:val="42A67C7C"/>
    <w:rsid w:val="42B98853"/>
    <w:rsid w:val="445558B4"/>
    <w:rsid w:val="44C50B11"/>
    <w:rsid w:val="450E9B98"/>
    <w:rsid w:val="4597D4B3"/>
    <w:rsid w:val="467E638A"/>
    <w:rsid w:val="481A33EB"/>
    <w:rsid w:val="483CF46A"/>
    <w:rsid w:val="4877C28D"/>
    <w:rsid w:val="4AE5F42C"/>
    <w:rsid w:val="4B2DF82A"/>
    <w:rsid w:val="4BFE6B17"/>
    <w:rsid w:val="4D1EDDDD"/>
    <w:rsid w:val="4D997CB3"/>
    <w:rsid w:val="4DB40210"/>
    <w:rsid w:val="4ED3D69B"/>
    <w:rsid w:val="4EDCF216"/>
    <w:rsid w:val="4F2A9047"/>
    <w:rsid w:val="4F40B144"/>
    <w:rsid w:val="50567E9F"/>
    <w:rsid w:val="50E2584E"/>
    <w:rsid w:val="5123C1E0"/>
    <w:rsid w:val="520B775D"/>
    <w:rsid w:val="5227A5F8"/>
    <w:rsid w:val="52E8A1A9"/>
    <w:rsid w:val="5529EFC2"/>
    <w:rsid w:val="5680B119"/>
    <w:rsid w:val="5876426D"/>
    <w:rsid w:val="59C17522"/>
    <w:rsid w:val="5A04638C"/>
    <w:rsid w:val="5A1C8FCA"/>
    <w:rsid w:val="5A71CAFB"/>
    <w:rsid w:val="5A893A94"/>
    <w:rsid w:val="5CB38894"/>
    <w:rsid w:val="5D6011A3"/>
    <w:rsid w:val="5D9393A3"/>
    <w:rsid w:val="5EA786BF"/>
    <w:rsid w:val="5F483A79"/>
    <w:rsid w:val="643EB4CD"/>
    <w:rsid w:val="65E53ED8"/>
    <w:rsid w:val="66BB5B22"/>
    <w:rsid w:val="67FFA9B1"/>
    <w:rsid w:val="6A36BA10"/>
    <w:rsid w:val="6A901B33"/>
    <w:rsid w:val="6BB74296"/>
    <w:rsid w:val="6BE4B6FA"/>
    <w:rsid w:val="6C2C2851"/>
    <w:rsid w:val="6C5FB7B3"/>
    <w:rsid w:val="6EB199B6"/>
    <w:rsid w:val="6EE72E86"/>
    <w:rsid w:val="6FB42672"/>
    <w:rsid w:val="6FEE3EAB"/>
    <w:rsid w:val="7130BB81"/>
    <w:rsid w:val="7180C138"/>
    <w:rsid w:val="7183C619"/>
    <w:rsid w:val="73731E72"/>
    <w:rsid w:val="74F148D6"/>
    <w:rsid w:val="7549EA0F"/>
    <w:rsid w:val="7604B9C3"/>
    <w:rsid w:val="773DBD3C"/>
    <w:rsid w:val="7763257A"/>
    <w:rsid w:val="77F3BF3E"/>
    <w:rsid w:val="789A793F"/>
    <w:rsid w:val="7B36056B"/>
    <w:rsid w:val="7BE1F44E"/>
    <w:rsid w:val="7E55D677"/>
    <w:rsid w:val="7FB80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8DF45"/>
  <w15:chartTrackingRefBased/>
  <w15:docId w15:val="{33850514-445C-4989-BAA2-7AD91A77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C712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C7127"/>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3A322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32E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232E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3688"/>
    <w:rPr>
      <w:b/>
      <w:bCs/>
    </w:rPr>
  </w:style>
  <w:style w:type="character" w:styleId="CommentSubjectChar" w:customStyle="1">
    <w:name w:val="Comment Subject Char"/>
    <w:basedOn w:val="CommentTextChar"/>
    <w:link w:val="CommentSubject"/>
    <w:uiPriority w:val="99"/>
    <w:semiHidden/>
    <w:rsid w:val="00653688"/>
    <w:rPr>
      <w:b/>
      <w:bCs/>
      <w:sz w:val="20"/>
      <w:szCs w:val="20"/>
    </w:rPr>
  </w:style>
  <w:style w:type="paragraph" w:styleId="NoSpacing">
    <w:name w:val="No Spacing"/>
    <w:link w:val="NoSpacingChar"/>
    <w:uiPriority w:val="1"/>
    <w:qFormat/>
    <w:rsid w:val="00915951"/>
    <w:pPr>
      <w:spacing w:after="0" w:line="240" w:lineRule="auto"/>
    </w:pPr>
    <w:rPr>
      <w:rFonts w:asciiTheme="minorHAnsi" w:hAnsiTheme="minorHAnsi" w:eastAsiaTheme="minorEastAsia"/>
    </w:rPr>
  </w:style>
  <w:style w:type="table" w:styleId="TableGrid">
    <w:name w:val="Table Grid"/>
    <w:basedOn w:val="TableNormal"/>
    <w:uiPriority w:val="39"/>
    <w:rsid w:val="00915951"/>
    <w:pPr>
      <w:spacing w:after="0" w:line="240" w:lineRule="auto"/>
    </w:pPr>
    <w:rPr>
      <w:rFonts w:asciiTheme="minorHAnsi" w:hAnsiTheme="minorHAnsi"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SpacingChar" w:customStyle="1">
    <w:name w:val="No Spacing Char"/>
    <w:basedOn w:val="DefaultParagraphFont"/>
    <w:link w:val="NoSpacing"/>
    <w:uiPriority w:val="1"/>
    <w:rsid w:val="00915951"/>
    <w:rPr>
      <w:rFonts w:asciiTheme="minorHAnsi" w:hAnsiTheme="minorHAnsi" w:eastAsiaTheme="minorEastAsia"/>
    </w:rPr>
  </w:style>
  <w:style w:type="character" w:styleId="Hyperlink">
    <w:name w:val="Hyperlink"/>
    <w:basedOn w:val="DefaultParagraphFont"/>
    <w:uiPriority w:val="99"/>
    <w:unhideWhenUsed/>
    <w:rsid w:val="00634975"/>
    <w:rPr>
      <w:color w:val="0563C1" w:themeColor="hyperlink"/>
      <w:u w:val="single"/>
    </w:rPr>
  </w:style>
  <w:style w:type="character" w:styleId="UnresolvedMention">
    <w:name w:val="Unresolved Mention"/>
    <w:basedOn w:val="DefaultParagraphFont"/>
    <w:uiPriority w:val="99"/>
    <w:semiHidden/>
    <w:unhideWhenUsed/>
    <w:rsid w:val="00634975"/>
    <w:rPr>
      <w:color w:val="605E5C"/>
      <w:shd w:val="clear" w:color="auto" w:fill="E1DFDD"/>
    </w:rPr>
  </w:style>
  <w:style w:type="paragraph" w:styleId="Header">
    <w:name w:val="header"/>
    <w:basedOn w:val="Normal"/>
    <w:link w:val="HeaderChar"/>
    <w:uiPriority w:val="99"/>
    <w:unhideWhenUsed/>
    <w:rsid w:val="002A0C25"/>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0C25"/>
  </w:style>
  <w:style w:type="paragraph" w:styleId="Footer">
    <w:name w:val="footer"/>
    <w:basedOn w:val="Normal"/>
    <w:link w:val="FooterChar"/>
    <w:uiPriority w:val="99"/>
    <w:unhideWhenUsed/>
    <w:rsid w:val="002A0C25"/>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0C25"/>
  </w:style>
  <w:style w:type="table" w:styleId="GridTable4-Accent5">
    <w:name w:val="Grid Table 4 Accent 5"/>
    <w:basedOn w:val="TableNormal"/>
    <w:uiPriority w:val="49"/>
    <w:rsid w:val="002A0C25"/>
    <w:pPr>
      <w:spacing w:after="0" w:line="240" w:lineRule="auto"/>
    </w:pPr>
    <w:rPr>
      <w:rFonts w:cstheme="minorHAnsi"/>
      <w:sz w:val="20"/>
      <w:szCs w:val="24"/>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76E14"/>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Pr>
      <w:color w:val="2B579A"/>
      <w:shd w:val="clear" w:color="auto" w:fill="E6E6E6"/>
    </w:rPr>
  </w:style>
  <w:style w:type="table" w:styleId="GridTable3-Accent5">
    <w:name w:val="Grid Table 3 Accent 5"/>
    <w:basedOn w:val="TableNormal"/>
    <w:uiPriority w:val="48"/>
    <w:rsid w:val="009819F8"/>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color="9CC2E5" w:themeColor="accent5" w:themeTint="99" w:sz="4" w:space="0"/>
        </w:tcBorders>
      </w:tcPr>
    </w:tblStylePr>
    <w:tblStylePr w:type="nwCell">
      <w:tblPr/>
      <w:tcPr>
        <w:tcBorders>
          <w:bottom w:val="single" w:color="9CC2E5" w:themeColor="accent5" w:themeTint="99" w:sz="4" w:space="0"/>
        </w:tcBorders>
      </w:tcPr>
    </w:tblStylePr>
    <w:tblStylePr w:type="seCell">
      <w:tblPr/>
      <w:tcPr>
        <w:tcBorders>
          <w:top w:val="single" w:color="9CC2E5" w:themeColor="accent5" w:themeTint="99" w:sz="4" w:space="0"/>
        </w:tcBorders>
      </w:tcPr>
    </w:tblStylePr>
    <w:tblStylePr w:type="swCell">
      <w:tblPr/>
      <w:tcPr>
        <w:tcBorders>
          <w:top w:val="single" w:color="9CC2E5" w:themeColor="accent5" w:themeTint="99"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29216">
      <w:bodyDiv w:val="1"/>
      <w:marLeft w:val="0"/>
      <w:marRight w:val="0"/>
      <w:marTop w:val="0"/>
      <w:marBottom w:val="0"/>
      <w:divBdr>
        <w:top w:val="none" w:sz="0" w:space="0" w:color="auto"/>
        <w:left w:val="none" w:sz="0" w:space="0" w:color="auto"/>
        <w:bottom w:val="none" w:sz="0" w:space="0" w:color="auto"/>
        <w:right w:val="none" w:sz="0" w:space="0" w:color="auto"/>
      </w:divBdr>
    </w:div>
    <w:div w:id="843666477">
      <w:bodyDiv w:val="1"/>
      <w:marLeft w:val="0"/>
      <w:marRight w:val="0"/>
      <w:marTop w:val="0"/>
      <w:marBottom w:val="0"/>
      <w:divBdr>
        <w:top w:val="none" w:sz="0" w:space="0" w:color="auto"/>
        <w:left w:val="none" w:sz="0" w:space="0" w:color="auto"/>
        <w:bottom w:val="none" w:sz="0" w:space="0" w:color="auto"/>
        <w:right w:val="none" w:sz="0" w:space="0" w:color="auto"/>
      </w:divBdr>
    </w:div>
    <w:div w:id="1033917045">
      <w:bodyDiv w:val="1"/>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1829326062">
              <w:marLeft w:val="0"/>
              <w:marRight w:val="0"/>
              <w:marTop w:val="0"/>
              <w:marBottom w:val="0"/>
              <w:divBdr>
                <w:top w:val="none" w:sz="0" w:space="0" w:color="auto"/>
                <w:left w:val="none" w:sz="0" w:space="0" w:color="auto"/>
                <w:bottom w:val="none" w:sz="0" w:space="0" w:color="auto"/>
                <w:right w:val="none" w:sz="0" w:space="0" w:color="auto"/>
              </w:divBdr>
            </w:div>
            <w:div w:id="1978298049">
              <w:marLeft w:val="0"/>
              <w:marRight w:val="0"/>
              <w:marTop w:val="0"/>
              <w:marBottom w:val="0"/>
              <w:divBdr>
                <w:top w:val="none" w:sz="0" w:space="0" w:color="auto"/>
                <w:left w:val="none" w:sz="0" w:space="0" w:color="auto"/>
                <w:bottom w:val="none" w:sz="0" w:space="0" w:color="auto"/>
                <w:right w:val="none" w:sz="0" w:space="0" w:color="auto"/>
              </w:divBdr>
            </w:div>
            <w:div w:id="456685689">
              <w:marLeft w:val="0"/>
              <w:marRight w:val="0"/>
              <w:marTop w:val="0"/>
              <w:marBottom w:val="0"/>
              <w:divBdr>
                <w:top w:val="none" w:sz="0" w:space="0" w:color="auto"/>
                <w:left w:val="none" w:sz="0" w:space="0" w:color="auto"/>
                <w:bottom w:val="none" w:sz="0" w:space="0" w:color="auto"/>
                <w:right w:val="none" w:sz="0" w:space="0" w:color="auto"/>
              </w:divBdr>
            </w:div>
            <w:div w:id="1691299081">
              <w:marLeft w:val="0"/>
              <w:marRight w:val="0"/>
              <w:marTop w:val="0"/>
              <w:marBottom w:val="0"/>
              <w:divBdr>
                <w:top w:val="none" w:sz="0" w:space="0" w:color="auto"/>
                <w:left w:val="none" w:sz="0" w:space="0" w:color="auto"/>
                <w:bottom w:val="none" w:sz="0" w:space="0" w:color="auto"/>
                <w:right w:val="none" w:sz="0" w:space="0" w:color="auto"/>
              </w:divBdr>
            </w:div>
            <w:div w:id="1318149163">
              <w:marLeft w:val="0"/>
              <w:marRight w:val="0"/>
              <w:marTop w:val="0"/>
              <w:marBottom w:val="0"/>
              <w:divBdr>
                <w:top w:val="none" w:sz="0" w:space="0" w:color="auto"/>
                <w:left w:val="none" w:sz="0" w:space="0" w:color="auto"/>
                <w:bottom w:val="none" w:sz="0" w:space="0" w:color="auto"/>
                <w:right w:val="none" w:sz="0" w:space="0" w:color="auto"/>
              </w:divBdr>
            </w:div>
          </w:divsChild>
        </w:div>
        <w:div w:id="739711992">
          <w:marLeft w:val="0"/>
          <w:marRight w:val="0"/>
          <w:marTop w:val="0"/>
          <w:marBottom w:val="0"/>
          <w:divBdr>
            <w:top w:val="none" w:sz="0" w:space="0" w:color="auto"/>
            <w:left w:val="none" w:sz="0" w:space="0" w:color="auto"/>
            <w:bottom w:val="none" w:sz="0" w:space="0" w:color="auto"/>
            <w:right w:val="none" w:sz="0" w:space="0" w:color="auto"/>
          </w:divBdr>
        </w:div>
        <w:div w:id="420104242">
          <w:blockQuote w:val="1"/>
          <w:marLeft w:val="600"/>
          <w:marRight w:val="0"/>
          <w:marTop w:val="0"/>
          <w:marBottom w:val="0"/>
          <w:divBdr>
            <w:top w:val="none" w:sz="0" w:space="0" w:color="auto"/>
            <w:left w:val="none" w:sz="0" w:space="0" w:color="auto"/>
            <w:bottom w:val="none" w:sz="0" w:space="0" w:color="auto"/>
            <w:right w:val="none" w:sz="0" w:space="0" w:color="auto"/>
          </w:divBdr>
          <w:divsChild>
            <w:div w:id="384111561">
              <w:marLeft w:val="0"/>
              <w:marRight w:val="0"/>
              <w:marTop w:val="0"/>
              <w:marBottom w:val="0"/>
              <w:divBdr>
                <w:top w:val="none" w:sz="0" w:space="0" w:color="auto"/>
                <w:left w:val="none" w:sz="0" w:space="0" w:color="auto"/>
                <w:bottom w:val="none" w:sz="0" w:space="0" w:color="auto"/>
                <w:right w:val="none" w:sz="0" w:space="0" w:color="auto"/>
              </w:divBdr>
              <w:divsChild>
                <w:div w:id="2092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38024">
      <w:bodyDiv w:val="1"/>
      <w:marLeft w:val="0"/>
      <w:marRight w:val="0"/>
      <w:marTop w:val="0"/>
      <w:marBottom w:val="0"/>
      <w:divBdr>
        <w:top w:val="none" w:sz="0" w:space="0" w:color="auto"/>
        <w:left w:val="none" w:sz="0" w:space="0" w:color="auto"/>
        <w:bottom w:val="none" w:sz="0" w:space="0" w:color="auto"/>
        <w:right w:val="none" w:sz="0" w:space="0" w:color="auto"/>
      </w:divBdr>
    </w:div>
    <w:div w:id="1448506763">
      <w:bodyDiv w:val="1"/>
      <w:marLeft w:val="0"/>
      <w:marRight w:val="0"/>
      <w:marTop w:val="0"/>
      <w:marBottom w:val="0"/>
      <w:divBdr>
        <w:top w:val="none" w:sz="0" w:space="0" w:color="auto"/>
        <w:left w:val="none" w:sz="0" w:space="0" w:color="auto"/>
        <w:bottom w:val="none" w:sz="0" w:space="0" w:color="auto"/>
        <w:right w:val="none" w:sz="0" w:space="0" w:color="auto"/>
      </w:divBdr>
      <w:divsChild>
        <w:div w:id="1898591539">
          <w:marLeft w:val="0"/>
          <w:marRight w:val="0"/>
          <w:marTop w:val="0"/>
          <w:marBottom w:val="0"/>
          <w:divBdr>
            <w:top w:val="none" w:sz="0" w:space="0" w:color="auto"/>
            <w:left w:val="none" w:sz="0" w:space="0" w:color="auto"/>
            <w:bottom w:val="none" w:sz="0" w:space="0" w:color="auto"/>
            <w:right w:val="none" w:sz="0" w:space="0" w:color="auto"/>
          </w:divBdr>
          <w:divsChild>
            <w:div w:id="101002540">
              <w:marLeft w:val="0"/>
              <w:marRight w:val="0"/>
              <w:marTop w:val="0"/>
              <w:marBottom w:val="0"/>
              <w:divBdr>
                <w:top w:val="none" w:sz="0" w:space="0" w:color="auto"/>
                <w:left w:val="none" w:sz="0" w:space="0" w:color="auto"/>
                <w:bottom w:val="none" w:sz="0" w:space="0" w:color="auto"/>
                <w:right w:val="none" w:sz="0" w:space="0" w:color="auto"/>
              </w:divBdr>
            </w:div>
            <w:div w:id="264970705">
              <w:marLeft w:val="0"/>
              <w:marRight w:val="0"/>
              <w:marTop w:val="0"/>
              <w:marBottom w:val="0"/>
              <w:divBdr>
                <w:top w:val="none" w:sz="0" w:space="0" w:color="auto"/>
                <w:left w:val="none" w:sz="0" w:space="0" w:color="auto"/>
                <w:bottom w:val="none" w:sz="0" w:space="0" w:color="auto"/>
                <w:right w:val="none" w:sz="0" w:space="0" w:color="auto"/>
              </w:divBdr>
            </w:div>
            <w:div w:id="1797141014">
              <w:marLeft w:val="0"/>
              <w:marRight w:val="0"/>
              <w:marTop w:val="0"/>
              <w:marBottom w:val="0"/>
              <w:divBdr>
                <w:top w:val="none" w:sz="0" w:space="0" w:color="auto"/>
                <w:left w:val="none" w:sz="0" w:space="0" w:color="auto"/>
                <w:bottom w:val="none" w:sz="0" w:space="0" w:color="auto"/>
                <w:right w:val="none" w:sz="0" w:space="0" w:color="auto"/>
              </w:divBdr>
            </w:div>
            <w:div w:id="2064399255">
              <w:marLeft w:val="0"/>
              <w:marRight w:val="0"/>
              <w:marTop w:val="0"/>
              <w:marBottom w:val="0"/>
              <w:divBdr>
                <w:top w:val="none" w:sz="0" w:space="0" w:color="auto"/>
                <w:left w:val="none" w:sz="0" w:space="0" w:color="auto"/>
                <w:bottom w:val="none" w:sz="0" w:space="0" w:color="auto"/>
                <w:right w:val="none" w:sz="0" w:space="0" w:color="auto"/>
              </w:divBdr>
            </w:div>
            <w:div w:id="732510912">
              <w:marLeft w:val="0"/>
              <w:marRight w:val="0"/>
              <w:marTop w:val="0"/>
              <w:marBottom w:val="0"/>
              <w:divBdr>
                <w:top w:val="none" w:sz="0" w:space="0" w:color="auto"/>
                <w:left w:val="none" w:sz="0" w:space="0" w:color="auto"/>
                <w:bottom w:val="none" w:sz="0" w:space="0" w:color="auto"/>
                <w:right w:val="none" w:sz="0" w:space="0" w:color="auto"/>
              </w:divBdr>
            </w:div>
          </w:divsChild>
        </w:div>
        <w:div w:id="67921081">
          <w:marLeft w:val="0"/>
          <w:marRight w:val="0"/>
          <w:marTop w:val="0"/>
          <w:marBottom w:val="0"/>
          <w:divBdr>
            <w:top w:val="none" w:sz="0" w:space="0" w:color="auto"/>
            <w:left w:val="none" w:sz="0" w:space="0" w:color="auto"/>
            <w:bottom w:val="none" w:sz="0" w:space="0" w:color="auto"/>
            <w:right w:val="none" w:sz="0" w:space="0" w:color="auto"/>
          </w:divBdr>
        </w:div>
        <w:div w:id="449319452">
          <w:blockQuote w:val="1"/>
          <w:marLeft w:val="600"/>
          <w:marRight w:val="0"/>
          <w:marTop w:val="0"/>
          <w:marBottom w:val="0"/>
          <w:divBdr>
            <w:top w:val="none" w:sz="0" w:space="0" w:color="auto"/>
            <w:left w:val="none" w:sz="0" w:space="0" w:color="auto"/>
            <w:bottom w:val="none" w:sz="0" w:space="0" w:color="auto"/>
            <w:right w:val="none" w:sz="0" w:space="0" w:color="auto"/>
          </w:divBdr>
          <w:divsChild>
            <w:div w:id="349066617">
              <w:marLeft w:val="0"/>
              <w:marRight w:val="0"/>
              <w:marTop w:val="0"/>
              <w:marBottom w:val="0"/>
              <w:divBdr>
                <w:top w:val="none" w:sz="0" w:space="0" w:color="auto"/>
                <w:left w:val="none" w:sz="0" w:space="0" w:color="auto"/>
                <w:bottom w:val="none" w:sz="0" w:space="0" w:color="auto"/>
                <w:right w:val="none" w:sz="0" w:space="0" w:color="auto"/>
              </w:divBdr>
              <w:divsChild>
                <w:div w:id="100362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nice.org.uk/guidance/ng196"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clinicaltrials.cprd.com"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doi.org/10.1093/eurheartj/ehz41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mj.com/content/361/bmj.k1717" TargetMode="External"/><Relationship Id="rId20" Type="http://schemas.openxmlformats.org/officeDocument/2006/relationships/hyperlink" Target="http://www.clinicaltrials.cpr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hr.ac.uk/health-and-care-professionals/learning-and-support/good-clinical-practice.htm" TargetMode="External"/><Relationship Id="rId24"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urldefense.proofpoint.com/v2/url?u=https-3A__www.emisnow.com_csm-3Fid-3Dkb-5Farticle-26sysparm-5Farticle-3DKB0065399-26sys-5Fkb-5Fid-3Dd06ab6531b09ec101f18b8c2cd4bcbf8-26spa-3D1&amp;d=DwMFAg&amp;c=bXyEFqpHx20PVepeYtwgeyo6Hxa8iNFcGZACCQj1uNM&amp;r=Vcr1Bis8uYoOGf9KfM1gJg3X45G3MoBND2e5d5LvS1o&amp;m=boFFdqb5W9Pg20RshA0jFsirm5CuAQvGFIPTyOXwkxg&amp;s=G0fAHtkEZvxvhENyb3Mc-EnF6lO5r8VTUllXKTWoxl4&amp;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bham.ac.uk/d2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www.clinicaltrials.cprd.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7B3B7935-C0C7-469C-8FE4-844F1A011963}">
    <t:Anchor>
      <t:Comment id="680097489"/>
    </t:Anchor>
    <t:History>
      <t:Event id="{56B1B7E5-0D7A-41F9-AD91-348FB1466270}" time="2021-08-04T19:39:43.41Z">
        <t:Attribution userId="S::d.r.shukla@bham.ac.uk::f89a10c0-c94a-43e4-a116-6414e4c08ea7" userProvider="AD" userName="David Shukla (Applied Health Research)"/>
        <t:Anchor>
          <t:Comment id="680097489"/>
        </t:Anchor>
        <t:Create/>
      </t:Event>
      <t:Event id="{A77256E7-FE19-49ED-B26A-AD1A73F3B91C}" time="2021-08-04T19:39:43.41Z">
        <t:Attribution userId="S::d.r.shukla@bham.ac.uk::f89a10c0-c94a-43e4-a116-6414e4c08ea7" userProvider="AD" userName="David Shukla (Applied Health Research)"/>
        <t:Anchor>
          <t:Comment id="680097489"/>
        </t:Anchor>
        <t:Assign userId="S::D.Kotecha@bham.ac.uk::4c7d3256-bedd-48c7-b58d-01c5baed0e0a" userProvider="AD" userName="Dipak Kotecha (Cardiovascular Sciences)"/>
      </t:Event>
      <t:Event id="{1F42C706-9B95-42DC-8354-1DC8F96BA335}" time="2021-08-04T19:39:43.41Z">
        <t:Attribution userId="S::d.r.shukla@bham.ac.uk::f89a10c0-c94a-43e4-a116-6414e4c08ea7" userProvider="AD" userName="David Shukla (Applied Health Research)"/>
        <t:Anchor>
          <t:Comment id="680097489"/>
        </t:Anchor>
        <t:SetTitle title="@Dipak Kotecha (Cardiovascular Sciences) I think we ought to add in a few examples here to aid GPs - what do you think? Rebecca quite rightly felt my explanation here was a little non-commit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0" ma:contentTypeDescription="Create a new document." ma:contentTypeScope="" ma:versionID="fe93d4a6e20973873a24cd15b68a35b4">
  <xsd:schema xmlns:xsd="http://www.w3.org/2001/XMLSchema" xmlns:xs="http://www.w3.org/2001/XMLSchema" xmlns:p="http://schemas.microsoft.com/office/2006/metadata/properties" xmlns:ns2="41a39341-79ea-44d6-85e4-75c150cb81b7" targetNamespace="http://schemas.microsoft.com/office/2006/metadata/properties" ma:root="true" ma:fieldsID="d3a91dd9ed22713d71743ae086f71953" ns2:_="">
    <xsd:import namespace="41a39341-79ea-44d6-85e4-75c150cb8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CA0F3-8837-447A-B232-90F203353620}">
  <ds:schemaRefs>
    <ds:schemaRef ds:uri="http://schemas.microsoft.com/sharepoint/v3/contenttype/forms"/>
  </ds:schemaRefs>
</ds:datastoreItem>
</file>

<file path=customXml/itemProps2.xml><?xml version="1.0" encoding="utf-8"?>
<ds:datastoreItem xmlns:ds="http://schemas.openxmlformats.org/officeDocument/2006/customXml" ds:itemID="{DDD93FFB-9263-4B36-9029-11E37F8ABE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FBF724-1A9D-4C4D-8E65-B0E561549C35}">
  <ds:schemaRefs>
    <ds:schemaRef ds:uri="http://schemas.openxmlformats.org/officeDocument/2006/bibliography"/>
  </ds:schemaRefs>
</ds:datastoreItem>
</file>

<file path=customXml/itemProps4.xml><?xml version="1.0" encoding="utf-8"?>
<ds:datastoreItem xmlns:ds="http://schemas.openxmlformats.org/officeDocument/2006/customXml" ds:itemID="{528565F6-3AE3-4A4F-8168-3777FF87B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Lancaster, Karen</dc:creator>
  <cp:keywords/>
  <dc:description/>
  <cp:lastModifiedBy>Alastair Mobley (Applied Health Research)</cp:lastModifiedBy>
  <cp:revision>101</cp:revision>
  <dcterms:created xsi:type="dcterms:W3CDTF">2021-08-09T10:44:00Z</dcterms:created>
  <dcterms:modified xsi:type="dcterms:W3CDTF">2021-08-13T08:43:18Z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0x010100968EA6A78B6EFB4D9985178F3F279F4C</vt:lpwstr>
  </property>
  <property fmtid="{D5CDD505-2E9C-101B-9397-08002B2CF9AE}" pid="3" name="AgencyKeywords">
    <vt:lpwstr/>
  </property>
  <property fmtid="{D5CDD505-2E9C-101B-9397-08002B2CF9AE}" pid="4" name="SecurityClassification">
    <vt:lpwstr>1;#Official|9d42bd58-89d2-4e46-94bb-80d8f31efd91</vt:lpwstr>
  </property>
  <property fmtid="{D5CDD505-2E9C-101B-9397-08002B2CF9AE}" pid="5" name="SharedWithUsers">
    <vt:lpwstr>1540;#Lancaster, Karen</vt:lpwstr>
  </property>
</Properties>
</file>