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Layout w:type="fixed"/>
        <w:tblLook w:val="0400" w:firstRow="0" w:lastRow="0" w:firstColumn="0" w:lastColumn="0" w:noHBand="0" w:noVBand="1"/>
        <w:tblCaption w:val="FAQ Questions &amp; Responses"/>
      </w:tblPr>
      <w:tblGrid>
        <w:gridCol w:w="1980"/>
        <w:gridCol w:w="7654"/>
      </w:tblGrid>
      <w:tr w:rsidR="007702E2" w:rsidRPr="001A4E7F" w14:paraId="0E166BD7" w14:textId="77777777" w:rsidTr="007702E2">
        <w:trPr>
          <w:trHeight w:val="450"/>
          <w:tblHeader/>
        </w:trPr>
        <w:tc>
          <w:tcPr>
            <w:tcW w:w="1980" w:type="dxa"/>
            <w:shd w:val="clear" w:color="auto" w:fill="D9E2F3" w:themeFill="accent1" w:themeFillTint="33"/>
          </w:tcPr>
          <w:p w14:paraId="49618D54" w14:textId="1717C5FE" w:rsidR="007702E2" w:rsidRPr="007702E2" w:rsidRDefault="007702E2" w:rsidP="0001115D">
            <w:pPr>
              <w:spacing w:after="120"/>
              <w:rPr>
                <w:rFonts w:eastAsia="Times New Roman" w:cstheme="minorHAnsi"/>
                <w:b/>
                <w:color w:val="000000" w:themeColor="text1"/>
                <w:lang w:eastAsia="en-GB"/>
              </w:rPr>
            </w:pPr>
            <w:bookmarkStart w:id="0" w:name="_GoBack"/>
            <w:bookmarkEnd w:id="0"/>
            <w:r w:rsidRPr="007702E2">
              <w:rPr>
                <w:rFonts w:eastAsia="Times New Roman" w:cstheme="minorHAnsi"/>
                <w:b/>
                <w:color w:val="000000" w:themeColor="text1"/>
                <w:lang w:eastAsia="en-GB"/>
              </w:rPr>
              <w:t>Question</w:t>
            </w:r>
          </w:p>
        </w:tc>
        <w:tc>
          <w:tcPr>
            <w:tcW w:w="7654" w:type="dxa"/>
            <w:shd w:val="clear" w:color="auto" w:fill="D9E2F3" w:themeFill="accent1" w:themeFillTint="33"/>
          </w:tcPr>
          <w:p w14:paraId="3E779EDD" w14:textId="2D0F3B8E" w:rsidR="007702E2" w:rsidRPr="007702E2" w:rsidRDefault="007702E2" w:rsidP="00B13DCE">
            <w:pPr>
              <w:spacing w:after="120"/>
              <w:rPr>
                <w:rFonts w:eastAsia="Times New Roman" w:cstheme="minorHAnsi"/>
                <w:b/>
                <w:color w:val="000000" w:themeColor="text1"/>
                <w:lang w:eastAsia="en-GB"/>
              </w:rPr>
            </w:pPr>
            <w:r w:rsidRPr="007702E2">
              <w:rPr>
                <w:rFonts w:eastAsia="Times New Roman" w:cstheme="minorHAnsi"/>
                <w:b/>
                <w:color w:val="000000" w:themeColor="text1"/>
                <w:lang w:eastAsia="en-GB"/>
              </w:rPr>
              <w:t>Response/Guidance</w:t>
            </w:r>
          </w:p>
        </w:tc>
      </w:tr>
      <w:tr w:rsidR="00976E14" w:rsidRPr="001A4E7F" w14:paraId="08E09C3B" w14:textId="77777777" w:rsidTr="007702E2">
        <w:trPr>
          <w:trHeight w:val="450"/>
        </w:trPr>
        <w:tc>
          <w:tcPr>
            <w:tcW w:w="1980" w:type="dxa"/>
            <w:vMerge w:val="restart"/>
            <w:hideMark/>
          </w:tcPr>
          <w:p w14:paraId="5299C368" w14:textId="057A0FF8" w:rsidR="00976E14" w:rsidRPr="001A4E7F" w:rsidRDefault="00976E14" w:rsidP="0001115D">
            <w:pPr>
              <w:spacing w:after="120"/>
              <w:rPr>
                <w:rFonts w:eastAsia="Times New Roman" w:cstheme="minorHAnsi"/>
                <w:color w:val="000000"/>
                <w:lang w:eastAsia="en-GB"/>
              </w:rPr>
            </w:pPr>
            <w:r w:rsidRPr="001A4E7F">
              <w:rPr>
                <w:rFonts w:eastAsia="Times New Roman" w:cstheme="minorHAnsi"/>
                <w:color w:val="000000" w:themeColor="text1"/>
                <w:lang w:eastAsia="en-GB"/>
              </w:rPr>
              <w:t xml:space="preserve">Does the </w:t>
            </w:r>
            <w:r w:rsidR="082CC0ED" w:rsidRPr="001A4E7F">
              <w:rPr>
                <w:rFonts w:eastAsia="Times New Roman" w:cstheme="minorHAnsi"/>
                <w:color w:val="000000" w:themeColor="text1"/>
                <w:lang w:eastAsia="en-GB"/>
              </w:rPr>
              <w:t>Principal Investigator (</w:t>
            </w:r>
            <w:r w:rsidRPr="001A4E7F">
              <w:rPr>
                <w:rFonts w:eastAsia="Times New Roman" w:cstheme="minorHAnsi"/>
                <w:color w:val="000000" w:themeColor="text1"/>
                <w:lang w:eastAsia="en-GB"/>
              </w:rPr>
              <w:t>PI</w:t>
            </w:r>
            <w:r w:rsidR="1370FC4C" w:rsidRPr="001A4E7F">
              <w:rPr>
                <w:rFonts w:eastAsia="Times New Roman" w:cstheme="minorHAnsi"/>
                <w:color w:val="000000" w:themeColor="text1"/>
                <w:lang w:eastAsia="en-GB"/>
              </w:rPr>
              <w:t>)</w:t>
            </w:r>
            <w:r w:rsidRPr="001A4E7F">
              <w:rPr>
                <w:rFonts w:eastAsia="Times New Roman" w:cstheme="minorHAnsi"/>
                <w:color w:val="000000" w:themeColor="text1"/>
                <w:lang w:eastAsia="en-GB"/>
              </w:rPr>
              <w:t xml:space="preserve"> </w:t>
            </w:r>
            <w:r w:rsidR="5F483A79" w:rsidRPr="001A4E7F">
              <w:rPr>
                <w:rFonts w:eastAsia="Times New Roman" w:cstheme="minorHAnsi"/>
                <w:color w:val="000000" w:themeColor="text1"/>
                <w:lang w:eastAsia="en-GB"/>
              </w:rPr>
              <w:t xml:space="preserve">need to </w:t>
            </w:r>
            <w:r w:rsidRPr="001A4E7F">
              <w:rPr>
                <w:rFonts w:eastAsia="Times New Roman" w:cstheme="minorHAnsi"/>
                <w:color w:val="000000" w:themeColor="text1"/>
                <w:lang w:eastAsia="en-GB"/>
              </w:rPr>
              <w:t>be a GP?</w:t>
            </w:r>
          </w:p>
        </w:tc>
        <w:tc>
          <w:tcPr>
            <w:tcW w:w="7654" w:type="dxa"/>
            <w:vMerge w:val="restart"/>
            <w:hideMark/>
          </w:tcPr>
          <w:p w14:paraId="6FEA4186" w14:textId="11B7A2E0" w:rsidR="00976E14" w:rsidRPr="001A4E7F" w:rsidRDefault="00AF6A9D" w:rsidP="00B13DCE">
            <w:pPr>
              <w:spacing w:after="120"/>
              <w:rPr>
                <w:rFonts w:eastAsia="Times New Roman" w:cstheme="minorHAnsi"/>
                <w:color w:val="000000"/>
                <w:lang w:eastAsia="en-GB"/>
              </w:rPr>
            </w:pPr>
            <w:r w:rsidRPr="001A4E7F">
              <w:rPr>
                <w:rFonts w:eastAsia="Times New Roman" w:cstheme="minorHAnsi"/>
                <w:color w:val="000000" w:themeColor="text1"/>
                <w:lang w:eastAsia="en-GB"/>
              </w:rPr>
              <w:t xml:space="preserve">In most cases, the </w:t>
            </w:r>
            <w:r w:rsidR="00245F9C" w:rsidRPr="001A4E7F">
              <w:rPr>
                <w:rFonts w:eastAsia="Times New Roman" w:cstheme="minorHAnsi"/>
                <w:color w:val="000000" w:themeColor="text1"/>
                <w:lang w:eastAsia="en-GB"/>
              </w:rPr>
              <w:t xml:space="preserve">site </w:t>
            </w:r>
            <w:r w:rsidRPr="001A4E7F">
              <w:rPr>
                <w:rFonts w:eastAsia="Times New Roman" w:cstheme="minorHAnsi"/>
                <w:color w:val="000000" w:themeColor="text1"/>
                <w:lang w:eastAsia="en-GB"/>
              </w:rPr>
              <w:t xml:space="preserve">PI will be a GP, but an </w:t>
            </w:r>
            <w:r w:rsidR="00976E14" w:rsidRPr="001A4E7F">
              <w:rPr>
                <w:rFonts w:eastAsia="Times New Roman" w:cstheme="minorHAnsi"/>
                <w:color w:val="000000" w:themeColor="text1"/>
                <w:lang w:eastAsia="en-GB"/>
              </w:rPr>
              <w:t>appropriately</w:t>
            </w:r>
            <w:r w:rsidRPr="001A4E7F">
              <w:rPr>
                <w:rFonts w:eastAsia="Times New Roman" w:cstheme="minorHAnsi"/>
                <w:color w:val="000000" w:themeColor="text1"/>
                <w:lang w:eastAsia="en-GB"/>
              </w:rPr>
              <w:t>-</w:t>
            </w:r>
            <w:r w:rsidR="00976E14" w:rsidRPr="001A4E7F">
              <w:rPr>
                <w:rFonts w:eastAsia="Times New Roman" w:cstheme="minorHAnsi"/>
                <w:color w:val="000000" w:themeColor="text1"/>
                <w:lang w:eastAsia="en-GB"/>
              </w:rPr>
              <w:t xml:space="preserve">qualified prescribing nurse or pharmacist </w:t>
            </w:r>
            <w:r w:rsidRPr="001A4E7F">
              <w:rPr>
                <w:rFonts w:eastAsia="Times New Roman" w:cstheme="minorHAnsi"/>
                <w:color w:val="000000" w:themeColor="text1"/>
                <w:lang w:eastAsia="en-GB"/>
              </w:rPr>
              <w:t>could</w:t>
            </w:r>
            <w:r w:rsidR="00976E14" w:rsidRPr="001A4E7F">
              <w:rPr>
                <w:rFonts w:eastAsia="Times New Roman" w:cstheme="minorHAnsi"/>
                <w:color w:val="000000" w:themeColor="text1"/>
                <w:lang w:eastAsia="en-GB"/>
              </w:rPr>
              <w:t xml:space="preserve"> </w:t>
            </w:r>
            <w:r w:rsidR="00245F9C" w:rsidRPr="001A4E7F">
              <w:rPr>
                <w:rFonts w:eastAsia="Times New Roman" w:cstheme="minorHAnsi"/>
                <w:color w:val="000000" w:themeColor="text1"/>
                <w:lang w:eastAsia="en-GB"/>
              </w:rPr>
              <w:t xml:space="preserve">also </w:t>
            </w:r>
            <w:r w:rsidR="00976E14" w:rsidRPr="001A4E7F">
              <w:rPr>
                <w:rFonts w:eastAsia="Times New Roman" w:cstheme="minorHAnsi"/>
                <w:color w:val="000000" w:themeColor="text1"/>
                <w:lang w:eastAsia="en-GB"/>
              </w:rPr>
              <w:t>become</w:t>
            </w:r>
            <w:r w:rsidR="009819F8" w:rsidRPr="001A4E7F">
              <w:rPr>
                <w:rFonts w:eastAsia="Times New Roman" w:cstheme="minorHAnsi"/>
                <w:color w:val="000000" w:themeColor="text1"/>
                <w:lang w:eastAsia="en-GB"/>
              </w:rPr>
              <w:t xml:space="preserve"> the</w:t>
            </w:r>
            <w:r w:rsidR="00976E14" w:rsidRPr="001A4E7F">
              <w:rPr>
                <w:rFonts w:eastAsia="Times New Roman" w:cstheme="minorHAnsi"/>
                <w:color w:val="000000" w:themeColor="text1"/>
                <w:lang w:eastAsia="en-GB"/>
              </w:rPr>
              <w:t xml:space="preserve"> </w:t>
            </w:r>
            <w:r w:rsidR="5227A5F8" w:rsidRPr="001A4E7F">
              <w:rPr>
                <w:rFonts w:eastAsia="Times New Roman" w:cstheme="minorHAnsi"/>
                <w:color w:val="000000" w:themeColor="text1"/>
                <w:lang w:eastAsia="en-GB"/>
              </w:rPr>
              <w:t>PI</w:t>
            </w:r>
            <w:r w:rsidR="00245F9C" w:rsidRPr="001A4E7F">
              <w:rPr>
                <w:rFonts w:eastAsia="Times New Roman" w:cstheme="minorHAnsi"/>
                <w:color w:val="000000" w:themeColor="text1"/>
                <w:lang w:eastAsia="en-GB"/>
              </w:rPr>
              <w:t>.</w:t>
            </w:r>
          </w:p>
        </w:tc>
      </w:tr>
      <w:tr w:rsidR="00976E14" w:rsidRPr="001A4E7F" w14:paraId="66358E32" w14:textId="77777777" w:rsidTr="007702E2">
        <w:trPr>
          <w:trHeight w:val="450"/>
        </w:trPr>
        <w:tc>
          <w:tcPr>
            <w:tcW w:w="1980" w:type="dxa"/>
            <w:vMerge/>
            <w:hideMark/>
          </w:tcPr>
          <w:p w14:paraId="2BD6424D" w14:textId="77777777" w:rsidR="00976E14" w:rsidRPr="001A4E7F" w:rsidRDefault="00976E14" w:rsidP="0001115D">
            <w:pPr>
              <w:spacing w:after="120"/>
              <w:rPr>
                <w:rFonts w:eastAsia="Times New Roman" w:cstheme="minorHAnsi"/>
                <w:color w:val="000000"/>
                <w:lang w:eastAsia="en-GB"/>
              </w:rPr>
            </w:pPr>
          </w:p>
        </w:tc>
        <w:tc>
          <w:tcPr>
            <w:tcW w:w="7654" w:type="dxa"/>
            <w:vMerge/>
            <w:hideMark/>
          </w:tcPr>
          <w:p w14:paraId="55BA46A8" w14:textId="77777777" w:rsidR="00976E14" w:rsidRPr="001A4E7F" w:rsidRDefault="00976E14" w:rsidP="00B13DCE">
            <w:pPr>
              <w:spacing w:after="120"/>
              <w:rPr>
                <w:rFonts w:eastAsia="Times New Roman" w:cstheme="minorHAnsi"/>
                <w:color w:val="000000"/>
                <w:lang w:eastAsia="en-GB"/>
              </w:rPr>
            </w:pPr>
          </w:p>
        </w:tc>
      </w:tr>
      <w:tr w:rsidR="00976E14" w:rsidRPr="001A4E7F" w14:paraId="3B15A07E" w14:textId="77777777" w:rsidTr="007702E2">
        <w:trPr>
          <w:trHeight w:val="450"/>
        </w:trPr>
        <w:tc>
          <w:tcPr>
            <w:tcW w:w="1980" w:type="dxa"/>
            <w:vMerge w:val="restart"/>
            <w:hideMark/>
          </w:tcPr>
          <w:p w14:paraId="2F9CF4F9" w14:textId="77777777" w:rsidR="00976E14" w:rsidRPr="001A4E7F" w:rsidRDefault="00976E14" w:rsidP="0001115D">
            <w:pPr>
              <w:spacing w:after="120"/>
              <w:rPr>
                <w:rFonts w:eastAsia="Times New Roman" w:cstheme="minorHAnsi"/>
                <w:color w:val="000000"/>
                <w:lang w:eastAsia="en-GB"/>
              </w:rPr>
            </w:pPr>
            <w:r w:rsidRPr="001A4E7F">
              <w:rPr>
                <w:rFonts w:eastAsia="Times New Roman" w:cstheme="minorHAnsi"/>
                <w:color w:val="000000"/>
                <w:lang w:eastAsia="en-GB"/>
              </w:rPr>
              <w:t>What training is required?</w:t>
            </w:r>
          </w:p>
        </w:tc>
        <w:tc>
          <w:tcPr>
            <w:tcW w:w="7654" w:type="dxa"/>
            <w:vMerge w:val="restart"/>
            <w:hideMark/>
          </w:tcPr>
          <w:p w14:paraId="3795EE94" w14:textId="5BCEA6C7" w:rsidR="00C50E02" w:rsidRDefault="00976E14" w:rsidP="3DD73798">
            <w:pPr>
              <w:spacing w:after="120"/>
              <w:rPr>
                <w:rFonts w:eastAsia="Times New Roman"/>
                <w:color w:val="000000" w:themeColor="text1"/>
                <w:lang w:eastAsia="en-GB"/>
              </w:rPr>
            </w:pPr>
            <w:r w:rsidRPr="3DD73798">
              <w:rPr>
                <w:rFonts w:eastAsia="Times New Roman"/>
                <w:color w:val="000000" w:themeColor="text1"/>
                <w:lang w:eastAsia="en-GB"/>
              </w:rPr>
              <w:t xml:space="preserve">All PIs, will need to have completed </w:t>
            </w:r>
            <w:r w:rsidRPr="3DD73798">
              <w:rPr>
                <w:rFonts w:eastAsia="Times New Roman"/>
                <w:b/>
                <w:bCs/>
                <w:color w:val="000000" w:themeColor="text1"/>
                <w:lang w:eastAsia="en-GB"/>
              </w:rPr>
              <w:t>Good Clinical Practice</w:t>
            </w:r>
            <w:r w:rsidRPr="3DD73798">
              <w:rPr>
                <w:rFonts w:eastAsia="Times New Roman"/>
                <w:color w:val="000000" w:themeColor="text1"/>
                <w:lang w:eastAsia="en-GB"/>
              </w:rPr>
              <w:t xml:space="preserve"> (GCP) training to carry out study tasks. </w:t>
            </w:r>
            <w:r w:rsidR="00C50E02" w:rsidRPr="3DD73798">
              <w:rPr>
                <w:rFonts w:eastAsia="Times New Roman"/>
                <w:color w:val="000000" w:themeColor="text1"/>
                <w:lang w:eastAsia="en-GB"/>
              </w:rPr>
              <w:t xml:space="preserve"> </w:t>
            </w:r>
            <w:r w:rsidRPr="3DD73798">
              <w:rPr>
                <w:rFonts w:eastAsia="Times New Roman"/>
                <w:color w:val="000000" w:themeColor="text1"/>
                <w:lang w:eastAsia="en-GB"/>
              </w:rPr>
              <w:t xml:space="preserve">Free </w:t>
            </w:r>
            <w:hyperlink r:id="rId11">
              <w:r w:rsidRPr="3DD73798">
                <w:rPr>
                  <w:rStyle w:val="Hyperlink"/>
                  <w:rFonts w:eastAsia="Times New Roman"/>
                  <w:lang w:eastAsia="en-GB"/>
                </w:rPr>
                <w:t>CPD accredited training is available via NIHR Learn</w:t>
              </w:r>
            </w:hyperlink>
            <w:r w:rsidR="518B2EDB" w:rsidRPr="3DD73798">
              <w:rPr>
                <w:rFonts w:eastAsia="Times New Roman"/>
                <w:color w:val="000000" w:themeColor="text1"/>
                <w:lang w:eastAsia="en-GB"/>
              </w:rPr>
              <w:t xml:space="preserve"> </w:t>
            </w:r>
            <w:r w:rsidR="518B2EDB" w:rsidRPr="00114D16">
              <w:rPr>
                <w:rFonts w:eastAsia="Times New Roman"/>
                <w:color w:val="000000" w:themeColor="text1"/>
                <w:lang w:eastAsia="en-GB"/>
              </w:rPr>
              <w:t>or DaRe2THINK specific training can be provided during our Site Investigator Visit meetings.</w:t>
            </w:r>
          </w:p>
          <w:p w14:paraId="0BBB564A" w14:textId="4BC735B1" w:rsidR="003779E2" w:rsidRPr="001A4E7F" w:rsidRDefault="003779E2" w:rsidP="00B13DCE">
            <w:pPr>
              <w:spacing w:after="120"/>
              <w:rPr>
                <w:rFonts w:eastAsia="Times New Roman" w:cstheme="minorHAnsi"/>
                <w:color w:val="000000" w:themeColor="text1"/>
                <w:lang w:eastAsia="en-GB"/>
              </w:rPr>
            </w:pPr>
            <w:r>
              <w:rPr>
                <w:rFonts w:eastAsia="Times New Roman" w:cstheme="minorHAnsi"/>
                <w:color w:val="000000" w:themeColor="text1"/>
                <w:lang w:eastAsia="en-GB"/>
              </w:rPr>
              <w:t>D</w:t>
            </w:r>
            <w:r w:rsidRPr="001A4E7F">
              <w:rPr>
                <w:rFonts w:eastAsia="Times New Roman" w:cstheme="minorHAnsi"/>
                <w:color w:val="000000" w:themeColor="text1"/>
                <w:lang w:eastAsia="en-GB"/>
              </w:rPr>
              <w:t>elegated Investigators or those providing study support</w:t>
            </w:r>
            <w:r>
              <w:rPr>
                <w:rFonts w:eastAsia="Times New Roman" w:cstheme="minorHAnsi"/>
                <w:color w:val="000000" w:themeColor="text1"/>
                <w:lang w:eastAsia="en-GB"/>
              </w:rPr>
              <w:t xml:space="preserve"> will require either GCP training or the PI must confirm that they are aware of the principles of GCP.</w:t>
            </w:r>
          </w:p>
          <w:p w14:paraId="336EC202" w14:textId="1C45519A" w:rsidR="00976E14" w:rsidRPr="001A4E7F" w:rsidRDefault="00976E14" w:rsidP="00B13DCE">
            <w:pPr>
              <w:spacing w:after="120"/>
              <w:rPr>
                <w:rFonts w:eastAsia="Times New Roman" w:cstheme="minorHAnsi"/>
                <w:color w:val="000000"/>
                <w:lang w:eastAsia="en-GB"/>
              </w:rPr>
            </w:pPr>
            <w:r w:rsidRPr="001A4E7F">
              <w:rPr>
                <w:rFonts w:eastAsia="Times New Roman" w:cstheme="minorHAnsi"/>
                <w:color w:val="000000" w:themeColor="text1"/>
                <w:lang w:eastAsia="en-GB"/>
              </w:rPr>
              <w:t xml:space="preserve">Before screening any patients, PIs and delegated staff will be required to complete a short </w:t>
            </w:r>
            <w:r w:rsidRPr="001A4E7F">
              <w:rPr>
                <w:rFonts w:eastAsia="Times New Roman" w:cstheme="minorHAnsi"/>
                <w:b/>
                <w:bCs/>
                <w:color w:val="000000" w:themeColor="text1"/>
                <w:lang w:eastAsia="en-GB"/>
              </w:rPr>
              <w:t>protocol training module</w:t>
            </w:r>
            <w:r w:rsidRPr="001A4E7F">
              <w:rPr>
                <w:rFonts w:eastAsia="Times New Roman" w:cstheme="minorHAnsi"/>
                <w:color w:val="000000" w:themeColor="text1"/>
                <w:lang w:eastAsia="en-GB"/>
              </w:rPr>
              <w:t xml:space="preserve"> on </w:t>
            </w:r>
            <w:r w:rsidR="15534CE7" w:rsidRPr="001A4E7F">
              <w:rPr>
                <w:rFonts w:eastAsia="Times New Roman" w:cstheme="minorHAnsi"/>
                <w:color w:val="000000" w:themeColor="text1"/>
                <w:lang w:eastAsia="en-GB"/>
              </w:rPr>
              <w:t xml:space="preserve">the </w:t>
            </w:r>
            <w:r w:rsidR="005176EF" w:rsidRPr="001A4E7F">
              <w:rPr>
                <w:rFonts w:eastAsia="Times New Roman" w:cstheme="minorHAnsi"/>
                <w:color w:val="000000" w:themeColor="text1"/>
                <w:lang w:eastAsia="en-GB"/>
              </w:rPr>
              <w:t xml:space="preserve">CPRD </w:t>
            </w:r>
            <w:r w:rsidR="15534CE7" w:rsidRPr="001A4E7F">
              <w:rPr>
                <w:rFonts w:eastAsia="Times New Roman" w:cstheme="minorHAnsi"/>
                <w:color w:val="000000" w:themeColor="text1"/>
                <w:lang w:eastAsia="en-GB"/>
              </w:rPr>
              <w:t>Interventional Research Services Platform (</w:t>
            </w:r>
            <w:r w:rsidRPr="001A4E7F">
              <w:rPr>
                <w:rFonts w:eastAsia="Times New Roman" w:cstheme="minorHAnsi"/>
                <w:color w:val="000000" w:themeColor="text1"/>
                <w:lang w:eastAsia="en-GB"/>
              </w:rPr>
              <w:t>IRSP</w:t>
            </w:r>
            <w:r w:rsidR="2C7545A3" w:rsidRPr="001A4E7F">
              <w:rPr>
                <w:rFonts w:eastAsia="Times New Roman" w:cstheme="minorHAnsi"/>
                <w:color w:val="000000" w:themeColor="text1"/>
                <w:lang w:eastAsia="en-GB"/>
              </w:rPr>
              <w:t>)</w:t>
            </w:r>
            <w:r w:rsidR="003779E2">
              <w:rPr>
                <w:rFonts w:eastAsia="Times New Roman" w:cstheme="minorHAnsi"/>
                <w:color w:val="000000" w:themeColor="text1"/>
                <w:lang w:eastAsia="en-GB"/>
              </w:rPr>
              <w:t>.</w:t>
            </w:r>
          </w:p>
        </w:tc>
      </w:tr>
      <w:tr w:rsidR="00976E14" w:rsidRPr="001A4E7F" w14:paraId="0341563C" w14:textId="77777777" w:rsidTr="007702E2">
        <w:trPr>
          <w:trHeight w:val="1652"/>
        </w:trPr>
        <w:tc>
          <w:tcPr>
            <w:tcW w:w="1980" w:type="dxa"/>
            <w:vMerge/>
            <w:hideMark/>
          </w:tcPr>
          <w:p w14:paraId="47BACC7A" w14:textId="77777777" w:rsidR="00976E14" w:rsidRPr="001A4E7F" w:rsidRDefault="00976E14" w:rsidP="0001115D">
            <w:pPr>
              <w:spacing w:after="120"/>
              <w:rPr>
                <w:rFonts w:eastAsia="Times New Roman" w:cstheme="minorHAnsi"/>
                <w:color w:val="000000"/>
                <w:lang w:eastAsia="en-GB"/>
              </w:rPr>
            </w:pPr>
          </w:p>
        </w:tc>
        <w:tc>
          <w:tcPr>
            <w:tcW w:w="7654" w:type="dxa"/>
            <w:vMerge/>
            <w:hideMark/>
          </w:tcPr>
          <w:p w14:paraId="644341D4" w14:textId="77777777" w:rsidR="00976E14" w:rsidRPr="001A4E7F" w:rsidRDefault="00976E14" w:rsidP="00B13DCE">
            <w:pPr>
              <w:spacing w:after="120"/>
              <w:rPr>
                <w:rFonts w:eastAsia="Times New Roman" w:cstheme="minorHAnsi"/>
                <w:color w:val="000000"/>
                <w:lang w:eastAsia="en-GB"/>
              </w:rPr>
            </w:pPr>
          </w:p>
        </w:tc>
      </w:tr>
      <w:tr w:rsidR="009B128B" w:rsidRPr="001A4E7F" w14:paraId="7FA5DD40" w14:textId="77777777" w:rsidTr="007702E2">
        <w:trPr>
          <w:trHeight w:val="7785"/>
        </w:trPr>
        <w:tc>
          <w:tcPr>
            <w:tcW w:w="1980" w:type="dxa"/>
            <w:hideMark/>
          </w:tcPr>
          <w:p w14:paraId="7C95E4B4" w14:textId="77777777" w:rsidR="009B128B" w:rsidRPr="001A4E7F" w:rsidRDefault="009B128B" w:rsidP="0001115D">
            <w:pPr>
              <w:spacing w:after="120"/>
              <w:rPr>
                <w:rFonts w:eastAsia="Times New Roman" w:cstheme="minorHAnsi"/>
                <w:color w:val="000000"/>
                <w:lang w:eastAsia="en-GB"/>
              </w:rPr>
            </w:pPr>
            <w:r w:rsidRPr="001A4E7F">
              <w:rPr>
                <w:rFonts w:eastAsia="Times New Roman" w:cstheme="minorHAnsi"/>
                <w:color w:val="000000"/>
                <w:lang w:eastAsia="en-GB"/>
              </w:rPr>
              <w:t>Who can complete study tasks?</w:t>
            </w:r>
          </w:p>
        </w:tc>
        <w:tc>
          <w:tcPr>
            <w:tcW w:w="7654" w:type="dxa"/>
            <w:hideMark/>
          </w:tcPr>
          <w:p w14:paraId="22285DA7" w14:textId="2390352C" w:rsidR="009B128B" w:rsidRPr="001A4E7F" w:rsidRDefault="00C67B24" w:rsidP="00B13DCE">
            <w:pPr>
              <w:spacing w:after="120"/>
              <w:rPr>
                <w:rFonts w:eastAsia="Times New Roman" w:cstheme="minorHAnsi"/>
                <w:color w:val="000000"/>
                <w:lang w:eastAsia="en-GB"/>
              </w:rPr>
            </w:pPr>
            <w:r w:rsidRPr="001A4E7F">
              <w:rPr>
                <w:rFonts w:eastAsia="Times New Roman" w:cstheme="minorHAnsi"/>
                <w:color w:val="000000"/>
                <w:lang w:eastAsia="en-GB"/>
              </w:rPr>
              <w:t>T</w:t>
            </w:r>
            <w:r w:rsidR="009B128B" w:rsidRPr="001A4E7F">
              <w:rPr>
                <w:rFonts w:eastAsia="Times New Roman" w:cstheme="minorHAnsi"/>
                <w:color w:val="000000"/>
                <w:lang w:eastAsia="en-GB"/>
              </w:rPr>
              <w:t xml:space="preserve">asks </w:t>
            </w:r>
            <w:r w:rsidRPr="001A4E7F">
              <w:rPr>
                <w:rFonts w:eastAsia="Times New Roman" w:cstheme="minorHAnsi"/>
                <w:color w:val="000000"/>
                <w:lang w:eastAsia="en-GB"/>
              </w:rPr>
              <w:t>can</w:t>
            </w:r>
            <w:r w:rsidR="009B128B" w:rsidRPr="001A4E7F">
              <w:rPr>
                <w:rFonts w:eastAsia="Times New Roman" w:cstheme="minorHAnsi"/>
                <w:color w:val="000000"/>
                <w:lang w:eastAsia="en-GB"/>
              </w:rPr>
              <w:t xml:space="preserve"> be delegated to staff who have been assessed by the PI as having the </w:t>
            </w:r>
            <w:r w:rsidR="009B128B" w:rsidRPr="001A4E7F">
              <w:rPr>
                <w:rFonts w:eastAsia="Times New Roman" w:cstheme="minorHAnsi"/>
                <w:b/>
                <w:bCs/>
                <w:color w:val="000000"/>
                <w:lang w:eastAsia="en-GB"/>
              </w:rPr>
              <w:t>appropriate skill set</w:t>
            </w:r>
            <w:r w:rsidR="009B128B" w:rsidRPr="001A4E7F">
              <w:rPr>
                <w:rFonts w:eastAsia="Times New Roman" w:cstheme="minorHAnsi"/>
                <w:color w:val="000000"/>
                <w:lang w:eastAsia="en-GB"/>
              </w:rPr>
              <w:t xml:space="preserve"> to carry out the activity, and are named on the </w:t>
            </w:r>
            <w:r w:rsidR="009B128B" w:rsidRPr="001A4E7F">
              <w:rPr>
                <w:rFonts w:eastAsia="Times New Roman" w:cstheme="minorHAnsi"/>
                <w:b/>
                <w:bCs/>
                <w:color w:val="000000"/>
                <w:lang w:eastAsia="en-GB"/>
              </w:rPr>
              <w:t>site delegation log</w:t>
            </w:r>
            <w:r w:rsidR="008E2C31" w:rsidRPr="001A4E7F">
              <w:rPr>
                <w:rFonts w:eastAsia="Times New Roman" w:cstheme="minorHAnsi"/>
                <w:color w:val="000000"/>
                <w:lang w:eastAsia="en-GB"/>
              </w:rPr>
              <w:t xml:space="preserve">.  </w:t>
            </w:r>
            <w:r w:rsidR="005913FE" w:rsidRPr="001A4E7F">
              <w:rPr>
                <w:rFonts w:eastAsia="Times New Roman" w:cstheme="minorHAnsi"/>
                <w:color w:val="000000"/>
                <w:lang w:eastAsia="en-GB"/>
              </w:rPr>
              <w:t xml:space="preserve">Study support can be provided by </w:t>
            </w:r>
            <w:r w:rsidR="00EF65B1" w:rsidRPr="001A4E7F">
              <w:rPr>
                <w:rFonts w:eastAsia="Times New Roman" w:cstheme="minorHAnsi"/>
                <w:color w:val="000000"/>
                <w:lang w:eastAsia="en-GB"/>
              </w:rPr>
              <w:t xml:space="preserve">any </w:t>
            </w:r>
            <w:r w:rsidR="005913FE" w:rsidRPr="001A4E7F">
              <w:rPr>
                <w:rFonts w:eastAsia="Times New Roman" w:cstheme="minorHAnsi"/>
                <w:color w:val="000000"/>
                <w:lang w:eastAsia="en-GB"/>
              </w:rPr>
              <w:t>appropriately qualified and delegated clinical personnel</w:t>
            </w:r>
            <w:r w:rsidR="003D07CC" w:rsidRPr="001A4E7F">
              <w:rPr>
                <w:rFonts w:eastAsia="Times New Roman" w:cstheme="minorHAnsi"/>
                <w:color w:val="000000"/>
                <w:lang w:eastAsia="en-GB"/>
              </w:rPr>
              <w:t>.</w:t>
            </w:r>
          </w:p>
          <w:tbl>
            <w:tblPr>
              <w:tblStyle w:val="TableGrid"/>
              <w:tblW w:w="7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Guide to task completion for the various roles"/>
            </w:tblPr>
            <w:tblGrid>
              <w:gridCol w:w="3143"/>
              <w:gridCol w:w="1559"/>
              <w:gridCol w:w="1560"/>
              <w:gridCol w:w="1134"/>
            </w:tblGrid>
            <w:tr w:rsidR="003D07CC" w:rsidRPr="001A4E7F" w14:paraId="71D0D41F" w14:textId="77777777" w:rsidTr="007702E2">
              <w:trPr>
                <w:trHeight w:val="172"/>
                <w:tblHeader/>
              </w:trPr>
              <w:tc>
                <w:tcPr>
                  <w:tcW w:w="3143" w:type="dxa"/>
                  <w:shd w:val="clear" w:color="auto" w:fill="EBF0F9"/>
                  <w:hideMark/>
                </w:tcPr>
                <w:p w14:paraId="7DD6029A" w14:textId="77777777" w:rsidR="009B128B" w:rsidRPr="001A4E7F" w:rsidRDefault="009B128B" w:rsidP="00B13DCE">
                  <w:pPr>
                    <w:spacing w:after="120"/>
                    <w:rPr>
                      <w:rFonts w:cstheme="minorHAnsi"/>
                      <w:b/>
                      <w:bCs/>
                      <w:sz w:val="20"/>
                      <w:szCs w:val="20"/>
                    </w:rPr>
                  </w:pPr>
                  <w:r w:rsidRPr="001A4E7F">
                    <w:rPr>
                      <w:rFonts w:cstheme="minorHAnsi"/>
                      <w:b/>
                      <w:bCs/>
                      <w:sz w:val="20"/>
                      <w:szCs w:val="20"/>
                    </w:rPr>
                    <w:t>Task</w:t>
                  </w:r>
                </w:p>
              </w:tc>
              <w:tc>
                <w:tcPr>
                  <w:tcW w:w="1559" w:type="dxa"/>
                  <w:shd w:val="clear" w:color="auto" w:fill="EBF0F9"/>
                  <w:hideMark/>
                </w:tcPr>
                <w:p w14:paraId="162ECB27" w14:textId="41F202A2" w:rsidR="009B128B" w:rsidRPr="001A4E7F" w:rsidRDefault="009B128B" w:rsidP="00B13DCE">
                  <w:pPr>
                    <w:spacing w:after="120"/>
                    <w:rPr>
                      <w:rFonts w:cstheme="minorHAnsi"/>
                      <w:b/>
                      <w:bCs/>
                      <w:sz w:val="20"/>
                      <w:szCs w:val="20"/>
                    </w:rPr>
                  </w:pPr>
                  <w:r w:rsidRPr="001A4E7F">
                    <w:rPr>
                      <w:rFonts w:cstheme="minorHAnsi"/>
                      <w:b/>
                      <w:bCs/>
                      <w:sz w:val="20"/>
                      <w:szCs w:val="20"/>
                    </w:rPr>
                    <w:t>PI</w:t>
                  </w:r>
                  <w:r w:rsidR="004B2F22" w:rsidRPr="001A4E7F">
                    <w:rPr>
                      <w:rFonts w:cstheme="minorHAnsi"/>
                      <w:b/>
                      <w:bCs/>
                      <w:sz w:val="20"/>
                      <w:szCs w:val="20"/>
                    </w:rPr>
                    <w:t>: GP or Independent Prescriber</w:t>
                  </w:r>
                  <w:r w:rsidRPr="001A4E7F">
                    <w:rPr>
                      <w:rFonts w:cstheme="minorHAnsi"/>
                      <w:b/>
                      <w:bCs/>
                      <w:sz w:val="20"/>
                      <w:szCs w:val="20"/>
                    </w:rPr>
                    <w:t xml:space="preserve"> </w:t>
                  </w:r>
                  <w:r w:rsidR="00C6180C" w:rsidRPr="001A4E7F">
                    <w:rPr>
                      <w:rFonts w:cstheme="minorHAnsi"/>
                      <w:b/>
                      <w:bCs/>
                      <w:sz w:val="20"/>
                      <w:szCs w:val="20"/>
                    </w:rPr>
                    <w:t>(IP)</w:t>
                  </w:r>
                </w:p>
              </w:tc>
              <w:tc>
                <w:tcPr>
                  <w:tcW w:w="1560" w:type="dxa"/>
                  <w:shd w:val="clear" w:color="auto" w:fill="EBF0F9"/>
                  <w:hideMark/>
                </w:tcPr>
                <w:p w14:paraId="1C345EBA" w14:textId="24D4D1DF" w:rsidR="009B128B" w:rsidRPr="001A4E7F" w:rsidRDefault="009B128B" w:rsidP="00B13DCE">
                  <w:pPr>
                    <w:spacing w:after="120"/>
                    <w:rPr>
                      <w:rFonts w:cstheme="minorHAnsi"/>
                      <w:b/>
                      <w:bCs/>
                      <w:sz w:val="20"/>
                      <w:szCs w:val="20"/>
                    </w:rPr>
                  </w:pPr>
                  <w:r w:rsidRPr="001A4E7F">
                    <w:rPr>
                      <w:rFonts w:cstheme="minorHAnsi"/>
                      <w:b/>
                      <w:bCs/>
                      <w:sz w:val="20"/>
                      <w:szCs w:val="20"/>
                    </w:rPr>
                    <w:t>Other Investigators</w:t>
                  </w:r>
                  <w:r w:rsidR="009F44FD" w:rsidRPr="001A4E7F">
                    <w:rPr>
                      <w:rFonts w:cstheme="minorHAnsi"/>
                      <w:b/>
                      <w:bCs/>
                      <w:sz w:val="20"/>
                      <w:szCs w:val="20"/>
                    </w:rPr>
                    <w:t>: GPs</w:t>
                  </w:r>
                  <w:r w:rsidR="00C6180C" w:rsidRPr="001A4E7F">
                    <w:rPr>
                      <w:rFonts w:cstheme="minorHAnsi"/>
                      <w:b/>
                      <w:bCs/>
                      <w:sz w:val="20"/>
                      <w:szCs w:val="20"/>
                    </w:rPr>
                    <w:t xml:space="preserve"> or IPs</w:t>
                  </w:r>
                </w:p>
              </w:tc>
              <w:tc>
                <w:tcPr>
                  <w:tcW w:w="1134" w:type="dxa"/>
                  <w:shd w:val="clear" w:color="auto" w:fill="EBF0F9"/>
                  <w:hideMark/>
                </w:tcPr>
                <w:p w14:paraId="2022CAF5" w14:textId="77777777" w:rsidR="009B128B" w:rsidRPr="001A4E7F" w:rsidRDefault="009B128B" w:rsidP="00B13DCE">
                  <w:pPr>
                    <w:spacing w:after="120"/>
                    <w:rPr>
                      <w:rFonts w:cstheme="minorHAnsi"/>
                      <w:b/>
                      <w:bCs/>
                      <w:sz w:val="20"/>
                      <w:szCs w:val="20"/>
                    </w:rPr>
                  </w:pPr>
                  <w:r w:rsidRPr="001A4E7F">
                    <w:rPr>
                      <w:rFonts w:cstheme="minorHAnsi"/>
                      <w:b/>
                      <w:bCs/>
                      <w:sz w:val="20"/>
                      <w:szCs w:val="20"/>
                    </w:rPr>
                    <w:t>Study Support</w:t>
                  </w:r>
                </w:p>
              </w:tc>
            </w:tr>
            <w:tr w:rsidR="003D07CC" w:rsidRPr="001A4E7F" w14:paraId="0F72A93A" w14:textId="77777777" w:rsidTr="003D07CC">
              <w:trPr>
                <w:trHeight w:val="56"/>
              </w:trPr>
              <w:tc>
                <w:tcPr>
                  <w:tcW w:w="3143" w:type="dxa"/>
                  <w:hideMark/>
                </w:tcPr>
                <w:p w14:paraId="73668F29" w14:textId="77777777" w:rsidR="009B128B" w:rsidRPr="001A4E7F" w:rsidRDefault="009B128B" w:rsidP="00B13DCE">
                  <w:pPr>
                    <w:spacing w:after="120"/>
                    <w:rPr>
                      <w:rFonts w:cstheme="minorHAnsi"/>
                      <w:sz w:val="20"/>
                      <w:szCs w:val="20"/>
                    </w:rPr>
                  </w:pPr>
                  <w:r w:rsidRPr="001A4E7F">
                    <w:rPr>
                      <w:rFonts w:cstheme="minorHAnsi"/>
                      <w:sz w:val="20"/>
                      <w:szCs w:val="20"/>
                    </w:rPr>
                    <w:t xml:space="preserve">Screen patient list </w:t>
                  </w:r>
                </w:p>
              </w:tc>
              <w:tc>
                <w:tcPr>
                  <w:tcW w:w="1559" w:type="dxa"/>
                  <w:hideMark/>
                </w:tcPr>
                <w:p w14:paraId="408F194C"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560" w:type="dxa"/>
                  <w:hideMark/>
                </w:tcPr>
                <w:p w14:paraId="4CCA46C2"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134" w:type="dxa"/>
                  <w:hideMark/>
                </w:tcPr>
                <w:p w14:paraId="07096BA1" w14:textId="77777777" w:rsidR="009B128B" w:rsidRPr="001A4E7F" w:rsidRDefault="009B128B" w:rsidP="00B13DCE">
                  <w:pPr>
                    <w:spacing w:after="120"/>
                    <w:rPr>
                      <w:rFonts w:cstheme="minorHAnsi"/>
                      <w:sz w:val="20"/>
                      <w:szCs w:val="20"/>
                    </w:rPr>
                  </w:pPr>
                  <w:r w:rsidRPr="001A4E7F">
                    <w:rPr>
                      <w:rFonts w:cstheme="minorHAnsi"/>
                      <w:sz w:val="20"/>
                      <w:szCs w:val="20"/>
                    </w:rPr>
                    <w:t>Yes</w:t>
                  </w:r>
                </w:p>
              </w:tc>
            </w:tr>
            <w:tr w:rsidR="003D07CC" w:rsidRPr="001A4E7F" w14:paraId="7CF2CD93" w14:textId="77777777" w:rsidTr="009E4E38">
              <w:trPr>
                <w:trHeight w:val="56"/>
              </w:trPr>
              <w:tc>
                <w:tcPr>
                  <w:tcW w:w="3143" w:type="dxa"/>
                  <w:shd w:val="clear" w:color="auto" w:fill="EBF0F9"/>
                  <w:hideMark/>
                </w:tcPr>
                <w:p w14:paraId="3CD2D037" w14:textId="77777777" w:rsidR="009B128B" w:rsidRPr="001A4E7F" w:rsidRDefault="009B128B" w:rsidP="00B13DCE">
                  <w:pPr>
                    <w:spacing w:after="120"/>
                    <w:rPr>
                      <w:rFonts w:cstheme="minorHAnsi"/>
                      <w:sz w:val="20"/>
                      <w:szCs w:val="20"/>
                    </w:rPr>
                  </w:pPr>
                  <w:r w:rsidRPr="001A4E7F">
                    <w:rPr>
                      <w:rFonts w:cstheme="minorHAnsi"/>
                      <w:sz w:val="20"/>
                      <w:szCs w:val="20"/>
                    </w:rPr>
                    <w:t xml:space="preserve">Enrol and randomise patient </w:t>
                  </w:r>
                </w:p>
              </w:tc>
              <w:tc>
                <w:tcPr>
                  <w:tcW w:w="1559" w:type="dxa"/>
                  <w:shd w:val="clear" w:color="auto" w:fill="EBF0F9"/>
                  <w:hideMark/>
                </w:tcPr>
                <w:p w14:paraId="7E8AA605"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560" w:type="dxa"/>
                  <w:shd w:val="clear" w:color="auto" w:fill="EBF0F9"/>
                  <w:hideMark/>
                </w:tcPr>
                <w:p w14:paraId="280FF811"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134" w:type="dxa"/>
                  <w:shd w:val="clear" w:color="auto" w:fill="EBF0F9"/>
                  <w:hideMark/>
                </w:tcPr>
                <w:p w14:paraId="07AC6D89" w14:textId="77777777" w:rsidR="009B128B" w:rsidRPr="001A4E7F" w:rsidRDefault="009B128B" w:rsidP="00B13DCE">
                  <w:pPr>
                    <w:spacing w:after="120"/>
                    <w:rPr>
                      <w:rFonts w:cstheme="minorHAnsi"/>
                      <w:sz w:val="20"/>
                      <w:szCs w:val="20"/>
                    </w:rPr>
                  </w:pPr>
                  <w:r w:rsidRPr="001A4E7F">
                    <w:rPr>
                      <w:rFonts w:cstheme="minorHAnsi"/>
                      <w:sz w:val="20"/>
                      <w:szCs w:val="20"/>
                    </w:rPr>
                    <w:t>No</w:t>
                  </w:r>
                </w:p>
              </w:tc>
            </w:tr>
            <w:tr w:rsidR="003D07CC" w:rsidRPr="001A4E7F" w14:paraId="7799C4DB" w14:textId="77777777" w:rsidTr="003D07CC">
              <w:trPr>
                <w:trHeight w:val="56"/>
              </w:trPr>
              <w:tc>
                <w:tcPr>
                  <w:tcW w:w="3143" w:type="dxa"/>
                  <w:hideMark/>
                </w:tcPr>
                <w:p w14:paraId="09C57212" w14:textId="248852AC" w:rsidR="009B128B" w:rsidRPr="001A4E7F" w:rsidRDefault="009B128B" w:rsidP="00B13DCE">
                  <w:pPr>
                    <w:spacing w:after="120"/>
                    <w:rPr>
                      <w:rFonts w:cstheme="minorHAnsi"/>
                      <w:sz w:val="20"/>
                      <w:szCs w:val="20"/>
                    </w:rPr>
                  </w:pPr>
                  <w:r w:rsidRPr="001A4E7F">
                    <w:rPr>
                      <w:rFonts w:cstheme="minorHAnsi"/>
                      <w:sz w:val="20"/>
                      <w:szCs w:val="20"/>
                    </w:rPr>
                    <w:t xml:space="preserve">Prescribe </w:t>
                  </w:r>
                  <w:r w:rsidR="7763257A" w:rsidRPr="001A4E7F">
                    <w:rPr>
                      <w:rFonts w:cstheme="minorHAnsi"/>
                      <w:sz w:val="20"/>
                      <w:szCs w:val="20"/>
                    </w:rPr>
                    <w:t>the Investigational Medicinal Product (</w:t>
                  </w:r>
                  <w:r w:rsidRPr="001A4E7F">
                    <w:rPr>
                      <w:rFonts w:cstheme="minorHAnsi"/>
                      <w:sz w:val="20"/>
                      <w:szCs w:val="20"/>
                    </w:rPr>
                    <w:t>IMP</w:t>
                  </w:r>
                  <w:r w:rsidR="2CB99B08" w:rsidRPr="001A4E7F">
                    <w:rPr>
                      <w:rFonts w:cstheme="minorHAnsi"/>
                      <w:sz w:val="20"/>
                      <w:szCs w:val="20"/>
                    </w:rPr>
                    <w:t>)</w:t>
                  </w:r>
                  <w:r w:rsidRPr="001A4E7F">
                    <w:rPr>
                      <w:rFonts w:cstheme="minorHAnsi"/>
                      <w:sz w:val="20"/>
                      <w:szCs w:val="20"/>
                    </w:rPr>
                    <w:t xml:space="preserve"> according to protocol and record prescription on IRSP</w:t>
                  </w:r>
                </w:p>
              </w:tc>
              <w:tc>
                <w:tcPr>
                  <w:tcW w:w="1559" w:type="dxa"/>
                  <w:hideMark/>
                </w:tcPr>
                <w:p w14:paraId="76B5E524"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560" w:type="dxa"/>
                  <w:hideMark/>
                </w:tcPr>
                <w:p w14:paraId="3B2496A8"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134" w:type="dxa"/>
                  <w:hideMark/>
                </w:tcPr>
                <w:p w14:paraId="05B4792F" w14:textId="77777777" w:rsidR="009B128B" w:rsidRPr="001A4E7F" w:rsidRDefault="009B128B" w:rsidP="00B13DCE">
                  <w:pPr>
                    <w:spacing w:after="120"/>
                    <w:rPr>
                      <w:rFonts w:cstheme="minorHAnsi"/>
                      <w:sz w:val="20"/>
                      <w:szCs w:val="20"/>
                    </w:rPr>
                  </w:pPr>
                  <w:r w:rsidRPr="001A4E7F">
                    <w:rPr>
                      <w:rFonts w:cstheme="minorHAnsi"/>
                      <w:sz w:val="20"/>
                      <w:szCs w:val="20"/>
                    </w:rPr>
                    <w:t>No</w:t>
                  </w:r>
                </w:p>
              </w:tc>
            </w:tr>
            <w:tr w:rsidR="003D07CC" w:rsidRPr="001A4E7F" w14:paraId="24EB6A22" w14:textId="77777777" w:rsidTr="009E4E38">
              <w:trPr>
                <w:trHeight w:val="56"/>
              </w:trPr>
              <w:tc>
                <w:tcPr>
                  <w:tcW w:w="3143" w:type="dxa"/>
                  <w:shd w:val="clear" w:color="auto" w:fill="EBF0F9"/>
                  <w:hideMark/>
                </w:tcPr>
                <w:p w14:paraId="6121FC05" w14:textId="38C83A93" w:rsidR="009B128B" w:rsidRPr="001A4E7F" w:rsidRDefault="009B128B" w:rsidP="00B13DCE">
                  <w:pPr>
                    <w:spacing w:after="120"/>
                    <w:rPr>
                      <w:rFonts w:cstheme="minorHAnsi"/>
                      <w:sz w:val="20"/>
                      <w:szCs w:val="20"/>
                    </w:rPr>
                  </w:pPr>
                  <w:r w:rsidRPr="001A4E7F">
                    <w:rPr>
                      <w:rFonts w:cstheme="minorHAnsi"/>
                      <w:sz w:val="20"/>
                      <w:szCs w:val="20"/>
                    </w:rPr>
                    <w:t xml:space="preserve">Report </w:t>
                  </w:r>
                  <w:r w:rsidR="1810B2E2" w:rsidRPr="001A4E7F">
                    <w:rPr>
                      <w:rFonts w:cstheme="minorHAnsi"/>
                      <w:sz w:val="20"/>
                      <w:szCs w:val="20"/>
                    </w:rPr>
                    <w:t xml:space="preserve">Serious Adverse </w:t>
                  </w:r>
                  <w:r w:rsidR="6C2C2851" w:rsidRPr="001A4E7F">
                    <w:rPr>
                      <w:rFonts w:cstheme="minorHAnsi"/>
                      <w:sz w:val="20"/>
                      <w:szCs w:val="20"/>
                    </w:rPr>
                    <w:t>Events (</w:t>
                  </w:r>
                  <w:r w:rsidRPr="001A4E7F">
                    <w:rPr>
                      <w:rFonts w:cstheme="minorHAnsi"/>
                      <w:sz w:val="20"/>
                      <w:szCs w:val="20"/>
                    </w:rPr>
                    <w:t>SAEs</w:t>
                  </w:r>
                  <w:r w:rsidR="105E2E38" w:rsidRPr="001A4E7F">
                    <w:rPr>
                      <w:rFonts w:cstheme="minorHAnsi"/>
                      <w:sz w:val="20"/>
                      <w:szCs w:val="20"/>
                    </w:rPr>
                    <w:t>)</w:t>
                  </w:r>
                  <w:r w:rsidRPr="001A4E7F">
                    <w:rPr>
                      <w:rFonts w:cstheme="minorHAnsi"/>
                      <w:sz w:val="20"/>
                      <w:szCs w:val="20"/>
                    </w:rPr>
                    <w:t xml:space="preserve"> and update SAE forms as required</w:t>
                  </w:r>
                </w:p>
              </w:tc>
              <w:tc>
                <w:tcPr>
                  <w:tcW w:w="1559" w:type="dxa"/>
                  <w:shd w:val="clear" w:color="auto" w:fill="EBF0F9"/>
                  <w:hideMark/>
                </w:tcPr>
                <w:p w14:paraId="6FCE2C65"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560" w:type="dxa"/>
                  <w:shd w:val="clear" w:color="auto" w:fill="EBF0F9"/>
                  <w:hideMark/>
                </w:tcPr>
                <w:p w14:paraId="538A2410"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134" w:type="dxa"/>
                  <w:shd w:val="clear" w:color="auto" w:fill="EBF0F9"/>
                  <w:hideMark/>
                </w:tcPr>
                <w:p w14:paraId="75965FF0" w14:textId="6E549B38" w:rsidR="009B128B" w:rsidRPr="001A4E7F" w:rsidRDefault="003779E2" w:rsidP="00B13DCE">
                  <w:pPr>
                    <w:spacing w:after="120"/>
                    <w:rPr>
                      <w:rFonts w:cstheme="minorHAnsi"/>
                      <w:sz w:val="20"/>
                      <w:szCs w:val="20"/>
                    </w:rPr>
                  </w:pPr>
                  <w:r>
                    <w:rPr>
                      <w:rFonts w:cstheme="minorHAnsi"/>
                      <w:sz w:val="20"/>
                      <w:szCs w:val="20"/>
                    </w:rPr>
                    <w:t>Yes</w:t>
                  </w:r>
                </w:p>
              </w:tc>
            </w:tr>
            <w:tr w:rsidR="003D07CC" w:rsidRPr="001A4E7F" w14:paraId="18585F47" w14:textId="77777777" w:rsidTr="003D07CC">
              <w:trPr>
                <w:trHeight w:val="56"/>
              </w:trPr>
              <w:tc>
                <w:tcPr>
                  <w:tcW w:w="3143" w:type="dxa"/>
                  <w:hideMark/>
                </w:tcPr>
                <w:p w14:paraId="76535C36" w14:textId="77777777" w:rsidR="009B128B" w:rsidRPr="001A4E7F" w:rsidRDefault="009B128B" w:rsidP="00B13DCE">
                  <w:pPr>
                    <w:spacing w:after="120"/>
                    <w:rPr>
                      <w:rFonts w:cstheme="minorHAnsi"/>
                      <w:sz w:val="20"/>
                      <w:szCs w:val="20"/>
                    </w:rPr>
                  </w:pPr>
                  <w:r w:rsidRPr="001A4E7F">
                    <w:rPr>
                      <w:rFonts w:cstheme="minorHAnsi"/>
                      <w:sz w:val="20"/>
                      <w:szCs w:val="20"/>
                    </w:rPr>
                    <w:t xml:space="preserve">Withdraw patient from trial </w:t>
                  </w:r>
                </w:p>
              </w:tc>
              <w:tc>
                <w:tcPr>
                  <w:tcW w:w="1559" w:type="dxa"/>
                  <w:hideMark/>
                </w:tcPr>
                <w:p w14:paraId="770576DB"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560" w:type="dxa"/>
                  <w:hideMark/>
                </w:tcPr>
                <w:p w14:paraId="27AD977C"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134" w:type="dxa"/>
                  <w:hideMark/>
                </w:tcPr>
                <w:p w14:paraId="4999477D" w14:textId="77777777" w:rsidR="009B128B" w:rsidRPr="001A4E7F" w:rsidRDefault="009B128B" w:rsidP="00B13DCE">
                  <w:pPr>
                    <w:spacing w:after="120"/>
                    <w:rPr>
                      <w:rFonts w:cstheme="minorHAnsi"/>
                      <w:sz w:val="20"/>
                      <w:szCs w:val="20"/>
                    </w:rPr>
                  </w:pPr>
                  <w:r w:rsidRPr="001A4E7F">
                    <w:rPr>
                      <w:rFonts w:cstheme="minorHAnsi"/>
                      <w:sz w:val="20"/>
                      <w:szCs w:val="20"/>
                    </w:rPr>
                    <w:t>No</w:t>
                  </w:r>
                </w:p>
              </w:tc>
            </w:tr>
            <w:tr w:rsidR="003D07CC" w:rsidRPr="001A4E7F" w14:paraId="4C2AAA78" w14:textId="77777777" w:rsidTr="009E4E38">
              <w:trPr>
                <w:trHeight w:val="56"/>
              </w:trPr>
              <w:tc>
                <w:tcPr>
                  <w:tcW w:w="3143" w:type="dxa"/>
                  <w:shd w:val="clear" w:color="auto" w:fill="EBF0F9"/>
                  <w:hideMark/>
                </w:tcPr>
                <w:p w14:paraId="114BEA9B" w14:textId="77777777" w:rsidR="009B128B" w:rsidRPr="001A4E7F" w:rsidRDefault="009B128B" w:rsidP="00B13DCE">
                  <w:pPr>
                    <w:spacing w:after="120"/>
                    <w:rPr>
                      <w:rFonts w:cstheme="minorHAnsi"/>
                      <w:sz w:val="20"/>
                      <w:szCs w:val="20"/>
                    </w:rPr>
                  </w:pPr>
                  <w:r w:rsidRPr="001A4E7F">
                    <w:rPr>
                      <w:rFonts w:cstheme="minorHAnsi"/>
                      <w:sz w:val="20"/>
                      <w:szCs w:val="20"/>
                    </w:rPr>
                    <w:t>Conduct informed consent discussion, initiate informed consent process via REDCap (enter patient details and forward link to patient)</w:t>
                  </w:r>
                </w:p>
              </w:tc>
              <w:tc>
                <w:tcPr>
                  <w:tcW w:w="1559" w:type="dxa"/>
                  <w:shd w:val="clear" w:color="auto" w:fill="EBF0F9"/>
                  <w:hideMark/>
                </w:tcPr>
                <w:p w14:paraId="2873FE8C"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560" w:type="dxa"/>
                  <w:shd w:val="clear" w:color="auto" w:fill="EBF0F9"/>
                  <w:hideMark/>
                </w:tcPr>
                <w:p w14:paraId="04F90A38"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134" w:type="dxa"/>
                  <w:shd w:val="clear" w:color="auto" w:fill="EBF0F9"/>
                  <w:hideMark/>
                </w:tcPr>
                <w:p w14:paraId="6109B326" w14:textId="77777777" w:rsidR="009B128B" w:rsidRPr="001A4E7F" w:rsidRDefault="009B128B" w:rsidP="00B13DCE">
                  <w:pPr>
                    <w:spacing w:after="120"/>
                    <w:rPr>
                      <w:rFonts w:cstheme="minorHAnsi"/>
                      <w:sz w:val="20"/>
                      <w:szCs w:val="20"/>
                    </w:rPr>
                  </w:pPr>
                  <w:r w:rsidRPr="001A4E7F">
                    <w:rPr>
                      <w:rFonts w:cstheme="minorHAnsi"/>
                      <w:sz w:val="20"/>
                      <w:szCs w:val="20"/>
                    </w:rPr>
                    <w:t>Yes</w:t>
                  </w:r>
                </w:p>
              </w:tc>
            </w:tr>
            <w:tr w:rsidR="003D07CC" w:rsidRPr="001A4E7F" w14:paraId="24A40002" w14:textId="77777777" w:rsidTr="003D07CC">
              <w:trPr>
                <w:trHeight w:val="56"/>
              </w:trPr>
              <w:tc>
                <w:tcPr>
                  <w:tcW w:w="3143" w:type="dxa"/>
                  <w:hideMark/>
                </w:tcPr>
                <w:p w14:paraId="1BDAAC7D" w14:textId="77777777" w:rsidR="009B128B" w:rsidRPr="001A4E7F" w:rsidRDefault="009B128B" w:rsidP="00B13DCE">
                  <w:pPr>
                    <w:spacing w:after="120"/>
                    <w:rPr>
                      <w:rFonts w:cstheme="minorHAnsi"/>
                      <w:sz w:val="20"/>
                      <w:szCs w:val="20"/>
                    </w:rPr>
                  </w:pPr>
                  <w:r w:rsidRPr="001A4E7F">
                    <w:rPr>
                      <w:rFonts w:cstheme="minorHAnsi"/>
                      <w:sz w:val="20"/>
                      <w:szCs w:val="20"/>
                    </w:rPr>
                    <w:t xml:space="preserve">Confirm patient consent </w:t>
                  </w:r>
                </w:p>
              </w:tc>
              <w:tc>
                <w:tcPr>
                  <w:tcW w:w="1559" w:type="dxa"/>
                  <w:hideMark/>
                </w:tcPr>
                <w:p w14:paraId="2F180AA8"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560" w:type="dxa"/>
                  <w:hideMark/>
                </w:tcPr>
                <w:p w14:paraId="485DA14D" w14:textId="77777777" w:rsidR="009B128B" w:rsidRPr="001A4E7F" w:rsidRDefault="009B128B" w:rsidP="00B13DCE">
                  <w:pPr>
                    <w:spacing w:after="120"/>
                    <w:rPr>
                      <w:rFonts w:cstheme="minorHAnsi"/>
                      <w:sz w:val="20"/>
                      <w:szCs w:val="20"/>
                    </w:rPr>
                  </w:pPr>
                  <w:r w:rsidRPr="001A4E7F">
                    <w:rPr>
                      <w:rFonts w:cstheme="minorHAnsi"/>
                      <w:sz w:val="20"/>
                      <w:szCs w:val="20"/>
                    </w:rPr>
                    <w:t xml:space="preserve">Yes </w:t>
                  </w:r>
                </w:p>
              </w:tc>
              <w:tc>
                <w:tcPr>
                  <w:tcW w:w="1134" w:type="dxa"/>
                  <w:hideMark/>
                </w:tcPr>
                <w:p w14:paraId="4B01F1BF" w14:textId="77777777" w:rsidR="009B128B" w:rsidRPr="001A4E7F" w:rsidRDefault="009B128B" w:rsidP="00B13DCE">
                  <w:pPr>
                    <w:spacing w:after="120"/>
                    <w:rPr>
                      <w:rFonts w:cstheme="minorHAnsi"/>
                      <w:sz w:val="20"/>
                      <w:szCs w:val="20"/>
                    </w:rPr>
                  </w:pPr>
                  <w:r w:rsidRPr="001A4E7F">
                    <w:rPr>
                      <w:rFonts w:cstheme="minorHAnsi"/>
                      <w:sz w:val="20"/>
                      <w:szCs w:val="20"/>
                    </w:rPr>
                    <w:t>No</w:t>
                  </w:r>
                </w:p>
              </w:tc>
            </w:tr>
            <w:tr w:rsidR="003D07CC" w:rsidRPr="001A4E7F" w14:paraId="3A0C9F77" w14:textId="77777777" w:rsidTr="009E4E38">
              <w:trPr>
                <w:trHeight w:val="56"/>
              </w:trPr>
              <w:tc>
                <w:tcPr>
                  <w:tcW w:w="3143" w:type="dxa"/>
                  <w:shd w:val="clear" w:color="auto" w:fill="EBF0F9"/>
                  <w:hideMark/>
                </w:tcPr>
                <w:p w14:paraId="42A11B7A" w14:textId="77777777" w:rsidR="009B128B" w:rsidRPr="001A4E7F" w:rsidRDefault="009B128B" w:rsidP="00B13DCE">
                  <w:pPr>
                    <w:spacing w:after="120"/>
                    <w:rPr>
                      <w:rFonts w:cstheme="minorHAnsi"/>
                      <w:sz w:val="20"/>
                      <w:szCs w:val="20"/>
                    </w:rPr>
                  </w:pPr>
                  <w:r w:rsidRPr="001A4E7F">
                    <w:rPr>
                      <w:rFonts w:cstheme="minorHAnsi"/>
                      <w:sz w:val="20"/>
                      <w:szCs w:val="20"/>
                    </w:rPr>
                    <w:t>Maintain essential documents in the Investigator Site File (ISF)</w:t>
                  </w:r>
                </w:p>
              </w:tc>
              <w:tc>
                <w:tcPr>
                  <w:tcW w:w="1559" w:type="dxa"/>
                  <w:shd w:val="clear" w:color="auto" w:fill="EBF0F9"/>
                  <w:hideMark/>
                </w:tcPr>
                <w:p w14:paraId="39A7ED7D" w14:textId="77777777" w:rsidR="009B128B" w:rsidRPr="001A4E7F" w:rsidRDefault="009B128B" w:rsidP="00B13DCE">
                  <w:pPr>
                    <w:spacing w:after="120"/>
                    <w:rPr>
                      <w:rFonts w:cstheme="minorHAnsi"/>
                      <w:sz w:val="20"/>
                      <w:szCs w:val="20"/>
                    </w:rPr>
                  </w:pPr>
                  <w:r w:rsidRPr="001A4E7F">
                    <w:rPr>
                      <w:rFonts w:cstheme="minorHAnsi"/>
                      <w:sz w:val="20"/>
                      <w:szCs w:val="20"/>
                    </w:rPr>
                    <w:t>Yes</w:t>
                  </w:r>
                </w:p>
              </w:tc>
              <w:tc>
                <w:tcPr>
                  <w:tcW w:w="1560" w:type="dxa"/>
                  <w:shd w:val="clear" w:color="auto" w:fill="EBF0F9"/>
                  <w:hideMark/>
                </w:tcPr>
                <w:p w14:paraId="7A4EA9E6" w14:textId="77777777" w:rsidR="009B128B" w:rsidRPr="001A4E7F" w:rsidRDefault="009B128B" w:rsidP="00B13DCE">
                  <w:pPr>
                    <w:spacing w:after="120"/>
                    <w:rPr>
                      <w:rFonts w:cstheme="minorHAnsi"/>
                      <w:sz w:val="20"/>
                      <w:szCs w:val="20"/>
                    </w:rPr>
                  </w:pPr>
                  <w:r w:rsidRPr="001A4E7F">
                    <w:rPr>
                      <w:rFonts w:cstheme="minorHAnsi"/>
                      <w:sz w:val="20"/>
                      <w:szCs w:val="20"/>
                    </w:rPr>
                    <w:t>Yes</w:t>
                  </w:r>
                </w:p>
              </w:tc>
              <w:tc>
                <w:tcPr>
                  <w:tcW w:w="1134" w:type="dxa"/>
                  <w:shd w:val="clear" w:color="auto" w:fill="EBF0F9"/>
                  <w:hideMark/>
                </w:tcPr>
                <w:p w14:paraId="36D8E66C" w14:textId="77777777" w:rsidR="009B128B" w:rsidRPr="001A4E7F" w:rsidRDefault="009B128B" w:rsidP="00B13DCE">
                  <w:pPr>
                    <w:spacing w:after="120"/>
                    <w:rPr>
                      <w:rFonts w:cstheme="minorHAnsi"/>
                      <w:sz w:val="20"/>
                      <w:szCs w:val="20"/>
                    </w:rPr>
                  </w:pPr>
                  <w:r w:rsidRPr="001A4E7F">
                    <w:rPr>
                      <w:rFonts w:cstheme="minorHAnsi"/>
                      <w:sz w:val="20"/>
                      <w:szCs w:val="20"/>
                    </w:rPr>
                    <w:t>Yes</w:t>
                  </w:r>
                </w:p>
              </w:tc>
            </w:tr>
          </w:tbl>
          <w:p w14:paraId="1D73D457" w14:textId="28221C4B" w:rsidR="009B128B" w:rsidRPr="001A4E7F" w:rsidRDefault="009B128B" w:rsidP="00B13DCE">
            <w:pPr>
              <w:spacing w:after="120"/>
              <w:rPr>
                <w:rFonts w:eastAsia="Times New Roman" w:cstheme="minorHAnsi"/>
                <w:color w:val="000000"/>
                <w:lang w:eastAsia="en-GB"/>
              </w:rPr>
            </w:pPr>
          </w:p>
        </w:tc>
      </w:tr>
      <w:tr w:rsidR="00956505" w:rsidRPr="001A4E7F" w14:paraId="4763B0D4" w14:textId="77777777" w:rsidTr="007702E2">
        <w:trPr>
          <w:trHeight w:val="1774"/>
        </w:trPr>
        <w:tc>
          <w:tcPr>
            <w:tcW w:w="1980" w:type="dxa"/>
          </w:tcPr>
          <w:p w14:paraId="6414433E" w14:textId="15693689"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lastRenderedPageBreak/>
              <w:t>Can a practice take part in the SAFER study and the DaRe2THINK trial?</w:t>
            </w:r>
          </w:p>
        </w:tc>
        <w:tc>
          <w:tcPr>
            <w:tcW w:w="7654" w:type="dxa"/>
          </w:tcPr>
          <w:p w14:paraId="7864A039" w14:textId="7660FA2B"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b/>
                <w:bCs/>
                <w:color w:val="000000" w:themeColor="text1"/>
                <w:lang w:eastAsia="en-GB"/>
              </w:rPr>
              <w:t>Yes, both studies can be run at the same site</w:t>
            </w:r>
            <w:r w:rsidRPr="001A4E7F">
              <w:rPr>
                <w:rFonts w:eastAsia="Times New Roman" w:cstheme="minorHAnsi"/>
                <w:color w:val="000000" w:themeColor="text1"/>
                <w:lang w:eastAsia="en-GB"/>
              </w:rPr>
              <w:t xml:space="preserve">.  There is only a small theoretical overlap (men aged 70-73 who are not already anticoagulated).  The two trial teams have worked together to use coding to exclude any patients recruited to the other study.  We only ask that the PIs and study support personnel are aware, and avoid including SAFER patients in DaRe2THINK and vice versa. </w:t>
            </w:r>
          </w:p>
        </w:tc>
      </w:tr>
      <w:tr w:rsidR="001A03F6" w:rsidRPr="001A4E7F" w14:paraId="0C307CD2" w14:textId="77777777" w:rsidTr="007702E2">
        <w:trPr>
          <w:trHeight w:val="1774"/>
        </w:trPr>
        <w:tc>
          <w:tcPr>
            <w:tcW w:w="1980" w:type="dxa"/>
          </w:tcPr>
          <w:p w14:paraId="61F4CD1B" w14:textId="6CAD8F6C" w:rsidR="001A03F6" w:rsidRPr="001A4E7F" w:rsidRDefault="001A03F6" w:rsidP="00956505">
            <w:pPr>
              <w:spacing w:after="120"/>
              <w:rPr>
                <w:rFonts w:eastAsia="Times New Roman" w:cstheme="minorHAnsi"/>
                <w:color w:val="000000" w:themeColor="text1"/>
                <w:lang w:eastAsia="en-GB"/>
              </w:rPr>
            </w:pPr>
            <w:r w:rsidRPr="001A03F6">
              <w:rPr>
                <w:rFonts w:eastAsia="Times New Roman" w:cstheme="minorHAnsi"/>
                <w:color w:val="000000" w:themeColor="text1"/>
                <w:lang w:eastAsia="en-GB"/>
              </w:rPr>
              <w:t>What indemnity do I require as a GP to take recruit patients into the DaRe2THINK trial?</w:t>
            </w:r>
          </w:p>
        </w:tc>
        <w:tc>
          <w:tcPr>
            <w:tcW w:w="7654" w:type="dxa"/>
          </w:tcPr>
          <w:p w14:paraId="076D6E63" w14:textId="3AF8DE6B" w:rsidR="001A03F6" w:rsidRPr="00C8215A" w:rsidRDefault="001A03F6" w:rsidP="001A03F6">
            <w:pPr>
              <w:spacing w:after="120"/>
              <w:rPr>
                <w:rFonts w:eastAsia="Times New Roman" w:cstheme="minorHAnsi"/>
                <w:bCs/>
                <w:color w:val="000000" w:themeColor="text1"/>
                <w:lang w:eastAsia="en-GB"/>
              </w:rPr>
            </w:pPr>
            <w:r w:rsidRPr="00C8215A">
              <w:rPr>
                <w:rFonts w:eastAsia="Times New Roman" w:cstheme="minorHAnsi"/>
                <w:bCs/>
                <w:color w:val="000000" w:themeColor="text1"/>
                <w:lang w:eastAsia="en-GB"/>
              </w:rPr>
              <w:t>DaRe2THINK is an NHS Clinical Trial with Health Research Authority (HRA) and Research Ethics Committee (REC) approval. It is funded by the Department of Health and Social Government (DHSC) via one of the National Institute for Health Research (NIHR) funding programmes. It has been adopted onto the portfolio of the Clinical Research Network (CRN) which is part of the NIHR and the CRN support all parts of the NHS in the running of research trials. The April 2019 introduction of state indemnity to include cover for GPs and other staff working</w:t>
            </w:r>
            <w:r>
              <w:rPr>
                <w:rFonts w:eastAsia="Times New Roman" w:cstheme="minorHAnsi"/>
                <w:bCs/>
                <w:color w:val="000000" w:themeColor="text1"/>
                <w:lang w:eastAsia="en-GB"/>
              </w:rPr>
              <w:t xml:space="preserve"> in</w:t>
            </w:r>
            <w:r w:rsidRPr="00C8215A">
              <w:rPr>
                <w:rFonts w:eastAsia="Times New Roman" w:cstheme="minorHAnsi"/>
                <w:bCs/>
                <w:color w:val="000000" w:themeColor="text1"/>
                <w:lang w:eastAsia="en-GB"/>
              </w:rPr>
              <w:t xml:space="preserve"> Primary Care also included research in its remit, mirroring the indemnity cover that has existed for many years in NHS trusts. This means any adverse events or issues are all covered by NHS indemnity. Anything that falls outside the remit of the state indemnity will form part of the indemnity held by our research sponsor, The University of Birmingham.</w:t>
            </w:r>
          </w:p>
        </w:tc>
      </w:tr>
      <w:tr w:rsidR="001A03F6" w:rsidRPr="001A4E7F" w14:paraId="07C9B751" w14:textId="77777777" w:rsidTr="007702E2">
        <w:trPr>
          <w:trHeight w:val="1774"/>
        </w:trPr>
        <w:tc>
          <w:tcPr>
            <w:tcW w:w="1980" w:type="dxa"/>
          </w:tcPr>
          <w:p w14:paraId="000AB9BD" w14:textId="5CB9D256" w:rsidR="001A03F6" w:rsidRPr="001A03F6" w:rsidRDefault="001A03F6" w:rsidP="001A03F6">
            <w:pPr>
              <w:spacing w:after="120"/>
              <w:rPr>
                <w:rFonts w:eastAsia="Times New Roman" w:cstheme="minorHAnsi"/>
                <w:color w:val="000000" w:themeColor="text1"/>
                <w:lang w:eastAsia="en-GB"/>
              </w:rPr>
            </w:pPr>
            <w:r w:rsidRPr="001A03F6">
              <w:rPr>
                <w:rFonts w:eastAsia="Times New Roman" w:cstheme="minorHAnsi"/>
                <w:color w:val="000000" w:themeColor="text1"/>
                <w:lang w:eastAsia="en-GB"/>
              </w:rPr>
              <w:t>What about the bleeding risk for these younger patients in the trial randomised to</w:t>
            </w:r>
            <w:r>
              <w:rPr>
                <w:rFonts w:eastAsia="Times New Roman" w:cstheme="minorHAnsi"/>
                <w:color w:val="000000" w:themeColor="text1"/>
                <w:lang w:eastAsia="en-GB"/>
              </w:rPr>
              <w:t xml:space="preserve"> </w:t>
            </w:r>
            <w:r w:rsidRPr="001A03F6">
              <w:rPr>
                <w:rFonts w:eastAsia="Times New Roman" w:cstheme="minorHAnsi"/>
                <w:color w:val="000000" w:themeColor="text1"/>
                <w:lang w:eastAsia="en-GB"/>
              </w:rPr>
              <w:t>DOACs?</w:t>
            </w:r>
          </w:p>
        </w:tc>
        <w:tc>
          <w:tcPr>
            <w:tcW w:w="7654" w:type="dxa"/>
          </w:tcPr>
          <w:p w14:paraId="36842D46" w14:textId="37D8E3EA" w:rsidR="001A03F6" w:rsidRPr="001A03F6" w:rsidRDefault="001A03F6" w:rsidP="3DD73798">
            <w:pPr>
              <w:spacing w:after="120"/>
              <w:rPr>
                <w:rFonts w:eastAsia="Times New Roman"/>
                <w:color w:val="000000" w:themeColor="text1"/>
                <w:lang w:eastAsia="en-GB"/>
              </w:rPr>
            </w:pPr>
            <w:r w:rsidRPr="3DD73798">
              <w:rPr>
                <w:rFonts w:eastAsia="Times New Roman"/>
                <w:color w:val="000000" w:themeColor="text1"/>
                <w:lang w:eastAsia="en-GB"/>
              </w:rPr>
              <w:t>It is worth remembering that since these are younger patients (55-73 years) and lower risk (they have no or few comorbidities) their bleeding risk score is very low, so bleeding events are unlikely. Bleeding rates are similar between aspirin and DOACs. In randomised trials the rate of bleeding is same including major significant bleeds. Observational trial data is consistent in showing similar bleeding rates between aspirin and DOACs. A recent international study with 3854 patients were treated with a therapeutic dose DOAC (apixaban 5mg BD or rivaroxaban 20mg daily) and 3876 were treated with varied doses of aspirin (81mg [46.9%], 100mg [27.6%], 162mg [18.5%], 243mg [1.9%], 324mg [5.0%], and unknown dose [0.2%]). Our analysis detected no statistically significant difference in major bleeding events (1.27% vs. 1.07%; p=0.4) or clinically-relevant, non-major bleeding events (3.22% vs. 2.65%; p=0.14) between the two groups</w:t>
            </w:r>
            <w:r w:rsidR="00C8215A" w:rsidRPr="3DD73798">
              <w:rPr>
                <w:rFonts w:eastAsia="Times New Roman"/>
                <w:color w:val="000000" w:themeColor="text1"/>
                <w:lang w:eastAsia="en-GB"/>
              </w:rPr>
              <w:t>.</w:t>
            </w:r>
          </w:p>
        </w:tc>
      </w:tr>
      <w:tr w:rsidR="00956505" w:rsidRPr="001A4E7F" w14:paraId="0E98B172" w14:textId="77777777" w:rsidTr="007702E2">
        <w:trPr>
          <w:trHeight w:val="1774"/>
        </w:trPr>
        <w:tc>
          <w:tcPr>
            <w:tcW w:w="1980" w:type="dxa"/>
          </w:tcPr>
          <w:p w14:paraId="4EA39787" w14:textId="3BD790AD"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themeColor="text1"/>
                <w:lang w:eastAsia="en-GB"/>
              </w:rPr>
              <w:t>A patient on my list is coded as “AF resolved” do I need to exclude this patient?</w:t>
            </w:r>
          </w:p>
        </w:tc>
        <w:tc>
          <w:tcPr>
            <w:tcW w:w="7654" w:type="dxa"/>
          </w:tcPr>
          <w:p w14:paraId="212C7799" w14:textId="6F56C6E7"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The inclusion criteria for DaRe2THINK are </w:t>
            </w:r>
            <w:r w:rsidRPr="001A4E7F">
              <w:rPr>
                <w:rFonts w:eastAsia="Times New Roman" w:cstheme="minorHAnsi"/>
                <w:b/>
                <w:bCs/>
                <w:color w:val="000000" w:themeColor="text1"/>
                <w:lang w:eastAsia="en-GB"/>
              </w:rPr>
              <w:t>patients with any diagnosis of AF (previous, current or chronic)</w:t>
            </w:r>
            <w:r w:rsidRPr="001A4E7F">
              <w:rPr>
                <w:rFonts w:eastAsia="Times New Roman" w:cstheme="minorHAnsi"/>
                <w:color w:val="000000" w:themeColor="text1"/>
                <w:lang w:eastAsia="en-GB"/>
              </w:rPr>
              <w:t>.  The reason for this is that AF is associated with stroke, thromboembolic and cognitive decline regardless of whether the patient is currently in AF or not.  Patients with paroxysmal AF, and those with transient or ‘resolved’ episodes also have an elevated risk of morbidity and mortality.  As seen in the</w:t>
            </w:r>
            <w:r>
              <w:rPr>
                <w:rFonts w:eastAsia="Times New Roman" w:cstheme="minorHAnsi"/>
                <w:color w:val="000000" w:themeColor="text1"/>
                <w:lang w:eastAsia="en-GB"/>
              </w:rPr>
              <w:t xml:space="preserve"> following</w:t>
            </w:r>
            <w:r w:rsidRPr="001A4E7F">
              <w:rPr>
                <w:rFonts w:eastAsia="Times New Roman" w:cstheme="minorHAnsi"/>
                <w:color w:val="000000" w:themeColor="text1"/>
                <w:lang w:eastAsia="en-GB"/>
              </w:rPr>
              <w:t xml:space="preserve"> two papers, this risk remains substantial and may be amenable to treatment with direct oral anticoagulants (DOACs), as tested in DaRe2THINK</w:t>
            </w:r>
            <w:r>
              <w:rPr>
                <w:rFonts w:eastAsia="Times New Roman" w:cstheme="minorHAnsi"/>
                <w:color w:val="000000" w:themeColor="text1"/>
                <w:lang w:eastAsia="en-GB"/>
              </w:rPr>
              <w:t>:</w:t>
            </w:r>
          </w:p>
          <w:p w14:paraId="41F4E5E0" w14:textId="6F196EAC" w:rsidR="00956505" w:rsidRPr="001A4E7F" w:rsidRDefault="005F535D" w:rsidP="00956505">
            <w:pPr>
              <w:spacing w:after="120"/>
              <w:rPr>
                <w:rFonts w:eastAsia="Times New Roman" w:cstheme="minorHAnsi"/>
                <w:color w:val="000000" w:themeColor="text1"/>
                <w:lang w:eastAsia="en-GB"/>
              </w:rPr>
            </w:pPr>
            <w:hyperlink r:id="rId12" w:history="1">
              <w:r w:rsidR="00956505" w:rsidRPr="001A4E7F">
                <w:rPr>
                  <w:rStyle w:val="Hyperlink"/>
                  <w:rFonts w:eastAsia="Times New Roman" w:cstheme="minorHAnsi"/>
                  <w:lang w:eastAsia="en-GB"/>
                </w:rPr>
                <w:t>BMJ article</w:t>
              </w:r>
            </w:hyperlink>
            <w:r w:rsidR="00956505" w:rsidRPr="001A4E7F">
              <w:rPr>
                <w:rFonts w:eastAsia="Times New Roman" w:cstheme="minorHAnsi"/>
                <w:color w:val="000000" w:themeColor="text1"/>
                <w:lang w:eastAsia="en-GB"/>
              </w:rPr>
              <w:t xml:space="preserve"> on ‘resolved’ AF; </w:t>
            </w:r>
            <w:hyperlink r:id="rId13" w:history="1">
              <w:r w:rsidR="00956505" w:rsidRPr="001A4E7F">
                <w:rPr>
                  <w:rStyle w:val="Hyperlink"/>
                  <w:rFonts w:eastAsia="Times New Roman" w:cstheme="minorHAnsi"/>
                  <w:lang w:eastAsia="en-GB"/>
                </w:rPr>
                <w:t>EHJ article</w:t>
              </w:r>
            </w:hyperlink>
            <w:r w:rsidR="00956505" w:rsidRPr="001A4E7F">
              <w:rPr>
                <w:rFonts w:eastAsia="Times New Roman" w:cstheme="minorHAnsi"/>
                <w:color w:val="000000" w:themeColor="text1"/>
                <w:lang w:eastAsia="en-GB"/>
              </w:rPr>
              <w:t xml:space="preserve"> on ‘transient’ AF;</w:t>
            </w:r>
            <w:r w:rsidR="00956505" w:rsidRPr="001A4E7F">
              <w:rPr>
                <w:rFonts w:eastAsia="Times New Roman" w:cstheme="minorHAnsi"/>
                <w:color w:val="222222"/>
                <w:lang w:eastAsia="en-GB"/>
              </w:rPr>
              <w:t xml:space="preserve"> 2021/22 </w:t>
            </w:r>
            <w:hyperlink r:id="rId14">
              <w:r w:rsidR="00956505" w:rsidRPr="001A4E7F">
                <w:rPr>
                  <w:rFonts w:eastAsia="Times New Roman" w:cstheme="minorHAnsi"/>
                  <w:color w:val="1155CC"/>
                  <w:u w:val="single"/>
                  <w:lang w:eastAsia="en-GB"/>
                </w:rPr>
                <w:t>QOF Guidance</w:t>
              </w:r>
            </w:hyperlink>
            <w:r w:rsidR="00956505">
              <w:rPr>
                <w:rFonts w:eastAsia="Times New Roman" w:cstheme="minorHAnsi"/>
                <w:color w:val="1155CC"/>
                <w:u w:val="single"/>
                <w:lang w:eastAsia="en-GB"/>
              </w:rPr>
              <w:t>.</w:t>
            </w:r>
          </w:p>
          <w:p w14:paraId="6B238C2D" w14:textId="7B243C20"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The clinical judgement of the PI is essential here, as there may be patients with resolved AF that are not eligible as they likely have no residual stroke risk (for example, where AF occurred during pregnancy but never again).  Here are some examples of patients you would or would not include, assuming all other inclusion and exclusion criteria </w:t>
            </w:r>
            <w:r w:rsidR="00BE2197">
              <w:rPr>
                <w:rFonts w:eastAsia="Times New Roman" w:cstheme="minorHAnsi"/>
                <w:color w:val="000000" w:themeColor="text1"/>
                <w:lang w:eastAsia="en-GB"/>
              </w:rPr>
              <w:t>are met</w:t>
            </w:r>
            <w:r w:rsidRPr="001A4E7F">
              <w:rPr>
                <w:rFonts w:eastAsia="Times New Roman" w:cstheme="minorHAnsi"/>
                <w:color w:val="000000" w:themeColor="text1"/>
                <w:lang w:eastAsia="en-GB"/>
              </w:rPr>
              <w:t>:</w:t>
            </w:r>
          </w:p>
          <w:p w14:paraId="4DC59754" w14:textId="77777777" w:rsidR="00956505" w:rsidRPr="001A4E7F" w:rsidRDefault="00956505" w:rsidP="00956505">
            <w:pPr>
              <w:pStyle w:val="ListParagraph"/>
              <w:numPr>
                <w:ilvl w:val="0"/>
                <w:numId w:val="2"/>
              </w:numPr>
              <w:spacing w:after="120"/>
              <w:ind w:left="357" w:hanging="357"/>
              <w:contextualSpacing w:val="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Episode of AF two years ago during admission for pneumonia: </w:t>
            </w:r>
            <w:r w:rsidRPr="001A4E7F">
              <w:rPr>
                <w:rFonts w:eastAsia="Times New Roman" w:cstheme="minorHAnsi"/>
                <w:b/>
                <w:bCs/>
                <w:color w:val="000000" w:themeColor="text1"/>
                <w:lang w:eastAsia="en-GB"/>
              </w:rPr>
              <w:t>Yes, recruit</w:t>
            </w:r>
            <w:r w:rsidRPr="001A4E7F">
              <w:rPr>
                <w:rFonts w:eastAsia="Times New Roman" w:cstheme="minorHAnsi"/>
                <w:color w:val="000000" w:themeColor="text1"/>
                <w:lang w:eastAsia="en-GB"/>
              </w:rPr>
              <w:t>.</w:t>
            </w:r>
          </w:p>
          <w:p w14:paraId="304B4A75" w14:textId="77777777" w:rsidR="00956505" w:rsidRPr="001A4E7F" w:rsidRDefault="00956505" w:rsidP="00956505">
            <w:pPr>
              <w:pStyle w:val="ListParagraph"/>
              <w:numPr>
                <w:ilvl w:val="0"/>
                <w:numId w:val="2"/>
              </w:numPr>
              <w:spacing w:after="120"/>
              <w:ind w:left="357" w:hanging="357"/>
              <w:contextualSpacing w:val="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Peri-partum AF 30 years ago: </w:t>
            </w:r>
            <w:r w:rsidRPr="001A4E7F">
              <w:rPr>
                <w:rFonts w:eastAsia="Times New Roman" w:cstheme="minorHAnsi"/>
                <w:b/>
                <w:bCs/>
                <w:color w:val="000000" w:themeColor="text1"/>
                <w:lang w:eastAsia="en-GB"/>
              </w:rPr>
              <w:t>No, don’t recruit.</w:t>
            </w:r>
          </w:p>
          <w:p w14:paraId="5884C419" w14:textId="77777777" w:rsidR="00956505" w:rsidRPr="001A4E7F" w:rsidRDefault="00956505" w:rsidP="00956505">
            <w:pPr>
              <w:pStyle w:val="ListParagraph"/>
              <w:numPr>
                <w:ilvl w:val="0"/>
                <w:numId w:val="2"/>
              </w:numPr>
              <w:spacing w:after="120"/>
              <w:ind w:left="357" w:hanging="357"/>
              <w:contextualSpacing w:val="0"/>
              <w:rPr>
                <w:rFonts w:eastAsia="Times New Roman" w:cstheme="minorHAnsi"/>
                <w:color w:val="000000"/>
                <w:lang w:eastAsia="en-GB"/>
              </w:rPr>
            </w:pPr>
            <w:r w:rsidRPr="001A4E7F">
              <w:rPr>
                <w:rFonts w:eastAsia="Times New Roman" w:cstheme="minorHAnsi"/>
                <w:color w:val="000000" w:themeColor="text1"/>
                <w:lang w:eastAsia="en-GB"/>
              </w:rPr>
              <w:t xml:space="preserve">Previous catheter ablation for AF but no longer anticoagulated: </w:t>
            </w:r>
            <w:r w:rsidRPr="001A4E7F">
              <w:rPr>
                <w:rFonts w:eastAsia="Times New Roman" w:cstheme="minorHAnsi"/>
                <w:b/>
                <w:bCs/>
                <w:color w:val="000000" w:themeColor="text1"/>
                <w:lang w:eastAsia="en-GB"/>
              </w:rPr>
              <w:t>Yes, recruit</w:t>
            </w:r>
            <w:r w:rsidRPr="001A4E7F">
              <w:rPr>
                <w:rFonts w:eastAsia="Times New Roman" w:cstheme="minorHAnsi"/>
                <w:color w:val="000000" w:themeColor="text1"/>
                <w:lang w:eastAsia="en-GB"/>
              </w:rPr>
              <w:t>.</w:t>
            </w:r>
          </w:p>
          <w:p w14:paraId="73C4BCF9" w14:textId="77777777" w:rsidR="00956505" w:rsidRPr="001A4E7F" w:rsidRDefault="00956505" w:rsidP="00956505">
            <w:pPr>
              <w:pStyle w:val="ListParagraph"/>
              <w:numPr>
                <w:ilvl w:val="0"/>
                <w:numId w:val="2"/>
              </w:numPr>
              <w:spacing w:after="120"/>
              <w:ind w:left="357" w:hanging="357"/>
              <w:contextualSpacing w:val="0"/>
              <w:rPr>
                <w:rFonts w:eastAsia="Times New Roman" w:cstheme="minorHAnsi"/>
                <w:color w:val="000000"/>
                <w:lang w:eastAsia="en-GB"/>
              </w:rPr>
            </w:pPr>
            <w:r w:rsidRPr="001A4E7F">
              <w:rPr>
                <w:rFonts w:eastAsia="Times New Roman" w:cstheme="minorHAnsi"/>
                <w:color w:val="000000" w:themeColor="text1"/>
                <w:lang w:eastAsia="en-GB"/>
              </w:rPr>
              <w:t xml:space="preserve">Post-operative AF four years ago treated and resolved: </w:t>
            </w:r>
            <w:r w:rsidRPr="001A4E7F">
              <w:rPr>
                <w:rFonts w:eastAsia="Times New Roman" w:cstheme="minorHAnsi"/>
                <w:b/>
                <w:bCs/>
                <w:color w:val="000000" w:themeColor="text1"/>
                <w:lang w:eastAsia="en-GB"/>
              </w:rPr>
              <w:t>Yes, recruit</w:t>
            </w:r>
            <w:r w:rsidRPr="001A4E7F">
              <w:rPr>
                <w:rFonts w:eastAsia="Times New Roman" w:cstheme="minorHAnsi"/>
                <w:color w:val="000000" w:themeColor="text1"/>
                <w:lang w:eastAsia="en-GB"/>
              </w:rPr>
              <w:t>.</w:t>
            </w:r>
            <w:r w:rsidRPr="001A4E7F">
              <w:rPr>
                <w:rFonts w:eastAsia="Times New Roman" w:cstheme="minorHAnsi"/>
                <w:b/>
                <w:bCs/>
                <w:color w:val="000000"/>
                <w:lang w:eastAsia="en-GB"/>
              </w:rPr>
              <w:t> </w:t>
            </w:r>
          </w:p>
          <w:p w14:paraId="74F8F9EB" w14:textId="0DF10E78" w:rsidR="00956505" w:rsidRPr="001A4E7F" w:rsidRDefault="00956505" w:rsidP="00956505">
            <w:pPr>
              <w:spacing w:after="120"/>
              <w:rPr>
                <w:rFonts w:eastAsia="Times New Roman" w:cstheme="minorHAnsi"/>
                <w:color w:val="000000"/>
                <w:lang w:eastAsia="en-GB"/>
              </w:rPr>
            </w:pPr>
          </w:p>
        </w:tc>
      </w:tr>
      <w:tr w:rsidR="00956505" w:rsidRPr="001A4E7F" w14:paraId="7C0FDC5D" w14:textId="77777777" w:rsidTr="007702E2">
        <w:trPr>
          <w:trHeight w:val="2959"/>
        </w:trPr>
        <w:tc>
          <w:tcPr>
            <w:tcW w:w="1980" w:type="dxa"/>
          </w:tcPr>
          <w:p w14:paraId="2B8E9265" w14:textId="2A89FE24"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lang w:eastAsia="en-GB"/>
              </w:rPr>
              <w:t>A patient on my list is coded as “Valvular AF” do I need to exclude this patient?</w:t>
            </w:r>
          </w:p>
        </w:tc>
        <w:tc>
          <w:tcPr>
            <w:tcW w:w="7654" w:type="dxa"/>
          </w:tcPr>
          <w:p w14:paraId="0787D5B6" w14:textId="20BD9856" w:rsidR="00956505" w:rsidRPr="001A4E7F" w:rsidRDefault="00956505" w:rsidP="00956505">
            <w:pPr>
              <w:spacing w:after="120"/>
              <w:rPr>
                <w:rFonts w:eastAsia="Times New Roman" w:cstheme="minorHAnsi"/>
                <w:bCs/>
                <w:color w:val="000000"/>
                <w:lang w:eastAsia="en-GB"/>
              </w:rPr>
            </w:pPr>
            <w:r w:rsidRPr="001A4E7F">
              <w:rPr>
                <w:rFonts w:eastAsia="Times New Roman" w:cstheme="minorHAnsi"/>
                <w:bCs/>
                <w:color w:val="000000"/>
                <w:lang w:eastAsia="en-GB"/>
              </w:rPr>
              <w:t>The term ‘valvular’ AF has been largely removed from international guidelines as it is a confusing and inaccurate term.  While some forms of valvular heart disease can make AF more common, AF can also lead to valvular incompetence.</w:t>
            </w:r>
          </w:p>
          <w:p w14:paraId="1AACAE53" w14:textId="77777777" w:rsidR="00956505" w:rsidRPr="001A4E7F" w:rsidRDefault="00956505" w:rsidP="00956505">
            <w:pPr>
              <w:spacing w:after="120"/>
              <w:rPr>
                <w:rFonts w:eastAsia="Times New Roman" w:cstheme="minorHAnsi"/>
                <w:bCs/>
                <w:color w:val="000000"/>
                <w:lang w:eastAsia="en-GB"/>
              </w:rPr>
            </w:pPr>
            <w:r w:rsidRPr="001A4E7F">
              <w:rPr>
                <w:rFonts w:eastAsia="Times New Roman" w:cstheme="minorHAnsi"/>
                <w:b/>
                <w:color w:val="000000"/>
                <w:lang w:eastAsia="en-GB"/>
              </w:rPr>
              <w:t>Patients with valvular disease can be enrolled in DaRe2THINK</w:t>
            </w:r>
            <w:r w:rsidRPr="001A4E7F">
              <w:rPr>
                <w:rFonts w:eastAsia="Times New Roman" w:cstheme="minorHAnsi"/>
                <w:bCs/>
                <w:color w:val="000000"/>
                <w:lang w:eastAsia="en-GB"/>
              </w:rPr>
              <w:t xml:space="preserve">, if they meet the other inclusion and exclusion criteria. </w:t>
            </w:r>
          </w:p>
          <w:p w14:paraId="1792F6B9" w14:textId="4EDB35E2" w:rsidR="00956505" w:rsidRPr="001A4E7F" w:rsidRDefault="00956505" w:rsidP="00956505">
            <w:pPr>
              <w:spacing w:after="120"/>
              <w:rPr>
                <w:rFonts w:eastAsia="Times New Roman" w:cstheme="minorHAnsi"/>
                <w:bCs/>
                <w:color w:val="000000"/>
                <w:lang w:eastAsia="en-GB"/>
              </w:rPr>
            </w:pPr>
            <w:r w:rsidRPr="001A4E7F">
              <w:rPr>
                <w:rFonts w:eastAsia="Times New Roman" w:cstheme="minorHAnsi"/>
                <w:bCs/>
                <w:color w:val="000000"/>
                <w:lang w:eastAsia="en-GB"/>
              </w:rPr>
              <w:t xml:space="preserve">Nearly all patients with significant valvular disease and AF will already be anticoagulated by their hospital team, so would not be eligible for DaRe2THINK.  Patients with moderate to severe mitral valve stenosis or mechanical heart valves should </w:t>
            </w:r>
            <w:r w:rsidR="00B178E7">
              <w:rPr>
                <w:rFonts w:eastAsia="Times New Roman" w:cstheme="minorHAnsi"/>
                <w:bCs/>
                <w:color w:val="000000"/>
                <w:lang w:eastAsia="en-GB"/>
              </w:rPr>
              <w:t xml:space="preserve">be </w:t>
            </w:r>
            <w:r w:rsidRPr="001A4E7F">
              <w:rPr>
                <w:rFonts w:eastAsia="Times New Roman" w:cstheme="minorHAnsi"/>
                <w:bCs/>
                <w:color w:val="000000"/>
                <w:lang w:eastAsia="en-GB"/>
              </w:rPr>
              <w:t>receiv</w:t>
            </w:r>
            <w:r w:rsidR="00B178E7">
              <w:rPr>
                <w:rFonts w:eastAsia="Times New Roman" w:cstheme="minorHAnsi"/>
                <w:bCs/>
                <w:color w:val="000000"/>
                <w:lang w:eastAsia="en-GB"/>
              </w:rPr>
              <w:t>ing</w:t>
            </w:r>
            <w:r w:rsidRPr="001A4E7F">
              <w:rPr>
                <w:rFonts w:eastAsia="Times New Roman" w:cstheme="minorHAnsi"/>
                <w:bCs/>
                <w:color w:val="000000"/>
                <w:lang w:eastAsia="en-GB"/>
              </w:rPr>
              <w:t xml:space="preserve"> warfarin </w:t>
            </w:r>
            <w:r w:rsidR="00B178E7">
              <w:rPr>
                <w:rFonts w:eastAsia="Times New Roman" w:cstheme="minorHAnsi"/>
                <w:bCs/>
                <w:color w:val="000000"/>
                <w:lang w:eastAsia="en-GB"/>
              </w:rPr>
              <w:t>rather than</w:t>
            </w:r>
            <w:r w:rsidRPr="001A4E7F">
              <w:rPr>
                <w:rFonts w:eastAsia="Times New Roman" w:cstheme="minorHAnsi"/>
                <w:bCs/>
                <w:color w:val="000000"/>
                <w:lang w:eastAsia="en-GB"/>
              </w:rPr>
              <w:t xml:space="preserve"> a DOAC.</w:t>
            </w:r>
          </w:p>
        </w:tc>
      </w:tr>
      <w:tr w:rsidR="003F7EE9" w:rsidRPr="001A4E7F" w14:paraId="672FF1BC" w14:textId="77777777" w:rsidTr="007702E2">
        <w:trPr>
          <w:trHeight w:val="2959"/>
        </w:trPr>
        <w:tc>
          <w:tcPr>
            <w:tcW w:w="1980" w:type="dxa"/>
          </w:tcPr>
          <w:p w14:paraId="4BDA0D25" w14:textId="6EF07ADA" w:rsidR="003F7EE9" w:rsidRPr="00C8215A" w:rsidRDefault="003F7EE9" w:rsidP="00956505">
            <w:pPr>
              <w:spacing w:after="120"/>
              <w:rPr>
                <w:rFonts w:eastAsia="Times New Roman" w:cstheme="minorHAnsi"/>
                <w:bCs/>
                <w:color w:val="000000"/>
                <w:lang w:eastAsia="en-GB"/>
              </w:rPr>
            </w:pPr>
            <w:r>
              <w:rPr>
                <w:rFonts w:eastAsia="Times New Roman" w:cstheme="minorHAnsi"/>
                <w:bCs/>
                <w:color w:val="000000"/>
                <w:lang w:eastAsia="en-GB"/>
              </w:rPr>
              <w:t>A patient</w:t>
            </w:r>
            <w:r w:rsidRPr="003F7EE9">
              <w:rPr>
                <w:rFonts w:eastAsia="Times New Roman" w:cstheme="minorHAnsi"/>
                <w:bCs/>
                <w:color w:val="000000"/>
                <w:lang w:eastAsia="en-GB"/>
              </w:rPr>
              <w:t xml:space="preserve"> </w:t>
            </w:r>
            <w:r>
              <w:rPr>
                <w:rFonts w:eastAsia="Times New Roman" w:cstheme="minorHAnsi"/>
                <w:bCs/>
                <w:color w:val="000000"/>
                <w:lang w:eastAsia="en-GB"/>
              </w:rPr>
              <w:t>has not had their kidney function tested in the</w:t>
            </w:r>
            <w:r w:rsidRPr="003F7EE9">
              <w:rPr>
                <w:rFonts w:eastAsia="Times New Roman" w:cstheme="minorHAnsi"/>
                <w:bCs/>
                <w:color w:val="000000"/>
                <w:lang w:eastAsia="en-GB"/>
              </w:rPr>
              <w:t xml:space="preserve"> last 12 months, </w:t>
            </w:r>
            <w:r>
              <w:rPr>
                <w:rFonts w:eastAsia="Times New Roman" w:cstheme="minorHAnsi"/>
                <w:bCs/>
                <w:color w:val="000000"/>
                <w:lang w:eastAsia="en-GB"/>
              </w:rPr>
              <w:t>are we able to include these patients?</w:t>
            </w:r>
          </w:p>
        </w:tc>
        <w:tc>
          <w:tcPr>
            <w:tcW w:w="7654" w:type="dxa"/>
          </w:tcPr>
          <w:p w14:paraId="48EBD048" w14:textId="77777777" w:rsidR="00754F37" w:rsidRDefault="00BF4D9D" w:rsidP="003F7EE9">
            <w:pPr>
              <w:spacing w:after="120"/>
              <w:rPr>
                <w:rFonts w:eastAsia="Times New Roman" w:cstheme="minorHAnsi"/>
                <w:bCs/>
                <w:color w:val="000000"/>
                <w:lang w:eastAsia="en-GB"/>
              </w:rPr>
            </w:pPr>
            <w:r>
              <w:rPr>
                <w:rFonts w:eastAsia="Times New Roman" w:cstheme="minorHAnsi"/>
                <w:bCs/>
                <w:color w:val="000000"/>
                <w:lang w:eastAsia="en-GB"/>
              </w:rPr>
              <w:t>I</w:t>
            </w:r>
            <w:r w:rsidR="003F7EE9" w:rsidRPr="003F7EE9">
              <w:rPr>
                <w:rFonts w:eastAsia="Times New Roman" w:cstheme="minorHAnsi"/>
                <w:bCs/>
                <w:color w:val="000000"/>
                <w:lang w:eastAsia="en-GB"/>
              </w:rPr>
              <w:t>f the patients d</w:t>
            </w:r>
            <w:r w:rsidR="00332097">
              <w:rPr>
                <w:rFonts w:eastAsia="Times New Roman" w:cstheme="minorHAnsi"/>
                <w:bCs/>
                <w:color w:val="000000"/>
                <w:lang w:eastAsia="en-GB"/>
              </w:rPr>
              <w:t xml:space="preserve">oes </w:t>
            </w:r>
            <w:r w:rsidR="003F7EE9" w:rsidRPr="003F7EE9">
              <w:rPr>
                <w:rFonts w:eastAsia="Times New Roman" w:cstheme="minorHAnsi"/>
                <w:bCs/>
                <w:color w:val="000000"/>
                <w:lang w:eastAsia="en-GB"/>
              </w:rPr>
              <w:t>not have a documented eGFR</w:t>
            </w:r>
            <w:r>
              <w:rPr>
                <w:rFonts w:eastAsia="Times New Roman" w:cstheme="minorHAnsi"/>
                <w:bCs/>
                <w:color w:val="000000"/>
                <w:lang w:eastAsia="en-GB"/>
              </w:rPr>
              <w:t xml:space="preserve"> in the last 12months</w:t>
            </w:r>
            <w:r w:rsidR="003F7EE9" w:rsidRPr="003F7EE9">
              <w:rPr>
                <w:rFonts w:eastAsia="Times New Roman" w:cstheme="minorHAnsi"/>
                <w:bCs/>
                <w:color w:val="000000"/>
                <w:lang w:eastAsia="en-GB"/>
              </w:rPr>
              <w:t xml:space="preserve">, </w:t>
            </w:r>
            <w:r w:rsidR="00EE6863">
              <w:rPr>
                <w:rFonts w:eastAsia="Times New Roman" w:cstheme="minorHAnsi"/>
                <w:bCs/>
                <w:color w:val="000000"/>
                <w:lang w:eastAsia="en-GB"/>
              </w:rPr>
              <w:t>and there is no other clinical reason to expe</w:t>
            </w:r>
            <w:r w:rsidR="00E54264">
              <w:rPr>
                <w:rFonts w:eastAsia="Times New Roman" w:cstheme="minorHAnsi"/>
                <w:bCs/>
                <w:color w:val="000000"/>
                <w:lang w:eastAsia="en-GB"/>
              </w:rPr>
              <w:t>ct</w:t>
            </w:r>
            <w:r w:rsidR="00644448">
              <w:rPr>
                <w:rFonts w:eastAsia="Times New Roman" w:cstheme="minorHAnsi"/>
                <w:bCs/>
                <w:color w:val="000000"/>
                <w:lang w:eastAsia="en-GB"/>
              </w:rPr>
              <w:t xml:space="preserve"> </w:t>
            </w:r>
            <w:r w:rsidR="0093223F">
              <w:rPr>
                <w:rFonts w:eastAsia="Times New Roman" w:cstheme="minorHAnsi"/>
                <w:bCs/>
                <w:color w:val="000000"/>
                <w:lang w:eastAsia="en-GB"/>
              </w:rPr>
              <w:t>any</w:t>
            </w:r>
            <w:r w:rsidR="00D83FAA">
              <w:rPr>
                <w:rFonts w:eastAsia="Times New Roman" w:cstheme="minorHAnsi"/>
                <w:bCs/>
                <w:color w:val="000000"/>
                <w:lang w:eastAsia="en-GB"/>
              </w:rPr>
              <w:t xml:space="preserve"> serious k</w:t>
            </w:r>
            <w:r w:rsidR="0093223F">
              <w:rPr>
                <w:rFonts w:eastAsia="Times New Roman" w:cstheme="minorHAnsi"/>
                <w:bCs/>
                <w:color w:val="000000"/>
                <w:lang w:eastAsia="en-GB"/>
              </w:rPr>
              <w:t xml:space="preserve">idney dysfunction, </w:t>
            </w:r>
            <w:r w:rsidR="00D83FAA">
              <w:rPr>
                <w:rFonts w:eastAsia="Times New Roman" w:cstheme="minorHAnsi"/>
                <w:bCs/>
                <w:color w:val="000000"/>
                <w:lang w:eastAsia="en-GB"/>
              </w:rPr>
              <w:t xml:space="preserve">then they are eligible to take part in DaRe2THINK. </w:t>
            </w:r>
          </w:p>
          <w:p w14:paraId="07371511" w14:textId="6366CFD5" w:rsidR="003F7EE9" w:rsidRPr="001A4E7F" w:rsidRDefault="0034031B" w:rsidP="003F7EE9">
            <w:pPr>
              <w:spacing w:after="120"/>
              <w:rPr>
                <w:rFonts w:eastAsia="Times New Roman" w:cstheme="minorHAnsi"/>
                <w:bCs/>
                <w:color w:val="000000"/>
                <w:lang w:eastAsia="en-GB"/>
              </w:rPr>
            </w:pPr>
            <w:r>
              <w:rPr>
                <w:rFonts w:eastAsia="Times New Roman" w:cstheme="minorHAnsi"/>
                <w:bCs/>
                <w:color w:val="000000"/>
                <w:lang w:eastAsia="en-GB"/>
              </w:rPr>
              <w:t>I</w:t>
            </w:r>
            <w:r w:rsidRPr="0034031B">
              <w:rPr>
                <w:rFonts w:eastAsia="Times New Roman" w:cstheme="minorHAnsi"/>
                <w:bCs/>
                <w:color w:val="000000"/>
                <w:lang w:eastAsia="en-GB"/>
              </w:rPr>
              <w:t>f the</w:t>
            </w:r>
            <w:r>
              <w:rPr>
                <w:rFonts w:eastAsia="Times New Roman" w:cstheme="minorHAnsi"/>
                <w:bCs/>
                <w:color w:val="000000"/>
                <w:lang w:eastAsia="en-GB"/>
              </w:rPr>
              <w:t xml:space="preserve"> patient</w:t>
            </w:r>
            <w:r w:rsidRPr="0034031B">
              <w:rPr>
                <w:rFonts w:eastAsia="Times New Roman" w:cstheme="minorHAnsi"/>
                <w:bCs/>
                <w:color w:val="000000"/>
                <w:lang w:eastAsia="en-GB"/>
              </w:rPr>
              <w:t xml:space="preserve"> </w:t>
            </w:r>
            <w:r>
              <w:rPr>
                <w:rFonts w:eastAsia="Times New Roman" w:cstheme="minorHAnsi"/>
                <w:bCs/>
                <w:color w:val="000000"/>
                <w:lang w:eastAsia="en-GB"/>
              </w:rPr>
              <w:t>is then</w:t>
            </w:r>
            <w:r w:rsidRPr="0034031B">
              <w:rPr>
                <w:rFonts w:eastAsia="Times New Roman" w:cstheme="minorHAnsi"/>
                <w:bCs/>
                <w:color w:val="000000"/>
                <w:lang w:eastAsia="en-GB"/>
              </w:rPr>
              <w:t xml:space="preserve"> randomised to the treatment arm</w:t>
            </w:r>
            <w:r w:rsidR="00754F37">
              <w:rPr>
                <w:rFonts w:eastAsia="Times New Roman" w:cstheme="minorHAnsi"/>
                <w:bCs/>
                <w:color w:val="000000"/>
                <w:lang w:eastAsia="en-GB"/>
              </w:rPr>
              <w:t xml:space="preserve"> and your normal clinical practice </w:t>
            </w:r>
            <w:r w:rsidR="006757DC">
              <w:rPr>
                <w:rFonts w:eastAsia="Times New Roman" w:cstheme="minorHAnsi"/>
                <w:bCs/>
                <w:color w:val="000000"/>
                <w:lang w:eastAsia="en-GB"/>
              </w:rPr>
              <w:t>is to do a eGFR</w:t>
            </w:r>
            <w:r w:rsidRPr="0034031B">
              <w:rPr>
                <w:rFonts w:eastAsia="Times New Roman" w:cstheme="minorHAnsi"/>
                <w:bCs/>
                <w:color w:val="000000"/>
                <w:lang w:eastAsia="en-GB"/>
              </w:rPr>
              <w:t xml:space="preserve"> </w:t>
            </w:r>
            <w:r w:rsidR="002C2696">
              <w:rPr>
                <w:rFonts w:eastAsia="Times New Roman" w:cstheme="minorHAnsi"/>
                <w:bCs/>
                <w:color w:val="000000"/>
                <w:lang w:eastAsia="en-GB"/>
              </w:rPr>
              <w:t xml:space="preserve">you can complete </w:t>
            </w:r>
            <w:r w:rsidR="006757DC">
              <w:rPr>
                <w:rFonts w:eastAsia="Times New Roman" w:cstheme="minorHAnsi"/>
                <w:bCs/>
                <w:color w:val="000000"/>
                <w:lang w:eastAsia="en-GB"/>
              </w:rPr>
              <w:t>this before issuing the prescription.</w:t>
            </w:r>
          </w:p>
        </w:tc>
      </w:tr>
      <w:tr w:rsidR="0B2B6FDB" w14:paraId="455DEF0A" w14:textId="77777777" w:rsidTr="007702E2">
        <w:trPr>
          <w:trHeight w:val="2108"/>
        </w:trPr>
        <w:tc>
          <w:tcPr>
            <w:tcW w:w="1980" w:type="dxa"/>
          </w:tcPr>
          <w:p w14:paraId="6DBBB6E2" w14:textId="74505FAC" w:rsidR="30AF0FD0" w:rsidRDefault="30AF0FD0" w:rsidP="0B2B6FDB">
            <w:pPr>
              <w:rPr>
                <w:rFonts w:eastAsia="Times New Roman"/>
                <w:color w:val="000000" w:themeColor="text1"/>
                <w:lang w:eastAsia="en-GB"/>
              </w:rPr>
            </w:pPr>
            <w:r w:rsidRPr="0B2B6FDB">
              <w:rPr>
                <w:rFonts w:eastAsia="Times New Roman"/>
                <w:color w:val="000000" w:themeColor="text1"/>
                <w:lang w:eastAsia="en-GB"/>
              </w:rPr>
              <w:t xml:space="preserve">A patient is currently not </w:t>
            </w:r>
            <w:r w:rsidR="312C1194" w:rsidRPr="0B2B6FDB">
              <w:rPr>
                <w:rFonts w:eastAsia="Times New Roman"/>
                <w:color w:val="000000" w:themeColor="text1"/>
                <w:lang w:eastAsia="en-GB"/>
              </w:rPr>
              <w:t>eligible to take part in</w:t>
            </w:r>
            <w:r w:rsidR="7549EA0F" w:rsidRPr="0B2B6FDB">
              <w:rPr>
                <w:rFonts w:eastAsia="Times New Roman"/>
                <w:color w:val="000000" w:themeColor="text1"/>
                <w:lang w:eastAsia="en-GB"/>
              </w:rPr>
              <w:t xml:space="preserve"> </w:t>
            </w:r>
            <w:r w:rsidR="312C1194" w:rsidRPr="0B2B6FDB">
              <w:rPr>
                <w:rFonts w:eastAsia="Times New Roman"/>
                <w:color w:val="000000" w:themeColor="text1"/>
                <w:lang w:eastAsia="en-GB"/>
              </w:rPr>
              <w:t>DaRe2THINK, but they may become eligible later</w:t>
            </w:r>
            <w:r w:rsidR="4597D4B3" w:rsidRPr="0B2B6FDB">
              <w:rPr>
                <w:rFonts w:eastAsia="Times New Roman"/>
                <w:color w:val="000000" w:themeColor="text1"/>
                <w:lang w:eastAsia="en-GB"/>
              </w:rPr>
              <w:t>, should they be rejected</w:t>
            </w:r>
            <w:r w:rsidR="312C1194" w:rsidRPr="0B2B6FDB">
              <w:rPr>
                <w:rFonts w:eastAsia="Times New Roman"/>
                <w:color w:val="000000" w:themeColor="text1"/>
                <w:lang w:eastAsia="en-GB"/>
              </w:rPr>
              <w:t>?</w:t>
            </w:r>
          </w:p>
        </w:tc>
        <w:tc>
          <w:tcPr>
            <w:tcW w:w="7654" w:type="dxa"/>
          </w:tcPr>
          <w:p w14:paraId="7D8A8835" w14:textId="63CCD56F" w:rsidR="312C1194" w:rsidRDefault="312C1194" w:rsidP="0B2B6FDB">
            <w:pPr>
              <w:rPr>
                <w:rFonts w:eastAsia="Times New Roman"/>
                <w:color w:val="000000" w:themeColor="text1"/>
                <w:lang w:eastAsia="en-GB"/>
              </w:rPr>
            </w:pPr>
            <w:r w:rsidRPr="0B2B6FDB">
              <w:rPr>
                <w:rFonts w:eastAsia="Times New Roman"/>
                <w:color w:val="000000" w:themeColor="text1"/>
                <w:lang w:eastAsia="en-GB"/>
              </w:rPr>
              <w:t xml:space="preserve">If you </w:t>
            </w:r>
            <w:r w:rsidR="33E9778F" w:rsidRPr="0B2B6FDB">
              <w:rPr>
                <w:rFonts w:eastAsia="Times New Roman"/>
                <w:color w:val="000000" w:themeColor="text1"/>
                <w:lang w:eastAsia="en-GB"/>
              </w:rPr>
              <w:t>are</w:t>
            </w:r>
            <w:r w:rsidRPr="0B2B6FDB">
              <w:rPr>
                <w:rFonts w:eastAsia="Times New Roman"/>
                <w:color w:val="000000" w:themeColor="text1"/>
                <w:lang w:eastAsia="en-GB"/>
              </w:rPr>
              <w:t xml:space="preserve"> unsure about the eligib</w:t>
            </w:r>
            <w:r w:rsidR="2E07134D" w:rsidRPr="0B2B6FDB">
              <w:rPr>
                <w:rFonts w:eastAsia="Times New Roman"/>
                <w:color w:val="000000" w:themeColor="text1"/>
                <w:lang w:eastAsia="en-GB"/>
              </w:rPr>
              <w:t>il</w:t>
            </w:r>
            <w:r w:rsidRPr="0B2B6FDB">
              <w:rPr>
                <w:rFonts w:eastAsia="Times New Roman"/>
                <w:color w:val="000000" w:themeColor="text1"/>
                <w:lang w:eastAsia="en-GB"/>
              </w:rPr>
              <w:t xml:space="preserve">ity of a patient or </w:t>
            </w:r>
            <w:r w:rsidR="5D9393A3" w:rsidRPr="0B2B6FDB">
              <w:rPr>
                <w:rFonts w:eastAsia="Times New Roman"/>
                <w:color w:val="000000" w:themeColor="text1"/>
                <w:lang w:eastAsia="en-GB"/>
              </w:rPr>
              <w:t>think</w:t>
            </w:r>
            <w:r w:rsidRPr="0B2B6FDB">
              <w:rPr>
                <w:rFonts w:eastAsia="Times New Roman"/>
                <w:color w:val="000000" w:themeColor="text1"/>
                <w:lang w:eastAsia="en-GB"/>
              </w:rPr>
              <w:t xml:space="preserve"> that the patient</w:t>
            </w:r>
            <w:r w:rsidR="4106CDB3" w:rsidRPr="0B2B6FDB">
              <w:rPr>
                <w:rFonts w:eastAsia="Times New Roman"/>
                <w:color w:val="000000" w:themeColor="text1"/>
                <w:lang w:eastAsia="en-GB"/>
              </w:rPr>
              <w:t xml:space="preserve"> </w:t>
            </w:r>
            <w:r w:rsidRPr="0B2B6FDB">
              <w:rPr>
                <w:rFonts w:eastAsia="Times New Roman"/>
                <w:color w:val="000000" w:themeColor="text1"/>
                <w:lang w:eastAsia="en-GB"/>
              </w:rPr>
              <w:t>might become eligible to take part in the future</w:t>
            </w:r>
            <w:r w:rsidR="0A1C9ABE" w:rsidRPr="0B2B6FDB">
              <w:rPr>
                <w:rFonts w:eastAsia="Times New Roman"/>
                <w:color w:val="000000" w:themeColor="text1"/>
                <w:lang w:eastAsia="en-GB"/>
              </w:rPr>
              <w:t xml:space="preserve">, please </w:t>
            </w:r>
            <w:r w:rsidR="0A1C9ABE" w:rsidRPr="0B2B6FDB">
              <w:rPr>
                <w:rFonts w:eastAsia="Times New Roman"/>
                <w:b/>
                <w:bCs/>
                <w:color w:val="000000" w:themeColor="text1"/>
                <w:lang w:eastAsia="en-GB"/>
              </w:rPr>
              <w:t>do not reject</w:t>
            </w:r>
            <w:r w:rsidR="0A1C9ABE" w:rsidRPr="0B2B6FDB">
              <w:rPr>
                <w:rFonts w:eastAsia="Times New Roman"/>
                <w:color w:val="000000" w:themeColor="text1"/>
                <w:lang w:eastAsia="en-GB"/>
              </w:rPr>
              <w:t xml:space="preserve"> this patient</w:t>
            </w:r>
            <w:r w:rsidR="4BFE6B17" w:rsidRPr="0B2B6FDB">
              <w:rPr>
                <w:rFonts w:eastAsia="Times New Roman"/>
                <w:color w:val="000000" w:themeColor="text1"/>
                <w:lang w:eastAsia="en-GB"/>
              </w:rPr>
              <w:t xml:space="preserve"> in you IRSP system. </w:t>
            </w:r>
          </w:p>
          <w:p w14:paraId="33C9D49B" w14:textId="4621872B" w:rsidR="0B2B6FDB" w:rsidRDefault="0B2B6FDB" w:rsidP="0B2B6FDB">
            <w:pPr>
              <w:rPr>
                <w:rFonts w:eastAsia="Times New Roman"/>
                <w:color w:val="000000" w:themeColor="text1"/>
                <w:lang w:eastAsia="en-GB"/>
              </w:rPr>
            </w:pPr>
          </w:p>
          <w:p w14:paraId="471D45C8" w14:textId="3ED3A310" w:rsidR="4BFE6B17" w:rsidRDefault="4BFE6B17" w:rsidP="0B2B6FDB">
            <w:pPr>
              <w:rPr>
                <w:rFonts w:eastAsia="Times New Roman"/>
                <w:color w:val="000000" w:themeColor="text1"/>
                <w:lang w:eastAsia="en-GB"/>
              </w:rPr>
            </w:pPr>
            <w:r w:rsidRPr="0B2B6FDB">
              <w:rPr>
                <w:rFonts w:eastAsia="Times New Roman"/>
                <w:color w:val="000000" w:themeColor="text1"/>
                <w:lang w:eastAsia="en-GB"/>
              </w:rPr>
              <w:t>Once a patient is mark as rejecte</w:t>
            </w:r>
            <w:r w:rsidR="77F3BF3E" w:rsidRPr="0B2B6FDB">
              <w:rPr>
                <w:rFonts w:eastAsia="Times New Roman"/>
                <w:color w:val="000000" w:themeColor="text1"/>
                <w:lang w:eastAsia="en-GB"/>
              </w:rPr>
              <w:t xml:space="preserve">d, they will not be eligible to be </w:t>
            </w:r>
            <w:r w:rsidR="66BB5B22" w:rsidRPr="0B2B6FDB">
              <w:rPr>
                <w:rFonts w:eastAsia="Times New Roman"/>
                <w:color w:val="000000" w:themeColor="text1"/>
                <w:lang w:eastAsia="en-GB"/>
              </w:rPr>
              <w:t>enrolled in DaRe2THINK</w:t>
            </w:r>
            <w:r w:rsidR="77F3BF3E" w:rsidRPr="0B2B6FDB">
              <w:rPr>
                <w:rFonts w:eastAsia="Times New Roman"/>
                <w:color w:val="000000" w:themeColor="text1"/>
                <w:lang w:eastAsia="en-GB"/>
              </w:rPr>
              <w:t xml:space="preserve"> in the future. </w:t>
            </w:r>
            <w:r w:rsidR="00127F59">
              <w:rPr>
                <w:rFonts w:eastAsia="Times New Roman"/>
                <w:color w:val="000000" w:themeColor="text1"/>
                <w:lang w:eastAsia="en-GB"/>
              </w:rPr>
              <w:t xml:space="preserve"> </w:t>
            </w:r>
            <w:r w:rsidR="77F3BF3E" w:rsidRPr="0B2B6FDB">
              <w:rPr>
                <w:rFonts w:eastAsia="Times New Roman"/>
                <w:color w:val="000000" w:themeColor="text1"/>
                <w:lang w:eastAsia="en-GB"/>
              </w:rPr>
              <w:t xml:space="preserve">Please leave the patient as </w:t>
            </w:r>
            <w:r w:rsidR="59C17522" w:rsidRPr="0B2B6FDB">
              <w:rPr>
                <w:rFonts w:eastAsia="Times New Roman"/>
                <w:color w:val="000000" w:themeColor="text1"/>
                <w:lang w:eastAsia="en-GB"/>
              </w:rPr>
              <w:t>p</w:t>
            </w:r>
            <w:r w:rsidR="77F3BF3E" w:rsidRPr="0B2B6FDB">
              <w:rPr>
                <w:rFonts w:eastAsia="Times New Roman"/>
                <w:color w:val="000000" w:themeColor="text1"/>
                <w:lang w:eastAsia="en-GB"/>
              </w:rPr>
              <w:t>re-screened and flag</w:t>
            </w:r>
            <w:r w:rsidR="21C09746" w:rsidRPr="0B2B6FDB">
              <w:rPr>
                <w:rFonts w:eastAsia="Times New Roman"/>
                <w:color w:val="000000" w:themeColor="text1"/>
                <w:lang w:eastAsia="en-GB"/>
              </w:rPr>
              <w:t xml:space="preserve"> them</w:t>
            </w:r>
            <w:r w:rsidR="77F3BF3E" w:rsidRPr="0B2B6FDB">
              <w:rPr>
                <w:rFonts w:eastAsia="Times New Roman"/>
                <w:color w:val="000000" w:themeColor="text1"/>
                <w:lang w:eastAsia="en-GB"/>
              </w:rPr>
              <w:t xml:space="preserve"> for review in the fut</w:t>
            </w:r>
            <w:r w:rsidR="281675F1" w:rsidRPr="0B2B6FDB">
              <w:rPr>
                <w:rFonts w:eastAsia="Times New Roman"/>
                <w:color w:val="000000" w:themeColor="text1"/>
                <w:lang w:eastAsia="en-GB"/>
              </w:rPr>
              <w:t>ure.</w:t>
            </w:r>
          </w:p>
        </w:tc>
      </w:tr>
      <w:tr w:rsidR="00956505" w:rsidRPr="001A4E7F" w14:paraId="43CEDA3D" w14:textId="77777777" w:rsidTr="007702E2">
        <w:trPr>
          <w:trHeight w:val="2108"/>
        </w:trPr>
        <w:tc>
          <w:tcPr>
            <w:tcW w:w="1980" w:type="dxa"/>
          </w:tcPr>
          <w:p w14:paraId="47F894CC" w14:textId="2420927D" w:rsidR="00956505" w:rsidRPr="001A4E7F" w:rsidRDefault="00956505" w:rsidP="00956505">
            <w:pPr>
              <w:spacing w:after="120"/>
              <w:rPr>
                <w:rFonts w:eastAsia="Times New Roman" w:cstheme="minorHAnsi"/>
                <w:color w:val="FFFFFF" w:themeColor="background1"/>
                <w:lang w:eastAsia="en-GB"/>
              </w:rPr>
            </w:pPr>
            <w:r w:rsidRPr="001A4E7F">
              <w:rPr>
                <w:rFonts w:eastAsia="Times New Roman" w:cstheme="minorHAnsi"/>
                <w:color w:val="000000"/>
                <w:lang w:eastAsia="en-GB"/>
              </w:rPr>
              <w:t>What if an invited patient does not want to take part?</w:t>
            </w:r>
          </w:p>
        </w:tc>
        <w:tc>
          <w:tcPr>
            <w:tcW w:w="7654" w:type="dxa"/>
          </w:tcPr>
          <w:p w14:paraId="1BB4C14F" w14:textId="21FEF288"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You may wish to </w:t>
            </w:r>
            <w:r w:rsidRPr="001A4E7F">
              <w:rPr>
                <w:rFonts w:eastAsia="Times New Roman" w:cstheme="minorHAnsi"/>
                <w:b/>
                <w:bCs/>
                <w:color w:val="000000" w:themeColor="text1"/>
                <w:lang w:eastAsia="en-GB"/>
              </w:rPr>
              <w:t>speak the patient by phone</w:t>
            </w:r>
            <w:r w:rsidRPr="001A4E7F">
              <w:rPr>
                <w:rFonts w:eastAsia="Times New Roman" w:cstheme="minorHAnsi"/>
                <w:color w:val="000000" w:themeColor="text1"/>
                <w:lang w:eastAsia="en-GB"/>
              </w:rPr>
              <w:t xml:space="preserve"> to explain the rational for the study (prevention of cognitive decline, strokes and death) and explain the preventive nature of DOAC therapy and its safe use in millions of NHS patients. </w:t>
            </w:r>
          </w:p>
          <w:p w14:paraId="1E29C748" w14:textId="68474B7D" w:rsidR="00956505" w:rsidRPr="001A4E7F" w:rsidRDefault="00956505" w:rsidP="00956505">
            <w:pPr>
              <w:spacing w:after="120"/>
              <w:rPr>
                <w:rFonts w:eastAsia="Times New Roman" w:cstheme="minorHAnsi"/>
                <w:b/>
                <w:bCs/>
                <w:color w:val="FFFFFF" w:themeColor="background1"/>
                <w:lang w:eastAsia="en-GB"/>
              </w:rPr>
            </w:pPr>
            <w:r w:rsidRPr="001A4E7F">
              <w:rPr>
                <w:rFonts w:eastAsia="Times New Roman" w:cstheme="minorHAnsi"/>
                <w:color w:val="000000" w:themeColor="text1"/>
                <w:lang w:eastAsia="en-GB"/>
              </w:rPr>
              <w:t xml:space="preserve">If an invited patient responds to the invite letter and confirms they do not want to take part, please login to the IRSP system and </w:t>
            </w:r>
            <w:r w:rsidRPr="001A4E7F">
              <w:rPr>
                <w:rFonts w:eastAsia="Times New Roman" w:cstheme="minorHAnsi"/>
                <w:b/>
                <w:bCs/>
                <w:color w:val="000000" w:themeColor="text1"/>
                <w:lang w:eastAsia="en-GB"/>
              </w:rPr>
              <w:t>reject that patient</w:t>
            </w:r>
            <w:r w:rsidRPr="001A4E7F">
              <w:rPr>
                <w:rFonts w:eastAsia="Times New Roman" w:cstheme="minorHAnsi"/>
                <w:color w:val="000000" w:themeColor="text1"/>
                <w:lang w:eastAsia="en-GB"/>
              </w:rPr>
              <w:t xml:space="preserve"> from the trial.   You do not need to input any information on the REDCap system.</w:t>
            </w:r>
          </w:p>
        </w:tc>
      </w:tr>
      <w:tr w:rsidR="003779E2" w:rsidRPr="001A4E7F" w14:paraId="0A2A1983" w14:textId="77777777" w:rsidTr="007702E2">
        <w:trPr>
          <w:trHeight w:val="2108"/>
        </w:trPr>
        <w:tc>
          <w:tcPr>
            <w:tcW w:w="1980" w:type="dxa"/>
          </w:tcPr>
          <w:p w14:paraId="3FDD8ACA" w14:textId="6A0A5305" w:rsidR="003779E2" w:rsidRPr="001A4E7F" w:rsidRDefault="003779E2" w:rsidP="00956505">
            <w:pPr>
              <w:spacing w:after="120"/>
              <w:rPr>
                <w:rFonts w:eastAsia="Times New Roman" w:cstheme="minorHAnsi"/>
                <w:color w:val="000000"/>
                <w:lang w:eastAsia="en-GB"/>
              </w:rPr>
            </w:pPr>
            <w:r>
              <w:rPr>
                <w:rFonts w:eastAsia="Times New Roman" w:cstheme="minorHAnsi"/>
                <w:color w:val="000000"/>
                <w:lang w:eastAsia="en-GB"/>
              </w:rPr>
              <w:t>What if we are unable to get in contact with an invited patient?</w:t>
            </w:r>
          </w:p>
        </w:tc>
        <w:tc>
          <w:tcPr>
            <w:tcW w:w="7654" w:type="dxa"/>
          </w:tcPr>
          <w:p w14:paraId="31224126" w14:textId="2020EBDE" w:rsidR="003779E2" w:rsidRPr="001A4E7F" w:rsidRDefault="003779E2" w:rsidP="00956505">
            <w:pPr>
              <w:spacing w:after="120"/>
              <w:rPr>
                <w:rFonts w:eastAsia="Times New Roman" w:cstheme="minorHAnsi"/>
                <w:color w:val="000000" w:themeColor="text1"/>
                <w:lang w:eastAsia="en-GB"/>
              </w:rPr>
            </w:pPr>
            <w:r>
              <w:rPr>
                <w:rFonts w:eastAsia="Times New Roman" w:cstheme="minorHAnsi"/>
                <w:color w:val="000000" w:themeColor="text1"/>
                <w:lang w:eastAsia="en-GB"/>
              </w:rPr>
              <w:t>We recommend that sites follow up the initial invitation with a phone call or text message.</w:t>
            </w:r>
            <w:r w:rsidR="00127F59">
              <w:rPr>
                <w:rFonts w:eastAsia="Times New Roman" w:cstheme="minorHAnsi"/>
                <w:color w:val="000000" w:themeColor="text1"/>
                <w:lang w:eastAsia="en-GB"/>
              </w:rPr>
              <w:t xml:space="preserve"> </w:t>
            </w:r>
            <w:r>
              <w:rPr>
                <w:rFonts w:eastAsia="Times New Roman" w:cstheme="minorHAnsi"/>
                <w:color w:val="000000" w:themeColor="text1"/>
                <w:lang w:eastAsia="en-GB"/>
              </w:rPr>
              <w:t xml:space="preserve"> If patients are still unresponsive </w:t>
            </w:r>
            <w:r w:rsidR="00965556">
              <w:rPr>
                <w:rFonts w:eastAsia="Times New Roman" w:cstheme="minorHAnsi"/>
                <w:color w:val="000000" w:themeColor="text1"/>
                <w:lang w:eastAsia="en-GB"/>
              </w:rPr>
              <w:t xml:space="preserve">we would ask sites to continue to contact patients until every avenue has been exhausted. </w:t>
            </w:r>
            <w:r w:rsidR="00127F59">
              <w:rPr>
                <w:rFonts w:eastAsia="Times New Roman" w:cstheme="minorHAnsi"/>
                <w:color w:val="000000" w:themeColor="text1"/>
                <w:lang w:eastAsia="en-GB"/>
              </w:rPr>
              <w:t xml:space="preserve"> </w:t>
            </w:r>
            <w:r w:rsidR="00965556">
              <w:rPr>
                <w:rFonts w:eastAsia="Times New Roman" w:cstheme="minorHAnsi"/>
                <w:color w:val="000000" w:themeColor="text1"/>
                <w:lang w:eastAsia="en-GB"/>
              </w:rPr>
              <w:t>If the patient is still unresponsive you are able to reject the patient in you IRSP system.</w:t>
            </w:r>
          </w:p>
        </w:tc>
      </w:tr>
      <w:tr w:rsidR="00956505" w:rsidRPr="001A4E7F" w14:paraId="7EC832F2" w14:textId="77777777" w:rsidTr="007702E2">
        <w:trPr>
          <w:trHeight w:val="450"/>
        </w:trPr>
        <w:tc>
          <w:tcPr>
            <w:tcW w:w="1980" w:type="dxa"/>
            <w:vMerge w:val="restart"/>
            <w:hideMark/>
          </w:tcPr>
          <w:p w14:paraId="604CAF10" w14:textId="77777777"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lang w:eastAsia="en-GB"/>
              </w:rPr>
              <w:t>Is the informed consent form in other languages?</w:t>
            </w:r>
          </w:p>
        </w:tc>
        <w:tc>
          <w:tcPr>
            <w:tcW w:w="7654" w:type="dxa"/>
            <w:vMerge w:val="restart"/>
            <w:hideMark/>
          </w:tcPr>
          <w:p w14:paraId="78E4DB91" w14:textId="59611033"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lang w:eastAsia="en-GB"/>
              </w:rPr>
              <w:t xml:space="preserve">No – however you wish to use a translator and there is a field for the patient to record if they have completed the form with the </w:t>
            </w:r>
            <w:r w:rsidRPr="001A4E7F">
              <w:rPr>
                <w:rFonts w:eastAsia="Times New Roman" w:cstheme="minorHAnsi"/>
                <w:b/>
                <w:bCs/>
                <w:color w:val="000000"/>
                <w:lang w:eastAsia="en-GB"/>
              </w:rPr>
              <w:t>assistance of a translator</w:t>
            </w:r>
            <w:r w:rsidRPr="001A4E7F">
              <w:rPr>
                <w:rFonts w:eastAsia="Times New Roman" w:cstheme="minorHAnsi"/>
                <w:color w:val="000000"/>
                <w:lang w:eastAsia="en-GB"/>
              </w:rPr>
              <w:t>.  The electronic patient-reported outcomes that participants receive on their mobile phone every six months are available in a range of languages.</w:t>
            </w:r>
          </w:p>
        </w:tc>
      </w:tr>
      <w:tr w:rsidR="00956505" w:rsidRPr="001A4E7F" w14:paraId="3752E0B6" w14:textId="77777777" w:rsidTr="007702E2">
        <w:trPr>
          <w:trHeight w:val="954"/>
        </w:trPr>
        <w:tc>
          <w:tcPr>
            <w:tcW w:w="1980" w:type="dxa"/>
            <w:vMerge/>
            <w:hideMark/>
          </w:tcPr>
          <w:p w14:paraId="6157760F" w14:textId="77777777" w:rsidR="00956505" w:rsidRPr="001A4E7F" w:rsidRDefault="00956505" w:rsidP="00956505">
            <w:pPr>
              <w:spacing w:after="120"/>
              <w:rPr>
                <w:rFonts w:eastAsia="Times New Roman" w:cstheme="minorHAnsi"/>
                <w:color w:val="000000"/>
                <w:lang w:eastAsia="en-GB"/>
              </w:rPr>
            </w:pPr>
          </w:p>
        </w:tc>
        <w:tc>
          <w:tcPr>
            <w:tcW w:w="7654" w:type="dxa"/>
            <w:vMerge/>
            <w:hideMark/>
          </w:tcPr>
          <w:p w14:paraId="7358F8EF" w14:textId="77777777" w:rsidR="00956505" w:rsidRPr="001A4E7F" w:rsidRDefault="00956505" w:rsidP="00956505">
            <w:pPr>
              <w:spacing w:after="120"/>
              <w:rPr>
                <w:rFonts w:eastAsia="Times New Roman" w:cstheme="minorHAnsi"/>
                <w:color w:val="000000"/>
                <w:lang w:eastAsia="en-GB"/>
              </w:rPr>
            </w:pPr>
          </w:p>
        </w:tc>
      </w:tr>
      <w:tr w:rsidR="00956505" w:rsidRPr="001A4E7F" w14:paraId="429917E6" w14:textId="77777777" w:rsidTr="007702E2">
        <w:trPr>
          <w:trHeight w:val="6593"/>
        </w:trPr>
        <w:tc>
          <w:tcPr>
            <w:tcW w:w="1980" w:type="dxa"/>
            <w:hideMark/>
          </w:tcPr>
          <w:p w14:paraId="69638584" w14:textId="77777777"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lang w:eastAsia="en-GB"/>
              </w:rPr>
              <w:t>Are we limited to one particular DOAC for this trial?</w:t>
            </w:r>
          </w:p>
        </w:tc>
        <w:tc>
          <w:tcPr>
            <w:tcW w:w="7654" w:type="dxa"/>
            <w:hideMark/>
          </w:tcPr>
          <w:p w14:paraId="6E39D399" w14:textId="7771EFEF"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No, investigators can prescribe </w:t>
            </w:r>
            <w:r w:rsidRPr="001A4E7F">
              <w:rPr>
                <w:rFonts w:eastAsia="Times New Roman" w:cstheme="minorHAnsi"/>
                <w:b/>
                <w:bCs/>
                <w:color w:val="000000" w:themeColor="text1"/>
                <w:lang w:eastAsia="en-GB"/>
              </w:rPr>
              <w:t>any</w:t>
            </w:r>
            <w:r w:rsidRPr="001A4E7F">
              <w:rPr>
                <w:rFonts w:eastAsia="Times New Roman" w:cstheme="minorHAnsi"/>
                <w:color w:val="000000" w:themeColor="text1"/>
                <w:lang w:eastAsia="en-GB"/>
              </w:rPr>
              <w:t xml:space="preserve"> one for the 4 currently licensed DOACs for AF: Apixaban, Edoxaban, Dabigatran or Rivaroxaban, depending on local </w:t>
            </w:r>
            <w:r w:rsidR="009E693A">
              <w:rPr>
                <w:rFonts w:eastAsia="Times New Roman" w:cstheme="minorHAnsi"/>
                <w:color w:val="000000" w:themeColor="text1"/>
                <w:lang w:eastAsia="en-GB"/>
              </w:rPr>
              <w:t xml:space="preserve">experience, </w:t>
            </w:r>
            <w:r w:rsidRPr="001A4E7F">
              <w:rPr>
                <w:rFonts w:eastAsia="Times New Roman" w:cstheme="minorHAnsi"/>
                <w:color w:val="000000" w:themeColor="text1"/>
                <w:lang w:eastAsia="en-GB"/>
              </w:rPr>
              <w:t>policies and your CCG guidance.  However, we ask that all patients receive the full licensed dose, with dose reduction only for specific patients (see table below).</w:t>
            </w:r>
          </w:p>
          <w:tbl>
            <w:tblPr>
              <w:tblStyle w:val="TableGrid"/>
              <w:tblW w:w="7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OAC Prescribing Guide"/>
            </w:tblPr>
            <w:tblGrid>
              <w:gridCol w:w="1305"/>
              <w:gridCol w:w="1134"/>
              <w:gridCol w:w="3544"/>
              <w:gridCol w:w="1418"/>
            </w:tblGrid>
            <w:tr w:rsidR="00956505" w:rsidRPr="001A4E7F" w14:paraId="3EF1498A" w14:textId="77777777" w:rsidTr="007702E2">
              <w:trPr>
                <w:tblHeader/>
              </w:trPr>
              <w:tc>
                <w:tcPr>
                  <w:tcW w:w="1305" w:type="dxa"/>
                  <w:shd w:val="clear" w:color="auto" w:fill="EBF0F9"/>
                </w:tcPr>
                <w:p w14:paraId="61B95A57" w14:textId="77777777" w:rsidR="00956505" w:rsidRPr="001A4E7F" w:rsidRDefault="00956505" w:rsidP="00956505">
                  <w:pPr>
                    <w:spacing w:before="60" w:after="60"/>
                    <w:rPr>
                      <w:b/>
                      <w:bCs/>
                      <w:sz w:val="20"/>
                    </w:rPr>
                  </w:pPr>
                  <w:r w:rsidRPr="001A4E7F">
                    <w:rPr>
                      <w:b/>
                      <w:bCs/>
                      <w:sz w:val="20"/>
                    </w:rPr>
                    <w:t>DOAC</w:t>
                  </w:r>
                </w:p>
              </w:tc>
              <w:tc>
                <w:tcPr>
                  <w:tcW w:w="1134" w:type="dxa"/>
                  <w:shd w:val="clear" w:color="auto" w:fill="EBF0F9"/>
                </w:tcPr>
                <w:p w14:paraId="1ECBAE19" w14:textId="7BABBBD9" w:rsidR="00956505" w:rsidRPr="001A4E7F" w:rsidRDefault="00956505" w:rsidP="00956505">
                  <w:pPr>
                    <w:spacing w:before="60" w:after="60"/>
                    <w:rPr>
                      <w:b/>
                      <w:bCs/>
                      <w:sz w:val="20"/>
                    </w:rPr>
                  </w:pPr>
                  <w:r w:rsidRPr="001A4E7F">
                    <w:rPr>
                      <w:b/>
                      <w:bCs/>
                      <w:sz w:val="20"/>
                    </w:rPr>
                    <w:t>Usual dose</w:t>
                  </w:r>
                </w:p>
              </w:tc>
              <w:tc>
                <w:tcPr>
                  <w:tcW w:w="3544" w:type="dxa"/>
                  <w:shd w:val="clear" w:color="auto" w:fill="EBF0F9"/>
                </w:tcPr>
                <w:p w14:paraId="06E2BD8B" w14:textId="77777777" w:rsidR="00956505" w:rsidRPr="001A4E7F" w:rsidRDefault="00956505" w:rsidP="00956505">
                  <w:pPr>
                    <w:spacing w:before="60" w:after="60"/>
                    <w:rPr>
                      <w:b/>
                      <w:bCs/>
                      <w:sz w:val="20"/>
                    </w:rPr>
                  </w:pPr>
                  <w:r w:rsidRPr="001A4E7F">
                    <w:rPr>
                      <w:b/>
                      <w:bCs/>
                      <w:sz w:val="20"/>
                    </w:rPr>
                    <w:t>Reasons for dose reduction</w:t>
                  </w:r>
                </w:p>
              </w:tc>
              <w:tc>
                <w:tcPr>
                  <w:tcW w:w="1418" w:type="dxa"/>
                  <w:shd w:val="clear" w:color="auto" w:fill="D9E2F3" w:themeFill="accent1" w:themeFillTint="33"/>
                </w:tcPr>
                <w:p w14:paraId="438E2369" w14:textId="77777777" w:rsidR="00956505" w:rsidRPr="001A4E7F" w:rsidRDefault="00956505" w:rsidP="00956505">
                  <w:pPr>
                    <w:spacing w:before="60" w:after="60"/>
                    <w:rPr>
                      <w:b/>
                      <w:bCs/>
                      <w:sz w:val="20"/>
                    </w:rPr>
                  </w:pPr>
                  <w:r w:rsidRPr="001A4E7F">
                    <w:rPr>
                      <w:b/>
                      <w:bCs/>
                      <w:sz w:val="20"/>
                    </w:rPr>
                    <w:t>Reduced dose</w:t>
                  </w:r>
                </w:p>
              </w:tc>
            </w:tr>
            <w:tr w:rsidR="00956505" w:rsidRPr="001A4E7F" w14:paraId="24370459" w14:textId="77777777" w:rsidTr="000416FC">
              <w:tc>
                <w:tcPr>
                  <w:tcW w:w="1305" w:type="dxa"/>
                </w:tcPr>
                <w:p w14:paraId="499EF72B" w14:textId="77777777" w:rsidR="00956505" w:rsidRPr="001A4E7F" w:rsidRDefault="00956505" w:rsidP="00956505">
                  <w:pPr>
                    <w:spacing w:before="60" w:after="60"/>
                    <w:rPr>
                      <w:sz w:val="20"/>
                    </w:rPr>
                  </w:pPr>
                  <w:r w:rsidRPr="001A4E7F">
                    <w:rPr>
                      <w:sz w:val="20"/>
                    </w:rPr>
                    <w:t>Apixaban</w:t>
                  </w:r>
                </w:p>
              </w:tc>
              <w:tc>
                <w:tcPr>
                  <w:tcW w:w="1134" w:type="dxa"/>
                </w:tcPr>
                <w:p w14:paraId="727D03C3" w14:textId="77777777" w:rsidR="00956505" w:rsidRPr="001A4E7F" w:rsidRDefault="00956505" w:rsidP="00956505">
                  <w:pPr>
                    <w:spacing w:before="60" w:after="60"/>
                    <w:rPr>
                      <w:sz w:val="20"/>
                    </w:rPr>
                  </w:pPr>
                  <w:r w:rsidRPr="001A4E7F">
                    <w:rPr>
                      <w:sz w:val="20"/>
                    </w:rPr>
                    <w:t>5mg twice daily</w:t>
                  </w:r>
                </w:p>
              </w:tc>
              <w:tc>
                <w:tcPr>
                  <w:tcW w:w="3544" w:type="dxa"/>
                </w:tcPr>
                <w:p w14:paraId="41063332" w14:textId="77777777" w:rsidR="00956505" w:rsidRPr="001A4E7F" w:rsidRDefault="00956505" w:rsidP="00956505">
                  <w:pPr>
                    <w:spacing w:before="60" w:after="60"/>
                    <w:rPr>
                      <w:sz w:val="20"/>
                    </w:rPr>
                  </w:pPr>
                  <w:r w:rsidRPr="001A4E7F">
                    <w:rPr>
                      <w:sz w:val="20"/>
                    </w:rPr>
                    <w:t>Two out of three indications: weight &lt;60kg, age &gt;80 years, serum creatinine &gt;133mmol/L (or estimated creatinine clearance &lt;30mL/min)</w:t>
                  </w:r>
                </w:p>
              </w:tc>
              <w:tc>
                <w:tcPr>
                  <w:tcW w:w="1418" w:type="dxa"/>
                </w:tcPr>
                <w:p w14:paraId="25E6D99C" w14:textId="77777777" w:rsidR="00956505" w:rsidRPr="001A4E7F" w:rsidRDefault="00956505" w:rsidP="00956505">
                  <w:pPr>
                    <w:spacing w:before="60" w:after="60"/>
                    <w:rPr>
                      <w:sz w:val="20"/>
                    </w:rPr>
                  </w:pPr>
                  <w:r w:rsidRPr="001A4E7F">
                    <w:rPr>
                      <w:sz w:val="20"/>
                    </w:rPr>
                    <w:t>2.5mg twice daily</w:t>
                  </w:r>
                </w:p>
              </w:tc>
            </w:tr>
            <w:tr w:rsidR="00956505" w:rsidRPr="001A4E7F" w14:paraId="41C92519" w14:textId="77777777" w:rsidTr="000416FC">
              <w:tc>
                <w:tcPr>
                  <w:tcW w:w="1305" w:type="dxa"/>
                  <w:shd w:val="clear" w:color="auto" w:fill="EBF0F9"/>
                </w:tcPr>
                <w:p w14:paraId="6DAE9987" w14:textId="77777777" w:rsidR="00956505" w:rsidRPr="001A4E7F" w:rsidRDefault="00956505" w:rsidP="00956505">
                  <w:pPr>
                    <w:spacing w:before="60" w:after="60"/>
                    <w:rPr>
                      <w:sz w:val="20"/>
                    </w:rPr>
                  </w:pPr>
                  <w:r w:rsidRPr="001A4E7F">
                    <w:rPr>
                      <w:sz w:val="20"/>
                    </w:rPr>
                    <w:t>Dabigatran</w:t>
                  </w:r>
                </w:p>
              </w:tc>
              <w:tc>
                <w:tcPr>
                  <w:tcW w:w="1134" w:type="dxa"/>
                  <w:shd w:val="clear" w:color="auto" w:fill="EBF0F9"/>
                </w:tcPr>
                <w:p w14:paraId="5E44D005" w14:textId="77777777" w:rsidR="00956505" w:rsidRPr="001A4E7F" w:rsidRDefault="00956505" w:rsidP="00956505">
                  <w:pPr>
                    <w:spacing w:before="60" w:after="60"/>
                    <w:rPr>
                      <w:sz w:val="20"/>
                    </w:rPr>
                  </w:pPr>
                  <w:r w:rsidRPr="001A4E7F">
                    <w:rPr>
                      <w:sz w:val="20"/>
                    </w:rPr>
                    <w:t>150mg twice daily</w:t>
                  </w:r>
                </w:p>
              </w:tc>
              <w:tc>
                <w:tcPr>
                  <w:tcW w:w="3544" w:type="dxa"/>
                  <w:shd w:val="clear" w:color="auto" w:fill="EBF0F9"/>
                </w:tcPr>
                <w:p w14:paraId="10ED32F3" w14:textId="77777777" w:rsidR="00956505" w:rsidRPr="001A4E7F" w:rsidRDefault="00956505" w:rsidP="00956505">
                  <w:pPr>
                    <w:spacing w:before="60" w:after="60"/>
                    <w:rPr>
                      <w:sz w:val="20"/>
                    </w:rPr>
                  </w:pPr>
                  <w:r w:rsidRPr="001A4E7F">
                    <w:rPr>
                      <w:sz w:val="20"/>
                    </w:rPr>
                    <w:t>Patients receiving regular oral verapamil</w:t>
                  </w:r>
                </w:p>
                <w:p w14:paraId="76C853AA" w14:textId="77777777" w:rsidR="00956505" w:rsidRPr="001A4E7F" w:rsidRDefault="00956505" w:rsidP="00956505">
                  <w:pPr>
                    <w:spacing w:before="60" w:after="60"/>
                    <w:rPr>
                      <w:sz w:val="20"/>
                    </w:rPr>
                  </w:pPr>
                  <w:r w:rsidRPr="001A4E7F">
                    <w:rPr>
                      <w:sz w:val="20"/>
                    </w:rPr>
                    <w:t>(Consider dose reduction on an individual basis if estimated creatinine clearance 30-50mL/min, in patients with gastritis, esophagitis or gastroesophageal reflux, and others at increased risk of bleeding)</w:t>
                  </w:r>
                </w:p>
              </w:tc>
              <w:tc>
                <w:tcPr>
                  <w:tcW w:w="1418" w:type="dxa"/>
                </w:tcPr>
                <w:p w14:paraId="7E3E9438" w14:textId="77777777" w:rsidR="00956505" w:rsidRPr="001A4E7F" w:rsidRDefault="00956505" w:rsidP="00956505">
                  <w:pPr>
                    <w:spacing w:before="60" w:after="60"/>
                    <w:rPr>
                      <w:sz w:val="20"/>
                    </w:rPr>
                  </w:pPr>
                  <w:r w:rsidRPr="001A4E7F">
                    <w:rPr>
                      <w:sz w:val="20"/>
                    </w:rPr>
                    <w:t>110mg twice daily</w:t>
                  </w:r>
                </w:p>
              </w:tc>
            </w:tr>
            <w:tr w:rsidR="00956505" w:rsidRPr="001A4E7F" w14:paraId="1DC6204A" w14:textId="77777777" w:rsidTr="000416FC">
              <w:tc>
                <w:tcPr>
                  <w:tcW w:w="1305" w:type="dxa"/>
                </w:tcPr>
                <w:p w14:paraId="5CA11A8E" w14:textId="77777777" w:rsidR="00956505" w:rsidRPr="001A4E7F" w:rsidRDefault="00956505" w:rsidP="00956505">
                  <w:pPr>
                    <w:spacing w:before="60" w:after="60"/>
                    <w:rPr>
                      <w:sz w:val="20"/>
                    </w:rPr>
                  </w:pPr>
                  <w:r w:rsidRPr="001A4E7F">
                    <w:rPr>
                      <w:sz w:val="20"/>
                    </w:rPr>
                    <w:t>Edoxaban</w:t>
                  </w:r>
                </w:p>
              </w:tc>
              <w:tc>
                <w:tcPr>
                  <w:tcW w:w="1134" w:type="dxa"/>
                </w:tcPr>
                <w:p w14:paraId="2B8497B3" w14:textId="77777777" w:rsidR="00956505" w:rsidRPr="001A4E7F" w:rsidRDefault="00956505" w:rsidP="00956505">
                  <w:pPr>
                    <w:spacing w:before="60" w:after="60"/>
                    <w:rPr>
                      <w:sz w:val="20"/>
                    </w:rPr>
                  </w:pPr>
                  <w:r w:rsidRPr="001A4E7F">
                    <w:rPr>
                      <w:sz w:val="20"/>
                    </w:rPr>
                    <w:t>60mg once daily</w:t>
                  </w:r>
                </w:p>
              </w:tc>
              <w:tc>
                <w:tcPr>
                  <w:tcW w:w="3544" w:type="dxa"/>
                </w:tcPr>
                <w:p w14:paraId="18BC66E7" w14:textId="77777777" w:rsidR="00956505" w:rsidRPr="001A4E7F" w:rsidRDefault="00956505" w:rsidP="00956505">
                  <w:pPr>
                    <w:spacing w:before="60" w:after="60"/>
                    <w:rPr>
                      <w:sz w:val="20"/>
                    </w:rPr>
                  </w:pPr>
                  <w:r w:rsidRPr="001A4E7F">
                    <w:rPr>
                      <w:sz w:val="20"/>
                    </w:rPr>
                    <w:t>Any of: weight &lt;60kg, estimated creatinine clearance &lt;50mL/min, or concomitant therapy with potent P-glycoprotein inhibitors</w:t>
                  </w:r>
                </w:p>
              </w:tc>
              <w:tc>
                <w:tcPr>
                  <w:tcW w:w="1418" w:type="dxa"/>
                </w:tcPr>
                <w:p w14:paraId="0EC45A3A" w14:textId="77777777" w:rsidR="00956505" w:rsidRPr="001A4E7F" w:rsidRDefault="00956505" w:rsidP="00956505">
                  <w:pPr>
                    <w:spacing w:before="60" w:after="60"/>
                    <w:rPr>
                      <w:sz w:val="20"/>
                    </w:rPr>
                  </w:pPr>
                  <w:r w:rsidRPr="001A4E7F">
                    <w:rPr>
                      <w:sz w:val="20"/>
                    </w:rPr>
                    <w:t>30mg once daily</w:t>
                  </w:r>
                </w:p>
              </w:tc>
            </w:tr>
            <w:tr w:rsidR="00956505" w:rsidRPr="001A4E7F" w14:paraId="0963B575" w14:textId="77777777" w:rsidTr="000416FC">
              <w:tc>
                <w:tcPr>
                  <w:tcW w:w="1305" w:type="dxa"/>
                  <w:shd w:val="clear" w:color="auto" w:fill="EBF0F9"/>
                </w:tcPr>
                <w:p w14:paraId="54D179B8" w14:textId="77777777" w:rsidR="00956505" w:rsidRPr="001A4E7F" w:rsidRDefault="00956505" w:rsidP="00956505">
                  <w:pPr>
                    <w:spacing w:before="60" w:after="60"/>
                    <w:rPr>
                      <w:sz w:val="20"/>
                    </w:rPr>
                  </w:pPr>
                  <w:r w:rsidRPr="001A4E7F">
                    <w:rPr>
                      <w:sz w:val="20"/>
                    </w:rPr>
                    <w:t>Rivaroxaban</w:t>
                  </w:r>
                </w:p>
              </w:tc>
              <w:tc>
                <w:tcPr>
                  <w:tcW w:w="1134" w:type="dxa"/>
                  <w:shd w:val="clear" w:color="auto" w:fill="EBF0F9"/>
                </w:tcPr>
                <w:p w14:paraId="03376296" w14:textId="77777777" w:rsidR="00956505" w:rsidRPr="001A4E7F" w:rsidRDefault="00956505" w:rsidP="00956505">
                  <w:pPr>
                    <w:spacing w:before="60" w:after="60"/>
                    <w:rPr>
                      <w:sz w:val="20"/>
                    </w:rPr>
                  </w:pPr>
                  <w:r w:rsidRPr="001A4E7F">
                    <w:rPr>
                      <w:sz w:val="20"/>
                    </w:rPr>
                    <w:t>20mg once daily</w:t>
                  </w:r>
                </w:p>
              </w:tc>
              <w:tc>
                <w:tcPr>
                  <w:tcW w:w="3544" w:type="dxa"/>
                  <w:shd w:val="clear" w:color="auto" w:fill="EBF0F9"/>
                </w:tcPr>
                <w:p w14:paraId="7ECDC6B1" w14:textId="77777777" w:rsidR="00956505" w:rsidRPr="001A4E7F" w:rsidRDefault="00956505" w:rsidP="00956505">
                  <w:pPr>
                    <w:spacing w:before="60" w:after="60"/>
                    <w:rPr>
                      <w:sz w:val="20"/>
                    </w:rPr>
                  </w:pPr>
                  <w:r w:rsidRPr="001A4E7F">
                    <w:rPr>
                      <w:sz w:val="20"/>
                    </w:rPr>
                    <w:t>Creatinine clearance &lt;50mL/min</w:t>
                  </w:r>
                </w:p>
              </w:tc>
              <w:tc>
                <w:tcPr>
                  <w:tcW w:w="1418" w:type="dxa"/>
                </w:tcPr>
                <w:p w14:paraId="374C68F8" w14:textId="77777777" w:rsidR="00956505" w:rsidRPr="001A4E7F" w:rsidRDefault="00956505" w:rsidP="00956505">
                  <w:pPr>
                    <w:spacing w:before="60" w:after="60"/>
                    <w:rPr>
                      <w:sz w:val="20"/>
                    </w:rPr>
                  </w:pPr>
                  <w:r w:rsidRPr="001A4E7F">
                    <w:rPr>
                      <w:sz w:val="20"/>
                    </w:rPr>
                    <w:t>15mg once daily</w:t>
                  </w:r>
                </w:p>
              </w:tc>
            </w:tr>
          </w:tbl>
          <w:p w14:paraId="2A05FBC9" w14:textId="1C1FE629" w:rsidR="00956505" w:rsidRPr="001A4E7F" w:rsidRDefault="00956505" w:rsidP="00956505">
            <w:pPr>
              <w:spacing w:after="120"/>
              <w:rPr>
                <w:rFonts w:eastAsia="Times New Roman" w:cstheme="minorHAnsi"/>
                <w:color w:val="000000"/>
                <w:lang w:eastAsia="en-GB"/>
              </w:rPr>
            </w:pPr>
          </w:p>
        </w:tc>
      </w:tr>
      <w:tr w:rsidR="00956505" w:rsidRPr="001A4E7F" w14:paraId="5CACDA08" w14:textId="77777777" w:rsidTr="007702E2">
        <w:trPr>
          <w:trHeight w:val="2959"/>
        </w:trPr>
        <w:tc>
          <w:tcPr>
            <w:tcW w:w="1980" w:type="dxa"/>
          </w:tcPr>
          <w:p w14:paraId="1341FD99" w14:textId="09BC1F6B"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lang w:eastAsia="en-GB"/>
              </w:rPr>
              <w:t>If a patient starts a DOAC in the trial, should I stop their aspirin?</w:t>
            </w:r>
          </w:p>
        </w:tc>
        <w:tc>
          <w:tcPr>
            <w:tcW w:w="7654" w:type="dxa"/>
          </w:tcPr>
          <w:p w14:paraId="65AA9898" w14:textId="2B473018"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Antiplatelet agents </w:t>
            </w:r>
            <w:r w:rsidRPr="001A4E7F">
              <w:rPr>
                <w:rFonts w:eastAsia="Times New Roman" w:cstheme="minorHAnsi"/>
                <w:b/>
                <w:bCs/>
                <w:color w:val="000000" w:themeColor="text1"/>
                <w:lang w:eastAsia="en-GB"/>
              </w:rPr>
              <w:t>should be stopped in most patients</w:t>
            </w:r>
            <w:r w:rsidRPr="001A4E7F">
              <w:rPr>
                <w:rFonts w:eastAsia="Times New Roman" w:cstheme="minorHAnsi"/>
                <w:color w:val="000000" w:themeColor="text1"/>
                <w:lang w:eastAsia="en-GB"/>
              </w:rPr>
              <w:t xml:space="preserve"> when commencing a DOAC, including aspirin, dipyridamole, clopidogrel or prasugrel.  This applies to patients who are taking antiplatelets for primary prevention reasons and those with stable coronary, cerebral or vascular disease, where monotherapy with a DOAC is recommended in patients with AF.  If a patient with prior acute coronary syndrome or percutaneous coronary stenting receives a DOAC, then in most cases antiplatelet therapy should cease at 12 months after the event, and thereafter the patient should receive a DOAC alone.  Cardiologists will have explicitly stated any exceptions to this rule in clinical documentation (for example, patients with unstable complex lesions or plans for further intervention).</w:t>
            </w:r>
          </w:p>
        </w:tc>
      </w:tr>
      <w:tr w:rsidR="00956505" w:rsidRPr="001A4E7F" w14:paraId="5D23F5C5" w14:textId="77777777" w:rsidTr="007702E2">
        <w:trPr>
          <w:trHeight w:val="396"/>
        </w:trPr>
        <w:tc>
          <w:tcPr>
            <w:tcW w:w="1980" w:type="dxa"/>
            <w:hideMark/>
          </w:tcPr>
          <w:p w14:paraId="6144349C" w14:textId="490BC1E2"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lang w:eastAsia="en-GB"/>
              </w:rPr>
              <w:t>Can I prescribe an anticoagulant to a patient in the control arm?</w:t>
            </w:r>
          </w:p>
        </w:tc>
        <w:tc>
          <w:tcPr>
            <w:tcW w:w="7654" w:type="dxa"/>
            <w:hideMark/>
          </w:tcPr>
          <w:p w14:paraId="7E3D74D5" w14:textId="4DE61D11"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DaRe2THINK is a pragmatic, NHS-embedded clinical trial comparing early use of DOAC therapy with standard-of-care.  If your patient develops any indication for anticoagulation in the future (e.g. accumulates 2 or more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 xml:space="preserve">-VASc risk factors) then they can be prescribed an anticoagulant as usual.  Please do not start anticoagulation in patients in the control arm if they do not meet current </w:t>
            </w:r>
            <w:hyperlink r:id="rId15" w:history="1">
              <w:r w:rsidRPr="001A4E7F">
                <w:rPr>
                  <w:rStyle w:val="Hyperlink"/>
                  <w:rFonts w:eastAsia="Times New Roman" w:cstheme="minorHAnsi"/>
                  <w:lang w:eastAsia="en-GB"/>
                </w:rPr>
                <w:t>NICE requirements for AF</w:t>
              </w:r>
            </w:hyperlink>
            <w:r w:rsidRPr="001A4E7F">
              <w:rPr>
                <w:rFonts w:eastAsia="Times New Roman" w:cstheme="minorHAnsi"/>
                <w:color w:val="000000" w:themeColor="text1"/>
                <w:lang w:eastAsia="en-GB"/>
              </w:rPr>
              <w:t>.</w:t>
            </w:r>
          </w:p>
          <w:p w14:paraId="4DB456F1" w14:textId="06215001"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If a patient needs temporary anticoagulation (for example due to a DVT or PE), then they can receive this in the control arm as needed for the duration of their treatment.</w:t>
            </w:r>
          </w:p>
          <w:p w14:paraId="10A3208A" w14:textId="5823700F"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In either case, the patient can stay in the DaRe2THINK trial and </w:t>
            </w:r>
            <w:r w:rsidRPr="001A4E7F">
              <w:rPr>
                <w:rFonts w:eastAsia="Times New Roman" w:cstheme="minorHAnsi"/>
                <w:b/>
                <w:bCs/>
                <w:color w:val="000000" w:themeColor="text1"/>
                <w:lang w:eastAsia="en-GB"/>
              </w:rPr>
              <w:t>does not need to be withdrawn</w:t>
            </w:r>
            <w:r w:rsidRPr="001A4E7F">
              <w:rPr>
                <w:rFonts w:eastAsia="Times New Roman" w:cstheme="minorHAnsi"/>
                <w:color w:val="000000" w:themeColor="text1"/>
                <w:lang w:eastAsia="en-GB"/>
              </w:rPr>
              <w:t>.  We will automatically capture use of anticoagulants through EMIS prescribing.</w:t>
            </w:r>
          </w:p>
        </w:tc>
      </w:tr>
      <w:tr w:rsidR="00956505" w:rsidRPr="001A4E7F" w14:paraId="7533E348" w14:textId="77777777" w:rsidTr="007702E2">
        <w:trPr>
          <w:trHeight w:val="4325"/>
        </w:trPr>
        <w:tc>
          <w:tcPr>
            <w:tcW w:w="1980" w:type="dxa"/>
          </w:tcPr>
          <w:p w14:paraId="02003596" w14:textId="07A6810B"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lang w:eastAsia="en-GB"/>
              </w:rPr>
              <w:t xml:space="preserve">How does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 work for women?</w:t>
            </w:r>
          </w:p>
        </w:tc>
        <w:tc>
          <w:tcPr>
            <w:tcW w:w="7654" w:type="dxa"/>
          </w:tcPr>
          <w:p w14:paraId="31AB8DE1" w14:textId="60A73D1B"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lang w:eastAsia="en-GB"/>
              </w:rPr>
              <w:t xml:space="preserve">For women and men, the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 xml:space="preserve">-VASc score only modestly predicts stroke and </w:t>
            </w:r>
            <w:r w:rsidRPr="001A4E7F">
              <w:rPr>
                <w:rFonts w:eastAsia="Times New Roman" w:cstheme="minorHAnsi"/>
                <w:color w:val="000000"/>
                <w:lang w:eastAsia="en-GB"/>
              </w:rPr>
              <w:t xml:space="preserve">thromboembolism; hence the need for </w:t>
            </w:r>
            <w:r w:rsidRPr="001A4E7F">
              <w:rPr>
                <w:rFonts w:eastAsia="Times New Roman" w:cstheme="minorHAnsi"/>
                <w:color w:val="000000" w:themeColor="text1"/>
                <w:lang w:eastAsia="en-GB"/>
              </w:rPr>
              <w:t>DaRe2THINK to see if we can reduce these events by starting DOACs earlier irrespective of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 xml:space="preserve">-VASc score.  </w:t>
            </w:r>
          </w:p>
          <w:p w14:paraId="37D8EECA" w14:textId="057C113F"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themeColor="text1"/>
                <w:lang w:eastAsia="en-GB"/>
              </w:rPr>
              <w:t>The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 xml:space="preserve">-VASc risk score is particularly difficult to use in women with AF, as female gender </w:t>
            </w:r>
            <w:r w:rsidRPr="001A4E7F">
              <w:rPr>
                <w:rFonts w:eastAsia="Times New Roman" w:cstheme="minorHAnsi"/>
                <w:color w:val="000000"/>
                <w:lang w:eastAsia="en-GB"/>
              </w:rPr>
              <w:t xml:space="preserve">is only associated with an elevated risk of stroke or thromboembolism </w:t>
            </w:r>
            <w:r w:rsidRPr="001A4E7F">
              <w:rPr>
                <w:rFonts w:eastAsia="Times New Roman" w:cstheme="minorHAnsi"/>
                <w:b/>
                <w:bCs/>
                <w:color w:val="000000"/>
                <w:lang w:eastAsia="en-GB"/>
              </w:rPr>
              <w:t>in the presence of other risk factors</w:t>
            </w:r>
            <w:r w:rsidRPr="001A4E7F">
              <w:rPr>
                <w:rFonts w:eastAsia="Times New Roman" w:cstheme="minorHAnsi"/>
                <w:color w:val="000000"/>
                <w:lang w:eastAsia="en-GB"/>
              </w:rPr>
              <w:t>.</w:t>
            </w:r>
          </w:p>
          <w:p w14:paraId="718552D8" w14:textId="006D5B1F"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lang w:eastAsia="en-GB"/>
              </w:rPr>
              <w:t xml:space="preserve">Women with a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 score of 1 (one point only due to their gender) who are aged 60-65 years can be enrolled in DaRe2THINK.</w:t>
            </w:r>
          </w:p>
          <w:p w14:paraId="15119982" w14:textId="04E604CC"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Women with a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 score of 2 (one point for gender and one point for another factor) who are aged 60-65 years can be enrolled in DaRe2THINK if they are not already receiving anticoagulation and are not being considered for anticoagulation for their AF.</w:t>
            </w:r>
          </w:p>
          <w:p w14:paraId="5D14775C" w14:textId="5DA0C70C" w:rsidR="00956505" w:rsidRPr="001A4E7F" w:rsidRDefault="00956505" w:rsidP="00956505">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Women with a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 score of 3 should already be receiving anticoagulation and hence are not eligible for DaRe2THINK.</w:t>
            </w:r>
          </w:p>
        </w:tc>
      </w:tr>
      <w:tr w:rsidR="0B2B6FDB" w14:paraId="2AE2C9D5" w14:textId="77777777" w:rsidTr="007702E2">
        <w:trPr>
          <w:trHeight w:val="1695"/>
        </w:trPr>
        <w:tc>
          <w:tcPr>
            <w:tcW w:w="1980" w:type="dxa"/>
          </w:tcPr>
          <w:p w14:paraId="4111D461" w14:textId="323B1CBC" w:rsidR="1541F0CC" w:rsidRDefault="1541F0CC" w:rsidP="0B2B6FDB">
            <w:pPr>
              <w:rPr>
                <w:rFonts w:eastAsia="Times New Roman"/>
                <w:color w:val="000000" w:themeColor="text1"/>
                <w:lang w:eastAsia="en-GB"/>
              </w:rPr>
            </w:pPr>
            <w:r w:rsidRPr="0B2B6FDB">
              <w:rPr>
                <w:rFonts w:eastAsia="Times New Roman"/>
                <w:color w:val="000000" w:themeColor="text1"/>
                <w:lang w:eastAsia="en-GB"/>
              </w:rPr>
              <w:t>Does</w:t>
            </w:r>
            <w:r w:rsidR="09123340" w:rsidRPr="0B2B6FDB">
              <w:rPr>
                <w:rFonts w:eastAsia="Times New Roman"/>
                <w:color w:val="000000" w:themeColor="text1"/>
                <w:lang w:eastAsia="en-GB"/>
              </w:rPr>
              <w:t xml:space="preserve"> </w:t>
            </w:r>
            <w:r w:rsidR="4F2A9047" w:rsidRPr="0B2B6FDB">
              <w:rPr>
                <w:rFonts w:eastAsia="Times New Roman"/>
                <w:color w:val="000000" w:themeColor="text1"/>
                <w:lang w:eastAsia="en-GB"/>
              </w:rPr>
              <w:t>a history of</w:t>
            </w:r>
            <w:r w:rsidRPr="0B2B6FDB">
              <w:rPr>
                <w:rFonts w:eastAsia="Times New Roman"/>
                <w:color w:val="000000" w:themeColor="text1"/>
                <w:lang w:eastAsia="en-GB"/>
              </w:rPr>
              <w:t xml:space="preserve"> </w:t>
            </w:r>
            <w:r w:rsidR="3A4A13C3" w:rsidRPr="0B2B6FDB">
              <w:rPr>
                <w:rFonts w:eastAsia="Times New Roman"/>
                <w:color w:val="000000" w:themeColor="text1"/>
                <w:lang w:eastAsia="en-GB"/>
              </w:rPr>
              <w:t>G</w:t>
            </w:r>
            <w:r w:rsidRPr="0B2B6FDB">
              <w:rPr>
                <w:rFonts w:eastAsia="Times New Roman"/>
                <w:color w:val="000000" w:themeColor="text1"/>
                <w:lang w:eastAsia="en-GB"/>
              </w:rPr>
              <w:t>estational Diabetes count</w:t>
            </w:r>
            <w:r w:rsidR="36E278FF" w:rsidRPr="0B2B6FDB">
              <w:rPr>
                <w:rFonts w:eastAsia="Times New Roman"/>
                <w:color w:val="000000" w:themeColor="text1"/>
                <w:lang w:eastAsia="en-GB"/>
              </w:rPr>
              <w:t xml:space="preserve"> as a CHA</w:t>
            </w:r>
            <w:r w:rsidR="36E278FF" w:rsidRPr="0B2B6FDB">
              <w:rPr>
                <w:rFonts w:eastAsia="Times New Roman"/>
                <w:color w:val="000000" w:themeColor="text1"/>
                <w:vertAlign w:val="subscript"/>
                <w:lang w:eastAsia="en-GB"/>
              </w:rPr>
              <w:t>2</w:t>
            </w:r>
            <w:r w:rsidR="36E278FF" w:rsidRPr="0B2B6FDB">
              <w:rPr>
                <w:rFonts w:eastAsia="Times New Roman"/>
                <w:color w:val="000000" w:themeColor="text1"/>
                <w:lang w:eastAsia="en-GB"/>
              </w:rPr>
              <w:t>DS</w:t>
            </w:r>
            <w:r w:rsidR="36E278FF" w:rsidRPr="0B2B6FDB">
              <w:rPr>
                <w:rFonts w:eastAsia="Times New Roman"/>
                <w:color w:val="000000" w:themeColor="text1"/>
                <w:vertAlign w:val="subscript"/>
                <w:lang w:eastAsia="en-GB"/>
              </w:rPr>
              <w:t>2</w:t>
            </w:r>
            <w:r w:rsidR="36E278FF" w:rsidRPr="0B2B6FDB">
              <w:rPr>
                <w:rFonts w:eastAsia="Times New Roman"/>
                <w:color w:val="000000" w:themeColor="text1"/>
                <w:lang w:eastAsia="en-GB"/>
              </w:rPr>
              <w:t>-VASc risk factor</w:t>
            </w:r>
            <w:r w:rsidR="7BE1F44E" w:rsidRPr="0B2B6FDB">
              <w:rPr>
                <w:rFonts w:eastAsia="Times New Roman"/>
                <w:color w:val="000000" w:themeColor="text1"/>
                <w:lang w:eastAsia="en-GB"/>
              </w:rPr>
              <w:t>?</w:t>
            </w:r>
          </w:p>
        </w:tc>
        <w:tc>
          <w:tcPr>
            <w:tcW w:w="7654" w:type="dxa"/>
          </w:tcPr>
          <w:p w14:paraId="00EE4E3D" w14:textId="1F98532F" w:rsidR="27098B0A" w:rsidRDefault="27098B0A" w:rsidP="0B2B6FDB">
            <w:pPr>
              <w:spacing w:line="259" w:lineRule="auto"/>
              <w:rPr>
                <w:rFonts w:eastAsia="Times New Roman"/>
                <w:color w:val="000000" w:themeColor="text1"/>
                <w:lang w:eastAsia="en-GB"/>
              </w:rPr>
            </w:pPr>
            <w:r w:rsidRPr="0B2B6FDB">
              <w:rPr>
                <w:rFonts w:eastAsia="Times New Roman"/>
                <w:color w:val="000000" w:themeColor="text1"/>
                <w:lang w:eastAsia="en-GB"/>
              </w:rPr>
              <w:t>An</w:t>
            </w:r>
            <w:r w:rsidR="4D997CB3" w:rsidRPr="0B2B6FDB">
              <w:rPr>
                <w:rFonts w:eastAsia="Times New Roman"/>
                <w:color w:val="000000" w:themeColor="text1"/>
                <w:lang w:eastAsia="en-GB"/>
              </w:rPr>
              <w:t xml:space="preserve"> episode </w:t>
            </w:r>
            <w:r w:rsidR="16B3332E" w:rsidRPr="0B2B6FDB">
              <w:rPr>
                <w:rFonts w:eastAsia="Times New Roman"/>
                <w:color w:val="000000" w:themeColor="text1"/>
                <w:lang w:eastAsia="en-GB"/>
              </w:rPr>
              <w:t>o</w:t>
            </w:r>
            <w:r w:rsidR="4D997CB3" w:rsidRPr="0B2B6FDB">
              <w:rPr>
                <w:rFonts w:eastAsia="Times New Roman"/>
                <w:color w:val="000000" w:themeColor="text1"/>
                <w:lang w:eastAsia="en-GB"/>
              </w:rPr>
              <w:t xml:space="preserve">f Gestational Diabetes in the past should not be taken into account when calculating a </w:t>
            </w:r>
            <w:r w:rsidR="4DB40210" w:rsidRPr="0B2B6FDB">
              <w:rPr>
                <w:rFonts w:eastAsia="Times New Roman"/>
                <w:color w:val="000000" w:themeColor="text1"/>
                <w:lang w:eastAsia="en-GB"/>
              </w:rPr>
              <w:t>patients CHA</w:t>
            </w:r>
            <w:r w:rsidR="4D997CB3" w:rsidRPr="0B2B6FDB">
              <w:rPr>
                <w:rFonts w:eastAsia="Times New Roman"/>
                <w:color w:val="000000" w:themeColor="text1"/>
                <w:vertAlign w:val="subscript"/>
                <w:lang w:eastAsia="en-GB"/>
              </w:rPr>
              <w:t>2</w:t>
            </w:r>
            <w:r w:rsidR="4D997CB3" w:rsidRPr="0B2B6FDB">
              <w:rPr>
                <w:rFonts w:eastAsia="Times New Roman"/>
                <w:color w:val="000000" w:themeColor="text1"/>
                <w:lang w:eastAsia="en-GB"/>
              </w:rPr>
              <w:t>DS</w:t>
            </w:r>
            <w:r w:rsidR="4D997CB3" w:rsidRPr="0B2B6FDB">
              <w:rPr>
                <w:rFonts w:eastAsia="Times New Roman"/>
                <w:color w:val="000000" w:themeColor="text1"/>
                <w:vertAlign w:val="subscript"/>
                <w:lang w:eastAsia="en-GB"/>
              </w:rPr>
              <w:t>2</w:t>
            </w:r>
            <w:r w:rsidR="4D997CB3" w:rsidRPr="0B2B6FDB">
              <w:rPr>
                <w:rFonts w:eastAsia="Times New Roman"/>
                <w:color w:val="000000" w:themeColor="text1"/>
                <w:lang w:eastAsia="en-GB"/>
              </w:rPr>
              <w:t>-VASc</w:t>
            </w:r>
            <w:r w:rsidR="3F8F119E" w:rsidRPr="0B2B6FDB">
              <w:rPr>
                <w:rFonts w:eastAsia="Times New Roman"/>
                <w:color w:val="000000" w:themeColor="text1"/>
                <w:lang w:eastAsia="en-GB"/>
              </w:rPr>
              <w:t xml:space="preserve"> risk score.</w:t>
            </w:r>
          </w:p>
        </w:tc>
      </w:tr>
      <w:tr w:rsidR="00F22852" w:rsidRPr="001A4E7F" w14:paraId="0F2C8F63" w14:textId="77777777" w:rsidTr="007702E2">
        <w:trPr>
          <w:trHeight w:val="3366"/>
        </w:trPr>
        <w:tc>
          <w:tcPr>
            <w:tcW w:w="1980" w:type="dxa"/>
          </w:tcPr>
          <w:p w14:paraId="65380F4A" w14:textId="3FC84AC8" w:rsidR="00F22852" w:rsidRPr="001A4E7F" w:rsidRDefault="00F22852" w:rsidP="00F22852">
            <w:pPr>
              <w:spacing w:after="120"/>
              <w:rPr>
                <w:rFonts w:eastAsia="Times New Roman" w:cstheme="minorHAnsi"/>
                <w:color w:val="000000"/>
                <w:lang w:eastAsia="en-GB"/>
              </w:rPr>
            </w:pPr>
            <w:r w:rsidRPr="001A4E7F">
              <w:rPr>
                <w:rFonts w:eastAsia="Times New Roman" w:cstheme="minorHAnsi"/>
                <w:color w:val="000000"/>
                <w:lang w:eastAsia="en-GB"/>
              </w:rPr>
              <w:t>What happens to participants randomised to DOACs at the end of the study?</w:t>
            </w:r>
          </w:p>
        </w:tc>
        <w:tc>
          <w:tcPr>
            <w:tcW w:w="7654" w:type="dxa"/>
          </w:tcPr>
          <w:p w14:paraId="01E9BD44" w14:textId="77777777" w:rsidR="00F22852" w:rsidRPr="001A4E7F" w:rsidRDefault="00F22852" w:rsidP="00F22852">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In the vast majority of cases, we would expect that DOACs could be continued after the five years of the trial in those patients that wish to do so.  Many participants will have accumulated sufficient risk factors by the end of the study to warrant anticoagulation (including advancing age).  The MHRA indication for DOACs is </w:t>
            </w:r>
            <w:r w:rsidRPr="001A4E7F">
              <w:rPr>
                <w:rFonts w:eastAsia="Times New Roman" w:cstheme="minorHAnsi"/>
                <w:b/>
                <w:bCs/>
                <w:i/>
                <w:iCs/>
                <w:color w:val="000000" w:themeColor="text1"/>
                <w:lang w:eastAsia="en-GB"/>
              </w:rPr>
              <w:t>AF with one or more risk factors</w:t>
            </w:r>
            <w:r w:rsidRPr="001A4E7F">
              <w:rPr>
                <w:rFonts w:eastAsia="Times New Roman" w:cstheme="minorHAnsi"/>
                <w:color w:val="000000" w:themeColor="text1"/>
                <w:lang w:eastAsia="en-GB"/>
              </w:rPr>
              <w:t>, so at the end of the trial a shared decision by the GP and patient on continuing the DOAC should take place, based on the individual clinical circumstances of each patient and the broad range of risk factors (not just those in the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 score).</w:t>
            </w:r>
          </w:p>
          <w:p w14:paraId="32AF6E70" w14:textId="7F0E8EAD" w:rsidR="00F22852" w:rsidRPr="001A4E7F" w:rsidRDefault="00F22852" w:rsidP="00F22852">
            <w:pPr>
              <w:spacing w:after="120"/>
              <w:rPr>
                <w:rFonts w:eastAsia="Times New Roman" w:cstheme="minorHAnsi"/>
                <w:color w:val="000000"/>
                <w:lang w:eastAsia="en-GB"/>
              </w:rPr>
            </w:pPr>
            <w:r w:rsidRPr="001A4E7F">
              <w:rPr>
                <w:rFonts w:eastAsia="Times New Roman" w:cstheme="minorHAnsi"/>
                <w:color w:val="000000" w:themeColor="text1"/>
                <w:lang w:eastAsia="en-GB"/>
              </w:rPr>
              <w:t>It may also be that DaRe2THINK or other studies advise this decision further – we will keep investigators apprised on any major developments in the field through the newsletter.</w:t>
            </w:r>
          </w:p>
        </w:tc>
      </w:tr>
      <w:tr w:rsidR="3DD73798" w14:paraId="3528416D" w14:textId="77777777" w:rsidTr="005F535D">
        <w:trPr>
          <w:trHeight w:val="930"/>
        </w:trPr>
        <w:tc>
          <w:tcPr>
            <w:tcW w:w="1980" w:type="dxa"/>
            <w:shd w:val="clear" w:color="auto" w:fill="auto"/>
          </w:tcPr>
          <w:p w14:paraId="4D694106" w14:textId="318D7BB2" w:rsidR="1F99792F" w:rsidRDefault="1F99792F" w:rsidP="3DD73798">
            <w:pPr>
              <w:rPr>
                <w:rFonts w:eastAsia="Times New Roman"/>
                <w:color w:val="000000" w:themeColor="text1"/>
                <w:lang w:eastAsia="en-GB"/>
              </w:rPr>
            </w:pPr>
            <w:r w:rsidRPr="3DD73798">
              <w:rPr>
                <w:rFonts w:eastAsia="Times New Roman"/>
                <w:color w:val="000000" w:themeColor="text1"/>
                <w:lang w:eastAsia="en-GB"/>
              </w:rPr>
              <w:t xml:space="preserve">Could we have some </w:t>
            </w:r>
            <w:r w:rsidR="00114D16" w:rsidRPr="3DD73798">
              <w:rPr>
                <w:rFonts w:eastAsia="Times New Roman"/>
                <w:color w:val="000000" w:themeColor="text1"/>
                <w:lang w:eastAsia="en-GB"/>
              </w:rPr>
              <w:t>clinical</w:t>
            </w:r>
            <w:r w:rsidRPr="3DD73798">
              <w:rPr>
                <w:rFonts w:eastAsia="Times New Roman"/>
                <w:color w:val="000000" w:themeColor="text1"/>
                <w:lang w:eastAsia="en-GB"/>
              </w:rPr>
              <w:t xml:space="preserve"> guidance to assist with the screening question: ‘Are there any clinical indications for anticoagulation?’</w:t>
            </w:r>
          </w:p>
        </w:tc>
        <w:tc>
          <w:tcPr>
            <w:tcW w:w="7654" w:type="dxa"/>
            <w:shd w:val="clear" w:color="auto" w:fill="auto"/>
          </w:tcPr>
          <w:p w14:paraId="3EE6AB1A" w14:textId="44663777" w:rsidR="166B816A" w:rsidRPr="00424C11" w:rsidRDefault="166B816A">
            <w:pPr>
              <w:rPr>
                <w:rFonts w:cstheme="minorHAnsi"/>
              </w:rPr>
            </w:pPr>
            <w:r w:rsidRPr="005F535D">
              <w:rPr>
                <w:rFonts w:ascii="Arial" w:eastAsia="Times New Roman" w:hAnsi="Arial" w:cstheme="minorHAnsi"/>
                <w:bCs/>
                <w:color w:val="000000" w:themeColor="text1"/>
                <w:sz w:val="24"/>
                <w:szCs w:val="24"/>
              </w:rPr>
              <w:t xml:space="preserve">This includes anything from the BNF indications for DOACs - see here - </w:t>
            </w:r>
            <w:hyperlink r:id="rId16" w:history="1">
              <w:r w:rsidRPr="005F535D">
                <w:rPr>
                  <w:rStyle w:val="Hyperlink"/>
                  <w:rFonts w:ascii="Arial" w:eastAsia="Times New Roman" w:hAnsi="Arial" w:cstheme="minorHAnsi"/>
                  <w:bCs/>
                  <w:sz w:val="24"/>
                  <w:szCs w:val="24"/>
                </w:rPr>
                <w:t>https://bnf.nice.org.uk/drugs/edoxaban/#indications-and-dose</w:t>
              </w:r>
            </w:hyperlink>
            <w:r w:rsidRPr="005F535D">
              <w:rPr>
                <w:rFonts w:ascii="Arial" w:eastAsia="Times New Roman" w:hAnsi="Arial" w:cstheme="minorHAnsi"/>
                <w:bCs/>
                <w:color w:val="000000" w:themeColor="text1"/>
                <w:sz w:val="24"/>
                <w:szCs w:val="24"/>
              </w:rPr>
              <w:t xml:space="preserve"> </w:t>
            </w:r>
          </w:p>
          <w:p w14:paraId="7FE940C8" w14:textId="0B2BD697" w:rsidR="00114D16" w:rsidRPr="005F535D" w:rsidRDefault="166B816A">
            <w:pPr>
              <w:rPr>
                <w:rFonts w:eastAsia="Segoe UI" w:cstheme="minorHAnsi"/>
                <w:b/>
                <w:bCs/>
                <w:color w:val="0E0E0E"/>
                <w:sz w:val="24"/>
                <w:szCs w:val="24"/>
              </w:rPr>
            </w:pPr>
            <w:r w:rsidRPr="005F535D">
              <w:rPr>
                <w:rFonts w:ascii="Arial" w:eastAsia="Times New Roman" w:hAnsi="Arial" w:cstheme="minorHAnsi"/>
                <w:b/>
                <w:bCs/>
                <w:color w:val="000000" w:themeColor="text1"/>
                <w:sz w:val="24"/>
                <w:szCs w:val="24"/>
              </w:rPr>
              <w:t xml:space="preserve">The indications are - </w:t>
            </w:r>
            <w:r w:rsidRPr="005F535D">
              <w:rPr>
                <w:rFonts w:ascii="Arial" w:eastAsia="Segoe UI" w:hAnsi="Arial" w:cstheme="minorHAnsi"/>
                <w:b/>
                <w:bCs/>
                <w:color w:val="0E0E0E"/>
                <w:sz w:val="24"/>
                <w:szCs w:val="24"/>
              </w:rPr>
              <w:t>Prophylaxis of stroke and systemic embolism in non-valvular atrial fibrillation, in patients with at least one risk factor (such as congestive heart failure, hypertension, aged 75 years and over, diabetes mellitus, previous stroke or transient ischaemic attack)</w:t>
            </w:r>
          </w:p>
          <w:p w14:paraId="1BE2024E" w14:textId="03A452ED" w:rsidR="166B816A" w:rsidRDefault="166B816A" w:rsidP="005F535D">
            <w:pPr>
              <w:pStyle w:val="Heading4"/>
              <w:rPr>
                <w:rFonts w:eastAsia="Times New Roman" w:cstheme="minorHAnsi"/>
                <w:color w:val="000000" w:themeColor="text1"/>
                <w:sz w:val="24"/>
                <w:szCs w:val="24"/>
              </w:rPr>
            </w:pPr>
            <w:r w:rsidRPr="005F535D">
              <w:rPr>
                <w:rFonts w:asciiTheme="minorHAnsi" w:eastAsia="Times New Roman" w:hAnsiTheme="minorHAnsi" w:cstheme="minorHAnsi"/>
                <w:i w:val="0"/>
                <w:iCs w:val="0"/>
                <w:color w:val="000000" w:themeColor="text1"/>
                <w:sz w:val="24"/>
                <w:szCs w:val="24"/>
              </w:rPr>
              <w:t xml:space="preserve">Treatment of deep-vein thrombosis, Prophylaxis of recurrent deep-vein thrombosis, Treatment of pulmonary embolism, Prophylaxis of recurrent pulmonary embolism </w:t>
            </w:r>
          </w:p>
          <w:p w14:paraId="3B48841B" w14:textId="77777777" w:rsidR="00114D16" w:rsidRPr="005F535D" w:rsidRDefault="00114D16"/>
          <w:p w14:paraId="3F3328E2" w14:textId="255FA13D" w:rsidR="166B816A" w:rsidRPr="005F535D" w:rsidRDefault="166B816A">
            <w:pPr>
              <w:rPr>
                <w:rFonts w:ascii="Calibri" w:hAnsi="Calibri" w:cs="Calibri"/>
              </w:rPr>
            </w:pPr>
            <w:r w:rsidRPr="005F535D">
              <w:rPr>
                <w:rFonts w:ascii="Arial" w:eastAsia="Times New Roman" w:hAnsi="Arial" w:cstheme="minorHAnsi"/>
                <w:bCs/>
                <w:color w:val="000000" w:themeColor="text1"/>
                <w:sz w:val="24"/>
                <w:szCs w:val="24"/>
              </w:rPr>
              <w:t>Ideally this question is to exclude the likelihood of a patient (albeit unlikely) being invited into the trial and randomised who should already be on it for a compelling reason ( eg CHADsvasc 2 and above or PE/DVT etc)'</w:t>
            </w:r>
          </w:p>
          <w:p w14:paraId="279D591D" w14:textId="0F3BED2C" w:rsidR="3DD73798" w:rsidRPr="005F535D" w:rsidRDefault="3DD73798" w:rsidP="3DD73798">
            <w:pPr>
              <w:rPr>
                <w:rFonts w:ascii="Calibri" w:eastAsia="Times New Roman" w:hAnsi="Calibri" w:cs="Calibri"/>
                <w:color w:val="000000" w:themeColor="text1"/>
                <w:lang w:eastAsia="en-GB"/>
              </w:rPr>
            </w:pPr>
          </w:p>
        </w:tc>
      </w:tr>
      <w:tr w:rsidR="000A1F12" w:rsidRPr="001A4E7F" w14:paraId="6FE512EB" w14:textId="77777777" w:rsidTr="007702E2">
        <w:trPr>
          <w:trHeight w:val="1961"/>
        </w:trPr>
        <w:tc>
          <w:tcPr>
            <w:tcW w:w="1980" w:type="dxa"/>
          </w:tcPr>
          <w:p w14:paraId="341AEDB2" w14:textId="6EB5E9A5" w:rsidR="000A1F12" w:rsidRPr="00C8215A" w:rsidRDefault="003F7032" w:rsidP="003F7032">
            <w:pPr>
              <w:spacing w:after="120"/>
              <w:rPr>
                <w:rFonts w:eastAsia="Times New Roman" w:cstheme="minorHAnsi"/>
                <w:color w:val="000000" w:themeColor="text1"/>
                <w:lang w:eastAsia="en-GB"/>
              </w:rPr>
            </w:pPr>
            <w:r w:rsidRPr="00C8215A">
              <w:rPr>
                <w:rFonts w:eastAsia="Times New Roman" w:cstheme="minorHAnsi"/>
                <w:color w:val="000000" w:themeColor="text1"/>
                <w:lang w:eastAsia="en-GB"/>
              </w:rPr>
              <w:t>Are we required to do any additional blood tests on patients Randomised to a DOAC</w:t>
            </w:r>
            <w:r w:rsidR="000A1F12" w:rsidRPr="00C8215A">
              <w:rPr>
                <w:rFonts w:eastAsia="Times New Roman" w:cstheme="minorHAnsi"/>
                <w:color w:val="000000" w:themeColor="text1"/>
                <w:lang w:eastAsia="en-GB"/>
              </w:rPr>
              <w:t>?</w:t>
            </w:r>
          </w:p>
        </w:tc>
        <w:tc>
          <w:tcPr>
            <w:tcW w:w="7654" w:type="dxa"/>
          </w:tcPr>
          <w:p w14:paraId="081D8788" w14:textId="628EC1B8" w:rsidR="000A1F12" w:rsidRPr="001A4E7F" w:rsidRDefault="003F7032" w:rsidP="003F7032">
            <w:pPr>
              <w:spacing w:after="120"/>
              <w:rPr>
                <w:rFonts w:eastAsia="Times New Roman" w:cstheme="minorHAnsi"/>
                <w:color w:val="000000" w:themeColor="text1"/>
                <w:lang w:eastAsia="en-GB"/>
              </w:rPr>
            </w:pPr>
            <w:r w:rsidRPr="00C8215A">
              <w:rPr>
                <w:rFonts w:eastAsia="Times New Roman" w:cstheme="minorHAnsi"/>
                <w:color w:val="000000" w:themeColor="text1"/>
                <w:lang w:eastAsia="en-GB"/>
              </w:rPr>
              <w:t>DaRe2THINK is a 'pragmatic NHS-embedded' trial, and therefore practices are able to follow their standard management procedures for DOACs and long</w:t>
            </w:r>
            <w:r w:rsidR="005E11B7" w:rsidRPr="00C8215A">
              <w:rPr>
                <w:rFonts w:eastAsia="Times New Roman" w:cstheme="minorHAnsi"/>
                <w:color w:val="000000" w:themeColor="text1"/>
                <w:lang w:eastAsia="en-GB"/>
              </w:rPr>
              <w:t>-</w:t>
            </w:r>
            <w:r w:rsidRPr="00C8215A">
              <w:rPr>
                <w:rFonts w:eastAsia="Times New Roman" w:cstheme="minorHAnsi"/>
                <w:color w:val="000000" w:themeColor="text1"/>
                <w:lang w:eastAsia="en-GB"/>
              </w:rPr>
              <w:t>term conditions.</w:t>
            </w:r>
          </w:p>
        </w:tc>
      </w:tr>
      <w:tr w:rsidR="00F22852" w:rsidRPr="001A4E7F" w14:paraId="15CBD75E" w14:textId="77777777" w:rsidTr="007702E2">
        <w:trPr>
          <w:trHeight w:val="1348"/>
        </w:trPr>
        <w:tc>
          <w:tcPr>
            <w:tcW w:w="1980" w:type="dxa"/>
          </w:tcPr>
          <w:p w14:paraId="60BE6631" w14:textId="77777777" w:rsidR="00F22852" w:rsidRPr="001A4E7F" w:rsidRDefault="00F22852" w:rsidP="003779E2">
            <w:pPr>
              <w:spacing w:after="120"/>
              <w:rPr>
                <w:rFonts w:eastAsia="Times New Roman" w:cstheme="minorHAnsi"/>
                <w:color w:val="000000"/>
                <w:lang w:eastAsia="en-GB"/>
              </w:rPr>
            </w:pPr>
            <w:r w:rsidRPr="001A4E7F">
              <w:rPr>
                <w:rFonts w:eastAsia="Times New Roman" w:cstheme="minorHAnsi"/>
                <w:color w:val="000000"/>
                <w:lang w:eastAsia="en-GB"/>
              </w:rPr>
              <w:t>Can we have one PI looking after multiple sites (for example a PCN)?</w:t>
            </w:r>
          </w:p>
        </w:tc>
        <w:tc>
          <w:tcPr>
            <w:tcW w:w="7654" w:type="dxa"/>
          </w:tcPr>
          <w:p w14:paraId="03635BF7" w14:textId="4B9300DF" w:rsidR="00F22852" w:rsidRPr="001A4E7F" w:rsidRDefault="57FEDBCA" w:rsidP="1455CD89">
            <w:pPr>
              <w:spacing w:after="120"/>
              <w:rPr>
                <w:rFonts w:eastAsia="Times New Roman"/>
                <w:color w:val="000000" w:themeColor="text1"/>
                <w:lang w:eastAsia="en-GB"/>
              </w:rPr>
            </w:pPr>
            <w:r w:rsidRPr="1455CD89">
              <w:rPr>
                <w:rFonts w:eastAsia="Times New Roman"/>
                <w:color w:val="000000" w:themeColor="text1"/>
                <w:lang w:eastAsia="en-GB"/>
              </w:rPr>
              <w:t>Yes</w:t>
            </w:r>
            <w:r w:rsidR="00F22852" w:rsidRPr="1455CD89">
              <w:rPr>
                <w:rFonts w:eastAsia="Times New Roman"/>
                <w:color w:val="000000" w:themeColor="text1"/>
                <w:lang w:eastAsia="en-GB"/>
              </w:rPr>
              <w:t xml:space="preserve"> a</w:t>
            </w:r>
            <w:r w:rsidR="4F645DD0" w:rsidRPr="1455CD89">
              <w:rPr>
                <w:rFonts w:eastAsia="Times New Roman"/>
                <w:color w:val="000000" w:themeColor="text1"/>
                <w:lang w:eastAsia="en-GB"/>
              </w:rPr>
              <w:t xml:space="preserve"> single</w:t>
            </w:r>
            <w:r w:rsidR="00F22852" w:rsidRPr="1455CD89">
              <w:rPr>
                <w:rFonts w:eastAsia="Times New Roman"/>
                <w:color w:val="000000" w:themeColor="text1"/>
                <w:lang w:eastAsia="en-GB"/>
              </w:rPr>
              <w:t xml:space="preserve"> PI </w:t>
            </w:r>
            <w:r w:rsidR="71D0147D" w:rsidRPr="1455CD89">
              <w:rPr>
                <w:rFonts w:eastAsia="Times New Roman"/>
                <w:color w:val="000000" w:themeColor="text1"/>
                <w:lang w:eastAsia="en-GB"/>
              </w:rPr>
              <w:t>can</w:t>
            </w:r>
            <w:r w:rsidR="00F22852" w:rsidRPr="1455CD89">
              <w:rPr>
                <w:rFonts w:eastAsia="Times New Roman"/>
                <w:color w:val="000000" w:themeColor="text1"/>
                <w:lang w:eastAsia="en-GB"/>
              </w:rPr>
              <w:t xml:space="preserve"> be responsible </w:t>
            </w:r>
            <w:r w:rsidR="213879AE" w:rsidRPr="1455CD89">
              <w:rPr>
                <w:rFonts w:eastAsia="Times New Roman"/>
                <w:color w:val="000000" w:themeColor="text1"/>
                <w:lang w:eastAsia="en-GB"/>
              </w:rPr>
              <w:t>multiple</w:t>
            </w:r>
            <w:r w:rsidR="00F22852" w:rsidRPr="1455CD89">
              <w:rPr>
                <w:rFonts w:eastAsia="Times New Roman"/>
                <w:b/>
                <w:bCs/>
                <w:color w:val="000000" w:themeColor="text1"/>
                <w:lang w:eastAsia="en-GB"/>
              </w:rPr>
              <w:t xml:space="preserve"> practice</w:t>
            </w:r>
            <w:r w:rsidR="03F42FF2" w:rsidRPr="1455CD89">
              <w:rPr>
                <w:rFonts w:eastAsia="Times New Roman"/>
                <w:b/>
                <w:bCs/>
                <w:color w:val="000000" w:themeColor="text1"/>
                <w:lang w:eastAsia="en-GB"/>
              </w:rPr>
              <w:t>s</w:t>
            </w:r>
            <w:r w:rsidR="53D8AB0C" w:rsidRPr="1455CD89">
              <w:rPr>
                <w:rFonts w:eastAsia="Times New Roman"/>
                <w:color w:val="000000" w:themeColor="text1"/>
                <w:lang w:eastAsia="en-GB"/>
              </w:rPr>
              <w:t xml:space="preserve"> If this is the case please let the Study team know and they can set this up for you. Please note you will have to identify a Co-investigator aswell.</w:t>
            </w:r>
          </w:p>
        </w:tc>
      </w:tr>
      <w:tr w:rsidR="00956505" w:rsidRPr="001A4E7F" w14:paraId="639DA39C" w14:textId="77777777" w:rsidTr="007702E2">
        <w:trPr>
          <w:trHeight w:val="930"/>
        </w:trPr>
        <w:tc>
          <w:tcPr>
            <w:tcW w:w="1980" w:type="dxa"/>
            <w:hideMark/>
          </w:tcPr>
          <w:p w14:paraId="479863C7" w14:textId="7806AD56" w:rsidR="00956505" w:rsidRPr="001A4E7F" w:rsidRDefault="00956505" w:rsidP="3DD73798">
            <w:pPr>
              <w:spacing w:after="120"/>
              <w:rPr>
                <w:rFonts w:eastAsia="Times New Roman"/>
                <w:color w:val="000000"/>
                <w:lang w:eastAsia="en-GB"/>
              </w:rPr>
            </w:pPr>
            <w:r w:rsidRPr="3DD73798">
              <w:rPr>
                <w:rFonts w:eastAsia="Times New Roman"/>
                <w:color w:val="000000" w:themeColor="text1"/>
                <w:lang w:eastAsia="en-GB"/>
              </w:rPr>
              <w:t>My practice is planning to change software providers. Can I continue to take part?</w:t>
            </w:r>
          </w:p>
        </w:tc>
        <w:tc>
          <w:tcPr>
            <w:tcW w:w="7654" w:type="dxa"/>
            <w:hideMark/>
          </w:tcPr>
          <w:p w14:paraId="3C38A1A2" w14:textId="2246260F" w:rsidR="00956505" w:rsidRPr="001A4E7F" w:rsidRDefault="00956505" w:rsidP="00956505">
            <w:pPr>
              <w:spacing w:after="120"/>
              <w:rPr>
                <w:rFonts w:eastAsia="Times New Roman" w:cstheme="minorHAnsi"/>
                <w:color w:val="000000"/>
                <w:lang w:eastAsia="en-GB"/>
              </w:rPr>
            </w:pPr>
            <w:r w:rsidRPr="001A4E7F">
              <w:rPr>
                <w:rFonts w:eastAsia="Times New Roman" w:cstheme="minorHAnsi"/>
                <w:color w:val="000000"/>
                <w:lang w:eastAsia="en-GB"/>
              </w:rPr>
              <w:t xml:space="preserve">Unfortunately, we may lose the ability to automatically extract data, and this may mean more work for you and your team.  If your practice is planning on changing to Vision or TPP, then </w:t>
            </w:r>
            <w:r w:rsidRPr="001A4E7F">
              <w:rPr>
                <w:rFonts w:eastAsia="Times New Roman" w:cstheme="minorHAnsi"/>
                <w:b/>
                <w:bCs/>
                <w:color w:val="000000"/>
                <w:lang w:eastAsia="en-GB"/>
              </w:rPr>
              <w:t>please contact us</w:t>
            </w:r>
            <w:r w:rsidRPr="001A4E7F">
              <w:rPr>
                <w:rFonts w:eastAsia="Times New Roman" w:cstheme="minorHAnsi"/>
                <w:color w:val="000000"/>
                <w:lang w:eastAsia="en-GB"/>
              </w:rPr>
              <w:t xml:space="preserve"> as soon as possible so we can develop a practice-specific plan.</w:t>
            </w:r>
          </w:p>
        </w:tc>
      </w:tr>
    </w:tbl>
    <w:p w14:paraId="120C4576" w14:textId="77777777" w:rsidR="009B128B" w:rsidRPr="001A4E7F" w:rsidRDefault="009B128B" w:rsidP="00B13DCE">
      <w:pPr>
        <w:spacing w:after="120" w:line="240" w:lineRule="auto"/>
        <w:rPr>
          <w:rFonts w:asciiTheme="minorHAnsi" w:hAnsiTheme="minorHAnsi" w:cstheme="minorHAnsi"/>
          <w:b/>
          <w:bCs/>
          <w:sz w:val="20"/>
          <w:szCs w:val="20"/>
        </w:rPr>
      </w:pPr>
    </w:p>
    <w:p w14:paraId="391DC081" w14:textId="046FD71A" w:rsidR="00117797" w:rsidRPr="007A4F9C" w:rsidRDefault="009B128B" w:rsidP="00B13DCE">
      <w:pPr>
        <w:spacing w:after="120" w:line="240" w:lineRule="auto"/>
        <w:rPr>
          <w:rFonts w:asciiTheme="minorHAnsi" w:hAnsiTheme="minorHAnsi" w:cstheme="minorHAnsi"/>
          <w:b/>
          <w:bCs/>
        </w:rPr>
      </w:pPr>
      <w:r w:rsidRPr="007A4F9C">
        <w:rPr>
          <w:rFonts w:asciiTheme="minorHAnsi" w:hAnsiTheme="minorHAnsi" w:cstheme="minorHAnsi"/>
          <w:b/>
          <w:bCs/>
        </w:rPr>
        <w:t xml:space="preserve">Further </w:t>
      </w:r>
      <w:r w:rsidR="00F22852">
        <w:rPr>
          <w:rFonts w:asciiTheme="minorHAnsi" w:hAnsiTheme="minorHAnsi" w:cstheme="minorHAnsi"/>
          <w:b/>
          <w:bCs/>
        </w:rPr>
        <w:t>h</w:t>
      </w:r>
      <w:r w:rsidR="00086D97" w:rsidRPr="007A4F9C">
        <w:rPr>
          <w:rFonts w:asciiTheme="minorHAnsi" w:hAnsiTheme="minorHAnsi" w:cstheme="minorHAnsi"/>
          <w:b/>
          <w:bCs/>
        </w:rPr>
        <w:t>elpful documents</w:t>
      </w:r>
      <w:r w:rsidRPr="007A4F9C">
        <w:rPr>
          <w:rFonts w:asciiTheme="minorHAnsi" w:hAnsiTheme="minorHAnsi" w:cstheme="minorHAnsi"/>
          <w:b/>
          <w:bCs/>
        </w:rPr>
        <w:t xml:space="preserve"> and where to find them:</w:t>
      </w:r>
    </w:p>
    <w:p w14:paraId="45C8F309" w14:textId="7C2DB9A9" w:rsidR="009B128B" w:rsidRPr="007A4F9C" w:rsidRDefault="009B128B" w:rsidP="00B13DCE">
      <w:pPr>
        <w:spacing w:after="120" w:line="240" w:lineRule="auto"/>
        <w:rPr>
          <w:rFonts w:asciiTheme="minorHAnsi" w:hAnsiTheme="minorHAnsi" w:cstheme="minorHAnsi"/>
        </w:rPr>
      </w:pPr>
      <w:r w:rsidRPr="007A4F9C">
        <w:rPr>
          <w:rFonts w:asciiTheme="minorHAnsi" w:hAnsiTheme="minorHAnsi" w:cstheme="minorHAnsi"/>
        </w:rPr>
        <w:t xml:space="preserve">Protocol – on the </w:t>
      </w:r>
      <w:hyperlink r:id="rId17" w:history="1">
        <w:r w:rsidRPr="007A4F9C">
          <w:rPr>
            <w:rStyle w:val="Hyperlink"/>
            <w:rFonts w:asciiTheme="minorHAnsi" w:hAnsiTheme="minorHAnsi" w:cstheme="minorHAnsi"/>
          </w:rPr>
          <w:t xml:space="preserve">DaRe2THINK </w:t>
        </w:r>
        <w:r w:rsidR="007A4F9C">
          <w:rPr>
            <w:rStyle w:val="Hyperlink"/>
            <w:rFonts w:asciiTheme="minorHAnsi" w:hAnsiTheme="minorHAnsi" w:cstheme="minorHAnsi"/>
          </w:rPr>
          <w:t>w</w:t>
        </w:r>
        <w:r w:rsidRPr="007A4F9C">
          <w:rPr>
            <w:rStyle w:val="Hyperlink"/>
            <w:rFonts w:asciiTheme="minorHAnsi" w:hAnsiTheme="minorHAnsi" w:cstheme="minorHAnsi"/>
          </w:rPr>
          <w:t>ebsite</w:t>
        </w:r>
      </w:hyperlink>
    </w:p>
    <w:p w14:paraId="2B4D7A4F" w14:textId="4E023570" w:rsidR="000E3C88" w:rsidRPr="007A4F9C" w:rsidRDefault="002E55BB" w:rsidP="00B13DCE">
      <w:pPr>
        <w:spacing w:after="120" w:line="240" w:lineRule="auto"/>
        <w:rPr>
          <w:rFonts w:asciiTheme="minorHAnsi" w:hAnsiTheme="minorHAnsi" w:cstheme="minorHAnsi"/>
        </w:rPr>
      </w:pPr>
      <w:r w:rsidRPr="007A4F9C">
        <w:rPr>
          <w:rFonts w:asciiTheme="minorHAnsi" w:hAnsiTheme="minorHAnsi" w:cstheme="minorHAnsi"/>
        </w:rPr>
        <w:t xml:space="preserve">Protocol training – on </w:t>
      </w:r>
      <w:hyperlink r:id="rId18" w:history="1">
        <w:r w:rsidRPr="007A4F9C">
          <w:rPr>
            <w:rStyle w:val="Hyperlink"/>
            <w:rFonts w:asciiTheme="minorHAnsi" w:hAnsiTheme="minorHAnsi" w:cstheme="minorHAnsi"/>
          </w:rPr>
          <w:t>IRSP</w:t>
        </w:r>
      </w:hyperlink>
    </w:p>
    <w:p w14:paraId="470D6032" w14:textId="51EC78A3" w:rsidR="002E55BB" w:rsidRPr="007A4F9C" w:rsidRDefault="002E55BB" w:rsidP="00B13DCE">
      <w:pPr>
        <w:spacing w:after="120" w:line="240" w:lineRule="auto"/>
        <w:rPr>
          <w:rFonts w:asciiTheme="minorHAnsi" w:hAnsiTheme="minorHAnsi" w:cstheme="minorHAnsi"/>
        </w:rPr>
      </w:pPr>
      <w:r w:rsidRPr="007A4F9C">
        <w:rPr>
          <w:rFonts w:asciiTheme="minorHAnsi" w:hAnsiTheme="minorHAnsi" w:cstheme="minorHAnsi"/>
        </w:rPr>
        <w:t xml:space="preserve">REDCap Instructions – on </w:t>
      </w:r>
      <w:hyperlink r:id="rId19" w:history="1">
        <w:r w:rsidRPr="007A4F9C">
          <w:rPr>
            <w:rStyle w:val="Hyperlink"/>
            <w:rFonts w:asciiTheme="minorHAnsi" w:hAnsiTheme="minorHAnsi" w:cstheme="minorHAnsi"/>
          </w:rPr>
          <w:t>IRSP</w:t>
        </w:r>
      </w:hyperlink>
    </w:p>
    <w:p w14:paraId="780C5965" w14:textId="1922256B" w:rsidR="002E55BB" w:rsidRPr="007A4F9C" w:rsidRDefault="00903874" w:rsidP="00B13DCE">
      <w:pPr>
        <w:spacing w:after="120" w:line="240" w:lineRule="auto"/>
        <w:rPr>
          <w:rFonts w:asciiTheme="minorHAnsi" w:hAnsiTheme="minorHAnsi" w:cstheme="minorHAnsi"/>
        </w:rPr>
      </w:pPr>
      <w:r w:rsidRPr="007A4F9C">
        <w:rPr>
          <w:rFonts w:asciiTheme="minorHAnsi" w:hAnsiTheme="minorHAnsi" w:cstheme="minorHAnsi"/>
        </w:rPr>
        <w:t xml:space="preserve">IRSP Instructions – on </w:t>
      </w:r>
      <w:hyperlink r:id="rId20" w:history="1">
        <w:r w:rsidRPr="007A4F9C">
          <w:rPr>
            <w:rStyle w:val="Hyperlink"/>
            <w:rFonts w:asciiTheme="minorHAnsi" w:hAnsiTheme="minorHAnsi" w:cstheme="minorHAnsi"/>
          </w:rPr>
          <w:t>IRSP</w:t>
        </w:r>
      </w:hyperlink>
    </w:p>
    <w:p w14:paraId="3B90FC8E" w14:textId="0BC9CBDF" w:rsidR="00903874" w:rsidRPr="007A4F9C" w:rsidRDefault="002F5C66" w:rsidP="00B13DCE">
      <w:pPr>
        <w:spacing w:after="120" w:line="240" w:lineRule="auto"/>
        <w:rPr>
          <w:rFonts w:asciiTheme="minorHAnsi" w:hAnsiTheme="minorHAnsi" w:cstheme="minorHAnsi"/>
        </w:rPr>
      </w:pPr>
      <w:r w:rsidRPr="007A4F9C">
        <w:rPr>
          <w:rFonts w:asciiTheme="minorHAnsi" w:hAnsiTheme="minorHAnsi" w:cstheme="minorHAnsi"/>
        </w:rPr>
        <w:t xml:space="preserve">Paper consent &amp; SAE forms – in </w:t>
      </w:r>
      <w:r w:rsidR="007A4F9C">
        <w:rPr>
          <w:rFonts w:asciiTheme="minorHAnsi" w:hAnsiTheme="minorHAnsi" w:cstheme="minorHAnsi"/>
        </w:rPr>
        <w:t>your site file</w:t>
      </w:r>
    </w:p>
    <w:p w14:paraId="233A1263" w14:textId="37A6B706" w:rsidR="0066125C" w:rsidRPr="007A4F9C" w:rsidRDefault="007A4F9C" w:rsidP="00B13DCE">
      <w:pPr>
        <w:spacing w:after="120" w:line="240" w:lineRule="auto"/>
        <w:rPr>
          <w:rFonts w:asciiTheme="minorHAnsi" w:hAnsiTheme="minorHAnsi" w:cstheme="minorHAnsi"/>
        </w:rPr>
      </w:pPr>
      <w:r>
        <w:rPr>
          <w:rFonts w:asciiTheme="minorHAnsi" w:hAnsiTheme="minorHAnsi" w:cstheme="minorHAnsi"/>
        </w:rPr>
        <w:t>DaRe2THINK</w:t>
      </w:r>
      <w:r w:rsidR="00707B4B" w:rsidRPr="007A4F9C">
        <w:rPr>
          <w:rFonts w:asciiTheme="minorHAnsi" w:hAnsiTheme="minorHAnsi" w:cstheme="minorHAnsi"/>
        </w:rPr>
        <w:t xml:space="preserve"> EMIS protocol – on </w:t>
      </w:r>
      <w:hyperlink r:id="rId21" w:history="1">
        <w:r w:rsidR="000746A0" w:rsidRPr="007A4F9C">
          <w:rPr>
            <w:rStyle w:val="Hyperlink"/>
            <w:rFonts w:asciiTheme="minorHAnsi" w:hAnsiTheme="minorHAnsi" w:cstheme="minorHAnsi"/>
          </w:rPr>
          <w:t>EMIS Now</w:t>
        </w:r>
      </w:hyperlink>
    </w:p>
    <w:sectPr w:rsidR="0066125C" w:rsidRPr="007A4F9C" w:rsidSect="00501218">
      <w:headerReference w:type="default" r:id="rId2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89A7" w16cex:dateUtc="2021-08-09T10: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BD6D5" w14:textId="77777777" w:rsidR="003F7032" w:rsidRDefault="003F7032" w:rsidP="002A0C25">
      <w:pPr>
        <w:spacing w:after="0" w:line="240" w:lineRule="auto"/>
      </w:pPr>
      <w:r>
        <w:separator/>
      </w:r>
    </w:p>
  </w:endnote>
  <w:endnote w:type="continuationSeparator" w:id="0">
    <w:p w14:paraId="04BF5B0B" w14:textId="77777777" w:rsidR="003F7032" w:rsidRDefault="003F7032" w:rsidP="002A0C25">
      <w:pPr>
        <w:spacing w:after="0" w:line="240" w:lineRule="auto"/>
      </w:pPr>
      <w:r>
        <w:continuationSeparator/>
      </w:r>
    </w:p>
  </w:endnote>
  <w:endnote w:type="continuationNotice" w:id="1">
    <w:p w14:paraId="764C17E0" w14:textId="77777777" w:rsidR="003F7032" w:rsidRDefault="003F7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B5B83" w14:textId="77777777" w:rsidR="003F7032" w:rsidRDefault="003F7032" w:rsidP="002A0C25">
      <w:pPr>
        <w:spacing w:after="0" w:line="240" w:lineRule="auto"/>
      </w:pPr>
      <w:r>
        <w:separator/>
      </w:r>
    </w:p>
  </w:footnote>
  <w:footnote w:type="continuationSeparator" w:id="0">
    <w:p w14:paraId="290DE9E3" w14:textId="77777777" w:rsidR="003F7032" w:rsidRDefault="003F7032" w:rsidP="002A0C25">
      <w:pPr>
        <w:spacing w:after="0" w:line="240" w:lineRule="auto"/>
      </w:pPr>
      <w:r>
        <w:continuationSeparator/>
      </w:r>
    </w:p>
  </w:footnote>
  <w:footnote w:type="continuationNotice" w:id="1">
    <w:p w14:paraId="46D64696" w14:textId="77777777" w:rsidR="003F7032" w:rsidRDefault="003F7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B87F7" w14:textId="770024A8" w:rsidR="003F7032" w:rsidRPr="00501218" w:rsidRDefault="003F7032" w:rsidP="00501218">
    <w:pPr>
      <w:shd w:val="clear" w:color="auto" w:fill="DBE5F1"/>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40" w:lineRule="auto"/>
      <w:rPr>
        <w:rFonts w:asciiTheme="minorHAnsi" w:eastAsia="MS PGothic" w:hAnsiTheme="minorHAnsi" w:cstheme="minorHAnsi"/>
        <w:b/>
        <w:bCs/>
        <w:szCs w:val="24"/>
      </w:rPr>
    </w:pPr>
    <w:r w:rsidRPr="002A0C25">
      <w:rPr>
        <w:rFonts w:eastAsia="MS PGothic" w:cs="Arial"/>
        <w:noProof/>
        <w:color w:val="2B579A"/>
        <w:szCs w:val="24"/>
        <w:shd w:val="clear" w:color="auto" w:fill="E6E6E6"/>
        <w:lang w:eastAsia="en-GB"/>
      </w:rPr>
      <w:drawing>
        <wp:inline distT="0" distB="0" distL="0" distR="0" wp14:anchorId="43AB059D" wp14:editId="379E901B">
          <wp:extent cx="2355215" cy="706755"/>
          <wp:effectExtent l="0" t="0" r="6985" b="0"/>
          <wp:docPr id="5" name="Picture 5"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person&#10;&#10;Description automatically generated"/>
                  <pic:cNvPicPr/>
                </pic:nvPicPr>
                <pic:blipFill rotWithShape="1">
                  <a:blip r:embed="rId1" cstate="print">
                    <a:extLst>
                      <a:ext uri="{28A0092B-C50C-407E-A947-70E740481C1C}">
                        <a14:useLocalDpi xmlns:a14="http://schemas.microsoft.com/office/drawing/2010/main" val="0"/>
                      </a:ext>
                    </a:extLst>
                  </a:blip>
                  <a:srcRect t="16734"/>
                  <a:stretch/>
                </pic:blipFill>
                <pic:spPr bwMode="auto">
                  <a:xfrm>
                    <a:off x="0" y="0"/>
                    <a:ext cx="2355215" cy="706755"/>
                  </a:xfrm>
                  <a:prstGeom prst="rect">
                    <a:avLst/>
                  </a:prstGeom>
                  <a:ln>
                    <a:noFill/>
                  </a:ln>
                  <a:extLst>
                    <a:ext uri="{53640926-AAD7-44D8-BBD7-CCE9431645EC}">
                      <a14:shadowObscured xmlns:a14="http://schemas.microsoft.com/office/drawing/2010/main"/>
                    </a:ext>
                  </a:extLst>
                </pic:spPr>
              </pic:pic>
            </a:graphicData>
          </a:graphic>
        </wp:inline>
      </w:drawing>
    </w:r>
    <w:r w:rsidRPr="002A0C25">
      <w:rPr>
        <w:rFonts w:eastAsia="MS PGothic" w:cs="Arial"/>
        <w:szCs w:val="24"/>
      </w:rPr>
      <w:t xml:space="preserve">   </w:t>
    </w:r>
    <w:r w:rsidRPr="00501218">
      <w:rPr>
        <w:rFonts w:asciiTheme="minorHAnsi" w:eastAsia="MS PGothic" w:hAnsiTheme="minorHAnsi" w:cstheme="minorHAnsi"/>
        <w:b/>
        <w:bCs/>
        <w:sz w:val="32"/>
        <w:szCs w:val="36"/>
      </w:rPr>
      <w:t>Frequently Asked Questions</w:t>
    </w:r>
  </w:p>
  <w:p w14:paraId="7D1BF90D" w14:textId="698FBD47" w:rsidR="003F7032" w:rsidRPr="00E80813" w:rsidRDefault="003F7032" w:rsidP="00E80813">
    <w:pPr>
      <w:tabs>
        <w:tab w:val="center" w:pos="4513"/>
        <w:tab w:val="right" w:pos="9026"/>
      </w:tabs>
      <w:spacing w:after="0" w:line="240" w:lineRule="auto"/>
      <w:jc w:val="right"/>
      <w:rPr>
        <w:rFonts w:asciiTheme="minorHAnsi" w:eastAsiaTheme="minorEastAsia" w:hAnsiTheme="minorHAnsi" w:cstheme="minorHAnsi"/>
        <w:sz w:val="18"/>
        <w:lang w:val="en-US"/>
      </w:rPr>
    </w:pPr>
    <w:r>
      <w:rPr>
        <w:rFonts w:asciiTheme="minorHAnsi" w:eastAsiaTheme="minorEastAsia" w:hAnsiTheme="minorHAnsi" w:cstheme="minorHAnsi"/>
        <w:sz w:val="18"/>
        <w:lang w:val="en-US"/>
      </w:rPr>
      <w:t xml:space="preserve">Updated </w:t>
    </w:r>
    <w:r w:rsidR="00114D16">
      <w:rPr>
        <w:rFonts w:asciiTheme="minorHAnsi" w:eastAsiaTheme="minorEastAsia" w:hAnsiTheme="minorHAnsi" w:cstheme="minorHAnsi"/>
        <w:sz w:val="18"/>
        <w:lang w:val="en-US"/>
      </w:rPr>
      <w:t>November 2022</w:t>
    </w:r>
    <w:r>
      <w:rPr>
        <w:rFonts w:asciiTheme="minorHAnsi" w:eastAsiaTheme="minorEastAsia" w:hAnsiTheme="minorHAnsi" w:cstheme="minorHAnsi"/>
        <w:sz w:val="18"/>
        <w:lang w:val="en-US"/>
      </w:rPr>
      <w:t xml:space="preserve">    </w:t>
    </w:r>
    <w:r w:rsidRPr="00964C11">
      <w:rPr>
        <w:rFonts w:asciiTheme="minorHAnsi" w:eastAsiaTheme="minorEastAsia" w:hAnsiTheme="minorHAnsi" w:cstheme="minorHAnsi"/>
        <w:sz w:val="18"/>
        <w:lang w:val="en-US"/>
      </w:rPr>
      <w:t xml:space="preserve">Page </w:t>
    </w:r>
    <w:r>
      <w:rPr>
        <w:rFonts w:asciiTheme="minorHAnsi" w:eastAsiaTheme="minorEastAsia" w:hAnsiTheme="minorHAnsi" w:cstheme="minorHAnsi"/>
        <w:sz w:val="18"/>
        <w:lang w:val="en-US"/>
      </w:rPr>
      <w:fldChar w:fldCharType="begin"/>
    </w:r>
    <w:r>
      <w:rPr>
        <w:rFonts w:asciiTheme="minorHAnsi" w:eastAsiaTheme="minorEastAsia" w:hAnsiTheme="minorHAnsi" w:cstheme="minorHAnsi"/>
        <w:sz w:val="18"/>
        <w:lang w:val="en-US"/>
      </w:rPr>
      <w:instrText xml:space="preserve"> PAGE   \* MERGEFORMAT </w:instrText>
    </w:r>
    <w:r>
      <w:rPr>
        <w:rFonts w:asciiTheme="minorHAnsi" w:eastAsiaTheme="minorEastAsia" w:hAnsiTheme="minorHAnsi" w:cstheme="minorHAnsi"/>
        <w:sz w:val="18"/>
        <w:lang w:val="en-US"/>
      </w:rPr>
      <w:fldChar w:fldCharType="separate"/>
    </w:r>
    <w:r w:rsidR="005F535D">
      <w:rPr>
        <w:rFonts w:asciiTheme="minorHAnsi" w:eastAsiaTheme="minorEastAsia" w:hAnsiTheme="minorHAnsi" w:cstheme="minorHAnsi"/>
        <w:noProof/>
        <w:sz w:val="18"/>
        <w:lang w:val="en-US"/>
      </w:rPr>
      <w:t>1</w:t>
    </w:r>
    <w:r>
      <w:rPr>
        <w:rFonts w:asciiTheme="minorHAnsi" w:eastAsiaTheme="minorEastAsia" w:hAnsiTheme="minorHAnsi" w:cstheme="minorHAnsi"/>
        <w:sz w:val="18"/>
        <w:lang w:val="en-US"/>
      </w:rPr>
      <w:fldChar w:fldCharType="end"/>
    </w:r>
    <w:r w:rsidRPr="00964C11">
      <w:rPr>
        <w:rFonts w:asciiTheme="minorHAnsi" w:eastAsiaTheme="minorEastAsia" w:hAnsiTheme="minorHAnsi" w:cstheme="minorHAnsi"/>
        <w:sz w:val="18"/>
        <w:lang w:val="en-US"/>
      </w:rPr>
      <w:t xml:space="preserve"> of </w:t>
    </w:r>
    <w:r>
      <w:rPr>
        <w:rFonts w:asciiTheme="minorHAnsi" w:eastAsiaTheme="minorEastAsia" w:hAnsiTheme="minorHAnsi" w:cstheme="minorHAnsi"/>
        <w:sz w:val="18"/>
        <w:lang w:val="en-US"/>
      </w:rPr>
      <w:fldChar w:fldCharType="begin"/>
    </w:r>
    <w:r>
      <w:rPr>
        <w:rFonts w:asciiTheme="minorHAnsi" w:eastAsiaTheme="minorEastAsia" w:hAnsiTheme="minorHAnsi" w:cstheme="minorHAnsi"/>
        <w:sz w:val="18"/>
        <w:lang w:val="en-US"/>
      </w:rPr>
      <w:instrText xml:space="preserve"> NUMPAGES   \* MERGEFORMAT </w:instrText>
    </w:r>
    <w:r>
      <w:rPr>
        <w:rFonts w:asciiTheme="minorHAnsi" w:eastAsiaTheme="minorEastAsia" w:hAnsiTheme="minorHAnsi" w:cstheme="minorHAnsi"/>
        <w:sz w:val="18"/>
        <w:lang w:val="en-US"/>
      </w:rPr>
      <w:fldChar w:fldCharType="separate"/>
    </w:r>
    <w:r w:rsidR="005F535D">
      <w:rPr>
        <w:rFonts w:asciiTheme="minorHAnsi" w:eastAsiaTheme="minorEastAsia" w:hAnsiTheme="minorHAnsi" w:cstheme="minorHAnsi"/>
        <w:noProof/>
        <w:sz w:val="18"/>
        <w:lang w:val="en-US"/>
      </w:rPr>
      <w:t>7</w:t>
    </w:r>
    <w:r>
      <w:rPr>
        <w:rFonts w:asciiTheme="minorHAnsi" w:eastAsiaTheme="minorEastAsia" w:hAnsiTheme="minorHAnsi" w:cstheme="minorHAnsi"/>
        <w:sz w:val="18"/>
        <w:lang w:val="en-US"/>
      </w:rPr>
      <w:fldChar w:fldCharType="end"/>
    </w:r>
    <w:r w:rsidRPr="00964C11">
      <w:rPr>
        <w:rFonts w:asciiTheme="minorHAnsi" w:eastAsiaTheme="minorEastAsia" w:hAnsiTheme="minorHAnsi" w:cstheme="minorHAnsi"/>
        <w:sz w:val="18"/>
        <w:lang w:val="en-US"/>
      </w:rPr>
      <w:t xml:space="preserve">   IRAS ID: 290420</w:t>
    </w:r>
    <w:r>
      <w:rPr>
        <w:rFonts w:asciiTheme="minorHAnsi" w:eastAsiaTheme="minorEastAsia" w:hAnsiTheme="minorHAnsi" w:cstheme="minorHAnsi"/>
        <w:sz w:val="18"/>
        <w:lang w:val="en-US"/>
      </w:rPr>
      <w:t>;</w:t>
    </w:r>
    <w:r w:rsidRPr="00964C11">
      <w:rPr>
        <w:rFonts w:asciiTheme="minorHAnsi" w:eastAsiaTheme="minorEastAsia" w:hAnsiTheme="minorHAnsi" w:cstheme="minorHAnsi"/>
        <w:sz w:val="18"/>
        <w:lang w:val="en-US"/>
      </w:rPr>
      <w:t xml:space="preserve"> EudraCT: 2020-005774-10</w:t>
    </w:r>
    <w:r>
      <w:rPr>
        <w:rFonts w:asciiTheme="minorHAnsi" w:eastAsiaTheme="minorEastAsia" w:hAnsiTheme="minorHAnsi" w:cstheme="minorHAnsi"/>
        <w:sz w:val="18"/>
        <w:lang w:val="en-US"/>
      </w:rPr>
      <w:t xml:space="preserve"> </w:t>
    </w:r>
  </w:p>
  <w:p w14:paraId="352E5E56" w14:textId="77777777" w:rsidR="003F7032" w:rsidRPr="002A0C25" w:rsidRDefault="003F7032" w:rsidP="002A0C25">
    <w:pPr>
      <w:tabs>
        <w:tab w:val="center" w:pos="4513"/>
        <w:tab w:val="right" w:pos="9026"/>
      </w:tabs>
      <w:spacing w:after="0" w:line="240" w:lineRule="auto"/>
      <w:rPr>
        <w:rFonts w:eastAsiaTheme="minorEastAsia" w:cstheme="minorHAnsi"/>
        <w:sz w:val="20"/>
        <w:szCs w:val="24"/>
        <w:lang w:val="en-US"/>
      </w:rPr>
    </w:pPr>
  </w:p>
  <w:p w14:paraId="76B74EC5" w14:textId="77777777" w:rsidR="003F7032" w:rsidRDefault="003F7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13CA7"/>
    <w:multiLevelType w:val="hybridMultilevel"/>
    <w:tmpl w:val="1E20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B759C5"/>
    <w:multiLevelType w:val="hybridMultilevel"/>
    <w:tmpl w:val="FAB822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127"/>
    <w:rsid w:val="00005870"/>
    <w:rsid w:val="0001115D"/>
    <w:rsid w:val="00017A38"/>
    <w:rsid w:val="00022DB7"/>
    <w:rsid w:val="000416FC"/>
    <w:rsid w:val="00051B4B"/>
    <w:rsid w:val="000656E4"/>
    <w:rsid w:val="00072E80"/>
    <w:rsid w:val="000741FC"/>
    <w:rsid w:val="000746A0"/>
    <w:rsid w:val="00086D97"/>
    <w:rsid w:val="000A1F12"/>
    <w:rsid w:val="000A2F21"/>
    <w:rsid w:val="000C0266"/>
    <w:rsid w:val="000C3ECF"/>
    <w:rsid w:val="000D1B50"/>
    <w:rsid w:val="000D3C51"/>
    <w:rsid w:val="000D6747"/>
    <w:rsid w:val="000E20AE"/>
    <w:rsid w:val="000E3C88"/>
    <w:rsid w:val="000E4E0F"/>
    <w:rsid w:val="000F53F6"/>
    <w:rsid w:val="00100384"/>
    <w:rsid w:val="00114D16"/>
    <w:rsid w:val="00117797"/>
    <w:rsid w:val="00122B27"/>
    <w:rsid w:val="001232E8"/>
    <w:rsid w:val="00127F59"/>
    <w:rsid w:val="00161543"/>
    <w:rsid w:val="001648A1"/>
    <w:rsid w:val="00164DED"/>
    <w:rsid w:val="00183FA6"/>
    <w:rsid w:val="00185A54"/>
    <w:rsid w:val="001A03F6"/>
    <w:rsid w:val="001A4E7F"/>
    <w:rsid w:val="001B4A23"/>
    <w:rsid w:val="001F4FD6"/>
    <w:rsid w:val="001F679E"/>
    <w:rsid w:val="00205D9F"/>
    <w:rsid w:val="0021349C"/>
    <w:rsid w:val="002176CE"/>
    <w:rsid w:val="00224A60"/>
    <w:rsid w:val="0022681B"/>
    <w:rsid w:val="002323C6"/>
    <w:rsid w:val="002369B8"/>
    <w:rsid w:val="00237B84"/>
    <w:rsid w:val="00245F9C"/>
    <w:rsid w:val="00247852"/>
    <w:rsid w:val="00276FB1"/>
    <w:rsid w:val="002802AF"/>
    <w:rsid w:val="002861D9"/>
    <w:rsid w:val="002A0C25"/>
    <w:rsid w:val="002A1228"/>
    <w:rsid w:val="002C2696"/>
    <w:rsid w:val="002E55BB"/>
    <w:rsid w:val="002F396A"/>
    <w:rsid w:val="002F5C66"/>
    <w:rsid w:val="00305540"/>
    <w:rsid w:val="00331EB8"/>
    <w:rsid w:val="00332097"/>
    <w:rsid w:val="00332882"/>
    <w:rsid w:val="0034031B"/>
    <w:rsid w:val="003459FA"/>
    <w:rsid w:val="0035548C"/>
    <w:rsid w:val="00362D69"/>
    <w:rsid w:val="003636B2"/>
    <w:rsid w:val="003779E2"/>
    <w:rsid w:val="003936CF"/>
    <w:rsid w:val="003A322B"/>
    <w:rsid w:val="003A5A90"/>
    <w:rsid w:val="003D07CC"/>
    <w:rsid w:val="003F1CB2"/>
    <w:rsid w:val="003F2827"/>
    <w:rsid w:val="003F7032"/>
    <w:rsid w:val="003F7EE9"/>
    <w:rsid w:val="00404BA5"/>
    <w:rsid w:val="00406A9B"/>
    <w:rsid w:val="00424C11"/>
    <w:rsid w:val="004460C5"/>
    <w:rsid w:val="004615FC"/>
    <w:rsid w:val="00477F98"/>
    <w:rsid w:val="004B2F22"/>
    <w:rsid w:val="004E0C8D"/>
    <w:rsid w:val="004F5CA6"/>
    <w:rsid w:val="005004D1"/>
    <w:rsid w:val="00501218"/>
    <w:rsid w:val="005176EF"/>
    <w:rsid w:val="00530DC6"/>
    <w:rsid w:val="0053129B"/>
    <w:rsid w:val="005629A0"/>
    <w:rsid w:val="00570A0D"/>
    <w:rsid w:val="00583418"/>
    <w:rsid w:val="005913FE"/>
    <w:rsid w:val="005A144F"/>
    <w:rsid w:val="005A7B7B"/>
    <w:rsid w:val="005B4681"/>
    <w:rsid w:val="005D22C1"/>
    <w:rsid w:val="005E11B7"/>
    <w:rsid w:val="005E608C"/>
    <w:rsid w:val="005F535D"/>
    <w:rsid w:val="00617FD6"/>
    <w:rsid w:val="006211C3"/>
    <w:rsid w:val="00626568"/>
    <w:rsid w:val="0062730D"/>
    <w:rsid w:val="006334BD"/>
    <w:rsid w:val="00634975"/>
    <w:rsid w:val="00644448"/>
    <w:rsid w:val="0064565D"/>
    <w:rsid w:val="00653688"/>
    <w:rsid w:val="0066120C"/>
    <w:rsid w:val="0066125C"/>
    <w:rsid w:val="00667832"/>
    <w:rsid w:val="006757DC"/>
    <w:rsid w:val="00692C75"/>
    <w:rsid w:val="006A413C"/>
    <w:rsid w:val="006B28A2"/>
    <w:rsid w:val="006C056E"/>
    <w:rsid w:val="006C6AF3"/>
    <w:rsid w:val="006F08ED"/>
    <w:rsid w:val="00700BF1"/>
    <w:rsid w:val="00707B4B"/>
    <w:rsid w:val="00742513"/>
    <w:rsid w:val="00745A2A"/>
    <w:rsid w:val="00753785"/>
    <w:rsid w:val="00754F37"/>
    <w:rsid w:val="007702E2"/>
    <w:rsid w:val="00793583"/>
    <w:rsid w:val="007A174B"/>
    <w:rsid w:val="007A4F9C"/>
    <w:rsid w:val="007A50C4"/>
    <w:rsid w:val="007C0EEC"/>
    <w:rsid w:val="007D1EAD"/>
    <w:rsid w:val="007D436B"/>
    <w:rsid w:val="007D556E"/>
    <w:rsid w:val="007F1254"/>
    <w:rsid w:val="00806A0B"/>
    <w:rsid w:val="00815AAC"/>
    <w:rsid w:val="00820918"/>
    <w:rsid w:val="00840D6D"/>
    <w:rsid w:val="008466E6"/>
    <w:rsid w:val="00854602"/>
    <w:rsid w:val="00862619"/>
    <w:rsid w:val="00874667"/>
    <w:rsid w:val="008749A3"/>
    <w:rsid w:val="008900FC"/>
    <w:rsid w:val="00896F33"/>
    <w:rsid w:val="008A00BA"/>
    <w:rsid w:val="008D6F3D"/>
    <w:rsid w:val="008E2C31"/>
    <w:rsid w:val="00903874"/>
    <w:rsid w:val="00911FD4"/>
    <w:rsid w:val="009132E4"/>
    <w:rsid w:val="00915951"/>
    <w:rsid w:val="00922546"/>
    <w:rsid w:val="0093223F"/>
    <w:rsid w:val="00933791"/>
    <w:rsid w:val="009337EB"/>
    <w:rsid w:val="00934D7D"/>
    <w:rsid w:val="00956505"/>
    <w:rsid w:val="00964C11"/>
    <w:rsid w:val="00965556"/>
    <w:rsid w:val="00970538"/>
    <w:rsid w:val="00976E14"/>
    <w:rsid w:val="009819F8"/>
    <w:rsid w:val="009A1CC5"/>
    <w:rsid w:val="009A4ED6"/>
    <w:rsid w:val="009B128B"/>
    <w:rsid w:val="009B1DCB"/>
    <w:rsid w:val="009C7127"/>
    <w:rsid w:val="009D11C5"/>
    <w:rsid w:val="009E20F6"/>
    <w:rsid w:val="009E4E38"/>
    <w:rsid w:val="009E693A"/>
    <w:rsid w:val="009F44FD"/>
    <w:rsid w:val="009F775C"/>
    <w:rsid w:val="00A06DF3"/>
    <w:rsid w:val="00A6234C"/>
    <w:rsid w:val="00AB1D8D"/>
    <w:rsid w:val="00AC10EE"/>
    <w:rsid w:val="00AE157B"/>
    <w:rsid w:val="00AF6342"/>
    <w:rsid w:val="00AF6A9D"/>
    <w:rsid w:val="00B074A8"/>
    <w:rsid w:val="00B13DCE"/>
    <w:rsid w:val="00B178E7"/>
    <w:rsid w:val="00B31BE3"/>
    <w:rsid w:val="00B45E2C"/>
    <w:rsid w:val="00B53C2F"/>
    <w:rsid w:val="00B71826"/>
    <w:rsid w:val="00B7217A"/>
    <w:rsid w:val="00B916F9"/>
    <w:rsid w:val="00B97DF3"/>
    <w:rsid w:val="00BB4E2B"/>
    <w:rsid w:val="00BD3192"/>
    <w:rsid w:val="00BD320A"/>
    <w:rsid w:val="00BE2197"/>
    <w:rsid w:val="00BF4D9D"/>
    <w:rsid w:val="00C10D82"/>
    <w:rsid w:val="00C50E02"/>
    <w:rsid w:val="00C6180C"/>
    <w:rsid w:val="00C67B24"/>
    <w:rsid w:val="00C765E4"/>
    <w:rsid w:val="00C8215A"/>
    <w:rsid w:val="00C8704B"/>
    <w:rsid w:val="00C928DA"/>
    <w:rsid w:val="00CA18B0"/>
    <w:rsid w:val="00CA4259"/>
    <w:rsid w:val="00CA62C0"/>
    <w:rsid w:val="00CD7D79"/>
    <w:rsid w:val="00CF35FD"/>
    <w:rsid w:val="00CF4F2A"/>
    <w:rsid w:val="00CF51F5"/>
    <w:rsid w:val="00D115F2"/>
    <w:rsid w:val="00D551FA"/>
    <w:rsid w:val="00D61B58"/>
    <w:rsid w:val="00D644A5"/>
    <w:rsid w:val="00D73B85"/>
    <w:rsid w:val="00D75C03"/>
    <w:rsid w:val="00D83FAA"/>
    <w:rsid w:val="00D84B4A"/>
    <w:rsid w:val="00DB5567"/>
    <w:rsid w:val="00DD1DA3"/>
    <w:rsid w:val="00DE47D5"/>
    <w:rsid w:val="00DF56A1"/>
    <w:rsid w:val="00E0284A"/>
    <w:rsid w:val="00E5419A"/>
    <w:rsid w:val="00E54264"/>
    <w:rsid w:val="00E567F9"/>
    <w:rsid w:val="00E57EA0"/>
    <w:rsid w:val="00E65AD7"/>
    <w:rsid w:val="00E70219"/>
    <w:rsid w:val="00E71F7F"/>
    <w:rsid w:val="00E7370B"/>
    <w:rsid w:val="00E80813"/>
    <w:rsid w:val="00EA44F9"/>
    <w:rsid w:val="00EC0D9F"/>
    <w:rsid w:val="00ED7871"/>
    <w:rsid w:val="00EE6863"/>
    <w:rsid w:val="00EE75FE"/>
    <w:rsid w:val="00EF04E5"/>
    <w:rsid w:val="00EF0688"/>
    <w:rsid w:val="00EF421A"/>
    <w:rsid w:val="00EF65B1"/>
    <w:rsid w:val="00F00809"/>
    <w:rsid w:val="00F22852"/>
    <w:rsid w:val="00F37A0A"/>
    <w:rsid w:val="00F4316A"/>
    <w:rsid w:val="00F473B3"/>
    <w:rsid w:val="00F71D41"/>
    <w:rsid w:val="00F72061"/>
    <w:rsid w:val="00F84C9F"/>
    <w:rsid w:val="00F96FE6"/>
    <w:rsid w:val="00F9785C"/>
    <w:rsid w:val="00FB287D"/>
    <w:rsid w:val="00FC4C0A"/>
    <w:rsid w:val="00FF2630"/>
    <w:rsid w:val="017B721A"/>
    <w:rsid w:val="026E4A2E"/>
    <w:rsid w:val="02F32136"/>
    <w:rsid w:val="03F42FF2"/>
    <w:rsid w:val="0657FEB8"/>
    <w:rsid w:val="06A6AEB7"/>
    <w:rsid w:val="082CC0ED"/>
    <w:rsid w:val="09004E26"/>
    <w:rsid w:val="09123340"/>
    <w:rsid w:val="0A1C9ABE"/>
    <w:rsid w:val="0A4BB06A"/>
    <w:rsid w:val="0B2B6FDB"/>
    <w:rsid w:val="0C8912F9"/>
    <w:rsid w:val="0DB1E7B4"/>
    <w:rsid w:val="0DD4DEDC"/>
    <w:rsid w:val="0E47949C"/>
    <w:rsid w:val="0F55B6DB"/>
    <w:rsid w:val="105E2E38"/>
    <w:rsid w:val="115CA46C"/>
    <w:rsid w:val="1370FC4C"/>
    <w:rsid w:val="14212938"/>
    <w:rsid w:val="1455CD89"/>
    <w:rsid w:val="1541F0CC"/>
    <w:rsid w:val="15534CE7"/>
    <w:rsid w:val="15A3D13C"/>
    <w:rsid w:val="15A5A9DF"/>
    <w:rsid w:val="162FAAEB"/>
    <w:rsid w:val="166B816A"/>
    <w:rsid w:val="16B3332E"/>
    <w:rsid w:val="18048010"/>
    <w:rsid w:val="1810B2E2"/>
    <w:rsid w:val="1850538A"/>
    <w:rsid w:val="19674BAD"/>
    <w:rsid w:val="19EDACBB"/>
    <w:rsid w:val="1A4A9D17"/>
    <w:rsid w:val="1BC4EFF4"/>
    <w:rsid w:val="1D018B19"/>
    <w:rsid w:val="1DF94920"/>
    <w:rsid w:val="1E852F3C"/>
    <w:rsid w:val="1F61D639"/>
    <w:rsid w:val="1F99792F"/>
    <w:rsid w:val="1FD68D31"/>
    <w:rsid w:val="20AB84F3"/>
    <w:rsid w:val="20C6CA74"/>
    <w:rsid w:val="2113F847"/>
    <w:rsid w:val="213879AE"/>
    <w:rsid w:val="2143743F"/>
    <w:rsid w:val="21C09746"/>
    <w:rsid w:val="2229C059"/>
    <w:rsid w:val="22E070BE"/>
    <w:rsid w:val="262CA658"/>
    <w:rsid w:val="26706E57"/>
    <w:rsid w:val="27098B0A"/>
    <w:rsid w:val="281675F1"/>
    <w:rsid w:val="2964471A"/>
    <w:rsid w:val="2991643F"/>
    <w:rsid w:val="2C7545A3"/>
    <w:rsid w:val="2CB99B08"/>
    <w:rsid w:val="2D12FC2B"/>
    <w:rsid w:val="2E07134D"/>
    <w:rsid w:val="30AF0FD0"/>
    <w:rsid w:val="30E70127"/>
    <w:rsid w:val="312C1194"/>
    <w:rsid w:val="323477AB"/>
    <w:rsid w:val="33E9778F"/>
    <w:rsid w:val="33EA6312"/>
    <w:rsid w:val="3426D435"/>
    <w:rsid w:val="34E23DBD"/>
    <w:rsid w:val="35D88B4D"/>
    <w:rsid w:val="367E0E1E"/>
    <w:rsid w:val="36E278FF"/>
    <w:rsid w:val="3A4A13C3"/>
    <w:rsid w:val="3B3C025C"/>
    <w:rsid w:val="3DD73798"/>
    <w:rsid w:val="3E81E998"/>
    <w:rsid w:val="3F8F119E"/>
    <w:rsid w:val="3F998E92"/>
    <w:rsid w:val="4106CDB3"/>
    <w:rsid w:val="42955E4B"/>
    <w:rsid w:val="42A67C7C"/>
    <w:rsid w:val="42B98853"/>
    <w:rsid w:val="445558B4"/>
    <w:rsid w:val="44C50B11"/>
    <w:rsid w:val="450E9B98"/>
    <w:rsid w:val="4597D4B3"/>
    <w:rsid w:val="467E638A"/>
    <w:rsid w:val="47F5CFCB"/>
    <w:rsid w:val="481A33EB"/>
    <w:rsid w:val="483CF46A"/>
    <w:rsid w:val="4877C28D"/>
    <w:rsid w:val="4A3509C9"/>
    <w:rsid w:val="4AE5F42C"/>
    <w:rsid w:val="4B2DF82A"/>
    <w:rsid w:val="4BFE6B17"/>
    <w:rsid w:val="4D1EDDDD"/>
    <w:rsid w:val="4D997CB3"/>
    <w:rsid w:val="4DB40210"/>
    <w:rsid w:val="4ED3D69B"/>
    <w:rsid w:val="4EDCF216"/>
    <w:rsid w:val="4F2A9047"/>
    <w:rsid w:val="4F40B144"/>
    <w:rsid w:val="4F645DD0"/>
    <w:rsid w:val="50567E9F"/>
    <w:rsid w:val="50E2584E"/>
    <w:rsid w:val="5123C1E0"/>
    <w:rsid w:val="518B2EDB"/>
    <w:rsid w:val="520B775D"/>
    <w:rsid w:val="5227A5F8"/>
    <w:rsid w:val="52E8A1A9"/>
    <w:rsid w:val="53D8AB0C"/>
    <w:rsid w:val="5529EFC2"/>
    <w:rsid w:val="5680B119"/>
    <w:rsid w:val="57FEDBCA"/>
    <w:rsid w:val="5876426D"/>
    <w:rsid w:val="59C17522"/>
    <w:rsid w:val="5A04638C"/>
    <w:rsid w:val="5A1C8FCA"/>
    <w:rsid w:val="5A71CAFB"/>
    <w:rsid w:val="5A893A94"/>
    <w:rsid w:val="5CB38894"/>
    <w:rsid w:val="5D6011A3"/>
    <w:rsid w:val="5D9393A3"/>
    <w:rsid w:val="5EA786BF"/>
    <w:rsid w:val="5F483A79"/>
    <w:rsid w:val="60C25C9D"/>
    <w:rsid w:val="643EB4CD"/>
    <w:rsid w:val="65E53ED8"/>
    <w:rsid w:val="66BB5B22"/>
    <w:rsid w:val="67FFA9B1"/>
    <w:rsid w:val="6A36BA10"/>
    <w:rsid w:val="6A901B33"/>
    <w:rsid w:val="6BB74296"/>
    <w:rsid w:val="6BE4B6FA"/>
    <w:rsid w:val="6C2C2851"/>
    <w:rsid w:val="6C5FB7B3"/>
    <w:rsid w:val="6EB199B6"/>
    <w:rsid w:val="6EE72E86"/>
    <w:rsid w:val="6FB42672"/>
    <w:rsid w:val="6FEE3EAB"/>
    <w:rsid w:val="7130BB81"/>
    <w:rsid w:val="7180C138"/>
    <w:rsid w:val="7183C619"/>
    <w:rsid w:val="71D0147D"/>
    <w:rsid w:val="73731E72"/>
    <w:rsid w:val="74475222"/>
    <w:rsid w:val="74F148D6"/>
    <w:rsid w:val="7549EA0F"/>
    <w:rsid w:val="7604B9C3"/>
    <w:rsid w:val="773DBD3C"/>
    <w:rsid w:val="7763257A"/>
    <w:rsid w:val="77F3BF3E"/>
    <w:rsid w:val="789A793F"/>
    <w:rsid w:val="7B36056B"/>
    <w:rsid w:val="7BE1F44E"/>
    <w:rsid w:val="7DD50C0B"/>
    <w:rsid w:val="7E55D677"/>
    <w:rsid w:val="7FB80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48DF45"/>
  <w15:docId w15:val="{61E2A8D0-9736-4E81-A2A0-606B509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71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2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A322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3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2E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3688"/>
    <w:rPr>
      <w:b/>
      <w:bCs/>
    </w:rPr>
  </w:style>
  <w:style w:type="character" w:customStyle="1" w:styleId="CommentSubjectChar">
    <w:name w:val="Comment Subject Char"/>
    <w:basedOn w:val="CommentTextChar"/>
    <w:link w:val="CommentSubject"/>
    <w:uiPriority w:val="99"/>
    <w:semiHidden/>
    <w:rsid w:val="00653688"/>
    <w:rPr>
      <w:b/>
      <w:bCs/>
      <w:sz w:val="20"/>
      <w:szCs w:val="20"/>
    </w:rPr>
  </w:style>
  <w:style w:type="paragraph" w:styleId="NoSpacing">
    <w:name w:val="No Spacing"/>
    <w:link w:val="NoSpacingChar"/>
    <w:uiPriority w:val="1"/>
    <w:qFormat/>
    <w:rsid w:val="00915951"/>
    <w:pPr>
      <w:spacing w:after="0" w:line="240" w:lineRule="auto"/>
    </w:pPr>
    <w:rPr>
      <w:rFonts w:asciiTheme="minorHAnsi" w:eastAsiaTheme="minorEastAsia" w:hAnsiTheme="minorHAnsi"/>
    </w:rPr>
  </w:style>
  <w:style w:type="table" w:styleId="TableGrid">
    <w:name w:val="Table Grid"/>
    <w:basedOn w:val="TableNormal"/>
    <w:uiPriority w:val="39"/>
    <w:rsid w:val="00915951"/>
    <w:pPr>
      <w:spacing w:after="0" w:line="240" w:lineRule="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15951"/>
    <w:rPr>
      <w:rFonts w:asciiTheme="minorHAnsi" w:eastAsiaTheme="minorEastAsia" w:hAnsiTheme="minorHAnsi"/>
    </w:rPr>
  </w:style>
  <w:style w:type="character" w:styleId="Hyperlink">
    <w:name w:val="Hyperlink"/>
    <w:basedOn w:val="DefaultParagraphFont"/>
    <w:uiPriority w:val="99"/>
    <w:unhideWhenUsed/>
    <w:rsid w:val="00634975"/>
    <w:rPr>
      <w:color w:val="0563C1" w:themeColor="hyperlink"/>
      <w:u w:val="single"/>
    </w:rPr>
  </w:style>
  <w:style w:type="character" w:customStyle="1" w:styleId="UnresolvedMention1">
    <w:name w:val="Unresolved Mention1"/>
    <w:basedOn w:val="DefaultParagraphFont"/>
    <w:uiPriority w:val="99"/>
    <w:semiHidden/>
    <w:unhideWhenUsed/>
    <w:rsid w:val="00634975"/>
    <w:rPr>
      <w:color w:val="605E5C"/>
      <w:shd w:val="clear" w:color="auto" w:fill="E1DFDD"/>
    </w:rPr>
  </w:style>
  <w:style w:type="paragraph" w:styleId="Header">
    <w:name w:val="header"/>
    <w:basedOn w:val="Normal"/>
    <w:link w:val="HeaderChar"/>
    <w:uiPriority w:val="99"/>
    <w:unhideWhenUsed/>
    <w:rsid w:val="002A0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C25"/>
  </w:style>
  <w:style w:type="paragraph" w:styleId="Footer">
    <w:name w:val="footer"/>
    <w:basedOn w:val="Normal"/>
    <w:link w:val="FooterChar"/>
    <w:uiPriority w:val="99"/>
    <w:unhideWhenUsed/>
    <w:rsid w:val="002A0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C25"/>
  </w:style>
  <w:style w:type="table" w:customStyle="1" w:styleId="GridTable4-Accent51">
    <w:name w:val="Grid Table 4 - Accent 51"/>
    <w:basedOn w:val="TableNormal"/>
    <w:uiPriority w:val="49"/>
    <w:rsid w:val="002A0C25"/>
    <w:pPr>
      <w:spacing w:after="0" w:line="240" w:lineRule="auto"/>
    </w:pPr>
    <w:rPr>
      <w:rFonts w:cstheme="minorHAnsi"/>
      <w:sz w:val="20"/>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976E1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tion1">
    <w:name w:val="Mention1"/>
    <w:basedOn w:val="DefaultParagraphFont"/>
    <w:uiPriority w:val="99"/>
    <w:unhideWhenUsed/>
    <w:rPr>
      <w:color w:val="2B579A"/>
      <w:shd w:val="clear" w:color="auto" w:fill="E6E6E6"/>
    </w:rPr>
  </w:style>
  <w:style w:type="table" w:customStyle="1" w:styleId="GridTable3-Accent51">
    <w:name w:val="Grid Table 3 - Accent 51"/>
    <w:basedOn w:val="TableNormal"/>
    <w:uiPriority w:val="48"/>
    <w:rsid w:val="009819F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729216">
      <w:bodyDiv w:val="1"/>
      <w:marLeft w:val="0"/>
      <w:marRight w:val="0"/>
      <w:marTop w:val="0"/>
      <w:marBottom w:val="0"/>
      <w:divBdr>
        <w:top w:val="none" w:sz="0" w:space="0" w:color="auto"/>
        <w:left w:val="none" w:sz="0" w:space="0" w:color="auto"/>
        <w:bottom w:val="none" w:sz="0" w:space="0" w:color="auto"/>
        <w:right w:val="none" w:sz="0" w:space="0" w:color="auto"/>
      </w:divBdr>
    </w:div>
    <w:div w:id="557715270">
      <w:bodyDiv w:val="1"/>
      <w:marLeft w:val="0"/>
      <w:marRight w:val="0"/>
      <w:marTop w:val="0"/>
      <w:marBottom w:val="0"/>
      <w:divBdr>
        <w:top w:val="none" w:sz="0" w:space="0" w:color="auto"/>
        <w:left w:val="none" w:sz="0" w:space="0" w:color="auto"/>
        <w:bottom w:val="none" w:sz="0" w:space="0" w:color="auto"/>
        <w:right w:val="none" w:sz="0" w:space="0" w:color="auto"/>
      </w:divBdr>
      <w:divsChild>
        <w:div w:id="792402286">
          <w:marLeft w:val="0"/>
          <w:marRight w:val="0"/>
          <w:marTop w:val="0"/>
          <w:marBottom w:val="0"/>
          <w:divBdr>
            <w:top w:val="none" w:sz="0" w:space="0" w:color="auto"/>
            <w:left w:val="none" w:sz="0" w:space="0" w:color="auto"/>
            <w:bottom w:val="none" w:sz="0" w:space="0" w:color="auto"/>
            <w:right w:val="none" w:sz="0" w:space="0" w:color="auto"/>
          </w:divBdr>
        </w:div>
      </w:divsChild>
    </w:div>
    <w:div w:id="843666477">
      <w:bodyDiv w:val="1"/>
      <w:marLeft w:val="0"/>
      <w:marRight w:val="0"/>
      <w:marTop w:val="0"/>
      <w:marBottom w:val="0"/>
      <w:divBdr>
        <w:top w:val="none" w:sz="0" w:space="0" w:color="auto"/>
        <w:left w:val="none" w:sz="0" w:space="0" w:color="auto"/>
        <w:bottom w:val="none" w:sz="0" w:space="0" w:color="auto"/>
        <w:right w:val="none" w:sz="0" w:space="0" w:color="auto"/>
      </w:divBdr>
    </w:div>
    <w:div w:id="1033917045">
      <w:bodyDiv w:val="1"/>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1829326062">
              <w:marLeft w:val="0"/>
              <w:marRight w:val="0"/>
              <w:marTop w:val="0"/>
              <w:marBottom w:val="0"/>
              <w:divBdr>
                <w:top w:val="none" w:sz="0" w:space="0" w:color="auto"/>
                <w:left w:val="none" w:sz="0" w:space="0" w:color="auto"/>
                <w:bottom w:val="none" w:sz="0" w:space="0" w:color="auto"/>
                <w:right w:val="none" w:sz="0" w:space="0" w:color="auto"/>
              </w:divBdr>
            </w:div>
            <w:div w:id="1978298049">
              <w:marLeft w:val="0"/>
              <w:marRight w:val="0"/>
              <w:marTop w:val="0"/>
              <w:marBottom w:val="0"/>
              <w:divBdr>
                <w:top w:val="none" w:sz="0" w:space="0" w:color="auto"/>
                <w:left w:val="none" w:sz="0" w:space="0" w:color="auto"/>
                <w:bottom w:val="none" w:sz="0" w:space="0" w:color="auto"/>
                <w:right w:val="none" w:sz="0" w:space="0" w:color="auto"/>
              </w:divBdr>
            </w:div>
            <w:div w:id="456685689">
              <w:marLeft w:val="0"/>
              <w:marRight w:val="0"/>
              <w:marTop w:val="0"/>
              <w:marBottom w:val="0"/>
              <w:divBdr>
                <w:top w:val="none" w:sz="0" w:space="0" w:color="auto"/>
                <w:left w:val="none" w:sz="0" w:space="0" w:color="auto"/>
                <w:bottom w:val="none" w:sz="0" w:space="0" w:color="auto"/>
                <w:right w:val="none" w:sz="0" w:space="0" w:color="auto"/>
              </w:divBdr>
            </w:div>
            <w:div w:id="1691299081">
              <w:marLeft w:val="0"/>
              <w:marRight w:val="0"/>
              <w:marTop w:val="0"/>
              <w:marBottom w:val="0"/>
              <w:divBdr>
                <w:top w:val="none" w:sz="0" w:space="0" w:color="auto"/>
                <w:left w:val="none" w:sz="0" w:space="0" w:color="auto"/>
                <w:bottom w:val="none" w:sz="0" w:space="0" w:color="auto"/>
                <w:right w:val="none" w:sz="0" w:space="0" w:color="auto"/>
              </w:divBdr>
            </w:div>
            <w:div w:id="1318149163">
              <w:marLeft w:val="0"/>
              <w:marRight w:val="0"/>
              <w:marTop w:val="0"/>
              <w:marBottom w:val="0"/>
              <w:divBdr>
                <w:top w:val="none" w:sz="0" w:space="0" w:color="auto"/>
                <w:left w:val="none" w:sz="0" w:space="0" w:color="auto"/>
                <w:bottom w:val="none" w:sz="0" w:space="0" w:color="auto"/>
                <w:right w:val="none" w:sz="0" w:space="0" w:color="auto"/>
              </w:divBdr>
            </w:div>
          </w:divsChild>
        </w:div>
        <w:div w:id="739711992">
          <w:marLeft w:val="0"/>
          <w:marRight w:val="0"/>
          <w:marTop w:val="0"/>
          <w:marBottom w:val="0"/>
          <w:divBdr>
            <w:top w:val="none" w:sz="0" w:space="0" w:color="auto"/>
            <w:left w:val="none" w:sz="0" w:space="0" w:color="auto"/>
            <w:bottom w:val="none" w:sz="0" w:space="0" w:color="auto"/>
            <w:right w:val="none" w:sz="0" w:space="0" w:color="auto"/>
          </w:divBdr>
        </w:div>
        <w:div w:id="420104242">
          <w:blockQuote w:val="1"/>
          <w:marLeft w:val="600"/>
          <w:marRight w:val="0"/>
          <w:marTop w:val="0"/>
          <w:marBottom w:val="0"/>
          <w:divBdr>
            <w:top w:val="none" w:sz="0" w:space="0" w:color="auto"/>
            <w:left w:val="none" w:sz="0" w:space="0" w:color="auto"/>
            <w:bottom w:val="none" w:sz="0" w:space="0" w:color="auto"/>
            <w:right w:val="none" w:sz="0" w:space="0" w:color="auto"/>
          </w:divBdr>
          <w:divsChild>
            <w:div w:id="384111561">
              <w:marLeft w:val="0"/>
              <w:marRight w:val="0"/>
              <w:marTop w:val="0"/>
              <w:marBottom w:val="0"/>
              <w:divBdr>
                <w:top w:val="none" w:sz="0" w:space="0" w:color="auto"/>
                <w:left w:val="none" w:sz="0" w:space="0" w:color="auto"/>
                <w:bottom w:val="none" w:sz="0" w:space="0" w:color="auto"/>
                <w:right w:val="none" w:sz="0" w:space="0" w:color="auto"/>
              </w:divBdr>
              <w:divsChild>
                <w:div w:id="2092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8024">
      <w:bodyDiv w:val="1"/>
      <w:marLeft w:val="0"/>
      <w:marRight w:val="0"/>
      <w:marTop w:val="0"/>
      <w:marBottom w:val="0"/>
      <w:divBdr>
        <w:top w:val="none" w:sz="0" w:space="0" w:color="auto"/>
        <w:left w:val="none" w:sz="0" w:space="0" w:color="auto"/>
        <w:bottom w:val="none" w:sz="0" w:space="0" w:color="auto"/>
        <w:right w:val="none" w:sz="0" w:space="0" w:color="auto"/>
      </w:divBdr>
    </w:div>
    <w:div w:id="1448506763">
      <w:bodyDiv w:val="1"/>
      <w:marLeft w:val="0"/>
      <w:marRight w:val="0"/>
      <w:marTop w:val="0"/>
      <w:marBottom w:val="0"/>
      <w:divBdr>
        <w:top w:val="none" w:sz="0" w:space="0" w:color="auto"/>
        <w:left w:val="none" w:sz="0" w:space="0" w:color="auto"/>
        <w:bottom w:val="none" w:sz="0" w:space="0" w:color="auto"/>
        <w:right w:val="none" w:sz="0" w:space="0" w:color="auto"/>
      </w:divBdr>
      <w:divsChild>
        <w:div w:id="1898591539">
          <w:marLeft w:val="0"/>
          <w:marRight w:val="0"/>
          <w:marTop w:val="0"/>
          <w:marBottom w:val="0"/>
          <w:divBdr>
            <w:top w:val="none" w:sz="0" w:space="0" w:color="auto"/>
            <w:left w:val="none" w:sz="0" w:space="0" w:color="auto"/>
            <w:bottom w:val="none" w:sz="0" w:space="0" w:color="auto"/>
            <w:right w:val="none" w:sz="0" w:space="0" w:color="auto"/>
          </w:divBdr>
          <w:divsChild>
            <w:div w:id="101002540">
              <w:marLeft w:val="0"/>
              <w:marRight w:val="0"/>
              <w:marTop w:val="0"/>
              <w:marBottom w:val="0"/>
              <w:divBdr>
                <w:top w:val="none" w:sz="0" w:space="0" w:color="auto"/>
                <w:left w:val="none" w:sz="0" w:space="0" w:color="auto"/>
                <w:bottom w:val="none" w:sz="0" w:space="0" w:color="auto"/>
                <w:right w:val="none" w:sz="0" w:space="0" w:color="auto"/>
              </w:divBdr>
            </w:div>
            <w:div w:id="264970705">
              <w:marLeft w:val="0"/>
              <w:marRight w:val="0"/>
              <w:marTop w:val="0"/>
              <w:marBottom w:val="0"/>
              <w:divBdr>
                <w:top w:val="none" w:sz="0" w:space="0" w:color="auto"/>
                <w:left w:val="none" w:sz="0" w:space="0" w:color="auto"/>
                <w:bottom w:val="none" w:sz="0" w:space="0" w:color="auto"/>
                <w:right w:val="none" w:sz="0" w:space="0" w:color="auto"/>
              </w:divBdr>
            </w:div>
            <w:div w:id="1797141014">
              <w:marLeft w:val="0"/>
              <w:marRight w:val="0"/>
              <w:marTop w:val="0"/>
              <w:marBottom w:val="0"/>
              <w:divBdr>
                <w:top w:val="none" w:sz="0" w:space="0" w:color="auto"/>
                <w:left w:val="none" w:sz="0" w:space="0" w:color="auto"/>
                <w:bottom w:val="none" w:sz="0" w:space="0" w:color="auto"/>
                <w:right w:val="none" w:sz="0" w:space="0" w:color="auto"/>
              </w:divBdr>
            </w:div>
            <w:div w:id="2064399255">
              <w:marLeft w:val="0"/>
              <w:marRight w:val="0"/>
              <w:marTop w:val="0"/>
              <w:marBottom w:val="0"/>
              <w:divBdr>
                <w:top w:val="none" w:sz="0" w:space="0" w:color="auto"/>
                <w:left w:val="none" w:sz="0" w:space="0" w:color="auto"/>
                <w:bottom w:val="none" w:sz="0" w:space="0" w:color="auto"/>
                <w:right w:val="none" w:sz="0" w:space="0" w:color="auto"/>
              </w:divBdr>
            </w:div>
            <w:div w:id="732510912">
              <w:marLeft w:val="0"/>
              <w:marRight w:val="0"/>
              <w:marTop w:val="0"/>
              <w:marBottom w:val="0"/>
              <w:divBdr>
                <w:top w:val="none" w:sz="0" w:space="0" w:color="auto"/>
                <w:left w:val="none" w:sz="0" w:space="0" w:color="auto"/>
                <w:bottom w:val="none" w:sz="0" w:space="0" w:color="auto"/>
                <w:right w:val="none" w:sz="0" w:space="0" w:color="auto"/>
              </w:divBdr>
            </w:div>
          </w:divsChild>
        </w:div>
        <w:div w:id="67921081">
          <w:marLeft w:val="0"/>
          <w:marRight w:val="0"/>
          <w:marTop w:val="0"/>
          <w:marBottom w:val="0"/>
          <w:divBdr>
            <w:top w:val="none" w:sz="0" w:space="0" w:color="auto"/>
            <w:left w:val="none" w:sz="0" w:space="0" w:color="auto"/>
            <w:bottom w:val="none" w:sz="0" w:space="0" w:color="auto"/>
            <w:right w:val="none" w:sz="0" w:space="0" w:color="auto"/>
          </w:divBdr>
        </w:div>
        <w:div w:id="449319452">
          <w:blockQuote w:val="1"/>
          <w:marLeft w:val="600"/>
          <w:marRight w:val="0"/>
          <w:marTop w:val="0"/>
          <w:marBottom w:val="0"/>
          <w:divBdr>
            <w:top w:val="none" w:sz="0" w:space="0" w:color="auto"/>
            <w:left w:val="none" w:sz="0" w:space="0" w:color="auto"/>
            <w:bottom w:val="none" w:sz="0" w:space="0" w:color="auto"/>
            <w:right w:val="none" w:sz="0" w:space="0" w:color="auto"/>
          </w:divBdr>
          <w:divsChild>
            <w:div w:id="349066617">
              <w:marLeft w:val="0"/>
              <w:marRight w:val="0"/>
              <w:marTop w:val="0"/>
              <w:marBottom w:val="0"/>
              <w:divBdr>
                <w:top w:val="none" w:sz="0" w:space="0" w:color="auto"/>
                <w:left w:val="none" w:sz="0" w:space="0" w:color="auto"/>
                <w:bottom w:val="none" w:sz="0" w:space="0" w:color="auto"/>
                <w:right w:val="none" w:sz="0" w:space="0" w:color="auto"/>
              </w:divBdr>
              <w:divsChild>
                <w:div w:id="10036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93/eurheartj/ehz412" TargetMode="External"/><Relationship Id="rId18" Type="http://schemas.openxmlformats.org/officeDocument/2006/relationships/hyperlink" Target="http://www.clinicaltrials.cprd.com" TargetMode="External"/><Relationship Id="rId3" Type="http://schemas.openxmlformats.org/officeDocument/2006/relationships/customXml" Target="../customXml/item3.xml"/><Relationship Id="rId21" Type="http://schemas.openxmlformats.org/officeDocument/2006/relationships/hyperlink" Target="https://urldefense.proofpoint.com/v2/url?u=https-3A__www.emisnow.com_csm-3Fid-3Dkb-5Farticle-26sysparm-5Farticle-3DKB0065399-26sys-5Fkb-5Fid-3Dd06ab6531b09ec101f18b8c2cd4bcbf8-26spa-3D1&amp;d=DwMFAg&amp;c=bXyEFqpHx20PVepeYtwgeyo6Hxa8iNFcGZACCQj1uNM&amp;r=Vcr1Bis8uYoOGf9KfM1gJg3X45G3MoBND2e5d5LvS1o&amp;m=boFFdqb5W9Pg20RshA0jFsirm5CuAQvGFIPTyOXwkxg&amp;s=G0fAHtkEZvxvhENyb3Mc-EnF6lO5r8VTUllXKTWoxl4&amp;e=" TargetMode="External"/><Relationship Id="rId7" Type="http://schemas.openxmlformats.org/officeDocument/2006/relationships/settings" Target="settings.xml"/><Relationship Id="rId12" Type="http://schemas.openxmlformats.org/officeDocument/2006/relationships/hyperlink" Target="https://www.bmj.com/content/361/bmj.k1717" TargetMode="External"/><Relationship Id="rId17" Type="http://schemas.openxmlformats.org/officeDocument/2006/relationships/hyperlink" Target="http://www.bham.ac.uk/d2t" TargetMode="External"/><Relationship Id="rId2" Type="http://schemas.openxmlformats.org/officeDocument/2006/relationships/customXml" Target="../customXml/item2.xml"/><Relationship Id="rId16" Type="http://schemas.openxmlformats.org/officeDocument/2006/relationships/hyperlink" Target="https://bnf.nice.org.uk/drugs/edoxaban/#indications-and-dose" TargetMode="External"/><Relationship Id="rId20" Type="http://schemas.openxmlformats.org/officeDocument/2006/relationships/hyperlink" Target="http://www.clinicaltrials.cprd.com"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health-and-care-professionals/learning-and-support/good-clinical-practice.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ng19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linicaltrials.cp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wp-content/uploads/2021/03/B0456-update-on-quality-outcomes-framework-changes-for-21-22-.pdf" TargetMode="External"/><Relationship Id="rId22" Type="http://schemas.openxmlformats.org/officeDocument/2006/relationships/header" Target="header1.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7B3B7935-C0C7-469C-8FE4-844F1A011963}">
    <t:Anchor>
      <t:Comment id="680097489"/>
    </t:Anchor>
    <t:History>
      <t:Event id="{56B1B7E5-0D7A-41F9-AD91-348FB1466270}" time="2021-08-04T19:39:43.41Z">
        <t:Attribution userId="S::d.r.shukla@bham.ac.uk::f89a10c0-c94a-43e4-a116-6414e4c08ea7" userProvider="AD" userName="David Shukla (Applied Health Research)"/>
        <t:Anchor>
          <t:Comment id="680097489"/>
        </t:Anchor>
        <t:Create/>
      </t:Event>
      <t:Event id="{A77256E7-FE19-49ED-B26A-AD1A73F3B91C}" time="2021-08-04T19:39:43.41Z">
        <t:Attribution userId="S::d.r.shukla@bham.ac.uk::f89a10c0-c94a-43e4-a116-6414e4c08ea7" userProvider="AD" userName="David Shukla (Applied Health Research)"/>
        <t:Anchor>
          <t:Comment id="680097489"/>
        </t:Anchor>
        <t:Assign userId="S::D.Kotecha@bham.ac.uk::4c7d3256-bedd-48c7-b58d-01c5baed0e0a" userProvider="AD" userName="Dipak Kotecha (Cardiovascular Sciences)"/>
      </t:Event>
      <t:Event id="{1F42C706-9B95-42DC-8354-1DC8F96BA335}" time="2021-08-04T19:39:43.41Z">
        <t:Attribution userId="S::d.r.shukla@bham.ac.uk::f89a10c0-c94a-43e4-a116-6414e4c08ea7" userProvider="AD" userName="David Shukla (Applied Health Research)"/>
        <t:Anchor>
          <t:Comment id="680097489"/>
        </t:Anchor>
        <t:SetTitle title="@Dipak Kotecha (Cardiovascular Sciences) I think we ought to add in a few examples here to aid GPs - what do you think? Rebecca quite rightly felt my explanation here was a little non-commit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75cec7-7e7c-4052-8797-185a20106aa9">
      <UserInfo>
        <DisplayName>Lancaster, Karen</DisplayName>
        <AccountId>1540</AccountId>
        <AccountType/>
      </UserInfo>
    </SharedWithUsers>
    <TaxCatchAll xmlns="b375cec7-7e7c-4052-8797-185a20106aa9" xsi:nil="true"/>
    <lcf76f155ced4ddcb4097134ff3c332f xmlns="41a39341-79ea-44d6-85e4-75c150cb81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ced9de3ba138018ae0298fe7afd34fe6">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6a75d0d3472cb7fad7b3cce3f90ad830"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ed2d82-6d78-4a55-8940-96e31f405564}"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3FFB-9263-4B36-9029-11E37F8ABED3}">
  <ds:schemaRefs>
    <ds:schemaRef ds:uri="http://purl.org/dc/elements/1.1/"/>
    <ds:schemaRef ds:uri="http://purl.org/dc/terms/"/>
    <ds:schemaRef ds:uri="41a39341-79ea-44d6-85e4-75c150cb81b7"/>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b375cec7-7e7c-4052-8797-185a20106aa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8743E0-E57D-40B5-823F-4C7FF097A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CA0F3-8837-447A-B232-90F203353620}">
  <ds:schemaRefs>
    <ds:schemaRef ds:uri="http://schemas.microsoft.com/sharepoint/v3/contenttype/forms"/>
  </ds:schemaRefs>
</ds:datastoreItem>
</file>

<file path=customXml/itemProps4.xml><?xml version="1.0" encoding="utf-8"?>
<ds:datastoreItem xmlns:ds="http://schemas.openxmlformats.org/officeDocument/2006/customXml" ds:itemID="{821D8B68-0E71-487E-95D0-5779E98C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Lancaster, Karen</dc:creator>
  <cp:lastModifiedBy>James Durrant (MDS - Administration)</cp:lastModifiedBy>
  <cp:revision>3</cp:revision>
  <dcterms:created xsi:type="dcterms:W3CDTF">2023-01-31T11:14:00Z</dcterms:created>
  <dcterms:modified xsi:type="dcterms:W3CDTF">2023-02-08T11:22:00Z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SharedWithUsers">
    <vt:lpwstr>1540;#Lancaster, Karen</vt:lpwstr>
  </property>
  <property fmtid="{D5CDD505-2E9C-101B-9397-08002B2CF9AE}" pid="6" name="MediaServiceImageTags">
    <vt:lpwstr/>
  </property>
</Properties>
</file>