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624A2" w14:textId="77777777" w:rsidR="00124BF7" w:rsidRDefault="00B21209">
      <w:pPr>
        <w:rPr>
          <w:rFonts w:ascii="Lato" w:eastAsia="Lato" w:hAnsi="Lato" w:cs="Lato"/>
        </w:rPr>
      </w:pPr>
      <w:r>
        <w:rPr>
          <w:rFonts w:ascii="Lato" w:eastAsia="Lato" w:hAnsi="Lato" w:cs="Lato"/>
        </w:rPr>
        <w:tab/>
      </w:r>
      <w:r>
        <w:rPr>
          <w:rFonts w:ascii="Lato" w:eastAsia="Lato" w:hAnsi="Lato" w:cs="Lato"/>
        </w:rPr>
        <w:tab/>
      </w:r>
      <w:r>
        <w:rPr>
          <w:rFonts w:ascii="Lato" w:eastAsia="Lato" w:hAnsi="Lato" w:cs="Lato"/>
        </w:rPr>
        <w:tab/>
      </w:r>
      <w:r>
        <w:rPr>
          <w:rFonts w:ascii="Lato" w:eastAsia="Lato" w:hAnsi="Lato" w:cs="Lato"/>
        </w:rPr>
        <w:tab/>
      </w:r>
      <w:r>
        <w:rPr>
          <w:rFonts w:ascii="Lato" w:eastAsia="Lato" w:hAnsi="Lato" w:cs="Lato"/>
        </w:rPr>
        <w:tab/>
      </w:r>
      <w:r>
        <w:rPr>
          <w:rFonts w:ascii="Lato" w:eastAsia="Lato" w:hAnsi="Lato" w:cs="Lato"/>
        </w:rPr>
        <w:tab/>
      </w:r>
      <w:r>
        <w:rPr>
          <w:rFonts w:ascii="Lato" w:eastAsia="Lato" w:hAnsi="Lato" w:cs="Lato"/>
        </w:rPr>
        <w:tab/>
      </w:r>
      <w:r>
        <w:rPr>
          <w:rFonts w:ascii="Lato" w:eastAsia="Lato" w:hAnsi="Lato" w:cs="Lato"/>
        </w:rPr>
        <w:tab/>
      </w:r>
      <w:r>
        <w:rPr>
          <w:rFonts w:ascii="Lato" w:eastAsia="Lato" w:hAnsi="Lato" w:cs="Lato"/>
        </w:rPr>
        <w:tab/>
      </w:r>
      <w:r>
        <w:rPr>
          <w:rFonts w:ascii="Lato" w:eastAsia="Lato" w:hAnsi="Lato" w:cs="Lato"/>
        </w:rPr>
        <w:tab/>
      </w:r>
      <w:r>
        <w:rPr>
          <w:rFonts w:ascii="Lato" w:eastAsia="Lato" w:hAnsi="Lato" w:cs="Lato"/>
        </w:rPr>
        <w:tab/>
      </w:r>
    </w:p>
    <w:p w14:paraId="5FE624A4" w14:textId="77777777" w:rsidR="00124BF7" w:rsidRDefault="00B21209" w:rsidP="008E6EC2">
      <w:pPr>
        <w:spacing w:line="240" w:lineRule="auto"/>
        <w:jc w:val="center"/>
        <w:rPr>
          <w:b/>
          <w:sz w:val="24"/>
          <w:szCs w:val="24"/>
        </w:rPr>
      </w:pPr>
      <w:r>
        <w:rPr>
          <w:b/>
          <w:sz w:val="24"/>
          <w:szCs w:val="24"/>
        </w:rPr>
        <w:t>Research Information Sheet for Practices (RISP)</w:t>
      </w:r>
    </w:p>
    <w:p w14:paraId="5FE624A5" w14:textId="77777777" w:rsidR="00124BF7" w:rsidRDefault="00124BF7">
      <w:pPr>
        <w:spacing w:line="240" w:lineRule="auto"/>
        <w:jc w:val="center"/>
        <w:rPr>
          <w:b/>
          <w:sz w:val="20"/>
          <w:szCs w:val="20"/>
        </w:rPr>
      </w:pPr>
    </w:p>
    <w:p w14:paraId="5FE624A7" w14:textId="77777777" w:rsidR="00124BF7" w:rsidRDefault="00B21209">
      <w:pPr>
        <w:widowControl w:val="0"/>
        <w:spacing w:line="240" w:lineRule="auto"/>
        <w:ind w:right="-46"/>
        <w:rPr>
          <w:rFonts w:ascii="Calibri" w:eastAsia="Calibri" w:hAnsi="Calibri" w:cs="Calibri"/>
          <w:b/>
          <w:sz w:val="24"/>
          <w:szCs w:val="24"/>
        </w:rPr>
      </w:pPr>
      <w:r>
        <w:rPr>
          <w:rFonts w:ascii="Calibri" w:eastAsia="Calibri" w:hAnsi="Calibri" w:cs="Calibri"/>
          <w:b/>
          <w:sz w:val="24"/>
          <w:szCs w:val="24"/>
        </w:rPr>
        <w:t>Study contacts:</w:t>
      </w:r>
    </w:p>
    <w:tbl>
      <w:tblPr>
        <w:tblStyle w:val="a"/>
        <w:tblW w:w="9322" w:type="dxa"/>
        <w:tblBorders>
          <w:top w:val="single" w:sz="4" w:space="0" w:color="000000"/>
          <w:left w:val="single" w:sz="4" w:space="0" w:color="000000"/>
          <w:bottom w:val="single" w:sz="4" w:space="0" w:color="000000"/>
          <w:right w:val="single" w:sz="4" w:space="0" w:color="000000"/>
        </w:tblBorders>
        <w:tblLayout w:type="fixed"/>
        <w:tblLook w:val="0020" w:firstRow="1" w:lastRow="0" w:firstColumn="0" w:lastColumn="0" w:noHBand="0" w:noVBand="0"/>
      </w:tblPr>
      <w:tblGrid>
        <w:gridCol w:w="4806"/>
        <w:gridCol w:w="4516"/>
      </w:tblGrid>
      <w:tr w:rsidR="00124BF7" w14:paraId="5FE624AE" w14:textId="77777777" w:rsidTr="000F43BE">
        <w:trPr>
          <w:trHeight w:val="1400"/>
        </w:trPr>
        <w:tc>
          <w:tcPr>
            <w:tcW w:w="4806" w:type="dxa"/>
            <w:shd w:val="clear" w:color="auto" w:fill="FFFFFF"/>
            <w:vAlign w:val="center"/>
          </w:tcPr>
          <w:p w14:paraId="5FE624A8" w14:textId="30C04DAC" w:rsidR="00124BF7" w:rsidRDefault="00B21209">
            <w:pPr>
              <w:widowControl w:val="0"/>
              <w:spacing w:line="240" w:lineRule="auto"/>
              <w:rPr>
                <w:rFonts w:ascii="Calibri" w:eastAsia="Calibri" w:hAnsi="Calibri" w:cs="Calibri"/>
                <w:sz w:val="24"/>
                <w:szCs w:val="24"/>
              </w:rPr>
            </w:pPr>
            <w:r>
              <w:rPr>
                <w:rFonts w:ascii="Calibri" w:eastAsia="Calibri" w:hAnsi="Calibri" w:cs="Calibri"/>
                <w:b/>
                <w:sz w:val="24"/>
                <w:szCs w:val="24"/>
              </w:rPr>
              <w:t>Study Co-ordinator:</w:t>
            </w:r>
            <w:r>
              <w:rPr>
                <w:rFonts w:ascii="Calibri" w:eastAsia="Calibri" w:hAnsi="Calibri" w:cs="Calibri"/>
                <w:sz w:val="24"/>
                <w:szCs w:val="24"/>
              </w:rPr>
              <w:t xml:space="preserve"> </w:t>
            </w:r>
            <w:r>
              <w:rPr>
                <w:sz w:val="24"/>
                <w:szCs w:val="24"/>
              </w:rPr>
              <w:t xml:space="preserve"> </w:t>
            </w:r>
            <w:r w:rsidR="005B25A1" w:rsidRPr="005B25A1">
              <w:rPr>
                <w:rStyle w:val="Strong"/>
                <w:rFonts w:ascii="Calibri" w:hAnsi="Calibri" w:cs="Calibri"/>
                <w:color w:val="193E72"/>
                <w:shd w:val="clear" w:color="auto" w:fill="FFFFFF"/>
              </w:rPr>
              <w:t>Alastair Mobley</w:t>
            </w:r>
          </w:p>
          <w:p w14:paraId="5FE624A9" w14:textId="0B3E2F6F" w:rsidR="00124BF7" w:rsidRDefault="00B21209">
            <w:pPr>
              <w:widowControl w:val="0"/>
              <w:spacing w:line="240" w:lineRule="auto"/>
              <w:rPr>
                <w:rFonts w:ascii="Calibri" w:eastAsia="Calibri" w:hAnsi="Calibri" w:cs="Calibri"/>
                <w:sz w:val="24"/>
                <w:szCs w:val="24"/>
              </w:rPr>
            </w:pPr>
            <w:r>
              <w:rPr>
                <w:rFonts w:ascii="Calibri" w:eastAsia="Calibri" w:hAnsi="Calibri" w:cs="Calibri"/>
                <w:b/>
                <w:sz w:val="24"/>
                <w:szCs w:val="24"/>
              </w:rPr>
              <w:t>Tel:</w:t>
            </w:r>
            <w:r>
              <w:rPr>
                <w:rFonts w:ascii="Calibri" w:eastAsia="Calibri" w:hAnsi="Calibri" w:cs="Calibri"/>
                <w:sz w:val="24"/>
                <w:szCs w:val="24"/>
              </w:rPr>
              <w:t xml:space="preserve"> </w:t>
            </w:r>
            <w:r w:rsidR="00A70FD8" w:rsidRPr="00A70FD8">
              <w:rPr>
                <w:color w:val="222222"/>
                <w:shd w:val="clear" w:color="auto" w:fill="FFFFFF"/>
              </w:rPr>
              <w:t>07867551957</w:t>
            </w:r>
          </w:p>
          <w:p w14:paraId="5FE624AA" w14:textId="4C31B8A2" w:rsidR="00124BF7" w:rsidRDefault="00B21209">
            <w:pPr>
              <w:widowControl w:val="0"/>
              <w:spacing w:line="240" w:lineRule="auto"/>
              <w:rPr>
                <w:rFonts w:ascii="Calibri" w:eastAsia="Calibri" w:hAnsi="Calibri" w:cs="Calibri"/>
                <w:sz w:val="24"/>
                <w:szCs w:val="24"/>
              </w:rPr>
            </w:pPr>
            <w:r>
              <w:rPr>
                <w:rFonts w:ascii="Calibri" w:eastAsia="Calibri" w:hAnsi="Calibri" w:cs="Calibri"/>
                <w:b/>
                <w:sz w:val="24"/>
                <w:szCs w:val="24"/>
              </w:rPr>
              <w:t>E-mail:</w:t>
            </w:r>
            <w:r>
              <w:rPr>
                <w:rFonts w:ascii="Calibri" w:eastAsia="Calibri" w:hAnsi="Calibri" w:cs="Calibri"/>
                <w:b/>
                <w:sz w:val="24"/>
                <w:szCs w:val="24"/>
              </w:rPr>
              <w:tab/>
              <w:t xml:space="preserve"> </w:t>
            </w:r>
            <w:r w:rsidR="00A07205">
              <w:rPr>
                <w:color w:val="222222"/>
                <w:shd w:val="clear" w:color="auto" w:fill="FFFFFF"/>
              </w:rPr>
              <w:t> </w:t>
            </w:r>
            <w:hyperlink r:id="rId10" w:history="1">
              <w:r w:rsidR="005E3E80" w:rsidRPr="005E3E80">
                <w:rPr>
                  <w:rStyle w:val="Hyperlink"/>
                  <w:shd w:val="clear" w:color="auto" w:fill="FFFFFF"/>
                </w:rPr>
                <w:t>dare2think@trials.bham.ac.uk</w:t>
              </w:r>
            </w:hyperlink>
          </w:p>
        </w:tc>
        <w:tc>
          <w:tcPr>
            <w:tcW w:w="4516" w:type="dxa"/>
            <w:shd w:val="clear" w:color="auto" w:fill="FFFFFF"/>
            <w:vAlign w:val="center"/>
          </w:tcPr>
          <w:p w14:paraId="5FE624AB" w14:textId="38576BAF" w:rsidR="00124BF7" w:rsidRDefault="00B21209">
            <w:pPr>
              <w:widowControl w:val="0"/>
              <w:spacing w:line="240" w:lineRule="auto"/>
              <w:rPr>
                <w:rFonts w:ascii="Calibri" w:eastAsia="Calibri" w:hAnsi="Calibri" w:cs="Calibri"/>
                <w:b/>
                <w:sz w:val="24"/>
                <w:szCs w:val="24"/>
              </w:rPr>
            </w:pPr>
            <w:r>
              <w:rPr>
                <w:rFonts w:ascii="Calibri" w:eastAsia="Calibri" w:hAnsi="Calibri" w:cs="Calibri"/>
                <w:b/>
                <w:sz w:val="24"/>
                <w:szCs w:val="24"/>
              </w:rPr>
              <w:t xml:space="preserve">CRN Study Lead: </w:t>
            </w:r>
            <w:r w:rsidR="00AF5FEC" w:rsidRPr="007B3834">
              <w:rPr>
                <w:rStyle w:val="Strong"/>
                <w:rFonts w:ascii="Calibri" w:hAnsi="Calibri" w:cs="Calibri"/>
                <w:color w:val="193E72"/>
                <w:sz w:val="20"/>
                <w:szCs w:val="20"/>
                <w:shd w:val="clear" w:color="auto" w:fill="FFFFFF"/>
              </w:rPr>
              <w:t>Sue Elwell</w:t>
            </w:r>
          </w:p>
          <w:p w14:paraId="5FE624AC" w14:textId="7480DD40" w:rsidR="00124BF7" w:rsidRDefault="00B21209">
            <w:pPr>
              <w:widowControl w:val="0"/>
              <w:spacing w:line="240" w:lineRule="auto"/>
              <w:rPr>
                <w:rFonts w:ascii="Calibri" w:eastAsia="Calibri" w:hAnsi="Calibri" w:cs="Calibri"/>
                <w:b/>
                <w:sz w:val="24"/>
                <w:szCs w:val="24"/>
              </w:rPr>
            </w:pPr>
            <w:r>
              <w:rPr>
                <w:rFonts w:ascii="Calibri" w:eastAsia="Calibri" w:hAnsi="Calibri" w:cs="Calibri"/>
                <w:b/>
                <w:sz w:val="24"/>
                <w:szCs w:val="24"/>
              </w:rPr>
              <w:t xml:space="preserve">Phone: </w:t>
            </w:r>
            <w:r w:rsidR="002C392F">
              <w:rPr>
                <w:color w:val="222222"/>
                <w:shd w:val="clear" w:color="auto" w:fill="FFFFFF"/>
              </w:rPr>
              <w:t>07920531254</w:t>
            </w:r>
          </w:p>
          <w:p w14:paraId="5FE624AD" w14:textId="410C51CF" w:rsidR="00124BF7" w:rsidRDefault="00B21209">
            <w:pPr>
              <w:widowControl w:val="0"/>
              <w:spacing w:line="240" w:lineRule="auto"/>
              <w:rPr>
                <w:rFonts w:ascii="Calibri" w:eastAsia="Calibri" w:hAnsi="Calibri" w:cs="Calibri"/>
                <w:sz w:val="24"/>
                <w:szCs w:val="24"/>
              </w:rPr>
            </w:pPr>
            <w:r>
              <w:rPr>
                <w:rFonts w:ascii="Calibri" w:eastAsia="Calibri" w:hAnsi="Calibri" w:cs="Calibri"/>
                <w:b/>
                <w:sz w:val="24"/>
                <w:szCs w:val="24"/>
              </w:rPr>
              <w:t xml:space="preserve">Email: </w:t>
            </w:r>
            <w:hyperlink r:id="rId11" w:history="1">
              <w:r w:rsidR="005E3E80" w:rsidRPr="005A1300">
                <w:rPr>
                  <w:rStyle w:val="Hyperlink"/>
                  <w:shd w:val="clear" w:color="auto" w:fill="FFFFFF"/>
                </w:rPr>
                <w:t>sue.elwell@nihr.ac.uk</w:t>
              </w:r>
            </w:hyperlink>
          </w:p>
        </w:tc>
      </w:tr>
    </w:tbl>
    <w:p w14:paraId="5FE624AF" w14:textId="77777777" w:rsidR="00124BF7" w:rsidRDefault="00124BF7">
      <w:pPr>
        <w:widowControl w:val="0"/>
        <w:spacing w:line="240" w:lineRule="auto"/>
        <w:rPr>
          <w:b/>
          <w:sz w:val="20"/>
          <w:szCs w:val="20"/>
        </w:rPr>
      </w:pPr>
    </w:p>
    <w:tbl>
      <w:tblPr>
        <w:tblStyle w:val="a0"/>
        <w:tblW w:w="10681"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020" w:firstRow="1" w:lastRow="0" w:firstColumn="0" w:lastColumn="0" w:noHBand="0" w:noVBand="0"/>
      </w:tblPr>
      <w:tblGrid>
        <w:gridCol w:w="2205"/>
        <w:gridCol w:w="8476"/>
      </w:tblGrid>
      <w:tr w:rsidR="00124BF7" w:rsidRPr="0018342E" w14:paraId="5FE624B4" w14:textId="77777777" w:rsidTr="000F43BE">
        <w:trPr>
          <w:trHeight w:val="622"/>
        </w:trPr>
        <w:tc>
          <w:tcPr>
            <w:tcW w:w="2205" w:type="dxa"/>
            <w:vAlign w:val="center"/>
          </w:tcPr>
          <w:p w14:paraId="5FE624B0" w14:textId="77777777" w:rsidR="00124BF7" w:rsidRPr="0018342E" w:rsidRDefault="00B21209" w:rsidP="0018342E">
            <w:pPr>
              <w:spacing w:line="240" w:lineRule="auto"/>
              <w:rPr>
                <w:rFonts w:asciiTheme="majorHAnsi" w:hAnsiTheme="majorHAnsi" w:cstheme="majorHAnsi"/>
                <w:b/>
                <w:sz w:val="24"/>
                <w:szCs w:val="24"/>
              </w:rPr>
            </w:pPr>
            <w:r w:rsidRPr="0018342E">
              <w:rPr>
                <w:rFonts w:asciiTheme="majorHAnsi" w:hAnsiTheme="majorHAnsi" w:cstheme="majorHAnsi"/>
                <w:b/>
                <w:sz w:val="24"/>
                <w:szCs w:val="24"/>
              </w:rPr>
              <w:t>Study</w:t>
            </w:r>
            <w:r w:rsidRPr="0018342E">
              <w:rPr>
                <w:rFonts w:asciiTheme="majorHAnsi" w:hAnsiTheme="majorHAnsi" w:cstheme="majorHAnsi"/>
                <w:sz w:val="24"/>
                <w:szCs w:val="24"/>
              </w:rPr>
              <w:t xml:space="preserve"> </w:t>
            </w:r>
            <w:r w:rsidRPr="0018342E">
              <w:rPr>
                <w:rFonts w:asciiTheme="majorHAnsi" w:hAnsiTheme="majorHAnsi" w:cstheme="majorHAnsi"/>
                <w:b/>
                <w:sz w:val="24"/>
                <w:szCs w:val="24"/>
              </w:rPr>
              <w:t>Title</w:t>
            </w:r>
          </w:p>
        </w:tc>
        <w:tc>
          <w:tcPr>
            <w:tcW w:w="8476" w:type="dxa"/>
            <w:vAlign w:val="center"/>
          </w:tcPr>
          <w:p w14:paraId="5FE624B3" w14:textId="37A0161C" w:rsidR="00124BF7" w:rsidRPr="0018342E" w:rsidRDefault="00896EAB" w:rsidP="0018342E">
            <w:pPr>
              <w:spacing w:line="240" w:lineRule="auto"/>
              <w:rPr>
                <w:rFonts w:asciiTheme="majorHAnsi" w:hAnsiTheme="majorHAnsi" w:cstheme="majorHAnsi"/>
                <w:sz w:val="24"/>
                <w:szCs w:val="24"/>
              </w:rPr>
            </w:pPr>
            <w:r w:rsidRPr="0018342E">
              <w:rPr>
                <w:rFonts w:asciiTheme="majorHAnsi" w:hAnsiTheme="majorHAnsi" w:cstheme="majorHAnsi"/>
                <w:color w:val="000000"/>
                <w:sz w:val="24"/>
                <w:szCs w:val="24"/>
              </w:rPr>
              <w:t>DaRe2THINK</w:t>
            </w:r>
          </w:p>
        </w:tc>
      </w:tr>
      <w:tr w:rsidR="00124BF7" w:rsidRPr="0018342E" w14:paraId="5FE624B7" w14:textId="77777777" w:rsidTr="000F43BE">
        <w:trPr>
          <w:trHeight w:val="276"/>
        </w:trPr>
        <w:tc>
          <w:tcPr>
            <w:tcW w:w="2205" w:type="dxa"/>
            <w:vAlign w:val="center"/>
          </w:tcPr>
          <w:p w14:paraId="5FE624B5" w14:textId="77777777" w:rsidR="00124BF7" w:rsidRPr="0018342E" w:rsidRDefault="00B21209" w:rsidP="0018342E">
            <w:pPr>
              <w:spacing w:line="240" w:lineRule="auto"/>
              <w:rPr>
                <w:rFonts w:asciiTheme="majorHAnsi" w:hAnsiTheme="majorHAnsi" w:cstheme="majorHAnsi"/>
                <w:b/>
                <w:sz w:val="24"/>
                <w:szCs w:val="24"/>
              </w:rPr>
            </w:pPr>
            <w:r w:rsidRPr="0018342E">
              <w:rPr>
                <w:rFonts w:asciiTheme="majorHAnsi" w:hAnsiTheme="majorHAnsi" w:cstheme="majorHAnsi"/>
                <w:b/>
                <w:sz w:val="24"/>
                <w:szCs w:val="24"/>
              </w:rPr>
              <w:t>IRAS Number</w:t>
            </w:r>
          </w:p>
        </w:tc>
        <w:tc>
          <w:tcPr>
            <w:tcW w:w="8476" w:type="dxa"/>
            <w:vAlign w:val="center"/>
          </w:tcPr>
          <w:p w14:paraId="5FE624B6" w14:textId="1B2EDA8E" w:rsidR="00124BF7" w:rsidRPr="0018342E" w:rsidRDefault="00387DF1" w:rsidP="0018342E">
            <w:pPr>
              <w:spacing w:line="240" w:lineRule="auto"/>
              <w:rPr>
                <w:rFonts w:asciiTheme="majorHAnsi" w:hAnsiTheme="majorHAnsi" w:cstheme="majorHAnsi"/>
                <w:sz w:val="24"/>
                <w:szCs w:val="24"/>
              </w:rPr>
            </w:pPr>
            <w:r w:rsidRPr="0018342E">
              <w:rPr>
                <w:rFonts w:asciiTheme="majorHAnsi" w:hAnsiTheme="majorHAnsi" w:cstheme="majorHAnsi"/>
                <w:sz w:val="24"/>
                <w:szCs w:val="24"/>
              </w:rPr>
              <w:t>290420</w:t>
            </w:r>
          </w:p>
        </w:tc>
      </w:tr>
      <w:tr w:rsidR="00124BF7" w:rsidRPr="0018342E" w14:paraId="5FE624BD" w14:textId="77777777" w:rsidTr="000F43BE">
        <w:trPr>
          <w:trHeight w:val="276"/>
        </w:trPr>
        <w:tc>
          <w:tcPr>
            <w:tcW w:w="2205" w:type="dxa"/>
            <w:vAlign w:val="center"/>
          </w:tcPr>
          <w:p w14:paraId="5FE624B8" w14:textId="77777777" w:rsidR="00124BF7" w:rsidRPr="0018342E" w:rsidRDefault="00124BF7" w:rsidP="0018342E">
            <w:pPr>
              <w:spacing w:line="240" w:lineRule="auto"/>
              <w:rPr>
                <w:rFonts w:asciiTheme="majorHAnsi" w:hAnsiTheme="majorHAnsi" w:cstheme="majorHAnsi"/>
                <w:b/>
                <w:sz w:val="24"/>
                <w:szCs w:val="24"/>
              </w:rPr>
            </w:pPr>
          </w:p>
          <w:p w14:paraId="5FE624B9" w14:textId="77777777" w:rsidR="00124BF7" w:rsidRPr="0018342E" w:rsidRDefault="00B21209" w:rsidP="0018342E">
            <w:pPr>
              <w:spacing w:line="240" w:lineRule="auto"/>
              <w:rPr>
                <w:rFonts w:asciiTheme="majorHAnsi" w:hAnsiTheme="majorHAnsi" w:cstheme="majorHAnsi"/>
                <w:b/>
                <w:sz w:val="24"/>
                <w:szCs w:val="24"/>
              </w:rPr>
            </w:pPr>
            <w:r w:rsidRPr="0018342E">
              <w:rPr>
                <w:rFonts w:asciiTheme="majorHAnsi" w:hAnsiTheme="majorHAnsi" w:cstheme="majorHAnsi"/>
                <w:b/>
                <w:sz w:val="24"/>
                <w:szCs w:val="24"/>
              </w:rPr>
              <w:t>Sponsor</w:t>
            </w:r>
          </w:p>
          <w:p w14:paraId="5FE624BA" w14:textId="77777777" w:rsidR="00124BF7" w:rsidRPr="0018342E" w:rsidRDefault="00124BF7" w:rsidP="0018342E">
            <w:pPr>
              <w:spacing w:line="240" w:lineRule="auto"/>
              <w:rPr>
                <w:rFonts w:asciiTheme="majorHAnsi" w:hAnsiTheme="majorHAnsi" w:cstheme="majorHAnsi"/>
                <w:b/>
                <w:sz w:val="24"/>
                <w:szCs w:val="24"/>
              </w:rPr>
            </w:pPr>
          </w:p>
        </w:tc>
        <w:tc>
          <w:tcPr>
            <w:tcW w:w="8476" w:type="dxa"/>
            <w:vAlign w:val="center"/>
          </w:tcPr>
          <w:p w14:paraId="5FE624BC" w14:textId="729BAEE4" w:rsidR="00124BF7" w:rsidRPr="0018342E" w:rsidRDefault="00EF09B7" w:rsidP="0018342E">
            <w:pPr>
              <w:spacing w:line="240" w:lineRule="auto"/>
              <w:rPr>
                <w:rFonts w:asciiTheme="majorHAnsi" w:hAnsiTheme="majorHAnsi" w:cstheme="majorHAnsi"/>
                <w:sz w:val="24"/>
                <w:szCs w:val="24"/>
              </w:rPr>
            </w:pPr>
            <w:r w:rsidRPr="0018342E">
              <w:rPr>
                <w:rFonts w:asciiTheme="majorHAnsi" w:hAnsiTheme="majorHAnsi" w:cstheme="majorHAnsi"/>
                <w:color w:val="000000"/>
                <w:sz w:val="24"/>
                <w:szCs w:val="24"/>
              </w:rPr>
              <w:t>University of Birmingham, UK</w:t>
            </w:r>
          </w:p>
        </w:tc>
      </w:tr>
      <w:tr w:rsidR="00124BF7" w:rsidRPr="0018342E" w14:paraId="5FE624C3" w14:textId="77777777" w:rsidTr="000F43BE">
        <w:trPr>
          <w:trHeight w:val="499"/>
        </w:trPr>
        <w:tc>
          <w:tcPr>
            <w:tcW w:w="2205" w:type="dxa"/>
            <w:vAlign w:val="center"/>
          </w:tcPr>
          <w:p w14:paraId="5FE624BE" w14:textId="77777777" w:rsidR="00124BF7" w:rsidRPr="0018342E" w:rsidRDefault="00124BF7" w:rsidP="0018342E">
            <w:pPr>
              <w:spacing w:line="240" w:lineRule="auto"/>
              <w:rPr>
                <w:rFonts w:asciiTheme="majorHAnsi" w:hAnsiTheme="majorHAnsi" w:cstheme="majorHAnsi"/>
                <w:b/>
                <w:sz w:val="24"/>
                <w:szCs w:val="24"/>
              </w:rPr>
            </w:pPr>
          </w:p>
          <w:p w14:paraId="5FE624BF" w14:textId="77777777" w:rsidR="00124BF7" w:rsidRPr="0018342E" w:rsidRDefault="00B21209" w:rsidP="0018342E">
            <w:pPr>
              <w:spacing w:line="240" w:lineRule="auto"/>
              <w:rPr>
                <w:rFonts w:asciiTheme="majorHAnsi" w:hAnsiTheme="majorHAnsi" w:cstheme="majorHAnsi"/>
                <w:b/>
                <w:sz w:val="24"/>
                <w:szCs w:val="24"/>
              </w:rPr>
            </w:pPr>
            <w:r w:rsidRPr="0018342E">
              <w:rPr>
                <w:rFonts w:asciiTheme="majorHAnsi" w:hAnsiTheme="majorHAnsi" w:cstheme="majorHAnsi"/>
                <w:b/>
                <w:sz w:val="24"/>
                <w:szCs w:val="24"/>
              </w:rPr>
              <w:t>Funders</w:t>
            </w:r>
          </w:p>
          <w:p w14:paraId="5FE624C0" w14:textId="77777777" w:rsidR="00124BF7" w:rsidRPr="0018342E" w:rsidRDefault="00124BF7" w:rsidP="0018342E">
            <w:pPr>
              <w:spacing w:line="240" w:lineRule="auto"/>
              <w:rPr>
                <w:rFonts w:asciiTheme="majorHAnsi" w:hAnsiTheme="majorHAnsi" w:cstheme="majorHAnsi"/>
                <w:b/>
                <w:sz w:val="24"/>
                <w:szCs w:val="24"/>
              </w:rPr>
            </w:pPr>
          </w:p>
        </w:tc>
        <w:tc>
          <w:tcPr>
            <w:tcW w:w="8476" w:type="dxa"/>
            <w:vAlign w:val="center"/>
          </w:tcPr>
          <w:p w14:paraId="5FE624C2" w14:textId="2CCD639D" w:rsidR="00124BF7" w:rsidRPr="0018342E" w:rsidRDefault="00306879" w:rsidP="0018342E">
            <w:pPr>
              <w:spacing w:line="240" w:lineRule="auto"/>
              <w:rPr>
                <w:rFonts w:asciiTheme="majorHAnsi" w:hAnsiTheme="majorHAnsi" w:cstheme="majorHAnsi"/>
                <w:sz w:val="24"/>
                <w:szCs w:val="24"/>
              </w:rPr>
            </w:pPr>
            <w:r w:rsidRPr="0018342E">
              <w:rPr>
                <w:rFonts w:asciiTheme="majorHAnsi" w:hAnsiTheme="majorHAnsi" w:cstheme="majorHAnsi"/>
                <w:color w:val="000000"/>
                <w:sz w:val="24"/>
                <w:szCs w:val="24"/>
              </w:rPr>
              <w:t>National Institute for Health Research (HTA 19/109 - NIHR130280)</w:t>
            </w:r>
          </w:p>
        </w:tc>
      </w:tr>
      <w:tr w:rsidR="00124BF7" w:rsidRPr="0018342E" w14:paraId="5FE624C8" w14:textId="77777777" w:rsidTr="000F43BE">
        <w:trPr>
          <w:trHeight w:val="276"/>
        </w:trPr>
        <w:tc>
          <w:tcPr>
            <w:tcW w:w="2205" w:type="dxa"/>
            <w:vAlign w:val="center"/>
          </w:tcPr>
          <w:p w14:paraId="5FE624C4" w14:textId="77777777" w:rsidR="00124BF7" w:rsidRPr="0018342E" w:rsidRDefault="00B21209" w:rsidP="0018342E">
            <w:pPr>
              <w:spacing w:line="240" w:lineRule="auto"/>
              <w:rPr>
                <w:rFonts w:asciiTheme="majorHAnsi" w:hAnsiTheme="majorHAnsi" w:cstheme="majorHAnsi"/>
                <w:b/>
                <w:sz w:val="24"/>
                <w:szCs w:val="24"/>
              </w:rPr>
            </w:pPr>
            <w:r w:rsidRPr="0018342E">
              <w:rPr>
                <w:rFonts w:asciiTheme="majorHAnsi" w:hAnsiTheme="majorHAnsi" w:cstheme="majorHAnsi"/>
                <w:b/>
                <w:sz w:val="24"/>
                <w:szCs w:val="24"/>
              </w:rPr>
              <w:t>Chief Investigator</w:t>
            </w:r>
          </w:p>
        </w:tc>
        <w:tc>
          <w:tcPr>
            <w:tcW w:w="8476" w:type="dxa"/>
            <w:vAlign w:val="center"/>
          </w:tcPr>
          <w:p w14:paraId="1FF8EAC5" w14:textId="77777777" w:rsidR="005C03DB" w:rsidRPr="0018342E" w:rsidRDefault="005C03DB" w:rsidP="0018342E">
            <w:pPr>
              <w:spacing w:before="120" w:after="120" w:line="240" w:lineRule="auto"/>
              <w:rPr>
                <w:rFonts w:asciiTheme="majorHAnsi" w:eastAsia="Times New Roman" w:hAnsiTheme="majorHAnsi" w:cstheme="majorHAnsi"/>
                <w:sz w:val="24"/>
                <w:szCs w:val="24"/>
              </w:rPr>
            </w:pPr>
            <w:r w:rsidRPr="0018342E">
              <w:rPr>
                <w:rFonts w:asciiTheme="majorHAnsi" w:eastAsia="Times New Roman" w:hAnsiTheme="majorHAnsi" w:cstheme="majorHAnsi"/>
                <w:color w:val="000000"/>
                <w:sz w:val="24"/>
                <w:szCs w:val="24"/>
              </w:rPr>
              <w:t xml:space="preserve">Dipak Kotecha (Chief Investigator), Professor of Cardiology, Institute of Cardiovascular Sciences, University of Birmingham &amp; Institute of Translational Medicine, University Hospitals Birmingham NHS Foundation Trust; Email: </w:t>
            </w:r>
            <w:hyperlink r:id="rId12" w:history="1">
              <w:r w:rsidRPr="0018342E">
                <w:rPr>
                  <w:rFonts w:asciiTheme="majorHAnsi" w:eastAsia="Times New Roman" w:hAnsiTheme="majorHAnsi" w:cstheme="majorHAnsi"/>
                  <w:color w:val="0000FF"/>
                  <w:sz w:val="24"/>
                  <w:szCs w:val="24"/>
                  <w:u w:val="single"/>
                </w:rPr>
                <w:t>d.kotecha@bham.ac.uk</w:t>
              </w:r>
            </w:hyperlink>
            <w:r w:rsidRPr="0018342E">
              <w:rPr>
                <w:rFonts w:asciiTheme="majorHAnsi" w:eastAsia="Times New Roman" w:hAnsiTheme="majorHAnsi" w:cstheme="majorHAnsi"/>
                <w:color w:val="000000"/>
                <w:sz w:val="24"/>
                <w:szCs w:val="24"/>
              </w:rPr>
              <w:t> </w:t>
            </w:r>
          </w:p>
          <w:p w14:paraId="5FE624C7" w14:textId="09C10A6B" w:rsidR="00124BF7" w:rsidRPr="0018342E" w:rsidRDefault="005C03DB" w:rsidP="0018342E">
            <w:pPr>
              <w:spacing w:line="240" w:lineRule="auto"/>
              <w:rPr>
                <w:rFonts w:asciiTheme="majorHAnsi" w:hAnsiTheme="majorHAnsi" w:cstheme="majorHAnsi"/>
                <w:sz w:val="24"/>
                <w:szCs w:val="24"/>
              </w:rPr>
            </w:pPr>
            <w:r w:rsidRPr="0018342E">
              <w:rPr>
                <w:rFonts w:asciiTheme="majorHAnsi" w:eastAsia="Times New Roman" w:hAnsiTheme="majorHAnsi" w:cstheme="majorHAnsi"/>
                <w:color w:val="000000"/>
                <w:sz w:val="24"/>
                <w:szCs w:val="24"/>
              </w:rPr>
              <w:t xml:space="preserve">David Shukla (Deputy Chief Investigator), General Practitioner &amp; Lead for the West Midlands Primary Care CRN team, Institute of Applied Health Research, University of Birmingham; Email: </w:t>
            </w:r>
            <w:hyperlink r:id="rId13" w:history="1">
              <w:r w:rsidRPr="0018342E">
                <w:rPr>
                  <w:rFonts w:asciiTheme="majorHAnsi" w:eastAsia="Times New Roman" w:hAnsiTheme="majorHAnsi" w:cstheme="majorHAnsi"/>
                  <w:color w:val="0000FF"/>
                  <w:sz w:val="24"/>
                  <w:szCs w:val="24"/>
                  <w:u w:val="single"/>
                </w:rPr>
                <w:t>david.shukla@nihr.ac.uk</w:t>
              </w:r>
            </w:hyperlink>
          </w:p>
        </w:tc>
      </w:tr>
      <w:tr w:rsidR="00124BF7" w:rsidRPr="0018342E" w14:paraId="5FE624CD" w14:textId="77777777" w:rsidTr="000F43BE">
        <w:trPr>
          <w:trHeight w:val="276"/>
        </w:trPr>
        <w:tc>
          <w:tcPr>
            <w:tcW w:w="2205" w:type="dxa"/>
            <w:vAlign w:val="center"/>
          </w:tcPr>
          <w:p w14:paraId="5FE624C9" w14:textId="77777777" w:rsidR="00124BF7" w:rsidRPr="0018342E" w:rsidRDefault="00B21209" w:rsidP="0018342E">
            <w:pPr>
              <w:spacing w:line="240" w:lineRule="auto"/>
              <w:rPr>
                <w:rFonts w:asciiTheme="majorHAnsi" w:hAnsiTheme="majorHAnsi" w:cstheme="majorHAnsi"/>
                <w:b/>
                <w:sz w:val="24"/>
                <w:szCs w:val="24"/>
              </w:rPr>
            </w:pPr>
            <w:r w:rsidRPr="0018342E">
              <w:rPr>
                <w:rFonts w:asciiTheme="majorHAnsi" w:hAnsiTheme="majorHAnsi" w:cstheme="majorHAnsi"/>
                <w:b/>
                <w:sz w:val="24"/>
                <w:szCs w:val="24"/>
              </w:rPr>
              <w:t>Study Design</w:t>
            </w:r>
          </w:p>
        </w:tc>
        <w:tc>
          <w:tcPr>
            <w:tcW w:w="8476" w:type="dxa"/>
            <w:vAlign w:val="center"/>
          </w:tcPr>
          <w:p w14:paraId="5FE624CC" w14:textId="5C3C1DE1" w:rsidR="00124BF7" w:rsidRPr="0018342E" w:rsidRDefault="00682E7E" w:rsidP="0018342E">
            <w:pPr>
              <w:spacing w:line="240" w:lineRule="auto"/>
              <w:rPr>
                <w:rFonts w:asciiTheme="majorHAnsi" w:hAnsiTheme="majorHAnsi" w:cstheme="majorHAnsi"/>
                <w:sz w:val="24"/>
                <w:szCs w:val="24"/>
              </w:rPr>
            </w:pPr>
            <w:r w:rsidRPr="0018342E">
              <w:rPr>
                <w:rFonts w:asciiTheme="majorHAnsi" w:hAnsiTheme="majorHAnsi" w:cstheme="majorHAnsi"/>
                <w:color w:val="000000"/>
                <w:sz w:val="24"/>
                <w:szCs w:val="24"/>
              </w:rPr>
              <w:t xml:space="preserve">DaRe2THINK is an individual-patient, randomised, parallel-group, open-label, event-driven superiority trial with 1:1 allocation to either </w:t>
            </w:r>
            <w:r w:rsidR="00C72BE7" w:rsidRPr="0018342E">
              <w:rPr>
                <w:rFonts w:asciiTheme="majorHAnsi" w:hAnsiTheme="majorHAnsi" w:cstheme="majorHAnsi"/>
                <w:color w:val="000000"/>
                <w:sz w:val="24"/>
                <w:szCs w:val="24"/>
              </w:rPr>
              <w:t xml:space="preserve">direct oral anticoagulant (DOAC) </w:t>
            </w:r>
            <w:r w:rsidRPr="0018342E">
              <w:rPr>
                <w:rFonts w:asciiTheme="majorHAnsi" w:hAnsiTheme="majorHAnsi" w:cstheme="majorHAnsi"/>
                <w:color w:val="000000"/>
                <w:sz w:val="24"/>
                <w:szCs w:val="24"/>
              </w:rPr>
              <w:t>or no added therapy.  A staged internal pilot programme is incorporated into the design of this Clinical Trial of an Investigational Medicinal Product (CTIMP).</w:t>
            </w:r>
          </w:p>
        </w:tc>
      </w:tr>
      <w:tr w:rsidR="00124BF7" w:rsidRPr="0018342E" w14:paraId="5FE624D2" w14:textId="77777777" w:rsidTr="000F43BE">
        <w:trPr>
          <w:trHeight w:val="664"/>
        </w:trPr>
        <w:tc>
          <w:tcPr>
            <w:tcW w:w="2205" w:type="dxa"/>
            <w:vAlign w:val="center"/>
          </w:tcPr>
          <w:p w14:paraId="5FE624CE" w14:textId="77777777" w:rsidR="00124BF7" w:rsidRPr="0018342E" w:rsidRDefault="00B21209" w:rsidP="0018342E">
            <w:pPr>
              <w:spacing w:line="240" w:lineRule="auto"/>
              <w:rPr>
                <w:rFonts w:asciiTheme="majorHAnsi" w:hAnsiTheme="majorHAnsi" w:cstheme="majorHAnsi"/>
                <w:b/>
                <w:sz w:val="24"/>
                <w:szCs w:val="24"/>
              </w:rPr>
            </w:pPr>
            <w:r w:rsidRPr="0018342E">
              <w:rPr>
                <w:rFonts w:asciiTheme="majorHAnsi" w:hAnsiTheme="majorHAnsi" w:cstheme="majorHAnsi"/>
                <w:b/>
                <w:sz w:val="24"/>
                <w:szCs w:val="24"/>
              </w:rPr>
              <w:t>Primary Study Aim &amp; Objectives</w:t>
            </w:r>
          </w:p>
        </w:tc>
        <w:tc>
          <w:tcPr>
            <w:tcW w:w="8476" w:type="dxa"/>
            <w:vAlign w:val="center"/>
          </w:tcPr>
          <w:p w14:paraId="5FE624D1" w14:textId="5F203A3A" w:rsidR="00124BF7" w:rsidRPr="0018342E" w:rsidRDefault="0018041B" w:rsidP="0018342E">
            <w:pPr>
              <w:spacing w:line="240" w:lineRule="auto"/>
              <w:rPr>
                <w:rFonts w:asciiTheme="majorHAnsi" w:hAnsiTheme="majorHAnsi" w:cstheme="majorHAnsi"/>
                <w:sz w:val="24"/>
                <w:szCs w:val="24"/>
              </w:rPr>
            </w:pPr>
            <w:r w:rsidRPr="0018342E">
              <w:rPr>
                <w:rFonts w:asciiTheme="majorHAnsi" w:hAnsiTheme="majorHAnsi" w:cstheme="majorHAnsi"/>
                <w:color w:val="000000"/>
                <w:sz w:val="24"/>
                <w:szCs w:val="24"/>
              </w:rPr>
              <w:t>DaRe2THINK will test the hypothesis that DOACs are effective</w:t>
            </w:r>
            <w:r w:rsidR="00A70FD8">
              <w:rPr>
                <w:rFonts w:asciiTheme="majorHAnsi" w:hAnsiTheme="majorHAnsi" w:cstheme="majorHAnsi"/>
                <w:color w:val="000000"/>
                <w:sz w:val="24"/>
                <w:szCs w:val="24"/>
              </w:rPr>
              <w:t xml:space="preserve"> at</w:t>
            </w:r>
            <w:r w:rsidR="00623F0E">
              <w:rPr>
                <w:rFonts w:asciiTheme="majorHAnsi" w:hAnsiTheme="majorHAnsi" w:cstheme="majorHAnsi"/>
                <w:color w:val="000000"/>
                <w:sz w:val="24"/>
                <w:szCs w:val="24"/>
              </w:rPr>
              <w:t xml:space="preserve"> </w:t>
            </w:r>
            <w:r w:rsidR="00A70FD8">
              <w:rPr>
                <w:rFonts w:asciiTheme="majorHAnsi" w:hAnsiTheme="majorHAnsi" w:cstheme="majorHAnsi"/>
                <w:color w:val="000000"/>
                <w:sz w:val="24"/>
                <w:szCs w:val="24"/>
              </w:rPr>
              <w:t>r</w:t>
            </w:r>
            <w:r w:rsidR="00623F0E" w:rsidRPr="00623F0E">
              <w:rPr>
                <w:rFonts w:asciiTheme="majorHAnsi" w:hAnsiTheme="majorHAnsi" w:cstheme="majorHAnsi"/>
                <w:color w:val="000000"/>
                <w:sz w:val="24"/>
                <w:szCs w:val="24"/>
              </w:rPr>
              <w:t>educ</w:t>
            </w:r>
            <w:r w:rsidR="00A70FD8">
              <w:rPr>
                <w:rFonts w:asciiTheme="majorHAnsi" w:hAnsiTheme="majorHAnsi" w:cstheme="majorHAnsi"/>
                <w:color w:val="000000"/>
                <w:sz w:val="24"/>
                <w:szCs w:val="24"/>
              </w:rPr>
              <w:t>ing</w:t>
            </w:r>
            <w:r w:rsidR="00623F0E" w:rsidRPr="00623F0E">
              <w:rPr>
                <w:rFonts w:asciiTheme="majorHAnsi" w:hAnsiTheme="majorHAnsi" w:cstheme="majorHAnsi"/>
                <w:color w:val="000000"/>
                <w:sz w:val="24"/>
                <w:szCs w:val="24"/>
              </w:rPr>
              <w:t xml:space="preserve"> thromboembolic events and vascular dementia compared to no treatment, </w:t>
            </w:r>
            <w:r w:rsidR="00A70FD8">
              <w:rPr>
                <w:rFonts w:asciiTheme="majorHAnsi" w:hAnsiTheme="majorHAnsi" w:cstheme="majorHAnsi"/>
                <w:color w:val="000000"/>
                <w:sz w:val="24"/>
                <w:szCs w:val="24"/>
              </w:rPr>
              <w:t>i</w:t>
            </w:r>
            <w:r w:rsidR="00A70FD8" w:rsidRPr="00A70FD8">
              <w:rPr>
                <w:rFonts w:asciiTheme="majorHAnsi" w:hAnsiTheme="majorHAnsi" w:cstheme="majorHAnsi"/>
                <w:color w:val="000000"/>
                <w:sz w:val="24"/>
                <w:szCs w:val="24"/>
              </w:rPr>
              <w:t>n patients with AF and a low or intermediate expected risk of stroke</w:t>
            </w:r>
            <w:r w:rsidR="00A70FD8">
              <w:rPr>
                <w:rFonts w:asciiTheme="majorHAnsi" w:hAnsiTheme="majorHAnsi" w:cstheme="majorHAnsi"/>
                <w:color w:val="000000"/>
                <w:sz w:val="24"/>
                <w:szCs w:val="24"/>
              </w:rPr>
              <w:t>.  Using a healthcare data approach to reduce the burden on both NHS staff and patients.</w:t>
            </w:r>
          </w:p>
        </w:tc>
      </w:tr>
      <w:tr w:rsidR="00124BF7" w:rsidRPr="0018342E" w14:paraId="5FE624D7" w14:textId="77777777" w:rsidTr="000F43BE">
        <w:trPr>
          <w:trHeight w:val="288"/>
        </w:trPr>
        <w:tc>
          <w:tcPr>
            <w:tcW w:w="2205" w:type="dxa"/>
            <w:vAlign w:val="center"/>
          </w:tcPr>
          <w:p w14:paraId="5FE624D3" w14:textId="77777777" w:rsidR="00124BF7" w:rsidRPr="0018342E" w:rsidRDefault="00B21209" w:rsidP="0018342E">
            <w:pPr>
              <w:spacing w:line="240" w:lineRule="auto"/>
              <w:rPr>
                <w:rFonts w:asciiTheme="majorHAnsi" w:hAnsiTheme="majorHAnsi" w:cstheme="majorHAnsi"/>
                <w:b/>
                <w:sz w:val="24"/>
                <w:szCs w:val="24"/>
              </w:rPr>
            </w:pPr>
            <w:r w:rsidRPr="0018342E">
              <w:rPr>
                <w:rFonts w:asciiTheme="majorHAnsi" w:hAnsiTheme="majorHAnsi" w:cstheme="majorHAnsi"/>
                <w:b/>
                <w:sz w:val="24"/>
                <w:szCs w:val="24"/>
              </w:rPr>
              <w:t>Total Recruitment Target</w:t>
            </w:r>
          </w:p>
        </w:tc>
        <w:tc>
          <w:tcPr>
            <w:tcW w:w="8476" w:type="dxa"/>
            <w:vAlign w:val="center"/>
          </w:tcPr>
          <w:p w14:paraId="5FE624D6" w14:textId="036E166E" w:rsidR="00124BF7" w:rsidRPr="0018342E" w:rsidRDefault="00CE0535" w:rsidP="0018342E">
            <w:pPr>
              <w:spacing w:line="240" w:lineRule="auto"/>
              <w:rPr>
                <w:rFonts w:asciiTheme="majorHAnsi" w:hAnsiTheme="majorHAnsi" w:cstheme="majorHAnsi"/>
                <w:sz w:val="24"/>
                <w:szCs w:val="24"/>
              </w:rPr>
            </w:pPr>
            <w:r w:rsidRPr="0018342E">
              <w:rPr>
                <w:rFonts w:asciiTheme="majorHAnsi" w:hAnsiTheme="majorHAnsi" w:cstheme="majorHAnsi"/>
                <w:sz w:val="24"/>
                <w:szCs w:val="24"/>
              </w:rPr>
              <w:t>3000</w:t>
            </w:r>
            <w:r w:rsidR="00B21209" w:rsidRPr="0018342E">
              <w:rPr>
                <w:rFonts w:asciiTheme="majorHAnsi" w:hAnsiTheme="majorHAnsi" w:cstheme="majorHAnsi"/>
                <w:sz w:val="24"/>
                <w:szCs w:val="24"/>
              </w:rPr>
              <w:t xml:space="preserve"> Nationally</w:t>
            </w:r>
          </w:p>
        </w:tc>
      </w:tr>
      <w:tr w:rsidR="00124BF7" w:rsidRPr="0018342E" w14:paraId="5FE624DE" w14:textId="77777777" w:rsidTr="000F43BE">
        <w:trPr>
          <w:trHeight w:val="288"/>
        </w:trPr>
        <w:tc>
          <w:tcPr>
            <w:tcW w:w="2205" w:type="dxa"/>
            <w:vAlign w:val="center"/>
          </w:tcPr>
          <w:p w14:paraId="5FE624D8" w14:textId="77777777" w:rsidR="00124BF7" w:rsidRPr="0018342E" w:rsidRDefault="00124BF7" w:rsidP="0018342E">
            <w:pPr>
              <w:spacing w:line="240" w:lineRule="auto"/>
              <w:rPr>
                <w:rFonts w:asciiTheme="majorHAnsi" w:hAnsiTheme="majorHAnsi" w:cstheme="majorHAnsi"/>
                <w:b/>
                <w:sz w:val="24"/>
                <w:szCs w:val="24"/>
              </w:rPr>
            </w:pPr>
          </w:p>
          <w:p w14:paraId="5FE624D9" w14:textId="0BFBBC46" w:rsidR="00124BF7" w:rsidRPr="0018342E" w:rsidRDefault="00B21209" w:rsidP="0018342E">
            <w:pPr>
              <w:spacing w:line="240" w:lineRule="auto"/>
              <w:rPr>
                <w:rFonts w:asciiTheme="majorHAnsi" w:hAnsiTheme="majorHAnsi" w:cstheme="majorHAnsi"/>
                <w:b/>
                <w:sz w:val="24"/>
                <w:szCs w:val="24"/>
              </w:rPr>
            </w:pPr>
            <w:r w:rsidRPr="0018342E">
              <w:rPr>
                <w:rFonts w:asciiTheme="majorHAnsi" w:hAnsiTheme="majorHAnsi" w:cstheme="majorHAnsi"/>
                <w:b/>
                <w:sz w:val="24"/>
                <w:szCs w:val="24"/>
              </w:rPr>
              <w:t>Practice/</w:t>
            </w:r>
            <w:r w:rsidR="00C57178" w:rsidRPr="0018342E">
              <w:rPr>
                <w:rFonts w:asciiTheme="majorHAnsi" w:hAnsiTheme="majorHAnsi" w:cstheme="majorHAnsi"/>
                <w:b/>
                <w:sz w:val="24"/>
                <w:szCs w:val="24"/>
              </w:rPr>
              <w:t>Site Target</w:t>
            </w:r>
          </w:p>
          <w:p w14:paraId="5FE624DA" w14:textId="77777777" w:rsidR="00124BF7" w:rsidRPr="0018342E" w:rsidRDefault="00124BF7" w:rsidP="0018342E">
            <w:pPr>
              <w:spacing w:line="240" w:lineRule="auto"/>
              <w:rPr>
                <w:rFonts w:asciiTheme="majorHAnsi" w:hAnsiTheme="majorHAnsi" w:cstheme="majorHAnsi"/>
                <w:b/>
                <w:sz w:val="24"/>
                <w:szCs w:val="24"/>
              </w:rPr>
            </w:pPr>
          </w:p>
        </w:tc>
        <w:tc>
          <w:tcPr>
            <w:tcW w:w="8476" w:type="dxa"/>
            <w:vAlign w:val="center"/>
          </w:tcPr>
          <w:p w14:paraId="5FE624DD" w14:textId="0B08F9FD" w:rsidR="00124BF7" w:rsidRPr="0018342E" w:rsidRDefault="00406742" w:rsidP="0018342E">
            <w:pPr>
              <w:spacing w:line="240" w:lineRule="auto"/>
              <w:rPr>
                <w:rFonts w:asciiTheme="majorHAnsi" w:hAnsiTheme="majorHAnsi" w:cstheme="majorHAnsi"/>
                <w:sz w:val="24"/>
                <w:szCs w:val="24"/>
              </w:rPr>
            </w:pPr>
            <w:r w:rsidRPr="0018342E">
              <w:rPr>
                <w:rFonts w:asciiTheme="majorHAnsi" w:hAnsiTheme="majorHAnsi" w:cstheme="majorHAnsi"/>
                <w:sz w:val="24"/>
                <w:szCs w:val="24"/>
              </w:rPr>
              <w:t>5</w:t>
            </w:r>
            <w:r w:rsidR="00B21209" w:rsidRPr="0018342E">
              <w:rPr>
                <w:rFonts w:asciiTheme="majorHAnsi" w:hAnsiTheme="majorHAnsi" w:cstheme="majorHAnsi"/>
                <w:sz w:val="24"/>
                <w:szCs w:val="24"/>
              </w:rPr>
              <w:t xml:space="preserve"> patients</w:t>
            </w:r>
          </w:p>
        </w:tc>
      </w:tr>
      <w:tr w:rsidR="00124BF7" w:rsidRPr="0018342E" w14:paraId="5FE624E3" w14:textId="77777777" w:rsidTr="000F43BE">
        <w:trPr>
          <w:trHeight w:val="254"/>
        </w:trPr>
        <w:tc>
          <w:tcPr>
            <w:tcW w:w="2205" w:type="dxa"/>
            <w:vAlign w:val="center"/>
          </w:tcPr>
          <w:p w14:paraId="5FE624DF" w14:textId="77777777" w:rsidR="00124BF7" w:rsidRPr="0018342E" w:rsidRDefault="00124BF7" w:rsidP="0018342E">
            <w:pPr>
              <w:spacing w:line="240" w:lineRule="auto"/>
              <w:rPr>
                <w:rFonts w:asciiTheme="majorHAnsi" w:hAnsiTheme="majorHAnsi" w:cstheme="majorHAnsi"/>
                <w:b/>
                <w:sz w:val="24"/>
                <w:szCs w:val="24"/>
              </w:rPr>
            </w:pPr>
          </w:p>
          <w:p w14:paraId="5FE624E0" w14:textId="77777777" w:rsidR="00124BF7" w:rsidRPr="0018342E" w:rsidRDefault="00B21209" w:rsidP="0018342E">
            <w:pPr>
              <w:spacing w:line="240" w:lineRule="auto"/>
              <w:rPr>
                <w:rFonts w:asciiTheme="majorHAnsi" w:hAnsiTheme="majorHAnsi" w:cstheme="majorHAnsi"/>
                <w:b/>
                <w:sz w:val="24"/>
                <w:szCs w:val="24"/>
              </w:rPr>
            </w:pPr>
            <w:r w:rsidRPr="0018342E">
              <w:rPr>
                <w:rFonts w:asciiTheme="majorHAnsi" w:hAnsiTheme="majorHAnsi" w:cstheme="majorHAnsi"/>
                <w:b/>
                <w:sz w:val="24"/>
                <w:szCs w:val="24"/>
              </w:rPr>
              <w:t>Recruitment Period</w:t>
            </w:r>
          </w:p>
          <w:p w14:paraId="5FE624E1" w14:textId="77777777" w:rsidR="00124BF7" w:rsidRPr="0018342E" w:rsidRDefault="00124BF7" w:rsidP="0018342E">
            <w:pPr>
              <w:spacing w:line="240" w:lineRule="auto"/>
              <w:rPr>
                <w:rFonts w:asciiTheme="majorHAnsi" w:hAnsiTheme="majorHAnsi" w:cstheme="majorHAnsi"/>
                <w:b/>
                <w:sz w:val="24"/>
                <w:szCs w:val="24"/>
              </w:rPr>
            </w:pPr>
          </w:p>
        </w:tc>
        <w:tc>
          <w:tcPr>
            <w:tcW w:w="8476" w:type="dxa"/>
            <w:vAlign w:val="center"/>
          </w:tcPr>
          <w:p w14:paraId="5FE624E2" w14:textId="05AB2A52" w:rsidR="00124BF7" w:rsidRPr="0018342E" w:rsidRDefault="006A3619" w:rsidP="0018342E">
            <w:pPr>
              <w:spacing w:line="240" w:lineRule="auto"/>
              <w:rPr>
                <w:rFonts w:asciiTheme="majorHAnsi" w:hAnsiTheme="majorHAnsi" w:cstheme="majorHAnsi"/>
                <w:sz w:val="24"/>
                <w:szCs w:val="24"/>
              </w:rPr>
            </w:pPr>
            <w:r w:rsidRPr="0018342E">
              <w:rPr>
                <w:rFonts w:asciiTheme="majorHAnsi" w:hAnsiTheme="majorHAnsi" w:cstheme="majorHAnsi"/>
                <w:sz w:val="24"/>
                <w:szCs w:val="24"/>
              </w:rPr>
              <w:t>01</w:t>
            </w:r>
            <w:r w:rsidR="00B21209" w:rsidRPr="0018342E">
              <w:rPr>
                <w:rFonts w:asciiTheme="majorHAnsi" w:hAnsiTheme="majorHAnsi" w:cstheme="majorHAnsi"/>
                <w:sz w:val="24"/>
                <w:szCs w:val="24"/>
              </w:rPr>
              <w:t>/</w:t>
            </w:r>
            <w:r w:rsidRPr="0018342E">
              <w:rPr>
                <w:rFonts w:asciiTheme="majorHAnsi" w:hAnsiTheme="majorHAnsi" w:cstheme="majorHAnsi"/>
                <w:sz w:val="24"/>
                <w:szCs w:val="24"/>
              </w:rPr>
              <w:t>0</w:t>
            </w:r>
            <w:r w:rsidR="00A70FD8">
              <w:rPr>
                <w:rFonts w:asciiTheme="majorHAnsi" w:hAnsiTheme="majorHAnsi" w:cstheme="majorHAnsi"/>
                <w:sz w:val="24"/>
                <w:szCs w:val="24"/>
              </w:rPr>
              <w:t>6</w:t>
            </w:r>
            <w:r w:rsidR="00B21209" w:rsidRPr="0018342E">
              <w:rPr>
                <w:rFonts w:asciiTheme="majorHAnsi" w:hAnsiTheme="majorHAnsi" w:cstheme="majorHAnsi"/>
                <w:sz w:val="24"/>
                <w:szCs w:val="24"/>
              </w:rPr>
              <w:t>/</w:t>
            </w:r>
            <w:r w:rsidRPr="0018342E">
              <w:rPr>
                <w:rFonts w:asciiTheme="majorHAnsi" w:hAnsiTheme="majorHAnsi" w:cstheme="majorHAnsi"/>
                <w:sz w:val="24"/>
                <w:szCs w:val="24"/>
              </w:rPr>
              <w:t>2021</w:t>
            </w:r>
            <w:r w:rsidR="00B21209" w:rsidRPr="0018342E">
              <w:rPr>
                <w:rFonts w:asciiTheme="majorHAnsi" w:hAnsiTheme="majorHAnsi" w:cstheme="majorHAnsi"/>
                <w:sz w:val="24"/>
                <w:szCs w:val="24"/>
              </w:rPr>
              <w:t xml:space="preserve"> to </w:t>
            </w:r>
            <w:r w:rsidRPr="0018342E">
              <w:rPr>
                <w:rFonts w:asciiTheme="majorHAnsi" w:hAnsiTheme="majorHAnsi" w:cstheme="majorHAnsi"/>
                <w:sz w:val="24"/>
                <w:szCs w:val="24"/>
              </w:rPr>
              <w:t>01</w:t>
            </w:r>
            <w:r w:rsidR="00B21209" w:rsidRPr="0018342E">
              <w:rPr>
                <w:rFonts w:asciiTheme="majorHAnsi" w:hAnsiTheme="majorHAnsi" w:cstheme="majorHAnsi"/>
                <w:sz w:val="24"/>
                <w:szCs w:val="24"/>
              </w:rPr>
              <w:t>/</w:t>
            </w:r>
            <w:r w:rsidRPr="0018342E">
              <w:rPr>
                <w:rFonts w:asciiTheme="majorHAnsi" w:hAnsiTheme="majorHAnsi" w:cstheme="majorHAnsi"/>
                <w:sz w:val="24"/>
                <w:szCs w:val="24"/>
              </w:rPr>
              <w:t>0</w:t>
            </w:r>
            <w:r w:rsidR="00A70FD8">
              <w:rPr>
                <w:rFonts w:asciiTheme="majorHAnsi" w:hAnsiTheme="majorHAnsi" w:cstheme="majorHAnsi"/>
                <w:sz w:val="24"/>
                <w:szCs w:val="24"/>
              </w:rPr>
              <w:t>6</w:t>
            </w:r>
            <w:r w:rsidR="00B21209" w:rsidRPr="0018342E">
              <w:rPr>
                <w:rFonts w:asciiTheme="majorHAnsi" w:hAnsiTheme="majorHAnsi" w:cstheme="majorHAnsi"/>
                <w:sz w:val="24"/>
                <w:szCs w:val="24"/>
              </w:rPr>
              <w:t>/</w:t>
            </w:r>
            <w:r w:rsidRPr="0018342E">
              <w:rPr>
                <w:rFonts w:asciiTheme="majorHAnsi" w:hAnsiTheme="majorHAnsi" w:cstheme="majorHAnsi"/>
                <w:sz w:val="24"/>
                <w:szCs w:val="24"/>
              </w:rPr>
              <w:t>2023</w:t>
            </w:r>
            <w:r w:rsidR="00B21209" w:rsidRPr="0018342E">
              <w:rPr>
                <w:rFonts w:asciiTheme="majorHAnsi" w:hAnsiTheme="majorHAnsi" w:cstheme="majorHAnsi"/>
                <w:sz w:val="24"/>
                <w:szCs w:val="24"/>
              </w:rPr>
              <w:t>.  [</w:t>
            </w:r>
            <w:r w:rsidR="00122B4A" w:rsidRPr="0018342E">
              <w:rPr>
                <w:rFonts w:asciiTheme="majorHAnsi" w:hAnsiTheme="majorHAnsi" w:cstheme="majorHAnsi"/>
                <w:color w:val="000000"/>
                <w:sz w:val="24"/>
                <w:szCs w:val="24"/>
              </w:rPr>
              <w:t>Study follow up will be conducted through yearly data extraction from the patient's electronic health records by CPRD.  Follow up will continue for 5 years after recruitment</w:t>
            </w:r>
            <w:r w:rsidR="00B21209" w:rsidRPr="0018342E">
              <w:rPr>
                <w:rFonts w:asciiTheme="majorHAnsi" w:hAnsiTheme="majorHAnsi" w:cstheme="majorHAnsi"/>
                <w:sz w:val="24"/>
                <w:szCs w:val="24"/>
              </w:rPr>
              <w:t>]</w:t>
            </w:r>
          </w:p>
        </w:tc>
      </w:tr>
      <w:tr w:rsidR="00124BF7" w:rsidRPr="0018342E" w14:paraId="5FE624E8" w14:textId="77777777" w:rsidTr="000F43BE">
        <w:trPr>
          <w:trHeight w:val="463"/>
        </w:trPr>
        <w:tc>
          <w:tcPr>
            <w:tcW w:w="2205" w:type="dxa"/>
            <w:vAlign w:val="center"/>
          </w:tcPr>
          <w:p w14:paraId="5FE624E5" w14:textId="0B066194" w:rsidR="00124BF7" w:rsidRPr="0018342E" w:rsidRDefault="00B21209" w:rsidP="0018342E">
            <w:pPr>
              <w:spacing w:line="240" w:lineRule="auto"/>
              <w:rPr>
                <w:rFonts w:asciiTheme="majorHAnsi" w:hAnsiTheme="majorHAnsi" w:cstheme="majorHAnsi"/>
                <w:b/>
                <w:sz w:val="24"/>
                <w:szCs w:val="24"/>
              </w:rPr>
            </w:pPr>
            <w:r w:rsidRPr="0018342E">
              <w:rPr>
                <w:rFonts w:asciiTheme="majorHAnsi" w:hAnsiTheme="majorHAnsi" w:cstheme="majorHAnsi"/>
                <w:b/>
                <w:sz w:val="24"/>
                <w:szCs w:val="24"/>
              </w:rPr>
              <w:t xml:space="preserve">Eligibility Criteria  </w:t>
            </w:r>
          </w:p>
        </w:tc>
        <w:tc>
          <w:tcPr>
            <w:tcW w:w="8476" w:type="dxa"/>
            <w:vAlign w:val="center"/>
          </w:tcPr>
          <w:p w14:paraId="2BFCEAAC" w14:textId="77777777" w:rsidR="00346EC5" w:rsidRPr="0018342E" w:rsidRDefault="00346EC5" w:rsidP="0018342E">
            <w:pPr>
              <w:pStyle w:val="ListParagraph"/>
              <w:numPr>
                <w:ilvl w:val="0"/>
                <w:numId w:val="5"/>
              </w:numPr>
              <w:spacing w:after="120" w:line="240" w:lineRule="auto"/>
              <w:textAlignment w:val="baseline"/>
              <w:rPr>
                <w:rFonts w:asciiTheme="majorHAnsi" w:eastAsia="Times New Roman" w:hAnsiTheme="majorHAnsi" w:cstheme="majorHAnsi"/>
                <w:color w:val="000000"/>
                <w:sz w:val="24"/>
                <w:szCs w:val="24"/>
              </w:rPr>
            </w:pPr>
            <w:r w:rsidRPr="0018342E">
              <w:rPr>
                <w:rFonts w:asciiTheme="majorHAnsi" w:eastAsia="Times New Roman" w:hAnsiTheme="majorHAnsi" w:cstheme="majorHAnsi"/>
                <w:color w:val="000000"/>
                <w:sz w:val="24"/>
                <w:szCs w:val="24"/>
              </w:rPr>
              <w:t>Diagnosis of AF (previous, current or chronic).</w:t>
            </w:r>
          </w:p>
          <w:p w14:paraId="5FE624E7" w14:textId="07B8BBBD" w:rsidR="00124BF7" w:rsidRPr="0018342E" w:rsidRDefault="00346EC5" w:rsidP="0018342E">
            <w:pPr>
              <w:pStyle w:val="ListParagraph"/>
              <w:numPr>
                <w:ilvl w:val="0"/>
                <w:numId w:val="5"/>
              </w:numPr>
              <w:spacing w:after="120" w:line="240" w:lineRule="auto"/>
              <w:textAlignment w:val="baseline"/>
              <w:rPr>
                <w:rFonts w:asciiTheme="majorHAnsi" w:eastAsia="Times New Roman" w:hAnsiTheme="majorHAnsi" w:cstheme="majorHAnsi"/>
                <w:color w:val="000000"/>
                <w:sz w:val="24"/>
                <w:szCs w:val="24"/>
              </w:rPr>
            </w:pPr>
            <w:r w:rsidRPr="0018342E">
              <w:rPr>
                <w:rFonts w:asciiTheme="majorHAnsi" w:eastAsia="Times New Roman" w:hAnsiTheme="majorHAnsi" w:cstheme="majorHAnsi"/>
                <w:color w:val="000000"/>
                <w:sz w:val="24"/>
                <w:szCs w:val="24"/>
              </w:rPr>
              <w:t>Age at enrolment ≥60 years to ≤73 years.</w:t>
            </w:r>
          </w:p>
        </w:tc>
      </w:tr>
      <w:tr w:rsidR="00124BF7" w:rsidRPr="0018342E" w14:paraId="5FE624EC" w14:textId="77777777" w:rsidTr="000F43BE">
        <w:trPr>
          <w:trHeight w:val="345"/>
        </w:trPr>
        <w:tc>
          <w:tcPr>
            <w:tcW w:w="2205" w:type="dxa"/>
            <w:vAlign w:val="center"/>
          </w:tcPr>
          <w:p w14:paraId="5FE624EA" w14:textId="6C344742" w:rsidR="00124BF7" w:rsidRPr="0018342E" w:rsidRDefault="00B21209" w:rsidP="0018342E">
            <w:pPr>
              <w:spacing w:line="240" w:lineRule="auto"/>
              <w:rPr>
                <w:rFonts w:asciiTheme="majorHAnsi" w:hAnsiTheme="majorHAnsi" w:cstheme="majorHAnsi"/>
                <w:b/>
                <w:sz w:val="24"/>
                <w:szCs w:val="24"/>
              </w:rPr>
            </w:pPr>
            <w:r w:rsidRPr="0018342E">
              <w:rPr>
                <w:rFonts w:asciiTheme="majorHAnsi" w:hAnsiTheme="majorHAnsi" w:cstheme="majorHAnsi"/>
                <w:b/>
                <w:sz w:val="24"/>
                <w:szCs w:val="24"/>
              </w:rPr>
              <w:t xml:space="preserve">Exclusion Criteria  </w:t>
            </w:r>
          </w:p>
        </w:tc>
        <w:tc>
          <w:tcPr>
            <w:tcW w:w="8476" w:type="dxa"/>
            <w:shd w:val="clear" w:color="auto" w:fill="FFFFFF"/>
            <w:vAlign w:val="center"/>
          </w:tcPr>
          <w:p w14:paraId="614B9E7B" w14:textId="77777777" w:rsidR="003012A5" w:rsidRPr="0018342E" w:rsidRDefault="003012A5" w:rsidP="0018342E">
            <w:pPr>
              <w:pStyle w:val="NormalWeb"/>
              <w:numPr>
                <w:ilvl w:val="0"/>
                <w:numId w:val="6"/>
              </w:numPr>
              <w:spacing w:before="0" w:beforeAutospacing="0" w:after="120" w:afterAutospacing="0"/>
              <w:textAlignment w:val="baseline"/>
              <w:rPr>
                <w:rFonts w:asciiTheme="majorHAnsi" w:hAnsiTheme="majorHAnsi" w:cstheme="majorHAnsi"/>
                <w:color w:val="000000"/>
              </w:rPr>
            </w:pPr>
            <w:r w:rsidRPr="0018342E">
              <w:rPr>
                <w:rFonts w:asciiTheme="majorHAnsi" w:hAnsiTheme="majorHAnsi" w:cstheme="majorHAnsi"/>
                <w:color w:val="000000"/>
              </w:rPr>
              <w:t>Existing use of an anticoagulant.</w:t>
            </w:r>
          </w:p>
          <w:p w14:paraId="2D0BC201" w14:textId="77777777" w:rsidR="003012A5" w:rsidRPr="0018342E" w:rsidRDefault="003012A5" w:rsidP="0018342E">
            <w:pPr>
              <w:pStyle w:val="NormalWeb"/>
              <w:numPr>
                <w:ilvl w:val="0"/>
                <w:numId w:val="6"/>
              </w:numPr>
              <w:spacing w:before="0" w:beforeAutospacing="0" w:after="120" w:afterAutospacing="0"/>
              <w:textAlignment w:val="baseline"/>
              <w:rPr>
                <w:rFonts w:asciiTheme="majorHAnsi" w:hAnsiTheme="majorHAnsi" w:cstheme="majorHAnsi"/>
                <w:color w:val="000000"/>
              </w:rPr>
            </w:pPr>
            <w:r w:rsidRPr="0018342E">
              <w:rPr>
                <w:rFonts w:asciiTheme="majorHAnsi" w:hAnsiTheme="majorHAnsi" w:cstheme="majorHAnsi"/>
                <w:color w:val="000000"/>
              </w:rPr>
              <w:t>Another clinical indication for anticoagulation.</w:t>
            </w:r>
          </w:p>
          <w:p w14:paraId="371E7ABA" w14:textId="77777777" w:rsidR="003012A5" w:rsidRPr="0018342E" w:rsidRDefault="003012A5" w:rsidP="0018342E">
            <w:pPr>
              <w:pStyle w:val="NormalWeb"/>
              <w:numPr>
                <w:ilvl w:val="0"/>
                <w:numId w:val="6"/>
              </w:numPr>
              <w:spacing w:before="0" w:beforeAutospacing="0" w:after="120" w:afterAutospacing="0"/>
              <w:textAlignment w:val="baseline"/>
              <w:rPr>
                <w:rFonts w:asciiTheme="majorHAnsi" w:hAnsiTheme="majorHAnsi" w:cstheme="majorHAnsi"/>
                <w:color w:val="000000"/>
              </w:rPr>
            </w:pPr>
            <w:r w:rsidRPr="0018342E">
              <w:rPr>
                <w:rFonts w:asciiTheme="majorHAnsi" w:hAnsiTheme="majorHAnsi" w:cstheme="majorHAnsi"/>
                <w:color w:val="000000"/>
              </w:rPr>
              <w:t>Hypersensitivity or known intolerance to direct oral anticoagulants.</w:t>
            </w:r>
          </w:p>
          <w:p w14:paraId="27570DA9" w14:textId="77777777" w:rsidR="003012A5" w:rsidRPr="0018342E" w:rsidRDefault="003012A5" w:rsidP="0018342E">
            <w:pPr>
              <w:pStyle w:val="NormalWeb"/>
              <w:numPr>
                <w:ilvl w:val="0"/>
                <w:numId w:val="6"/>
              </w:numPr>
              <w:spacing w:before="0" w:beforeAutospacing="0" w:after="120" w:afterAutospacing="0"/>
              <w:textAlignment w:val="baseline"/>
              <w:rPr>
                <w:rFonts w:asciiTheme="majorHAnsi" w:hAnsiTheme="majorHAnsi" w:cstheme="majorHAnsi"/>
                <w:color w:val="000000"/>
              </w:rPr>
            </w:pPr>
            <w:r w:rsidRPr="0018342E">
              <w:rPr>
                <w:rFonts w:asciiTheme="majorHAnsi" w:hAnsiTheme="majorHAnsi" w:cstheme="majorHAnsi"/>
                <w:color w:val="000000"/>
              </w:rPr>
              <w:t>Prior documented stroke, transient ischaemic attack or thromboembolism. </w:t>
            </w:r>
          </w:p>
          <w:p w14:paraId="51B3C8F0" w14:textId="77777777" w:rsidR="003012A5" w:rsidRPr="0018342E" w:rsidRDefault="003012A5" w:rsidP="0018342E">
            <w:pPr>
              <w:pStyle w:val="NormalWeb"/>
              <w:numPr>
                <w:ilvl w:val="0"/>
                <w:numId w:val="6"/>
              </w:numPr>
              <w:spacing w:before="0" w:beforeAutospacing="0" w:after="120" w:afterAutospacing="0"/>
              <w:textAlignment w:val="baseline"/>
              <w:rPr>
                <w:rFonts w:asciiTheme="majorHAnsi" w:hAnsiTheme="majorHAnsi" w:cstheme="majorHAnsi"/>
                <w:color w:val="000000"/>
              </w:rPr>
            </w:pPr>
            <w:r w:rsidRPr="0018342E">
              <w:rPr>
                <w:rFonts w:asciiTheme="majorHAnsi" w:hAnsiTheme="majorHAnsi" w:cstheme="majorHAnsi"/>
                <w:color w:val="000000"/>
              </w:rPr>
              <w:t>Two or more CHA</w:t>
            </w:r>
            <w:r w:rsidRPr="0018342E">
              <w:rPr>
                <w:rFonts w:asciiTheme="majorHAnsi" w:hAnsiTheme="majorHAnsi" w:cstheme="majorHAnsi"/>
                <w:color w:val="000000"/>
                <w:vertAlign w:val="subscript"/>
              </w:rPr>
              <w:t>2</w:t>
            </w:r>
            <w:r w:rsidRPr="0018342E">
              <w:rPr>
                <w:rFonts w:asciiTheme="majorHAnsi" w:hAnsiTheme="majorHAnsi" w:cstheme="majorHAnsi"/>
                <w:color w:val="000000"/>
              </w:rPr>
              <w:t>DS</w:t>
            </w:r>
            <w:r w:rsidRPr="0018342E">
              <w:rPr>
                <w:rFonts w:asciiTheme="majorHAnsi" w:hAnsiTheme="majorHAnsi" w:cstheme="majorHAnsi"/>
                <w:color w:val="000000"/>
                <w:vertAlign w:val="subscript"/>
              </w:rPr>
              <w:t>2</w:t>
            </w:r>
            <w:r w:rsidRPr="0018342E">
              <w:rPr>
                <w:rFonts w:asciiTheme="majorHAnsi" w:hAnsiTheme="majorHAnsi" w:cstheme="majorHAnsi"/>
                <w:color w:val="000000"/>
              </w:rPr>
              <w:t>-VASc one-point risk factors indicating a risk of stroke or thromboembolism: Heart failure*; Hypertension*; Age 65 years or older; Diabetes mellitus*; Previous myocardial infarction, peripheral artery disease or aortic plaque; and/or Female gender</w:t>
            </w:r>
            <w:r w:rsidRPr="0018342E">
              <w:rPr>
                <w:rFonts w:asciiTheme="majorHAnsi" w:hAnsiTheme="majorHAnsi" w:cstheme="majorHAnsi"/>
                <w:color w:val="000000"/>
                <w:vertAlign w:val="superscript"/>
              </w:rPr>
              <w:t>†</w:t>
            </w:r>
            <w:r w:rsidRPr="0018342E">
              <w:rPr>
                <w:rFonts w:asciiTheme="majorHAnsi" w:hAnsiTheme="majorHAnsi" w:cstheme="majorHAnsi"/>
                <w:color w:val="000000"/>
              </w:rPr>
              <w:t>.</w:t>
            </w:r>
          </w:p>
          <w:p w14:paraId="79307008" w14:textId="77777777" w:rsidR="003012A5" w:rsidRPr="0018342E" w:rsidRDefault="003012A5" w:rsidP="0018342E">
            <w:pPr>
              <w:pStyle w:val="NormalWeb"/>
              <w:numPr>
                <w:ilvl w:val="0"/>
                <w:numId w:val="6"/>
              </w:numPr>
              <w:spacing w:before="0" w:beforeAutospacing="0" w:after="120" w:afterAutospacing="0"/>
              <w:textAlignment w:val="baseline"/>
              <w:rPr>
                <w:rFonts w:asciiTheme="majorHAnsi" w:hAnsiTheme="majorHAnsi" w:cstheme="majorHAnsi"/>
                <w:color w:val="000000"/>
              </w:rPr>
            </w:pPr>
            <w:r w:rsidRPr="0018342E">
              <w:rPr>
                <w:rFonts w:asciiTheme="majorHAnsi" w:hAnsiTheme="majorHAnsi" w:cstheme="majorHAnsi"/>
                <w:color w:val="000000"/>
              </w:rPr>
              <w:t>Active clinically-significant bleeding.</w:t>
            </w:r>
          </w:p>
          <w:p w14:paraId="5246E2BC" w14:textId="77777777" w:rsidR="003012A5" w:rsidRPr="0018342E" w:rsidRDefault="003012A5" w:rsidP="0018342E">
            <w:pPr>
              <w:pStyle w:val="NormalWeb"/>
              <w:numPr>
                <w:ilvl w:val="0"/>
                <w:numId w:val="6"/>
              </w:numPr>
              <w:spacing w:before="0" w:beforeAutospacing="0" w:after="120" w:afterAutospacing="0"/>
              <w:textAlignment w:val="baseline"/>
              <w:rPr>
                <w:rFonts w:asciiTheme="majorHAnsi" w:hAnsiTheme="majorHAnsi" w:cstheme="majorHAnsi"/>
                <w:color w:val="000000"/>
              </w:rPr>
            </w:pPr>
            <w:r w:rsidRPr="0018342E">
              <w:rPr>
                <w:rFonts w:asciiTheme="majorHAnsi" w:hAnsiTheme="majorHAnsi" w:cstheme="majorHAnsi"/>
                <w:color w:val="000000"/>
              </w:rPr>
              <w:t>Prior major bleeding, defined as any intracranial bleed, or bleeding that resulted in a drop in haemoglobin ≥2g/dL, required hospitalisation or transfusion.</w:t>
            </w:r>
          </w:p>
          <w:p w14:paraId="04751BA5" w14:textId="77777777" w:rsidR="003012A5" w:rsidRPr="0018342E" w:rsidRDefault="003012A5" w:rsidP="0018342E">
            <w:pPr>
              <w:pStyle w:val="NormalWeb"/>
              <w:numPr>
                <w:ilvl w:val="0"/>
                <w:numId w:val="6"/>
              </w:numPr>
              <w:spacing w:before="0" w:beforeAutospacing="0" w:after="120" w:afterAutospacing="0"/>
              <w:textAlignment w:val="baseline"/>
              <w:rPr>
                <w:rFonts w:asciiTheme="majorHAnsi" w:hAnsiTheme="majorHAnsi" w:cstheme="majorHAnsi"/>
                <w:color w:val="000000"/>
              </w:rPr>
            </w:pPr>
            <w:r w:rsidRPr="0018342E">
              <w:rPr>
                <w:rFonts w:asciiTheme="majorHAnsi" w:hAnsiTheme="majorHAnsi" w:cstheme="majorHAnsi"/>
                <w:color w:val="000000"/>
              </w:rPr>
              <w:t>Condition that poses a significant risk for bleeding (within 12 months) including gastrointestinal ulceration, brain/spinal/ophthalmic injury or surgery, arteriovenous malformations or vascular aneurysms, major intraspinal or intracerebral vascular abnormalities, hepatic disease associated with coagulopathy, known or suspected oesophageal varices, and cancers with high bleeding risk.</w:t>
            </w:r>
          </w:p>
          <w:p w14:paraId="1BB23826" w14:textId="77777777" w:rsidR="003012A5" w:rsidRPr="0018342E" w:rsidRDefault="003012A5" w:rsidP="0018342E">
            <w:pPr>
              <w:pStyle w:val="NormalWeb"/>
              <w:numPr>
                <w:ilvl w:val="0"/>
                <w:numId w:val="6"/>
              </w:numPr>
              <w:spacing w:before="0" w:beforeAutospacing="0" w:after="120" w:afterAutospacing="0"/>
              <w:textAlignment w:val="baseline"/>
              <w:rPr>
                <w:rFonts w:asciiTheme="majorHAnsi" w:hAnsiTheme="majorHAnsi" w:cstheme="majorHAnsi"/>
                <w:color w:val="000000"/>
              </w:rPr>
            </w:pPr>
            <w:r w:rsidRPr="0018342E">
              <w:rPr>
                <w:rFonts w:asciiTheme="majorHAnsi" w:hAnsiTheme="majorHAnsi" w:cstheme="majorHAnsi"/>
                <w:color w:val="000000"/>
              </w:rPr>
              <w:t>Estimated glomerular filtration rate &lt;30 mL/min/1.73m</w:t>
            </w:r>
            <w:r w:rsidRPr="0018342E">
              <w:rPr>
                <w:rFonts w:asciiTheme="majorHAnsi" w:hAnsiTheme="majorHAnsi" w:cstheme="majorHAnsi"/>
                <w:color w:val="000000"/>
                <w:vertAlign w:val="superscript"/>
              </w:rPr>
              <w:t>2</w:t>
            </w:r>
            <w:r w:rsidRPr="0018342E">
              <w:rPr>
                <w:rFonts w:asciiTheme="majorHAnsi" w:hAnsiTheme="majorHAnsi" w:cstheme="majorHAnsi"/>
                <w:color w:val="000000"/>
              </w:rPr>
              <w:t xml:space="preserve"> measured within the last 12 months.</w:t>
            </w:r>
          </w:p>
          <w:p w14:paraId="1F20CDEB" w14:textId="77777777" w:rsidR="003012A5" w:rsidRPr="0018342E" w:rsidRDefault="003012A5" w:rsidP="0018342E">
            <w:pPr>
              <w:pStyle w:val="NormalWeb"/>
              <w:numPr>
                <w:ilvl w:val="0"/>
                <w:numId w:val="6"/>
              </w:numPr>
              <w:spacing w:before="0" w:beforeAutospacing="0" w:after="120" w:afterAutospacing="0"/>
              <w:textAlignment w:val="baseline"/>
              <w:rPr>
                <w:rFonts w:asciiTheme="majorHAnsi" w:hAnsiTheme="majorHAnsi" w:cstheme="majorHAnsi"/>
                <w:color w:val="000000"/>
              </w:rPr>
            </w:pPr>
            <w:r w:rsidRPr="0018342E">
              <w:rPr>
                <w:rFonts w:asciiTheme="majorHAnsi" w:hAnsiTheme="majorHAnsi" w:cstheme="majorHAnsi"/>
                <w:color w:val="000000"/>
              </w:rPr>
              <w:t xml:space="preserve">Patients receiving systemic treatment with azole-antimycotics within the last 3 months (ketoconazole, itraconazole, voriconazole and </w:t>
            </w:r>
            <w:proofErr w:type="spellStart"/>
            <w:r w:rsidRPr="0018342E">
              <w:rPr>
                <w:rFonts w:asciiTheme="majorHAnsi" w:hAnsiTheme="majorHAnsi" w:cstheme="majorHAnsi"/>
                <w:color w:val="000000"/>
              </w:rPr>
              <w:t>posaconazole</w:t>
            </w:r>
            <w:proofErr w:type="spellEnd"/>
            <w:r w:rsidRPr="0018342E">
              <w:rPr>
                <w:rFonts w:asciiTheme="majorHAnsi" w:hAnsiTheme="majorHAnsi" w:cstheme="majorHAnsi"/>
                <w:color w:val="000000"/>
              </w:rPr>
              <w:t>).</w:t>
            </w:r>
          </w:p>
          <w:p w14:paraId="4888681E" w14:textId="77777777" w:rsidR="003012A5" w:rsidRPr="0018342E" w:rsidRDefault="003012A5" w:rsidP="0018342E">
            <w:pPr>
              <w:pStyle w:val="NormalWeb"/>
              <w:numPr>
                <w:ilvl w:val="0"/>
                <w:numId w:val="6"/>
              </w:numPr>
              <w:spacing w:before="0" w:beforeAutospacing="0" w:after="120" w:afterAutospacing="0"/>
              <w:textAlignment w:val="baseline"/>
              <w:rPr>
                <w:rFonts w:asciiTheme="majorHAnsi" w:hAnsiTheme="majorHAnsi" w:cstheme="majorHAnsi"/>
                <w:color w:val="000000"/>
              </w:rPr>
            </w:pPr>
            <w:r w:rsidRPr="0018342E">
              <w:rPr>
                <w:rFonts w:asciiTheme="majorHAnsi" w:hAnsiTheme="majorHAnsi" w:cstheme="majorHAnsi"/>
                <w:color w:val="000000"/>
              </w:rPr>
              <w:t>Current diagnosis of dementia.</w:t>
            </w:r>
          </w:p>
          <w:p w14:paraId="340F2622" w14:textId="77777777" w:rsidR="003012A5" w:rsidRPr="0018342E" w:rsidRDefault="003012A5" w:rsidP="0018342E">
            <w:pPr>
              <w:pStyle w:val="NormalWeb"/>
              <w:numPr>
                <w:ilvl w:val="0"/>
                <w:numId w:val="6"/>
              </w:numPr>
              <w:spacing w:before="0" w:beforeAutospacing="0" w:after="120" w:afterAutospacing="0"/>
              <w:textAlignment w:val="baseline"/>
              <w:rPr>
                <w:rFonts w:asciiTheme="majorHAnsi" w:hAnsiTheme="majorHAnsi" w:cstheme="majorHAnsi"/>
                <w:color w:val="000000"/>
              </w:rPr>
            </w:pPr>
            <w:r w:rsidRPr="0018342E">
              <w:rPr>
                <w:rFonts w:asciiTheme="majorHAnsi" w:hAnsiTheme="majorHAnsi" w:cstheme="majorHAnsi"/>
                <w:color w:val="000000"/>
              </w:rPr>
              <w:t>Life expectancy &lt;2 years.</w:t>
            </w:r>
          </w:p>
          <w:p w14:paraId="4436BB05" w14:textId="77777777" w:rsidR="003012A5" w:rsidRPr="0018342E" w:rsidRDefault="003012A5" w:rsidP="0018342E">
            <w:pPr>
              <w:pStyle w:val="NormalWeb"/>
              <w:numPr>
                <w:ilvl w:val="0"/>
                <w:numId w:val="6"/>
              </w:numPr>
              <w:spacing w:before="0" w:beforeAutospacing="0" w:after="120" w:afterAutospacing="0"/>
              <w:textAlignment w:val="baseline"/>
              <w:rPr>
                <w:rFonts w:asciiTheme="majorHAnsi" w:hAnsiTheme="majorHAnsi" w:cstheme="majorHAnsi"/>
                <w:color w:val="000000"/>
              </w:rPr>
            </w:pPr>
            <w:r w:rsidRPr="0018342E">
              <w:rPr>
                <w:rFonts w:asciiTheme="majorHAnsi" w:hAnsiTheme="majorHAnsi" w:cstheme="majorHAnsi"/>
                <w:color w:val="000000"/>
              </w:rPr>
              <w:t>Unable or unwilling to provide informed consent for access and linkage of past and future electronic healthcare records.</w:t>
            </w:r>
          </w:p>
          <w:p w14:paraId="02B19266" w14:textId="77777777" w:rsidR="003012A5" w:rsidRPr="0018342E" w:rsidRDefault="003012A5" w:rsidP="0018342E">
            <w:pPr>
              <w:pStyle w:val="NormalWeb"/>
              <w:numPr>
                <w:ilvl w:val="0"/>
                <w:numId w:val="6"/>
              </w:numPr>
              <w:spacing w:before="0" w:beforeAutospacing="0" w:after="120" w:afterAutospacing="0"/>
              <w:textAlignment w:val="baseline"/>
              <w:rPr>
                <w:rFonts w:asciiTheme="majorHAnsi" w:hAnsiTheme="majorHAnsi" w:cstheme="majorHAnsi"/>
                <w:color w:val="000000"/>
              </w:rPr>
            </w:pPr>
            <w:r w:rsidRPr="0018342E">
              <w:rPr>
                <w:rFonts w:asciiTheme="majorHAnsi" w:hAnsiTheme="majorHAnsi" w:cstheme="majorHAnsi"/>
                <w:color w:val="000000"/>
              </w:rPr>
              <w:t>Currently participating in another Clinical Trial</w:t>
            </w:r>
          </w:p>
          <w:p w14:paraId="19B58F62" w14:textId="77777777" w:rsidR="00941B3E" w:rsidRPr="0018342E" w:rsidRDefault="00941B3E" w:rsidP="0018342E">
            <w:pPr>
              <w:pStyle w:val="ListParagraph"/>
              <w:numPr>
                <w:ilvl w:val="0"/>
                <w:numId w:val="6"/>
              </w:numPr>
              <w:spacing w:after="120" w:line="240" w:lineRule="auto"/>
              <w:rPr>
                <w:rFonts w:asciiTheme="majorHAnsi" w:eastAsia="Times New Roman" w:hAnsiTheme="majorHAnsi" w:cstheme="majorHAnsi"/>
                <w:sz w:val="24"/>
                <w:szCs w:val="24"/>
              </w:rPr>
            </w:pPr>
            <w:r w:rsidRPr="0018342E">
              <w:rPr>
                <w:rFonts w:asciiTheme="majorHAnsi" w:eastAsia="Times New Roman" w:hAnsiTheme="majorHAnsi" w:cstheme="majorHAnsi"/>
                <w:color w:val="000000"/>
                <w:sz w:val="24"/>
                <w:szCs w:val="24"/>
              </w:rPr>
              <w:t>For the automated pre-screening via CPRD IRSP, these criteria will be confirmed by the concurrent use of relevant medical therapy: Heart failure (confirmed by use of loop diuretic therapy within the last 3 months); Hypertension (confirmed by use of anti-hypertensive therapy within the last 3 months); Diabetes mellitus (confirmed by use of oral antidiabetic therapy or insulin within the last 3 months). </w:t>
            </w:r>
          </w:p>
          <w:p w14:paraId="5FE624EB" w14:textId="3D55A0B6" w:rsidR="00124BF7" w:rsidRPr="0018342E" w:rsidRDefault="00941B3E" w:rsidP="0018342E">
            <w:pPr>
              <w:pStyle w:val="NormalWeb"/>
              <w:spacing w:before="0" w:beforeAutospacing="0" w:after="120" w:afterAutospacing="0"/>
              <w:textAlignment w:val="baseline"/>
              <w:rPr>
                <w:rFonts w:asciiTheme="majorHAnsi" w:hAnsiTheme="majorHAnsi" w:cstheme="majorHAnsi"/>
                <w:color w:val="000000"/>
              </w:rPr>
            </w:pPr>
            <w:r w:rsidRPr="0018342E">
              <w:rPr>
                <w:rFonts w:asciiTheme="majorHAnsi" w:hAnsiTheme="majorHAnsi" w:cstheme="majorHAnsi"/>
                <w:b/>
                <w:bCs/>
                <w:color w:val="000000"/>
                <w:vertAlign w:val="superscript"/>
              </w:rPr>
              <w:lastRenderedPageBreak/>
              <w:t xml:space="preserve">† </w:t>
            </w:r>
            <w:r w:rsidRPr="0018342E">
              <w:rPr>
                <w:rFonts w:asciiTheme="majorHAnsi" w:hAnsiTheme="majorHAnsi" w:cstheme="majorHAnsi"/>
                <w:color w:val="000000"/>
              </w:rPr>
              <w:t>In the absence of other CHA₂DS₂-VASc risk factors, female gender is not independently associated with a higher risk of stroke or thromboembolism</w:t>
            </w:r>
          </w:p>
        </w:tc>
      </w:tr>
      <w:tr w:rsidR="00124BF7" w:rsidRPr="0018342E" w14:paraId="5FE624FB" w14:textId="77777777" w:rsidTr="000F43BE">
        <w:trPr>
          <w:trHeight w:val="463"/>
        </w:trPr>
        <w:tc>
          <w:tcPr>
            <w:tcW w:w="2205" w:type="dxa"/>
            <w:vAlign w:val="center"/>
          </w:tcPr>
          <w:p w14:paraId="5FE624ED" w14:textId="77777777" w:rsidR="00124BF7" w:rsidRPr="0018342E" w:rsidRDefault="00B21209" w:rsidP="0018342E">
            <w:pPr>
              <w:spacing w:line="240" w:lineRule="auto"/>
              <w:rPr>
                <w:rFonts w:asciiTheme="majorHAnsi" w:hAnsiTheme="majorHAnsi" w:cstheme="majorHAnsi"/>
                <w:b/>
                <w:sz w:val="24"/>
                <w:szCs w:val="24"/>
              </w:rPr>
            </w:pPr>
            <w:r w:rsidRPr="0018342E">
              <w:rPr>
                <w:rFonts w:asciiTheme="majorHAnsi" w:hAnsiTheme="majorHAnsi" w:cstheme="majorHAnsi"/>
                <w:b/>
                <w:sz w:val="24"/>
                <w:szCs w:val="24"/>
              </w:rPr>
              <w:lastRenderedPageBreak/>
              <w:t>Core Practice/Site Activities and Requirements</w:t>
            </w:r>
          </w:p>
        </w:tc>
        <w:tc>
          <w:tcPr>
            <w:tcW w:w="8476" w:type="dxa"/>
            <w:vAlign w:val="center"/>
          </w:tcPr>
          <w:p w14:paraId="302B24CB" w14:textId="77777777" w:rsidR="00C57178" w:rsidRPr="0018342E" w:rsidRDefault="0064684D" w:rsidP="0018342E">
            <w:pPr>
              <w:keepNext/>
              <w:spacing w:line="240" w:lineRule="auto"/>
              <w:rPr>
                <w:rFonts w:asciiTheme="majorHAnsi" w:hAnsiTheme="majorHAnsi" w:cstheme="majorHAnsi"/>
                <w:color w:val="000000"/>
                <w:sz w:val="24"/>
                <w:szCs w:val="24"/>
              </w:rPr>
            </w:pPr>
            <w:r w:rsidRPr="0018342E">
              <w:rPr>
                <w:rFonts w:asciiTheme="majorHAnsi" w:hAnsiTheme="majorHAnsi" w:cstheme="majorHAnsi"/>
                <w:color w:val="000000"/>
                <w:sz w:val="24"/>
                <w:szCs w:val="24"/>
              </w:rPr>
              <w:t xml:space="preserve">This trial will recruit participants from GP practices in England that contribute </w:t>
            </w:r>
            <w:r w:rsidR="00C57178" w:rsidRPr="0018342E">
              <w:rPr>
                <w:rFonts w:asciiTheme="majorHAnsi" w:hAnsiTheme="majorHAnsi" w:cstheme="majorHAnsi"/>
                <w:color w:val="000000"/>
                <w:sz w:val="24"/>
                <w:szCs w:val="24"/>
              </w:rPr>
              <w:t>or are willing to contribute to CPRD</w:t>
            </w:r>
          </w:p>
          <w:p w14:paraId="11E0DB8F" w14:textId="77777777" w:rsidR="005C6142" w:rsidRPr="0018342E" w:rsidRDefault="005C6142" w:rsidP="0018342E">
            <w:pPr>
              <w:keepNext/>
              <w:spacing w:line="240" w:lineRule="auto"/>
              <w:rPr>
                <w:rFonts w:asciiTheme="majorHAnsi" w:hAnsiTheme="majorHAnsi" w:cstheme="majorHAnsi"/>
                <w:sz w:val="24"/>
                <w:szCs w:val="24"/>
              </w:rPr>
            </w:pPr>
          </w:p>
          <w:p w14:paraId="289C070A" w14:textId="60C91FAE" w:rsidR="00C52DE0" w:rsidRPr="0018342E" w:rsidRDefault="00C52DE0" w:rsidP="0018342E">
            <w:pPr>
              <w:pStyle w:val="ListParagraph"/>
              <w:keepNext/>
              <w:numPr>
                <w:ilvl w:val="0"/>
                <w:numId w:val="9"/>
              </w:numPr>
              <w:spacing w:line="240" w:lineRule="auto"/>
              <w:rPr>
                <w:rFonts w:asciiTheme="majorHAnsi" w:hAnsiTheme="majorHAnsi" w:cstheme="majorHAnsi"/>
                <w:sz w:val="24"/>
                <w:szCs w:val="24"/>
              </w:rPr>
            </w:pPr>
            <w:r w:rsidRPr="0018342E">
              <w:rPr>
                <w:rFonts w:asciiTheme="majorHAnsi" w:hAnsiTheme="majorHAnsi" w:cstheme="majorHAnsi"/>
                <w:sz w:val="24"/>
                <w:szCs w:val="24"/>
              </w:rPr>
              <w:t>Review a list of pre-screened patients on the CPRD platform. </w:t>
            </w:r>
          </w:p>
          <w:p w14:paraId="5901D820" w14:textId="7A331C4A" w:rsidR="00C52DE0" w:rsidRPr="0018342E" w:rsidRDefault="00C52DE0" w:rsidP="0018342E">
            <w:pPr>
              <w:pStyle w:val="ListParagraph"/>
              <w:keepNext/>
              <w:numPr>
                <w:ilvl w:val="0"/>
                <w:numId w:val="9"/>
              </w:numPr>
              <w:spacing w:line="240" w:lineRule="auto"/>
              <w:rPr>
                <w:rFonts w:asciiTheme="majorHAnsi" w:hAnsiTheme="majorHAnsi" w:cstheme="majorHAnsi"/>
                <w:sz w:val="24"/>
                <w:szCs w:val="24"/>
              </w:rPr>
            </w:pPr>
            <w:r w:rsidRPr="0018342E">
              <w:rPr>
                <w:rFonts w:asciiTheme="majorHAnsi" w:hAnsiTheme="majorHAnsi" w:cstheme="majorHAnsi"/>
                <w:sz w:val="24"/>
                <w:szCs w:val="24"/>
              </w:rPr>
              <w:t>Invite eligible patients to take part, using a letter and text message built-in to your EMIS system, and follow-up by text messages or calls after 7 days.</w:t>
            </w:r>
          </w:p>
          <w:p w14:paraId="777FBDEC" w14:textId="668D4416" w:rsidR="00C52DE0" w:rsidRPr="0018342E" w:rsidRDefault="00C52DE0" w:rsidP="0018342E">
            <w:pPr>
              <w:pStyle w:val="ListParagraph"/>
              <w:keepNext/>
              <w:numPr>
                <w:ilvl w:val="0"/>
                <w:numId w:val="9"/>
              </w:numPr>
              <w:spacing w:line="240" w:lineRule="auto"/>
              <w:rPr>
                <w:rFonts w:asciiTheme="majorHAnsi" w:hAnsiTheme="majorHAnsi" w:cstheme="majorHAnsi"/>
                <w:sz w:val="24"/>
                <w:szCs w:val="24"/>
              </w:rPr>
            </w:pPr>
            <w:r w:rsidRPr="0018342E">
              <w:rPr>
                <w:rFonts w:asciiTheme="majorHAnsi" w:hAnsiTheme="majorHAnsi" w:cstheme="majorHAnsi"/>
                <w:sz w:val="24"/>
                <w:szCs w:val="24"/>
              </w:rPr>
              <w:t>Countersign the remote e-consent form that patients complete on their mobile phone or device.</w:t>
            </w:r>
          </w:p>
          <w:p w14:paraId="4EB8531C" w14:textId="691AE070" w:rsidR="00C52DE0" w:rsidRPr="0018342E" w:rsidRDefault="00C52DE0" w:rsidP="0018342E">
            <w:pPr>
              <w:pStyle w:val="ListParagraph"/>
              <w:keepNext/>
              <w:numPr>
                <w:ilvl w:val="0"/>
                <w:numId w:val="9"/>
              </w:numPr>
              <w:spacing w:line="240" w:lineRule="auto"/>
              <w:rPr>
                <w:rFonts w:asciiTheme="majorHAnsi" w:hAnsiTheme="majorHAnsi" w:cstheme="majorHAnsi"/>
                <w:sz w:val="24"/>
                <w:szCs w:val="24"/>
              </w:rPr>
            </w:pPr>
            <w:r w:rsidRPr="0018342E">
              <w:rPr>
                <w:rFonts w:asciiTheme="majorHAnsi" w:hAnsiTheme="majorHAnsi" w:cstheme="majorHAnsi"/>
                <w:sz w:val="24"/>
                <w:szCs w:val="24"/>
              </w:rPr>
              <w:t>Use EMIS to start a DOAC of your choice if the patient is randomised to the intervention arm (no added therapy in the control arm).</w:t>
            </w:r>
          </w:p>
          <w:p w14:paraId="5FE624FA" w14:textId="2DA33451" w:rsidR="00C52DE0" w:rsidRPr="0018342E" w:rsidRDefault="00C52DE0" w:rsidP="0018342E">
            <w:pPr>
              <w:pStyle w:val="ListParagraph"/>
              <w:keepNext/>
              <w:numPr>
                <w:ilvl w:val="0"/>
                <w:numId w:val="9"/>
              </w:numPr>
              <w:spacing w:line="240" w:lineRule="auto"/>
              <w:rPr>
                <w:rFonts w:asciiTheme="majorHAnsi" w:hAnsiTheme="majorHAnsi" w:cstheme="majorHAnsi"/>
                <w:sz w:val="24"/>
                <w:szCs w:val="24"/>
              </w:rPr>
            </w:pPr>
            <w:r w:rsidRPr="0018342E">
              <w:rPr>
                <w:rFonts w:asciiTheme="majorHAnsi" w:hAnsiTheme="majorHAnsi" w:cstheme="majorHAnsi"/>
                <w:sz w:val="24"/>
                <w:szCs w:val="24"/>
              </w:rPr>
              <w:t>Report any protocol-defined Serious Adverse Events (SAEs) during the 5-year length of the trial.</w:t>
            </w:r>
          </w:p>
        </w:tc>
      </w:tr>
      <w:tr w:rsidR="00124BF7" w:rsidRPr="0018342E" w14:paraId="5FE62500" w14:textId="77777777" w:rsidTr="000F43BE">
        <w:trPr>
          <w:trHeight w:val="463"/>
        </w:trPr>
        <w:tc>
          <w:tcPr>
            <w:tcW w:w="2205" w:type="dxa"/>
            <w:vAlign w:val="center"/>
          </w:tcPr>
          <w:p w14:paraId="5FE624FC" w14:textId="76BD13BE" w:rsidR="00124BF7" w:rsidRPr="0018342E" w:rsidRDefault="00B21209" w:rsidP="0018342E">
            <w:pPr>
              <w:spacing w:line="240" w:lineRule="auto"/>
              <w:rPr>
                <w:rFonts w:asciiTheme="majorHAnsi" w:hAnsiTheme="majorHAnsi" w:cstheme="majorHAnsi"/>
                <w:b/>
                <w:sz w:val="24"/>
                <w:szCs w:val="24"/>
              </w:rPr>
            </w:pPr>
            <w:r w:rsidRPr="0018342E">
              <w:rPr>
                <w:rFonts w:asciiTheme="majorHAnsi" w:hAnsiTheme="majorHAnsi" w:cstheme="majorHAnsi"/>
                <w:b/>
                <w:sz w:val="24"/>
                <w:szCs w:val="24"/>
              </w:rPr>
              <w:t>Core Patient Activities</w:t>
            </w:r>
          </w:p>
        </w:tc>
        <w:tc>
          <w:tcPr>
            <w:tcW w:w="8476" w:type="dxa"/>
            <w:vAlign w:val="center"/>
          </w:tcPr>
          <w:p w14:paraId="1F5DDAA3" w14:textId="6290DF87" w:rsidR="00C52DE0" w:rsidRPr="0018342E" w:rsidRDefault="00C52DE0" w:rsidP="0018342E">
            <w:pPr>
              <w:pStyle w:val="ListParagraph"/>
              <w:keepNext/>
              <w:numPr>
                <w:ilvl w:val="0"/>
                <w:numId w:val="12"/>
              </w:numPr>
              <w:spacing w:line="240" w:lineRule="auto"/>
              <w:rPr>
                <w:rFonts w:asciiTheme="majorHAnsi" w:hAnsiTheme="majorHAnsi" w:cstheme="majorHAnsi"/>
                <w:sz w:val="24"/>
                <w:szCs w:val="24"/>
              </w:rPr>
            </w:pPr>
            <w:r w:rsidRPr="0018342E">
              <w:rPr>
                <w:rFonts w:asciiTheme="majorHAnsi" w:hAnsiTheme="majorHAnsi" w:cstheme="majorHAnsi"/>
                <w:sz w:val="24"/>
                <w:szCs w:val="24"/>
              </w:rPr>
              <w:t xml:space="preserve">Receive the study invite letter/text message </w:t>
            </w:r>
          </w:p>
          <w:p w14:paraId="6B1BAF4C" w14:textId="00B25C4B" w:rsidR="00C52DE0" w:rsidRPr="0018342E" w:rsidRDefault="00C52DE0" w:rsidP="0018342E">
            <w:pPr>
              <w:pStyle w:val="ListParagraph"/>
              <w:keepNext/>
              <w:numPr>
                <w:ilvl w:val="0"/>
                <w:numId w:val="12"/>
              </w:numPr>
              <w:spacing w:line="240" w:lineRule="auto"/>
              <w:rPr>
                <w:rFonts w:asciiTheme="majorHAnsi" w:hAnsiTheme="majorHAnsi" w:cstheme="majorHAnsi"/>
                <w:sz w:val="24"/>
                <w:szCs w:val="24"/>
              </w:rPr>
            </w:pPr>
            <w:r w:rsidRPr="0018342E">
              <w:rPr>
                <w:rFonts w:asciiTheme="majorHAnsi" w:hAnsiTheme="majorHAnsi" w:cstheme="majorHAnsi"/>
                <w:sz w:val="24"/>
                <w:szCs w:val="24"/>
              </w:rPr>
              <w:t>Review study information</w:t>
            </w:r>
          </w:p>
          <w:p w14:paraId="461B1F11" w14:textId="2089B330" w:rsidR="00474E40" w:rsidRPr="0018342E" w:rsidRDefault="00C52DE0" w:rsidP="0018342E">
            <w:pPr>
              <w:pStyle w:val="ListParagraph"/>
              <w:keepNext/>
              <w:numPr>
                <w:ilvl w:val="0"/>
                <w:numId w:val="12"/>
              </w:numPr>
              <w:spacing w:line="240" w:lineRule="auto"/>
              <w:rPr>
                <w:rFonts w:asciiTheme="majorHAnsi" w:hAnsiTheme="majorHAnsi" w:cstheme="majorHAnsi"/>
                <w:sz w:val="24"/>
                <w:szCs w:val="24"/>
              </w:rPr>
            </w:pPr>
            <w:r w:rsidRPr="0018342E">
              <w:rPr>
                <w:rFonts w:asciiTheme="majorHAnsi" w:hAnsiTheme="majorHAnsi" w:cstheme="majorHAnsi"/>
                <w:color w:val="000000"/>
                <w:sz w:val="24"/>
                <w:szCs w:val="24"/>
              </w:rPr>
              <w:t>Complete remote informed</w:t>
            </w:r>
            <w:r w:rsidR="00474E40" w:rsidRPr="0018342E">
              <w:rPr>
                <w:rFonts w:asciiTheme="majorHAnsi" w:hAnsiTheme="majorHAnsi" w:cstheme="majorHAnsi"/>
                <w:color w:val="000000"/>
                <w:sz w:val="24"/>
                <w:szCs w:val="24"/>
              </w:rPr>
              <w:t xml:space="preserve"> consent</w:t>
            </w:r>
          </w:p>
          <w:p w14:paraId="1983A33F" w14:textId="77777777" w:rsidR="00474E40" w:rsidRPr="0018342E" w:rsidRDefault="00474E40" w:rsidP="0018342E">
            <w:pPr>
              <w:pStyle w:val="ListParagraph"/>
              <w:keepNext/>
              <w:numPr>
                <w:ilvl w:val="0"/>
                <w:numId w:val="12"/>
              </w:numPr>
              <w:spacing w:line="240" w:lineRule="auto"/>
              <w:rPr>
                <w:rFonts w:asciiTheme="majorHAnsi" w:hAnsiTheme="majorHAnsi" w:cstheme="majorHAnsi"/>
                <w:sz w:val="24"/>
                <w:szCs w:val="24"/>
              </w:rPr>
            </w:pPr>
            <w:r w:rsidRPr="0018342E">
              <w:rPr>
                <w:rFonts w:asciiTheme="majorHAnsi" w:hAnsiTheme="majorHAnsi" w:cstheme="majorHAnsi"/>
                <w:color w:val="000000"/>
                <w:sz w:val="24"/>
                <w:szCs w:val="24"/>
              </w:rPr>
              <w:t>Randomised to either direct oral anticoagulants (DOACs intervention group) or to continue without oral anticoagulation (control; standard of care).</w:t>
            </w:r>
          </w:p>
          <w:p w14:paraId="5FE624FF" w14:textId="067D6C1F" w:rsidR="00124BF7" w:rsidRPr="0018342E" w:rsidRDefault="00474E40" w:rsidP="0018342E">
            <w:pPr>
              <w:pStyle w:val="ListParagraph"/>
              <w:keepNext/>
              <w:numPr>
                <w:ilvl w:val="0"/>
                <w:numId w:val="12"/>
              </w:numPr>
              <w:spacing w:line="240" w:lineRule="auto"/>
              <w:rPr>
                <w:rFonts w:asciiTheme="majorHAnsi" w:hAnsiTheme="majorHAnsi" w:cstheme="majorHAnsi"/>
                <w:sz w:val="24"/>
                <w:szCs w:val="24"/>
              </w:rPr>
            </w:pPr>
            <w:r w:rsidRPr="0018342E">
              <w:rPr>
                <w:rFonts w:asciiTheme="majorHAnsi" w:hAnsiTheme="majorHAnsi" w:cstheme="majorHAnsi"/>
                <w:color w:val="000000"/>
                <w:sz w:val="24"/>
                <w:szCs w:val="24"/>
              </w:rPr>
              <w:t>There is no follow up visits and patient reported cognitive functions will be collected through web-based interface. Similarly, Quality of life is collected every 6 months, a questionnaire will be sent either as text message or to patient’s nominated email address.</w:t>
            </w:r>
          </w:p>
        </w:tc>
      </w:tr>
      <w:tr w:rsidR="00124BF7" w:rsidRPr="0018342E" w14:paraId="5FE6250C" w14:textId="77777777" w:rsidTr="000F43BE">
        <w:trPr>
          <w:trHeight w:val="463"/>
        </w:trPr>
        <w:tc>
          <w:tcPr>
            <w:tcW w:w="2205" w:type="dxa"/>
            <w:vAlign w:val="center"/>
          </w:tcPr>
          <w:p w14:paraId="5FE62501" w14:textId="77777777" w:rsidR="00124BF7" w:rsidRPr="0018342E" w:rsidRDefault="00B21209" w:rsidP="0018342E">
            <w:pPr>
              <w:spacing w:line="240" w:lineRule="auto"/>
              <w:rPr>
                <w:rFonts w:asciiTheme="majorHAnsi" w:hAnsiTheme="majorHAnsi" w:cstheme="majorHAnsi"/>
                <w:b/>
                <w:sz w:val="24"/>
                <w:szCs w:val="24"/>
              </w:rPr>
            </w:pPr>
            <w:r w:rsidRPr="0018342E">
              <w:rPr>
                <w:rFonts w:asciiTheme="majorHAnsi" w:hAnsiTheme="majorHAnsi" w:cstheme="majorHAnsi"/>
                <w:b/>
                <w:sz w:val="24"/>
                <w:szCs w:val="24"/>
              </w:rPr>
              <w:t>Benefits to the Site/Resources provided by the study team and WM CRN</w:t>
            </w:r>
          </w:p>
        </w:tc>
        <w:tc>
          <w:tcPr>
            <w:tcW w:w="8476" w:type="dxa"/>
            <w:shd w:val="clear" w:color="auto" w:fill="FFFFFF"/>
            <w:vAlign w:val="center"/>
          </w:tcPr>
          <w:p w14:paraId="4BF228C4" w14:textId="1666C05A" w:rsidR="00124BF7" w:rsidRDefault="007E7612" w:rsidP="0018342E">
            <w:pPr>
              <w:keepNext/>
              <w:numPr>
                <w:ilvl w:val="0"/>
                <w:numId w:val="1"/>
              </w:numPr>
              <w:spacing w:line="240" w:lineRule="auto"/>
              <w:rPr>
                <w:rFonts w:asciiTheme="majorHAnsi" w:hAnsiTheme="majorHAnsi" w:cstheme="majorHAnsi"/>
                <w:sz w:val="24"/>
                <w:szCs w:val="24"/>
              </w:rPr>
            </w:pPr>
            <w:r w:rsidRPr="0018342E">
              <w:rPr>
                <w:rFonts w:asciiTheme="majorHAnsi" w:hAnsiTheme="majorHAnsi" w:cstheme="majorHAnsi"/>
                <w:sz w:val="24"/>
                <w:szCs w:val="24"/>
              </w:rPr>
              <w:t>Training and general study Q</w:t>
            </w:r>
            <w:r w:rsidR="00A25C54" w:rsidRPr="0018342E">
              <w:rPr>
                <w:rFonts w:asciiTheme="majorHAnsi" w:hAnsiTheme="majorHAnsi" w:cstheme="majorHAnsi"/>
                <w:sz w:val="24"/>
                <w:szCs w:val="24"/>
              </w:rPr>
              <w:t>&amp;A</w:t>
            </w:r>
            <w:r w:rsidRPr="0018342E">
              <w:rPr>
                <w:rFonts w:asciiTheme="majorHAnsi" w:hAnsiTheme="majorHAnsi" w:cstheme="majorHAnsi"/>
                <w:sz w:val="24"/>
                <w:szCs w:val="24"/>
              </w:rPr>
              <w:t xml:space="preserve"> session are </w:t>
            </w:r>
            <w:r w:rsidR="00A25C54" w:rsidRPr="0018342E">
              <w:rPr>
                <w:rFonts w:asciiTheme="majorHAnsi" w:hAnsiTheme="majorHAnsi" w:cstheme="majorHAnsi"/>
                <w:sz w:val="24"/>
                <w:szCs w:val="24"/>
              </w:rPr>
              <w:t>available for all sites/delegates that have signed up for the study</w:t>
            </w:r>
          </w:p>
          <w:p w14:paraId="6AAECDFD" w14:textId="36AA9933" w:rsidR="00A70FD8" w:rsidRDefault="00A70FD8" w:rsidP="0018342E">
            <w:pPr>
              <w:keepNext/>
              <w:numPr>
                <w:ilvl w:val="0"/>
                <w:numId w:val="1"/>
              </w:numPr>
              <w:spacing w:line="240" w:lineRule="auto"/>
              <w:rPr>
                <w:rFonts w:asciiTheme="majorHAnsi" w:hAnsiTheme="majorHAnsi" w:cstheme="majorHAnsi"/>
                <w:sz w:val="24"/>
                <w:szCs w:val="24"/>
              </w:rPr>
            </w:pPr>
            <w:r>
              <w:rPr>
                <w:rFonts w:asciiTheme="majorHAnsi" w:hAnsiTheme="majorHAnsi" w:cstheme="majorHAnsi"/>
                <w:sz w:val="24"/>
                <w:szCs w:val="24"/>
              </w:rPr>
              <w:t>Completely remote trail with no need for direct patient contact</w:t>
            </w:r>
          </w:p>
          <w:p w14:paraId="49C41038" w14:textId="2B795690" w:rsidR="00A70FD8" w:rsidRPr="0018342E" w:rsidRDefault="00A70FD8" w:rsidP="0018342E">
            <w:pPr>
              <w:keepNext/>
              <w:numPr>
                <w:ilvl w:val="0"/>
                <w:numId w:val="1"/>
              </w:numPr>
              <w:spacing w:line="240" w:lineRule="auto"/>
              <w:rPr>
                <w:rFonts w:asciiTheme="majorHAnsi" w:hAnsiTheme="majorHAnsi" w:cstheme="majorHAnsi"/>
                <w:sz w:val="24"/>
                <w:szCs w:val="24"/>
              </w:rPr>
            </w:pPr>
            <w:r>
              <w:rPr>
                <w:rFonts w:asciiTheme="majorHAnsi" w:hAnsiTheme="majorHAnsi" w:cstheme="majorHAnsi"/>
                <w:sz w:val="24"/>
                <w:szCs w:val="24"/>
              </w:rPr>
              <w:t>Automated SAE safety net with sites notified of any potential events in their patients</w:t>
            </w:r>
          </w:p>
          <w:p w14:paraId="5FE6250B" w14:textId="7F26A74E" w:rsidR="00A25C54" w:rsidRPr="0018342E" w:rsidRDefault="000C1598" w:rsidP="0018342E">
            <w:pPr>
              <w:keepNext/>
              <w:numPr>
                <w:ilvl w:val="0"/>
                <w:numId w:val="1"/>
              </w:numPr>
              <w:spacing w:line="240" w:lineRule="auto"/>
              <w:rPr>
                <w:rFonts w:asciiTheme="majorHAnsi" w:hAnsiTheme="majorHAnsi" w:cstheme="majorHAnsi"/>
                <w:sz w:val="24"/>
                <w:szCs w:val="24"/>
              </w:rPr>
            </w:pPr>
            <w:r w:rsidRPr="0018342E">
              <w:rPr>
                <w:rFonts w:asciiTheme="majorHAnsi" w:hAnsiTheme="majorHAnsi" w:cstheme="majorHAnsi"/>
                <w:sz w:val="24"/>
                <w:szCs w:val="24"/>
              </w:rPr>
              <w:t>CRN Nurse Support is also available</w:t>
            </w:r>
          </w:p>
        </w:tc>
      </w:tr>
      <w:tr w:rsidR="00124BF7" w:rsidRPr="0018342E" w14:paraId="5FE62511" w14:textId="77777777" w:rsidTr="000F43BE">
        <w:trPr>
          <w:trHeight w:val="463"/>
        </w:trPr>
        <w:tc>
          <w:tcPr>
            <w:tcW w:w="2205" w:type="dxa"/>
            <w:vAlign w:val="center"/>
          </w:tcPr>
          <w:p w14:paraId="5FE6250D" w14:textId="77777777" w:rsidR="00124BF7" w:rsidRPr="0018342E" w:rsidRDefault="00B21209" w:rsidP="0018342E">
            <w:pPr>
              <w:spacing w:line="240" w:lineRule="auto"/>
              <w:rPr>
                <w:rFonts w:asciiTheme="majorHAnsi" w:hAnsiTheme="majorHAnsi" w:cstheme="majorHAnsi"/>
                <w:b/>
                <w:sz w:val="24"/>
                <w:szCs w:val="24"/>
              </w:rPr>
            </w:pPr>
            <w:r w:rsidRPr="0018342E">
              <w:rPr>
                <w:rFonts w:asciiTheme="majorHAnsi" w:hAnsiTheme="majorHAnsi" w:cstheme="majorHAnsi"/>
                <w:b/>
                <w:sz w:val="24"/>
                <w:szCs w:val="24"/>
              </w:rPr>
              <w:t>Financial Arrangements</w:t>
            </w:r>
          </w:p>
        </w:tc>
        <w:tc>
          <w:tcPr>
            <w:tcW w:w="8476" w:type="dxa"/>
            <w:shd w:val="clear" w:color="auto" w:fill="FFFFFF"/>
            <w:vAlign w:val="center"/>
          </w:tcPr>
          <w:p w14:paraId="332378E5" w14:textId="77777777" w:rsidR="00124BF7" w:rsidRPr="0018342E" w:rsidRDefault="00C52DE0" w:rsidP="0018342E">
            <w:pPr>
              <w:keepNext/>
              <w:spacing w:line="240" w:lineRule="auto"/>
              <w:rPr>
                <w:rFonts w:asciiTheme="majorHAnsi" w:hAnsiTheme="majorHAnsi" w:cstheme="majorHAnsi"/>
                <w:sz w:val="24"/>
                <w:szCs w:val="24"/>
              </w:rPr>
            </w:pPr>
            <w:r w:rsidRPr="0018342E">
              <w:rPr>
                <w:rFonts w:asciiTheme="majorHAnsi" w:hAnsiTheme="majorHAnsi" w:cstheme="majorHAnsi"/>
                <w:sz w:val="24"/>
                <w:szCs w:val="24"/>
              </w:rPr>
              <w:t>Research Costs (Provide by CPRD)</w:t>
            </w:r>
          </w:p>
          <w:p w14:paraId="2A0310F8" w14:textId="085E6BD5" w:rsidR="00C52DE0" w:rsidRPr="0018342E" w:rsidRDefault="00C52DE0" w:rsidP="0018342E">
            <w:pPr>
              <w:pStyle w:val="ListParagraph"/>
              <w:keepNext/>
              <w:numPr>
                <w:ilvl w:val="0"/>
                <w:numId w:val="10"/>
              </w:numPr>
              <w:spacing w:line="240" w:lineRule="auto"/>
              <w:rPr>
                <w:rFonts w:asciiTheme="majorHAnsi" w:hAnsiTheme="majorHAnsi" w:cstheme="majorHAnsi"/>
                <w:sz w:val="24"/>
                <w:szCs w:val="24"/>
              </w:rPr>
            </w:pPr>
            <w:r w:rsidRPr="0018342E">
              <w:rPr>
                <w:rFonts w:asciiTheme="majorHAnsi" w:hAnsiTheme="majorHAnsi" w:cstheme="majorHAnsi"/>
                <w:sz w:val="24"/>
                <w:szCs w:val="24"/>
              </w:rPr>
              <w:t xml:space="preserve">Site set-up fee - £268.35 </w:t>
            </w:r>
          </w:p>
          <w:p w14:paraId="4313B45E" w14:textId="5B41D5B3" w:rsidR="00C52DE0" w:rsidRPr="0018342E" w:rsidRDefault="00C52DE0" w:rsidP="0018342E">
            <w:pPr>
              <w:pStyle w:val="ListParagraph"/>
              <w:keepNext/>
              <w:numPr>
                <w:ilvl w:val="0"/>
                <w:numId w:val="10"/>
              </w:numPr>
              <w:spacing w:line="240" w:lineRule="auto"/>
              <w:rPr>
                <w:rFonts w:asciiTheme="majorHAnsi" w:hAnsiTheme="majorHAnsi" w:cstheme="majorHAnsi"/>
                <w:sz w:val="24"/>
                <w:szCs w:val="24"/>
              </w:rPr>
            </w:pPr>
            <w:r w:rsidRPr="0018342E">
              <w:rPr>
                <w:rFonts w:asciiTheme="majorHAnsi" w:hAnsiTheme="majorHAnsi" w:cstheme="majorHAnsi"/>
                <w:sz w:val="24"/>
                <w:szCs w:val="24"/>
              </w:rPr>
              <w:t>Per patient - £101.43</w:t>
            </w:r>
          </w:p>
          <w:p w14:paraId="2563906E" w14:textId="77777777" w:rsidR="00C52DE0" w:rsidRPr="0018342E" w:rsidRDefault="00C52DE0" w:rsidP="0018342E">
            <w:pPr>
              <w:keepNext/>
              <w:spacing w:line="240" w:lineRule="auto"/>
              <w:rPr>
                <w:rFonts w:asciiTheme="majorHAnsi" w:hAnsiTheme="majorHAnsi" w:cstheme="majorHAnsi"/>
                <w:sz w:val="24"/>
                <w:szCs w:val="24"/>
              </w:rPr>
            </w:pPr>
            <w:r w:rsidRPr="0018342E">
              <w:rPr>
                <w:rFonts w:asciiTheme="majorHAnsi" w:hAnsiTheme="majorHAnsi" w:cstheme="majorHAnsi"/>
                <w:sz w:val="24"/>
                <w:szCs w:val="24"/>
              </w:rPr>
              <w:t>Study Support Costs (provided by the CRN)</w:t>
            </w:r>
          </w:p>
          <w:p w14:paraId="2BEFAAC4" w14:textId="77777777" w:rsidR="00C52DE0" w:rsidRPr="0018342E" w:rsidRDefault="00C52DE0" w:rsidP="0018342E">
            <w:pPr>
              <w:pStyle w:val="ListParagraph"/>
              <w:keepNext/>
              <w:numPr>
                <w:ilvl w:val="0"/>
                <w:numId w:val="11"/>
              </w:numPr>
              <w:spacing w:line="240" w:lineRule="auto"/>
              <w:rPr>
                <w:rFonts w:asciiTheme="majorHAnsi" w:hAnsiTheme="majorHAnsi" w:cstheme="majorHAnsi"/>
                <w:sz w:val="24"/>
                <w:szCs w:val="24"/>
              </w:rPr>
            </w:pPr>
            <w:r w:rsidRPr="0018342E">
              <w:rPr>
                <w:rFonts w:asciiTheme="majorHAnsi" w:hAnsiTheme="majorHAnsi" w:cstheme="majorHAnsi"/>
                <w:sz w:val="24"/>
                <w:szCs w:val="24"/>
              </w:rPr>
              <w:t>Site set-up fee -</w:t>
            </w:r>
            <w:r w:rsidR="0018342E" w:rsidRPr="0018342E">
              <w:rPr>
                <w:rFonts w:asciiTheme="majorHAnsi" w:hAnsiTheme="majorHAnsi" w:cstheme="majorHAnsi"/>
                <w:sz w:val="24"/>
                <w:szCs w:val="24"/>
              </w:rPr>
              <w:t xml:space="preserve"> £180.00</w:t>
            </w:r>
          </w:p>
          <w:p w14:paraId="2E9207C2" w14:textId="4693B117" w:rsidR="0018342E" w:rsidRPr="0018342E" w:rsidRDefault="0018342E" w:rsidP="0018342E">
            <w:pPr>
              <w:pStyle w:val="ListParagraph"/>
              <w:keepNext/>
              <w:numPr>
                <w:ilvl w:val="0"/>
                <w:numId w:val="11"/>
              </w:numPr>
              <w:spacing w:line="240" w:lineRule="auto"/>
              <w:rPr>
                <w:rFonts w:asciiTheme="majorHAnsi" w:hAnsiTheme="majorHAnsi" w:cstheme="majorHAnsi"/>
                <w:sz w:val="24"/>
                <w:szCs w:val="24"/>
              </w:rPr>
            </w:pPr>
            <w:r w:rsidRPr="0018342E">
              <w:rPr>
                <w:rFonts w:asciiTheme="majorHAnsi" w:hAnsiTheme="majorHAnsi" w:cstheme="majorHAnsi"/>
                <w:sz w:val="24"/>
                <w:szCs w:val="24"/>
              </w:rPr>
              <w:t>Per patient - £15.00</w:t>
            </w:r>
          </w:p>
          <w:p w14:paraId="5FE62510" w14:textId="216C62B5" w:rsidR="0018342E" w:rsidRPr="0018342E" w:rsidRDefault="0018342E" w:rsidP="0018342E">
            <w:pPr>
              <w:pStyle w:val="ListParagraph"/>
              <w:keepNext/>
              <w:numPr>
                <w:ilvl w:val="0"/>
                <w:numId w:val="11"/>
              </w:numPr>
              <w:spacing w:line="240" w:lineRule="auto"/>
              <w:rPr>
                <w:rFonts w:asciiTheme="majorHAnsi" w:hAnsiTheme="majorHAnsi" w:cstheme="majorHAnsi"/>
                <w:sz w:val="24"/>
                <w:szCs w:val="24"/>
              </w:rPr>
            </w:pPr>
            <w:r w:rsidRPr="0018342E">
              <w:rPr>
                <w:rFonts w:asciiTheme="majorHAnsi" w:hAnsiTheme="majorHAnsi" w:cstheme="majorHAnsi"/>
                <w:sz w:val="24"/>
                <w:szCs w:val="24"/>
              </w:rPr>
              <w:t>Extra RSI payment - £1300.00</w:t>
            </w:r>
          </w:p>
        </w:tc>
      </w:tr>
    </w:tbl>
    <w:p w14:paraId="5FE62515" w14:textId="77777777" w:rsidR="00124BF7" w:rsidRDefault="00124BF7">
      <w:pPr>
        <w:tabs>
          <w:tab w:val="center" w:pos="4153"/>
          <w:tab w:val="right" w:pos="8306"/>
        </w:tabs>
        <w:spacing w:line="240" w:lineRule="auto"/>
        <w:jc w:val="center"/>
        <w:rPr>
          <w:b/>
        </w:rPr>
      </w:pPr>
    </w:p>
    <w:p w14:paraId="5FE62524" w14:textId="77777777" w:rsidR="00124BF7" w:rsidRDefault="00124BF7">
      <w:pPr>
        <w:spacing w:line="240" w:lineRule="auto"/>
        <w:rPr>
          <w:rFonts w:ascii="Times New Roman" w:eastAsia="Times New Roman" w:hAnsi="Times New Roman" w:cs="Times New Roman"/>
          <w:sz w:val="24"/>
          <w:szCs w:val="24"/>
        </w:rPr>
      </w:pPr>
    </w:p>
    <w:p w14:paraId="5FE62525" w14:textId="77777777" w:rsidR="00124BF7" w:rsidRDefault="00124BF7">
      <w:pPr>
        <w:spacing w:line="240" w:lineRule="auto"/>
        <w:rPr>
          <w:rFonts w:ascii="Times New Roman" w:eastAsia="Times New Roman" w:hAnsi="Times New Roman" w:cs="Times New Roman"/>
          <w:sz w:val="24"/>
          <w:szCs w:val="24"/>
        </w:rPr>
      </w:pPr>
    </w:p>
    <w:p w14:paraId="5FE62526" w14:textId="77777777" w:rsidR="00124BF7" w:rsidRDefault="00124BF7">
      <w:pPr>
        <w:spacing w:line="240" w:lineRule="auto"/>
        <w:rPr>
          <w:rFonts w:ascii="Times New Roman" w:eastAsia="Times New Roman" w:hAnsi="Times New Roman" w:cs="Times New Roman"/>
          <w:sz w:val="24"/>
          <w:szCs w:val="24"/>
        </w:rPr>
      </w:pPr>
    </w:p>
    <w:p w14:paraId="5FE62527" w14:textId="77777777" w:rsidR="00124BF7" w:rsidRDefault="00124BF7">
      <w:pPr>
        <w:spacing w:line="240" w:lineRule="auto"/>
        <w:rPr>
          <w:rFonts w:ascii="Times New Roman" w:eastAsia="Times New Roman" w:hAnsi="Times New Roman" w:cs="Times New Roman"/>
          <w:sz w:val="24"/>
          <w:szCs w:val="24"/>
        </w:rPr>
      </w:pPr>
    </w:p>
    <w:p w14:paraId="5FE62528" w14:textId="77777777" w:rsidR="00124BF7" w:rsidRDefault="00124BF7">
      <w:pPr>
        <w:spacing w:line="240" w:lineRule="auto"/>
        <w:rPr>
          <w:rFonts w:ascii="Times New Roman" w:eastAsia="Times New Roman" w:hAnsi="Times New Roman" w:cs="Times New Roman"/>
          <w:sz w:val="24"/>
          <w:szCs w:val="24"/>
        </w:rPr>
      </w:pPr>
    </w:p>
    <w:p w14:paraId="4A4BEFEA" w14:textId="4C56BAB5" w:rsidR="001B186E" w:rsidRDefault="00B21209">
      <w:pPr>
        <w:spacing w:line="360" w:lineRule="auto"/>
        <w:rPr>
          <w:b/>
          <w:i/>
          <w:color w:val="205968"/>
        </w:rPr>
      </w:pPr>
      <w:r>
        <w:rPr>
          <w:b/>
          <w:sz w:val="20"/>
          <w:szCs w:val="20"/>
        </w:rPr>
        <w:t xml:space="preserve">         </w:t>
      </w:r>
      <w:r>
        <w:rPr>
          <w:b/>
          <w:i/>
          <w:color w:val="205968"/>
          <w:sz w:val="20"/>
          <w:szCs w:val="20"/>
        </w:rPr>
        <w:t>    </w:t>
      </w:r>
      <w:r>
        <w:rPr>
          <w:b/>
          <w:i/>
          <w:color w:val="205968"/>
        </w:rPr>
        <w:t> </w:t>
      </w:r>
    </w:p>
    <w:p w14:paraId="4D6BCAA0" w14:textId="77777777" w:rsidR="001B186E" w:rsidRDefault="001B186E">
      <w:pPr>
        <w:spacing w:line="360" w:lineRule="auto"/>
        <w:rPr>
          <w:b/>
          <w:i/>
          <w:color w:val="205968"/>
        </w:rPr>
      </w:pPr>
    </w:p>
    <w:p w14:paraId="2E878A15" w14:textId="326FCFA3" w:rsidR="003256AD" w:rsidRDefault="0018342E" w:rsidP="003256AD">
      <w:pPr>
        <w:pStyle w:val="Heading1"/>
        <w:spacing w:before="0" w:after="240"/>
      </w:pPr>
      <w:r>
        <w:rPr>
          <w:color w:val="000000"/>
          <w:sz w:val="26"/>
          <w:szCs w:val="26"/>
        </w:rPr>
        <w:t>TRIAL</w:t>
      </w:r>
      <w:r w:rsidR="003256AD">
        <w:rPr>
          <w:color w:val="000000"/>
          <w:sz w:val="26"/>
          <w:szCs w:val="26"/>
        </w:rPr>
        <w:t xml:space="preserve"> FLOW CHART</w:t>
      </w:r>
    </w:p>
    <w:p w14:paraId="5FE6255E" w14:textId="53CFE44C" w:rsidR="00124BF7" w:rsidRDefault="003256AD" w:rsidP="00F21B43">
      <w:pPr>
        <w:pStyle w:val="NormalWeb"/>
        <w:spacing w:before="0" w:beforeAutospacing="0" w:after="0" w:afterAutospacing="0"/>
        <w:rPr>
          <w:sz w:val="20"/>
          <w:szCs w:val="20"/>
        </w:rPr>
      </w:pPr>
      <w:r>
        <w:rPr>
          <w:rFonts w:ascii="Arial" w:hAnsi="Arial" w:cs="Arial"/>
          <w:b/>
          <w:bCs/>
          <w:noProof/>
          <w:color w:val="2B579A"/>
          <w:sz w:val="26"/>
          <w:szCs w:val="26"/>
          <w:bdr w:val="none" w:sz="0" w:space="0" w:color="auto" w:frame="1"/>
          <w:shd w:val="clear" w:color="auto" w:fill="E6E6E6"/>
        </w:rPr>
        <w:drawing>
          <wp:inline distT="0" distB="0" distL="0" distR="0" wp14:anchorId="28465DC1" wp14:editId="22028B1D">
            <wp:extent cx="5733415" cy="7797800"/>
            <wp:effectExtent l="0" t="0" r="635" b="0"/>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3415" cy="7797800"/>
                    </a:xfrm>
                    <a:prstGeom prst="rect">
                      <a:avLst/>
                    </a:prstGeom>
                    <a:noFill/>
                    <a:ln>
                      <a:noFill/>
                    </a:ln>
                  </pic:spPr>
                </pic:pic>
              </a:graphicData>
            </a:graphic>
          </wp:inline>
        </w:drawing>
      </w:r>
      <w:r w:rsidR="00B21209">
        <w:rPr>
          <w:sz w:val="20"/>
          <w:szCs w:val="20"/>
        </w:rPr>
        <w:t xml:space="preserve"> </w:t>
      </w:r>
    </w:p>
    <w:p w14:paraId="5FE6255F" w14:textId="77777777" w:rsidR="00124BF7" w:rsidRDefault="00124BF7">
      <w:pPr>
        <w:spacing w:line="240" w:lineRule="auto"/>
        <w:jc w:val="center"/>
        <w:rPr>
          <w:b/>
          <w:sz w:val="24"/>
          <w:szCs w:val="24"/>
        </w:rPr>
      </w:pPr>
    </w:p>
    <w:sectPr w:rsidR="00124BF7">
      <w:headerReference w:type="default" r:id="rId15"/>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73DAA" w14:textId="77777777" w:rsidR="005D7661" w:rsidRDefault="005D7661">
      <w:pPr>
        <w:spacing w:line="240" w:lineRule="auto"/>
      </w:pPr>
      <w:r>
        <w:separator/>
      </w:r>
    </w:p>
  </w:endnote>
  <w:endnote w:type="continuationSeparator" w:id="0">
    <w:p w14:paraId="434D31FB" w14:textId="77777777" w:rsidR="005D7661" w:rsidRDefault="005D76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Lato">
    <w:altName w:val="Segoe UI"/>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1DC32" w14:textId="77777777" w:rsidR="005D7661" w:rsidRDefault="005D7661">
      <w:pPr>
        <w:spacing w:line="240" w:lineRule="auto"/>
      </w:pPr>
      <w:r>
        <w:separator/>
      </w:r>
    </w:p>
  </w:footnote>
  <w:footnote w:type="continuationSeparator" w:id="0">
    <w:p w14:paraId="4FF2BC97" w14:textId="77777777" w:rsidR="005D7661" w:rsidRDefault="005D766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62564" w14:textId="1C8632A1" w:rsidR="00124BF7" w:rsidRDefault="00B21209">
    <w:r>
      <w:rPr>
        <w:noProof/>
      </w:rPr>
      <w:drawing>
        <wp:inline distT="114300" distB="114300" distL="114300" distR="114300" wp14:anchorId="5FE62565" wp14:editId="09AE1D56">
          <wp:extent cx="3365087" cy="490538"/>
          <wp:effectExtent l="0" t="0" r="0" b="0"/>
          <wp:docPr id="3"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 name="image1.png">
                    <a:extLst>
                      <a:ext uri="{C183D7F6-B498-43B3-948B-1728B52AA6E4}">
                        <adec:decorative xmlns:adec="http://schemas.microsoft.com/office/drawing/2017/decorative" val="1"/>
                      </a:ext>
                    </a:extLst>
                  </pic:cNvPr>
                  <pic:cNvPicPr preferRelativeResize="0"/>
                </pic:nvPicPr>
                <pic:blipFill>
                  <a:blip r:embed="rId1"/>
                  <a:srcRect l="4222" b="28813"/>
                  <a:stretch>
                    <a:fillRect/>
                  </a:stretch>
                </pic:blipFill>
                <pic:spPr>
                  <a:xfrm>
                    <a:off x="0" y="0"/>
                    <a:ext cx="3365087" cy="490538"/>
                  </a:xfrm>
                  <a:prstGeom prst="rect">
                    <a:avLst/>
                  </a:prstGeom>
                  <a:ln/>
                </pic:spPr>
              </pic:pic>
            </a:graphicData>
          </a:graphic>
        </wp:inline>
      </w:drawing>
    </w:r>
    <w:r w:rsidR="009D3DDB" w:rsidRPr="009D3DDB">
      <w:rPr>
        <w:bdr w:val="none" w:sz="0" w:space="0" w:color="auto" w:frame="1"/>
      </w:rPr>
      <w:t xml:space="preserve"> </w:t>
    </w:r>
    <w:r w:rsidR="009D3DDB">
      <w:rPr>
        <w:noProof/>
        <w:bdr w:val="none" w:sz="0" w:space="0" w:color="auto" w:frame="1"/>
      </w:rPr>
      <w:drawing>
        <wp:inline distT="0" distB="0" distL="0" distR="0" wp14:anchorId="55C663BB" wp14:editId="51CC3463">
          <wp:extent cx="1828800" cy="655320"/>
          <wp:effectExtent l="0" t="0" r="0" b="0"/>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6553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68FF"/>
    <w:multiLevelType w:val="hybridMultilevel"/>
    <w:tmpl w:val="A3520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A948BE"/>
    <w:multiLevelType w:val="hybridMultilevel"/>
    <w:tmpl w:val="B4246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547670"/>
    <w:multiLevelType w:val="hybridMultilevel"/>
    <w:tmpl w:val="0BB0A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170AC1"/>
    <w:multiLevelType w:val="multilevel"/>
    <w:tmpl w:val="63FC36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ED15DDB"/>
    <w:multiLevelType w:val="hybridMultilevel"/>
    <w:tmpl w:val="634A7A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1E191B"/>
    <w:multiLevelType w:val="hybridMultilevel"/>
    <w:tmpl w:val="BC521A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EF4682"/>
    <w:multiLevelType w:val="hybridMultilevel"/>
    <w:tmpl w:val="675CC6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7A7067"/>
    <w:multiLevelType w:val="multilevel"/>
    <w:tmpl w:val="DF229FD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52804BDE"/>
    <w:multiLevelType w:val="hybridMultilevel"/>
    <w:tmpl w:val="936AAF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BC5286A"/>
    <w:multiLevelType w:val="hybridMultilevel"/>
    <w:tmpl w:val="5C0A51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C1F3936"/>
    <w:multiLevelType w:val="multilevel"/>
    <w:tmpl w:val="0C3EF78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77A71ACA"/>
    <w:multiLevelType w:val="hybridMultilevel"/>
    <w:tmpl w:val="FDA2C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147351">
    <w:abstractNumId w:val="3"/>
  </w:num>
  <w:num w:numId="2" w16cid:durableId="310600816">
    <w:abstractNumId w:val="7"/>
  </w:num>
  <w:num w:numId="3" w16cid:durableId="758911439">
    <w:abstractNumId w:val="10"/>
  </w:num>
  <w:num w:numId="4" w16cid:durableId="428350358">
    <w:abstractNumId w:val="8"/>
  </w:num>
  <w:num w:numId="5" w16cid:durableId="749084594">
    <w:abstractNumId w:val="5"/>
  </w:num>
  <w:num w:numId="6" w16cid:durableId="1916893374">
    <w:abstractNumId w:val="9"/>
  </w:num>
  <w:num w:numId="7" w16cid:durableId="122693876">
    <w:abstractNumId w:val="0"/>
  </w:num>
  <w:num w:numId="8" w16cid:durableId="652367146">
    <w:abstractNumId w:val="6"/>
  </w:num>
  <w:num w:numId="9" w16cid:durableId="100496680">
    <w:abstractNumId w:val="4"/>
  </w:num>
  <w:num w:numId="10" w16cid:durableId="1746798673">
    <w:abstractNumId w:val="2"/>
  </w:num>
  <w:num w:numId="11" w16cid:durableId="1299721536">
    <w:abstractNumId w:val="11"/>
  </w:num>
  <w:num w:numId="12" w16cid:durableId="17419063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BF7"/>
    <w:rsid w:val="00000EC4"/>
    <w:rsid w:val="00020773"/>
    <w:rsid w:val="000262F0"/>
    <w:rsid w:val="0004119E"/>
    <w:rsid w:val="000556F9"/>
    <w:rsid w:val="0005574E"/>
    <w:rsid w:val="00083530"/>
    <w:rsid w:val="000A7D59"/>
    <w:rsid w:val="000B4B86"/>
    <w:rsid w:val="000C0410"/>
    <w:rsid w:val="000C1598"/>
    <w:rsid w:val="000C7C7A"/>
    <w:rsid w:val="000D3578"/>
    <w:rsid w:val="000D6258"/>
    <w:rsid w:val="000D67AB"/>
    <w:rsid w:val="000F21F0"/>
    <w:rsid w:val="000F43BE"/>
    <w:rsid w:val="00115971"/>
    <w:rsid w:val="00121ECD"/>
    <w:rsid w:val="00122B4A"/>
    <w:rsid w:val="00124BF7"/>
    <w:rsid w:val="0012534F"/>
    <w:rsid w:val="00142192"/>
    <w:rsid w:val="001505E9"/>
    <w:rsid w:val="00151CA5"/>
    <w:rsid w:val="0016579B"/>
    <w:rsid w:val="0018041B"/>
    <w:rsid w:val="0018342E"/>
    <w:rsid w:val="001A3DC0"/>
    <w:rsid w:val="001B186E"/>
    <w:rsid w:val="001B223B"/>
    <w:rsid w:val="001C36F9"/>
    <w:rsid w:val="001D2056"/>
    <w:rsid w:val="001D3167"/>
    <w:rsid w:val="001D5B57"/>
    <w:rsid w:val="001F175C"/>
    <w:rsid w:val="001F220D"/>
    <w:rsid w:val="00203257"/>
    <w:rsid w:val="0021127C"/>
    <w:rsid w:val="002147D2"/>
    <w:rsid w:val="0021630A"/>
    <w:rsid w:val="00216FBC"/>
    <w:rsid w:val="00220521"/>
    <w:rsid w:val="00221CCD"/>
    <w:rsid w:val="0022667A"/>
    <w:rsid w:val="00240FBA"/>
    <w:rsid w:val="00241C7E"/>
    <w:rsid w:val="00284D05"/>
    <w:rsid w:val="0029043F"/>
    <w:rsid w:val="00292EE6"/>
    <w:rsid w:val="002C392F"/>
    <w:rsid w:val="002D37D6"/>
    <w:rsid w:val="002E4EAA"/>
    <w:rsid w:val="002E7D0C"/>
    <w:rsid w:val="002F3BF6"/>
    <w:rsid w:val="003012A5"/>
    <w:rsid w:val="00306879"/>
    <w:rsid w:val="003256AD"/>
    <w:rsid w:val="00337BEA"/>
    <w:rsid w:val="00342F19"/>
    <w:rsid w:val="00346EC5"/>
    <w:rsid w:val="00360516"/>
    <w:rsid w:val="003717C9"/>
    <w:rsid w:val="0037373E"/>
    <w:rsid w:val="00376B68"/>
    <w:rsid w:val="00387DF1"/>
    <w:rsid w:val="003A1251"/>
    <w:rsid w:val="003B3D70"/>
    <w:rsid w:val="003B71E3"/>
    <w:rsid w:val="003B757A"/>
    <w:rsid w:val="003C2C41"/>
    <w:rsid w:val="003E0747"/>
    <w:rsid w:val="003E40D4"/>
    <w:rsid w:val="003E7442"/>
    <w:rsid w:val="003F4CE9"/>
    <w:rsid w:val="00406742"/>
    <w:rsid w:val="00407B18"/>
    <w:rsid w:val="00421CF5"/>
    <w:rsid w:val="00431EA4"/>
    <w:rsid w:val="004372C1"/>
    <w:rsid w:val="004474F3"/>
    <w:rsid w:val="00462511"/>
    <w:rsid w:val="00472E71"/>
    <w:rsid w:val="00474E40"/>
    <w:rsid w:val="004948C7"/>
    <w:rsid w:val="00496D6F"/>
    <w:rsid w:val="004A7585"/>
    <w:rsid w:val="004B384D"/>
    <w:rsid w:val="004C3C84"/>
    <w:rsid w:val="004F3A6C"/>
    <w:rsid w:val="0050652B"/>
    <w:rsid w:val="00517936"/>
    <w:rsid w:val="005625CE"/>
    <w:rsid w:val="0057537A"/>
    <w:rsid w:val="005802F7"/>
    <w:rsid w:val="0058079B"/>
    <w:rsid w:val="005814DB"/>
    <w:rsid w:val="005B1650"/>
    <w:rsid w:val="005B25A1"/>
    <w:rsid w:val="005B2B3E"/>
    <w:rsid w:val="005B7C52"/>
    <w:rsid w:val="005C03DB"/>
    <w:rsid w:val="005C6142"/>
    <w:rsid w:val="005D7661"/>
    <w:rsid w:val="005E3E80"/>
    <w:rsid w:val="0060033D"/>
    <w:rsid w:val="006157D9"/>
    <w:rsid w:val="00617E80"/>
    <w:rsid w:val="00621815"/>
    <w:rsid w:val="00623F0E"/>
    <w:rsid w:val="0062679E"/>
    <w:rsid w:val="00636CDC"/>
    <w:rsid w:val="0064684D"/>
    <w:rsid w:val="00652148"/>
    <w:rsid w:val="00677821"/>
    <w:rsid w:val="00682E7E"/>
    <w:rsid w:val="00683570"/>
    <w:rsid w:val="0069634B"/>
    <w:rsid w:val="00696AA3"/>
    <w:rsid w:val="006A3619"/>
    <w:rsid w:val="006A672E"/>
    <w:rsid w:val="006E13A1"/>
    <w:rsid w:val="00716404"/>
    <w:rsid w:val="00717063"/>
    <w:rsid w:val="00744F3C"/>
    <w:rsid w:val="00746155"/>
    <w:rsid w:val="00787729"/>
    <w:rsid w:val="00794570"/>
    <w:rsid w:val="007A6C93"/>
    <w:rsid w:val="007B3834"/>
    <w:rsid w:val="007C1983"/>
    <w:rsid w:val="007C2208"/>
    <w:rsid w:val="007C4514"/>
    <w:rsid w:val="007D1132"/>
    <w:rsid w:val="007E7612"/>
    <w:rsid w:val="007F2621"/>
    <w:rsid w:val="007F54FF"/>
    <w:rsid w:val="008035F5"/>
    <w:rsid w:val="00821986"/>
    <w:rsid w:val="0083486B"/>
    <w:rsid w:val="00840488"/>
    <w:rsid w:val="0085309E"/>
    <w:rsid w:val="00882510"/>
    <w:rsid w:val="00883365"/>
    <w:rsid w:val="008868AF"/>
    <w:rsid w:val="00891923"/>
    <w:rsid w:val="00896EAB"/>
    <w:rsid w:val="008A1B31"/>
    <w:rsid w:val="008B33AA"/>
    <w:rsid w:val="008B50CF"/>
    <w:rsid w:val="008B6788"/>
    <w:rsid w:val="008C359E"/>
    <w:rsid w:val="008C7C67"/>
    <w:rsid w:val="008D4D80"/>
    <w:rsid w:val="008D5EC0"/>
    <w:rsid w:val="008E6EC2"/>
    <w:rsid w:val="008E79D6"/>
    <w:rsid w:val="00941B3E"/>
    <w:rsid w:val="00947134"/>
    <w:rsid w:val="00947DFF"/>
    <w:rsid w:val="009652DE"/>
    <w:rsid w:val="00971107"/>
    <w:rsid w:val="009D3DDB"/>
    <w:rsid w:val="00A07205"/>
    <w:rsid w:val="00A25C54"/>
    <w:rsid w:val="00A27D66"/>
    <w:rsid w:val="00A35507"/>
    <w:rsid w:val="00A5739F"/>
    <w:rsid w:val="00A70FD8"/>
    <w:rsid w:val="00A84CCB"/>
    <w:rsid w:val="00AC4E19"/>
    <w:rsid w:val="00AE43CA"/>
    <w:rsid w:val="00AF5FEC"/>
    <w:rsid w:val="00B13D05"/>
    <w:rsid w:val="00B21209"/>
    <w:rsid w:val="00B244B7"/>
    <w:rsid w:val="00B30B8E"/>
    <w:rsid w:val="00B31E2B"/>
    <w:rsid w:val="00B65A22"/>
    <w:rsid w:val="00B70A51"/>
    <w:rsid w:val="00B747BA"/>
    <w:rsid w:val="00B91D0D"/>
    <w:rsid w:val="00BA596E"/>
    <w:rsid w:val="00BB425D"/>
    <w:rsid w:val="00BC686D"/>
    <w:rsid w:val="00BE7EF0"/>
    <w:rsid w:val="00C20F7B"/>
    <w:rsid w:val="00C24FCD"/>
    <w:rsid w:val="00C52DE0"/>
    <w:rsid w:val="00C55D6F"/>
    <w:rsid w:val="00C57178"/>
    <w:rsid w:val="00C60735"/>
    <w:rsid w:val="00C618AA"/>
    <w:rsid w:val="00C66D5E"/>
    <w:rsid w:val="00C7229B"/>
    <w:rsid w:val="00C72BE7"/>
    <w:rsid w:val="00C81183"/>
    <w:rsid w:val="00C84AAA"/>
    <w:rsid w:val="00C87125"/>
    <w:rsid w:val="00C92456"/>
    <w:rsid w:val="00C94FB2"/>
    <w:rsid w:val="00CD536F"/>
    <w:rsid w:val="00CE0535"/>
    <w:rsid w:val="00D00598"/>
    <w:rsid w:val="00D11CC1"/>
    <w:rsid w:val="00D16522"/>
    <w:rsid w:val="00D320A6"/>
    <w:rsid w:val="00DC39C1"/>
    <w:rsid w:val="00DC3B22"/>
    <w:rsid w:val="00DC3CDB"/>
    <w:rsid w:val="00DF3C29"/>
    <w:rsid w:val="00DF6133"/>
    <w:rsid w:val="00DF7DFB"/>
    <w:rsid w:val="00E271EB"/>
    <w:rsid w:val="00E34EC8"/>
    <w:rsid w:val="00E4379B"/>
    <w:rsid w:val="00E51387"/>
    <w:rsid w:val="00E568B6"/>
    <w:rsid w:val="00E74305"/>
    <w:rsid w:val="00E851A5"/>
    <w:rsid w:val="00E94E6D"/>
    <w:rsid w:val="00EA5F67"/>
    <w:rsid w:val="00EB7271"/>
    <w:rsid w:val="00ED6F21"/>
    <w:rsid w:val="00ED7BAE"/>
    <w:rsid w:val="00EF09B7"/>
    <w:rsid w:val="00F124FD"/>
    <w:rsid w:val="00F134F8"/>
    <w:rsid w:val="00F153DF"/>
    <w:rsid w:val="00F21B43"/>
    <w:rsid w:val="00F3338F"/>
    <w:rsid w:val="00F340F3"/>
    <w:rsid w:val="00F43D22"/>
    <w:rsid w:val="00F64017"/>
    <w:rsid w:val="00FA116B"/>
    <w:rsid w:val="00FA781B"/>
    <w:rsid w:val="00FC4CF7"/>
    <w:rsid w:val="00FE205A"/>
    <w:rsid w:val="00FE3309"/>
    <w:rsid w:val="00FF0C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624A2"/>
  <w15:docId w15:val="{05F14975-5BCD-47A2-9D6E-59D007ECC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NormalWeb">
    <w:name w:val="Normal (Web)"/>
    <w:basedOn w:val="Normal"/>
    <w:uiPriority w:val="99"/>
    <w:unhideWhenUsed/>
    <w:rsid w:val="005C03D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C03DB"/>
    <w:rPr>
      <w:color w:val="0000FF"/>
      <w:u w:val="single"/>
    </w:rPr>
  </w:style>
  <w:style w:type="paragraph" w:styleId="ListParagraph">
    <w:name w:val="List Paragraph"/>
    <w:basedOn w:val="Normal"/>
    <w:uiPriority w:val="34"/>
    <w:qFormat/>
    <w:rsid w:val="00BE7EF0"/>
    <w:pPr>
      <w:ind w:left="720"/>
      <w:contextualSpacing/>
    </w:pPr>
  </w:style>
  <w:style w:type="character" w:styleId="Strong">
    <w:name w:val="Strong"/>
    <w:basedOn w:val="DefaultParagraphFont"/>
    <w:uiPriority w:val="22"/>
    <w:qFormat/>
    <w:rsid w:val="005B25A1"/>
    <w:rPr>
      <w:b/>
      <w:bCs/>
    </w:rPr>
  </w:style>
  <w:style w:type="character" w:customStyle="1" w:styleId="apple-tab-span">
    <w:name w:val="apple-tab-span"/>
    <w:basedOn w:val="DefaultParagraphFont"/>
    <w:rsid w:val="003256AD"/>
  </w:style>
  <w:style w:type="paragraph" w:styleId="Header">
    <w:name w:val="header"/>
    <w:basedOn w:val="Normal"/>
    <w:link w:val="HeaderChar"/>
    <w:uiPriority w:val="99"/>
    <w:unhideWhenUsed/>
    <w:rsid w:val="009D3DDB"/>
    <w:pPr>
      <w:tabs>
        <w:tab w:val="center" w:pos="4513"/>
        <w:tab w:val="right" w:pos="9026"/>
      </w:tabs>
      <w:spacing w:line="240" w:lineRule="auto"/>
    </w:pPr>
  </w:style>
  <w:style w:type="character" w:customStyle="1" w:styleId="HeaderChar">
    <w:name w:val="Header Char"/>
    <w:basedOn w:val="DefaultParagraphFont"/>
    <w:link w:val="Header"/>
    <w:uiPriority w:val="99"/>
    <w:rsid w:val="009D3DDB"/>
  </w:style>
  <w:style w:type="paragraph" w:styleId="Footer">
    <w:name w:val="footer"/>
    <w:basedOn w:val="Normal"/>
    <w:link w:val="FooterChar"/>
    <w:uiPriority w:val="99"/>
    <w:unhideWhenUsed/>
    <w:rsid w:val="009D3DDB"/>
    <w:pPr>
      <w:tabs>
        <w:tab w:val="center" w:pos="4513"/>
        <w:tab w:val="right" w:pos="9026"/>
      </w:tabs>
      <w:spacing w:line="240" w:lineRule="auto"/>
    </w:pPr>
  </w:style>
  <w:style w:type="character" w:customStyle="1" w:styleId="FooterChar">
    <w:name w:val="Footer Char"/>
    <w:basedOn w:val="DefaultParagraphFont"/>
    <w:link w:val="Footer"/>
    <w:uiPriority w:val="99"/>
    <w:rsid w:val="009D3DDB"/>
  </w:style>
  <w:style w:type="character" w:customStyle="1" w:styleId="il">
    <w:name w:val="il"/>
    <w:basedOn w:val="DefaultParagraphFont"/>
    <w:rsid w:val="002C392F"/>
  </w:style>
  <w:style w:type="character" w:styleId="UnresolvedMention">
    <w:name w:val="Unresolved Mention"/>
    <w:basedOn w:val="DefaultParagraphFont"/>
    <w:uiPriority w:val="99"/>
    <w:semiHidden/>
    <w:unhideWhenUsed/>
    <w:rsid w:val="005E3E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77264">
      <w:bodyDiv w:val="1"/>
      <w:marLeft w:val="0"/>
      <w:marRight w:val="0"/>
      <w:marTop w:val="0"/>
      <w:marBottom w:val="0"/>
      <w:divBdr>
        <w:top w:val="none" w:sz="0" w:space="0" w:color="auto"/>
        <w:left w:val="none" w:sz="0" w:space="0" w:color="auto"/>
        <w:bottom w:val="none" w:sz="0" w:space="0" w:color="auto"/>
        <w:right w:val="none" w:sz="0" w:space="0" w:color="auto"/>
      </w:divBdr>
    </w:div>
    <w:div w:id="295767456">
      <w:bodyDiv w:val="1"/>
      <w:marLeft w:val="0"/>
      <w:marRight w:val="0"/>
      <w:marTop w:val="0"/>
      <w:marBottom w:val="0"/>
      <w:divBdr>
        <w:top w:val="none" w:sz="0" w:space="0" w:color="auto"/>
        <w:left w:val="none" w:sz="0" w:space="0" w:color="auto"/>
        <w:bottom w:val="none" w:sz="0" w:space="0" w:color="auto"/>
        <w:right w:val="none" w:sz="0" w:space="0" w:color="auto"/>
      </w:divBdr>
    </w:div>
    <w:div w:id="424956049">
      <w:bodyDiv w:val="1"/>
      <w:marLeft w:val="0"/>
      <w:marRight w:val="0"/>
      <w:marTop w:val="0"/>
      <w:marBottom w:val="0"/>
      <w:divBdr>
        <w:top w:val="none" w:sz="0" w:space="0" w:color="auto"/>
        <w:left w:val="none" w:sz="0" w:space="0" w:color="auto"/>
        <w:bottom w:val="none" w:sz="0" w:space="0" w:color="auto"/>
        <w:right w:val="none" w:sz="0" w:space="0" w:color="auto"/>
      </w:divBdr>
    </w:div>
    <w:div w:id="646856728">
      <w:bodyDiv w:val="1"/>
      <w:marLeft w:val="0"/>
      <w:marRight w:val="0"/>
      <w:marTop w:val="0"/>
      <w:marBottom w:val="0"/>
      <w:divBdr>
        <w:top w:val="none" w:sz="0" w:space="0" w:color="auto"/>
        <w:left w:val="none" w:sz="0" w:space="0" w:color="auto"/>
        <w:bottom w:val="none" w:sz="0" w:space="0" w:color="auto"/>
        <w:right w:val="none" w:sz="0" w:space="0" w:color="auto"/>
      </w:divBdr>
    </w:div>
    <w:div w:id="1030834926">
      <w:bodyDiv w:val="1"/>
      <w:marLeft w:val="0"/>
      <w:marRight w:val="0"/>
      <w:marTop w:val="0"/>
      <w:marBottom w:val="0"/>
      <w:divBdr>
        <w:top w:val="none" w:sz="0" w:space="0" w:color="auto"/>
        <w:left w:val="none" w:sz="0" w:space="0" w:color="auto"/>
        <w:bottom w:val="none" w:sz="0" w:space="0" w:color="auto"/>
        <w:right w:val="none" w:sz="0" w:space="0" w:color="auto"/>
      </w:divBdr>
    </w:div>
    <w:div w:id="1095249247">
      <w:bodyDiv w:val="1"/>
      <w:marLeft w:val="0"/>
      <w:marRight w:val="0"/>
      <w:marTop w:val="0"/>
      <w:marBottom w:val="0"/>
      <w:divBdr>
        <w:top w:val="none" w:sz="0" w:space="0" w:color="auto"/>
        <w:left w:val="none" w:sz="0" w:space="0" w:color="auto"/>
        <w:bottom w:val="none" w:sz="0" w:space="0" w:color="auto"/>
        <w:right w:val="none" w:sz="0" w:space="0" w:color="auto"/>
      </w:divBdr>
    </w:div>
    <w:div w:id="1109157739">
      <w:bodyDiv w:val="1"/>
      <w:marLeft w:val="0"/>
      <w:marRight w:val="0"/>
      <w:marTop w:val="0"/>
      <w:marBottom w:val="0"/>
      <w:divBdr>
        <w:top w:val="none" w:sz="0" w:space="0" w:color="auto"/>
        <w:left w:val="none" w:sz="0" w:space="0" w:color="auto"/>
        <w:bottom w:val="none" w:sz="0" w:space="0" w:color="auto"/>
        <w:right w:val="none" w:sz="0" w:space="0" w:color="auto"/>
      </w:divBdr>
    </w:div>
    <w:div w:id="1331324802">
      <w:bodyDiv w:val="1"/>
      <w:marLeft w:val="0"/>
      <w:marRight w:val="0"/>
      <w:marTop w:val="0"/>
      <w:marBottom w:val="0"/>
      <w:divBdr>
        <w:top w:val="none" w:sz="0" w:space="0" w:color="auto"/>
        <w:left w:val="none" w:sz="0" w:space="0" w:color="auto"/>
        <w:bottom w:val="none" w:sz="0" w:space="0" w:color="auto"/>
        <w:right w:val="none" w:sz="0" w:space="0" w:color="auto"/>
      </w:divBdr>
    </w:div>
    <w:div w:id="1353848262">
      <w:bodyDiv w:val="1"/>
      <w:marLeft w:val="0"/>
      <w:marRight w:val="0"/>
      <w:marTop w:val="0"/>
      <w:marBottom w:val="0"/>
      <w:divBdr>
        <w:top w:val="none" w:sz="0" w:space="0" w:color="auto"/>
        <w:left w:val="none" w:sz="0" w:space="0" w:color="auto"/>
        <w:bottom w:val="none" w:sz="0" w:space="0" w:color="auto"/>
        <w:right w:val="none" w:sz="0" w:space="0" w:color="auto"/>
      </w:divBdr>
    </w:div>
    <w:div w:id="1744836374">
      <w:bodyDiv w:val="1"/>
      <w:marLeft w:val="0"/>
      <w:marRight w:val="0"/>
      <w:marTop w:val="0"/>
      <w:marBottom w:val="0"/>
      <w:divBdr>
        <w:top w:val="none" w:sz="0" w:space="0" w:color="auto"/>
        <w:left w:val="none" w:sz="0" w:space="0" w:color="auto"/>
        <w:bottom w:val="none" w:sz="0" w:space="0" w:color="auto"/>
        <w:right w:val="none" w:sz="0" w:space="0" w:color="auto"/>
      </w:divBdr>
    </w:div>
    <w:div w:id="1903327576">
      <w:bodyDiv w:val="1"/>
      <w:marLeft w:val="0"/>
      <w:marRight w:val="0"/>
      <w:marTop w:val="0"/>
      <w:marBottom w:val="0"/>
      <w:divBdr>
        <w:top w:val="none" w:sz="0" w:space="0" w:color="auto"/>
        <w:left w:val="none" w:sz="0" w:space="0" w:color="auto"/>
        <w:bottom w:val="none" w:sz="0" w:space="0" w:color="auto"/>
        <w:right w:val="none" w:sz="0" w:space="0" w:color="auto"/>
      </w:divBdr>
    </w:div>
    <w:div w:id="2132701392">
      <w:bodyDiv w:val="1"/>
      <w:marLeft w:val="0"/>
      <w:marRight w:val="0"/>
      <w:marTop w:val="0"/>
      <w:marBottom w:val="0"/>
      <w:divBdr>
        <w:top w:val="none" w:sz="0" w:space="0" w:color="auto"/>
        <w:left w:val="none" w:sz="0" w:space="0" w:color="auto"/>
        <w:bottom w:val="none" w:sz="0" w:space="0" w:color="auto"/>
        <w:right w:val="none" w:sz="0" w:space="0" w:color="auto"/>
      </w:divBdr>
    </w:div>
    <w:div w:id="21370252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avid.shukla@nihr.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kotecha@bham.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ue.elwell@nihr.ac.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file:///C:\Users\aeyu\AppData\Local\Microsoft\Windows\INetCache\Content.Outlook\C8D8W0GP\dare2think@trials.bham.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8EA6A78B6EFB4D9985178F3F279F4C" ma:contentTypeVersion="15" ma:contentTypeDescription="Create a new document." ma:contentTypeScope="" ma:versionID="ced9de3ba138018ae0298fe7afd34fe6">
  <xsd:schema xmlns:xsd="http://www.w3.org/2001/XMLSchema" xmlns:xs="http://www.w3.org/2001/XMLSchema" xmlns:p="http://schemas.microsoft.com/office/2006/metadata/properties" xmlns:ns2="41a39341-79ea-44d6-85e4-75c150cb81b7" xmlns:ns3="b375cec7-7e7c-4052-8797-185a20106aa9" targetNamespace="http://schemas.microsoft.com/office/2006/metadata/properties" ma:root="true" ma:fieldsID="6a75d0d3472cb7fad7b3cce3f90ad830" ns2:_="" ns3:_="">
    <xsd:import namespace="41a39341-79ea-44d6-85e4-75c150cb81b7"/>
    <xsd:import namespace="b375cec7-7e7c-4052-8797-185a20106a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a39341-79ea-44d6-85e4-75c150cb81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c7af76c-f141-45ca-ae1a-4959eb0cbd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75cec7-7e7c-4052-8797-185a20106aa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aed2d82-6d78-4a55-8940-96e31f405564}" ma:internalName="TaxCatchAll" ma:showField="CatchAllData" ma:web="b375cec7-7e7c-4052-8797-185a20106a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375cec7-7e7c-4052-8797-185a20106aa9" xsi:nil="true"/>
    <lcf76f155ced4ddcb4097134ff3c332f xmlns="41a39341-79ea-44d6-85e4-75c150cb81b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0F42B49-DDF5-4679-BF66-27A20D154D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a39341-79ea-44d6-85e4-75c150cb81b7"/>
    <ds:schemaRef ds:uri="b375cec7-7e7c-4052-8797-185a20106a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5837C8-F52D-4413-A140-F5D01A485A36}">
  <ds:schemaRefs>
    <ds:schemaRef ds:uri="http://schemas.microsoft.com/sharepoint/v3/contenttype/forms"/>
  </ds:schemaRefs>
</ds:datastoreItem>
</file>

<file path=customXml/itemProps3.xml><?xml version="1.0" encoding="utf-8"?>
<ds:datastoreItem xmlns:ds="http://schemas.openxmlformats.org/officeDocument/2006/customXml" ds:itemID="{EBB5A2AA-CC67-4535-B351-B8443B028764}">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b375cec7-7e7c-4052-8797-185a20106aa9"/>
    <ds:schemaRef ds:uri="41a39341-79ea-44d6-85e4-75c150cb81b7"/>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919</Words>
  <Characters>5244</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Alastair Mobley (Cardiovascular Sciences)</dc:creator>
  <cp:lastModifiedBy>Alice Young</cp:lastModifiedBy>
  <cp:revision>2</cp:revision>
  <dcterms:created xsi:type="dcterms:W3CDTF">2022-07-21T11:02:00Z</dcterms:created>
  <dcterms:modified xsi:type="dcterms:W3CDTF">2022-07-21T11:02:00Z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0x010100968EA6A78B6EFB4D9985178F3F279F4C</vt:lpwstr>
  </property>
</Properties>
</file>