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3C7B" w14:textId="77777777" w:rsidR="00D7036B" w:rsidRDefault="00D7036B" w:rsidP="00D7036B"/>
    <w:p w14:paraId="318E3AD0" w14:textId="77777777" w:rsidR="00895128" w:rsidRDefault="00895128" w:rsidP="00D7036B"/>
    <w:p w14:paraId="38730844" w14:textId="77777777" w:rsidR="00895128" w:rsidRPr="00895128" w:rsidRDefault="00895128" w:rsidP="00895128">
      <w:pPr>
        <w:rPr>
          <w:b/>
          <w:bCs/>
          <w:sz w:val="28"/>
          <w:szCs w:val="28"/>
        </w:rPr>
      </w:pPr>
      <w:r w:rsidRPr="00895128">
        <w:rPr>
          <w:b/>
          <w:bCs/>
          <w:sz w:val="28"/>
          <w:szCs w:val="28"/>
        </w:rPr>
        <w:t>Standard Operating Procedure</w:t>
      </w:r>
      <w:r>
        <w:rPr>
          <w:b/>
          <w:bCs/>
          <w:sz w:val="28"/>
          <w:szCs w:val="28"/>
        </w:rPr>
        <w:t>:</w:t>
      </w:r>
    </w:p>
    <w:p w14:paraId="169A6652" w14:textId="77777777" w:rsidR="009F1683" w:rsidRPr="00C0396F" w:rsidRDefault="009F1683" w:rsidP="009F1683">
      <w:pPr>
        <w:pStyle w:val="Title"/>
      </w:pPr>
      <w:r w:rsidRPr="00983E11">
        <w:t>Adverse Event Reporting</w:t>
      </w:r>
    </w:p>
    <w:p w14:paraId="15C269D5" w14:textId="77777777" w:rsidR="00A31C6D" w:rsidRDefault="00A31C6D" w:rsidP="00A31C6D"/>
    <w:p w14:paraId="5E62DFA7"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Caption w:val="Review Information"/>
        <w:tblDescription w:val="This table details which document the current document has superseded, when it was last reviewed and when the next review is due"/>
      </w:tblPr>
      <w:tblGrid>
        <w:gridCol w:w="1696"/>
        <w:gridCol w:w="7321"/>
      </w:tblGrid>
      <w:tr w:rsidR="00895128" w14:paraId="5037621A" w14:textId="77777777" w:rsidTr="00C90371">
        <w:tc>
          <w:tcPr>
            <w:tcW w:w="1696" w:type="dxa"/>
          </w:tcPr>
          <w:p w14:paraId="122AEA41" w14:textId="77777777" w:rsidR="00895128" w:rsidRPr="00895128" w:rsidRDefault="00895128" w:rsidP="00A31C6D">
            <w:pPr>
              <w:rPr>
                <w:b/>
                <w:bCs/>
              </w:rPr>
            </w:pPr>
            <w:r w:rsidRPr="00895128">
              <w:rPr>
                <w:b/>
                <w:bCs/>
              </w:rPr>
              <w:t>Supersedes:</w:t>
            </w:r>
          </w:p>
        </w:tc>
        <w:tc>
          <w:tcPr>
            <w:tcW w:w="7321" w:type="dxa"/>
          </w:tcPr>
          <w:p w14:paraId="13697843" w14:textId="25007D5A" w:rsidR="00895128" w:rsidRDefault="009F1683" w:rsidP="00A31C6D">
            <w:r>
              <w:t>Adverse Event Reporting</w:t>
            </w:r>
            <w:r w:rsidR="00A945B7">
              <w:t xml:space="preserve"> SOP</w:t>
            </w:r>
            <w:r w:rsidR="00F04CAB">
              <w:t xml:space="preserve"> </w:t>
            </w:r>
            <w:r>
              <w:t>(UoB-AES-SOP-001</w:t>
            </w:r>
            <w:r w:rsidR="008058D0">
              <w:t>, v2.0</w:t>
            </w:r>
            <w:r>
              <w:t>)</w:t>
            </w:r>
          </w:p>
        </w:tc>
      </w:tr>
      <w:tr w:rsidR="00895128" w14:paraId="46739203" w14:textId="77777777" w:rsidTr="00C90371">
        <w:tc>
          <w:tcPr>
            <w:tcW w:w="1696" w:type="dxa"/>
          </w:tcPr>
          <w:p w14:paraId="77BB6F63" w14:textId="77777777" w:rsidR="00895128" w:rsidRPr="00895128" w:rsidRDefault="00895128" w:rsidP="00A31C6D">
            <w:pPr>
              <w:rPr>
                <w:b/>
                <w:bCs/>
              </w:rPr>
            </w:pPr>
            <w:r w:rsidRPr="00895128">
              <w:rPr>
                <w:b/>
                <w:bCs/>
              </w:rPr>
              <w:t>Last reviewed:</w:t>
            </w:r>
          </w:p>
        </w:tc>
        <w:tc>
          <w:tcPr>
            <w:tcW w:w="7321" w:type="dxa"/>
          </w:tcPr>
          <w:p w14:paraId="6CAD110A" w14:textId="5BDDBA2F" w:rsidR="00895128" w:rsidRDefault="002A6AA1" w:rsidP="00A31C6D">
            <w:r>
              <w:t>Mar</w:t>
            </w:r>
            <w:r w:rsidR="00A945B7">
              <w:t>-</w:t>
            </w:r>
            <w:r>
              <w:t>2026</w:t>
            </w:r>
          </w:p>
        </w:tc>
      </w:tr>
      <w:tr w:rsidR="00895128" w14:paraId="63670D14" w14:textId="77777777" w:rsidTr="00C90371">
        <w:tc>
          <w:tcPr>
            <w:tcW w:w="1696" w:type="dxa"/>
          </w:tcPr>
          <w:p w14:paraId="5AB54DC9" w14:textId="77777777" w:rsidR="00895128" w:rsidRPr="00895128" w:rsidRDefault="00895128" w:rsidP="00A31C6D">
            <w:pPr>
              <w:rPr>
                <w:b/>
                <w:bCs/>
              </w:rPr>
            </w:pPr>
            <w:r w:rsidRPr="00895128">
              <w:rPr>
                <w:b/>
                <w:bCs/>
              </w:rPr>
              <w:t>Next review in:</w:t>
            </w:r>
          </w:p>
        </w:tc>
        <w:tc>
          <w:tcPr>
            <w:tcW w:w="7321" w:type="dxa"/>
          </w:tcPr>
          <w:p w14:paraId="787609E8" w14:textId="264CF6FE" w:rsidR="00895128" w:rsidRDefault="002A6AA1" w:rsidP="00A31C6D">
            <w:r>
              <w:t>202</w:t>
            </w:r>
            <w:r w:rsidR="00144B57">
              <w:t>9</w:t>
            </w:r>
            <w:r w:rsidR="00A945B7">
              <w:t>, Quarter 1 (Jan-Mar)</w:t>
            </w:r>
          </w:p>
        </w:tc>
      </w:tr>
    </w:tbl>
    <w:p w14:paraId="036DA597" w14:textId="77777777" w:rsidR="00895128" w:rsidRDefault="00895128" w:rsidP="00A31C6D"/>
    <w:p w14:paraId="207645DC" w14:textId="77777777" w:rsidR="00895128" w:rsidRDefault="00895128" w:rsidP="00A31C6D"/>
    <w:p w14:paraId="7462BEA5" w14:textId="77777777" w:rsidR="00895128" w:rsidRDefault="00895128" w:rsidP="00A31C6D"/>
    <w:p w14:paraId="0B38A2DA"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FC026F"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16CC2FAF" w14:textId="77777777" w:rsidR="00A86630" w:rsidRDefault="00A86630" w:rsidP="007773B9">
      <w:pPr>
        <w:tabs>
          <w:tab w:val="left" w:pos="3654"/>
        </w:tabs>
      </w:pPr>
    </w:p>
    <w:p w14:paraId="324DFFAD" w14:textId="77777777" w:rsidR="00A86630" w:rsidRDefault="00A86630" w:rsidP="007773B9">
      <w:pPr>
        <w:tabs>
          <w:tab w:val="left" w:pos="3654"/>
        </w:tabs>
      </w:pPr>
    </w:p>
    <w:p w14:paraId="7556650A" w14:textId="77777777" w:rsidR="0097056C" w:rsidRPr="007773B9" w:rsidRDefault="0097056C" w:rsidP="007773B9">
      <w:pPr>
        <w:tabs>
          <w:tab w:val="left" w:pos="3654"/>
        </w:tabs>
        <w:sectPr w:rsidR="0097056C" w:rsidRPr="007773B9" w:rsidSect="00D7036B">
          <w:footerReference w:type="default" r:id="rId12"/>
          <w:headerReference w:type="first" r:id="rId13"/>
          <w:footerReference w:type="first" r:id="rId14"/>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bookmarkStart w:id="0" w:name="_Toc320536979" w:displacedByCustomXml="next"/>
    <w:sdt>
      <w:sdtPr>
        <w:rPr>
          <w:rFonts w:ascii="Calibri" w:eastAsia="Times New Roman" w:hAnsi="Calibri" w:cs="Arial"/>
          <w:b/>
          <w:caps/>
          <w:color w:val="auto"/>
          <w:kern w:val="32"/>
          <w:sz w:val="20"/>
          <w:szCs w:val="20"/>
          <w:lang w:val="en-GB"/>
        </w:rPr>
        <w:id w:val="1097441873"/>
        <w:docPartObj>
          <w:docPartGallery w:val="Table of Contents"/>
          <w:docPartUnique/>
        </w:docPartObj>
      </w:sdtPr>
      <w:sdtEndPr>
        <w:rPr>
          <w:b w:val="0"/>
          <w:bCs/>
          <w:caps w:val="0"/>
          <w:noProof/>
          <w:kern w:val="0"/>
        </w:rPr>
      </w:sdtEndPr>
      <w:sdtContent>
        <w:p w14:paraId="0E6F1EA2" w14:textId="77777777" w:rsidR="000317D8" w:rsidRPr="00646D09" w:rsidRDefault="000317D8" w:rsidP="003F499F">
          <w:pPr>
            <w:pStyle w:val="TOCHeading"/>
            <w:spacing w:before="0"/>
            <w:rPr>
              <w:rStyle w:val="Heading1Char"/>
              <w:rFonts w:asciiTheme="minorHAnsi" w:hAnsiTheme="minorHAnsi"/>
            </w:rPr>
          </w:pPr>
          <w:r w:rsidRPr="00646D09">
            <w:rPr>
              <w:rStyle w:val="Heading1Char"/>
              <w:rFonts w:asciiTheme="minorHAnsi" w:hAnsiTheme="minorHAnsi"/>
            </w:rPr>
            <w:t>Contents</w:t>
          </w:r>
        </w:p>
        <w:p w14:paraId="7F177ED0" w14:textId="16BB8FAC" w:rsidR="00525516" w:rsidRDefault="000317D8">
          <w:pPr>
            <w:pStyle w:val="TOC1"/>
            <w:rPr>
              <w:rFonts w:asciiTheme="minorHAnsi" w:eastAsiaTheme="minorEastAsia" w:hAnsiTheme="minorHAnsi" w:cstheme="minorBidi"/>
              <w:b w:val="0"/>
              <w:bCs w:val="0"/>
              <w:kern w:val="2"/>
              <w:sz w:val="24"/>
              <w:szCs w:val="24"/>
              <w:lang w:eastAsia="en-GB"/>
              <w14:ligatures w14:val="standardContextual"/>
            </w:rPr>
          </w:pPr>
          <w:r>
            <w:fldChar w:fldCharType="begin"/>
          </w:r>
          <w:r>
            <w:instrText xml:space="preserve"> TOC \o "1-3" \h \z \u </w:instrText>
          </w:r>
          <w:r>
            <w:fldChar w:fldCharType="separate"/>
          </w:r>
          <w:hyperlink w:anchor="_Toc225494553" w:history="1">
            <w:r w:rsidR="00525516" w:rsidRPr="003D5049">
              <w:rPr>
                <w:rStyle w:val="Hyperlink"/>
              </w:rPr>
              <w:t>Purpose</w:t>
            </w:r>
            <w:r w:rsidR="00525516">
              <w:rPr>
                <w:webHidden/>
              </w:rPr>
              <w:tab/>
            </w:r>
            <w:r w:rsidR="00525516">
              <w:rPr>
                <w:webHidden/>
              </w:rPr>
              <w:fldChar w:fldCharType="begin"/>
            </w:r>
            <w:r w:rsidR="00525516">
              <w:rPr>
                <w:webHidden/>
              </w:rPr>
              <w:instrText xml:space="preserve"> PAGEREF _Toc225494553 \h </w:instrText>
            </w:r>
            <w:r w:rsidR="00525516">
              <w:rPr>
                <w:webHidden/>
              </w:rPr>
            </w:r>
            <w:r w:rsidR="00525516">
              <w:rPr>
                <w:webHidden/>
              </w:rPr>
              <w:fldChar w:fldCharType="separate"/>
            </w:r>
            <w:r w:rsidR="00525516">
              <w:rPr>
                <w:webHidden/>
              </w:rPr>
              <w:t>3</w:t>
            </w:r>
            <w:r w:rsidR="00525516">
              <w:rPr>
                <w:webHidden/>
              </w:rPr>
              <w:fldChar w:fldCharType="end"/>
            </w:r>
          </w:hyperlink>
        </w:p>
        <w:p w14:paraId="4368E45A" w14:textId="31C6E1BB"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54" w:history="1">
            <w:r w:rsidRPr="003D5049">
              <w:rPr>
                <w:rStyle w:val="Hyperlink"/>
              </w:rPr>
              <w:t>Scope</w:t>
            </w:r>
            <w:r>
              <w:rPr>
                <w:webHidden/>
              </w:rPr>
              <w:tab/>
            </w:r>
            <w:r>
              <w:rPr>
                <w:webHidden/>
              </w:rPr>
              <w:fldChar w:fldCharType="begin"/>
            </w:r>
            <w:r>
              <w:rPr>
                <w:webHidden/>
              </w:rPr>
              <w:instrText xml:space="preserve"> PAGEREF _Toc225494554 \h </w:instrText>
            </w:r>
            <w:r>
              <w:rPr>
                <w:webHidden/>
              </w:rPr>
            </w:r>
            <w:r>
              <w:rPr>
                <w:webHidden/>
              </w:rPr>
              <w:fldChar w:fldCharType="separate"/>
            </w:r>
            <w:r>
              <w:rPr>
                <w:webHidden/>
              </w:rPr>
              <w:t>3</w:t>
            </w:r>
            <w:r>
              <w:rPr>
                <w:webHidden/>
              </w:rPr>
              <w:fldChar w:fldCharType="end"/>
            </w:r>
          </w:hyperlink>
        </w:p>
        <w:p w14:paraId="2A0D3507" w14:textId="4E171B01"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55" w:history="1">
            <w:r w:rsidRPr="003D5049">
              <w:rPr>
                <w:rStyle w:val="Hyperlink"/>
              </w:rPr>
              <w:t>Implementation plan</w:t>
            </w:r>
            <w:r>
              <w:rPr>
                <w:webHidden/>
              </w:rPr>
              <w:tab/>
            </w:r>
            <w:r>
              <w:rPr>
                <w:webHidden/>
              </w:rPr>
              <w:fldChar w:fldCharType="begin"/>
            </w:r>
            <w:r>
              <w:rPr>
                <w:webHidden/>
              </w:rPr>
              <w:instrText xml:space="preserve"> PAGEREF _Toc225494555 \h </w:instrText>
            </w:r>
            <w:r>
              <w:rPr>
                <w:webHidden/>
              </w:rPr>
            </w:r>
            <w:r>
              <w:rPr>
                <w:webHidden/>
              </w:rPr>
              <w:fldChar w:fldCharType="separate"/>
            </w:r>
            <w:r>
              <w:rPr>
                <w:webHidden/>
              </w:rPr>
              <w:t>3</w:t>
            </w:r>
            <w:r>
              <w:rPr>
                <w:webHidden/>
              </w:rPr>
              <w:fldChar w:fldCharType="end"/>
            </w:r>
          </w:hyperlink>
        </w:p>
        <w:p w14:paraId="57B80956" w14:textId="61034E02"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56" w:history="1">
            <w:r w:rsidRPr="003D5049">
              <w:rPr>
                <w:rStyle w:val="Hyperlink"/>
              </w:rPr>
              <w:t>Stakeholders</w:t>
            </w:r>
            <w:r>
              <w:rPr>
                <w:webHidden/>
              </w:rPr>
              <w:tab/>
            </w:r>
            <w:r>
              <w:rPr>
                <w:webHidden/>
              </w:rPr>
              <w:fldChar w:fldCharType="begin"/>
            </w:r>
            <w:r>
              <w:rPr>
                <w:webHidden/>
              </w:rPr>
              <w:instrText xml:space="preserve"> PAGEREF _Toc225494556 \h </w:instrText>
            </w:r>
            <w:r>
              <w:rPr>
                <w:webHidden/>
              </w:rPr>
            </w:r>
            <w:r>
              <w:rPr>
                <w:webHidden/>
              </w:rPr>
              <w:fldChar w:fldCharType="separate"/>
            </w:r>
            <w:r>
              <w:rPr>
                <w:webHidden/>
              </w:rPr>
              <w:t>3</w:t>
            </w:r>
            <w:r>
              <w:rPr>
                <w:webHidden/>
              </w:rPr>
              <w:fldChar w:fldCharType="end"/>
            </w:r>
          </w:hyperlink>
        </w:p>
        <w:p w14:paraId="4A4B0022" w14:textId="34C0AA0D"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57" w:history="1">
            <w:r w:rsidRPr="003D5049">
              <w:rPr>
                <w:rStyle w:val="Hyperlink"/>
              </w:rPr>
              <w:t>Background</w:t>
            </w:r>
            <w:r>
              <w:rPr>
                <w:webHidden/>
              </w:rPr>
              <w:tab/>
            </w:r>
            <w:r>
              <w:rPr>
                <w:webHidden/>
              </w:rPr>
              <w:fldChar w:fldCharType="begin"/>
            </w:r>
            <w:r>
              <w:rPr>
                <w:webHidden/>
              </w:rPr>
              <w:instrText xml:space="preserve"> PAGEREF _Toc225494557 \h </w:instrText>
            </w:r>
            <w:r>
              <w:rPr>
                <w:webHidden/>
              </w:rPr>
            </w:r>
            <w:r>
              <w:rPr>
                <w:webHidden/>
              </w:rPr>
              <w:fldChar w:fldCharType="separate"/>
            </w:r>
            <w:r>
              <w:rPr>
                <w:webHidden/>
              </w:rPr>
              <w:t>4</w:t>
            </w:r>
            <w:r>
              <w:rPr>
                <w:webHidden/>
              </w:rPr>
              <w:fldChar w:fldCharType="end"/>
            </w:r>
          </w:hyperlink>
        </w:p>
        <w:p w14:paraId="3A50F4AA" w14:textId="1DE01B06"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58" w:history="1">
            <w:r w:rsidRPr="003D5049">
              <w:rPr>
                <w:rStyle w:val="Hyperlink"/>
                <w:noProof/>
              </w:rPr>
              <w:t>Clarification of terms</w:t>
            </w:r>
            <w:r>
              <w:rPr>
                <w:noProof/>
                <w:webHidden/>
              </w:rPr>
              <w:tab/>
            </w:r>
            <w:r>
              <w:rPr>
                <w:noProof/>
                <w:webHidden/>
              </w:rPr>
              <w:fldChar w:fldCharType="begin"/>
            </w:r>
            <w:r>
              <w:rPr>
                <w:noProof/>
                <w:webHidden/>
              </w:rPr>
              <w:instrText xml:space="preserve"> PAGEREF _Toc225494558 \h </w:instrText>
            </w:r>
            <w:r>
              <w:rPr>
                <w:noProof/>
                <w:webHidden/>
              </w:rPr>
            </w:r>
            <w:r>
              <w:rPr>
                <w:noProof/>
                <w:webHidden/>
              </w:rPr>
              <w:fldChar w:fldCharType="separate"/>
            </w:r>
            <w:r>
              <w:rPr>
                <w:noProof/>
                <w:webHidden/>
              </w:rPr>
              <w:t>4</w:t>
            </w:r>
            <w:r>
              <w:rPr>
                <w:noProof/>
                <w:webHidden/>
              </w:rPr>
              <w:fldChar w:fldCharType="end"/>
            </w:r>
          </w:hyperlink>
        </w:p>
        <w:p w14:paraId="4EC6EF34" w14:textId="061D53C1"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59" w:history="1">
            <w:r w:rsidRPr="003D5049">
              <w:rPr>
                <w:rStyle w:val="Hyperlink"/>
              </w:rPr>
              <w:t>Process map</w:t>
            </w:r>
            <w:r>
              <w:rPr>
                <w:webHidden/>
              </w:rPr>
              <w:tab/>
            </w:r>
            <w:r>
              <w:rPr>
                <w:webHidden/>
              </w:rPr>
              <w:fldChar w:fldCharType="begin"/>
            </w:r>
            <w:r>
              <w:rPr>
                <w:webHidden/>
              </w:rPr>
              <w:instrText xml:space="preserve"> PAGEREF _Toc225494559 \h </w:instrText>
            </w:r>
            <w:r>
              <w:rPr>
                <w:webHidden/>
              </w:rPr>
            </w:r>
            <w:r>
              <w:rPr>
                <w:webHidden/>
              </w:rPr>
              <w:fldChar w:fldCharType="separate"/>
            </w:r>
            <w:r>
              <w:rPr>
                <w:webHidden/>
              </w:rPr>
              <w:t>5</w:t>
            </w:r>
            <w:r>
              <w:rPr>
                <w:webHidden/>
              </w:rPr>
              <w:fldChar w:fldCharType="end"/>
            </w:r>
          </w:hyperlink>
        </w:p>
        <w:p w14:paraId="40D388BD" w14:textId="053AF6C6"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60" w:history="1">
            <w:r w:rsidRPr="003D5049">
              <w:rPr>
                <w:rStyle w:val="Hyperlink"/>
                <w:noProof/>
              </w:rPr>
              <w:t>Decision tree for adverse event reporting and timelines</w:t>
            </w:r>
            <w:r>
              <w:rPr>
                <w:noProof/>
                <w:webHidden/>
              </w:rPr>
              <w:tab/>
            </w:r>
            <w:r>
              <w:rPr>
                <w:noProof/>
                <w:webHidden/>
              </w:rPr>
              <w:fldChar w:fldCharType="begin"/>
            </w:r>
            <w:r>
              <w:rPr>
                <w:noProof/>
                <w:webHidden/>
              </w:rPr>
              <w:instrText xml:space="preserve"> PAGEREF _Toc225494560 \h </w:instrText>
            </w:r>
            <w:r>
              <w:rPr>
                <w:noProof/>
                <w:webHidden/>
              </w:rPr>
            </w:r>
            <w:r>
              <w:rPr>
                <w:noProof/>
                <w:webHidden/>
              </w:rPr>
              <w:fldChar w:fldCharType="separate"/>
            </w:r>
            <w:r>
              <w:rPr>
                <w:noProof/>
                <w:webHidden/>
              </w:rPr>
              <w:t>6</w:t>
            </w:r>
            <w:r>
              <w:rPr>
                <w:noProof/>
                <w:webHidden/>
              </w:rPr>
              <w:fldChar w:fldCharType="end"/>
            </w:r>
          </w:hyperlink>
        </w:p>
        <w:p w14:paraId="0E319540" w14:textId="733031AC"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61" w:history="1">
            <w:r w:rsidRPr="003D5049">
              <w:rPr>
                <w:rStyle w:val="Hyperlink"/>
              </w:rPr>
              <w:t>Procedure</w:t>
            </w:r>
            <w:r>
              <w:rPr>
                <w:webHidden/>
              </w:rPr>
              <w:tab/>
            </w:r>
            <w:r>
              <w:rPr>
                <w:webHidden/>
              </w:rPr>
              <w:fldChar w:fldCharType="begin"/>
            </w:r>
            <w:r>
              <w:rPr>
                <w:webHidden/>
              </w:rPr>
              <w:instrText xml:space="preserve"> PAGEREF _Toc225494561 \h </w:instrText>
            </w:r>
            <w:r>
              <w:rPr>
                <w:webHidden/>
              </w:rPr>
            </w:r>
            <w:r>
              <w:rPr>
                <w:webHidden/>
              </w:rPr>
              <w:fldChar w:fldCharType="separate"/>
            </w:r>
            <w:r>
              <w:rPr>
                <w:webHidden/>
              </w:rPr>
              <w:t>7</w:t>
            </w:r>
            <w:r>
              <w:rPr>
                <w:webHidden/>
              </w:rPr>
              <w:fldChar w:fldCharType="end"/>
            </w:r>
          </w:hyperlink>
        </w:p>
        <w:p w14:paraId="1F3782E2" w14:textId="4A51BEF7"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62" w:history="1">
            <w:r w:rsidRPr="003D5049">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Set-up</w:t>
            </w:r>
            <w:r>
              <w:rPr>
                <w:noProof/>
                <w:webHidden/>
              </w:rPr>
              <w:tab/>
            </w:r>
            <w:r>
              <w:rPr>
                <w:noProof/>
                <w:webHidden/>
              </w:rPr>
              <w:fldChar w:fldCharType="begin"/>
            </w:r>
            <w:r>
              <w:rPr>
                <w:noProof/>
                <w:webHidden/>
              </w:rPr>
              <w:instrText xml:space="preserve"> PAGEREF _Toc225494562 \h </w:instrText>
            </w:r>
            <w:r>
              <w:rPr>
                <w:noProof/>
                <w:webHidden/>
              </w:rPr>
            </w:r>
            <w:r>
              <w:rPr>
                <w:noProof/>
                <w:webHidden/>
              </w:rPr>
              <w:fldChar w:fldCharType="separate"/>
            </w:r>
            <w:r>
              <w:rPr>
                <w:noProof/>
                <w:webHidden/>
              </w:rPr>
              <w:t>7</w:t>
            </w:r>
            <w:r>
              <w:rPr>
                <w:noProof/>
                <w:webHidden/>
              </w:rPr>
              <w:fldChar w:fldCharType="end"/>
            </w:r>
          </w:hyperlink>
        </w:p>
        <w:p w14:paraId="2FA4C848" w14:textId="58514BE9"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63" w:history="1">
            <w:r w:rsidRPr="003D5049">
              <w:rPr>
                <w:rStyle w:val="Hyperlink"/>
                <w:noProof/>
              </w:rPr>
              <w:t>Decide on the level of reporting required</w:t>
            </w:r>
            <w:r>
              <w:rPr>
                <w:noProof/>
                <w:webHidden/>
              </w:rPr>
              <w:tab/>
            </w:r>
            <w:r>
              <w:rPr>
                <w:noProof/>
                <w:webHidden/>
              </w:rPr>
              <w:fldChar w:fldCharType="begin"/>
            </w:r>
            <w:r>
              <w:rPr>
                <w:noProof/>
                <w:webHidden/>
              </w:rPr>
              <w:instrText xml:space="preserve"> PAGEREF _Toc225494563 \h </w:instrText>
            </w:r>
            <w:r>
              <w:rPr>
                <w:noProof/>
                <w:webHidden/>
              </w:rPr>
            </w:r>
            <w:r>
              <w:rPr>
                <w:noProof/>
                <w:webHidden/>
              </w:rPr>
              <w:fldChar w:fldCharType="separate"/>
            </w:r>
            <w:r>
              <w:rPr>
                <w:noProof/>
                <w:webHidden/>
              </w:rPr>
              <w:t>7</w:t>
            </w:r>
            <w:r>
              <w:rPr>
                <w:noProof/>
                <w:webHidden/>
              </w:rPr>
              <w:fldChar w:fldCharType="end"/>
            </w:r>
          </w:hyperlink>
        </w:p>
        <w:p w14:paraId="5FA44420" w14:textId="62B36A01"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64" w:history="1">
            <w:r w:rsidRPr="003D5049">
              <w:rPr>
                <w:rStyle w:val="Hyperlink"/>
                <w:noProof/>
              </w:rPr>
              <w:t>Develop processes for handling (serious) adverse events</w:t>
            </w:r>
            <w:r>
              <w:rPr>
                <w:noProof/>
                <w:webHidden/>
              </w:rPr>
              <w:tab/>
            </w:r>
            <w:r>
              <w:rPr>
                <w:noProof/>
                <w:webHidden/>
              </w:rPr>
              <w:fldChar w:fldCharType="begin"/>
            </w:r>
            <w:r>
              <w:rPr>
                <w:noProof/>
                <w:webHidden/>
              </w:rPr>
              <w:instrText xml:space="preserve"> PAGEREF _Toc225494564 \h </w:instrText>
            </w:r>
            <w:r>
              <w:rPr>
                <w:noProof/>
                <w:webHidden/>
              </w:rPr>
            </w:r>
            <w:r>
              <w:rPr>
                <w:noProof/>
                <w:webHidden/>
              </w:rPr>
              <w:fldChar w:fldCharType="separate"/>
            </w:r>
            <w:r>
              <w:rPr>
                <w:noProof/>
                <w:webHidden/>
              </w:rPr>
              <w:t>7</w:t>
            </w:r>
            <w:r>
              <w:rPr>
                <w:noProof/>
                <w:webHidden/>
              </w:rPr>
              <w:fldChar w:fldCharType="end"/>
            </w:r>
          </w:hyperlink>
        </w:p>
        <w:p w14:paraId="3BD674E3" w14:textId="680A69C2"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65" w:history="1">
            <w:r w:rsidRPr="003D5049">
              <w:rPr>
                <w:rStyle w:val="Hyperlink"/>
                <w:noProof/>
              </w:rPr>
              <w:t>Training</w:t>
            </w:r>
            <w:r>
              <w:rPr>
                <w:noProof/>
                <w:webHidden/>
              </w:rPr>
              <w:tab/>
            </w:r>
            <w:r>
              <w:rPr>
                <w:noProof/>
                <w:webHidden/>
              </w:rPr>
              <w:fldChar w:fldCharType="begin"/>
            </w:r>
            <w:r>
              <w:rPr>
                <w:noProof/>
                <w:webHidden/>
              </w:rPr>
              <w:instrText xml:space="preserve"> PAGEREF _Toc225494565 \h </w:instrText>
            </w:r>
            <w:r>
              <w:rPr>
                <w:noProof/>
                <w:webHidden/>
              </w:rPr>
            </w:r>
            <w:r>
              <w:rPr>
                <w:noProof/>
                <w:webHidden/>
              </w:rPr>
              <w:fldChar w:fldCharType="separate"/>
            </w:r>
            <w:r>
              <w:rPr>
                <w:noProof/>
                <w:webHidden/>
              </w:rPr>
              <w:t>8</w:t>
            </w:r>
            <w:r>
              <w:rPr>
                <w:noProof/>
                <w:webHidden/>
              </w:rPr>
              <w:fldChar w:fldCharType="end"/>
            </w:r>
          </w:hyperlink>
        </w:p>
        <w:p w14:paraId="2D4F0C92" w14:textId="6B156AB0"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66" w:history="1">
            <w:r w:rsidRPr="003D5049">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Monitor adverse events throughout the project</w:t>
            </w:r>
            <w:r>
              <w:rPr>
                <w:noProof/>
                <w:webHidden/>
              </w:rPr>
              <w:tab/>
            </w:r>
            <w:r>
              <w:rPr>
                <w:noProof/>
                <w:webHidden/>
              </w:rPr>
              <w:fldChar w:fldCharType="begin"/>
            </w:r>
            <w:r>
              <w:rPr>
                <w:noProof/>
                <w:webHidden/>
              </w:rPr>
              <w:instrText xml:space="preserve"> PAGEREF _Toc225494566 \h </w:instrText>
            </w:r>
            <w:r>
              <w:rPr>
                <w:noProof/>
                <w:webHidden/>
              </w:rPr>
            </w:r>
            <w:r>
              <w:rPr>
                <w:noProof/>
                <w:webHidden/>
              </w:rPr>
              <w:fldChar w:fldCharType="separate"/>
            </w:r>
            <w:r>
              <w:rPr>
                <w:noProof/>
                <w:webHidden/>
              </w:rPr>
              <w:t>9</w:t>
            </w:r>
            <w:r>
              <w:rPr>
                <w:noProof/>
                <w:webHidden/>
              </w:rPr>
              <w:fldChar w:fldCharType="end"/>
            </w:r>
          </w:hyperlink>
        </w:p>
        <w:p w14:paraId="4CA20A4A" w14:textId="47176ED4"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67" w:history="1">
            <w:r w:rsidRPr="003D5049">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Safety reporting and timelines</w:t>
            </w:r>
            <w:r>
              <w:rPr>
                <w:noProof/>
                <w:webHidden/>
              </w:rPr>
              <w:tab/>
            </w:r>
            <w:r>
              <w:rPr>
                <w:noProof/>
                <w:webHidden/>
              </w:rPr>
              <w:fldChar w:fldCharType="begin"/>
            </w:r>
            <w:r>
              <w:rPr>
                <w:noProof/>
                <w:webHidden/>
              </w:rPr>
              <w:instrText xml:space="preserve"> PAGEREF _Toc225494567 \h </w:instrText>
            </w:r>
            <w:r>
              <w:rPr>
                <w:noProof/>
                <w:webHidden/>
              </w:rPr>
            </w:r>
            <w:r>
              <w:rPr>
                <w:noProof/>
                <w:webHidden/>
              </w:rPr>
              <w:fldChar w:fldCharType="separate"/>
            </w:r>
            <w:r>
              <w:rPr>
                <w:noProof/>
                <w:webHidden/>
              </w:rPr>
              <w:t>9</w:t>
            </w:r>
            <w:r>
              <w:rPr>
                <w:noProof/>
                <w:webHidden/>
              </w:rPr>
              <w:fldChar w:fldCharType="end"/>
            </w:r>
          </w:hyperlink>
        </w:p>
        <w:p w14:paraId="7F719D22" w14:textId="49F98127"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68" w:history="1">
            <w:r w:rsidRPr="003D5049">
              <w:rPr>
                <w:rStyle w:val="Hyperlink"/>
                <w:noProof/>
              </w:rPr>
              <w:t>CTIMPs</w:t>
            </w:r>
            <w:r>
              <w:rPr>
                <w:noProof/>
                <w:webHidden/>
              </w:rPr>
              <w:tab/>
            </w:r>
            <w:r>
              <w:rPr>
                <w:noProof/>
                <w:webHidden/>
              </w:rPr>
              <w:fldChar w:fldCharType="begin"/>
            </w:r>
            <w:r>
              <w:rPr>
                <w:noProof/>
                <w:webHidden/>
              </w:rPr>
              <w:instrText xml:space="preserve"> PAGEREF _Toc225494568 \h </w:instrText>
            </w:r>
            <w:r>
              <w:rPr>
                <w:noProof/>
                <w:webHidden/>
              </w:rPr>
            </w:r>
            <w:r>
              <w:rPr>
                <w:noProof/>
                <w:webHidden/>
              </w:rPr>
              <w:fldChar w:fldCharType="separate"/>
            </w:r>
            <w:r>
              <w:rPr>
                <w:noProof/>
                <w:webHidden/>
              </w:rPr>
              <w:t>10</w:t>
            </w:r>
            <w:r>
              <w:rPr>
                <w:noProof/>
                <w:webHidden/>
              </w:rPr>
              <w:fldChar w:fldCharType="end"/>
            </w:r>
          </w:hyperlink>
        </w:p>
        <w:p w14:paraId="44A622E7" w14:textId="3F0DF568"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69" w:history="1">
            <w:r w:rsidRPr="003D5049">
              <w:rPr>
                <w:rStyle w:val="Hyperlink"/>
                <w:noProof/>
              </w:rPr>
              <w:t>Clinical investigations of medical devices</w:t>
            </w:r>
            <w:r>
              <w:rPr>
                <w:noProof/>
                <w:webHidden/>
              </w:rPr>
              <w:tab/>
            </w:r>
            <w:r>
              <w:rPr>
                <w:noProof/>
                <w:webHidden/>
              </w:rPr>
              <w:fldChar w:fldCharType="begin"/>
            </w:r>
            <w:r>
              <w:rPr>
                <w:noProof/>
                <w:webHidden/>
              </w:rPr>
              <w:instrText xml:space="preserve"> PAGEREF _Toc225494569 \h </w:instrText>
            </w:r>
            <w:r>
              <w:rPr>
                <w:noProof/>
                <w:webHidden/>
              </w:rPr>
            </w:r>
            <w:r>
              <w:rPr>
                <w:noProof/>
                <w:webHidden/>
              </w:rPr>
              <w:fldChar w:fldCharType="separate"/>
            </w:r>
            <w:r>
              <w:rPr>
                <w:noProof/>
                <w:webHidden/>
              </w:rPr>
              <w:t>11</w:t>
            </w:r>
            <w:r>
              <w:rPr>
                <w:noProof/>
                <w:webHidden/>
              </w:rPr>
              <w:fldChar w:fldCharType="end"/>
            </w:r>
          </w:hyperlink>
        </w:p>
        <w:p w14:paraId="3495D402" w14:textId="499DE05A"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70" w:history="1">
            <w:r w:rsidRPr="003D5049">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Urgent safety measures</w:t>
            </w:r>
            <w:r>
              <w:rPr>
                <w:noProof/>
                <w:webHidden/>
              </w:rPr>
              <w:tab/>
            </w:r>
            <w:r>
              <w:rPr>
                <w:noProof/>
                <w:webHidden/>
              </w:rPr>
              <w:fldChar w:fldCharType="begin"/>
            </w:r>
            <w:r>
              <w:rPr>
                <w:noProof/>
                <w:webHidden/>
              </w:rPr>
              <w:instrText xml:space="preserve"> PAGEREF _Toc225494570 \h </w:instrText>
            </w:r>
            <w:r>
              <w:rPr>
                <w:noProof/>
                <w:webHidden/>
              </w:rPr>
            </w:r>
            <w:r>
              <w:rPr>
                <w:noProof/>
                <w:webHidden/>
              </w:rPr>
              <w:fldChar w:fldCharType="separate"/>
            </w:r>
            <w:r>
              <w:rPr>
                <w:noProof/>
                <w:webHidden/>
              </w:rPr>
              <w:t>12</w:t>
            </w:r>
            <w:r>
              <w:rPr>
                <w:noProof/>
                <w:webHidden/>
              </w:rPr>
              <w:fldChar w:fldCharType="end"/>
            </w:r>
          </w:hyperlink>
        </w:p>
        <w:p w14:paraId="72F30D44" w14:textId="5A8BB7C1"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71" w:history="1">
            <w:r w:rsidRPr="003D5049">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Communicating safety issues</w:t>
            </w:r>
            <w:r>
              <w:rPr>
                <w:noProof/>
                <w:webHidden/>
              </w:rPr>
              <w:tab/>
            </w:r>
            <w:r>
              <w:rPr>
                <w:noProof/>
                <w:webHidden/>
              </w:rPr>
              <w:fldChar w:fldCharType="begin"/>
            </w:r>
            <w:r>
              <w:rPr>
                <w:noProof/>
                <w:webHidden/>
              </w:rPr>
              <w:instrText xml:space="preserve"> PAGEREF _Toc225494571 \h </w:instrText>
            </w:r>
            <w:r>
              <w:rPr>
                <w:noProof/>
                <w:webHidden/>
              </w:rPr>
            </w:r>
            <w:r>
              <w:rPr>
                <w:noProof/>
                <w:webHidden/>
              </w:rPr>
              <w:fldChar w:fldCharType="separate"/>
            </w:r>
            <w:r>
              <w:rPr>
                <w:noProof/>
                <w:webHidden/>
              </w:rPr>
              <w:t>12</w:t>
            </w:r>
            <w:r>
              <w:rPr>
                <w:noProof/>
                <w:webHidden/>
              </w:rPr>
              <w:fldChar w:fldCharType="end"/>
            </w:r>
          </w:hyperlink>
        </w:p>
        <w:p w14:paraId="7150E0E9" w14:textId="774395F3"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72" w:history="1">
            <w:r w:rsidRPr="003D5049">
              <w:rPr>
                <w:rStyle w:val="Hyperlink"/>
                <w:noProof/>
              </w:rPr>
              <w:t>6.</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Quarterly/annual reporting</w:t>
            </w:r>
            <w:r>
              <w:rPr>
                <w:noProof/>
                <w:webHidden/>
              </w:rPr>
              <w:tab/>
            </w:r>
            <w:r>
              <w:rPr>
                <w:noProof/>
                <w:webHidden/>
              </w:rPr>
              <w:fldChar w:fldCharType="begin"/>
            </w:r>
            <w:r>
              <w:rPr>
                <w:noProof/>
                <w:webHidden/>
              </w:rPr>
              <w:instrText xml:space="preserve"> PAGEREF _Toc225494572 \h </w:instrText>
            </w:r>
            <w:r>
              <w:rPr>
                <w:noProof/>
                <w:webHidden/>
              </w:rPr>
            </w:r>
            <w:r>
              <w:rPr>
                <w:noProof/>
                <w:webHidden/>
              </w:rPr>
              <w:fldChar w:fldCharType="separate"/>
            </w:r>
            <w:r>
              <w:rPr>
                <w:noProof/>
                <w:webHidden/>
              </w:rPr>
              <w:t>12</w:t>
            </w:r>
            <w:r>
              <w:rPr>
                <w:noProof/>
                <w:webHidden/>
              </w:rPr>
              <w:fldChar w:fldCharType="end"/>
            </w:r>
          </w:hyperlink>
        </w:p>
        <w:p w14:paraId="46D14A8C" w14:textId="06B195EB"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73" w:history="1">
            <w:r w:rsidRPr="003D5049">
              <w:rPr>
                <w:rStyle w:val="Hyperlink"/>
                <w:noProof/>
              </w:rPr>
              <w:t>Studies and non-CTIMPs</w:t>
            </w:r>
            <w:r>
              <w:rPr>
                <w:noProof/>
                <w:webHidden/>
              </w:rPr>
              <w:tab/>
            </w:r>
            <w:r>
              <w:rPr>
                <w:noProof/>
                <w:webHidden/>
              </w:rPr>
              <w:fldChar w:fldCharType="begin"/>
            </w:r>
            <w:r>
              <w:rPr>
                <w:noProof/>
                <w:webHidden/>
              </w:rPr>
              <w:instrText xml:space="preserve"> PAGEREF _Toc225494573 \h </w:instrText>
            </w:r>
            <w:r>
              <w:rPr>
                <w:noProof/>
                <w:webHidden/>
              </w:rPr>
            </w:r>
            <w:r>
              <w:rPr>
                <w:noProof/>
                <w:webHidden/>
              </w:rPr>
              <w:fldChar w:fldCharType="separate"/>
            </w:r>
            <w:r>
              <w:rPr>
                <w:noProof/>
                <w:webHidden/>
              </w:rPr>
              <w:t>13</w:t>
            </w:r>
            <w:r>
              <w:rPr>
                <w:noProof/>
                <w:webHidden/>
              </w:rPr>
              <w:fldChar w:fldCharType="end"/>
            </w:r>
          </w:hyperlink>
        </w:p>
        <w:p w14:paraId="6625B918" w14:textId="209ACBAD"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74" w:history="1">
            <w:r w:rsidRPr="003D5049">
              <w:rPr>
                <w:rStyle w:val="Hyperlink"/>
                <w:noProof/>
              </w:rPr>
              <w:t>Clinical investigations of medical devices</w:t>
            </w:r>
            <w:r>
              <w:rPr>
                <w:noProof/>
                <w:webHidden/>
              </w:rPr>
              <w:tab/>
            </w:r>
            <w:r>
              <w:rPr>
                <w:noProof/>
                <w:webHidden/>
              </w:rPr>
              <w:fldChar w:fldCharType="begin"/>
            </w:r>
            <w:r>
              <w:rPr>
                <w:noProof/>
                <w:webHidden/>
              </w:rPr>
              <w:instrText xml:space="preserve"> PAGEREF _Toc225494574 \h </w:instrText>
            </w:r>
            <w:r>
              <w:rPr>
                <w:noProof/>
                <w:webHidden/>
              </w:rPr>
            </w:r>
            <w:r>
              <w:rPr>
                <w:noProof/>
                <w:webHidden/>
              </w:rPr>
              <w:fldChar w:fldCharType="separate"/>
            </w:r>
            <w:r>
              <w:rPr>
                <w:noProof/>
                <w:webHidden/>
              </w:rPr>
              <w:t>13</w:t>
            </w:r>
            <w:r>
              <w:rPr>
                <w:noProof/>
                <w:webHidden/>
              </w:rPr>
              <w:fldChar w:fldCharType="end"/>
            </w:r>
          </w:hyperlink>
        </w:p>
        <w:p w14:paraId="503ABE8F" w14:textId="0F06CE41"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75" w:history="1">
            <w:r w:rsidRPr="003D5049">
              <w:rPr>
                <w:rStyle w:val="Hyperlink"/>
                <w:noProof/>
              </w:rPr>
              <w:t>CTIMPs (development safety update report (DSUR))</w:t>
            </w:r>
            <w:r>
              <w:rPr>
                <w:noProof/>
                <w:webHidden/>
              </w:rPr>
              <w:tab/>
            </w:r>
            <w:r>
              <w:rPr>
                <w:noProof/>
                <w:webHidden/>
              </w:rPr>
              <w:fldChar w:fldCharType="begin"/>
            </w:r>
            <w:r>
              <w:rPr>
                <w:noProof/>
                <w:webHidden/>
              </w:rPr>
              <w:instrText xml:space="preserve"> PAGEREF _Toc225494575 \h </w:instrText>
            </w:r>
            <w:r>
              <w:rPr>
                <w:noProof/>
                <w:webHidden/>
              </w:rPr>
            </w:r>
            <w:r>
              <w:rPr>
                <w:noProof/>
                <w:webHidden/>
              </w:rPr>
              <w:fldChar w:fldCharType="separate"/>
            </w:r>
            <w:r>
              <w:rPr>
                <w:noProof/>
                <w:webHidden/>
              </w:rPr>
              <w:t>13</w:t>
            </w:r>
            <w:r>
              <w:rPr>
                <w:noProof/>
                <w:webHidden/>
              </w:rPr>
              <w:fldChar w:fldCharType="end"/>
            </w:r>
          </w:hyperlink>
        </w:p>
        <w:p w14:paraId="78AD62EA" w14:textId="497125CA"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76" w:history="1">
            <w:r w:rsidRPr="003D5049">
              <w:rPr>
                <w:rStyle w:val="Hyperlink"/>
                <w:noProof/>
              </w:rPr>
              <w:t>CTIMPs (updates to the RSI)</w:t>
            </w:r>
            <w:r>
              <w:rPr>
                <w:noProof/>
                <w:webHidden/>
              </w:rPr>
              <w:tab/>
            </w:r>
            <w:r>
              <w:rPr>
                <w:noProof/>
                <w:webHidden/>
              </w:rPr>
              <w:fldChar w:fldCharType="begin"/>
            </w:r>
            <w:r>
              <w:rPr>
                <w:noProof/>
                <w:webHidden/>
              </w:rPr>
              <w:instrText xml:space="preserve"> PAGEREF _Toc225494576 \h </w:instrText>
            </w:r>
            <w:r>
              <w:rPr>
                <w:noProof/>
                <w:webHidden/>
              </w:rPr>
            </w:r>
            <w:r>
              <w:rPr>
                <w:noProof/>
                <w:webHidden/>
              </w:rPr>
              <w:fldChar w:fldCharType="separate"/>
            </w:r>
            <w:r>
              <w:rPr>
                <w:noProof/>
                <w:webHidden/>
              </w:rPr>
              <w:t>13</w:t>
            </w:r>
            <w:r>
              <w:rPr>
                <w:noProof/>
                <w:webHidden/>
              </w:rPr>
              <w:fldChar w:fldCharType="end"/>
            </w:r>
          </w:hyperlink>
        </w:p>
        <w:p w14:paraId="2EB8AB96" w14:textId="2CE5735D"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77" w:history="1">
            <w:r w:rsidRPr="003D5049">
              <w:rPr>
                <w:rStyle w:val="Hyperlink"/>
                <w:noProof/>
              </w:rPr>
              <w:t>7.</w:t>
            </w:r>
            <w:r>
              <w:rPr>
                <w:rFonts w:asciiTheme="minorHAnsi" w:eastAsiaTheme="minorEastAsia" w:hAnsiTheme="minorHAnsi" w:cstheme="minorBidi"/>
                <w:noProof/>
                <w:kern w:val="2"/>
                <w:sz w:val="24"/>
                <w:szCs w:val="24"/>
                <w:lang w:eastAsia="en-GB"/>
                <w14:ligatures w14:val="standardContextual"/>
              </w:rPr>
              <w:tab/>
            </w:r>
            <w:r w:rsidRPr="003D5049">
              <w:rPr>
                <w:rStyle w:val="Hyperlink"/>
                <w:noProof/>
              </w:rPr>
              <w:t>At the end of the project</w:t>
            </w:r>
            <w:r>
              <w:rPr>
                <w:noProof/>
                <w:webHidden/>
              </w:rPr>
              <w:tab/>
            </w:r>
            <w:r>
              <w:rPr>
                <w:noProof/>
                <w:webHidden/>
              </w:rPr>
              <w:fldChar w:fldCharType="begin"/>
            </w:r>
            <w:r>
              <w:rPr>
                <w:noProof/>
                <w:webHidden/>
              </w:rPr>
              <w:instrText xml:space="preserve"> PAGEREF _Toc225494577 \h </w:instrText>
            </w:r>
            <w:r>
              <w:rPr>
                <w:noProof/>
                <w:webHidden/>
              </w:rPr>
            </w:r>
            <w:r>
              <w:rPr>
                <w:noProof/>
                <w:webHidden/>
              </w:rPr>
              <w:fldChar w:fldCharType="separate"/>
            </w:r>
            <w:r>
              <w:rPr>
                <w:noProof/>
                <w:webHidden/>
              </w:rPr>
              <w:t>14</w:t>
            </w:r>
            <w:r>
              <w:rPr>
                <w:noProof/>
                <w:webHidden/>
              </w:rPr>
              <w:fldChar w:fldCharType="end"/>
            </w:r>
          </w:hyperlink>
        </w:p>
        <w:p w14:paraId="7D9B67A4" w14:textId="5F8DA9C3"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78" w:history="1">
            <w:r w:rsidRPr="003D5049">
              <w:rPr>
                <w:rStyle w:val="Hyperlink"/>
              </w:rPr>
              <w:t>List of expected outputs</w:t>
            </w:r>
            <w:r>
              <w:rPr>
                <w:webHidden/>
              </w:rPr>
              <w:tab/>
            </w:r>
            <w:r>
              <w:rPr>
                <w:webHidden/>
              </w:rPr>
              <w:fldChar w:fldCharType="begin"/>
            </w:r>
            <w:r>
              <w:rPr>
                <w:webHidden/>
              </w:rPr>
              <w:instrText xml:space="preserve"> PAGEREF _Toc225494578 \h </w:instrText>
            </w:r>
            <w:r>
              <w:rPr>
                <w:webHidden/>
              </w:rPr>
            </w:r>
            <w:r>
              <w:rPr>
                <w:webHidden/>
              </w:rPr>
              <w:fldChar w:fldCharType="separate"/>
            </w:r>
            <w:r>
              <w:rPr>
                <w:webHidden/>
              </w:rPr>
              <w:t>14</w:t>
            </w:r>
            <w:r>
              <w:rPr>
                <w:webHidden/>
              </w:rPr>
              <w:fldChar w:fldCharType="end"/>
            </w:r>
          </w:hyperlink>
        </w:p>
        <w:p w14:paraId="4DE3E9BA" w14:textId="6E83F891"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79" w:history="1">
            <w:r w:rsidRPr="003D5049">
              <w:rPr>
                <w:rStyle w:val="Hyperlink"/>
                <w:noProof/>
              </w:rPr>
              <w:t>All clinical research projects</w:t>
            </w:r>
            <w:r>
              <w:rPr>
                <w:noProof/>
                <w:webHidden/>
              </w:rPr>
              <w:tab/>
            </w:r>
            <w:r>
              <w:rPr>
                <w:noProof/>
                <w:webHidden/>
              </w:rPr>
              <w:fldChar w:fldCharType="begin"/>
            </w:r>
            <w:r>
              <w:rPr>
                <w:noProof/>
                <w:webHidden/>
              </w:rPr>
              <w:instrText xml:space="preserve"> PAGEREF _Toc225494579 \h </w:instrText>
            </w:r>
            <w:r>
              <w:rPr>
                <w:noProof/>
                <w:webHidden/>
              </w:rPr>
            </w:r>
            <w:r>
              <w:rPr>
                <w:noProof/>
                <w:webHidden/>
              </w:rPr>
              <w:fldChar w:fldCharType="separate"/>
            </w:r>
            <w:r>
              <w:rPr>
                <w:noProof/>
                <w:webHidden/>
              </w:rPr>
              <w:t>14</w:t>
            </w:r>
            <w:r>
              <w:rPr>
                <w:noProof/>
                <w:webHidden/>
              </w:rPr>
              <w:fldChar w:fldCharType="end"/>
            </w:r>
          </w:hyperlink>
        </w:p>
        <w:p w14:paraId="3B8A54D2" w14:textId="5646BFB7"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80" w:history="1">
            <w:r w:rsidRPr="003D5049">
              <w:rPr>
                <w:rStyle w:val="Hyperlink"/>
                <w:noProof/>
              </w:rPr>
              <w:t>CTIMPs only</w:t>
            </w:r>
            <w:r>
              <w:rPr>
                <w:noProof/>
                <w:webHidden/>
              </w:rPr>
              <w:tab/>
            </w:r>
            <w:r>
              <w:rPr>
                <w:noProof/>
                <w:webHidden/>
              </w:rPr>
              <w:fldChar w:fldCharType="begin"/>
            </w:r>
            <w:r>
              <w:rPr>
                <w:noProof/>
                <w:webHidden/>
              </w:rPr>
              <w:instrText xml:space="preserve"> PAGEREF _Toc225494580 \h </w:instrText>
            </w:r>
            <w:r>
              <w:rPr>
                <w:noProof/>
                <w:webHidden/>
              </w:rPr>
            </w:r>
            <w:r>
              <w:rPr>
                <w:noProof/>
                <w:webHidden/>
              </w:rPr>
              <w:fldChar w:fldCharType="separate"/>
            </w:r>
            <w:r>
              <w:rPr>
                <w:noProof/>
                <w:webHidden/>
              </w:rPr>
              <w:t>14</w:t>
            </w:r>
            <w:r>
              <w:rPr>
                <w:noProof/>
                <w:webHidden/>
              </w:rPr>
              <w:fldChar w:fldCharType="end"/>
            </w:r>
          </w:hyperlink>
        </w:p>
        <w:p w14:paraId="44E4C45F" w14:textId="6C266689" w:rsidR="00525516" w:rsidRDefault="00525516">
          <w:pPr>
            <w:pStyle w:val="TOC3"/>
            <w:rPr>
              <w:rFonts w:asciiTheme="minorHAnsi" w:eastAsiaTheme="minorEastAsia" w:hAnsiTheme="minorHAnsi" w:cstheme="minorBidi"/>
              <w:noProof/>
              <w:kern w:val="2"/>
              <w:sz w:val="24"/>
              <w:szCs w:val="24"/>
              <w:lang w:eastAsia="en-GB"/>
              <w14:ligatures w14:val="standardContextual"/>
            </w:rPr>
          </w:pPr>
          <w:hyperlink w:anchor="_Toc225494581" w:history="1">
            <w:r w:rsidRPr="003D5049">
              <w:rPr>
                <w:rStyle w:val="Hyperlink"/>
                <w:noProof/>
              </w:rPr>
              <w:t>Clinical investigations of medical devices only</w:t>
            </w:r>
            <w:r>
              <w:rPr>
                <w:noProof/>
                <w:webHidden/>
              </w:rPr>
              <w:tab/>
            </w:r>
            <w:r>
              <w:rPr>
                <w:noProof/>
                <w:webHidden/>
              </w:rPr>
              <w:fldChar w:fldCharType="begin"/>
            </w:r>
            <w:r>
              <w:rPr>
                <w:noProof/>
                <w:webHidden/>
              </w:rPr>
              <w:instrText xml:space="preserve"> PAGEREF _Toc225494581 \h </w:instrText>
            </w:r>
            <w:r>
              <w:rPr>
                <w:noProof/>
                <w:webHidden/>
              </w:rPr>
            </w:r>
            <w:r>
              <w:rPr>
                <w:noProof/>
                <w:webHidden/>
              </w:rPr>
              <w:fldChar w:fldCharType="separate"/>
            </w:r>
            <w:r>
              <w:rPr>
                <w:noProof/>
                <w:webHidden/>
              </w:rPr>
              <w:t>14</w:t>
            </w:r>
            <w:r>
              <w:rPr>
                <w:noProof/>
                <w:webHidden/>
              </w:rPr>
              <w:fldChar w:fldCharType="end"/>
            </w:r>
          </w:hyperlink>
        </w:p>
        <w:p w14:paraId="174E4050" w14:textId="4E17C09E"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82" w:history="1">
            <w:r w:rsidRPr="003D5049">
              <w:rPr>
                <w:rStyle w:val="Hyperlink"/>
              </w:rPr>
              <w:t>Related documents</w:t>
            </w:r>
            <w:r>
              <w:rPr>
                <w:webHidden/>
              </w:rPr>
              <w:tab/>
            </w:r>
            <w:r>
              <w:rPr>
                <w:webHidden/>
              </w:rPr>
              <w:fldChar w:fldCharType="begin"/>
            </w:r>
            <w:r>
              <w:rPr>
                <w:webHidden/>
              </w:rPr>
              <w:instrText xml:space="preserve"> PAGEREF _Toc225494582 \h </w:instrText>
            </w:r>
            <w:r>
              <w:rPr>
                <w:webHidden/>
              </w:rPr>
            </w:r>
            <w:r>
              <w:rPr>
                <w:webHidden/>
              </w:rPr>
              <w:fldChar w:fldCharType="separate"/>
            </w:r>
            <w:r>
              <w:rPr>
                <w:webHidden/>
              </w:rPr>
              <w:t>15</w:t>
            </w:r>
            <w:r>
              <w:rPr>
                <w:webHidden/>
              </w:rPr>
              <w:fldChar w:fldCharType="end"/>
            </w:r>
          </w:hyperlink>
        </w:p>
        <w:p w14:paraId="300601B3" w14:textId="7CEA5F68"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83" w:history="1">
            <w:r w:rsidRPr="003D5049">
              <w:rPr>
                <w:rStyle w:val="Hyperlink"/>
                <w:noProof/>
              </w:rPr>
              <w:t>Associated QMS documents</w:t>
            </w:r>
            <w:r>
              <w:rPr>
                <w:noProof/>
                <w:webHidden/>
              </w:rPr>
              <w:tab/>
            </w:r>
            <w:r>
              <w:rPr>
                <w:noProof/>
                <w:webHidden/>
              </w:rPr>
              <w:fldChar w:fldCharType="begin"/>
            </w:r>
            <w:r>
              <w:rPr>
                <w:noProof/>
                <w:webHidden/>
              </w:rPr>
              <w:instrText xml:space="preserve"> PAGEREF _Toc225494583 \h </w:instrText>
            </w:r>
            <w:r>
              <w:rPr>
                <w:noProof/>
                <w:webHidden/>
              </w:rPr>
            </w:r>
            <w:r>
              <w:rPr>
                <w:noProof/>
                <w:webHidden/>
              </w:rPr>
              <w:fldChar w:fldCharType="separate"/>
            </w:r>
            <w:r>
              <w:rPr>
                <w:noProof/>
                <w:webHidden/>
              </w:rPr>
              <w:t>15</w:t>
            </w:r>
            <w:r>
              <w:rPr>
                <w:noProof/>
                <w:webHidden/>
              </w:rPr>
              <w:fldChar w:fldCharType="end"/>
            </w:r>
          </w:hyperlink>
        </w:p>
        <w:p w14:paraId="717BF230" w14:textId="2EBDC869"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84" w:history="1">
            <w:r w:rsidRPr="003D5049">
              <w:rPr>
                <w:rStyle w:val="Hyperlink"/>
                <w:noProof/>
              </w:rPr>
              <w:t>Additional QMS documents</w:t>
            </w:r>
            <w:r>
              <w:rPr>
                <w:noProof/>
                <w:webHidden/>
              </w:rPr>
              <w:tab/>
            </w:r>
            <w:r>
              <w:rPr>
                <w:noProof/>
                <w:webHidden/>
              </w:rPr>
              <w:fldChar w:fldCharType="begin"/>
            </w:r>
            <w:r>
              <w:rPr>
                <w:noProof/>
                <w:webHidden/>
              </w:rPr>
              <w:instrText xml:space="preserve"> PAGEREF _Toc225494584 \h </w:instrText>
            </w:r>
            <w:r>
              <w:rPr>
                <w:noProof/>
                <w:webHidden/>
              </w:rPr>
            </w:r>
            <w:r>
              <w:rPr>
                <w:noProof/>
                <w:webHidden/>
              </w:rPr>
              <w:fldChar w:fldCharType="separate"/>
            </w:r>
            <w:r>
              <w:rPr>
                <w:noProof/>
                <w:webHidden/>
              </w:rPr>
              <w:t>15</w:t>
            </w:r>
            <w:r>
              <w:rPr>
                <w:noProof/>
                <w:webHidden/>
              </w:rPr>
              <w:fldChar w:fldCharType="end"/>
            </w:r>
          </w:hyperlink>
        </w:p>
        <w:p w14:paraId="3B070430" w14:textId="3779FF75"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85" w:history="1">
            <w:r w:rsidRPr="003D5049">
              <w:rPr>
                <w:rStyle w:val="Hyperlink"/>
              </w:rPr>
              <w:t>References &amp; frameworks</w:t>
            </w:r>
            <w:r>
              <w:rPr>
                <w:webHidden/>
              </w:rPr>
              <w:tab/>
            </w:r>
            <w:r>
              <w:rPr>
                <w:webHidden/>
              </w:rPr>
              <w:fldChar w:fldCharType="begin"/>
            </w:r>
            <w:r>
              <w:rPr>
                <w:webHidden/>
              </w:rPr>
              <w:instrText xml:space="preserve"> PAGEREF _Toc225494585 \h </w:instrText>
            </w:r>
            <w:r>
              <w:rPr>
                <w:webHidden/>
              </w:rPr>
            </w:r>
            <w:r>
              <w:rPr>
                <w:webHidden/>
              </w:rPr>
              <w:fldChar w:fldCharType="separate"/>
            </w:r>
            <w:r>
              <w:rPr>
                <w:webHidden/>
              </w:rPr>
              <w:t>15</w:t>
            </w:r>
            <w:r>
              <w:rPr>
                <w:webHidden/>
              </w:rPr>
              <w:fldChar w:fldCharType="end"/>
            </w:r>
          </w:hyperlink>
        </w:p>
        <w:p w14:paraId="17387CE2" w14:textId="5668CD69"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86" w:history="1">
            <w:r w:rsidRPr="003D5049">
              <w:rPr>
                <w:rStyle w:val="Hyperlink"/>
              </w:rPr>
              <w:t>Abbreviations</w:t>
            </w:r>
            <w:r>
              <w:rPr>
                <w:webHidden/>
              </w:rPr>
              <w:tab/>
            </w:r>
            <w:r>
              <w:rPr>
                <w:webHidden/>
              </w:rPr>
              <w:fldChar w:fldCharType="begin"/>
            </w:r>
            <w:r>
              <w:rPr>
                <w:webHidden/>
              </w:rPr>
              <w:instrText xml:space="preserve"> PAGEREF _Toc225494586 \h </w:instrText>
            </w:r>
            <w:r>
              <w:rPr>
                <w:webHidden/>
              </w:rPr>
            </w:r>
            <w:r>
              <w:rPr>
                <w:webHidden/>
              </w:rPr>
              <w:fldChar w:fldCharType="separate"/>
            </w:r>
            <w:r>
              <w:rPr>
                <w:webHidden/>
              </w:rPr>
              <w:t>16</w:t>
            </w:r>
            <w:r>
              <w:rPr>
                <w:webHidden/>
              </w:rPr>
              <w:fldChar w:fldCharType="end"/>
            </w:r>
          </w:hyperlink>
        </w:p>
        <w:p w14:paraId="6D1B9C9A" w14:textId="5E9F3C58"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87" w:history="1">
            <w:r w:rsidRPr="003D5049">
              <w:rPr>
                <w:rStyle w:val="Hyperlink"/>
              </w:rPr>
              <w:t>Document contributors</w:t>
            </w:r>
            <w:r>
              <w:rPr>
                <w:webHidden/>
              </w:rPr>
              <w:tab/>
            </w:r>
            <w:r>
              <w:rPr>
                <w:webHidden/>
              </w:rPr>
              <w:fldChar w:fldCharType="begin"/>
            </w:r>
            <w:r>
              <w:rPr>
                <w:webHidden/>
              </w:rPr>
              <w:instrText xml:space="preserve"> PAGEREF _Toc225494587 \h </w:instrText>
            </w:r>
            <w:r>
              <w:rPr>
                <w:webHidden/>
              </w:rPr>
            </w:r>
            <w:r>
              <w:rPr>
                <w:webHidden/>
              </w:rPr>
              <w:fldChar w:fldCharType="separate"/>
            </w:r>
            <w:r>
              <w:rPr>
                <w:webHidden/>
              </w:rPr>
              <w:t>18</w:t>
            </w:r>
            <w:r>
              <w:rPr>
                <w:webHidden/>
              </w:rPr>
              <w:fldChar w:fldCharType="end"/>
            </w:r>
          </w:hyperlink>
        </w:p>
        <w:p w14:paraId="5753AA1E" w14:textId="72EF6DD6" w:rsidR="00525516" w:rsidRDefault="00525516">
          <w:pPr>
            <w:pStyle w:val="TOC1"/>
            <w:rPr>
              <w:rFonts w:asciiTheme="minorHAnsi" w:eastAsiaTheme="minorEastAsia" w:hAnsiTheme="minorHAnsi" w:cstheme="minorBidi"/>
              <w:b w:val="0"/>
              <w:bCs w:val="0"/>
              <w:kern w:val="2"/>
              <w:sz w:val="24"/>
              <w:szCs w:val="24"/>
              <w:lang w:eastAsia="en-GB"/>
              <w14:ligatures w14:val="standardContextual"/>
            </w:rPr>
          </w:pPr>
          <w:hyperlink w:anchor="_Toc225494588" w:history="1">
            <w:r w:rsidRPr="003D5049">
              <w:rPr>
                <w:rStyle w:val="Hyperlink"/>
              </w:rPr>
              <w:t>Document history</w:t>
            </w:r>
            <w:r>
              <w:rPr>
                <w:webHidden/>
              </w:rPr>
              <w:tab/>
            </w:r>
            <w:r>
              <w:rPr>
                <w:webHidden/>
              </w:rPr>
              <w:fldChar w:fldCharType="begin"/>
            </w:r>
            <w:r>
              <w:rPr>
                <w:webHidden/>
              </w:rPr>
              <w:instrText xml:space="preserve"> PAGEREF _Toc225494588 \h </w:instrText>
            </w:r>
            <w:r>
              <w:rPr>
                <w:webHidden/>
              </w:rPr>
            </w:r>
            <w:r>
              <w:rPr>
                <w:webHidden/>
              </w:rPr>
              <w:fldChar w:fldCharType="separate"/>
            </w:r>
            <w:r>
              <w:rPr>
                <w:webHidden/>
              </w:rPr>
              <w:t>19</w:t>
            </w:r>
            <w:r>
              <w:rPr>
                <w:webHidden/>
              </w:rPr>
              <w:fldChar w:fldCharType="end"/>
            </w:r>
          </w:hyperlink>
        </w:p>
        <w:p w14:paraId="3FB22993" w14:textId="7FFBF2B0"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89" w:history="1">
            <w:r w:rsidRPr="003D5049">
              <w:rPr>
                <w:rStyle w:val="Hyperlink"/>
                <w:noProof/>
              </w:rPr>
              <w:t>Document version log</w:t>
            </w:r>
            <w:r>
              <w:rPr>
                <w:noProof/>
                <w:webHidden/>
              </w:rPr>
              <w:tab/>
            </w:r>
            <w:r>
              <w:rPr>
                <w:noProof/>
                <w:webHidden/>
              </w:rPr>
              <w:fldChar w:fldCharType="begin"/>
            </w:r>
            <w:r>
              <w:rPr>
                <w:noProof/>
                <w:webHidden/>
              </w:rPr>
              <w:instrText xml:space="preserve"> PAGEREF _Toc225494589 \h </w:instrText>
            </w:r>
            <w:r>
              <w:rPr>
                <w:noProof/>
                <w:webHidden/>
              </w:rPr>
            </w:r>
            <w:r>
              <w:rPr>
                <w:noProof/>
                <w:webHidden/>
              </w:rPr>
              <w:fldChar w:fldCharType="separate"/>
            </w:r>
            <w:r>
              <w:rPr>
                <w:noProof/>
                <w:webHidden/>
              </w:rPr>
              <w:t>19</w:t>
            </w:r>
            <w:r>
              <w:rPr>
                <w:noProof/>
                <w:webHidden/>
              </w:rPr>
              <w:fldChar w:fldCharType="end"/>
            </w:r>
          </w:hyperlink>
        </w:p>
        <w:p w14:paraId="30F1BCBA" w14:textId="5E09AE2A" w:rsidR="00525516" w:rsidRDefault="00525516">
          <w:pPr>
            <w:pStyle w:val="TOC2"/>
            <w:rPr>
              <w:rFonts w:asciiTheme="minorHAnsi" w:eastAsiaTheme="minorEastAsia" w:hAnsiTheme="minorHAnsi" w:cstheme="minorBidi"/>
              <w:noProof/>
              <w:kern w:val="2"/>
              <w:sz w:val="24"/>
              <w:szCs w:val="24"/>
              <w:lang w:eastAsia="en-GB"/>
              <w14:ligatures w14:val="standardContextual"/>
            </w:rPr>
          </w:pPr>
          <w:hyperlink w:anchor="_Toc225494590" w:history="1">
            <w:r w:rsidRPr="003D5049">
              <w:rPr>
                <w:rStyle w:val="Hyperlink"/>
                <w:noProof/>
              </w:rPr>
              <w:t>Document revision log</w:t>
            </w:r>
            <w:r>
              <w:rPr>
                <w:noProof/>
                <w:webHidden/>
              </w:rPr>
              <w:tab/>
            </w:r>
            <w:r>
              <w:rPr>
                <w:noProof/>
                <w:webHidden/>
              </w:rPr>
              <w:fldChar w:fldCharType="begin"/>
            </w:r>
            <w:r>
              <w:rPr>
                <w:noProof/>
                <w:webHidden/>
              </w:rPr>
              <w:instrText xml:space="preserve"> PAGEREF _Toc225494590 \h </w:instrText>
            </w:r>
            <w:r>
              <w:rPr>
                <w:noProof/>
                <w:webHidden/>
              </w:rPr>
            </w:r>
            <w:r>
              <w:rPr>
                <w:noProof/>
                <w:webHidden/>
              </w:rPr>
              <w:fldChar w:fldCharType="separate"/>
            </w:r>
            <w:r>
              <w:rPr>
                <w:noProof/>
                <w:webHidden/>
              </w:rPr>
              <w:t>19</w:t>
            </w:r>
            <w:r>
              <w:rPr>
                <w:noProof/>
                <w:webHidden/>
              </w:rPr>
              <w:fldChar w:fldCharType="end"/>
            </w:r>
          </w:hyperlink>
        </w:p>
        <w:p w14:paraId="27FF6D36" w14:textId="44E1FA9F" w:rsidR="00EB1B40" w:rsidRDefault="000317D8" w:rsidP="002A6AA1">
          <w:pPr>
            <w:pStyle w:val="TOC2"/>
            <w:rPr>
              <w:bCs/>
              <w:noProof/>
            </w:rPr>
          </w:pPr>
          <w:r>
            <w:rPr>
              <w:b/>
              <w:bCs/>
              <w:noProof/>
            </w:rPr>
            <w:fldChar w:fldCharType="end"/>
          </w:r>
        </w:p>
      </w:sdtContent>
    </w:sdt>
    <w:p w14:paraId="1E02FCA6" w14:textId="7AE7C1B6" w:rsidR="00944528" w:rsidRPr="003F499F" w:rsidRDefault="00B946B0" w:rsidP="00C65F2E">
      <w:pPr>
        <w:pStyle w:val="Heading1"/>
      </w:pPr>
      <w:bookmarkStart w:id="1" w:name="_Toc225494553"/>
      <w:r>
        <w:lastRenderedPageBreak/>
        <w:t>Purpose</w:t>
      </w:r>
      <w:bookmarkEnd w:id="1"/>
    </w:p>
    <w:p w14:paraId="7F01E2A4" w14:textId="77777777" w:rsidR="009F1683" w:rsidRPr="0060052C" w:rsidRDefault="009F1683" w:rsidP="009F1683">
      <w:r w:rsidRPr="004D4EA1">
        <w:t xml:space="preserve">This </w:t>
      </w:r>
      <w:r>
        <w:t>s</w:t>
      </w:r>
      <w:r w:rsidRPr="004D4EA1">
        <w:t xml:space="preserve">tandard </w:t>
      </w:r>
      <w:r>
        <w:t>o</w:t>
      </w:r>
      <w:r w:rsidRPr="004D4EA1">
        <w:t xml:space="preserve">perating </w:t>
      </w:r>
      <w:r>
        <w:t>p</w:t>
      </w:r>
      <w:r w:rsidRPr="004D4EA1">
        <w:t xml:space="preserve">rocedure (SOP) describes the processes involved in </w:t>
      </w:r>
      <w:r>
        <w:t>a</w:t>
      </w:r>
      <w:r w:rsidRPr="004D4EA1">
        <w:t xml:space="preserve">dverse </w:t>
      </w:r>
      <w:r>
        <w:t>e</w:t>
      </w:r>
      <w:r w:rsidRPr="004D4EA1">
        <w:t xml:space="preserve">vent </w:t>
      </w:r>
      <w:r>
        <w:t xml:space="preserve">(AE) </w:t>
      </w:r>
      <w:r w:rsidRPr="004D4EA1">
        <w:t xml:space="preserve">reporting </w:t>
      </w:r>
      <w:r>
        <w:t>for clinical research</w:t>
      </w:r>
      <w:r w:rsidRPr="001622B2">
        <w:t xml:space="preserve"> conducted </w:t>
      </w:r>
      <w:r>
        <w:t>at</w:t>
      </w:r>
      <w:r w:rsidRPr="001622B2">
        <w:t xml:space="preserve"> the University of Birmingham (UoB</w:t>
      </w:r>
      <w:r>
        <w:t>).</w:t>
      </w:r>
    </w:p>
    <w:p w14:paraId="58C416C0" w14:textId="77777777" w:rsidR="00944528" w:rsidRDefault="00944528" w:rsidP="005C7D15">
      <w:pPr>
        <w:pStyle w:val="Heading1"/>
      </w:pPr>
      <w:bookmarkStart w:id="2" w:name="_Toc225494554"/>
      <w:r w:rsidRPr="00B63F21">
        <w:t>Scope</w:t>
      </w:r>
      <w:bookmarkEnd w:id="2"/>
    </w:p>
    <w:p w14:paraId="56F3B37F" w14:textId="77777777" w:rsidR="009F1683" w:rsidRDefault="009F1683" w:rsidP="009F1683">
      <w:r>
        <w:t xml:space="preserve">This SOP applies to: (1) clinical research sponsored by UoB; (2) clinical research sponsored by another institution, except to the extent that the SOP is inconsistent with any contract between UoB and that institution; and (3) clinical research approved by a UoB research ethics committee (REC) </w:t>
      </w:r>
      <w:bookmarkStart w:id="3" w:name="_Hlk97623019"/>
      <w:r>
        <w:t xml:space="preserve">in circumstances where the REC requires that the clinical research conform with the </w:t>
      </w:r>
      <w:r w:rsidRPr="007C73DE">
        <w:rPr>
          <w:rStyle w:val="DocrefChar"/>
        </w:rPr>
        <w:t>UoB Principles of Good Clinical Practice (GCP) for Clinical Research</w:t>
      </w:r>
      <w:bookmarkEnd w:id="3"/>
      <w:r w:rsidRPr="007C73DE">
        <w:rPr>
          <w:rStyle w:val="DocrefChar"/>
        </w:rPr>
        <w:t xml:space="preserve"> (UoB-GCP-POL-001)</w:t>
      </w:r>
      <w:r>
        <w:t>.</w:t>
      </w:r>
    </w:p>
    <w:p w14:paraId="5E39F93C" w14:textId="77777777" w:rsidR="009F1683" w:rsidRPr="00593933" w:rsidRDefault="009F1683" w:rsidP="009F1683">
      <w:r>
        <w:t>Where this SOP does not apply, the chief investigator (CI) of a clinical research project may at their discretion refer to it as a non-binding source of guidance.</w:t>
      </w:r>
    </w:p>
    <w:p w14:paraId="0AD55014" w14:textId="77777777" w:rsidR="00944528" w:rsidRPr="00C34A3B" w:rsidRDefault="00944528" w:rsidP="005C7D15">
      <w:pPr>
        <w:pStyle w:val="Heading1"/>
      </w:pPr>
      <w:bookmarkStart w:id="4" w:name="_Toc225494555"/>
      <w:r w:rsidRPr="00B63F21">
        <w:t>Implementation plan</w:t>
      </w:r>
      <w:bookmarkEnd w:id="4"/>
    </w:p>
    <w:p w14:paraId="0897F4F9" w14:textId="77777777" w:rsidR="00807EDA" w:rsidRDefault="009F1683" w:rsidP="009F1683">
      <w:bookmarkStart w:id="5" w:name="_Ref153523581"/>
      <w:r w:rsidRPr="001622B2">
        <w:t xml:space="preserve">This SOP will be implemented </w:t>
      </w:r>
      <w:r>
        <w:t xml:space="preserve">in line with this document’s </w:t>
      </w:r>
      <w:r w:rsidRPr="001622B2">
        <w:t>effective date</w:t>
      </w:r>
      <w:r w:rsidR="00807EDA">
        <w:t xml:space="preserve">. </w:t>
      </w:r>
    </w:p>
    <w:p w14:paraId="6D704204" w14:textId="0E6EBB3F" w:rsidR="0006541F" w:rsidRDefault="00356A18" w:rsidP="009F1683">
      <w:r w:rsidRPr="0090282F">
        <w:t>Medical Dictionary for Regulatory Activities</w:t>
      </w:r>
      <w:r w:rsidRPr="00356A18">
        <w:t xml:space="preserve"> </w:t>
      </w:r>
      <w:r>
        <w:t>(</w:t>
      </w:r>
      <w:r w:rsidR="00260FBB">
        <w:t>MedDRA</w:t>
      </w:r>
      <w:r>
        <w:t>)</w:t>
      </w:r>
      <w:r w:rsidR="00260FBB">
        <w:t xml:space="preserve"> coding</w:t>
      </w:r>
      <w:r w:rsidR="00B02B3C">
        <w:t xml:space="preserve"> </w:t>
      </w:r>
      <w:r w:rsidR="009F34B0">
        <w:t xml:space="preserve">for </w:t>
      </w:r>
      <w:r w:rsidR="004544C1">
        <w:t>Clinical Trials of an Investigational Medicinal Product (CTIMP</w:t>
      </w:r>
      <w:r w:rsidR="004E57C5">
        <w:t>s</w:t>
      </w:r>
      <w:r w:rsidR="004544C1">
        <w:t>)</w:t>
      </w:r>
      <w:r w:rsidR="004E57C5">
        <w:t xml:space="preserve"> </w:t>
      </w:r>
      <w:r w:rsidR="00FB2287">
        <w:t xml:space="preserve">and combined </w:t>
      </w:r>
      <w:r w:rsidR="00A273E8">
        <w:t>medicine and device trials</w:t>
      </w:r>
      <w:r w:rsidR="009B0FAD">
        <w:t xml:space="preserve"> </w:t>
      </w:r>
      <w:r w:rsidR="00B02B3C">
        <w:t>(</w:t>
      </w:r>
      <w:r w:rsidR="003313C2">
        <w:t xml:space="preserve">as detailed in procedure </w:t>
      </w:r>
      <w:r w:rsidR="00B02B3C">
        <w:t>6.7)</w:t>
      </w:r>
      <w:r w:rsidR="00260FBB">
        <w:t>, will be implemented</w:t>
      </w:r>
      <w:r w:rsidR="00C370F1">
        <w:t xml:space="preserve"> </w:t>
      </w:r>
      <w:r w:rsidR="00262268">
        <w:t>within three</w:t>
      </w:r>
      <w:r w:rsidR="00D55565">
        <w:t xml:space="preserve"> months from this </w:t>
      </w:r>
      <w:r w:rsidR="0085456A">
        <w:t>document’s</w:t>
      </w:r>
      <w:r w:rsidR="00D55565">
        <w:t xml:space="preserve"> effective</w:t>
      </w:r>
      <w:r w:rsidR="008F16F9">
        <w:t xml:space="preserve"> date</w:t>
      </w:r>
      <w:r w:rsidR="002C4566">
        <w:t xml:space="preserve">. </w:t>
      </w:r>
      <w:r w:rsidR="00970131" w:rsidRPr="00970131">
        <w:t xml:space="preserve"> </w:t>
      </w:r>
    </w:p>
    <w:p w14:paraId="67649FDE" w14:textId="2E03B01E" w:rsidR="0006541F" w:rsidRDefault="0006541F" w:rsidP="009F1683">
      <w:r>
        <w:t xml:space="preserve">From this point, MedDRA coding will be mandatory for: </w:t>
      </w:r>
    </w:p>
    <w:p w14:paraId="06E95B09" w14:textId="46F44DB8" w:rsidR="0006541F" w:rsidRDefault="000E15F0" w:rsidP="0006541F">
      <w:pPr>
        <w:pStyle w:val="bullet10"/>
      </w:pPr>
      <w:r>
        <w:t>n</w:t>
      </w:r>
      <w:r w:rsidR="0006541F">
        <w:t>ew trial</w:t>
      </w:r>
      <w:r>
        <w:t>s</w:t>
      </w:r>
      <w:r w:rsidR="0006541F">
        <w:t xml:space="preserve"> that have not yet commenced recruitment; and</w:t>
      </w:r>
    </w:p>
    <w:p w14:paraId="41A86EBA" w14:textId="0608C0EE" w:rsidR="009F1683" w:rsidRPr="00567735" w:rsidRDefault="0071481E" w:rsidP="002A6AA1">
      <w:pPr>
        <w:pStyle w:val="bullet10"/>
      </w:pPr>
      <w:r>
        <w:t>existing</w:t>
      </w:r>
      <w:r w:rsidR="000E15F0">
        <w:t xml:space="preserve"> trials, from the start of the </w:t>
      </w:r>
      <w:r w:rsidR="00970131">
        <w:t>next development safety update report (DSUR) reporting period</w:t>
      </w:r>
      <w:r w:rsidR="000E15F0">
        <w:t>,</w:t>
      </w:r>
      <w:r w:rsidR="00970131">
        <w:t xml:space="preserve"> following the submission of any outstanding </w:t>
      </w:r>
      <w:r>
        <w:t>DSUR</w:t>
      </w:r>
      <w:r w:rsidR="007438AD">
        <w:t xml:space="preserve">. </w:t>
      </w:r>
    </w:p>
    <w:p w14:paraId="713F4B6B" w14:textId="77777777" w:rsidR="00944528" w:rsidRDefault="00944528" w:rsidP="005C7D15">
      <w:pPr>
        <w:pStyle w:val="Heading1"/>
      </w:pPr>
      <w:bookmarkStart w:id="6" w:name="_Toc225494556"/>
      <w:r>
        <w:t>Stakeholders</w:t>
      </w:r>
      <w:bookmarkEnd w:id="5"/>
      <w:bookmarkEnd w:id="6"/>
    </w:p>
    <w:p w14:paraId="01047352" w14:textId="3576DC46" w:rsidR="009F1683" w:rsidRPr="00B16AF1" w:rsidRDefault="009F1683" w:rsidP="00EB1B40">
      <w:pPr>
        <w:pStyle w:val="bullet10"/>
      </w:pPr>
      <w:r w:rsidRPr="00B16AF1">
        <w:t>Sponsor</w:t>
      </w:r>
      <w:r w:rsidRPr="00C3457F">
        <w:t>: for UoB-sponsored clinical research this is the Research Ethics, Governance and Integrity Team (REGI). Where the UoB takes on the sponsor’s responsibility for AE reporting, the UoB will delegate the majority of these duties to the CI and/or a clinical trials unit (CTU), except where specified in this SOP. All delegation of duties will be documented (e.g. using a CI</w:t>
      </w:r>
      <w:r w:rsidRPr="00B16AF1">
        <w:t xml:space="preserve"> declaration and the </w:t>
      </w:r>
      <w:r w:rsidRPr="00B16AF1">
        <w:rPr>
          <w:rStyle w:val="DocrefChar"/>
        </w:rPr>
        <w:t>Clinical Trials Task Delegation Log (UoB-SPO-QCD-001)</w:t>
      </w:r>
      <w:r w:rsidRPr="00B16AF1">
        <w:t xml:space="preserve">). </w:t>
      </w:r>
    </w:p>
    <w:p w14:paraId="22C8BD73" w14:textId="77777777" w:rsidR="009F1683" w:rsidRPr="00B16AF1" w:rsidRDefault="009F1683" w:rsidP="00EB1B40">
      <w:pPr>
        <w:pStyle w:val="bullet10"/>
      </w:pPr>
      <w:r w:rsidRPr="00B16AF1">
        <w:t>CI: the CI may delegate activities to members of their research team, although evidence of CI involvement and approval is still expected and may not be delegated where ‘no delegation allowed’ is indicated. The SOP will state where delegation is possible. For clinical research approved by a UoB REC, the role of CI may be referred to as the principal investigator (PI), or the supervisor for postgraduate research students.</w:t>
      </w:r>
    </w:p>
    <w:p w14:paraId="5B902ED7" w14:textId="77777777" w:rsidR="00944528" w:rsidRDefault="00944528" w:rsidP="00944528"/>
    <w:p w14:paraId="4561DE7F" w14:textId="77777777" w:rsidR="00944528" w:rsidRDefault="00944528">
      <w:pPr>
        <w:spacing w:before="0" w:after="200" w:line="276" w:lineRule="auto"/>
        <w:rPr>
          <w:rFonts w:ascii="Gill Sans MT" w:hAnsi="Gill Sans MT" w:cs="Tahoma"/>
          <w:bCs/>
          <w:color w:val="943634"/>
          <w:kern w:val="32"/>
          <w:sz w:val="28"/>
          <w:szCs w:val="28"/>
        </w:rPr>
      </w:pPr>
      <w:r>
        <w:br w:type="page"/>
      </w:r>
    </w:p>
    <w:p w14:paraId="56A199A8" w14:textId="77777777" w:rsidR="005F0420" w:rsidRDefault="005F0420" w:rsidP="005F2DE3">
      <w:pPr>
        <w:pStyle w:val="Heading1"/>
      </w:pPr>
      <w:bookmarkStart w:id="7" w:name="_Toc225494557"/>
      <w:r>
        <w:lastRenderedPageBreak/>
        <w:t>Background</w:t>
      </w:r>
      <w:bookmarkEnd w:id="7"/>
    </w:p>
    <w:p w14:paraId="7B38EDCD" w14:textId="1DD5DEDA" w:rsidR="00583A9C" w:rsidRPr="00583A9C" w:rsidRDefault="00583A9C" w:rsidP="00583A9C">
      <w:r w:rsidRPr="00583A9C">
        <w:t>The process of AE reporting is key to any clinical research, whether it’s a clinical trial using a</w:t>
      </w:r>
      <w:r w:rsidR="000274A9">
        <w:t xml:space="preserve"> </w:t>
      </w:r>
      <w:r w:rsidRPr="00583A9C">
        <w:t xml:space="preserve">CTIMP, a clinical investigation of a medical device, or another type of study/trial. Information relating to AE reporting responsibilities can be found in the relevant regulations that are signposted below. </w:t>
      </w:r>
    </w:p>
    <w:p w14:paraId="5207C34A" w14:textId="3FDCCF68" w:rsidR="00583A9C" w:rsidRPr="00583A9C" w:rsidRDefault="00583A9C" w:rsidP="00EB1B40">
      <w:pPr>
        <w:pStyle w:val="bullet10"/>
      </w:pPr>
      <w:r w:rsidRPr="00583A9C">
        <w:t xml:space="preserve">For all UoB clinical research, see the </w:t>
      </w:r>
      <w:hyperlink r:id="rId15" w:tooltip="Link to the UoB Code of Practice for Research (PDF - 459 KB)" w:history="1">
        <w:r w:rsidRPr="00583A9C">
          <w:rPr>
            <w:rStyle w:val="Hyperlink"/>
          </w:rPr>
          <w:t>UoB Code of Practice for Research (PDF – 4</w:t>
        </w:r>
        <w:r w:rsidR="008938E6">
          <w:rPr>
            <w:rStyle w:val="Hyperlink"/>
          </w:rPr>
          <w:t>59</w:t>
        </w:r>
        <w:r w:rsidRPr="00583A9C">
          <w:rPr>
            <w:rStyle w:val="Hyperlink"/>
          </w:rPr>
          <w:t xml:space="preserve"> KB)</w:t>
        </w:r>
      </w:hyperlink>
      <w:r w:rsidRPr="00583A9C">
        <w:t>.</w:t>
      </w:r>
    </w:p>
    <w:p w14:paraId="0EDBC46E" w14:textId="623EDB33" w:rsidR="00583A9C" w:rsidRPr="00583A9C" w:rsidRDefault="00583A9C" w:rsidP="00EB1B40">
      <w:pPr>
        <w:pStyle w:val="bullet10"/>
      </w:pPr>
      <w:r w:rsidRPr="00583A9C">
        <w:t xml:space="preserve">For all </w:t>
      </w:r>
      <w:r w:rsidR="001A4339">
        <w:t>Health Research Authority (</w:t>
      </w:r>
      <w:r w:rsidRPr="00583A9C">
        <w:t>HRA</w:t>
      </w:r>
      <w:r w:rsidR="001A4339">
        <w:t>)</w:t>
      </w:r>
      <w:r w:rsidRPr="00583A9C">
        <w:t>-approved</w:t>
      </w:r>
      <w:r w:rsidR="00734121">
        <w:t>, and/or NHS REC-</w:t>
      </w:r>
      <w:r w:rsidR="00087D59">
        <w:t>approved</w:t>
      </w:r>
      <w:r w:rsidRPr="00583A9C">
        <w:t xml:space="preserve"> clinical research, see the </w:t>
      </w:r>
      <w:hyperlink r:id="rId16" w:tooltip="Link to the UK Policy Framework for Health and Social Care Research" w:history="1">
        <w:r w:rsidRPr="00583A9C">
          <w:rPr>
            <w:rStyle w:val="Hyperlink"/>
          </w:rPr>
          <w:t>UK Policy Framework for Health and Social Care Research</w:t>
        </w:r>
      </w:hyperlink>
      <w:r w:rsidRPr="00583A9C">
        <w:t>.</w:t>
      </w:r>
    </w:p>
    <w:p w14:paraId="200B5B92" w14:textId="5CD25770" w:rsidR="00583A9C" w:rsidRPr="00583A9C" w:rsidRDefault="00583A9C" w:rsidP="00EB1B40">
      <w:pPr>
        <w:pStyle w:val="bullet10"/>
      </w:pPr>
      <w:r w:rsidRPr="00583A9C">
        <w:t xml:space="preserve">For CTIMPs, see </w:t>
      </w:r>
      <w:hyperlink r:id="rId17" w:tooltip="The Medicines for Human Use (Clinical Trials) Regulations 2004 (as amended)" w:history="1">
        <w:r w:rsidR="00085044" w:rsidRPr="00583A9C">
          <w:rPr>
            <w:rStyle w:val="Hyperlink"/>
          </w:rPr>
          <w:t xml:space="preserve">The Medicines for Human Use (Clinical Trials) Regulations 2004 </w:t>
        </w:r>
        <w:r w:rsidR="00085044">
          <w:rPr>
            <w:rStyle w:val="Hyperlink"/>
          </w:rPr>
          <w:t>(as amended)</w:t>
        </w:r>
      </w:hyperlink>
      <w:r w:rsidR="00085044">
        <w:t>.</w:t>
      </w:r>
    </w:p>
    <w:p w14:paraId="6EC4BEF0" w14:textId="0B4CAAB4" w:rsidR="00583A9C" w:rsidRDefault="00583A9C" w:rsidP="00EB1B40">
      <w:pPr>
        <w:pStyle w:val="bullet10"/>
      </w:pPr>
      <w:r w:rsidRPr="00583A9C">
        <w:t xml:space="preserve">For medical devices, see </w:t>
      </w:r>
      <w:hyperlink r:id="rId18" w:tooltip="The Medical Devices Regulations 2002 and amendment" w:history="1">
        <w:r w:rsidRPr="00583A9C">
          <w:rPr>
            <w:rStyle w:val="Hyperlink"/>
          </w:rPr>
          <w:t>The Medical Devices Regulations 2002 (</w:t>
        </w:r>
        <w:r w:rsidR="002215CC">
          <w:rPr>
            <w:rStyle w:val="Hyperlink"/>
          </w:rPr>
          <w:t>as amended</w:t>
        </w:r>
        <w:r w:rsidRPr="00583A9C">
          <w:rPr>
            <w:rStyle w:val="Hyperlink"/>
          </w:rPr>
          <w:t>)</w:t>
        </w:r>
      </w:hyperlink>
      <w:r w:rsidRPr="00583A9C">
        <w:t>.</w:t>
      </w:r>
      <w:r w:rsidRPr="00583A9C" w:rsidDel="00F32D26">
        <w:t xml:space="preserve"> </w:t>
      </w:r>
    </w:p>
    <w:p w14:paraId="30877249" w14:textId="1FF1310C" w:rsidR="002215CC" w:rsidRPr="00583A9C" w:rsidRDefault="002215CC" w:rsidP="00EB1B40">
      <w:r w:rsidRPr="00583A9C">
        <w:t>F</w:t>
      </w:r>
      <w:r>
        <w:t>or f</w:t>
      </w:r>
      <w:r w:rsidRPr="00583A9C">
        <w:t>urther resources</w:t>
      </w:r>
      <w:r>
        <w:t>, please see</w:t>
      </w:r>
      <w:r w:rsidRPr="00583A9C">
        <w:t xml:space="preserve"> </w:t>
      </w:r>
      <w:r>
        <w:t>r</w:t>
      </w:r>
      <w:r w:rsidRPr="00583A9C">
        <w:t xml:space="preserve">eferences &amp; </w:t>
      </w:r>
      <w:r>
        <w:t>f</w:t>
      </w:r>
      <w:r w:rsidRPr="00583A9C">
        <w:t xml:space="preserve">rameworks </w:t>
      </w:r>
      <w:r w:rsidRPr="00B03739">
        <w:rPr>
          <w:rStyle w:val="SectionrefChar"/>
        </w:rPr>
        <w:fldChar w:fldCharType="begin"/>
      </w:r>
      <w:r w:rsidRPr="00B03739">
        <w:rPr>
          <w:rStyle w:val="SectionrefChar"/>
        </w:rPr>
        <w:instrText xml:space="preserve"> REF _Ref205558629 \p \h </w:instrText>
      </w:r>
      <w:r>
        <w:rPr>
          <w:rStyle w:val="SectionrefChar"/>
        </w:rPr>
        <w:instrText xml:space="preserve"> \* MERGEFORMAT </w:instrText>
      </w:r>
      <w:r w:rsidRPr="00B03739">
        <w:rPr>
          <w:rStyle w:val="SectionrefChar"/>
        </w:rPr>
      </w:r>
      <w:r w:rsidRPr="00B03739">
        <w:rPr>
          <w:rStyle w:val="SectionrefChar"/>
        </w:rPr>
        <w:fldChar w:fldCharType="separate"/>
      </w:r>
      <w:r w:rsidRPr="00B03739">
        <w:rPr>
          <w:rStyle w:val="SectionrefChar"/>
        </w:rPr>
        <w:t>below</w:t>
      </w:r>
      <w:r w:rsidRPr="00B03739">
        <w:rPr>
          <w:rStyle w:val="SectionrefChar"/>
        </w:rPr>
        <w:fldChar w:fldCharType="end"/>
      </w:r>
      <w:r w:rsidRPr="00583A9C">
        <w:t>.</w:t>
      </w:r>
    </w:p>
    <w:p w14:paraId="0CDDE14C" w14:textId="77777777" w:rsidR="00583A9C" w:rsidRPr="00583A9C" w:rsidRDefault="00583A9C" w:rsidP="00583A9C">
      <w:r w:rsidRPr="00583A9C">
        <w:t>For the purposes of this SOP the terms ‘clinical research’ or ‘project’ will cover: CTIMPs, other interventional trials (e.g. surgical trials and clinical investigations of medical devices) and clinical studies. Where a requirement is specific to a certain type of clinical research, it will be specified in this SOP.</w:t>
      </w:r>
    </w:p>
    <w:p w14:paraId="3718C77F" w14:textId="77777777" w:rsidR="00583A9C" w:rsidRPr="00583A9C" w:rsidRDefault="00583A9C" w:rsidP="00583A9C">
      <w:pPr>
        <w:pStyle w:val="Heading2"/>
      </w:pPr>
      <w:bookmarkStart w:id="8" w:name="_Toc225494558"/>
      <w:r w:rsidRPr="00583A9C">
        <w:t>Clarification of terms</w:t>
      </w:r>
      <w:bookmarkEnd w:id="8"/>
    </w:p>
    <w:p w14:paraId="4CAA3764" w14:textId="77777777" w:rsidR="00583A9C" w:rsidRPr="00583A9C" w:rsidRDefault="00583A9C" w:rsidP="00583A9C">
      <w:r w:rsidRPr="00583A9C">
        <w:t>For the purposes of this SOP, the terms and definitions used are clarified in the table below.</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Clarification of terms"/>
        <w:tblDescription w:val="Clarification of terms used in this SOP."/>
      </w:tblPr>
      <w:tblGrid>
        <w:gridCol w:w="2478"/>
        <w:gridCol w:w="1628"/>
        <w:gridCol w:w="2790"/>
        <w:gridCol w:w="2121"/>
      </w:tblGrid>
      <w:tr w:rsidR="00583A9C" w:rsidRPr="00583A9C" w14:paraId="12FA02FE" w14:textId="77777777">
        <w:tc>
          <w:tcPr>
            <w:tcW w:w="1374" w:type="pct"/>
            <w:tcBorders>
              <w:bottom w:val="single" w:sz="4" w:space="0" w:color="auto"/>
            </w:tcBorders>
            <w:vAlign w:val="center"/>
          </w:tcPr>
          <w:p w14:paraId="1B975C5D" w14:textId="77777777" w:rsidR="00583A9C" w:rsidRPr="00583A9C" w:rsidRDefault="00583A9C" w:rsidP="00EB1B40">
            <w:pPr>
              <w:jc w:val="left"/>
              <w:rPr>
                <w:b/>
                <w:bCs/>
              </w:rPr>
            </w:pPr>
            <w:r w:rsidRPr="00583A9C">
              <w:rPr>
                <w:b/>
                <w:bCs/>
              </w:rPr>
              <w:t>Condition</w:t>
            </w:r>
          </w:p>
        </w:tc>
        <w:tc>
          <w:tcPr>
            <w:tcW w:w="903" w:type="pct"/>
            <w:tcBorders>
              <w:bottom w:val="single" w:sz="4" w:space="0" w:color="auto"/>
            </w:tcBorders>
            <w:vAlign w:val="center"/>
          </w:tcPr>
          <w:p w14:paraId="18BF2DE9" w14:textId="77777777" w:rsidR="00583A9C" w:rsidRPr="00583A9C" w:rsidRDefault="00583A9C" w:rsidP="00EB1B40">
            <w:pPr>
              <w:jc w:val="left"/>
              <w:rPr>
                <w:b/>
                <w:bCs/>
              </w:rPr>
            </w:pPr>
            <w:r w:rsidRPr="00583A9C">
              <w:rPr>
                <w:b/>
                <w:bCs/>
              </w:rPr>
              <w:t>Clinical Research type</w:t>
            </w:r>
          </w:p>
        </w:tc>
        <w:tc>
          <w:tcPr>
            <w:tcW w:w="1547" w:type="pct"/>
            <w:tcBorders>
              <w:bottom w:val="single" w:sz="4" w:space="0" w:color="auto"/>
            </w:tcBorders>
            <w:vAlign w:val="center"/>
          </w:tcPr>
          <w:p w14:paraId="7950FA1D" w14:textId="77777777" w:rsidR="00583A9C" w:rsidRPr="00583A9C" w:rsidRDefault="00583A9C" w:rsidP="00EB1B40">
            <w:pPr>
              <w:jc w:val="left"/>
              <w:rPr>
                <w:b/>
                <w:bCs/>
              </w:rPr>
            </w:pPr>
            <w:r w:rsidRPr="00583A9C">
              <w:rPr>
                <w:b/>
                <w:bCs/>
              </w:rPr>
              <w:t>National Institute for Health Research (NIHR) term used</w:t>
            </w:r>
          </w:p>
        </w:tc>
        <w:tc>
          <w:tcPr>
            <w:tcW w:w="1176" w:type="pct"/>
            <w:tcBorders>
              <w:bottom w:val="single" w:sz="4" w:space="0" w:color="auto"/>
            </w:tcBorders>
            <w:vAlign w:val="center"/>
          </w:tcPr>
          <w:p w14:paraId="32982CC3" w14:textId="77777777" w:rsidR="00583A9C" w:rsidRPr="00583A9C" w:rsidRDefault="00583A9C" w:rsidP="00EB1B40">
            <w:pPr>
              <w:jc w:val="left"/>
              <w:rPr>
                <w:b/>
                <w:bCs/>
              </w:rPr>
            </w:pPr>
            <w:r w:rsidRPr="00583A9C">
              <w:rPr>
                <w:b/>
                <w:bCs/>
              </w:rPr>
              <w:t>Term used in this SOP</w:t>
            </w:r>
          </w:p>
        </w:tc>
      </w:tr>
      <w:tr w:rsidR="00583A9C" w:rsidRPr="00583A9C" w14:paraId="1B968EB0" w14:textId="77777777">
        <w:tc>
          <w:tcPr>
            <w:tcW w:w="1374" w:type="pct"/>
            <w:tcBorders>
              <w:top w:val="single" w:sz="4" w:space="0" w:color="auto"/>
              <w:bottom w:val="dotted" w:sz="4" w:space="0" w:color="auto"/>
            </w:tcBorders>
            <w:vAlign w:val="center"/>
          </w:tcPr>
          <w:p w14:paraId="1C518F0F" w14:textId="77777777" w:rsidR="00583A9C" w:rsidRPr="00583A9C" w:rsidRDefault="00583A9C" w:rsidP="00EB1B40">
            <w:pPr>
              <w:jc w:val="left"/>
            </w:pPr>
            <w:r w:rsidRPr="00583A9C">
              <w:t>Non-serious and not attributable to the project</w:t>
            </w:r>
          </w:p>
        </w:tc>
        <w:tc>
          <w:tcPr>
            <w:tcW w:w="903" w:type="pct"/>
            <w:tcBorders>
              <w:top w:val="single" w:sz="4" w:space="0" w:color="auto"/>
              <w:bottom w:val="dotted" w:sz="4" w:space="0" w:color="auto"/>
            </w:tcBorders>
            <w:vAlign w:val="center"/>
          </w:tcPr>
          <w:p w14:paraId="7FEA028B" w14:textId="77777777" w:rsidR="00583A9C" w:rsidRPr="00583A9C" w:rsidRDefault="00583A9C" w:rsidP="00EB1B40">
            <w:pPr>
              <w:jc w:val="left"/>
            </w:pPr>
            <w:r w:rsidRPr="00583A9C">
              <w:t>All projects</w:t>
            </w:r>
          </w:p>
        </w:tc>
        <w:tc>
          <w:tcPr>
            <w:tcW w:w="1547" w:type="pct"/>
            <w:tcBorders>
              <w:top w:val="single" w:sz="4" w:space="0" w:color="auto"/>
              <w:bottom w:val="dotted" w:sz="4" w:space="0" w:color="auto"/>
            </w:tcBorders>
            <w:vAlign w:val="center"/>
          </w:tcPr>
          <w:p w14:paraId="4F70955E" w14:textId="77777777" w:rsidR="00583A9C" w:rsidRPr="00583A9C" w:rsidRDefault="00583A9C" w:rsidP="00EB1B40">
            <w:pPr>
              <w:jc w:val="left"/>
            </w:pPr>
            <w:r w:rsidRPr="00583A9C">
              <w:t>Adverse Event (AE)</w:t>
            </w:r>
          </w:p>
        </w:tc>
        <w:tc>
          <w:tcPr>
            <w:tcW w:w="1176" w:type="pct"/>
            <w:vMerge w:val="restart"/>
            <w:tcBorders>
              <w:top w:val="single" w:sz="4" w:space="0" w:color="auto"/>
              <w:bottom w:val="dotted" w:sz="4" w:space="0" w:color="auto"/>
            </w:tcBorders>
            <w:vAlign w:val="center"/>
          </w:tcPr>
          <w:p w14:paraId="2D1F0F31" w14:textId="77777777" w:rsidR="00583A9C" w:rsidRPr="00583A9C" w:rsidRDefault="00583A9C" w:rsidP="00EB1B40">
            <w:pPr>
              <w:jc w:val="left"/>
              <w:rPr>
                <w:b/>
                <w:bCs/>
              </w:rPr>
            </w:pPr>
            <w:r w:rsidRPr="00583A9C">
              <w:rPr>
                <w:b/>
                <w:bCs/>
              </w:rPr>
              <w:t>Adverse Event (AE)</w:t>
            </w:r>
          </w:p>
        </w:tc>
      </w:tr>
      <w:tr w:rsidR="00583A9C" w:rsidRPr="00583A9C" w14:paraId="37283D3F" w14:textId="77777777">
        <w:tc>
          <w:tcPr>
            <w:tcW w:w="1374" w:type="pct"/>
            <w:vMerge w:val="restart"/>
            <w:tcBorders>
              <w:top w:val="dotted" w:sz="4" w:space="0" w:color="auto"/>
              <w:bottom w:val="dotted" w:sz="4" w:space="0" w:color="auto"/>
            </w:tcBorders>
            <w:vAlign w:val="center"/>
          </w:tcPr>
          <w:p w14:paraId="79ECBF24" w14:textId="77777777" w:rsidR="00583A9C" w:rsidRPr="00583A9C" w:rsidRDefault="00583A9C" w:rsidP="00EB1B40">
            <w:pPr>
              <w:jc w:val="left"/>
            </w:pPr>
            <w:r w:rsidRPr="00583A9C">
              <w:t>Non-serious but (possibly) attributable to the project</w:t>
            </w:r>
          </w:p>
        </w:tc>
        <w:tc>
          <w:tcPr>
            <w:tcW w:w="903" w:type="pct"/>
            <w:tcBorders>
              <w:top w:val="dotted" w:sz="4" w:space="0" w:color="auto"/>
              <w:bottom w:val="dotted" w:sz="4" w:space="0" w:color="auto"/>
            </w:tcBorders>
            <w:vAlign w:val="center"/>
          </w:tcPr>
          <w:p w14:paraId="0A6DB3AE" w14:textId="77777777" w:rsidR="00583A9C" w:rsidRPr="00583A9C" w:rsidRDefault="00583A9C" w:rsidP="00EB1B40">
            <w:pPr>
              <w:jc w:val="left"/>
            </w:pPr>
            <w:r w:rsidRPr="00583A9C">
              <w:t>CTIMP</w:t>
            </w:r>
          </w:p>
        </w:tc>
        <w:tc>
          <w:tcPr>
            <w:tcW w:w="1547" w:type="pct"/>
            <w:tcBorders>
              <w:top w:val="dotted" w:sz="4" w:space="0" w:color="auto"/>
              <w:bottom w:val="dotted" w:sz="4" w:space="0" w:color="auto"/>
            </w:tcBorders>
            <w:vAlign w:val="center"/>
          </w:tcPr>
          <w:p w14:paraId="2D92C765" w14:textId="77777777" w:rsidR="00583A9C" w:rsidRPr="00583A9C" w:rsidRDefault="00583A9C" w:rsidP="00EB1B40">
            <w:pPr>
              <w:jc w:val="left"/>
            </w:pPr>
            <w:r w:rsidRPr="00583A9C">
              <w:t>Adverse Reaction</w:t>
            </w:r>
          </w:p>
        </w:tc>
        <w:tc>
          <w:tcPr>
            <w:tcW w:w="1176" w:type="pct"/>
            <w:vMerge/>
            <w:tcBorders>
              <w:top w:val="dotted" w:sz="4" w:space="0" w:color="auto"/>
              <w:bottom w:val="dotted" w:sz="4" w:space="0" w:color="auto"/>
            </w:tcBorders>
            <w:vAlign w:val="center"/>
          </w:tcPr>
          <w:p w14:paraId="72F83578" w14:textId="77777777" w:rsidR="00583A9C" w:rsidRPr="00583A9C" w:rsidRDefault="00583A9C" w:rsidP="00EB1B40">
            <w:pPr>
              <w:jc w:val="left"/>
              <w:rPr>
                <w:b/>
                <w:bCs/>
              </w:rPr>
            </w:pPr>
          </w:p>
        </w:tc>
      </w:tr>
      <w:tr w:rsidR="00583A9C" w:rsidRPr="00583A9C" w14:paraId="51F076AC" w14:textId="77777777">
        <w:tc>
          <w:tcPr>
            <w:tcW w:w="1374" w:type="pct"/>
            <w:vMerge/>
            <w:tcBorders>
              <w:top w:val="dotted" w:sz="4" w:space="0" w:color="auto"/>
              <w:bottom w:val="dotted" w:sz="4" w:space="0" w:color="auto"/>
            </w:tcBorders>
            <w:vAlign w:val="center"/>
          </w:tcPr>
          <w:p w14:paraId="1DC26F15" w14:textId="77777777" w:rsidR="00583A9C" w:rsidRPr="00583A9C" w:rsidRDefault="00583A9C" w:rsidP="00EB1B40">
            <w:pPr>
              <w:jc w:val="left"/>
            </w:pPr>
          </w:p>
        </w:tc>
        <w:tc>
          <w:tcPr>
            <w:tcW w:w="903" w:type="pct"/>
            <w:tcBorders>
              <w:top w:val="dotted" w:sz="4" w:space="0" w:color="auto"/>
              <w:bottom w:val="dotted" w:sz="4" w:space="0" w:color="auto"/>
            </w:tcBorders>
            <w:vAlign w:val="center"/>
          </w:tcPr>
          <w:p w14:paraId="472C4043" w14:textId="0C714B64" w:rsidR="00583A9C" w:rsidRPr="00583A9C" w:rsidRDefault="00583A9C" w:rsidP="00EB1B40">
            <w:pPr>
              <w:jc w:val="left"/>
            </w:pPr>
            <w:r w:rsidRPr="00583A9C">
              <w:t xml:space="preserve">Medical </w:t>
            </w:r>
            <w:r w:rsidR="009E3FF8">
              <w:t>d</w:t>
            </w:r>
            <w:r w:rsidRPr="00583A9C">
              <w:t>evice</w:t>
            </w:r>
          </w:p>
        </w:tc>
        <w:tc>
          <w:tcPr>
            <w:tcW w:w="1547" w:type="pct"/>
            <w:tcBorders>
              <w:top w:val="dotted" w:sz="4" w:space="0" w:color="auto"/>
              <w:bottom w:val="dotted" w:sz="4" w:space="0" w:color="auto"/>
            </w:tcBorders>
            <w:vAlign w:val="center"/>
          </w:tcPr>
          <w:p w14:paraId="07AA16B2" w14:textId="77777777" w:rsidR="00583A9C" w:rsidRPr="00583A9C" w:rsidRDefault="00583A9C" w:rsidP="00EB1B40">
            <w:pPr>
              <w:jc w:val="left"/>
            </w:pPr>
            <w:r w:rsidRPr="00583A9C">
              <w:t>Adverse Device Effect (ADE)</w:t>
            </w:r>
          </w:p>
        </w:tc>
        <w:tc>
          <w:tcPr>
            <w:tcW w:w="1176" w:type="pct"/>
            <w:vMerge/>
            <w:tcBorders>
              <w:top w:val="dotted" w:sz="4" w:space="0" w:color="auto"/>
              <w:bottom w:val="dotted" w:sz="4" w:space="0" w:color="auto"/>
            </w:tcBorders>
            <w:vAlign w:val="center"/>
          </w:tcPr>
          <w:p w14:paraId="233561AA" w14:textId="77777777" w:rsidR="00583A9C" w:rsidRPr="00583A9C" w:rsidRDefault="00583A9C" w:rsidP="00EB1B40">
            <w:pPr>
              <w:jc w:val="left"/>
              <w:rPr>
                <w:b/>
                <w:bCs/>
              </w:rPr>
            </w:pPr>
          </w:p>
        </w:tc>
      </w:tr>
      <w:tr w:rsidR="00583A9C" w:rsidRPr="00583A9C" w14:paraId="2A09C106" w14:textId="77777777">
        <w:tc>
          <w:tcPr>
            <w:tcW w:w="1374" w:type="pct"/>
            <w:vMerge/>
            <w:tcBorders>
              <w:top w:val="dotted" w:sz="4" w:space="0" w:color="auto"/>
              <w:bottom w:val="single" w:sz="4" w:space="0" w:color="auto"/>
            </w:tcBorders>
            <w:vAlign w:val="center"/>
          </w:tcPr>
          <w:p w14:paraId="11057C01" w14:textId="77777777" w:rsidR="00583A9C" w:rsidRPr="00583A9C" w:rsidRDefault="00583A9C" w:rsidP="00EB1B40">
            <w:pPr>
              <w:jc w:val="left"/>
            </w:pPr>
          </w:p>
        </w:tc>
        <w:tc>
          <w:tcPr>
            <w:tcW w:w="903" w:type="pct"/>
            <w:tcBorders>
              <w:top w:val="dotted" w:sz="4" w:space="0" w:color="auto"/>
              <w:bottom w:val="single" w:sz="4" w:space="0" w:color="auto"/>
            </w:tcBorders>
            <w:vAlign w:val="center"/>
          </w:tcPr>
          <w:p w14:paraId="1A72EBD6" w14:textId="77777777" w:rsidR="00583A9C" w:rsidRPr="00583A9C" w:rsidRDefault="00583A9C" w:rsidP="00EB1B40">
            <w:pPr>
              <w:jc w:val="left"/>
            </w:pPr>
            <w:r w:rsidRPr="00583A9C">
              <w:t>All other projects</w:t>
            </w:r>
          </w:p>
        </w:tc>
        <w:tc>
          <w:tcPr>
            <w:tcW w:w="1547" w:type="pct"/>
            <w:tcBorders>
              <w:top w:val="dotted" w:sz="4" w:space="0" w:color="auto"/>
              <w:bottom w:val="single" w:sz="4" w:space="0" w:color="auto"/>
            </w:tcBorders>
            <w:vAlign w:val="center"/>
          </w:tcPr>
          <w:p w14:paraId="45CE306E" w14:textId="77777777" w:rsidR="00583A9C" w:rsidRPr="00583A9C" w:rsidRDefault="00583A9C" w:rsidP="00EB1B40">
            <w:pPr>
              <w:jc w:val="left"/>
            </w:pPr>
            <w:r w:rsidRPr="00583A9C">
              <w:t>Related Event</w:t>
            </w:r>
          </w:p>
        </w:tc>
        <w:tc>
          <w:tcPr>
            <w:tcW w:w="1176" w:type="pct"/>
            <w:vMerge/>
            <w:tcBorders>
              <w:top w:val="dotted" w:sz="4" w:space="0" w:color="auto"/>
              <w:bottom w:val="single" w:sz="4" w:space="0" w:color="auto"/>
            </w:tcBorders>
            <w:vAlign w:val="center"/>
          </w:tcPr>
          <w:p w14:paraId="1224D4F0" w14:textId="77777777" w:rsidR="00583A9C" w:rsidRPr="00583A9C" w:rsidRDefault="00583A9C" w:rsidP="00EB1B40">
            <w:pPr>
              <w:jc w:val="left"/>
              <w:rPr>
                <w:b/>
                <w:bCs/>
              </w:rPr>
            </w:pPr>
          </w:p>
        </w:tc>
      </w:tr>
      <w:tr w:rsidR="00583A9C" w:rsidRPr="00583A9C" w14:paraId="10018878" w14:textId="77777777">
        <w:tc>
          <w:tcPr>
            <w:tcW w:w="1374" w:type="pct"/>
            <w:tcBorders>
              <w:top w:val="single" w:sz="4" w:space="0" w:color="auto"/>
              <w:bottom w:val="single" w:sz="4" w:space="0" w:color="auto"/>
            </w:tcBorders>
            <w:vAlign w:val="center"/>
          </w:tcPr>
          <w:p w14:paraId="533EC1BE" w14:textId="77777777" w:rsidR="00583A9C" w:rsidRPr="00583A9C" w:rsidRDefault="00583A9C" w:rsidP="00EB1B40">
            <w:pPr>
              <w:jc w:val="left"/>
            </w:pPr>
            <w:r w:rsidRPr="00583A9C">
              <w:t>Serious and not attributable to the project</w:t>
            </w:r>
          </w:p>
        </w:tc>
        <w:tc>
          <w:tcPr>
            <w:tcW w:w="903" w:type="pct"/>
            <w:tcBorders>
              <w:top w:val="single" w:sz="4" w:space="0" w:color="auto"/>
              <w:bottom w:val="single" w:sz="4" w:space="0" w:color="auto"/>
            </w:tcBorders>
            <w:vAlign w:val="center"/>
          </w:tcPr>
          <w:p w14:paraId="299B8991" w14:textId="77777777" w:rsidR="00583A9C" w:rsidRPr="00583A9C" w:rsidRDefault="00583A9C" w:rsidP="00EB1B40">
            <w:pPr>
              <w:jc w:val="left"/>
            </w:pPr>
            <w:r w:rsidRPr="00583A9C">
              <w:t>All projects</w:t>
            </w:r>
          </w:p>
        </w:tc>
        <w:tc>
          <w:tcPr>
            <w:tcW w:w="1547" w:type="pct"/>
            <w:tcBorders>
              <w:top w:val="single" w:sz="4" w:space="0" w:color="auto"/>
              <w:bottom w:val="single" w:sz="4" w:space="0" w:color="auto"/>
            </w:tcBorders>
            <w:vAlign w:val="center"/>
          </w:tcPr>
          <w:p w14:paraId="4EF93699" w14:textId="77777777" w:rsidR="00583A9C" w:rsidRPr="00583A9C" w:rsidRDefault="00583A9C" w:rsidP="00EB1B40">
            <w:pPr>
              <w:jc w:val="left"/>
            </w:pPr>
            <w:r w:rsidRPr="00583A9C">
              <w:t>Serious Adverse Event (SAE)</w:t>
            </w:r>
          </w:p>
        </w:tc>
        <w:tc>
          <w:tcPr>
            <w:tcW w:w="1176" w:type="pct"/>
            <w:tcBorders>
              <w:top w:val="single" w:sz="4" w:space="0" w:color="auto"/>
              <w:bottom w:val="single" w:sz="4" w:space="0" w:color="auto"/>
            </w:tcBorders>
            <w:vAlign w:val="center"/>
          </w:tcPr>
          <w:p w14:paraId="49B06AE4" w14:textId="77777777" w:rsidR="00583A9C" w:rsidRPr="00583A9C" w:rsidRDefault="00583A9C" w:rsidP="00EB1B40">
            <w:pPr>
              <w:jc w:val="left"/>
              <w:rPr>
                <w:b/>
                <w:bCs/>
              </w:rPr>
            </w:pPr>
            <w:r w:rsidRPr="00583A9C">
              <w:rPr>
                <w:b/>
                <w:bCs/>
              </w:rPr>
              <w:t>Serious Adverse Event (SAE)</w:t>
            </w:r>
          </w:p>
        </w:tc>
      </w:tr>
      <w:tr w:rsidR="00DC5238" w:rsidRPr="00583A9C" w14:paraId="0A7B7B12" w14:textId="77777777" w:rsidTr="009034EE">
        <w:tc>
          <w:tcPr>
            <w:tcW w:w="1374" w:type="pct"/>
            <w:vMerge w:val="restart"/>
            <w:tcBorders>
              <w:top w:val="single" w:sz="4" w:space="0" w:color="auto"/>
            </w:tcBorders>
            <w:vAlign w:val="center"/>
          </w:tcPr>
          <w:p w14:paraId="25DD1CB1" w14:textId="77777777" w:rsidR="00DC5238" w:rsidRPr="00583A9C" w:rsidRDefault="00DC5238" w:rsidP="00EB1B40">
            <w:pPr>
              <w:jc w:val="left"/>
            </w:pPr>
            <w:r w:rsidRPr="00583A9C">
              <w:t>Possibly related to the project and consistent with reference safety information (RSI) (or equivalent)</w:t>
            </w:r>
          </w:p>
        </w:tc>
        <w:tc>
          <w:tcPr>
            <w:tcW w:w="903" w:type="pct"/>
            <w:tcBorders>
              <w:top w:val="single" w:sz="4" w:space="0" w:color="auto"/>
              <w:bottom w:val="dotted" w:sz="4" w:space="0" w:color="auto"/>
            </w:tcBorders>
            <w:vAlign w:val="center"/>
          </w:tcPr>
          <w:p w14:paraId="2EA27583" w14:textId="77777777" w:rsidR="00DC5238" w:rsidRPr="00583A9C" w:rsidRDefault="00DC5238" w:rsidP="00EB1B40">
            <w:pPr>
              <w:jc w:val="left"/>
            </w:pPr>
            <w:r w:rsidRPr="00583A9C">
              <w:t>CTIMP</w:t>
            </w:r>
          </w:p>
        </w:tc>
        <w:tc>
          <w:tcPr>
            <w:tcW w:w="1547" w:type="pct"/>
            <w:tcBorders>
              <w:top w:val="single" w:sz="4" w:space="0" w:color="auto"/>
              <w:bottom w:val="dotted" w:sz="4" w:space="0" w:color="auto"/>
            </w:tcBorders>
            <w:vAlign w:val="center"/>
          </w:tcPr>
          <w:p w14:paraId="2982F9CF" w14:textId="77777777" w:rsidR="00DC5238" w:rsidRPr="00583A9C" w:rsidRDefault="00DC5238" w:rsidP="00EB1B40">
            <w:pPr>
              <w:jc w:val="left"/>
            </w:pPr>
            <w:r w:rsidRPr="00583A9C">
              <w:t>Serious Adverse Reaction (SAR)</w:t>
            </w:r>
          </w:p>
        </w:tc>
        <w:tc>
          <w:tcPr>
            <w:tcW w:w="1176" w:type="pct"/>
            <w:vMerge w:val="restart"/>
            <w:tcBorders>
              <w:top w:val="single" w:sz="4" w:space="0" w:color="auto"/>
            </w:tcBorders>
            <w:vAlign w:val="center"/>
          </w:tcPr>
          <w:p w14:paraId="20B63E29" w14:textId="77777777" w:rsidR="00DC5238" w:rsidRPr="00583A9C" w:rsidRDefault="00DC5238" w:rsidP="00EB1B40">
            <w:pPr>
              <w:jc w:val="left"/>
              <w:rPr>
                <w:b/>
                <w:bCs/>
              </w:rPr>
            </w:pPr>
            <w:r w:rsidRPr="00583A9C">
              <w:rPr>
                <w:b/>
                <w:bCs/>
              </w:rPr>
              <w:t>Serious Adverse Reaction (SAR)</w:t>
            </w:r>
          </w:p>
        </w:tc>
      </w:tr>
      <w:tr w:rsidR="00DC5238" w:rsidRPr="00583A9C" w14:paraId="3F70301F" w14:textId="77777777" w:rsidTr="00146A8D">
        <w:tc>
          <w:tcPr>
            <w:tcW w:w="1374" w:type="pct"/>
            <w:vMerge/>
            <w:vAlign w:val="center"/>
          </w:tcPr>
          <w:p w14:paraId="3E2D22A7" w14:textId="77777777" w:rsidR="00DC5238" w:rsidRPr="00583A9C" w:rsidRDefault="00DC5238" w:rsidP="00EB1B40">
            <w:pPr>
              <w:jc w:val="left"/>
            </w:pPr>
          </w:p>
        </w:tc>
        <w:tc>
          <w:tcPr>
            <w:tcW w:w="903" w:type="pct"/>
            <w:tcBorders>
              <w:top w:val="dotted" w:sz="4" w:space="0" w:color="auto"/>
              <w:bottom w:val="dotted" w:sz="4" w:space="0" w:color="auto"/>
            </w:tcBorders>
            <w:vAlign w:val="center"/>
          </w:tcPr>
          <w:p w14:paraId="64973496" w14:textId="7165FDC9" w:rsidR="00DC5238" w:rsidRPr="00583A9C" w:rsidRDefault="00DC5238" w:rsidP="00EB1B40">
            <w:pPr>
              <w:jc w:val="left"/>
            </w:pPr>
            <w:r w:rsidRPr="00583A9C">
              <w:t xml:space="preserve">Medical </w:t>
            </w:r>
            <w:r>
              <w:t>d</w:t>
            </w:r>
            <w:r w:rsidRPr="00583A9C">
              <w:t>evice</w:t>
            </w:r>
          </w:p>
        </w:tc>
        <w:tc>
          <w:tcPr>
            <w:tcW w:w="1547" w:type="pct"/>
            <w:tcBorders>
              <w:top w:val="dotted" w:sz="4" w:space="0" w:color="auto"/>
              <w:bottom w:val="dotted" w:sz="4" w:space="0" w:color="auto"/>
            </w:tcBorders>
            <w:vAlign w:val="center"/>
          </w:tcPr>
          <w:p w14:paraId="17C9491E" w14:textId="77777777" w:rsidR="00DC5238" w:rsidRPr="00583A9C" w:rsidRDefault="00DC5238" w:rsidP="00EB1B40">
            <w:pPr>
              <w:jc w:val="left"/>
            </w:pPr>
            <w:r w:rsidRPr="00583A9C">
              <w:t>Anticipated Serious Adverse Device Effect (ASADE)</w:t>
            </w:r>
          </w:p>
        </w:tc>
        <w:tc>
          <w:tcPr>
            <w:tcW w:w="1176" w:type="pct"/>
            <w:vMerge/>
            <w:vAlign w:val="center"/>
          </w:tcPr>
          <w:p w14:paraId="2006C996" w14:textId="77777777" w:rsidR="00DC5238" w:rsidRPr="00583A9C" w:rsidRDefault="00DC5238" w:rsidP="00EB1B40">
            <w:pPr>
              <w:jc w:val="left"/>
              <w:rPr>
                <w:b/>
                <w:bCs/>
              </w:rPr>
            </w:pPr>
          </w:p>
        </w:tc>
      </w:tr>
      <w:tr w:rsidR="00F0073D" w:rsidRPr="00583A9C" w14:paraId="63F6C623" w14:textId="77777777" w:rsidTr="00146A8D">
        <w:tc>
          <w:tcPr>
            <w:tcW w:w="1374" w:type="pct"/>
            <w:vMerge/>
            <w:vAlign w:val="center"/>
          </w:tcPr>
          <w:p w14:paraId="4B6128F3" w14:textId="77777777" w:rsidR="00F0073D" w:rsidRPr="00583A9C" w:rsidRDefault="00F0073D" w:rsidP="00EB1B40">
            <w:pPr>
              <w:jc w:val="left"/>
            </w:pPr>
          </w:p>
        </w:tc>
        <w:tc>
          <w:tcPr>
            <w:tcW w:w="903" w:type="pct"/>
            <w:tcBorders>
              <w:top w:val="dotted" w:sz="4" w:space="0" w:color="auto"/>
              <w:bottom w:val="dotted" w:sz="4" w:space="0" w:color="auto"/>
            </w:tcBorders>
            <w:vAlign w:val="center"/>
          </w:tcPr>
          <w:p w14:paraId="696CC572" w14:textId="77777777" w:rsidR="00F0073D" w:rsidRPr="00583A9C" w:rsidRDefault="00F0073D" w:rsidP="00EB1B40">
            <w:pPr>
              <w:jc w:val="left"/>
            </w:pPr>
          </w:p>
        </w:tc>
        <w:tc>
          <w:tcPr>
            <w:tcW w:w="1547" w:type="pct"/>
            <w:tcBorders>
              <w:top w:val="dotted" w:sz="4" w:space="0" w:color="auto"/>
              <w:bottom w:val="dotted" w:sz="4" w:space="0" w:color="auto"/>
            </w:tcBorders>
            <w:vAlign w:val="center"/>
          </w:tcPr>
          <w:p w14:paraId="0CDF9815" w14:textId="77777777" w:rsidR="00F0073D" w:rsidRPr="00583A9C" w:rsidRDefault="00F0073D" w:rsidP="00EB1B40">
            <w:pPr>
              <w:jc w:val="left"/>
            </w:pPr>
          </w:p>
        </w:tc>
        <w:tc>
          <w:tcPr>
            <w:tcW w:w="1176" w:type="pct"/>
            <w:vMerge/>
            <w:vAlign w:val="center"/>
          </w:tcPr>
          <w:p w14:paraId="78DA2628" w14:textId="77777777" w:rsidR="00F0073D" w:rsidRPr="00583A9C" w:rsidRDefault="00F0073D" w:rsidP="00EB1B40">
            <w:pPr>
              <w:jc w:val="left"/>
              <w:rPr>
                <w:b/>
                <w:bCs/>
              </w:rPr>
            </w:pPr>
          </w:p>
        </w:tc>
      </w:tr>
      <w:tr w:rsidR="00DC5238" w:rsidRPr="00583A9C" w14:paraId="59431645" w14:textId="77777777" w:rsidTr="009034EE">
        <w:tc>
          <w:tcPr>
            <w:tcW w:w="1374" w:type="pct"/>
            <w:vMerge/>
            <w:tcBorders>
              <w:bottom w:val="dotted" w:sz="4" w:space="0" w:color="auto"/>
            </w:tcBorders>
            <w:vAlign w:val="center"/>
          </w:tcPr>
          <w:p w14:paraId="44EEC061" w14:textId="77777777" w:rsidR="00DC5238" w:rsidRPr="00583A9C" w:rsidRDefault="00DC5238" w:rsidP="00EB1B40">
            <w:pPr>
              <w:jc w:val="left"/>
            </w:pPr>
          </w:p>
        </w:tc>
        <w:tc>
          <w:tcPr>
            <w:tcW w:w="903" w:type="pct"/>
            <w:tcBorders>
              <w:top w:val="dotted" w:sz="4" w:space="0" w:color="auto"/>
              <w:bottom w:val="dotted" w:sz="4" w:space="0" w:color="auto"/>
            </w:tcBorders>
            <w:vAlign w:val="center"/>
          </w:tcPr>
          <w:p w14:paraId="16570F99" w14:textId="6B420C28" w:rsidR="00DC5238" w:rsidRPr="00583A9C" w:rsidRDefault="00DC5238" w:rsidP="00EB1B40">
            <w:pPr>
              <w:jc w:val="left"/>
            </w:pPr>
            <w:r>
              <w:t>All other projects</w:t>
            </w:r>
          </w:p>
        </w:tc>
        <w:tc>
          <w:tcPr>
            <w:tcW w:w="1547" w:type="pct"/>
            <w:tcBorders>
              <w:top w:val="dotted" w:sz="4" w:space="0" w:color="auto"/>
              <w:bottom w:val="dotted" w:sz="4" w:space="0" w:color="auto"/>
            </w:tcBorders>
            <w:vAlign w:val="center"/>
          </w:tcPr>
          <w:p w14:paraId="24FE2990" w14:textId="74F927A5" w:rsidR="00DC5238" w:rsidRPr="00583A9C" w:rsidRDefault="00DC5238" w:rsidP="00EB1B40">
            <w:pPr>
              <w:jc w:val="left"/>
            </w:pPr>
            <w:r>
              <w:t>Serious Related Events</w:t>
            </w:r>
          </w:p>
        </w:tc>
        <w:tc>
          <w:tcPr>
            <w:tcW w:w="1176" w:type="pct"/>
            <w:vMerge/>
            <w:tcBorders>
              <w:bottom w:val="dotted" w:sz="4" w:space="0" w:color="auto"/>
            </w:tcBorders>
            <w:vAlign w:val="center"/>
          </w:tcPr>
          <w:p w14:paraId="458D5001" w14:textId="77777777" w:rsidR="00DC5238" w:rsidRPr="00583A9C" w:rsidRDefault="00DC5238" w:rsidP="00EB1B40">
            <w:pPr>
              <w:jc w:val="left"/>
              <w:rPr>
                <w:b/>
                <w:bCs/>
              </w:rPr>
            </w:pPr>
          </w:p>
        </w:tc>
      </w:tr>
      <w:tr w:rsidR="00DC5238" w:rsidRPr="00583A9C" w14:paraId="5B1115E5" w14:textId="77777777">
        <w:tc>
          <w:tcPr>
            <w:tcW w:w="1374" w:type="pct"/>
            <w:vMerge w:val="restart"/>
            <w:tcBorders>
              <w:top w:val="single" w:sz="4" w:space="0" w:color="auto"/>
            </w:tcBorders>
            <w:vAlign w:val="center"/>
          </w:tcPr>
          <w:p w14:paraId="4DF2EAAE" w14:textId="77777777" w:rsidR="00DC5238" w:rsidRPr="00583A9C" w:rsidRDefault="00DC5238" w:rsidP="00EB1B40">
            <w:pPr>
              <w:jc w:val="left"/>
            </w:pPr>
            <w:r w:rsidRPr="00583A9C">
              <w:t xml:space="preserve">Possibly related to the project and </w:t>
            </w:r>
            <w:r w:rsidRPr="00583A9C">
              <w:rPr>
                <w:b/>
              </w:rPr>
              <w:t>not</w:t>
            </w:r>
            <w:r w:rsidRPr="00583A9C">
              <w:t xml:space="preserve"> consistent with RSI (or equivalent)</w:t>
            </w:r>
          </w:p>
        </w:tc>
        <w:tc>
          <w:tcPr>
            <w:tcW w:w="903" w:type="pct"/>
            <w:tcBorders>
              <w:top w:val="single" w:sz="4" w:space="0" w:color="auto"/>
            </w:tcBorders>
            <w:vAlign w:val="center"/>
          </w:tcPr>
          <w:p w14:paraId="7B21F1BE" w14:textId="77777777" w:rsidR="00DC5238" w:rsidRPr="00583A9C" w:rsidRDefault="00DC5238" w:rsidP="00EB1B40">
            <w:pPr>
              <w:jc w:val="left"/>
            </w:pPr>
            <w:r w:rsidRPr="00583A9C">
              <w:t>CTIMP</w:t>
            </w:r>
          </w:p>
        </w:tc>
        <w:tc>
          <w:tcPr>
            <w:tcW w:w="1547" w:type="pct"/>
            <w:tcBorders>
              <w:top w:val="single" w:sz="4" w:space="0" w:color="auto"/>
            </w:tcBorders>
            <w:vAlign w:val="center"/>
          </w:tcPr>
          <w:p w14:paraId="604412BD" w14:textId="77777777" w:rsidR="00DC5238" w:rsidRPr="00583A9C" w:rsidRDefault="00DC5238" w:rsidP="00EB1B40">
            <w:pPr>
              <w:jc w:val="left"/>
            </w:pPr>
            <w:r w:rsidRPr="00583A9C">
              <w:t>Suspected Unexpected Serious Adverse Reaction (SUSAR)</w:t>
            </w:r>
          </w:p>
        </w:tc>
        <w:tc>
          <w:tcPr>
            <w:tcW w:w="1176" w:type="pct"/>
            <w:vMerge w:val="restart"/>
            <w:tcBorders>
              <w:top w:val="single" w:sz="4" w:space="0" w:color="auto"/>
            </w:tcBorders>
            <w:vAlign w:val="center"/>
          </w:tcPr>
          <w:p w14:paraId="2E8FBB4C" w14:textId="77777777" w:rsidR="00DC5238" w:rsidRPr="00583A9C" w:rsidRDefault="00DC5238" w:rsidP="00EB1B40">
            <w:pPr>
              <w:jc w:val="left"/>
              <w:rPr>
                <w:b/>
                <w:bCs/>
              </w:rPr>
            </w:pPr>
            <w:r w:rsidRPr="00583A9C">
              <w:rPr>
                <w:b/>
                <w:bCs/>
              </w:rPr>
              <w:t>Suspected Unexpected Serious Adverse Reaction (SUSAR)</w:t>
            </w:r>
          </w:p>
        </w:tc>
      </w:tr>
      <w:tr w:rsidR="00DC5238" w:rsidRPr="00583A9C" w14:paraId="11D3E4A2" w14:textId="77777777">
        <w:tc>
          <w:tcPr>
            <w:tcW w:w="1374" w:type="pct"/>
            <w:vMerge/>
            <w:vAlign w:val="center"/>
          </w:tcPr>
          <w:p w14:paraId="3981D061" w14:textId="77777777" w:rsidR="00DC5238" w:rsidRPr="00583A9C" w:rsidRDefault="00DC5238" w:rsidP="00583A9C"/>
        </w:tc>
        <w:tc>
          <w:tcPr>
            <w:tcW w:w="903" w:type="pct"/>
            <w:vAlign w:val="center"/>
          </w:tcPr>
          <w:p w14:paraId="4423D914" w14:textId="77777777" w:rsidR="00DC5238" w:rsidRPr="00583A9C" w:rsidRDefault="00DC5238" w:rsidP="00EB1B40">
            <w:pPr>
              <w:jc w:val="left"/>
            </w:pPr>
            <w:r w:rsidRPr="00583A9C">
              <w:t>Medical Device</w:t>
            </w:r>
          </w:p>
        </w:tc>
        <w:tc>
          <w:tcPr>
            <w:tcW w:w="1547" w:type="pct"/>
            <w:vAlign w:val="center"/>
          </w:tcPr>
          <w:p w14:paraId="2E4BA4D1" w14:textId="77777777" w:rsidR="00DC5238" w:rsidRPr="00583A9C" w:rsidRDefault="00DC5238" w:rsidP="00EB1B40">
            <w:pPr>
              <w:jc w:val="left"/>
            </w:pPr>
            <w:r w:rsidRPr="00583A9C">
              <w:t>Unanticipated Serious Adverse Device Effect (USADE)</w:t>
            </w:r>
          </w:p>
        </w:tc>
        <w:tc>
          <w:tcPr>
            <w:tcW w:w="1176" w:type="pct"/>
            <w:vMerge/>
            <w:vAlign w:val="center"/>
          </w:tcPr>
          <w:p w14:paraId="26FEA385" w14:textId="77777777" w:rsidR="00DC5238" w:rsidRPr="00583A9C" w:rsidRDefault="00DC5238" w:rsidP="00583A9C"/>
        </w:tc>
      </w:tr>
      <w:tr w:rsidR="00DC5238" w:rsidRPr="00583A9C" w14:paraId="3D0168DF" w14:textId="77777777">
        <w:tc>
          <w:tcPr>
            <w:tcW w:w="1374" w:type="pct"/>
            <w:vMerge/>
            <w:vAlign w:val="center"/>
          </w:tcPr>
          <w:p w14:paraId="5039E735" w14:textId="77777777" w:rsidR="00DC5238" w:rsidRPr="00583A9C" w:rsidRDefault="00DC5238" w:rsidP="00583A9C"/>
        </w:tc>
        <w:tc>
          <w:tcPr>
            <w:tcW w:w="903" w:type="pct"/>
            <w:vAlign w:val="center"/>
          </w:tcPr>
          <w:p w14:paraId="5867BB90" w14:textId="45390313" w:rsidR="00DC5238" w:rsidRPr="00583A9C" w:rsidRDefault="00DC5238" w:rsidP="00EB1B40">
            <w:pPr>
              <w:jc w:val="left"/>
            </w:pPr>
            <w:r>
              <w:t>All other projects</w:t>
            </w:r>
          </w:p>
        </w:tc>
        <w:tc>
          <w:tcPr>
            <w:tcW w:w="1547" w:type="pct"/>
            <w:vAlign w:val="center"/>
          </w:tcPr>
          <w:p w14:paraId="1E935EF4" w14:textId="5D86C89F" w:rsidR="00DC5238" w:rsidRPr="00583A9C" w:rsidRDefault="00DC5238" w:rsidP="00EB1B40">
            <w:pPr>
              <w:jc w:val="left"/>
            </w:pPr>
            <w:r>
              <w:t>Unexpected serious related events</w:t>
            </w:r>
          </w:p>
        </w:tc>
        <w:tc>
          <w:tcPr>
            <w:tcW w:w="1176" w:type="pct"/>
            <w:vMerge/>
            <w:vAlign w:val="center"/>
          </w:tcPr>
          <w:p w14:paraId="16AE6FBD" w14:textId="77777777" w:rsidR="00DC5238" w:rsidRPr="00583A9C" w:rsidRDefault="00DC5238" w:rsidP="00583A9C"/>
        </w:tc>
      </w:tr>
    </w:tbl>
    <w:p w14:paraId="1A7B805D" w14:textId="008E4252" w:rsidR="008440FA" w:rsidRPr="007773B9" w:rsidRDefault="008440FA" w:rsidP="007773B9">
      <w:r>
        <w:br w:type="page"/>
      </w:r>
    </w:p>
    <w:p w14:paraId="2A57E1DA" w14:textId="77777777" w:rsidR="00583A9C" w:rsidRPr="009A221B" w:rsidRDefault="00583A9C" w:rsidP="00583A9C">
      <w:pPr>
        <w:pStyle w:val="Heading1"/>
      </w:pPr>
      <w:bookmarkStart w:id="9" w:name="_Toc225494559"/>
      <w:r>
        <w:lastRenderedPageBreak/>
        <w:t>Process map</w:t>
      </w:r>
      <w:bookmarkEnd w:id="9"/>
    </w:p>
    <w:p w14:paraId="607072E1" w14:textId="77777777" w:rsidR="007B0EA9" w:rsidRDefault="004A4FF8" w:rsidP="007B0EA9">
      <w:r>
        <w:t xml:space="preserve">The process map below outlines the keys steps </w:t>
      </w:r>
      <w:r w:rsidR="00037A9C">
        <w:t>descri</w:t>
      </w:r>
      <w:r w:rsidR="000650E5">
        <w:t>bed</w:t>
      </w:r>
      <w:r w:rsidR="00037A9C">
        <w:t xml:space="preserve"> in the procedure section. </w:t>
      </w:r>
    </w:p>
    <w:p w14:paraId="54F41D5E" w14:textId="26AF0828" w:rsidR="00037A9C" w:rsidRPr="007B0EA9" w:rsidRDefault="00D76560" w:rsidP="002A6AA1">
      <w:pPr>
        <w:jc w:val="center"/>
      </w:pPr>
      <w:r>
        <w:object w:dxaOrig="8415" w:dyaOrig="13170" w14:anchorId="3D4AD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cess map outlining the keys steps described in the procedure section of this document." style="width:411.55pt;height:644.2pt;mso-position-horizontal:absolute" o:ole="">
            <v:imagedata r:id="rId19" o:title=""/>
          </v:shape>
          <o:OLEObject Type="Embed" ProgID="Visio.Drawing.15" ShapeID="_x0000_i1025" DrawAspect="Content" ObjectID="_1836107455" r:id="rId20"/>
        </w:object>
      </w:r>
    </w:p>
    <w:p w14:paraId="71487D43" w14:textId="4CD8EC3C" w:rsidR="00583A9C" w:rsidRDefault="00583A9C" w:rsidP="006A0825">
      <w:pPr>
        <w:pStyle w:val="Instructions"/>
        <w:rPr>
          <w:noProof/>
        </w:rPr>
        <w:sectPr w:rsidR="00583A9C" w:rsidSect="00BB1019">
          <w:headerReference w:type="even" r:id="rId21"/>
          <w:headerReference w:type="default" r:id="rId22"/>
          <w:footerReference w:type="even" r:id="rId23"/>
          <w:footerReference w:type="default" r:id="rId24"/>
          <w:headerReference w:type="first" r:id="rId25"/>
          <w:footerReference w:type="first" r:id="rId26"/>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4E7A3131" w14:textId="3F2A3DFE" w:rsidR="00761096" w:rsidRDefault="00583A9C" w:rsidP="002A6AA1">
      <w:pPr>
        <w:pStyle w:val="Heading2"/>
      </w:pPr>
      <w:bookmarkStart w:id="10" w:name="_Toc225494560"/>
      <w:r w:rsidRPr="00983E11">
        <w:lastRenderedPageBreak/>
        <w:t xml:space="preserve">Decision </w:t>
      </w:r>
      <w:r>
        <w:t>t</w:t>
      </w:r>
      <w:r w:rsidRPr="00983E11">
        <w:t xml:space="preserve">ree for </w:t>
      </w:r>
      <w:r w:rsidR="00DB1537">
        <w:t>adverse event</w:t>
      </w:r>
      <w:r w:rsidRPr="00983E11">
        <w:t xml:space="preserve"> </w:t>
      </w:r>
      <w:r>
        <w:t>r</w:t>
      </w:r>
      <w:r w:rsidRPr="00983E11">
        <w:t>eporting</w:t>
      </w:r>
      <w:r>
        <w:t xml:space="preserve"> and timelines</w:t>
      </w:r>
      <w:bookmarkEnd w:id="10"/>
    </w:p>
    <w:p w14:paraId="11FC2C82" w14:textId="5DC9DA7A" w:rsidR="00851F37" w:rsidRDefault="00851F37" w:rsidP="00583A9C">
      <w:pPr>
        <w:sectPr w:rsidR="00851F37" w:rsidSect="00583A9C">
          <w:pgSz w:w="16839" w:h="11907" w:orient="landscape"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r>
        <w:object w:dxaOrig="25501" w:dyaOrig="15496" w14:anchorId="4C71B713">
          <v:shape id="_x0000_i1026" type="#_x0000_t75" alt="Decision tree for adverse event reporting and timelines. Full details captured in the procedure section. " style="width:697.25pt;height:423.65pt" o:ole="">
            <v:imagedata r:id="rId27" o:title=""/>
          </v:shape>
          <o:OLEObject Type="Embed" ProgID="Visio.Drawing.15" ShapeID="_x0000_i1026" DrawAspect="Content" ObjectID="_1836107456" r:id="rId28"/>
        </w:object>
      </w:r>
    </w:p>
    <w:p w14:paraId="0799E4C5" w14:textId="77777777" w:rsidR="00E22773" w:rsidRDefault="00C3647F" w:rsidP="005F2DE3">
      <w:pPr>
        <w:pStyle w:val="Heading1"/>
      </w:pPr>
      <w:bookmarkStart w:id="11" w:name="_Toc225494561"/>
      <w:r w:rsidRPr="00435EAE">
        <w:lastRenderedPageBreak/>
        <w:t>Procedure</w:t>
      </w:r>
      <w:bookmarkEnd w:id="11"/>
    </w:p>
    <w:p w14:paraId="35EA10F0" w14:textId="005FCBE1" w:rsidR="00C62D7F" w:rsidRDefault="00761096" w:rsidP="00761096">
      <w:pPr>
        <w:pStyle w:val="PN1"/>
      </w:pPr>
      <w:bookmarkStart w:id="12" w:name="_Toc225494562"/>
      <w:r>
        <w:t>Set-</w:t>
      </w:r>
      <w:r w:rsidRPr="00761096">
        <w:t>up</w:t>
      </w:r>
      <w:bookmarkEnd w:id="12"/>
    </w:p>
    <w:p w14:paraId="0A3D0C62" w14:textId="314A2652" w:rsidR="00761096" w:rsidRDefault="00761096" w:rsidP="00761096">
      <w:pPr>
        <w:pStyle w:val="Heading3"/>
      </w:pPr>
      <w:bookmarkStart w:id="13" w:name="_Toc225494563"/>
      <w:r>
        <w:t>Decide on the level of reporting required</w:t>
      </w:r>
      <w:bookmarkEnd w:id="13"/>
    </w:p>
    <w:p w14:paraId="26409350" w14:textId="77777777" w:rsidR="00761096" w:rsidRPr="00761096" w:rsidRDefault="00761096" w:rsidP="00761096">
      <w:pPr>
        <w:pStyle w:val="PN11"/>
      </w:pPr>
      <w:r w:rsidRPr="00761096">
        <w:t>The CI (or delegate) will decide on the requirements for AE reporting in accordance with applicable regulations and guidance, based on the risk of the project to the participants and the project’s objectives.</w:t>
      </w:r>
    </w:p>
    <w:p w14:paraId="166029AD" w14:textId="77777777" w:rsidR="00761096" w:rsidRPr="00761096" w:rsidRDefault="00761096" w:rsidP="00761096">
      <w:pPr>
        <w:pStyle w:val="PN11"/>
      </w:pPr>
      <w:r w:rsidRPr="00761096">
        <w:t xml:space="preserve">The CI (or delegate) will document the recording and reporting requirements for AEs e.g. in the UoB REC application or in the protocol. </w:t>
      </w:r>
      <w:bookmarkStart w:id="14" w:name="_Hlk170293913"/>
      <w:r w:rsidRPr="00761096">
        <w:t xml:space="preserve">Documentation will cover the points listed below.  </w:t>
      </w:r>
    </w:p>
    <w:bookmarkEnd w:id="14"/>
    <w:p w14:paraId="022B8703" w14:textId="2BED496A" w:rsidR="00761096" w:rsidRPr="00761096" w:rsidRDefault="00761096" w:rsidP="00761096">
      <w:pPr>
        <w:pStyle w:val="PB1"/>
      </w:pPr>
      <w:r w:rsidRPr="00761096">
        <w:t xml:space="preserve">Decisions on which </w:t>
      </w:r>
      <w:r w:rsidR="007833DE">
        <w:t>AEs</w:t>
      </w:r>
      <w:r w:rsidRPr="00761096">
        <w:t xml:space="preserve"> need to be recorded to ensure the safety of the participants and the integrity of the data.</w:t>
      </w:r>
    </w:p>
    <w:p w14:paraId="5AE73FEA" w14:textId="77777777" w:rsidR="00761096" w:rsidRPr="00761096" w:rsidRDefault="00761096" w:rsidP="00761096">
      <w:pPr>
        <w:pStyle w:val="PB1"/>
      </w:pPr>
      <w:r w:rsidRPr="00761096">
        <w:t>The AEs that could reasonably be expected, and the timeframe within which they might occur:</w:t>
      </w:r>
    </w:p>
    <w:p w14:paraId="748BD095" w14:textId="77777777" w:rsidR="00761096" w:rsidRPr="00761096" w:rsidRDefault="00761096" w:rsidP="00761096">
      <w:pPr>
        <w:pStyle w:val="PB2"/>
      </w:pPr>
      <w:r w:rsidRPr="00761096">
        <w:t xml:space="preserve">for studies, the CI (or delegate) will specify a process for recording and managing non-medical AEs (for example, managing potential distress caused to participants when completing a psychological questionnaire by directing them to an appropriate helpline for support) </w:t>
      </w:r>
    </w:p>
    <w:p w14:paraId="1CF482B3" w14:textId="4D0731D6" w:rsidR="00761096" w:rsidRPr="00761096" w:rsidRDefault="00761096" w:rsidP="00761096">
      <w:pPr>
        <w:pStyle w:val="PB2"/>
      </w:pPr>
      <w:r w:rsidRPr="00761096">
        <w:t xml:space="preserve">for trials, the CI (or delegate) will define any AEs (including laboratory AEs) that are of interest, or that are important to the evaluation of the trial’s </w:t>
      </w:r>
      <w:r w:rsidR="00EB1B40" w:rsidRPr="00761096">
        <w:t>safety and</w:t>
      </w:r>
      <w:r w:rsidRPr="00761096">
        <w:t xml:space="preserve"> will document the reporting process.</w:t>
      </w:r>
    </w:p>
    <w:p w14:paraId="6B46DF99" w14:textId="77777777" w:rsidR="00761096" w:rsidRPr="00761096" w:rsidRDefault="00761096" w:rsidP="00761096">
      <w:pPr>
        <w:pStyle w:val="PB1"/>
      </w:pPr>
      <w:bookmarkStart w:id="15" w:name="_Hlk170293899"/>
      <w:r w:rsidRPr="00761096">
        <w:t>Decisions on the applicable product information (the RSI for CTIMPs, and the safety information provided for other projects). For the purposes of this SOP these are referred to as ‘RSI or equivalent’.</w:t>
      </w:r>
    </w:p>
    <w:p w14:paraId="18FCD0DE" w14:textId="6D1447AA" w:rsidR="00761096" w:rsidRPr="00761096" w:rsidRDefault="00761096" w:rsidP="00761096">
      <w:pPr>
        <w:pStyle w:val="PB1"/>
      </w:pPr>
      <w:bookmarkStart w:id="16" w:name="_Hlk170293924"/>
      <w:bookmarkEnd w:id="15"/>
      <w:r w:rsidRPr="00761096">
        <w:t xml:space="preserve">Requirements for </w:t>
      </w:r>
      <w:r w:rsidR="00F34B8B">
        <w:t>study/trial locations</w:t>
      </w:r>
      <w:r w:rsidRPr="00761096">
        <w:t xml:space="preserve"> based outside of the UK to follow local regulations when conducting a project. </w:t>
      </w:r>
    </w:p>
    <w:p w14:paraId="749CD08B" w14:textId="150D9D4E" w:rsidR="0062172A" w:rsidRDefault="0062172A" w:rsidP="00761096">
      <w:pPr>
        <w:pStyle w:val="PN11"/>
      </w:pPr>
      <w:bookmarkStart w:id="17" w:name="_Hlk170294303"/>
      <w:bookmarkEnd w:id="16"/>
      <w:r>
        <w:t>The CI (or delegate) w</w:t>
      </w:r>
      <w:r w:rsidR="004E139E">
        <w:t xml:space="preserve">ill determine if there are SAEs which can be excluded from reporting(e.g., admissions for elective procedures) or expedited reporting (e.g., high volume expected SARs or disease related death) and ensure details are captured in the protocol. All other SAEs should be reported by the study/trial location within 24 hours of first knowledge of the event. </w:t>
      </w:r>
      <w:r w:rsidR="0058492C" w:rsidRPr="00761096">
        <w:t xml:space="preserve">See also a </w:t>
      </w:r>
      <w:hyperlink r:id="rId29" w:tooltip="Safety reporting flowchart (PDF – 129 KB)" w:history="1">
        <w:r w:rsidR="0058492C" w:rsidRPr="00761096">
          <w:rPr>
            <w:rStyle w:val="Hyperlink"/>
          </w:rPr>
          <w:t>safety reporting flowchart (PDF – 129 KB)</w:t>
        </w:r>
      </w:hyperlink>
      <w:r w:rsidR="0058492C" w:rsidRPr="00761096">
        <w:t xml:space="preserve"> for an overview of the expedited safety reporting requirements for a UK open label trial</w:t>
      </w:r>
    </w:p>
    <w:bookmarkEnd w:id="17"/>
    <w:p w14:paraId="2D94E218" w14:textId="0E7AF654" w:rsidR="00761096" w:rsidRPr="00761096" w:rsidRDefault="00761096" w:rsidP="00761096">
      <w:pPr>
        <w:pStyle w:val="PN11"/>
      </w:pPr>
      <w:r w:rsidRPr="00761096">
        <w:t xml:space="preserve">For CTIMPs, the CI (or delegate) will ensure that the RSI is identified or created, to confirm what </w:t>
      </w:r>
      <w:r w:rsidR="00456EFD">
        <w:t>SARs</w:t>
      </w:r>
      <w:r w:rsidRPr="00761096">
        <w:t xml:space="preserve"> are expected for the IMP.</w:t>
      </w:r>
    </w:p>
    <w:p w14:paraId="43B28823" w14:textId="6E248A1F" w:rsidR="00761096" w:rsidRDefault="00761096" w:rsidP="00761096">
      <w:pPr>
        <w:pStyle w:val="PB1"/>
      </w:pPr>
      <w:r w:rsidRPr="00761096">
        <w:t>The CI (or delegate) will prepare an investigator</w:t>
      </w:r>
      <w:r w:rsidR="00D062FE">
        <w:t>’s</w:t>
      </w:r>
      <w:r w:rsidRPr="00761096">
        <w:t xml:space="preserve"> brochure (IB) if the </w:t>
      </w:r>
      <w:r w:rsidR="00223F15">
        <w:t>investigational medicinal product (</w:t>
      </w:r>
      <w:r w:rsidRPr="00761096">
        <w:t>IMP</w:t>
      </w:r>
      <w:r w:rsidR="00223F15">
        <w:t>)</w:t>
      </w:r>
      <w:r w:rsidRPr="00761096">
        <w:t xml:space="preserve"> is being used outside the scope of its marketing authorisation. When creating an IB, the CI (or delegate) will refer to </w:t>
      </w:r>
      <w:r w:rsidR="007A5D6F">
        <w:t>Appendix A</w:t>
      </w:r>
      <w:r w:rsidRPr="00761096">
        <w:t xml:space="preserve"> of the </w:t>
      </w:r>
      <w:hyperlink r:id="rId30" w:tooltip="link to ICH GCP guidelines webpage" w:history="1">
        <w:r w:rsidR="00EC4D30" w:rsidRPr="0000618C">
          <w:rPr>
            <w:rStyle w:val="Hyperlink"/>
          </w:rPr>
          <w:t>ICH GCP E6</w:t>
        </w:r>
        <w:r w:rsidR="00EC32BE">
          <w:rPr>
            <w:rStyle w:val="Hyperlink"/>
          </w:rPr>
          <w:t>(R</w:t>
        </w:r>
        <w:r w:rsidR="007A5D6F">
          <w:rPr>
            <w:rStyle w:val="Hyperlink"/>
          </w:rPr>
          <w:t>3</w:t>
        </w:r>
        <w:r w:rsidR="00EC32BE">
          <w:rPr>
            <w:rStyle w:val="Hyperlink"/>
          </w:rPr>
          <w:t>)</w:t>
        </w:r>
        <w:r w:rsidR="00EC4D30" w:rsidRPr="0000618C">
          <w:rPr>
            <w:rStyle w:val="Hyperlink"/>
          </w:rPr>
          <w:t xml:space="preserve"> guidelines</w:t>
        </w:r>
      </w:hyperlink>
      <w:r w:rsidRPr="00761096">
        <w:t xml:space="preserve">, which delineates the minimum information that should be included in an IB, and provides suggestions for its layout. See also the </w:t>
      </w:r>
      <w:r w:rsidRPr="00EB1B40">
        <w:rPr>
          <w:rStyle w:val="DocrefChar"/>
        </w:rPr>
        <w:t>Essential Documents Development and Maintenance SOP (UoB-ESD-SOP-001)</w:t>
      </w:r>
      <w:r w:rsidRPr="00761096">
        <w:t>.</w:t>
      </w:r>
    </w:p>
    <w:p w14:paraId="517BE275" w14:textId="7E00D721" w:rsidR="009D7B57" w:rsidRDefault="009D7B57" w:rsidP="00761096">
      <w:pPr>
        <w:pStyle w:val="PB1"/>
      </w:pPr>
      <w:r>
        <w:t xml:space="preserve">For licenced products, the CI (or delegate) may choose to use Section 4.8 of the Summary of Product Characteristics (SmPC) as the RSI. An assessment of the suitability of the SmPC should be conducted </w:t>
      </w:r>
      <w:r w:rsidR="00F26E0A">
        <w:t xml:space="preserve">before use </w:t>
      </w:r>
      <w:r w:rsidR="00611C2B">
        <w:t xml:space="preserve">to ensure that the ARs are coded using MedDRA </w:t>
      </w:r>
      <w:r w:rsidR="00F26E0A">
        <w:t>P</w:t>
      </w:r>
      <w:r w:rsidR="00611C2B">
        <w:t xml:space="preserve">referred </w:t>
      </w:r>
      <w:r w:rsidR="00F26E0A">
        <w:t>T</w:t>
      </w:r>
      <w:r w:rsidR="00611C2B">
        <w:t>erms.</w:t>
      </w:r>
    </w:p>
    <w:p w14:paraId="17F97B51" w14:textId="02C789F7" w:rsidR="00F26E0A" w:rsidRDefault="00F26E0A" w:rsidP="00BB7313">
      <w:pPr>
        <w:pStyle w:val="PB1"/>
      </w:pPr>
      <w:r>
        <w:t xml:space="preserve">The RSI must be approved by the Competent Authority before use. </w:t>
      </w:r>
    </w:p>
    <w:p w14:paraId="404BE968" w14:textId="54771B95" w:rsidR="00761096" w:rsidRPr="00761096" w:rsidRDefault="00761096" w:rsidP="00761096">
      <w:pPr>
        <w:pStyle w:val="Heading3"/>
      </w:pPr>
      <w:bookmarkStart w:id="18" w:name="_Toc225494564"/>
      <w:r w:rsidRPr="00761096">
        <w:t xml:space="preserve">Develop processes for handling </w:t>
      </w:r>
      <w:r w:rsidR="00DB1537">
        <w:t>(serious) adverse events</w:t>
      </w:r>
      <w:bookmarkEnd w:id="18"/>
    </w:p>
    <w:p w14:paraId="2C3A3847" w14:textId="1E489A5B" w:rsidR="00A8337F" w:rsidRPr="00A8337F" w:rsidRDefault="00A8337F" w:rsidP="00A8337F">
      <w:pPr>
        <w:pStyle w:val="PN11"/>
      </w:pPr>
      <w:r w:rsidRPr="00A8337F">
        <w:t xml:space="preserve">The CI (or delegate) will, before the first </w:t>
      </w:r>
      <w:r w:rsidR="00F34B8B">
        <w:t>study/trial location</w:t>
      </w:r>
      <w:r w:rsidRPr="00A8337F">
        <w:t xml:space="preserve"> opens for recruitment, create forms and tools to capture AEs</w:t>
      </w:r>
      <w:r w:rsidR="00425943">
        <w:t xml:space="preserve"> (if required)</w:t>
      </w:r>
      <w:r w:rsidRPr="00A8337F">
        <w:t xml:space="preserve"> and SAEs. These will include the requirements for AE reporting, according to the applicable regulations and/or guidance (see the Safety Reporting and Timelines section below), ensuring that:  </w:t>
      </w:r>
    </w:p>
    <w:p w14:paraId="508DD93A" w14:textId="7D9BEF16" w:rsidR="00A8337F" w:rsidRPr="00A8337F" w:rsidRDefault="00A8337F" w:rsidP="00A8337F">
      <w:pPr>
        <w:pStyle w:val="PB1"/>
      </w:pPr>
      <w:r w:rsidRPr="00A8337F">
        <w:t xml:space="preserve">the terminology used for defining AEs and SAEs, and related terminology on forms (e.g. severity and grade), aligns with that used in the project database for reporting processes (see the </w:t>
      </w:r>
      <w:r w:rsidRPr="00EB1B40">
        <w:rPr>
          <w:rStyle w:val="DocrefChar"/>
        </w:rPr>
        <w:t>Case Report Form Development SOP (UoB</w:t>
      </w:r>
      <w:r w:rsidR="007946CA">
        <w:rPr>
          <w:rStyle w:val="DocrefChar"/>
        </w:rPr>
        <w:t>-</w:t>
      </w:r>
      <w:r w:rsidRPr="00EB1B40">
        <w:rPr>
          <w:rStyle w:val="DocrefChar"/>
        </w:rPr>
        <w:t>CRF-SOP-001)</w:t>
      </w:r>
      <w:r w:rsidRPr="00A8337F">
        <w:t xml:space="preserve"> for further information)  </w:t>
      </w:r>
    </w:p>
    <w:p w14:paraId="6CD37350" w14:textId="4658689E" w:rsidR="00A8337F" w:rsidRPr="00A8337F" w:rsidRDefault="00A8337F" w:rsidP="00BE1D46">
      <w:pPr>
        <w:pStyle w:val="PB1"/>
      </w:pPr>
      <w:r w:rsidRPr="00A8337F">
        <w:t xml:space="preserve">an SAE Form has been developed (see the </w:t>
      </w:r>
      <w:r w:rsidRPr="00EB1B40">
        <w:rPr>
          <w:rStyle w:val="DocrefChar"/>
        </w:rPr>
        <w:t>SAE Form (UoB-AES-QCD-001)</w:t>
      </w:r>
      <w:r w:rsidRPr="00A8337F">
        <w:t xml:space="preserve"> for an example; for medical devices</w:t>
      </w:r>
      <w:r w:rsidR="00331EB2">
        <w:t>, see</w:t>
      </w:r>
      <w:r w:rsidRPr="00A8337F">
        <w:t xml:space="preserve"> the </w:t>
      </w:r>
      <w:hyperlink r:id="rId31" w:tooltip="Link to MEDDEV SAE template form" w:history="1">
        <w:r w:rsidRPr="00A8337F">
          <w:rPr>
            <w:rStyle w:val="Hyperlink"/>
          </w:rPr>
          <w:t>MEDDEV SAE template for</w:t>
        </w:r>
        <w:r w:rsidR="007A5D6F">
          <w:rPr>
            <w:rStyle w:val="Hyperlink"/>
          </w:rPr>
          <w:t>m (PDF – 21 KB)</w:t>
        </w:r>
      </w:hyperlink>
      <w:r w:rsidRPr="00A8337F">
        <w:t xml:space="preserve"> </w:t>
      </w:r>
      <w:r w:rsidR="00331EB2">
        <w:t xml:space="preserve">use for reporting to the </w:t>
      </w:r>
      <w:r w:rsidR="00BE1D46" w:rsidRPr="00BE1D46">
        <w:t>Medicines and Healthcare products Regulatory Agency</w:t>
      </w:r>
      <w:r w:rsidR="00BE1D46">
        <w:t xml:space="preserve"> (MHRA)</w:t>
      </w:r>
      <w:r w:rsidR="00331EB2">
        <w:t xml:space="preserve"> that can be adapted</w:t>
      </w:r>
      <w:r w:rsidRPr="00A8337F">
        <w:t>).</w:t>
      </w:r>
    </w:p>
    <w:p w14:paraId="06FBBDD3" w14:textId="36EFEEA9" w:rsidR="00A8337F" w:rsidRPr="00A8337F" w:rsidRDefault="00A8337F" w:rsidP="00A8337F">
      <w:pPr>
        <w:pStyle w:val="PN11"/>
      </w:pPr>
      <w:r w:rsidRPr="00A8337F">
        <w:t xml:space="preserve">The CI (or delegate) will assess the need for </w:t>
      </w:r>
      <w:r w:rsidR="00692CF8">
        <w:t>out</w:t>
      </w:r>
      <w:r w:rsidR="00C02BF1">
        <w:t>-of</w:t>
      </w:r>
      <w:r w:rsidRPr="00A8337F">
        <w:t>-hours medical cover to provide urgent trial-related medical advice. If such cover is deemed necessary:</w:t>
      </w:r>
    </w:p>
    <w:p w14:paraId="02AE0193" w14:textId="77777777" w:rsidR="00A8337F" w:rsidRPr="00A8337F" w:rsidRDefault="00A8337F" w:rsidP="00A8337F">
      <w:pPr>
        <w:pStyle w:val="PB1"/>
      </w:pPr>
      <w:r w:rsidRPr="00A8337F">
        <w:t>it will be provided by a medically qualified doctor who has:</w:t>
      </w:r>
    </w:p>
    <w:p w14:paraId="687F2789" w14:textId="77777777" w:rsidR="00A8337F" w:rsidRPr="00A8337F" w:rsidRDefault="00A8337F" w:rsidP="00A8337F">
      <w:pPr>
        <w:pStyle w:val="PB2"/>
      </w:pPr>
      <w:r w:rsidRPr="00A8337F">
        <w:lastRenderedPageBreak/>
        <w:t xml:space="preserve">knowledge of the trial and the investigational product(s) </w:t>
      </w:r>
    </w:p>
    <w:p w14:paraId="711CA961" w14:textId="77777777" w:rsidR="00A8337F" w:rsidRPr="00A8337F" w:rsidRDefault="00A8337F" w:rsidP="00A8337F">
      <w:pPr>
        <w:pStyle w:val="PB2"/>
      </w:pPr>
      <w:r w:rsidRPr="00A8337F">
        <w:t xml:space="preserve">access to the trial protocol and the IB or summary of product characteristics (SmPC) </w:t>
      </w:r>
    </w:p>
    <w:p w14:paraId="739AF3AF" w14:textId="77777777" w:rsidR="00A8337F" w:rsidRPr="00A8337F" w:rsidRDefault="00A8337F" w:rsidP="00A8337F">
      <w:pPr>
        <w:pStyle w:val="PB1"/>
      </w:pPr>
      <w:r w:rsidRPr="00A8337F">
        <w:t>an external medical-advice service may be used</w:t>
      </w:r>
    </w:p>
    <w:p w14:paraId="1A836DBF" w14:textId="77777777" w:rsidR="00A8337F" w:rsidRPr="00A8337F" w:rsidRDefault="00A8337F" w:rsidP="00A8337F">
      <w:pPr>
        <w:pStyle w:val="PB2"/>
      </w:pPr>
      <w:r w:rsidRPr="00A8337F">
        <w:t>a contract defining each parties’ responsibilities will be put in place</w:t>
      </w:r>
    </w:p>
    <w:p w14:paraId="3F1604E4" w14:textId="77777777" w:rsidR="00A8337F" w:rsidRPr="00A8337F" w:rsidRDefault="00A8337F" w:rsidP="00A8337F">
      <w:pPr>
        <w:pStyle w:val="PB2"/>
      </w:pPr>
      <w:r w:rsidRPr="00A8337F">
        <w:t>appropriate training will be given</w:t>
      </w:r>
    </w:p>
    <w:p w14:paraId="4AC663C3" w14:textId="2DA389E9" w:rsidR="00A8337F" w:rsidRPr="00A8337F" w:rsidRDefault="00A8337F" w:rsidP="00A8337F">
      <w:pPr>
        <w:pStyle w:val="PB1"/>
      </w:pPr>
      <w:r w:rsidRPr="00A8337F">
        <w:t xml:space="preserve">regular testing of the </w:t>
      </w:r>
      <w:r w:rsidR="001E5628">
        <w:t>out-of-hours medical cover</w:t>
      </w:r>
      <w:r w:rsidR="00A5446E">
        <w:t xml:space="preserve"> procedure</w:t>
      </w:r>
      <w:r w:rsidRPr="00A8337F">
        <w:t xml:space="preserve"> is expected</w:t>
      </w:r>
      <w:r w:rsidR="0065077D">
        <w:t xml:space="preserve"> on a risk-appropriate basis</w:t>
      </w:r>
    </w:p>
    <w:p w14:paraId="37EE0DE0" w14:textId="77777777" w:rsidR="00A8337F" w:rsidRDefault="00A8337F" w:rsidP="00A8337F">
      <w:pPr>
        <w:pStyle w:val="PB2"/>
      </w:pPr>
      <w:r w:rsidRPr="00A8337F">
        <w:t>each test will be recorded accordingly.</w:t>
      </w:r>
    </w:p>
    <w:p w14:paraId="5B4008BC" w14:textId="183C9161" w:rsidR="00E46538" w:rsidRPr="00A8337F" w:rsidRDefault="00E46538" w:rsidP="009F6156">
      <w:pPr>
        <w:ind w:left="567"/>
      </w:pPr>
      <w:r w:rsidRPr="009F6156">
        <w:rPr>
          <w:b/>
          <w:bCs/>
        </w:rPr>
        <w:t>Please Note</w:t>
      </w:r>
      <w:r>
        <w:t>:</w:t>
      </w:r>
      <w:r w:rsidR="000B2811">
        <w:t xml:space="preserve"> Medical cover may be delegated to the study/trial locations. </w:t>
      </w:r>
    </w:p>
    <w:p w14:paraId="429722A4" w14:textId="75EE722E" w:rsidR="00A8337F" w:rsidRPr="00A8337F" w:rsidRDefault="004B23D7" w:rsidP="00A8337F">
      <w:pPr>
        <w:pStyle w:val="PN11"/>
      </w:pPr>
      <w:r>
        <w:t>T</w:t>
      </w:r>
      <w:r w:rsidR="00A8337F" w:rsidRPr="00A8337F">
        <w:t>he CI (or delegate) will create a pregnancy notification form for projects where</w:t>
      </w:r>
      <w:r w:rsidR="00A8337F" w:rsidRPr="00A8337F" w:rsidDel="00335E62">
        <w:t xml:space="preserve"> </w:t>
      </w:r>
      <w:r w:rsidR="00A8337F" w:rsidRPr="00A8337F">
        <w:t>participants, or their partners, might become pregnant during the relevant study/trial period</w:t>
      </w:r>
      <w:r w:rsidR="002D15DB">
        <w:t xml:space="preserve">, </w:t>
      </w:r>
      <w:r w:rsidR="00DA4CF8">
        <w:t xml:space="preserve">where the intervention </w:t>
      </w:r>
      <w:r w:rsidR="006E0F62">
        <w:t>may pose a risk to the unborn child</w:t>
      </w:r>
      <w:r w:rsidR="00A8337F" w:rsidRPr="00A8337F">
        <w:t xml:space="preserve">. See the </w:t>
      </w:r>
      <w:r w:rsidR="00A8337F" w:rsidRPr="00A8337F">
        <w:rPr>
          <w:rStyle w:val="DocrefChar"/>
        </w:rPr>
        <w:t xml:space="preserve">Pregnancy Notification Form (UoB-AES-QCD-003) </w:t>
      </w:r>
      <w:r w:rsidR="00A8337F" w:rsidRPr="00A8337F">
        <w:t>for an example.</w:t>
      </w:r>
    </w:p>
    <w:p w14:paraId="3B18C65E" w14:textId="4FB97748" w:rsidR="00A8337F" w:rsidRPr="00A8337F" w:rsidRDefault="00A8337F" w:rsidP="00A8337F">
      <w:pPr>
        <w:pStyle w:val="PB1"/>
      </w:pPr>
      <w:r w:rsidRPr="00A8337F">
        <w:t xml:space="preserve">A pregnancy notification form may not be required: </w:t>
      </w:r>
    </w:p>
    <w:p w14:paraId="407EE75B" w14:textId="77777777" w:rsidR="00A8337F" w:rsidRPr="00A8337F" w:rsidRDefault="00A8337F" w:rsidP="00A8337F">
      <w:pPr>
        <w:pStyle w:val="PB2"/>
      </w:pPr>
      <w:r w:rsidRPr="00A8337F">
        <w:t xml:space="preserve">for pregnant partners of male participants where there is no known or suspected effect on spermatogenesis or if there is there is no potential for the product/IMP to be transferred to the foetus in the seminal fluid </w:t>
      </w:r>
    </w:p>
    <w:p w14:paraId="5F7E546A" w14:textId="4CB65312" w:rsidR="00A8337F" w:rsidRPr="00A8337F" w:rsidRDefault="00A8337F" w:rsidP="00A8337F">
      <w:pPr>
        <w:pStyle w:val="PB2"/>
      </w:pPr>
      <w:r w:rsidRPr="00A8337F">
        <w:t>where</w:t>
      </w:r>
      <w:r w:rsidR="00A5446E">
        <w:t xml:space="preserve"> all</w:t>
      </w:r>
      <w:r w:rsidRPr="00A8337F">
        <w:t xml:space="preserve"> female participants are confirmed to be post-menopausal</w:t>
      </w:r>
    </w:p>
    <w:p w14:paraId="0C7955DB" w14:textId="336F1812" w:rsidR="00A8337F" w:rsidRDefault="00A8337F" w:rsidP="00A8337F">
      <w:pPr>
        <w:pStyle w:val="PB2"/>
      </w:pPr>
      <w:r w:rsidRPr="00A8337F">
        <w:t>where</w:t>
      </w:r>
      <w:r w:rsidR="00A5446E">
        <w:t xml:space="preserve"> all</w:t>
      </w:r>
      <w:r w:rsidRPr="00A8337F">
        <w:t xml:space="preserve"> female participants are under the age of 12 years. </w:t>
      </w:r>
    </w:p>
    <w:p w14:paraId="39799996" w14:textId="11986751" w:rsidR="00A5446E" w:rsidRDefault="00A5446E" w:rsidP="0058069A">
      <w:pPr>
        <w:pStyle w:val="PB3"/>
      </w:pPr>
      <w:r>
        <w:t xml:space="preserve">In </w:t>
      </w:r>
      <w:r w:rsidR="00FF2C47">
        <w:t>projects</w:t>
      </w:r>
      <w:r>
        <w:t xml:space="preserve"> where </w:t>
      </w:r>
      <w:r w:rsidR="00301709">
        <w:t>only some participants will be post-menopausal or under the age of 12</w:t>
      </w:r>
      <w:r w:rsidR="00C37D5B">
        <w:t xml:space="preserve">, </w:t>
      </w:r>
      <w:r w:rsidR="008D315E">
        <w:t xml:space="preserve">a pregnancy notification form </w:t>
      </w:r>
      <w:r w:rsidR="007E2F65">
        <w:t>will</w:t>
      </w:r>
      <w:r w:rsidR="00942C3C">
        <w:t xml:space="preserve"> </w:t>
      </w:r>
      <w:r w:rsidR="008D315E">
        <w:t>still be required</w:t>
      </w:r>
      <w:r w:rsidR="00C9087F">
        <w:t>.</w:t>
      </w:r>
    </w:p>
    <w:p w14:paraId="33D14276" w14:textId="11237B8B" w:rsidR="00D062FA" w:rsidRPr="00A8337F" w:rsidRDefault="003C5811" w:rsidP="00A8337F">
      <w:pPr>
        <w:pStyle w:val="PB2"/>
      </w:pPr>
      <w:r>
        <w:t>If there is a know</w:t>
      </w:r>
      <w:r w:rsidR="00E22544">
        <w:t>n</w:t>
      </w:r>
      <w:r>
        <w:t xml:space="preserve"> reason for all participants </w:t>
      </w:r>
      <w:r w:rsidR="000D2C49">
        <w:t xml:space="preserve">that pregnancy cannot occur, e.g. </w:t>
      </w:r>
      <w:r w:rsidR="00617E6E">
        <w:t>participants have been sterilised</w:t>
      </w:r>
      <w:r w:rsidR="00C9087F">
        <w:t>.</w:t>
      </w:r>
    </w:p>
    <w:p w14:paraId="25DF62E4" w14:textId="77777777" w:rsidR="00A8337F" w:rsidRPr="00A8337F" w:rsidRDefault="00A8337F" w:rsidP="00A8337F">
      <w:pPr>
        <w:pStyle w:val="PB1"/>
      </w:pPr>
      <w:r w:rsidRPr="00A8337F">
        <w:t xml:space="preserve">Informed consent needs to be obtained for the collection of follow-up information from the participant (or their partner in the case of male participants). </w:t>
      </w:r>
    </w:p>
    <w:p w14:paraId="7500E58B" w14:textId="52A9F6ED" w:rsidR="00A8337F" w:rsidRPr="00E13A27" w:rsidRDefault="00A8337F" w:rsidP="009F6156">
      <w:pPr>
        <w:pStyle w:val="PN11"/>
      </w:pPr>
      <w:r w:rsidRPr="00A8337F">
        <w:t xml:space="preserve">If applicable, the CI (or delegate) will develop an internal process for SAE handling (see </w:t>
      </w:r>
      <w:r w:rsidRPr="00A8337F">
        <w:rPr>
          <w:rStyle w:val="DocrefChar"/>
        </w:rPr>
        <w:t xml:space="preserve">Process </w:t>
      </w:r>
      <w:r w:rsidR="005B08F8">
        <w:rPr>
          <w:rStyle w:val="DocrefChar"/>
        </w:rPr>
        <w:t xml:space="preserve">for </w:t>
      </w:r>
      <w:r w:rsidRPr="00A8337F">
        <w:rPr>
          <w:rStyle w:val="DocrefChar"/>
        </w:rPr>
        <w:t>SAE Handling (UoB-AES-QCD-002)</w:t>
      </w:r>
      <w:r w:rsidR="005B08F8" w:rsidRPr="00EB1B40">
        <w:t xml:space="preserve"> for an example</w:t>
      </w:r>
      <w:r w:rsidRPr="00A8337F">
        <w:t>) and will ensure that any sponsor-specific requirements are embedded in the process. It is expected that an SAE-tracking log is set up if more than 15 SAEs are anticipated.</w:t>
      </w:r>
      <w:bookmarkStart w:id="19" w:name="_Hlk170287556"/>
      <w:r w:rsidRPr="00E13A27">
        <w:t xml:space="preserve"> </w:t>
      </w:r>
    </w:p>
    <w:bookmarkEnd w:id="19"/>
    <w:p w14:paraId="3E730D44" w14:textId="1641B09F" w:rsidR="00A8337F" w:rsidRPr="00E13A27" w:rsidRDefault="00A8337F" w:rsidP="00A8337F">
      <w:pPr>
        <w:pStyle w:val="PN11"/>
      </w:pPr>
      <w:r w:rsidRPr="00E13A27">
        <w:t>For CTIMPs</w:t>
      </w:r>
      <w:r w:rsidR="00C81D16">
        <w:t xml:space="preserve"> open in the UK</w:t>
      </w:r>
      <w:r w:rsidRPr="00E13A27">
        <w:t xml:space="preserve">, the CI (or delegate) will ensure new user accounts are setup on the </w:t>
      </w:r>
      <w:bookmarkStart w:id="20" w:name="_Hlk187102026"/>
      <w:r w:rsidRPr="00E13A27">
        <w:fldChar w:fldCharType="begin"/>
      </w:r>
      <w:r w:rsidRPr="00E13A27">
        <w:instrText>HYPERLINK "https://icsrsubmissions.mhra.gov.uk/login" \o "Link to ICSR Submission portal"</w:instrText>
      </w:r>
      <w:r w:rsidRPr="00E13A27">
        <w:fldChar w:fldCharType="separate"/>
      </w:r>
      <w:r w:rsidRPr="00E13A27">
        <w:rPr>
          <w:rStyle w:val="Hyperlink"/>
        </w:rPr>
        <w:t xml:space="preserve">Individual Case Safety </w:t>
      </w:r>
      <w:bookmarkStart w:id="21" w:name="_Hlk187101993"/>
      <w:r w:rsidRPr="00E13A27">
        <w:rPr>
          <w:rStyle w:val="Hyperlink"/>
        </w:rPr>
        <w:t>Reports (ICSR) Submission portal</w:t>
      </w:r>
      <w:bookmarkEnd w:id="21"/>
      <w:r w:rsidRPr="00E13A27">
        <w:fldChar w:fldCharType="end"/>
      </w:r>
      <w:bookmarkEnd w:id="20"/>
      <w:r w:rsidRPr="00E13A27">
        <w:t xml:space="preserve"> for the reporting of SUSARs. For help with creating a new user account, please contact the REGI. </w:t>
      </w:r>
      <w:r w:rsidR="00322236">
        <w:t>S</w:t>
      </w:r>
      <w:r w:rsidRPr="00E13A27">
        <w:t xml:space="preserve">ee </w:t>
      </w:r>
      <w:hyperlink r:id="rId32" w:anchor="reporting-suspected-unexpected-serious-adverse-reactions-susars" w:tooltip="MHRA guidance on reporting SUSARs" w:history="1">
        <w:r w:rsidRPr="00E13A27">
          <w:rPr>
            <w:rStyle w:val="Hyperlink"/>
          </w:rPr>
          <w:t>MHRA guidanc</w:t>
        </w:r>
        <w:r w:rsidR="0034655C">
          <w:rPr>
            <w:rStyle w:val="Hyperlink"/>
          </w:rPr>
          <w:t xml:space="preserve">e on </w:t>
        </w:r>
        <w:r w:rsidR="00017EAC">
          <w:rPr>
            <w:rStyle w:val="Hyperlink"/>
          </w:rPr>
          <w:t xml:space="preserve">reporting </w:t>
        </w:r>
        <w:r w:rsidR="0034655C">
          <w:rPr>
            <w:rStyle w:val="Hyperlink"/>
          </w:rPr>
          <w:t>SUSARs</w:t>
        </w:r>
      </w:hyperlink>
      <w:r w:rsidR="00322236">
        <w:t xml:space="preserve"> for further information including how to report</w:t>
      </w:r>
      <w:r w:rsidRPr="00E13A27">
        <w:t>.</w:t>
      </w:r>
      <w:r w:rsidR="00AB5449">
        <w:t xml:space="preserve"> </w:t>
      </w:r>
    </w:p>
    <w:p w14:paraId="5ED0C8A3" w14:textId="71217630" w:rsidR="00A8337F" w:rsidRDefault="009B0FCA" w:rsidP="009F6156">
      <w:pPr>
        <w:ind w:left="567"/>
      </w:pPr>
      <w:r w:rsidRPr="009F6156">
        <w:rPr>
          <w:b/>
          <w:bCs/>
        </w:rPr>
        <w:t xml:space="preserve">Please </w:t>
      </w:r>
      <w:r w:rsidR="00A8337F" w:rsidRPr="009F6156">
        <w:rPr>
          <w:b/>
          <w:bCs/>
        </w:rPr>
        <w:t>Note</w:t>
      </w:r>
      <w:r w:rsidR="00A8337F" w:rsidRPr="00E13A27">
        <w:t xml:space="preserve">: </w:t>
      </w:r>
      <w:r w:rsidR="009F6156">
        <w:t>T</w:t>
      </w:r>
      <w:r w:rsidR="00A8337F" w:rsidRPr="00E13A27">
        <w:t>he eSUSAR website previously used for the submission of SUSAR reports to the MHRA was decommissioned at the end of September 2022. From 01 October 2022 SUSARs will only be accepted via the ICSR Submission portal.</w:t>
      </w:r>
    </w:p>
    <w:p w14:paraId="0E29A445" w14:textId="4BF4719C" w:rsidR="00AB5449" w:rsidRDefault="00AB5449" w:rsidP="00AB5449">
      <w:pPr>
        <w:pStyle w:val="PN11"/>
      </w:pPr>
      <w:r>
        <w:t xml:space="preserve">For CTIMPs open in the </w:t>
      </w:r>
      <w:r w:rsidR="00B503A5">
        <w:t>European Union (EU)</w:t>
      </w:r>
      <w:r>
        <w:t xml:space="preserve">, </w:t>
      </w:r>
      <w:r w:rsidRPr="00E13A27">
        <w:t xml:space="preserve">the CI (or delegate) </w:t>
      </w:r>
      <w:r w:rsidR="00A9097E">
        <w:t xml:space="preserve">will </w:t>
      </w:r>
      <w:r w:rsidR="00A9097E" w:rsidRPr="00E13A27">
        <w:t xml:space="preserve">ensure new user accounts are setup on the </w:t>
      </w:r>
      <w:r w:rsidR="00B503A5" w:rsidRPr="00124402">
        <w:t xml:space="preserve">European </w:t>
      </w:r>
      <w:r w:rsidR="00B503A5">
        <w:t xml:space="preserve">Medicine Agency’s (EMA’s) </w:t>
      </w:r>
      <w:r w:rsidR="00B503A5" w:rsidRPr="00124402">
        <w:t xml:space="preserve">Eudravigilance Clinical Trial Module </w:t>
      </w:r>
      <w:r w:rsidR="00B503A5">
        <w:t>(</w:t>
      </w:r>
      <w:r w:rsidR="00B503A5" w:rsidRPr="00124402">
        <w:t>EVCTM)</w:t>
      </w:r>
      <w:r w:rsidR="00B503A5">
        <w:t xml:space="preserve"> for </w:t>
      </w:r>
      <w:r w:rsidR="00A9097E" w:rsidRPr="00E13A27">
        <w:t>the reporting of SUSARs. For help with creating a new user account, please contact the REGI</w:t>
      </w:r>
      <w:r w:rsidR="009F6156">
        <w:t>.</w:t>
      </w:r>
    </w:p>
    <w:p w14:paraId="76448C9A" w14:textId="0D30CE89" w:rsidR="00B503A5" w:rsidRDefault="00B503A5" w:rsidP="009F6156">
      <w:pPr>
        <w:pStyle w:val="PN11"/>
      </w:pPr>
      <w:r>
        <w:t xml:space="preserve">For CTIMPs open in all other countries, </w:t>
      </w:r>
      <w:r w:rsidR="00D216E3" w:rsidRPr="00E13A27">
        <w:t xml:space="preserve">the CI (or delegate) </w:t>
      </w:r>
      <w:r w:rsidR="00D216E3">
        <w:t xml:space="preserve">will </w:t>
      </w:r>
      <w:r w:rsidR="00D216E3" w:rsidRPr="00E13A27">
        <w:t>ensure</w:t>
      </w:r>
      <w:r w:rsidR="00D216E3">
        <w:t xml:space="preserve"> there is a process in place for reporting to the relevant authorities in accordance with </w:t>
      </w:r>
      <w:r w:rsidR="00EF0CE5">
        <w:t xml:space="preserve">the Country’s </w:t>
      </w:r>
      <w:r w:rsidR="00D216E3">
        <w:t>regulatory requirements</w:t>
      </w:r>
      <w:r w:rsidR="007813AD">
        <w:t>.</w:t>
      </w:r>
    </w:p>
    <w:p w14:paraId="6CA0284E" w14:textId="72605F25" w:rsidR="007813AD" w:rsidRPr="007D0E80" w:rsidRDefault="007813AD" w:rsidP="009F6156">
      <w:pPr>
        <w:pStyle w:val="PN11"/>
      </w:pPr>
      <w:r w:rsidRPr="007D0E80">
        <w:t>For clinical</w:t>
      </w:r>
      <w:r w:rsidR="008E5B77" w:rsidRPr="007D0E80">
        <w:t xml:space="preserve"> investigations of medical devic</w:t>
      </w:r>
      <w:r w:rsidR="007D0E80">
        <w:t xml:space="preserve">es, the CI (or delegate) will </w:t>
      </w:r>
      <w:r w:rsidR="003D6BA8">
        <w:t xml:space="preserve">ensure new user accounts are setup on the </w:t>
      </w:r>
      <w:r w:rsidR="0046771E" w:rsidRPr="0046771E">
        <w:t>Manufacturer's Online Reporting Environment (MORE)</w:t>
      </w:r>
      <w:r w:rsidR="00D53D5A">
        <w:t xml:space="preserve"> platform</w:t>
      </w:r>
      <w:r w:rsidR="0046771E">
        <w:t xml:space="preserve">, for the </w:t>
      </w:r>
      <w:r w:rsidR="001D1A99">
        <w:t xml:space="preserve">safety reporting to the MHRA. </w:t>
      </w:r>
      <w:r w:rsidR="001D1A99" w:rsidRPr="00E13A27">
        <w:t>For help with creating a new user account, please contact the REGI</w:t>
      </w:r>
      <w:r w:rsidR="001D1A99">
        <w:t>.</w:t>
      </w:r>
    </w:p>
    <w:p w14:paraId="0B120548" w14:textId="354EDF4F" w:rsidR="00A8337F" w:rsidRPr="00A8337F" w:rsidRDefault="00A8337F" w:rsidP="00A8337F">
      <w:pPr>
        <w:pStyle w:val="Heading3"/>
      </w:pPr>
      <w:bookmarkStart w:id="22" w:name="_Toc225494565"/>
      <w:r>
        <w:t>Training</w:t>
      </w:r>
      <w:bookmarkEnd w:id="22"/>
    </w:p>
    <w:p w14:paraId="22F79DA1" w14:textId="2616D4F4" w:rsidR="00264A0D" w:rsidRPr="00264A0D" w:rsidRDefault="00264A0D" w:rsidP="00264A0D">
      <w:pPr>
        <w:pStyle w:val="PN11"/>
      </w:pPr>
      <w:r w:rsidRPr="00264A0D">
        <w:t>The CI (or delegate) will ensure that staff</w:t>
      </w:r>
      <w:r w:rsidR="007A5D6F">
        <w:t xml:space="preserve"> at study/trial locations</w:t>
      </w:r>
      <w:r w:rsidRPr="00264A0D">
        <w:t xml:space="preserve"> are appropriately trained in how to record</w:t>
      </w:r>
      <w:r w:rsidR="00560FA7">
        <w:t xml:space="preserve"> and report</w:t>
      </w:r>
      <w:r w:rsidRPr="00264A0D">
        <w:t xml:space="preserve"> AEs</w:t>
      </w:r>
      <w:r w:rsidR="009819A0">
        <w:t xml:space="preserve"> in accordance with the protocol</w:t>
      </w:r>
      <w:r w:rsidRPr="00264A0D">
        <w:t xml:space="preserve">. The CI (or delegate) will ensure that training </w:t>
      </w:r>
      <w:r w:rsidR="00487037">
        <w:t>is</w:t>
      </w:r>
      <w:r w:rsidR="00487037" w:rsidRPr="00264A0D">
        <w:t xml:space="preserve"> </w:t>
      </w:r>
      <w:r w:rsidRPr="00264A0D">
        <w:t xml:space="preserve">be documented (see </w:t>
      </w:r>
      <w:r w:rsidRPr="00264A0D">
        <w:rPr>
          <w:rStyle w:val="DocrefChar"/>
        </w:rPr>
        <w:t>Training SOP (UoB-TRN-SOP-001)</w:t>
      </w:r>
      <w:r w:rsidRPr="00264A0D">
        <w:t>) and includes the items listed below.</w:t>
      </w:r>
    </w:p>
    <w:p w14:paraId="2D2EC86A" w14:textId="54F46B7B" w:rsidR="00441963" w:rsidRPr="00264A0D" w:rsidRDefault="00264A0D" w:rsidP="006A1791">
      <w:pPr>
        <w:pStyle w:val="PB1"/>
      </w:pPr>
      <w:r w:rsidRPr="00264A0D">
        <w:t>Causality assessment</w:t>
      </w:r>
      <w:r w:rsidR="006A1791">
        <w:t xml:space="preserve"> </w:t>
      </w:r>
      <w:r w:rsidR="00154F2D">
        <w:t>is typical</w:t>
      </w:r>
      <w:r w:rsidR="00E73F54">
        <w:t xml:space="preserve">ly </w:t>
      </w:r>
      <w:r w:rsidR="006A1791" w:rsidRPr="006A1791">
        <w:t xml:space="preserve">undertaken by the </w:t>
      </w:r>
      <w:r w:rsidR="00E73F54">
        <w:t>PI</w:t>
      </w:r>
      <w:r w:rsidR="006A1791" w:rsidRPr="006A1791">
        <w:t xml:space="preserve">; where the </w:t>
      </w:r>
      <w:r w:rsidR="00E73F54">
        <w:t>PI</w:t>
      </w:r>
      <w:r w:rsidR="006A1791" w:rsidRPr="006A1791">
        <w:t xml:space="preserve"> is not a doctor or dentist, this may only be performed within their usual professional remit, otherwise it must be delegated to a doctor or dentist with medical oversight responsibility</w:t>
      </w:r>
      <w:r w:rsidRPr="00264A0D">
        <w:t>.</w:t>
      </w:r>
    </w:p>
    <w:p w14:paraId="595F518D" w14:textId="77777777" w:rsidR="00264A0D" w:rsidRPr="00264A0D" w:rsidRDefault="00264A0D" w:rsidP="00264A0D">
      <w:pPr>
        <w:pStyle w:val="PB1"/>
      </w:pPr>
      <w:r w:rsidRPr="00264A0D">
        <w:lastRenderedPageBreak/>
        <w:t xml:space="preserve">For healthy-volunteer studies the causality assessment will be made by the healthcare professional who is identified in the protocol as the person providing ongoing input into the study. See also the </w:t>
      </w:r>
      <w:r w:rsidRPr="00264A0D">
        <w:rPr>
          <w:rStyle w:val="DocrefChar"/>
        </w:rPr>
        <w:t>Healthy Volunteer and Medical Oversight SOP (UoB-HVM-SOP-001)</w:t>
      </w:r>
      <w:r w:rsidRPr="00264A0D">
        <w:t>.</w:t>
      </w:r>
    </w:p>
    <w:p w14:paraId="38C8715B" w14:textId="4DB0572F" w:rsidR="00264A0D" w:rsidRPr="00264A0D" w:rsidRDefault="00264A0D" w:rsidP="00264A0D">
      <w:pPr>
        <w:pStyle w:val="PB1"/>
      </w:pPr>
      <w:r w:rsidRPr="00264A0D">
        <w:t>When completing a causality assessment consider alternative causes, concomitant therapies, medical history and other risk factors; the assessment</w:t>
      </w:r>
      <w:r w:rsidR="00211763">
        <w:t xml:space="preserve"> outcome</w:t>
      </w:r>
      <w:r w:rsidRPr="00264A0D">
        <w:t xml:space="preserve"> will be recorded and included in the medical notes, or source data where this is not the medical notes.</w:t>
      </w:r>
    </w:p>
    <w:p w14:paraId="3E0D5BE1" w14:textId="689FAEB6" w:rsidR="00264A0D" w:rsidRPr="00264A0D" w:rsidRDefault="00264A0D" w:rsidP="00264A0D">
      <w:pPr>
        <w:pStyle w:val="PB1"/>
      </w:pPr>
      <w:r w:rsidRPr="00264A0D">
        <w:t>Where appropriate, in line with local practice, there might be a need to report any SAEs to the R&amp;D departments</w:t>
      </w:r>
      <w:r w:rsidR="00AA258D">
        <w:t xml:space="preserve"> at each study/trial location</w:t>
      </w:r>
      <w:r w:rsidRPr="00264A0D">
        <w:t>.</w:t>
      </w:r>
    </w:p>
    <w:p w14:paraId="218A9D22" w14:textId="5737E3E8" w:rsidR="00264A0D" w:rsidRPr="00264A0D" w:rsidRDefault="00264A0D" w:rsidP="00264A0D">
      <w:pPr>
        <w:pStyle w:val="PB1"/>
      </w:pPr>
      <w:r w:rsidRPr="00264A0D">
        <w:t>The PI (or delegate) will, without delay, notify the CI</w:t>
      </w:r>
      <w:r w:rsidR="00E2728B">
        <w:t xml:space="preserve"> (or delegate)</w:t>
      </w:r>
      <w:r w:rsidRPr="00264A0D">
        <w:t xml:space="preserve"> of any SAE they become aware of, except for those identified in the protocol as not requiring immediate reporting. It is expected that this notification will occur within 24 hours of the PI (or delegate)’s awareness of the event. The PI (or delegate) will provide further information as requested.  </w:t>
      </w:r>
    </w:p>
    <w:p w14:paraId="5DBAE563" w14:textId="50FE5D13" w:rsidR="00264A0D" w:rsidRDefault="00F34B8B" w:rsidP="00264A0D">
      <w:pPr>
        <w:pStyle w:val="PB1"/>
      </w:pPr>
      <w:r>
        <w:t>Study/trial location</w:t>
      </w:r>
      <w:r w:rsidR="00DB1537">
        <w:t>s</w:t>
      </w:r>
      <w:r w:rsidR="00264A0D" w:rsidRPr="00264A0D">
        <w:t xml:space="preserve"> will need to follow up on any AEs/SAEs until resolution or stabilisation.</w:t>
      </w:r>
    </w:p>
    <w:p w14:paraId="46670246" w14:textId="2594945A" w:rsidR="00FD02F9" w:rsidRPr="00264A0D" w:rsidRDefault="008D524D" w:rsidP="00264A0D">
      <w:pPr>
        <w:pStyle w:val="PB1"/>
      </w:pPr>
      <w:r>
        <w:t xml:space="preserve">Any applicable reporting </w:t>
      </w:r>
      <w:r w:rsidR="002877C7">
        <w:t>requirements</w:t>
      </w:r>
      <w:r>
        <w:t xml:space="preserve"> for </w:t>
      </w:r>
      <w:r w:rsidR="002877C7" w:rsidRPr="00264A0D">
        <w:t>after the treatment/involvement of the participant has ended (i.e. during follow-up)</w:t>
      </w:r>
    </w:p>
    <w:p w14:paraId="65FEDE1B" w14:textId="77777777" w:rsidR="00264A0D" w:rsidRPr="00264A0D" w:rsidRDefault="00264A0D" w:rsidP="00264A0D">
      <w:pPr>
        <w:pStyle w:val="PB1"/>
      </w:pPr>
      <w:r w:rsidRPr="00264A0D">
        <w:t>For studies, non-medical AEs may occur that do not need reporting but do need recording and managing in line with the protocol.</w:t>
      </w:r>
    </w:p>
    <w:p w14:paraId="7D9B9529" w14:textId="77777777" w:rsidR="00264A0D" w:rsidRPr="00264A0D" w:rsidRDefault="00264A0D" w:rsidP="00264A0D">
      <w:pPr>
        <w:pStyle w:val="PN11"/>
      </w:pPr>
      <w:r w:rsidRPr="00264A0D">
        <w:t xml:space="preserve">The CI (or delegate) will ensure that clinical staff reviewing SAEs on the sponsor’s behalf are appropriately trained on the project-specific AE reporting requirements. The CI (or delegate) will ensure that training is documented (see </w:t>
      </w:r>
      <w:r w:rsidRPr="00264A0D">
        <w:rPr>
          <w:rStyle w:val="DocrefChar"/>
        </w:rPr>
        <w:t>Training SOP (UoB-TRN-SOP-001)</w:t>
      </w:r>
      <w:r w:rsidRPr="00264A0D">
        <w:t xml:space="preserve">) and includes the items listed below. </w:t>
      </w:r>
    </w:p>
    <w:p w14:paraId="54B6408D" w14:textId="76222D92" w:rsidR="00264A0D" w:rsidRPr="00264A0D" w:rsidRDefault="00264A0D" w:rsidP="00264A0D">
      <w:pPr>
        <w:pStyle w:val="PB1"/>
      </w:pPr>
      <w:r w:rsidRPr="00264A0D">
        <w:t xml:space="preserve">Clinical staff reviewing SAEs on behalf of the CI will be familiar with, and use, the version of the RSI (or equivalent) that </w:t>
      </w:r>
      <w:r w:rsidR="007B191A">
        <w:t xml:space="preserve">was approved and in use </w:t>
      </w:r>
      <w:r w:rsidRPr="00264A0D">
        <w:t>at the time the event occurred.</w:t>
      </w:r>
    </w:p>
    <w:p w14:paraId="33A68385" w14:textId="48B2407A" w:rsidR="00033744" w:rsidRDefault="00264A0D" w:rsidP="00033744">
      <w:pPr>
        <w:pStyle w:val="PB1"/>
      </w:pPr>
      <w:r w:rsidRPr="00264A0D">
        <w:t>Clinical staff will review all documentation relating to the SAE and, using their clinical judgement, will review the causality assessment</w:t>
      </w:r>
      <w:r w:rsidR="00913231">
        <w:t xml:space="preserve">, </w:t>
      </w:r>
      <w:r w:rsidRPr="00264A0D">
        <w:t>determine the expectedness of the event</w:t>
      </w:r>
      <w:r w:rsidR="00913231">
        <w:t xml:space="preserve"> (if applicable)</w:t>
      </w:r>
      <w:r w:rsidRPr="00264A0D">
        <w:t xml:space="preserve">. They will ensure that </w:t>
      </w:r>
      <w:r w:rsidR="00676A5A">
        <w:t>outcome</w:t>
      </w:r>
      <w:r w:rsidRPr="00264A0D">
        <w:t xml:space="preserve"> </w:t>
      </w:r>
      <w:r w:rsidR="002C6DB3">
        <w:t>is</w:t>
      </w:r>
      <w:r w:rsidR="00676A5A">
        <w:t xml:space="preserve"> </w:t>
      </w:r>
      <w:r w:rsidRPr="00264A0D">
        <w:t>documented.</w:t>
      </w:r>
    </w:p>
    <w:p w14:paraId="54014F77" w14:textId="77777777" w:rsidR="00264A0D" w:rsidRPr="00264A0D" w:rsidRDefault="00264A0D" w:rsidP="00264A0D">
      <w:pPr>
        <w:pStyle w:val="PB1"/>
      </w:pPr>
      <w:r w:rsidRPr="00264A0D">
        <w:t>For CTIMPS, the causality assessment carried out by the PI (or delegate) should not be downgraded during this review. If the CI (or delegate) disagrees with the PI’s (or delegate’s) initial causality assessment, the opinions of both parties should be documented. Where the event requires further reporting, both opinions should be provided with the report.</w:t>
      </w:r>
    </w:p>
    <w:p w14:paraId="51525CF9" w14:textId="6347F153" w:rsidR="00264A0D" w:rsidRPr="00264A0D" w:rsidRDefault="00264A0D" w:rsidP="00264A0D">
      <w:pPr>
        <w:pStyle w:val="PB1"/>
      </w:pPr>
      <w:r w:rsidRPr="00264A0D">
        <w:t>For medical devices, clinical staff will notify the CI (or delegate) without delay, about all SAEs and device deficiencies that could have led to a serious adverse device effect (SADE); this reporting requirement covers both anticipated (ASADE) and unanticipated (USADE) events. Clinical staff will follow up their notification to the CI (or delegate) with a detailed written report about the event.</w:t>
      </w:r>
    </w:p>
    <w:p w14:paraId="1FE3C42B" w14:textId="49457D64" w:rsidR="00264A0D" w:rsidRDefault="00264A0D" w:rsidP="00264A0D">
      <w:pPr>
        <w:pStyle w:val="PN1"/>
      </w:pPr>
      <w:bookmarkStart w:id="23" w:name="_Toc225494566"/>
      <w:r w:rsidRPr="00124402">
        <w:t xml:space="preserve">Monitor </w:t>
      </w:r>
      <w:r w:rsidR="00DB1537">
        <w:t>adverse events</w:t>
      </w:r>
      <w:r w:rsidRPr="00124402">
        <w:t xml:space="preserve"> throughout the project</w:t>
      </w:r>
      <w:bookmarkEnd w:id="23"/>
    </w:p>
    <w:p w14:paraId="7D804656" w14:textId="191F40B5" w:rsidR="00264A0D" w:rsidRPr="00E13A27" w:rsidRDefault="00264A0D" w:rsidP="00264A0D">
      <w:pPr>
        <w:pStyle w:val="PN11"/>
      </w:pPr>
      <w:r w:rsidRPr="00124402">
        <w:t xml:space="preserve">The CI (or delegate) will keep detailed records of all reported AEs relating to </w:t>
      </w:r>
      <w:r>
        <w:t>the</w:t>
      </w:r>
      <w:r w:rsidRPr="00124402">
        <w:t xml:space="preserve"> project</w:t>
      </w:r>
      <w:r w:rsidR="009840C9">
        <w:t xml:space="preserve"> in accordance to the protocol requirements</w:t>
      </w:r>
      <w:r w:rsidRPr="00264A0D">
        <w:rPr>
          <w:rStyle w:val="PN11Char"/>
        </w:rPr>
        <w:t xml:space="preserve">. See the </w:t>
      </w:r>
      <w:r w:rsidRPr="00D0528B">
        <w:rPr>
          <w:rStyle w:val="DocrefChar"/>
        </w:rPr>
        <w:t>Data Management SOP (UoB-DMA-SOP-001)</w:t>
      </w:r>
      <w:r w:rsidRPr="00264A0D">
        <w:rPr>
          <w:rStyle w:val="PN11Char"/>
        </w:rPr>
        <w:t xml:space="preserve"> and the </w:t>
      </w:r>
      <w:r w:rsidRPr="00D0528B">
        <w:rPr>
          <w:rStyle w:val="DocrefChar"/>
        </w:rPr>
        <w:t xml:space="preserve">Project Oversight and Quality </w:t>
      </w:r>
      <w:r w:rsidRPr="00E13A27">
        <w:rPr>
          <w:rStyle w:val="DocrefChar"/>
        </w:rPr>
        <w:t>Management SOP (UoB-POS-SOP-001)</w:t>
      </w:r>
      <w:r w:rsidRPr="00E13A27">
        <w:rPr>
          <w:rStyle w:val="PN11Char"/>
        </w:rPr>
        <w:t>.</w:t>
      </w:r>
    </w:p>
    <w:p w14:paraId="3D173E57" w14:textId="391222E9" w:rsidR="00264A0D" w:rsidRPr="00E13A27" w:rsidRDefault="00264A0D" w:rsidP="00264A0D">
      <w:pPr>
        <w:pStyle w:val="PN11"/>
      </w:pPr>
      <w:r w:rsidRPr="00E13A27">
        <w:t xml:space="preserve">The CI (or delegate) will weigh anticipated benefits and risks of the project, including the ongoing safety evaluation of the intervention, for the duration of the study/trial. The CI (or delegate) will notify REGI of any safety trends noted; this will enable REGI to pass the information on to researchers using the same intervention (see procedure point </w:t>
      </w:r>
      <w:r w:rsidR="008E42B9" w:rsidRPr="00E13A27">
        <w:t>5.3</w:t>
      </w:r>
      <w:r w:rsidRPr="00E13A27">
        <w:t>.</w:t>
      </w:r>
    </w:p>
    <w:p w14:paraId="3FBF5510" w14:textId="7D6DD287" w:rsidR="00264A0D" w:rsidRPr="00124402" w:rsidRDefault="00264A0D" w:rsidP="00264A0D">
      <w:pPr>
        <w:pStyle w:val="PN11"/>
      </w:pPr>
      <w:r w:rsidRPr="00E13A27">
        <w:t>Where a pregnancy occurs during a project, the CI (or delegate) will ensure that the pregnancy is followed up to the point where the outcome of the pregnancy</w:t>
      </w:r>
      <w:r>
        <w:t xml:space="preserve"> is known</w:t>
      </w:r>
      <w:r w:rsidR="00301C61">
        <w:t xml:space="preserve"> and where </w:t>
      </w:r>
      <w:r w:rsidR="008777F1">
        <w:t>the outcome is unfavourable</w:t>
      </w:r>
      <w:r w:rsidR="00301C61">
        <w:t xml:space="preserve"> ensure that </w:t>
      </w:r>
      <w:r w:rsidR="008777F1">
        <w:t>an SAE Form is completed</w:t>
      </w:r>
      <w:r>
        <w:t>.</w:t>
      </w:r>
    </w:p>
    <w:p w14:paraId="7A18EE67" w14:textId="77777777" w:rsidR="00D0528B" w:rsidRDefault="00D0528B" w:rsidP="00D0528B">
      <w:pPr>
        <w:pStyle w:val="PN1"/>
      </w:pPr>
      <w:bookmarkStart w:id="24" w:name="_Toc225494567"/>
      <w:r w:rsidRPr="004A2713">
        <w:t xml:space="preserve">Safety </w:t>
      </w:r>
      <w:r>
        <w:t>r</w:t>
      </w:r>
      <w:r w:rsidRPr="004A2713">
        <w:t xml:space="preserve">eporting and </w:t>
      </w:r>
      <w:r>
        <w:t>t</w:t>
      </w:r>
      <w:r w:rsidRPr="004A2713">
        <w:t>imelines</w:t>
      </w:r>
      <w:bookmarkEnd w:id="24"/>
    </w:p>
    <w:p w14:paraId="464AF6E1" w14:textId="74EC5366" w:rsidR="00D0528B" w:rsidRDefault="00D0528B" w:rsidP="00D0528B">
      <w:pPr>
        <w:pStyle w:val="PN11"/>
      </w:pPr>
      <w:r w:rsidRPr="00124402">
        <w:t xml:space="preserve">The CI (or delegate) </w:t>
      </w:r>
      <w:r>
        <w:t>will</w:t>
      </w:r>
      <w:r w:rsidRPr="00124402">
        <w:t xml:space="preserve"> ensur</w:t>
      </w:r>
      <w:r>
        <w:t>e</w:t>
      </w:r>
      <w:r w:rsidRPr="00124402">
        <w:t xml:space="preserve"> that AEs and SAEs are reported ac</w:t>
      </w:r>
      <w:r>
        <w:t>cord</w:t>
      </w:r>
      <w:r w:rsidR="00B2566E">
        <w:t>ance to the protocol</w:t>
      </w:r>
      <w:r>
        <w:t xml:space="preserve"> within the stated timelines. As part of this process, the CI (or delegate) will</w:t>
      </w:r>
      <w:r w:rsidR="00AE59AF">
        <w:t xml:space="preserve"> carry out the actions listed below.</w:t>
      </w:r>
    </w:p>
    <w:p w14:paraId="44EDDD98" w14:textId="29487295" w:rsidR="00D0528B" w:rsidRDefault="00AE59AF" w:rsidP="00D0528B">
      <w:pPr>
        <w:pStyle w:val="PB1"/>
      </w:pPr>
      <w:r>
        <w:t>R</w:t>
      </w:r>
      <w:r w:rsidR="00D0528B">
        <w:t>eview causality assessments and perform expectedness assessments</w:t>
      </w:r>
      <w:r>
        <w:t>.</w:t>
      </w:r>
    </w:p>
    <w:p w14:paraId="5ED97FE2" w14:textId="6814D7B8" w:rsidR="007214A1" w:rsidRDefault="007214A1" w:rsidP="007214A1">
      <w:pPr>
        <w:pStyle w:val="PB2"/>
      </w:pPr>
      <w:r>
        <w:t>The AR term assessed</w:t>
      </w:r>
      <w:r w:rsidR="002A1EA5">
        <w:t xml:space="preserve"> for expectedness</w:t>
      </w:r>
      <w:r>
        <w:t xml:space="preserve"> must be that reported by the </w:t>
      </w:r>
      <w:r w:rsidR="002A1EA5">
        <w:t>study/</w:t>
      </w:r>
      <w:r>
        <w:t xml:space="preserve">trial location as having caused the SAE. Synonymous medical terms (e.g. sedation, somnolence, drowsiness) representing truly the same medical phenomenon may be considered expected but different forms of the same </w:t>
      </w:r>
      <w:r>
        <w:lastRenderedPageBreak/>
        <w:t>medical phenomenon (e.g. different forms of rash such as rash generalized, rash maculo-popular) which are not considered to be the same medical phenomenon would be unexpected.</w:t>
      </w:r>
    </w:p>
    <w:p w14:paraId="590BECB3" w14:textId="5CF1BDA9" w:rsidR="007214A1" w:rsidRDefault="007214A1" w:rsidP="007214A1">
      <w:pPr>
        <w:pStyle w:val="PB2"/>
      </w:pPr>
      <w:r>
        <w:t xml:space="preserve">If the </w:t>
      </w:r>
      <w:r w:rsidR="00C61C7B">
        <w:t xml:space="preserve">study/trial location </w:t>
      </w:r>
      <w:r>
        <w:t>reported AR term is included in the RSI the event is considered expected unless:</w:t>
      </w:r>
    </w:p>
    <w:p w14:paraId="39846293" w14:textId="1B87E65E" w:rsidR="007214A1" w:rsidRDefault="007214A1" w:rsidP="007214A1">
      <w:pPr>
        <w:pStyle w:val="PB3"/>
      </w:pPr>
      <w:r>
        <w:t>there is an increase in severity (e.g., the SAE was life threatening or fatal, or of a higher grade than that recorded in the RSI)</w:t>
      </w:r>
    </w:p>
    <w:p w14:paraId="634F22D3" w14:textId="27AB8EC6" w:rsidR="007214A1" w:rsidRDefault="007214A1" w:rsidP="002A6AA1">
      <w:pPr>
        <w:pStyle w:val="PB3"/>
      </w:pPr>
      <w:r>
        <w:t>additional information is provided regarding specificity (e.g., if respiratory tract infection is listed as an expected SAR, a lower respiratory tract infection SAR should be considered unexpected).</w:t>
      </w:r>
    </w:p>
    <w:p w14:paraId="5FEEA651" w14:textId="139D912A" w:rsidR="00D0528B" w:rsidRDefault="00BE71AA" w:rsidP="00D0528B">
      <w:pPr>
        <w:pStyle w:val="PB1"/>
      </w:pPr>
      <w:r>
        <w:t xml:space="preserve">Assess the SARs </w:t>
      </w:r>
      <w:r w:rsidR="00AE59AF">
        <w:t xml:space="preserve">against </w:t>
      </w:r>
      <w:r w:rsidR="00D0528B">
        <w:t xml:space="preserve">the RSI (or equivalent) </w:t>
      </w:r>
      <w:r w:rsidR="007214A1">
        <w:t>approved</w:t>
      </w:r>
      <w:r w:rsidR="00D0528B">
        <w:t xml:space="preserve"> at the time </w:t>
      </w:r>
      <w:r w:rsidR="00AE59AF">
        <w:t xml:space="preserve">of </w:t>
      </w:r>
      <w:r w:rsidR="00D0528B">
        <w:t>the event</w:t>
      </w:r>
      <w:r w:rsidR="00AE59AF">
        <w:t>.</w:t>
      </w:r>
      <w:r w:rsidR="00D0528B">
        <w:t xml:space="preserve"> </w:t>
      </w:r>
    </w:p>
    <w:p w14:paraId="616F58E6" w14:textId="1ED6AD02" w:rsidR="00D0528B" w:rsidRDefault="00AE59AF" w:rsidP="00D0528B">
      <w:pPr>
        <w:pStyle w:val="PB1"/>
      </w:pPr>
      <w:r>
        <w:t>F</w:t>
      </w:r>
      <w:r w:rsidR="00D0528B">
        <w:t>ollow appropriate safety reporting guidelines based on the type of research:</w:t>
      </w:r>
    </w:p>
    <w:p w14:paraId="07B269D7" w14:textId="77777777" w:rsidR="00D0528B" w:rsidRPr="00366A11" w:rsidRDefault="00D0528B" w:rsidP="00AE0B32">
      <w:pPr>
        <w:pStyle w:val="PB2"/>
        <w:rPr>
          <w:rStyle w:val="Hyperlink"/>
        </w:rPr>
      </w:pPr>
      <w:r>
        <w:t xml:space="preserve">for CTIMPS, refer to the </w:t>
      </w:r>
      <w:bookmarkStart w:id="25" w:name="_Hlk187102068"/>
      <w:r>
        <w:fldChar w:fldCharType="begin"/>
      </w:r>
      <w:r>
        <w:instrText>HYPERLINK "http://www.ct-toolkit.ac.uk/routemap/safety-reporting/" \o "Link to NIHR Clinical Trials Toolkit"</w:instrText>
      </w:r>
      <w:r>
        <w:fldChar w:fldCharType="separate"/>
      </w:r>
      <w:r w:rsidRPr="00684919">
        <w:rPr>
          <w:rStyle w:val="Hyperlink"/>
        </w:rPr>
        <w:t>NIHR Clinical Trials Toolkit</w:t>
      </w:r>
      <w:r>
        <w:rPr>
          <w:rStyle w:val="Hyperlink"/>
        </w:rPr>
        <w:fldChar w:fldCharType="end"/>
      </w:r>
      <w:r>
        <w:rPr>
          <w:rStyle w:val="Hyperlink"/>
        </w:rPr>
        <w:t xml:space="preserve"> for safety reporting requirements</w:t>
      </w:r>
      <w:bookmarkEnd w:id="25"/>
    </w:p>
    <w:p w14:paraId="6293215D" w14:textId="0BBBB613" w:rsidR="00D0528B" w:rsidRPr="00366A11" w:rsidRDefault="00D0528B" w:rsidP="00D0528B">
      <w:pPr>
        <w:pStyle w:val="PB2"/>
        <w:rPr>
          <w:rStyle w:val="Hyperlink"/>
        </w:rPr>
      </w:pPr>
      <w:r w:rsidRPr="00366A11">
        <w:t>for all other HRA-approved</w:t>
      </w:r>
      <w:r w:rsidR="005457E2">
        <w:t>, and/or NHS REC approved</w:t>
      </w:r>
      <w:r w:rsidRPr="00366A11">
        <w:t xml:space="preserve"> clinical research, consult the </w:t>
      </w:r>
      <w:bookmarkStart w:id="26" w:name="_Hlk187102078"/>
      <w:r>
        <w:fldChar w:fldCharType="begin"/>
      </w:r>
      <w:r>
        <w:instrText>HYPERLINK "https://www.hra.nhs.uk/approvals-amendments/managing-your-approval/safety-reporting/" \o "Link to HRA Safety Reportig Website"</w:instrText>
      </w:r>
      <w:r>
        <w:fldChar w:fldCharType="separate"/>
      </w:r>
      <w:r w:rsidRPr="00684919">
        <w:rPr>
          <w:rStyle w:val="Hyperlink"/>
        </w:rPr>
        <w:t>HRA Safety Reporting website</w:t>
      </w:r>
      <w:r>
        <w:rPr>
          <w:rStyle w:val="Hyperlink"/>
        </w:rPr>
        <w:fldChar w:fldCharType="end"/>
      </w:r>
      <w:bookmarkEnd w:id="26"/>
    </w:p>
    <w:p w14:paraId="4173D8D5" w14:textId="01A85050" w:rsidR="00D0528B" w:rsidRPr="00266875" w:rsidRDefault="00D0528B" w:rsidP="00D0528B">
      <w:pPr>
        <w:pStyle w:val="PB2"/>
      </w:pPr>
      <w:r w:rsidRPr="00366A11">
        <w:t xml:space="preserve">for UoB </w:t>
      </w:r>
      <w:r>
        <w:t xml:space="preserve">REC-approved research, follow the </w:t>
      </w:r>
      <w:hyperlink r:id="rId33" w:tooltip="UoB Code of Practice for Research (PDF - 459 KB)" w:history="1">
        <w:r w:rsidRPr="0081364F">
          <w:rPr>
            <w:rStyle w:val="Hyperlink"/>
          </w:rPr>
          <w:t>UoB Code of Practice for Researc</w:t>
        </w:r>
        <w:r>
          <w:rPr>
            <w:rStyle w:val="Hyperlink"/>
          </w:rPr>
          <w:t>h (PDF – 4</w:t>
        </w:r>
        <w:r w:rsidR="00825A76">
          <w:rPr>
            <w:rStyle w:val="Hyperlink"/>
          </w:rPr>
          <w:t>5</w:t>
        </w:r>
        <w:r>
          <w:rPr>
            <w:rStyle w:val="Hyperlink"/>
          </w:rPr>
          <w:t>9 KB)</w:t>
        </w:r>
      </w:hyperlink>
      <w:r>
        <w:t>.</w:t>
      </w:r>
    </w:p>
    <w:p w14:paraId="14523A60" w14:textId="1C0E13D7" w:rsidR="00D0528B" w:rsidRDefault="00D0528B" w:rsidP="00D0528B">
      <w:pPr>
        <w:pStyle w:val="PN11"/>
      </w:pPr>
      <w:r w:rsidRPr="009A1380">
        <w:t xml:space="preserve">For </w:t>
      </w:r>
      <w:r w:rsidR="00755B70">
        <w:t xml:space="preserve">HRA approved and/or </w:t>
      </w:r>
      <w:r>
        <w:t xml:space="preserve">NHS REC-approved studies and non-CTIMPs, </w:t>
      </w:r>
      <w:r w:rsidRPr="009A1380">
        <w:t xml:space="preserve">the CI (or delegate) will report only </w:t>
      </w:r>
      <w:r>
        <w:t>u</w:t>
      </w:r>
      <w:r w:rsidRPr="009A1380">
        <w:t xml:space="preserve">nexpected and </w:t>
      </w:r>
      <w:r>
        <w:t>r</w:t>
      </w:r>
      <w:r w:rsidRPr="009A1380">
        <w:t xml:space="preserve">elated </w:t>
      </w:r>
      <w:r w:rsidRPr="00E13A27">
        <w:t>SAEs to the REC within 15 days of becoming aware of the event, using the ‘</w:t>
      </w:r>
      <w:hyperlink r:id="rId34" w:tooltip="Link to non-CTIMP safety report form" w:history="1">
        <w:r w:rsidRPr="00E13A27">
          <w:rPr>
            <w:rStyle w:val="Hyperlink"/>
          </w:rPr>
          <w:t>non-CTIMP safety report form</w:t>
        </w:r>
      </w:hyperlink>
      <w:r w:rsidRPr="00E13A27">
        <w:t>’. A copy will also be sent at that time to REGI, including a note from the CI explaining how this case impacts the study’s safety profile. See</w:t>
      </w:r>
      <w:r>
        <w:t xml:space="preserve"> </w:t>
      </w:r>
      <w:hyperlink r:id="rId35" w:tooltip="Link to HRA Procedures for Safety Reporting" w:history="1">
        <w:r w:rsidRPr="00121C5E">
          <w:rPr>
            <w:rStyle w:val="Hyperlink"/>
          </w:rPr>
          <w:t>HRA Procedures for Safety Reporting</w:t>
        </w:r>
      </w:hyperlink>
      <w:r>
        <w:t xml:space="preserve"> for more information.</w:t>
      </w:r>
    </w:p>
    <w:p w14:paraId="422A1D3F" w14:textId="77777777" w:rsidR="005A19F2" w:rsidRDefault="00D0528B" w:rsidP="005A19F2">
      <w:pPr>
        <w:pStyle w:val="PB1"/>
      </w:pPr>
      <w:r>
        <w:t>For CTIMPs and clinical investigations of medical devices, see subheadings listed below.</w:t>
      </w:r>
    </w:p>
    <w:p w14:paraId="2DE7F4E6" w14:textId="2CB7FAC6" w:rsidR="005A19F2" w:rsidRDefault="005A19F2" w:rsidP="005A19F2">
      <w:pPr>
        <w:pStyle w:val="PN11"/>
      </w:pPr>
      <w:r>
        <w:t>For projects where an external CTU</w:t>
      </w:r>
      <w:r w:rsidR="00AE0B32">
        <w:t xml:space="preserve"> (non-UoB)</w:t>
      </w:r>
      <w:r>
        <w:t xml:space="preserve"> is used, the CI (or delegate) will</w:t>
      </w:r>
      <w:r w:rsidR="00056EE8">
        <w:t xml:space="preserve"> consult with REGI on the need to </w:t>
      </w:r>
      <w:r>
        <w:t>ensure that any formal communications relating to safety reporting is sent to REGI prior to the communication being sent to the REC/HRA/MHRA (as applicable).</w:t>
      </w:r>
    </w:p>
    <w:p w14:paraId="319623EE" w14:textId="291C37A0" w:rsidR="00D0528B" w:rsidRDefault="00F37265" w:rsidP="00EB1B40">
      <w:pPr>
        <w:pStyle w:val="PB1"/>
      </w:pPr>
      <w:r>
        <w:t>If applicable, c</w:t>
      </w:r>
      <w:r w:rsidR="005A19F2">
        <w:t>onsider outlining this requirement in the contractual agreement with the e</w:t>
      </w:r>
      <w:r w:rsidR="00AE0B32">
        <w:t>x</w:t>
      </w:r>
      <w:r w:rsidR="005A19F2">
        <w:t>ternal CTU.</w:t>
      </w:r>
    </w:p>
    <w:p w14:paraId="5F8735D5" w14:textId="231C4644" w:rsidR="00D0528B" w:rsidRPr="00E13A27" w:rsidRDefault="00D0528B" w:rsidP="00D0528B">
      <w:pPr>
        <w:pStyle w:val="Heading3"/>
      </w:pPr>
      <w:bookmarkStart w:id="27" w:name="_Toc225494568"/>
      <w:r w:rsidRPr="00E13A27">
        <w:t>CTIMPs</w:t>
      </w:r>
      <w:bookmarkEnd w:id="27"/>
    </w:p>
    <w:p w14:paraId="18552F34" w14:textId="77777777" w:rsidR="00D0528B" w:rsidRPr="00E13A27" w:rsidRDefault="00D0528B" w:rsidP="00D0528B">
      <w:pPr>
        <w:pStyle w:val="PN11"/>
      </w:pPr>
      <w:r w:rsidRPr="00E13A27">
        <w:t xml:space="preserve">The CI (or delegate) will report all SUSARs to the competent authority (CA) (and the REC where applicable) within the timeframes outlined below. Note that in the UK the CA is the MHRA, and the </w:t>
      </w:r>
      <w:bookmarkStart w:id="28" w:name="_Hlk187102102"/>
      <w:r w:rsidRPr="00E13A27">
        <w:fldChar w:fldCharType="begin"/>
      </w:r>
      <w:r w:rsidRPr="00E13A27">
        <w:instrText>HYPERLINK "https://icsrsubmissions.mhra.gov.uk/login"</w:instrText>
      </w:r>
      <w:r w:rsidRPr="00E13A27">
        <w:fldChar w:fldCharType="separate"/>
      </w:r>
      <w:r w:rsidRPr="00E13A27">
        <w:rPr>
          <w:rStyle w:val="Hyperlink"/>
        </w:rPr>
        <w:t>ICSR submission portal</w:t>
      </w:r>
      <w:r w:rsidRPr="00E13A27">
        <w:fldChar w:fldCharType="end"/>
      </w:r>
      <w:bookmarkEnd w:id="28"/>
      <w:r w:rsidRPr="00E13A27">
        <w:t xml:space="preserve"> will be used for UK-relevant SUSARs. These include SUSARs originating in the UK or those outside the UK where the sponsor has an ongoing project in the UK involving the same medicinal product. At the time of submission to the CA, a copy of the report will also be sent to the REGI (as sponsor), including a note from the CI explaining how the case impacts the trial’s safety profile.</w:t>
      </w:r>
    </w:p>
    <w:p w14:paraId="1700A9B9" w14:textId="77777777" w:rsidR="00D0528B" w:rsidRDefault="00D0528B" w:rsidP="00D0528B">
      <w:pPr>
        <w:pStyle w:val="PB1"/>
      </w:pPr>
      <w:r>
        <w:t xml:space="preserve">Fatal/life-threatening SUSAR: initial report to be submitted within 7 days of being notified of the event; any additional relevant information within 8 days of sending the first report. </w:t>
      </w:r>
    </w:p>
    <w:p w14:paraId="0F7BCACB" w14:textId="77777777" w:rsidR="00D0528B" w:rsidRDefault="00D0528B" w:rsidP="00D0528B">
      <w:pPr>
        <w:pStyle w:val="PB1"/>
      </w:pPr>
      <w:r>
        <w:t>Non-fatal/non-life-threatening SUSAR: to be reported within 15 days of being notified of the event</w:t>
      </w:r>
      <w:bookmarkStart w:id="29" w:name="_Hlk187061507"/>
      <w:r>
        <w:t xml:space="preserve">. </w:t>
      </w:r>
    </w:p>
    <w:p w14:paraId="1B1F8426" w14:textId="77777777" w:rsidR="00D0528B" w:rsidRDefault="00D0528B" w:rsidP="00505372">
      <w:r w:rsidRPr="002C6D2D">
        <w:rPr>
          <w:b/>
          <w:bCs/>
        </w:rPr>
        <w:t>Please Note</w:t>
      </w:r>
      <w:r>
        <w:t xml:space="preserve">: HRA guidance on </w:t>
      </w:r>
      <w:hyperlink r:id="rId36" w:history="1">
        <w:r>
          <w:rPr>
            <w:rStyle w:val="Hyperlink"/>
          </w:rPr>
          <w:t>i</w:t>
        </w:r>
        <w:r w:rsidRPr="00064FE1">
          <w:rPr>
            <w:rStyle w:val="Hyperlink"/>
          </w:rPr>
          <w:t xml:space="preserve">mportant </w:t>
        </w:r>
        <w:r>
          <w:rPr>
            <w:rStyle w:val="Hyperlink"/>
          </w:rPr>
          <w:t>c</w:t>
        </w:r>
        <w:r w:rsidRPr="00064FE1">
          <w:rPr>
            <w:rStyle w:val="Hyperlink"/>
          </w:rPr>
          <w:t>hanges to progress reports and safety reports</w:t>
        </w:r>
      </w:hyperlink>
      <w:r>
        <w:t xml:space="preserve"> that was first introduced</w:t>
      </w:r>
      <w:r w:rsidRPr="00346C06">
        <w:t xml:space="preserve"> to research approved by RECs in England and Wales </w:t>
      </w:r>
      <w:r>
        <w:t>on</w:t>
      </w:r>
      <w:r w:rsidRPr="00346C06">
        <w:t xml:space="preserve"> 1 June</w:t>
      </w:r>
      <w:r>
        <w:t xml:space="preserve"> 2024</w:t>
      </w:r>
      <w:r w:rsidRPr="00346C06">
        <w:t xml:space="preserve"> and </w:t>
      </w:r>
      <w:r>
        <w:t>then</w:t>
      </w:r>
      <w:r w:rsidRPr="00346C06">
        <w:t xml:space="preserve"> Scotland and Northern Ireland </w:t>
      </w:r>
      <w:r>
        <w:t>on</w:t>
      </w:r>
      <w:r w:rsidRPr="00346C06">
        <w:t xml:space="preserve"> 1 August</w:t>
      </w:r>
      <w:r w:rsidRPr="006E0A50">
        <w:t xml:space="preserve"> </w:t>
      </w:r>
      <w:r>
        <w:t xml:space="preserve">2024. </w:t>
      </w:r>
      <w:bookmarkEnd w:id="29"/>
    </w:p>
    <w:p w14:paraId="231D5456" w14:textId="12DD7475" w:rsidR="00D0528B" w:rsidRDefault="00D0528B" w:rsidP="00D0528B">
      <w:pPr>
        <w:pStyle w:val="PN11"/>
      </w:pPr>
      <w:r w:rsidRPr="00124402">
        <w:t>For CTIMPs</w:t>
      </w:r>
      <w:r>
        <w:t xml:space="preserve"> with </w:t>
      </w:r>
      <w:r w:rsidR="00F34B8B">
        <w:t>trial</w:t>
      </w:r>
      <w:r>
        <w:t xml:space="preserve"> locations in </w:t>
      </w:r>
      <w:r w:rsidR="00E95D20">
        <w:t xml:space="preserve">other countries, </w:t>
      </w:r>
      <w:r w:rsidRPr="00124402">
        <w:t xml:space="preserve">the CI (or delegate) will ensure all SUSARs </w:t>
      </w:r>
      <w:r>
        <w:t>are reported through all necessary reporting routes:</w:t>
      </w:r>
    </w:p>
    <w:p w14:paraId="295A819F" w14:textId="0A7AA83A" w:rsidR="00D0528B" w:rsidRDefault="00D0528B" w:rsidP="00D0528B">
      <w:pPr>
        <w:pStyle w:val="PB1"/>
      </w:pPr>
      <w:r>
        <w:t>relevant member states’ submission gateways</w:t>
      </w:r>
    </w:p>
    <w:p w14:paraId="102B8CA1" w14:textId="0FB3E5D8" w:rsidR="00D0528B" w:rsidRDefault="00D0528B" w:rsidP="00D0528B">
      <w:pPr>
        <w:pStyle w:val="PB1"/>
      </w:pPr>
      <w:r w:rsidRPr="00124402">
        <w:t>EVCTM.</w:t>
      </w:r>
      <w:r>
        <w:t xml:space="preserve"> </w:t>
      </w:r>
    </w:p>
    <w:p w14:paraId="71BEA41F" w14:textId="6BF4345D" w:rsidR="00D0528B" w:rsidRDefault="00D0528B" w:rsidP="00D0528B">
      <w:pPr>
        <w:pStyle w:val="PN11"/>
      </w:pPr>
      <w:r>
        <w:t>T</w:t>
      </w:r>
      <w:r w:rsidRPr="00124402">
        <w:t xml:space="preserve">he CI (or delegate) will </w:t>
      </w:r>
      <w:r>
        <w:t>reassess</w:t>
      </w:r>
      <w:r w:rsidRPr="00124402">
        <w:t xml:space="preserve"> SAEs </w:t>
      </w:r>
      <w:r>
        <w:t>upon</w:t>
      </w:r>
      <w:r w:rsidRPr="00124402">
        <w:t xml:space="preserve"> receipt of significant follow-up information</w:t>
      </w:r>
      <w:r>
        <w:t>,</w:t>
      </w:r>
      <w:r w:rsidRPr="00124402">
        <w:t xml:space="preserve"> using the RSI (or equivalent) </w:t>
      </w:r>
      <w:r>
        <w:t xml:space="preserve">that was </w:t>
      </w:r>
      <w:r w:rsidRPr="00124402">
        <w:t xml:space="preserve">approved at the time of the </w:t>
      </w:r>
      <w:r w:rsidR="00FB27B0">
        <w:t xml:space="preserve">first occurrence of the </w:t>
      </w:r>
      <w:r w:rsidRPr="00124402">
        <w:t>event</w:t>
      </w:r>
      <w:r>
        <w:t>.</w:t>
      </w:r>
    </w:p>
    <w:p w14:paraId="39AB3CD6" w14:textId="77777777" w:rsidR="00D0528B" w:rsidRPr="00E13A27" w:rsidRDefault="00D0528B" w:rsidP="00D0528B">
      <w:pPr>
        <w:pStyle w:val="PB1"/>
      </w:pPr>
      <w:r w:rsidRPr="00124402">
        <w:t xml:space="preserve">If significant new information is received following the reporting of an event (e.g. leading to </w:t>
      </w:r>
      <w:r>
        <w:t xml:space="preserve">the </w:t>
      </w:r>
      <w:r w:rsidRPr="00124402">
        <w:t xml:space="preserve">upgrade or downgrade of category, duplicate events or reason for reporting) the reporting timeframe commences from </w:t>
      </w:r>
      <w:r>
        <w:t xml:space="preserve">the </w:t>
      </w:r>
      <w:r w:rsidRPr="00124402">
        <w:t>receipt of the new information</w:t>
      </w:r>
      <w:r>
        <w:t xml:space="preserve">. </w:t>
      </w:r>
      <w:r w:rsidRPr="00880C8B">
        <w:t xml:space="preserve">This information will be reported to the </w:t>
      </w:r>
      <w:r>
        <w:t xml:space="preserve">CA (and </w:t>
      </w:r>
      <w:r w:rsidRPr="00880C8B">
        <w:t>REC</w:t>
      </w:r>
      <w:r>
        <w:t xml:space="preserve"> </w:t>
      </w:r>
      <w:r w:rsidRPr="00880C8B">
        <w:t xml:space="preserve">where </w:t>
      </w:r>
      <w:r w:rsidRPr="00E13A27">
        <w:t xml:space="preserve">appropriate), with a copy sent to REGI, as a follow-up report within 15 days. </w:t>
      </w:r>
    </w:p>
    <w:p w14:paraId="7949B614" w14:textId="7FC77FDF" w:rsidR="00D0528B" w:rsidRPr="00124402" w:rsidRDefault="00D0528B" w:rsidP="00D0528B">
      <w:pPr>
        <w:pStyle w:val="PB1"/>
      </w:pPr>
      <w:r w:rsidRPr="00E13A27">
        <w:t>If a non-fatal/non-life-threatening SUSAR is re-categorised (upgraded) as a fatal/life-threatening SUSAR, this will be reported within 7 days following the process</w:t>
      </w:r>
      <w:r w:rsidRPr="00124402">
        <w:t xml:space="preserve"> described </w:t>
      </w:r>
      <w:r>
        <w:t xml:space="preserve">in procedure point </w:t>
      </w:r>
      <w:r w:rsidR="008E42B9">
        <w:t>3.3</w:t>
      </w:r>
      <w:r w:rsidRPr="00124402">
        <w:t>.</w:t>
      </w:r>
    </w:p>
    <w:p w14:paraId="1BDB2364" w14:textId="77777777" w:rsidR="00D0528B" w:rsidRDefault="00D0528B" w:rsidP="00D0528B">
      <w:pPr>
        <w:pStyle w:val="PB1"/>
      </w:pPr>
      <w:r w:rsidRPr="00124402">
        <w:lastRenderedPageBreak/>
        <w:t xml:space="preserve">Other non-significant but relevant follow-up reports (e.g. resolution date) will be reported </w:t>
      </w:r>
      <w:r>
        <w:t>up</w:t>
      </w:r>
      <w:r w:rsidRPr="00124402">
        <w:t xml:space="preserve">on </w:t>
      </w:r>
      <w:r>
        <w:t xml:space="preserve">the </w:t>
      </w:r>
      <w:r w:rsidRPr="00124402">
        <w:t>resolution of the event.</w:t>
      </w:r>
    </w:p>
    <w:p w14:paraId="2BB5EE36" w14:textId="2A7B4F3C" w:rsidR="00264A0D" w:rsidRDefault="00D0528B" w:rsidP="00D0528B">
      <w:pPr>
        <w:pStyle w:val="Heading3"/>
      </w:pPr>
      <w:bookmarkStart w:id="30" w:name="_Toc225494569"/>
      <w:r>
        <w:t xml:space="preserve">Clinical </w:t>
      </w:r>
      <w:r w:rsidR="00B16AF1">
        <w:t>i</w:t>
      </w:r>
      <w:r>
        <w:t xml:space="preserve">nvestigations of </w:t>
      </w:r>
      <w:r w:rsidR="00B16AF1">
        <w:t>m</w:t>
      </w:r>
      <w:r>
        <w:t xml:space="preserve">edical </w:t>
      </w:r>
      <w:r w:rsidR="00B16AF1">
        <w:t>d</w:t>
      </w:r>
      <w:r>
        <w:t>evices</w:t>
      </w:r>
      <w:bookmarkEnd w:id="30"/>
    </w:p>
    <w:p w14:paraId="7156E3C8" w14:textId="77777777" w:rsidR="00D0528B" w:rsidRDefault="00D0528B" w:rsidP="00D0528B">
      <w:pPr>
        <w:pStyle w:val="PN11"/>
      </w:pPr>
      <w:r>
        <w:t>The CI (or delegate) will document details of the following reportable events during the project:</w:t>
      </w:r>
    </w:p>
    <w:p w14:paraId="2D6D70E9" w14:textId="77777777" w:rsidR="00D0528B" w:rsidRDefault="00D0528B" w:rsidP="00D0528B">
      <w:pPr>
        <w:pStyle w:val="PB1"/>
      </w:pPr>
      <w:r>
        <w:t>any SAE</w:t>
      </w:r>
    </w:p>
    <w:p w14:paraId="5A915ADB" w14:textId="77777777" w:rsidR="00D0528B" w:rsidRPr="00266875" w:rsidRDefault="00D0528B" w:rsidP="00D0528B">
      <w:pPr>
        <w:pStyle w:val="PB1"/>
      </w:pPr>
      <w:r>
        <w:t>any device deficiency that might have led to a SAE if appropriate</w:t>
      </w:r>
      <w:r w:rsidRPr="00D8192F">
        <w:t xml:space="preserve"> action had not </w:t>
      </w:r>
      <w:r w:rsidRPr="00266875">
        <w:t>been taken, intervention had not occurred, or circumstances had been less fortunate</w:t>
      </w:r>
    </w:p>
    <w:p w14:paraId="155776F3" w14:textId="77777777" w:rsidR="00D0528B" w:rsidRPr="00266875" w:rsidRDefault="00D0528B" w:rsidP="00D0528B">
      <w:pPr>
        <w:pStyle w:val="PB1"/>
      </w:pPr>
      <w:r>
        <w:t>a</w:t>
      </w:r>
      <w:r w:rsidRPr="00266875">
        <w:t xml:space="preserve">ny new findings in relation to any event referred to in </w:t>
      </w:r>
      <w:r>
        <w:t xml:space="preserve">the </w:t>
      </w:r>
      <w:r w:rsidRPr="00266875">
        <w:t>points above</w:t>
      </w:r>
      <w:r>
        <w:t>.</w:t>
      </w:r>
    </w:p>
    <w:p w14:paraId="577B17A0" w14:textId="77777777" w:rsidR="00D0528B" w:rsidRPr="00266875" w:rsidRDefault="00D0528B" w:rsidP="00D0528B">
      <w:pPr>
        <w:pStyle w:val="PN11"/>
      </w:pPr>
      <w:r w:rsidRPr="00266875">
        <w:t>The CI (or delegate) will document and assess all device deficiencies throughout the project</w:t>
      </w:r>
      <w:r>
        <w:t xml:space="preserve">. See </w:t>
      </w:r>
      <w:hyperlink r:id="rId37" w:tooltip="Link to preview version of BS EN ISO 14155:2020, Clinical investigation of medical devices for human subjects - Good clinical practice" w:history="1">
        <w:r w:rsidRPr="00B06594">
          <w:rPr>
            <w:rStyle w:val="Hyperlink"/>
            <w:iCs/>
          </w:rPr>
          <w:t>BS EN ISO 14155:2020, Clinical investigation of medical devices for human subjects — Good clinical practic</w:t>
        </w:r>
        <w:r w:rsidRPr="002633B1">
          <w:rPr>
            <w:rStyle w:val="Hyperlink"/>
            <w:iCs/>
          </w:rPr>
          <w:t>e</w:t>
        </w:r>
      </w:hyperlink>
      <w:r>
        <w:rPr>
          <w:rStyle w:val="ReferencestootherSOPsQCDsChar"/>
        </w:rPr>
        <w:t xml:space="preserve"> </w:t>
      </w:r>
      <w:r w:rsidRPr="00B64BBC">
        <w:t>for further information</w:t>
      </w:r>
      <w:r>
        <w:t xml:space="preserve"> (requires UoB login)</w:t>
      </w:r>
      <w:r w:rsidRPr="00266875">
        <w:t>.</w:t>
      </w:r>
    </w:p>
    <w:p w14:paraId="28463CAD" w14:textId="4994C980" w:rsidR="00D0528B" w:rsidRPr="00E13A27" w:rsidRDefault="00D0528B" w:rsidP="00D0528B">
      <w:pPr>
        <w:pStyle w:val="PN11"/>
      </w:pPr>
      <w:r w:rsidRPr="00266875">
        <w:t xml:space="preserve">The CI (or delegate) will report the events mentioned in point </w:t>
      </w:r>
      <w:r w:rsidR="008E42B9" w:rsidRPr="00E13A27">
        <w:t>3.</w:t>
      </w:r>
      <w:r w:rsidR="001A547F">
        <w:t>7</w:t>
      </w:r>
      <w:r w:rsidRPr="00E13A27">
        <w:t xml:space="preserve"> to REGI immediately and, in any event, no later than 3 calendar days after the project’s personnel become aware of the event.</w:t>
      </w:r>
    </w:p>
    <w:p w14:paraId="299293BD" w14:textId="77777777" w:rsidR="00D0528B" w:rsidRPr="00266875" w:rsidRDefault="00D0528B" w:rsidP="00D0528B">
      <w:pPr>
        <w:pStyle w:val="PB1"/>
      </w:pPr>
      <w:r w:rsidRPr="00266875">
        <w:t xml:space="preserve">Include a note from the CI explaining how this case impacts </w:t>
      </w:r>
      <w:r>
        <w:t>on the project’s safety profile</w:t>
      </w:r>
      <w:r w:rsidRPr="00266875">
        <w:t>.</w:t>
      </w:r>
    </w:p>
    <w:p w14:paraId="773A79CC" w14:textId="61B00983" w:rsidR="00D0528B" w:rsidRPr="00266875" w:rsidRDefault="006E419D" w:rsidP="00D0528B">
      <w:pPr>
        <w:pStyle w:val="PB1"/>
      </w:pPr>
      <w:r>
        <w:t>Where applicable, r</w:t>
      </w:r>
      <w:r w:rsidR="00D0528B" w:rsidRPr="00266875">
        <w:t xml:space="preserve">eport all relevant safety information to the </w:t>
      </w:r>
      <w:r>
        <w:t>relevant project oversight</w:t>
      </w:r>
      <w:r w:rsidR="00D0528B" w:rsidRPr="00266875">
        <w:t xml:space="preserve"> </w:t>
      </w:r>
      <w:r w:rsidR="00D0528B">
        <w:t>c</w:t>
      </w:r>
      <w:r w:rsidR="00D0528B" w:rsidRPr="00266875">
        <w:t>ommittee.</w:t>
      </w:r>
    </w:p>
    <w:p w14:paraId="195F7389" w14:textId="311DB7D9" w:rsidR="00D0528B" w:rsidRDefault="00D0528B" w:rsidP="00D0528B">
      <w:pPr>
        <w:pStyle w:val="PN11"/>
      </w:pPr>
      <w:r>
        <w:t xml:space="preserve">The CI (or delegate) will assess the relationship between the use of the medical device and the occurrence of each AE categorised. </w:t>
      </w:r>
    </w:p>
    <w:p w14:paraId="7DDFFBF3" w14:textId="77777777" w:rsidR="00D0528B" w:rsidRDefault="00D0528B" w:rsidP="00D0528B">
      <w:pPr>
        <w:pStyle w:val="PB1"/>
      </w:pPr>
      <w:r>
        <w:t>D</w:t>
      </w:r>
      <w:r w:rsidRPr="005838E1">
        <w:t>uring causality</w:t>
      </w:r>
      <w:r>
        <w:t>-</w:t>
      </w:r>
      <w:r w:rsidRPr="005838E1">
        <w:t>assessment activity</w:t>
      </w:r>
      <w:r>
        <w:t>,</w:t>
      </w:r>
      <w:r w:rsidRPr="005838E1">
        <w:t xml:space="preserve"> clinical judgement </w:t>
      </w:r>
      <w:r>
        <w:t>will</w:t>
      </w:r>
      <w:r w:rsidRPr="005838E1">
        <w:t xml:space="preserve"> be used</w:t>
      </w:r>
      <w:r>
        <w:t>. R</w:t>
      </w:r>
      <w:r w:rsidRPr="005838E1">
        <w:t xml:space="preserve">elevant documents such as the </w:t>
      </w:r>
      <w:r>
        <w:t>IB</w:t>
      </w:r>
      <w:r w:rsidRPr="005838E1">
        <w:t xml:space="preserve">, the </w:t>
      </w:r>
      <w:r>
        <w:t>c</w:t>
      </w:r>
      <w:r w:rsidRPr="005838E1">
        <w:t xml:space="preserve">linical </w:t>
      </w:r>
      <w:r>
        <w:t>investigation plan</w:t>
      </w:r>
      <w:r w:rsidRPr="005838E1">
        <w:t xml:space="preserve"> or the </w:t>
      </w:r>
      <w:r>
        <w:t>r</w:t>
      </w:r>
      <w:r w:rsidRPr="005838E1">
        <w:t xml:space="preserve">isk </w:t>
      </w:r>
      <w:r>
        <w:t>a</w:t>
      </w:r>
      <w:r w:rsidRPr="005838E1">
        <w:t xml:space="preserve">nalysis </w:t>
      </w:r>
      <w:r>
        <w:t>r</w:t>
      </w:r>
      <w:r w:rsidRPr="005838E1">
        <w:t xml:space="preserve">eport </w:t>
      </w:r>
      <w:r>
        <w:t>will</w:t>
      </w:r>
      <w:r w:rsidRPr="005838E1">
        <w:t xml:space="preserve"> be consulted, as all </w:t>
      </w:r>
      <w:r>
        <w:t>SAEs</w:t>
      </w:r>
      <w:r w:rsidRPr="005838E1">
        <w:t xml:space="preserve"> </w:t>
      </w:r>
      <w:r>
        <w:t xml:space="preserve">that were originally identified as being expected, along with </w:t>
      </w:r>
      <w:r w:rsidRPr="005838E1">
        <w:t>the</w:t>
      </w:r>
      <w:r>
        <w:t>ir</w:t>
      </w:r>
      <w:r w:rsidRPr="005838E1">
        <w:t xml:space="preserve"> potential risks</w:t>
      </w:r>
      <w:r>
        <w:t>,</w:t>
      </w:r>
      <w:r w:rsidRPr="005838E1">
        <w:t xml:space="preserve"> </w:t>
      </w:r>
      <w:r>
        <w:t>are listed and assessed there.</w:t>
      </w:r>
    </w:p>
    <w:p w14:paraId="14D1876D" w14:textId="77777777" w:rsidR="00D0528B" w:rsidRDefault="00D0528B" w:rsidP="00D0528B">
      <w:pPr>
        <w:pStyle w:val="PB1"/>
      </w:pPr>
      <w:r>
        <w:t>T</w:t>
      </w:r>
      <w:r w:rsidRPr="005838E1">
        <w:t xml:space="preserve">he presence of confounding factors such as concomitant medication/treatment, the natural history of the underlying disease, </w:t>
      </w:r>
      <w:r>
        <w:t xml:space="preserve">and </w:t>
      </w:r>
      <w:r w:rsidRPr="005838E1">
        <w:t xml:space="preserve">other concurrent illness or risk factors </w:t>
      </w:r>
      <w:r>
        <w:t>will be</w:t>
      </w:r>
      <w:r w:rsidRPr="005838E1">
        <w:t xml:space="preserve"> considered. </w:t>
      </w:r>
      <w:r>
        <w:t>These</w:t>
      </w:r>
      <w:r w:rsidRPr="005838E1">
        <w:t xml:space="preserve"> considerations also apply to the </w:t>
      </w:r>
      <w:r>
        <w:t>SAEs</w:t>
      </w:r>
      <w:r w:rsidRPr="005838E1">
        <w:t xml:space="preserve"> occurring in the comparison group. </w:t>
      </w:r>
    </w:p>
    <w:p w14:paraId="454514AC" w14:textId="0BA2D8DE" w:rsidR="00D0528B" w:rsidRDefault="003F692B" w:rsidP="00D0528B">
      <w:pPr>
        <w:pStyle w:val="PB1"/>
      </w:pPr>
      <w:r w:rsidRPr="005838E1">
        <w:t>To</w:t>
      </w:r>
      <w:r w:rsidR="00D0528B" w:rsidRPr="005838E1">
        <w:t xml:space="preserve"> harmonis</w:t>
      </w:r>
      <w:r>
        <w:t>e</w:t>
      </w:r>
      <w:r w:rsidR="00D0528B" w:rsidRPr="005838E1">
        <w:t xml:space="preserve"> reports, each SAE will be classified according to </w:t>
      </w:r>
      <w:r w:rsidR="00D0528B">
        <w:t>5</w:t>
      </w:r>
      <w:r w:rsidR="00D0528B" w:rsidRPr="005838E1">
        <w:t xml:space="preserve"> different levels of causality. </w:t>
      </w:r>
      <w:r w:rsidR="00D0528B">
        <w:t>T</w:t>
      </w:r>
      <w:r w:rsidR="00D0528B" w:rsidRPr="005838E1">
        <w:t xml:space="preserve">he following assess the relationship of the </w:t>
      </w:r>
      <w:r w:rsidR="00D0528B">
        <w:t>SAE</w:t>
      </w:r>
      <w:r w:rsidR="00D0528B" w:rsidRPr="005838E1">
        <w:t xml:space="preserve"> to the investigational medical device or procedures. </w:t>
      </w:r>
    </w:p>
    <w:p w14:paraId="0636ED8B" w14:textId="77777777" w:rsidR="00D0528B" w:rsidRDefault="00D0528B" w:rsidP="00D0528B">
      <w:pPr>
        <w:pStyle w:val="PB2"/>
      </w:pPr>
      <w:r>
        <w:rPr>
          <w:b/>
        </w:rPr>
        <w:t xml:space="preserve">Level </w:t>
      </w:r>
      <w:r w:rsidRPr="00D5506D">
        <w:rPr>
          <w:b/>
        </w:rPr>
        <w:t>1</w:t>
      </w:r>
      <w:r>
        <w:t xml:space="preserve"> - </w:t>
      </w:r>
      <w:r w:rsidRPr="00D5506D">
        <w:rPr>
          <w:b/>
        </w:rPr>
        <w:t>Not related:</w:t>
      </w:r>
      <w:r>
        <w:t xml:space="preserve"> </w:t>
      </w:r>
      <w:r w:rsidRPr="00DF2DF0">
        <w:t>relationship to the device or procedures can be excluded</w:t>
      </w:r>
      <w:r>
        <w:t>.</w:t>
      </w:r>
    </w:p>
    <w:p w14:paraId="0443A5EC" w14:textId="77777777" w:rsidR="00D0528B" w:rsidRDefault="00D0528B" w:rsidP="00D0528B">
      <w:pPr>
        <w:pStyle w:val="PB2"/>
      </w:pPr>
      <w:r>
        <w:rPr>
          <w:b/>
        </w:rPr>
        <w:t xml:space="preserve">Level </w:t>
      </w:r>
      <w:r w:rsidRPr="00D5506D">
        <w:rPr>
          <w:b/>
        </w:rPr>
        <w:t>2</w:t>
      </w:r>
      <w:r>
        <w:rPr>
          <w:b/>
        </w:rPr>
        <w:t xml:space="preserve"> -</w:t>
      </w:r>
      <w:r w:rsidRPr="00D5506D">
        <w:rPr>
          <w:b/>
        </w:rPr>
        <w:t xml:space="preserve"> Unlikely:</w:t>
      </w:r>
      <w:r>
        <w:t xml:space="preserve"> </w:t>
      </w:r>
      <w:r w:rsidRPr="00DF2DF0">
        <w:t xml:space="preserve">the relationship </w:t>
      </w:r>
      <w:r>
        <w:t>to</w:t>
      </w:r>
      <w:r w:rsidRPr="00DF2DF0">
        <w:t xml:space="preserve"> the use of the device seems not relevant and/or the event can be reasonably explained by another cause, but additional information may be obtained.</w:t>
      </w:r>
      <w:r>
        <w:t xml:space="preserve"> </w:t>
      </w:r>
    </w:p>
    <w:p w14:paraId="3240F998" w14:textId="77777777" w:rsidR="00D0528B" w:rsidRDefault="00D0528B" w:rsidP="00D0528B">
      <w:pPr>
        <w:pStyle w:val="PB2"/>
      </w:pPr>
      <w:r>
        <w:rPr>
          <w:b/>
        </w:rPr>
        <w:t xml:space="preserve">Level </w:t>
      </w:r>
      <w:r w:rsidRPr="00D5506D">
        <w:rPr>
          <w:b/>
        </w:rPr>
        <w:t>3</w:t>
      </w:r>
      <w:r>
        <w:rPr>
          <w:b/>
        </w:rPr>
        <w:t xml:space="preserve"> -</w:t>
      </w:r>
      <w:r w:rsidRPr="00D5506D">
        <w:rPr>
          <w:b/>
        </w:rPr>
        <w:t xml:space="preserve"> Possible:</w:t>
      </w:r>
      <w:r>
        <w:t xml:space="preserve"> t</w:t>
      </w:r>
      <w:r w:rsidRPr="00DF2DF0">
        <w:t xml:space="preserve">he relationship </w:t>
      </w:r>
      <w:r>
        <w:t xml:space="preserve">to </w:t>
      </w:r>
      <w:r w:rsidRPr="00DF2DF0">
        <w:t>the use of the investigational device is weak but cannot be ruled out completely.</w:t>
      </w:r>
    </w:p>
    <w:p w14:paraId="01B4122A" w14:textId="77777777" w:rsidR="00D0528B" w:rsidRDefault="00D0528B" w:rsidP="00D0528B">
      <w:pPr>
        <w:pStyle w:val="PB2"/>
      </w:pPr>
      <w:r>
        <w:rPr>
          <w:b/>
        </w:rPr>
        <w:t xml:space="preserve">Level </w:t>
      </w:r>
      <w:r w:rsidRPr="00D5506D">
        <w:rPr>
          <w:b/>
        </w:rPr>
        <w:t>4</w:t>
      </w:r>
      <w:r>
        <w:rPr>
          <w:b/>
        </w:rPr>
        <w:t xml:space="preserve"> -</w:t>
      </w:r>
      <w:r w:rsidRPr="00D5506D">
        <w:rPr>
          <w:b/>
        </w:rPr>
        <w:t xml:space="preserve"> Probable:</w:t>
      </w:r>
      <w:r>
        <w:t xml:space="preserve"> </w:t>
      </w:r>
      <w:r w:rsidRPr="00DF2DF0">
        <w:t xml:space="preserve">the relationship </w:t>
      </w:r>
      <w:r>
        <w:t>to</w:t>
      </w:r>
      <w:r w:rsidRPr="00DF2DF0">
        <w:t xml:space="preserve"> the use of the investigational device seems relevant and/or the event cannot reasonably </w:t>
      </w:r>
      <w:r>
        <w:t xml:space="preserve">be </w:t>
      </w:r>
      <w:r w:rsidRPr="00DF2DF0">
        <w:t>explained by another cause, but additional information may be obtained.</w:t>
      </w:r>
    </w:p>
    <w:p w14:paraId="742995D8" w14:textId="77777777" w:rsidR="00D0528B" w:rsidRDefault="00D0528B" w:rsidP="00D0528B">
      <w:pPr>
        <w:pStyle w:val="PB2"/>
      </w:pPr>
      <w:r>
        <w:rPr>
          <w:b/>
        </w:rPr>
        <w:t xml:space="preserve">Level </w:t>
      </w:r>
      <w:r w:rsidRPr="00D5506D">
        <w:rPr>
          <w:b/>
        </w:rPr>
        <w:t>5</w:t>
      </w:r>
      <w:r>
        <w:rPr>
          <w:b/>
        </w:rPr>
        <w:t xml:space="preserve"> -</w:t>
      </w:r>
      <w:r w:rsidRPr="00D5506D">
        <w:rPr>
          <w:b/>
        </w:rPr>
        <w:t xml:space="preserve"> Ca</w:t>
      </w:r>
      <w:r>
        <w:rPr>
          <w:b/>
        </w:rPr>
        <w:t>us</w:t>
      </w:r>
      <w:r w:rsidRPr="00D5506D">
        <w:rPr>
          <w:b/>
        </w:rPr>
        <w:t>al Relationship:</w:t>
      </w:r>
      <w:r>
        <w:t xml:space="preserve"> </w:t>
      </w:r>
      <w:r w:rsidRPr="00DF2DF0">
        <w:t>the serious event is associated with the investigational device</w:t>
      </w:r>
      <w:r>
        <w:t>,</w:t>
      </w:r>
      <w:r w:rsidRPr="00DF2DF0">
        <w:t xml:space="preserve"> or with procedures</w:t>
      </w:r>
      <w:r>
        <w:t xml:space="preserve">, </w:t>
      </w:r>
      <w:r w:rsidRPr="00DF2DF0">
        <w:t>beyond</w:t>
      </w:r>
      <w:r>
        <w:t xml:space="preserve"> </w:t>
      </w:r>
      <w:r w:rsidRPr="00DF2DF0">
        <w:t>reasonable doubt</w:t>
      </w:r>
      <w:r>
        <w:t>.</w:t>
      </w:r>
    </w:p>
    <w:p w14:paraId="7A666F56" w14:textId="77777777" w:rsidR="00D0528B" w:rsidRPr="00266875" w:rsidRDefault="00D0528B" w:rsidP="00D0528B">
      <w:pPr>
        <w:pStyle w:val="PB1"/>
      </w:pPr>
      <w:r>
        <w:t xml:space="preserve">Where uncertainty remains regarding the SAE’s classification, it will be classified as “Level 3 Possible”. See </w:t>
      </w:r>
      <w:hyperlink r:id="rId38" w:tooltip="Link to EU guidelines for medical devices" w:history="1">
        <w:r w:rsidRPr="00FF53C1">
          <w:rPr>
            <w:rStyle w:val="Hyperlink"/>
          </w:rPr>
          <w:t>EU guidelines</w:t>
        </w:r>
      </w:hyperlink>
      <w:r>
        <w:t xml:space="preserve"> for further details.</w:t>
      </w:r>
    </w:p>
    <w:p w14:paraId="46CA2E5A" w14:textId="02805334" w:rsidR="00D0528B" w:rsidRDefault="00D0528B" w:rsidP="00D0528B">
      <w:pPr>
        <w:pStyle w:val="PN11"/>
      </w:pPr>
      <w:r>
        <w:t xml:space="preserve">The CI (or delegate) will be responsible for reporting the events described in point </w:t>
      </w:r>
      <w:r w:rsidR="008E42B9">
        <w:t>3.</w:t>
      </w:r>
      <w:r w:rsidR="00DD4CB7">
        <w:t>7</w:t>
      </w:r>
      <w:r>
        <w:t xml:space="preserve"> to the CA</w:t>
      </w:r>
      <w:r w:rsidR="0044678A">
        <w:t xml:space="preserve"> (in the UK this is via MORE platform to MHRA)</w:t>
      </w:r>
      <w:r>
        <w:t>. The nature of the events, and timescales for reporting them, are outlined below and in the ‘Decision tree for AE reporting and timelines’.</w:t>
      </w:r>
    </w:p>
    <w:p w14:paraId="55611321" w14:textId="77777777" w:rsidR="00D0528B" w:rsidRDefault="00D0528B" w:rsidP="00D0528B">
      <w:pPr>
        <w:pStyle w:val="PB1"/>
      </w:pPr>
      <w:r>
        <w:t>A r</w:t>
      </w:r>
      <w:r w:rsidRPr="008A0C2A">
        <w:t xml:space="preserve">eportable event </w:t>
      </w:r>
      <w:r>
        <w:t xml:space="preserve">will be reported immediately, and </w:t>
      </w:r>
      <w:r w:rsidRPr="00266875">
        <w:t xml:space="preserve">no later </w:t>
      </w:r>
      <w:r w:rsidRPr="008A0C2A">
        <w:t xml:space="preserve">than 2 calendar days after </w:t>
      </w:r>
      <w:r>
        <w:t>their</w:t>
      </w:r>
      <w:r w:rsidRPr="008A0C2A">
        <w:t xml:space="preserve"> awareness</w:t>
      </w:r>
      <w:r>
        <w:t xml:space="preserve"> of it, where:</w:t>
      </w:r>
    </w:p>
    <w:p w14:paraId="0827AA10" w14:textId="77777777" w:rsidR="00D0528B" w:rsidRDefault="00D0528B" w:rsidP="00D0528B">
      <w:pPr>
        <w:pStyle w:val="PB2"/>
      </w:pPr>
      <w:r>
        <w:t>there is</w:t>
      </w:r>
      <w:r w:rsidRPr="008A0C2A">
        <w:t xml:space="preserve"> imminent risk of death</w:t>
      </w:r>
      <w:r>
        <w:t>, s</w:t>
      </w:r>
      <w:r w:rsidRPr="008A0C2A">
        <w:t>erious injury</w:t>
      </w:r>
      <w:r>
        <w:t>,</w:t>
      </w:r>
      <w:r w:rsidRPr="008A0C2A">
        <w:t xml:space="preserve"> or serious illness</w:t>
      </w:r>
      <w:r>
        <w:t xml:space="preserve"> indicated,</w:t>
      </w:r>
      <w:r w:rsidRPr="008C131D">
        <w:t xml:space="preserve"> </w:t>
      </w:r>
      <w:r w:rsidRPr="00C241D1">
        <w:t>and</w:t>
      </w:r>
      <w:r>
        <w:t xml:space="preserve"> </w:t>
      </w:r>
      <w:r w:rsidRPr="008A0C2A">
        <w:t>prompt remedial action</w:t>
      </w:r>
      <w:r>
        <w:t xml:space="preserve"> is required</w:t>
      </w:r>
      <w:r w:rsidRPr="008A0C2A">
        <w:t xml:space="preserve"> for other patients</w:t>
      </w:r>
      <w:r>
        <w:t xml:space="preserve">, participants, users or other persons, </w:t>
      </w:r>
      <w:r w:rsidRPr="00C241D1">
        <w:rPr>
          <w:i/>
        </w:rPr>
        <w:t>or</w:t>
      </w:r>
    </w:p>
    <w:p w14:paraId="74B3EFD1" w14:textId="77777777" w:rsidR="00D0528B" w:rsidRDefault="00D0528B" w:rsidP="00D0528B">
      <w:pPr>
        <w:pStyle w:val="PB2"/>
      </w:pPr>
      <w:r>
        <w:t>there is a</w:t>
      </w:r>
      <w:r w:rsidRPr="008A0C2A">
        <w:t xml:space="preserve"> new finding </w:t>
      </w:r>
      <w:r>
        <w:t>in relation to such a previously reported event.</w:t>
      </w:r>
    </w:p>
    <w:p w14:paraId="3604141F" w14:textId="77777777" w:rsidR="00D0528B" w:rsidRDefault="00D0528B" w:rsidP="00D0528B">
      <w:pPr>
        <w:pStyle w:val="PB1"/>
      </w:pPr>
      <w:r>
        <w:t xml:space="preserve">Where a reportable event does not meet the description outlined above, it will be reported immediately, and </w:t>
      </w:r>
      <w:r w:rsidRPr="00266875">
        <w:t xml:space="preserve">no later </w:t>
      </w:r>
      <w:r w:rsidRPr="008A0C2A">
        <w:t xml:space="preserve">than </w:t>
      </w:r>
      <w:r>
        <w:t>7</w:t>
      </w:r>
      <w:r w:rsidRPr="008A0C2A">
        <w:t xml:space="preserve"> calendar days after </w:t>
      </w:r>
      <w:r>
        <w:t>their</w:t>
      </w:r>
      <w:r w:rsidRPr="008A0C2A">
        <w:t xml:space="preserve"> awareness</w:t>
      </w:r>
      <w:r>
        <w:t xml:space="preserve"> of it. These timescales will also apply when reporting any new finding/update in relation to such a previously reported event</w:t>
      </w:r>
      <w:r w:rsidRPr="008A0C2A">
        <w:t>.</w:t>
      </w:r>
    </w:p>
    <w:p w14:paraId="7520407D" w14:textId="1C6D35F3" w:rsidR="00D0528B" w:rsidRDefault="00D0528B" w:rsidP="00D0528B">
      <w:pPr>
        <w:pStyle w:val="PN1"/>
      </w:pPr>
      <w:bookmarkStart w:id="31" w:name="_Toc225494570"/>
      <w:r>
        <w:lastRenderedPageBreak/>
        <w:t xml:space="preserve">Urgent </w:t>
      </w:r>
      <w:r w:rsidR="00B16AF1">
        <w:t>s</w:t>
      </w:r>
      <w:r>
        <w:t xml:space="preserve">afety </w:t>
      </w:r>
      <w:r w:rsidR="00B16AF1">
        <w:t>m</w:t>
      </w:r>
      <w:r>
        <w:t>easures</w:t>
      </w:r>
      <w:bookmarkEnd w:id="31"/>
    </w:p>
    <w:p w14:paraId="440928D1" w14:textId="5F47602F" w:rsidR="00857AEE" w:rsidRDefault="00857AEE" w:rsidP="002A6AA1">
      <w:r w:rsidRPr="00857AEE">
        <w:t>A sponsor or investigator may take appropriate urgent safety measures in order to protect research participants against any immediate hazard to their health or safety, without prior authorisation from a regulatory body.</w:t>
      </w:r>
      <w:r w:rsidR="003344D6">
        <w:t xml:space="preserve"> </w:t>
      </w:r>
      <w:r w:rsidR="00CF69DF">
        <w:t xml:space="preserve">For reporting to the REC, the </w:t>
      </w:r>
      <w:r w:rsidR="00CF69DF" w:rsidRPr="00124402">
        <w:t>appropriate REC safety reporting</w:t>
      </w:r>
      <w:r w:rsidR="00CF69DF" w:rsidRPr="008E7A39">
        <w:rPr>
          <w:b/>
          <w:bCs/>
        </w:rPr>
        <w:t> </w:t>
      </w:r>
      <w:r w:rsidR="00CF69DF" w:rsidRPr="00124402">
        <w:t>cover sheet</w:t>
      </w:r>
      <w:r w:rsidR="00CF69DF">
        <w:t xml:space="preserve"> should be used</w:t>
      </w:r>
      <w:r w:rsidR="00CF69DF" w:rsidRPr="00124402">
        <w:t xml:space="preserve"> (see</w:t>
      </w:r>
      <w:r w:rsidR="00CF69DF">
        <w:t xml:space="preserve"> </w:t>
      </w:r>
      <w:hyperlink r:id="rId39" w:tooltip="Link to HRA urgent safety measures (all studies)" w:history="1">
        <w:r w:rsidR="00CF69DF" w:rsidRPr="008E7A39">
          <w:rPr>
            <w:rStyle w:val="Hyperlink"/>
          </w:rPr>
          <w:t>HRA urgent safety measures (all studies)</w:t>
        </w:r>
      </w:hyperlink>
      <w:r w:rsidR="00CF69DF">
        <w:t xml:space="preserve"> for more information). See also </w:t>
      </w:r>
      <w:hyperlink r:id="rId40" w:anchor="urgent-safety-measures" w:tooltip="Link to MHRA guidance on urgent safety measures" w:history="1">
        <w:r w:rsidR="00CF69DF" w:rsidRPr="00265923">
          <w:rPr>
            <w:rStyle w:val="Hyperlink"/>
          </w:rPr>
          <w:t>MHR</w:t>
        </w:r>
        <w:r w:rsidR="00CF69DF">
          <w:rPr>
            <w:rStyle w:val="Hyperlink"/>
          </w:rPr>
          <w:t>A guidance on urgent safety measures</w:t>
        </w:r>
      </w:hyperlink>
      <w:r w:rsidR="00CF69DF">
        <w:t xml:space="preserve"> for further details.</w:t>
      </w:r>
    </w:p>
    <w:p w14:paraId="404B03E1" w14:textId="5041CEA7" w:rsidR="00D3755A" w:rsidRDefault="00D3755A" w:rsidP="00A17E29">
      <w:pPr>
        <w:pStyle w:val="PN11"/>
      </w:pPr>
      <w:r>
        <w:t>For CTIMPs open in the UK, w</w:t>
      </w:r>
      <w:r w:rsidR="00E5461F">
        <w:t xml:space="preserve">here an urgent safety measure is </w:t>
      </w:r>
      <w:r w:rsidR="00B3339A">
        <w:t>taken, t</w:t>
      </w:r>
      <w:r w:rsidR="00D0528B" w:rsidRPr="00E13A27">
        <w:t xml:space="preserve">he CI (or delegate) will </w:t>
      </w:r>
      <w:r w:rsidR="00625674" w:rsidRPr="00625674">
        <w:t xml:space="preserve">contact the </w:t>
      </w:r>
      <w:r>
        <w:t>MHRA (</w:t>
      </w:r>
      <w:r w:rsidR="00625674" w:rsidRPr="00625674">
        <w:t xml:space="preserve">through the Clinical Trial Helpline </w:t>
      </w:r>
      <w:r>
        <w:t xml:space="preserve">on </w:t>
      </w:r>
      <w:r w:rsidR="00625674" w:rsidRPr="00625674">
        <w:t>020 3080 6456</w:t>
      </w:r>
      <w:r>
        <w:t xml:space="preserve"> (correct at the time of writing))</w:t>
      </w:r>
      <w:r w:rsidR="00625674" w:rsidRPr="00625674">
        <w:t xml:space="preserve"> to discuss the </w:t>
      </w:r>
      <w:r>
        <w:t xml:space="preserve">urgent safety measure. </w:t>
      </w:r>
      <w:r w:rsidR="00AC1BDD">
        <w:t>The MHRA will be contacted</w:t>
      </w:r>
      <w:r>
        <w:t xml:space="preserve"> </w:t>
      </w:r>
      <w:r w:rsidR="00AC1BDD">
        <w:t>n</w:t>
      </w:r>
      <w:r w:rsidR="00AC1BDD" w:rsidRPr="00625674">
        <w:t>o later than 3 days after the measures are taken (but ideally within 24 hours)</w:t>
      </w:r>
      <w:r w:rsidR="00AC1BDD">
        <w:t>.</w:t>
      </w:r>
    </w:p>
    <w:p w14:paraId="56681FC7" w14:textId="261551F5" w:rsidR="00490F92" w:rsidRDefault="00100DB9" w:rsidP="00A17E29">
      <w:pPr>
        <w:pStyle w:val="PN11"/>
      </w:pPr>
      <w:r>
        <w:t xml:space="preserve">The CI (or delegate) will </w:t>
      </w:r>
      <w:r w:rsidR="007661E6">
        <w:t>provide written notification to the REC</w:t>
      </w:r>
      <w:r w:rsidR="009D29D6">
        <w:t xml:space="preserve"> (</w:t>
      </w:r>
      <w:r w:rsidR="007661E6">
        <w:t>and the CA where applicable</w:t>
      </w:r>
      <w:r w:rsidR="009D29D6">
        <w:t>)</w:t>
      </w:r>
      <w:r w:rsidR="009515C9">
        <w:t xml:space="preserve"> and REGI</w:t>
      </w:r>
      <w:r w:rsidR="007661E6">
        <w:t xml:space="preserve"> of the urgent safety measure within 7 calendar days from the date the measure</w:t>
      </w:r>
      <w:r w:rsidR="009515C9">
        <w:t>s</w:t>
      </w:r>
      <w:r w:rsidR="007661E6">
        <w:t xml:space="preserve"> are taken</w:t>
      </w:r>
      <w:r w:rsidR="009515C9">
        <w:t xml:space="preserve">. </w:t>
      </w:r>
      <w:r w:rsidR="007661E6">
        <w:t xml:space="preserve"> </w:t>
      </w:r>
    </w:p>
    <w:p w14:paraId="2CC9BA27" w14:textId="2882F730" w:rsidR="00673F93" w:rsidRDefault="00BC7502" w:rsidP="00A17E29">
      <w:pPr>
        <w:pStyle w:val="PN11"/>
      </w:pPr>
      <w:r>
        <w:t xml:space="preserve">The CI (or delegate) </w:t>
      </w:r>
      <w:r w:rsidR="00A03104">
        <w:t xml:space="preserve">submit a </w:t>
      </w:r>
      <w:r w:rsidR="00FD1252" w:rsidRPr="00FD1252">
        <w:t xml:space="preserve">substantial modification that covers the </w:t>
      </w:r>
      <w:r w:rsidR="00FD1252">
        <w:t>urgent safety measure</w:t>
      </w:r>
      <w:r w:rsidR="00FD1252" w:rsidRPr="00FD1252">
        <w:t xml:space="preserve"> (with no additional changes)</w:t>
      </w:r>
      <w:r w:rsidR="008102EB">
        <w:t xml:space="preserve">. This should be </w:t>
      </w:r>
      <w:r w:rsidR="00825A75">
        <w:t>as soon as possible</w:t>
      </w:r>
      <w:r w:rsidR="00E758D9">
        <w:t xml:space="preserve">; for CTIMPs, it </w:t>
      </w:r>
      <w:r w:rsidR="00A72863">
        <w:t xml:space="preserve">is expected to be submitted within </w:t>
      </w:r>
      <w:r w:rsidR="008102EB">
        <w:t xml:space="preserve">2 weeks </w:t>
      </w:r>
      <w:r w:rsidR="00A72863">
        <w:t>of when the MHRA</w:t>
      </w:r>
      <w:r w:rsidR="00E758D9" w:rsidRPr="00E758D9">
        <w:t xml:space="preserve"> was first informed (via telephone) of the </w:t>
      </w:r>
      <w:r w:rsidR="00A72863">
        <w:t>urgent safety measure</w:t>
      </w:r>
      <w:r w:rsidR="000D0A96">
        <w:t xml:space="preserve"> or as per </w:t>
      </w:r>
      <w:r w:rsidR="007B3698">
        <w:t>the time frame specified in the correspondence with the MHRA</w:t>
      </w:r>
      <w:r w:rsidR="001A6EC1">
        <w:t xml:space="preserve">. </w:t>
      </w:r>
      <w:r w:rsidR="008102EB">
        <w:t xml:space="preserve"> </w:t>
      </w:r>
    </w:p>
    <w:p w14:paraId="17628D89" w14:textId="77777777" w:rsidR="00D0528B" w:rsidRDefault="00D0528B" w:rsidP="00D0528B">
      <w:pPr>
        <w:pStyle w:val="PN11"/>
      </w:pPr>
      <w:r>
        <w:t>The CI (or delegate) will ensure that participants are given the option to re-consent, or to withdraw from the project, where urgent safety measures have been implemented to protect them against immediate hazard(s) to their health and safety.</w:t>
      </w:r>
    </w:p>
    <w:p w14:paraId="01C11CF4" w14:textId="7AC7A0D7" w:rsidR="00E577B9" w:rsidRPr="00124402" w:rsidRDefault="00E577B9" w:rsidP="00E577B9">
      <w:pPr>
        <w:pStyle w:val="PN1"/>
      </w:pPr>
      <w:bookmarkStart w:id="32" w:name="_Toc225494571"/>
      <w:r>
        <w:t xml:space="preserve">Communicating </w:t>
      </w:r>
      <w:r w:rsidR="00B16AF1">
        <w:t>s</w:t>
      </w:r>
      <w:r>
        <w:t xml:space="preserve">afety </w:t>
      </w:r>
      <w:r w:rsidR="00B16AF1">
        <w:t>i</w:t>
      </w:r>
      <w:r>
        <w:t>ssues</w:t>
      </w:r>
      <w:bookmarkEnd w:id="32"/>
    </w:p>
    <w:p w14:paraId="28C2E0D4" w14:textId="77777777" w:rsidR="00E577B9" w:rsidRDefault="00E577B9" w:rsidP="00E577B9">
      <w:pPr>
        <w:pStyle w:val="PN11"/>
      </w:pPr>
      <w:r>
        <w:t xml:space="preserve">The CI (or delegate) will inform </w:t>
      </w:r>
      <w:r w:rsidRPr="0056707C">
        <w:t xml:space="preserve">the </w:t>
      </w:r>
      <w:r>
        <w:t>s</w:t>
      </w:r>
      <w:r w:rsidRPr="0056707C">
        <w:t>ponsor</w:t>
      </w:r>
      <w:r>
        <w:t xml:space="preserve"> (REGI)</w:t>
      </w:r>
      <w:r w:rsidRPr="0056707C">
        <w:t xml:space="preserve"> of any potential significant safety issues that may have to be reported to any other </w:t>
      </w:r>
      <w:r>
        <w:t>projects</w:t>
      </w:r>
      <w:r w:rsidRPr="0056707C">
        <w:t xml:space="preserve"> in the </w:t>
      </w:r>
      <w:r>
        <w:t>s</w:t>
      </w:r>
      <w:r w:rsidRPr="0056707C">
        <w:t xml:space="preserve">ponsor’s portfolio </w:t>
      </w:r>
      <w:r>
        <w:t xml:space="preserve">that are </w:t>
      </w:r>
      <w:r w:rsidRPr="0056707C">
        <w:t>using the same</w:t>
      </w:r>
      <w:r>
        <w:t xml:space="preserve"> IMP/medicine/intervention.</w:t>
      </w:r>
    </w:p>
    <w:p w14:paraId="5737EA19" w14:textId="23F925DE" w:rsidR="00E577B9" w:rsidRPr="00124402" w:rsidRDefault="00E577B9" w:rsidP="00E577B9">
      <w:pPr>
        <w:pStyle w:val="PN11"/>
      </w:pPr>
      <w:r>
        <w:t xml:space="preserve">The CI (or delegate) will inform </w:t>
      </w:r>
      <w:r w:rsidRPr="00814B0F">
        <w:t xml:space="preserve">relevant third parties </w:t>
      </w:r>
      <w:r>
        <w:t>(where this is a contractual requirement) about</w:t>
      </w:r>
      <w:r w:rsidRPr="00814B0F">
        <w:t xml:space="preserve"> any relevant safety data</w:t>
      </w:r>
      <w:r>
        <w:t>,</w:t>
      </w:r>
      <w:r w:rsidRPr="00814B0F">
        <w:t xml:space="preserve"> or significant safety issues</w:t>
      </w:r>
      <w:r>
        <w:t>,</w:t>
      </w:r>
      <w:r w:rsidRPr="00814B0F">
        <w:t xml:space="preserve"> as appropriate</w:t>
      </w:r>
      <w:r>
        <w:t xml:space="preserve"> (this does not include </w:t>
      </w:r>
      <w:r w:rsidR="00F34B8B">
        <w:t>study/trial locations</w:t>
      </w:r>
      <w:r>
        <w:t xml:space="preserve">, see procedure point </w:t>
      </w:r>
      <w:r w:rsidR="00DB178A">
        <w:t>5.4</w:t>
      </w:r>
      <w:r w:rsidR="00A27A67">
        <w:t>)</w:t>
      </w:r>
      <w:r>
        <w:t xml:space="preserve">. </w:t>
      </w:r>
    </w:p>
    <w:p w14:paraId="171CAD0E" w14:textId="20CCD436" w:rsidR="00E577B9" w:rsidRPr="00C3457F" w:rsidRDefault="00E577B9" w:rsidP="00E577B9">
      <w:pPr>
        <w:pStyle w:val="PN11"/>
      </w:pPr>
      <w:r>
        <w:t>Within 10 working days of receiving information regarding potentially significant safety issues relating to an IMP/medicine/</w:t>
      </w:r>
      <w:r w:rsidRPr="00C3457F">
        <w:t xml:space="preserve">intervention, the REGI (as the sponsor) will contact all CIs in the sponsor’s portfolio who are leading projects that also involve the affected IMP/medicine/intervention. REGI will also assess any impact upon sponsorship, insurance or contractual obligations, and will respond as necessary. </w:t>
      </w:r>
      <w:r w:rsidR="003F692B" w:rsidRPr="00C3457F">
        <w:t>If</w:t>
      </w:r>
      <w:r w:rsidRPr="00C3457F">
        <w:t xml:space="preserve"> a supplier issues a revised SmPC,</w:t>
      </w:r>
      <w:r w:rsidRPr="00C3457F" w:rsidDel="00B3623F">
        <w:t xml:space="preserve"> </w:t>
      </w:r>
      <w:r w:rsidRPr="00C3457F">
        <w:t xml:space="preserve">REGI will notify the CIs leading any relevant projects about the update. </w:t>
      </w:r>
    </w:p>
    <w:p w14:paraId="4227C21C" w14:textId="77777777" w:rsidR="00E577B9" w:rsidRPr="006B40FE" w:rsidRDefault="00E577B9" w:rsidP="00E577B9">
      <w:pPr>
        <w:pStyle w:val="PN11"/>
      </w:pPr>
      <w:r w:rsidRPr="006B40FE">
        <w:t>The CI (or delegate) will:</w:t>
      </w:r>
    </w:p>
    <w:p w14:paraId="0A4E85B7" w14:textId="6CF5D216" w:rsidR="00E577B9" w:rsidRPr="006B40FE" w:rsidRDefault="00E577B9" w:rsidP="00E577B9">
      <w:pPr>
        <w:pStyle w:val="PB1"/>
      </w:pPr>
      <w:r>
        <w:t>i</w:t>
      </w:r>
      <w:r w:rsidRPr="006B40FE">
        <w:t xml:space="preserve">nform </w:t>
      </w:r>
      <w:r>
        <w:t xml:space="preserve">the </w:t>
      </w:r>
      <w:r w:rsidR="00F34B8B">
        <w:t>study/trial location</w:t>
      </w:r>
      <w:r w:rsidRPr="006B40FE">
        <w:t xml:space="preserve"> staff </w:t>
      </w:r>
      <w:r>
        <w:t>about</w:t>
      </w:r>
      <w:r w:rsidRPr="006B40FE">
        <w:t xml:space="preserve"> any safety issues in a timely fashion </w:t>
      </w:r>
      <w:r>
        <w:t>(</w:t>
      </w:r>
      <w:r w:rsidRPr="006B40FE">
        <w:t>for CTIMPs this includes forwarding information about SUSARs</w:t>
      </w:r>
      <w:r>
        <w:t>)</w:t>
      </w:r>
    </w:p>
    <w:p w14:paraId="016C7348" w14:textId="3537E710" w:rsidR="00E577B9" w:rsidRPr="006B40FE" w:rsidRDefault="00E577B9" w:rsidP="00E577B9">
      <w:pPr>
        <w:pStyle w:val="PB1"/>
      </w:pPr>
      <w:r w:rsidRPr="006B40FE">
        <w:t xml:space="preserve">ensure </w:t>
      </w:r>
      <w:r>
        <w:t xml:space="preserve">that any </w:t>
      </w:r>
      <w:r w:rsidRPr="006B40FE">
        <w:t>safety information is made available for the</w:t>
      </w:r>
      <w:r w:rsidR="00BD0E21">
        <w:t xml:space="preserve"> relevant project oversight committee (e.g.,</w:t>
      </w:r>
      <w:r w:rsidR="00D00271">
        <w:t xml:space="preserve"> Data Monitoring Committee) to</w:t>
      </w:r>
      <w:r w:rsidRPr="006B40FE">
        <w:t xml:space="preserve"> review at the scheduled time points</w:t>
      </w:r>
      <w:r w:rsidRPr="00436E02">
        <w:t xml:space="preserve"> </w:t>
      </w:r>
      <w:r>
        <w:t>(w</w:t>
      </w:r>
      <w:r w:rsidRPr="006B40FE">
        <w:t xml:space="preserve">here </w:t>
      </w:r>
      <w:r w:rsidR="00D00271">
        <w:t xml:space="preserve">one </w:t>
      </w:r>
      <w:r w:rsidRPr="006B40FE">
        <w:t>is in place</w:t>
      </w:r>
      <w:r>
        <w:t>)</w:t>
      </w:r>
    </w:p>
    <w:p w14:paraId="388F54AB" w14:textId="128172DA" w:rsidR="00E577B9" w:rsidRPr="006B40FE" w:rsidRDefault="001A6124" w:rsidP="00E577B9">
      <w:pPr>
        <w:pStyle w:val="PB1"/>
      </w:pPr>
      <w:r>
        <w:t xml:space="preserve">if required/appropriate, </w:t>
      </w:r>
      <w:r w:rsidR="00E577B9">
        <w:t>e</w:t>
      </w:r>
      <w:r w:rsidR="00E577B9" w:rsidRPr="006B40FE">
        <w:t xml:space="preserve">nsure </w:t>
      </w:r>
      <w:r w:rsidR="00E577B9">
        <w:t>an u</w:t>
      </w:r>
      <w:r w:rsidR="00E577B9" w:rsidRPr="006B40FE">
        <w:t xml:space="preserve">rgent </w:t>
      </w:r>
      <w:r w:rsidR="00707FBE">
        <w:t>meeting is</w:t>
      </w:r>
      <w:r w:rsidR="00E577B9">
        <w:t xml:space="preserve"> convened</w:t>
      </w:r>
      <w:r w:rsidR="00707FBE">
        <w:t xml:space="preserve"> for the relevant project oversight committee</w:t>
      </w:r>
      <w:r w:rsidR="00E577B9" w:rsidRPr="006B40FE">
        <w:t xml:space="preserve"> </w:t>
      </w:r>
      <w:r w:rsidR="00E577B9">
        <w:t>to assess</w:t>
      </w:r>
      <w:r w:rsidR="00E577B9" w:rsidRPr="006B40FE">
        <w:t xml:space="preserve"> </w:t>
      </w:r>
      <w:r w:rsidR="00DB178A" w:rsidRPr="006B40FE">
        <w:t>all</w:t>
      </w:r>
      <w:r w:rsidR="00E577B9">
        <w:t xml:space="preserve"> the </w:t>
      </w:r>
      <w:r w:rsidR="00E577B9" w:rsidRPr="006B40FE">
        <w:t>safety information</w:t>
      </w:r>
      <w:r w:rsidR="00E577B9">
        <w:t xml:space="preserve"> (the </w:t>
      </w:r>
      <w:r w:rsidR="00707FBE">
        <w:t xml:space="preserve">committee </w:t>
      </w:r>
      <w:r w:rsidR="00E577B9">
        <w:t>will</w:t>
      </w:r>
      <w:r w:rsidR="00707FBE">
        <w:t xml:space="preserve"> then</w:t>
      </w:r>
      <w:r w:rsidR="00E577B9" w:rsidRPr="006B40FE">
        <w:t xml:space="preserve"> advise</w:t>
      </w:r>
      <w:r w:rsidR="00E577B9">
        <w:t xml:space="preserve"> the</w:t>
      </w:r>
      <w:r w:rsidR="00E577B9" w:rsidRPr="006B40FE">
        <w:t xml:space="preserve"> CI of the</w:t>
      </w:r>
      <w:r w:rsidR="00E577B9">
        <w:t>ir</w:t>
      </w:r>
      <w:r w:rsidR="00E577B9" w:rsidRPr="006B40FE">
        <w:t xml:space="preserve"> decisions</w:t>
      </w:r>
      <w:r w:rsidR="00E577B9">
        <w:t>)</w:t>
      </w:r>
      <w:r w:rsidR="00E577B9" w:rsidRPr="006B40FE">
        <w:t>.</w:t>
      </w:r>
    </w:p>
    <w:p w14:paraId="4B0549BA" w14:textId="100383D6" w:rsidR="00D0528B" w:rsidRDefault="00E577B9" w:rsidP="00E577B9">
      <w:pPr>
        <w:pStyle w:val="PN1"/>
      </w:pPr>
      <w:bookmarkStart w:id="33" w:name="_Toc225494572"/>
      <w:r>
        <w:t>Quarterly/</w:t>
      </w:r>
      <w:r w:rsidR="00B16AF1">
        <w:t>a</w:t>
      </w:r>
      <w:r>
        <w:t xml:space="preserve">nnual </w:t>
      </w:r>
      <w:r w:rsidR="00B16AF1">
        <w:t>r</w:t>
      </w:r>
      <w:r>
        <w:t>eporting</w:t>
      </w:r>
      <w:bookmarkEnd w:id="33"/>
    </w:p>
    <w:p w14:paraId="286DDDC5" w14:textId="4C24097B" w:rsidR="00E577B9" w:rsidRDefault="00E577B9" w:rsidP="00E577B9">
      <w:pPr>
        <w:pStyle w:val="PN11"/>
      </w:pPr>
      <w:r w:rsidRPr="00124402">
        <w:t xml:space="preserve">The CI (or delegate) will ensure </w:t>
      </w:r>
      <w:r>
        <w:t>that any required quarterly/</w:t>
      </w:r>
      <w:r w:rsidRPr="00124402">
        <w:t xml:space="preserve">annual reporting is </w:t>
      </w:r>
      <w:r>
        <w:t>completed, and that</w:t>
      </w:r>
      <w:r w:rsidRPr="008A0412">
        <w:t xml:space="preserve"> all relevant documentation </w:t>
      </w:r>
      <w:r>
        <w:t>(</w:t>
      </w:r>
      <w:r w:rsidRPr="008A0412">
        <w:t>including acknowledgment receipts</w:t>
      </w:r>
      <w:r>
        <w:t xml:space="preserve">) is filed in the </w:t>
      </w:r>
      <w:r w:rsidR="003C3DAC">
        <w:t>study/trial master file (</w:t>
      </w:r>
      <w:r>
        <w:t>S/TMF</w:t>
      </w:r>
      <w:r w:rsidR="003C3DAC">
        <w:t>)</w:t>
      </w:r>
      <w:r>
        <w:t xml:space="preserve">.  </w:t>
      </w:r>
    </w:p>
    <w:p w14:paraId="357B2EDD" w14:textId="2435066C" w:rsidR="00FA5990" w:rsidRDefault="00671069" w:rsidP="00E577B9">
      <w:pPr>
        <w:pStyle w:val="PN11"/>
      </w:pPr>
      <w:r>
        <w:t xml:space="preserve">For all </w:t>
      </w:r>
      <w:r w:rsidR="002572CD">
        <w:t>UoB sponsored clinical research or where UoB acts as the</w:t>
      </w:r>
      <w:r w:rsidR="00C838B5">
        <w:t xml:space="preserve"> n</w:t>
      </w:r>
      <w:r w:rsidR="00C838B5" w:rsidRPr="00C838B5">
        <w:t xml:space="preserve">ational </w:t>
      </w:r>
      <w:r w:rsidR="00C838B5">
        <w:t>c</w:t>
      </w:r>
      <w:r w:rsidR="00C838B5" w:rsidRPr="00C838B5">
        <w:t xml:space="preserve">oordinating </w:t>
      </w:r>
      <w:r w:rsidR="00940A8E">
        <w:t>c</w:t>
      </w:r>
      <w:r w:rsidR="00C838B5" w:rsidRPr="00C838B5">
        <w:t>entre</w:t>
      </w:r>
      <w:r w:rsidR="00940A8E">
        <w:t xml:space="preserve">, </w:t>
      </w:r>
      <w:r w:rsidR="006445E4">
        <w:t xml:space="preserve">the CI (or delegate) will submit the </w:t>
      </w:r>
      <w:hyperlink r:id="rId41" w:tooltip="UoB Annual Progress Report template (Word - 293 KB)" w:history="1">
        <w:r w:rsidR="00940A8E" w:rsidRPr="00B013E3">
          <w:rPr>
            <w:rStyle w:val="Hyperlink"/>
          </w:rPr>
          <w:t>sponsor’s annual progress repor</w:t>
        </w:r>
        <w:r w:rsidR="002B38F8">
          <w:rPr>
            <w:rStyle w:val="Hyperlink"/>
          </w:rPr>
          <w:t>t (Word – 293 KB)</w:t>
        </w:r>
      </w:hyperlink>
      <w:r w:rsidR="00241219">
        <w:t xml:space="preserve"> </w:t>
      </w:r>
      <w:r w:rsidR="00996421">
        <w:t xml:space="preserve">within 30 days of </w:t>
      </w:r>
      <w:r w:rsidR="00CC571E">
        <w:t xml:space="preserve">the anniversary date of the </w:t>
      </w:r>
      <w:r w:rsidR="00996421">
        <w:t>project</w:t>
      </w:r>
      <w:r w:rsidR="00CC571E">
        <w:t xml:space="preserve"> obtaining </w:t>
      </w:r>
      <w:r w:rsidR="00996421">
        <w:t xml:space="preserve">favourable opinion from the </w:t>
      </w:r>
      <w:r w:rsidR="00CC571E">
        <w:t>REC</w:t>
      </w:r>
      <w:r w:rsidR="007954A9">
        <w:t>.</w:t>
      </w:r>
      <w:r w:rsidR="00241219">
        <w:t xml:space="preserve"> </w:t>
      </w:r>
      <w:r w:rsidR="00790B05">
        <w:t xml:space="preserve">The form </w:t>
      </w:r>
      <w:r w:rsidR="00790B05" w:rsidRPr="00790B05">
        <w:t xml:space="preserve">can be completed and returned to </w:t>
      </w:r>
      <w:hyperlink r:id="rId42" w:history="1">
        <w:r w:rsidR="00790B05" w:rsidRPr="00ED40A5">
          <w:rPr>
            <w:rStyle w:val="Hyperlink"/>
          </w:rPr>
          <w:t>researchgovernance@contacts.bham.ac.uk</w:t>
        </w:r>
      </w:hyperlink>
      <w:r w:rsidR="00790B05">
        <w:t xml:space="preserve"> </w:t>
      </w:r>
      <w:r w:rsidR="00790B05" w:rsidRPr="00790B05">
        <w:t>- electronic submission via email is accepted.</w:t>
      </w:r>
    </w:p>
    <w:p w14:paraId="7074526D" w14:textId="119198EB" w:rsidR="00F61F67" w:rsidRPr="0077308B" w:rsidRDefault="00F61F67" w:rsidP="00F61F67">
      <w:pPr>
        <w:pStyle w:val="PN11"/>
      </w:pPr>
      <w:r>
        <w:t>Where an external CTU is used, the CI (or delegate</w:t>
      </w:r>
      <w:r w:rsidRPr="0077308B">
        <w:t>) will ensure that any formal</w:t>
      </w:r>
      <w:r w:rsidR="00E34700" w:rsidRPr="0077308B">
        <w:t xml:space="preserve"> </w:t>
      </w:r>
      <w:r w:rsidR="00795781" w:rsidRPr="0077308B">
        <w:t xml:space="preserve">quarterly/annual </w:t>
      </w:r>
      <w:r w:rsidR="00E34700" w:rsidRPr="0077308B">
        <w:t>reporting</w:t>
      </w:r>
      <w:r w:rsidRPr="0077308B">
        <w:t xml:space="preserve"> is sent to REGI prior to the communication being sent to the REC/HRA/MHRA (as applicable).</w:t>
      </w:r>
    </w:p>
    <w:p w14:paraId="699047F1" w14:textId="1F384A87" w:rsidR="00F61F67" w:rsidRDefault="00F61F67" w:rsidP="00EB1B40">
      <w:pPr>
        <w:pStyle w:val="PB1"/>
      </w:pPr>
      <w:r>
        <w:t>Consider outlining this requirement in the contractual agreement with the e</w:t>
      </w:r>
      <w:r w:rsidR="0070037A">
        <w:t>x</w:t>
      </w:r>
      <w:r>
        <w:t>ternal CTU.</w:t>
      </w:r>
    </w:p>
    <w:p w14:paraId="19E19557" w14:textId="77777777" w:rsidR="00E577B9" w:rsidRDefault="00E577B9" w:rsidP="00E577B9">
      <w:r w:rsidRPr="002C6D2D">
        <w:rPr>
          <w:b/>
          <w:bCs/>
        </w:rPr>
        <w:lastRenderedPageBreak/>
        <w:t>Please Note</w:t>
      </w:r>
      <w:r>
        <w:t xml:space="preserve">: HRA guidance on </w:t>
      </w:r>
      <w:bookmarkStart w:id="34" w:name="_Hlk187102679"/>
      <w:r>
        <w:fldChar w:fldCharType="begin"/>
      </w:r>
      <w:r>
        <w:instrText>HYPERLINK "https://www.hra.nhs.uk/about-us/news-updates/important-changes-progress-and-safety-reports/"</w:instrText>
      </w:r>
      <w:r>
        <w:fldChar w:fldCharType="separate"/>
      </w:r>
      <w:r>
        <w:rPr>
          <w:rStyle w:val="Hyperlink"/>
        </w:rPr>
        <w:t>i</w:t>
      </w:r>
      <w:r w:rsidRPr="00064FE1">
        <w:rPr>
          <w:rStyle w:val="Hyperlink"/>
        </w:rPr>
        <w:t xml:space="preserve">mportant </w:t>
      </w:r>
      <w:r>
        <w:rPr>
          <w:rStyle w:val="Hyperlink"/>
        </w:rPr>
        <w:t>c</w:t>
      </w:r>
      <w:r w:rsidRPr="00064FE1">
        <w:rPr>
          <w:rStyle w:val="Hyperlink"/>
        </w:rPr>
        <w:t>hanges to progress reports and safety reports</w:t>
      </w:r>
      <w:r>
        <w:fldChar w:fldCharType="end"/>
      </w:r>
      <w:r>
        <w:t xml:space="preserve"> that was first introduced</w:t>
      </w:r>
      <w:r w:rsidRPr="00346C06">
        <w:t xml:space="preserve"> to research approved by RECs in England and Wales </w:t>
      </w:r>
      <w:r>
        <w:t>on</w:t>
      </w:r>
      <w:r w:rsidRPr="00346C06">
        <w:t xml:space="preserve"> 1 June</w:t>
      </w:r>
      <w:r>
        <w:t xml:space="preserve"> 2024</w:t>
      </w:r>
      <w:r w:rsidRPr="00346C06">
        <w:t xml:space="preserve"> and </w:t>
      </w:r>
      <w:r>
        <w:t>then</w:t>
      </w:r>
      <w:r w:rsidRPr="00346C06">
        <w:t xml:space="preserve"> Scotland and Northern Ireland </w:t>
      </w:r>
      <w:r>
        <w:t>on</w:t>
      </w:r>
      <w:r w:rsidRPr="00346C06">
        <w:t xml:space="preserve"> 1 August</w:t>
      </w:r>
      <w:bookmarkEnd w:id="34"/>
      <w:r w:rsidRPr="006E0A50">
        <w:t xml:space="preserve"> </w:t>
      </w:r>
      <w:r>
        <w:t>2024.</w:t>
      </w:r>
    </w:p>
    <w:p w14:paraId="7E2AE05D" w14:textId="77777777" w:rsidR="00E577B9" w:rsidRPr="00E577B9" w:rsidRDefault="00E577B9" w:rsidP="00E577B9">
      <w:pPr>
        <w:pStyle w:val="Heading3"/>
      </w:pPr>
      <w:bookmarkStart w:id="35" w:name="_Toc225494573"/>
      <w:r>
        <w:t>Studies and non-CTIMPs</w:t>
      </w:r>
      <w:bookmarkEnd w:id="35"/>
    </w:p>
    <w:p w14:paraId="4DEE495B" w14:textId="7F2A2630" w:rsidR="00E577B9" w:rsidRDefault="00E577B9" w:rsidP="00E577B9">
      <w:pPr>
        <w:pStyle w:val="PN11"/>
      </w:pPr>
      <w:r>
        <w:t xml:space="preserve">For </w:t>
      </w:r>
      <w:r w:rsidR="00A47052">
        <w:t xml:space="preserve">HRA approved and/or </w:t>
      </w:r>
      <w:r>
        <w:t>NHS REC approved clinical research, there is no longer a requirement to submit an annual progress report</w:t>
      </w:r>
      <w:r w:rsidR="00E73855">
        <w:t xml:space="preserve"> (APR)</w:t>
      </w:r>
      <w:r>
        <w:t xml:space="preserve"> (see the HRA’s important changes in point </w:t>
      </w:r>
      <w:r w:rsidR="00E629C1">
        <w:t>6.6</w:t>
      </w:r>
      <w:r>
        <w:t xml:space="preserve">). Similarly, there are no annual reporting requirements for UoB REC approved clinical research. </w:t>
      </w:r>
    </w:p>
    <w:p w14:paraId="7178F863" w14:textId="77777777" w:rsidR="00E577B9" w:rsidRDefault="00E577B9" w:rsidP="00E577B9">
      <w:pPr>
        <w:pStyle w:val="Heading3"/>
      </w:pPr>
      <w:bookmarkStart w:id="36" w:name="_Toc225494574"/>
      <w:r>
        <w:t>Clinical investigations of medical devices</w:t>
      </w:r>
      <w:bookmarkEnd w:id="36"/>
      <w:r>
        <w:t xml:space="preserve"> </w:t>
      </w:r>
    </w:p>
    <w:p w14:paraId="48DDEA32" w14:textId="77777777" w:rsidR="00E577B9" w:rsidRDefault="00E577B9" w:rsidP="00E577B9">
      <w:pPr>
        <w:pStyle w:val="PN11"/>
      </w:pPr>
      <w:r>
        <w:t>The CI (or delegate) will ensure quarterly summary reports (</w:t>
      </w:r>
      <w:r w:rsidRPr="004F41C1">
        <w:t>provid</w:t>
      </w:r>
      <w:r>
        <w:t xml:space="preserve">ing </w:t>
      </w:r>
      <w:r w:rsidRPr="004F41C1">
        <w:t>an update on the latest overall safety profile for the investigation</w:t>
      </w:r>
      <w:r>
        <w:t xml:space="preserve">) are submitted directly to the CA. A copy of the report will be provided to REGI (as sponsor) at the point of submission. See MHRA guidance on </w:t>
      </w:r>
      <w:bookmarkStart w:id="37" w:name="_Hlk187102707"/>
      <w:r>
        <w:fldChar w:fldCharType="begin"/>
      </w:r>
      <w:r>
        <w:instrText>HYPERLINK "https://www.gov.uk/guidance/notify-mhra-about-a-clinical-investigation-for-a-medical-device"</w:instrText>
      </w:r>
      <w:r>
        <w:fldChar w:fldCharType="separate"/>
      </w:r>
      <w:r>
        <w:rPr>
          <w:rStyle w:val="Hyperlink"/>
        </w:rPr>
        <w:t>c</w:t>
      </w:r>
      <w:r w:rsidRPr="00064FE1">
        <w:rPr>
          <w:rStyle w:val="Hyperlink"/>
        </w:rPr>
        <w:t>linical Investigations</w:t>
      </w:r>
      <w:r>
        <w:rPr>
          <w:rStyle w:val="Hyperlink"/>
        </w:rPr>
        <w:t xml:space="preserve"> for medical devices</w:t>
      </w:r>
      <w:r>
        <w:fldChar w:fldCharType="end"/>
      </w:r>
      <w:bookmarkEnd w:id="37"/>
      <w:r w:rsidRPr="00064FE1">
        <w:t xml:space="preserve">.  </w:t>
      </w:r>
    </w:p>
    <w:p w14:paraId="4C0A3F7C" w14:textId="5265ECD1" w:rsidR="0074358B" w:rsidRDefault="002B7243" w:rsidP="00216B8A">
      <w:pPr>
        <w:pStyle w:val="PB1"/>
      </w:pPr>
      <w:r w:rsidRPr="00216B8A">
        <w:rPr>
          <w:b/>
          <w:bCs/>
        </w:rPr>
        <w:t>Please Note</w:t>
      </w:r>
      <w:r>
        <w:t>: where</w:t>
      </w:r>
      <w:r w:rsidR="00F13A93">
        <w:t xml:space="preserve"> users are unable to </w:t>
      </w:r>
      <w:r>
        <w:t>access to the MHRA MORE system</w:t>
      </w:r>
      <w:r w:rsidR="00F13A93">
        <w:t xml:space="preserve">, please contact REGI. Where necessary, REGI will </w:t>
      </w:r>
      <w:r w:rsidR="00B333B6">
        <w:t xml:space="preserve">submit the report for the project. </w:t>
      </w:r>
    </w:p>
    <w:p w14:paraId="046E604D" w14:textId="77777777" w:rsidR="00E577B9" w:rsidRDefault="00E577B9" w:rsidP="00E577B9">
      <w:pPr>
        <w:pStyle w:val="Heading3"/>
      </w:pPr>
      <w:bookmarkStart w:id="38" w:name="_Toc225494575"/>
      <w:r>
        <w:t>CTIMPs (development safety update report (DSUR))</w:t>
      </w:r>
      <w:bookmarkEnd w:id="38"/>
    </w:p>
    <w:p w14:paraId="19711F2D" w14:textId="77777777" w:rsidR="00E577B9" w:rsidRDefault="00E577B9" w:rsidP="00E577B9">
      <w:pPr>
        <w:pStyle w:val="PN11"/>
      </w:pPr>
      <w:r>
        <w:t xml:space="preserve">The CI (or delegate) will </w:t>
      </w:r>
      <w:r w:rsidRPr="00FF2BF6">
        <w:t xml:space="preserve">ensure the </w:t>
      </w:r>
      <w:r>
        <w:t xml:space="preserve">appropriate </w:t>
      </w:r>
      <w:r w:rsidRPr="00FF2BF6">
        <w:t>completion and submission of an annual DSUR to the CA</w:t>
      </w:r>
      <w:r>
        <w:t xml:space="preserve">, (and the </w:t>
      </w:r>
      <w:r w:rsidRPr="00FF2BF6">
        <w:t>REC</w:t>
      </w:r>
      <w:r>
        <w:t xml:space="preserve"> where applicable)</w:t>
      </w:r>
      <w:r w:rsidRPr="00FF2BF6">
        <w:t xml:space="preserve">, </w:t>
      </w:r>
      <w:r>
        <w:t>with a copy sent to the</w:t>
      </w:r>
      <w:r w:rsidRPr="00FF2BF6">
        <w:t xml:space="preserve"> REGI</w:t>
      </w:r>
      <w:r>
        <w:t xml:space="preserve">. Refer to the MHRA guidance on </w:t>
      </w:r>
      <w:hyperlink r:id="rId43" w:anchor="development-safety-update-reports-dsurs" w:history="1">
        <w:r w:rsidRPr="00AD30FF">
          <w:rPr>
            <w:rStyle w:val="Hyperlink"/>
          </w:rPr>
          <w:t>DSURs</w:t>
        </w:r>
      </w:hyperlink>
      <w:r>
        <w:t xml:space="preserve"> and the </w:t>
      </w:r>
      <w:hyperlink r:id="rId44" w:history="1">
        <w:r w:rsidRPr="00E70963">
          <w:rPr>
            <w:rStyle w:val="Hyperlink"/>
          </w:rPr>
          <w:t>ICH E2F guidance</w:t>
        </w:r>
      </w:hyperlink>
      <w:r>
        <w:t xml:space="preserve"> for full details of what to include in the a DSUR. </w:t>
      </w:r>
    </w:p>
    <w:p w14:paraId="23C5B37A" w14:textId="77777777" w:rsidR="00E577B9" w:rsidRDefault="00E577B9" w:rsidP="00E577B9">
      <w:pPr>
        <w:pStyle w:val="PB1"/>
      </w:pPr>
      <w:r w:rsidRPr="00C3614B">
        <w:rPr>
          <w:b/>
          <w:bCs/>
        </w:rPr>
        <w:t>Please Note</w:t>
      </w:r>
      <w:r>
        <w:t xml:space="preserve">: HRA guidance on </w:t>
      </w:r>
      <w:hyperlink r:id="rId45" w:history="1">
        <w:r>
          <w:rPr>
            <w:rStyle w:val="Hyperlink"/>
          </w:rPr>
          <w:t>i</w:t>
        </w:r>
        <w:r w:rsidRPr="00064FE1">
          <w:rPr>
            <w:rStyle w:val="Hyperlink"/>
          </w:rPr>
          <w:t xml:space="preserve">mportant </w:t>
        </w:r>
        <w:r>
          <w:rPr>
            <w:rStyle w:val="Hyperlink"/>
          </w:rPr>
          <w:t>c</w:t>
        </w:r>
        <w:r w:rsidRPr="00064FE1">
          <w:rPr>
            <w:rStyle w:val="Hyperlink"/>
          </w:rPr>
          <w:t>hanges to progress reports and safety reports</w:t>
        </w:r>
      </w:hyperlink>
      <w:r>
        <w:t xml:space="preserve"> that was first introduced</w:t>
      </w:r>
      <w:r w:rsidRPr="00346C06">
        <w:t xml:space="preserve"> to research approved by RECs in England and Wales </w:t>
      </w:r>
      <w:r>
        <w:t>on</w:t>
      </w:r>
      <w:r w:rsidRPr="00346C06">
        <w:t xml:space="preserve"> 1 June</w:t>
      </w:r>
      <w:r>
        <w:t xml:space="preserve"> 2024</w:t>
      </w:r>
      <w:r w:rsidRPr="00346C06">
        <w:t xml:space="preserve"> and </w:t>
      </w:r>
      <w:r>
        <w:t>then</w:t>
      </w:r>
      <w:r w:rsidRPr="00346C06">
        <w:t xml:space="preserve"> Scotland and Northern Ireland </w:t>
      </w:r>
      <w:r>
        <w:t>on</w:t>
      </w:r>
      <w:r w:rsidRPr="00346C06">
        <w:t xml:space="preserve"> 1 August</w:t>
      </w:r>
      <w:r w:rsidRPr="006E0A50">
        <w:t xml:space="preserve"> </w:t>
      </w:r>
      <w:r>
        <w:t>2024.</w:t>
      </w:r>
    </w:p>
    <w:p w14:paraId="728316A6" w14:textId="10A2FBCE" w:rsidR="00E577B9" w:rsidRPr="00BA1A31" w:rsidRDefault="00E577B9" w:rsidP="00CE09D5">
      <w:pPr>
        <w:pStyle w:val="PB1"/>
      </w:pPr>
      <w:r w:rsidRPr="00BA1A31">
        <w:t xml:space="preserve">DSURs </w:t>
      </w:r>
      <w:r>
        <w:t>are to</w:t>
      </w:r>
      <w:r w:rsidRPr="00BA1A31">
        <w:t xml:space="preserve"> be submitted to relevant </w:t>
      </w:r>
      <w:r w:rsidR="00590D0D">
        <w:t>CAs</w:t>
      </w:r>
      <w:r w:rsidRPr="00BA1A31">
        <w:t xml:space="preserve"> within 60 calendar days of the DSUR data lock point. For UoB-sponsored trials, the lock point is</w:t>
      </w:r>
      <w:r>
        <w:t xml:space="preserve"> the last day  </w:t>
      </w:r>
      <w:r w:rsidRPr="00BA1A31">
        <w:t xml:space="preserve">before the anniversary of the trial’s first Clinical Trial Authorisation (CTA) approval from any CA (worldwide). For UK-only trials, this corresponds to the date regulatory approval was granted by the MHRA. </w:t>
      </w:r>
      <w:r w:rsidR="00F71C93">
        <w:t xml:space="preserve">For </w:t>
      </w:r>
      <w:r w:rsidR="00920AFE">
        <w:t xml:space="preserve">administrative convenience, the data lock point of the DSUR can be designated as the last day of the month prior to the month of the trial’s first CTA approval. </w:t>
      </w:r>
    </w:p>
    <w:p w14:paraId="2A08DB83" w14:textId="77777777" w:rsidR="00E577B9" w:rsidRDefault="00E577B9" w:rsidP="00E577B9">
      <w:pPr>
        <w:pStyle w:val="PB1"/>
      </w:pPr>
      <w:r w:rsidRPr="00C3614B">
        <w:t xml:space="preserve">DSUR </w:t>
      </w:r>
      <w:r>
        <w:t xml:space="preserve">are no longer required </w:t>
      </w:r>
      <w:r w:rsidRPr="00C3614B">
        <w:t>once the declaration of the global end of the trial form has been received by the MHRA</w:t>
      </w:r>
      <w:r w:rsidRPr="00BA1A31">
        <w:t>.</w:t>
      </w:r>
    </w:p>
    <w:p w14:paraId="30D9F826" w14:textId="25709CE9" w:rsidR="00E577B9" w:rsidRDefault="00E577B9" w:rsidP="00E577B9">
      <w:pPr>
        <w:pStyle w:val="PN11"/>
      </w:pPr>
      <w:r>
        <w:t>The CI (or delegate) will ensure that SARs included in the DSUR are coded using MedDRA</w:t>
      </w:r>
      <w:r w:rsidR="00A62C6C">
        <w:t xml:space="preserve"> </w:t>
      </w:r>
      <w:r w:rsidR="00E7563A">
        <w:t>primary System Organ Class (SOC) and Preferred Term</w:t>
      </w:r>
      <w:r>
        <w:t xml:space="preserve">. </w:t>
      </w:r>
    </w:p>
    <w:p w14:paraId="4F3360CE" w14:textId="352677A2" w:rsidR="00E7563A" w:rsidRPr="00BA1A31" w:rsidRDefault="00E7563A" w:rsidP="0010680A">
      <w:pPr>
        <w:pStyle w:val="PB1"/>
      </w:pPr>
      <w:r>
        <w:t xml:space="preserve">For access to </w:t>
      </w:r>
      <w:r w:rsidR="00C73481">
        <w:t xml:space="preserve">the UoB </w:t>
      </w:r>
      <w:r>
        <w:t xml:space="preserve">MedDRA </w:t>
      </w:r>
      <w:r w:rsidR="00C73481">
        <w:t xml:space="preserve">account </w:t>
      </w:r>
      <w:r>
        <w:t xml:space="preserve">contact </w:t>
      </w:r>
      <w:r w:rsidR="005D386E">
        <w:t>Dr Sarah Bowden (</w:t>
      </w:r>
      <w:hyperlink r:id="rId46" w:history="1">
        <w:r w:rsidR="005D386E" w:rsidRPr="00996A3B">
          <w:rPr>
            <w:rStyle w:val="Hyperlink"/>
          </w:rPr>
          <w:t>s.j.bowden@bham.ac.uk</w:t>
        </w:r>
      </w:hyperlink>
      <w:r w:rsidR="005D386E">
        <w:t xml:space="preserve">, with a copy to </w:t>
      </w:r>
      <w:hyperlink r:id="rId47" w:history="1">
        <w:r w:rsidR="004527E2" w:rsidRPr="00166350">
          <w:rPr>
            <w:rStyle w:val="Hyperlink"/>
          </w:rPr>
          <w:t>newbusiness@trials.bham.ac.uk</w:t>
        </w:r>
      </w:hyperlink>
      <w:r w:rsidR="00B91C6A">
        <w:t>).</w:t>
      </w:r>
    </w:p>
    <w:p w14:paraId="35118F30" w14:textId="77777777" w:rsidR="00E577B9" w:rsidRDefault="00E577B9" w:rsidP="00E577B9">
      <w:pPr>
        <w:pStyle w:val="PN11"/>
      </w:pPr>
      <w:r w:rsidRPr="00BA1A31">
        <w:t>The CI (no delegation) will review and approve the DSUR prior to submission, even if its preparation is delegated to the trial management team. The CI may appoint an independent clinician to review aggregated summaries in the DSUR where it is not deemed appropriate for the CI to do so e.g. where safety is the primary end point for the trial.</w:t>
      </w:r>
    </w:p>
    <w:p w14:paraId="7DAF05EA" w14:textId="77777777" w:rsidR="00E577B9" w:rsidRDefault="00E577B9" w:rsidP="00E577B9">
      <w:pPr>
        <w:pStyle w:val="Heading3"/>
      </w:pPr>
      <w:bookmarkStart w:id="39" w:name="_Toc225494576"/>
      <w:r>
        <w:t>CTIMPs (updates to the RSI)</w:t>
      </w:r>
      <w:bookmarkEnd w:id="39"/>
    </w:p>
    <w:p w14:paraId="72E82F45" w14:textId="2B2DC3DA" w:rsidR="00662CCB" w:rsidRPr="00662CCB" w:rsidRDefault="00831B4C" w:rsidP="002A6AA1">
      <w:r>
        <w:t>In line with MHRA guidance, it</w:t>
      </w:r>
      <w:r w:rsidRPr="00831B4C">
        <w:t xml:space="preserve"> is best practice to submit an updated version of the IB (as a substantial modification application) and a new DSUR in parallel, or alternatively to submit the application of substantial modification for the authorisation of the updated RSI within one month after the submission of the new DSUR at the latest</w:t>
      </w:r>
      <w:r>
        <w:t xml:space="preserve">. </w:t>
      </w:r>
      <w:r w:rsidR="00916182">
        <w:t>For further details, see</w:t>
      </w:r>
      <w:r>
        <w:t xml:space="preserve"> </w:t>
      </w:r>
      <w:hyperlink r:id="rId48" w:anchor="reference-safety-information-rsi" w:tooltip="MHRA Guidance on RSI" w:history="1">
        <w:r w:rsidR="00E76B77" w:rsidRPr="00BD7224">
          <w:rPr>
            <w:rStyle w:val="Hyperlink"/>
          </w:rPr>
          <w:t xml:space="preserve">MHRA </w:t>
        </w:r>
        <w:r w:rsidR="00C47DBF">
          <w:rPr>
            <w:rStyle w:val="Hyperlink"/>
          </w:rPr>
          <w:t>g</w:t>
        </w:r>
        <w:r w:rsidR="00E76B77" w:rsidRPr="00BD7224">
          <w:rPr>
            <w:rStyle w:val="Hyperlink"/>
          </w:rPr>
          <w:t xml:space="preserve">uidance on </w:t>
        </w:r>
        <w:r w:rsidR="004B369C" w:rsidRPr="00BD7224">
          <w:rPr>
            <w:rStyle w:val="Hyperlink"/>
          </w:rPr>
          <w:t>RSI</w:t>
        </w:r>
      </w:hyperlink>
      <w:r w:rsidR="004B369C">
        <w:t xml:space="preserve">. </w:t>
      </w:r>
    </w:p>
    <w:p w14:paraId="3E82EE46" w14:textId="77777777" w:rsidR="00E577B9" w:rsidRPr="0077308B" w:rsidRDefault="00E577B9" w:rsidP="00E577B9">
      <w:pPr>
        <w:pStyle w:val="PN11"/>
      </w:pPr>
      <w:r>
        <w:t xml:space="preserve">Where </w:t>
      </w:r>
      <w:r w:rsidRPr="004D16E5">
        <w:t xml:space="preserve">producing </w:t>
      </w:r>
      <w:r w:rsidRPr="0077308B">
        <w:t xml:space="preserve">an IB for a trial, the CI (or delegate) will review, validate and if necessary, update the IB at least once a year, and confirm to the REGI that this has occurred. </w:t>
      </w:r>
    </w:p>
    <w:p w14:paraId="3FFBCE78" w14:textId="3AA97FE7" w:rsidR="00E577B9" w:rsidRPr="0077308B" w:rsidRDefault="00E577B9" w:rsidP="00E577B9">
      <w:pPr>
        <w:pStyle w:val="PN11"/>
      </w:pPr>
      <w:r w:rsidRPr="0077308B">
        <w:t>If an existing IB or SmPC (e.g. provided by a third party, such as the IMP manufacturer) is used as the source for the RSI, the CI (or delegate) will ensure that the content of the IB or SmPC is reviewed at regular intervals, as defined in the trial-specific risk assessment, and as a minimum annually (prior to submitting the DSUR). The CI</w:t>
      </w:r>
      <w:r w:rsidR="004E265E">
        <w:t xml:space="preserve"> (or delegate)</w:t>
      </w:r>
      <w:r w:rsidRPr="0077308B">
        <w:t xml:space="preserve"> will confirm to REGI that the content review of the IB/SmPC has taken place.</w:t>
      </w:r>
    </w:p>
    <w:p w14:paraId="3A2C9FAB" w14:textId="051A479E" w:rsidR="00E577B9" w:rsidRDefault="00E577B9" w:rsidP="00E577B9">
      <w:pPr>
        <w:pStyle w:val="PN11"/>
      </w:pPr>
      <w:r w:rsidRPr="0077308B">
        <w:lastRenderedPageBreak/>
        <w:t xml:space="preserve">Where updates to the RSI are required, the CI (or delegate) will submit </w:t>
      </w:r>
      <w:r w:rsidR="009163B4">
        <w:t xml:space="preserve">a </w:t>
      </w:r>
      <w:r w:rsidR="001C4915">
        <w:t>substantial modification (</w:t>
      </w:r>
      <w:r w:rsidR="001C4915" w:rsidRPr="001C4915">
        <w:t>changes to the format</w:t>
      </w:r>
      <w:r w:rsidR="001C4915">
        <w:t xml:space="preserve"> only</w:t>
      </w:r>
      <w:r w:rsidR="001C4915" w:rsidRPr="001C4915">
        <w:t xml:space="preserve"> of the RSI that do not involve a change in the content may be considered a minor modification</w:t>
      </w:r>
      <w:r w:rsidR="001C4915">
        <w:t>)</w:t>
      </w:r>
      <w:r w:rsidR="004F54AD">
        <w:t xml:space="preserve"> to </w:t>
      </w:r>
      <w:r w:rsidRPr="0077308B">
        <w:t>the CA.</w:t>
      </w:r>
    </w:p>
    <w:p w14:paraId="45442BB2" w14:textId="3E280841" w:rsidR="00480D47" w:rsidRDefault="00E577B9" w:rsidP="00480D47">
      <w:pPr>
        <w:pStyle w:val="PN11"/>
      </w:pPr>
      <w:r>
        <w:t xml:space="preserve">The CI (or delegate) will ensure any proposed changes to the RSI </w:t>
      </w:r>
      <w:r w:rsidR="00D36794">
        <w:t xml:space="preserve">receive </w:t>
      </w:r>
      <w:r>
        <w:t xml:space="preserve">appropriate regulatory </w:t>
      </w:r>
      <w:r w:rsidR="00D36794">
        <w:t xml:space="preserve">approval </w:t>
      </w:r>
      <w:r>
        <w:t xml:space="preserve">prior to implementation/use of the updated </w:t>
      </w:r>
      <w:r w:rsidR="00AA5136">
        <w:t>RSI and</w:t>
      </w:r>
      <w:r>
        <w:t xml:space="preserve"> will ensure that all relevant stakeholders (e.g. trial staff and </w:t>
      </w:r>
      <w:r w:rsidR="001231DA">
        <w:t>clinical assessors</w:t>
      </w:r>
      <w:r>
        <w:t>) are provided with the updated safety information.</w:t>
      </w:r>
    </w:p>
    <w:p w14:paraId="28ABDF2E" w14:textId="0219878E" w:rsidR="0029484B" w:rsidRDefault="00C262D2" w:rsidP="00855F6B">
      <w:pPr>
        <w:pStyle w:val="PB1"/>
      </w:pPr>
      <w:r>
        <w:t>T</w:t>
      </w:r>
      <w:r w:rsidRPr="0024698C">
        <w:t xml:space="preserve">he new RSI </w:t>
      </w:r>
      <w:r>
        <w:t xml:space="preserve">must </w:t>
      </w:r>
      <w:r w:rsidRPr="0024698C">
        <w:t xml:space="preserve">only be used for the assessment of expectedness of </w:t>
      </w:r>
      <w:r w:rsidR="007F690C">
        <w:t xml:space="preserve">suspected </w:t>
      </w:r>
      <w:r w:rsidRPr="0024698C">
        <w:t xml:space="preserve">SARs for the purposes of expedited reporting of SUSARs after authorisation of the substantial modification </w:t>
      </w:r>
      <w:r w:rsidR="007F690C">
        <w:t xml:space="preserve">relating to </w:t>
      </w:r>
      <w:r w:rsidRPr="0024698C">
        <w:t>the RSI</w:t>
      </w:r>
      <w:r w:rsidR="00DD1942">
        <w:t>.</w:t>
      </w:r>
    </w:p>
    <w:p w14:paraId="242DCDDB" w14:textId="2AC58623" w:rsidR="005D3E8A" w:rsidRDefault="00DD1942" w:rsidP="002A6AA1">
      <w:pPr>
        <w:pStyle w:val="PB1"/>
      </w:pPr>
      <w:r w:rsidRPr="00213ED3">
        <w:t xml:space="preserve">For the purposes of the identification of SUSARs </w:t>
      </w:r>
      <w:r w:rsidR="007F690C">
        <w:t>with</w:t>
      </w:r>
      <w:r w:rsidRPr="00213ED3">
        <w:t xml:space="preserve">in </w:t>
      </w:r>
      <w:r w:rsidR="007F690C">
        <w:t>the</w:t>
      </w:r>
      <w:r w:rsidRPr="00213ED3">
        <w:t xml:space="preserve"> </w:t>
      </w:r>
      <w:r w:rsidR="00981934" w:rsidRPr="00213ED3">
        <w:t xml:space="preserve">DSUR, </w:t>
      </w:r>
      <w:r w:rsidR="00981934">
        <w:t>the</w:t>
      </w:r>
      <w:r w:rsidR="00041578">
        <w:t xml:space="preserve"> </w:t>
      </w:r>
      <w:r w:rsidR="00981934">
        <w:t>‘</w:t>
      </w:r>
      <w:r w:rsidRPr="00213ED3">
        <w:t>RSI in effect at the start of the annual reporting period</w:t>
      </w:r>
      <w:r w:rsidR="005E745C">
        <w:t>’ will be used</w:t>
      </w:r>
      <w:r w:rsidRPr="00213ED3">
        <w:t xml:space="preserve">. The ‘RSI in effect at the start of the annual reporting period’ </w:t>
      </w:r>
      <w:r w:rsidR="001B280E">
        <w:t xml:space="preserve">is </w:t>
      </w:r>
      <w:r w:rsidR="00F81F8D">
        <w:t xml:space="preserve">defined as </w:t>
      </w:r>
      <w:r w:rsidRPr="00213ED3">
        <w:t>the version of the RSI at a timepoint closest to the data lock point at the start of the DSUR reporting period.</w:t>
      </w:r>
      <w:r w:rsidR="006215AD">
        <w:t xml:space="preserve"> </w:t>
      </w:r>
      <w:r w:rsidR="00C47DBF">
        <w:t>F</w:t>
      </w:r>
      <w:r w:rsidR="007D3327">
        <w:t>urther details</w:t>
      </w:r>
      <w:r w:rsidR="00C47DBF">
        <w:t xml:space="preserve"> is provided in </w:t>
      </w:r>
      <w:hyperlink r:id="rId49" w:anchor="reference-safety-information-rsi" w:tooltip="MHRA Guidance on RSI" w:history="1">
        <w:r w:rsidR="006215AD" w:rsidRPr="00BD7224">
          <w:rPr>
            <w:rStyle w:val="Hyperlink"/>
          </w:rPr>
          <w:t xml:space="preserve">MHRA </w:t>
        </w:r>
        <w:r w:rsidR="00C47DBF">
          <w:rPr>
            <w:rStyle w:val="Hyperlink"/>
          </w:rPr>
          <w:t>g</w:t>
        </w:r>
        <w:r w:rsidR="006215AD" w:rsidRPr="00BD7224">
          <w:rPr>
            <w:rStyle w:val="Hyperlink"/>
          </w:rPr>
          <w:t>uidance on RSI</w:t>
        </w:r>
      </w:hyperlink>
      <w:r w:rsidR="00C47DBF">
        <w:t xml:space="preserve">, including </w:t>
      </w:r>
      <w:hyperlink r:id="rId50" w:history="1">
        <w:r w:rsidR="006215AD" w:rsidRPr="00213ED3">
          <w:rPr>
            <w:rStyle w:val="Hyperlink"/>
          </w:rPr>
          <w:t>Figure 1: Diagram explaining which RSI should be used in the</w:t>
        </w:r>
        <w:r w:rsidR="006215AD">
          <w:rPr>
            <w:rStyle w:val="Hyperlink"/>
          </w:rPr>
          <w:t xml:space="preserve"> </w:t>
        </w:r>
        <w:r w:rsidR="006215AD" w:rsidRPr="00213ED3">
          <w:rPr>
            <w:rStyle w:val="Hyperlink"/>
          </w:rPr>
          <w:t>DSU</w:t>
        </w:r>
        <w:r w:rsidR="006215AD">
          <w:rPr>
            <w:rStyle w:val="Hyperlink"/>
          </w:rPr>
          <w:t>R (PDF - 138 KB)</w:t>
        </w:r>
      </w:hyperlink>
      <w:r w:rsidR="001B280E">
        <w:t xml:space="preserve">. </w:t>
      </w:r>
    </w:p>
    <w:p w14:paraId="5D5A9957" w14:textId="5D739C95" w:rsidR="00E577B9" w:rsidRDefault="00E577B9" w:rsidP="00E577B9">
      <w:pPr>
        <w:pStyle w:val="PN1"/>
      </w:pPr>
      <w:bookmarkStart w:id="40" w:name="_Toc225494577"/>
      <w:r>
        <w:t>At the end of the project</w:t>
      </w:r>
      <w:bookmarkEnd w:id="40"/>
    </w:p>
    <w:p w14:paraId="7C9D7FAE" w14:textId="77777777" w:rsidR="00E577B9" w:rsidRPr="00124402" w:rsidRDefault="00E577B9" w:rsidP="00E577B9">
      <w:pPr>
        <w:pStyle w:val="PN11"/>
      </w:pPr>
      <w:r w:rsidRPr="00124402">
        <w:t xml:space="preserve">The CI (or delegate) will ensure </w:t>
      </w:r>
      <w:r>
        <w:t xml:space="preserve">that </w:t>
      </w:r>
      <w:r w:rsidRPr="00124402">
        <w:t>all reported AEs and SAEs are archived</w:t>
      </w:r>
      <w:r>
        <w:t>.</w:t>
      </w:r>
    </w:p>
    <w:p w14:paraId="41382CBF" w14:textId="77777777" w:rsidR="00E577B9" w:rsidRPr="00124402" w:rsidRDefault="00E577B9" w:rsidP="00E577B9">
      <w:pPr>
        <w:pStyle w:val="PB1"/>
      </w:pPr>
      <w:r w:rsidRPr="00124402">
        <w:t>If SAE information is kept in a separate system, ensure</w:t>
      </w:r>
      <w:r>
        <w:t xml:space="preserve"> that the</w:t>
      </w:r>
      <w:r w:rsidRPr="00124402">
        <w:t xml:space="preserve"> information is reconciled with the main </w:t>
      </w:r>
      <w:r>
        <w:t>project</w:t>
      </w:r>
      <w:r w:rsidRPr="00124402">
        <w:t xml:space="preserve"> database.</w:t>
      </w:r>
    </w:p>
    <w:p w14:paraId="4EBC6BD3" w14:textId="36EC6DF8" w:rsidR="003C3654" w:rsidRPr="00CB39B4" w:rsidRDefault="00E577B9" w:rsidP="009C0C79">
      <w:pPr>
        <w:pStyle w:val="PB1"/>
      </w:pPr>
      <w:r w:rsidRPr="00124402">
        <w:t xml:space="preserve">Ensure </w:t>
      </w:r>
      <w:r>
        <w:t xml:space="preserve">that all </w:t>
      </w:r>
      <w:r w:rsidRPr="00124402">
        <w:t>SAE forms</w:t>
      </w:r>
      <w:r>
        <w:t>,</w:t>
      </w:r>
      <w:r w:rsidRPr="00124402">
        <w:t xml:space="preserve"> and related information</w:t>
      </w:r>
      <w:r>
        <w:t>,</w:t>
      </w:r>
      <w:r w:rsidRPr="00124402">
        <w:t xml:space="preserve"> are archived as part of the</w:t>
      </w:r>
      <w:r>
        <w:t xml:space="preserve"> S/T</w:t>
      </w:r>
      <w:r w:rsidRPr="00124402">
        <w:t>MF.</w:t>
      </w:r>
    </w:p>
    <w:p w14:paraId="2D815F6F" w14:textId="77777777" w:rsidR="00692DFA" w:rsidRPr="00435EAE" w:rsidRDefault="00692DFA" w:rsidP="005F2DE3">
      <w:pPr>
        <w:pStyle w:val="Heading1"/>
      </w:pPr>
      <w:bookmarkStart w:id="41" w:name="_Toc225494578"/>
      <w:r w:rsidRPr="00435EAE">
        <w:t>List of expected outputs</w:t>
      </w:r>
      <w:bookmarkEnd w:id="41"/>
    </w:p>
    <w:p w14:paraId="576627EA" w14:textId="275400D8" w:rsidR="0065283E" w:rsidRDefault="0065283E" w:rsidP="00EB1B40">
      <w:pPr>
        <w:pStyle w:val="Heading3"/>
      </w:pPr>
      <w:bookmarkStart w:id="42" w:name="_Toc225494579"/>
      <w:r>
        <w:t>All clinical research projects</w:t>
      </w:r>
      <w:bookmarkEnd w:id="42"/>
    </w:p>
    <w:p w14:paraId="7A51CF67" w14:textId="20D18500" w:rsidR="0065283E" w:rsidRDefault="0065283E" w:rsidP="00EB1B40">
      <w:pPr>
        <w:pStyle w:val="bullet10"/>
      </w:pPr>
      <w:r>
        <w:t>A section in the protocol regarding all AE reporting requirements</w:t>
      </w:r>
      <w:r w:rsidR="00CB4A50">
        <w:t xml:space="preserve"> and evidence of its implementation</w:t>
      </w:r>
      <w:r>
        <w:t>.</w:t>
      </w:r>
    </w:p>
    <w:p w14:paraId="2A64A318" w14:textId="77777777" w:rsidR="0065283E" w:rsidRDefault="0065283E" w:rsidP="00EB1B40">
      <w:pPr>
        <w:pStyle w:val="bullet10"/>
      </w:pPr>
      <w:r>
        <w:t>An SAE reporting form.</w:t>
      </w:r>
      <w:r w:rsidRPr="0065283E">
        <w:t xml:space="preserve"> </w:t>
      </w:r>
    </w:p>
    <w:p w14:paraId="21363237" w14:textId="7A32769C" w:rsidR="00E80322" w:rsidRDefault="00E80322" w:rsidP="00EB1B40">
      <w:pPr>
        <w:pStyle w:val="bullet10"/>
      </w:pPr>
      <w:r>
        <w:t xml:space="preserve">A </w:t>
      </w:r>
      <w:r w:rsidR="00256DAB">
        <w:t xml:space="preserve">pregnancy notification form (if required). </w:t>
      </w:r>
    </w:p>
    <w:p w14:paraId="747ED682" w14:textId="0150DEDD" w:rsidR="0065283E" w:rsidRDefault="0065283E" w:rsidP="00EB1B40">
      <w:pPr>
        <w:pStyle w:val="bullet10"/>
      </w:pPr>
      <w:r>
        <w:t xml:space="preserve">Evidence of AE reporting procedures </w:t>
      </w:r>
      <w:r w:rsidR="00256DAB">
        <w:t xml:space="preserve">(including carrying out the </w:t>
      </w:r>
      <w:r>
        <w:t>causality assessments</w:t>
      </w:r>
      <w:r w:rsidR="00256DAB">
        <w:t>)</w:t>
      </w:r>
      <w:r w:rsidR="00C84002">
        <w:t xml:space="preserve"> being delegated</w:t>
      </w:r>
      <w:r>
        <w:t xml:space="preserve"> to the study/trial location(s)</w:t>
      </w:r>
      <w:r w:rsidR="00C84002">
        <w:t xml:space="preserve"> (as appropriate)</w:t>
      </w:r>
      <w:r>
        <w:t>.</w:t>
      </w:r>
    </w:p>
    <w:p w14:paraId="40F81E01" w14:textId="77777777" w:rsidR="0065283E" w:rsidRDefault="0065283E" w:rsidP="00EB1B40">
      <w:pPr>
        <w:pStyle w:val="bullet10"/>
      </w:pPr>
      <w:r>
        <w:t>Evidence of project staffs’ training in AE reporting procedures.</w:t>
      </w:r>
    </w:p>
    <w:p w14:paraId="09A3F20B" w14:textId="77777777" w:rsidR="0065283E" w:rsidRDefault="0065283E" w:rsidP="00EB1B40">
      <w:pPr>
        <w:pStyle w:val="bullet10"/>
      </w:pPr>
      <w:r>
        <w:t>A repository for capturing individual safety reports including AEs.</w:t>
      </w:r>
    </w:p>
    <w:p w14:paraId="417A5670" w14:textId="1B4F85FA" w:rsidR="0065283E" w:rsidRDefault="0065283E" w:rsidP="00EB1B40">
      <w:pPr>
        <w:pStyle w:val="bullet10"/>
      </w:pPr>
      <w:r>
        <w:t xml:space="preserve">Evidence of causality </w:t>
      </w:r>
      <w:r w:rsidR="00F84D67">
        <w:t>outcomes</w:t>
      </w:r>
      <w:r w:rsidR="0030003B">
        <w:t xml:space="preserve"> </w:t>
      </w:r>
      <w:r>
        <w:t>for SAEs</w:t>
      </w:r>
      <w:r w:rsidR="00ED7821">
        <w:t xml:space="preserve"> and where applicable and expectedness outcomes for related SAEs</w:t>
      </w:r>
      <w:r>
        <w:t>.</w:t>
      </w:r>
    </w:p>
    <w:p w14:paraId="0D52EEFE" w14:textId="77777777" w:rsidR="0065283E" w:rsidRDefault="0065283E" w:rsidP="00EB1B40">
      <w:pPr>
        <w:pStyle w:val="bullet10"/>
      </w:pPr>
      <w:r>
        <w:t>Evidence of SAEs being reported to the sponsor, as required (and for medical devices, to the MHRA and manufacturer) and evidence of follow-up information being sent.</w:t>
      </w:r>
    </w:p>
    <w:p w14:paraId="2F8EA159" w14:textId="540B3EB4" w:rsidR="0065283E" w:rsidRDefault="0065283E" w:rsidP="00EB1B40">
      <w:pPr>
        <w:pStyle w:val="bullet10"/>
      </w:pPr>
      <w:r>
        <w:t>Documented evidence of the identification, management</w:t>
      </w:r>
      <w:r w:rsidR="00C506A7">
        <w:t xml:space="preserve">, </w:t>
      </w:r>
      <w:r>
        <w:t xml:space="preserve">resolution </w:t>
      </w:r>
      <w:r w:rsidR="00C506A7">
        <w:t xml:space="preserve">and where appropriate reporting </w:t>
      </w:r>
      <w:r>
        <w:t>of major safety issues.</w:t>
      </w:r>
    </w:p>
    <w:p w14:paraId="5514F0D7" w14:textId="44D972AC" w:rsidR="00C66E9E" w:rsidRDefault="004169BC" w:rsidP="004169BC">
      <w:pPr>
        <w:pStyle w:val="bullet10"/>
      </w:pPr>
      <w:r>
        <w:t>Annual progress report submitted to REGI (as applicable).</w:t>
      </w:r>
    </w:p>
    <w:p w14:paraId="1C2CAB48" w14:textId="3A980640" w:rsidR="0065283E" w:rsidRDefault="0065283E" w:rsidP="00EB1B40">
      <w:pPr>
        <w:pStyle w:val="Heading3"/>
      </w:pPr>
      <w:bookmarkStart w:id="43" w:name="_Toc225494580"/>
      <w:r>
        <w:t>CTIMPs only</w:t>
      </w:r>
      <w:bookmarkEnd w:id="43"/>
    </w:p>
    <w:p w14:paraId="5611B46E" w14:textId="6C428C12" w:rsidR="0065283E" w:rsidRDefault="0065283E" w:rsidP="00EB1B40">
      <w:pPr>
        <w:pStyle w:val="bullet10"/>
      </w:pPr>
      <w:r>
        <w:t>Evidence of SUSARs being reported to the CA</w:t>
      </w:r>
      <w:r w:rsidR="00945058">
        <w:t xml:space="preserve">, </w:t>
      </w:r>
      <w:r>
        <w:t xml:space="preserve">REC </w:t>
      </w:r>
      <w:r w:rsidR="00945058">
        <w:t xml:space="preserve">and PI </w:t>
      </w:r>
      <w:r>
        <w:t>on time, with a copy sent to REGI.</w:t>
      </w:r>
    </w:p>
    <w:p w14:paraId="0043B4DC" w14:textId="3B2A8660" w:rsidR="0065283E" w:rsidRDefault="0065283E" w:rsidP="00EB1B40">
      <w:pPr>
        <w:pStyle w:val="bullet10"/>
      </w:pPr>
      <w:r>
        <w:t xml:space="preserve">Evidence of DSURs being submitted to the CA and REC on time, with a copy sent to REGI. </w:t>
      </w:r>
    </w:p>
    <w:p w14:paraId="407E07AE" w14:textId="57893BED" w:rsidR="0065283E" w:rsidRDefault="0065283E" w:rsidP="00EB1B40">
      <w:pPr>
        <w:pStyle w:val="bullet10"/>
      </w:pPr>
      <w:r>
        <w:t xml:space="preserve">Evidence of IB/SmPC being </w:t>
      </w:r>
      <w:r w:rsidR="001A2544">
        <w:t xml:space="preserve">reviewed </w:t>
      </w:r>
      <w:r>
        <w:t xml:space="preserve">annually and </w:t>
      </w:r>
      <w:r w:rsidR="001A2544">
        <w:t xml:space="preserve">evidence of review being provided </w:t>
      </w:r>
      <w:r>
        <w:t>to REGI.</w:t>
      </w:r>
    </w:p>
    <w:p w14:paraId="32BFFD3E" w14:textId="3F834F2A" w:rsidR="0065283E" w:rsidRDefault="0065283E" w:rsidP="00EB1B40">
      <w:pPr>
        <w:pStyle w:val="Heading3"/>
      </w:pPr>
      <w:bookmarkStart w:id="44" w:name="_Toc225494581"/>
      <w:r>
        <w:t>Clinical investigations of medical devices only</w:t>
      </w:r>
      <w:bookmarkEnd w:id="44"/>
    </w:p>
    <w:p w14:paraId="0374D392" w14:textId="511B4D9A" w:rsidR="00685FD9" w:rsidRDefault="0065283E" w:rsidP="00EB1B40">
      <w:pPr>
        <w:pStyle w:val="bullet10"/>
      </w:pPr>
      <w:r>
        <w:t>A</w:t>
      </w:r>
      <w:r w:rsidR="00685FD9">
        <w:t xml:space="preserve"> device deficiency reporting form.</w:t>
      </w:r>
    </w:p>
    <w:p w14:paraId="49C0AF5B" w14:textId="4FF7157E" w:rsidR="00685FD9" w:rsidRDefault="0065283E" w:rsidP="00EB1B40">
      <w:pPr>
        <w:pStyle w:val="bullet10"/>
      </w:pPr>
      <w:r>
        <w:t>A</w:t>
      </w:r>
      <w:r w:rsidR="00685FD9">
        <w:t xml:space="preserve"> repository for capturing individual device deficiency reporting forms.</w:t>
      </w:r>
    </w:p>
    <w:p w14:paraId="76788909" w14:textId="46CCE8E3" w:rsidR="00685FD9" w:rsidRDefault="0065283E" w:rsidP="00EB1B40">
      <w:pPr>
        <w:pStyle w:val="bullet10"/>
      </w:pPr>
      <w:r>
        <w:t>E</w:t>
      </w:r>
      <w:r w:rsidR="00685FD9">
        <w:t xml:space="preserve">vidence of </w:t>
      </w:r>
      <w:r w:rsidR="009660CE">
        <w:t>all reportable events</w:t>
      </w:r>
      <w:r w:rsidR="00685FD9">
        <w:t xml:space="preserve"> being reported to the CA and REC on time, with a copy sent to the sponsor/REGI.</w:t>
      </w:r>
    </w:p>
    <w:p w14:paraId="092E2525" w14:textId="7C6CC3E6" w:rsidR="00685FD9" w:rsidRDefault="0065283E" w:rsidP="00EB1B40">
      <w:pPr>
        <w:pStyle w:val="bullet10"/>
      </w:pPr>
      <w:r>
        <w:t>E</w:t>
      </w:r>
      <w:r w:rsidR="00685FD9">
        <w:t>vidence of quarterly summary reports being sent by the CI (or delegate) to the CA on time, with a copy sent to REGI.</w:t>
      </w:r>
    </w:p>
    <w:p w14:paraId="74241D36" w14:textId="77777777" w:rsidR="003C3654" w:rsidRDefault="003C3654">
      <w:pPr>
        <w:spacing w:before="0" w:after="200" w:line="276" w:lineRule="auto"/>
        <w:rPr>
          <w:rFonts w:asciiTheme="minorHAnsi" w:hAnsiTheme="minorHAnsi" w:cstheme="minorHAnsi"/>
          <w:b/>
          <w:caps/>
          <w:color w:val="1F497D" w:themeColor="text2"/>
          <w:kern w:val="32"/>
          <w:sz w:val="28"/>
          <w:szCs w:val="28"/>
        </w:rPr>
      </w:pPr>
      <w:r>
        <w:br w:type="page"/>
      </w:r>
    </w:p>
    <w:p w14:paraId="2881968E" w14:textId="77777777" w:rsidR="007B4836" w:rsidRDefault="007B4836" w:rsidP="005F2DE3">
      <w:pPr>
        <w:pStyle w:val="Heading1"/>
      </w:pPr>
      <w:bookmarkStart w:id="45" w:name="_Toc225494582"/>
      <w:r w:rsidRPr="006561C0">
        <w:lastRenderedPageBreak/>
        <w:t>Related</w:t>
      </w:r>
      <w:r>
        <w:t xml:space="preserve"> documents</w:t>
      </w:r>
      <w:bookmarkEnd w:id="0"/>
      <w:bookmarkEnd w:id="45"/>
    </w:p>
    <w:p w14:paraId="0E799BD5" w14:textId="77777777" w:rsidR="00935A62" w:rsidRDefault="00120959" w:rsidP="00935A62">
      <w:pPr>
        <w:pStyle w:val="Heading2"/>
      </w:pPr>
      <w:bookmarkStart w:id="46" w:name="_Toc225494583"/>
      <w:r>
        <w:t>A</w:t>
      </w:r>
      <w:r w:rsidR="00F9580A">
        <w:t>ssociated</w:t>
      </w:r>
      <w:r w:rsidR="00462CF7">
        <w:t xml:space="preserve"> </w:t>
      </w:r>
      <w:r>
        <w:t>QMS documents</w:t>
      </w:r>
      <w:bookmarkEnd w:id="46"/>
    </w:p>
    <w:p w14:paraId="465E68AA" w14:textId="6915656E" w:rsidR="00685FD9" w:rsidRDefault="00685FD9" w:rsidP="00685FD9">
      <w:pPr>
        <w:pStyle w:val="bullet10"/>
      </w:pPr>
      <w:r>
        <w:t>UoB-AES-QCD-001 SAE Form</w:t>
      </w:r>
    </w:p>
    <w:p w14:paraId="2EE228EF" w14:textId="32020E50" w:rsidR="00685FD9" w:rsidRDefault="00685FD9" w:rsidP="00685FD9">
      <w:pPr>
        <w:pStyle w:val="bullet10"/>
      </w:pPr>
      <w:r>
        <w:t xml:space="preserve">UoB-AES-QCD-002 </w:t>
      </w:r>
      <w:r w:rsidR="004A2786">
        <w:t xml:space="preserve">Process for </w:t>
      </w:r>
      <w:r>
        <w:t xml:space="preserve">SAE </w:t>
      </w:r>
      <w:r w:rsidR="004A2786">
        <w:t>H</w:t>
      </w:r>
      <w:r>
        <w:t>andling</w:t>
      </w:r>
    </w:p>
    <w:p w14:paraId="07A27700" w14:textId="3BAD84E0" w:rsidR="007302DF" w:rsidRDefault="00685FD9" w:rsidP="0065283E">
      <w:pPr>
        <w:pStyle w:val="bullet10"/>
      </w:pPr>
      <w:r>
        <w:t>UoB-AES-QCD-003 Pregnancy Notification Form</w:t>
      </w:r>
    </w:p>
    <w:p w14:paraId="7EBBEFF9" w14:textId="77777777" w:rsidR="00935A62" w:rsidRPr="00935A62" w:rsidRDefault="00462CF7" w:rsidP="00935A62">
      <w:pPr>
        <w:pStyle w:val="Heading2"/>
      </w:pPr>
      <w:bookmarkStart w:id="47" w:name="_Toc225494584"/>
      <w:r>
        <w:t xml:space="preserve">Additional QMS </w:t>
      </w:r>
      <w:r w:rsidR="00515191">
        <w:t>d</w:t>
      </w:r>
      <w:r w:rsidR="00935A62">
        <w:t>ocuments</w:t>
      </w:r>
      <w:bookmarkEnd w:id="47"/>
    </w:p>
    <w:p w14:paraId="664CAADC" w14:textId="77777777" w:rsidR="0065283E" w:rsidRDefault="0065283E" w:rsidP="0065283E">
      <w:pPr>
        <w:pStyle w:val="bullet10"/>
      </w:pPr>
      <w:r>
        <w:t>UoB-DMA-SOP-001 Data Management</w:t>
      </w:r>
    </w:p>
    <w:p w14:paraId="2643A752" w14:textId="77777777" w:rsidR="0065283E" w:rsidRDefault="0065283E" w:rsidP="0065283E">
      <w:pPr>
        <w:pStyle w:val="bullet10"/>
      </w:pPr>
      <w:r>
        <w:t>UoB-ESD-SOP-001 Essential Documents Development and Maintenance</w:t>
      </w:r>
    </w:p>
    <w:p w14:paraId="0C76AFC3" w14:textId="77777777" w:rsidR="0065283E" w:rsidRPr="004A2786" w:rsidRDefault="0065283E" w:rsidP="004A2786">
      <w:pPr>
        <w:pStyle w:val="bullet10"/>
      </w:pPr>
      <w:r w:rsidRPr="00EB1B40">
        <w:rPr>
          <w:rStyle w:val="ReferencestootherSOPsQCDsChar"/>
          <w:i w:val="0"/>
          <w:iCs w:val="0"/>
          <w:color w:val="auto"/>
        </w:rPr>
        <w:t>UoB-GCP-POL-001 UoB Principles of GCP for Clinical Research</w:t>
      </w:r>
    </w:p>
    <w:p w14:paraId="40417D71" w14:textId="77777777" w:rsidR="0065283E" w:rsidRDefault="0065283E" w:rsidP="0065283E">
      <w:pPr>
        <w:pStyle w:val="bullet10"/>
      </w:pPr>
      <w:r>
        <w:t>UoB-HVM-SOP-001 Healthy Volunteers and Medical Oversight</w:t>
      </w:r>
    </w:p>
    <w:p w14:paraId="2B763B55" w14:textId="77777777" w:rsidR="0065283E" w:rsidRDefault="0065283E" w:rsidP="0065283E">
      <w:pPr>
        <w:pStyle w:val="bullet10"/>
      </w:pPr>
      <w:r w:rsidRPr="00647E7E">
        <w:t>UoB-POS-SOP-00</w:t>
      </w:r>
      <w:r>
        <w:t xml:space="preserve">1 </w:t>
      </w:r>
      <w:r w:rsidRPr="00647E7E">
        <w:t>Project Oversight and Quality Management</w:t>
      </w:r>
    </w:p>
    <w:p w14:paraId="71CEF934" w14:textId="77777777" w:rsidR="0065283E" w:rsidRDefault="0065283E" w:rsidP="0065283E">
      <w:pPr>
        <w:pStyle w:val="bullet10"/>
      </w:pPr>
      <w:r>
        <w:t>UoB-SPO-QCD-001 Clinical Trial Task Delegation Log</w:t>
      </w:r>
    </w:p>
    <w:p w14:paraId="74F1CEAD" w14:textId="77777777" w:rsidR="0065283E" w:rsidRDefault="0065283E" w:rsidP="0065283E">
      <w:pPr>
        <w:pStyle w:val="bullet10"/>
      </w:pPr>
      <w:r>
        <w:t>UoB-TRN-SOP-001 Training</w:t>
      </w:r>
    </w:p>
    <w:p w14:paraId="02F922A1" w14:textId="77777777" w:rsidR="00A86630" w:rsidRDefault="00A86630" w:rsidP="0065283E">
      <w:r>
        <w:t xml:space="preserve">Access to the full UoB QMS for clinical research is available via the </w:t>
      </w:r>
      <w:hyperlink r:id="rId51" w:tooltip="Link to CRCT website" w:history="1">
        <w:r w:rsidR="00FC026F">
          <w:rPr>
            <w:rStyle w:val="Hyperlink"/>
            <w:lang w:eastAsia="en-GB"/>
          </w:rPr>
          <w:t>CRCT website</w:t>
        </w:r>
      </w:hyperlink>
      <w:r>
        <w:rPr>
          <w:lang w:eastAsia="en-GB"/>
        </w:rPr>
        <w:t>.</w:t>
      </w:r>
    </w:p>
    <w:p w14:paraId="2AB237C8" w14:textId="77777777" w:rsidR="007B4836" w:rsidRDefault="007B4836" w:rsidP="005F2DE3">
      <w:pPr>
        <w:pStyle w:val="Heading1"/>
      </w:pPr>
      <w:bookmarkStart w:id="48" w:name="_Ref205558629"/>
      <w:bookmarkStart w:id="49" w:name="_Toc225494585"/>
      <w:r w:rsidRPr="005D17F6">
        <w:t>References</w:t>
      </w:r>
      <w:r w:rsidR="005F0420">
        <w:t xml:space="preserve"> </w:t>
      </w:r>
      <w:r w:rsidR="00A6537A">
        <w:t>&amp;</w:t>
      </w:r>
      <w:r w:rsidR="005F0420">
        <w:t xml:space="preserve"> </w:t>
      </w:r>
      <w:r w:rsidR="00FF6CB2">
        <w:t>f</w:t>
      </w:r>
      <w:r w:rsidR="005F0420">
        <w:t>rameworks</w:t>
      </w:r>
      <w:bookmarkEnd w:id="48"/>
      <w:bookmarkEnd w:id="49"/>
    </w:p>
    <w:p w14:paraId="2CC3390F" w14:textId="3D6A66A6" w:rsidR="00685FD9" w:rsidRPr="00D14339" w:rsidRDefault="005C0417" w:rsidP="00EB1B40">
      <w:pPr>
        <w:pStyle w:val="References"/>
      </w:pPr>
      <w:r w:rsidRPr="00EB1B40">
        <w:t>British Standards Institution</w:t>
      </w:r>
      <w:r>
        <w:t xml:space="preserve"> </w:t>
      </w:r>
      <w:r w:rsidRPr="005C0417">
        <w:t>(2020)</w:t>
      </w:r>
      <w:r>
        <w:t xml:space="preserve"> </w:t>
      </w:r>
      <w:r w:rsidRPr="005C0417">
        <w:rPr>
          <w:i/>
          <w:iCs/>
        </w:rPr>
        <w:t>BS EN ISO 14155:2020 - Clinical investigation of medical devices for human subjects — Good clinical practice</w:t>
      </w:r>
      <w:r w:rsidRPr="005C0417">
        <w:t>. ISBN 978 0 580 94915 9. Available at:</w:t>
      </w:r>
      <w:r>
        <w:t xml:space="preserve"> </w:t>
      </w:r>
      <w:hyperlink r:id="rId52" w:tooltip="link to Clinical investigation of medical devices for human subjects" w:history="1">
        <w:r w:rsidRPr="00AE1B46">
          <w:rPr>
            <w:rStyle w:val="Hyperlink"/>
          </w:rPr>
          <w:t>https://bsol.bsigroup.com</w:t>
        </w:r>
      </w:hyperlink>
      <w:r>
        <w:t xml:space="preserve"> </w:t>
      </w:r>
      <w:r w:rsidRPr="005C0417">
        <w:t>(Accessed: 29 July 2025)</w:t>
      </w:r>
      <w:r w:rsidR="00685FD9" w:rsidRPr="00D14339">
        <w:t xml:space="preserve"> (requires UoB login).</w:t>
      </w:r>
    </w:p>
    <w:p w14:paraId="5870ACB8" w14:textId="70C24A8B" w:rsidR="00685FD9" w:rsidRPr="00D14339" w:rsidRDefault="00203846" w:rsidP="00EB1B40">
      <w:pPr>
        <w:pStyle w:val="References"/>
      </w:pPr>
      <w:r w:rsidRPr="003F692B">
        <w:t>European Commission</w:t>
      </w:r>
      <w:r>
        <w:t xml:space="preserve"> </w:t>
      </w:r>
      <w:r w:rsidRPr="00203846">
        <w:t>(2015)</w:t>
      </w:r>
      <w:r>
        <w:t xml:space="preserve"> </w:t>
      </w:r>
      <w:r w:rsidRPr="00203846">
        <w:rPr>
          <w:i/>
          <w:iCs/>
        </w:rPr>
        <w:t>Guidelines on medical devices</w:t>
      </w:r>
      <w:r w:rsidRPr="00203846">
        <w:t>. Available at:</w:t>
      </w:r>
      <w:r>
        <w:t xml:space="preserve"> </w:t>
      </w:r>
      <w:hyperlink r:id="rId53" w:tooltip="link to medical devices guidelines" w:history="1">
        <w:r w:rsidRPr="00AE1B46">
          <w:rPr>
            <w:rStyle w:val="Hyperlink"/>
          </w:rPr>
          <w:t>https://ec.europa.eu/docsroom/documents/16477/attachments/1/translations/en/renditions/native</w:t>
        </w:r>
      </w:hyperlink>
      <w:r>
        <w:t xml:space="preserve"> </w:t>
      </w:r>
      <w:r w:rsidRPr="00203846">
        <w:t>(Accessed: 29 July 2025).</w:t>
      </w:r>
      <w:r w:rsidR="00685FD9" w:rsidRPr="00D14339">
        <w:t xml:space="preserve"> </w:t>
      </w:r>
    </w:p>
    <w:p w14:paraId="71F888B6" w14:textId="3A91904D" w:rsidR="00BC5A62" w:rsidRPr="005B509E" w:rsidRDefault="00BC5A62" w:rsidP="00EB1B40">
      <w:pPr>
        <w:pStyle w:val="References"/>
      </w:pPr>
      <w:r w:rsidRPr="00361076">
        <w:t xml:space="preserve">European Commission </w:t>
      </w:r>
      <w:r w:rsidRPr="005B509E">
        <w:t xml:space="preserve">(2015) </w:t>
      </w:r>
      <w:r w:rsidRPr="00361076">
        <w:rPr>
          <w:i/>
          <w:iCs/>
        </w:rPr>
        <w:t>MEDDEV SAE Form Template</w:t>
      </w:r>
      <w:r w:rsidRPr="005B509E">
        <w:t xml:space="preserve">. Available at: </w:t>
      </w:r>
      <w:hyperlink r:id="rId54" w:tooltip="Link to MEDDEV SAE Form Template" w:history="1">
        <w:r w:rsidRPr="005B509E">
          <w:rPr>
            <w:rStyle w:val="Hyperlink"/>
          </w:rPr>
          <w:t>https://ec.europa.eu/docsroom/documents/16477/attachments/2/translations/en/renditions/pdf</w:t>
        </w:r>
      </w:hyperlink>
      <w:r w:rsidRPr="005B509E">
        <w:t xml:space="preserve"> (Accessed: 29-Jul-2025)</w:t>
      </w:r>
      <w:r>
        <w:t>.</w:t>
      </w:r>
    </w:p>
    <w:p w14:paraId="74945521" w14:textId="1F04ABD9" w:rsidR="005C0417" w:rsidRPr="00D14339" w:rsidRDefault="00574614" w:rsidP="00EB1B40">
      <w:pPr>
        <w:pStyle w:val="References"/>
      </w:pPr>
      <w:r>
        <w:t>HRA</w:t>
      </w:r>
      <w:r w:rsidR="005C0417">
        <w:t xml:space="preserve"> </w:t>
      </w:r>
      <w:r w:rsidR="005C0417" w:rsidRPr="005C0417">
        <w:t>(</w:t>
      </w:r>
      <w:r w:rsidR="005C0417">
        <w:t>202</w:t>
      </w:r>
      <w:r w:rsidR="00804A92">
        <w:t>6</w:t>
      </w:r>
      <w:r w:rsidR="005C0417" w:rsidRPr="005C0417">
        <w:t>)</w:t>
      </w:r>
      <w:r w:rsidR="005C0417">
        <w:t xml:space="preserve"> </w:t>
      </w:r>
      <w:r w:rsidR="005C0417" w:rsidRPr="005C0417">
        <w:rPr>
          <w:i/>
          <w:iCs/>
        </w:rPr>
        <w:t>Safety Reporting</w:t>
      </w:r>
      <w:r w:rsidR="005C0417" w:rsidRPr="005C0417">
        <w:t>. Available at:</w:t>
      </w:r>
      <w:r w:rsidR="005C0417">
        <w:t xml:space="preserve"> </w:t>
      </w:r>
      <w:hyperlink r:id="rId55" w:tooltip="link to HRA safety reporting guidance" w:history="1">
        <w:r w:rsidR="005C0417" w:rsidRPr="00AE1B46">
          <w:rPr>
            <w:rStyle w:val="Hyperlink"/>
          </w:rPr>
          <w:t>https://www.hra.nhs.uk/approvals-amendments/managing-your-approval/safety-reporting/</w:t>
        </w:r>
      </w:hyperlink>
      <w:r w:rsidR="005C0417">
        <w:t xml:space="preserve"> </w:t>
      </w:r>
      <w:r w:rsidR="005C0417" w:rsidRPr="005C0417">
        <w:t xml:space="preserve">(Accessed: </w:t>
      </w:r>
      <w:r w:rsidR="00804A92">
        <w:t>26-Mar-</w:t>
      </w:r>
      <w:r w:rsidR="00804A92" w:rsidRPr="00A321D3">
        <w:t>2025</w:t>
      </w:r>
      <w:r w:rsidR="005C0417" w:rsidRPr="005C0417">
        <w:t>)</w:t>
      </w:r>
      <w:r w:rsidR="005B509E">
        <w:t>.</w:t>
      </w:r>
    </w:p>
    <w:p w14:paraId="6AFCB847" w14:textId="155465A1" w:rsidR="00685FD9" w:rsidRPr="007A6E84" w:rsidRDefault="00574614" w:rsidP="00EB1B40">
      <w:pPr>
        <w:pStyle w:val="References"/>
      </w:pPr>
      <w:r>
        <w:t>HRA</w:t>
      </w:r>
      <w:r w:rsidR="005C0417">
        <w:t xml:space="preserve"> </w:t>
      </w:r>
      <w:r w:rsidR="005C0417" w:rsidRPr="005C0417">
        <w:t>(</w:t>
      </w:r>
      <w:r w:rsidR="005C0417">
        <w:t>2024</w:t>
      </w:r>
      <w:r w:rsidR="005C0417" w:rsidRPr="005C0417">
        <w:t>)</w:t>
      </w:r>
      <w:r w:rsidR="005C0417">
        <w:t xml:space="preserve"> </w:t>
      </w:r>
      <w:r w:rsidR="005C0417" w:rsidRPr="005C0417">
        <w:rPr>
          <w:i/>
          <w:iCs/>
        </w:rPr>
        <w:t>Important changes to progress and safety reports</w:t>
      </w:r>
      <w:r w:rsidR="005C0417" w:rsidRPr="005C0417">
        <w:t>. Available at:</w:t>
      </w:r>
      <w:r w:rsidR="005C0417">
        <w:t xml:space="preserve"> </w:t>
      </w:r>
      <w:hyperlink r:id="rId56" w:tooltip="link to HRA guidance on changes to safety reports" w:history="1">
        <w:r w:rsidR="00685FD9" w:rsidRPr="007A6E84">
          <w:rPr>
            <w:rStyle w:val="Hyperlink"/>
          </w:rPr>
          <w:t>https://www.hra.nhs.uk/about-us/news-updates/important-changes-progress-and-safety-reports/</w:t>
        </w:r>
      </w:hyperlink>
      <w:r w:rsidR="00A321D3" w:rsidRPr="00A321D3">
        <w:rPr>
          <w:rFonts w:ascii="Segoe UI" w:hAnsi="Segoe UI" w:cs="Segoe UI"/>
          <w:color w:val="424242"/>
          <w:shd w:val="clear" w:color="auto" w:fill="FAFAFA"/>
        </w:rPr>
        <w:t xml:space="preserve"> </w:t>
      </w:r>
      <w:r w:rsidR="00A321D3" w:rsidRPr="00A321D3">
        <w:t xml:space="preserve">(Accessed: </w:t>
      </w:r>
      <w:r w:rsidR="00AC3F00">
        <w:t>26-Mar-</w:t>
      </w:r>
      <w:r w:rsidR="00A321D3" w:rsidRPr="00A321D3">
        <w:t>202</w:t>
      </w:r>
      <w:r w:rsidR="00804A92">
        <w:t>6</w:t>
      </w:r>
      <w:r w:rsidR="00A321D3" w:rsidRPr="00A321D3">
        <w:t>)</w:t>
      </w:r>
      <w:r w:rsidR="005B509E">
        <w:t>.</w:t>
      </w:r>
    </w:p>
    <w:p w14:paraId="7C3679BE" w14:textId="5956B6C7" w:rsidR="00685FD9" w:rsidRPr="005B509E" w:rsidRDefault="00574614" w:rsidP="00EB1B40">
      <w:pPr>
        <w:pStyle w:val="References"/>
      </w:pPr>
      <w:r>
        <w:t>HRA</w:t>
      </w:r>
      <w:r w:rsidR="00A321D3" w:rsidRPr="005B509E">
        <w:t xml:space="preserve"> (2020) </w:t>
      </w:r>
      <w:r w:rsidR="00A321D3" w:rsidRPr="005B509E">
        <w:rPr>
          <w:i/>
          <w:iCs/>
        </w:rPr>
        <w:t>Serious Adverse Event Form (non-CTIMP), version 3.2</w:t>
      </w:r>
      <w:r w:rsidR="00A321D3" w:rsidRPr="005B509E">
        <w:t>. Available at</w:t>
      </w:r>
      <w:r w:rsidR="00685FD9" w:rsidRPr="005B509E">
        <w:t xml:space="preserve">: </w:t>
      </w:r>
      <w:hyperlink r:id="rId57" w:tooltip="link to HRA SAE form" w:history="1">
        <w:r w:rsidR="00685FD9" w:rsidRPr="005B509E">
          <w:rPr>
            <w:rStyle w:val="Hyperlink"/>
          </w:rPr>
          <w:t>https://www.hra.nhs.uk/documents/2466/Non_CTIMP_Safety_Report_Form_Accessible_September_2020_AA.odt</w:t>
        </w:r>
      </w:hyperlink>
      <w:r w:rsidR="00A321D3" w:rsidRPr="005B509E">
        <w:t xml:space="preserve"> (Accessed: 29</w:t>
      </w:r>
      <w:r w:rsidR="00AC3F00">
        <w:t>-</w:t>
      </w:r>
      <w:r w:rsidR="00A321D3" w:rsidRPr="005B509E">
        <w:t>Jul</w:t>
      </w:r>
      <w:r w:rsidR="00AC3F00">
        <w:t>-</w:t>
      </w:r>
      <w:r w:rsidR="00A321D3" w:rsidRPr="005B509E">
        <w:t>2025)</w:t>
      </w:r>
      <w:r w:rsidR="005B509E">
        <w:t>.</w:t>
      </w:r>
    </w:p>
    <w:p w14:paraId="2FFE808B" w14:textId="07BC7F09" w:rsidR="00E82BE2" w:rsidRPr="00B00E72" w:rsidRDefault="00E82BE2" w:rsidP="00E82BE2">
      <w:pPr>
        <w:pStyle w:val="References"/>
      </w:pPr>
      <w:r>
        <w:t>HRA. (20</w:t>
      </w:r>
      <w:r w:rsidR="00AC3F00">
        <w:t>17</w:t>
      </w:r>
      <w:r>
        <w:t xml:space="preserve">) </w:t>
      </w:r>
      <w:r>
        <w:rPr>
          <w:i/>
          <w:iCs/>
        </w:rPr>
        <w:t xml:space="preserve">UK Policy </w:t>
      </w:r>
      <w:r w:rsidRPr="00B00E72">
        <w:rPr>
          <w:i/>
          <w:iCs/>
        </w:rPr>
        <w:t>Framework for Health and Social Care Research</w:t>
      </w:r>
      <w:r>
        <w:t xml:space="preserve">. Available at: </w:t>
      </w:r>
      <w:hyperlink r:id="rId58" w:tooltip="UK Policy Framework for Health and Social Care Research" w:history="1">
        <w:r w:rsidRPr="00794836">
          <w:rPr>
            <w:rStyle w:val="Hyperlink"/>
          </w:rPr>
          <w:t>hra.nhs.uk/planning-and-improving-research/policies-standards-legislation/uk-policy-framework-health-social-care-research/uk-policy-framework-health-and-social-care-research</w:t>
        </w:r>
      </w:hyperlink>
      <w:r>
        <w:t xml:space="preserve"> (Accessed: </w:t>
      </w:r>
      <w:r w:rsidR="00AC3F00">
        <w:t>26-Mar</w:t>
      </w:r>
      <w:r>
        <w:t>-202</w:t>
      </w:r>
      <w:r w:rsidR="00AC3F00">
        <w:t>6</w:t>
      </w:r>
      <w:r>
        <w:t>).</w:t>
      </w:r>
    </w:p>
    <w:p w14:paraId="50E97B43" w14:textId="1FC0E94C" w:rsidR="00685FD9" w:rsidRPr="005B509E" w:rsidRDefault="00251D3B" w:rsidP="00EB1B40">
      <w:pPr>
        <w:pStyle w:val="References"/>
      </w:pPr>
      <w:r>
        <w:t>ICH</w:t>
      </w:r>
      <w:r w:rsidR="000270F6">
        <w:t>.</w:t>
      </w:r>
      <w:r w:rsidR="00A321D3" w:rsidRPr="005B509E">
        <w:t xml:space="preserve"> (</w:t>
      </w:r>
      <w:r w:rsidR="008A7B75">
        <w:t>2010</w:t>
      </w:r>
      <w:r w:rsidR="00A321D3" w:rsidRPr="005B509E">
        <w:t xml:space="preserve">) </w:t>
      </w:r>
      <w:r w:rsidR="00A321D3" w:rsidRPr="005B509E">
        <w:rPr>
          <w:i/>
          <w:iCs/>
        </w:rPr>
        <w:t>Development Safety Update Report</w:t>
      </w:r>
      <w:r>
        <w:rPr>
          <w:i/>
          <w:iCs/>
        </w:rPr>
        <w:t>: E2</w:t>
      </w:r>
      <w:r w:rsidR="007A697F">
        <w:rPr>
          <w:i/>
          <w:iCs/>
        </w:rPr>
        <w:t>F</w:t>
      </w:r>
      <w:r w:rsidR="00A321D3" w:rsidRPr="005B509E">
        <w:t xml:space="preserve">. </w:t>
      </w:r>
      <w:r>
        <w:t xml:space="preserve">Available at: </w:t>
      </w:r>
      <w:hyperlink r:id="rId59" w:tooltip="ICH Efficacy Guidelines" w:history="1">
        <w:r w:rsidRPr="00794836">
          <w:rPr>
            <w:rStyle w:val="Hyperlink"/>
          </w:rPr>
          <w:t>ich.org/page/efficacy-guidelines</w:t>
        </w:r>
      </w:hyperlink>
      <w:r>
        <w:t xml:space="preserve"> (Accessed: 26-Mar-2026).</w:t>
      </w:r>
    </w:p>
    <w:p w14:paraId="7E2DA906" w14:textId="66FF2C99" w:rsidR="000D4BB4" w:rsidRDefault="000D4BB4" w:rsidP="000D4BB4">
      <w:pPr>
        <w:pStyle w:val="References"/>
      </w:pPr>
      <w:r>
        <w:t>ICH. (20</w:t>
      </w:r>
      <w:r w:rsidR="0013148C">
        <w:t>25</w:t>
      </w:r>
      <w:r>
        <w:t xml:space="preserve">) </w:t>
      </w:r>
      <w:r>
        <w:rPr>
          <w:i/>
          <w:iCs/>
        </w:rPr>
        <w:t>Guidelines for Good Clinical Practice: E6 (R3)</w:t>
      </w:r>
      <w:r>
        <w:t xml:space="preserve">. Available at: </w:t>
      </w:r>
      <w:hyperlink r:id="rId60" w:tooltip="ICH Efficacy Guidelines" w:history="1">
        <w:r w:rsidRPr="00794836">
          <w:rPr>
            <w:rStyle w:val="Hyperlink"/>
          </w:rPr>
          <w:t>ich.org/page/efficacy-guidelines</w:t>
        </w:r>
      </w:hyperlink>
      <w:r>
        <w:t xml:space="preserve"> (Accessed: 2</w:t>
      </w:r>
      <w:r w:rsidR="0013148C">
        <w:t>6-Mar</w:t>
      </w:r>
      <w:r>
        <w:t>-2026).</w:t>
      </w:r>
    </w:p>
    <w:p w14:paraId="06A1C343" w14:textId="12795139" w:rsidR="00685FD9" w:rsidRPr="005B509E" w:rsidRDefault="005A0B59" w:rsidP="00EB1B40">
      <w:pPr>
        <w:pStyle w:val="References"/>
      </w:pPr>
      <w:r>
        <w:t>MHRA</w:t>
      </w:r>
      <w:r w:rsidR="003F692B" w:rsidRPr="00EB1B40">
        <w:t xml:space="preserve"> </w:t>
      </w:r>
      <w:r w:rsidR="003F692B" w:rsidRPr="005B509E">
        <w:t xml:space="preserve">(no date) </w:t>
      </w:r>
      <w:r w:rsidR="003F692B" w:rsidRPr="005B509E">
        <w:rPr>
          <w:i/>
          <w:iCs/>
        </w:rPr>
        <w:t>ICSR Submission Portal</w:t>
      </w:r>
      <w:r w:rsidR="003F692B" w:rsidRPr="005B509E">
        <w:t>. Available at:</w:t>
      </w:r>
      <w:r w:rsidR="00685FD9" w:rsidRPr="005B509E">
        <w:t xml:space="preserve"> </w:t>
      </w:r>
      <w:hyperlink r:id="rId61" w:tooltip="Link to the ICSR Submission portal" w:history="1">
        <w:r w:rsidR="00685FD9" w:rsidRPr="005B509E">
          <w:rPr>
            <w:rStyle w:val="Hyperlink"/>
          </w:rPr>
          <w:t>https://icsrsubmissions.mhra.gov.uk/login</w:t>
        </w:r>
      </w:hyperlink>
      <w:r w:rsidR="003F692B" w:rsidRPr="005B509E">
        <w:t xml:space="preserve"> (Accessed: 29 July 2025)</w:t>
      </w:r>
      <w:r w:rsidR="005B509E">
        <w:t>.</w:t>
      </w:r>
    </w:p>
    <w:p w14:paraId="403A3507" w14:textId="43E3E1F0" w:rsidR="0079142A" w:rsidRPr="005B509E" w:rsidRDefault="0079142A" w:rsidP="0079142A">
      <w:pPr>
        <w:pStyle w:val="References"/>
      </w:pPr>
      <w:r>
        <w:t>MHRA</w:t>
      </w:r>
      <w:r w:rsidRPr="003F2FA1">
        <w:t xml:space="preserve"> </w:t>
      </w:r>
      <w:r w:rsidRPr="005B509E">
        <w:t xml:space="preserve">(2024) </w:t>
      </w:r>
      <w:r w:rsidRPr="005B509E">
        <w:rPr>
          <w:i/>
          <w:iCs/>
        </w:rPr>
        <w:t>Medical devices: regulation and safety</w:t>
      </w:r>
      <w:r w:rsidRPr="005B509E">
        <w:t xml:space="preserve">. Available at </w:t>
      </w:r>
      <w:hyperlink r:id="rId62" w:history="1">
        <w:r w:rsidRPr="00EF0124">
          <w:rPr>
            <w:rStyle w:val="Hyperlink"/>
          </w:rPr>
          <w:t>https://www.gov.uk/government/publications/report-a-non-compliant-medical-device-enforcement-process</w:t>
        </w:r>
      </w:hyperlink>
      <w:r w:rsidRPr="005B509E">
        <w:t xml:space="preserve"> (Accessed</w:t>
      </w:r>
      <w:r>
        <w:t>:</w:t>
      </w:r>
      <w:r w:rsidRPr="005B509E">
        <w:t xml:space="preserve"> 30-Jul-2025)</w:t>
      </w:r>
      <w:r>
        <w:t>.</w:t>
      </w:r>
    </w:p>
    <w:p w14:paraId="3492B986" w14:textId="77777777" w:rsidR="006F0139" w:rsidRPr="005B509E" w:rsidRDefault="006F0139" w:rsidP="006F0139">
      <w:pPr>
        <w:pStyle w:val="References"/>
      </w:pPr>
      <w:r>
        <w:lastRenderedPageBreak/>
        <w:t>MHRA</w:t>
      </w:r>
      <w:r w:rsidRPr="005B509E">
        <w:t> (2025) </w:t>
      </w:r>
      <w:r w:rsidRPr="005B509E">
        <w:rPr>
          <w:i/>
          <w:iCs/>
        </w:rPr>
        <w:t>Advanced therapy medicinal products: regulation and licensing in UK</w:t>
      </w:r>
      <w:r w:rsidRPr="005B509E">
        <w:t xml:space="preserve">. Available at: </w:t>
      </w:r>
      <w:hyperlink r:id="rId63" w:tooltip="Link to Regulation (EC) No 1394/2007 " w:history="1">
        <w:r w:rsidRPr="005B509E">
          <w:rPr>
            <w:rStyle w:val="Hyperlink"/>
          </w:rPr>
          <w:t>https://www.gov.uk/guidance/advanced-therapy-medicinal-products-regulation-and-licensing</w:t>
        </w:r>
      </w:hyperlink>
      <w:r w:rsidRPr="005B509E">
        <w:t xml:space="preserve"> (Accessed: 30-Jul-2025)</w:t>
      </w:r>
      <w:r>
        <w:t>.</w:t>
      </w:r>
    </w:p>
    <w:p w14:paraId="28D0C9C5" w14:textId="185F7DC5" w:rsidR="00685FD9" w:rsidRPr="005B509E" w:rsidRDefault="005A0B59" w:rsidP="00EB1B40">
      <w:pPr>
        <w:pStyle w:val="References"/>
      </w:pPr>
      <w:r>
        <w:t>MHRA</w:t>
      </w:r>
      <w:r w:rsidR="00D42C72" w:rsidRPr="005B509E">
        <w:t> (2025) </w:t>
      </w:r>
      <w:r w:rsidR="00D42C72" w:rsidRPr="005B509E">
        <w:rPr>
          <w:i/>
          <w:iCs/>
        </w:rPr>
        <w:t>Clinical trials for medicines: manage your authorisation, report safety issues</w:t>
      </w:r>
      <w:r w:rsidR="00D42C72" w:rsidRPr="005B509E">
        <w:t>. Available at:</w:t>
      </w:r>
      <w:r w:rsidR="005B509E">
        <w:t xml:space="preserve"> </w:t>
      </w:r>
      <w:hyperlink r:id="rId64" w:tooltip="Link to MHRA guidance and requirements for safety reporting" w:history="1">
        <w:r w:rsidR="00685FD9" w:rsidRPr="005B509E">
          <w:rPr>
            <w:rStyle w:val="Hyperlink"/>
          </w:rPr>
          <w:t>https://www.gov.uk/guidance/clinical-trials-for-medicines-manage-your-authorisation-report-safety-issues</w:t>
        </w:r>
      </w:hyperlink>
      <w:r w:rsidR="00685FD9" w:rsidRPr="005B509E">
        <w:t xml:space="preserve"> </w:t>
      </w:r>
      <w:r w:rsidR="00D42C72" w:rsidRPr="005B509E">
        <w:t>(Accessed</w:t>
      </w:r>
      <w:r w:rsidR="005B509E">
        <w:t>:</w:t>
      </w:r>
      <w:r w:rsidR="00D42C72" w:rsidRPr="005B509E">
        <w:t xml:space="preserve"> 30-Jul-2025)</w:t>
      </w:r>
      <w:r w:rsidR="005B509E">
        <w:t>.</w:t>
      </w:r>
    </w:p>
    <w:p w14:paraId="57D89168" w14:textId="2268B048" w:rsidR="00685FD9" w:rsidRDefault="005A0B59" w:rsidP="00EB1B40">
      <w:pPr>
        <w:pStyle w:val="References"/>
      </w:pPr>
      <w:r>
        <w:t>MHRA</w:t>
      </w:r>
      <w:r w:rsidR="00D42C72" w:rsidRPr="005B509E">
        <w:t xml:space="preserve"> (2025) </w:t>
      </w:r>
      <w:r w:rsidR="00685FD9" w:rsidRPr="00EB1B40">
        <w:rPr>
          <w:i/>
          <w:iCs/>
        </w:rPr>
        <w:t>Clinical investigations guidance for medical devices</w:t>
      </w:r>
      <w:r w:rsidR="00D42C72" w:rsidRPr="005B509E">
        <w:t>. Available at:</w:t>
      </w:r>
      <w:r w:rsidR="00685FD9" w:rsidRPr="005B509E">
        <w:t xml:space="preserve"> </w:t>
      </w:r>
      <w:hyperlink r:id="rId65" w:tooltip="link to MHRA clinical investigations of medical device guidance" w:history="1">
        <w:r w:rsidR="005B509E" w:rsidRPr="005B509E">
          <w:rPr>
            <w:rStyle w:val="Hyperlink"/>
          </w:rPr>
          <w:t>https://www.gov.uk/guidance/notify-mhra-about-a-clinical-investigation-for-a-medical-device</w:t>
        </w:r>
      </w:hyperlink>
      <w:r w:rsidR="00D42C72" w:rsidRPr="005B509E">
        <w:t xml:space="preserve"> (Accessed</w:t>
      </w:r>
      <w:r w:rsidR="00BC5A62">
        <w:t>:</w:t>
      </w:r>
      <w:r w:rsidR="00D42C72" w:rsidRPr="005B509E">
        <w:t xml:space="preserve"> 30-Jul-2025)</w:t>
      </w:r>
      <w:r w:rsidR="00BC5A62">
        <w:t>.</w:t>
      </w:r>
    </w:p>
    <w:p w14:paraId="63B2B9D1" w14:textId="3A8180C2" w:rsidR="00F553B0" w:rsidRDefault="005A0B59" w:rsidP="00EB1B40">
      <w:pPr>
        <w:pStyle w:val="References"/>
      </w:pPr>
      <w:r>
        <w:t>MHRA</w:t>
      </w:r>
      <w:r w:rsidR="00F553B0" w:rsidRPr="005B509E">
        <w:t> (202</w:t>
      </w:r>
      <w:r w:rsidR="00F553B0">
        <w:t>6</w:t>
      </w:r>
      <w:r w:rsidR="00F553B0" w:rsidRPr="005B509E">
        <w:t>)</w:t>
      </w:r>
      <w:r w:rsidR="00F553B0" w:rsidRPr="00CD5C79">
        <w:t xml:space="preserve"> </w:t>
      </w:r>
      <w:r w:rsidR="00154270">
        <w:t xml:space="preserve">Figure 1 - </w:t>
      </w:r>
      <w:r w:rsidR="00F553B0">
        <w:rPr>
          <w:i/>
          <w:iCs/>
        </w:rPr>
        <w:t>Diagram explaining which RSI should be used in the DSU</w:t>
      </w:r>
      <w:r w:rsidR="00154270">
        <w:rPr>
          <w:i/>
          <w:iCs/>
        </w:rPr>
        <w:t>R</w:t>
      </w:r>
      <w:r w:rsidR="00F553B0">
        <w:t xml:space="preserve">. </w:t>
      </w:r>
      <w:r w:rsidR="00F553B0" w:rsidRPr="005B509E">
        <w:t>Available at</w:t>
      </w:r>
      <w:r w:rsidR="00F553B0">
        <w:t xml:space="preserve">: </w:t>
      </w:r>
      <w:hyperlink r:id="rId66" w:history="1">
        <w:r w:rsidR="00F553B0" w:rsidRPr="00916469">
          <w:rPr>
            <w:rStyle w:val="Hyperlink"/>
          </w:rPr>
          <w:t>https://assets.publishing.service.gov.uk/media/68dab7988c1db6022d0c9eba/Fig1._RSI_for_DSUR.pdf</w:t>
        </w:r>
      </w:hyperlink>
      <w:r w:rsidR="00F553B0">
        <w:t xml:space="preserve"> (Accessed: 17-Mar-2026). </w:t>
      </w:r>
    </w:p>
    <w:p w14:paraId="3E596DC0" w14:textId="77777777" w:rsidR="006F0139" w:rsidRPr="005B509E" w:rsidRDefault="006F0139" w:rsidP="006F0139">
      <w:pPr>
        <w:pStyle w:val="References"/>
      </w:pPr>
      <w:r>
        <w:t>MHRA</w:t>
      </w:r>
      <w:r w:rsidRPr="005B509E">
        <w:t> (202</w:t>
      </w:r>
      <w:r>
        <w:t>6</w:t>
      </w:r>
      <w:r w:rsidRPr="005B509E">
        <w:t>)</w:t>
      </w:r>
      <w:r w:rsidRPr="00CD5C79">
        <w:t xml:space="preserve"> </w:t>
      </w:r>
      <w:r w:rsidRPr="00AF545B">
        <w:rPr>
          <w:i/>
          <w:iCs/>
        </w:rPr>
        <w:t>Reporting SUSARs</w:t>
      </w:r>
      <w:r>
        <w:t xml:space="preserve">. </w:t>
      </w:r>
      <w:r w:rsidRPr="005B509E">
        <w:t>Available at:</w:t>
      </w:r>
      <w:r>
        <w:t xml:space="preserve"> </w:t>
      </w:r>
      <w:hyperlink r:id="rId67" w:anchor="reporting-suspected-unexpected-serious-adverse-reactions-susars" w:tooltip="MHRA guidance on reporting SUSARs" w:history="1">
        <w:r w:rsidRPr="007A0133">
          <w:rPr>
            <w:rStyle w:val="Hyperlink"/>
          </w:rPr>
          <w:t>https://www.gov.uk/guidance/clinical-trials-for-medicines-collection-verification-reporting-of-safety-events#reporting-suspected-unexpected-serious-adverse-reactions-susars</w:t>
        </w:r>
      </w:hyperlink>
      <w:r w:rsidRPr="00AF545B">
        <w:t xml:space="preserve"> (Accessed: 17-Mar-2026).</w:t>
      </w:r>
    </w:p>
    <w:p w14:paraId="6910B252" w14:textId="5AA092C7" w:rsidR="005B02A2" w:rsidRDefault="00574614" w:rsidP="00EB1B40">
      <w:pPr>
        <w:pStyle w:val="References"/>
      </w:pPr>
      <w:r>
        <w:t>MHRA</w:t>
      </w:r>
      <w:r w:rsidR="005B02A2" w:rsidRPr="005B509E">
        <w:t> (202</w:t>
      </w:r>
      <w:r w:rsidR="005B02A2">
        <w:t>6</w:t>
      </w:r>
      <w:r w:rsidR="005B02A2" w:rsidRPr="005B509E">
        <w:t>)</w:t>
      </w:r>
      <w:r w:rsidR="005B02A2" w:rsidRPr="00CD5C79">
        <w:t xml:space="preserve"> </w:t>
      </w:r>
      <w:r w:rsidR="005B02A2">
        <w:rPr>
          <w:i/>
          <w:iCs/>
        </w:rPr>
        <w:t>RSI</w:t>
      </w:r>
      <w:r w:rsidR="005B02A2">
        <w:t xml:space="preserve">. </w:t>
      </w:r>
      <w:r w:rsidR="005B02A2" w:rsidRPr="005B509E">
        <w:t>Available at</w:t>
      </w:r>
      <w:r w:rsidR="005B02A2">
        <w:t xml:space="preserve">: </w:t>
      </w:r>
      <w:hyperlink r:id="rId68" w:anchor="reference-safety-information-rsi" w:tooltip="MHRA guidance on RSI" w:history="1">
        <w:r w:rsidR="005B02A2" w:rsidRPr="00916469">
          <w:rPr>
            <w:rStyle w:val="Hyperlink"/>
          </w:rPr>
          <w:t>https://www.gov.uk/guidance/clinical-trials-for-medicines-collection-verification-reporting-of-safety-events#reference-safety-information-rsi</w:t>
        </w:r>
      </w:hyperlink>
      <w:r w:rsidR="005B02A2">
        <w:t xml:space="preserve"> (Accessed: 17-Mar-2026). </w:t>
      </w:r>
    </w:p>
    <w:p w14:paraId="3C8D5D72" w14:textId="02EC79BF" w:rsidR="00685FD9" w:rsidRPr="005B509E" w:rsidRDefault="00D42C72" w:rsidP="00EB1B40">
      <w:pPr>
        <w:pStyle w:val="References"/>
      </w:pPr>
      <w:r w:rsidRPr="00EB1B40">
        <w:t>Medical Research Council, Department of Health and Medicines and Healthcare products Regulatory Agency</w:t>
      </w:r>
      <w:r w:rsidRPr="005B509E">
        <w:t> (2011) </w:t>
      </w:r>
      <w:r w:rsidRPr="005B509E">
        <w:rPr>
          <w:i/>
          <w:iCs/>
        </w:rPr>
        <w:t>Risk-adapted approaches to the management of clinical trials of investigational medicinal products</w:t>
      </w:r>
      <w:r w:rsidRPr="005B509E">
        <w:t xml:space="preserve">. Available at: </w:t>
      </w:r>
      <w:hyperlink r:id="rId69" w:tooltip="Link to • MRC/DH/MHRA " w:history="1">
        <w:r w:rsidR="00685FD9" w:rsidRPr="005B509E">
          <w:rPr>
            <w:rStyle w:val="Hyperlink"/>
          </w:rPr>
          <w:t>https://www.gov.uk/government/uploads/system/uploads/attachment_data/file/343677/Risk-adapted_approaches_to_the_management_of_clinical_trials_of_investigational_medicinal_products.pdf</w:t>
        </w:r>
      </w:hyperlink>
      <w:r w:rsidR="00685FD9" w:rsidRPr="005B509E">
        <w:t xml:space="preserve"> </w:t>
      </w:r>
      <w:r w:rsidR="001A026A" w:rsidRPr="005B509E">
        <w:t>(Accessed: 30-Jul-2025)</w:t>
      </w:r>
      <w:r w:rsidR="00BC5A62">
        <w:t>.</w:t>
      </w:r>
    </w:p>
    <w:p w14:paraId="36D2587B" w14:textId="3F0056DE" w:rsidR="00D61268" w:rsidRPr="005B509E" w:rsidRDefault="006F0139" w:rsidP="00EB1B40">
      <w:pPr>
        <w:pStyle w:val="References"/>
        <w:rPr>
          <w:rStyle w:val="Hyperlink"/>
        </w:rPr>
      </w:pPr>
      <w:r>
        <w:t>NIHR</w:t>
      </w:r>
      <w:r w:rsidR="00D61268" w:rsidRPr="005B509E">
        <w:t> (no date) </w:t>
      </w:r>
      <w:r w:rsidR="00D61268" w:rsidRPr="005B509E">
        <w:rPr>
          <w:i/>
          <w:iCs/>
        </w:rPr>
        <w:t>Clinical Trials Toolkit – Guidance on safety reporting</w:t>
      </w:r>
      <w:r w:rsidR="00D61268" w:rsidRPr="005B509E">
        <w:t xml:space="preserve">. Available at: </w:t>
      </w:r>
      <w:hyperlink r:id="rId70" w:tooltip="Link to NIHR Clinical Trials Toolkit - Guidance on safety reporting" w:history="1">
        <w:r w:rsidR="00D61268" w:rsidRPr="005B509E">
          <w:rPr>
            <w:rStyle w:val="Hyperlink"/>
            <w:rFonts w:eastAsiaTheme="minorHAnsi"/>
          </w:rPr>
          <w:t>http://www.ct-toolkit.ac.uk/routemap/safety-reporting/</w:t>
        </w:r>
      </w:hyperlink>
      <w:r w:rsidR="00D61268" w:rsidRPr="005B509E">
        <w:t xml:space="preserve"> (Accessed: </w:t>
      </w:r>
      <w:r w:rsidR="0072322A">
        <w:t>26-Mar-2026</w:t>
      </w:r>
      <w:r w:rsidR="00D61268" w:rsidRPr="005B509E">
        <w:t>)</w:t>
      </w:r>
      <w:r w:rsidR="00D61268">
        <w:t>.</w:t>
      </w:r>
    </w:p>
    <w:p w14:paraId="3360D7D8" w14:textId="0B115C91" w:rsidR="00685FD9" w:rsidRPr="005B509E" w:rsidRDefault="006F0139" w:rsidP="00EB1B40">
      <w:pPr>
        <w:pStyle w:val="References"/>
      </w:pPr>
      <w:r>
        <w:t>NIHR</w:t>
      </w:r>
      <w:r w:rsidR="005B509E" w:rsidRPr="005B509E">
        <w:t xml:space="preserve"> (no date) </w:t>
      </w:r>
      <w:r w:rsidR="00685FD9" w:rsidRPr="00EB1B40">
        <w:rPr>
          <w:i/>
          <w:iCs/>
        </w:rPr>
        <w:t>Safety Reporting Assessment Flowchart</w:t>
      </w:r>
      <w:r w:rsidR="005B509E" w:rsidRPr="005B509E">
        <w:t>. Available at</w:t>
      </w:r>
      <w:r w:rsidR="00685FD9" w:rsidRPr="005B509E">
        <w:t xml:space="preserve">: </w:t>
      </w:r>
      <w:hyperlink r:id="rId71" w:tooltip="link to NIHR safety reporting flow-chart" w:history="1">
        <w:r w:rsidR="00685FD9" w:rsidRPr="005B509E">
          <w:rPr>
            <w:rStyle w:val="Hyperlink"/>
          </w:rPr>
          <w:t>https://www.ct-toolkit.ac.uk/routemap/safety-reporting/downloads/safety-reporting-flowchart.pdf</w:t>
        </w:r>
      </w:hyperlink>
      <w:r w:rsidR="005B509E" w:rsidRPr="005B509E">
        <w:t xml:space="preserve"> (Accessed: </w:t>
      </w:r>
      <w:r w:rsidR="004A5A27">
        <w:t>26-Mar-2026</w:t>
      </w:r>
      <w:r w:rsidR="005B509E" w:rsidRPr="005B509E">
        <w:t>)</w:t>
      </w:r>
      <w:r w:rsidR="00BC5A62">
        <w:t>.</w:t>
      </w:r>
    </w:p>
    <w:p w14:paraId="649BC6E0" w14:textId="3819023F" w:rsidR="00BC5A62" w:rsidRPr="005B509E" w:rsidRDefault="00BC5A62" w:rsidP="00EB1B40">
      <w:pPr>
        <w:pStyle w:val="References"/>
      </w:pPr>
      <w:r w:rsidRPr="005B509E">
        <w:t xml:space="preserve">UK Legislation (2002) </w:t>
      </w:r>
      <w:r w:rsidRPr="00441821">
        <w:rPr>
          <w:i/>
          <w:iCs/>
        </w:rPr>
        <w:t>Medical Devices Act (as amended)</w:t>
      </w:r>
      <w:r w:rsidRPr="005B509E">
        <w:t xml:space="preserve">. Available at:  </w:t>
      </w:r>
      <w:hyperlink r:id="rId72" w:history="1">
        <w:r w:rsidR="004A5A27" w:rsidRPr="00EA7EBA">
          <w:rPr>
            <w:rStyle w:val="Hyperlink"/>
          </w:rPr>
          <w:t>https://www.legislation.gov.uk/uksi/2002/618/contents</w:t>
        </w:r>
      </w:hyperlink>
      <w:r w:rsidR="004A5A27">
        <w:t xml:space="preserve"> </w:t>
      </w:r>
      <w:r w:rsidRPr="005B509E">
        <w:t>(Accessed: 2</w:t>
      </w:r>
      <w:r w:rsidR="004A5A27">
        <w:t>6-Mar-2026</w:t>
      </w:r>
      <w:r w:rsidRPr="005B509E">
        <w:t>)</w:t>
      </w:r>
      <w:r>
        <w:t>.</w:t>
      </w:r>
    </w:p>
    <w:p w14:paraId="6DFEC1DD" w14:textId="3480620F" w:rsidR="00685FD9" w:rsidRPr="005B509E" w:rsidRDefault="00203846" w:rsidP="00EB1B40">
      <w:pPr>
        <w:pStyle w:val="References"/>
      </w:pPr>
      <w:r w:rsidRPr="005B509E">
        <w:t>UK Legislation (</w:t>
      </w:r>
      <w:r w:rsidR="00447797">
        <w:t>2004</w:t>
      </w:r>
      <w:r w:rsidRPr="005B509E">
        <w:t xml:space="preserve">) </w:t>
      </w:r>
      <w:r w:rsidR="00685FD9" w:rsidRPr="00EB1B40">
        <w:rPr>
          <w:i/>
          <w:iCs/>
        </w:rPr>
        <w:t>The Medicines for Human Use (Clinical Trials)</w:t>
      </w:r>
      <w:r w:rsidRPr="00EB1B40">
        <w:rPr>
          <w:i/>
          <w:iCs/>
        </w:rPr>
        <w:t xml:space="preserve"> </w:t>
      </w:r>
      <w:r w:rsidR="00685FD9" w:rsidRPr="00EB1B40">
        <w:rPr>
          <w:i/>
          <w:iCs/>
        </w:rPr>
        <w:t>Regulations</w:t>
      </w:r>
      <w:r w:rsidRPr="00EB1B40">
        <w:rPr>
          <w:i/>
          <w:iCs/>
        </w:rPr>
        <w:t xml:space="preserve"> </w:t>
      </w:r>
      <w:r w:rsidRPr="005B509E">
        <w:t>(as amended). Available at:</w:t>
      </w:r>
      <w:r w:rsidR="00685FD9" w:rsidRPr="005B509E">
        <w:t xml:space="preserve"> </w:t>
      </w:r>
      <w:r w:rsidR="00B73A9F" w:rsidRPr="00B73A9F">
        <w:t xml:space="preserve"> </w:t>
      </w:r>
      <w:hyperlink r:id="rId73" w:history="1">
        <w:r w:rsidR="00E710C9" w:rsidRPr="00EA7EBA">
          <w:rPr>
            <w:rStyle w:val="Hyperlink"/>
          </w:rPr>
          <w:t>https://www.legislation.gov.uk/uksi/2004/1031/contents</w:t>
        </w:r>
      </w:hyperlink>
      <w:r w:rsidR="00E710C9">
        <w:t xml:space="preserve"> </w:t>
      </w:r>
      <w:r w:rsidRPr="005B509E">
        <w:t>(Accessed</w:t>
      </w:r>
      <w:r w:rsidR="005B02A2">
        <w:t>:</w:t>
      </w:r>
      <w:r w:rsidRPr="005B509E">
        <w:t xml:space="preserve"> </w:t>
      </w:r>
      <w:r w:rsidR="00E710C9">
        <w:t>26-Mar-2026</w:t>
      </w:r>
      <w:r w:rsidRPr="005B509E">
        <w:t>)</w:t>
      </w:r>
      <w:r w:rsidR="00BC5A62">
        <w:t>.</w:t>
      </w:r>
    </w:p>
    <w:p w14:paraId="795BB40E" w14:textId="77777777" w:rsidR="00E468D2" w:rsidRPr="00785E31" w:rsidRDefault="00E468D2" w:rsidP="00E468D2">
      <w:pPr>
        <w:pStyle w:val="References"/>
      </w:pPr>
      <w:r>
        <w:t xml:space="preserve">UoB (no date) </w:t>
      </w:r>
      <w:r>
        <w:rPr>
          <w:i/>
          <w:iCs/>
        </w:rPr>
        <w:t>Sponsor’s Annual Progress Report.</w:t>
      </w:r>
      <w:r>
        <w:t xml:space="preserve"> Available at: </w:t>
      </w:r>
      <w:hyperlink r:id="rId74" w:history="1">
        <w:r w:rsidRPr="00B013E3">
          <w:rPr>
            <w:rStyle w:val="Hyperlink"/>
          </w:rPr>
          <w:t>https://www.birmingham.ac.uk/Documents/research/rssd/uob-sponsor-apr.docx</w:t>
        </w:r>
      </w:hyperlink>
      <w:r>
        <w:t xml:space="preserve"> (Accessed: 17-Mar-2026).</w:t>
      </w:r>
    </w:p>
    <w:p w14:paraId="4019C74C" w14:textId="7B82AE4A" w:rsidR="00685FD9" w:rsidRDefault="00685FD9" w:rsidP="00EB1B40">
      <w:pPr>
        <w:pStyle w:val="References"/>
      </w:pPr>
      <w:r w:rsidRPr="005B509E">
        <w:t xml:space="preserve">UoB </w:t>
      </w:r>
      <w:r w:rsidR="005E1B8D" w:rsidRPr="005B509E">
        <w:t>(</w:t>
      </w:r>
      <w:r w:rsidR="00E468D2">
        <w:t>2025</w:t>
      </w:r>
      <w:r w:rsidR="005E1B8D" w:rsidRPr="005B509E">
        <w:t xml:space="preserve">) </w:t>
      </w:r>
      <w:r w:rsidRPr="00EB1B40">
        <w:rPr>
          <w:i/>
          <w:iCs/>
        </w:rPr>
        <w:t>Code of Practice for Research</w:t>
      </w:r>
      <w:r w:rsidR="005E1B8D" w:rsidRPr="005B509E">
        <w:t>. Available at</w:t>
      </w:r>
      <w:r w:rsidRPr="005B509E">
        <w:t xml:space="preserve">: </w:t>
      </w:r>
      <w:hyperlink r:id="rId75" w:tooltip="Link to UoB Code of Practice for Research (PDF - 479 KB)" w:history="1">
        <w:r w:rsidRPr="005B509E">
          <w:rPr>
            <w:rStyle w:val="Hyperlink"/>
          </w:rPr>
          <w:t>https://www.birmingham.ac.uk/Documents/university/legal/research.pdf</w:t>
        </w:r>
      </w:hyperlink>
      <w:r w:rsidRPr="005B509E">
        <w:t xml:space="preserve"> </w:t>
      </w:r>
      <w:r w:rsidR="005E1B8D" w:rsidRPr="005B509E">
        <w:t>(Accessed</w:t>
      </w:r>
      <w:r w:rsidR="005B02A2">
        <w:t>:</w:t>
      </w:r>
      <w:r w:rsidR="005E1B8D" w:rsidRPr="005B509E">
        <w:t xml:space="preserve"> </w:t>
      </w:r>
      <w:r w:rsidR="00E468D2">
        <w:t>17-Mar</w:t>
      </w:r>
      <w:r w:rsidR="005E1B8D" w:rsidRPr="005B509E">
        <w:t>-202</w:t>
      </w:r>
      <w:r w:rsidR="00E468D2">
        <w:t>6</w:t>
      </w:r>
      <w:r w:rsidR="005E1B8D" w:rsidRPr="005B509E">
        <w:t>).</w:t>
      </w:r>
    </w:p>
    <w:p w14:paraId="09A59C4A" w14:textId="77777777" w:rsidR="00B10C05" w:rsidRDefault="00B10C05" w:rsidP="005F2DE3">
      <w:pPr>
        <w:pStyle w:val="Heading1"/>
      </w:pPr>
      <w:bookmarkStart w:id="50" w:name="_Toc225494586"/>
      <w:r w:rsidRPr="00522ABB">
        <w:t>Abbreviations</w:t>
      </w:r>
      <w:bookmarkEnd w:id="50"/>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1413"/>
        <w:gridCol w:w="7604"/>
      </w:tblGrid>
      <w:tr w:rsidR="00A55C72" w14:paraId="1CF2A3AA" w14:textId="77777777" w:rsidTr="00432B0E">
        <w:trPr>
          <w:cantSplit/>
        </w:trPr>
        <w:tc>
          <w:tcPr>
            <w:tcW w:w="1413" w:type="dxa"/>
          </w:tcPr>
          <w:p w14:paraId="31696846" w14:textId="0F9565A6" w:rsidR="00A55C72" w:rsidRPr="00043513" w:rsidRDefault="00685FD9" w:rsidP="00A55C72">
            <w:r w:rsidRPr="000508D6">
              <w:t>ADE</w:t>
            </w:r>
          </w:p>
        </w:tc>
        <w:tc>
          <w:tcPr>
            <w:tcW w:w="7604" w:type="dxa"/>
          </w:tcPr>
          <w:p w14:paraId="33D21168" w14:textId="0F0FE678" w:rsidR="00A55C72" w:rsidRPr="00A11FDD" w:rsidRDefault="001574D9" w:rsidP="00A55C72">
            <w:r>
              <w:t>Adverse device effect</w:t>
            </w:r>
          </w:p>
        </w:tc>
      </w:tr>
      <w:tr w:rsidR="00A55C72" w14:paraId="3258F5C4" w14:textId="77777777" w:rsidTr="00432B0E">
        <w:trPr>
          <w:cantSplit/>
        </w:trPr>
        <w:tc>
          <w:tcPr>
            <w:tcW w:w="1413" w:type="dxa"/>
          </w:tcPr>
          <w:p w14:paraId="237D8547" w14:textId="4FDF0296" w:rsidR="00A55C72" w:rsidRPr="00043513" w:rsidRDefault="00D92FC9" w:rsidP="00A55C72">
            <w:r>
              <w:t>AE</w:t>
            </w:r>
          </w:p>
        </w:tc>
        <w:tc>
          <w:tcPr>
            <w:tcW w:w="7604" w:type="dxa"/>
          </w:tcPr>
          <w:p w14:paraId="216ECA70" w14:textId="7EE7F6C6" w:rsidR="00A55C72" w:rsidRDefault="00D92FC9" w:rsidP="00A55C72">
            <w:r>
              <w:t>Adverse event</w:t>
            </w:r>
          </w:p>
        </w:tc>
      </w:tr>
      <w:tr w:rsidR="002E67F3" w14:paraId="4F210B56" w14:textId="77777777" w:rsidTr="00432B0E">
        <w:trPr>
          <w:cantSplit/>
        </w:trPr>
        <w:tc>
          <w:tcPr>
            <w:tcW w:w="1413" w:type="dxa"/>
          </w:tcPr>
          <w:p w14:paraId="55FEAB7F" w14:textId="2B2FEB42" w:rsidR="002E67F3" w:rsidRDefault="002E67F3" w:rsidP="002E67F3">
            <w:r>
              <w:t>APR</w:t>
            </w:r>
          </w:p>
        </w:tc>
        <w:tc>
          <w:tcPr>
            <w:tcW w:w="7604" w:type="dxa"/>
          </w:tcPr>
          <w:p w14:paraId="2605FF54" w14:textId="68611A91" w:rsidR="002E67F3" w:rsidRDefault="002E67F3" w:rsidP="002E67F3">
            <w:r>
              <w:t>Annual progress reports</w:t>
            </w:r>
          </w:p>
        </w:tc>
      </w:tr>
      <w:tr w:rsidR="002E67F3" w14:paraId="62FF124A" w14:textId="77777777" w:rsidTr="00432B0E">
        <w:trPr>
          <w:cantSplit/>
        </w:trPr>
        <w:tc>
          <w:tcPr>
            <w:tcW w:w="1413" w:type="dxa"/>
          </w:tcPr>
          <w:p w14:paraId="19D93A32" w14:textId="2085AABE" w:rsidR="002E67F3" w:rsidRPr="00043513" w:rsidRDefault="002E67F3" w:rsidP="002E67F3">
            <w:r>
              <w:t>AR</w:t>
            </w:r>
          </w:p>
        </w:tc>
        <w:tc>
          <w:tcPr>
            <w:tcW w:w="7604" w:type="dxa"/>
          </w:tcPr>
          <w:p w14:paraId="3D9A4969" w14:textId="0EE6A031" w:rsidR="002E67F3" w:rsidRDefault="002E67F3" w:rsidP="002E67F3">
            <w:r>
              <w:t>Adverse reaction</w:t>
            </w:r>
          </w:p>
        </w:tc>
      </w:tr>
      <w:tr w:rsidR="002E67F3" w14:paraId="215D4B14" w14:textId="77777777" w:rsidTr="00432B0E">
        <w:trPr>
          <w:cantSplit/>
        </w:trPr>
        <w:tc>
          <w:tcPr>
            <w:tcW w:w="1413" w:type="dxa"/>
          </w:tcPr>
          <w:p w14:paraId="6E6D9638" w14:textId="1972D735" w:rsidR="002E67F3" w:rsidRPr="00043513" w:rsidRDefault="002E67F3" w:rsidP="002E67F3">
            <w:r>
              <w:t>ASADE</w:t>
            </w:r>
          </w:p>
        </w:tc>
        <w:tc>
          <w:tcPr>
            <w:tcW w:w="7604" w:type="dxa"/>
          </w:tcPr>
          <w:p w14:paraId="7D28CD6A" w14:textId="65B6DED3" w:rsidR="002E67F3" w:rsidRDefault="002E67F3" w:rsidP="002E67F3">
            <w:r w:rsidRPr="002E67F3">
              <w:t xml:space="preserve">Anticipated Serious Adverse Device Effect </w:t>
            </w:r>
          </w:p>
        </w:tc>
      </w:tr>
      <w:tr w:rsidR="002E67F3" w14:paraId="1DC11309" w14:textId="77777777" w:rsidTr="00432B0E">
        <w:trPr>
          <w:cantSplit/>
        </w:trPr>
        <w:tc>
          <w:tcPr>
            <w:tcW w:w="1413" w:type="dxa"/>
          </w:tcPr>
          <w:p w14:paraId="13160394" w14:textId="6FC73141" w:rsidR="002E67F3" w:rsidRPr="00043513" w:rsidRDefault="002E67F3" w:rsidP="002E67F3">
            <w:r>
              <w:t>CA</w:t>
            </w:r>
          </w:p>
        </w:tc>
        <w:tc>
          <w:tcPr>
            <w:tcW w:w="7604" w:type="dxa"/>
          </w:tcPr>
          <w:p w14:paraId="4E93F8EA" w14:textId="4C180570" w:rsidR="002E67F3" w:rsidRPr="0027215E" w:rsidRDefault="002E67F3" w:rsidP="002E67F3">
            <w:r>
              <w:t>Competent authority</w:t>
            </w:r>
          </w:p>
        </w:tc>
      </w:tr>
      <w:tr w:rsidR="002E67F3" w14:paraId="1041A162" w14:textId="77777777" w:rsidTr="00432B0E">
        <w:trPr>
          <w:cantSplit/>
        </w:trPr>
        <w:tc>
          <w:tcPr>
            <w:tcW w:w="1413" w:type="dxa"/>
          </w:tcPr>
          <w:p w14:paraId="67E37C35" w14:textId="44372A11" w:rsidR="002E67F3" w:rsidRDefault="002E67F3" w:rsidP="002E67F3">
            <w:r>
              <w:t>CI</w:t>
            </w:r>
          </w:p>
        </w:tc>
        <w:tc>
          <w:tcPr>
            <w:tcW w:w="7604" w:type="dxa"/>
          </w:tcPr>
          <w:p w14:paraId="1D20D96B" w14:textId="324C2C02" w:rsidR="002E67F3" w:rsidRDefault="002E67F3" w:rsidP="002E67F3">
            <w:r>
              <w:t>Chief investigator</w:t>
            </w:r>
          </w:p>
        </w:tc>
      </w:tr>
      <w:tr w:rsidR="00FF733E" w14:paraId="4881E8B2" w14:textId="77777777" w:rsidTr="00432B0E">
        <w:trPr>
          <w:cantSplit/>
        </w:trPr>
        <w:tc>
          <w:tcPr>
            <w:tcW w:w="1413" w:type="dxa"/>
          </w:tcPr>
          <w:p w14:paraId="407841CB" w14:textId="787FD8F6" w:rsidR="00FF733E" w:rsidRDefault="00FF733E" w:rsidP="002E67F3">
            <w:r>
              <w:t>CTA</w:t>
            </w:r>
          </w:p>
        </w:tc>
        <w:tc>
          <w:tcPr>
            <w:tcW w:w="7604" w:type="dxa"/>
          </w:tcPr>
          <w:p w14:paraId="6080CE94" w14:textId="574BA637" w:rsidR="00FF733E" w:rsidRDefault="00FF733E" w:rsidP="002E67F3">
            <w:r w:rsidRPr="00FF733E">
              <w:t>Clinical Trial Authorisation</w:t>
            </w:r>
          </w:p>
        </w:tc>
      </w:tr>
      <w:tr w:rsidR="002E67F3" w14:paraId="022F0BE6" w14:textId="77777777" w:rsidTr="00432B0E">
        <w:trPr>
          <w:cantSplit/>
        </w:trPr>
        <w:tc>
          <w:tcPr>
            <w:tcW w:w="1413" w:type="dxa"/>
          </w:tcPr>
          <w:p w14:paraId="346E8240" w14:textId="6F34D880" w:rsidR="002E67F3" w:rsidRDefault="002E67F3" w:rsidP="002E67F3">
            <w:r>
              <w:lastRenderedPageBreak/>
              <w:t>CTIMP</w:t>
            </w:r>
          </w:p>
        </w:tc>
        <w:tc>
          <w:tcPr>
            <w:tcW w:w="7604" w:type="dxa"/>
          </w:tcPr>
          <w:p w14:paraId="0E87936A" w14:textId="7C6DBFB2" w:rsidR="002E67F3" w:rsidRDefault="002E67F3" w:rsidP="002E67F3">
            <w:r w:rsidRPr="006D7C46">
              <w:t>Clinical Trials of an Investigational Medicinal Product</w:t>
            </w:r>
          </w:p>
        </w:tc>
      </w:tr>
      <w:tr w:rsidR="002E67F3" w14:paraId="214ECD12" w14:textId="77777777" w:rsidTr="00432B0E">
        <w:trPr>
          <w:cantSplit/>
        </w:trPr>
        <w:tc>
          <w:tcPr>
            <w:tcW w:w="1413" w:type="dxa"/>
          </w:tcPr>
          <w:p w14:paraId="15A7E637" w14:textId="3AE49D15" w:rsidR="002E67F3" w:rsidRDefault="002E67F3" w:rsidP="002E67F3">
            <w:r>
              <w:t>CTU</w:t>
            </w:r>
          </w:p>
        </w:tc>
        <w:tc>
          <w:tcPr>
            <w:tcW w:w="7604" w:type="dxa"/>
          </w:tcPr>
          <w:p w14:paraId="65379B54" w14:textId="142761DD" w:rsidR="002E67F3" w:rsidRPr="006D7C46" w:rsidRDefault="002E67F3" w:rsidP="002E67F3">
            <w:r>
              <w:t>Clinical trials unit</w:t>
            </w:r>
          </w:p>
        </w:tc>
      </w:tr>
      <w:tr w:rsidR="002E67F3" w14:paraId="026A7DA4" w14:textId="77777777" w:rsidTr="00432B0E">
        <w:trPr>
          <w:cantSplit/>
        </w:trPr>
        <w:tc>
          <w:tcPr>
            <w:tcW w:w="1413" w:type="dxa"/>
          </w:tcPr>
          <w:p w14:paraId="1303F493" w14:textId="6877705E" w:rsidR="002E67F3" w:rsidRPr="00043513" w:rsidRDefault="002E67F3" w:rsidP="002E67F3">
            <w:r>
              <w:t>DD</w:t>
            </w:r>
          </w:p>
        </w:tc>
        <w:tc>
          <w:tcPr>
            <w:tcW w:w="7604" w:type="dxa"/>
          </w:tcPr>
          <w:p w14:paraId="19CA56A3" w14:textId="58DE0399" w:rsidR="002E67F3" w:rsidRDefault="002E67F3" w:rsidP="002E67F3">
            <w:r>
              <w:t>Device deficiency</w:t>
            </w:r>
          </w:p>
        </w:tc>
      </w:tr>
      <w:tr w:rsidR="002E67F3" w14:paraId="263BD7CE" w14:textId="77777777" w:rsidTr="00432B0E">
        <w:trPr>
          <w:cantSplit/>
        </w:trPr>
        <w:tc>
          <w:tcPr>
            <w:tcW w:w="1413" w:type="dxa"/>
          </w:tcPr>
          <w:p w14:paraId="4A62A890" w14:textId="40DBC7F3" w:rsidR="002E67F3" w:rsidRPr="00043513" w:rsidRDefault="002E67F3" w:rsidP="002E67F3">
            <w:r>
              <w:t>DSUR</w:t>
            </w:r>
          </w:p>
        </w:tc>
        <w:tc>
          <w:tcPr>
            <w:tcW w:w="7604" w:type="dxa"/>
          </w:tcPr>
          <w:p w14:paraId="45E967B1" w14:textId="78163F33" w:rsidR="002E67F3" w:rsidRDefault="002E67F3" w:rsidP="002E67F3">
            <w:r>
              <w:t>Development safety update report</w:t>
            </w:r>
          </w:p>
        </w:tc>
      </w:tr>
      <w:tr w:rsidR="002E67F3" w14:paraId="2BE642A8" w14:textId="77777777" w:rsidTr="00432B0E">
        <w:trPr>
          <w:cantSplit/>
        </w:trPr>
        <w:tc>
          <w:tcPr>
            <w:tcW w:w="1413" w:type="dxa"/>
          </w:tcPr>
          <w:p w14:paraId="19E94950" w14:textId="0C3166F3" w:rsidR="002E67F3" w:rsidRDefault="002E67F3" w:rsidP="002E67F3">
            <w:r>
              <w:t>EMA</w:t>
            </w:r>
          </w:p>
        </w:tc>
        <w:tc>
          <w:tcPr>
            <w:tcW w:w="7604" w:type="dxa"/>
          </w:tcPr>
          <w:p w14:paraId="25AE5457" w14:textId="3A619F7E" w:rsidR="002E67F3" w:rsidRDefault="002E67F3" w:rsidP="002E67F3">
            <w:r w:rsidRPr="00A34AF1">
              <w:t>European Medicine Agency</w:t>
            </w:r>
          </w:p>
        </w:tc>
      </w:tr>
      <w:tr w:rsidR="002E67F3" w14:paraId="392B38E8" w14:textId="77777777" w:rsidTr="00432B0E">
        <w:trPr>
          <w:cantSplit/>
        </w:trPr>
        <w:tc>
          <w:tcPr>
            <w:tcW w:w="1413" w:type="dxa"/>
          </w:tcPr>
          <w:p w14:paraId="2AD01A21" w14:textId="00D016F8" w:rsidR="002E67F3" w:rsidRDefault="002E67F3" w:rsidP="002E67F3">
            <w:r>
              <w:t>EU</w:t>
            </w:r>
          </w:p>
        </w:tc>
        <w:tc>
          <w:tcPr>
            <w:tcW w:w="7604" w:type="dxa"/>
          </w:tcPr>
          <w:p w14:paraId="0C872F38" w14:textId="7A563D87" w:rsidR="002E67F3" w:rsidRDefault="002E67F3" w:rsidP="002E67F3">
            <w:r w:rsidRPr="00A34AF1">
              <w:t>European Union</w:t>
            </w:r>
          </w:p>
        </w:tc>
      </w:tr>
      <w:tr w:rsidR="002E67F3" w14:paraId="7C961D98" w14:textId="77777777" w:rsidTr="00432B0E">
        <w:trPr>
          <w:cantSplit/>
        </w:trPr>
        <w:tc>
          <w:tcPr>
            <w:tcW w:w="1413" w:type="dxa"/>
          </w:tcPr>
          <w:p w14:paraId="315D027A" w14:textId="5F54909E" w:rsidR="002E67F3" w:rsidRDefault="002E67F3" w:rsidP="002E67F3">
            <w:r>
              <w:t>EVCTM</w:t>
            </w:r>
          </w:p>
        </w:tc>
        <w:tc>
          <w:tcPr>
            <w:tcW w:w="7604" w:type="dxa"/>
          </w:tcPr>
          <w:p w14:paraId="5834CC80" w14:textId="5E35E082" w:rsidR="002E67F3" w:rsidRPr="00A34AF1" w:rsidRDefault="002E67F3" w:rsidP="002E67F3">
            <w:r w:rsidRPr="00E62B79">
              <w:t>Eudravigilance Clinical Trial Module</w:t>
            </w:r>
          </w:p>
        </w:tc>
      </w:tr>
      <w:tr w:rsidR="002E67F3" w14:paraId="6607A702" w14:textId="77777777" w:rsidTr="00432B0E">
        <w:trPr>
          <w:cantSplit/>
        </w:trPr>
        <w:tc>
          <w:tcPr>
            <w:tcW w:w="1413" w:type="dxa"/>
          </w:tcPr>
          <w:p w14:paraId="005C9401" w14:textId="1CFFCB8B" w:rsidR="002E67F3" w:rsidRDefault="002E67F3" w:rsidP="002E67F3">
            <w:r>
              <w:t>IB</w:t>
            </w:r>
          </w:p>
        </w:tc>
        <w:tc>
          <w:tcPr>
            <w:tcW w:w="7604" w:type="dxa"/>
          </w:tcPr>
          <w:p w14:paraId="7AA6A4A7" w14:textId="40BBEAA3" w:rsidR="002E67F3" w:rsidRDefault="002E67F3" w:rsidP="002E67F3">
            <w:r>
              <w:t>Investigator’s brochure</w:t>
            </w:r>
          </w:p>
        </w:tc>
      </w:tr>
      <w:tr w:rsidR="004F6AC2" w14:paraId="2B81C759" w14:textId="77777777" w:rsidTr="00432B0E">
        <w:trPr>
          <w:cantSplit/>
        </w:trPr>
        <w:tc>
          <w:tcPr>
            <w:tcW w:w="1413" w:type="dxa"/>
          </w:tcPr>
          <w:p w14:paraId="12A0053C" w14:textId="49A15DA3" w:rsidR="004F6AC2" w:rsidRDefault="004F6AC2" w:rsidP="002E67F3">
            <w:r>
              <w:t>ICH</w:t>
            </w:r>
          </w:p>
        </w:tc>
        <w:tc>
          <w:tcPr>
            <w:tcW w:w="7604" w:type="dxa"/>
          </w:tcPr>
          <w:p w14:paraId="1FF595D5" w14:textId="171E5468" w:rsidR="004F6AC2" w:rsidRDefault="004F6AC2" w:rsidP="002E67F3">
            <w:r w:rsidRPr="004F6AC2">
              <w:t>International Council for Harmonisation</w:t>
            </w:r>
            <w:r>
              <w:t xml:space="preserve"> of </w:t>
            </w:r>
            <w:r w:rsidRPr="004F6AC2">
              <w:t>Technical Requirements for Pharmaceuticals for Human Use</w:t>
            </w:r>
            <w:r>
              <w:t xml:space="preserve">. </w:t>
            </w:r>
          </w:p>
        </w:tc>
      </w:tr>
      <w:tr w:rsidR="002E67F3" w14:paraId="5845400F" w14:textId="77777777" w:rsidTr="00432B0E">
        <w:trPr>
          <w:cantSplit/>
        </w:trPr>
        <w:tc>
          <w:tcPr>
            <w:tcW w:w="1413" w:type="dxa"/>
          </w:tcPr>
          <w:p w14:paraId="43809E1E" w14:textId="32B70347" w:rsidR="002E67F3" w:rsidRDefault="002E67F3" w:rsidP="002E67F3">
            <w:r>
              <w:t>ICSR</w:t>
            </w:r>
          </w:p>
        </w:tc>
        <w:tc>
          <w:tcPr>
            <w:tcW w:w="7604" w:type="dxa"/>
          </w:tcPr>
          <w:p w14:paraId="383EB226" w14:textId="0FBEAE16" w:rsidR="002E67F3" w:rsidRDefault="002E67F3" w:rsidP="002E67F3">
            <w:r w:rsidRPr="009273D4">
              <w:t>Individual Case Safety Reports</w:t>
            </w:r>
          </w:p>
        </w:tc>
      </w:tr>
      <w:tr w:rsidR="002E67F3" w14:paraId="777EA0A8" w14:textId="77777777" w:rsidTr="00432B0E">
        <w:trPr>
          <w:cantSplit/>
        </w:trPr>
        <w:tc>
          <w:tcPr>
            <w:tcW w:w="1413" w:type="dxa"/>
          </w:tcPr>
          <w:p w14:paraId="306ECA05" w14:textId="3FC370A7" w:rsidR="002E67F3" w:rsidRDefault="002E67F3" w:rsidP="002E67F3">
            <w:r>
              <w:t>IMP</w:t>
            </w:r>
          </w:p>
        </w:tc>
        <w:tc>
          <w:tcPr>
            <w:tcW w:w="7604" w:type="dxa"/>
          </w:tcPr>
          <w:p w14:paraId="2548DE23" w14:textId="2613DA72" w:rsidR="002E67F3" w:rsidRDefault="002E67F3" w:rsidP="002E67F3">
            <w:r w:rsidRPr="006D7C46">
              <w:t xml:space="preserve">Investigational </w:t>
            </w:r>
            <w:r>
              <w:t>m</w:t>
            </w:r>
            <w:r w:rsidRPr="006D7C46">
              <w:t xml:space="preserve">edicinal </w:t>
            </w:r>
            <w:r>
              <w:t>p</w:t>
            </w:r>
            <w:r w:rsidRPr="006D7C46">
              <w:t>roduct</w:t>
            </w:r>
          </w:p>
        </w:tc>
      </w:tr>
      <w:tr w:rsidR="002E67F3" w14:paraId="3AB71988" w14:textId="77777777" w:rsidTr="00432B0E">
        <w:trPr>
          <w:cantSplit/>
        </w:trPr>
        <w:tc>
          <w:tcPr>
            <w:tcW w:w="1413" w:type="dxa"/>
          </w:tcPr>
          <w:p w14:paraId="2EC06CCB" w14:textId="08871C9D" w:rsidR="002E67F3" w:rsidRDefault="002E67F3" w:rsidP="002E67F3">
            <w:r>
              <w:t>HRA</w:t>
            </w:r>
          </w:p>
        </w:tc>
        <w:tc>
          <w:tcPr>
            <w:tcW w:w="7604" w:type="dxa"/>
          </w:tcPr>
          <w:p w14:paraId="271A6590" w14:textId="40C97760" w:rsidR="002E67F3" w:rsidRDefault="002E67F3" w:rsidP="002E67F3">
            <w:r>
              <w:t>Health Research Authority</w:t>
            </w:r>
          </w:p>
        </w:tc>
      </w:tr>
      <w:tr w:rsidR="002E67F3" w14:paraId="073B7755" w14:textId="77777777" w:rsidTr="00432B0E">
        <w:trPr>
          <w:cantSplit/>
        </w:trPr>
        <w:tc>
          <w:tcPr>
            <w:tcW w:w="1413" w:type="dxa"/>
          </w:tcPr>
          <w:p w14:paraId="28F3775A" w14:textId="5D884897" w:rsidR="002E67F3" w:rsidRDefault="002E67F3" w:rsidP="002E67F3">
            <w:r>
              <w:t>MedDRA</w:t>
            </w:r>
          </w:p>
        </w:tc>
        <w:tc>
          <w:tcPr>
            <w:tcW w:w="7604" w:type="dxa"/>
          </w:tcPr>
          <w:p w14:paraId="1F367537" w14:textId="780E7CF7" w:rsidR="002E67F3" w:rsidRDefault="002E67F3" w:rsidP="002E67F3">
            <w:r w:rsidRPr="0066437F">
              <w:t>Medical Dictionary for Regulatory Activities</w:t>
            </w:r>
          </w:p>
        </w:tc>
      </w:tr>
      <w:tr w:rsidR="00F0073D" w14:paraId="657E915D" w14:textId="77777777" w:rsidTr="00432B0E">
        <w:trPr>
          <w:cantSplit/>
        </w:trPr>
        <w:tc>
          <w:tcPr>
            <w:tcW w:w="1413" w:type="dxa"/>
          </w:tcPr>
          <w:p w14:paraId="6DB06368" w14:textId="66E19A70" w:rsidR="00F0073D" w:rsidRDefault="00F0073D" w:rsidP="002E67F3">
            <w:r>
              <w:t>MHRA</w:t>
            </w:r>
          </w:p>
        </w:tc>
        <w:tc>
          <w:tcPr>
            <w:tcW w:w="7604" w:type="dxa"/>
          </w:tcPr>
          <w:p w14:paraId="22E27A67" w14:textId="0E2143C6" w:rsidR="00F0073D" w:rsidRPr="0066437F" w:rsidRDefault="00BE1D46" w:rsidP="002E67F3">
            <w:r w:rsidRPr="00BE1D46">
              <w:t>Medicines and Healthcare products Regulatory Agency</w:t>
            </w:r>
          </w:p>
        </w:tc>
      </w:tr>
      <w:tr w:rsidR="002E67F3" w14:paraId="642F44B1" w14:textId="77777777" w:rsidTr="00432B0E">
        <w:trPr>
          <w:cantSplit/>
        </w:trPr>
        <w:tc>
          <w:tcPr>
            <w:tcW w:w="1413" w:type="dxa"/>
          </w:tcPr>
          <w:p w14:paraId="40AABEB1" w14:textId="0B828D57" w:rsidR="002E67F3" w:rsidRDefault="002E67F3" w:rsidP="002E67F3">
            <w:r>
              <w:t>MORE</w:t>
            </w:r>
          </w:p>
        </w:tc>
        <w:tc>
          <w:tcPr>
            <w:tcW w:w="7604" w:type="dxa"/>
          </w:tcPr>
          <w:p w14:paraId="716253A1" w14:textId="10EE2805" w:rsidR="002E67F3" w:rsidRPr="0066437F" w:rsidRDefault="002E67F3" w:rsidP="002E67F3">
            <w:r w:rsidRPr="00D565D4">
              <w:t>Manufacturer's Online Reporting Environment</w:t>
            </w:r>
          </w:p>
        </w:tc>
      </w:tr>
      <w:tr w:rsidR="002E67F3" w14:paraId="08C244E0" w14:textId="77777777" w:rsidTr="00432B0E">
        <w:trPr>
          <w:cantSplit/>
        </w:trPr>
        <w:tc>
          <w:tcPr>
            <w:tcW w:w="1413" w:type="dxa"/>
          </w:tcPr>
          <w:p w14:paraId="75A85D31" w14:textId="6925BA76" w:rsidR="002E67F3" w:rsidRDefault="002E67F3" w:rsidP="002E67F3">
            <w:r>
              <w:t>PI</w:t>
            </w:r>
          </w:p>
        </w:tc>
        <w:tc>
          <w:tcPr>
            <w:tcW w:w="7604" w:type="dxa"/>
          </w:tcPr>
          <w:p w14:paraId="570C2A5E" w14:textId="5995A05C" w:rsidR="002E67F3" w:rsidRPr="0066437F" w:rsidRDefault="002E67F3" w:rsidP="002E67F3">
            <w:r>
              <w:t>Principal investigator</w:t>
            </w:r>
          </w:p>
        </w:tc>
      </w:tr>
      <w:tr w:rsidR="002E67F3" w14:paraId="73C3D737" w14:textId="77777777" w:rsidTr="00432B0E">
        <w:trPr>
          <w:cantSplit/>
        </w:trPr>
        <w:tc>
          <w:tcPr>
            <w:tcW w:w="1413" w:type="dxa"/>
          </w:tcPr>
          <w:p w14:paraId="50DAD2DA" w14:textId="279C46A2" w:rsidR="002E67F3" w:rsidRDefault="002E67F3" w:rsidP="002E67F3">
            <w:r>
              <w:t>REC</w:t>
            </w:r>
          </w:p>
        </w:tc>
        <w:tc>
          <w:tcPr>
            <w:tcW w:w="7604" w:type="dxa"/>
          </w:tcPr>
          <w:p w14:paraId="75D7D2ED" w14:textId="59E0E38D" w:rsidR="002E67F3" w:rsidRDefault="002E67F3" w:rsidP="002E67F3">
            <w:r>
              <w:t>Research ethics committee</w:t>
            </w:r>
          </w:p>
        </w:tc>
      </w:tr>
      <w:tr w:rsidR="002E67F3" w14:paraId="162A4B5F" w14:textId="77777777" w:rsidTr="00432B0E">
        <w:trPr>
          <w:cantSplit/>
        </w:trPr>
        <w:tc>
          <w:tcPr>
            <w:tcW w:w="1413" w:type="dxa"/>
          </w:tcPr>
          <w:p w14:paraId="0B18BA87" w14:textId="3BB7D3BB" w:rsidR="002E67F3" w:rsidRDefault="002E67F3" w:rsidP="002E67F3">
            <w:r>
              <w:t>REGI</w:t>
            </w:r>
          </w:p>
        </w:tc>
        <w:tc>
          <w:tcPr>
            <w:tcW w:w="7604" w:type="dxa"/>
          </w:tcPr>
          <w:p w14:paraId="4EB879ED" w14:textId="7171CE5F" w:rsidR="002E67F3" w:rsidRDefault="002E67F3" w:rsidP="002E67F3">
            <w:r>
              <w:t>Research Ethics, Governance and Integrity Team</w:t>
            </w:r>
          </w:p>
        </w:tc>
      </w:tr>
      <w:tr w:rsidR="002E67F3" w14:paraId="18194593" w14:textId="77777777" w:rsidTr="00432B0E">
        <w:trPr>
          <w:cantSplit/>
          <w:trHeight w:val="70"/>
        </w:trPr>
        <w:tc>
          <w:tcPr>
            <w:tcW w:w="1413" w:type="dxa"/>
          </w:tcPr>
          <w:p w14:paraId="60D2BFE4" w14:textId="40AAA775" w:rsidR="002E67F3" w:rsidRDefault="002E67F3" w:rsidP="002E67F3">
            <w:r>
              <w:t>RSI</w:t>
            </w:r>
          </w:p>
        </w:tc>
        <w:tc>
          <w:tcPr>
            <w:tcW w:w="7604" w:type="dxa"/>
          </w:tcPr>
          <w:p w14:paraId="101887AA" w14:textId="48813140" w:rsidR="002E67F3" w:rsidRPr="007B64F6" w:rsidRDefault="002E67F3" w:rsidP="002E67F3">
            <w:pPr>
              <w:rPr>
                <w:rFonts w:asciiTheme="minorHAnsi" w:hAnsiTheme="minorHAnsi"/>
              </w:rPr>
            </w:pPr>
            <w:r>
              <w:rPr>
                <w:rFonts w:asciiTheme="minorHAnsi" w:hAnsiTheme="minorHAnsi"/>
              </w:rPr>
              <w:t>Reference safety information</w:t>
            </w:r>
          </w:p>
        </w:tc>
      </w:tr>
      <w:tr w:rsidR="00EE7024" w14:paraId="07B4355B" w14:textId="77777777" w:rsidTr="00432B0E">
        <w:trPr>
          <w:cantSplit/>
          <w:trHeight w:val="70"/>
        </w:trPr>
        <w:tc>
          <w:tcPr>
            <w:tcW w:w="1413" w:type="dxa"/>
          </w:tcPr>
          <w:p w14:paraId="3006E7F7" w14:textId="6AD2C8CD" w:rsidR="00EE7024" w:rsidRDefault="00EE7024" w:rsidP="002E67F3">
            <w:r>
              <w:t>S/TMF</w:t>
            </w:r>
          </w:p>
        </w:tc>
        <w:tc>
          <w:tcPr>
            <w:tcW w:w="7604" w:type="dxa"/>
          </w:tcPr>
          <w:p w14:paraId="13FDB923" w14:textId="0DE3316B" w:rsidR="00EE7024" w:rsidRDefault="00EE7024" w:rsidP="002E67F3">
            <w:pPr>
              <w:rPr>
                <w:rFonts w:asciiTheme="minorHAnsi" w:hAnsiTheme="minorHAnsi"/>
              </w:rPr>
            </w:pPr>
            <w:r>
              <w:rPr>
                <w:rFonts w:asciiTheme="minorHAnsi" w:hAnsiTheme="minorHAnsi"/>
              </w:rPr>
              <w:t>Study/trial master file</w:t>
            </w:r>
          </w:p>
        </w:tc>
      </w:tr>
      <w:tr w:rsidR="002E67F3" w14:paraId="771DF8DD" w14:textId="77777777" w:rsidTr="00432B0E">
        <w:trPr>
          <w:cantSplit/>
          <w:trHeight w:val="70"/>
        </w:trPr>
        <w:tc>
          <w:tcPr>
            <w:tcW w:w="1413" w:type="dxa"/>
          </w:tcPr>
          <w:p w14:paraId="1C8ED074" w14:textId="691DF967" w:rsidR="002E67F3" w:rsidRDefault="002E67F3" w:rsidP="002E67F3">
            <w:r>
              <w:t>SADE</w:t>
            </w:r>
          </w:p>
        </w:tc>
        <w:tc>
          <w:tcPr>
            <w:tcW w:w="7604" w:type="dxa"/>
          </w:tcPr>
          <w:p w14:paraId="2DDFA086" w14:textId="6C0E645D" w:rsidR="002E67F3" w:rsidRPr="006D57DE" w:rsidRDefault="002E67F3" w:rsidP="002E67F3">
            <w:r>
              <w:t>Serious adverse device effect</w:t>
            </w:r>
          </w:p>
        </w:tc>
      </w:tr>
      <w:tr w:rsidR="002E67F3" w14:paraId="1F96C179" w14:textId="77777777" w:rsidTr="00432B0E">
        <w:trPr>
          <w:cantSplit/>
          <w:trHeight w:val="70"/>
        </w:trPr>
        <w:tc>
          <w:tcPr>
            <w:tcW w:w="1413" w:type="dxa"/>
          </w:tcPr>
          <w:p w14:paraId="53E11B5D" w14:textId="6CD9B2F7" w:rsidR="002E67F3" w:rsidRDefault="002E67F3" w:rsidP="002E67F3">
            <w:r>
              <w:t>SAE</w:t>
            </w:r>
          </w:p>
        </w:tc>
        <w:tc>
          <w:tcPr>
            <w:tcW w:w="7604" w:type="dxa"/>
          </w:tcPr>
          <w:p w14:paraId="7DE399F8" w14:textId="3C0DF140" w:rsidR="002E67F3" w:rsidRDefault="002E67F3" w:rsidP="002E67F3">
            <w:r>
              <w:t>Serious adverse event</w:t>
            </w:r>
          </w:p>
        </w:tc>
      </w:tr>
      <w:tr w:rsidR="002E67F3" w14:paraId="2BA33568" w14:textId="77777777" w:rsidTr="00432B0E">
        <w:trPr>
          <w:cantSplit/>
          <w:trHeight w:val="70"/>
        </w:trPr>
        <w:tc>
          <w:tcPr>
            <w:tcW w:w="1413" w:type="dxa"/>
          </w:tcPr>
          <w:p w14:paraId="044D920C" w14:textId="201D35FF" w:rsidR="002E67F3" w:rsidRDefault="002E67F3" w:rsidP="002E67F3">
            <w:r>
              <w:t>SAR</w:t>
            </w:r>
          </w:p>
        </w:tc>
        <w:tc>
          <w:tcPr>
            <w:tcW w:w="7604" w:type="dxa"/>
          </w:tcPr>
          <w:p w14:paraId="2EE894DA" w14:textId="11E9C695" w:rsidR="002E67F3" w:rsidRDefault="002E67F3" w:rsidP="002E67F3">
            <w:r>
              <w:t>Serious adverse reaction</w:t>
            </w:r>
          </w:p>
        </w:tc>
      </w:tr>
      <w:tr w:rsidR="002E67F3" w14:paraId="54DB6E1D" w14:textId="77777777" w:rsidTr="00432B0E">
        <w:trPr>
          <w:cantSplit/>
          <w:trHeight w:val="70"/>
        </w:trPr>
        <w:tc>
          <w:tcPr>
            <w:tcW w:w="1413" w:type="dxa"/>
          </w:tcPr>
          <w:p w14:paraId="7588F487" w14:textId="20A8FC31" w:rsidR="002E67F3" w:rsidRDefault="002E67F3" w:rsidP="002E67F3">
            <w:r>
              <w:t>SmPC</w:t>
            </w:r>
          </w:p>
        </w:tc>
        <w:tc>
          <w:tcPr>
            <w:tcW w:w="7604" w:type="dxa"/>
          </w:tcPr>
          <w:p w14:paraId="2219DA61" w14:textId="2EE8787C" w:rsidR="002E67F3" w:rsidRDefault="002E67F3" w:rsidP="002E67F3">
            <w:pPr>
              <w:rPr>
                <w:color w:val="222222"/>
              </w:rPr>
            </w:pPr>
            <w:r>
              <w:rPr>
                <w:color w:val="222222"/>
              </w:rPr>
              <w:t>Summary of product characteristics</w:t>
            </w:r>
          </w:p>
        </w:tc>
      </w:tr>
      <w:tr w:rsidR="00FF733E" w14:paraId="517275A9" w14:textId="77777777" w:rsidTr="00432B0E">
        <w:trPr>
          <w:cantSplit/>
          <w:trHeight w:val="70"/>
        </w:trPr>
        <w:tc>
          <w:tcPr>
            <w:tcW w:w="1413" w:type="dxa"/>
          </w:tcPr>
          <w:p w14:paraId="08FB5F58" w14:textId="3E9901E9" w:rsidR="00FF733E" w:rsidRDefault="00FF733E" w:rsidP="002E67F3">
            <w:r>
              <w:t>SOC</w:t>
            </w:r>
          </w:p>
        </w:tc>
        <w:tc>
          <w:tcPr>
            <w:tcW w:w="7604" w:type="dxa"/>
          </w:tcPr>
          <w:p w14:paraId="2E8578A7" w14:textId="3513139D" w:rsidR="00FF733E" w:rsidRDefault="00FF733E" w:rsidP="002E67F3">
            <w:pPr>
              <w:rPr>
                <w:color w:val="222222"/>
              </w:rPr>
            </w:pPr>
            <w:r w:rsidRPr="00FF733E">
              <w:rPr>
                <w:color w:val="222222"/>
              </w:rPr>
              <w:t>System Organ Class</w:t>
            </w:r>
          </w:p>
        </w:tc>
      </w:tr>
      <w:tr w:rsidR="002E67F3" w14:paraId="582BF064" w14:textId="77777777" w:rsidTr="00432B0E">
        <w:trPr>
          <w:cantSplit/>
          <w:trHeight w:val="70"/>
        </w:trPr>
        <w:tc>
          <w:tcPr>
            <w:tcW w:w="1413" w:type="dxa"/>
          </w:tcPr>
          <w:p w14:paraId="56AC7568" w14:textId="7638079B" w:rsidR="002E67F3" w:rsidRDefault="002E67F3" w:rsidP="002E67F3">
            <w:r>
              <w:t>SOP</w:t>
            </w:r>
          </w:p>
        </w:tc>
        <w:tc>
          <w:tcPr>
            <w:tcW w:w="7604" w:type="dxa"/>
          </w:tcPr>
          <w:p w14:paraId="3120F38B" w14:textId="32FA63BA" w:rsidR="002E67F3" w:rsidRDefault="002E67F3" w:rsidP="002E67F3">
            <w:pPr>
              <w:rPr>
                <w:color w:val="222222"/>
              </w:rPr>
            </w:pPr>
            <w:r>
              <w:rPr>
                <w:color w:val="222222"/>
              </w:rPr>
              <w:t>Standard operating procedures</w:t>
            </w:r>
          </w:p>
        </w:tc>
      </w:tr>
      <w:tr w:rsidR="002E67F3" w14:paraId="50C66BE6" w14:textId="77777777" w:rsidTr="00432B0E">
        <w:trPr>
          <w:cantSplit/>
          <w:trHeight w:val="70"/>
        </w:trPr>
        <w:tc>
          <w:tcPr>
            <w:tcW w:w="1413" w:type="dxa"/>
          </w:tcPr>
          <w:p w14:paraId="26153154" w14:textId="521D11D7" w:rsidR="002E67F3" w:rsidRDefault="002E67F3" w:rsidP="002E67F3">
            <w:r>
              <w:t>SUSAR</w:t>
            </w:r>
          </w:p>
        </w:tc>
        <w:tc>
          <w:tcPr>
            <w:tcW w:w="7604" w:type="dxa"/>
          </w:tcPr>
          <w:p w14:paraId="1612229C" w14:textId="65557306" w:rsidR="002E67F3" w:rsidRDefault="002E67F3" w:rsidP="002E67F3">
            <w:pPr>
              <w:rPr>
                <w:color w:val="222222"/>
              </w:rPr>
            </w:pPr>
            <w:r>
              <w:rPr>
                <w:color w:val="222222"/>
              </w:rPr>
              <w:t>Serious unexpected serious adverse reaction</w:t>
            </w:r>
          </w:p>
        </w:tc>
      </w:tr>
      <w:tr w:rsidR="002E67F3" w14:paraId="0CF4F450" w14:textId="77777777" w:rsidTr="00432B0E">
        <w:trPr>
          <w:cantSplit/>
          <w:trHeight w:val="70"/>
        </w:trPr>
        <w:tc>
          <w:tcPr>
            <w:tcW w:w="1413" w:type="dxa"/>
          </w:tcPr>
          <w:p w14:paraId="108C6F37" w14:textId="375B730E" w:rsidR="002E67F3" w:rsidRDefault="002E67F3" w:rsidP="002E67F3">
            <w:r>
              <w:t>UoB</w:t>
            </w:r>
          </w:p>
        </w:tc>
        <w:tc>
          <w:tcPr>
            <w:tcW w:w="7604" w:type="dxa"/>
          </w:tcPr>
          <w:p w14:paraId="76935370" w14:textId="7C4A02BC" w:rsidR="002E67F3" w:rsidRDefault="002E67F3" w:rsidP="002E67F3">
            <w:pPr>
              <w:rPr>
                <w:color w:val="222222"/>
              </w:rPr>
            </w:pPr>
            <w:r>
              <w:rPr>
                <w:color w:val="222222"/>
              </w:rPr>
              <w:t>University of Birmingham</w:t>
            </w:r>
          </w:p>
        </w:tc>
      </w:tr>
      <w:tr w:rsidR="002E67F3" w14:paraId="65CBFEFD" w14:textId="77777777" w:rsidTr="00432B0E">
        <w:trPr>
          <w:cantSplit/>
          <w:trHeight w:val="70"/>
        </w:trPr>
        <w:tc>
          <w:tcPr>
            <w:tcW w:w="1413" w:type="dxa"/>
          </w:tcPr>
          <w:p w14:paraId="1E7BAC43" w14:textId="6134A6F7" w:rsidR="002E67F3" w:rsidRDefault="002E67F3" w:rsidP="002E67F3">
            <w:r>
              <w:t>USADE</w:t>
            </w:r>
          </w:p>
        </w:tc>
        <w:tc>
          <w:tcPr>
            <w:tcW w:w="7604" w:type="dxa"/>
          </w:tcPr>
          <w:p w14:paraId="098C48A8" w14:textId="7C40990A" w:rsidR="002E67F3" w:rsidRDefault="002E67F3" w:rsidP="002E67F3">
            <w:pPr>
              <w:rPr>
                <w:color w:val="222222"/>
              </w:rPr>
            </w:pPr>
            <w:r>
              <w:rPr>
                <w:color w:val="222222"/>
              </w:rPr>
              <w:t>Unanticipated serious adverse device effect</w:t>
            </w:r>
          </w:p>
        </w:tc>
      </w:tr>
    </w:tbl>
    <w:p w14:paraId="011C3531" w14:textId="77777777" w:rsidR="000374CB" w:rsidRDefault="00B10C05">
      <w:r w:rsidRPr="009C2C63">
        <w:t xml:space="preserve">See also </w:t>
      </w:r>
      <w:hyperlink r:id="rId76" w:tooltip="Link to Glossary of Terms" w:history="1">
        <w:r w:rsidRPr="00F12A38">
          <w:rPr>
            <w:rStyle w:val="Hyperlink"/>
          </w:rPr>
          <w:t>Glossary of Term</w:t>
        </w:r>
        <w:r w:rsidR="00B37374">
          <w:rPr>
            <w:rStyle w:val="Hyperlink"/>
          </w:rPr>
          <w:t>s</w:t>
        </w:r>
      </w:hyperlink>
      <w:r w:rsidR="00225D8E">
        <w:t xml:space="preserve"> for a full list of abbreviations and definitions</w:t>
      </w:r>
      <w:r w:rsidR="00367496">
        <w:t>.</w:t>
      </w:r>
      <w:r w:rsidR="00225D8E">
        <w:t xml:space="preserve"> </w:t>
      </w:r>
    </w:p>
    <w:p w14:paraId="3231466F" w14:textId="77777777" w:rsidR="00FC026F" w:rsidRDefault="00FC026F"/>
    <w:p w14:paraId="2767DB8E" w14:textId="77777777" w:rsidR="00901562" w:rsidRDefault="00901562" w:rsidP="00901562">
      <w:pPr>
        <w:spacing w:before="0" w:after="200" w:line="276" w:lineRule="auto"/>
        <w:sectPr w:rsidR="00901562" w:rsidSect="00761096">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565EA3A6" w14:textId="77777777" w:rsidR="00234600" w:rsidRPr="00901562" w:rsidRDefault="00234600" w:rsidP="00901562">
      <w:pPr>
        <w:pStyle w:val="Heading1"/>
      </w:pPr>
      <w:bookmarkStart w:id="51" w:name="_Toc225494587"/>
      <w:r>
        <w:lastRenderedPageBreak/>
        <w:t xml:space="preserve">Document </w:t>
      </w:r>
      <w:r w:rsidR="003E6162">
        <w:t>contributors</w:t>
      </w:r>
      <w:bookmarkEnd w:id="51"/>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5EDB050F" w14:textId="77777777" w:rsidTr="00D242C8">
        <w:trPr>
          <w:trHeight w:val="454"/>
        </w:trPr>
        <w:tc>
          <w:tcPr>
            <w:tcW w:w="5000" w:type="pct"/>
            <w:shd w:val="clear" w:color="auto" w:fill="DBE5F1" w:themeFill="accent1" w:themeFillTint="33"/>
            <w:vAlign w:val="center"/>
          </w:tcPr>
          <w:p w14:paraId="07B8FD53" w14:textId="77777777" w:rsidR="00D242C8" w:rsidRPr="002B6735" w:rsidRDefault="00D242C8" w:rsidP="002B6735">
            <w:pPr>
              <w:pStyle w:val="Contributorstabletext"/>
              <w:rPr>
                <w:b/>
                <w:bCs/>
              </w:rPr>
            </w:pPr>
            <w:bookmarkStart w:id="52" w:name="_Toc143768371"/>
            <w:r w:rsidRPr="002B6735">
              <w:rPr>
                <w:b/>
                <w:bCs/>
              </w:rPr>
              <w:t>Author</w:t>
            </w:r>
            <w:r w:rsidR="002B6735" w:rsidRPr="002B6735">
              <w:rPr>
                <w:b/>
                <w:bCs/>
              </w:rPr>
              <w:t>(s)</w:t>
            </w:r>
          </w:p>
        </w:tc>
      </w:tr>
      <w:tr w:rsidR="00D242C8" w14:paraId="177B8D54" w14:textId="77777777" w:rsidTr="00F6365D">
        <w:trPr>
          <w:trHeight w:val="454"/>
        </w:trPr>
        <w:tc>
          <w:tcPr>
            <w:tcW w:w="5000" w:type="pct"/>
            <w:vAlign w:val="center"/>
          </w:tcPr>
          <w:p w14:paraId="135DFB3A" w14:textId="301E5051" w:rsidR="00D242C8" w:rsidRDefault="0086241B" w:rsidP="00F6365D">
            <w:pPr>
              <w:pStyle w:val="Contributorstabletext"/>
            </w:pPr>
            <w:r>
              <w:t>Emma Taylor</w:t>
            </w:r>
            <w:r w:rsidR="00CD44AB">
              <w:t xml:space="preserve"> (Senior Compliance Facilitator)</w:t>
            </w:r>
          </w:p>
        </w:tc>
      </w:tr>
      <w:tr w:rsidR="00D242C8" w14:paraId="12696CE0" w14:textId="77777777" w:rsidTr="002B6735">
        <w:trPr>
          <w:trHeight w:val="454"/>
        </w:trPr>
        <w:tc>
          <w:tcPr>
            <w:tcW w:w="5000" w:type="pct"/>
            <w:shd w:val="clear" w:color="auto" w:fill="DBE5F1" w:themeFill="accent1" w:themeFillTint="33"/>
          </w:tcPr>
          <w:p w14:paraId="79E99E43" w14:textId="77777777" w:rsidR="00D242C8" w:rsidRPr="002B6735" w:rsidRDefault="002B6735" w:rsidP="002B6735">
            <w:pPr>
              <w:pStyle w:val="Contributorstabletext"/>
              <w:rPr>
                <w:b/>
                <w:bCs/>
              </w:rPr>
            </w:pPr>
            <w:r w:rsidRPr="002B6735">
              <w:rPr>
                <w:b/>
                <w:bCs/>
              </w:rPr>
              <w:t>Reviewer(s)</w:t>
            </w:r>
          </w:p>
        </w:tc>
      </w:tr>
      <w:tr w:rsidR="002B6735" w14:paraId="406A4560" w14:textId="77777777" w:rsidTr="00D242C8">
        <w:trPr>
          <w:trHeight w:val="454"/>
        </w:trPr>
        <w:tc>
          <w:tcPr>
            <w:tcW w:w="5000" w:type="pct"/>
          </w:tcPr>
          <w:p w14:paraId="35F5041C" w14:textId="77777777" w:rsidR="002B6735" w:rsidRPr="00715E46" w:rsidRDefault="000B6210" w:rsidP="00EB1B40">
            <w:pPr>
              <w:pStyle w:val="Instructions"/>
            </w:pPr>
            <w:r w:rsidRPr="00715E46">
              <w:rPr>
                <w:color w:val="auto"/>
              </w:rPr>
              <w:t>Version</w:t>
            </w:r>
            <w:r w:rsidR="002B6735" w:rsidRPr="00715E46">
              <w:rPr>
                <w:color w:val="auto"/>
              </w:rPr>
              <w:t xml:space="preserve"> by – </w:t>
            </w:r>
          </w:p>
          <w:p w14:paraId="13AB8050" w14:textId="77777777" w:rsidR="00283ED8" w:rsidRDefault="00283ED8" w:rsidP="003F499F">
            <w:pPr>
              <w:pStyle w:val="bulletT1"/>
            </w:pPr>
            <w:r>
              <w:t>Clinical Research Compliance Team (CRCT)</w:t>
            </w:r>
          </w:p>
          <w:p w14:paraId="3566443F" w14:textId="77777777" w:rsidR="002B6735" w:rsidRPr="005405BD" w:rsidRDefault="002B6735" w:rsidP="003F499F">
            <w:pPr>
              <w:pStyle w:val="bulletT1"/>
            </w:pPr>
            <w:r w:rsidRPr="005405BD">
              <w:t>Research Ethics, Governance &amp; Integrity Team (REGI)</w:t>
            </w:r>
          </w:p>
          <w:p w14:paraId="2F54EDCB" w14:textId="77777777" w:rsidR="002B6735" w:rsidRPr="005405BD" w:rsidRDefault="002B6735" w:rsidP="003F499F">
            <w:pPr>
              <w:pStyle w:val="bulletT1"/>
            </w:pPr>
            <w:r w:rsidRPr="005405BD">
              <w:t>University of Birmingham Clinical Trials Units (UoB CTUs)</w:t>
            </w:r>
          </w:p>
          <w:p w14:paraId="68335478" w14:textId="4FB84F2B" w:rsidR="002B6735" w:rsidRPr="005405BD" w:rsidRDefault="002B6735" w:rsidP="003F499F">
            <w:pPr>
              <w:pStyle w:val="bulletT1"/>
            </w:pPr>
            <w:r w:rsidRPr="005405BD">
              <w:t xml:space="preserve">Clinical </w:t>
            </w:r>
            <w:r w:rsidR="009F6156">
              <w:t>Research</w:t>
            </w:r>
            <w:r w:rsidR="009F6156" w:rsidRPr="005405BD">
              <w:t xml:space="preserve"> </w:t>
            </w:r>
            <w:r w:rsidRPr="005405BD">
              <w:t>Oversight Committee (C</w:t>
            </w:r>
            <w:r w:rsidR="009F6156">
              <w:t>-R</w:t>
            </w:r>
            <w:r w:rsidRPr="005405BD">
              <w:t>OC)</w:t>
            </w:r>
          </w:p>
          <w:p w14:paraId="143C63A0" w14:textId="77777777" w:rsidR="002B6735" w:rsidRPr="005405BD" w:rsidRDefault="002B6735" w:rsidP="003F499F">
            <w:pPr>
              <w:pStyle w:val="bulletT1"/>
            </w:pPr>
            <w:r w:rsidRPr="005405BD">
              <w:t>Human Tissue Oversight Committee (HTOC)</w:t>
            </w:r>
          </w:p>
          <w:p w14:paraId="6BC6B768" w14:textId="77777777"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647324">
              <w:rPr>
                <w:rStyle w:val="DocrefChar"/>
                <w:u w:val="single"/>
              </w:rPr>
              <w:t>above</w:t>
            </w:r>
            <w:r w:rsidR="004827DE" w:rsidRPr="004827DE">
              <w:rPr>
                <w:rStyle w:val="DocrefChar"/>
                <w:u w:val="single"/>
              </w:rPr>
              <w:fldChar w:fldCharType="end"/>
            </w:r>
            <w:r w:rsidRPr="0070323D">
              <w:t>)</w:t>
            </w:r>
          </w:p>
          <w:p w14:paraId="4176F928" w14:textId="77777777" w:rsidR="002B6735" w:rsidRPr="0070323D" w:rsidRDefault="001D13C0" w:rsidP="002B6735">
            <w:pPr>
              <w:pStyle w:val="Contributorstabletext"/>
            </w:pPr>
            <w:r>
              <w:rPr>
                <w:i/>
                <w:iCs/>
              </w:rPr>
              <w:t>R</w:t>
            </w:r>
            <w:r w:rsidR="002B6735" w:rsidRPr="0070323D">
              <w:rPr>
                <w:i/>
                <w:iCs/>
              </w:rPr>
              <w:t>evisions by</w:t>
            </w:r>
            <w:r w:rsidR="002B6735" w:rsidRPr="0070323D">
              <w:t xml:space="preserve"> –</w:t>
            </w:r>
          </w:p>
          <w:p w14:paraId="0C414E6C"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647324">
              <w:rPr>
                <w:rStyle w:val="SectionrefChar"/>
              </w:rPr>
              <w:t>below</w:t>
            </w:r>
            <w:r w:rsidR="004827DE" w:rsidRPr="004827DE">
              <w:rPr>
                <w:rStyle w:val="SectionrefChar"/>
              </w:rPr>
              <w:fldChar w:fldCharType="end"/>
            </w:r>
            <w:r w:rsidRPr="0070323D">
              <w:t>)</w:t>
            </w:r>
          </w:p>
        </w:tc>
      </w:tr>
      <w:tr w:rsidR="00D242C8" w14:paraId="7F5F594A" w14:textId="77777777" w:rsidTr="002B6735">
        <w:trPr>
          <w:trHeight w:val="454"/>
        </w:trPr>
        <w:tc>
          <w:tcPr>
            <w:tcW w:w="5000" w:type="pct"/>
            <w:shd w:val="clear" w:color="auto" w:fill="DBE5F1" w:themeFill="accent1" w:themeFillTint="33"/>
          </w:tcPr>
          <w:p w14:paraId="47F439EF" w14:textId="77777777" w:rsidR="00D242C8" w:rsidRPr="002B6735" w:rsidRDefault="002B6735" w:rsidP="002B6735">
            <w:pPr>
              <w:pStyle w:val="Contributorstabletext"/>
              <w:rPr>
                <w:b/>
                <w:bCs/>
              </w:rPr>
            </w:pPr>
            <w:r w:rsidRPr="002B6735">
              <w:rPr>
                <w:b/>
                <w:bCs/>
              </w:rPr>
              <w:t>Authoriser(s)</w:t>
            </w:r>
          </w:p>
        </w:tc>
      </w:tr>
      <w:tr w:rsidR="00D242C8" w14:paraId="55CC02B8" w14:textId="77777777" w:rsidTr="00D242C8">
        <w:trPr>
          <w:trHeight w:val="454"/>
        </w:trPr>
        <w:tc>
          <w:tcPr>
            <w:tcW w:w="5000" w:type="pct"/>
          </w:tcPr>
          <w:p w14:paraId="26822167" w14:textId="77777777" w:rsidR="005505A0" w:rsidRDefault="0086241B" w:rsidP="002B6735">
            <w:pPr>
              <w:pStyle w:val="Contributorstabletext"/>
            </w:pPr>
            <w:r>
              <w:t>Jamie Douglas-Pugh</w:t>
            </w:r>
            <w:r w:rsidR="00CD44AB">
              <w:t xml:space="preserve"> (Clinical Research Compliance Manager / QMS Manager)</w:t>
            </w:r>
          </w:p>
          <w:p w14:paraId="66F94B4B" w14:textId="77777777" w:rsidR="00CD44AB" w:rsidRDefault="003723E2" w:rsidP="002B6735">
            <w:pPr>
              <w:pStyle w:val="Contributorstabletext"/>
            </w:pPr>
            <w:r>
              <w:t>Colin Watts (Chair of C</w:t>
            </w:r>
            <w:r w:rsidR="009F6156">
              <w:t>-R</w:t>
            </w:r>
            <w:r>
              <w:t>OC)</w:t>
            </w:r>
          </w:p>
          <w:p w14:paraId="07F1796D" w14:textId="09804669" w:rsidR="009A67B6" w:rsidRDefault="009A67B6" w:rsidP="002B6735">
            <w:pPr>
              <w:pStyle w:val="Contributorstabletext"/>
            </w:pPr>
            <w:r>
              <w:t xml:space="preserve">Tracy </w:t>
            </w:r>
            <w:r w:rsidR="00CE78C3">
              <w:t>Wilkinson (Chair of HTOC)</w:t>
            </w:r>
          </w:p>
        </w:tc>
      </w:tr>
    </w:tbl>
    <w:p w14:paraId="0E91288F" w14:textId="77777777" w:rsidR="00FC026F" w:rsidRDefault="00FC026F" w:rsidP="004827DE">
      <w:pPr>
        <w:pStyle w:val="Sectionref"/>
      </w:pPr>
    </w:p>
    <w:p w14:paraId="71CDB603"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7BCC768A" w14:textId="77777777" w:rsidR="002B6735" w:rsidRDefault="003E6162" w:rsidP="003E6162">
      <w:pPr>
        <w:pStyle w:val="Heading1"/>
      </w:pPr>
      <w:bookmarkStart w:id="53" w:name="_Toc225494588"/>
      <w:r>
        <w:lastRenderedPageBreak/>
        <w:t xml:space="preserve">Document </w:t>
      </w:r>
      <w:r w:rsidR="001976C1">
        <w:t>h</w:t>
      </w:r>
      <w:r>
        <w:t>istory</w:t>
      </w:r>
      <w:bookmarkEnd w:id="53"/>
    </w:p>
    <w:p w14:paraId="6DEC8A3C" w14:textId="77777777" w:rsidR="00234600" w:rsidRPr="00710D7B" w:rsidRDefault="00120959" w:rsidP="00234600">
      <w:pPr>
        <w:pStyle w:val="Heading2"/>
      </w:pPr>
      <w:bookmarkStart w:id="54" w:name="_Toc225494589"/>
      <w:bookmarkEnd w:id="52"/>
      <w:r>
        <w:t>Document version log</w:t>
      </w:r>
      <w:bookmarkEnd w:id="54"/>
    </w:p>
    <w:p w14:paraId="2680149D" w14:textId="77777777" w:rsidR="001D13C0" w:rsidRDefault="00234600" w:rsidP="001D13C0">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77"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08A4A6AD" w14:textId="77777777" w:rsidTr="00F6365D">
        <w:trPr>
          <w:trHeight w:val="454"/>
          <w:tblHeader/>
        </w:trPr>
        <w:tc>
          <w:tcPr>
            <w:tcW w:w="784" w:type="pct"/>
            <w:shd w:val="clear" w:color="auto" w:fill="DBE5F1" w:themeFill="accent1" w:themeFillTint="33"/>
            <w:vAlign w:val="center"/>
          </w:tcPr>
          <w:p w14:paraId="1AA38568" w14:textId="77777777" w:rsidR="006F7027" w:rsidRPr="003713E4" w:rsidRDefault="006F7027">
            <w:pPr>
              <w:jc w:val="center"/>
              <w:rPr>
                <w:b/>
                <w:bCs/>
              </w:rPr>
            </w:pPr>
            <w:r>
              <w:rPr>
                <w:b/>
                <w:bCs/>
              </w:rPr>
              <w:t>Version</w:t>
            </w:r>
          </w:p>
        </w:tc>
        <w:tc>
          <w:tcPr>
            <w:tcW w:w="4216" w:type="pct"/>
            <w:shd w:val="clear" w:color="auto" w:fill="DBE5F1" w:themeFill="accent1" w:themeFillTint="33"/>
            <w:vAlign w:val="center"/>
          </w:tcPr>
          <w:p w14:paraId="0E41AD5E" w14:textId="77777777" w:rsidR="006F7027" w:rsidRPr="003713E4" w:rsidRDefault="006F7027">
            <w:pPr>
              <w:rPr>
                <w:b/>
                <w:bCs/>
              </w:rPr>
            </w:pPr>
            <w:r>
              <w:rPr>
                <w:b/>
                <w:bCs/>
              </w:rPr>
              <w:t>Reason for update</w:t>
            </w:r>
          </w:p>
        </w:tc>
      </w:tr>
      <w:tr w:rsidR="002A0B65" w14:paraId="7618E13F" w14:textId="77777777" w:rsidTr="00747905">
        <w:trPr>
          <w:trHeight w:val="440"/>
        </w:trPr>
        <w:tc>
          <w:tcPr>
            <w:tcW w:w="784" w:type="pct"/>
          </w:tcPr>
          <w:p w14:paraId="2F9ADED1" w14:textId="1CA5CE07" w:rsidR="00A5347A" w:rsidRDefault="00973B96" w:rsidP="00A5347A">
            <w:pPr>
              <w:jc w:val="center"/>
            </w:pPr>
            <w:r>
              <w:t>3</w:t>
            </w:r>
            <w:r w:rsidR="002A0B65">
              <w:t>.0</w:t>
            </w:r>
          </w:p>
          <w:p w14:paraId="6362B298" w14:textId="0C570491" w:rsidR="002A0B65" w:rsidRDefault="002A0B65" w:rsidP="00A5347A">
            <w:pPr>
              <w:jc w:val="center"/>
            </w:pPr>
            <w:r>
              <w:t>(</w:t>
            </w:r>
            <w:r w:rsidR="00E161C0">
              <w:t>28-Apr-2026</w:t>
            </w:r>
            <w:r>
              <w:t>)</w:t>
            </w:r>
          </w:p>
        </w:tc>
        <w:tc>
          <w:tcPr>
            <w:tcW w:w="4216" w:type="pct"/>
          </w:tcPr>
          <w:p w14:paraId="60677BE6" w14:textId="77777777" w:rsidR="0089020D" w:rsidRDefault="0089020D" w:rsidP="0089020D">
            <w:pPr>
              <w:pStyle w:val="bulletT1"/>
            </w:pPr>
            <w:r>
              <w:t>New SOP template, improving readability and updates to hyperlinks.</w:t>
            </w:r>
          </w:p>
          <w:p w14:paraId="000CD72A" w14:textId="78A09E16" w:rsidR="007A228A" w:rsidRDefault="007A228A" w:rsidP="0089020D">
            <w:pPr>
              <w:pStyle w:val="bulletT1"/>
            </w:pPr>
            <w:r>
              <w:t>Terminology update</w:t>
            </w:r>
            <w:r w:rsidR="00A659E2">
              <w:t>s</w:t>
            </w:r>
            <w:r>
              <w:t>: research site change to study/trial location</w:t>
            </w:r>
            <w:r w:rsidR="00AA05F8">
              <w:t xml:space="preserve">, Research </w:t>
            </w:r>
            <w:r w:rsidR="00193E88">
              <w:t xml:space="preserve">Governance Team </w:t>
            </w:r>
            <w:r w:rsidR="00977480">
              <w:t xml:space="preserve">(RGT) </w:t>
            </w:r>
            <w:r w:rsidR="00193E88">
              <w:t xml:space="preserve">to </w:t>
            </w:r>
            <w:r w:rsidR="0005666F">
              <w:t>Research Ethics Governance and Integrity Team</w:t>
            </w:r>
            <w:r w:rsidR="00977480">
              <w:t xml:space="preserve"> (REGI)</w:t>
            </w:r>
            <w:r>
              <w:t>.</w:t>
            </w:r>
          </w:p>
          <w:p w14:paraId="313F76ED" w14:textId="0156F03E" w:rsidR="001E3D7E" w:rsidRDefault="00E629C1" w:rsidP="0077614C">
            <w:pPr>
              <w:pStyle w:val="bulletT1"/>
            </w:pPr>
            <w:r>
              <w:t>Updates to processe</w:t>
            </w:r>
            <w:r w:rsidR="00304295">
              <w:t>s</w:t>
            </w:r>
            <w:r>
              <w:t xml:space="preserve"> for quarterly</w:t>
            </w:r>
            <w:r w:rsidR="00304295">
              <w:t xml:space="preserve">, </w:t>
            </w:r>
            <w:r>
              <w:t xml:space="preserve">annual </w:t>
            </w:r>
            <w:r w:rsidR="00304295">
              <w:t xml:space="preserve">and safety </w:t>
            </w:r>
            <w:r>
              <w:t>reporting</w:t>
            </w:r>
            <w:r w:rsidR="00985B66">
              <w:t>, including use of Med</w:t>
            </w:r>
            <w:r w:rsidR="00BA3934">
              <w:t>DRA coding for CTIMPs</w:t>
            </w:r>
            <w:r w:rsidR="003A7A3F">
              <w:t xml:space="preserve"> and additional details regarding the MORE portal </w:t>
            </w:r>
          </w:p>
          <w:p w14:paraId="67DA7B24" w14:textId="13F7A807" w:rsidR="00A71CFD" w:rsidRDefault="001E3D7E" w:rsidP="0077614C">
            <w:pPr>
              <w:pStyle w:val="bulletT1"/>
            </w:pPr>
            <w:r>
              <w:t xml:space="preserve">Addition of </w:t>
            </w:r>
            <w:r w:rsidR="00F74700">
              <w:t>expectations for out of hours medical cover</w:t>
            </w:r>
            <w:r w:rsidR="00A33F4F">
              <w:t>.</w:t>
            </w:r>
          </w:p>
          <w:p w14:paraId="62393288" w14:textId="77777777" w:rsidR="002A0B65" w:rsidRDefault="00A71CFD" w:rsidP="00E978A5">
            <w:pPr>
              <w:pStyle w:val="bulletT1"/>
            </w:pPr>
            <w:r>
              <w:t>Clarification around exemptions for pregnancy notification</w:t>
            </w:r>
            <w:r w:rsidR="00A33F4F">
              <w:t>.</w:t>
            </w:r>
          </w:p>
          <w:p w14:paraId="553B93D3" w14:textId="77777777" w:rsidR="00F44A2C" w:rsidRDefault="00856633" w:rsidP="00E978A5">
            <w:pPr>
              <w:pStyle w:val="bulletT1"/>
            </w:pPr>
            <w:r>
              <w:t>Add details on the expectedness assessment</w:t>
            </w:r>
            <w:r w:rsidR="002A4C3B">
              <w:t xml:space="preserve"> for related SAEs</w:t>
            </w:r>
            <w:r>
              <w:t xml:space="preserve">. </w:t>
            </w:r>
          </w:p>
          <w:p w14:paraId="78FA8681" w14:textId="7926D4B1" w:rsidR="002A4C3B" w:rsidRDefault="002A4C3B" w:rsidP="00E978A5">
            <w:pPr>
              <w:pStyle w:val="bulletT1"/>
            </w:pPr>
            <w:r>
              <w:t xml:space="preserve">Further procedures </w:t>
            </w:r>
            <w:r w:rsidR="00B4718B">
              <w:t>for handling urgent safety measures.</w:t>
            </w:r>
          </w:p>
          <w:p w14:paraId="6E50D918" w14:textId="77777777" w:rsidR="00B4718B" w:rsidRDefault="00B4718B" w:rsidP="00E978A5">
            <w:pPr>
              <w:pStyle w:val="bulletT1"/>
            </w:pPr>
            <w:r>
              <w:t xml:space="preserve">Add requirement for </w:t>
            </w:r>
            <w:r w:rsidR="00FB0761">
              <w:t>a sponsor’s annual progress report</w:t>
            </w:r>
            <w:r w:rsidR="005A704F">
              <w:t>.</w:t>
            </w:r>
          </w:p>
          <w:p w14:paraId="5C6A53AC" w14:textId="1D48948E" w:rsidR="005A704F" w:rsidRDefault="005A704F" w:rsidP="00E978A5">
            <w:pPr>
              <w:pStyle w:val="bulletT1"/>
            </w:pPr>
            <w:r>
              <w:t xml:space="preserve">Additional guidance on updates to the RSI for CTIMPs. </w:t>
            </w:r>
          </w:p>
        </w:tc>
      </w:tr>
    </w:tbl>
    <w:p w14:paraId="33862014" w14:textId="77777777" w:rsidR="00234600" w:rsidRDefault="00234600" w:rsidP="00234600">
      <w:pPr>
        <w:pStyle w:val="Heading2"/>
      </w:pPr>
      <w:bookmarkStart w:id="55" w:name="_Toc143768372"/>
      <w:bookmarkStart w:id="56" w:name="_Ref152852855"/>
      <w:bookmarkStart w:id="57" w:name="_Ref152852890"/>
      <w:bookmarkStart w:id="58" w:name="_Ref153523697"/>
      <w:bookmarkStart w:id="59" w:name="_Toc225494590"/>
      <w:r>
        <w:t xml:space="preserve">Document </w:t>
      </w:r>
      <w:r w:rsidR="00413F0A">
        <w:t>r</w:t>
      </w:r>
      <w:r>
        <w:t xml:space="preserve">evision </w:t>
      </w:r>
      <w:r w:rsidR="00413F0A">
        <w:t>l</w:t>
      </w:r>
      <w:r>
        <w:t>og</w:t>
      </w:r>
      <w:bookmarkEnd w:id="55"/>
      <w:bookmarkEnd w:id="56"/>
      <w:bookmarkEnd w:id="57"/>
      <w:bookmarkEnd w:id="58"/>
      <w:bookmarkEnd w:id="59"/>
    </w:p>
    <w:p w14:paraId="3B897236" w14:textId="77777777" w:rsidR="001D13C0" w:rsidRDefault="00234600" w:rsidP="005505A0">
      <w:r>
        <w:t>The table below summaries the reason for any revisions made to th</w:t>
      </w:r>
      <w:r w:rsidR="00FC026F">
        <w:t xml:space="preserve">e 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172ADB9C" w14:textId="77777777" w:rsidTr="00F6365D">
        <w:trPr>
          <w:trHeight w:val="454"/>
          <w:tblHeader/>
        </w:trPr>
        <w:tc>
          <w:tcPr>
            <w:tcW w:w="1413" w:type="dxa"/>
            <w:shd w:val="clear" w:color="auto" w:fill="DBE5F1" w:themeFill="accent1" w:themeFillTint="33"/>
            <w:vAlign w:val="center"/>
          </w:tcPr>
          <w:p w14:paraId="22EF5E61" w14:textId="77777777" w:rsidR="00234600" w:rsidRPr="003713E4" w:rsidRDefault="00234600">
            <w:pPr>
              <w:jc w:val="center"/>
              <w:rPr>
                <w:b/>
                <w:bCs/>
              </w:rPr>
            </w:pPr>
            <w:r w:rsidRPr="003713E4">
              <w:rPr>
                <w:b/>
                <w:bCs/>
              </w:rPr>
              <w:t>Revision</w:t>
            </w:r>
          </w:p>
        </w:tc>
        <w:tc>
          <w:tcPr>
            <w:tcW w:w="3544" w:type="dxa"/>
            <w:shd w:val="clear" w:color="auto" w:fill="DBE5F1" w:themeFill="accent1" w:themeFillTint="33"/>
            <w:vAlign w:val="center"/>
          </w:tcPr>
          <w:p w14:paraId="54048422" w14:textId="77777777" w:rsidR="00234600" w:rsidRPr="003713E4" w:rsidRDefault="00234600">
            <w:pPr>
              <w:rPr>
                <w:b/>
                <w:bCs/>
              </w:rPr>
            </w:pPr>
            <w:r>
              <w:rPr>
                <w:b/>
                <w:bCs/>
              </w:rPr>
              <w:t>Reason for revision</w:t>
            </w:r>
          </w:p>
        </w:tc>
        <w:tc>
          <w:tcPr>
            <w:tcW w:w="2030" w:type="dxa"/>
            <w:shd w:val="clear" w:color="auto" w:fill="DBE5F1" w:themeFill="accent1" w:themeFillTint="33"/>
            <w:vAlign w:val="center"/>
          </w:tcPr>
          <w:p w14:paraId="4C4DDE79" w14:textId="77777777" w:rsidR="00234600" w:rsidRPr="003713E4" w:rsidRDefault="00234600">
            <w:pPr>
              <w:rPr>
                <w:b/>
                <w:bCs/>
              </w:rPr>
            </w:pPr>
            <w:r w:rsidRPr="003713E4">
              <w:rPr>
                <w:b/>
                <w:bCs/>
              </w:rPr>
              <w:t>Editor/reviewer</w:t>
            </w:r>
          </w:p>
        </w:tc>
        <w:tc>
          <w:tcPr>
            <w:tcW w:w="2030" w:type="dxa"/>
            <w:shd w:val="clear" w:color="auto" w:fill="DBE5F1" w:themeFill="accent1" w:themeFillTint="33"/>
            <w:vAlign w:val="center"/>
          </w:tcPr>
          <w:p w14:paraId="625CA4CB" w14:textId="77777777" w:rsidR="00234600" w:rsidRPr="003713E4" w:rsidRDefault="00234600">
            <w:pPr>
              <w:rPr>
                <w:b/>
                <w:bCs/>
              </w:rPr>
            </w:pPr>
            <w:r w:rsidRPr="003713E4">
              <w:rPr>
                <w:b/>
                <w:bCs/>
              </w:rPr>
              <w:t>Authoriser</w:t>
            </w:r>
          </w:p>
        </w:tc>
      </w:tr>
      <w:tr w:rsidR="001D13C0" w14:paraId="648E9B7E" w14:textId="77777777" w:rsidTr="00515191">
        <w:trPr>
          <w:trHeight w:val="907"/>
        </w:trPr>
        <w:tc>
          <w:tcPr>
            <w:tcW w:w="1413" w:type="dxa"/>
          </w:tcPr>
          <w:p w14:paraId="6237BDAC" w14:textId="77777777" w:rsidR="001D13C0" w:rsidRDefault="001D13C0" w:rsidP="001D13C0">
            <w:pPr>
              <w:jc w:val="center"/>
            </w:pPr>
            <w:r>
              <w:t>-</w:t>
            </w:r>
          </w:p>
        </w:tc>
        <w:tc>
          <w:tcPr>
            <w:tcW w:w="3544" w:type="dxa"/>
          </w:tcPr>
          <w:p w14:paraId="0F744CB3" w14:textId="77777777" w:rsidR="001D13C0" w:rsidRDefault="001D13C0" w:rsidP="001D13C0">
            <w:pPr>
              <w:pStyle w:val="bulletT1"/>
              <w:numPr>
                <w:ilvl w:val="0"/>
                <w:numId w:val="0"/>
              </w:numPr>
              <w:ind w:left="170"/>
            </w:pPr>
            <w:r>
              <w:t>-</w:t>
            </w:r>
          </w:p>
        </w:tc>
        <w:tc>
          <w:tcPr>
            <w:tcW w:w="2030" w:type="dxa"/>
          </w:tcPr>
          <w:p w14:paraId="7BAF2100" w14:textId="77777777" w:rsidR="001D13C0" w:rsidRDefault="001D13C0" w:rsidP="001D13C0">
            <w:pPr>
              <w:jc w:val="left"/>
            </w:pPr>
            <w:r>
              <w:t>-</w:t>
            </w:r>
          </w:p>
        </w:tc>
        <w:tc>
          <w:tcPr>
            <w:tcW w:w="2030" w:type="dxa"/>
          </w:tcPr>
          <w:p w14:paraId="08920320" w14:textId="77777777" w:rsidR="001D13C0" w:rsidRDefault="001D13C0" w:rsidP="001D13C0">
            <w:pPr>
              <w:jc w:val="left"/>
            </w:pPr>
            <w:r>
              <w:t>-</w:t>
            </w:r>
          </w:p>
        </w:tc>
      </w:tr>
    </w:tbl>
    <w:p w14:paraId="6D5D2600" w14:textId="76B4387B" w:rsidR="00A41A16" w:rsidRDefault="00A41A16" w:rsidP="003723E2">
      <w:pPr>
        <w:pStyle w:val="Instructions"/>
      </w:pPr>
    </w:p>
    <w:sectPr w:rsidR="00A41A16" w:rsidSect="00BB10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F189" w14:textId="77777777" w:rsidR="00732384" w:rsidRDefault="00732384" w:rsidP="00F46DE6">
      <w:r>
        <w:separator/>
      </w:r>
    </w:p>
    <w:p w14:paraId="520FFD98" w14:textId="77777777" w:rsidR="00732384" w:rsidRDefault="00732384" w:rsidP="00F46DE6"/>
  </w:endnote>
  <w:endnote w:type="continuationSeparator" w:id="0">
    <w:p w14:paraId="40E9AB5D" w14:textId="77777777" w:rsidR="00732384" w:rsidRDefault="00732384" w:rsidP="00F46DE6">
      <w:r>
        <w:continuationSeparator/>
      </w:r>
    </w:p>
    <w:p w14:paraId="5F5FD717" w14:textId="77777777" w:rsidR="00732384" w:rsidRDefault="00732384"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1C62"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1C84B00C"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29628B09" w14:textId="77777777" w:rsidR="00276842" w:rsidRDefault="00DD3075" w:rsidP="00DD3075">
    <w:hyperlink r:id="rId1" w:history="1">
      <w:r w:rsidRPr="00D317E8">
        <w:rPr>
          <w:rStyle w:val="Hyperlink"/>
        </w:rPr>
        <w:t>http://www.birmingham.ac.uk/research/activity/mds/mds-rkto/governance/index.aspx</w:t>
      </w:r>
    </w:hyperlink>
  </w:p>
  <w:p w14:paraId="447CA778"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5735" w14:textId="77777777" w:rsidR="007773B9" w:rsidRPr="0097056C" w:rsidRDefault="007773B9" w:rsidP="00C56078">
    <w:pPr>
      <w:pStyle w:val="Footer"/>
    </w:pPr>
    <w:r w:rsidRPr="0097056C">
      <w:t>Property of the University of Birmingham, Vincent Drive, Edgbaston, Birmingham, B15 2TT, United Kingdom.</w:t>
    </w:r>
  </w:p>
  <w:p w14:paraId="641D39CF" w14:textId="77777777" w:rsidR="007773B9" w:rsidRPr="0097056C" w:rsidRDefault="007773B9" w:rsidP="00C56078">
    <w:pPr>
      <w:pStyle w:val="Footer"/>
    </w:pPr>
    <w:r w:rsidRPr="0097056C">
      <w:t>This is a controlled document. Any unauthorised prints/downloads of this document will be classed as uncontrolled.</w:t>
    </w:r>
  </w:p>
  <w:p w14:paraId="503FA4D2" w14:textId="77777777" w:rsidR="0097056C" w:rsidRDefault="007773B9" w:rsidP="00C56078">
    <w:pPr>
      <w:pStyle w:val="Footer"/>
      <w:rPr>
        <w:rStyle w:val="Hyperlink"/>
      </w:rPr>
    </w:pPr>
    <w:r w:rsidRPr="0097056C">
      <w:t xml:space="preserve">For the latest version refer to: </w:t>
    </w:r>
    <w:hyperlink r:id="rId1" w:tooltip="Link to the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00C3"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756CDF0C" w14:textId="77777777" w:rsidTr="00A5347A">
      <w:trPr>
        <w:trHeight w:val="148"/>
      </w:trPr>
      <w:tc>
        <w:tcPr>
          <w:tcW w:w="1441" w:type="dxa"/>
          <w:tcMar>
            <w:top w:w="0" w:type="dxa"/>
            <w:left w:w="57" w:type="dxa"/>
            <w:bottom w:w="0" w:type="dxa"/>
            <w:right w:w="57" w:type="dxa"/>
          </w:tcMar>
          <w:vAlign w:val="center"/>
        </w:tcPr>
        <w:p w14:paraId="253D9FA0"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48217C97" w14:textId="5FB1C00F" w:rsidR="00A668FC" w:rsidRPr="001C6EFB" w:rsidRDefault="009F1683" w:rsidP="00A5347A">
          <w:pPr>
            <w:pStyle w:val="Footer"/>
            <w:jc w:val="left"/>
          </w:pPr>
          <w:r>
            <w:t>UoB-AES-SOP-001</w:t>
          </w:r>
        </w:p>
      </w:tc>
      <w:tc>
        <w:tcPr>
          <w:tcW w:w="3283" w:type="dxa"/>
          <w:tcMar>
            <w:top w:w="0" w:type="dxa"/>
            <w:left w:w="57" w:type="dxa"/>
            <w:bottom w:w="0" w:type="dxa"/>
            <w:right w:w="57" w:type="dxa"/>
          </w:tcMar>
          <w:vAlign w:val="center"/>
        </w:tcPr>
        <w:p w14:paraId="47B580ED"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191FD64C" w14:textId="47F703C5" w:rsidR="00A668FC" w:rsidRPr="001C6EFB" w:rsidRDefault="00044A64" w:rsidP="00A5347A">
          <w:pPr>
            <w:pStyle w:val="Footer"/>
            <w:jc w:val="right"/>
          </w:pPr>
          <w:r>
            <w:fldChar w:fldCharType="begin"/>
          </w:r>
          <w:r>
            <w:instrText xml:space="preserve"> DATE  \@ "dd-MMM-yyyy"  \* MERGEFORMAT </w:instrText>
          </w:r>
          <w:r>
            <w:fldChar w:fldCharType="separate"/>
          </w:r>
          <w:r w:rsidR="008D3058">
            <w:rPr>
              <w:noProof/>
            </w:rPr>
            <w:t>27-Mar-2026</w:t>
          </w:r>
          <w:r>
            <w:fldChar w:fldCharType="end"/>
          </w:r>
        </w:p>
      </w:tc>
    </w:tr>
    <w:tr w:rsidR="00A668FC" w:rsidRPr="002D6577" w14:paraId="7940DF05" w14:textId="77777777" w:rsidTr="00A5347A">
      <w:tc>
        <w:tcPr>
          <w:tcW w:w="1441" w:type="dxa"/>
          <w:tcMar>
            <w:top w:w="0" w:type="dxa"/>
            <w:left w:w="57" w:type="dxa"/>
            <w:bottom w:w="0" w:type="dxa"/>
            <w:right w:w="57" w:type="dxa"/>
          </w:tcMar>
          <w:vAlign w:val="center"/>
        </w:tcPr>
        <w:p w14:paraId="6CB5CD76"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15981CAF" w14:textId="52C239BE" w:rsidR="00505372" w:rsidRPr="001C6EFB" w:rsidRDefault="00505372" w:rsidP="00A5347A">
          <w:pPr>
            <w:pStyle w:val="Footer"/>
            <w:jc w:val="left"/>
          </w:pPr>
          <w:r>
            <w:t>3.0</w:t>
          </w:r>
        </w:p>
      </w:tc>
      <w:tc>
        <w:tcPr>
          <w:tcW w:w="3283" w:type="dxa"/>
          <w:tcMar>
            <w:top w:w="0" w:type="dxa"/>
            <w:left w:w="57" w:type="dxa"/>
            <w:bottom w:w="0" w:type="dxa"/>
            <w:right w:w="57" w:type="dxa"/>
          </w:tcMar>
          <w:vAlign w:val="center"/>
        </w:tcPr>
        <w:p w14:paraId="07911FF2"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65834D7F"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48B8B382"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2323" w14:textId="77777777" w:rsidR="00DD3075" w:rsidRDefault="00DD3075"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8D0A" w14:textId="77777777" w:rsidR="00732384" w:rsidRDefault="00732384" w:rsidP="00F46DE6">
      <w:r>
        <w:separator/>
      </w:r>
    </w:p>
    <w:p w14:paraId="6F6C7ED7" w14:textId="77777777" w:rsidR="00732384" w:rsidRDefault="00732384" w:rsidP="00F46DE6"/>
  </w:footnote>
  <w:footnote w:type="continuationSeparator" w:id="0">
    <w:p w14:paraId="436D8386" w14:textId="77777777" w:rsidR="00732384" w:rsidRDefault="00732384" w:rsidP="00F46DE6">
      <w:r>
        <w:continuationSeparator/>
      </w:r>
    </w:p>
    <w:p w14:paraId="5B5B8AD6" w14:textId="77777777" w:rsidR="00732384" w:rsidRDefault="00732384"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5462" w14:textId="77777777" w:rsidR="00A91AC7" w:rsidRDefault="00FF0711" w:rsidP="00A91AC7">
    <w:pPr>
      <w:jc w:val="left"/>
    </w:pPr>
    <w:r w:rsidRPr="00F16569">
      <w:rPr>
        <w:noProof/>
        <w:lang w:eastAsia="en-GB"/>
      </w:rPr>
      <w:drawing>
        <wp:anchor distT="0" distB="0" distL="114300" distR="114300" simplePos="0" relativeHeight="251658752" behindDoc="0" locked="0" layoutInCell="1" allowOverlap="1" wp14:anchorId="005B937A" wp14:editId="5435583B">
          <wp:simplePos x="0" y="0"/>
          <wp:positionH relativeFrom="column">
            <wp:posOffset>-301625</wp:posOffset>
          </wp:positionH>
          <wp:positionV relativeFrom="page">
            <wp:posOffset>1050925</wp:posOffset>
          </wp:positionV>
          <wp:extent cx="2705100" cy="1062990"/>
          <wp:effectExtent l="0" t="0" r="0" b="0"/>
          <wp:wrapNone/>
          <wp:docPr id="103536056" name="Picture 103536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483195F9" w14:textId="77777777" w:rsidTr="00901562">
      <w:trPr>
        <w:trHeight w:val="278"/>
        <w:tblHeader/>
      </w:trPr>
      <w:tc>
        <w:tcPr>
          <w:tcW w:w="1555" w:type="dxa"/>
          <w:vAlign w:val="center"/>
        </w:tcPr>
        <w:p w14:paraId="6082196D" w14:textId="77777777" w:rsidR="00A91AC7" w:rsidRDefault="00A91AC7" w:rsidP="005405BD">
          <w:pPr>
            <w:pStyle w:val="Footer"/>
            <w:jc w:val="left"/>
          </w:pPr>
          <w:r w:rsidRPr="001C6EFB">
            <w:t>Document code:</w:t>
          </w:r>
        </w:p>
      </w:tc>
      <w:tc>
        <w:tcPr>
          <w:tcW w:w="2154" w:type="dxa"/>
          <w:vAlign w:val="center"/>
        </w:tcPr>
        <w:p w14:paraId="7A16651A" w14:textId="5EC8C3C4" w:rsidR="00A91AC7" w:rsidRDefault="009F1683" w:rsidP="005405BD">
          <w:pPr>
            <w:pStyle w:val="Footer"/>
            <w:jc w:val="right"/>
          </w:pPr>
          <w:r>
            <w:t>UoB-AES-SOP-001</w:t>
          </w:r>
        </w:p>
      </w:tc>
    </w:tr>
    <w:tr w:rsidR="00A91AC7" w14:paraId="2E86DECD" w14:textId="77777777" w:rsidTr="00901562">
      <w:trPr>
        <w:trHeight w:val="278"/>
      </w:trPr>
      <w:tc>
        <w:tcPr>
          <w:tcW w:w="1555" w:type="dxa"/>
          <w:vAlign w:val="center"/>
        </w:tcPr>
        <w:p w14:paraId="3153514B" w14:textId="77777777" w:rsidR="00A91AC7" w:rsidRDefault="00A91AC7" w:rsidP="005405BD">
          <w:pPr>
            <w:pStyle w:val="Footer"/>
            <w:jc w:val="left"/>
          </w:pPr>
          <w:r w:rsidRPr="001C6EFB">
            <w:t>Version no:</w:t>
          </w:r>
        </w:p>
      </w:tc>
      <w:tc>
        <w:tcPr>
          <w:tcW w:w="2154" w:type="dxa"/>
          <w:vAlign w:val="center"/>
        </w:tcPr>
        <w:p w14:paraId="646269EF" w14:textId="01D1ABF2" w:rsidR="00A91AC7" w:rsidRDefault="00E161C0" w:rsidP="005405BD">
          <w:pPr>
            <w:pStyle w:val="Footer"/>
            <w:jc w:val="right"/>
          </w:pPr>
          <w:r>
            <w:t>3.0</w:t>
          </w:r>
        </w:p>
      </w:tc>
    </w:tr>
    <w:tr w:rsidR="00A91AC7" w14:paraId="4C6162E1" w14:textId="77777777" w:rsidTr="00901562">
      <w:trPr>
        <w:trHeight w:val="278"/>
      </w:trPr>
      <w:tc>
        <w:tcPr>
          <w:tcW w:w="1555" w:type="dxa"/>
          <w:vAlign w:val="center"/>
        </w:tcPr>
        <w:p w14:paraId="071E244F" w14:textId="77777777" w:rsidR="00A91AC7" w:rsidRDefault="00A91AC7" w:rsidP="005405BD">
          <w:pPr>
            <w:pStyle w:val="Footer"/>
            <w:jc w:val="left"/>
          </w:pPr>
          <w:r>
            <w:t>Effective date:</w:t>
          </w:r>
        </w:p>
      </w:tc>
      <w:tc>
        <w:tcPr>
          <w:tcW w:w="2154" w:type="dxa"/>
          <w:vAlign w:val="center"/>
        </w:tcPr>
        <w:p w14:paraId="2A63A944" w14:textId="63BE1018" w:rsidR="00A91AC7" w:rsidRDefault="00E161C0" w:rsidP="005405BD">
          <w:pPr>
            <w:pStyle w:val="Footer"/>
            <w:jc w:val="right"/>
          </w:pPr>
          <w:r>
            <w:t>28-Apr-2026</w:t>
          </w:r>
        </w:p>
      </w:tc>
    </w:tr>
    <w:tr w:rsidR="00A91AC7" w14:paraId="39690F0C" w14:textId="77777777" w:rsidTr="00901562">
      <w:trPr>
        <w:trHeight w:val="278"/>
      </w:trPr>
      <w:tc>
        <w:tcPr>
          <w:tcW w:w="1555" w:type="dxa"/>
          <w:vAlign w:val="center"/>
        </w:tcPr>
        <w:p w14:paraId="4F1B2F06" w14:textId="77777777" w:rsidR="00A91AC7" w:rsidRPr="001C6EFB" w:rsidRDefault="00A91AC7" w:rsidP="005405BD">
          <w:pPr>
            <w:pStyle w:val="Footer"/>
            <w:jc w:val="left"/>
          </w:pPr>
          <w:r>
            <w:t>Print d</w:t>
          </w:r>
          <w:r w:rsidRPr="001C6EFB">
            <w:t>ate:</w:t>
          </w:r>
        </w:p>
      </w:tc>
      <w:tc>
        <w:tcPr>
          <w:tcW w:w="2154" w:type="dxa"/>
          <w:vAlign w:val="center"/>
        </w:tcPr>
        <w:p w14:paraId="60E7D87D" w14:textId="04F8AF35" w:rsidR="00A91AC7" w:rsidRDefault="00A91AC7" w:rsidP="005405BD">
          <w:pPr>
            <w:pStyle w:val="Footer"/>
            <w:jc w:val="right"/>
          </w:pPr>
          <w:r>
            <w:fldChar w:fldCharType="begin"/>
          </w:r>
          <w:r>
            <w:instrText xml:space="preserve"> DATE  \@ "dd-MMM-yyyy"  \* MERGEFORMAT </w:instrText>
          </w:r>
          <w:r>
            <w:fldChar w:fldCharType="separate"/>
          </w:r>
          <w:r w:rsidR="008D3058">
            <w:rPr>
              <w:noProof/>
            </w:rPr>
            <w:t>27-Mar-2026</w:t>
          </w:r>
          <w:r>
            <w:fldChar w:fldCharType="end"/>
          </w:r>
        </w:p>
      </w:tc>
    </w:tr>
    <w:tr w:rsidR="00A91AC7" w14:paraId="427C02B7" w14:textId="77777777" w:rsidTr="00901562">
      <w:trPr>
        <w:trHeight w:val="278"/>
      </w:trPr>
      <w:tc>
        <w:tcPr>
          <w:tcW w:w="1555" w:type="dxa"/>
          <w:vAlign w:val="center"/>
        </w:tcPr>
        <w:p w14:paraId="0E731ED2" w14:textId="77777777" w:rsidR="00A91AC7" w:rsidRPr="001C6EFB" w:rsidRDefault="00A91AC7" w:rsidP="005405BD">
          <w:pPr>
            <w:pStyle w:val="Footer"/>
            <w:jc w:val="left"/>
          </w:pPr>
          <w:r w:rsidRPr="001C6EFB">
            <w:t>Page:</w:t>
          </w:r>
        </w:p>
      </w:tc>
      <w:tc>
        <w:tcPr>
          <w:tcW w:w="2154" w:type="dxa"/>
          <w:vAlign w:val="center"/>
        </w:tcPr>
        <w:p w14:paraId="7172217F"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2A8110CE"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D23B"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A383" w14:textId="4C7DFD60" w:rsidR="00DD3075" w:rsidRPr="00F64FE9" w:rsidRDefault="00462CF7" w:rsidP="00F5404A">
    <w:pPr>
      <w:pStyle w:val="Header"/>
    </w:pPr>
    <w:r w:rsidRPr="00F64FE9">
      <w:t>SOP:</w:t>
    </w:r>
    <w:r w:rsidR="00DB1537">
      <w:t xml:space="preserve"> </w:t>
    </w:r>
    <w:r w:rsidR="0086241B">
      <w:t>Adverse Event reporting</w:t>
    </w:r>
  </w:p>
  <w:p w14:paraId="5B35E561"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BD6F" w14:textId="77777777" w:rsidR="00DD3075" w:rsidRDefault="00DD3075" w:rsidP="00F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A7885"/>
    <w:multiLevelType w:val="hybridMultilevel"/>
    <w:tmpl w:val="96D4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8C14EF"/>
    <w:multiLevelType w:val="multilevel"/>
    <w:tmpl w:val="658E95DC"/>
    <w:numStyleLink w:val="Style2"/>
  </w:abstractNum>
  <w:abstractNum w:abstractNumId="5"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100530A2"/>
    <w:multiLevelType w:val="hybridMultilevel"/>
    <w:tmpl w:val="EF3E9E2A"/>
    <w:lvl w:ilvl="0" w:tplc="5888C6CA">
      <w:start w:val="1"/>
      <w:numFmt w:val="bullet"/>
      <w:lvlText w:val=""/>
      <w:lvlJc w:val="left"/>
      <w:pPr>
        <w:ind w:left="720" w:hanging="360"/>
      </w:pPr>
      <w:rPr>
        <w:rFonts w:ascii="Symbol" w:hAnsi="Symbol"/>
      </w:rPr>
    </w:lvl>
    <w:lvl w:ilvl="1" w:tplc="BDF2A50A">
      <w:start w:val="1"/>
      <w:numFmt w:val="bullet"/>
      <w:lvlText w:val=""/>
      <w:lvlJc w:val="left"/>
      <w:pPr>
        <w:ind w:left="720" w:hanging="360"/>
      </w:pPr>
      <w:rPr>
        <w:rFonts w:ascii="Symbol" w:hAnsi="Symbol"/>
      </w:rPr>
    </w:lvl>
    <w:lvl w:ilvl="2" w:tplc="02FCE73C">
      <w:start w:val="1"/>
      <w:numFmt w:val="bullet"/>
      <w:lvlText w:val=""/>
      <w:lvlJc w:val="left"/>
      <w:pPr>
        <w:ind w:left="720" w:hanging="360"/>
      </w:pPr>
      <w:rPr>
        <w:rFonts w:ascii="Symbol" w:hAnsi="Symbol"/>
      </w:rPr>
    </w:lvl>
    <w:lvl w:ilvl="3" w:tplc="B0A07D3E">
      <w:start w:val="1"/>
      <w:numFmt w:val="bullet"/>
      <w:lvlText w:val=""/>
      <w:lvlJc w:val="left"/>
      <w:pPr>
        <w:ind w:left="720" w:hanging="360"/>
      </w:pPr>
      <w:rPr>
        <w:rFonts w:ascii="Symbol" w:hAnsi="Symbol"/>
      </w:rPr>
    </w:lvl>
    <w:lvl w:ilvl="4" w:tplc="4F48E342">
      <w:start w:val="1"/>
      <w:numFmt w:val="bullet"/>
      <w:lvlText w:val=""/>
      <w:lvlJc w:val="left"/>
      <w:pPr>
        <w:ind w:left="720" w:hanging="360"/>
      </w:pPr>
      <w:rPr>
        <w:rFonts w:ascii="Symbol" w:hAnsi="Symbol"/>
      </w:rPr>
    </w:lvl>
    <w:lvl w:ilvl="5" w:tplc="04B01CFC">
      <w:start w:val="1"/>
      <w:numFmt w:val="bullet"/>
      <w:lvlText w:val=""/>
      <w:lvlJc w:val="left"/>
      <w:pPr>
        <w:ind w:left="720" w:hanging="360"/>
      </w:pPr>
      <w:rPr>
        <w:rFonts w:ascii="Symbol" w:hAnsi="Symbol"/>
      </w:rPr>
    </w:lvl>
    <w:lvl w:ilvl="6" w:tplc="3B5A751A">
      <w:start w:val="1"/>
      <w:numFmt w:val="bullet"/>
      <w:lvlText w:val=""/>
      <w:lvlJc w:val="left"/>
      <w:pPr>
        <w:ind w:left="720" w:hanging="360"/>
      </w:pPr>
      <w:rPr>
        <w:rFonts w:ascii="Symbol" w:hAnsi="Symbol"/>
      </w:rPr>
    </w:lvl>
    <w:lvl w:ilvl="7" w:tplc="F3E65360">
      <w:start w:val="1"/>
      <w:numFmt w:val="bullet"/>
      <w:lvlText w:val=""/>
      <w:lvlJc w:val="left"/>
      <w:pPr>
        <w:ind w:left="720" w:hanging="360"/>
      </w:pPr>
      <w:rPr>
        <w:rFonts w:ascii="Symbol" w:hAnsi="Symbol"/>
      </w:rPr>
    </w:lvl>
    <w:lvl w:ilvl="8" w:tplc="168C47CC">
      <w:start w:val="1"/>
      <w:numFmt w:val="bullet"/>
      <w:lvlText w:val=""/>
      <w:lvlJc w:val="left"/>
      <w:pPr>
        <w:ind w:left="720" w:hanging="360"/>
      </w:pPr>
      <w:rPr>
        <w:rFonts w:ascii="Symbol" w:hAnsi="Symbol"/>
      </w:rPr>
    </w:lvl>
  </w:abstractNum>
  <w:abstractNum w:abstractNumId="9"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1"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B579D5"/>
    <w:multiLevelType w:val="hybridMultilevel"/>
    <w:tmpl w:val="F1644FE6"/>
    <w:lvl w:ilvl="0" w:tplc="876E275A">
      <w:start w:val="1"/>
      <w:numFmt w:val="bullet"/>
      <w:pStyle w:val="bullet2"/>
      <w:lvlText w:val="○"/>
      <w:lvlJc w:val="left"/>
      <w:pPr>
        <w:ind w:left="700" w:hanging="360"/>
      </w:pPr>
      <w:rPr>
        <w:color w:val="auto"/>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302403"/>
    <w:multiLevelType w:val="hybridMultilevel"/>
    <w:tmpl w:val="6CA8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3"/>
  </w:num>
  <w:num w:numId="2" w16cid:durableId="1739474749">
    <w:abstractNumId w:val="17"/>
  </w:num>
  <w:num w:numId="3" w16cid:durableId="1854150415">
    <w:abstractNumId w:val="0"/>
  </w:num>
  <w:num w:numId="4" w16cid:durableId="215943045">
    <w:abstractNumId w:val="26"/>
  </w:num>
  <w:num w:numId="5" w16cid:durableId="2125686376">
    <w:abstractNumId w:val="20"/>
  </w:num>
  <w:num w:numId="6" w16cid:durableId="2092387593">
    <w:abstractNumId w:val="29"/>
  </w:num>
  <w:num w:numId="7" w16cid:durableId="223492826">
    <w:abstractNumId w:val="5"/>
  </w:num>
  <w:num w:numId="8" w16cid:durableId="731470395">
    <w:abstractNumId w:val="18"/>
  </w:num>
  <w:num w:numId="9" w16cid:durableId="2105565099">
    <w:abstractNumId w:val="23"/>
  </w:num>
  <w:num w:numId="10" w16cid:durableId="1768579366">
    <w:abstractNumId w:val="30"/>
  </w:num>
  <w:num w:numId="11" w16cid:durableId="377358866">
    <w:abstractNumId w:val="10"/>
  </w:num>
  <w:num w:numId="12" w16cid:durableId="2095010244">
    <w:abstractNumId w:val="12"/>
  </w:num>
  <w:num w:numId="13" w16cid:durableId="2058551307">
    <w:abstractNumId w:val="9"/>
  </w:num>
  <w:num w:numId="14" w16cid:durableId="1890919626">
    <w:abstractNumId w:val="14"/>
  </w:num>
  <w:num w:numId="15" w16cid:durableId="701518233">
    <w:abstractNumId w:val="12"/>
  </w:num>
  <w:num w:numId="16" w16cid:durableId="1555506712">
    <w:abstractNumId w:val="12"/>
  </w:num>
  <w:num w:numId="17" w16cid:durableId="1065487552">
    <w:abstractNumId w:val="0"/>
  </w:num>
  <w:num w:numId="18" w16cid:durableId="72357749">
    <w:abstractNumId w:val="28"/>
  </w:num>
  <w:num w:numId="19" w16cid:durableId="366568144">
    <w:abstractNumId w:val="0"/>
  </w:num>
  <w:num w:numId="20" w16cid:durableId="2100324454">
    <w:abstractNumId w:val="22"/>
  </w:num>
  <w:num w:numId="21" w16cid:durableId="2129202077">
    <w:abstractNumId w:val="12"/>
    <w:lvlOverride w:ilvl="0">
      <w:startOverride w:val="1"/>
    </w:lvlOverride>
  </w:num>
  <w:num w:numId="22" w16cid:durableId="1954165539">
    <w:abstractNumId w:val="12"/>
    <w:lvlOverride w:ilvl="0">
      <w:startOverride w:val="1"/>
    </w:lvlOverride>
  </w:num>
  <w:num w:numId="23" w16cid:durableId="560099238">
    <w:abstractNumId w:val="12"/>
    <w:lvlOverride w:ilvl="0">
      <w:startOverride w:val="1"/>
    </w:lvlOverride>
  </w:num>
  <w:num w:numId="24" w16cid:durableId="1946960506">
    <w:abstractNumId w:val="12"/>
    <w:lvlOverride w:ilvl="0">
      <w:startOverride w:val="1"/>
    </w:lvlOverride>
  </w:num>
  <w:num w:numId="25" w16cid:durableId="1730835557">
    <w:abstractNumId w:val="0"/>
  </w:num>
  <w:num w:numId="26" w16cid:durableId="967080295">
    <w:abstractNumId w:val="7"/>
  </w:num>
  <w:num w:numId="27" w16cid:durableId="455682754">
    <w:abstractNumId w:val="11"/>
  </w:num>
  <w:num w:numId="28" w16cid:durableId="1084448835">
    <w:abstractNumId w:val="1"/>
  </w:num>
  <w:num w:numId="29" w16cid:durableId="905992767">
    <w:abstractNumId w:val="25"/>
  </w:num>
  <w:num w:numId="30" w16cid:durableId="658921717">
    <w:abstractNumId w:val="3"/>
  </w:num>
  <w:num w:numId="31" w16cid:durableId="1615671213">
    <w:abstractNumId w:val="21"/>
  </w:num>
  <w:num w:numId="32" w16cid:durableId="58675607">
    <w:abstractNumId w:val="6"/>
  </w:num>
  <w:num w:numId="33" w16cid:durableId="1008018007">
    <w:abstractNumId w:val="24"/>
  </w:num>
  <w:num w:numId="34" w16cid:durableId="1129473326">
    <w:abstractNumId w:val="15"/>
  </w:num>
  <w:num w:numId="35" w16cid:durableId="660040120">
    <w:abstractNumId w:val="19"/>
  </w:num>
  <w:num w:numId="36" w16cid:durableId="1228865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2"/>
    <w:lvlOverride w:ilvl="0">
      <w:startOverride w:val="1"/>
    </w:lvlOverride>
  </w:num>
  <w:num w:numId="38" w16cid:durableId="833684335">
    <w:abstractNumId w:val="12"/>
    <w:lvlOverride w:ilvl="0">
      <w:startOverride w:val="1"/>
    </w:lvlOverride>
  </w:num>
  <w:num w:numId="39" w16cid:durableId="529488213">
    <w:abstractNumId w:val="16"/>
  </w:num>
  <w:num w:numId="40" w16cid:durableId="378089861">
    <w:abstractNumId w:val="4"/>
  </w:num>
  <w:num w:numId="41" w16cid:durableId="144588217">
    <w:abstractNumId w:val="12"/>
    <w:lvlOverride w:ilvl="0">
      <w:startOverride w:val="1"/>
    </w:lvlOverride>
  </w:num>
  <w:num w:numId="42" w16cid:durableId="274756452">
    <w:abstractNumId w:val="12"/>
    <w:lvlOverride w:ilvl="0">
      <w:startOverride w:val="1"/>
    </w:lvlOverride>
  </w:num>
  <w:num w:numId="43" w16cid:durableId="1939436564">
    <w:abstractNumId w:val="2"/>
  </w:num>
  <w:num w:numId="44" w16cid:durableId="1146357866">
    <w:abstractNumId w:val="27"/>
  </w:num>
  <w:num w:numId="45" w16cid:durableId="174969250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24"/>
    <w:rsid w:val="00001923"/>
    <w:rsid w:val="00001A7E"/>
    <w:rsid w:val="00003ECD"/>
    <w:rsid w:val="000060AE"/>
    <w:rsid w:val="0000618C"/>
    <w:rsid w:val="00006719"/>
    <w:rsid w:val="00006B32"/>
    <w:rsid w:val="0001051B"/>
    <w:rsid w:val="0001086D"/>
    <w:rsid w:val="00012800"/>
    <w:rsid w:val="00013B08"/>
    <w:rsid w:val="000146F1"/>
    <w:rsid w:val="000156AB"/>
    <w:rsid w:val="00017EAC"/>
    <w:rsid w:val="0002208B"/>
    <w:rsid w:val="000226EC"/>
    <w:rsid w:val="000229C5"/>
    <w:rsid w:val="00023007"/>
    <w:rsid w:val="00023BC0"/>
    <w:rsid w:val="000270F6"/>
    <w:rsid w:val="000274A9"/>
    <w:rsid w:val="000317D8"/>
    <w:rsid w:val="00033744"/>
    <w:rsid w:val="00033CE7"/>
    <w:rsid w:val="0003524D"/>
    <w:rsid w:val="000374CB"/>
    <w:rsid w:val="000379D7"/>
    <w:rsid w:val="00037A9C"/>
    <w:rsid w:val="00041578"/>
    <w:rsid w:val="000421FD"/>
    <w:rsid w:val="00043513"/>
    <w:rsid w:val="00043829"/>
    <w:rsid w:val="00044A64"/>
    <w:rsid w:val="00053A54"/>
    <w:rsid w:val="00054071"/>
    <w:rsid w:val="0005610D"/>
    <w:rsid w:val="0005666F"/>
    <w:rsid w:val="00056940"/>
    <w:rsid w:val="00056EE8"/>
    <w:rsid w:val="00056FF1"/>
    <w:rsid w:val="000639EF"/>
    <w:rsid w:val="00064262"/>
    <w:rsid w:val="00064AB8"/>
    <w:rsid w:val="00064F56"/>
    <w:rsid w:val="000650E5"/>
    <w:rsid w:val="0006541F"/>
    <w:rsid w:val="00071142"/>
    <w:rsid w:val="00072AD5"/>
    <w:rsid w:val="00072F51"/>
    <w:rsid w:val="000746E9"/>
    <w:rsid w:val="0007480B"/>
    <w:rsid w:val="00075883"/>
    <w:rsid w:val="00075A9D"/>
    <w:rsid w:val="0007643A"/>
    <w:rsid w:val="00077D41"/>
    <w:rsid w:val="00082A3D"/>
    <w:rsid w:val="00082A5C"/>
    <w:rsid w:val="00083C9D"/>
    <w:rsid w:val="00085044"/>
    <w:rsid w:val="00086FCC"/>
    <w:rsid w:val="00087D59"/>
    <w:rsid w:val="000903F3"/>
    <w:rsid w:val="0009369B"/>
    <w:rsid w:val="00095EFA"/>
    <w:rsid w:val="00097B78"/>
    <w:rsid w:val="000A0DFF"/>
    <w:rsid w:val="000A1324"/>
    <w:rsid w:val="000A1795"/>
    <w:rsid w:val="000A1B0F"/>
    <w:rsid w:val="000A4E48"/>
    <w:rsid w:val="000A56BF"/>
    <w:rsid w:val="000A7BCB"/>
    <w:rsid w:val="000A7BE6"/>
    <w:rsid w:val="000B1E3E"/>
    <w:rsid w:val="000B2811"/>
    <w:rsid w:val="000B3FD1"/>
    <w:rsid w:val="000B442E"/>
    <w:rsid w:val="000B5EFD"/>
    <w:rsid w:val="000B6210"/>
    <w:rsid w:val="000B6B84"/>
    <w:rsid w:val="000C1A19"/>
    <w:rsid w:val="000C3681"/>
    <w:rsid w:val="000C43E1"/>
    <w:rsid w:val="000C45B6"/>
    <w:rsid w:val="000C5087"/>
    <w:rsid w:val="000C54A1"/>
    <w:rsid w:val="000D0A96"/>
    <w:rsid w:val="000D2C49"/>
    <w:rsid w:val="000D34E7"/>
    <w:rsid w:val="000D3D68"/>
    <w:rsid w:val="000D3E8C"/>
    <w:rsid w:val="000D43A3"/>
    <w:rsid w:val="000D4912"/>
    <w:rsid w:val="000D4BB4"/>
    <w:rsid w:val="000D6463"/>
    <w:rsid w:val="000D677A"/>
    <w:rsid w:val="000D70AA"/>
    <w:rsid w:val="000D7D37"/>
    <w:rsid w:val="000E15F0"/>
    <w:rsid w:val="000E2B7C"/>
    <w:rsid w:val="000E2EAB"/>
    <w:rsid w:val="000E3D24"/>
    <w:rsid w:val="000E5841"/>
    <w:rsid w:val="000E7493"/>
    <w:rsid w:val="000F2380"/>
    <w:rsid w:val="000F2963"/>
    <w:rsid w:val="000F2ECE"/>
    <w:rsid w:val="000F391A"/>
    <w:rsid w:val="000F4231"/>
    <w:rsid w:val="000F480E"/>
    <w:rsid w:val="000F4A3D"/>
    <w:rsid w:val="00100541"/>
    <w:rsid w:val="00100D71"/>
    <w:rsid w:val="00100DB9"/>
    <w:rsid w:val="00101773"/>
    <w:rsid w:val="00101B2B"/>
    <w:rsid w:val="00101CAA"/>
    <w:rsid w:val="001025F9"/>
    <w:rsid w:val="001034FC"/>
    <w:rsid w:val="00103FD0"/>
    <w:rsid w:val="00104D42"/>
    <w:rsid w:val="00105091"/>
    <w:rsid w:val="001057FB"/>
    <w:rsid w:val="001064D3"/>
    <w:rsid w:val="0010680A"/>
    <w:rsid w:val="001077F3"/>
    <w:rsid w:val="00110971"/>
    <w:rsid w:val="00111ED7"/>
    <w:rsid w:val="00113B59"/>
    <w:rsid w:val="00113E78"/>
    <w:rsid w:val="001204EC"/>
    <w:rsid w:val="001206F6"/>
    <w:rsid w:val="00120959"/>
    <w:rsid w:val="00121A61"/>
    <w:rsid w:val="00121F28"/>
    <w:rsid w:val="00122579"/>
    <w:rsid w:val="001231DA"/>
    <w:rsid w:val="00123C6B"/>
    <w:rsid w:val="00124792"/>
    <w:rsid w:val="00125667"/>
    <w:rsid w:val="00127D56"/>
    <w:rsid w:val="001300C8"/>
    <w:rsid w:val="0013051D"/>
    <w:rsid w:val="0013059D"/>
    <w:rsid w:val="00130E43"/>
    <w:rsid w:val="0013148C"/>
    <w:rsid w:val="00131A5D"/>
    <w:rsid w:val="00134690"/>
    <w:rsid w:val="00134766"/>
    <w:rsid w:val="00135E89"/>
    <w:rsid w:val="0014043D"/>
    <w:rsid w:val="0014385C"/>
    <w:rsid w:val="001445C0"/>
    <w:rsid w:val="00144B57"/>
    <w:rsid w:val="001526FE"/>
    <w:rsid w:val="00154270"/>
    <w:rsid w:val="00154F2D"/>
    <w:rsid w:val="00156CD8"/>
    <w:rsid w:val="001574D9"/>
    <w:rsid w:val="00157E02"/>
    <w:rsid w:val="00162F47"/>
    <w:rsid w:val="00163B7C"/>
    <w:rsid w:val="00163F57"/>
    <w:rsid w:val="001653F1"/>
    <w:rsid w:val="00165F48"/>
    <w:rsid w:val="0016654D"/>
    <w:rsid w:val="00166F4A"/>
    <w:rsid w:val="00174B60"/>
    <w:rsid w:val="00174E0E"/>
    <w:rsid w:val="001769EB"/>
    <w:rsid w:val="001775A9"/>
    <w:rsid w:val="00180B87"/>
    <w:rsid w:val="00182896"/>
    <w:rsid w:val="0018309A"/>
    <w:rsid w:val="001841A1"/>
    <w:rsid w:val="00184BB7"/>
    <w:rsid w:val="001856A7"/>
    <w:rsid w:val="00190C93"/>
    <w:rsid w:val="00193333"/>
    <w:rsid w:val="00193E88"/>
    <w:rsid w:val="0019413C"/>
    <w:rsid w:val="00194EE8"/>
    <w:rsid w:val="00195717"/>
    <w:rsid w:val="00196565"/>
    <w:rsid w:val="001976C1"/>
    <w:rsid w:val="001A024E"/>
    <w:rsid w:val="001A026A"/>
    <w:rsid w:val="001A142E"/>
    <w:rsid w:val="001A2544"/>
    <w:rsid w:val="001A26D3"/>
    <w:rsid w:val="001A291E"/>
    <w:rsid w:val="001A2D04"/>
    <w:rsid w:val="001A4339"/>
    <w:rsid w:val="001A4718"/>
    <w:rsid w:val="001A4A77"/>
    <w:rsid w:val="001A544B"/>
    <w:rsid w:val="001A547F"/>
    <w:rsid w:val="001A561F"/>
    <w:rsid w:val="001A6124"/>
    <w:rsid w:val="001A6228"/>
    <w:rsid w:val="001A6EC1"/>
    <w:rsid w:val="001A723A"/>
    <w:rsid w:val="001B17B1"/>
    <w:rsid w:val="001B1E29"/>
    <w:rsid w:val="001B2717"/>
    <w:rsid w:val="001B280E"/>
    <w:rsid w:val="001B30AD"/>
    <w:rsid w:val="001B3B91"/>
    <w:rsid w:val="001B412F"/>
    <w:rsid w:val="001B4AF2"/>
    <w:rsid w:val="001B4B12"/>
    <w:rsid w:val="001B5617"/>
    <w:rsid w:val="001C314A"/>
    <w:rsid w:val="001C3DB0"/>
    <w:rsid w:val="001C4915"/>
    <w:rsid w:val="001C614D"/>
    <w:rsid w:val="001C6EFB"/>
    <w:rsid w:val="001C75D5"/>
    <w:rsid w:val="001D0B50"/>
    <w:rsid w:val="001D1245"/>
    <w:rsid w:val="001D13C0"/>
    <w:rsid w:val="001D17A5"/>
    <w:rsid w:val="001D1986"/>
    <w:rsid w:val="001D1A99"/>
    <w:rsid w:val="001D22E2"/>
    <w:rsid w:val="001D28AC"/>
    <w:rsid w:val="001D3B22"/>
    <w:rsid w:val="001D3DB7"/>
    <w:rsid w:val="001D57F2"/>
    <w:rsid w:val="001D6728"/>
    <w:rsid w:val="001D6F89"/>
    <w:rsid w:val="001D7813"/>
    <w:rsid w:val="001D7E75"/>
    <w:rsid w:val="001E07D8"/>
    <w:rsid w:val="001E16FE"/>
    <w:rsid w:val="001E2D24"/>
    <w:rsid w:val="001E3CD1"/>
    <w:rsid w:val="001E3D7E"/>
    <w:rsid w:val="001E4117"/>
    <w:rsid w:val="001E41A3"/>
    <w:rsid w:val="001E5628"/>
    <w:rsid w:val="001E5D7D"/>
    <w:rsid w:val="001F0840"/>
    <w:rsid w:val="001F1D4E"/>
    <w:rsid w:val="001F4FC3"/>
    <w:rsid w:val="001F62A2"/>
    <w:rsid w:val="001F718D"/>
    <w:rsid w:val="001F798B"/>
    <w:rsid w:val="001F7B4E"/>
    <w:rsid w:val="002002DA"/>
    <w:rsid w:val="00200ED7"/>
    <w:rsid w:val="00202189"/>
    <w:rsid w:val="00202B8D"/>
    <w:rsid w:val="00203846"/>
    <w:rsid w:val="002041BC"/>
    <w:rsid w:val="0020434B"/>
    <w:rsid w:val="00206578"/>
    <w:rsid w:val="00206A28"/>
    <w:rsid w:val="002106E5"/>
    <w:rsid w:val="00210C1A"/>
    <w:rsid w:val="0021165B"/>
    <w:rsid w:val="00211763"/>
    <w:rsid w:val="00211B96"/>
    <w:rsid w:val="002135BA"/>
    <w:rsid w:val="00213ED3"/>
    <w:rsid w:val="00214550"/>
    <w:rsid w:val="00215A7B"/>
    <w:rsid w:val="00216B8A"/>
    <w:rsid w:val="0021746D"/>
    <w:rsid w:val="0022018B"/>
    <w:rsid w:val="00220406"/>
    <w:rsid w:val="00220710"/>
    <w:rsid w:val="00220B0A"/>
    <w:rsid w:val="002215CC"/>
    <w:rsid w:val="002227A2"/>
    <w:rsid w:val="0022356E"/>
    <w:rsid w:val="00223F15"/>
    <w:rsid w:val="00225D8E"/>
    <w:rsid w:val="002262AE"/>
    <w:rsid w:val="00231553"/>
    <w:rsid w:val="00231612"/>
    <w:rsid w:val="00233558"/>
    <w:rsid w:val="00234600"/>
    <w:rsid w:val="0023483C"/>
    <w:rsid w:val="002365F5"/>
    <w:rsid w:val="00241219"/>
    <w:rsid w:val="00243258"/>
    <w:rsid w:val="002444DB"/>
    <w:rsid w:val="0024558E"/>
    <w:rsid w:val="0024599E"/>
    <w:rsid w:val="00245BE3"/>
    <w:rsid w:val="00246074"/>
    <w:rsid w:val="00246570"/>
    <w:rsid w:val="00246623"/>
    <w:rsid w:val="0024670C"/>
    <w:rsid w:val="0024698C"/>
    <w:rsid w:val="00247206"/>
    <w:rsid w:val="00247F23"/>
    <w:rsid w:val="00250233"/>
    <w:rsid w:val="002518EA"/>
    <w:rsid w:val="00251C91"/>
    <w:rsid w:val="00251D3B"/>
    <w:rsid w:val="002549E9"/>
    <w:rsid w:val="00254AD5"/>
    <w:rsid w:val="00254B93"/>
    <w:rsid w:val="0025522A"/>
    <w:rsid w:val="00256DAB"/>
    <w:rsid w:val="002572CD"/>
    <w:rsid w:val="00260007"/>
    <w:rsid w:val="0026080C"/>
    <w:rsid w:val="00260FBB"/>
    <w:rsid w:val="00262268"/>
    <w:rsid w:val="00262780"/>
    <w:rsid w:val="00264399"/>
    <w:rsid w:val="00264A0D"/>
    <w:rsid w:val="00264BD0"/>
    <w:rsid w:val="0026565A"/>
    <w:rsid w:val="00266587"/>
    <w:rsid w:val="00266CBF"/>
    <w:rsid w:val="00270EA8"/>
    <w:rsid w:val="00272F58"/>
    <w:rsid w:val="002745EA"/>
    <w:rsid w:val="00275BAE"/>
    <w:rsid w:val="00276048"/>
    <w:rsid w:val="002760C1"/>
    <w:rsid w:val="00276842"/>
    <w:rsid w:val="00277296"/>
    <w:rsid w:val="00280A19"/>
    <w:rsid w:val="00281585"/>
    <w:rsid w:val="00281D66"/>
    <w:rsid w:val="00282C10"/>
    <w:rsid w:val="00283490"/>
    <w:rsid w:val="00283707"/>
    <w:rsid w:val="00283ED8"/>
    <w:rsid w:val="002855D1"/>
    <w:rsid w:val="002877C7"/>
    <w:rsid w:val="00290E5A"/>
    <w:rsid w:val="00290F72"/>
    <w:rsid w:val="00290F8C"/>
    <w:rsid w:val="00291A16"/>
    <w:rsid w:val="002937FE"/>
    <w:rsid w:val="00293BDD"/>
    <w:rsid w:val="0029484B"/>
    <w:rsid w:val="00294BC6"/>
    <w:rsid w:val="002952B5"/>
    <w:rsid w:val="0029582C"/>
    <w:rsid w:val="00297DEB"/>
    <w:rsid w:val="002A068A"/>
    <w:rsid w:val="002A073C"/>
    <w:rsid w:val="002A08CF"/>
    <w:rsid w:val="002A0B65"/>
    <w:rsid w:val="002A1EA5"/>
    <w:rsid w:val="002A2680"/>
    <w:rsid w:val="002A27DC"/>
    <w:rsid w:val="002A330A"/>
    <w:rsid w:val="002A38A5"/>
    <w:rsid w:val="002A3DF7"/>
    <w:rsid w:val="002A46E4"/>
    <w:rsid w:val="002A4C3B"/>
    <w:rsid w:val="002A57C2"/>
    <w:rsid w:val="002A5FA6"/>
    <w:rsid w:val="002A6563"/>
    <w:rsid w:val="002A68D6"/>
    <w:rsid w:val="002A6AA1"/>
    <w:rsid w:val="002B016B"/>
    <w:rsid w:val="002B0AB6"/>
    <w:rsid w:val="002B10B6"/>
    <w:rsid w:val="002B38F8"/>
    <w:rsid w:val="002B66AB"/>
    <w:rsid w:val="002B6735"/>
    <w:rsid w:val="002B7243"/>
    <w:rsid w:val="002C0E28"/>
    <w:rsid w:val="002C3B21"/>
    <w:rsid w:val="002C40C8"/>
    <w:rsid w:val="002C4566"/>
    <w:rsid w:val="002C592E"/>
    <w:rsid w:val="002C67A4"/>
    <w:rsid w:val="002C6DB3"/>
    <w:rsid w:val="002D15DB"/>
    <w:rsid w:val="002D4262"/>
    <w:rsid w:val="002D49D7"/>
    <w:rsid w:val="002D64A2"/>
    <w:rsid w:val="002D6577"/>
    <w:rsid w:val="002D7DCC"/>
    <w:rsid w:val="002E3060"/>
    <w:rsid w:val="002E3BB0"/>
    <w:rsid w:val="002E67F3"/>
    <w:rsid w:val="002E6AE2"/>
    <w:rsid w:val="002E6BE1"/>
    <w:rsid w:val="002E6CD6"/>
    <w:rsid w:val="002E721B"/>
    <w:rsid w:val="002F0796"/>
    <w:rsid w:val="002F0ACA"/>
    <w:rsid w:val="002F281C"/>
    <w:rsid w:val="002F35CA"/>
    <w:rsid w:val="002F4844"/>
    <w:rsid w:val="002F490C"/>
    <w:rsid w:val="002F787E"/>
    <w:rsid w:val="0030003B"/>
    <w:rsid w:val="00301050"/>
    <w:rsid w:val="003016D5"/>
    <w:rsid w:val="00301709"/>
    <w:rsid w:val="00301C61"/>
    <w:rsid w:val="00304295"/>
    <w:rsid w:val="00304754"/>
    <w:rsid w:val="003076CA"/>
    <w:rsid w:val="00310F22"/>
    <w:rsid w:val="00314B72"/>
    <w:rsid w:val="003158AC"/>
    <w:rsid w:val="0031673C"/>
    <w:rsid w:val="0032079B"/>
    <w:rsid w:val="00322236"/>
    <w:rsid w:val="00322CEE"/>
    <w:rsid w:val="0032327E"/>
    <w:rsid w:val="00323A54"/>
    <w:rsid w:val="0032408C"/>
    <w:rsid w:val="00324A19"/>
    <w:rsid w:val="00327150"/>
    <w:rsid w:val="003313C2"/>
    <w:rsid w:val="003313C3"/>
    <w:rsid w:val="00331848"/>
    <w:rsid w:val="00331EB2"/>
    <w:rsid w:val="00333888"/>
    <w:rsid w:val="003344D6"/>
    <w:rsid w:val="00335B41"/>
    <w:rsid w:val="00335D05"/>
    <w:rsid w:val="00337B7A"/>
    <w:rsid w:val="00340F17"/>
    <w:rsid w:val="00342788"/>
    <w:rsid w:val="00342C1E"/>
    <w:rsid w:val="00342CC7"/>
    <w:rsid w:val="00343541"/>
    <w:rsid w:val="00345620"/>
    <w:rsid w:val="00345EE9"/>
    <w:rsid w:val="0034655C"/>
    <w:rsid w:val="00350A42"/>
    <w:rsid w:val="00351A2D"/>
    <w:rsid w:val="00352FD6"/>
    <w:rsid w:val="00356A18"/>
    <w:rsid w:val="003607CB"/>
    <w:rsid w:val="0036201D"/>
    <w:rsid w:val="00363E3C"/>
    <w:rsid w:val="00364AAE"/>
    <w:rsid w:val="00365D77"/>
    <w:rsid w:val="00366686"/>
    <w:rsid w:val="00367496"/>
    <w:rsid w:val="003713E4"/>
    <w:rsid w:val="003723E2"/>
    <w:rsid w:val="00372E92"/>
    <w:rsid w:val="003730A6"/>
    <w:rsid w:val="00373151"/>
    <w:rsid w:val="003735C4"/>
    <w:rsid w:val="0037641D"/>
    <w:rsid w:val="00380579"/>
    <w:rsid w:val="00381B35"/>
    <w:rsid w:val="003849F8"/>
    <w:rsid w:val="003854BD"/>
    <w:rsid w:val="00385D54"/>
    <w:rsid w:val="003867CB"/>
    <w:rsid w:val="003876D0"/>
    <w:rsid w:val="00387EFA"/>
    <w:rsid w:val="00391A7C"/>
    <w:rsid w:val="00393C4E"/>
    <w:rsid w:val="00395F1E"/>
    <w:rsid w:val="00396CD2"/>
    <w:rsid w:val="003A017E"/>
    <w:rsid w:val="003A122C"/>
    <w:rsid w:val="003A1879"/>
    <w:rsid w:val="003A2150"/>
    <w:rsid w:val="003A24EB"/>
    <w:rsid w:val="003A2A2C"/>
    <w:rsid w:val="003A4D84"/>
    <w:rsid w:val="003A4E97"/>
    <w:rsid w:val="003A5879"/>
    <w:rsid w:val="003A70FF"/>
    <w:rsid w:val="003A7897"/>
    <w:rsid w:val="003A79C2"/>
    <w:rsid w:val="003A7A3F"/>
    <w:rsid w:val="003B0005"/>
    <w:rsid w:val="003B15C9"/>
    <w:rsid w:val="003B1F55"/>
    <w:rsid w:val="003B1FA8"/>
    <w:rsid w:val="003B2DA7"/>
    <w:rsid w:val="003B34FB"/>
    <w:rsid w:val="003B4975"/>
    <w:rsid w:val="003B56C0"/>
    <w:rsid w:val="003B593E"/>
    <w:rsid w:val="003B5B39"/>
    <w:rsid w:val="003B64F8"/>
    <w:rsid w:val="003C0428"/>
    <w:rsid w:val="003C04AD"/>
    <w:rsid w:val="003C35EE"/>
    <w:rsid w:val="003C3654"/>
    <w:rsid w:val="003C3DAC"/>
    <w:rsid w:val="003C4764"/>
    <w:rsid w:val="003C5811"/>
    <w:rsid w:val="003C720C"/>
    <w:rsid w:val="003D2503"/>
    <w:rsid w:val="003D25C9"/>
    <w:rsid w:val="003D3E7C"/>
    <w:rsid w:val="003D42E3"/>
    <w:rsid w:val="003D4BD6"/>
    <w:rsid w:val="003D51DC"/>
    <w:rsid w:val="003D6BA8"/>
    <w:rsid w:val="003D7997"/>
    <w:rsid w:val="003E073D"/>
    <w:rsid w:val="003E1B91"/>
    <w:rsid w:val="003E6162"/>
    <w:rsid w:val="003F0145"/>
    <w:rsid w:val="003F2345"/>
    <w:rsid w:val="003F499F"/>
    <w:rsid w:val="003F4E5F"/>
    <w:rsid w:val="003F608D"/>
    <w:rsid w:val="003F64A9"/>
    <w:rsid w:val="003F692B"/>
    <w:rsid w:val="003F7147"/>
    <w:rsid w:val="003F7AD7"/>
    <w:rsid w:val="00401840"/>
    <w:rsid w:val="00403449"/>
    <w:rsid w:val="00404742"/>
    <w:rsid w:val="004050C5"/>
    <w:rsid w:val="0040651B"/>
    <w:rsid w:val="00410682"/>
    <w:rsid w:val="00410F07"/>
    <w:rsid w:val="004122AB"/>
    <w:rsid w:val="00412587"/>
    <w:rsid w:val="0041265B"/>
    <w:rsid w:val="00413B66"/>
    <w:rsid w:val="00413F0A"/>
    <w:rsid w:val="00414858"/>
    <w:rsid w:val="00414F68"/>
    <w:rsid w:val="004167CF"/>
    <w:rsid w:val="004169BC"/>
    <w:rsid w:val="00417854"/>
    <w:rsid w:val="00420EB6"/>
    <w:rsid w:val="00422A7E"/>
    <w:rsid w:val="00423153"/>
    <w:rsid w:val="004233AD"/>
    <w:rsid w:val="0042380D"/>
    <w:rsid w:val="00423AF6"/>
    <w:rsid w:val="00423E00"/>
    <w:rsid w:val="004243C4"/>
    <w:rsid w:val="00424C48"/>
    <w:rsid w:val="00424D85"/>
    <w:rsid w:val="00425943"/>
    <w:rsid w:val="00425CFD"/>
    <w:rsid w:val="00426CB9"/>
    <w:rsid w:val="00427189"/>
    <w:rsid w:val="00427DD0"/>
    <w:rsid w:val="0043095F"/>
    <w:rsid w:val="00431633"/>
    <w:rsid w:val="00432B0E"/>
    <w:rsid w:val="00432B85"/>
    <w:rsid w:val="00433584"/>
    <w:rsid w:val="00434072"/>
    <w:rsid w:val="004342B5"/>
    <w:rsid w:val="004358B6"/>
    <w:rsid w:val="00435EAE"/>
    <w:rsid w:val="00437A65"/>
    <w:rsid w:val="00441963"/>
    <w:rsid w:val="00441DE6"/>
    <w:rsid w:val="00445DD9"/>
    <w:rsid w:val="0044678A"/>
    <w:rsid w:val="00447797"/>
    <w:rsid w:val="00447DE8"/>
    <w:rsid w:val="004510D4"/>
    <w:rsid w:val="004527E2"/>
    <w:rsid w:val="00453680"/>
    <w:rsid w:val="00454205"/>
    <w:rsid w:val="004544C1"/>
    <w:rsid w:val="00456EFD"/>
    <w:rsid w:val="00461057"/>
    <w:rsid w:val="00462B5B"/>
    <w:rsid w:val="00462CF7"/>
    <w:rsid w:val="004656A1"/>
    <w:rsid w:val="0046771E"/>
    <w:rsid w:val="00467F74"/>
    <w:rsid w:val="00474B7F"/>
    <w:rsid w:val="00475745"/>
    <w:rsid w:val="0047658C"/>
    <w:rsid w:val="00476DB0"/>
    <w:rsid w:val="004773E0"/>
    <w:rsid w:val="00480D47"/>
    <w:rsid w:val="004810D9"/>
    <w:rsid w:val="0048194C"/>
    <w:rsid w:val="004826BB"/>
    <w:rsid w:val="004827DE"/>
    <w:rsid w:val="00482B0E"/>
    <w:rsid w:val="00485E6A"/>
    <w:rsid w:val="0048641A"/>
    <w:rsid w:val="00487037"/>
    <w:rsid w:val="00490084"/>
    <w:rsid w:val="00490F92"/>
    <w:rsid w:val="0049154B"/>
    <w:rsid w:val="00494B31"/>
    <w:rsid w:val="00496C83"/>
    <w:rsid w:val="00497A4C"/>
    <w:rsid w:val="00497E87"/>
    <w:rsid w:val="004A1B2A"/>
    <w:rsid w:val="004A2786"/>
    <w:rsid w:val="004A364B"/>
    <w:rsid w:val="004A4882"/>
    <w:rsid w:val="004A4FF8"/>
    <w:rsid w:val="004A5A27"/>
    <w:rsid w:val="004A6DB9"/>
    <w:rsid w:val="004A75B7"/>
    <w:rsid w:val="004B03A3"/>
    <w:rsid w:val="004B09E5"/>
    <w:rsid w:val="004B0C68"/>
    <w:rsid w:val="004B0C77"/>
    <w:rsid w:val="004B23D7"/>
    <w:rsid w:val="004B369C"/>
    <w:rsid w:val="004B3DB9"/>
    <w:rsid w:val="004B7034"/>
    <w:rsid w:val="004C2253"/>
    <w:rsid w:val="004C366B"/>
    <w:rsid w:val="004C46FF"/>
    <w:rsid w:val="004C4BF8"/>
    <w:rsid w:val="004C526D"/>
    <w:rsid w:val="004C560A"/>
    <w:rsid w:val="004C5D28"/>
    <w:rsid w:val="004C5E89"/>
    <w:rsid w:val="004C6631"/>
    <w:rsid w:val="004D05BE"/>
    <w:rsid w:val="004D0E5C"/>
    <w:rsid w:val="004D133C"/>
    <w:rsid w:val="004D1948"/>
    <w:rsid w:val="004E139E"/>
    <w:rsid w:val="004E1AB2"/>
    <w:rsid w:val="004E21EE"/>
    <w:rsid w:val="004E265E"/>
    <w:rsid w:val="004E4840"/>
    <w:rsid w:val="004E4D87"/>
    <w:rsid w:val="004E5613"/>
    <w:rsid w:val="004E57C5"/>
    <w:rsid w:val="004E5F84"/>
    <w:rsid w:val="004E7EB2"/>
    <w:rsid w:val="004F28BC"/>
    <w:rsid w:val="004F54AD"/>
    <w:rsid w:val="004F6224"/>
    <w:rsid w:val="004F6AC2"/>
    <w:rsid w:val="00500409"/>
    <w:rsid w:val="005024F4"/>
    <w:rsid w:val="00502A82"/>
    <w:rsid w:val="005030FC"/>
    <w:rsid w:val="00505372"/>
    <w:rsid w:val="00512BE1"/>
    <w:rsid w:val="00512C56"/>
    <w:rsid w:val="00513DB5"/>
    <w:rsid w:val="00514285"/>
    <w:rsid w:val="005142C2"/>
    <w:rsid w:val="0051472B"/>
    <w:rsid w:val="00515191"/>
    <w:rsid w:val="00515F0F"/>
    <w:rsid w:val="00516200"/>
    <w:rsid w:val="00516696"/>
    <w:rsid w:val="00517AA7"/>
    <w:rsid w:val="005223BE"/>
    <w:rsid w:val="00522648"/>
    <w:rsid w:val="00522ABB"/>
    <w:rsid w:val="005244FB"/>
    <w:rsid w:val="00525516"/>
    <w:rsid w:val="00525CA4"/>
    <w:rsid w:val="005267E4"/>
    <w:rsid w:val="0052745F"/>
    <w:rsid w:val="00527853"/>
    <w:rsid w:val="00527E78"/>
    <w:rsid w:val="00531ADB"/>
    <w:rsid w:val="005343E6"/>
    <w:rsid w:val="005352D1"/>
    <w:rsid w:val="005354C1"/>
    <w:rsid w:val="0053623B"/>
    <w:rsid w:val="00536634"/>
    <w:rsid w:val="00536D66"/>
    <w:rsid w:val="00540143"/>
    <w:rsid w:val="005405BD"/>
    <w:rsid w:val="00540B8F"/>
    <w:rsid w:val="00542E63"/>
    <w:rsid w:val="005431BE"/>
    <w:rsid w:val="00543C1B"/>
    <w:rsid w:val="005457E2"/>
    <w:rsid w:val="005505A0"/>
    <w:rsid w:val="0055153E"/>
    <w:rsid w:val="00551B1D"/>
    <w:rsid w:val="0055342C"/>
    <w:rsid w:val="00556B76"/>
    <w:rsid w:val="0055740E"/>
    <w:rsid w:val="0056059B"/>
    <w:rsid w:val="00560FA7"/>
    <w:rsid w:val="005636D5"/>
    <w:rsid w:val="005663EA"/>
    <w:rsid w:val="00567053"/>
    <w:rsid w:val="005708FE"/>
    <w:rsid w:val="00571296"/>
    <w:rsid w:val="00571788"/>
    <w:rsid w:val="00571A9B"/>
    <w:rsid w:val="0057460A"/>
    <w:rsid w:val="00574614"/>
    <w:rsid w:val="0058069A"/>
    <w:rsid w:val="0058199F"/>
    <w:rsid w:val="005823E1"/>
    <w:rsid w:val="00583A9C"/>
    <w:rsid w:val="0058476F"/>
    <w:rsid w:val="00584775"/>
    <w:rsid w:val="0058492C"/>
    <w:rsid w:val="00586C5E"/>
    <w:rsid w:val="00587557"/>
    <w:rsid w:val="00590D0D"/>
    <w:rsid w:val="00592FFB"/>
    <w:rsid w:val="00593FA9"/>
    <w:rsid w:val="0059439D"/>
    <w:rsid w:val="005948ED"/>
    <w:rsid w:val="005951E3"/>
    <w:rsid w:val="0059568E"/>
    <w:rsid w:val="005956FD"/>
    <w:rsid w:val="0059652D"/>
    <w:rsid w:val="005A0B59"/>
    <w:rsid w:val="005A1486"/>
    <w:rsid w:val="005A19F2"/>
    <w:rsid w:val="005A1CF3"/>
    <w:rsid w:val="005A5435"/>
    <w:rsid w:val="005A6461"/>
    <w:rsid w:val="005A704F"/>
    <w:rsid w:val="005B02A2"/>
    <w:rsid w:val="005B08F8"/>
    <w:rsid w:val="005B1D1F"/>
    <w:rsid w:val="005B2336"/>
    <w:rsid w:val="005B2B90"/>
    <w:rsid w:val="005B2E43"/>
    <w:rsid w:val="005B509E"/>
    <w:rsid w:val="005B5AA9"/>
    <w:rsid w:val="005B75FC"/>
    <w:rsid w:val="005C0417"/>
    <w:rsid w:val="005C38BD"/>
    <w:rsid w:val="005C7A45"/>
    <w:rsid w:val="005C7D15"/>
    <w:rsid w:val="005D085D"/>
    <w:rsid w:val="005D17F6"/>
    <w:rsid w:val="005D321A"/>
    <w:rsid w:val="005D386E"/>
    <w:rsid w:val="005D3E8A"/>
    <w:rsid w:val="005D40D9"/>
    <w:rsid w:val="005D5ACD"/>
    <w:rsid w:val="005E1B8D"/>
    <w:rsid w:val="005E1F7C"/>
    <w:rsid w:val="005E745C"/>
    <w:rsid w:val="005F0420"/>
    <w:rsid w:val="005F175F"/>
    <w:rsid w:val="005F1AD8"/>
    <w:rsid w:val="005F2DE3"/>
    <w:rsid w:val="005F520A"/>
    <w:rsid w:val="005F6AC3"/>
    <w:rsid w:val="005F7262"/>
    <w:rsid w:val="00600106"/>
    <w:rsid w:val="0060052C"/>
    <w:rsid w:val="006031E9"/>
    <w:rsid w:val="0060493A"/>
    <w:rsid w:val="00605E24"/>
    <w:rsid w:val="006119AC"/>
    <w:rsid w:val="00611C2B"/>
    <w:rsid w:val="00612333"/>
    <w:rsid w:val="00613A01"/>
    <w:rsid w:val="006147A9"/>
    <w:rsid w:val="00614F83"/>
    <w:rsid w:val="006175B5"/>
    <w:rsid w:val="006176B2"/>
    <w:rsid w:val="00617A5C"/>
    <w:rsid w:val="00617E6E"/>
    <w:rsid w:val="00620648"/>
    <w:rsid w:val="006215AD"/>
    <w:rsid w:val="0062172A"/>
    <w:rsid w:val="00624B79"/>
    <w:rsid w:val="00625674"/>
    <w:rsid w:val="00630316"/>
    <w:rsid w:val="0063129B"/>
    <w:rsid w:val="00634CA3"/>
    <w:rsid w:val="00636907"/>
    <w:rsid w:val="00636BD2"/>
    <w:rsid w:val="006372C5"/>
    <w:rsid w:val="006400AF"/>
    <w:rsid w:val="00640296"/>
    <w:rsid w:val="0064194B"/>
    <w:rsid w:val="0064327C"/>
    <w:rsid w:val="0064360D"/>
    <w:rsid w:val="006445E4"/>
    <w:rsid w:val="006452BA"/>
    <w:rsid w:val="00645869"/>
    <w:rsid w:val="00646D09"/>
    <w:rsid w:val="00647324"/>
    <w:rsid w:val="0065077D"/>
    <w:rsid w:val="00651CD9"/>
    <w:rsid w:val="00652056"/>
    <w:rsid w:val="0065283E"/>
    <w:rsid w:val="00653B3D"/>
    <w:rsid w:val="00654502"/>
    <w:rsid w:val="006561C0"/>
    <w:rsid w:val="00657D72"/>
    <w:rsid w:val="00660DC2"/>
    <w:rsid w:val="00662404"/>
    <w:rsid w:val="00662CCB"/>
    <w:rsid w:val="00663FDE"/>
    <w:rsid w:val="00664185"/>
    <w:rsid w:val="0066437F"/>
    <w:rsid w:val="0066505A"/>
    <w:rsid w:val="00670599"/>
    <w:rsid w:val="00671069"/>
    <w:rsid w:val="006716F5"/>
    <w:rsid w:val="00671F49"/>
    <w:rsid w:val="00672951"/>
    <w:rsid w:val="0067375A"/>
    <w:rsid w:val="00673F93"/>
    <w:rsid w:val="00674EF1"/>
    <w:rsid w:val="00676181"/>
    <w:rsid w:val="00676A5A"/>
    <w:rsid w:val="006846C3"/>
    <w:rsid w:val="00684803"/>
    <w:rsid w:val="00684DA0"/>
    <w:rsid w:val="00684E7A"/>
    <w:rsid w:val="00685E0A"/>
    <w:rsid w:val="00685FD9"/>
    <w:rsid w:val="00687E1A"/>
    <w:rsid w:val="00690075"/>
    <w:rsid w:val="00690BFE"/>
    <w:rsid w:val="00690DA2"/>
    <w:rsid w:val="00692ACD"/>
    <w:rsid w:val="00692CF8"/>
    <w:rsid w:val="00692DFA"/>
    <w:rsid w:val="0069367A"/>
    <w:rsid w:val="006941D1"/>
    <w:rsid w:val="00694E26"/>
    <w:rsid w:val="0069543E"/>
    <w:rsid w:val="006962DC"/>
    <w:rsid w:val="00696301"/>
    <w:rsid w:val="00696B18"/>
    <w:rsid w:val="00696DDB"/>
    <w:rsid w:val="006A057F"/>
    <w:rsid w:val="006A065A"/>
    <w:rsid w:val="006A0825"/>
    <w:rsid w:val="006A0A4C"/>
    <w:rsid w:val="006A1791"/>
    <w:rsid w:val="006A1B4C"/>
    <w:rsid w:val="006A52C2"/>
    <w:rsid w:val="006A59E8"/>
    <w:rsid w:val="006A5B18"/>
    <w:rsid w:val="006B0CF4"/>
    <w:rsid w:val="006B0E53"/>
    <w:rsid w:val="006B270C"/>
    <w:rsid w:val="006B351B"/>
    <w:rsid w:val="006B3B42"/>
    <w:rsid w:val="006B3B64"/>
    <w:rsid w:val="006B3F98"/>
    <w:rsid w:val="006B66EE"/>
    <w:rsid w:val="006C0879"/>
    <w:rsid w:val="006C1279"/>
    <w:rsid w:val="006C684D"/>
    <w:rsid w:val="006D10DA"/>
    <w:rsid w:val="006D2D5F"/>
    <w:rsid w:val="006D3375"/>
    <w:rsid w:val="006D7C46"/>
    <w:rsid w:val="006E0F62"/>
    <w:rsid w:val="006E2934"/>
    <w:rsid w:val="006E32A4"/>
    <w:rsid w:val="006E39DA"/>
    <w:rsid w:val="006E419D"/>
    <w:rsid w:val="006E57D8"/>
    <w:rsid w:val="006F0139"/>
    <w:rsid w:val="006F30B1"/>
    <w:rsid w:val="006F3CB0"/>
    <w:rsid w:val="006F6EFF"/>
    <w:rsid w:val="006F7027"/>
    <w:rsid w:val="0070037A"/>
    <w:rsid w:val="007029A2"/>
    <w:rsid w:val="0070323D"/>
    <w:rsid w:val="00704E9B"/>
    <w:rsid w:val="00705708"/>
    <w:rsid w:val="00705FD1"/>
    <w:rsid w:val="007064B3"/>
    <w:rsid w:val="00706CC2"/>
    <w:rsid w:val="00707FBE"/>
    <w:rsid w:val="00710D7B"/>
    <w:rsid w:val="00711DD1"/>
    <w:rsid w:val="00712A28"/>
    <w:rsid w:val="0071481E"/>
    <w:rsid w:val="00714ABF"/>
    <w:rsid w:val="00715858"/>
    <w:rsid w:val="00715E46"/>
    <w:rsid w:val="007213A3"/>
    <w:rsid w:val="007214A1"/>
    <w:rsid w:val="0072322A"/>
    <w:rsid w:val="00723EC1"/>
    <w:rsid w:val="0072425C"/>
    <w:rsid w:val="007265FC"/>
    <w:rsid w:val="00726D2D"/>
    <w:rsid w:val="00727E41"/>
    <w:rsid w:val="007302DF"/>
    <w:rsid w:val="00731E89"/>
    <w:rsid w:val="007321F0"/>
    <w:rsid w:val="00732384"/>
    <w:rsid w:val="007327DD"/>
    <w:rsid w:val="00734121"/>
    <w:rsid w:val="00734CF6"/>
    <w:rsid w:val="007363E6"/>
    <w:rsid w:val="0074146D"/>
    <w:rsid w:val="007427DD"/>
    <w:rsid w:val="0074358B"/>
    <w:rsid w:val="007438A9"/>
    <w:rsid w:val="007438AD"/>
    <w:rsid w:val="00743FCE"/>
    <w:rsid w:val="00745292"/>
    <w:rsid w:val="00745CB4"/>
    <w:rsid w:val="00746BB7"/>
    <w:rsid w:val="00747905"/>
    <w:rsid w:val="00752E2A"/>
    <w:rsid w:val="00754D1F"/>
    <w:rsid w:val="00754F0F"/>
    <w:rsid w:val="00755B70"/>
    <w:rsid w:val="00757628"/>
    <w:rsid w:val="00757A1A"/>
    <w:rsid w:val="00757F2D"/>
    <w:rsid w:val="007602C8"/>
    <w:rsid w:val="00760E2A"/>
    <w:rsid w:val="00761096"/>
    <w:rsid w:val="00761912"/>
    <w:rsid w:val="00761F87"/>
    <w:rsid w:val="007642D1"/>
    <w:rsid w:val="007655EC"/>
    <w:rsid w:val="00765A24"/>
    <w:rsid w:val="00765C85"/>
    <w:rsid w:val="00765D06"/>
    <w:rsid w:val="007661E6"/>
    <w:rsid w:val="00766627"/>
    <w:rsid w:val="007668D7"/>
    <w:rsid w:val="00766C73"/>
    <w:rsid w:val="0077308B"/>
    <w:rsid w:val="0077614C"/>
    <w:rsid w:val="007764EB"/>
    <w:rsid w:val="007773B9"/>
    <w:rsid w:val="00777F34"/>
    <w:rsid w:val="00780DA8"/>
    <w:rsid w:val="007813AD"/>
    <w:rsid w:val="0078312F"/>
    <w:rsid w:val="007833DE"/>
    <w:rsid w:val="00784A51"/>
    <w:rsid w:val="00785E31"/>
    <w:rsid w:val="007862F4"/>
    <w:rsid w:val="00790B05"/>
    <w:rsid w:val="00790CBC"/>
    <w:rsid w:val="0079142A"/>
    <w:rsid w:val="00791AC8"/>
    <w:rsid w:val="00792649"/>
    <w:rsid w:val="0079417E"/>
    <w:rsid w:val="007946CA"/>
    <w:rsid w:val="00794AB7"/>
    <w:rsid w:val="007954A9"/>
    <w:rsid w:val="00795781"/>
    <w:rsid w:val="00795FC7"/>
    <w:rsid w:val="00796534"/>
    <w:rsid w:val="007978F1"/>
    <w:rsid w:val="007A228A"/>
    <w:rsid w:val="007A3543"/>
    <w:rsid w:val="007A375C"/>
    <w:rsid w:val="007A44B0"/>
    <w:rsid w:val="007A5D6F"/>
    <w:rsid w:val="007A697F"/>
    <w:rsid w:val="007A6E56"/>
    <w:rsid w:val="007B0EA9"/>
    <w:rsid w:val="007B1246"/>
    <w:rsid w:val="007B191A"/>
    <w:rsid w:val="007B2EC7"/>
    <w:rsid w:val="007B2EFE"/>
    <w:rsid w:val="007B3698"/>
    <w:rsid w:val="007B4836"/>
    <w:rsid w:val="007B53E5"/>
    <w:rsid w:val="007B5831"/>
    <w:rsid w:val="007B58A5"/>
    <w:rsid w:val="007B6D74"/>
    <w:rsid w:val="007B6DB7"/>
    <w:rsid w:val="007B72E2"/>
    <w:rsid w:val="007B743E"/>
    <w:rsid w:val="007C10CF"/>
    <w:rsid w:val="007C2BD5"/>
    <w:rsid w:val="007C400B"/>
    <w:rsid w:val="007C5977"/>
    <w:rsid w:val="007C5C93"/>
    <w:rsid w:val="007D0E80"/>
    <w:rsid w:val="007D28E2"/>
    <w:rsid w:val="007D3327"/>
    <w:rsid w:val="007D3863"/>
    <w:rsid w:val="007D5093"/>
    <w:rsid w:val="007D68C1"/>
    <w:rsid w:val="007D79E6"/>
    <w:rsid w:val="007E2863"/>
    <w:rsid w:val="007E2F65"/>
    <w:rsid w:val="007E578A"/>
    <w:rsid w:val="007E625E"/>
    <w:rsid w:val="007E6F36"/>
    <w:rsid w:val="007F25E4"/>
    <w:rsid w:val="007F2C25"/>
    <w:rsid w:val="007F539A"/>
    <w:rsid w:val="007F62D4"/>
    <w:rsid w:val="007F690C"/>
    <w:rsid w:val="007F73CA"/>
    <w:rsid w:val="007F7FAC"/>
    <w:rsid w:val="008016C1"/>
    <w:rsid w:val="0080244D"/>
    <w:rsid w:val="0080264D"/>
    <w:rsid w:val="00802A77"/>
    <w:rsid w:val="008036AB"/>
    <w:rsid w:val="0080371D"/>
    <w:rsid w:val="00803F0F"/>
    <w:rsid w:val="008044C3"/>
    <w:rsid w:val="00804525"/>
    <w:rsid w:val="00804622"/>
    <w:rsid w:val="00804A92"/>
    <w:rsid w:val="008058D0"/>
    <w:rsid w:val="00805D6C"/>
    <w:rsid w:val="00806E77"/>
    <w:rsid w:val="008076E5"/>
    <w:rsid w:val="00807EDA"/>
    <w:rsid w:val="008102EB"/>
    <w:rsid w:val="00811195"/>
    <w:rsid w:val="008125A6"/>
    <w:rsid w:val="008129C1"/>
    <w:rsid w:val="00814346"/>
    <w:rsid w:val="00814EC7"/>
    <w:rsid w:val="00815021"/>
    <w:rsid w:val="0081603F"/>
    <w:rsid w:val="00816092"/>
    <w:rsid w:val="0081675C"/>
    <w:rsid w:val="00816D29"/>
    <w:rsid w:val="00817FDE"/>
    <w:rsid w:val="00820C0F"/>
    <w:rsid w:val="00821505"/>
    <w:rsid w:val="008235B1"/>
    <w:rsid w:val="00823928"/>
    <w:rsid w:val="00825A75"/>
    <w:rsid w:val="00825A76"/>
    <w:rsid w:val="0082632B"/>
    <w:rsid w:val="0082795A"/>
    <w:rsid w:val="0083169E"/>
    <w:rsid w:val="00831B4C"/>
    <w:rsid w:val="00831C3E"/>
    <w:rsid w:val="00832412"/>
    <w:rsid w:val="0083269B"/>
    <w:rsid w:val="00834888"/>
    <w:rsid w:val="00837331"/>
    <w:rsid w:val="00840627"/>
    <w:rsid w:val="00840893"/>
    <w:rsid w:val="008424AF"/>
    <w:rsid w:val="008435F5"/>
    <w:rsid w:val="008440FA"/>
    <w:rsid w:val="0084432A"/>
    <w:rsid w:val="00851971"/>
    <w:rsid w:val="00851F37"/>
    <w:rsid w:val="00851F94"/>
    <w:rsid w:val="00852323"/>
    <w:rsid w:val="0085456A"/>
    <w:rsid w:val="00855F6B"/>
    <w:rsid w:val="00856633"/>
    <w:rsid w:val="00857AEE"/>
    <w:rsid w:val="00860FC1"/>
    <w:rsid w:val="00860FC2"/>
    <w:rsid w:val="008623D5"/>
    <w:rsid w:val="0086241B"/>
    <w:rsid w:val="00862C8C"/>
    <w:rsid w:val="00864335"/>
    <w:rsid w:val="008647F2"/>
    <w:rsid w:val="008664AE"/>
    <w:rsid w:val="00870BB2"/>
    <w:rsid w:val="00870CB6"/>
    <w:rsid w:val="008715F3"/>
    <w:rsid w:val="00875EAE"/>
    <w:rsid w:val="008766D7"/>
    <w:rsid w:val="008777F1"/>
    <w:rsid w:val="008823B6"/>
    <w:rsid w:val="00882FC2"/>
    <w:rsid w:val="00885D29"/>
    <w:rsid w:val="00886A0B"/>
    <w:rsid w:val="0089007E"/>
    <w:rsid w:val="0089020D"/>
    <w:rsid w:val="00890873"/>
    <w:rsid w:val="008938E6"/>
    <w:rsid w:val="00893B82"/>
    <w:rsid w:val="00893CC2"/>
    <w:rsid w:val="00895128"/>
    <w:rsid w:val="0089675B"/>
    <w:rsid w:val="008A0005"/>
    <w:rsid w:val="008A053A"/>
    <w:rsid w:val="008A13DF"/>
    <w:rsid w:val="008A41DE"/>
    <w:rsid w:val="008A5826"/>
    <w:rsid w:val="008A682E"/>
    <w:rsid w:val="008A7373"/>
    <w:rsid w:val="008A7B75"/>
    <w:rsid w:val="008A7F4B"/>
    <w:rsid w:val="008B1692"/>
    <w:rsid w:val="008B1C2E"/>
    <w:rsid w:val="008B3A96"/>
    <w:rsid w:val="008B4824"/>
    <w:rsid w:val="008B4B57"/>
    <w:rsid w:val="008B564A"/>
    <w:rsid w:val="008B5A32"/>
    <w:rsid w:val="008B6B2A"/>
    <w:rsid w:val="008C0049"/>
    <w:rsid w:val="008C2F7E"/>
    <w:rsid w:val="008C57E4"/>
    <w:rsid w:val="008C75C7"/>
    <w:rsid w:val="008C78BB"/>
    <w:rsid w:val="008C7BEB"/>
    <w:rsid w:val="008C7F8E"/>
    <w:rsid w:val="008D1571"/>
    <w:rsid w:val="008D3058"/>
    <w:rsid w:val="008D315E"/>
    <w:rsid w:val="008D31AF"/>
    <w:rsid w:val="008D524D"/>
    <w:rsid w:val="008D54DF"/>
    <w:rsid w:val="008D6C84"/>
    <w:rsid w:val="008D700D"/>
    <w:rsid w:val="008E2669"/>
    <w:rsid w:val="008E30FD"/>
    <w:rsid w:val="008E42B9"/>
    <w:rsid w:val="008E4568"/>
    <w:rsid w:val="008E466A"/>
    <w:rsid w:val="008E56C2"/>
    <w:rsid w:val="008E5B77"/>
    <w:rsid w:val="008E5C88"/>
    <w:rsid w:val="008E601E"/>
    <w:rsid w:val="008E79D2"/>
    <w:rsid w:val="008F0D57"/>
    <w:rsid w:val="008F16F9"/>
    <w:rsid w:val="008F2917"/>
    <w:rsid w:val="008F3747"/>
    <w:rsid w:val="008F3DCA"/>
    <w:rsid w:val="008F40D0"/>
    <w:rsid w:val="008F4A06"/>
    <w:rsid w:val="008F5FE0"/>
    <w:rsid w:val="008F795D"/>
    <w:rsid w:val="00901562"/>
    <w:rsid w:val="0090282F"/>
    <w:rsid w:val="00902AB2"/>
    <w:rsid w:val="00902E4B"/>
    <w:rsid w:val="00902F90"/>
    <w:rsid w:val="00905AFE"/>
    <w:rsid w:val="00907B94"/>
    <w:rsid w:val="00910E59"/>
    <w:rsid w:val="00913142"/>
    <w:rsid w:val="00913231"/>
    <w:rsid w:val="0091437E"/>
    <w:rsid w:val="00914FF9"/>
    <w:rsid w:val="00916182"/>
    <w:rsid w:val="009161CB"/>
    <w:rsid w:val="0091627A"/>
    <w:rsid w:val="009163B4"/>
    <w:rsid w:val="00920AFE"/>
    <w:rsid w:val="009212E1"/>
    <w:rsid w:val="009218BC"/>
    <w:rsid w:val="00924799"/>
    <w:rsid w:val="00925C27"/>
    <w:rsid w:val="009271F8"/>
    <w:rsid w:val="009273D4"/>
    <w:rsid w:val="00927957"/>
    <w:rsid w:val="009310F5"/>
    <w:rsid w:val="00931ABA"/>
    <w:rsid w:val="00933A67"/>
    <w:rsid w:val="00933A9C"/>
    <w:rsid w:val="00935A62"/>
    <w:rsid w:val="00935ADD"/>
    <w:rsid w:val="009364DE"/>
    <w:rsid w:val="00937298"/>
    <w:rsid w:val="00937647"/>
    <w:rsid w:val="00937A31"/>
    <w:rsid w:val="00940A8E"/>
    <w:rsid w:val="009423F2"/>
    <w:rsid w:val="0094272E"/>
    <w:rsid w:val="00942C3C"/>
    <w:rsid w:val="00944528"/>
    <w:rsid w:val="00944A9E"/>
    <w:rsid w:val="00945058"/>
    <w:rsid w:val="0094547A"/>
    <w:rsid w:val="0094639E"/>
    <w:rsid w:val="00946465"/>
    <w:rsid w:val="00946AC6"/>
    <w:rsid w:val="009515C9"/>
    <w:rsid w:val="00955020"/>
    <w:rsid w:val="00955C36"/>
    <w:rsid w:val="00955EE1"/>
    <w:rsid w:val="00956A63"/>
    <w:rsid w:val="009576BD"/>
    <w:rsid w:val="00957E1E"/>
    <w:rsid w:val="0096031F"/>
    <w:rsid w:val="0096053C"/>
    <w:rsid w:val="00961343"/>
    <w:rsid w:val="00961A44"/>
    <w:rsid w:val="00961E61"/>
    <w:rsid w:val="009622F4"/>
    <w:rsid w:val="00962815"/>
    <w:rsid w:val="00962995"/>
    <w:rsid w:val="00962BA7"/>
    <w:rsid w:val="009660CE"/>
    <w:rsid w:val="009665CF"/>
    <w:rsid w:val="00970131"/>
    <w:rsid w:val="0097056C"/>
    <w:rsid w:val="00971826"/>
    <w:rsid w:val="009719C3"/>
    <w:rsid w:val="00971F1C"/>
    <w:rsid w:val="009725E3"/>
    <w:rsid w:val="00973B96"/>
    <w:rsid w:val="00975188"/>
    <w:rsid w:val="0097653D"/>
    <w:rsid w:val="00977480"/>
    <w:rsid w:val="00977586"/>
    <w:rsid w:val="0098039B"/>
    <w:rsid w:val="0098112D"/>
    <w:rsid w:val="00981934"/>
    <w:rsid w:val="009819A0"/>
    <w:rsid w:val="00982575"/>
    <w:rsid w:val="00983431"/>
    <w:rsid w:val="009840C9"/>
    <w:rsid w:val="00984F87"/>
    <w:rsid w:val="00985B66"/>
    <w:rsid w:val="009931FA"/>
    <w:rsid w:val="009946CD"/>
    <w:rsid w:val="00996421"/>
    <w:rsid w:val="0099679E"/>
    <w:rsid w:val="009A2040"/>
    <w:rsid w:val="009A221B"/>
    <w:rsid w:val="009A3446"/>
    <w:rsid w:val="009A67B6"/>
    <w:rsid w:val="009B0FAD"/>
    <w:rsid w:val="009B0FCA"/>
    <w:rsid w:val="009B26BA"/>
    <w:rsid w:val="009B3478"/>
    <w:rsid w:val="009B4522"/>
    <w:rsid w:val="009B47B2"/>
    <w:rsid w:val="009C0C79"/>
    <w:rsid w:val="009C1180"/>
    <w:rsid w:val="009C2C59"/>
    <w:rsid w:val="009C2C63"/>
    <w:rsid w:val="009C3C42"/>
    <w:rsid w:val="009C4257"/>
    <w:rsid w:val="009C52B9"/>
    <w:rsid w:val="009C5723"/>
    <w:rsid w:val="009C7DA9"/>
    <w:rsid w:val="009D0F66"/>
    <w:rsid w:val="009D2891"/>
    <w:rsid w:val="009D29D6"/>
    <w:rsid w:val="009D6F1F"/>
    <w:rsid w:val="009D7A66"/>
    <w:rsid w:val="009D7B57"/>
    <w:rsid w:val="009E08FF"/>
    <w:rsid w:val="009E11DD"/>
    <w:rsid w:val="009E3DFA"/>
    <w:rsid w:val="009E3FF8"/>
    <w:rsid w:val="009E44AF"/>
    <w:rsid w:val="009E45A3"/>
    <w:rsid w:val="009F0638"/>
    <w:rsid w:val="009F1369"/>
    <w:rsid w:val="009F1683"/>
    <w:rsid w:val="009F16A3"/>
    <w:rsid w:val="009F16DA"/>
    <w:rsid w:val="009F2327"/>
    <w:rsid w:val="009F2F77"/>
    <w:rsid w:val="009F34B0"/>
    <w:rsid w:val="009F39F4"/>
    <w:rsid w:val="009F4AC7"/>
    <w:rsid w:val="009F6156"/>
    <w:rsid w:val="009F624A"/>
    <w:rsid w:val="009F627E"/>
    <w:rsid w:val="009F6F16"/>
    <w:rsid w:val="00A00156"/>
    <w:rsid w:val="00A00BE8"/>
    <w:rsid w:val="00A01C93"/>
    <w:rsid w:val="00A0212A"/>
    <w:rsid w:val="00A0271E"/>
    <w:rsid w:val="00A02ADA"/>
    <w:rsid w:val="00A03104"/>
    <w:rsid w:val="00A034B2"/>
    <w:rsid w:val="00A05EE0"/>
    <w:rsid w:val="00A06B2E"/>
    <w:rsid w:val="00A11118"/>
    <w:rsid w:val="00A11FDD"/>
    <w:rsid w:val="00A123E1"/>
    <w:rsid w:val="00A1299A"/>
    <w:rsid w:val="00A13CB0"/>
    <w:rsid w:val="00A140D5"/>
    <w:rsid w:val="00A1609B"/>
    <w:rsid w:val="00A179CC"/>
    <w:rsid w:val="00A21A97"/>
    <w:rsid w:val="00A21EF3"/>
    <w:rsid w:val="00A2444E"/>
    <w:rsid w:val="00A25BD8"/>
    <w:rsid w:val="00A264AD"/>
    <w:rsid w:val="00A26E2C"/>
    <w:rsid w:val="00A272BB"/>
    <w:rsid w:val="00A273E8"/>
    <w:rsid w:val="00A27A67"/>
    <w:rsid w:val="00A306A4"/>
    <w:rsid w:val="00A308A4"/>
    <w:rsid w:val="00A31C6D"/>
    <w:rsid w:val="00A321D3"/>
    <w:rsid w:val="00A33F4F"/>
    <w:rsid w:val="00A3465C"/>
    <w:rsid w:val="00A34AF1"/>
    <w:rsid w:val="00A3579A"/>
    <w:rsid w:val="00A35E4F"/>
    <w:rsid w:val="00A41A16"/>
    <w:rsid w:val="00A41AB2"/>
    <w:rsid w:val="00A41B93"/>
    <w:rsid w:val="00A45212"/>
    <w:rsid w:val="00A45F7D"/>
    <w:rsid w:val="00A46AE5"/>
    <w:rsid w:val="00A47052"/>
    <w:rsid w:val="00A50D27"/>
    <w:rsid w:val="00A5240E"/>
    <w:rsid w:val="00A52879"/>
    <w:rsid w:val="00A5347A"/>
    <w:rsid w:val="00A5391E"/>
    <w:rsid w:val="00A5446E"/>
    <w:rsid w:val="00A54B6D"/>
    <w:rsid w:val="00A554FF"/>
    <w:rsid w:val="00A55A06"/>
    <w:rsid w:val="00A55C72"/>
    <w:rsid w:val="00A5670C"/>
    <w:rsid w:val="00A56FEE"/>
    <w:rsid w:val="00A57390"/>
    <w:rsid w:val="00A6082D"/>
    <w:rsid w:val="00A60989"/>
    <w:rsid w:val="00A62C6C"/>
    <w:rsid w:val="00A6339F"/>
    <w:rsid w:val="00A63862"/>
    <w:rsid w:val="00A64B4F"/>
    <w:rsid w:val="00A6537A"/>
    <w:rsid w:val="00A659E2"/>
    <w:rsid w:val="00A66148"/>
    <w:rsid w:val="00A668FC"/>
    <w:rsid w:val="00A66E83"/>
    <w:rsid w:val="00A675E2"/>
    <w:rsid w:val="00A67CF7"/>
    <w:rsid w:val="00A71CFD"/>
    <w:rsid w:val="00A72562"/>
    <w:rsid w:val="00A72863"/>
    <w:rsid w:val="00A74DB6"/>
    <w:rsid w:val="00A74E71"/>
    <w:rsid w:val="00A75686"/>
    <w:rsid w:val="00A7704C"/>
    <w:rsid w:val="00A80207"/>
    <w:rsid w:val="00A822DC"/>
    <w:rsid w:val="00A8337F"/>
    <w:rsid w:val="00A84701"/>
    <w:rsid w:val="00A86630"/>
    <w:rsid w:val="00A9097E"/>
    <w:rsid w:val="00A91AC7"/>
    <w:rsid w:val="00A93988"/>
    <w:rsid w:val="00A94352"/>
    <w:rsid w:val="00A9456D"/>
    <w:rsid w:val="00A945B7"/>
    <w:rsid w:val="00A95C65"/>
    <w:rsid w:val="00A95F02"/>
    <w:rsid w:val="00AA05F8"/>
    <w:rsid w:val="00AA1665"/>
    <w:rsid w:val="00AA2567"/>
    <w:rsid w:val="00AA258D"/>
    <w:rsid w:val="00AA3234"/>
    <w:rsid w:val="00AA3B72"/>
    <w:rsid w:val="00AA5136"/>
    <w:rsid w:val="00AA6011"/>
    <w:rsid w:val="00AA74BA"/>
    <w:rsid w:val="00AB2EAD"/>
    <w:rsid w:val="00AB412E"/>
    <w:rsid w:val="00AB5449"/>
    <w:rsid w:val="00AB566D"/>
    <w:rsid w:val="00AB704E"/>
    <w:rsid w:val="00AB799A"/>
    <w:rsid w:val="00AC0978"/>
    <w:rsid w:val="00AC1646"/>
    <w:rsid w:val="00AC187C"/>
    <w:rsid w:val="00AC1BDD"/>
    <w:rsid w:val="00AC215A"/>
    <w:rsid w:val="00AC3466"/>
    <w:rsid w:val="00AC3F00"/>
    <w:rsid w:val="00AC5395"/>
    <w:rsid w:val="00AC5EAA"/>
    <w:rsid w:val="00AC710A"/>
    <w:rsid w:val="00AC767F"/>
    <w:rsid w:val="00AC77CC"/>
    <w:rsid w:val="00AC7BE0"/>
    <w:rsid w:val="00AC7C90"/>
    <w:rsid w:val="00AD13D7"/>
    <w:rsid w:val="00AD4665"/>
    <w:rsid w:val="00AD57CC"/>
    <w:rsid w:val="00AD6081"/>
    <w:rsid w:val="00AD65E0"/>
    <w:rsid w:val="00AE0AC8"/>
    <w:rsid w:val="00AE0B32"/>
    <w:rsid w:val="00AE1241"/>
    <w:rsid w:val="00AE2516"/>
    <w:rsid w:val="00AE5591"/>
    <w:rsid w:val="00AE5780"/>
    <w:rsid w:val="00AE59AF"/>
    <w:rsid w:val="00AE6309"/>
    <w:rsid w:val="00AE744B"/>
    <w:rsid w:val="00AE7794"/>
    <w:rsid w:val="00AF0342"/>
    <w:rsid w:val="00AF0C85"/>
    <w:rsid w:val="00AF10D0"/>
    <w:rsid w:val="00AF2C90"/>
    <w:rsid w:val="00AF3F3D"/>
    <w:rsid w:val="00AF4334"/>
    <w:rsid w:val="00AF545B"/>
    <w:rsid w:val="00AF7CD2"/>
    <w:rsid w:val="00B013E3"/>
    <w:rsid w:val="00B02B3C"/>
    <w:rsid w:val="00B048BC"/>
    <w:rsid w:val="00B07452"/>
    <w:rsid w:val="00B076C0"/>
    <w:rsid w:val="00B1052F"/>
    <w:rsid w:val="00B10C05"/>
    <w:rsid w:val="00B123AC"/>
    <w:rsid w:val="00B134F0"/>
    <w:rsid w:val="00B13B5E"/>
    <w:rsid w:val="00B14704"/>
    <w:rsid w:val="00B14826"/>
    <w:rsid w:val="00B16AF1"/>
    <w:rsid w:val="00B16E7D"/>
    <w:rsid w:val="00B22AD7"/>
    <w:rsid w:val="00B2566E"/>
    <w:rsid w:val="00B27204"/>
    <w:rsid w:val="00B30806"/>
    <w:rsid w:val="00B31A7C"/>
    <w:rsid w:val="00B31D84"/>
    <w:rsid w:val="00B32FB9"/>
    <w:rsid w:val="00B3339A"/>
    <w:rsid w:val="00B333B6"/>
    <w:rsid w:val="00B334F1"/>
    <w:rsid w:val="00B34E3D"/>
    <w:rsid w:val="00B35770"/>
    <w:rsid w:val="00B3606D"/>
    <w:rsid w:val="00B370FD"/>
    <w:rsid w:val="00B37374"/>
    <w:rsid w:val="00B40C5F"/>
    <w:rsid w:val="00B44299"/>
    <w:rsid w:val="00B452AE"/>
    <w:rsid w:val="00B4718B"/>
    <w:rsid w:val="00B4796B"/>
    <w:rsid w:val="00B503A5"/>
    <w:rsid w:val="00B52213"/>
    <w:rsid w:val="00B53231"/>
    <w:rsid w:val="00B53A1C"/>
    <w:rsid w:val="00B53C9D"/>
    <w:rsid w:val="00B55F4C"/>
    <w:rsid w:val="00B5704C"/>
    <w:rsid w:val="00B6064B"/>
    <w:rsid w:val="00B62B9C"/>
    <w:rsid w:val="00B6322E"/>
    <w:rsid w:val="00B63F21"/>
    <w:rsid w:val="00B72E42"/>
    <w:rsid w:val="00B730DD"/>
    <w:rsid w:val="00B735F1"/>
    <w:rsid w:val="00B73A9F"/>
    <w:rsid w:val="00B73CA0"/>
    <w:rsid w:val="00B747FB"/>
    <w:rsid w:val="00B766FA"/>
    <w:rsid w:val="00B7682F"/>
    <w:rsid w:val="00B76ACC"/>
    <w:rsid w:val="00B7758F"/>
    <w:rsid w:val="00B77B48"/>
    <w:rsid w:val="00B80F8D"/>
    <w:rsid w:val="00B8212A"/>
    <w:rsid w:val="00B837C7"/>
    <w:rsid w:val="00B84799"/>
    <w:rsid w:val="00B86A0E"/>
    <w:rsid w:val="00B86C39"/>
    <w:rsid w:val="00B8709F"/>
    <w:rsid w:val="00B91C6A"/>
    <w:rsid w:val="00B92012"/>
    <w:rsid w:val="00B928F6"/>
    <w:rsid w:val="00B92DF6"/>
    <w:rsid w:val="00B937B6"/>
    <w:rsid w:val="00B940A8"/>
    <w:rsid w:val="00B946B0"/>
    <w:rsid w:val="00B94DDF"/>
    <w:rsid w:val="00B952E8"/>
    <w:rsid w:val="00B956B7"/>
    <w:rsid w:val="00B95C60"/>
    <w:rsid w:val="00B95EBA"/>
    <w:rsid w:val="00B967BD"/>
    <w:rsid w:val="00B9696A"/>
    <w:rsid w:val="00B97A9E"/>
    <w:rsid w:val="00B97EEF"/>
    <w:rsid w:val="00BA0A07"/>
    <w:rsid w:val="00BA3934"/>
    <w:rsid w:val="00BA50F3"/>
    <w:rsid w:val="00BA5529"/>
    <w:rsid w:val="00BA59CF"/>
    <w:rsid w:val="00BB1019"/>
    <w:rsid w:val="00BB16B3"/>
    <w:rsid w:val="00BB21B7"/>
    <w:rsid w:val="00BB27E5"/>
    <w:rsid w:val="00BB2AF0"/>
    <w:rsid w:val="00BB30D5"/>
    <w:rsid w:val="00BB4079"/>
    <w:rsid w:val="00BB6ABD"/>
    <w:rsid w:val="00BB7313"/>
    <w:rsid w:val="00BC1224"/>
    <w:rsid w:val="00BC2F9B"/>
    <w:rsid w:val="00BC5A62"/>
    <w:rsid w:val="00BC7502"/>
    <w:rsid w:val="00BD0E21"/>
    <w:rsid w:val="00BD15D7"/>
    <w:rsid w:val="00BD1740"/>
    <w:rsid w:val="00BD3F7D"/>
    <w:rsid w:val="00BD4DD3"/>
    <w:rsid w:val="00BD7224"/>
    <w:rsid w:val="00BE1BAC"/>
    <w:rsid w:val="00BE1D46"/>
    <w:rsid w:val="00BE1DB1"/>
    <w:rsid w:val="00BE3B33"/>
    <w:rsid w:val="00BE3FB9"/>
    <w:rsid w:val="00BE5AE5"/>
    <w:rsid w:val="00BE71AA"/>
    <w:rsid w:val="00BF27CF"/>
    <w:rsid w:val="00BF3496"/>
    <w:rsid w:val="00BF4151"/>
    <w:rsid w:val="00BF4265"/>
    <w:rsid w:val="00BF6B08"/>
    <w:rsid w:val="00BF6D4D"/>
    <w:rsid w:val="00BF724F"/>
    <w:rsid w:val="00C01637"/>
    <w:rsid w:val="00C02B76"/>
    <w:rsid w:val="00C02BF1"/>
    <w:rsid w:val="00C036D8"/>
    <w:rsid w:val="00C0382A"/>
    <w:rsid w:val="00C0396F"/>
    <w:rsid w:val="00C04165"/>
    <w:rsid w:val="00C04D64"/>
    <w:rsid w:val="00C06441"/>
    <w:rsid w:val="00C11049"/>
    <w:rsid w:val="00C126C0"/>
    <w:rsid w:val="00C13E05"/>
    <w:rsid w:val="00C15023"/>
    <w:rsid w:val="00C16E6D"/>
    <w:rsid w:val="00C202D9"/>
    <w:rsid w:val="00C20F6B"/>
    <w:rsid w:val="00C24712"/>
    <w:rsid w:val="00C262D2"/>
    <w:rsid w:val="00C26572"/>
    <w:rsid w:val="00C30124"/>
    <w:rsid w:val="00C30698"/>
    <w:rsid w:val="00C31D63"/>
    <w:rsid w:val="00C325FF"/>
    <w:rsid w:val="00C32D64"/>
    <w:rsid w:val="00C34052"/>
    <w:rsid w:val="00C3457F"/>
    <w:rsid w:val="00C34A3B"/>
    <w:rsid w:val="00C34E3D"/>
    <w:rsid w:val="00C3647F"/>
    <w:rsid w:val="00C36AE0"/>
    <w:rsid w:val="00C370F1"/>
    <w:rsid w:val="00C37D5B"/>
    <w:rsid w:val="00C4024B"/>
    <w:rsid w:val="00C40F55"/>
    <w:rsid w:val="00C435CC"/>
    <w:rsid w:val="00C43BEC"/>
    <w:rsid w:val="00C4454A"/>
    <w:rsid w:val="00C45C15"/>
    <w:rsid w:val="00C47A51"/>
    <w:rsid w:val="00C47DBF"/>
    <w:rsid w:val="00C506A7"/>
    <w:rsid w:val="00C51B10"/>
    <w:rsid w:val="00C51ECE"/>
    <w:rsid w:val="00C52E37"/>
    <w:rsid w:val="00C534D8"/>
    <w:rsid w:val="00C5401C"/>
    <w:rsid w:val="00C55413"/>
    <w:rsid w:val="00C56078"/>
    <w:rsid w:val="00C56ADA"/>
    <w:rsid w:val="00C56C83"/>
    <w:rsid w:val="00C578F6"/>
    <w:rsid w:val="00C57921"/>
    <w:rsid w:val="00C60C28"/>
    <w:rsid w:val="00C61C7B"/>
    <w:rsid w:val="00C6240B"/>
    <w:rsid w:val="00C627BB"/>
    <w:rsid w:val="00C62D7F"/>
    <w:rsid w:val="00C64616"/>
    <w:rsid w:val="00C64EED"/>
    <w:rsid w:val="00C6506E"/>
    <w:rsid w:val="00C65C41"/>
    <w:rsid w:val="00C65F2E"/>
    <w:rsid w:val="00C66BF2"/>
    <w:rsid w:val="00C66E9E"/>
    <w:rsid w:val="00C67B31"/>
    <w:rsid w:val="00C73481"/>
    <w:rsid w:val="00C75D9A"/>
    <w:rsid w:val="00C8000C"/>
    <w:rsid w:val="00C81ADC"/>
    <w:rsid w:val="00C81D16"/>
    <w:rsid w:val="00C838B5"/>
    <w:rsid w:val="00C84002"/>
    <w:rsid w:val="00C843D0"/>
    <w:rsid w:val="00C8467F"/>
    <w:rsid w:val="00C84EEF"/>
    <w:rsid w:val="00C862EE"/>
    <w:rsid w:val="00C86790"/>
    <w:rsid w:val="00C87A3B"/>
    <w:rsid w:val="00C90371"/>
    <w:rsid w:val="00C9087F"/>
    <w:rsid w:val="00C91CEB"/>
    <w:rsid w:val="00C93BBD"/>
    <w:rsid w:val="00C942FE"/>
    <w:rsid w:val="00C94C24"/>
    <w:rsid w:val="00CA03CB"/>
    <w:rsid w:val="00CA098E"/>
    <w:rsid w:val="00CA1832"/>
    <w:rsid w:val="00CA2C1A"/>
    <w:rsid w:val="00CA5E9A"/>
    <w:rsid w:val="00CA7404"/>
    <w:rsid w:val="00CB05E1"/>
    <w:rsid w:val="00CB07E8"/>
    <w:rsid w:val="00CB39B4"/>
    <w:rsid w:val="00CB4365"/>
    <w:rsid w:val="00CB45BA"/>
    <w:rsid w:val="00CB4A50"/>
    <w:rsid w:val="00CC0682"/>
    <w:rsid w:val="00CC1A24"/>
    <w:rsid w:val="00CC1DEC"/>
    <w:rsid w:val="00CC2B7A"/>
    <w:rsid w:val="00CC3ACB"/>
    <w:rsid w:val="00CC478A"/>
    <w:rsid w:val="00CC571E"/>
    <w:rsid w:val="00CC61A6"/>
    <w:rsid w:val="00CC6C2A"/>
    <w:rsid w:val="00CC73B8"/>
    <w:rsid w:val="00CD1532"/>
    <w:rsid w:val="00CD1EA8"/>
    <w:rsid w:val="00CD2F93"/>
    <w:rsid w:val="00CD3E66"/>
    <w:rsid w:val="00CD44AB"/>
    <w:rsid w:val="00CD5B93"/>
    <w:rsid w:val="00CD5C79"/>
    <w:rsid w:val="00CE02B0"/>
    <w:rsid w:val="00CE116E"/>
    <w:rsid w:val="00CE2541"/>
    <w:rsid w:val="00CE2C58"/>
    <w:rsid w:val="00CE4F96"/>
    <w:rsid w:val="00CE78C3"/>
    <w:rsid w:val="00CE7D01"/>
    <w:rsid w:val="00CF124E"/>
    <w:rsid w:val="00CF2072"/>
    <w:rsid w:val="00CF2082"/>
    <w:rsid w:val="00CF69DF"/>
    <w:rsid w:val="00CF6E6B"/>
    <w:rsid w:val="00D00271"/>
    <w:rsid w:val="00D00C72"/>
    <w:rsid w:val="00D017DD"/>
    <w:rsid w:val="00D01F82"/>
    <w:rsid w:val="00D0237D"/>
    <w:rsid w:val="00D04619"/>
    <w:rsid w:val="00D04EF5"/>
    <w:rsid w:val="00D05063"/>
    <w:rsid w:val="00D0528B"/>
    <w:rsid w:val="00D05DA4"/>
    <w:rsid w:val="00D062FA"/>
    <w:rsid w:val="00D062FE"/>
    <w:rsid w:val="00D07134"/>
    <w:rsid w:val="00D07256"/>
    <w:rsid w:val="00D07D11"/>
    <w:rsid w:val="00D11BD0"/>
    <w:rsid w:val="00D145FC"/>
    <w:rsid w:val="00D157F1"/>
    <w:rsid w:val="00D16738"/>
    <w:rsid w:val="00D17200"/>
    <w:rsid w:val="00D17222"/>
    <w:rsid w:val="00D17544"/>
    <w:rsid w:val="00D216E3"/>
    <w:rsid w:val="00D2248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349A4"/>
    <w:rsid w:val="00D36794"/>
    <w:rsid w:val="00D3755A"/>
    <w:rsid w:val="00D41A7F"/>
    <w:rsid w:val="00D41CE6"/>
    <w:rsid w:val="00D42C72"/>
    <w:rsid w:val="00D47970"/>
    <w:rsid w:val="00D5232F"/>
    <w:rsid w:val="00D53B40"/>
    <w:rsid w:val="00D53D5A"/>
    <w:rsid w:val="00D547C9"/>
    <w:rsid w:val="00D55565"/>
    <w:rsid w:val="00D55D3D"/>
    <w:rsid w:val="00D565D4"/>
    <w:rsid w:val="00D5673C"/>
    <w:rsid w:val="00D608A3"/>
    <w:rsid w:val="00D61268"/>
    <w:rsid w:val="00D61A38"/>
    <w:rsid w:val="00D63317"/>
    <w:rsid w:val="00D63BBD"/>
    <w:rsid w:val="00D6507D"/>
    <w:rsid w:val="00D65096"/>
    <w:rsid w:val="00D67824"/>
    <w:rsid w:val="00D7036B"/>
    <w:rsid w:val="00D71769"/>
    <w:rsid w:val="00D72805"/>
    <w:rsid w:val="00D72865"/>
    <w:rsid w:val="00D74590"/>
    <w:rsid w:val="00D759A0"/>
    <w:rsid w:val="00D76450"/>
    <w:rsid w:val="00D76560"/>
    <w:rsid w:val="00D7713D"/>
    <w:rsid w:val="00D82CCF"/>
    <w:rsid w:val="00D85404"/>
    <w:rsid w:val="00D864CE"/>
    <w:rsid w:val="00D914F3"/>
    <w:rsid w:val="00D92FC9"/>
    <w:rsid w:val="00D930D4"/>
    <w:rsid w:val="00D94ADD"/>
    <w:rsid w:val="00DA056D"/>
    <w:rsid w:val="00DA07EF"/>
    <w:rsid w:val="00DA157C"/>
    <w:rsid w:val="00DA19A3"/>
    <w:rsid w:val="00DA2768"/>
    <w:rsid w:val="00DA31DC"/>
    <w:rsid w:val="00DA44C8"/>
    <w:rsid w:val="00DA4CF8"/>
    <w:rsid w:val="00DA4D76"/>
    <w:rsid w:val="00DA54AF"/>
    <w:rsid w:val="00DA5CC8"/>
    <w:rsid w:val="00DA781F"/>
    <w:rsid w:val="00DA7B9E"/>
    <w:rsid w:val="00DB1537"/>
    <w:rsid w:val="00DB178A"/>
    <w:rsid w:val="00DB4A98"/>
    <w:rsid w:val="00DB5FB3"/>
    <w:rsid w:val="00DB61D5"/>
    <w:rsid w:val="00DC0548"/>
    <w:rsid w:val="00DC0D2B"/>
    <w:rsid w:val="00DC0DF5"/>
    <w:rsid w:val="00DC30B1"/>
    <w:rsid w:val="00DC3EEB"/>
    <w:rsid w:val="00DC3F6E"/>
    <w:rsid w:val="00DC435D"/>
    <w:rsid w:val="00DC5238"/>
    <w:rsid w:val="00DC5396"/>
    <w:rsid w:val="00DC58E9"/>
    <w:rsid w:val="00DC68E3"/>
    <w:rsid w:val="00DD071C"/>
    <w:rsid w:val="00DD171A"/>
    <w:rsid w:val="00DD1942"/>
    <w:rsid w:val="00DD2080"/>
    <w:rsid w:val="00DD2455"/>
    <w:rsid w:val="00DD3075"/>
    <w:rsid w:val="00DD4CB7"/>
    <w:rsid w:val="00DD635E"/>
    <w:rsid w:val="00DD73BE"/>
    <w:rsid w:val="00DE079A"/>
    <w:rsid w:val="00DE08B9"/>
    <w:rsid w:val="00DE29CF"/>
    <w:rsid w:val="00DE2ACB"/>
    <w:rsid w:val="00DE48AA"/>
    <w:rsid w:val="00DE4B2A"/>
    <w:rsid w:val="00DE6BC6"/>
    <w:rsid w:val="00DF05E5"/>
    <w:rsid w:val="00DF6585"/>
    <w:rsid w:val="00DF6939"/>
    <w:rsid w:val="00DF77AD"/>
    <w:rsid w:val="00E01B3B"/>
    <w:rsid w:val="00E04C12"/>
    <w:rsid w:val="00E054F7"/>
    <w:rsid w:val="00E06B04"/>
    <w:rsid w:val="00E10EC9"/>
    <w:rsid w:val="00E12A20"/>
    <w:rsid w:val="00E13A27"/>
    <w:rsid w:val="00E13D31"/>
    <w:rsid w:val="00E148DD"/>
    <w:rsid w:val="00E14AEB"/>
    <w:rsid w:val="00E15398"/>
    <w:rsid w:val="00E161C0"/>
    <w:rsid w:val="00E16ACB"/>
    <w:rsid w:val="00E16D6F"/>
    <w:rsid w:val="00E16DBD"/>
    <w:rsid w:val="00E21D4F"/>
    <w:rsid w:val="00E22492"/>
    <w:rsid w:val="00E22524"/>
    <w:rsid w:val="00E2252B"/>
    <w:rsid w:val="00E22544"/>
    <w:rsid w:val="00E22773"/>
    <w:rsid w:val="00E234E5"/>
    <w:rsid w:val="00E255B4"/>
    <w:rsid w:val="00E2688B"/>
    <w:rsid w:val="00E27129"/>
    <w:rsid w:val="00E2728B"/>
    <w:rsid w:val="00E27297"/>
    <w:rsid w:val="00E276D6"/>
    <w:rsid w:val="00E31646"/>
    <w:rsid w:val="00E32843"/>
    <w:rsid w:val="00E32E75"/>
    <w:rsid w:val="00E33B61"/>
    <w:rsid w:val="00E34700"/>
    <w:rsid w:val="00E34990"/>
    <w:rsid w:val="00E34BEA"/>
    <w:rsid w:val="00E410D8"/>
    <w:rsid w:val="00E4248D"/>
    <w:rsid w:val="00E435AD"/>
    <w:rsid w:val="00E4480A"/>
    <w:rsid w:val="00E45F8D"/>
    <w:rsid w:val="00E46538"/>
    <w:rsid w:val="00E468D2"/>
    <w:rsid w:val="00E47E03"/>
    <w:rsid w:val="00E50F4C"/>
    <w:rsid w:val="00E51E91"/>
    <w:rsid w:val="00E52A33"/>
    <w:rsid w:val="00E53B95"/>
    <w:rsid w:val="00E5461F"/>
    <w:rsid w:val="00E54669"/>
    <w:rsid w:val="00E54F5E"/>
    <w:rsid w:val="00E56554"/>
    <w:rsid w:val="00E577B9"/>
    <w:rsid w:val="00E57BDF"/>
    <w:rsid w:val="00E57F83"/>
    <w:rsid w:val="00E6032E"/>
    <w:rsid w:val="00E615C8"/>
    <w:rsid w:val="00E629C1"/>
    <w:rsid w:val="00E62B79"/>
    <w:rsid w:val="00E66A25"/>
    <w:rsid w:val="00E66F7C"/>
    <w:rsid w:val="00E710C9"/>
    <w:rsid w:val="00E714DD"/>
    <w:rsid w:val="00E7249D"/>
    <w:rsid w:val="00E73855"/>
    <w:rsid w:val="00E73F54"/>
    <w:rsid w:val="00E7563A"/>
    <w:rsid w:val="00E758D9"/>
    <w:rsid w:val="00E76B77"/>
    <w:rsid w:val="00E77481"/>
    <w:rsid w:val="00E80322"/>
    <w:rsid w:val="00E813B9"/>
    <w:rsid w:val="00E819B6"/>
    <w:rsid w:val="00E81F47"/>
    <w:rsid w:val="00E82A7B"/>
    <w:rsid w:val="00E82BE2"/>
    <w:rsid w:val="00E82BFD"/>
    <w:rsid w:val="00E83F3C"/>
    <w:rsid w:val="00E860DB"/>
    <w:rsid w:val="00E9003F"/>
    <w:rsid w:val="00E92423"/>
    <w:rsid w:val="00E935B2"/>
    <w:rsid w:val="00E93A22"/>
    <w:rsid w:val="00E94E64"/>
    <w:rsid w:val="00E95340"/>
    <w:rsid w:val="00E95906"/>
    <w:rsid w:val="00E95D20"/>
    <w:rsid w:val="00E9694E"/>
    <w:rsid w:val="00E9787B"/>
    <w:rsid w:val="00E978A5"/>
    <w:rsid w:val="00EA2B77"/>
    <w:rsid w:val="00EA35BA"/>
    <w:rsid w:val="00EA47FF"/>
    <w:rsid w:val="00EA5210"/>
    <w:rsid w:val="00EA62D7"/>
    <w:rsid w:val="00EB0C6D"/>
    <w:rsid w:val="00EB122B"/>
    <w:rsid w:val="00EB1B40"/>
    <w:rsid w:val="00EB37C1"/>
    <w:rsid w:val="00EB6B50"/>
    <w:rsid w:val="00EB7183"/>
    <w:rsid w:val="00EC0950"/>
    <w:rsid w:val="00EC0DDF"/>
    <w:rsid w:val="00EC130E"/>
    <w:rsid w:val="00EC1372"/>
    <w:rsid w:val="00EC26E6"/>
    <w:rsid w:val="00EC309C"/>
    <w:rsid w:val="00EC3122"/>
    <w:rsid w:val="00EC32BE"/>
    <w:rsid w:val="00EC42B6"/>
    <w:rsid w:val="00EC4D30"/>
    <w:rsid w:val="00EC5810"/>
    <w:rsid w:val="00EC6230"/>
    <w:rsid w:val="00EC6C1C"/>
    <w:rsid w:val="00EC7044"/>
    <w:rsid w:val="00ED1753"/>
    <w:rsid w:val="00ED2C7C"/>
    <w:rsid w:val="00ED6779"/>
    <w:rsid w:val="00ED7131"/>
    <w:rsid w:val="00ED7821"/>
    <w:rsid w:val="00EE1837"/>
    <w:rsid w:val="00EE19EF"/>
    <w:rsid w:val="00EE2E90"/>
    <w:rsid w:val="00EE35DE"/>
    <w:rsid w:val="00EE3EC7"/>
    <w:rsid w:val="00EE4397"/>
    <w:rsid w:val="00EE47E5"/>
    <w:rsid w:val="00EE4E97"/>
    <w:rsid w:val="00EE6CA5"/>
    <w:rsid w:val="00EE7024"/>
    <w:rsid w:val="00EE7554"/>
    <w:rsid w:val="00EF0124"/>
    <w:rsid w:val="00EF0824"/>
    <w:rsid w:val="00EF0CE5"/>
    <w:rsid w:val="00EF1B60"/>
    <w:rsid w:val="00EF254A"/>
    <w:rsid w:val="00EF30F1"/>
    <w:rsid w:val="00EF4F90"/>
    <w:rsid w:val="00EF5182"/>
    <w:rsid w:val="00EF5839"/>
    <w:rsid w:val="00EF5E08"/>
    <w:rsid w:val="00EF6F8A"/>
    <w:rsid w:val="00EF729E"/>
    <w:rsid w:val="00F0073D"/>
    <w:rsid w:val="00F01230"/>
    <w:rsid w:val="00F013DE"/>
    <w:rsid w:val="00F03A30"/>
    <w:rsid w:val="00F04052"/>
    <w:rsid w:val="00F04CAB"/>
    <w:rsid w:val="00F11FBC"/>
    <w:rsid w:val="00F122B6"/>
    <w:rsid w:val="00F12A38"/>
    <w:rsid w:val="00F13A93"/>
    <w:rsid w:val="00F13ED0"/>
    <w:rsid w:val="00F14374"/>
    <w:rsid w:val="00F17811"/>
    <w:rsid w:val="00F210C4"/>
    <w:rsid w:val="00F21898"/>
    <w:rsid w:val="00F21A50"/>
    <w:rsid w:val="00F23FF6"/>
    <w:rsid w:val="00F250E1"/>
    <w:rsid w:val="00F2558E"/>
    <w:rsid w:val="00F26273"/>
    <w:rsid w:val="00F268F7"/>
    <w:rsid w:val="00F26CFB"/>
    <w:rsid w:val="00F26E0A"/>
    <w:rsid w:val="00F30CC8"/>
    <w:rsid w:val="00F31B22"/>
    <w:rsid w:val="00F31D4F"/>
    <w:rsid w:val="00F34657"/>
    <w:rsid w:val="00F34B8B"/>
    <w:rsid w:val="00F3522B"/>
    <w:rsid w:val="00F355FB"/>
    <w:rsid w:val="00F37265"/>
    <w:rsid w:val="00F40DCF"/>
    <w:rsid w:val="00F424DA"/>
    <w:rsid w:val="00F42AD1"/>
    <w:rsid w:val="00F43764"/>
    <w:rsid w:val="00F446CD"/>
    <w:rsid w:val="00F44A2C"/>
    <w:rsid w:val="00F4510A"/>
    <w:rsid w:val="00F466BA"/>
    <w:rsid w:val="00F46DE6"/>
    <w:rsid w:val="00F47D41"/>
    <w:rsid w:val="00F506E3"/>
    <w:rsid w:val="00F50FD5"/>
    <w:rsid w:val="00F515FB"/>
    <w:rsid w:val="00F52128"/>
    <w:rsid w:val="00F52638"/>
    <w:rsid w:val="00F53172"/>
    <w:rsid w:val="00F5404A"/>
    <w:rsid w:val="00F553B0"/>
    <w:rsid w:val="00F55561"/>
    <w:rsid w:val="00F56002"/>
    <w:rsid w:val="00F57A7B"/>
    <w:rsid w:val="00F61F67"/>
    <w:rsid w:val="00F629BC"/>
    <w:rsid w:val="00F62C5B"/>
    <w:rsid w:val="00F62EB2"/>
    <w:rsid w:val="00F6365D"/>
    <w:rsid w:val="00F6375C"/>
    <w:rsid w:val="00F64FE9"/>
    <w:rsid w:val="00F65890"/>
    <w:rsid w:val="00F709B4"/>
    <w:rsid w:val="00F70A26"/>
    <w:rsid w:val="00F71C93"/>
    <w:rsid w:val="00F73811"/>
    <w:rsid w:val="00F74700"/>
    <w:rsid w:val="00F7576E"/>
    <w:rsid w:val="00F75863"/>
    <w:rsid w:val="00F759D1"/>
    <w:rsid w:val="00F7764F"/>
    <w:rsid w:val="00F776C4"/>
    <w:rsid w:val="00F77B3A"/>
    <w:rsid w:val="00F80BE1"/>
    <w:rsid w:val="00F81EA8"/>
    <w:rsid w:val="00F81F8D"/>
    <w:rsid w:val="00F83916"/>
    <w:rsid w:val="00F83E6D"/>
    <w:rsid w:val="00F84D67"/>
    <w:rsid w:val="00F8529C"/>
    <w:rsid w:val="00F86FE3"/>
    <w:rsid w:val="00F9033A"/>
    <w:rsid w:val="00F90381"/>
    <w:rsid w:val="00F93A35"/>
    <w:rsid w:val="00F9452A"/>
    <w:rsid w:val="00F949D7"/>
    <w:rsid w:val="00F9580A"/>
    <w:rsid w:val="00F963D0"/>
    <w:rsid w:val="00F96740"/>
    <w:rsid w:val="00FA2034"/>
    <w:rsid w:val="00FA2705"/>
    <w:rsid w:val="00FA3166"/>
    <w:rsid w:val="00FA41BA"/>
    <w:rsid w:val="00FA5990"/>
    <w:rsid w:val="00FA68ED"/>
    <w:rsid w:val="00FA7B7C"/>
    <w:rsid w:val="00FB0761"/>
    <w:rsid w:val="00FB0787"/>
    <w:rsid w:val="00FB2287"/>
    <w:rsid w:val="00FB27B0"/>
    <w:rsid w:val="00FB3238"/>
    <w:rsid w:val="00FB5172"/>
    <w:rsid w:val="00FB69C4"/>
    <w:rsid w:val="00FC026F"/>
    <w:rsid w:val="00FC05BD"/>
    <w:rsid w:val="00FC1903"/>
    <w:rsid w:val="00FD02F9"/>
    <w:rsid w:val="00FD05D4"/>
    <w:rsid w:val="00FD1252"/>
    <w:rsid w:val="00FD2D5C"/>
    <w:rsid w:val="00FD58A1"/>
    <w:rsid w:val="00FD6351"/>
    <w:rsid w:val="00FD689E"/>
    <w:rsid w:val="00FE0B98"/>
    <w:rsid w:val="00FE1FEC"/>
    <w:rsid w:val="00FE2273"/>
    <w:rsid w:val="00FE259F"/>
    <w:rsid w:val="00FE315B"/>
    <w:rsid w:val="00FE324F"/>
    <w:rsid w:val="00FE32F0"/>
    <w:rsid w:val="00FE50DE"/>
    <w:rsid w:val="00FE587B"/>
    <w:rsid w:val="00FE6417"/>
    <w:rsid w:val="00FE6B73"/>
    <w:rsid w:val="00FE771F"/>
    <w:rsid w:val="00FE7E70"/>
    <w:rsid w:val="00FE7F9B"/>
    <w:rsid w:val="00FF0711"/>
    <w:rsid w:val="00FF2C47"/>
    <w:rsid w:val="00FF33E7"/>
    <w:rsid w:val="00FF514D"/>
    <w:rsid w:val="00FF5C03"/>
    <w:rsid w:val="00FF611B"/>
    <w:rsid w:val="00FF61AE"/>
    <w:rsid w:val="00FF6CB2"/>
    <w:rsid w:val="00FF73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739"/>
  <w15:docId w15:val="{D5BB03A6-42FC-4E28-AE37-2D953680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EBA"/>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9"/>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99"/>
    <w:qFormat/>
    <w:rsid w:val="003A7897"/>
    <w:pPr>
      <w:numPr>
        <w:numId w:val="4"/>
      </w:numPr>
      <w:ind w:left="624" w:hanging="284"/>
    </w:pPr>
  </w:style>
  <w:style w:type="character" w:customStyle="1" w:styleId="bullet2Char">
    <w:name w:val="bullet 2 Char"/>
    <w:basedOn w:val="DefaultParagraphFont"/>
    <w:link w:val="bullet2"/>
    <w:uiPriority w:val="99"/>
    <w:locked/>
    <w:rsid w:val="00B95EBA"/>
    <w:rPr>
      <w:rFonts w:ascii="Calibri" w:hAnsi="Calibri" w:cs="Arial"/>
      <w:sz w:val="20"/>
      <w:szCs w:val="20"/>
      <w:lang w:eastAsia="en-US"/>
    </w:rPr>
  </w:style>
  <w:style w:type="paragraph" w:customStyle="1" w:styleId="bullet3">
    <w:name w:val="bullet 3"/>
    <w:basedOn w:val="Normal"/>
    <w:link w:val="bullet3Char"/>
    <w:uiPriority w:val="5"/>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ReferencestootherSOPsQCDs">
    <w:name w:val="References to other SOPs/QCDs"/>
    <w:basedOn w:val="Instructions"/>
    <w:next w:val="Normal"/>
    <w:link w:val="ReferencestootherSOPsQCDsChar"/>
    <w:rsid w:val="009F1683"/>
    <w:pPr>
      <w:jc w:val="left"/>
    </w:pPr>
    <w:rPr>
      <w:color w:val="943634"/>
    </w:rPr>
  </w:style>
  <w:style w:type="character" w:customStyle="1" w:styleId="ReferencestootherSOPsQCDsChar">
    <w:name w:val="References to other SOPs/QCDs Char"/>
    <w:basedOn w:val="InstructionsChar"/>
    <w:link w:val="ReferencestootherSOPsQCDs"/>
    <w:rsid w:val="009F1683"/>
    <w:rPr>
      <w:rFonts w:ascii="Calibri" w:hAnsi="Calibri" w:cs="Arial"/>
      <w:i/>
      <w:iCs/>
      <w:color w:val="94363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2.xml"/><Relationship Id="rId42" Type="http://schemas.openxmlformats.org/officeDocument/2006/relationships/hyperlink" Target="mailto:researchgovernance@contacts.bham.ac.uk" TargetMode="External"/><Relationship Id="rId47" Type="http://schemas.openxmlformats.org/officeDocument/2006/relationships/hyperlink" Target="mailto:newbusiness@trials.bham.ac.uk" TargetMode="External"/><Relationship Id="rId63" Type="http://schemas.openxmlformats.org/officeDocument/2006/relationships/hyperlink" Target="https://www.gov.uk/guidance/advanced-therapy-medicinal-products-regulation-and-licensing" TargetMode="External"/><Relationship Id="rId68" Type="http://schemas.openxmlformats.org/officeDocument/2006/relationships/hyperlink" Target="https://www.gov.uk/guidance/clinical-trials-for-medicines-collection-verification-reporting-of-safety-events" TargetMode="External"/><Relationship Id="rId16" Type="http://schemas.openxmlformats.org/officeDocument/2006/relationships/hyperlink" Target="https://www.hra.nhs.uk/planning-and-improving-research/policies-standards-legislation/uk-policy-framework-health-social-care-research/" TargetMode="Externa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footer" Target="footer4.xml"/><Relationship Id="rId32" Type="http://schemas.openxmlformats.org/officeDocument/2006/relationships/hyperlink" Target="https://www.gov.uk/guidance/clinical-trials-for-medicines-collection-verification-reporting-of-safety-events" TargetMode="External"/><Relationship Id="rId37" Type="http://schemas.openxmlformats.org/officeDocument/2006/relationships/hyperlink" Target="https://www.iso.org/standard/71690.html" TargetMode="External"/><Relationship Id="rId40" Type="http://schemas.openxmlformats.org/officeDocument/2006/relationships/hyperlink" Target="https://www.gov.uk/guidance/clinical-trials-for-medicines-manage-your-authorisation-report-safety-issues" TargetMode="External"/><Relationship Id="rId45" Type="http://schemas.openxmlformats.org/officeDocument/2006/relationships/hyperlink" Target="https://www.hra.nhs.uk/about-us/news-updates/important-changes-progress-and-safety-reports/" TargetMode="External"/><Relationship Id="rId53" Type="http://schemas.openxmlformats.org/officeDocument/2006/relationships/hyperlink" Target="https://ec.europa.eu/docsroom/documents/16477/attachments/1/translations/en/renditions/native" TargetMode="External"/><Relationship Id="rId58" Type="http://schemas.openxmlformats.org/officeDocument/2006/relationships/hyperlink" Target="https://www.hra.nhs.uk/planning-and-improving-research/policies-standards-legislation/uk-policy-framework-health-social-care-research/uk-policy-framework-health-and-social-care-research/" TargetMode="External"/><Relationship Id="rId66" Type="http://schemas.openxmlformats.org/officeDocument/2006/relationships/hyperlink" Target="https://assets.publishing.service.gov.uk/media/68dab7988c1db6022d0c9eba/Fig1._RSI_for_DSUR.pdf" TargetMode="External"/><Relationship Id="rId74" Type="http://schemas.openxmlformats.org/officeDocument/2006/relationships/hyperlink" Target="https://www.birmingham.ac.uk/Documents/research/rssd/uob-sponsor-apr.docx"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icsrsubmissions.mhra.gov.uk/login" TargetMode="External"/><Relationship Id="rId1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3.emf"/><Relationship Id="rId30" Type="http://schemas.openxmlformats.org/officeDocument/2006/relationships/hyperlink" Target="https://www.ich.org/page/efficacy-guidelines" TargetMode="External"/><Relationship Id="rId35" Type="http://schemas.openxmlformats.org/officeDocument/2006/relationships/hyperlink" Target="https://www.hra.nhs.uk/approvals-amendments/managing-your-approval/" TargetMode="External"/><Relationship Id="rId43" Type="http://schemas.openxmlformats.org/officeDocument/2006/relationships/hyperlink" Target="https://www.gov.uk/guidance/clinical-trials-for-medicines-manage-your-authorisation-report-safety-issues" TargetMode="External"/><Relationship Id="rId48" Type="http://schemas.openxmlformats.org/officeDocument/2006/relationships/hyperlink" Target="https://www.gov.uk/guidance/clinical-trials-for-medicines-collection-verification-reporting-of-safety-events" TargetMode="External"/><Relationship Id="rId56" Type="http://schemas.openxmlformats.org/officeDocument/2006/relationships/hyperlink" Target="https://www.hra.nhs.uk/about-us/news-updates/important-changes-progress-and-safety-reports/" TargetMode="External"/><Relationship Id="rId64" Type="http://schemas.openxmlformats.org/officeDocument/2006/relationships/hyperlink" Target="https://www.gov.uk/guidance/clinical-trials-for-medicines-manage-your-authorisation-report-safety-issues" TargetMode="External"/><Relationship Id="rId69" Type="http://schemas.openxmlformats.org/officeDocument/2006/relationships/hyperlink" Target="https://www.gov.uk/government/uploads/system/uploads/attachment_data/file/343677/Risk-adapted_approaches_to_the_management_of_clinical_trials_of_investigational_medicinal_products.pdf" TargetMode="External"/><Relationship Id="rId77" Type="http://schemas.openxmlformats.org/officeDocument/2006/relationships/hyperlink" Target="mailto:crct@contacts.bham.ac.uk" TargetMode="External"/><Relationship Id="rId8" Type="http://schemas.openxmlformats.org/officeDocument/2006/relationships/webSettings" Target="webSettings.xml"/><Relationship Id="rId51" Type="http://schemas.openxmlformats.org/officeDocument/2006/relationships/hyperlink" Target="https://www.birmingham.ac.uk/research/activity/mds/mds-rkto/governance/index.aspx" TargetMode="External"/><Relationship Id="rId72" Type="http://schemas.openxmlformats.org/officeDocument/2006/relationships/hyperlink" Target="https://www.legislation.gov.uk/uksi/2002/618/conten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gov.uk/uksi/2004/1031/contents" TargetMode="External"/><Relationship Id="rId25" Type="http://schemas.openxmlformats.org/officeDocument/2006/relationships/header" Target="header4.xml"/><Relationship Id="rId33" Type="http://schemas.openxmlformats.org/officeDocument/2006/relationships/hyperlink" Target="https://www.birmingham.ac.uk/Documents/university/legal/research.pdf" TargetMode="External"/><Relationship Id="rId38" Type="http://schemas.openxmlformats.org/officeDocument/2006/relationships/hyperlink" Target="https://ec.europa.eu/docsroom/documents/16477/attachments/1/translations/en/renditions/native" TargetMode="External"/><Relationship Id="rId46" Type="http://schemas.openxmlformats.org/officeDocument/2006/relationships/hyperlink" Target="mailto:s.j.bowden@bham.ac.uk" TargetMode="External"/><Relationship Id="rId59" Type="http://schemas.openxmlformats.org/officeDocument/2006/relationships/hyperlink" Target="https://www.ich.org/page/efficacy-guidelines" TargetMode="External"/><Relationship Id="rId67" Type="http://schemas.openxmlformats.org/officeDocument/2006/relationships/hyperlink" Target="https://www.gov.uk/guidance/clinical-trials-for-medicines-collection-verification-reporting-of-safety-events" TargetMode="External"/><Relationship Id="rId20" Type="http://schemas.openxmlformats.org/officeDocument/2006/relationships/package" Target="embeddings/Microsoft_Visio_Drawing.vsdx"/><Relationship Id="rId41" Type="http://schemas.openxmlformats.org/officeDocument/2006/relationships/hyperlink" Target="https://www.birmingham.ac.uk/Documents/research/rssd/uob-sponsor-apr.docx" TargetMode="External"/><Relationship Id="rId54" Type="http://schemas.openxmlformats.org/officeDocument/2006/relationships/hyperlink" Target="https://ec.europa.eu/docsroom/documents/16477/attachments/2/translations/en/renditions/pdf" TargetMode="External"/><Relationship Id="rId62" Type="http://schemas.openxmlformats.org/officeDocument/2006/relationships/hyperlink" Target="https://www.gov.uk/government/publications/report-a-non-compliant-medical-device-enforcement-process" TargetMode="External"/><Relationship Id="rId70" Type="http://schemas.openxmlformats.org/officeDocument/2006/relationships/hyperlink" Target="http://www.ct-toolkit.ac.uk/routemap/safety-reporting/" TargetMode="External"/><Relationship Id="rId75" Type="http://schemas.openxmlformats.org/officeDocument/2006/relationships/hyperlink" Target="https://www.birmingham.ac.uk/Documents/university/legal/research.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irmingham.ac.uk/Documents/university/legal/research.pdf" TargetMode="External"/><Relationship Id="rId23" Type="http://schemas.openxmlformats.org/officeDocument/2006/relationships/footer" Target="footer3.xml"/><Relationship Id="rId28" Type="http://schemas.openxmlformats.org/officeDocument/2006/relationships/package" Target="embeddings/Microsoft_Visio_Drawing1.vsdx"/><Relationship Id="rId36" Type="http://schemas.openxmlformats.org/officeDocument/2006/relationships/hyperlink" Target="https://www.hra.nhs.uk/about-us/news-updates/important-changes-progress-and-safety-reports/" TargetMode="External"/><Relationship Id="rId49" Type="http://schemas.openxmlformats.org/officeDocument/2006/relationships/hyperlink" Target="https://www.gov.uk/guidance/clinical-trials-for-medicines-collection-verification-reporting-of-safety-events" TargetMode="External"/><Relationship Id="rId57" Type="http://schemas.openxmlformats.org/officeDocument/2006/relationships/hyperlink" Target="https://www.hra.nhs.uk/documents/2466/Non_CTIMP_Safety_Report_Form_Accessible_September_2020_AA.odt" TargetMode="External"/><Relationship Id="rId10" Type="http://schemas.openxmlformats.org/officeDocument/2006/relationships/endnotes" Target="endnotes.xml"/><Relationship Id="rId31" Type="http://schemas.openxmlformats.org/officeDocument/2006/relationships/hyperlink" Target="https://ec.europa.eu/docsroom/documents/16477/attachments/2/translations/en/renditions/pdf" TargetMode="External"/><Relationship Id="rId44" Type="http://schemas.openxmlformats.org/officeDocument/2006/relationships/hyperlink" Target="https://database.ich.org/sites/default/files/E2F_Guideline.pdf" TargetMode="External"/><Relationship Id="rId52" Type="http://schemas.openxmlformats.org/officeDocument/2006/relationships/hyperlink" Target="https://bsol.bsigroup.com/" TargetMode="External"/><Relationship Id="rId60" Type="http://schemas.openxmlformats.org/officeDocument/2006/relationships/hyperlink" Target="https://www.ich.org/page/efficacy-guidelines" TargetMode="External"/><Relationship Id="rId65" Type="http://schemas.openxmlformats.org/officeDocument/2006/relationships/hyperlink" Target="https://www.gov.uk/guidance/notify-mhra-about-a-clinical-investigation-for-a-medical-device" TargetMode="External"/><Relationship Id="rId73" Type="http://schemas.openxmlformats.org/officeDocument/2006/relationships/hyperlink" Target="https://www.legislation.gov.uk/uksi/2004/1031/content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legislation.gov.uk/uksi/2002/618/contents/made" TargetMode="External"/><Relationship Id="rId39" Type="http://schemas.openxmlformats.org/officeDocument/2006/relationships/hyperlink" Target="https://www.hra.nhs.uk/approvals-amendments/managing-your-approval/safety-reporting/" TargetMode="External"/><Relationship Id="rId34" Type="http://schemas.openxmlformats.org/officeDocument/2006/relationships/hyperlink" Target="https://www.hra.nhs.uk/documents/2466/Non_CTIMP_Safety_Report_Form_Accessible_September_2020_AA.odt" TargetMode="External"/><Relationship Id="rId50" Type="http://schemas.openxmlformats.org/officeDocument/2006/relationships/hyperlink" Target="https://assets.publishing.service.gov.uk/media/68dab7988c1db6022d0c9eba/Fig1._RSI_for_DSUR.pdf" TargetMode="External"/><Relationship Id="rId55" Type="http://schemas.openxmlformats.org/officeDocument/2006/relationships/hyperlink" Target="https://www.hra.nhs.uk/approvals-amendments/managing-your-approval/safety-reporting/" TargetMode="External"/><Relationship Id="rId76" Type="http://schemas.openxmlformats.org/officeDocument/2006/relationships/hyperlink" Target="https://www.birmingham.ac.uk/research/activity/mds/mds-rkto/governance/Glossary-of-Terms.aspx" TargetMode="External"/><Relationship Id="rId7" Type="http://schemas.openxmlformats.org/officeDocument/2006/relationships/settings" Target="settings.xml"/><Relationship Id="rId71" Type="http://schemas.openxmlformats.org/officeDocument/2006/relationships/hyperlink" Target="https://www.ct-toolkit.ac.uk/routemap/safety-reporting/downloads/safety-reporting-flowchart.pdf" TargetMode="External"/><Relationship Id="rId2" Type="http://schemas.openxmlformats.org/officeDocument/2006/relationships/customXml" Target="../customXml/item2.xml"/><Relationship Id="rId29" Type="http://schemas.openxmlformats.org/officeDocument/2006/relationships/hyperlink" Target="https://www.ct-toolkit.ac.uk/media/926/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8a0009593316f445d2692d91e87c416e">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66db293f77bd30e132737a6b68354de3"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type xmlns="adba401f-eabd-4c47-b36d-42f7c29cc8bb" xsi:nil="true"/>
    <GCPlabsupport xmlns="adba401f-eabd-4c47-b36d-42f7c29cc8bb" xsi:nil="true"/>
    <lcf76f155ced4ddcb4097134ff3c332f xmlns="adba401f-eabd-4c47-b36d-42f7c29cc8bb">
      <Terms xmlns="http://schemas.microsoft.com/office/infopath/2007/PartnerControls"/>
    </lcf76f155ced4ddcb4097134ff3c332f>
    <TrainingFormat xmlns="adba401f-eabd-4c47-b36d-42f7c29cc8bb" xsi:nil="true"/>
    <Department xmlns="adba401f-eabd-4c47-b36d-42f7c29cc8bb" xsi:nil="true"/>
    <Shorttitle xmlns="adba401f-eabd-4c47-b36d-42f7c29cc8bb" xsi:nil="true"/>
    <Investigator xmlns="adba401f-eabd-4c47-b36d-42f7c29cc8bb" xsi:nil="true"/>
    <TaxCatchAll xmlns="e199f33f-ad08-4efa-857b-79f1236642b3" xsi:nil="true"/>
    <TaxKeywordTaxHTField xmlns="e199f33f-ad08-4efa-857b-79f1236642b3">
      <Terms xmlns="http://schemas.microsoft.com/office/infopath/2007/PartnerControls"/>
    </TaxKeywordTaxHTField>
  </documentManagement>
</p:properties>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2.xml><?xml version="1.0" encoding="utf-8"?>
<ds:datastoreItem xmlns:ds="http://schemas.openxmlformats.org/officeDocument/2006/customXml" ds:itemID="{D483C767-8828-425D-BCA1-93B100699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0EA9F-AD90-481B-9452-6248BD9CF671}">
  <ds:schemaRefs>
    <ds:schemaRef ds:uri="http://schemas.microsoft.com/sharepoint/v3/contenttype/forms"/>
  </ds:schemaRefs>
</ds:datastoreItem>
</file>

<file path=customXml/itemProps4.xml><?xml version="1.0" encoding="utf-8"?>
<ds:datastoreItem xmlns:ds="http://schemas.openxmlformats.org/officeDocument/2006/customXml" ds:itemID="{AEA1B230-81AC-4A62-BA3A-B971D02BA5DE}">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8533</Words>
  <Characters>48641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57060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Taylor (CMH - Research and Knowledge Transfer)</dc:creator>
  <cp:keywords/>
  <cp:lastModifiedBy>Jamie Douglas-Pugh (CRCT)</cp:lastModifiedBy>
  <cp:revision>9</cp:revision>
  <cp:lastPrinted>2023-12-15T17:51:00Z</cp:lastPrinted>
  <dcterms:created xsi:type="dcterms:W3CDTF">2026-03-27T08:57:00Z</dcterms:created>
  <dcterms:modified xsi:type="dcterms:W3CDTF">2026-03-27T09:04:00Z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y fmtid="{D5CDD505-2E9C-101B-9397-08002B2CF9AE}" pid="6" name="_MarkAsFinal">
    <vt:bool>true</vt:bool>
  </property>
</Properties>
</file>