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55E5" w14:textId="77777777" w:rsidR="00F72046" w:rsidRDefault="009F4967" w:rsidP="009F4967">
      <w:pPr>
        <w:pStyle w:val="Title"/>
      </w:pPr>
      <w:r>
        <w:t>Quality Control Document:</w:t>
      </w:r>
      <w:r w:rsidR="00F72046">
        <w:t xml:space="preserve"> </w:t>
      </w:r>
    </w:p>
    <w:p w14:paraId="0A4FB064" w14:textId="0F74E0AF" w:rsidR="009F4967" w:rsidRDefault="00F72046" w:rsidP="009F4967">
      <w:pPr>
        <w:pStyle w:val="Title"/>
      </w:pPr>
      <w:r>
        <w:t>Finding Classification Grid</w:t>
      </w:r>
    </w:p>
    <w:p w14:paraId="21E8299D" w14:textId="77777777" w:rsidR="009F4967" w:rsidRPr="009F4967" w:rsidRDefault="009F4967" w:rsidP="009F4967"/>
    <w:p w14:paraId="629130AB" w14:textId="6D1C0A1D" w:rsidR="00E3726D" w:rsidRDefault="009E2541" w:rsidP="001C1176">
      <w:pPr>
        <w:pStyle w:val="Heading1"/>
        <w:tabs>
          <w:tab w:val="left" w:pos="5054"/>
        </w:tabs>
      </w:pPr>
      <w:r>
        <w:t>Purpose</w:t>
      </w:r>
    </w:p>
    <w:p w14:paraId="66C524B8" w14:textId="3FBD0A12" w:rsidR="00F72046" w:rsidRDefault="00F72046" w:rsidP="00F72046">
      <w:bookmarkStart w:id="0" w:name="_Hlk84509864"/>
      <w:r w:rsidRPr="007B6F55">
        <w:t xml:space="preserve">This grid allows </w:t>
      </w:r>
      <w:r>
        <w:t>compliance reviewers (a</w:t>
      </w:r>
      <w:r w:rsidRPr="007B6F55">
        <w:t>uditors</w:t>
      </w:r>
      <w:r>
        <w:t>)</w:t>
      </w:r>
      <w:r w:rsidRPr="007B6F55">
        <w:t xml:space="preserve"> to appropriately classify </w:t>
      </w:r>
      <w:r>
        <w:t>their audit findings</w:t>
      </w:r>
      <w:r w:rsidRPr="007B6F55">
        <w:t>.</w:t>
      </w:r>
      <w:r>
        <w:t xml:space="preserve"> This tool has been developed to facilitate the review of research projects, </w:t>
      </w:r>
      <w:r w:rsidRPr="00CE15FF">
        <w:t>Human Tissue Authority (HTA)-licensed</w:t>
      </w:r>
      <w:r>
        <w:t xml:space="preserve"> </w:t>
      </w:r>
      <w:r w:rsidRPr="00CE15FF">
        <w:t>tissue banks</w:t>
      </w:r>
      <w:r>
        <w:t xml:space="preserve"> and</w:t>
      </w:r>
      <w:r w:rsidRPr="00CE15FF">
        <w:t xml:space="preserve"> Good Manufacturing Practice (GMP) facilities</w:t>
      </w:r>
      <w:r>
        <w:t>. Some adaptation may be required when using it to carry out reviews in other areas. The use of this classification grid is optional, but predefined classifications must be used to grade audit findings, as detailed in</w:t>
      </w:r>
      <w:r w:rsidR="008108DC">
        <w:t xml:space="preserve"> the</w:t>
      </w:r>
      <w:r w:rsidRPr="008F5EEC">
        <w:t xml:space="preserve"> </w:t>
      </w:r>
      <w:r w:rsidRPr="00FE06F0">
        <w:rPr>
          <w:rStyle w:val="ReferencestootherSOPsQCDsChar"/>
        </w:rPr>
        <w:t>Compliance Review</w:t>
      </w:r>
      <w:r w:rsidR="008108DC">
        <w:rPr>
          <w:rStyle w:val="ReferencestootherSOPsQCDsChar"/>
        </w:rPr>
        <w:t xml:space="preserve"> SOP (</w:t>
      </w:r>
      <w:r w:rsidR="008108DC" w:rsidRPr="00FE06F0">
        <w:rPr>
          <w:rStyle w:val="ReferencestootherSOPsQCDsChar"/>
        </w:rPr>
        <w:t>UoB-CPR-SOP-001</w:t>
      </w:r>
      <w:r w:rsidR="008108DC">
        <w:rPr>
          <w:rStyle w:val="ReferencestootherSOPsQCDsChar"/>
        </w:rPr>
        <w:t>)</w:t>
      </w:r>
      <w:r>
        <w:t>. The Clinical Research Compliance Team (CRCT) uses this f</w:t>
      </w:r>
      <w:r w:rsidRPr="006B722A">
        <w:t>inding</w:t>
      </w:r>
      <w:r>
        <w:t>s</w:t>
      </w:r>
      <w:r w:rsidRPr="006B722A">
        <w:t xml:space="preserve"> </w:t>
      </w:r>
      <w:r>
        <w:t>c</w:t>
      </w:r>
      <w:r w:rsidRPr="006B722A">
        <w:t xml:space="preserve">lassification </w:t>
      </w:r>
      <w:r>
        <w:t>g</w:t>
      </w:r>
      <w:r w:rsidRPr="006B722A">
        <w:t>rid</w:t>
      </w:r>
      <w:r>
        <w:t xml:space="preserve"> when it carries out audits.</w:t>
      </w:r>
    </w:p>
    <w:bookmarkEnd w:id="0"/>
    <w:p w14:paraId="14C3BAB2" w14:textId="67BCF929" w:rsidR="009E2541" w:rsidRDefault="00B63EFD" w:rsidP="009E2541">
      <w:pPr>
        <w:pStyle w:val="Heading1"/>
      </w:pPr>
      <w:r>
        <w:t>I</w:t>
      </w:r>
      <w:r w:rsidR="009E2541">
        <w:t>nstructions</w:t>
      </w:r>
    </w:p>
    <w:p w14:paraId="27CC2A76" w14:textId="77777777" w:rsidR="00F72046" w:rsidRDefault="00F72046" w:rsidP="00F72046">
      <w:pPr>
        <w:pStyle w:val="Numberlist"/>
      </w:pPr>
      <w:r>
        <w:t xml:space="preserve">The compliance reviewer generates a report as per internal processes, capturing sufficient detail to allow for findings to be classified. </w:t>
      </w:r>
    </w:p>
    <w:p w14:paraId="5E85BBA5" w14:textId="77777777" w:rsidR="00F72046" w:rsidRDefault="00F72046" w:rsidP="00F72046">
      <w:pPr>
        <w:pStyle w:val="Numberlist"/>
      </w:pPr>
      <w:r>
        <w:t>Consulting the tables within this document, the compliance reviewer assesses each individual finding to assign the appropriate ranking (high, medium, low) relating to its (</w:t>
      </w:r>
      <w:proofErr w:type="spellStart"/>
      <w:r>
        <w:t>i</w:t>
      </w:r>
      <w:proofErr w:type="spellEnd"/>
      <w:r>
        <w:t xml:space="preserve">) impact, (ii) frequency and (iii) action. </w:t>
      </w:r>
    </w:p>
    <w:p w14:paraId="4B7C8D6B" w14:textId="77777777" w:rsidR="00F72046" w:rsidRDefault="00F72046" w:rsidP="00F72046">
      <w:pPr>
        <w:pStyle w:val="Numberlist"/>
      </w:pPr>
      <w:r>
        <w:t xml:space="preserve">The compliance reviewer then uses each of the finding’s assigned rankings to obtain the finding’s overall classification (critical, major, other) from the classification grid. </w:t>
      </w:r>
    </w:p>
    <w:p w14:paraId="044A31F8" w14:textId="77777777" w:rsidR="00F72046" w:rsidRDefault="00F72046" w:rsidP="00F72046">
      <w:pPr>
        <w:pStyle w:val="Numberlist"/>
      </w:pPr>
      <w:r>
        <w:t>Where any graded finding has already been identified and reported (e.g. during a previous audit), and no corrective action has yet been taken, the compliance reviewer will assign an overall ‘finding classification’ that is one level higher than the previous reviewer’s overall classification (i.e. from ‘other’ to ‘major’ or from ‘major’ to ‘critical’).</w:t>
      </w:r>
    </w:p>
    <w:p w14:paraId="2D6BA061" w14:textId="0E5B0570" w:rsidR="00F72046" w:rsidRDefault="00F72046" w:rsidP="00F72046">
      <w:pPr>
        <w:pStyle w:val="Numberlist"/>
      </w:pPr>
      <w:r>
        <w:t>The report detailing the compliance reviewer’s findings, and associated classifications, will be reviewed and approved by the independent, competent person as per</w:t>
      </w:r>
      <w:r w:rsidR="008108DC">
        <w:t xml:space="preserve"> the</w:t>
      </w:r>
      <w:r>
        <w:t xml:space="preserve"> </w:t>
      </w:r>
      <w:r w:rsidRPr="00AF2924">
        <w:rPr>
          <w:rStyle w:val="ReferencestootherSOPsQCDsChar"/>
        </w:rPr>
        <w:t>Compliance Review</w:t>
      </w:r>
      <w:r w:rsidR="008108DC">
        <w:rPr>
          <w:rStyle w:val="ReferencestootherSOPsQCDsChar"/>
        </w:rPr>
        <w:t xml:space="preserve"> SOP (</w:t>
      </w:r>
      <w:r w:rsidR="008108DC" w:rsidRPr="00AF2924">
        <w:rPr>
          <w:rStyle w:val="ReferencestootherSOPsQCDsChar"/>
        </w:rPr>
        <w:t>UoB-CPR-SOP-001</w:t>
      </w:r>
      <w:r w:rsidR="008108DC">
        <w:rPr>
          <w:rStyle w:val="ReferencestootherSOPsQCDsChar"/>
        </w:rPr>
        <w:t>)</w:t>
      </w:r>
      <w:r>
        <w:t>.</w:t>
      </w:r>
    </w:p>
    <w:p w14:paraId="7EEB02A2" w14:textId="5D689E4E" w:rsidR="00DA4B36" w:rsidRDefault="00F72046" w:rsidP="00F72046">
      <w:pPr>
        <w:pStyle w:val="Numberlist"/>
      </w:pPr>
      <w:r>
        <w:t>The compliance reviewer files a copy of the report and distributes it to the reviewee, and all pre-agreed relevant parties.</w:t>
      </w:r>
    </w:p>
    <w:p w14:paraId="18D10FD1" w14:textId="57AF9932" w:rsidR="009E2541" w:rsidRDefault="009E2541" w:rsidP="009E2541">
      <w:pPr>
        <w:pStyle w:val="Heading1"/>
      </w:pPr>
      <w:r>
        <w:t>Related documents</w:t>
      </w:r>
    </w:p>
    <w:p w14:paraId="72CA9AAD" w14:textId="77777777" w:rsidR="00DC11DA" w:rsidRDefault="00F72046" w:rsidP="00DC11DA">
      <w:pPr>
        <w:pStyle w:val="bullet1"/>
      </w:pPr>
      <w:r w:rsidRPr="007B6F55">
        <w:t>UoB-CPR-SOP-001</w:t>
      </w:r>
      <w:r>
        <w:t xml:space="preserve"> Compliance Review</w:t>
      </w:r>
      <w:r w:rsidR="00DC11DA" w:rsidRPr="00DC11DA">
        <w:t xml:space="preserve"> </w:t>
      </w:r>
    </w:p>
    <w:p w14:paraId="27588E48" w14:textId="28C65B73" w:rsidR="00DA4B36" w:rsidRDefault="00DC11DA" w:rsidP="00F72046">
      <w:pPr>
        <w:pStyle w:val="bullet1"/>
      </w:pPr>
      <w:r>
        <w:t>UoB-CPR-QCD-002 Site Visit Log</w:t>
      </w:r>
    </w:p>
    <w:p w14:paraId="0B573355" w14:textId="729575B9" w:rsidR="0017791A" w:rsidRDefault="008108DC" w:rsidP="0017791A">
      <w:pPr>
        <w:rPr>
          <w:lang w:eastAsia="en-GB"/>
        </w:rPr>
      </w:pPr>
      <w:r>
        <w:t xml:space="preserve">Access to the full </w:t>
      </w:r>
      <w:r w:rsidR="0017791A">
        <w:t xml:space="preserve">UoB QMS </w:t>
      </w:r>
      <w:r>
        <w:t xml:space="preserve">for clinical research is available via the </w:t>
      </w:r>
      <w:hyperlink r:id="rId7" w:tooltip="Website for the Clinical Research Compliance Team" w:history="1">
        <w:r w:rsidR="00E243E7">
          <w:rPr>
            <w:rStyle w:val="Hyperlink"/>
            <w:lang w:eastAsia="en-GB"/>
          </w:rPr>
          <w:t>CRCT web</w:t>
        </w:r>
        <w:r w:rsidR="00E243E7">
          <w:rPr>
            <w:rStyle w:val="Hyperlink"/>
            <w:lang w:eastAsia="en-GB"/>
          </w:rPr>
          <w:t>s</w:t>
        </w:r>
        <w:r w:rsidR="00E243E7">
          <w:rPr>
            <w:rStyle w:val="Hyperlink"/>
            <w:lang w:eastAsia="en-GB"/>
          </w:rPr>
          <w:t>ite</w:t>
        </w:r>
      </w:hyperlink>
      <w:r w:rsidR="0017791A">
        <w:rPr>
          <w:lang w:eastAsia="en-GB"/>
        </w:rPr>
        <w:t xml:space="preserve">. </w:t>
      </w:r>
    </w:p>
    <w:p w14:paraId="2B58E8D2" w14:textId="77777777" w:rsidR="00B63EFD" w:rsidRDefault="00B63EFD" w:rsidP="00B63EFD">
      <w:pPr>
        <w:pStyle w:val="bullet1"/>
        <w:numPr>
          <w:ilvl w:val="0"/>
          <w:numId w:val="0"/>
        </w:numPr>
      </w:pPr>
    </w:p>
    <w:p w14:paraId="0CE888D3" w14:textId="77777777" w:rsidR="00B63EFD" w:rsidRDefault="00B63EFD" w:rsidP="00B63EFD">
      <w:pPr>
        <w:tabs>
          <w:tab w:val="left" w:pos="3104"/>
        </w:tabs>
        <w:sectPr w:rsidR="00B63EFD" w:rsidSect="009F4967">
          <w:headerReference w:type="default" r:id="rId8"/>
          <w:footerReference w:type="default" r:id="rId9"/>
          <w:headerReference w:type="first" r:id="rId10"/>
          <w:footerReference w:type="first" r:id="rId11"/>
          <w:pgSz w:w="11906" w:h="16838"/>
          <w:pgMar w:top="5104" w:right="1440" w:bottom="1560" w:left="1440" w:header="1396" w:footer="567" w:gutter="0"/>
          <w:cols w:space="708"/>
          <w:titlePg/>
          <w:docGrid w:linePitch="360"/>
        </w:sectPr>
      </w:pPr>
    </w:p>
    <w:p w14:paraId="783450EB" w14:textId="77777777" w:rsidR="00F72046" w:rsidRPr="001848DA" w:rsidRDefault="00F72046" w:rsidP="00F72046">
      <w:pPr>
        <w:pStyle w:val="Heading1"/>
      </w:pPr>
      <w:r>
        <w:lastRenderedPageBreak/>
        <w:t xml:space="preserve">Impact, </w:t>
      </w:r>
      <w:r w:rsidRPr="008F5A8A">
        <w:t>frequency</w:t>
      </w:r>
      <w:r>
        <w:t xml:space="preserve"> and action taken</w:t>
      </w:r>
    </w:p>
    <w:p w14:paraId="0A115058" w14:textId="77777777" w:rsidR="00F72046" w:rsidRPr="008F5A8A" w:rsidRDefault="00F72046" w:rsidP="00F72046">
      <w:pPr>
        <w:pStyle w:val="Heading2"/>
      </w:pPr>
      <w:r w:rsidRPr="008F5A8A">
        <w:t>Impact</w:t>
      </w:r>
    </w:p>
    <w:p w14:paraId="5543F4F1" w14:textId="77777777" w:rsidR="00F72046" w:rsidRDefault="00F72046" w:rsidP="00F72046">
      <w:r>
        <w:t>Assess impact on:</w:t>
      </w:r>
    </w:p>
    <w:p w14:paraId="2B18AB80" w14:textId="77777777" w:rsidR="00F72046" w:rsidRDefault="00F72046" w:rsidP="00F72046">
      <w:pPr>
        <w:pStyle w:val="bullet2"/>
        <w:ind w:left="720" w:right="340" w:hanging="360"/>
      </w:pPr>
      <w:r>
        <w:t>data/documentation integrity</w:t>
      </w:r>
    </w:p>
    <w:p w14:paraId="6C782131" w14:textId="77777777" w:rsidR="00F72046" w:rsidRDefault="00F72046" w:rsidP="00F72046">
      <w:pPr>
        <w:pStyle w:val="bullet2"/>
        <w:ind w:left="720" w:right="340" w:hanging="360"/>
      </w:pPr>
      <w:r>
        <w:t>participant confidentiality, rights, safety, dignity and/or wellbeing</w:t>
      </w:r>
    </w:p>
    <w:p w14:paraId="579E50E2" w14:textId="77777777" w:rsidR="00F72046" w:rsidRDefault="00F72046" w:rsidP="00F72046">
      <w:pPr>
        <w:pStyle w:val="bullet2"/>
        <w:ind w:left="720" w:right="340" w:hanging="360"/>
      </w:pPr>
      <w:r>
        <w:t>product safety</w:t>
      </w:r>
    </w:p>
    <w:p w14:paraId="6F91C025" w14:textId="77777777" w:rsidR="00F72046" w:rsidRDefault="00F72046" w:rsidP="00F72046">
      <w:pPr>
        <w:pStyle w:val="bullet2"/>
        <w:ind w:left="720" w:right="340" w:hanging="360"/>
      </w:pPr>
      <w:r>
        <w:t xml:space="preserve">regulatory requirements </w:t>
      </w:r>
    </w:p>
    <w:p w14:paraId="458547AC" w14:textId="77777777" w:rsidR="00F72046" w:rsidRDefault="00F72046" w:rsidP="00F72046">
      <w:pPr>
        <w:pStyle w:val="bullet2"/>
        <w:ind w:left="720" w:right="340" w:hanging="360"/>
      </w:pPr>
      <w:r>
        <w:t xml:space="preserve">local policies and/or procedures </w:t>
      </w:r>
    </w:p>
    <w:p w14:paraId="251B719F" w14:textId="77777777" w:rsidR="00F72046" w:rsidRDefault="00F72046" w:rsidP="00F72046">
      <w:pPr>
        <w:pStyle w:val="bullet2"/>
        <w:ind w:left="720" w:right="340" w:hanging="360"/>
      </w:pPr>
      <w:r>
        <w:t>contractual obligations.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efinition for impact and and impact ranking"/>
      </w:tblPr>
      <w:tblGrid>
        <w:gridCol w:w="1980"/>
        <w:gridCol w:w="7036"/>
      </w:tblGrid>
      <w:tr w:rsidR="00F72046" w14:paraId="6A027D40" w14:textId="77777777" w:rsidTr="001E6C50">
        <w:tc>
          <w:tcPr>
            <w:tcW w:w="1980" w:type="dxa"/>
          </w:tcPr>
          <w:p w14:paraId="28E295F6" w14:textId="77777777" w:rsidR="00F72046" w:rsidRDefault="00F72046" w:rsidP="001E6C50">
            <w:pPr>
              <w:pStyle w:val="AbbreviationsDefinitionsTerm"/>
            </w:pPr>
            <w:r>
              <w:t>Impact ranking:</w:t>
            </w:r>
          </w:p>
        </w:tc>
        <w:tc>
          <w:tcPr>
            <w:tcW w:w="7036" w:type="dxa"/>
          </w:tcPr>
          <w:p w14:paraId="179FD6DC" w14:textId="77777777" w:rsidR="00F72046" w:rsidRDefault="00F72046" w:rsidP="001E6C50">
            <w:pPr>
              <w:pStyle w:val="AbbreviationsDefinitionsTerm"/>
            </w:pPr>
            <w:r>
              <w:t>Description of impact:</w:t>
            </w:r>
          </w:p>
        </w:tc>
      </w:tr>
      <w:tr w:rsidR="00F72046" w14:paraId="5BA20079" w14:textId="77777777" w:rsidTr="001E6C50">
        <w:tc>
          <w:tcPr>
            <w:tcW w:w="1980" w:type="dxa"/>
          </w:tcPr>
          <w:p w14:paraId="7C8BFD74" w14:textId="77777777" w:rsidR="00F72046" w:rsidRDefault="00F72046" w:rsidP="001E6C50">
            <w:r w:rsidRPr="00C00BDD">
              <w:rPr>
                <w:color w:val="FF0000"/>
              </w:rPr>
              <w:t>H</w:t>
            </w:r>
            <w:r>
              <w:rPr>
                <w:color w:val="FF0000"/>
              </w:rPr>
              <w:t>igh</w:t>
            </w:r>
          </w:p>
        </w:tc>
        <w:tc>
          <w:tcPr>
            <w:tcW w:w="7036" w:type="dxa"/>
          </w:tcPr>
          <w:p w14:paraId="218738FD" w14:textId="77777777" w:rsidR="00F72046" w:rsidRDefault="00F72046" w:rsidP="001E6C50">
            <w:r>
              <w:t xml:space="preserve">The finding has impacted </w:t>
            </w:r>
            <w:proofErr w:type="gramStart"/>
            <w:r>
              <w:t>on, or</w:t>
            </w:r>
            <w:proofErr w:type="gramEnd"/>
            <w:r>
              <w:t xml:space="preserve"> has significant potential to impact on: participant confidentiality, rights, safety, dignity, wellbeing; data integrity and/or product safety. It may have also impacted on any of the other areas listed above.  </w:t>
            </w:r>
          </w:p>
        </w:tc>
      </w:tr>
      <w:tr w:rsidR="00F72046" w14:paraId="74C3BC9D" w14:textId="77777777" w:rsidTr="001E6C50">
        <w:tc>
          <w:tcPr>
            <w:tcW w:w="1980" w:type="dxa"/>
          </w:tcPr>
          <w:p w14:paraId="70F9157E" w14:textId="77777777" w:rsidR="00F72046" w:rsidRDefault="00F72046" w:rsidP="001E6C50">
            <w:r w:rsidRPr="005E70FB">
              <w:rPr>
                <w:color w:val="FF9900"/>
              </w:rPr>
              <w:t>Medium</w:t>
            </w:r>
          </w:p>
        </w:tc>
        <w:tc>
          <w:tcPr>
            <w:tcW w:w="7036" w:type="dxa"/>
          </w:tcPr>
          <w:p w14:paraId="1EBA866D" w14:textId="77777777" w:rsidR="00F72046" w:rsidRDefault="00F72046" w:rsidP="001E6C50">
            <w:r>
              <w:t xml:space="preserve">The finding has some potential to impact on: participant rights, safety, dignity, wellbeing; data integrity and/or product safety. However, evidence has not been observed during the audit. In addition, the finding may have impacted on any of the other areas listed above.   </w:t>
            </w:r>
          </w:p>
        </w:tc>
      </w:tr>
      <w:tr w:rsidR="00F72046" w14:paraId="41BED5FA" w14:textId="77777777" w:rsidTr="001E6C50">
        <w:tc>
          <w:tcPr>
            <w:tcW w:w="1980" w:type="dxa"/>
          </w:tcPr>
          <w:p w14:paraId="1427DC02" w14:textId="77777777" w:rsidR="00F72046" w:rsidRDefault="00F72046" w:rsidP="001E6C50">
            <w:r w:rsidRPr="00C00BDD">
              <w:rPr>
                <w:color w:val="00B050"/>
              </w:rPr>
              <w:t>Low</w:t>
            </w:r>
          </w:p>
        </w:tc>
        <w:tc>
          <w:tcPr>
            <w:tcW w:w="7036" w:type="dxa"/>
          </w:tcPr>
          <w:p w14:paraId="582FEDB3" w14:textId="77777777" w:rsidR="00F72046" w:rsidRDefault="00F72046" w:rsidP="001E6C50">
            <w:r>
              <w:t>The finding has potential for minor impact on documentation integrity, regulatory requirements, local policies and/or procedures and/or contractual obligations.</w:t>
            </w:r>
          </w:p>
        </w:tc>
      </w:tr>
    </w:tbl>
    <w:p w14:paraId="5123AB84" w14:textId="77777777" w:rsidR="00F72046" w:rsidRDefault="00F72046" w:rsidP="00F72046">
      <w:pPr>
        <w:pStyle w:val="Heading2"/>
      </w:pPr>
      <w:r>
        <w:t>Frequency</w:t>
      </w:r>
    </w:p>
    <w:p w14:paraId="6077BCAB" w14:textId="77777777" w:rsidR="00F72046" w:rsidRDefault="00F72046" w:rsidP="00F72046">
      <w:r>
        <w:t>Assess the frequency of the finding, or the probability of the finding to happen again.</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efinition for freqency and frequency ranking"/>
      </w:tblPr>
      <w:tblGrid>
        <w:gridCol w:w="1980"/>
        <w:gridCol w:w="7036"/>
      </w:tblGrid>
      <w:tr w:rsidR="00F72046" w14:paraId="7D0E5C8F" w14:textId="77777777" w:rsidTr="001E6C50">
        <w:tc>
          <w:tcPr>
            <w:tcW w:w="1980" w:type="dxa"/>
          </w:tcPr>
          <w:p w14:paraId="6C8DE487" w14:textId="77777777" w:rsidR="00F72046" w:rsidRDefault="00F72046" w:rsidP="001E6C50">
            <w:pPr>
              <w:pStyle w:val="AbbreviationsDefinitionsTerm"/>
            </w:pPr>
            <w:r>
              <w:t>Frequency ranking:</w:t>
            </w:r>
          </w:p>
        </w:tc>
        <w:tc>
          <w:tcPr>
            <w:tcW w:w="7036" w:type="dxa"/>
          </w:tcPr>
          <w:p w14:paraId="1A850B47" w14:textId="77777777" w:rsidR="00F72046" w:rsidRDefault="00F72046" w:rsidP="001E6C50">
            <w:pPr>
              <w:pStyle w:val="AbbreviationsDefinitionsTerm"/>
            </w:pPr>
            <w:r>
              <w:t>Description of frequency:</w:t>
            </w:r>
          </w:p>
        </w:tc>
      </w:tr>
      <w:tr w:rsidR="00F72046" w14:paraId="66C9E3B8" w14:textId="77777777" w:rsidTr="001E6C50">
        <w:tc>
          <w:tcPr>
            <w:tcW w:w="1980" w:type="dxa"/>
          </w:tcPr>
          <w:p w14:paraId="2B01DBE0" w14:textId="77777777" w:rsidR="00F72046" w:rsidRDefault="00F72046" w:rsidP="001E6C50">
            <w:r w:rsidRPr="00C00BDD">
              <w:rPr>
                <w:color w:val="FF0000"/>
              </w:rPr>
              <w:t>H</w:t>
            </w:r>
            <w:r>
              <w:rPr>
                <w:color w:val="FF0000"/>
              </w:rPr>
              <w:t>igh</w:t>
            </w:r>
          </w:p>
        </w:tc>
        <w:tc>
          <w:tcPr>
            <w:tcW w:w="7036" w:type="dxa"/>
          </w:tcPr>
          <w:p w14:paraId="015CF905" w14:textId="77777777" w:rsidR="00F72046" w:rsidRPr="007F4F04" w:rsidRDefault="00F72046" w:rsidP="001E6C50">
            <w:r w:rsidRPr="007F4F04">
              <w:t>A high occurrence in the area (&gt;49%)</w:t>
            </w:r>
            <w:r>
              <w:t>, or</w:t>
            </w:r>
            <w:r w:rsidRPr="007F4F04">
              <w:t xml:space="preserve"> in a single key document/</w:t>
            </w:r>
            <w:r>
              <w:t>participant</w:t>
            </w:r>
            <w:r w:rsidRPr="007F4F04">
              <w:t xml:space="preserve"> data point</w:t>
            </w:r>
            <w:r>
              <w:t>,</w:t>
            </w:r>
            <w:r w:rsidRPr="007F4F04">
              <w:t xml:space="preserve"> or it is very likely that the issue will happen again.</w:t>
            </w:r>
            <w:r>
              <w:t xml:space="preserve"> Note: where only a sample of three was taken, high occurrence is where the finding occurred across all three samples. </w:t>
            </w:r>
          </w:p>
        </w:tc>
      </w:tr>
      <w:tr w:rsidR="00F72046" w14:paraId="47F30CE9" w14:textId="77777777" w:rsidTr="001E6C50">
        <w:tc>
          <w:tcPr>
            <w:tcW w:w="1980" w:type="dxa"/>
          </w:tcPr>
          <w:p w14:paraId="6A31FECE" w14:textId="77777777" w:rsidR="00F72046" w:rsidRPr="005E70FB" w:rsidRDefault="00F72046" w:rsidP="001E6C50">
            <w:pPr>
              <w:rPr>
                <w:color w:val="FF9900"/>
              </w:rPr>
            </w:pPr>
            <w:r w:rsidRPr="005E70FB">
              <w:rPr>
                <w:color w:val="FF9900"/>
              </w:rPr>
              <w:t>Medium</w:t>
            </w:r>
          </w:p>
        </w:tc>
        <w:tc>
          <w:tcPr>
            <w:tcW w:w="7036" w:type="dxa"/>
          </w:tcPr>
          <w:p w14:paraId="1B091EE6" w14:textId="77777777" w:rsidR="00F72046" w:rsidRPr="007F4F04" w:rsidRDefault="00F72046" w:rsidP="001E6C50">
            <w:r w:rsidRPr="007F4F04">
              <w:t>A medium occurrence in the area (25-49%)</w:t>
            </w:r>
            <w:r>
              <w:t>,</w:t>
            </w:r>
            <w:r w:rsidRPr="007F4F04">
              <w:t xml:space="preserve"> or neutral likelihood of the issue to happen again</w:t>
            </w:r>
            <w:r>
              <w:t>. Note: where only a sample of three was taken, medium occurrence is where the finding occurred in two of the three samples.</w:t>
            </w:r>
          </w:p>
        </w:tc>
      </w:tr>
      <w:tr w:rsidR="00F72046" w14:paraId="576D959A" w14:textId="77777777" w:rsidTr="001E6C50">
        <w:tc>
          <w:tcPr>
            <w:tcW w:w="1980" w:type="dxa"/>
          </w:tcPr>
          <w:p w14:paraId="524318B1" w14:textId="77777777" w:rsidR="00F72046" w:rsidRDefault="00F72046" w:rsidP="001E6C50">
            <w:r w:rsidRPr="00C00BDD">
              <w:rPr>
                <w:color w:val="00B050"/>
              </w:rPr>
              <w:t>Low</w:t>
            </w:r>
          </w:p>
        </w:tc>
        <w:tc>
          <w:tcPr>
            <w:tcW w:w="7036" w:type="dxa"/>
          </w:tcPr>
          <w:p w14:paraId="7317142A" w14:textId="77777777" w:rsidR="00F72046" w:rsidRPr="007F4F04" w:rsidRDefault="00F72046" w:rsidP="001E6C50">
            <w:r w:rsidRPr="007F4F04">
              <w:rPr>
                <w:rFonts w:eastAsia="Calibri"/>
              </w:rPr>
              <w:t>Isolated incident or low occurrence in the area (&lt;25%)</w:t>
            </w:r>
            <w:r>
              <w:rPr>
                <w:rFonts w:eastAsia="Calibri"/>
              </w:rPr>
              <w:t>,</w:t>
            </w:r>
            <w:r w:rsidRPr="007F4F04">
              <w:rPr>
                <w:rFonts w:eastAsia="Calibri"/>
              </w:rPr>
              <w:t xml:space="preserve"> or it is very unlikely that the issue will happen again.</w:t>
            </w:r>
            <w:r>
              <w:rPr>
                <w:rFonts w:eastAsia="Calibri"/>
              </w:rPr>
              <w:t xml:space="preserve"> Note: w</w:t>
            </w:r>
            <w:r>
              <w:t>here only a sample of three was taken, low occurrence is where the finding occurred in one of the three samples.</w:t>
            </w:r>
          </w:p>
        </w:tc>
      </w:tr>
    </w:tbl>
    <w:p w14:paraId="22112903" w14:textId="77777777" w:rsidR="00F72046" w:rsidRDefault="00F72046" w:rsidP="00F72046">
      <w:pPr>
        <w:pStyle w:val="Heading2"/>
      </w:pPr>
      <w:r>
        <w:t>Action taken</w:t>
      </w:r>
    </w:p>
    <w:p w14:paraId="075F196E" w14:textId="77777777" w:rsidR="00F72046" w:rsidRDefault="00F72046" w:rsidP="00F72046">
      <w:r>
        <w:t xml:space="preserve">Assess what action was taken by the compliance reviewee. </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efinition for action taken &amp; ranking"/>
      </w:tblPr>
      <w:tblGrid>
        <w:gridCol w:w="1980"/>
        <w:gridCol w:w="7036"/>
      </w:tblGrid>
      <w:tr w:rsidR="00F72046" w14:paraId="72BAB2F1" w14:textId="77777777" w:rsidTr="001E6C50">
        <w:tc>
          <w:tcPr>
            <w:tcW w:w="1980" w:type="dxa"/>
          </w:tcPr>
          <w:p w14:paraId="665F536C" w14:textId="77777777" w:rsidR="00F72046" w:rsidRDefault="00F72046" w:rsidP="001E6C50">
            <w:pPr>
              <w:pStyle w:val="AbbreviationsDefinitionsTerm"/>
            </w:pPr>
            <w:r>
              <w:t>Action ranking:</w:t>
            </w:r>
          </w:p>
        </w:tc>
        <w:tc>
          <w:tcPr>
            <w:tcW w:w="7036" w:type="dxa"/>
          </w:tcPr>
          <w:p w14:paraId="7210347E" w14:textId="77777777" w:rsidR="00F72046" w:rsidRDefault="00F72046" w:rsidP="001E6C50">
            <w:pPr>
              <w:pStyle w:val="AbbreviationsDefinitionsTerm"/>
            </w:pPr>
            <w:r>
              <w:t>Description of action:</w:t>
            </w:r>
          </w:p>
        </w:tc>
      </w:tr>
      <w:tr w:rsidR="00F72046" w14:paraId="7AB7701C" w14:textId="77777777" w:rsidTr="001E6C50">
        <w:tc>
          <w:tcPr>
            <w:tcW w:w="1980" w:type="dxa"/>
          </w:tcPr>
          <w:p w14:paraId="7F6FBA6A" w14:textId="77777777" w:rsidR="00F72046" w:rsidRDefault="00F72046" w:rsidP="001E6C50">
            <w:r w:rsidRPr="00C00BDD">
              <w:rPr>
                <w:color w:val="FF0000"/>
              </w:rPr>
              <w:t>H</w:t>
            </w:r>
            <w:r>
              <w:rPr>
                <w:color w:val="FF0000"/>
              </w:rPr>
              <w:t>igh</w:t>
            </w:r>
          </w:p>
        </w:tc>
        <w:tc>
          <w:tcPr>
            <w:tcW w:w="7036" w:type="dxa"/>
          </w:tcPr>
          <w:p w14:paraId="7C4F5FE0" w14:textId="77777777" w:rsidR="00F72046" w:rsidRDefault="00F72046" w:rsidP="001E6C50">
            <w:pPr>
              <w:rPr>
                <w:rFonts w:eastAsia="Calibri"/>
              </w:rPr>
            </w:pPr>
            <w:r>
              <w:rPr>
                <w:rFonts w:eastAsia="Calibri"/>
              </w:rPr>
              <w:t>Finding</w:t>
            </w:r>
            <w:r w:rsidRPr="007F4F04">
              <w:rPr>
                <w:rFonts w:eastAsia="Calibri"/>
              </w:rPr>
              <w:t xml:space="preserve"> (from any source) not</w:t>
            </w:r>
            <w:r w:rsidRPr="007F4F04" w:rsidDel="004D7245">
              <w:rPr>
                <w:rFonts w:eastAsia="Calibri"/>
              </w:rPr>
              <w:t xml:space="preserve"> </w:t>
            </w:r>
            <w:r w:rsidRPr="007F4F04">
              <w:rPr>
                <w:rFonts w:eastAsia="Calibri"/>
              </w:rPr>
              <w:t xml:space="preserve">previously identified and reported as a </w:t>
            </w:r>
            <w:r>
              <w:rPr>
                <w:rFonts w:eastAsia="Calibri"/>
              </w:rPr>
              <w:t>finding, or previously identified but no action has been taken</w:t>
            </w:r>
            <w:r w:rsidRPr="007F4F04">
              <w:rPr>
                <w:rFonts w:eastAsia="Calibri"/>
              </w:rPr>
              <w:t>. Th</w:t>
            </w:r>
            <w:r>
              <w:rPr>
                <w:rFonts w:eastAsia="Calibri"/>
              </w:rPr>
              <w:t>e finding</w:t>
            </w:r>
            <w:r w:rsidRPr="007F4F04">
              <w:rPr>
                <w:rFonts w:eastAsia="Calibri"/>
              </w:rPr>
              <w:t xml:space="preserve"> is not </w:t>
            </w:r>
            <w:r>
              <w:rPr>
                <w:rFonts w:eastAsia="Calibri"/>
              </w:rPr>
              <w:t xml:space="preserve">immediately </w:t>
            </w:r>
            <w:r w:rsidRPr="007F4F04">
              <w:rPr>
                <w:rFonts w:eastAsia="Calibri"/>
              </w:rPr>
              <w:t xml:space="preserve">resolvable. </w:t>
            </w:r>
          </w:p>
          <w:p w14:paraId="0C1E1FD2" w14:textId="77777777" w:rsidR="00F72046" w:rsidRPr="00AF2924" w:rsidRDefault="00F72046" w:rsidP="001E6C50">
            <w:pPr>
              <w:rPr>
                <w:rFonts w:eastAsia="Calibri"/>
              </w:rPr>
            </w:pPr>
            <w:r>
              <w:rPr>
                <w:rFonts w:eastAsia="Calibri"/>
              </w:rPr>
              <w:t>For example, there is a discrepancy between a data field in the source data and the corresponding data field within the electronic database. On review, there is no entered data in the field on the source data, but there is an entry in the electronic database. Staff need to contact the site or participant to resolve this. This will take time and is therefore not resolvable immediately.</w:t>
            </w:r>
          </w:p>
        </w:tc>
      </w:tr>
      <w:tr w:rsidR="00F72046" w14:paraId="7EF812ED" w14:textId="77777777" w:rsidTr="001E6C50">
        <w:trPr>
          <w:cantSplit/>
        </w:trPr>
        <w:tc>
          <w:tcPr>
            <w:tcW w:w="1980" w:type="dxa"/>
          </w:tcPr>
          <w:p w14:paraId="3B705B37" w14:textId="77777777" w:rsidR="00F72046" w:rsidRDefault="00F72046" w:rsidP="001E6C50">
            <w:r w:rsidRPr="00C00BDD">
              <w:rPr>
                <w:color w:val="00B050"/>
              </w:rPr>
              <w:lastRenderedPageBreak/>
              <w:t>Low</w:t>
            </w:r>
          </w:p>
        </w:tc>
        <w:tc>
          <w:tcPr>
            <w:tcW w:w="7036" w:type="dxa"/>
          </w:tcPr>
          <w:p w14:paraId="606824A5" w14:textId="77777777" w:rsidR="00F72046" w:rsidRDefault="00F72046" w:rsidP="001E6C50">
            <w:pPr>
              <w:rPr>
                <w:rFonts w:eastAsia="Calibri"/>
              </w:rPr>
            </w:pPr>
            <w:r>
              <w:rPr>
                <w:rFonts w:eastAsia="Calibri"/>
              </w:rPr>
              <w:t>Finding</w:t>
            </w:r>
            <w:r w:rsidRPr="007F4F04">
              <w:rPr>
                <w:rFonts w:eastAsia="Calibri"/>
              </w:rPr>
              <w:t xml:space="preserve"> not previously identified and reported as a </w:t>
            </w:r>
            <w:r>
              <w:rPr>
                <w:rFonts w:eastAsia="Calibri"/>
              </w:rPr>
              <w:t>finding</w:t>
            </w:r>
            <w:r w:rsidRPr="007F4F04">
              <w:rPr>
                <w:rFonts w:eastAsia="Calibri"/>
              </w:rPr>
              <w:t>. Therefore</w:t>
            </w:r>
            <w:r>
              <w:rPr>
                <w:rFonts w:eastAsia="Calibri"/>
              </w:rPr>
              <w:t>,</w:t>
            </w:r>
            <w:r w:rsidRPr="007F4F04">
              <w:rPr>
                <w:rFonts w:eastAsia="Calibri"/>
              </w:rPr>
              <w:t xml:space="preserve"> no action has been taken</w:t>
            </w:r>
            <w:r>
              <w:rPr>
                <w:rFonts w:eastAsia="Calibri"/>
              </w:rPr>
              <w:t>,</w:t>
            </w:r>
            <w:r w:rsidRPr="007F4F04">
              <w:rPr>
                <w:rFonts w:eastAsia="Calibri"/>
              </w:rPr>
              <w:t xml:space="preserve"> but </w:t>
            </w:r>
            <w:r>
              <w:rPr>
                <w:rFonts w:eastAsia="Calibri"/>
              </w:rPr>
              <w:t>the finding</w:t>
            </w:r>
            <w:r w:rsidRPr="007F4F04">
              <w:rPr>
                <w:rFonts w:eastAsia="Calibri"/>
              </w:rPr>
              <w:t xml:space="preserve"> is resolvable. </w:t>
            </w:r>
          </w:p>
          <w:p w14:paraId="1652BBB7" w14:textId="77777777" w:rsidR="00F72046" w:rsidRPr="007F4F04" w:rsidRDefault="00F72046" w:rsidP="001E6C50">
            <w:r>
              <w:rPr>
                <w:rFonts w:eastAsia="Calibri"/>
              </w:rPr>
              <w:t>For example, there is a discrepancy between data entered in a field on the source data and data entered in an electronic database. The data is present in both fields, and the electronic database can be corrected immediately by staff using the source data. This is resolvable immediately.</w:t>
            </w:r>
          </w:p>
        </w:tc>
      </w:tr>
    </w:tbl>
    <w:p w14:paraId="0DFAF7D3" w14:textId="77777777" w:rsidR="00F72046" w:rsidRDefault="00F72046" w:rsidP="00F72046">
      <w:pPr>
        <w:pStyle w:val="Heading2"/>
      </w:pPr>
      <w:r>
        <w:t>Classification grid</w:t>
      </w:r>
    </w:p>
    <w:p w14:paraId="70021884" w14:textId="77777777" w:rsidR="00F72046" w:rsidRDefault="00F72046" w:rsidP="00F72046">
      <w:pPr>
        <w:rPr>
          <w:rFonts w:eastAsia="Calibri"/>
        </w:rPr>
      </w:pPr>
      <w:r w:rsidRPr="007F4F04">
        <w:rPr>
          <w:rFonts w:eastAsia="Calibri"/>
        </w:rPr>
        <w:t xml:space="preserve">Note: A </w:t>
      </w:r>
      <w:r>
        <w:rPr>
          <w:rFonts w:eastAsia="Calibri"/>
        </w:rPr>
        <w:t>s</w:t>
      </w:r>
      <w:r w:rsidRPr="007F4F04">
        <w:rPr>
          <w:rFonts w:eastAsia="Calibri"/>
        </w:rPr>
        <w:t xml:space="preserve">erious </w:t>
      </w:r>
      <w:r>
        <w:rPr>
          <w:rFonts w:eastAsia="Calibri"/>
        </w:rPr>
        <w:t>b</w:t>
      </w:r>
      <w:r w:rsidRPr="007F4F04">
        <w:rPr>
          <w:rFonts w:eastAsia="Calibri"/>
        </w:rPr>
        <w:t>reach of GCP,</w:t>
      </w:r>
      <w:r w:rsidRPr="00A07CA3">
        <w:t xml:space="preserve"> </w:t>
      </w:r>
      <w:r w:rsidRPr="00A07CA3">
        <w:rPr>
          <w:rFonts w:eastAsia="Calibri"/>
        </w:rPr>
        <w:t xml:space="preserve">the need to halt GMP production, </w:t>
      </w:r>
      <w:r>
        <w:rPr>
          <w:rFonts w:eastAsia="Calibri"/>
        </w:rPr>
        <w:t>f</w:t>
      </w:r>
      <w:r w:rsidRPr="007F4F04">
        <w:rPr>
          <w:rFonts w:eastAsia="Calibri"/>
        </w:rPr>
        <w:t xml:space="preserve">raud, and/or </w:t>
      </w:r>
      <w:r>
        <w:rPr>
          <w:rFonts w:eastAsia="Calibri"/>
        </w:rPr>
        <w:t>s</w:t>
      </w:r>
      <w:r w:rsidRPr="007F4F04">
        <w:rPr>
          <w:rFonts w:eastAsia="Calibri"/>
        </w:rPr>
        <w:t xml:space="preserve">erious </w:t>
      </w:r>
      <w:r>
        <w:rPr>
          <w:rFonts w:eastAsia="Calibri"/>
        </w:rPr>
        <w:t>m</w:t>
      </w:r>
      <w:r w:rsidRPr="007F4F04">
        <w:rPr>
          <w:rFonts w:eastAsia="Calibri"/>
        </w:rPr>
        <w:t xml:space="preserve">isconduct will be classified as </w:t>
      </w:r>
      <w:r>
        <w:rPr>
          <w:rFonts w:eastAsia="Calibri"/>
        </w:rPr>
        <w:t>‘c</w:t>
      </w:r>
      <w:r w:rsidRPr="007F4F04">
        <w:rPr>
          <w:rFonts w:eastAsia="Calibri"/>
        </w:rPr>
        <w:t>ritical</w:t>
      </w:r>
      <w:r>
        <w:rPr>
          <w:rFonts w:eastAsia="Calibri"/>
        </w:rPr>
        <w:t>’</w:t>
      </w:r>
      <w:r w:rsidRPr="007F4F04">
        <w:rPr>
          <w:rFonts w:eastAsia="Calibri"/>
        </w:rPr>
        <w:t xml:space="preserve"> regardless of rankings below</w:t>
      </w:r>
      <w:r>
        <w:rPr>
          <w:rFonts w:eastAsia="Calibri"/>
        </w:rPr>
        <w:t>.</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Caption w:val="Finding classification grid"/>
      </w:tblPr>
      <w:tblGrid>
        <w:gridCol w:w="2254"/>
        <w:gridCol w:w="2254"/>
        <w:gridCol w:w="2254"/>
        <w:gridCol w:w="2254"/>
      </w:tblGrid>
      <w:tr w:rsidR="00F72046" w:rsidRPr="007F4F04" w14:paraId="61A4B2D0" w14:textId="77777777" w:rsidTr="001E6C50">
        <w:trPr>
          <w:trHeight w:val="567"/>
          <w:jc w:val="center"/>
        </w:trPr>
        <w:tc>
          <w:tcPr>
            <w:tcW w:w="2254" w:type="dxa"/>
            <w:tcBorders>
              <w:bottom w:val="single" w:sz="4" w:space="0" w:color="auto"/>
            </w:tcBorders>
            <w:shd w:val="clear" w:color="auto" w:fill="B8CCE4"/>
            <w:vAlign w:val="center"/>
          </w:tcPr>
          <w:p w14:paraId="1B736901" w14:textId="77777777" w:rsidR="00F72046" w:rsidRPr="007F4F04" w:rsidRDefault="00F72046" w:rsidP="001E6C50">
            <w:pPr>
              <w:pStyle w:val="AbbreviationsDefinitionsTerm"/>
              <w:jc w:val="center"/>
              <w:rPr>
                <w:rFonts w:eastAsia="Calibri"/>
              </w:rPr>
            </w:pPr>
            <w:r w:rsidRPr="007F4F04">
              <w:rPr>
                <w:rFonts w:eastAsia="Calibri"/>
              </w:rPr>
              <w:t>Impact</w:t>
            </w:r>
            <w:r>
              <w:rPr>
                <w:rFonts w:eastAsia="Calibri"/>
              </w:rPr>
              <w:t xml:space="preserve"> ranking</w:t>
            </w:r>
          </w:p>
        </w:tc>
        <w:tc>
          <w:tcPr>
            <w:tcW w:w="2254" w:type="dxa"/>
            <w:tcBorders>
              <w:bottom w:val="single" w:sz="4" w:space="0" w:color="auto"/>
            </w:tcBorders>
            <w:shd w:val="clear" w:color="auto" w:fill="B8CCE4"/>
            <w:vAlign w:val="center"/>
          </w:tcPr>
          <w:p w14:paraId="35901851" w14:textId="77777777" w:rsidR="00F72046" w:rsidRPr="007F4F04" w:rsidRDefault="00F72046" w:rsidP="001E6C50">
            <w:pPr>
              <w:pStyle w:val="AbbreviationsDefinitionsTerm"/>
              <w:jc w:val="center"/>
              <w:rPr>
                <w:rFonts w:eastAsia="Calibri"/>
              </w:rPr>
            </w:pPr>
            <w:r w:rsidRPr="007F4F04">
              <w:rPr>
                <w:rFonts w:eastAsia="Calibri"/>
              </w:rPr>
              <w:t>Frequency</w:t>
            </w:r>
            <w:r>
              <w:rPr>
                <w:rFonts w:eastAsia="Calibri"/>
              </w:rPr>
              <w:t xml:space="preserve"> ranking</w:t>
            </w:r>
          </w:p>
        </w:tc>
        <w:tc>
          <w:tcPr>
            <w:tcW w:w="2254" w:type="dxa"/>
            <w:tcBorders>
              <w:bottom w:val="single" w:sz="4" w:space="0" w:color="auto"/>
            </w:tcBorders>
            <w:shd w:val="clear" w:color="auto" w:fill="B8CCE4"/>
            <w:vAlign w:val="center"/>
          </w:tcPr>
          <w:p w14:paraId="7401A3CE" w14:textId="77777777" w:rsidR="00F72046" w:rsidRPr="007F4F04" w:rsidRDefault="00F72046" w:rsidP="001E6C50">
            <w:pPr>
              <w:pStyle w:val="AbbreviationsDefinitionsTerm"/>
              <w:jc w:val="center"/>
              <w:rPr>
                <w:rFonts w:eastAsia="Calibri"/>
              </w:rPr>
            </w:pPr>
            <w:r>
              <w:rPr>
                <w:rFonts w:eastAsia="Calibri"/>
              </w:rPr>
              <w:t>A</w:t>
            </w:r>
            <w:r w:rsidRPr="007F4F04">
              <w:rPr>
                <w:rFonts w:eastAsia="Calibri"/>
              </w:rPr>
              <w:t xml:space="preserve">ction </w:t>
            </w:r>
            <w:r>
              <w:rPr>
                <w:rFonts w:eastAsia="Calibri"/>
              </w:rPr>
              <w:t>ranking</w:t>
            </w:r>
          </w:p>
        </w:tc>
        <w:tc>
          <w:tcPr>
            <w:tcW w:w="2254" w:type="dxa"/>
            <w:tcBorders>
              <w:bottom w:val="single" w:sz="4" w:space="0" w:color="auto"/>
            </w:tcBorders>
            <w:shd w:val="clear" w:color="auto" w:fill="B8CCE4"/>
            <w:vAlign w:val="center"/>
          </w:tcPr>
          <w:p w14:paraId="7DF60181" w14:textId="77777777" w:rsidR="00F72046" w:rsidRPr="00267B70" w:rsidRDefault="00F72046" w:rsidP="001E6C50">
            <w:pPr>
              <w:pStyle w:val="AbbreviationsDefinitionsTerm"/>
              <w:jc w:val="center"/>
              <w:rPr>
                <w:rFonts w:eastAsia="Calibri"/>
              </w:rPr>
            </w:pPr>
            <w:r>
              <w:rPr>
                <w:rFonts w:eastAsia="Calibri"/>
              </w:rPr>
              <w:t xml:space="preserve">Finding </w:t>
            </w:r>
            <w:r w:rsidRPr="007F4F04">
              <w:rPr>
                <w:rFonts w:eastAsia="Calibri"/>
              </w:rPr>
              <w:t>Classification</w:t>
            </w:r>
          </w:p>
        </w:tc>
      </w:tr>
      <w:tr w:rsidR="00F72046" w:rsidRPr="007F4F04" w14:paraId="68C6BF2D" w14:textId="77777777" w:rsidTr="001E6C50">
        <w:trPr>
          <w:trHeight w:val="340"/>
          <w:jc w:val="center"/>
        </w:trPr>
        <w:tc>
          <w:tcPr>
            <w:tcW w:w="2254" w:type="dxa"/>
            <w:tcBorders>
              <w:top w:val="single" w:sz="4" w:space="0" w:color="auto"/>
              <w:bottom w:val="dotted" w:sz="4" w:space="0" w:color="auto"/>
            </w:tcBorders>
            <w:vAlign w:val="center"/>
          </w:tcPr>
          <w:p w14:paraId="066CC6A2"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tcBorders>
              <w:top w:val="single" w:sz="4" w:space="0" w:color="auto"/>
              <w:bottom w:val="dotted" w:sz="4" w:space="0" w:color="auto"/>
            </w:tcBorders>
            <w:vAlign w:val="center"/>
          </w:tcPr>
          <w:p w14:paraId="160CEC00"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tcBorders>
              <w:top w:val="single" w:sz="4" w:space="0" w:color="auto"/>
              <w:bottom w:val="dotted" w:sz="4" w:space="0" w:color="auto"/>
            </w:tcBorders>
            <w:vAlign w:val="center"/>
          </w:tcPr>
          <w:p w14:paraId="08C689DB"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color w:val="FF0000"/>
              </w:rPr>
              <w:t>H</w:t>
            </w:r>
          </w:p>
        </w:tc>
        <w:tc>
          <w:tcPr>
            <w:tcW w:w="2254" w:type="dxa"/>
            <w:tcBorders>
              <w:top w:val="single" w:sz="4" w:space="0" w:color="auto"/>
              <w:bottom w:val="dotted" w:sz="4" w:space="0" w:color="auto"/>
            </w:tcBorders>
            <w:shd w:val="clear" w:color="auto" w:fill="FF0000"/>
            <w:vAlign w:val="center"/>
          </w:tcPr>
          <w:p w14:paraId="43A33F78"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CRITICAL</w:t>
            </w:r>
          </w:p>
        </w:tc>
      </w:tr>
      <w:tr w:rsidR="00F72046" w:rsidRPr="007F4F04" w14:paraId="4B2BBD59" w14:textId="77777777" w:rsidTr="001E6C50">
        <w:trPr>
          <w:trHeight w:val="340"/>
          <w:jc w:val="center"/>
        </w:trPr>
        <w:tc>
          <w:tcPr>
            <w:tcW w:w="2254" w:type="dxa"/>
            <w:tcBorders>
              <w:top w:val="dotted" w:sz="4" w:space="0" w:color="auto"/>
              <w:bottom w:val="dotted" w:sz="4" w:space="0" w:color="auto"/>
            </w:tcBorders>
            <w:vAlign w:val="center"/>
          </w:tcPr>
          <w:p w14:paraId="2BA1005C"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tcBorders>
              <w:top w:val="dotted" w:sz="4" w:space="0" w:color="auto"/>
              <w:bottom w:val="dotted" w:sz="4" w:space="0" w:color="auto"/>
            </w:tcBorders>
            <w:vAlign w:val="center"/>
          </w:tcPr>
          <w:p w14:paraId="5A97892F"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tcBorders>
              <w:top w:val="dotted" w:sz="4" w:space="0" w:color="auto"/>
              <w:bottom w:val="dotted" w:sz="4" w:space="0" w:color="auto"/>
            </w:tcBorders>
            <w:vAlign w:val="center"/>
          </w:tcPr>
          <w:p w14:paraId="0276C005"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shd w:val="clear" w:color="auto" w:fill="FF0000"/>
            <w:vAlign w:val="center"/>
          </w:tcPr>
          <w:p w14:paraId="20B14188"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CRITICAL</w:t>
            </w:r>
          </w:p>
        </w:tc>
      </w:tr>
      <w:tr w:rsidR="00F72046" w:rsidRPr="007F4F04" w14:paraId="0D0DDE34" w14:textId="77777777" w:rsidTr="001E6C50">
        <w:trPr>
          <w:trHeight w:val="340"/>
          <w:jc w:val="center"/>
        </w:trPr>
        <w:tc>
          <w:tcPr>
            <w:tcW w:w="2254" w:type="dxa"/>
            <w:tcBorders>
              <w:top w:val="dotted" w:sz="4" w:space="0" w:color="auto"/>
              <w:bottom w:val="single" w:sz="4" w:space="0" w:color="auto"/>
            </w:tcBorders>
            <w:vAlign w:val="center"/>
          </w:tcPr>
          <w:p w14:paraId="680BDFFD"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tcBorders>
              <w:top w:val="dotted" w:sz="4" w:space="0" w:color="auto"/>
              <w:bottom w:val="single" w:sz="4" w:space="0" w:color="auto"/>
            </w:tcBorders>
            <w:vAlign w:val="center"/>
          </w:tcPr>
          <w:p w14:paraId="2A9CD2E4"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tcBorders>
              <w:top w:val="dotted" w:sz="4" w:space="0" w:color="auto"/>
              <w:bottom w:val="single" w:sz="4" w:space="0" w:color="auto"/>
            </w:tcBorders>
            <w:vAlign w:val="center"/>
          </w:tcPr>
          <w:p w14:paraId="5D533078"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color w:val="FF0000"/>
              </w:rPr>
              <w:t>H</w:t>
            </w:r>
          </w:p>
        </w:tc>
        <w:tc>
          <w:tcPr>
            <w:tcW w:w="2254" w:type="dxa"/>
            <w:tcBorders>
              <w:top w:val="dotted" w:sz="4" w:space="0" w:color="auto"/>
              <w:bottom w:val="single" w:sz="4" w:space="0" w:color="auto"/>
            </w:tcBorders>
            <w:shd w:val="clear" w:color="auto" w:fill="FF0000"/>
            <w:vAlign w:val="center"/>
          </w:tcPr>
          <w:p w14:paraId="5B775BE9"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CRITICAL</w:t>
            </w:r>
          </w:p>
        </w:tc>
      </w:tr>
      <w:tr w:rsidR="00F72046" w:rsidRPr="007F4F04" w14:paraId="45DF2E6C" w14:textId="77777777" w:rsidTr="001E6C50">
        <w:trPr>
          <w:trHeight w:val="340"/>
          <w:jc w:val="center"/>
        </w:trPr>
        <w:tc>
          <w:tcPr>
            <w:tcW w:w="2254" w:type="dxa"/>
            <w:tcBorders>
              <w:top w:val="single" w:sz="4" w:space="0" w:color="auto"/>
            </w:tcBorders>
            <w:vAlign w:val="center"/>
          </w:tcPr>
          <w:p w14:paraId="68121B39"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tcBorders>
              <w:top w:val="single" w:sz="4" w:space="0" w:color="auto"/>
            </w:tcBorders>
            <w:vAlign w:val="center"/>
          </w:tcPr>
          <w:p w14:paraId="19AB4B9A"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tcBorders>
              <w:top w:val="single" w:sz="4" w:space="0" w:color="auto"/>
            </w:tcBorders>
            <w:vAlign w:val="center"/>
          </w:tcPr>
          <w:p w14:paraId="5B800A04"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single" w:sz="4" w:space="0" w:color="auto"/>
            </w:tcBorders>
            <w:shd w:val="clear" w:color="auto" w:fill="FFC000"/>
            <w:vAlign w:val="center"/>
          </w:tcPr>
          <w:p w14:paraId="5A0D28B3"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MAJOR</w:t>
            </w:r>
          </w:p>
        </w:tc>
      </w:tr>
      <w:tr w:rsidR="00F72046" w:rsidRPr="007F4F04" w14:paraId="725C74A5" w14:textId="77777777" w:rsidTr="001E6C50">
        <w:trPr>
          <w:trHeight w:val="340"/>
          <w:jc w:val="center"/>
        </w:trPr>
        <w:tc>
          <w:tcPr>
            <w:tcW w:w="2254" w:type="dxa"/>
            <w:vAlign w:val="center"/>
          </w:tcPr>
          <w:p w14:paraId="1E04C572"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vAlign w:val="center"/>
          </w:tcPr>
          <w:p w14:paraId="38176295"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vAlign w:val="center"/>
          </w:tcPr>
          <w:p w14:paraId="742DC27F"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color w:val="FF0000"/>
              </w:rPr>
              <w:t>H</w:t>
            </w:r>
          </w:p>
        </w:tc>
        <w:tc>
          <w:tcPr>
            <w:tcW w:w="2254" w:type="dxa"/>
            <w:shd w:val="clear" w:color="auto" w:fill="FFC000"/>
            <w:vAlign w:val="center"/>
          </w:tcPr>
          <w:p w14:paraId="1A8B7036"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MAJOR</w:t>
            </w:r>
          </w:p>
        </w:tc>
      </w:tr>
      <w:tr w:rsidR="00F72046" w:rsidRPr="007F4F04" w14:paraId="17551046" w14:textId="77777777" w:rsidTr="001E6C50">
        <w:trPr>
          <w:trHeight w:val="340"/>
          <w:jc w:val="center"/>
        </w:trPr>
        <w:tc>
          <w:tcPr>
            <w:tcW w:w="2254" w:type="dxa"/>
            <w:vAlign w:val="center"/>
          </w:tcPr>
          <w:p w14:paraId="5FF3E483"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vAlign w:val="center"/>
          </w:tcPr>
          <w:p w14:paraId="2A92581F"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vAlign w:val="center"/>
          </w:tcPr>
          <w:p w14:paraId="4B4B71A1"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shd w:val="clear" w:color="auto" w:fill="FFC000"/>
            <w:vAlign w:val="center"/>
          </w:tcPr>
          <w:p w14:paraId="28531B8F"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MAJOR</w:t>
            </w:r>
          </w:p>
        </w:tc>
      </w:tr>
      <w:tr w:rsidR="00F72046" w:rsidRPr="007F4F04" w14:paraId="206C8906" w14:textId="77777777" w:rsidTr="001E6C50">
        <w:trPr>
          <w:trHeight w:val="340"/>
          <w:jc w:val="center"/>
        </w:trPr>
        <w:tc>
          <w:tcPr>
            <w:tcW w:w="2254" w:type="dxa"/>
            <w:vAlign w:val="center"/>
          </w:tcPr>
          <w:p w14:paraId="355E004F"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vAlign w:val="center"/>
          </w:tcPr>
          <w:p w14:paraId="723E96FC"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vAlign w:val="center"/>
          </w:tcPr>
          <w:p w14:paraId="66333BE7"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color w:val="FF0000"/>
              </w:rPr>
              <w:t>H</w:t>
            </w:r>
          </w:p>
        </w:tc>
        <w:tc>
          <w:tcPr>
            <w:tcW w:w="2254" w:type="dxa"/>
            <w:shd w:val="clear" w:color="auto" w:fill="FFC000"/>
            <w:vAlign w:val="center"/>
          </w:tcPr>
          <w:p w14:paraId="568DFE95"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MAJOR</w:t>
            </w:r>
          </w:p>
        </w:tc>
      </w:tr>
      <w:tr w:rsidR="00F72046" w:rsidRPr="007F4F04" w14:paraId="2649B617" w14:textId="77777777" w:rsidTr="001E6C50">
        <w:trPr>
          <w:trHeight w:val="340"/>
          <w:jc w:val="center"/>
        </w:trPr>
        <w:tc>
          <w:tcPr>
            <w:tcW w:w="2254" w:type="dxa"/>
            <w:vAlign w:val="center"/>
          </w:tcPr>
          <w:p w14:paraId="7ED17E6C"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vAlign w:val="center"/>
          </w:tcPr>
          <w:p w14:paraId="45EBEDDE"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vAlign w:val="center"/>
          </w:tcPr>
          <w:p w14:paraId="07114893"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shd w:val="clear" w:color="auto" w:fill="FFC000"/>
            <w:vAlign w:val="center"/>
          </w:tcPr>
          <w:p w14:paraId="3D19EA99"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MAJOR</w:t>
            </w:r>
          </w:p>
        </w:tc>
      </w:tr>
      <w:tr w:rsidR="00F72046" w:rsidRPr="007F4F04" w14:paraId="4A35BA2B" w14:textId="77777777" w:rsidTr="001E6C50">
        <w:trPr>
          <w:trHeight w:val="340"/>
          <w:jc w:val="center"/>
        </w:trPr>
        <w:tc>
          <w:tcPr>
            <w:tcW w:w="2254" w:type="dxa"/>
            <w:vAlign w:val="center"/>
          </w:tcPr>
          <w:p w14:paraId="74DB6745"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vAlign w:val="center"/>
          </w:tcPr>
          <w:p w14:paraId="2015B6E2"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vAlign w:val="center"/>
          </w:tcPr>
          <w:p w14:paraId="7C15B678"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color w:val="FF0000"/>
              </w:rPr>
              <w:t>H</w:t>
            </w:r>
          </w:p>
        </w:tc>
        <w:tc>
          <w:tcPr>
            <w:tcW w:w="2254" w:type="dxa"/>
            <w:shd w:val="clear" w:color="auto" w:fill="FFC000"/>
            <w:vAlign w:val="center"/>
          </w:tcPr>
          <w:p w14:paraId="6806068A"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MAJOR</w:t>
            </w:r>
          </w:p>
        </w:tc>
      </w:tr>
      <w:tr w:rsidR="00F72046" w:rsidRPr="007F4F04" w14:paraId="4155024A" w14:textId="77777777" w:rsidTr="001E6C50">
        <w:trPr>
          <w:trHeight w:val="340"/>
          <w:jc w:val="center"/>
        </w:trPr>
        <w:tc>
          <w:tcPr>
            <w:tcW w:w="2254" w:type="dxa"/>
            <w:tcBorders>
              <w:bottom w:val="single" w:sz="4" w:space="0" w:color="auto"/>
            </w:tcBorders>
            <w:vAlign w:val="center"/>
          </w:tcPr>
          <w:p w14:paraId="0A33DBE4"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tcBorders>
              <w:bottom w:val="single" w:sz="4" w:space="0" w:color="auto"/>
            </w:tcBorders>
            <w:vAlign w:val="center"/>
          </w:tcPr>
          <w:p w14:paraId="02876C42"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tcBorders>
              <w:bottom w:val="single" w:sz="4" w:space="0" w:color="auto"/>
            </w:tcBorders>
            <w:vAlign w:val="center"/>
          </w:tcPr>
          <w:p w14:paraId="2050DCD2"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bottom w:val="single" w:sz="4" w:space="0" w:color="auto"/>
            </w:tcBorders>
            <w:shd w:val="clear" w:color="auto" w:fill="FFC000"/>
            <w:vAlign w:val="center"/>
          </w:tcPr>
          <w:p w14:paraId="59342AA6"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MAJOR</w:t>
            </w:r>
          </w:p>
        </w:tc>
      </w:tr>
      <w:tr w:rsidR="00F72046" w:rsidRPr="007F4F04" w14:paraId="2762677B" w14:textId="77777777" w:rsidTr="001E6C50">
        <w:trPr>
          <w:trHeight w:val="340"/>
          <w:jc w:val="center"/>
        </w:trPr>
        <w:tc>
          <w:tcPr>
            <w:tcW w:w="2254" w:type="dxa"/>
            <w:tcBorders>
              <w:top w:val="single" w:sz="4" w:space="0" w:color="auto"/>
              <w:bottom w:val="dotted" w:sz="4" w:space="0" w:color="auto"/>
            </w:tcBorders>
            <w:vAlign w:val="center"/>
          </w:tcPr>
          <w:p w14:paraId="75459E81"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tcBorders>
              <w:top w:val="single" w:sz="4" w:space="0" w:color="auto"/>
              <w:bottom w:val="dotted" w:sz="4" w:space="0" w:color="auto"/>
            </w:tcBorders>
            <w:vAlign w:val="center"/>
          </w:tcPr>
          <w:p w14:paraId="0ADEC1F6"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single" w:sz="4" w:space="0" w:color="auto"/>
              <w:bottom w:val="dotted" w:sz="4" w:space="0" w:color="auto"/>
            </w:tcBorders>
            <w:vAlign w:val="center"/>
          </w:tcPr>
          <w:p w14:paraId="1EC3C107"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color w:val="FF0000"/>
              </w:rPr>
              <w:t>H</w:t>
            </w:r>
          </w:p>
        </w:tc>
        <w:tc>
          <w:tcPr>
            <w:tcW w:w="2254" w:type="dxa"/>
            <w:tcBorders>
              <w:top w:val="single" w:sz="4" w:space="0" w:color="auto"/>
              <w:bottom w:val="dotted" w:sz="4" w:space="0" w:color="auto"/>
            </w:tcBorders>
            <w:shd w:val="clear" w:color="auto" w:fill="92D050"/>
            <w:vAlign w:val="center"/>
          </w:tcPr>
          <w:p w14:paraId="56D0E808"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OTHER</w:t>
            </w:r>
          </w:p>
        </w:tc>
      </w:tr>
      <w:tr w:rsidR="00F72046" w:rsidRPr="007F4F04" w14:paraId="5650100D" w14:textId="77777777" w:rsidTr="001E6C50">
        <w:trPr>
          <w:trHeight w:val="340"/>
          <w:jc w:val="center"/>
        </w:trPr>
        <w:tc>
          <w:tcPr>
            <w:tcW w:w="2254" w:type="dxa"/>
            <w:tcBorders>
              <w:top w:val="dotted" w:sz="4" w:space="0" w:color="auto"/>
              <w:bottom w:val="dotted" w:sz="4" w:space="0" w:color="auto"/>
            </w:tcBorders>
            <w:vAlign w:val="center"/>
          </w:tcPr>
          <w:p w14:paraId="052894BB"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tcBorders>
              <w:top w:val="dotted" w:sz="4" w:space="0" w:color="auto"/>
              <w:bottom w:val="dotted" w:sz="4" w:space="0" w:color="auto"/>
            </w:tcBorders>
            <w:vAlign w:val="center"/>
          </w:tcPr>
          <w:p w14:paraId="00DE8282"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vAlign w:val="center"/>
          </w:tcPr>
          <w:p w14:paraId="73416E05"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shd w:val="clear" w:color="auto" w:fill="92D050"/>
            <w:vAlign w:val="center"/>
          </w:tcPr>
          <w:p w14:paraId="3026A9E2"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OTHER</w:t>
            </w:r>
          </w:p>
        </w:tc>
      </w:tr>
      <w:tr w:rsidR="00F72046" w:rsidRPr="007F4F04" w14:paraId="52E0C836" w14:textId="77777777" w:rsidTr="001E6C50">
        <w:trPr>
          <w:trHeight w:val="340"/>
          <w:jc w:val="center"/>
        </w:trPr>
        <w:tc>
          <w:tcPr>
            <w:tcW w:w="2254" w:type="dxa"/>
            <w:tcBorders>
              <w:top w:val="dotted" w:sz="4" w:space="0" w:color="auto"/>
              <w:bottom w:val="dotted" w:sz="4" w:space="0" w:color="auto"/>
            </w:tcBorders>
            <w:vAlign w:val="center"/>
          </w:tcPr>
          <w:p w14:paraId="5884B177"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vAlign w:val="center"/>
          </w:tcPr>
          <w:p w14:paraId="75990DE6"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tcBorders>
              <w:top w:val="dotted" w:sz="4" w:space="0" w:color="auto"/>
              <w:bottom w:val="dotted" w:sz="4" w:space="0" w:color="auto"/>
            </w:tcBorders>
            <w:vAlign w:val="center"/>
          </w:tcPr>
          <w:p w14:paraId="0BB7316F"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color w:val="FF0000"/>
              </w:rPr>
              <w:t>H</w:t>
            </w:r>
          </w:p>
        </w:tc>
        <w:tc>
          <w:tcPr>
            <w:tcW w:w="2254" w:type="dxa"/>
            <w:tcBorders>
              <w:top w:val="dotted" w:sz="4" w:space="0" w:color="auto"/>
              <w:bottom w:val="dotted" w:sz="4" w:space="0" w:color="auto"/>
            </w:tcBorders>
            <w:shd w:val="clear" w:color="auto" w:fill="92D050"/>
            <w:vAlign w:val="center"/>
          </w:tcPr>
          <w:p w14:paraId="0DF032FD"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OTHER</w:t>
            </w:r>
          </w:p>
        </w:tc>
      </w:tr>
      <w:tr w:rsidR="00F72046" w:rsidRPr="007F4F04" w14:paraId="6E901FA0" w14:textId="77777777" w:rsidTr="001E6C50">
        <w:trPr>
          <w:trHeight w:val="340"/>
          <w:jc w:val="center"/>
        </w:trPr>
        <w:tc>
          <w:tcPr>
            <w:tcW w:w="2254" w:type="dxa"/>
            <w:tcBorders>
              <w:top w:val="dotted" w:sz="4" w:space="0" w:color="auto"/>
              <w:bottom w:val="dotted" w:sz="4" w:space="0" w:color="auto"/>
            </w:tcBorders>
            <w:vAlign w:val="center"/>
          </w:tcPr>
          <w:p w14:paraId="146D9138"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vAlign w:val="center"/>
          </w:tcPr>
          <w:p w14:paraId="4A68BD67" w14:textId="77777777" w:rsidR="00F72046" w:rsidRPr="00644D2B" w:rsidRDefault="00F72046" w:rsidP="001E6C50">
            <w:pPr>
              <w:spacing w:before="0" w:after="0"/>
              <w:jc w:val="center"/>
              <w:rPr>
                <w:rFonts w:asciiTheme="minorHAnsi" w:eastAsia="Calibri" w:hAnsiTheme="minorHAnsi" w:cstheme="minorHAnsi"/>
                <w:b/>
                <w:color w:val="FF0000"/>
              </w:rPr>
            </w:pPr>
            <w:r w:rsidRPr="00644D2B">
              <w:rPr>
                <w:rFonts w:asciiTheme="minorHAnsi" w:eastAsia="Calibri" w:hAnsiTheme="minorHAnsi" w:cstheme="minorHAnsi"/>
                <w:b/>
                <w:color w:val="FF0000"/>
              </w:rPr>
              <w:t>H</w:t>
            </w:r>
          </w:p>
        </w:tc>
        <w:tc>
          <w:tcPr>
            <w:tcW w:w="2254" w:type="dxa"/>
            <w:tcBorders>
              <w:top w:val="dotted" w:sz="4" w:space="0" w:color="auto"/>
              <w:bottom w:val="dotted" w:sz="4" w:space="0" w:color="auto"/>
            </w:tcBorders>
            <w:vAlign w:val="center"/>
          </w:tcPr>
          <w:p w14:paraId="2F36EAC4"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shd w:val="clear" w:color="auto" w:fill="92D050"/>
            <w:vAlign w:val="center"/>
          </w:tcPr>
          <w:p w14:paraId="68D92C94"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OTHER</w:t>
            </w:r>
          </w:p>
        </w:tc>
      </w:tr>
      <w:tr w:rsidR="00F72046" w:rsidRPr="007F4F04" w14:paraId="0F14DE83" w14:textId="77777777" w:rsidTr="001E6C50">
        <w:trPr>
          <w:trHeight w:val="340"/>
          <w:jc w:val="center"/>
        </w:trPr>
        <w:tc>
          <w:tcPr>
            <w:tcW w:w="2254" w:type="dxa"/>
            <w:tcBorders>
              <w:top w:val="dotted" w:sz="4" w:space="0" w:color="auto"/>
              <w:bottom w:val="dotted" w:sz="4" w:space="0" w:color="auto"/>
            </w:tcBorders>
            <w:vAlign w:val="center"/>
          </w:tcPr>
          <w:p w14:paraId="2A1A329D"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vAlign w:val="center"/>
          </w:tcPr>
          <w:p w14:paraId="4A1483AE"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tcBorders>
              <w:top w:val="dotted" w:sz="4" w:space="0" w:color="auto"/>
              <w:bottom w:val="dotted" w:sz="4" w:space="0" w:color="auto"/>
            </w:tcBorders>
            <w:vAlign w:val="center"/>
          </w:tcPr>
          <w:p w14:paraId="100C9177"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color w:val="FF0000"/>
              </w:rPr>
              <w:t>H</w:t>
            </w:r>
          </w:p>
        </w:tc>
        <w:tc>
          <w:tcPr>
            <w:tcW w:w="2254" w:type="dxa"/>
            <w:tcBorders>
              <w:top w:val="dotted" w:sz="4" w:space="0" w:color="auto"/>
              <w:bottom w:val="dotted" w:sz="4" w:space="0" w:color="auto"/>
            </w:tcBorders>
            <w:shd w:val="clear" w:color="auto" w:fill="92D050"/>
            <w:vAlign w:val="center"/>
          </w:tcPr>
          <w:p w14:paraId="4D35413F"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OTHER</w:t>
            </w:r>
          </w:p>
        </w:tc>
      </w:tr>
      <w:tr w:rsidR="00F72046" w:rsidRPr="007F4F04" w14:paraId="1F2CEEB6" w14:textId="77777777" w:rsidTr="001E6C50">
        <w:trPr>
          <w:trHeight w:val="340"/>
          <w:jc w:val="center"/>
        </w:trPr>
        <w:tc>
          <w:tcPr>
            <w:tcW w:w="2254" w:type="dxa"/>
            <w:tcBorders>
              <w:top w:val="dotted" w:sz="4" w:space="0" w:color="auto"/>
              <w:bottom w:val="dotted" w:sz="4" w:space="0" w:color="auto"/>
            </w:tcBorders>
            <w:vAlign w:val="center"/>
          </w:tcPr>
          <w:p w14:paraId="2EA90C27"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vAlign w:val="center"/>
          </w:tcPr>
          <w:p w14:paraId="2643EF5D"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9900"/>
              </w:rPr>
              <w:t>M</w:t>
            </w:r>
          </w:p>
        </w:tc>
        <w:tc>
          <w:tcPr>
            <w:tcW w:w="2254" w:type="dxa"/>
            <w:tcBorders>
              <w:top w:val="dotted" w:sz="4" w:space="0" w:color="auto"/>
              <w:bottom w:val="dotted" w:sz="4" w:space="0" w:color="auto"/>
            </w:tcBorders>
            <w:vAlign w:val="center"/>
          </w:tcPr>
          <w:p w14:paraId="1742894C"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shd w:val="clear" w:color="auto" w:fill="92D050"/>
            <w:vAlign w:val="center"/>
          </w:tcPr>
          <w:p w14:paraId="6E99D929"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OTHER</w:t>
            </w:r>
          </w:p>
        </w:tc>
      </w:tr>
      <w:tr w:rsidR="00F72046" w:rsidRPr="007F4F04" w14:paraId="2190F7BE" w14:textId="77777777" w:rsidTr="001E6C50">
        <w:trPr>
          <w:trHeight w:val="340"/>
          <w:jc w:val="center"/>
        </w:trPr>
        <w:tc>
          <w:tcPr>
            <w:tcW w:w="2254" w:type="dxa"/>
            <w:tcBorders>
              <w:top w:val="dotted" w:sz="4" w:space="0" w:color="auto"/>
              <w:bottom w:val="dotted" w:sz="4" w:space="0" w:color="auto"/>
            </w:tcBorders>
            <w:vAlign w:val="center"/>
          </w:tcPr>
          <w:p w14:paraId="19CE767D"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vAlign w:val="center"/>
          </w:tcPr>
          <w:p w14:paraId="20A45FFF"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dotted" w:sz="4" w:space="0" w:color="auto"/>
            </w:tcBorders>
            <w:vAlign w:val="center"/>
          </w:tcPr>
          <w:p w14:paraId="5D037128" w14:textId="77777777" w:rsidR="00F72046" w:rsidRPr="00644D2B" w:rsidRDefault="00F72046" w:rsidP="001E6C50">
            <w:pPr>
              <w:spacing w:before="0" w:after="0"/>
              <w:jc w:val="center"/>
              <w:rPr>
                <w:rFonts w:asciiTheme="minorHAnsi" w:eastAsia="Calibri" w:hAnsiTheme="minorHAnsi" w:cstheme="minorHAnsi"/>
                <w:b/>
                <w:color w:val="FF9900"/>
              </w:rPr>
            </w:pPr>
            <w:r w:rsidRPr="00644D2B">
              <w:rPr>
                <w:rFonts w:asciiTheme="minorHAnsi" w:eastAsia="Calibri" w:hAnsiTheme="minorHAnsi" w:cstheme="minorHAnsi"/>
                <w:b/>
                <w:color w:val="FF0000"/>
              </w:rPr>
              <w:t>H</w:t>
            </w:r>
          </w:p>
        </w:tc>
        <w:tc>
          <w:tcPr>
            <w:tcW w:w="2254" w:type="dxa"/>
            <w:tcBorders>
              <w:top w:val="dotted" w:sz="4" w:space="0" w:color="auto"/>
              <w:bottom w:val="dotted" w:sz="4" w:space="0" w:color="auto"/>
            </w:tcBorders>
            <w:shd w:val="clear" w:color="auto" w:fill="92D050"/>
            <w:vAlign w:val="center"/>
          </w:tcPr>
          <w:p w14:paraId="6818FC39"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OTHER</w:t>
            </w:r>
          </w:p>
        </w:tc>
      </w:tr>
      <w:tr w:rsidR="00F72046" w:rsidRPr="007F4F04" w14:paraId="12B28DA3" w14:textId="77777777" w:rsidTr="001E6C50">
        <w:trPr>
          <w:trHeight w:val="340"/>
          <w:jc w:val="center"/>
        </w:trPr>
        <w:tc>
          <w:tcPr>
            <w:tcW w:w="2254" w:type="dxa"/>
            <w:tcBorders>
              <w:top w:val="dotted" w:sz="4" w:space="0" w:color="auto"/>
              <w:bottom w:val="single" w:sz="4" w:space="0" w:color="auto"/>
            </w:tcBorders>
            <w:vAlign w:val="center"/>
          </w:tcPr>
          <w:p w14:paraId="517CF01D"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single" w:sz="4" w:space="0" w:color="auto"/>
            </w:tcBorders>
            <w:vAlign w:val="center"/>
          </w:tcPr>
          <w:p w14:paraId="41147C4D"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single" w:sz="4" w:space="0" w:color="auto"/>
            </w:tcBorders>
            <w:vAlign w:val="center"/>
          </w:tcPr>
          <w:p w14:paraId="49F161CD" w14:textId="77777777" w:rsidR="00F72046" w:rsidRPr="00644D2B" w:rsidRDefault="00F72046" w:rsidP="001E6C50">
            <w:pPr>
              <w:spacing w:before="0" w:after="0"/>
              <w:jc w:val="center"/>
              <w:rPr>
                <w:rFonts w:asciiTheme="minorHAnsi" w:eastAsia="Calibri" w:hAnsiTheme="minorHAnsi" w:cstheme="minorHAnsi"/>
                <w:b/>
                <w:color w:val="00B050"/>
              </w:rPr>
            </w:pPr>
            <w:r w:rsidRPr="00644D2B">
              <w:rPr>
                <w:rFonts w:asciiTheme="minorHAnsi" w:eastAsia="Calibri" w:hAnsiTheme="minorHAnsi" w:cstheme="minorHAnsi"/>
                <w:b/>
                <w:color w:val="00B050"/>
              </w:rPr>
              <w:t>L</w:t>
            </w:r>
          </w:p>
        </w:tc>
        <w:tc>
          <w:tcPr>
            <w:tcW w:w="2254" w:type="dxa"/>
            <w:tcBorders>
              <w:top w:val="dotted" w:sz="4" w:space="0" w:color="auto"/>
              <w:bottom w:val="single" w:sz="4" w:space="0" w:color="auto"/>
            </w:tcBorders>
            <w:shd w:val="clear" w:color="auto" w:fill="92D050"/>
            <w:vAlign w:val="center"/>
          </w:tcPr>
          <w:p w14:paraId="4C41C86B" w14:textId="77777777" w:rsidR="00F72046" w:rsidRPr="00644D2B" w:rsidRDefault="00F72046" w:rsidP="001E6C50">
            <w:pPr>
              <w:spacing w:before="0" w:after="0"/>
              <w:jc w:val="center"/>
              <w:rPr>
                <w:rFonts w:asciiTheme="minorHAnsi" w:eastAsia="Calibri" w:hAnsiTheme="minorHAnsi" w:cstheme="minorHAnsi"/>
                <w:b/>
              </w:rPr>
            </w:pPr>
            <w:r w:rsidRPr="00644D2B">
              <w:rPr>
                <w:rFonts w:asciiTheme="minorHAnsi" w:eastAsia="Calibri" w:hAnsiTheme="minorHAnsi" w:cstheme="minorHAnsi"/>
                <w:b/>
              </w:rPr>
              <w:t>OTHER</w:t>
            </w:r>
          </w:p>
        </w:tc>
      </w:tr>
    </w:tbl>
    <w:p w14:paraId="66F054BE" w14:textId="77777777" w:rsidR="00F72046" w:rsidRDefault="00F72046" w:rsidP="00F72046">
      <w:pPr>
        <w:pStyle w:val="Heading2"/>
      </w:pPr>
      <w:r>
        <w:t>Example finding and scoring breakdown</w:t>
      </w:r>
    </w:p>
    <w:p w14:paraId="2CEFF582" w14:textId="77777777" w:rsidR="00F72046" w:rsidRDefault="00F72046" w:rsidP="00F72046">
      <w:pPr>
        <w:tabs>
          <w:tab w:val="left" w:pos="6138"/>
        </w:tabs>
      </w:pPr>
      <w:r w:rsidRPr="00A07CA3">
        <w:t>SOP deviation:</w:t>
      </w:r>
      <w:r>
        <w:t xml:space="preserve"> SOP v4.0 effective date 25-Aug-2018 section 9.1 Develop a Monitoring Plan </w:t>
      </w:r>
      <w:proofErr w:type="gramStart"/>
      <w:r>
        <w:t>states</w:t>
      </w:r>
      <w:proofErr w:type="gramEnd"/>
      <w:r>
        <w:t xml:space="preserve"> “The monitoring plan should document any oversight committees to be used for the trial including the Trial Management Group (TMG), Trial Steering Committee (TSC) Data Monitoring Committee (DMC)”. </w:t>
      </w:r>
    </w:p>
    <w:p w14:paraId="0CAA5911" w14:textId="77777777" w:rsidR="00F72046" w:rsidRDefault="00F72046" w:rsidP="00F72046">
      <w:r>
        <w:t>Whilst reviewing monitoring plans for all three trials, the reviewer found no documentation to evidence the involvement of any oversight committee. However, during the audit, they interviewed staff who confirmed that oversight committees were involved in all three trials.</w:t>
      </w:r>
    </w:p>
    <w:p w14:paraId="7E2796AC" w14:textId="77777777" w:rsidR="00F72046" w:rsidRDefault="00F72046" w:rsidP="00F72046">
      <w:r>
        <w:t xml:space="preserve">Grading: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for scoring breakdown"/>
      </w:tblPr>
      <w:tblGrid>
        <w:gridCol w:w="2376"/>
        <w:gridCol w:w="284"/>
        <w:gridCol w:w="2869"/>
      </w:tblGrid>
      <w:tr w:rsidR="00F72046" w14:paraId="3D10FCE4" w14:textId="77777777" w:rsidTr="001E6C50">
        <w:tc>
          <w:tcPr>
            <w:tcW w:w="2376" w:type="dxa"/>
            <w:shd w:val="clear" w:color="auto" w:fill="auto"/>
          </w:tcPr>
          <w:p w14:paraId="4FCC38D9" w14:textId="77777777" w:rsidR="00F72046" w:rsidRDefault="00F72046" w:rsidP="001E6C50">
            <w:r>
              <w:t>Impact ranking – Low</w:t>
            </w:r>
          </w:p>
        </w:tc>
        <w:tc>
          <w:tcPr>
            <w:tcW w:w="284" w:type="dxa"/>
            <w:tcBorders>
              <w:top w:val="single" w:sz="4" w:space="0" w:color="auto"/>
              <w:right w:val="single" w:sz="4" w:space="0" w:color="auto"/>
            </w:tcBorders>
          </w:tcPr>
          <w:p w14:paraId="68ADBA1E" w14:textId="77777777" w:rsidR="00F72046" w:rsidRPr="00BD23BF" w:rsidRDefault="00F72046" w:rsidP="001E6C50">
            <w:pPr>
              <w:jc w:val="center"/>
              <w:rPr>
                <w:b/>
                <w:color w:val="00B050"/>
                <w:sz w:val="16"/>
                <w:szCs w:val="16"/>
              </w:rPr>
            </w:pPr>
          </w:p>
        </w:tc>
        <w:tc>
          <w:tcPr>
            <w:tcW w:w="2869" w:type="dxa"/>
            <w:vMerge w:val="restart"/>
            <w:tcBorders>
              <w:left w:val="single" w:sz="4" w:space="0" w:color="auto"/>
            </w:tcBorders>
            <w:shd w:val="clear" w:color="auto" w:fill="auto"/>
            <w:vAlign w:val="center"/>
          </w:tcPr>
          <w:p w14:paraId="6BC9F034" w14:textId="77777777" w:rsidR="00F72046" w:rsidRPr="00BD23BF" w:rsidRDefault="00F72046" w:rsidP="001E6C50">
            <w:pPr>
              <w:jc w:val="center"/>
              <w:rPr>
                <w:b/>
              </w:rPr>
            </w:pPr>
            <w:r w:rsidRPr="00A07CA3">
              <w:t>Overall classification:</w:t>
            </w:r>
            <w:r>
              <w:t xml:space="preserve"> </w:t>
            </w:r>
            <w:r w:rsidRPr="00BD23BF">
              <w:rPr>
                <w:b/>
                <w:color w:val="00B050"/>
              </w:rPr>
              <w:t>Other</w:t>
            </w:r>
          </w:p>
        </w:tc>
      </w:tr>
      <w:tr w:rsidR="00F72046" w14:paraId="2198766D" w14:textId="77777777" w:rsidTr="001E6C50">
        <w:tc>
          <w:tcPr>
            <w:tcW w:w="2376" w:type="dxa"/>
            <w:shd w:val="clear" w:color="auto" w:fill="auto"/>
          </w:tcPr>
          <w:p w14:paraId="4FC2965C" w14:textId="77777777" w:rsidR="00F72046" w:rsidRDefault="00F72046" w:rsidP="001E6C50">
            <w:r>
              <w:t>Frequency ranking – High</w:t>
            </w:r>
          </w:p>
        </w:tc>
        <w:tc>
          <w:tcPr>
            <w:tcW w:w="284" w:type="dxa"/>
            <w:tcBorders>
              <w:right w:val="single" w:sz="4" w:space="0" w:color="auto"/>
            </w:tcBorders>
          </w:tcPr>
          <w:p w14:paraId="770F37F6" w14:textId="77777777" w:rsidR="00F72046" w:rsidRPr="00BD23BF" w:rsidRDefault="00F72046" w:rsidP="001E6C50">
            <w:pPr>
              <w:rPr>
                <w:sz w:val="16"/>
                <w:szCs w:val="16"/>
              </w:rPr>
            </w:pPr>
          </w:p>
        </w:tc>
        <w:tc>
          <w:tcPr>
            <w:tcW w:w="2869" w:type="dxa"/>
            <w:vMerge/>
            <w:tcBorders>
              <w:left w:val="single" w:sz="4" w:space="0" w:color="auto"/>
            </w:tcBorders>
            <w:shd w:val="clear" w:color="auto" w:fill="auto"/>
          </w:tcPr>
          <w:p w14:paraId="1DE2D1D4" w14:textId="77777777" w:rsidR="00F72046" w:rsidRDefault="00F72046" w:rsidP="001E6C50"/>
        </w:tc>
      </w:tr>
      <w:tr w:rsidR="00F72046" w14:paraId="7755DDD3" w14:textId="77777777" w:rsidTr="001E6C50">
        <w:tc>
          <w:tcPr>
            <w:tcW w:w="2376" w:type="dxa"/>
            <w:shd w:val="clear" w:color="auto" w:fill="auto"/>
          </w:tcPr>
          <w:p w14:paraId="71040737" w14:textId="77777777" w:rsidR="00F72046" w:rsidRDefault="00F72046" w:rsidP="001E6C50">
            <w:r>
              <w:t>Action ranking – Low</w:t>
            </w:r>
          </w:p>
        </w:tc>
        <w:tc>
          <w:tcPr>
            <w:tcW w:w="284" w:type="dxa"/>
            <w:tcBorders>
              <w:bottom w:val="single" w:sz="4" w:space="0" w:color="auto"/>
              <w:right w:val="single" w:sz="4" w:space="0" w:color="auto"/>
            </w:tcBorders>
          </w:tcPr>
          <w:p w14:paraId="4295BE18" w14:textId="77777777" w:rsidR="00F72046" w:rsidRPr="00BD23BF" w:rsidRDefault="00F72046" w:rsidP="001E6C50">
            <w:pPr>
              <w:rPr>
                <w:sz w:val="16"/>
                <w:szCs w:val="16"/>
              </w:rPr>
            </w:pPr>
          </w:p>
        </w:tc>
        <w:tc>
          <w:tcPr>
            <w:tcW w:w="2869" w:type="dxa"/>
            <w:vMerge/>
            <w:tcBorders>
              <w:left w:val="single" w:sz="4" w:space="0" w:color="auto"/>
            </w:tcBorders>
            <w:shd w:val="clear" w:color="auto" w:fill="auto"/>
          </w:tcPr>
          <w:p w14:paraId="05AA74F7" w14:textId="77777777" w:rsidR="00F72046" w:rsidRDefault="00F72046" w:rsidP="001E6C50"/>
        </w:tc>
      </w:tr>
    </w:tbl>
    <w:p w14:paraId="34F55B78" w14:textId="77777777" w:rsidR="00F72046" w:rsidRDefault="00F72046" w:rsidP="00F72046">
      <w:pPr>
        <w:pStyle w:val="Heading2"/>
      </w:pPr>
      <w:r>
        <w:t>Classification definitions</w:t>
      </w:r>
    </w:p>
    <w:p w14:paraId="43C2C7E3" w14:textId="77777777" w:rsidR="00F72046" w:rsidRPr="005E70FB" w:rsidRDefault="00F72046" w:rsidP="00F72046">
      <w:pPr>
        <w:pStyle w:val="Heading3"/>
      </w:pPr>
      <w:r>
        <w:t>GCP-related compliance reviews</w:t>
      </w:r>
    </w:p>
    <w:p w14:paraId="227B1945" w14:textId="33CDBE73" w:rsidR="00F72046" w:rsidRDefault="00F72046" w:rsidP="00F72046">
      <w:r>
        <w:t>The table below is an example of the c</w:t>
      </w:r>
      <w:r w:rsidRPr="00D271E2">
        <w:t>lassification definitions</w:t>
      </w:r>
      <w:r>
        <w:t xml:space="preserve"> that may be used in the review of a research project and/or CTU. The definitions are adapted from </w:t>
      </w:r>
      <w:r w:rsidRPr="00CA565E">
        <w:t xml:space="preserve">the </w:t>
      </w:r>
      <w:hyperlink r:id="rId12" w:anchor="during-the-inspection" w:tooltip="MHRA's grading of inspection findings for GCP" w:history="1">
        <w:r w:rsidR="004D71B6">
          <w:rPr>
            <w:rStyle w:val="Hyperlink"/>
          </w:rPr>
          <w:t>MHRA g</w:t>
        </w:r>
        <w:r w:rsidRPr="00CA565E">
          <w:rPr>
            <w:rStyle w:val="Hyperlink"/>
          </w:rPr>
          <w:t xml:space="preserve">rading of </w:t>
        </w:r>
        <w:r w:rsidR="004D71B6">
          <w:rPr>
            <w:rStyle w:val="Hyperlink"/>
          </w:rPr>
          <w:t xml:space="preserve">GCP </w:t>
        </w:r>
        <w:r w:rsidRPr="00CA565E">
          <w:rPr>
            <w:rStyle w:val="Hyperlink"/>
          </w:rPr>
          <w:t>inspection findings</w:t>
        </w:r>
      </w:hyperlink>
      <w:r>
        <w:t>.</w:t>
      </w: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271"/>
        <w:gridCol w:w="7745"/>
      </w:tblGrid>
      <w:tr w:rsidR="00F72046" w14:paraId="2C58EEBC" w14:textId="77777777" w:rsidTr="001E6C50">
        <w:tc>
          <w:tcPr>
            <w:tcW w:w="1271" w:type="dxa"/>
          </w:tcPr>
          <w:p w14:paraId="678542AE" w14:textId="77777777" w:rsidR="00F72046" w:rsidRDefault="00F72046" w:rsidP="001E6C50">
            <w:pPr>
              <w:pStyle w:val="AbbreviationsDefinitionsTerm"/>
            </w:pPr>
            <w:r>
              <w:t>Definition:</w:t>
            </w:r>
          </w:p>
        </w:tc>
        <w:tc>
          <w:tcPr>
            <w:tcW w:w="7745" w:type="dxa"/>
          </w:tcPr>
          <w:p w14:paraId="7E5C0C83" w14:textId="77777777" w:rsidR="00F72046" w:rsidRDefault="00F72046" w:rsidP="001E6C50">
            <w:pPr>
              <w:pStyle w:val="AbbreviationsDefinitionsTerm"/>
            </w:pPr>
            <w:r>
              <w:t>Description:</w:t>
            </w:r>
          </w:p>
        </w:tc>
      </w:tr>
      <w:tr w:rsidR="00F72046" w:rsidRPr="007F4F04" w14:paraId="312EFFAD" w14:textId="77777777" w:rsidTr="001E6C50">
        <w:tc>
          <w:tcPr>
            <w:tcW w:w="1271" w:type="dxa"/>
          </w:tcPr>
          <w:p w14:paraId="6ACB608F" w14:textId="77777777" w:rsidR="00F72046" w:rsidRDefault="00F72046" w:rsidP="001E6C50">
            <w:r>
              <w:rPr>
                <w:color w:val="FF0000"/>
              </w:rPr>
              <w:t>Critical</w:t>
            </w:r>
          </w:p>
        </w:tc>
        <w:tc>
          <w:tcPr>
            <w:tcW w:w="7745" w:type="dxa"/>
          </w:tcPr>
          <w:p w14:paraId="17444BFB" w14:textId="77777777" w:rsidR="00F72046" w:rsidRDefault="00F72046" w:rsidP="001E6C50">
            <w:r>
              <w:t xml:space="preserve">Where practices or processes have resulted in a significant deviation and unjustified departure from: the protocol, the UoB quality management system (QMS), the area of Good Practice (GxP) reviewed and/or regulatory requirements. There is also evidence that: </w:t>
            </w:r>
          </w:p>
          <w:p w14:paraId="3223A3BE" w14:textId="77777777" w:rsidR="00F72046" w:rsidRDefault="00F72046" w:rsidP="001E6C50">
            <w:pPr>
              <w:pStyle w:val="bullet1"/>
            </w:pPr>
            <w:r>
              <w:t>participant safety or wellbeing has been jeopardised, or has significant potential to be</w:t>
            </w:r>
          </w:p>
          <w:p w14:paraId="1C4D7569" w14:textId="77777777" w:rsidR="00F72046" w:rsidRDefault="00F72046" w:rsidP="001E6C50">
            <w:pPr>
              <w:pStyle w:val="bullet1"/>
            </w:pPr>
            <w:r>
              <w:t>the validity and/or integrity of data/documentation has been compromised</w:t>
            </w:r>
          </w:p>
          <w:p w14:paraId="629DF843" w14:textId="77777777" w:rsidR="00F72046" w:rsidRDefault="00F72046" w:rsidP="001E6C50">
            <w:pPr>
              <w:pStyle w:val="bullet1"/>
            </w:pPr>
            <w:r>
              <w:t>the validity and/or integrity of clinical research conduct has been compromised</w:t>
            </w:r>
          </w:p>
          <w:p w14:paraId="614A083E" w14:textId="77777777" w:rsidR="00F72046" w:rsidRDefault="00F72046" w:rsidP="001E6C50">
            <w:pPr>
              <w:pStyle w:val="bullet1"/>
            </w:pPr>
            <w:r>
              <w:t>the integrity of any external-sponsor/third-party contracts has been compromised (if applicable)</w:t>
            </w:r>
          </w:p>
          <w:p w14:paraId="702B0D8F" w14:textId="77777777" w:rsidR="00F72046" w:rsidRDefault="00F72046" w:rsidP="001E6C50">
            <w:pPr>
              <w:pStyle w:val="bullet1"/>
            </w:pPr>
            <w:r>
              <w:t xml:space="preserve">there are a number of major findings, indicating a systematic failure in compliance </w:t>
            </w:r>
          </w:p>
          <w:p w14:paraId="3EB41B63" w14:textId="77777777" w:rsidR="00F72046" w:rsidRDefault="00F72046" w:rsidP="001E6C50">
            <w:pPr>
              <w:pStyle w:val="bullet1"/>
            </w:pPr>
            <w:r>
              <w:t>inappropriate, insufficient or untimely corrective action has taken place in response to ‘major’ findings.</w:t>
            </w:r>
          </w:p>
          <w:p w14:paraId="1E8B894C" w14:textId="77777777" w:rsidR="00F72046" w:rsidRDefault="00F72046" w:rsidP="001E6C50">
            <w:r>
              <w:t>Notes</w:t>
            </w:r>
            <w:r w:rsidRPr="00262CD9">
              <w:t xml:space="preserve"> </w:t>
            </w:r>
          </w:p>
          <w:p w14:paraId="6A1EE466" w14:textId="77777777" w:rsidR="00F72046" w:rsidRDefault="00F72046" w:rsidP="001E6C50">
            <w:pPr>
              <w:pStyle w:val="bullet1"/>
            </w:pPr>
            <w:r w:rsidRPr="007D3243">
              <w:t>Where inappropriate, insufficient or untimely corrective action</w:t>
            </w:r>
            <w:r>
              <w:t xml:space="preserve"> </w:t>
            </w:r>
            <w:r w:rsidRPr="007D3243">
              <w:t xml:space="preserve">has taken place </w:t>
            </w:r>
            <w:r>
              <w:t xml:space="preserve">in response to </w:t>
            </w:r>
            <w:r w:rsidRPr="007D3243">
              <w:t xml:space="preserve">previously reported </w:t>
            </w:r>
            <w:r>
              <w:t>m</w:t>
            </w:r>
            <w:r w:rsidRPr="007D3243">
              <w:t>ajor non-compliances</w:t>
            </w:r>
            <w:r>
              <w:t>, this would be classified as ‘critical’</w:t>
            </w:r>
          </w:p>
          <w:p w14:paraId="3E2D1B4F" w14:textId="77777777" w:rsidR="00F72046" w:rsidRDefault="00F72046" w:rsidP="001E6C50">
            <w:pPr>
              <w:pStyle w:val="bullet1"/>
            </w:pPr>
            <w:bookmarkStart w:id="1" w:name="_Hlk84518258"/>
            <w:r>
              <w:t>For CTIMPs and ATIMPs: w</w:t>
            </w:r>
            <w:r w:rsidRPr="007D3243">
              <w:t xml:space="preserve">here provision of the </w:t>
            </w:r>
            <w:r>
              <w:t>t</w:t>
            </w:r>
            <w:r w:rsidRPr="007D3243">
              <w:t xml:space="preserve">rial </w:t>
            </w:r>
            <w:r>
              <w:t>m</w:t>
            </w:r>
            <w:r w:rsidRPr="007D3243">
              <w:t xml:space="preserve">aster </w:t>
            </w:r>
            <w:r>
              <w:t>f</w:t>
            </w:r>
            <w:r w:rsidRPr="007D3243">
              <w:t>ile (TMF) does not comply with Regulation 31A 1-3</w:t>
            </w:r>
            <w:r>
              <w:t xml:space="preserve"> of </w:t>
            </w:r>
            <w:r w:rsidRPr="00F414A5">
              <w:t>The Medicines for Human Use (Clinical Trials) Amendment Regulations 2006</w:t>
            </w:r>
            <w:r>
              <w:t>, this would be classified as ‘critical’. For example:</w:t>
            </w:r>
          </w:p>
          <w:p w14:paraId="637D8202" w14:textId="77777777" w:rsidR="00F72046" w:rsidRDefault="00F72046" w:rsidP="001E6C50">
            <w:pPr>
              <w:pStyle w:val="bullet2"/>
            </w:pPr>
            <w:r w:rsidRPr="007D3243">
              <w:t>the TMF is not readily available or accessible</w:t>
            </w:r>
            <w:r>
              <w:t xml:space="preserve"> </w:t>
            </w:r>
          </w:p>
          <w:p w14:paraId="60F17E89" w14:textId="13C73E2B" w:rsidR="00F72046" w:rsidRDefault="00F72046" w:rsidP="001E6C50">
            <w:pPr>
              <w:pStyle w:val="bullet2"/>
            </w:pPr>
            <w:r w:rsidRPr="007D3243">
              <w:t xml:space="preserve">the TMF is incomplete to such an extent that it cannot form the basis of </w:t>
            </w:r>
            <w:r w:rsidR="00E42F21">
              <w:t xml:space="preserve">an </w:t>
            </w:r>
            <w:proofErr w:type="gramStart"/>
            <w:r w:rsidRPr="007D3243">
              <w:t>audit</w:t>
            </w:r>
            <w:r>
              <w:t>,</w:t>
            </w:r>
            <w:r w:rsidRPr="007D3243">
              <w:t xml:space="preserve"> and</w:t>
            </w:r>
            <w:proofErr w:type="gramEnd"/>
            <w:r w:rsidRPr="007D3243">
              <w:t xml:space="preserve"> impedes or obstructs auditors </w:t>
            </w:r>
            <w:r>
              <w:t xml:space="preserve">in </w:t>
            </w:r>
            <w:r w:rsidRPr="007D3243">
              <w:t xml:space="preserve">their </w:t>
            </w:r>
            <w:r>
              <w:t>ability</w:t>
            </w:r>
            <w:r w:rsidRPr="007D3243">
              <w:t xml:space="preserve"> </w:t>
            </w:r>
            <w:r>
              <w:t>to</w:t>
            </w:r>
            <w:r w:rsidRPr="007D3243">
              <w:t xml:space="preserve"> verify compliance with the </w:t>
            </w:r>
            <w:r>
              <w:t>r</w:t>
            </w:r>
            <w:r w:rsidRPr="007D3243">
              <w:t>egulations</w:t>
            </w:r>
            <w:r>
              <w:t>.</w:t>
            </w:r>
          </w:p>
          <w:bookmarkEnd w:id="1"/>
          <w:p w14:paraId="2B90389E" w14:textId="77777777" w:rsidR="00F72046" w:rsidRDefault="00F72046" w:rsidP="001E6C50">
            <w:pPr>
              <w:pStyle w:val="bullet1"/>
            </w:pPr>
            <w:r>
              <w:t>A serious breach of GCP and/or the protocol would be classified as ‘critical’.</w:t>
            </w:r>
          </w:p>
          <w:p w14:paraId="56D8DFFC" w14:textId="77777777" w:rsidR="00F72046" w:rsidRDefault="00F72046" w:rsidP="001E6C50">
            <w:pPr>
              <w:pStyle w:val="bullet1"/>
            </w:pPr>
            <w:r>
              <w:t xml:space="preserve">Where deliberate fraud and/or serious misconduct is confirmed, this would be classified as ‘critical’ (any impact on participant safety, data integrity, frequency of issue, or action taken notwithstanding). </w:t>
            </w:r>
          </w:p>
          <w:p w14:paraId="5915B78A" w14:textId="77777777" w:rsidR="00F72046" w:rsidRPr="007F4F04" w:rsidRDefault="00F72046" w:rsidP="001E6C50">
            <w:pPr>
              <w:pStyle w:val="bullet1"/>
            </w:pPr>
            <w:r>
              <w:t xml:space="preserve">A classification of ‘critical’ requires immediate corrective action. Root cause analysis may be performed, and future preventative action is required.   </w:t>
            </w:r>
          </w:p>
        </w:tc>
      </w:tr>
      <w:tr w:rsidR="00F72046" w:rsidRPr="007F4F04" w14:paraId="15056862" w14:textId="77777777" w:rsidTr="001E6C50">
        <w:tc>
          <w:tcPr>
            <w:tcW w:w="1271" w:type="dxa"/>
          </w:tcPr>
          <w:p w14:paraId="731361D1" w14:textId="77777777" w:rsidR="00F72046" w:rsidRDefault="00F72046" w:rsidP="001E6C50">
            <w:r w:rsidRPr="004B4DAC">
              <w:rPr>
                <w:color w:val="FF9900"/>
              </w:rPr>
              <w:t>Major</w:t>
            </w:r>
          </w:p>
        </w:tc>
        <w:tc>
          <w:tcPr>
            <w:tcW w:w="7745" w:type="dxa"/>
          </w:tcPr>
          <w:p w14:paraId="499C8430" w14:textId="77777777" w:rsidR="00F72046" w:rsidRDefault="00F72046" w:rsidP="001E6C50">
            <w:r w:rsidRPr="00CB5DF8">
              <w:t>Where evidence exists that</w:t>
            </w:r>
            <w:r>
              <w:t xml:space="preserve"> there is</w:t>
            </w:r>
            <w:r w:rsidRPr="00CB5DF8">
              <w:t xml:space="preserve"> a significant deviation from the </w:t>
            </w:r>
            <w:r>
              <w:t>p</w:t>
            </w:r>
            <w:r w:rsidRPr="00CB5DF8">
              <w:t xml:space="preserve">rotocol, </w:t>
            </w:r>
            <w:r>
              <w:t xml:space="preserve">UoB QMS, GxP </w:t>
            </w:r>
            <w:r w:rsidRPr="00CB5DF8">
              <w:t>or regulatory requirements</w:t>
            </w:r>
            <w:r>
              <w:t>. There is also evidence that:</w:t>
            </w:r>
            <w:r w:rsidRPr="00CB5DF8">
              <w:t xml:space="preserve"> </w:t>
            </w:r>
          </w:p>
          <w:p w14:paraId="1488099F" w14:textId="77777777" w:rsidR="00F72046" w:rsidRDefault="00F72046" w:rsidP="001E6C50">
            <w:pPr>
              <w:pStyle w:val="bullet1"/>
            </w:pPr>
            <w:r>
              <w:t xml:space="preserve">there is a risk to participant safety and/or dignity </w:t>
            </w:r>
          </w:p>
          <w:p w14:paraId="41E5C69E" w14:textId="79405C6B" w:rsidR="00F72046" w:rsidRDefault="00F72046" w:rsidP="001E6C50">
            <w:pPr>
              <w:pStyle w:val="bullet1"/>
            </w:pPr>
            <w:r>
              <w:t xml:space="preserve">a finding </w:t>
            </w:r>
            <w:r w:rsidRPr="00CB5DF8">
              <w:t xml:space="preserve">has not </w:t>
            </w:r>
            <w:r>
              <w:t xml:space="preserve">yet </w:t>
            </w:r>
            <w:r w:rsidRPr="00CB5DF8">
              <w:t xml:space="preserve">developed into a </w:t>
            </w:r>
            <w:r>
              <w:t>‘</w:t>
            </w:r>
            <w:r w:rsidRPr="00CB5DF8">
              <w:t>critical</w:t>
            </w:r>
            <w:r>
              <w:t>’</w:t>
            </w:r>
            <w:r w:rsidRPr="00CB5DF8">
              <w:t xml:space="preserve"> </w:t>
            </w:r>
            <w:r w:rsidR="00E42F21" w:rsidRPr="00CB5DF8">
              <w:t>issue but</w:t>
            </w:r>
            <w:r w:rsidRPr="00CB5DF8">
              <w:t xml:space="preserve"> may have the potential to do so unless addressed. </w:t>
            </w:r>
          </w:p>
          <w:p w14:paraId="27017B89" w14:textId="77777777" w:rsidR="00F72046" w:rsidRDefault="00F72046" w:rsidP="001E6C50">
            <w:r w:rsidRPr="00CB5DF8">
              <w:t xml:space="preserve">A </w:t>
            </w:r>
            <w:r>
              <w:t>‘</w:t>
            </w:r>
            <w:r w:rsidRPr="00CB5DF8">
              <w:t>major</w:t>
            </w:r>
            <w:r>
              <w:t>’</w:t>
            </w:r>
            <w:r w:rsidRPr="00CB5DF8">
              <w:t xml:space="preserve"> finding may also be where evidence exists </w:t>
            </w:r>
            <w:r>
              <w:t>of</w:t>
            </w:r>
            <w:r w:rsidRPr="00CB5DF8">
              <w:t xml:space="preserve"> a number of departures from the </w:t>
            </w:r>
            <w:r>
              <w:t>p</w:t>
            </w:r>
            <w:r w:rsidRPr="00CB5DF8">
              <w:t xml:space="preserve">rotocol, </w:t>
            </w:r>
            <w:r>
              <w:t xml:space="preserve">UoB QMS, GxP </w:t>
            </w:r>
            <w:r w:rsidRPr="00CB5DF8">
              <w:t xml:space="preserve">or regulatory requirements within a single area of responsibility, indicating a systematic failure in compliance. </w:t>
            </w:r>
          </w:p>
          <w:p w14:paraId="7EECEBF7" w14:textId="77777777" w:rsidR="00F72046" w:rsidRDefault="00F72046" w:rsidP="001E6C50">
            <w:r w:rsidRPr="00CB5DF8">
              <w:t>Note</w:t>
            </w:r>
            <w:r>
              <w:t>s</w:t>
            </w:r>
            <w:r w:rsidRPr="00CB5DF8">
              <w:t xml:space="preserve"> </w:t>
            </w:r>
          </w:p>
          <w:p w14:paraId="62256195" w14:textId="77777777" w:rsidR="00F72046" w:rsidRDefault="00F72046" w:rsidP="001E6C50">
            <w:pPr>
              <w:pStyle w:val="bullet1"/>
            </w:pPr>
            <w:r>
              <w:t>‘M</w:t>
            </w:r>
            <w:r w:rsidRPr="00CB5DF8">
              <w:t>ajor</w:t>
            </w:r>
            <w:r>
              <w:t>’</w:t>
            </w:r>
            <w:r w:rsidRPr="00CB5DF8">
              <w:t xml:space="preserve"> findings may be escalated to </w:t>
            </w:r>
            <w:r>
              <w:t>‘</w:t>
            </w:r>
            <w:r w:rsidRPr="00CB5DF8">
              <w:t>critical</w:t>
            </w:r>
            <w:r>
              <w:t>’</w:t>
            </w:r>
            <w:r w:rsidRPr="00CB5DF8">
              <w:t xml:space="preserve"> </w:t>
            </w:r>
            <w:r>
              <w:t xml:space="preserve">findings </w:t>
            </w:r>
            <w:r w:rsidRPr="00CB5DF8">
              <w:t xml:space="preserve">if any of the defined conditions as detailed in the </w:t>
            </w:r>
            <w:r>
              <w:t>‘</w:t>
            </w:r>
            <w:r w:rsidRPr="00CB5DF8">
              <w:t>critic</w:t>
            </w:r>
            <w:r>
              <w:t>al’ definition become apparent.</w:t>
            </w:r>
          </w:p>
          <w:p w14:paraId="4F1D7EE6" w14:textId="77777777" w:rsidR="00F72046" w:rsidRDefault="00F72046" w:rsidP="001E6C50">
            <w:pPr>
              <w:pStyle w:val="bullet1"/>
            </w:pPr>
            <w:r>
              <w:t xml:space="preserve">A ‘major’ finding may be constituted from the combination of several ‘other’ findings, none of which is ‘major’ </w:t>
            </w:r>
            <w:bookmarkStart w:id="2" w:name="_Hlk84520914"/>
            <w:r>
              <w:t>on its own</w:t>
            </w:r>
            <w:bookmarkEnd w:id="2"/>
            <w:r>
              <w:t>. This type of ‘major’ finding should be explained and reported as such.</w:t>
            </w:r>
          </w:p>
          <w:p w14:paraId="399A1B5E" w14:textId="77777777" w:rsidR="00F72046" w:rsidRDefault="00F72046" w:rsidP="001E6C50">
            <w:pPr>
              <w:pStyle w:val="bullet1"/>
            </w:pPr>
            <w:proofErr w:type="gramStart"/>
            <w:r>
              <w:t>Previously-reported</w:t>
            </w:r>
            <w:proofErr w:type="gramEnd"/>
            <w:r>
              <w:t xml:space="preserve"> findings, initially classified as ‘other’, should be escalated to ‘major’ w</w:t>
            </w:r>
            <w:r w:rsidRPr="007D3243">
              <w:t xml:space="preserve">here inappropriate, insufficient or untimely </w:t>
            </w:r>
            <w:r>
              <w:t>corrective action</w:t>
            </w:r>
            <w:r w:rsidRPr="007D3243">
              <w:t xml:space="preserve"> has taken place</w:t>
            </w:r>
            <w:r>
              <w:t>.</w:t>
            </w:r>
            <w:r w:rsidRPr="007D3243">
              <w:t xml:space="preserve"> </w:t>
            </w:r>
          </w:p>
          <w:p w14:paraId="6818A882" w14:textId="77777777" w:rsidR="00F72046" w:rsidRPr="007F4F04" w:rsidRDefault="00F72046" w:rsidP="001E6C50">
            <w:pPr>
              <w:pStyle w:val="bullet1"/>
            </w:pPr>
            <w:r w:rsidRPr="00CB5DF8">
              <w:t xml:space="preserve">A finding classified as </w:t>
            </w:r>
            <w:r>
              <w:t>‘</w:t>
            </w:r>
            <w:r w:rsidRPr="00CB5DF8">
              <w:t>major</w:t>
            </w:r>
            <w:r>
              <w:t xml:space="preserve">’ </w:t>
            </w:r>
            <w:r w:rsidRPr="00CB5DF8">
              <w:t>requires prompt corrective action. Root cause analysis may be performed</w:t>
            </w:r>
            <w:r>
              <w:t>,</w:t>
            </w:r>
            <w:r w:rsidRPr="00CB5DF8">
              <w:t xml:space="preserve"> and </w:t>
            </w:r>
            <w:r>
              <w:t xml:space="preserve">future </w:t>
            </w:r>
            <w:r w:rsidRPr="00CB5DF8">
              <w:t>prevent</w:t>
            </w:r>
            <w:r>
              <w:t>at</w:t>
            </w:r>
            <w:r w:rsidRPr="00CB5DF8">
              <w:t>ive action is required.</w:t>
            </w:r>
          </w:p>
        </w:tc>
      </w:tr>
      <w:tr w:rsidR="00F72046" w:rsidRPr="007F4F04" w14:paraId="79B72BAE" w14:textId="77777777" w:rsidTr="001E6C50">
        <w:tc>
          <w:tcPr>
            <w:tcW w:w="1271" w:type="dxa"/>
          </w:tcPr>
          <w:p w14:paraId="3D495DC3" w14:textId="77777777" w:rsidR="00F72046" w:rsidRPr="009929CB" w:rsidRDefault="00F72046" w:rsidP="001E6C50">
            <w:pPr>
              <w:rPr>
                <w:color w:val="00B050"/>
              </w:rPr>
            </w:pPr>
            <w:r>
              <w:rPr>
                <w:color w:val="00B050"/>
              </w:rPr>
              <w:t>Other</w:t>
            </w:r>
          </w:p>
        </w:tc>
        <w:tc>
          <w:tcPr>
            <w:tcW w:w="7745" w:type="dxa"/>
          </w:tcPr>
          <w:p w14:paraId="429EDAA1" w14:textId="77777777" w:rsidR="00F72046" w:rsidRDefault="00F72046" w:rsidP="001E6C50">
            <w:pPr>
              <w:rPr>
                <w:rStyle w:val="bullet1Char"/>
                <w:rFonts w:eastAsia="Calibri"/>
              </w:rPr>
            </w:pPr>
            <w:r w:rsidRPr="00CB5DF8">
              <w:rPr>
                <w:rFonts w:eastAsia="Calibri"/>
              </w:rPr>
              <w:t xml:space="preserve">Where practices or processes result in a deviation from accepted standards, </w:t>
            </w:r>
            <w:r>
              <w:rPr>
                <w:rFonts w:eastAsia="Calibri"/>
              </w:rPr>
              <w:t xml:space="preserve">but the deviation </w:t>
            </w:r>
            <w:r w:rsidRPr="00410687">
              <w:rPr>
                <w:rStyle w:val="bullet1Char"/>
                <w:rFonts w:eastAsia="Calibri"/>
              </w:rPr>
              <w:t>does not adversely affect</w:t>
            </w:r>
            <w:r>
              <w:rPr>
                <w:rStyle w:val="bullet1Char"/>
                <w:rFonts w:eastAsia="Calibri"/>
              </w:rPr>
              <w:t>:</w:t>
            </w:r>
          </w:p>
          <w:p w14:paraId="633635B1" w14:textId="77777777" w:rsidR="00F72046" w:rsidRDefault="00F72046" w:rsidP="001E6C50">
            <w:pPr>
              <w:pStyle w:val="bullet1"/>
              <w:rPr>
                <w:rFonts w:eastAsia="Calibri"/>
              </w:rPr>
            </w:pPr>
            <w:r w:rsidRPr="00410687">
              <w:rPr>
                <w:rStyle w:val="bullet1Char"/>
                <w:rFonts w:eastAsia="Calibri"/>
              </w:rPr>
              <w:t>the safety or wellbeing of participants</w:t>
            </w:r>
          </w:p>
          <w:p w14:paraId="31B6B406" w14:textId="77777777" w:rsidR="00F72046" w:rsidRDefault="00F72046" w:rsidP="001E6C50">
            <w:pPr>
              <w:pStyle w:val="bullet1"/>
              <w:rPr>
                <w:rFonts w:eastAsia="Calibri"/>
              </w:rPr>
            </w:pPr>
            <w:r w:rsidRPr="00CB5DF8">
              <w:rPr>
                <w:rFonts w:eastAsia="Calibri"/>
              </w:rPr>
              <w:t>the integrity of the data</w:t>
            </w:r>
            <w:r>
              <w:rPr>
                <w:rFonts w:eastAsia="Calibri"/>
              </w:rPr>
              <w:t>/</w:t>
            </w:r>
            <w:r w:rsidRPr="00CB5DF8">
              <w:rPr>
                <w:rFonts w:eastAsia="Calibri"/>
              </w:rPr>
              <w:t xml:space="preserve">documentation </w:t>
            </w:r>
          </w:p>
          <w:p w14:paraId="49251329" w14:textId="77777777" w:rsidR="00F72046" w:rsidRDefault="00F72046" w:rsidP="001E6C50">
            <w:pPr>
              <w:pStyle w:val="bullet1"/>
              <w:rPr>
                <w:rFonts w:eastAsia="Calibri"/>
              </w:rPr>
            </w:pPr>
            <w:r>
              <w:t xml:space="preserve">clinical research </w:t>
            </w:r>
            <w:r w:rsidRPr="00CB5DF8">
              <w:rPr>
                <w:rFonts w:eastAsia="Calibri"/>
              </w:rPr>
              <w:t>conduct</w:t>
            </w:r>
            <w:r>
              <w:rPr>
                <w:rFonts w:eastAsia="Calibri"/>
              </w:rPr>
              <w:t>.</w:t>
            </w:r>
          </w:p>
          <w:p w14:paraId="2E5CE297" w14:textId="77777777" w:rsidR="00F72046" w:rsidRDefault="00F72046" w:rsidP="001E6C50">
            <w:pPr>
              <w:rPr>
                <w:rFonts w:eastAsia="Calibri"/>
              </w:rPr>
            </w:pPr>
            <w:r>
              <w:rPr>
                <w:rFonts w:eastAsia="Calibri"/>
              </w:rPr>
              <w:t>The deviation</w:t>
            </w:r>
            <w:r w:rsidRPr="00CB5DF8">
              <w:rPr>
                <w:rFonts w:eastAsia="Calibri"/>
              </w:rPr>
              <w:t xml:space="preserve"> </w:t>
            </w:r>
            <w:r>
              <w:rPr>
                <w:rFonts w:eastAsia="Calibri"/>
              </w:rPr>
              <w:t>would</w:t>
            </w:r>
            <w:r w:rsidRPr="00CB5DF8">
              <w:rPr>
                <w:rFonts w:eastAsia="Calibri"/>
              </w:rPr>
              <w:t xml:space="preserve"> not constitute a classification of either </w:t>
            </w:r>
            <w:r>
              <w:rPr>
                <w:rFonts w:eastAsia="Calibri"/>
              </w:rPr>
              <w:t>‘</w:t>
            </w:r>
            <w:r w:rsidRPr="00CB5DF8">
              <w:rPr>
                <w:rFonts w:eastAsia="Calibri"/>
              </w:rPr>
              <w:t>critical</w:t>
            </w:r>
            <w:r>
              <w:rPr>
                <w:rFonts w:eastAsia="Calibri"/>
              </w:rPr>
              <w:t>’</w:t>
            </w:r>
            <w:r w:rsidRPr="00CB5DF8">
              <w:rPr>
                <w:rFonts w:eastAsia="Calibri"/>
              </w:rPr>
              <w:t xml:space="preserve"> or </w:t>
            </w:r>
            <w:r>
              <w:rPr>
                <w:rFonts w:eastAsia="Calibri"/>
              </w:rPr>
              <w:t>‘</w:t>
            </w:r>
            <w:r w:rsidRPr="00CB5DF8">
              <w:rPr>
                <w:rFonts w:eastAsia="Calibri"/>
              </w:rPr>
              <w:t>major</w:t>
            </w:r>
            <w:r>
              <w:rPr>
                <w:rFonts w:eastAsia="Calibri"/>
              </w:rPr>
              <w:t>’</w:t>
            </w:r>
            <w:r w:rsidRPr="00CB5DF8">
              <w:rPr>
                <w:rFonts w:eastAsia="Calibri"/>
              </w:rPr>
              <w:t xml:space="preserve">. </w:t>
            </w:r>
          </w:p>
          <w:p w14:paraId="3C6D7467" w14:textId="77777777" w:rsidR="00F72046" w:rsidRDefault="00F72046" w:rsidP="001E6C50">
            <w:pPr>
              <w:rPr>
                <w:rFonts w:eastAsia="Calibri"/>
              </w:rPr>
            </w:pPr>
            <w:r w:rsidRPr="00CB5DF8">
              <w:rPr>
                <w:rFonts w:eastAsia="Calibri"/>
              </w:rPr>
              <w:t>Note</w:t>
            </w:r>
            <w:r>
              <w:rPr>
                <w:rFonts w:eastAsia="Calibri"/>
              </w:rPr>
              <w:t>s</w:t>
            </w:r>
            <w:r w:rsidRPr="00CB5DF8">
              <w:rPr>
                <w:rFonts w:eastAsia="Calibri"/>
              </w:rPr>
              <w:t xml:space="preserve"> </w:t>
            </w:r>
          </w:p>
          <w:p w14:paraId="4E175A13" w14:textId="77777777" w:rsidR="00F72046" w:rsidRPr="00CB5DF8" w:rsidRDefault="00F72046" w:rsidP="001E6C50">
            <w:pPr>
              <w:pStyle w:val="bullet1"/>
            </w:pPr>
            <w:r>
              <w:rPr>
                <w:rFonts w:eastAsia="Calibri"/>
              </w:rPr>
              <w:t>F</w:t>
            </w:r>
            <w:r w:rsidRPr="00CB5DF8">
              <w:rPr>
                <w:rFonts w:eastAsia="Calibri"/>
              </w:rPr>
              <w:t xml:space="preserve">indings classified as </w:t>
            </w:r>
            <w:r>
              <w:rPr>
                <w:rFonts w:eastAsia="Calibri"/>
              </w:rPr>
              <w:t>‘</w:t>
            </w:r>
            <w:r w:rsidRPr="00CB5DF8">
              <w:rPr>
                <w:rFonts w:eastAsia="Calibri"/>
              </w:rPr>
              <w:t>other</w:t>
            </w:r>
            <w:r>
              <w:rPr>
                <w:rFonts w:eastAsia="Calibri"/>
              </w:rPr>
              <w:t>’</w:t>
            </w:r>
            <w:r w:rsidRPr="00CB5DF8">
              <w:rPr>
                <w:rFonts w:eastAsia="Calibri"/>
              </w:rPr>
              <w:t xml:space="preserve"> may be escalated to </w:t>
            </w:r>
            <w:r>
              <w:rPr>
                <w:rFonts w:eastAsia="Calibri"/>
              </w:rPr>
              <w:t>‘</w:t>
            </w:r>
            <w:r w:rsidRPr="00CB5DF8">
              <w:rPr>
                <w:rFonts w:eastAsia="Calibri"/>
              </w:rPr>
              <w:t>major</w:t>
            </w:r>
            <w:r>
              <w:rPr>
                <w:rFonts w:eastAsia="Calibri"/>
              </w:rPr>
              <w:t>’</w:t>
            </w:r>
            <w:r w:rsidRPr="00CB5DF8">
              <w:rPr>
                <w:rFonts w:eastAsia="Calibri"/>
              </w:rPr>
              <w:t xml:space="preserve"> or </w:t>
            </w:r>
            <w:r>
              <w:rPr>
                <w:rFonts w:eastAsia="Calibri"/>
              </w:rPr>
              <w:t>‘</w:t>
            </w:r>
            <w:r w:rsidRPr="00CB5DF8">
              <w:rPr>
                <w:rFonts w:eastAsia="Calibri"/>
              </w:rPr>
              <w:t>critical</w:t>
            </w:r>
            <w:r>
              <w:rPr>
                <w:rFonts w:eastAsia="Calibri"/>
              </w:rPr>
              <w:t>’</w:t>
            </w:r>
            <w:r w:rsidRPr="00CB5DF8">
              <w:rPr>
                <w:rFonts w:eastAsia="Calibri"/>
              </w:rPr>
              <w:t xml:space="preserve"> if any of the defined conditions as detailed in the </w:t>
            </w:r>
            <w:r>
              <w:rPr>
                <w:rFonts w:eastAsia="Calibri"/>
              </w:rPr>
              <w:t>‘</w:t>
            </w:r>
            <w:r w:rsidRPr="00CB5DF8">
              <w:rPr>
                <w:rFonts w:eastAsia="Calibri"/>
              </w:rPr>
              <w:t>major</w:t>
            </w:r>
            <w:r>
              <w:rPr>
                <w:rFonts w:eastAsia="Calibri"/>
              </w:rPr>
              <w:t>’</w:t>
            </w:r>
            <w:r w:rsidRPr="00CB5DF8">
              <w:rPr>
                <w:rFonts w:eastAsia="Calibri"/>
              </w:rPr>
              <w:t xml:space="preserve"> or </w:t>
            </w:r>
            <w:r>
              <w:rPr>
                <w:rFonts w:eastAsia="Calibri"/>
              </w:rPr>
              <w:t>‘</w:t>
            </w:r>
            <w:r w:rsidRPr="00CB5DF8">
              <w:rPr>
                <w:rFonts w:eastAsia="Calibri"/>
              </w:rPr>
              <w:t>critical</w:t>
            </w:r>
            <w:r>
              <w:rPr>
                <w:rFonts w:eastAsia="Calibri"/>
              </w:rPr>
              <w:t>’</w:t>
            </w:r>
            <w:r w:rsidRPr="00CB5DF8">
              <w:rPr>
                <w:rFonts w:eastAsia="Calibri"/>
              </w:rPr>
              <w:t xml:space="preserve"> definition become apparent. </w:t>
            </w:r>
          </w:p>
          <w:p w14:paraId="70E76FC1" w14:textId="77777777" w:rsidR="00F72046" w:rsidRPr="007F4F04" w:rsidRDefault="00F72046" w:rsidP="001E6C50">
            <w:pPr>
              <w:pStyle w:val="bullet1"/>
            </w:pPr>
            <w:r w:rsidRPr="00CB5DF8">
              <w:rPr>
                <w:rFonts w:eastAsia="Calibri"/>
              </w:rPr>
              <w:t xml:space="preserve">Corrective action is required within a timeframe </w:t>
            </w:r>
            <w:r>
              <w:rPr>
                <w:rFonts w:eastAsia="Calibri"/>
              </w:rPr>
              <w:t xml:space="preserve">appropriate to </w:t>
            </w:r>
            <w:r w:rsidRPr="00CB5DF8">
              <w:rPr>
                <w:rFonts w:eastAsia="Calibri"/>
              </w:rPr>
              <w:t>the issue</w:t>
            </w:r>
            <w:r>
              <w:rPr>
                <w:rFonts w:eastAsia="Calibri"/>
              </w:rPr>
              <w:t xml:space="preserve"> found,</w:t>
            </w:r>
            <w:r w:rsidRPr="00CB5DF8">
              <w:rPr>
                <w:rFonts w:eastAsia="Calibri"/>
              </w:rPr>
              <w:t xml:space="preserve"> in order to improve the quality of existing documentation/processes</w:t>
            </w:r>
            <w:r>
              <w:rPr>
                <w:rFonts w:eastAsia="Calibri"/>
              </w:rPr>
              <w:t>,</w:t>
            </w:r>
            <w:r w:rsidRPr="00CB5DF8">
              <w:rPr>
                <w:rFonts w:eastAsia="Calibri"/>
              </w:rPr>
              <w:t xml:space="preserve"> or to prevent a potential negative impact on quality or compliance. </w:t>
            </w:r>
            <w:r>
              <w:rPr>
                <w:rFonts w:eastAsia="Calibri"/>
              </w:rPr>
              <w:t>Future p</w:t>
            </w:r>
            <w:r w:rsidRPr="00CB5DF8">
              <w:rPr>
                <w:rFonts w:eastAsia="Calibri"/>
              </w:rPr>
              <w:t>revent</w:t>
            </w:r>
            <w:r>
              <w:rPr>
                <w:rFonts w:eastAsia="Calibri"/>
              </w:rPr>
              <w:t>at</w:t>
            </w:r>
            <w:r w:rsidRPr="00CB5DF8">
              <w:rPr>
                <w:rFonts w:eastAsia="Calibri"/>
              </w:rPr>
              <w:t>ive action may not be required.</w:t>
            </w:r>
          </w:p>
        </w:tc>
      </w:tr>
    </w:tbl>
    <w:p w14:paraId="0313BA0F" w14:textId="77777777" w:rsidR="00F72046" w:rsidRDefault="00F72046" w:rsidP="00F72046">
      <w:pPr>
        <w:pStyle w:val="Heading3"/>
      </w:pPr>
      <w:r>
        <w:t>HTA-related compliance reviews</w:t>
      </w:r>
    </w:p>
    <w:p w14:paraId="26D59111" w14:textId="4992E3B1" w:rsidR="00F72046" w:rsidRDefault="00F72046" w:rsidP="00F72046">
      <w:pPr>
        <w:spacing w:before="0"/>
        <w:textAlignment w:val="baseline"/>
      </w:pPr>
      <w:r>
        <w:t>The table below is an example of the c</w:t>
      </w:r>
      <w:r w:rsidRPr="00D271E2">
        <w:t>lassification definitions</w:t>
      </w:r>
      <w:r>
        <w:t xml:space="preserve"> that may be used in a review of an HTA-licensed tissue bank. The definitions are based on the </w:t>
      </w:r>
      <w:hyperlink r:id="rId13" w:tooltip="HTA Research Licensing Standards and Guidance" w:history="1">
        <w:r w:rsidRPr="00CA565E">
          <w:rPr>
            <w:rStyle w:val="Hyperlink"/>
          </w:rPr>
          <w:t>HTA Research</w:t>
        </w:r>
        <w:r w:rsidR="004D71B6">
          <w:rPr>
            <w:rStyle w:val="Hyperlink"/>
          </w:rPr>
          <w:t xml:space="preserve"> Licensing</w:t>
        </w:r>
        <w:r w:rsidRPr="00CA565E">
          <w:rPr>
            <w:rStyle w:val="Hyperlink"/>
          </w:rPr>
          <w:t xml:space="preserve"> Standar</w:t>
        </w:r>
        <w:r w:rsidRPr="00CA565E">
          <w:rPr>
            <w:rStyle w:val="Hyperlink"/>
          </w:rPr>
          <w:t>d</w:t>
        </w:r>
        <w:r w:rsidRPr="00CA565E">
          <w:rPr>
            <w:rStyle w:val="Hyperlink"/>
          </w:rPr>
          <w:t>s and Guidance</w:t>
        </w:r>
      </w:hyperlink>
      <w:r>
        <w:t>.</w:t>
      </w: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271"/>
        <w:gridCol w:w="7745"/>
      </w:tblGrid>
      <w:tr w:rsidR="00F72046" w14:paraId="2D463560" w14:textId="77777777" w:rsidTr="001E6C50">
        <w:tc>
          <w:tcPr>
            <w:tcW w:w="1271" w:type="dxa"/>
          </w:tcPr>
          <w:p w14:paraId="6A2AF4D2" w14:textId="77777777" w:rsidR="00F72046" w:rsidRDefault="00F72046" w:rsidP="001E6C50">
            <w:pPr>
              <w:pStyle w:val="AbbreviationsDefinitionsTerm"/>
            </w:pPr>
            <w:r>
              <w:t>Definition:</w:t>
            </w:r>
          </w:p>
        </w:tc>
        <w:tc>
          <w:tcPr>
            <w:tcW w:w="7745" w:type="dxa"/>
          </w:tcPr>
          <w:p w14:paraId="0CFEFD40" w14:textId="77777777" w:rsidR="00F72046" w:rsidRDefault="00F72046" w:rsidP="001E6C50">
            <w:pPr>
              <w:pStyle w:val="AbbreviationsDefinitionsTerm"/>
            </w:pPr>
            <w:r>
              <w:t>Description:</w:t>
            </w:r>
          </w:p>
        </w:tc>
      </w:tr>
      <w:tr w:rsidR="00F72046" w:rsidRPr="007F4F04" w14:paraId="5ED29A08" w14:textId="77777777" w:rsidTr="001E6C50">
        <w:tc>
          <w:tcPr>
            <w:tcW w:w="1271" w:type="dxa"/>
          </w:tcPr>
          <w:p w14:paraId="797A7565" w14:textId="77777777" w:rsidR="00F72046" w:rsidRDefault="00F72046" w:rsidP="001E6C50">
            <w:r>
              <w:rPr>
                <w:color w:val="FF0000"/>
              </w:rPr>
              <w:t>Critical</w:t>
            </w:r>
          </w:p>
        </w:tc>
        <w:tc>
          <w:tcPr>
            <w:tcW w:w="7745" w:type="dxa"/>
          </w:tcPr>
          <w:p w14:paraId="69F69581" w14:textId="77777777" w:rsidR="00F72046" w:rsidRPr="00A77F0B" w:rsidRDefault="00F72046" w:rsidP="001E6C50">
            <w:pPr>
              <w:spacing w:before="0" w:after="0"/>
              <w:textAlignment w:val="baseline"/>
              <w:rPr>
                <w:rFonts w:ascii="Times New Roman" w:hAnsi="Times New Roman" w:cs="Times New Roman"/>
                <w:sz w:val="24"/>
                <w:szCs w:val="24"/>
              </w:rPr>
            </w:pPr>
            <w:r>
              <w:rPr>
                <w:rFonts w:cs="Calibri"/>
              </w:rPr>
              <w:t>A</w:t>
            </w:r>
            <w:r w:rsidRPr="00A77F0B">
              <w:rPr>
                <w:rFonts w:cs="Calibri"/>
              </w:rPr>
              <w:t> </w:t>
            </w:r>
            <w:r>
              <w:rPr>
                <w:rFonts w:cs="Calibri"/>
              </w:rPr>
              <w:t>‘c</w:t>
            </w:r>
            <w:r w:rsidRPr="00A77F0B">
              <w:rPr>
                <w:rFonts w:cs="Calibri"/>
              </w:rPr>
              <w:t>ritical</w:t>
            </w:r>
            <w:r>
              <w:rPr>
                <w:rFonts w:cs="Calibri"/>
              </w:rPr>
              <w:t>’</w:t>
            </w:r>
            <w:r w:rsidRPr="00A77F0B">
              <w:rPr>
                <w:rFonts w:cs="Calibri"/>
              </w:rPr>
              <w:t xml:space="preserve"> finding (shortfall) is: </w:t>
            </w:r>
          </w:p>
          <w:p w14:paraId="33D272C5" w14:textId="56E8DDA0" w:rsidR="00F72046" w:rsidRPr="00A77F0B" w:rsidRDefault="00F72046" w:rsidP="00F72046">
            <w:pPr>
              <w:pStyle w:val="bullet1"/>
              <w:numPr>
                <w:ilvl w:val="0"/>
                <w:numId w:val="9"/>
              </w:numPr>
              <w:ind w:right="340"/>
            </w:pPr>
            <w:r>
              <w:t>a</w:t>
            </w:r>
            <w:r w:rsidRPr="00A77F0B">
              <w:t xml:space="preserve"> shortfall </w:t>
            </w:r>
            <w:r w:rsidR="00E42F21">
              <w:t>that</w:t>
            </w:r>
            <w:r w:rsidR="00E42F21" w:rsidRPr="00A77F0B">
              <w:t xml:space="preserve"> </w:t>
            </w:r>
            <w:r w:rsidRPr="00A77F0B">
              <w:t>poses a significant risk to human safety and/or dignity or is a breach of the Human Tissue Act 2004 (HT Act) or associated Directions; or  </w:t>
            </w:r>
          </w:p>
          <w:p w14:paraId="2B89C18A" w14:textId="77777777" w:rsidR="00F72046" w:rsidRPr="007F4F04" w:rsidRDefault="00F72046" w:rsidP="001E6C50">
            <w:pPr>
              <w:pStyle w:val="bullet1"/>
            </w:pPr>
            <w:r>
              <w:t>a</w:t>
            </w:r>
            <w:r w:rsidRPr="00A77F0B">
              <w:t xml:space="preserve"> combination of several</w:t>
            </w:r>
            <w:r>
              <w:t xml:space="preserve"> ‘</w:t>
            </w:r>
            <w:r w:rsidRPr="00A77F0B">
              <w:t>major</w:t>
            </w:r>
            <w:r>
              <w:t>’</w:t>
            </w:r>
            <w:r w:rsidRPr="00A77F0B">
              <w:t xml:space="preserve"> </w:t>
            </w:r>
            <w:r>
              <w:t>finding (</w:t>
            </w:r>
            <w:r w:rsidRPr="00A77F0B">
              <w:t>shortfalls</w:t>
            </w:r>
            <w:r>
              <w:t>)</w:t>
            </w:r>
            <w:r w:rsidRPr="00A77F0B">
              <w:t xml:space="preserve">, none of which is </w:t>
            </w:r>
            <w:r>
              <w:t>‘</w:t>
            </w:r>
            <w:r w:rsidRPr="00A77F0B">
              <w:t>critical</w:t>
            </w:r>
            <w:r>
              <w:t>’</w:t>
            </w:r>
            <w:r w:rsidRPr="00A77F0B">
              <w:t xml:space="preserve"> on its own, but which together could constitute a </w:t>
            </w:r>
            <w:r>
              <w:t>‘</w:t>
            </w:r>
            <w:r w:rsidRPr="00A77F0B">
              <w:t>critical</w:t>
            </w:r>
            <w:r>
              <w:t>’</w:t>
            </w:r>
            <w:r w:rsidRPr="00A77F0B">
              <w:t xml:space="preserve"> </w:t>
            </w:r>
            <w:r>
              <w:t>finding (</w:t>
            </w:r>
            <w:r w:rsidRPr="00A77F0B">
              <w:t>shortfall</w:t>
            </w:r>
            <w:r>
              <w:t>)</w:t>
            </w:r>
            <w:r w:rsidRPr="00A77F0B">
              <w:t xml:space="preserve"> and should be explained and reported as such. </w:t>
            </w:r>
          </w:p>
        </w:tc>
      </w:tr>
      <w:tr w:rsidR="00F72046" w:rsidRPr="007F4F04" w14:paraId="684C8E89" w14:textId="77777777" w:rsidTr="001E6C50">
        <w:tc>
          <w:tcPr>
            <w:tcW w:w="1271" w:type="dxa"/>
          </w:tcPr>
          <w:p w14:paraId="506C0903" w14:textId="77777777" w:rsidR="00F72046" w:rsidRDefault="00F72046" w:rsidP="001E6C50">
            <w:r w:rsidRPr="004B4DAC">
              <w:rPr>
                <w:color w:val="FF9900"/>
              </w:rPr>
              <w:t>Major</w:t>
            </w:r>
          </w:p>
        </w:tc>
        <w:tc>
          <w:tcPr>
            <w:tcW w:w="7745" w:type="dxa"/>
          </w:tcPr>
          <w:p w14:paraId="5BA28557" w14:textId="77777777" w:rsidR="00F72046" w:rsidRPr="00A77F0B" w:rsidRDefault="00F72046" w:rsidP="001E6C50">
            <w:pPr>
              <w:spacing w:before="0" w:after="0"/>
              <w:textAlignment w:val="baseline"/>
              <w:rPr>
                <w:rFonts w:ascii="Times New Roman" w:hAnsi="Times New Roman" w:cs="Times New Roman"/>
                <w:sz w:val="24"/>
                <w:szCs w:val="24"/>
              </w:rPr>
            </w:pPr>
            <w:r>
              <w:rPr>
                <w:rFonts w:cs="Calibri"/>
              </w:rPr>
              <w:t>A</w:t>
            </w:r>
            <w:r w:rsidRPr="00A77F0B">
              <w:rPr>
                <w:rFonts w:cs="Calibri"/>
              </w:rPr>
              <w:t xml:space="preserve"> </w:t>
            </w:r>
            <w:r>
              <w:rPr>
                <w:rFonts w:cs="Calibri"/>
              </w:rPr>
              <w:t>‘m</w:t>
            </w:r>
            <w:r w:rsidRPr="00A77F0B">
              <w:rPr>
                <w:rFonts w:cs="Calibri"/>
              </w:rPr>
              <w:t>ajor</w:t>
            </w:r>
            <w:r>
              <w:rPr>
                <w:rFonts w:cs="Calibri"/>
              </w:rPr>
              <w:t>’</w:t>
            </w:r>
            <w:r w:rsidRPr="00A77F0B">
              <w:rPr>
                <w:rFonts w:cs="Calibri"/>
              </w:rPr>
              <w:t xml:space="preserve"> finding (shortfall) is a non-critical shortfall that:  </w:t>
            </w:r>
          </w:p>
          <w:p w14:paraId="04E23EDD" w14:textId="77777777" w:rsidR="00F72046" w:rsidRPr="00A77F0B" w:rsidRDefault="00F72046" w:rsidP="00F72046">
            <w:pPr>
              <w:pStyle w:val="bullet1"/>
              <w:numPr>
                <w:ilvl w:val="0"/>
                <w:numId w:val="9"/>
              </w:numPr>
              <w:ind w:right="340"/>
            </w:pPr>
            <w:r>
              <w:t>p</w:t>
            </w:r>
            <w:r w:rsidRPr="00A77F0B">
              <w:t>oses a risk to human safety and/or dignity  </w:t>
            </w:r>
          </w:p>
          <w:p w14:paraId="7692591B" w14:textId="77777777" w:rsidR="00F72046" w:rsidRPr="00A77F0B" w:rsidRDefault="00F72046" w:rsidP="00F72046">
            <w:pPr>
              <w:pStyle w:val="bullet1"/>
              <w:numPr>
                <w:ilvl w:val="0"/>
                <w:numId w:val="9"/>
              </w:numPr>
              <w:ind w:right="340"/>
            </w:pPr>
            <w:r>
              <w:t>i</w:t>
            </w:r>
            <w:r w:rsidRPr="00A77F0B">
              <w:t>ndicates a failure to carry out satisfactory procedures  </w:t>
            </w:r>
          </w:p>
          <w:p w14:paraId="6771632F" w14:textId="77777777" w:rsidR="00F72046" w:rsidRPr="00A77F0B" w:rsidRDefault="00F72046" w:rsidP="00F72046">
            <w:pPr>
              <w:pStyle w:val="bullet1"/>
              <w:numPr>
                <w:ilvl w:val="0"/>
                <w:numId w:val="9"/>
              </w:numPr>
              <w:ind w:right="340"/>
            </w:pPr>
            <w:r>
              <w:t>i</w:t>
            </w:r>
            <w:r w:rsidRPr="00A77F0B">
              <w:t>ndicates a breach of the relevant CoPs, the HT Act and other relevant professional and statutory guidelines  </w:t>
            </w:r>
          </w:p>
          <w:p w14:paraId="03F6DE04" w14:textId="77777777" w:rsidR="00F72046" w:rsidRPr="00A77F0B" w:rsidRDefault="00F72046" w:rsidP="00F72046">
            <w:pPr>
              <w:pStyle w:val="bullet1"/>
              <w:numPr>
                <w:ilvl w:val="0"/>
                <w:numId w:val="9"/>
              </w:numPr>
              <w:ind w:right="340"/>
            </w:pPr>
            <w:r>
              <w:t>h</w:t>
            </w:r>
            <w:r w:rsidRPr="00A77F0B">
              <w:t xml:space="preserve">as the potential to become a </w:t>
            </w:r>
            <w:r>
              <w:t>‘</w:t>
            </w:r>
            <w:r w:rsidRPr="00A77F0B">
              <w:t>critical</w:t>
            </w:r>
            <w:r>
              <w:t>’</w:t>
            </w:r>
            <w:r w:rsidRPr="00A77F0B">
              <w:t xml:space="preserve"> </w:t>
            </w:r>
            <w:r>
              <w:t>finding (</w:t>
            </w:r>
            <w:r w:rsidRPr="00A77F0B">
              <w:t>shortfall</w:t>
            </w:r>
            <w:r>
              <w:t>)</w:t>
            </w:r>
            <w:r w:rsidRPr="00A77F0B">
              <w:t xml:space="preserve"> unless addressed; or </w:t>
            </w:r>
          </w:p>
          <w:p w14:paraId="30AFEE0F" w14:textId="77777777" w:rsidR="00F72046" w:rsidRPr="007F4F04" w:rsidRDefault="00F72046" w:rsidP="001E6C50">
            <w:pPr>
              <w:pStyle w:val="bullet1"/>
            </w:pPr>
            <w:r>
              <w:t>i</w:t>
            </w:r>
            <w:r w:rsidRPr="00A77F0B">
              <w:t xml:space="preserve">s a combination of several </w:t>
            </w:r>
            <w:r>
              <w:t>‘other’</w:t>
            </w:r>
            <w:r w:rsidRPr="00A77F0B">
              <w:t xml:space="preserve"> </w:t>
            </w:r>
            <w:r>
              <w:t>findings (</w:t>
            </w:r>
            <w:r w:rsidRPr="00A77F0B">
              <w:t>shortfalls</w:t>
            </w:r>
            <w:r>
              <w:t>)</w:t>
            </w:r>
            <w:r w:rsidRPr="00A77F0B">
              <w:t xml:space="preserve">, none of which is </w:t>
            </w:r>
            <w:r>
              <w:t>‘</w:t>
            </w:r>
            <w:r w:rsidRPr="00A77F0B">
              <w:t>major</w:t>
            </w:r>
            <w:r>
              <w:t>’</w:t>
            </w:r>
            <w:r w:rsidRPr="00A77F0B">
              <w:t xml:space="preserve"> on its own, but </w:t>
            </w:r>
            <w:r>
              <w:t>when combined they</w:t>
            </w:r>
            <w:r w:rsidRPr="00A77F0B">
              <w:t xml:space="preserve"> could constitute a </w:t>
            </w:r>
            <w:r>
              <w:t>‘</w:t>
            </w:r>
            <w:r w:rsidRPr="00A77F0B">
              <w:t>major</w:t>
            </w:r>
            <w:r>
              <w:t>’</w:t>
            </w:r>
            <w:r w:rsidRPr="00A77F0B">
              <w:t xml:space="preserve"> </w:t>
            </w:r>
            <w:r>
              <w:t>finding (</w:t>
            </w:r>
            <w:r w:rsidRPr="00A77F0B">
              <w:t>shortfall</w:t>
            </w:r>
            <w:r>
              <w:t>)</w:t>
            </w:r>
            <w:r w:rsidRPr="00A77F0B">
              <w:t xml:space="preserve"> and should be explained and reported as such. </w:t>
            </w:r>
          </w:p>
        </w:tc>
      </w:tr>
      <w:tr w:rsidR="00F72046" w:rsidRPr="007F4F04" w14:paraId="7FC45772" w14:textId="77777777" w:rsidTr="001E6C50">
        <w:tc>
          <w:tcPr>
            <w:tcW w:w="1271" w:type="dxa"/>
          </w:tcPr>
          <w:p w14:paraId="5C051CD9" w14:textId="77777777" w:rsidR="00F72046" w:rsidRPr="009929CB" w:rsidRDefault="00F72046" w:rsidP="001E6C50">
            <w:pPr>
              <w:rPr>
                <w:color w:val="00B050"/>
              </w:rPr>
            </w:pPr>
            <w:r>
              <w:rPr>
                <w:color w:val="00B050"/>
              </w:rPr>
              <w:t>Other</w:t>
            </w:r>
          </w:p>
        </w:tc>
        <w:tc>
          <w:tcPr>
            <w:tcW w:w="7745" w:type="dxa"/>
          </w:tcPr>
          <w:p w14:paraId="4B308D12" w14:textId="77777777" w:rsidR="00F72046" w:rsidRPr="00A77F0B" w:rsidRDefault="00F72046" w:rsidP="001E6C50">
            <w:pPr>
              <w:spacing w:before="0" w:after="0"/>
              <w:textAlignment w:val="baseline"/>
              <w:rPr>
                <w:rFonts w:ascii="Times New Roman" w:hAnsi="Times New Roman" w:cs="Times New Roman"/>
                <w:sz w:val="24"/>
                <w:szCs w:val="24"/>
              </w:rPr>
            </w:pPr>
            <w:r>
              <w:rPr>
                <w:rFonts w:cs="Calibri"/>
              </w:rPr>
              <w:t>A</w:t>
            </w:r>
            <w:r w:rsidRPr="00A77F0B">
              <w:rPr>
                <w:rFonts w:cs="Calibri"/>
              </w:rPr>
              <w:t xml:space="preserve"> </w:t>
            </w:r>
            <w:r>
              <w:rPr>
                <w:rFonts w:cs="Calibri"/>
              </w:rPr>
              <w:t xml:space="preserve">‘other’ </w:t>
            </w:r>
            <w:r w:rsidRPr="00A77F0B">
              <w:rPr>
                <w:rFonts w:cs="Calibri"/>
              </w:rPr>
              <w:t>finding (shortfall) that: </w:t>
            </w:r>
          </w:p>
          <w:p w14:paraId="20A0B605" w14:textId="77777777" w:rsidR="00F72046" w:rsidRDefault="00F72046" w:rsidP="001E6C50">
            <w:pPr>
              <w:pStyle w:val="bullet1"/>
            </w:pPr>
            <w:r>
              <w:t>c</w:t>
            </w:r>
            <w:r w:rsidRPr="00A77F0B">
              <w:t xml:space="preserve">annot be classified as either </w:t>
            </w:r>
            <w:r>
              <w:t>‘</w:t>
            </w:r>
            <w:r w:rsidRPr="00A77F0B">
              <w:t>critical</w:t>
            </w:r>
            <w:r>
              <w:t>’</w:t>
            </w:r>
            <w:r w:rsidRPr="00A77F0B">
              <w:t xml:space="preserve"> or </w:t>
            </w:r>
            <w:r>
              <w:t>‘</w:t>
            </w:r>
            <w:r w:rsidRPr="00A77F0B">
              <w:t>major</w:t>
            </w:r>
            <w:r>
              <w:t>’</w:t>
            </w:r>
            <w:r w:rsidRPr="00A77F0B">
              <w:t>, but which indicates a departure from expected standards. </w:t>
            </w:r>
          </w:p>
          <w:p w14:paraId="5073A66C" w14:textId="77777777" w:rsidR="00F72046" w:rsidRPr="007F4F04" w:rsidRDefault="00F72046" w:rsidP="001E6C50">
            <w:pPr>
              <w:pStyle w:val="bullet1"/>
              <w:numPr>
                <w:ilvl w:val="0"/>
                <w:numId w:val="0"/>
              </w:numPr>
            </w:pPr>
            <w:r>
              <w:t xml:space="preserve">Note: the classification of ‘other’ is equivalent to ‘minor’ used by the HTA. </w:t>
            </w:r>
          </w:p>
        </w:tc>
      </w:tr>
    </w:tbl>
    <w:p w14:paraId="2A5BA4EE" w14:textId="77777777" w:rsidR="00F72046" w:rsidRDefault="00F72046" w:rsidP="00F72046">
      <w:pPr>
        <w:pStyle w:val="Heading3"/>
      </w:pPr>
      <w:r>
        <w:t>GMP-related compliance reviews</w:t>
      </w:r>
    </w:p>
    <w:p w14:paraId="18D30353" w14:textId="257737CC" w:rsidR="00F72046" w:rsidRDefault="00F72046" w:rsidP="00F72046">
      <w:pPr>
        <w:spacing w:before="0"/>
        <w:textAlignment w:val="baseline"/>
      </w:pPr>
      <w:r>
        <w:t>The table below is an example of the c</w:t>
      </w:r>
      <w:r w:rsidRPr="00D271E2">
        <w:t>lassification definitions</w:t>
      </w:r>
      <w:r>
        <w:t xml:space="preserve"> that may be used in a review of a GMP facility. The definitions are based on the </w:t>
      </w:r>
      <w:hyperlink r:id="rId14" w:anchor="grading-of-inspection-findings" w:tooltip="MHRA's grading of inspection findings for GMP and GDP" w:history="1">
        <w:r w:rsidR="004D71B6">
          <w:rPr>
            <w:rStyle w:val="Hyperlink"/>
          </w:rPr>
          <w:t>MHRA g</w:t>
        </w:r>
        <w:r w:rsidRPr="00E5632B">
          <w:rPr>
            <w:rStyle w:val="Hyperlink"/>
          </w:rPr>
          <w:t xml:space="preserve">rading of </w:t>
        </w:r>
        <w:r w:rsidR="004D71B6">
          <w:rPr>
            <w:rStyle w:val="Hyperlink"/>
          </w:rPr>
          <w:t>GMP a</w:t>
        </w:r>
        <w:r w:rsidR="004D71B6">
          <w:rPr>
            <w:rStyle w:val="Hyperlink"/>
          </w:rPr>
          <w:t>n</w:t>
        </w:r>
        <w:r w:rsidR="004D71B6">
          <w:rPr>
            <w:rStyle w:val="Hyperlink"/>
          </w:rPr>
          <w:t>d Good Dis</w:t>
        </w:r>
        <w:r w:rsidR="004D71B6">
          <w:rPr>
            <w:rStyle w:val="Hyperlink"/>
          </w:rPr>
          <w:t>t</w:t>
        </w:r>
        <w:r w:rsidR="004D71B6">
          <w:rPr>
            <w:rStyle w:val="Hyperlink"/>
          </w:rPr>
          <w:t xml:space="preserve">ribution Practice (GDP) </w:t>
        </w:r>
        <w:r w:rsidRPr="00E5632B">
          <w:rPr>
            <w:rStyle w:val="Hyperlink"/>
          </w:rPr>
          <w:t>inspection findings</w:t>
        </w:r>
      </w:hyperlink>
      <w:r>
        <w:t>.</w:t>
      </w: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271"/>
        <w:gridCol w:w="7745"/>
      </w:tblGrid>
      <w:tr w:rsidR="00F72046" w14:paraId="45482468" w14:textId="77777777" w:rsidTr="001E6C50">
        <w:tc>
          <w:tcPr>
            <w:tcW w:w="1271" w:type="dxa"/>
          </w:tcPr>
          <w:p w14:paraId="723337DA" w14:textId="77777777" w:rsidR="00F72046" w:rsidRDefault="00F72046" w:rsidP="001E6C50">
            <w:pPr>
              <w:pStyle w:val="AbbreviationsDefinitionsTerm"/>
            </w:pPr>
            <w:r>
              <w:t>Definition:</w:t>
            </w:r>
          </w:p>
        </w:tc>
        <w:tc>
          <w:tcPr>
            <w:tcW w:w="7745" w:type="dxa"/>
          </w:tcPr>
          <w:p w14:paraId="31F2A8F2" w14:textId="77777777" w:rsidR="00F72046" w:rsidRPr="005E70FB" w:rsidRDefault="00F72046" w:rsidP="001E6C50">
            <w:pPr>
              <w:pStyle w:val="AbbreviationsDefinitionsTerm"/>
            </w:pPr>
            <w:r>
              <w:t>Description:</w:t>
            </w:r>
          </w:p>
        </w:tc>
      </w:tr>
      <w:tr w:rsidR="00F72046" w:rsidRPr="007F4F04" w14:paraId="70BF837E" w14:textId="77777777" w:rsidTr="001E6C50">
        <w:tc>
          <w:tcPr>
            <w:tcW w:w="1271" w:type="dxa"/>
          </w:tcPr>
          <w:p w14:paraId="7BA9711C" w14:textId="77777777" w:rsidR="00F72046" w:rsidRDefault="00F72046" w:rsidP="001E6C50">
            <w:r>
              <w:rPr>
                <w:color w:val="FF0000"/>
              </w:rPr>
              <w:t>Critical</w:t>
            </w:r>
          </w:p>
        </w:tc>
        <w:tc>
          <w:tcPr>
            <w:tcW w:w="7745" w:type="dxa"/>
          </w:tcPr>
          <w:p w14:paraId="2E653C61" w14:textId="77777777" w:rsidR="00F72046" w:rsidRDefault="00F72046" w:rsidP="001E6C50">
            <w:r>
              <w:t>A deficiency which has produced, or significantly risks producing, a product which is harmful to humans or veterinary patients, or which could result in a harmful residue in a food-producing animal.</w:t>
            </w:r>
          </w:p>
          <w:p w14:paraId="7CCA1CCB" w14:textId="77777777" w:rsidR="00F72046" w:rsidRPr="007F4F04" w:rsidRDefault="00F72046" w:rsidP="001E6C50">
            <w:r>
              <w:t>Any departure from good distribution practice that results in a significant risk to patients. This includes an activity which increases the risk of counterfeit medicines reaching patients.</w:t>
            </w:r>
          </w:p>
        </w:tc>
      </w:tr>
      <w:tr w:rsidR="00F72046" w:rsidRPr="007F4F04" w14:paraId="7CDC2E41" w14:textId="77777777" w:rsidTr="001E6C50">
        <w:tc>
          <w:tcPr>
            <w:tcW w:w="1271" w:type="dxa"/>
          </w:tcPr>
          <w:p w14:paraId="0C53C66D" w14:textId="77777777" w:rsidR="00F72046" w:rsidRDefault="00F72046" w:rsidP="001E6C50">
            <w:r w:rsidRPr="004B4DAC">
              <w:rPr>
                <w:color w:val="FF9900"/>
              </w:rPr>
              <w:t>Major</w:t>
            </w:r>
          </w:p>
        </w:tc>
        <w:tc>
          <w:tcPr>
            <w:tcW w:w="7745" w:type="dxa"/>
          </w:tcPr>
          <w:p w14:paraId="04EFF8F3" w14:textId="77777777" w:rsidR="00F72046" w:rsidRDefault="00F72046" w:rsidP="001E6C50">
            <w:r>
              <w:t>A non-critical deficiency that:</w:t>
            </w:r>
          </w:p>
          <w:p w14:paraId="052E4258" w14:textId="77777777" w:rsidR="00F72046" w:rsidRDefault="00F72046" w:rsidP="001E6C50">
            <w:pPr>
              <w:pStyle w:val="bullet1"/>
            </w:pPr>
            <w:r>
              <w:t>has, or may produce, a product that doesn’t comply with its marketing authorisation</w:t>
            </w:r>
          </w:p>
          <w:p w14:paraId="5AB3E90F" w14:textId="77777777" w:rsidR="00F72046" w:rsidRDefault="00F72046" w:rsidP="001E6C50">
            <w:pPr>
              <w:pStyle w:val="bullet1"/>
            </w:pPr>
            <w:r>
              <w:t>indicates a major deviation from GMP or GDP, or from the terms of the manufacturer licence or wholesale licence</w:t>
            </w:r>
          </w:p>
          <w:p w14:paraId="4300BC0A" w14:textId="77777777" w:rsidR="00F72046" w:rsidRDefault="00F72046" w:rsidP="001E6C50">
            <w:pPr>
              <w:pStyle w:val="bullet1"/>
            </w:pPr>
            <w:r>
              <w:t>indicates a failure to carry out satisfactory batch-release procedures, or (within EU) a failure of the Qualified Person or Responsible Person to fulfil their legal duties</w:t>
            </w:r>
          </w:p>
          <w:p w14:paraId="0E3AB270" w14:textId="77777777" w:rsidR="00F72046" w:rsidRPr="007F4F04" w:rsidRDefault="00F72046" w:rsidP="001E6C50">
            <w:pPr>
              <w:pStyle w:val="bullet1"/>
            </w:pPr>
            <w:r>
              <w:t>a combination of several ‘other’ deficiencies that on their own may not be ‘major’, but when combined may represent a major deficiency and should be explained and reported as such.</w:t>
            </w:r>
          </w:p>
        </w:tc>
      </w:tr>
      <w:tr w:rsidR="00F72046" w:rsidRPr="007F4F04" w14:paraId="15206010" w14:textId="77777777" w:rsidTr="001E6C50">
        <w:tc>
          <w:tcPr>
            <w:tcW w:w="1271" w:type="dxa"/>
          </w:tcPr>
          <w:p w14:paraId="25E75CF7" w14:textId="77777777" w:rsidR="00F72046" w:rsidRPr="009929CB" w:rsidRDefault="00F72046" w:rsidP="001E6C50">
            <w:pPr>
              <w:rPr>
                <w:color w:val="00B050"/>
              </w:rPr>
            </w:pPr>
            <w:r>
              <w:rPr>
                <w:color w:val="00B050"/>
              </w:rPr>
              <w:t>Other</w:t>
            </w:r>
          </w:p>
        </w:tc>
        <w:tc>
          <w:tcPr>
            <w:tcW w:w="7745" w:type="dxa"/>
          </w:tcPr>
          <w:p w14:paraId="37E63231" w14:textId="77777777" w:rsidR="00F72046" w:rsidRPr="007F4F04" w:rsidRDefault="00F72046" w:rsidP="001E6C50">
            <w:pPr>
              <w:pStyle w:val="bullet1"/>
              <w:numPr>
                <w:ilvl w:val="0"/>
                <w:numId w:val="0"/>
              </w:numPr>
            </w:pPr>
            <w:r w:rsidRPr="00DD56C4">
              <w:t xml:space="preserve">A deficiency </w:t>
            </w:r>
            <w:r>
              <w:t>that</w:t>
            </w:r>
            <w:r w:rsidRPr="00DD56C4">
              <w:t xml:space="preserve"> cannot be classified as either </w:t>
            </w:r>
            <w:r>
              <w:t>‘</w:t>
            </w:r>
            <w:r w:rsidRPr="00DD56C4">
              <w:t>critical</w:t>
            </w:r>
            <w:r>
              <w:t>’</w:t>
            </w:r>
            <w:r w:rsidRPr="00DD56C4">
              <w:t xml:space="preserve"> or </w:t>
            </w:r>
            <w:r>
              <w:t>‘</w:t>
            </w:r>
            <w:r w:rsidRPr="00DD56C4">
              <w:t>major</w:t>
            </w:r>
            <w:r>
              <w:t>’,</w:t>
            </w:r>
            <w:r w:rsidRPr="00DD56C4">
              <w:t xml:space="preserve"> or there is not enough information to classify it as </w:t>
            </w:r>
            <w:r>
              <w:t>‘</w:t>
            </w:r>
            <w:r w:rsidRPr="00DD56C4">
              <w:t>critical</w:t>
            </w:r>
            <w:r>
              <w:t>’</w:t>
            </w:r>
            <w:r w:rsidRPr="00DD56C4">
              <w:t xml:space="preserve"> or </w:t>
            </w:r>
            <w:r>
              <w:t>‘</w:t>
            </w:r>
            <w:r w:rsidRPr="00DD56C4">
              <w:t>major</w:t>
            </w:r>
            <w:r>
              <w:t>’,</w:t>
            </w:r>
            <w:r w:rsidRPr="00DD56C4">
              <w:t xml:space="preserve"> but </w:t>
            </w:r>
            <w:r>
              <w:t>that</w:t>
            </w:r>
            <w:r w:rsidRPr="00DD56C4">
              <w:t xml:space="preserve"> indicates a departure from good manufacturing and distribution practice.</w:t>
            </w:r>
          </w:p>
        </w:tc>
      </w:tr>
    </w:tbl>
    <w:p w14:paraId="4D7AFC30" w14:textId="64827338" w:rsidR="00F72046" w:rsidRDefault="008108DC" w:rsidP="004D71B6">
      <w:pPr>
        <w:pStyle w:val="Heading1"/>
      </w:pPr>
      <w:r>
        <w:t>Reference and frameworks</w:t>
      </w:r>
    </w:p>
    <w:p w14:paraId="5A217E78" w14:textId="77777777" w:rsidR="004D71B6" w:rsidRDefault="004D71B6" w:rsidP="004D71B6">
      <w:pPr>
        <w:pStyle w:val="bullet1"/>
      </w:pPr>
      <w:r w:rsidRPr="004D71B6">
        <w:t>HTA Research</w:t>
      </w:r>
      <w:r>
        <w:t xml:space="preserve"> Licensing</w:t>
      </w:r>
      <w:r w:rsidRPr="004D71B6">
        <w:t xml:space="preserve"> Standards and Guidance</w:t>
      </w:r>
      <w:r>
        <w:t xml:space="preserve">: </w:t>
      </w:r>
      <w:hyperlink r:id="rId15" w:tooltip="HTA Research Licensing Standards and Guidance" w:history="1">
        <w:r w:rsidRPr="009E31F7">
          <w:rPr>
            <w:rStyle w:val="Hyperlink"/>
          </w:rPr>
          <w:t>https://</w:t>
        </w:r>
        <w:r w:rsidRPr="009E31F7">
          <w:rPr>
            <w:rStyle w:val="Hyperlink"/>
          </w:rPr>
          <w:t>w</w:t>
        </w:r>
        <w:r w:rsidRPr="009E31F7">
          <w:rPr>
            <w:rStyle w:val="Hyperlink"/>
          </w:rPr>
          <w:t>ww.hta.gov.uk/guidance-professionals/guidance-sector/research/research-licensing-standards-and-guidance</w:t>
        </w:r>
      </w:hyperlink>
    </w:p>
    <w:p w14:paraId="7B8B2A0B" w14:textId="0F81214C" w:rsidR="008108DC" w:rsidRDefault="004D71B6" w:rsidP="004D71B6">
      <w:pPr>
        <w:pStyle w:val="bullet1"/>
      </w:pPr>
      <w:r>
        <w:t xml:space="preserve">MHRA grading of GCP inspection findings: </w:t>
      </w:r>
      <w:hyperlink r:id="rId16" w:anchor="during-the-inspection" w:tooltip="MHRA grading of GCP inspection findings" w:history="1">
        <w:r w:rsidRPr="009E31F7">
          <w:rPr>
            <w:rStyle w:val="Hyperlink"/>
          </w:rPr>
          <w:t>https://ww</w:t>
        </w:r>
        <w:r w:rsidRPr="009E31F7">
          <w:rPr>
            <w:rStyle w:val="Hyperlink"/>
          </w:rPr>
          <w:t>w</w:t>
        </w:r>
        <w:r w:rsidRPr="009E31F7">
          <w:rPr>
            <w:rStyle w:val="Hyperlink"/>
          </w:rPr>
          <w:t>.gov.uk/guidance/good-clinical-practice-for-clinical-trials#during-the-inspection</w:t>
        </w:r>
      </w:hyperlink>
      <w:r>
        <w:t xml:space="preserve">  </w:t>
      </w:r>
    </w:p>
    <w:p w14:paraId="20C78813" w14:textId="11AD2CB9" w:rsidR="004D71B6" w:rsidRPr="008108DC" w:rsidRDefault="004D71B6" w:rsidP="00C80BF0">
      <w:pPr>
        <w:pStyle w:val="bullet1"/>
      </w:pPr>
      <w:r>
        <w:t xml:space="preserve">MHRA grading of GMP and GDP inspection findings: </w:t>
      </w:r>
      <w:hyperlink r:id="rId17" w:anchor="grading-of-inspection-findings" w:tooltip="MHRA grading of GMP and GDP inspection findings" w:history="1">
        <w:r w:rsidRPr="009E31F7">
          <w:rPr>
            <w:rStyle w:val="Hyperlink"/>
          </w:rPr>
          <w:t>https://w</w:t>
        </w:r>
        <w:r w:rsidRPr="009E31F7">
          <w:rPr>
            <w:rStyle w:val="Hyperlink"/>
          </w:rPr>
          <w:t>w</w:t>
        </w:r>
        <w:r w:rsidRPr="009E31F7">
          <w:rPr>
            <w:rStyle w:val="Hyperlink"/>
          </w:rPr>
          <w:t>w.gov.uk/guidance/good-manufacturing-practice-and-good-distribution-practice#grading-of-inspection-findings</w:t>
        </w:r>
      </w:hyperlink>
      <w:r>
        <w:t xml:space="preserve"> </w:t>
      </w:r>
    </w:p>
    <w:p w14:paraId="4FD5B389" w14:textId="77777777" w:rsidR="00B63EFD" w:rsidRPr="00B63EFD" w:rsidRDefault="00B63EFD" w:rsidP="00174260"/>
    <w:sectPr w:rsidR="00B63EFD" w:rsidRPr="00B63EFD" w:rsidSect="004D71B6">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7C55" w14:textId="77777777" w:rsidR="001C1AF3" w:rsidRDefault="001C1AF3" w:rsidP="009E2541">
      <w:pPr>
        <w:spacing w:before="0" w:after="0"/>
      </w:pPr>
      <w:r>
        <w:separator/>
      </w:r>
    </w:p>
  </w:endnote>
  <w:endnote w:type="continuationSeparator" w:id="0">
    <w:p w14:paraId="7E958B3E" w14:textId="77777777" w:rsidR="001C1AF3" w:rsidRDefault="001C1AF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1B69367E" w14:textId="77777777" w:rsidR="0017791A" w:rsidRDefault="0017791A" w:rsidP="0017791A">
            <w:pPr>
              <w:pStyle w:val="Footer"/>
              <w:tabs>
                <w:tab w:val="right" w:pos="9026"/>
              </w:tabs>
            </w:pPr>
            <w:r>
              <w:tab/>
            </w:r>
          </w:p>
          <w:p w14:paraId="3312C40E" w14:textId="21A08AA0" w:rsidR="008108DC" w:rsidRDefault="008108DC" w:rsidP="00C80BF0">
            <w:pPr>
              <w:pStyle w:val="Footer"/>
              <w:tabs>
                <w:tab w:val="left" w:pos="720"/>
                <w:tab w:val="left" w:pos="1440"/>
                <w:tab w:val="left" w:pos="2160"/>
                <w:tab w:val="left" w:pos="2880"/>
                <w:tab w:val="left" w:pos="3600"/>
                <w:tab w:val="left" w:pos="4320"/>
                <w:tab w:val="right" w:pos="9026"/>
              </w:tabs>
            </w:pPr>
            <w:r>
              <w:t>UoB-CPR-QCD-001 Finding Classification Grid v1.0 (</w:t>
            </w:r>
            <w:r w:rsidR="00E42F21">
              <w:t>E</w:t>
            </w:r>
            <w:r w:rsidR="00E42F21">
              <w:t>A</w:t>
            </w:r>
            <w:r w:rsidR="00E42F21">
              <w:t>v1</w:t>
            </w:r>
            <w:r w:rsidR="00DD216A">
              <w:t>.0</w:t>
            </w:r>
            <w:r>
              <w:t>)</w:t>
            </w:r>
            <w:r w:rsidR="00352C78" w:rsidRPr="00352C78">
              <w:tab/>
            </w:r>
            <w:r>
              <w:rPr>
                <w:noProof/>
              </w:rPr>
              <w:tab/>
            </w:r>
            <w:r>
              <w:t xml:space="preserve">Page </w:t>
            </w:r>
            <w:r>
              <w:fldChar w:fldCharType="begin"/>
            </w:r>
            <w:r>
              <w:instrText xml:space="preserve"> PAGE   \* MERGEFORMAT </w:instrText>
            </w:r>
            <w:r>
              <w:fldChar w:fldCharType="separate"/>
            </w:r>
            <w:r>
              <w:t>2</w:t>
            </w:r>
            <w:r>
              <w:fldChar w:fldCharType="end"/>
            </w:r>
            <w:r>
              <w:t xml:space="preserve"> of </w:t>
            </w:r>
            <w:r w:rsidR="004954B8">
              <w:fldChar w:fldCharType="begin"/>
            </w:r>
            <w:r w:rsidR="004954B8">
              <w:instrText xml:space="preserve"> NUMPAGES   \* MERGEFORMAT </w:instrText>
            </w:r>
            <w:r w:rsidR="004954B8">
              <w:fldChar w:fldCharType="separate"/>
            </w:r>
            <w:r>
              <w:t>6</w:t>
            </w:r>
            <w:r w:rsidR="004954B8">
              <w:fldChar w:fldCharType="end"/>
            </w:r>
          </w:p>
          <w:p w14:paraId="2E5C331A" w14:textId="6CFCA354" w:rsidR="009E2541" w:rsidRDefault="004954B8" w:rsidP="0017791A">
            <w:pPr>
              <w:pStyle w:val="Footer"/>
              <w:tabs>
                <w:tab w:val="right" w:pos="9026"/>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2FFA"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0DC963BD"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0203FBF1" w14:textId="77777777" w:rsidR="009F4967" w:rsidRDefault="004954B8"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27F9" w14:textId="77777777" w:rsidR="001C1AF3" w:rsidRDefault="001C1AF3" w:rsidP="009E2541">
      <w:pPr>
        <w:spacing w:before="0" w:after="0"/>
      </w:pPr>
      <w:r>
        <w:separator/>
      </w:r>
    </w:p>
  </w:footnote>
  <w:footnote w:type="continuationSeparator" w:id="0">
    <w:p w14:paraId="08A206B6" w14:textId="77777777" w:rsidR="001C1AF3" w:rsidRDefault="001C1AF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F72F" w14:textId="6FA2543D" w:rsidR="00212610" w:rsidRDefault="00D765DA" w:rsidP="00D44FA5">
    <w:pPr>
      <w:pStyle w:val="Header-QCDs"/>
    </w:pPr>
    <w:r w:rsidRPr="00C67170">
      <w:rPr>
        <w:lang w:eastAsia="en-GB"/>
      </w:rPr>
      <w:drawing>
        <wp:anchor distT="0" distB="0" distL="114300" distR="114300" simplePos="0" relativeHeight="251661312" behindDoc="0" locked="0" layoutInCell="1" allowOverlap="1" wp14:anchorId="1118990C" wp14:editId="3D7147E2">
          <wp:simplePos x="0" y="0"/>
          <wp:positionH relativeFrom="column">
            <wp:posOffset>-299085</wp:posOffset>
          </wp:positionH>
          <wp:positionV relativeFrom="page">
            <wp:posOffset>105600</wp:posOffset>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72046">
      <w:t>Finding Classification Grid</w:t>
    </w:r>
  </w:p>
  <w:p w14:paraId="481272DF" w14:textId="069DD288" w:rsidR="00212610" w:rsidRPr="001C1176" w:rsidRDefault="00716230" w:rsidP="00C80BF0">
    <w:pPr>
      <w:pStyle w:val="Header-QCDs"/>
      <w:tabs>
        <w:tab w:val="clear" w:pos="4153"/>
        <w:tab w:val="clear" w:pos="8306"/>
      </w:tabs>
      <w:ind w:left="720"/>
    </w:pPr>
    <w:r>
      <w:tab/>
    </w:r>
    <w:r>
      <w:tab/>
    </w:r>
    <w:r w:rsidR="00495AB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9B71"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231E3CD7" w14:textId="77777777" w:rsidTr="00D348D3">
      <w:trPr>
        <w:trHeight w:val="278"/>
        <w:tblHeader/>
      </w:trPr>
      <w:tc>
        <w:tcPr>
          <w:tcW w:w="1668" w:type="dxa"/>
          <w:vAlign w:val="center"/>
        </w:tcPr>
        <w:p w14:paraId="0CF7375D" w14:textId="77777777" w:rsidR="009F4967" w:rsidRDefault="009F4967" w:rsidP="009F4967">
          <w:pPr>
            <w:pStyle w:val="Footer"/>
          </w:pPr>
          <w:r w:rsidRPr="001C6EFB">
            <w:t>Document code:</w:t>
          </w:r>
        </w:p>
      </w:tc>
      <w:tc>
        <w:tcPr>
          <w:tcW w:w="2310" w:type="dxa"/>
          <w:vAlign w:val="center"/>
        </w:tcPr>
        <w:p w14:paraId="0313A143" w14:textId="28345138" w:rsidR="009F4967" w:rsidRDefault="009F4967" w:rsidP="00A121AC">
          <w:pPr>
            <w:pStyle w:val="Footer"/>
            <w:jc w:val="right"/>
          </w:pPr>
          <w:r>
            <w:t>UoB-</w:t>
          </w:r>
          <w:r w:rsidR="00DE388C">
            <w:t>CPR-QCD-001</w:t>
          </w:r>
        </w:p>
      </w:tc>
    </w:tr>
    <w:tr w:rsidR="009F4967" w14:paraId="46799774" w14:textId="77777777" w:rsidTr="00D348D3">
      <w:trPr>
        <w:trHeight w:val="278"/>
      </w:trPr>
      <w:tc>
        <w:tcPr>
          <w:tcW w:w="1668" w:type="dxa"/>
          <w:vAlign w:val="center"/>
        </w:tcPr>
        <w:p w14:paraId="5A10D21B" w14:textId="77777777" w:rsidR="009F4967" w:rsidRDefault="009F4967" w:rsidP="009F4967">
          <w:pPr>
            <w:pStyle w:val="Footer"/>
          </w:pPr>
          <w:r w:rsidRPr="001C6EFB">
            <w:t>Version no:</w:t>
          </w:r>
        </w:p>
      </w:tc>
      <w:tc>
        <w:tcPr>
          <w:tcW w:w="2310" w:type="dxa"/>
          <w:vAlign w:val="center"/>
        </w:tcPr>
        <w:p w14:paraId="52594A06" w14:textId="4C4EF722" w:rsidR="009F4967" w:rsidRDefault="00DE388C" w:rsidP="009F4967">
          <w:pPr>
            <w:pStyle w:val="Footer"/>
            <w:jc w:val="right"/>
          </w:pPr>
          <w:r>
            <w:t>1.0 (E</w:t>
          </w:r>
          <w:r w:rsidR="00DD216A">
            <w:t>A</w:t>
          </w:r>
          <w:r>
            <w:t>v</w:t>
          </w:r>
          <w:r w:rsidR="00DD216A">
            <w:t>1.0</w:t>
          </w:r>
          <w:r>
            <w:t>)</w:t>
          </w:r>
        </w:p>
      </w:tc>
    </w:tr>
    <w:tr w:rsidR="009F4967" w14:paraId="3238211C" w14:textId="77777777" w:rsidTr="00D348D3">
      <w:trPr>
        <w:trHeight w:val="278"/>
      </w:trPr>
      <w:tc>
        <w:tcPr>
          <w:tcW w:w="1668" w:type="dxa"/>
          <w:vAlign w:val="center"/>
        </w:tcPr>
        <w:p w14:paraId="41B41DB9" w14:textId="77777777" w:rsidR="009F4967" w:rsidRDefault="009F4967" w:rsidP="009F4967">
          <w:pPr>
            <w:pStyle w:val="Footer"/>
          </w:pPr>
          <w:r>
            <w:t>Effective date:</w:t>
          </w:r>
        </w:p>
      </w:tc>
      <w:tc>
        <w:tcPr>
          <w:tcW w:w="2310" w:type="dxa"/>
          <w:vAlign w:val="center"/>
        </w:tcPr>
        <w:p w14:paraId="35E52138" w14:textId="4EBB0820" w:rsidR="009F4967" w:rsidRDefault="004954B8" w:rsidP="009F4967">
          <w:pPr>
            <w:pStyle w:val="Footer"/>
            <w:jc w:val="right"/>
          </w:pPr>
          <w:r>
            <w:t>25-Oct-2021</w:t>
          </w:r>
        </w:p>
      </w:tc>
    </w:tr>
    <w:tr w:rsidR="009F4967" w14:paraId="3F8314F5" w14:textId="77777777" w:rsidTr="00D348D3">
      <w:trPr>
        <w:trHeight w:val="278"/>
      </w:trPr>
      <w:tc>
        <w:tcPr>
          <w:tcW w:w="1668" w:type="dxa"/>
          <w:vAlign w:val="center"/>
        </w:tcPr>
        <w:p w14:paraId="2E5AF8C1" w14:textId="77777777" w:rsidR="009F4967" w:rsidRPr="001C6EFB" w:rsidRDefault="009F4967" w:rsidP="009F4967">
          <w:pPr>
            <w:pStyle w:val="Footer"/>
          </w:pPr>
          <w:r>
            <w:t>Print d</w:t>
          </w:r>
          <w:r w:rsidRPr="001C6EFB">
            <w:t>ate:</w:t>
          </w:r>
        </w:p>
      </w:tc>
      <w:tc>
        <w:tcPr>
          <w:tcW w:w="2310" w:type="dxa"/>
          <w:vAlign w:val="center"/>
        </w:tcPr>
        <w:p w14:paraId="7305C5D3" w14:textId="5C1DD4B1" w:rsidR="009F4967" w:rsidRDefault="009F4967" w:rsidP="009F4967">
          <w:pPr>
            <w:pStyle w:val="Footer"/>
            <w:jc w:val="right"/>
          </w:pPr>
          <w:r>
            <w:fldChar w:fldCharType="begin"/>
          </w:r>
          <w:r>
            <w:instrText xml:space="preserve"> DATE  \@ "dd-MMM-yyyy"  \* MERGEFORMAT </w:instrText>
          </w:r>
          <w:r>
            <w:fldChar w:fldCharType="separate"/>
          </w:r>
          <w:r w:rsidR="00D765DA">
            <w:rPr>
              <w:noProof/>
            </w:rPr>
            <w:t>19-Dec-2023</w:t>
          </w:r>
          <w:r>
            <w:fldChar w:fldCharType="end"/>
          </w:r>
        </w:p>
      </w:tc>
    </w:tr>
    <w:tr w:rsidR="009F4967" w14:paraId="269CCA16" w14:textId="77777777" w:rsidTr="00D348D3">
      <w:trPr>
        <w:trHeight w:val="278"/>
      </w:trPr>
      <w:tc>
        <w:tcPr>
          <w:tcW w:w="1668" w:type="dxa"/>
          <w:vAlign w:val="center"/>
        </w:tcPr>
        <w:p w14:paraId="22C7C4A9" w14:textId="77777777" w:rsidR="009F4967" w:rsidRPr="001C6EFB" w:rsidRDefault="009F4967" w:rsidP="009F4967">
          <w:pPr>
            <w:pStyle w:val="Footer"/>
          </w:pPr>
          <w:r w:rsidRPr="001C6EFB">
            <w:t>Page:</w:t>
          </w:r>
        </w:p>
      </w:tc>
      <w:tc>
        <w:tcPr>
          <w:tcW w:w="2310" w:type="dxa"/>
          <w:vAlign w:val="center"/>
        </w:tcPr>
        <w:p w14:paraId="64D05013"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4954B8">
            <w:fldChar w:fldCharType="begin"/>
          </w:r>
          <w:r w:rsidR="004954B8">
            <w:instrText xml:space="preserve"> NUMPAGES   \* MERGEFORMAT </w:instrText>
          </w:r>
          <w:r w:rsidR="004954B8">
            <w:fldChar w:fldCharType="separate"/>
          </w:r>
          <w:r w:rsidR="00174260">
            <w:rPr>
              <w:noProof/>
            </w:rPr>
            <w:t>2</w:t>
          </w:r>
          <w:r w:rsidR="004954B8">
            <w:rPr>
              <w:noProof/>
            </w:rPr>
            <w:fldChar w:fldCharType="end"/>
          </w:r>
          <w:r w:rsidRPr="001C6EFB">
            <w:t xml:space="preserve"> </w:t>
          </w:r>
        </w:p>
      </w:tc>
    </w:tr>
  </w:tbl>
  <w:p w14:paraId="68017805"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51C9D056" wp14:editId="464A5C84">
          <wp:simplePos x="0" y="0"/>
          <wp:positionH relativeFrom="column">
            <wp:posOffset>-302260</wp:posOffset>
          </wp:positionH>
          <wp:positionV relativeFrom="page">
            <wp:posOffset>1051560</wp:posOffset>
          </wp:positionV>
          <wp:extent cx="2703600" cy="1062000"/>
          <wp:effectExtent l="0" t="0" r="0" b="0"/>
          <wp:wrapNone/>
          <wp:docPr id="72" name="Picture 7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664357" w14:textId="77777777" w:rsidR="00B63EFD" w:rsidRPr="009F4967" w:rsidRDefault="00B63EFD" w:rsidP="009F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C443C74"/>
    <w:multiLevelType w:val="hybridMultilevel"/>
    <w:tmpl w:val="629C6C52"/>
    <w:lvl w:ilvl="0" w:tplc="74905CF2">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7"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248639">
    <w:abstractNumId w:val="0"/>
  </w:num>
  <w:num w:numId="2" w16cid:durableId="550727262">
    <w:abstractNumId w:val="7"/>
  </w:num>
  <w:num w:numId="3" w16cid:durableId="2115249066">
    <w:abstractNumId w:val="6"/>
  </w:num>
  <w:num w:numId="4" w16cid:durableId="1203131531">
    <w:abstractNumId w:val="1"/>
  </w:num>
  <w:num w:numId="5" w16cid:durableId="1618758489">
    <w:abstractNumId w:val="5"/>
  </w:num>
  <w:num w:numId="6" w16cid:durableId="254360362">
    <w:abstractNumId w:val="2"/>
  </w:num>
  <w:num w:numId="7" w16cid:durableId="223760300">
    <w:abstractNumId w:val="3"/>
  </w:num>
  <w:num w:numId="8" w16cid:durableId="152726134">
    <w:abstractNumId w:val="0"/>
  </w:num>
  <w:num w:numId="9" w16cid:durableId="1931596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DB"/>
    <w:rsid w:val="00051979"/>
    <w:rsid w:val="00056169"/>
    <w:rsid w:val="00174260"/>
    <w:rsid w:val="0017791A"/>
    <w:rsid w:val="001C1176"/>
    <w:rsid w:val="001C1AF3"/>
    <w:rsid w:val="001E462C"/>
    <w:rsid w:val="001F363D"/>
    <w:rsid w:val="00201C7B"/>
    <w:rsid w:val="00212610"/>
    <w:rsid w:val="00231BC9"/>
    <w:rsid w:val="002337C2"/>
    <w:rsid w:val="003247CD"/>
    <w:rsid w:val="00352C78"/>
    <w:rsid w:val="003C0400"/>
    <w:rsid w:val="004954B8"/>
    <w:rsid w:val="00495AB8"/>
    <w:rsid w:val="004D71B6"/>
    <w:rsid w:val="005017CB"/>
    <w:rsid w:val="00512385"/>
    <w:rsid w:val="00524C72"/>
    <w:rsid w:val="00551B46"/>
    <w:rsid w:val="00562430"/>
    <w:rsid w:val="006D353E"/>
    <w:rsid w:val="00716230"/>
    <w:rsid w:val="007235D8"/>
    <w:rsid w:val="00785159"/>
    <w:rsid w:val="007B78A1"/>
    <w:rsid w:val="008108DC"/>
    <w:rsid w:val="009A16FE"/>
    <w:rsid w:val="009E2541"/>
    <w:rsid w:val="009F4967"/>
    <w:rsid w:val="00A121AC"/>
    <w:rsid w:val="00A47580"/>
    <w:rsid w:val="00A8653B"/>
    <w:rsid w:val="00A918F1"/>
    <w:rsid w:val="00AB04CD"/>
    <w:rsid w:val="00AC31AE"/>
    <w:rsid w:val="00AF0598"/>
    <w:rsid w:val="00B10048"/>
    <w:rsid w:val="00B424BC"/>
    <w:rsid w:val="00B63EFD"/>
    <w:rsid w:val="00C4434C"/>
    <w:rsid w:val="00C80BF0"/>
    <w:rsid w:val="00D30DDB"/>
    <w:rsid w:val="00D44FA5"/>
    <w:rsid w:val="00D765DA"/>
    <w:rsid w:val="00DA4B36"/>
    <w:rsid w:val="00DB10C3"/>
    <w:rsid w:val="00DB18F0"/>
    <w:rsid w:val="00DC11DA"/>
    <w:rsid w:val="00DC5448"/>
    <w:rsid w:val="00DD216A"/>
    <w:rsid w:val="00DE388C"/>
    <w:rsid w:val="00E237E8"/>
    <w:rsid w:val="00E243E7"/>
    <w:rsid w:val="00E3726D"/>
    <w:rsid w:val="00E42F21"/>
    <w:rsid w:val="00E47D32"/>
    <w:rsid w:val="00E86405"/>
    <w:rsid w:val="00F72046"/>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7C8D8"/>
  <w15:chartTrackingRefBased/>
  <w15:docId w15:val="{70F4E629-57D6-48DF-B531-2C927138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uiPriority w:val="3"/>
    <w:qFormat/>
    <w:rsid w:val="00B424BC"/>
    <w:pPr>
      <w:numPr>
        <w:numId w:val="1"/>
      </w:numPr>
      <w:ind w:left="340" w:hanging="340"/>
    </w:pPr>
  </w:style>
  <w:style w:type="character" w:customStyle="1" w:styleId="bullet1Char">
    <w:name w:val="bullet 1 Char"/>
    <w:basedOn w:val="DefaultParagraphFont"/>
    <w:link w:val="bullet1"/>
    <w:uiPriority w:val="3"/>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qFormat/>
    <w:rsid w:val="00DB18F0"/>
    <w:rPr>
      <w:color w:val="943634"/>
    </w:rPr>
  </w:style>
  <w:style w:type="character" w:customStyle="1" w:styleId="ReferencestootherSOPsQCDsChar">
    <w:name w:val="References to other SOPs/QCDs Char"/>
    <w:basedOn w:val="InstructionsChar"/>
    <w:link w:val="ReferencestootherSOPsQCDs"/>
    <w:uiPriority w:val="2"/>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FollowedHyperlink">
    <w:name w:val="FollowedHyperlink"/>
    <w:basedOn w:val="DefaultParagraphFont"/>
    <w:uiPriority w:val="99"/>
    <w:semiHidden/>
    <w:unhideWhenUsed/>
    <w:rsid w:val="005017CB"/>
    <w:rPr>
      <w:color w:val="954F72" w:themeColor="followedHyperlink"/>
      <w:u w:val="single"/>
    </w:rPr>
  </w:style>
  <w:style w:type="paragraph" w:styleId="Revision">
    <w:name w:val="Revision"/>
    <w:hidden/>
    <w:uiPriority w:val="99"/>
    <w:semiHidden/>
    <w:rsid w:val="008108DC"/>
    <w:pPr>
      <w:spacing w:after="0" w:line="240" w:lineRule="auto"/>
    </w:pPr>
    <w:rPr>
      <w:rFonts w:ascii="Calibri" w:hAnsi="Calibri" w:cs="Arial"/>
      <w:sz w:val="20"/>
      <w:szCs w:val="20"/>
    </w:rPr>
  </w:style>
  <w:style w:type="character" w:styleId="CommentReference">
    <w:name w:val="annotation reference"/>
    <w:basedOn w:val="DefaultParagraphFont"/>
    <w:uiPriority w:val="99"/>
    <w:semiHidden/>
    <w:unhideWhenUsed/>
    <w:rsid w:val="004D71B6"/>
    <w:rPr>
      <w:sz w:val="16"/>
      <w:szCs w:val="16"/>
    </w:rPr>
  </w:style>
  <w:style w:type="paragraph" w:styleId="CommentText">
    <w:name w:val="annotation text"/>
    <w:basedOn w:val="Normal"/>
    <w:link w:val="CommentTextChar"/>
    <w:uiPriority w:val="99"/>
    <w:semiHidden/>
    <w:unhideWhenUsed/>
    <w:rsid w:val="004D71B6"/>
  </w:style>
  <w:style w:type="character" w:customStyle="1" w:styleId="CommentTextChar">
    <w:name w:val="Comment Text Char"/>
    <w:basedOn w:val="DefaultParagraphFont"/>
    <w:link w:val="CommentText"/>
    <w:uiPriority w:val="99"/>
    <w:semiHidden/>
    <w:rsid w:val="004D71B6"/>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4D71B6"/>
    <w:rPr>
      <w:b/>
      <w:bCs/>
    </w:rPr>
  </w:style>
  <w:style w:type="character" w:customStyle="1" w:styleId="CommentSubjectChar">
    <w:name w:val="Comment Subject Char"/>
    <w:basedOn w:val="CommentTextChar"/>
    <w:link w:val="CommentSubject"/>
    <w:uiPriority w:val="99"/>
    <w:semiHidden/>
    <w:rsid w:val="004D71B6"/>
    <w:rPr>
      <w:rFonts w:ascii="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ta.gov.uk/guidance-professionals/guidance-sector/research/research-licensing-standards-and-guid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rmingham.ac.uk/research/activity/mds/mds-rkto/governance/index.aspx" TargetMode="External"/><Relationship Id="rId12" Type="http://schemas.openxmlformats.org/officeDocument/2006/relationships/hyperlink" Target="https://www.gov.uk/guidance/good-clinical-practice-for-clinical-trials" TargetMode="External"/><Relationship Id="rId17" Type="http://schemas.openxmlformats.org/officeDocument/2006/relationships/hyperlink" Target="https://www.gov.uk/guidance/good-manufacturing-practice-and-good-distribution-practice" TargetMode="External"/><Relationship Id="rId2" Type="http://schemas.openxmlformats.org/officeDocument/2006/relationships/styles" Target="styles.xml"/><Relationship Id="rId16" Type="http://schemas.openxmlformats.org/officeDocument/2006/relationships/hyperlink" Target="https://www.gov.uk/guidance/good-clinical-practice-for-clinical-tri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ta.gov.uk/guidance-professionals/guidance-sector/research/research-licensing-standards-and-guidanc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uidance/good-manufacturing-practice-and-good-distribution-practi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portrait%20-%20logo%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portrait - logo v9.0 vd 19-Jan-2022</Template>
  <TotalTime>32</TotalTime>
  <Pages>6</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UoB QCD template - portrait - logo v9.0 vd 19-Jan-2022</vt:lpstr>
    </vt:vector>
  </TitlesOfParts>
  <Company>UoB IT Services</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logo v9.0 vd 19-Jan-2022</dc:title>
  <dc:subject/>
  <dc:creator>Carole Evans (Medical and Dental Sciences)</dc:creator>
  <cp:keywords/>
  <dc:description/>
  <cp:lastModifiedBy>Kari Bottolfsen (CRCT)</cp:lastModifiedBy>
  <cp:revision>5</cp:revision>
  <dcterms:created xsi:type="dcterms:W3CDTF">2023-09-21T10:54:00Z</dcterms:created>
  <dcterms:modified xsi:type="dcterms:W3CDTF">2023-12-19T10:00:00Z</dcterms:modified>
</cp:coreProperties>
</file>