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9379" w14:textId="77777777" w:rsidR="00C0396F" w:rsidRPr="00C0396F" w:rsidRDefault="008235B1" w:rsidP="00C0396F">
      <w:pPr>
        <w:pStyle w:val="Title"/>
      </w:pPr>
      <w:r w:rsidRPr="00C0396F">
        <w:t>Stan</w:t>
      </w:r>
      <w:bookmarkStart w:id="0" w:name="_GoBack"/>
      <w:bookmarkEnd w:id="0"/>
      <w:r w:rsidRPr="00C0396F">
        <w:t>dard Operating Procedure:</w:t>
      </w:r>
    </w:p>
    <w:p w14:paraId="6708BB75" w14:textId="77777777" w:rsidR="00966396" w:rsidRPr="006334E2" w:rsidRDefault="00966396" w:rsidP="00966396">
      <w:pPr>
        <w:pStyle w:val="Title"/>
      </w:pPr>
      <w:r>
        <w:t>Essential Documents Development and Maintenance</w:t>
      </w:r>
    </w:p>
    <w:p w14:paraId="550C759B" w14:textId="77777777" w:rsidR="00966396" w:rsidRDefault="00966396" w:rsidP="00966396">
      <w:pPr>
        <w:rPr>
          <w:rFonts w:eastAsiaTheme="majorEastAsia"/>
        </w:rPr>
      </w:pPr>
    </w:p>
    <w:p w14:paraId="5A08B00C" w14:textId="408C3E60" w:rsidR="00966396" w:rsidRDefault="00966396" w:rsidP="00966396">
      <w:pPr>
        <w:pStyle w:val="Heading1"/>
      </w:pPr>
      <w:r w:rsidRPr="00B6322E">
        <w:t>Purpose</w:t>
      </w:r>
    </w:p>
    <w:p w14:paraId="1A56960D" w14:textId="75D65DF9" w:rsidR="00966396" w:rsidRPr="00FD4F33" w:rsidRDefault="00966396" w:rsidP="00966396">
      <w:r w:rsidRPr="00E03FA5">
        <w:t xml:space="preserve">This </w:t>
      </w:r>
      <w:r w:rsidR="00DC100B">
        <w:t>s</w:t>
      </w:r>
      <w:r w:rsidR="00DC100B" w:rsidRPr="00E03FA5">
        <w:t xml:space="preserve">tandard </w:t>
      </w:r>
      <w:r w:rsidR="00DC100B">
        <w:t>o</w:t>
      </w:r>
      <w:r w:rsidR="00DC100B" w:rsidRPr="00E03FA5">
        <w:t xml:space="preserve">perating </w:t>
      </w:r>
      <w:r w:rsidR="00DC100B">
        <w:t>p</w:t>
      </w:r>
      <w:r w:rsidR="00DC100B" w:rsidRPr="00E03FA5">
        <w:t xml:space="preserve">rocedure </w:t>
      </w:r>
      <w:r w:rsidRPr="00E03FA5">
        <w:t xml:space="preserve">(SOP) describes the procedure for the development, review, implementation and filing of </w:t>
      </w:r>
      <w:r w:rsidR="00DC100B">
        <w:t>e</w:t>
      </w:r>
      <w:r w:rsidR="00DC100B" w:rsidRPr="00E03FA5">
        <w:t xml:space="preserve">ssential </w:t>
      </w:r>
      <w:r w:rsidR="00DC100B">
        <w:t>d</w:t>
      </w:r>
      <w:r w:rsidR="00DC100B" w:rsidRPr="00E03FA5">
        <w:t xml:space="preserve">ocuments </w:t>
      </w:r>
      <w:r w:rsidRPr="00E03FA5">
        <w:t xml:space="preserve">involved in clinical </w:t>
      </w:r>
      <w:r>
        <w:t xml:space="preserve">research </w:t>
      </w:r>
      <w:r w:rsidRPr="00E03FA5">
        <w:t>conducted within the University of Birmingham (</w:t>
      </w:r>
      <w:proofErr w:type="spellStart"/>
      <w:r w:rsidRPr="00E03FA5">
        <w:t>UoB</w:t>
      </w:r>
      <w:proofErr w:type="spellEnd"/>
      <w:r w:rsidRPr="00E03FA5">
        <w:t xml:space="preserve">). </w:t>
      </w:r>
    </w:p>
    <w:p w14:paraId="06C73476" w14:textId="3BE0068E" w:rsidR="00966396" w:rsidRDefault="00966396" w:rsidP="00966396">
      <w:pPr>
        <w:pStyle w:val="Heading1"/>
      </w:pPr>
      <w:r w:rsidRPr="00B63F21">
        <w:t>Scope</w:t>
      </w:r>
    </w:p>
    <w:p w14:paraId="23344E23" w14:textId="5B97150F" w:rsidR="00966396" w:rsidRPr="00E6227E" w:rsidRDefault="00966396" w:rsidP="00966396">
      <w:r>
        <w:t xml:space="preserve">This SOP applies to clinical research where the </w:t>
      </w:r>
      <w:proofErr w:type="spellStart"/>
      <w:r w:rsidRPr="006334E2">
        <w:t>UoB</w:t>
      </w:r>
      <w:proofErr w:type="spellEnd"/>
      <w:r>
        <w:t xml:space="preserve"> is the </w:t>
      </w:r>
      <w:r w:rsidR="00DC100B">
        <w:t xml:space="preserve">sponsor </w:t>
      </w:r>
      <w:r>
        <w:t xml:space="preserve">or takes on </w:t>
      </w:r>
      <w:r w:rsidR="00DC100B">
        <w:t xml:space="preserve">the sponsor’s </w:t>
      </w:r>
      <w:r>
        <w:t xml:space="preserve">responsibilities for </w:t>
      </w:r>
      <w:r w:rsidR="00DC100B">
        <w:t xml:space="preserve">essential documents’ </w:t>
      </w:r>
      <w:r>
        <w:t xml:space="preserve">development and maintenance. This SOP also applies to clinical research approved by </w:t>
      </w:r>
      <w:r w:rsidR="00DC100B">
        <w:t xml:space="preserve">a </w:t>
      </w:r>
      <w:proofErr w:type="spellStart"/>
      <w:r>
        <w:t>UoB</w:t>
      </w:r>
      <w:proofErr w:type="spellEnd"/>
      <w:r>
        <w:t xml:space="preserve"> Research Ethics Committee (REC) that </w:t>
      </w:r>
      <w:r w:rsidR="00DC100B">
        <w:t xml:space="preserve">is </w:t>
      </w:r>
      <w:r>
        <w:t xml:space="preserve">required to follow </w:t>
      </w:r>
      <w:bookmarkStart w:id="1" w:name="_Hlk97623019"/>
      <w:r w:rsidRPr="00F0515A">
        <w:rPr>
          <w:rStyle w:val="ReferencestootherSOPsQCDsChar"/>
        </w:rPr>
        <w:t xml:space="preserve">UoB-GCP-POL-001 </w:t>
      </w:r>
      <w:proofErr w:type="spellStart"/>
      <w:r w:rsidRPr="00F0515A">
        <w:rPr>
          <w:rStyle w:val="ReferencestootherSOPsQCDsChar"/>
        </w:rPr>
        <w:t>UoB</w:t>
      </w:r>
      <w:proofErr w:type="spellEnd"/>
      <w:r w:rsidRPr="00F0515A">
        <w:rPr>
          <w:rStyle w:val="ReferencestootherSOPsQCDsChar"/>
        </w:rPr>
        <w:t xml:space="preserve"> Principles of Good Clinical Practice (GCP) for Clinical Research</w:t>
      </w:r>
      <w:bookmarkEnd w:id="1"/>
      <w:r>
        <w:t>. This SOP may be used as a guidance document in all other cases.</w:t>
      </w:r>
    </w:p>
    <w:p w14:paraId="28A66231" w14:textId="4E0FD124" w:rsidR="00966396" w:rsidRDefault="00966396" w:rsidP="00966396">
      <w:pPr>
        <w:pStyle w:val="Heading1"/>
      </w:pPr>
      <w:r w:rsidRPr="00B63F21">
        <w:t>Implementation plan</w:t>
      </w:r>
    </w:p>
    <w:p w14:paraId="1211C49A" w14:textId="345E0C3E" w:rsidR="00966396" w:rsidRDefault="00966396" w:rsidP="00966396">
      <w:r>
        <w:t xml:space="preserve">This SOP will be implemented directly after its effective date for </w:t>
      </w:r>
      <w:r w:rsidR="004A6763">
        <w:t xml:space="preserve">all CTIMPs and </w:t>
      </w:r>
      <w:r>
        <w:t xml:space="preserve">any clinical research that is in set up. For existing clinical research </w:t>
      </w:r>
      <w:r w:rsidR="00F34199">
        <w:t xml:space="preserve">that is already set up and in the recruitment phase (or further) at the time of implementation, </w:t>
      </w:r>
      <w:r>
        <w:t>this SOP will be implemented within three months of the effective date.</w:t>
      </w:r>
    </w:p>
    <w:p w14:paraId="4EAFF068" w14:textId="28D66A51" w:rsidR="00966396" w:rsidRDefault="00966396" w:rsidP="00966396">
      <w:pPr>
        <w:pStyle w:val="Heading1"/>
      </w:pPr>
      <w:r>
        <w:t>Stakeholders</w:t>
      </w:r>
    </w:p>
    <w:p w14:paraId="4EA6A2EB" w14:textId="76E348A7" w:rsidR="00966396" w:rsidRDefault="00966396" w:rsidP="00966396">
      <w:r>
        <w:t xml:space="preserve">Note that where the </w:t>
      </w:r>
      <w:proofErr w:type="spellStart"/>
      <w:r>
        <w:t>UoB</w:t>
      </w:r>
      <w:proofErr w:type="spellEnd"/>
      <w:r>
        <w:t xml:space="preserve"> takes on the </w:t>
      </w:r>
      <w:r w:rsidR="00DC100B">
        <w:t>s</w:t>
      </w:r>
      <w:r>
        <w:t>ponsor</w:t>
      </w:r>
      <w:r w:rsidR="00DC100B">
        <w:t>’s</w:t>
      </w:r>
      <w:r>
        <w:t xml:space="preserve"> responsibility for essential documents</w:t>
      </w:r>
      <w:r w:rsidR="00DC100B">
        <w:t>’</w:t>
      </w:r>
      <w:r>
        <w:t xml:space="preserve"> development and maintenance, the </w:t>
      </w:r>
      <w:proofErr w:type="spellStart"/>
      <w:r>
        <w:t>UoB</w:t>
      </w:r>
      <w:proofErr w:type="spellEnd"/>
      <w:r>
        <w:t xml:space="preserve"> will delegate </w:t>
      </w:r>
      <w:r w:rsidR="009B3BB5">
        <w:t>the majority</w:t>
      </w:r>
      <w:r w:rsidR="007D64E6">
        <w:t xml:space="preserve"> of</w:t>
      </w:r>
      <w:r>
        <w:t xml:space="preserve"> these duties to the </w:t>
      </w:r>
      <w:r w:rsidR="00DC100B">
        <w:t xml:space="preserve">chief investigator </w:t>
      </w:r>
      <w:r>
        <w:t xml:space="preserve">(CI) and/or to a </w:t>
      </w:r>
      <w:proofErr w:type="gramStart"/>
      <w:r w:rsidR="00DC100B">
        <w:t>clinical trials</w:t>
      </w:r>
      <w:proofErr w:type="gramEnd"/>
      <w:r w:rsidR="00DC100B">
        <w:t xml:space="preserve"> unit </w:t>
      </w:r>
      <w:r>
        <w:t xml:space="preserve">(CTU), who may delegate these duties further to their team(s). All delegation of duties will be documented (e.g., using the </w:t>
      </w:r>
      <w:r w:rsidRPr="00A36283">
        <w:t>CI declaration</w:t>
      </w:r>
      <w:r>
        <w:t xml:space="preserve"> and/or the Clinical Trials Task Delegation Log; see </w:t>
      </w:r>
      <w:bookmarkStart w:id="2" w:name="_Hlk97623028"/>
      <w:r w:rsidRPr="00E03FA5">
        <w:rPr>
          <w:i/>
          <w:color w:val="943634" w:themeColor="accent2" w:themeShade="BF"/>
        </w:rPr>
        <w:t>UoB-CLN-CTM-</w:t>
      </w:r>
      <w:r w:rsidR="00E9727F">
        <w:rPr>
          <w:i/>
          <w:color w:val="943634" w:themeColor="accent2" w:themeShade="BF"/>
        </w:rPr>
        <w:t>QCD-</w:t>
      </w:r>
      <w:r w:rsidRPr="00E03FA5">
        <w:rPr>
          <w:i/>
          <w:color w:val="943634" w:themeColor="accent2" w:themeShade="BF"/>
        </w:rPr>
        <w:t>002 Clinical Trial</w:t>
      </w:r>
      <w:r>
        <w:rPr>
          <w:i/>
          <w:color w:val="943634" w:themeColor="accent2" w:themeShade="BF"/>
        </w:rPr>
        <w:t>s</w:t>
      </w:r>
      <w:r w:rsidRPr="00E03FA5">
        <w:rPr>
          <w:i/>
          <w:color w:val="943634" w:themeColor="accent2" w:themeShade="BF"/>
        </w:rPr>
        <w:t xml:space="preserve"> Task Delegation Log</w:t>
      </w:r>
      <w:bookmarkEnd w:id="2"/>
      <w:r w:rsidRPr="00CB40C4">
        <w:t>)</w:t>
      </w:r>
      <w:r>
        <w:t>.</w:t>
      </w:r>
    </w:p>
    <w:p w14:paraId="69C4E2BE" w14:textId="706FF71B" w:rsidR="00966396" w:rsidRDefault="00966396" w:rsidP="00966396">
      <w:pPr>
        <w:pStyle w:val="bullet1"/>
        <w:numPr>
          <w:ilvl w:val="0"/>
          <w:numId w:val="10"/>
        </w:numPr>
      </w:pPr>
      <w:r>
        <w:t>CI:</w:t>
      </w:r>
      <w:r w:rsidRPr="009321CB">
        <w:t xml:space="preserve"> the CI may delegate </w:t>
      </w:r>
      <w:r w:rsidR="00DB2FB1">
        <w:t xml:space="preserve">some </w:t>
      </w:r>
      <w:r w:rsidRPr="009321CB">
        <w:t xml:space="preserve">activities to members of their </w:t>
      </w:r>
      <w:r>
        <w:t xml:space="preserve">research </w:t>
      </w:r>
      <w:r w:rsidRPr="009321CB">
        <w:t>team</w:t>
      </w:r>
      <w:r w:rsidR="009E03AA">
        <w:t xml:space="preserve">. </w:t>
      </w:r>
      <w:r w:rsidR="009D38FA">
        <w:t xml:space="preserve">It is highlighted within this SOP where </w:t>
      </w:r>
      <w:r w:rsidR="009E03AA">
        <w:t>activities</w:t>
      </w:r>
      <w:r w:rsidR="009D38FA">
        <w:t xml:space="preserve"> are, and are not, appropriate for delegation to a team member. </w:t>
      </w:r>
      <w:r w:rsidRPr="00CB40C4">
        <w:t xml:space="preserve">For clinical research approved by </w:t>
      </w:r>
      <w:r w:rsidR="00DC100B">
        <w:t xml:space="preserve">a </w:t>
      </w:r>
      <w:proofErr w:type="spellStart"/>
      <w:r w:rsidRPr="00CB40C4">
        <w:t>UoB</w:t>
      </w:r>
      <w:proofErr w:type="spellEnd"/>
      <w:r w:rsidRPr="00CB40C4">
        <w:t xml:space="preserve"> REC, the role of CI may be </w:t>
      </w:r>
      <w:r w:rsidR="009D38FA">
        <w:t>referred to as</w:t>
      </w:r>
      <w:r w:rsidR="009D38FA" w:rsidRPr="00CB40C4">
        <w:t xml:space="preserve"> </w:t>
      </w:r>
      <w:r w:rsidRPr="00CB40C4">
        <w:t xml:space="preserve">the </w:t>
      </w:r>
      <w:r w:rsidR="00DC100B">
        <w:t>p</w:t>
      </w:r>
      <w:r w:rsidR="00DC100B" w:rsidRPr="00CB40C4">
        <w:t xml:space="preserve">rincipal </w:t>
      </w:r>
      <w:r w:rsidR="00DC100B">
        <w:t>i</w:t>
      </w:r>
      <w:r w:rsidR="00DC100B" w:rsidRPr="00CB40C4">
        <w:t>nvestigator</w:t>
      </w:r>
      <w:r w:rsidR="00DC100B">
        <w:t xml:space="preserve"> </w:t>
      </w:r>
      <w:r>
        <w:t>(PI)</w:t>
      </w:r>
      <w:r w:rsidRPr="00CB40C4">
        <w:t>, or the supervisor for postgraduate research student</w:t>
      </w:r>
      <w:r w:rsidR="009D38FA">
        <w:t>s</w:t>
      </w:r>
      <w:r w:rsidRPr="00CB40C4">
        <w:t>.</w:t>
      </w:r>
    </w:p>
    <w:p w14:paraId="413B76E7" w14:textId="1267B0C3" w:rsidR="00966396" w:rsidRDefault="00966396" w:rsidP="00966396">
      <w:pPr>
        <w:pStyle w:val="bullet1"/>
        <w:numPr>
          <w:ilvl w:val="0"/>
          <w:numId w:val="10"/>
        </w:numPr>
      </w:pPr>
      <w:r>
        <w:t xml:space="preserve">Principal </w:t>
      </w:r>
      <w:r w:rsidR="00DC100B">
        <w:t xml:space="preserve">investigator </w:t>
      </w:r>
      <w:r>
        <w:t>(PI)</w:t>
      </w:r>
    </w:p>
    <w:p w14:paraId="40A42619" w14:textId="01CEEB73" w:rsidR="00B940A8" w:rsidRDefault="00966396" w:rsidP="00F464ED">
      <w:pPr>
        <w:pStyle w:val="bullet1"/>
        <w:numPr>
          <w:ilvl w:val="0"/>
          <w:numId w:val="10"/>
        </w:numPr>
      </w:pPr>
      <w:r>
        <w:t xml:space="preserve">Laboratory </w:t>
      </w:r>
      <w:r w:rsidR="00DC100B">
        <w:t xml:space="preserve">academic lead </w:t>
      </w:r>
      <w:r>
        <w:t>(LAL)</w:t>
      </w:r>
    </w:p>
    <w:p w14:paraId="74565995" w14:textId="77777777" w:rsidR="004C46FF" w:rsidRPr="00342C1E" w:rsidRDefault="004C46FF" w:rsidP="004C46FF">
      <w:pPr>
        <w:pStyle w:val="bullet1"/>
        <w:numPr>
          <w:ilvl w:val="0"/>
          <w:numId w:val="0"/>
        </w:numPr>
        <w:sectPr w:rsidR="004C46FF" w:rsidRPr="00342C1E" w:rsidSect="00270495">
          <w:footerReference w:type="default" r:id="rId11"/>
          <w:headerReference w:type="first" r:id="rId12"/>
          <w:footerReference w:type="first" r:id="rId13"/>
          <w:pgSz w:w="11907" w:h="16839" w:code="9"/>
          <w:pgMar w:top="5211" w:right="1440" w:bottom="1440" w:left="1440" w:header="1440" w:footer="284" w:gutter="0"/>
          <w:cols w:space="708"/>
          <w:titlePg/>
          <w:docGrid w:linePitch="360"/>
        </w:sectPr>
      </w:pPr>
    </w:p>
    <w:p w14:paraId="2FB7946D" w14:textId="67FEC0F6" w:rsidR="005F0420" w:rsidRDefault="005F0420" w:rsidP="0060052C">
      <w:pPr>
        <w:pStyle w:val="Heading1"/>
      </w:pPr>
      <w:bookmarkStart w:id="3" w:name="_Toc320536979"/>
      <w:r>
        <w:lastRenderedPageBreak/>
        <w:t>Background</w:t>
      </w:r>
      <w:r w:rsidR="008D54DF">
        <w:t xml:space="preserve"> and </w:t>
      </w:r>
      <w:r w:rsidR="009D38FA">
        <w:t>rationale</w:t>
      </w:r>
    </w:p>
    <w:p w14:paraId="1E11BC4B" w14:textId="1835EA25" w:rsidR="00966396" w:rsidRDefault="00966396" w:rsidP="00966396">
      <w:pPr>
        <w:pStyle w:val="CommentText"/>
      </w:pPr>
      <w:r>
        <w:t xml:space="preserve">For the purposes of this SOP the terms ‘clinical research’ or ‘research project’ will cover </w:t>
      </w:r>
      <w:r w:rsidR="009D38FA">
        <w:t xml:space="preserve">clinical trials </w:t>
      </w:r>
      <w:r>
        <w:t xml:space="preserve">of </w:t>
      </w:r>
      <w:r w:rsidR="009D38FA">
        <w:t xml:space="preserve">investigational medicinal products </w:t>
      </w:r>
      <w:r>
        <w:t xml:space="preserve">(CTIMPs), other interventional trials (e.g. surgical trials, device trials and non-CTIMP trials, and any other projects deemed to be ‘interventional’ by the </w:t>
      </w:r>
      <w:r w:rsidR="009D38FA">
        <w:t>sponsor</w:t>
      </w:r>
      <w:r>
        <w:t xml:space="preserve">), clinical studies and clinical research approved by </w:t>
      </w:r>
      <w:r w:rsidR="009D38FA">
        <w:t xml:space="preserve">a </w:t>
      </w:r>
      <w:proofErr w:type="spellStart"/>
      <w:r>
        <w:t>UoB</w:t>
      </w:r>
      <w:proofErr w:type="spellEnd"/>
      <w:r>
        <w:t xml:space="preserve"> REC.</w:t>
      </w:r>
    </w:p>
    <w:p w14:paraId="29714F4E" w14:textId="676440FD" w:rsidR="00966396" w:rsidRDefault="00966396" w:rsidP="00966396">
      <w:pPr>
        <w:pStyle w:val="CommentText"/>
      </w:pPr>
      <w:r w:rsidRPr="006334E2">
        <w:t xml:space="preserve">Essential </w:t>
      </w:r>
      <w:r w:rsidR="009D38FA">
        <w:t>d</w:t>
      </w:r>
      <w:r w:rsidR="009D38FA" w:rsidRPr="006334E2">
        <w:t xml:space="preserve">ocuments </w:t>
      </w:r>
      <w:r w:rsidRPr="006334E2">
        <w:t xml:space="preserve">individually and collectively permit evaluation of the conduct of </w:t>
      </w:r>
      <w:r>
        <w:t>clinical research</w:t>
      </w:r>
      <w:r w:rsidRPr="006334E2">
        <w:t xml:space="preserve"> and the quality of the data produced. </w:t>
      </w:r>
    </w:p>
    <w:p w14:paraId="7AFC36CE" w14:textId="42754B4C" w:rsidR="00966396" w:rsidRPr="006E5B7F" w:rsidRDefault="00966396" w:rsidP="00966396">
      <w:r>
        <w:t xml:space="preserve">This SOP details the requirements for the development of the protocol, participant information sheet (PIS), informed consent form (ICF), case report form (CRF) and </w:t>
      </w:r>
      <w:r w:rsidR="009D38FA">
        <w:t xml:space="preserve">investigator brochure </w:t>
      </w:r>
      <w:r>
        <w:t xml:space="preserve">(IB). However, it </w:t>
      </w:r>
      <w:r w:rsidRPr="006334E2">
        <w:t xml:space="preserve">can </w:t>
      </w:r>
      <w:r>
        <w:t xml:space="preserve">also </w:t>
      </w:r>
      <w:r w:rsidRPr="006334E2">
        <w:t xml:space="preserve">be applied to the development of </w:t>
      </w:r>
      <w:r>
        <w:t>project</w:t>
      </w:r>
      <w:r w:rsidRPr="006334E2">
        <w:t xml:space="preserve"> specific </w:t>
      </w:r>
      <w:r>
        <w:t>d</w:t>
      </w:r>
      <w:r w:rsidRPr="006334E2">
        <w:t xml:space="preserve">ocuments. </w:t>
      </w:r>
      <w:r>
        <w:t>T</w:t>
      </w:r>
      <w:r w:rsidRPr="006334E2">
        <w:t xml:space="preserve">he list of </w:t>
      </w:r>
      <w:r w:rsidR="009D38FA">
        <w:t>e</w:t>
      </w:r>
      <w:r w:rsidR="009D38FA" w:rsidRPr="006334E2">
        <w:t xml:space="preserve">ssential </w:t>
      </w:r>
      <w:r w:rsidR="009D38FA">
        <w:t>d</w:t>
      </w:r>
      <w:r w:rsidR="009D38FA" w:rsidRPr="006334E2">
        <w:t xml:space="preserve">ocuments </w:t>
      </w:r>
      <w:r>
        <w:t xml:space="preserve">detailed in </w:t>
      </w:r>
      <w:r w:rsidRPr="006334E2">
        <w:t>section 8 of</w:t>
      </w:r>
      <w:r>
        <w:t xml:space="preserve"> the</w:t>
      </w:r>
      <w:r w:rsidRPr="006334E2">
        <w:t xml:space="preserve"> </w:t>
      </w:r>
      <w:hyperlink r:id="rId14" w:tooltip="Link to the ICH Guidelines for GCP E6(R2)" w:history="1">
        <w:r w:rsidRPr="00B712BE">
          <w:rPr>
            <w:rStyle w:val="Hyperlink"/>
          </w:rPr>
          <w:t>I</w:t>
        </w:r>
        <w:r>
          <w:rPr>
            <w:rStyle w:val="Hyperlink"/>
          </w:rPr>
          <w:t xml:space="preserve">nternational </w:t>
        </w:r>
        <w:r w:rsidRPr="00B712BE">
          <w:rPr>
            <w:rStyle w:val="Hyperlink"/>
          </w:rPr>
          <w:t>C</w:t>
        </w:r>
        <w:r>
          <w:rPr>
            <w:rStyle w:val="Hyperlink"/>
          </w:rPr>
          <w:t xml:space="preserve">onference on </w:t>
        </w:r>
        <w:r w:rsidRPr="00B712BE">
          <w:rPr>
            <w:rStyle w:val="Hyperlink"/>
          </w:rPr>
          <w:t>H</w:t>
        </w:r>
        <w:r>
          <w:rPr>
            <w:rStyle w:val="Hyperlink"/>
          </w:rPr>
          <w:t>armonisation (ICH)</w:t>
        </w:r>
        <w:r w:rsidRPr="00B712BE">
          <w:rPr>
            <w:rStyle w:val="Hyperlink"/>
          </w:rPr>
          <w:t xml:space="preserve"> Guideline</w:t>
        </w:r>
        <w:r>
          <w:rPr>
            <w:rStyle w:val="Hyperlink"/>
          </w:rPr>
          <w:t>s</w:t>
        </w:r>
        <w:r w:rsidRPr="00B712BE">
          <w:rPr>
            <w:rStyle w:val="Hyperlink"/>
          </w:rPr>
          <w:t xml:space="preserve"> for </w:t>
        </w:r>
        <w:r>
          <w:rPr>
            <w:rStyle w:val="Hyperlink"/>
          </w:rPr>
          <w:t xml:space="preserve">GCP </w:t>
        </w:r>
        <w:r w:rsidRPr="00B712BE">
          <w:rPr>
            <w:rStyle w:val="Hyperlink"/>
          </w:rPr>
          <w:t>E6</w:t>
        </w:r>
        <w:r>
          <w:rPr>
            <w:rStyle w:val="Hyperlink"/>
          </w:rPr>
          <w:t>(R2) (PDF – 693 KB</w:t>
        </w:r>
        <w:r w:rsidRPr="00B712BE">
          <w:rPr>
            <w:rStyle w:val="Hyperlink"/>
          </w:rPr>
          <w:t>)</w:t>
        </w:r>
      </w:hyperlink>
      <w:r>
        <w:t xml:space="preserve"> provides a useful guide for the minimum documents that are considered essential; however this is not recommended as a definitive checklist for the </w:t>
      </w:r>
      <w:r w:rsidR="009D38FA">
        <w:t>study</w:t>
      </w:r>
      <w:r>
        <w:t>/</w:t>
      </w:r>
      <w:r w:rsidR="009D38FA">
        <w:t xml:space="preserve">trial master file </w:t>
      </w:r>
      <w:r>
        <w:t xml:space="preserve">(S/TMF) and </w:t>
      </w:r>
      <w:r w:rsidR="009D38FA">
        <w:t xml:space="preserve">laboratory master file </w:t>
      </w:r>
      <w:r>
        <w:t xml:space="preserve">(LMF) content. For the LMF content, see also </w:t>
      </w:r>
      <w:bookmarkStart w:id="4" w:name="_Hlk97623044"/>
      <w:r w:rsidRPr="00A22FF7">
        <w:rPr>
          <w:rStyle w:val="ReferencestootherSOPsQCDsChar"/>
        </w:rPr>
        <w:t>UoB-CRL-QCD-001 Setting up a Laboratory Master File</w:t>
      </w:r>
      <w:bookmarkEnd w:id="4"/>
      <w:r>
        <w:t>.</w:t>
      </w:r>
      <w:r w:rsidRPr="006E5B7F">
        <w:t xml:space="preserve"> </w:t>
      </w:r>
      <w:r>
        <w:t xml:space="preserve">Examples of other documents that are essential for reconstruction of the project conduct but are not contained above include the </w:t>
      </w:r>
      <w:r w:rsidR="009D38FA">
        <w:t xml:space="preserve">qualified person </w:t>
      </w:r>
      <w:r>
        <w:t xml:space="preserve">(QP) certification, the regulatory green-light document for release and shipment of </w:t>
      </w:r>
      <w:r w:rsidR="009D38FA">
        <w:t xml:space="preserve">investigational medicinal product </w:t>
      </w:r>
      <w:r>
        <w:t>(IMP) and the database lock documentation.</w:t>
      </w:r>
    </w:p>
    <w:p w14:paraId="35B9DA1E" w14:textId="5D2715C7" w:rsidR="009A221B" w:rsidRPr="009A221B" w:rsidRDefault="00B14826" w:rsidP="0060052C">
      <w:pPr>
        <w:pStyle w:val="Heading1"/>
      </w:pPr>
      <w:r>
        <w:lastRenderedPageBreak/>
        <w:t>Process map</w:t>
      </w:r>
    </w:p>
    <w:p w14:paraId="35F189B0" w14:textId="4E2878C8" w:rsidR="00B14826" w:rsidRDefault="004604A5" w:rsidP="009A221B">
      <w:pPr>
        <w:jc w:val="center"/>
      </w:pPr>
      <w:r>
        <w:object w:dxaOrig="9671" w:dyaOrig="15391" w14:anchorId="786F4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 outlining the steps detailed in the document" style="width:384.95pt;height:638pt" o:ole="">
            <v:imagedata r:id="rId15" o:title=""/>
          </v:shape>
          <o:OLEObject Type="Embed" ProgID="Visio.Drawing.11" ShapeID="_x0000_i1025" DrawAspect="Content" ObjectID="_1709451913" r:id="rId16"/>
        </w:object>
      </w:r>
    </w:p>
    <w:bookmarkEnd w:id="3"/>
    <w:p w14:paraId="30729AB8" w14:textId="3F7B5B85" w:rsidR="00966396" w:rsidRPr="00435EAE" w:rsidRDefault="00966396" w:rsidP="00966396">
      <w:pPr>
        <w:pStyle w:val="heading1numbered"/>
      </w:pPr>
      <w:r w:rsidRPr="00435EAE">
        <w:lastRenderedPageBreak/>
        <w:t>Pr</w:t>
      </w:r>
      <w:r w:rsidRPr="008A4F06">
        <w:t>oced</w:t>
      </w:r>
      <w:r w:rsidRPr="00435EAE">
        <w:t>ure</w:t>
      </w:r>
    </w:p>
    <w:p w14:paraId="37A651A5" w14:textId="20C3A194" w:rsidR="00966396" w:rsidRPr="008A4F06" w:rsidRDefault="00966396" w:rsidP="00396068">
      <w:pPr>
        <w:pStyle w:val="heading2numbered"/>
      </w:pPr>
      <w:r w:rsidRPr="008A4F06">
        <w:t xml:space="preserve">Agree on local processes surrounding </w:t>
      </w:r>
      <w:r w:rsidR="009D38FA">
        <w:t>e</w:t>
      </w:r>
      <w:r w:rsidR="009D38FA" w:rsidRPr="008A4F06">
        <w:t xml:space="preserve">ssential </w:t>
      </w:r>
      <w:r w:rsidR="009D38FA">
        <w:t>d</w:t>
      </w:r>
      <w:r w:rsidR="009D38FA" w:rsidRPr="008A4F06">
        <w:t>ocuments</w:t>
      </w:r>
      <w:r w:rsidR="009D38FA">
        <w:t>’</w:t>
      </w:r>
      <w:r w:rsidR="009D38FA" w:rsidRPr="008A4F06">
        <w:t xml:space="preserve"> </w:t>
      </w:r>
      <w:r w:rsidRPr="008A4F06">
        <w:t>development</w:t>
      </w:r>
    </w:p>
    <w:p w14:paraId="029707C1" w14:textId="6DEB5C2C" w:rsidR="00966396" w:rsidRPr="006F123A" w:rsidRDefault="00966396" w:rsidP="00966396">
      <w:pPr>
        <w:pStyle w:val="Numberlist"/>
        <w:numPr>
          <w:ilvl w:val="0"/>
          <w:numId w:val="7"/>
        </w:numPr>
      </w:pPr>
      <w:r>
        <w:t xml:space="preserve">The CI (or delegate) will create the </w:t>
      </w:r>
      <w:r w:rsidR="009D38FA">
        <w:t xml:space="preserve">essential documents </w:t>
      </w:r>
      <w:r>
        <w:t>required.</w:t>
      </w:r>
    </w:p>
    <w:p w14:paraId="77111E4C" w14:textId="0B0F9E81" w:rsidR="00966396" w:rsidRDefault="00966396" w:rsidP="00396068">
      <w:pPr>
        <w:pStyle w:val="heading2numbered"/>
      </w:pPr>
      <w:r>
        <w:t xml:space="preserve">Document and </w:t>
      </w:r>
      <w:r w:rsidR="009D38FA">
        <w:t>version control</w:t>
      </w:r>
    </w:p>
    <w:p w14:paraId="66C449BD" w14:textId="40A35FEE" w:rsidR="00966396" w:rsidRDefault="00966396" w:rsidP="00966396">
      <w:pPr>
        <w:pStyle w:val="Numberlist"/>
        <w:numPr>
          <w:ilvl w:val="0"/>
          <w:numId w:val="7"/>
        </w:numPr>
      </w:pPr>
      <w:r w:rsidRPr="00E03FA5">
        <w:t>The CI (or delegate) will</w:t>
      </w:r>
      <w:r>
        <w:t xml:space="preserve"> consistently</w:t>
      </w:r>
      <w:r w:rsidRPr="00E03FA5">
        <w:t xml:space="preserve"> </w:t>
      </w:r>
      <w:r>
        <w:t xml:space="preserve">apply version control to all draft and final versions of </w:t>
      </w:r>
      <w:r w:rsidR="009D38FA">
        <w:t xml:space="preserve">essential documents </w:t>
      </w:r>
      <w:r w:rsidR="00FA7DFC">
        <w:t xml:space="preserve">to allow differentiation between draft and active versions. </w:t>
      </w:r>
      <w:r w:rsidR="008B6790">
        <w:t>See recommendations below.</w:t>
      </w:r>
    </w:p>
    <w:p w14:paraId="27CFFF77" w14:textId="77777777" w:rsidR="00966396" w:rsidRPr="00E03FA5" w:rsidRDefault="00966396" w:rsidP="00966396">
      <w:pPr>
        <w:pStyle w:val="bullet2"/>
        <w:ind w:left="720" w:hanging="360"/>
      </w:pPr>
      <w:r w:rsidRPr="00E03FA5">
        <w:t xml:space="preserve">A suggested version control system is for the first ever draft version to have version number 0.1. Any following drafts will have 0.2, 0.3 </w:t>
      </w:r>
      <w:r>
        <w:t>etc.</w:t>
      </w:r>
      <w:r w:rsidRPr="00E03FA5">
        <w:t>; typically, the number changes following an update and at the time the updated draft is circulated for review</w:t>
      </w:r>
      <w:r>
        <w:t>.</w:t>
      </w:r>
    </w:p>
    <w:p w14:paraId="718842C8" w14:textId="77777777" w:rsidR="00966396" w:rsidRDefault="00966396" w:rsidP="00966396">
      <w:pPr>
        <w:pStyle w:val="bullet2"/>
        <w:ind w:left="720" w:hanging="360"/>
      </w:pPr>
      <w:r w:rsidRPr="00E03FA5">
        <w:t>Where a review of a draft version has been conducted, the reviewer will add their initials to the existing version number e.g.</w:t>
      </w:r>
      <w:r>
        <w:t>,</w:t>
      </w:r>
      <w:r w:rsidRPr="00E03FA5">
        <w:t xml:space="preserve"> v0.1 will become v0.1+SC. The version number of the reviewed document will not be changed.</w:t>
      </w:r>
    </w:p>
    <w:p w14:paraId="1376E899" w14:textId="77777777" w:rsidR="00966396" w:rsidRPr="00E03FA5" w:rsidRDefault="00966396" w:rsidP="00966396">
      <w:pPr>
        <w:pStyle w:val="bullet2"/>
        <w:ind w:left="720" w:hanging="360"/>
      </w:pPr>
      <w:r>
        <w:t>The first finalised version would therefore have the version number 1.0. Any draft updates following on from the first version will have version number 1.1, 1.2 etc. Any further finalised versions will have version number 2.0, 3.0 etc.</w:t>
      </w:r>
    </w:p>
    <w:p w14:paraId="53C5E576" w14:textId="56A3F3AB" w:rsidR="00966396" w:rsidRPr="006334E2" w:rsidRDefault="00966396" w:rsidP="00966396">
      <w:pPr>
        <w:pStyle w:val="bullet2"/>
        <w:ind w:left="720" w:hanging="360"/>
      </w:pPr>
      <w:r w:rsidRPr="006334E2">
        <w:t xml:space="preserve">Ensure </w:t>
      </w:r>
      <w:r>
        <w:t>the version number and date are added to the end of the file name and within the document, i.e. on the title page and in the header or footer of each page.</w:t>
      </w:r>
    </w:p>
    <w:p w14:paraId="6A00BC54" w14:textId="0D64C1FB" w:rsidR="00966396" w:rsidRPr="006334E2" w:rsidRDefault="00966396" w:rsidP="00966396">
      <w:pPr>
        <w:pStyle w:val="bullet2"/>
        <w:ind w:left="720" w:hanging="360"/>
      </w:pPr>
      <w:r w:rsidRPr="006334E2">
        <w:t xml:space="preserve">Ensure all documents are dated, including </w:t>
      </w:r>
      <w:r w:rsidR="008B6790">
        <w:t>n</w:t>
      </w:r>
      <w:r w:rsidR="008B6790" w:rsidRPr="006334E2">
        <w:t xml:space="preserve">otes </w:t>
      </w:r>
      <w:r w:rsidRPr="006334E2">
        <w:t xml:space="preserve">to </w:t>
      </w:r>
      <w:r w:rsidR="008B6790">
        <w:t>f</w:t>
      </w:r>
      <w:r w:rsidR="008B6790" w:rsidRPr="006334E2">
        <w:t>ile</w:t>
      </w:r>
      <w:r>
        <w:t>.</w:t>
      </w:r>
      <w:r w:rsidRPr="006334E2">
        <w:t xml:space="preserve"> </w:t>
      </w:r>
    </w:p>
    <w:p w14:paraId="3945C1E6" w14:textId="5AB4B4C1" w:rsidR="00966396" w:rsidRDefault="00966396" w:rsidP="00966396">
      <w:pPr>
        <w:pStyle w:val="bullet2"/>
        <w:ind w:left="720" w:hanging="360"/>
      </w:pPr>
      <w:r w:rsidRPr="006334E2">
        <w:t xml:space="preserve">Ensure that version control is consistently applied to all </w:t>
      </w:r>
      <w:r w:rsidR="008B6790">
        <w:t>e</w:t>
      </w:r>
      <w:r w:rsidR="008B6790" w:rsidRPr="006334E2">
        <w:t xml:space="preserve">ssential </w:t>
      </w:r>
      <w:r w:rsidR="008B6790">
        <w:t>d</w:t>
      </w:r>
      <w:r w:rsidR="008B6790" w:rsidRPr="006334E2">
        <w:t xml:space="preserve">ocuments </w:t>
      </w:r>
      <w:r w:rsidRPr="006334E2">
        <w:t xml:space="preserve">created for the </w:t>
      </w:r>
      <w:r>
        <w:t>research project.</w:t>
      </w:r>
    </w:p>
    <w:p w14:paraId="442C7729" w14:textId="20483B06" w:rsidR="00966396" w:rsidRDefault="00966396" w:rsidP="00966396">
      <w:pPr>
        <w:pStyle w:val="bullet2"/>
        <w:ind w:left="720" w:hanging="360"/>
      </w:pPr>
      <w:r w:rsidRPr="006334E2">
        <w:t xml:space="preserve">Ensure where signatures are required (i.e. as prompted on the </w:t>
      </w:r>
      <w:r w:rsidR="008B6790">
        <w:t>e</w:t>
      </w:r>
      <w:r w:rsidR="008B6790" w:rsidRPr="006334E2">
        <w:t xml:space="preserve">ssential </w:t>
      </w:r>
      <w:r w:rsidR="008B6790">
        <w:t>d</w:t>
      </w:r>
      <w:r w:rsidR="008B6790" w:rsidRPr="006334E2">
        <w:t>ocument</w:t>
      </w:r>
      <w:r w:rsidRPr="006334E2">
        <w:t xml:space="preserve">) that these are either in ink and dated or </w:t>
      </w:r>
      <w:r>
        <w:t xml:space="preserve">using appropriate </w:t>
      </w:r>
      <w:r w:rsidRPr="006334E2">
        <w:t>e</w:t>
      </w:r>
      <w:r>
        <w:t xml:space="preserve">lectronic </w:t>
      </w:r>
      <w:r w:rsidRPr="006334E2">
        <w:t>signatures</w:t>
      </w:r>
      <w:r>
        <w:t xml:space="preserve"> where </w:t>
      </w:r>
      <w:r w:rsidR="009B3BB5">
        <w:t>the</w:t>
      </w:r>
      <w:r>
        <w:t xml:space="preserve"> names and date of signatures are clearly specified and attributed to the signatures.</w:t>
      </w:r>
    </w:p>
    <w:p w14:paraId="78E43B3B" w14:textId="24FDC79C" w:rsidR="00966396" w:rsidRDefault="00966396" w:rsidP="00966396">
      <w:pPr>
        <w:pStyle w:val="bullet2"/>
        <w:ind w:left="720" w:hanging="360"/>
      </w:pPr>
      <w:r>
        <w:t xml:space="preserve">Ensure previous versions in the S/TMF and LMF (if applicable) are marked as superseded and the PI at site is notified regarding any updates to </w:t>
      </w:r>
      <w:r w:rsidR="008B6790">
        <w:t xml:space="preserve">the essential documents </w:t>
      </w:r>
      <w:r>
        <w:t>and they are instructed to mark any previous versions as superseded.</w:t>
      </w:r>
    </w:p>
    <w:p w14:paraId="66C13061" w14:textId="36937577" w:rsidR="00966396" w:rsidRDefault="00966396" w:rsidP="00966396">
      <w:pPr>
        <w:pStyle w:val="Numberlist"/>
        <w:numPr>
          <w:ilvl w:val="0"/>
          <w:numId w:val="7"/>
        </w:numPr>
      </w:pPr>
      <w:r>
        <w:t xml:space="preserve">It is expected that the CI (or delegate) keeps and maintains a version control log of </w:t>
      </w:r>
      <w:r w:rsidR="008B6790">
        <w:t xml:space="preserve">essential documents </w:t>
      </w:r>
      <w:r>
        <w:t xml:space="preserve">in the S/TMF; </w:t>
      </w:r>
      <w:r w:rsidRPr="006334E2">
        <w:t xml:space="preserve">see </w:t>
      </w:r>
      <w:bookmarkStart w:id="5" w:name="_Hlk97623361"/>
      <w:r w:rsidRPr="006334E2">
        <w:rPr>
          <w:rStyle w:val="ReferencestootherSOPsQCDsChar"/>
        </w:rPr>
        <w:t>UoB-CLN-ESD-QCD-006 Version Control Log</w:t>
      </w:r>
      <w:r>
        <w:t xml:space="preserve"> </w:t>
      </w:r>
      <w:bookmarkEnd w:id="5"/>
      <w:r>
        <w:t>and also f</w:t>
      </w:r>
      <w:r w:rsidRPr="006334E2">
        <w:t xml:space="preserve">or CTIMPs, see </w:t>
      </w:r>
      <w:bookmarkStart w:id="6" w:name="_Hlk97623369"/>
      <w:r w:rsidRPr="006F5905">
        <w:rPr>
          <w:rStyle w:val="ReferencestootherSOPsQCDsChar"/>
        </w:rPr>
        <w:t>UoB-</w:t>
      </w:r>
      <w:r>
        <w:rPr>
          <w:rStyle w:val="ReferencestootherSOPsQCDsChar"/>
        </w:rPr>
        <w:t>CLN-</w:t>
      </w:r>
      <w:r w:rsidRPr="006F5905">
        <w:rPr>
          <w:rStyle w:val="ReferencestootherSOPsQCDsChar"/>
        </w:rPr>
        <w:t>ESD-QCD-00</w:t>
      </w:r>
      <w:r>
        <w:rPr>
          <w:rStyle w:val="ReferencestootherSOPsQCDsChar"/>
        </w:rPr>
        <w:t>1</w:t>
      </w:r>
      <w:r w:rsidRPr="006F5905">
        <w:rPr>
          <w:rStyle w:val="ReferencestootherSOPsQCDsChar"/>
        </w:rPr>
        <w:t xml:space="preserve"> Essential Documents Checklist</w:t>
      </w:r>
      <w:bookmarkEnd w:id="6"/>
      <w:r w:rsidRPr="006334E2">
        <w:t>.</w:t>
      </w:r>
    </w:p>
    <w:p w14:paraId="1C69F373" w14:textId="77777777" w:rsidR="00966396" w:rsidRPr="00E03FA5" w:rsidRDefault="00966396" w:rsidP="00396068">
      <w:pPr>
        <w:pStyle w:val="heading2numbered"/>
      </w:pPr>
      <w:r w:rsidRPr="00E03FA5">
        <w:t>Translation of materials</w:t>
      </w:r>
    </w:p>
    <w:p w14:paraId="27AD4012" w14:textId="77777777" w:rsidR="00966396" w:rsidRDefault="00966396" w:rsidP="00966396">
      <w:pPr>
        <w:pStyle w:val="Numberlist"/>
        <w:numPr>
          <w:ilvl w:val="0"/>
          <w:numId w:val="7"/>
        </w:numPr>
      </w:pPr>
      <w:r>
        <w:t>The CI (or delegate) will ensure a</w:t>
      </w:r>
      <w:r w:rsidRPr="006334E2">
        <w:t xml:space="preserve">ny materials to be translated </w:t>
      </w:r>
      <w:r>
        <w:t xml:space="preserve">are </w:t>
      </w:r>
      <w:r w:rsidRPr="006334E2">
        <w:t>translated using a reputable translation service provider</w:t>
      </w:r>
      <w:r>
        <w:t xml:space="preserve">. </w:t>
      </w:r>
    </w:p>
    <w:p w14:paraId="3C7FBC58" w14:textId="012C8432" w:rsidR="00966396" w:rsidRDefault="00966396" w:rsidP="00966396">
      <w:pPr>
        <w:pStyle w:val="bullet2"/>
        <w:ind w:left="720" w:hanging="360"/>
      </w:pPr>
      <w:r>
        <w:t>F</w:t>
      </w:r>
      <w:r w:rsidRPr="006334E2">
        <w:t xml:space="preserve">or </w:t>
      </w:r>
      <w:r w:rsidR="008B6790">
        <w:t>e</w:t>
      </w:r>
      <w:r w:rsidR="008B6790" w:rsidRPr="006334E2">
        <w:t xml:space="preserve">ssential </w:t>
      </w:r>
      <w:r w:rsidR="008B6790">
        <w:t>d</w:t>
      </w:r>
      <w:r w:rsidR="008B6790" w:rsidRPr="006334E2">
        <w:t xml:space="preserve">ocuments </w:t>
      </w:r>
      <w:r w:rsidRPr="006334E2">
        <w:t xml:space="preserve">such as </w:t>
      </w:r>
      <w:r>
        <w:t xml:space="preserve">the </w:t>
      </w:r>
      <w:r w:rsidRPr="006334E2">
        <w:t>protocol and PIS/</w:t>
      </w:r>
      <w:r>
        <w:t>ICF,</w:t>
      </w:r>
      <w:r w:rsidRPr="006334E2">
        <w:t xml:space="preserve"> a back translation is recommended</w:t>
      </w:r>
      <w:r>
        <w:t>.</w:t>
      </w:r>
    </w:p>
    <w:p w14:paraId="0B695297" w14:textId="77777777" w:rsidR="00966396" w:rsidRPr="006334E2" w:rsidRDefault="00966396" w:rsidP="00966396">
      <w:pPr>
        <w:pStyle w:val="Numberlist"/>
        <w:numPr>
          <w:ilvl w:val="0"/>
          <w:numId w:val="7"/>
        </w:numPr>
      </w:pPr>
      <w:r w:rsidRPr="006334E2">
        <w:t xml:space="preserve">The </w:t>
      </w:r>
      <w:r>
        <w:t xml:space="preserve">CI (or delegate) will document appropriately the </w:t>
      </w:r>
      <w:r w:rsidRPr="006334E2">
        <w:t>process of translation.</w:t>
      </w:r>
    </w:p>
    <w:p w14:paraId="62921D6E" w14:textId="77777777" w:rsidR="00966396" w:rsidRPr="00E03FA5" w:rsidRDefault="00966396" w:rsidP="00396068">
      <w:pPr>
        <w:pStyle w:val="heading2numbered"/>
      </w:pPr>
      <w:r w:rsidRPr="00E03FA5">
        <w:t>Internal review</w:t>
      </w:r>
    </w:p>
    <w:p w14:paraId="1A7FF61B" w14:textId="354000BA" w:rsidR="00966396" w:rsidRDefault="00966396" w:rsidP="00966396">
      <w:pPr>
        <w:pStyle w:val="Numberlist"/>
        <w:numPr>
          <w:ilvl w:val="0"/>
          <w:numId w:val="7"/>
        </w:numPr>
      </w:pPr>
      <w:r>
        <w:t>The CI (or delegate) will d</w:t>
      </w:r>
      <w:r w:rsidRPr="006334E2">
        <w:t xml:space="preserve">ecide on an internal process </w:t>
      </w:r>
      <w:r>
        <w:t>of</w:t>
      </w:r>
      <w:r w:rsidRPr="006334E2">
        <w:t xml:space="preserve"> quality check</w:t>
      </w:r>
      <w:r>
        <w:t>ing</w:t>
      </w:r>
      <w:r w:rsidRPr="006334E2">
        <w:t xml:space="preserve"> all draft versions of </w:t>
      </w:r>
      <w:r w:rsidR="008B6790">
        <w:t>e</w:t>
      </w:r>
      <w:r w:rsidR="008B6790" w:rsidRPr="006334E2">
        <w:t xml:space="preserve">ssential </w:t>
      </w:r>
      <w:r w:rsidR="008B6790">
        <w:t>d</w:t>
      </w:r>
      <w:r w:rsidR="008B6790" w:rsidRPr="006334E2">
        <w:t>ocuments</w:t>
      </w:r>
      <w:r>
        <w:t xml:space="preserve">, including the selection of appropriate reviewers, ensuring compliance with any applicable </w:t>
      </w:r>
      <w:proofErr w:type="spellStart"/>
      <w:r>
        <w:t>UoB</w:t>
      </w:r>
      <w:proofErr w:type="spellEnd"/>
      <w:r>
        <w:t xml:space="preserve"> SOPs, and documentation of the process</w:t>
      </w:r>
      <w:r w:rsidRPr="006334E2">
        <w:t xml:space="preserve">. </w:t>
      </w:r>
    </w:p>
    <w:p w14:paraId="3A1127ED" w14:textId="77777777" w:rsidR="00966396" w:rsidRPr="006334E2" w:rsidRDefault="00966396" w:rsidP="00966396">
      <w:pPr>
        <w:pStyle w:val="Numberlist"/>
        <w:numPr>
          <w:ilvl w:val="0"/>
          <w:numId w:val="7"/>
        </w:numPr>
      </w:pPr>
      <w:r>
        <w:t>T</w:t>
      </w:r>
      <w:r w:rsidRPr="006334E2">
        <w:t xml:space="preserve">he CI </w:t>
      </w:r>
      <w:r>
        <w:t xml:space="preserve">(no delegation allowed) will </w:t>
      </w:r>
      <w:r w:rsidRPr="006334E2">
        <w:t>approv</w:t>
      </w:r>
      <w:r>
        <w:t>e</w:t>
      </w:r>
      <w:r w:rsidRPr="006334E2">
        <w:t xml:space="preserve"> the final version of the protocol, PIS/ICF and CRF</w:t>
      </w:r>
      <w:r>
        <w:t xml:space="preserve"> and subsequent amendments to these documents. This approval will be documented.</w:t>
      </w:r>
    </w:p>
    <w:p w14:paraId="3F3578D4" w14:textId="138DF388" w:rsidR="00966396" w:rsidRPr="006334E2" w:rsidRDefault="00966396" w:rsidP="00966396">
      <w:pPr>
        <w:pStyle w:val="Numberlist"/>
        <w:numPr>
          <w:ilvl w:val="0"/>
          <w:numId w:val="7"/>
        </w:numPr>
      </w:pPr>
      <w:r>
        <w:t>The CI (or delegate) will e</w:t>
      </w:r>
      <w:r w:rsidRPr="006334E2">
        <w:t xml:space="preserve">nsure </w:t>
      </w:r>
      <w:r w:rsidR="008B6790">
        <w:t>e</w:t>
      </w:r>
      <w:r w:rsidR="008B6790" w:rsidRPr="006334E2">
        <w:t xml:space="preserve">ssential </w:t>
      </w:r>
      <w:r w:rsidR="008B6790">
        <w:t>d</w:t>
      </w:r>
      <w:r w:rsidR="008B6790" w:rsidRPr="006334E2">
        <w:t xml:space="preserve">ocuments </w:t>
      </w:r>
      <w:r w:rsidRPr="006334E2">
        <w:t xml:space="preserve">have been reviewed in accordance with this internal process. </w:t>
      </w:r>
    </w:p>
    <w:p w14:paraId="01692CAB" w14:textId="537E7957" w:rsidR="00966396" w:rsidRPr="006334E2" w:rsidRDefault="00966396" w:rsidP="00396068">
      <w:pPr>
        <w:pStyle w:val="heading2numbered"/>
      </w:pPr>
      <w:r w:rsidRPr="006334E2">
        <w:t xml:space="preserve">Development of </w:t>
      </w:r>
      <w:r w:rsidR="008B6790">
        <w:t>e</w:t>
      </w:r>
      <w:r w:rsidR="008B6790" w:rsidRPr="006334E2">
        <w:t xml:space="preserve">ssential </w:t>
      </w:r>
      <w:r w:rsidR="008B6790">
        <w:t>d</w:t>
      </w:r>
      <w:r w:rsidR="008B6790" w:rsidRPr="006334E2">
        <w:t>ocuments</w:t>
      </w:r>
    </w:p>
    <w:p w14:paraId="3AE352D2" w14:textId="0296BF89" w:rsidR="00966396" w:rsidRDefault="00966396" w:rsidP="00966396">
      <w:r w:rsidRPr="006334E2">
        <w:t>The section that follow</w:t>
      </w:r>
      <w:r>
        <w:t>s</w:t>
      </w:r>
      <w:r w:rsidRPr="006334E2">
        <w:t xml:space="preserve"> provide</w:t>
      </w:r>
      <w:r w:rsidR="008B6790">
        <w:t>s</w:t>
      </w:r>
      <w:r w:rsidRPr="006334E2">
        <w:t xml:space="preserve"> guidance for the development of the protocol, PIS, ICF, CRF and </w:t>
      </w:r>
      <w:r w:rsidRPr="00CE669F">
        <w:t xml:space="preserve">IB. However, this SOP can be applied to the development of other </w:t>
      </w:r>
      <w:r w:rsidR="008B6790">
        <w:t>e</w:t>
      </w:r>
      <w:r w:rsidR="008B6790" w:rsidRPr="00CE669F">
        <w:t xml:space="preserve">ssential </w:t>
      </w:r>
      <w:r w:rsidR="008B6790">
        <w:t>d</w:t>
      </w:r>
      <w:r w:rsidR="008B6790" w:rsidRPr="00CE669F">
        <w:t xml:space="preserve">ocuments </w:t>
      </w:r>
      <w:r w:rsidRPr="00CE669F">
        <w:t>specific to the research project.</w:t>
      </w:r>
    </w:p>
    <w:p w14:paraId="3DED0CB2" w14:textId="3801F74E" w:rsidR="00966396" w:rsidRPr="006334E2" w:rsidRDefault="00966396" w:rsidP="00966396">
      <w:pPr>
        <w:pStyle w:val="Numberlist"/>
        <w:numPr>
          <w:ilvl w:val="0"/>
          <w:numId w:val="7"/>
        </w:numPr>
      </w:pPr>
      <w:r>
        <w:t xml:space="preserve">When developing </w:t>
      </w:r>
      <w:r w:rsidR="008B6790">
        <w:t>essential documents</w:t>
      </w:r>
      <w:r>
        <w:t xml:space="preserve">, the CI (or delegate) is expected to refer to the </w:t>
      </w:r>
      <w:hyperlink r:id="rId17" w:tooltip="Link to the UoB Information Classification Standard" w:history="1">
        <w:proofErr w:type="spellStart"/>
        <w:r w:rsidRPr="00284151">
          <w:rPr>
            <w:rStyle w:val="Hyperlink"/>
          </w:rPr>
          <w:t>UoB</w:t>
        </w:r>
        <w:proofErr w:type="spellEnd"/>
        <w:r w:rsidRPr="00284151">
          <w:rPr>
            <w:rStyle w:val="Hyperlink"/>
          </w:rPr>
          <w:t xml:space="preserve"> Information Classification Standard</w:t>
        </w:r>
      </w:hyperlink>
      <w:r>
        <w:rPr>
          <w:rStyle w:val="Hyperlink"/>
        </w:rPr>
        <w:t xml:space="preserve"> (PDF – 944 KB)</w:t>
      </w:r>
      <w:r>
        <w:t xml:space="preserve">. </w:t>
      </w:r>
    </w:p>
    <w:p w14:paraId="4A0CD5C4" w14:textId="77777777" w:rsidR="00966396" w:rsidRPr="007903EE" w:rsidRDefault="00966396" w:rsidP="00396068">
      <w:pPr>
        <w:pStyle w:val="heading3numbered"/>
      </w:pPr>
      <w:r w:rsidRPr="007903EE">
        <w:lastRenderedPageBreak/>
        <w:t xml:space="preserve">Protocol </w:t>
      </w:r>
    </w:p>
    <w:p w14:paraId="69719685" w14:textId="77777777" w:rsidR="00966396" w:rsidRDefault="00966396" w:rsidP="00966396">
      <w:pPr>
        <w:pStyle w:val="Numberlist"/>
        <w:numPr>
          <w:ilvl w:val="0"/>
          <w:numId w:val="7"/>
        </w:numPr>
      </w:pPr>
      <w:r>
        <w:t>The CI (or delegate) will c</w:t>
      </w:r>
      <w:r w:rsidRPr="006334E2">
        <w:t xml:space="preserve">reate the protocol </w:t>
      </w:r>
      <w:r w:rsidRPr="00613F8B">
        <w:t>that describes the background, rationale, objectives, design, methodology, statistical considerations and organi</w:t>
      </w:r>
      <w:r>
        <w:t>s</w:t>
      </w:r>
      <w:r w:rsidRPr="00613F8B">
        <w:t>ation of the research project.</w:t>
      </w:r>
      <w:r>
        <w:rPr>
          <w:rFonts w:ascii="Helvetica" w:hAnsi="Helvetica" w:cs="Helvetica"/>
          <w:color w:val="000000"/>
        </w:rPr>
        <w:t xml:space="preserve"> </w:t>
      </w:r>
      <w:r w:rsidRPr="006334E2">
        <w:t xml:space="preserve"> </w:t>
      </w:r>
    </w:p>
    <w:p w14:paraId="45A84FBF" w14:textId="77777777" w:rsidR="00966396" w:rsidRPr="007B474A" w:rsidRDefault="00966396" w:rsidP="00966396">
      <w:pPr>
        <w:pStyle w:val="bullet2"/>
        <w:ind w:left="720" w:hanging="360"/>
      </w:pPr>
      <w:r>
        <w:t xml:space="preserve">For CTIMPs, refer to </w:t>
      </w:r>
      <w:bookmarkStart w:id="7" w:name="_Hlk97623381"/>
      <w:r w:rsidRPr="000E0F35">
        <w:rPr>
          <w:i/>
          <w:color w:val="943634" w:themeColor="accent2" w:themeShade="BF"/>
        </w:rPr>
        <w:t>UoB-</w:t>
      </w:r>
      <w:r>
        <w:rPr>
          <w:i/>
          <w:color w:val="943634" w:themeColor="accent2" w:themeShade="BF"/>
        </w:rPr>
        <w:t>CLN</w:t>
      </w:r>
      <w:r w:rsidRPr="000E0F35">
        <w:rPr>
          <w:i/>
          <w:color w:val="943634" w:themeColor="accent2" w:themeShade="BF"/>
        </w:rPr>
        <w:t>-</w:t>
      </w:r>
      <w:r>
        <w:rPr>
          <w:i/>
          <w:color w:val="943634" w:themeColor="accent2" w:themeShade="BF"/>
        </w:rPr>
        <w:t>PRO</w:t>
      </w:r>
      <w:r w:rsidRPr="000E0F35">
        <w:rPr>
          <w:i/>
          <w:color w:val="943634" w:themeColor="accent2" w:themeShade="BF"/>
        </w:rPr>
        <w:t>-</w:t>
      </w:r>
      <w:r>
        <w:rPr>
          <w:i/>
          <w:color w:val="943634" w:themeColor="accent2" w:themeShade="BF"/>
        </w:rPr>
        <w:t>QCD-</w:t>
      </w:r>
      <w:r w:rsidRPr="000E0F35">
        <w:rPr>
          <w:i/>
          <w:color w:val="943634" w:themeColor="accent2" w:themeShade="BF"/>
        </w:rPr>
        <w:t>00</w:t>
      </w:r>
      <w:r>
        <w:rPr>
          <w:i/>
          <w:color w:val="943634" w:themeColor="accent2" w:themeShade="BF"/>
        </w:rPr>
        <w:t>2</w:t>
      </w:r>
      <w:r w:rsidRPr="000E0F35">
        <w:rPr>
          <w:i/>
          <w:color w:val="943634" w:themeColor="accent2" w:themeShade="BF"/>
        </w:rPr>
        <w:t xml:space="preserve"> Protocol Template</w:t>
      </w:r>
      <w:r>
        <w:rPr>
          <w:i/>
          <w:color w:val="943634" w:themeColor="accent2" w:themeShade="BF"/>
        </w:rPr>
        <w:t xml:space="preserve"> for CTIMPs</w:t>
      </w:r>
      <w:bookmarkEnd w:id="7"/>
      <w:r w:rsidRPr="00613F8B">
        <w:t>.</w:t>
      </w:r>
    </w:p>
    <w:p w14:paraId="65082DA6" w14:textId="77777777" w:rsidR="00966396" w:rsidRPr="006334E2" w:rsidRDefault="00966396" w:rsidP="00966396">
      <w:pPr>
        <w:pStyle w:val="bullet2"/>
        <w:ind w:left="720" w:hanging="360"/>
      </w:pPr>
      <w:r>
        <w:t xml:space="preserve">For non-CTIMPs and clinical studies, refer to </w:t>
      </w:r>
      <w:bookmarkStart w:id="8" w:name="_Hlk97623390"/>
      <w:r>
        <w:rPr>
          <w:i/>
          <w:color w:val="943634" w:themeColor="accent2" w:themeShade="BF"/>
        </w:rPr>
        <w:t>UoB-CRT-NCTM-</w:t>
      </w:r>
      <w:r w:rsidRPr="007B474A">
        <w:rPr>
          <w:i/>
          <w:color w:val="943634" w:themeColor="accent2" w:themeShade="BF"/>
        </w:rPr>
        <w:t>QCD</w:t>
      </w:r>
      <w:r>
        <w:rPr>
          <w:i/>
          <w:color w:val="943634" w:themeColor="accent2" w:themeShade="BF"/>
        </w:rPr>
        <w:t>-001 Non-CTIMP and Studies Protocol Template</w:t>
      </w:r>
      <w:bookmarkEnd w:id="8"/>
      <w:r>
        <w:t>.</w:t>
      </w:r>
    </w:p>
    <w:p w14:paraId="05CC1C4A" w14:textId="57A36C72" w:rsidR="00966396" w:rsidRPr="00E03FA5" w:rsidRDefault="00966396" w:rsidP="00396068">
      <w:pPr>
        <w:pStyle w:val="heading3numbered"/>
      </w:pPr>
      <w:r w:rsidRPr="00E03FA5">
        <w:t xml:space="preserve">Participant </w:t>
      </w:r>
      <w:r w:rsidR="008B6790">
        <w:t>i</w:t>
      </w:r>
      <w:r w:rsidRPr="00E03FA5">
        <w:t xml:space="preserve">nformation </w:t>
      </w:r>
      <w:r w:rsidR="008B6790">
        <w:t>s</w:t>
      </w:r>
      <w:r w:rsidRPr="00E03FA5">
        <w:t xml:space="preserve">heet and </w:t>
      </w:r>
      <w:r w:rsidR="008B6790">
        <w:t>i</w:t>
      </w:r>
      <w:r w:rsidRPr="00E03FA5">
        <w:t xml:space="preserve">nformed </w:t>
      </w:r>
      <w:r w:rsidR="008B6790">
        <w:t>c</w:t>
      </w:r>
      <w:r w:rsidRPr="00E03FA5">
        <w:t xml:space="preserve">onsent form </w:t>
      </w:r>
    </w:p>
    <w:p w14:paraId="0265F457" w14:textId="77777777" w:rsidR="00966396" w:rsidRDefault="00966396" w:rsidP="00966396">
      <w:pPr>
        <w:pStyle w:val="Numberlist"/>
        <w:numPr>
          <w:ilvl w:val="0"/>
          <w:numId w:val="7"/>
        </w:numPr>
      </w:pPr>
      <w:r>
        <w:t>The CI (or delegate) will d</w:t>
      </w:r>
      <w:r w:rsidRPr="006334E2">
        <w:t>evelop the PIS and ICF in adherence with the specifications of the protocol</w:t>
      </w:r>
      <w:r>
        <w:t xml:space="preserve"> and the instructions provided in </w:t>
      </w:r>
      <w:bookmarkStart w:id="9" w:name="_Hlk97623400"/>
      <w:r w:rsidRPr="007903EE">
        <w:rPr>
          <w:i/>
          <w:color w:val="943634" w:themeColor="accent2" w:themeShade="BF"/>
        </w:rPr>
        <w:t>UoB-PEI-SOP-001 Participant Engagement and Informed Consent</w:t>
      </w:r>
      <w:bookmarkEnd w:id="9"/>
      <w:r>
        <w:t>.</w:t>
      </w:r>
    </w:p>
    <w:p w14:paraId="1C5B5C97" w14:textId="33843871" w:rsidR="00966396" w:rsidRDefault="00966396" w:rsidP="00966396">
      <w:pPr>
        <w:pStyle w:val="bullet2"/>
        <w:ind w:left="720" w:hanging="360"/>
      </w:pPr>
      <w:r>
        <w:t xml:space="preserve">Refer to </w:t>
      </w:r>
      <w:bookmarkStart w:id="10" w:name="_Hlk97623410"/>
      <w:r w:rsidRPr="00E03FA5">
        <w:rPr>
          <w:i/>
          <w:color w:val="943634" w:themeColor="accent2" w:themeShade="BF"/>
        </w:rPr>
        <w:t>UoB-CRG-QCD-001 Sponsor Review Tool</w:t>
      </w:r>
      <w:r>
        <w:t xml:space="preserve"> </w:t>
      </w:r>
      <w:bookmarkEnd w:id="10"/>
      <w:r>
        <w:t xml:space="preserve">for guidance regarding the minimal essential detail required in the PIS and ICF in order for the </w:t>
      </w:r>
      <w:r w:rsidR="008B6790">
        <w:t xml:space="preserve">university </w:t>
      </w:r>
      <w:r>
        <w:t xml:space="preserve">to proceed with sponsorship. </w:t>
      </w:r>
    </w:p>
    <w:p w14:paraId="05AD3525" w14:textId="0D841A86" w:rsidR="00966396" w:rsidRPr="00951907" w:rsidRDefault="00966396" w:rsidP="00966396">
      <w:pPr>
        <w:pStyle w:val="bullet2"/>
        <w:ind w:left="720" w:hanging="360"/>
      </w:pPr>
      <w:r w:rsidRPr="00951907">
        <w:t xml:space="preserve">If the arrangements for the </w:t>
      </w:r>
      <w:r>
        <w:t xml:space="preserve">clinical research </w:t>
      </w:r>
      <w:r w:rsidRPr="00951907">
        <w:t xml:space="preserve">involve the movement of </w:t>
      </w:r>
      <w:r>
        <w:t>participant</w:t>
      </w:r>
      <w:r w:rsidRPr="00951907">
        <w:t xml:space="preserve"> identifiable information</w:t>
      </w:r>
      <w:r w:rsidR="00D679C4">
        <w:t xml:space="preserve"> (e.g. a copy of the ICF from an NHS Trust site to a </w:t>
      </w:r>
      <w:proofErr w:type="spellStart"/>
      <w:r w:rsidR="00D679C4">
        <w:t>UoB</w:t>
      </w:r>
      <w:proofErr w:type="spellEnd"/>
      <w:r w:rsidR="00D679C4">
        <w:t xml:space="preserve"> research office)</w:t>
      </w:r>
      <w:r>
        <w:t>,</w:t>
      </w:r>
      <w:r w:rsidRPr="00951907">
        <w:t xml:space="preserve"> the PIS </w:t>
      </w:r>
      <w:r w:rsidR="00D679C4">
        <w:t xml:space="preserve">or privacy notice </w:t>
      </w:r>
      <w:r>
        <w:t>will clearly state</w:t>
      </w:r>
      <w:r w:rsidRPr="00951907">
        <w:t xml:space="preserve"> what </w:t>
      </w:r>
      <w:r>
        <w:t>participant</w:t>
      </w:r>
      <w:r w:rsidRPr="00951907">
        <w:t xml:space="preserve"> identifiable data will be moved, where it will be stored and what will happen with the data at the end of </w:t>
      </w:r>
      <w:r>
        <w:t>the research project</w:t>
      </w:r>
      <w:r w:rsidR="00E81719">
        <w:t xml:space="preserve">. It is recommended that the </w:t>
      </w:r>
      <w:r>
        <w:t xml:space="preserve">ICF </w:t>
      </w:r>
      <w:r w:rsidR="00E81719">
        <w:t>is designed to capture agreement of the participants to this process</w:t>
      </w:r>
      <w:r>
        <w:t xml:space="preserve">.  </w:t>
      </w:r>
    </w:p>
    <w:p w14:paraId="60DC8622" w14:textId="72761785" w:rsidR="00966396" w:rsidRPr="00951907" w:rsidRDefault="00966396" w:rsidP="00966396">
      <w:pPr>
        <w:pStyle w:val="bullet2"/>
        <w:ind w:left="720" w:hanging="360"/>
      </w:pPr>
      <w:r w:rsidRPr="00951907">
        <w:t xml:space="preserve">If the </w:t>
      </w:r>
      <w:r>
        <w:t xml:space="preserve">research project </w:t>
      </w:r>
      <w:r w:rsidRPr="00951907">
        <w:t xml:space="preserve">includes optional elements, </w:t>
      </w:r>
      <w:r>
        <w:t>these will be detailed in the PIS and labelled as ‘</w:t>
      </w:r>
      <w:r w:rsidR="008B6790">
        <w:t xml:space="preserve">optional’ </w:t>
      </w:r>
      <w:r>
        <w:t>on the ICF.</w:t>
      </w:r>
    </w:p>
    <w:p w14:paraId="0712C150" w14:textId="37714CAB" w:rsidR="00966396" w:rsidRPr="00A22FF7" w:rsidRDefault="00966396" w:rsidP="00966396">
      <w:pPr>
        <w:pStyle w:val="bullet2"/>
        <w:ind w:left="720" w:hanging="360"/>
        <w:rPr>
          <w:rStyle w:val="ReferencestootherSOPsQCDsChar"/>
          <w:i w:val="0"/>
          <w:color w:val="auto"/>
        </w:rPr>
      </w:pPr>
      <w:r w:rsidRPr="00951907">
        <w:t>For further information</w:t>
      </w:r>
      <w:r w:rsidR="00CB4A98">
        <w:t xml:space="preserve">, </w:t>
      </w:r>
      <w:r w:rsidRPr="00951907">
        <w:t xml:space="preserve">see </w:t>
      </w:r>
      <w:r w:rsidR="00CB4A98">
        <w:t xml:space="preserve">also </w:t>
      </w:r>
      <w:bookmarkStart w:id="11" w:name="_Hlk97623421"/>
      <w:r w:rsidRPr="00951907">
        <w:rPr>
          <w:rStyle w:val="ReferencestootherSOPsQCDsChar"/>
        </w:rPr>
        <w:t xml:space="preserve">UoB-CLN-ESD-QCD-004 Informed Consent procedure for site </w:t>
      </w:r>
      <w:bookmarkEnd w:id="11"/>
      <w:r w:rsidRPr="00951907">
        <w:rPr>
          <w:rStyle w:val="ReferencestootherSOPsQCDsChar"/>
        </w:rPr>
        <w:t>staff</w:t>
      </w:r>
      <w:r w:rsidR="00A06D1A">
        <w:rPr>
          <w:rStyle w:val="ReferencestootherSOPsQCDsChar"/>
        </w:rPr>
        <w:t xml:space="preserve"> </w:t>
      </w:r>
      <w:r w:rsidR="00A06D1A" w:rsidRPr="006103A8">
        <w:t xml:space="preserve">and </w:t>
      </w:r>
      <w:r w:rsidR="009360CF">
        <w:t xml:space="preserve">the </w:t>
      </w:r>
      <w:r w:rsidR="008B6790">
        <w:t xml:space="preserve">university’s </w:t>
      </w:r>
      <w:r w:rsidR="009360CF">
        <w:t xml:space="preserve">privacy notice on </w:t>
      </w:r>
      <w:hyperlink r:id="rId18" w:tooltip="Link to UoB webpage about how the University uses your data" w:history="1">
        <w:r w:rsidR="00A06D1A" w:rsidRPr="00DD7454">
          <w:rPr>
            <w:rStyle w:val="Hyperlink"/>
          </w:rPr>
          <w:t>How the University uses your data</w:t>
        </w:r>
      </w:hyperlink>
      <w:r w:rsidRPr="00BA39D4">
        <w:t>.</w:t>
      </w:r>
    </w:p>
    <w:p w14:paraId="758ED04F" w14:textId="77777777" w:rsidR="00966396" w:rsidRPr="006334E2" w:rsidRDefault="00966396" w:rsidP="00966396">
      <w:pPr>
        <w:pStyle w:val="Numberlist"/>
        <w:numPr>
          <w:ilvl w:val="0"/>
          <w:numId w:val="7"/>
        </w:numPr>
      </w:pPr>
      <w:r>
        <w:t>Where human tissue is to be collected, the CI (or delegate) will</w:t>
      </w:r>
      <w:r w:rsidRPr="006334E2">
        <w:t xml:space="preserve"> </w:t>
      </w:r>
      <w:r>
        <w:t>e</w:t>
      </w:r>
      <w:r w:rsidRPr="006334E2">
        <w:t>nsure the</w:t>
      </w:r>
      <w:r>
        <w:t xml:space="preserve"> PIS and </w:t>
      </w:r>
      <w:r w:rsidRPr="006334E2">
        <w:t>ICF</w:t>
      </w:r>
      <w:r>
        <w:t xml:space="preserve"> include</w:t>
      </w:r>
      <w:r w:rsidRPr="006334E2">
        <w:t xml:space="preserve"> </w:t>
      </w:r>
      <w:r>
        <w:t>the following information</w:t>
      </w:r>
      <w:r w:rsidRPr="006334E2">
        <w:t>:</w:t>
      </w:r>
    </w:p>
    <w:p w14:paraId="02DA5406" w14:textId="57BA7A93" w:rsidR="00966396" w:rsidRPr="00951907" w:rsidRDefault="00966396" w:rsidP="00966396">
      <w:pPr>
        <w:pStyle w:val="bullet2"/>
        <w:ind w:left="720" w:hanging="360"/>
      </w:pPr>
      <w:r>
        <w:t xml:space="preserve">The PIS details how the tissue will be collected and shipped, where it will be stored, how it will be processed and if it will be destroyed. The ICF will be designed to capture the </w:t>
      </w:r>
      <w:r w:rsidRPr="00951907">
        <w:t>explicit consent</w:t>
      </w:r>
      <w:r>
        <w:t xml:space="preserve"> of the participant to the sample pathway described in the PIS.</w:t>
      </w:r>
    </w:p>
    <w:p w14:paraId="0CD61E42" w14:textId="77777777" w:rsidR="00966396" w:rsidRPr="00951907" w:rsidRDefault="00966396" w:rsidP="00966396">
      <w:pPr>
        <w:pStyle w:val="bullet2"/>
        <w:ind w:left="720" w:hanging="360"/>
      </w:pPr>
      <w:r w:rsidRPr="00951907">
        <w:t>Where tissue is expected to be used in future</w:t>
      </w:r>
      <w:r>
        <w:t xml:space="preserve"> ethically approved</w:t>
      </w:r>
      <w:r w:rsidRPr="00951907">
        <w:t xml:space="preserve"> </w:t>
      </w:r>
      <w:r>
        <w:t xml:space="preserve">clinical </w:t>
      </w:r>
      <w:r w:rsidRPr="00951907">
        <w:t>research or</w:t>
      </w:r>
      <w:r>
        <w:t xml:space="preserve"> moved to a Human Tissue Authority (HTA) licensed research tissue bank, </w:t>
      </w:r>
      <w:r w:rsidRPr="00951907">
        <w:t xml:space="preserve">this </w:t>
      </w:r>
      <w:r>
        <w:t>is</w:t>
      </w:r>
      <w:r w:rsidRPr="00951907">
        <w:t xml:space="preserve"> </w:t>
      </w:r>
      <w:r>
        <w:t xml:space="preserve">to be </w:t>
      </w:r>
      <w:r w:rsidRPr="00951907">
        <w:t>clearly stated in the PIS and explicit consent obtained</w:t>
      </w:r>
      <w:r>
        <w:t xml:space="preserve"> in the ICF.</w:t>
      </w:r>
    </w:p>
    <w:p w14:paraId="0D5386AD" w14:textId="13C0D85B" w:rsidR="00966396" w:rsidRDefault="00966396" w:rsidP="00966396">
      <w:pPr>
        <w:pStyle w:val="bullet2"/>
        <w:ind w:left="720" w:hanging="360"/>
      </w:pPr>
      <w:r>
        <w:t>If genomic analysis is to be performed on the sample, if the sample is to be use</w:t>
      </w:r>
      <w:r w:rsidR="008B6790">
        <w:t>d</w:t>
      </w:r>
      <w:r>
        <w:t xml:space="preserve"> in animal research, or if the research involves commercial partners, this will be stipulated in the PIS and the ICF designed to capture the explicit consent of the participant to these processes.</w:t>
      </w:r>
    </w:p>
    <w:p w14:paraId="586243E6" w14:textId="77777777" w:rsidR="00966396" w:rsidRPr="00951907" w:rsidRDefault="00966396" w:rsidP="00966396">
      <w:pPr>
        <w:pStyle w:val="bullet2"/>
        <w:ind w:left="720" w:hanging="360"/>
      </w:pPr>
      <w:r>
        <w:t xml:space="preserve">See also </w:t>
      </w:r>
      <w:hyperlink r:id="rId19" w:tooltip="Link to HTA Code of Practice A - Guiding Principles and the Fundamental Principle of Consent" w:history="1">
        <w:r>
          <w:rPr>
            <w:rStyle w:val="Hyperlink"/>
          </w:rPr>
          <w:t xml:space="preserve">HTA </w:t>
        </w:r>
        <w:r w:rsidRPr="00BA4DDB">
          <w:rPr>
            <w:rStyle w:val="Hyperlink"/>
          </w:rPr>
          <w:t>Code of Practice A - Guiding Principles and the Fundamental Principle of Consent</w:t>
        </w:r>
        <w:r>
          <w:rPr>
            <w:rStyle w:val="Hyperlink"/>
          </w:rPr>
          <w:t xml:space="preserve"> (PDF – 1.1 MB)</w:t>
        </w:r>
      </w:hyperlink>
      <w:r>
        <w:t>.</w:t>
      </w:r>
    </w:p>
    <w:p w14:paraId="4CD3ADD1" w14:textId="08088294" w:rsidR="00966396" w:rsidRPr="00E03FA5" w:rsidRDefault="00966396" w:rsidP="00396068">
      <w:pPr>
        <w:pStyle w:val="heading3numbered"/>
      </w:pPr>
      <w:r w:rsidRPr="00E03FA5">
        <w:t xml:space="preserve">Case </w:t>
      </w:r>
      <w:r w:rsidR="00DD1D67">
        <w:t>r</w:t>
      </w:r>
      <w:r w:rsidR="00DD1D67" w:rsidRPr="00E03FA5">
        <w:t xml:space="preserve">eport </w:t>
      </w:r>
      <w:r w:rsidR="00DD1D67">
        <w:t>f</w:t>
      </w:r>
      <w:r w:rsidR="00DD1D67" w:rsidRPr="00E03FA5">
        <w:t xml:space="preserve">orm </w:t>
      </w:r>
      <w:r w:rsidRPr="00E03FA5">
        <w:t xml:space="preserve">– including </w:t>
      </w:r>
      <w:r w:rsidR="00DD1D67">
        <w:t xml:space="preserve">quality </w:t>
      </w:r>
      <w:r>
        <w:t xml:space="preserve">of </w:t>
      </w:r>
      <w:r w:rsidR="00DD1D67">
        <w:t xml:space="preserve">life </w:t>
      </w:r>
      <w:r w:rsidRPr="00E03FA5">
        <w:t>questionnaires</w:t>
      </w:r>
    </w:p>
    <w:p w14:paraId="6FC00703" w14:textId="49860FB4" w:rsidR="00966396" w:rsidRPr="00F61CE2" w:rsidRDefault="00966396" w:rsidP="00966396">
      <w:pPr>
        <w:pStyle w:val="Numberlist"/>
        <w:numPr>
          <w:ilvl w:val="0"/>
          <w:numId w:val="7"/>
        </w:numPr>
        <w:spacing w:before="120"/>
        <w:ind w:right="340"/>
      </w:pPr>
      <w:r w:rsidRPr="00711A74">
        <w:t>The CI (</w:t>
      </w:r>
      <w:r w:rsidRPr="00951907">
        <w:t>or</w:t>
      </w:r>
      <w:r w:rsidRPr="00711A74">
        <w:t xml:space="preserve"> delegate) will create the CRF</w:t>
      </w:r>
      <w:r>
        <w:t xml:space="preserve"> in accordance with </w:t>
      </w:r>
      <w:bookmarkStart w:id="12" w:name="_Hlk97623436"/>
      <w:r w:rsidRPr="001D1994">
        <w:rPr>
          <w:rStyle w:val="ReferencestootherSOPsQCDsChar"/>
          <w:rFonts w:eastAsiaTheme="minorHAnsi"/>
        </w:rPr>
        <w:t>UoB-CRT-CRF-SOP-001 C</w:t>
      </w:r>
      <w:r>
        <w:rPr>
          <w:rStyle w:val="ReferencestootherSOPsQCDsChar"/>
        </w:rPr>
        <w:t xml:space="preserve">ase </w:t>
      </w:r>
      <w:r w:rsidRPr="001D1994">
        <w:rPr>
          <w:rStyle w:val="ReferencestootherSOPsQCDsChar"/>
          <w:rFonts w:eastAsiaTheme="minorHAnsi"/>
        </w:rPr>
        <w:t>R</w:t>
      </w:r>
      <w:r>
        <w:rPr>
          <w:rStyle w:val="ReferencestootherSOPsQCDsChar"/>
        </w:rPr>
        <w:t xml:space="preserve">eport </w:t>
      </w:r>
      <w:r w:rsidRPr="001D1994">
        <w:rPr>
          <w:rStyle w:val="ReferencestootherSOPsQCDsChar"/>
          <w:rFonts w:eastAsiaTheme="minorHAnsi"/>
        </w:rPr>
        <w:t>F</w:t>
      </w:r>
      <w:r>
        <w:rPr>
          <w:rStyle w:val="ReferencestootherSOPsQCDsChar"/>
        </w:rPr>
        <w:t>orm</w:t>
      </w:r>
      <w:r w:rsidRPr="001D1994">
        <w:rPr>
          <w:rStyle w:val="ReferencestootherSOPsQCDsChar"/>
          <w:rFonts w:eastAsiaTheme="minorHAnsi"/>
        </w:rPr>
        <w:t xml:space="preserve"> </w:t>
      </w:r>
      <w:r w:rsidR="00BB710F">
        <w:rPr>
          <w:rStyle w:val="ReferencestootherSOPsQCDsChar"/>
          <w:rFonts w:eastAsiaTheme="minorHAnsi"/>
        </w:rPr>
        <w:t>D</w:t>
      </w:r>
      <w:r w:rsidR="00BB710F" w:rsidRPr="001D1994">
        <w:rPr>
          <w:rStyle w:val="ReferencestootherSOPsQCDsChar"/>
          <w:rFonts w:eastAsiaTheme="minorHAnsi"/>
        </w:rPr>
        <w:t>evelopment</w:t>
      </w:r>
      <w:r w:rsidRPr="00310E9F">
        <w:rPr>
          <w:rFonts w:eastAsiaTheme="minorHAnsi"/>
        </w:rPr>
        <w:t>.</w:t>
      </w:r>
    </w:p>
    <w:bookmarkEnd w:id="12"/>
    <w:p w14:paraId="34D9E0FF" w14:textId="75C4EF7D" w:rsidR="00966396" w:rsidRPr="00E03FA5" w:rsidRDefault="00966396" w:rsidP="00396068">
      <w:pPr>
        <w:pStyle w:val="heading3numbered"/>
      </w:pPr>
      <w:r w:rsidRPr="00E03FA5">
        <w:t xml:space="preserve">Investigator </w:t>
      </w:r>
      <w:r w:rsidR="00DD1D67">
        <w:t>b</w:t>
      </w:r>
      <w:r w:rsidR="00DD1D67" w:rsidRPr="00E03FA5">
        <w:t xml:space="preserve">rochure </w:t>
      </w:r>
    </w:p>
    <w:p w14:paraId="2599677C" w14:textId="77777777" w:rsidR="00966396" w:rsidRPr="00EB7773" w:rsidRDefault="00966396" w:rsidP="00966396">
      <w:pPr>
        <w:pStyle w:val="Numberlist"/>
        <w:numPr>
          <w:ilvl w:val="0"/>
          <w:numId w:val="7"/>
        </w:numPr>
      </w:pPr>
      <w:r>
        <w:t>For CTIMPs, the CI (or delegate) will create the IB, where applicable. The process for creating the IB will include:</w:t>
      </w:r>
    </w:p>
    <w:p w14:paraId="0923D984" w14:textId="77777777" w:rsidR="00966396" w:rsidRPr="003532D8" w:rsidRDefault="00966396" w:rsidP="00966396">
      <w:pPr>
        <w:pStyle w:val="bullet2"/>
        <w:ind w:left="720" w:hanging="360"/>
        <w:rPr>
          <w:color w:val="222222"/>
          <w:lang w:eastAsia="en-GB"/>
        </w:rPr>
      </w:pPr>
      <w:r>
        <w:t>R</w:t>
      </w:r>
      <w:r w:rsidRPr="006334E2">
        <w:t>efer</w:t>
      </w:r>
      <w:r>
        <w:t>ring</w:t>
      </w:r>
      <w:r w:rsidRPr="006334E2">
        <w:t xml:space="preserve"> to </w:t>
      </w:r>
      <w:hyperlink r:id="rId20" w:tooltip="Link to Section 7 of the ICH Guidelines for GCP E6(R2)" w:history="1">
        <w:r w:rsidRPr="00222509">
          <w:rPr>
            <w:rStyle w:val="Hyperlink"/>
          </w:rPr>
          <w:t xml:space="preserve">Section 7 of the ICH Guidelines for </w:t>
        </w:r>
        <w:r w:rsidRPr="00F62939">
          <w:rPr>
            <w:rStyle w:val="Hyperlink"/>
          </w:rPr>
          <w:t>GCP E6(R2)</w:t>
        </w:r>
        <w:r w:rsidRPr="00E211C7">
          <w:rPr>
            <w:rStyle w:val="Hyperlink"/>
          </w:rPr>
          <w:t xml:space="preserve"> (PDF – 693 KB)</w:t>
        </w:r>
      </w:hyperlink>
      <w:r>
        <w:t xml:space="preserve">, </w:t>
      </w:r>
      <w:r w:rsidRPr="006334E2">
        <w:t xml:space="preserve">which </w:t>
      </w:r>
      <w:r>
        <w:t>lists</w:t>
      </w:r>
      <w:r w:rsidRPr="006334E2">
        <w:t xml:space="preserve"> the minimum information on what should be included in an IB and provides suggestions for its layout</w:t>
      </w:r>
      <w:r>
        <w:t>, including information that is expected to be included on the title page and a recommended table of contents.</w:t>
      </w:r>
    </w:p>
    <w:p w14:paraId="3F5C4BC9" w14:textId="1833CF19" w:rsidR="00966396" w:rsidRPr="007B474A" w:rsidRDefault="00966396" w:rsidP="00966396">
      <w:pPr>
        <w:pStyle w:val="bullet2"/>
        <w:ind w:left="720" w:hanging="360"/>
        <w:rPr>
          <w:color w:val="222222"/>
          <w:lang w:eastAsia="en-GB"/>
        </w:rPr>
      </w:pPr>
      <w:r>
        <w:t xml:space="preserve">Ensuring </w:t>
      </w:r>
      <w:r w:rsidR="00DD1D67">
        <w:t xml:space="preserve">reference safety information </w:t>
      </w:r>
      <w:r>
        <w:t>(RSI) is identified/created and clearly visible on the IB.</w:t>
      </w:r>
    </w:p>
    <w:p w14:paraId="52D425A6" w14:textId="022B8041" w:rsidR="00966396" w:rsidRDefault="00966396" w:rsidP="00966396">
      <w:r>
        <w:t xml:space="preserve">Note that for certain CTIMPs </w:t>
      </w:r>
      <w:r w:rsidRPr="004801B4">
        <w:t xml:space="preserve">an approved </w:t>
      </w:r>
      <w:r w:rsidR="00DD1D67">
        <w:t>s</w:t>
      </w:r>
      <w:r w:rsidR="00DD1D67" w:rsidRPr="004801B4">
        <w:t xml:space="preserve">ummary </w:t>
      </w:r>
      <w:r w:rsidRPr="004801B4">
        <w:t xml:space="preserve">of </w:t>
      </w:r>
      <w:r w:rsidR="00DD1D67">
        <w:t>p</w:t>
      </w:r>
      <w:r w:rsidR="00DD1D67" w:rsidRPr="004801B4">
        <w:t xml:space="preserve">roduct </w:t>
      </w:r>
      <w:r w:rsidR="00DD1D67">
        <w:t>c</w:t>
      </w:r>
      <w:r w:rsidR="00DD1D67" w:rsidRPr="004801B4">
        <w:t xml:space="preserve">haracteristics </w:t>
      </w:r>
      <w:r w:rsidRPr="004801B4">
        <w:t xml:space="preserve">(SmPC) </w:t>
      </w:r>
      <w:r>
        <w:t xml:space="preserve">may be used to document the </w:t>
      </w:r>
      <w:r w:rsidRPr="004801B4">
        <w:t>RSI,</w:t>
      </w:r>
      <w:r>
        <w:t xml:space="preserve"> instead of the IB</w:t>
      </w:r>
      <w:r w:rsidRPr="004801B4">
        <w:t>.</w:t>
      </w:r>
      <w:r>
        <w:t xml:space="preserve"> Also, access to an approved SmPC and/or IB may be required for non-CTIMPs or studies where </w:t>
      </w:r>
      <w:r w:rsidR="00DD1D67">
        <w:t>non</w:t>
      </w:r>
      <w:r>
        <w:t>-</w:t>
      </w:r>
      <w:r w:rsidR="00DD1D67">
        <w:t xml:space="preserve">investigational medicinal products </w:t>
      </w:r>
      <w:r>
        <w:t xml:space="preserve">(NIMPs) are used. </w:t>
      </w:r>
    </w:p>
    <w:p w14:paraId="2FB54405" w14:textId="77777777" w:rsidR="00966396" w:rsidRPr="002E3041" w:rsidRDefault="00966396" w:rsidP="00396068">
      <w:pPr>
        <w:pStyle w:val="heading3numbered"/>
      </w:pPr>
      <w:r w:rsidRPr="002E3041">
        <w:t>Project-specific documentation</w:t>
      </w:r>
    </w:p>
    <w:p w14:paraId="57FF512D" w14:textId="7AB5B53F" w:rsidR="00966396" w:rsidRPr="00E03FA5" w:rsidRDefault="00966396" w:rsidP="00966396">
      <w:pPr>
        <w:pStyle w:val="Numberlist"/>
        <w:numPr>
          <w:ilvl w:val="0"/>
          <w:numId w:val="7"/>
        </w:numPr>
        <w:rPr>
          <w:i/>
        </w:rPr>
      </w:pPr>
      <w:r>
        <w:t>The CI (or delegate) will ensure other research project-specific essential documentation is created as required, including but not limited to</w:t>
      </w:r>
      <w:r w:rsidR="009E03AA">
        <w:t xml:space="preserve"> those listed below.</w:t>
      </w:r>
    </w:p>
    <w:p w14:paraId="78DA119F" w14:textId="77777777" w:rsidR="00966396" w:rsidRPr="003C355C" w:rsidRDefault="00966396" w:rsidP="00966396">
      <w:pPr>
        <w:pStyle w:val="bullet1"/>
        <w:numPr>
          <w:ilvl w:val="0"/>
          <w:numId w:val="11"/>
        </w:numPr>
        <w:rPr>
          <w:rStyle w:val="ReferencestootherSOPsQCDsChar"/>
          <w:i w:val="0"/>
          <w:color w:val="auto"/>
        </w:rPr>
      </w:pPr>
      <w:r>
        <w:lastRenderedPageBreak/>
        <w:t xml:space="preserve">For sites, a site signature and delegation log. See </w:t>
      </w:r>
      <w:bookmarkStart w:id="13" w:name="_Hlk97623456"/>
      <w:r w:rsidRPr="00E03FA5">
        <w:rPr>
          <w:rStyle w:val="ReferencestootherSOPsQCDsChar"/>
          <w:rFonts w:eastAsiaTheme="minorHAnsi"/>
        </w:rPr>
        <w:t>UoB-</w:t>
      </w:r>
      <w:r>
        <w:rPr>
          <w:rStyle w:val="ReferencestootherSOPsQCDsChar"/>
          <w:rFonts w:eastAsiaTheme="minorHAnsi"/>
        </w:rPr>
        <w:t>CLN</w:t>
      </w:r>
      <w:r w:rsidRPr="00E03FA5">
        <w:rPr>
          <w:rStyle w:val="ReferencestootherSOPsQCDsChar"/>
          <w:rFonts w:eastAsiaTheme="minorHAnsi"/>
        </w:rPr>
        <w:t>-</w:t>
      </w:r>
      <w:r>
        <w:rPr>
          <w:rStyle w:val="ReferencestootherSOPsQCDsChar"/>
          <w:rFonts w:eastAsiaTheme="minorHAnsi"/>
        </w:rPr>
        <w:t>ESD</w:t>
      </w:r>
      <w:r w:rsidRPr="00E03FA5">
        <w:rPr>
          <w:rStyle w:val="ReferencestootherSOPsQCDsChar"/>
          <w:rFonts w:eastAsiaTheme="minorHAnsi"/>
        </w:rPr>
        <w:t>-</w:t>
      </w:r>
      <w:r>
        <w:rPr>
          <w:rStyle w:val="ReferencestootherSOPsQCDsChar"/>
          <w:rFonts w:eastAsiaTheme="minorHAnsi"/>
        </w:rPr>
        <w:t>QCD-</w:t>
      </w:r>
      <w:r w:rsidRPr="00E03FA5">
        <w:rPr>
          <w:rStyle w:val="ReferencestootherSOPsQCDsChar"/>
          <w:rFonts w:eastAsiaTheme="minorHAnsi"/>
        </w:rPr>
        <w:t>00</w:t>
      </w:r>
      <w:r>
        <w:rPr>
          <w:rStyle w:val="ReferencestootherSOPsQCDsChar"/>
          <w:rFonts w:eastAsiaTheme="minorHAnsi"/>
        </w:rPr>
        <w:t>3</w:t>
      </w:r>
      <w:r w:rsidRPr="00E03FA5">
        <w:rPr>
          <w:rStyle w:val="ReferencestootherSOPsQCDsChar"/>
          <w:rFonts w:eastAsiaTheme="minorHAnsi"/>
        </w:rPr>
        <w:t xml:space="preserve"> Site Signature and Delegation Log</w:t>
      </w:r>
      <w:r w:rsidRPr="00047531">
        <w:rPr>
          <w:rStyle w:val="bullet2Char"/>
          <w:rFonts w:eastAsiaTheme="minorHAnsi"/>
        </w:rPr>
        <w:t xml:space="preserve"> </w:t>
      </w:r>
      <w:bookmarkEnd w:id="13"/>
      <w:r w:rsidRPr="0098063F">
        <w:rPr>
          <w:rStyle w:val="bullet2Char"/>
          <w:rFonts w:eastAsiaTheme="minorHAnsi"/>
        </w:rPr>
        <w:t>for a template.</w:t>
      </w:r>
    </w:p>
    <w:p w14:paraId="60E2FEA4" w14:textId="6F706477" w:rsidR="00966396" w:rsidRDefault="00966396" w:rsidP="00966396">
      <w:pPr>
        <w:pStyle w:val="bullet1"/>
        <w:numPr>
          <w:ilvl w:val="0"/>
          <w:numId w:val="11"/>
        </w:numPr>
      </w:pPr>
      <w:r>
        <w:t>For clinical research management, a study delegation log, which is expected to include the following information about members of the clinical research team; name, role, date started and date finished.</w:t>
      </w:r>
      <w:r w:rsidRPr="003C71A5">
        <w:t xml:space="preserve"> </w:t>
      </w:r>
    </w:p>
    <w:p w14:paraId="7F4FB968" w14:textId="3419FD0A" w:rsidR="00966396" w:rsidRDefault="00966396" w:rsidP="00966396">
      <w:pPr>
        <w:pStyle w:val="bullet1"/>
        <w:numPr>
          <w:ilvl w:val="0"/>
          <w:numId w:val="11"/>
        </w:numPr>
      </w:pPr>
      <w:r>
        <w:t>T</w:t>
      </w:r>
      <w:r w:rsidRPr="007B474A">
        <w:t xml:space="preserve">he </w:t>
      </w:r>
      <w:r w:rsidR="00330AA7">
        <w:t xml:space="preserve">organisational information document </w:t>
      </w:r>
      <w:r>
        <w:t xml:space="preserve">that replaces the HRA </w:t>
      </w:r>
      <w:r w:rsidRPr="007B474A">
        <w:t xml:space="preserve">Statement of Activities used in England and Wales for non-commercial </w:t>
      </w:r>
      <w:r>
        <w:t>clinical research</w:t>
      </w:r>
      <w:r w:rsidRPr="007B474A">
        <w:t xml:space="preserve"> and the </w:t>
      </w:r>
      <w:r w:rsidR="00330AA7">
        <w:t>s</w:t>
      </w:r>
      <w:r w:rsidR="00330AA7" w:rsidRPr="007B474A">
        <w:t>ite</w:t>
      </w:r>
      <w:r w:rsidRPr="007B474A">
        <w:t>-</w:t>
      </w:r>
      <w:r w:rsidR="00330AA7">
        <w:t>s</w:t>
      </w:r>
      <w:r w:rsidR="00330AA7" w:rsidRPr="007B474A">
        <w:t xml:space="preserve">pecific </w:t>
      </w:r>
      <w:r w:rsidR="00330AA7">
        <w:t>i</w:t>
      </w:r>
      <w:r w:rsidR="00330AA7" w:rsidRPr="007B474A">
        <w:t xml:space="preserve">nformation </w:t>
      </w:r>
      <w:r w:rsidRPr="007B474A">
        <w:t>form, used in Northern Ireland and Scotland</w:t>
      </w:r>
      <w:r>
        <w:t>.</w:t>
      </w:r>
    </w:p>
    <w:p w14:paraId="3088D733" w14:textId="77777777" w:rsidR="00966396" w:rsidRDefault="00966396" w:rsidP="00966396">
      <w:pPr>
        <w:pStyle w:val="bullet1"/>
        <w:numPr>
          <w:ilvl w:val="0"/>
          <w:numId w:val="11"/>
        </w:numPr>
      </w:pPr>
      <w:r>
        <w:t>Schedule of events required for HRA approval.</w:t>
      </w:r>
    </w:p>
    <w:p w14:paraId="0CB4824B" w14:textId="77777777" w:rsidR="00966396" w:rsidRDefault="00966396" w:rsidP="00396068">
      <w:pPr>
        <w:pStyle w:val="heading3numbered"/>
      </w:pPr>
      <w:r>
        <w:t xml:space="preserve"> </w:t>
      </w:r>
      <w:r w:rsidRPr="009F6CDA">
        <w:t>Correspondence and advertising</w:t>
      </w:r>
    </w:p>
    <w:p w14:paraId="03F724A8" w14:textId="4F8BE212" w:rsidR="00966396" w:rsidRPr="009F6CDA" w:rsidRDefault="00966396" w:rsidP="00966396">
      <w:pPr>
        <w:pStyle w:val="Numberlist"/>
        <w:numPr>
          <w:ilvl w:val="0"/>
          <w:numId w:val="7"/>
        </w:numPr>
      </w:pPr>
      <w:r>
        <w:t>The CI (or delegate) will ensure a</w:t>
      </w:r>
      <w:r w:rsidRPr="006334E2">
        <w:t xml:space="preserve">ny correspondence to participants relating to the </w:t>
      </w:r>
      <w:r>
        <w:t>clinical research</w:t>
      </w:r>
      <w:r w:rsidRPr="006334E2">
        <w:t xml:space="preserve"> or </w:t>
      </w:r>
      <w:r>
        <w:t>research project</w:t>
      </w:r>
      <w:r w:rsidRPr="006334E2">
        <w:t xml:space="preserve"> promotional materials form part of the </w:t>
      </w:r>
      <w:r w:rsidR="00330AA7">
        <w:t>e</w:t>
      </w:r>
      <w:r w:rsidR="00330AA7" w:rsidRPr="006334E2">
        <w:t xml:space="preserve">ssential </w:t>
      </w:r>
      <w:r w:rsidR="00330AA7">
        <w:t>d</w:t>
      </w:r>
      <w:r w:rsidR="00330AA7" w:rsidRPr="006334E2">
        <w:t>ocuments</w:t>
      </w:r>
      <w:r w:rsidRPr="006334E2">
        <w:t>. Letters that are sent out to participants and promotional material aimed at participants are subject to the same guidance regarding development, review and approval</w:t>
      </w:r>
      <w:r>
        <w:t>.</w:t>
      </w:r>
      <w:r w:rsidRPr="009F6CDA">
        <w:t xml:space="preserve"> </w:t>
      </w:r>
    </w:p>
    <w:p w14:paraId="3B45F75B" w14:textId="77777777" w:rsidR="00966396" w:rsidRPr="006334E2" w:rsidRDefault="00966396" w:rsidP="00966396">
      <w:pPr>
        <w:pStyle w:val="Numberlist"/>
        <w:numPr>
          <w:ilvl w:val="0"/>
          <w:numId w:val="7"/>
        </w:numPr>
      </w:pPr>
      <w:r w:rsidRPr="006334E2">
        <w:t xml:space="preserve">For </w:t>
      </w:r>
      <w:r>
        <w:t xml:space="preserve">clinical research </w:t>
      </w:r>
      <w:r w:rsidRPr="006334E2">
        <w:t xml:space="preserve">taking place in the UK, </w:t>
      </w:r>
      <w:r>
        <w:t xml:space="preserve">the CI (or delegate) will ensure </w:t>
      </w:r>
      <w:r w:rsidRPr="006334E2">
        <w:t xml:space="preserve">all correspondence </w:t>
      </w:r>
      <w:r>
        <w:t>is</w:t>
      </w:r>
      <w:r w:rsidRPr="006334E2">
        <w:t xml:space="preserve"> printed or photocopied onto the headed paper of the local institution. </w:t>
      </w:r>
    </w:p>
    <w:p w14:paraId="062F2BFD" w14:textId="1AE39EA0" w:rsidR="00966396" w:rsidRDefault="00966396" w:rsidP="00396068">
      <w:pPr>
        <w:pStyle w:val="heading2numbered"/>
      </w:pPr>
      <w:r w:rsidRPr="006334E2">
        <w:t xml:space="preserve">External review, approval, and implementation of </w:t>
      </w:r>
      <w:r w:rsidR="00330AA7">
        <w:t>e</w:t>
      </w:r>
      <w:r w:rsidR="00330AA7" w:rsidRPr="006334E2">
        <w:t xml:space="preserve">ssential </w:t>
      </w:r>
      <w:r w:rsidR="00330AA7">
        <w:t>d</w:t>
      </w:r>
      <w:r w:rsidR="00330AA7" w:rsidRPr="006334E2">
        <w:t>ocuments</w:t>
      </w:r>
    </w:p>
    <w:p w14:paraId="5AB738CA" w14:textId="77777777" w:rsidR="00966396" w:rsidRPr="00C06178" w:rsidRDefault="00966396" w:rsidP="00966396">
      <w:r>
        <w:t xml:space="preserve">Note: points 19 – 25 (inclusive) are not applicable to clinical research with favourable opinion from a </w:t>
      </w:r>
      <w:proofErr w:type="spellStart"/>
      <w:r>
        <w:t>UoB</w:t>
      </w:r>
      <w:proofErr w:type="spellEnd"/>
      <w:r>
        <w:t xml:space="preserve"> REC.</w:t>
      </w:r>
    </w:p>
    <w:p w14:paraId="420A79D8" w14:textId="31AEAF5D" w:rsidR="00966396" w:rsidRPr="006334E2" w:rsidRDefault="00966396" w:rsidP="00966396">
      <w:pPr>
        <w:pStyle w:val="Numberlist"/>
        <w:numPr>
          <w:ilvl w:val="0"/>
          <w:numId w:val="7"/>
        </w:numPr>
      </w:pPr>
      <w:r w:rsidRPr="005D4536">
        <w:t>Where</w:t>
      </w:r>
      <w:r w:rsidRPr="006334E2">
        <w:t xml:space="preserve"> the </w:t>
      </w:r>
      <w:proofErr w:type="spellStart"/>
      <w:r w:rsidRPr="006334E2">
        <w:t>UoB</w:t>
      </w:r>
      <w:proofErr w:type="spellEnd"/>
      <w:r w:rsidRPr="006334E2">
        <w:t xml:space="preserve"> takes on the </w:t>
      </w:r>
      <w:r w:rsidR="00330AA7">
        <w:t>s</w:t>
      </w:r>
      <w:r w:rsidR="00330AA7" w:rsidRPr="006334E2">
        <w:t>ponsor</w:t>
      </w:r>
      <w:r w:rsidR="00330AA7">
        <w:t>’s</w:t>
      </w:r>
      <w:r w:rsidR="00330AA7" w:rsidRPr="006334E2">
        <w:t xml:space="preserve"> </w:t>
      </w:r>
      <w:r w:rsidRPr="006334E2">
        <w:t xml:space="preserve">role for review and approval of </w:t>
      </w:r>
      <w:r w:rsidR="00330AA7">
        <w:t>e</w:t>
      </w:r>
      <w:r w:rsidR="00330AA7" w:rsidRPr="006334E2">
        <w:t xml:space="preserve">ssential </w:t>
      </w:r>
      <w:r w:rsidR="00330AA7">
        <w:t>d</w:t>
      </w:r>
      <w:r w:rsidR="00330AA7" w:rsidRPr="006334E2">
        <w:t>ocuments</w:t>
      </w:r>
      <w:r>
        <w:t>,</w:t>
      </w:r>
      <w:r w:rsidRPr="006334E2">
        <w:t xml:space="preserve"> </w:t>
      </w:r>
      <w:r>
        <w:t>the CI (or delegate) will</w:t>
      </w:r>
      <w:r w:rsidR="005E1BDF">
        <w:t xml:space="preserve"> undertake the tasks listed below.</w:t>
      </w:r>
      <w:r w:rsidRPr="006334E2">
        <w:t xml:space="preserve"> </w:t>
      </w:r>
    </w:p>
    <w:p w14:paraId="26F132DB" w14:textId="77777777" w:rsidR="00966396" w:rsidRPr="00951907" w:rsidRDefault="00966396" w:rsidP="00966396">
      <w:pPr>
        <w:pStyle w:val="bullet2"/>
        <w:ind w:left="720" w:hanging="360"/>
      </w:pPr>
      <w:r w:rsidRPr="006334E2">
        <w:t>Send the protocol and any other documents intended to be submitted to the REC</w:t>
      </w:r>
      <w:r>
        <w:t xml:space="preserve"> and HRA</w:t>
      </w:r>
      <w:r w:rsidRPr="006334E2">
        <w:t xml:space="preserve">, and any </w:t>
      </w:r>
      <w:r w:rsidRPr="00951907">
        <w:t>regulatory body to the RGT for their review</w:t>
      </w:r>
      <w:r>
        <w:t xml:space="preserve">. See also </w:t>
      </w:r>
      <w:bookmarkStart w:id="14" w:name="_Hlk97623468"/>
      <w:r w:rsidRPr="001932EA">
        <w:rPr>
          <w:rStyle w:val="ReferencestootherSOPsQCDsChar"/>
        </w:rPr>
        <w:t>UoB-SET-SOP-001 Project Setup</w:t>
      </w:r>
      <w:r>
        <w:t xml:space="preserve"> </w:t>
      </w:r>
      <w:bookmarkEnd w:id="14"/>
      <w:r w:rsidRPr="00C85DFD">
        <w:t>(cu</w:t>
      </w:r>
      <w:r w:rsidRPr="00ED0B0D">
        <w:t>rrently under development)</w:t>
      </w:r>
      <w:r>
        <w:t>.</w:t>
      </w:r>
    </w:p>
    <w:p w14:paraId="0E38B7CE" w14:textId="77777777" w:rsidR="00966396" w:rsidRPr="00951907" w:rsidDel="00DC46A1" w:rsidRDefault="00966396" w:rsidP="00966396">
      <w:pPr>
        <w:pStyle w:val="bullet2"/>
        <w:ind w:left="720" w:hanging="360"/>
      </w:pPr>
      <w:r w:rsidRPr="00951907">
        <w:t>Following their approval, proceed with submissions to the REC</w:t>
      </w:r>
      <w:r>
        <w:t xml:space="preserve"> and </w:t>
      </w:r>
      <w:r w:rsidRPr="00951907">
        <w:t>HRA to obtain a favourable ethical opinion</w:t>
      </w:r>
      <w:r>
        <w:t>.</w:t>
      </w:r>
    </w:p>
    <w:p w14:paraId="30F00ED0" w14:textId="5EBC67B9" w:rsidR="00966396" w:rsidRPr="006334E2" w:rsidDel="00DC46A1" w:rsidRDefault="00966396" w:rsidP="00966396">
      <w:pPr>
        <w:pStyle w:val="Numberlist"/>
        <w:numPr>
          <w:ilvl w:val="0"/>
          <w:numId w:val="7"/>
        </w:numPr>
      </w:pPr>
      <w:r w:rsidRPr="006334E2">
        <w:t xml:space="preserve">For external </w:t>
      </w:r>
      <w:r w:rsidR="005E1BDF">
        <w:t>s</w:t>
      </w:r>
      <w:r w:rsidR="005E1BDF" w:rsidRPr="006334E2">
        <w:t>ponsors</w:t>
      </w:r>
      <w:r>
        <w:t>, the CI (or delegate) will</w:t>
      </w:r>
      <w:r w:rsidRPr="006334E2">
        <w:t xml:space="preserve"> follow their local processes for obtaining </w:t>
      </w:r>
      <w:r w:rsidR="005E1BDF">
        <w:t>s</w:t>
      </w:r>
      <w:r w:rsidR="005E1BDF" w:rsidRPr="006334E2">
        <w:t>ponsorship</w:t>
      </w:r>
      <w:r w:rsidR="005E1BDF">
        <w:t xml:space="preserve"> </w:t>
      </w:r>
      <w:r>
        <w:t>and,</w:t>
      </w:r>
      <w:r w:rsidRPr="006334E2">
        <w:t xml:space="preserve"> </w:t>
      </w:r>
      <w:r>
        <w:t>f</w:t>
      </w:r>
      <w:r w:rsidRPr="006334E2">
        <w:t>ollowing their approval,</w:t>
      </w:r>
      <w:r>
        <w:t xml:space="preserve"> will</w:t>
      </w:r>
      <w:r w:rsidRPr="006334E2">
        <w:t xml:space="preserve"> proceed with submissions to the REC</w:t>
      </w:r>
      <w:r>
        <w:t xml:space="preserve"> and HRA.</w:t>
      </w:r>
    </w:p>
    <w:p w14:paraId="04750527" w14:textId="13C22194" w:rsidR="00966396" w:rsidRPr="00ED6F28" w:rsidRDefault="00966396" w:rsidP="00966396">
      <w:pPr>
        <w:pStyle w:val="Numberlist"/>
        <w:numPr>
          <w:ilvl w:val="0"/>
          <w:numId w:val="7"/>
        </w:numPr>
        <w:rPr>
          <w:sz w:val="16"/>
          <w:szCs w:val="16"/>
        </w:rPr>
      </w:pPr>
      <w:r>
        <w:t>T</w:t>
      </w:r>
      <w:r w:rsidRPr="00711A74">
        <w:t xml:space="preserve">he CI (or delegate) will submit to the MHRA any relevant documentation accordingly to obtain </w:t>
      </w:r>
      <w:r w:rsidR="005E1BDF">
        <w:t>c</w:t>
      </w:r>
      <w:r w:rsidR="005E1BDF" w:rsidRPr="00ED0B0D">
        <w:t xml:space="preserve">linical </w:t>
      </w:r>
      <w:r w:rsidR="005E1BDF">
        <w:t>t</w:t>
      </w:r>
      <w:r w:rsidR="005E1BDF" w:rsidRPr="00ED0B0D">
        <w:t xml:space="preserve">rial </w:t>
      </w:r>
      <w:r w:rsidR="005E1BDF">
        <w:t>a</w:t>
      </w:r>
      <w:r w:rsidR="005E1BDF" w:rsidRPr="00ED0B0D">
        <w:t xml:space="preserve">uthorisation </w:t>
      </w:r>
      <w:r>
        <w:t>(</w:t>
      </w:r>
      <w:r w:rsidRPr="00711A74">
        <w:t>CTA</w:t>
      </w:r>
      <w:r>
        <w:t>).</w:t>
      </w:r>
    </w:p>
    <w:p w14:paraId="18535681" w14:textId="19045B2A" w:rsidR="00966396" w:rsidRPr="00E03FA5" w:rsidRDefault="00966396" w:rsidP="00966396">
      <w:pPr>
        <w:pStyle w:val="bullet2"/>
        <w:ind w:left="720" w:hanging="360"/>
      </w:pPr>
      <w:r>
        <w:t xml:space="preserve">For CTIMPs, the </w:t>
      </w:r>
      <w:r w:rsidR="005E1BDF">
        <w:t>competent authority</w:t>
      </w:r>
      <w:r>
        <w:t xml:space="preserve">(s) for each country in which the research is being conducted is required to authorise the trial. In the UK, the </w:t>
      </w:r>
      <w:r w:rsidR="005E1BDF">
        <w:t xml:space="preserve">competent authority </w:t>
      </w:r>
      <w:r>
        <w:t>is the Medicines and Healthcare products Regulatory Agency (MHRA).</w:t>
      </w:r>
    </w:p>
    <w:p w14:paraId="502A4238" w14:textId="77777777" w:rsidR="00966396" w:rsidRPr="00E03FA5" w:rsidRDefault="00966396" w:rsidP="00966396">
      <w:pPr>
        <w:pStyle w:val="Numberlist"/>
        <w:numPr>
          <w:ilvl w:val="0"/>
          <w:numId w:val="7"/>
        </w:numPr>
        <w:rPr>
          <w:sz w:val="16"/>
          <w:szCs w:val="16"/>
        </w:rPr>
      </w:pPr>
      <w:r w:rsidRPr="006334E2">
        <w:t>Submissions of documents to the REC</w:t>
      </w:r>
      <w:r>
        <w:t xml:space="preserve"> and HRA</w:t>
      </w:r>
      <w:r w:rsidRPr="006334E2">
        <w:t xml:space="preserve"> </w:t>
      </w:r>
      <w:r>
        <w:t>(</w:t>
      </w:r>
      <w:r w:rsidRPr="006334E2">
        <w:t>and MHRA</w:t>
      </w:r>
      <w:r>
        <w:t xml:space="preserve"> for CTIMPs)</w:t>
      </w:r>
      <w:r w:rsidRPr="006334E2">
        <w:t xml:space="preserve"> are made via</w:t>
      </w:r>
      <w:r>
        <w:t xml:space="preserve"> the </w:t>
      </w:r>
      <w:r w:rsidRPr="00ED0B0D">
        <w:t>Integrated Research Application System</w:t>
      </w:r>
      <w:r w:rsidRPr="006334E2">
        <w:t xml:space="preserve"> </w:t>
      </w:r>
      <w:r>
        <w:t>(</w:t>
      </w:r>
      <w:r w:rsidRPr="006334E2">
        <w:t>IRAS</w:t>
      </w:r>
      <w:r>
        <w:t xml:space="preserve">). </w:t>
      </w:r>
      <w:r w:rsidRPr="006334E2">
        <w:t xml:space="preserve">The </w:t>
      </w:r>
      <w:r>
        <w:t xml:space="preserve">CI (or delegate) will complete and submit </w:t>
      </w:r>
      <w:r w:rsidRPr="006334E2">
        <w:t xml:space="preserve">the </w:t>
      </w:r>
      <w:r>
        <w:t>required</w:t>
      </w:r>
      <w:r w:rsidRPr="006334E2">
        <w:t xml:space="preserve"> documents and forms </w:t>
      </w:r>
      <w:r>
        <w:t xml:space="preserve">listed on IRAS. </w:t>
      </w:r>
      <w:r w:rsidRPr="006334E2">
        <w:t xml:space="preserve"> </w:t>
      </w:r>
    </w:p>
    <w:p w14:paraId="26B5EB5F" w14:textId="77777777" w:rsidR="00AE59D5" w:rsidRPr="00396068" w:rsidRDefault="00966396" w:rsidP="00966396">
      <w:pPr>
        <w:pStyle w:val="bullet2"/>
        <w:ind w:left="720" w:hanging="360"/>
        <w:rPr>
          <w:sz w:val="16"/>
          <w:szCs w:val="16"/>
        </w:rPr>
      </w:pPr>
      <w:r>
        <w:t xml:space="preserve">Ensure </w:t>
      </w:r>
      <w:r w:rsidRPr="006334E2">
        <w:t xml:space="preserve">the correct forms are completed </w:t>
      </w:r>
      <w:r>
        <w:t>and</w:t>
      </w:r>
      <w:r w:rsidRPr="006334E2">
        <w:t xml:space="preserve"> submitted</w:t>
      </w:r>
      <w:r>
        <w:t xml:space="preserve"> to avoid </w:t>
      </w:r>
      <w:r w:rsidRPr="006334E2">
        <w:t>delays in the processing of the application</w:t>
      </w:r>
      <w:r>
        <w:t>.</w:t>
      </w:r>
    </w:p>
    <w:p w14:paraId="003B3065" w14:textId="45CB28D5" w:rsidR="00966396" w:rsidRPr="006334E2" w:rsidRDefault="00AE59D5" w:rsidP="00396068">
      <w:pPr>
        <w:pStyle w:val="Numberlist"/>
        <w:rPr>
          <w:rStyle w:val="CommentReference"/>
        </w:rPr>
      </w:pPr>
      <w:r>
        <w:t>For CTIMP</w:t>
      </w:r>
      <w:r w:rsidR="00D55242">
        <w:t>s</w:t>
      </w:r>
      <w:r>
        <w:t>, the CI (or delegate) will</w:t>
      </w:r>
      <w:r w:rsidR="00D55242">
        <w:t xml:space="preserve"> submit any new applications via the </w:t>
      </w:r>
      <w:hyperlink r:id="rId21" w:tooltip="Link to HRA webpage about Combined review" w:history="1">
        <w:r w:rsidR="00D55242" w:rsidRPr="00D55242">
          <w:rPr>
            <w:rStyle w:val="Hyperlink"/>
          </w:rPr>
          <w:t>combined review process</w:t>
        </w:r>
      </w:hyperlink>
      <w:r w:rsidR="00D55242">
        <w:t>, formerly known as Combined Ways of Working (</w:t>
      </w:r>
      <w:proofErr w:type="spellStart"/>
      <w:r w:rsidR="00D55242">
        <w:t>CWoW</w:t>
      </w:r>
      <w:proofErr w:type="spellEnd"/>
      <w:r w:rsidR="00D55242">
        <w:t>)</w:t>
      </w:r>
      <w:r w:rsidR="000B6B94">
        <w:t xml:space="preserve">, see also </w:t>
      </w:r>
      <w:r w:rsidR="009411F8" w:rsidRPr="00396068">
        <w:rPr>
          <w:rStyle w:val="ReferencestootherSOPsQCDsChar"/>
        </w:rPr>
        <w:t>UoB-SET-SOP-001 Project Setup</w:t>
      </w:r>
      <w:r w:rsidR="009411F8">
        <w:t xml:space="preserve"> (currently under development)</w:t>
      </w:r>
      <w:r w:rsidR="00D55242">
        <w:t xml:space="preserve">. </w:t>
      </w:r>
    </w:p>
    <w:p w14:paraId="79BC4231" w14:textId="77777777" w:rsidR="00966396" w:rsidRPr="003B7A8B" w:rsidRDefault="00966396" w:rsidP="00396068">
      <w:pPr>
        <w:pStyle w:val="heading2numbered"/>
      </w:pPr>
      <w:r w:rsidRPr="003B7A8B">
        <w:t>Approval documentation</w:t>
      </w:r>
    </w:p>
    <w:p w14:paraId="46445826" w14:textId="77777777" w:rsidR="00966396" w:rsidRPr="006334E2" w:rsidRDefault="00966396" w:rsidP="00966396">
      <w:pPr>
        <w:pStyle w:val="Numberlist"/>
        <w:numPr>
          <w:ilvl w:val="0"/>
          <w:numId w:val="7"/>
        </w:numPr>
      </w:pPr>
      <w:r w:rsidRPr="006334E2">
        <w:t xml:space="preserve">Upon receipt of correspondence from the </w:t>
      </w:r>
      <w:r>
        <w:t xml:space="preserve">REC and HRA (and </w:t>
      </w:r>
      <w:r w:rsidRPr="006334E2">
        <w:t>MHRA</w:t>
      </w:r>
      <w:r>
        <w:t xml:space="preserve"> for CTIMPs)</w:t>
      </w:r>
      <w:r w:rsidRPr="006334E2">
        <w:t xml:space="preserve">, </w:t>
      </w:r>
      <w:r>
        <w:t xml:space="preserve">the CI (or delegate) will </w:t>
      </w:r>
      <w:r w:rsidRPr="006334E2">
        <w:t xml:space="preserve">review the letters to ensure they refer to the correct </w:t>
      </w:r>
      <w:r>
        <w:t xml:space="preserve">research project </w:t>
      </w:r>
      <w:r w:rsidRPr="006334E2">
        <w:t>and documentation sent for approval and that any further requests or provisos are appropriately dealt with</w:t>
      </w:r>
      <w:r>
        <w:t>.</w:t>
      </w:r>
    </w:p>
    <w:p w14:paraId="46F685E4" w14:textId="6F6CF630" w:rsidR="00966396" w:rsidRPr="006334E2" w:rsidRDefault="00966396" w:rsidP="00966396">
      <w:pPr>
        <w:pStyle w:val="Numberlist"/>
        <w:numPr>
          <w:ilvl w:val="0"/>
          <w:numId w:val="7"/>
        </w:numPr>
      </w:pPr>
      <w:r>
        <w:t>The CI (or delegate) will e</w:t>
      </w:r>
      <w:r w:rsidRPr="006334E2">
        <w:t xml:space="preserve">nsure a clear audit trail of the documents submitted to the approval bodies (the submission package) </w:t>
      </w:r>
      <w:r>
        <w:t xml:space="preserve">and approval letters </w:t>
      </w:r>
      <w:r w:rsidRPr="006334E2">
        <w:t xml:space="preserve">is maintained in the </w:t>
      </w:r>
      <w:r>
        <w:t>S/</w:t>
      </w:r>
      <w:r w:rsidRPr="006334E2">
        <w:t xml:space="preserve">TMF, with a copy of the relevant documentation in the </w:t>
      </w:r>
      <w:r w:rsidR="005E1BDF">
        <w:t>investigator s</w:t>
      </w:r>
      <w:r w:rsidR="005E1BDF" w:rsidRPr="006334E2">
        <w:t xml:space="preserve">ite </w:t>
      </w:r>
      <w:r w:rsidR="005E1BDF">
        <w:t>f</w:t>
      </w:r>
      <w:r w:rsidR="005E1BDF" w:rsidRPr="006334E2">
        <w:t>ile</w:t>
      </w:r>
      <w:r w:rsidR="005E1BDF">
        <w:t xml:space="preserve"> </w:t>
      </w:r>
      <w:r w:rsidRPr="006334E2">
        <w:t>(</w:t>
      </w:r>
      <w:r>
        <w:t>ISF</w:t>
      </w:r>
      <w:r w:rsidRPr="006334E2">
        <w:t>)</w:t>
      </w:r>
      <w:r>
        <w:t>.</w:t>
      </w:r>
    </w:p>
    <w:p w14:paraId="7A7B5EBB" w14:textId="77777777" w:rsidR="00966396" w:rsidRPr="006334E2" w:rsidRDefault="00966396" w:rsidP="00966396">
      <w:pPr>
        <w:pStyle w:val="Numberlist"/>
        <w:numPr>
          <w:ilvl w:val="0"/>
          <w:numId w:val="7"/>
        </w:numPr>
      </w:pPr>
      <w:r>
        <w:t>The CI (or delegate) will review and authorise necessary Essential Documents and any amendments obtained from the REC, HRA and relevant regulators prior to research project initiation.</w:t>
      </w:r>
    </w:p>
    <w:p w14:paraId="69EE2324" w14:textId="77777777" w:rsidR="00966396" w:rsidRPr="003B7A8B" w:rsidRDefault="00966396" w:rsidP="00396068">
      <w:pPr>
        <w:pStyle w:val="heading2numbered"/>
      </w:pPr>
      <w:r w:rsidRPr="003B7A8B">
        <w:t>Implementation</w:t>
      </w:r>
      <w:r>
        <w:tab/>
      </w:r>
    </w:p>
    <w:p w14:paraId="6FC71BFA" w14:textId="77777777" w:rsidR="00966396" w:rsidRDefault="00966396" w:rsidP="00966396">
      <w:pPr>
        <w:pStyle w:val="Numberlist"/>
        <w:numPr>
          <w:ilvl w:val="0"/>
          <w:numId w:val="7"/>
        </w:numPr>
      </w:pPr>
      <w:r>
        <w:t>The CI (or delegate) will d</w:t>
      </w:r>
      <w:r w:rsidRPr="006334E2">
        <w:t>istribute the approved documentation to the site PI(s)</w:t>
      </w:r>
      <w:r>
        <w:t>.</w:t>
      </w:r>
    </w:p>
    <w:p w14:paraId="44894858" w14:textId="77777777" w:rsidR="00966396" w:rsidRDefault="00966396" w:rsidP="00966396">
      <w:pPr>
        <w:pStyle w:val="bullet2"/>
        <w:ind w:left="720" w:hanging="360"/>
      </w:pPr>
      <w:r>
        <w:lastRenderedPageBreak/>
        <w:t xml:space="preserve">Where a version control log is used (see </w:t>
      </w:r>
      <w:bookmarkStart w:id="15" w:name="_Hlk97623482"/>
      <w:r w:rsidRPr="00310E26">
        <w:rPr>
          <w:rStyle w:val="ReferencestootherSOPsQCDsChar"/>
          <w:rFonts w:eastAsiaTheme="minorHAnsi"/>
        </w:rPr>
        <w:t>UoB-CLN-ESD-QCD-006 Version Control Log</w:t>
      </w:r>
      <w:r>
        <w:t xml:space="preserve"> </w:t>
      </w:r>
      <w:bookmarkEnd w:id="15"/>
      <w:r>
        <w:t>for a template), ensure this is kept up to date when documents are designed or amended during project set-up, conduct and following project closure.</w:t>
      </w:r>
    </w:p>
    <w:p w14:paraId="61A941FE" w14:textId="34F13C3B" w:rsidR="00966396" w:rsidRPr="006334E2" w:rsidRDefault="00966396" w:rsidP="00966396">
      <w:pPr>
        <w:pStyle w:val="Numberlist"/>
        <w:numPr>
          <w:ilvl w:val="0"/>
          <w:numId w:val="7"/>
        </w:numPr>
      </w:pPr>
      <w:r>
        <w:t xml:space="preserve">For CTIMPs, the CI (or delegate) will distribute the latest version of the protocol to the </w:t>
      </w:r>
      <w:r w:rsidR="00826C1C">
        <w:t xml:space="preserve">laboratory academic lead </w:t>
      </w:r>
      <w:r>
        <w:t xml:space="preserve">(LAL) of any laboratories storing or analysing trial samples. See also </w:t>
      </w:r>
      <w:bookmarkStart w:id="16" w:name="_Hlk97623491"/>
      <w:r w:rsidRPr="006A4D33">
        <w:rPr>
          <w:rStyle w:val="ReferencestootherSOPsQCDsChar"/>
        </w:rPr>
        <w:t xml:space="preserve">UoB-CRL-SOP-001 Laboratory Set-Up </w:t>
      </w:r>
      <w:r w:rsidRPr="00310E26">
        <w:rPr>
          <w:rStyle w:val="ReferencestootherSOPsQCDsChar"/>
          <w:rFonts w:eastAsiaTheme="minorHAnsi"/>
        </w:rPr>
        <w:t>and Management</w:t>
      </w:r>
      <w:bookmarkEnd w:id="16"/>
      <w:r w:rsidRPr="00BF7A54">
        <w:t>.</w:t>
      </w:r>
      <w:r>
        <w:rPr>
          <w:rStyle w:val="ReferencestootherSOPsQCDsChar"/>
        </w:rPr>
        <w:t xml:space="preserve"> </w:t>
      </w:r>
    </w:p>
    <w:p w14:paraId="355587F0" w14:textId="77777777" w:rsidR="00966396" w:rsidRDefault="00966396" w:rsidP="00966396">
      <w:pPr>
        <w:pStyle w:val="Numberlist"/>
        <w:numPr>
          <w:ilvl w:val="0"/>
          <w:numId w:val="7"/>
        </w:numPr>
      </w:pPr>
      <w:r>
        <w:t>The CI (or delegate) will o</w:t>
      </w:r>
      <w:r w:rsidRPr="006334E2">
        <w:t>btain evidence that the site PI</w:t>
      </w:r>
      <w:r>
        <w:t>(</w:t>
      </w:r>
      <w:r w:rsidRPr="006334E2">
        <w:t>s</w:t>
      </w:r>
      <w:r>
        <w:t>)</w:t>
      </w:r>
      <w:r w:rsidRPr="006334E2">
        <w:t xml:space="preserve"> agree</w:t>
      </w:r>
      <w:r>
        <w:t>(s)</w:t>
      </w:r>
      <w:r w:rsidRPr="006334E2">
        <w:t xml:space="preserve"> to work </w:t>
      </w:r>
      <w:r>
        <w:t>to</w:t>
      </w:r>
      <w:r w:rsidRPr="006334E2">
        <w:t xml:space="preserve"> latest approved version of the </w:t>
      </w:r>
      <w:r>
        <w:t xml:space="preserve">research project </w:t>
      </w:r>
      <w:r w:rsidRPr="006334E2">
        <w:t>protocol (either via signing the protocol signature page or via a confirmation of receipt document with a statement to that extent)</w:t>
      </w:r>
      <w:r>
        <w:t>, and the PI (or delegate) will ensure all relevant site staff are notified about the approved documentation.</w:t>
      </w:r>
    </w:p>
    <w:p w14:paraId="2D4CD3C9" w14:textId="17E48443" w:rsidR="00966396" w:rsidRPr="006334E2" w:rsidRDefault="00966396" w:rsidP="00966396">
      <w:pPr>
        <w:pStyle w:val="Numberlist"/>
        <w:numPr>
          <w:ilvl w:val="0"/>
          <w:numId w:val="7"/>
        </w:numPr>
      </w:pPr>
      <w:r>
        <w:t xml:space="preserve">The CI (or delegate) will ensure site staff are appropriately trained in the protocol and other essential documents prior to site initiation and they are appropriately trained on any changes to the research project following the implementation of amended </w:t>
      </w:r>
      <w:r w:rsidR="00826C1C">
        <w:t>essential documents</w:t>
      </w:r>
      <w:r>
        <w:t xml:space="preserve">. See also </w:t>
      </w:r>
      <w:bookmarkStart w:id="17" w:name="_Hlk97623501"/>
      <w:r w:rsidRPr="00835A41">
        <w:rPr>
          <w:rStyle w:val="ReferencestootherSOPsQCDsChar"/>
        </w:rPr>
        <w:t>UoB-SMA-SOP-001 Investigator Site Management</w:t>
      </w:r>
      <w:r>
        <w:t xml:space="preserve"> </w:t>
      </w:r>
      <w:bookmarkEnd w:id="17"/>
      <w:r>
        <w:t>(current under development) for details on the site initiation process.</w:t>
      </w:r>
    </w:p>
    <w:p w14:paraId="77659870" w14:textId="46DAEAE8" w:rsidR="00966396" w:rsidRPr="006334E2" w:rsidRDefault="00966396" w:rsidP="00966396">
      <w:pPr>
        <w:pStyle w:val="Numberlist"/>
        <w:numPr>
          <w:ilvl w:val="0"/>
          <w:numId w:val="7"/>
        </w:numPr>
      </w:pPr>
      <w:r>
        <w:t>The CI (or delegate) will e</w:t>
      </w:r>
      <w:r w:rsidRPr="006334E2">
        <w:t>nsure copies</w:t>
      </w:r>
      <w:r>
        <w:t xml:space="preserve"> of the </w:t>
      </w:r>
      <w:r w:rsidR="00826C1C">
        <w:t xml:space="preserve">essential documents </w:t>
      </w:r>
      <w:r w:rsidRPr="006334E2">
        <w:t xml:space="preserve">are added to the </w:t>
      </w:r>
      <w:r>
        <w:t>I</w:t>
      </w:r>
      <w:r w:rsidRPr="006334E2">
        <w:t xml:space="preserve">SF, and any previous versions are marked in the </w:t>
      </w:r>
      <w:r>
        <w:t>I</w:t>
      </w:r>
      <w:r w:rsidRPr="006334E2">
        <w:t xml:space="preserve">SF as </w:t>
      </w:r>
      <w:r>
        <w:t>superseded.</w:t>
      </w:r>
    </w:p>
    <w:p w14:paraId="0F95F966" w14:textId="64F6C59A" w:rsidR="00966396" w:rsidRPr="006334E2" w:rsidRDefault="00966396" w:rsidP="00966396">
      <w:pPr>
        <w:pStyle w:val="Numberlist"/>
        <w:numPr>
          <w:ilvl w:val="0"/>
          <w:numId w:val="7"/>
        </w:numPr>
      </w:pPr>
      <w:r>
        <w:t>The CI (or delegate) will i</w:t>
      </w:r>
      <w:r w:rsidRPr="006334E2">
        <w:t xml:space="preserve">nstruct the site to remove any previous versions of the </w:t>
      </w:r>
      <w:r w:rsidR="00826C1C">
        <w:t>e</w:t>
      </w:r>
      <w:r w:rsidR="00826C1C" w:rsidRPr="006334E2">
        <w:t xml:space="preserve">ssential </w:t>
      </w:r>
      <w:r w:rsidR="00826C1C">
        <w:t>d</w:t>
      </w:r>
      <w:r w:rsidR="00826C1C" w:rsidRPr="006334E2">
        <w:t xml:space="preserve">ocuments </w:t>
      </w:r>
      <w:r w:rsidRPr="006334E2">
        <w:t>in any working files</w:t>
      </w:r>
      <w:r>
        <w:t>.</w:t>
      </w:r>
    </w:p>
    <w:p w14:paraId="078D8983" w14:textId="74EF6A57" w:rsidR="00966396" w:rsidRDefault="00966396" w:rsidP="00966396">
      <w:pPr>
        <w:pStyle w:val="Numberlist"/>
        <w:numPr>
          <w:ilvl w:val="0"/>
          <w:numId w:val="7"/>
        </w:numPr>
      </w:pPr>
      <w:r w:rsidRPr="006334E2">
        <w:t xml:space="preserve">Where required, </w:t>
      </w:r>
      <w:r>
        <w:t xml:space="preserve">the CI (or delegate) will </w:t>
      </w:r>
      <w:r w:rsidRPr="006334E2">
        <w:t>forward approved versions to third parties, e.g. IMP manufacturers.</w:t>
      </w:r>
    </w:p>
    <w:p w14:paraId="1FCF8794" w14:textId="7AA7B048" w:rsidR="00396068" w:rsidRPr="006334E2" w:rsidRDefault="00396068" w:rsidP="00966396">
      <w:pPr>
        <w:pStyle w:val="Numberlist"/>
        <w:numPr>
          <w:ilvl w:val="0"/>
          <w:numId w:val="7"/>
        </w:numPr>
      </w:pPr>
      <w:r>
        <w:t xml:space="preserve">The CI (or delegate) will complete any amendments in accordance with </w:t>
      </w:r>
      <w:r w:rsidRPr="006721CA">
        <w:rPr>
          <w:rStyle w:val="ReferencestootherSOPsQCDsChar"/>
        </w:rPr>
        <w:t>UoB-SET-SOP-001 Project Setup</w:t>
      </w:r>
      <w:r>
        <w:t>.</w:t>
      </w:r>
    </w:p>
    <w:p w14:paraId="26EE33FF" w14:textId="367564A5" w:rsidR="00966396" w:rsidRPr="006334E2" w:rsidRDefault="00966396" w:rsidP="00396068">
      <w:pPr>
        <w:pStyle w:val="heading2numbered"/>
      </w:pPr>
      <w:r w:rsidRPr="006334E2">
        <w:t xml:space="preserve">Filing and archiving of </w:t>
      </w:r>
      <w:r w:rsidR="00826C1C">
        <w:t>e</w:t>
      </w:r>
      <w:r w:rsidR="00826C1C" w:rsidRPr="006334E2">
        <w:t xml:space="preserve">ssential </w:t>
      </w:r>
      <w:r w:rsidR="00826C1C">
        <w:t>d</w:t>
      </w:r>
      <w:r w:rsidR="00826C1C" w:rsidRPr="006334E2">
        <w:t>ocuments</w:t>
      </w:r>
    </w:p>
    <w:p w14:paraId="1B4D76E2" w14:textId="77777777" w:rsidR="00966396" w:rsidRPr="006334E2" w:rsidRDefault="00966396" w:rsidP="00966396">
      <w:pPr>
        <w:pStyle w:val="Numberlist"/>
        <w:numPr>
          <w:ilvl w:val="0"/>
          <w:numId w:val="7"/>
        </w:numPr>
      </w:pPr>
      <w:r>
        <w:t>The CI (or delegate) will ensure that a</w:t>
      </w:r>
      <w:r w:rsidRPr="006334E2">
        <w:t xml:space="preserve">ll records created by </w:t>
      </w:r>
      <w:r>
        <w:t>clinical research</w:t>
      </w:r>
      <w:r w:rsidRPr="006334E2">
        <w:t xml:space="preserve"> procedures and all documents listed in guidance relating to the conduct of the </w:t>
      </w:r>
      <w:r>
        <w:t>research project</w:t>
      </w:r>
      <w:r w:rsidRPr="006334E2">
        <w:t xml:space="preserve"> </w:t>
      </w:r>
      <w:r>
        <w:t xml:space="preserve">are </w:t>
      </w:r>
      <w:r w:rsidRPr="006334E2">
        <w:t xml:space="preserve">filed in </w:t>
      </w:r>
      <w:r>
        <w:t>the</w:t>
      </w:r>
      <w:r w:rsidRPr="006334E2">
        <w:t xml:space="preserve"> </w:t>
      </w:r>
      <w:r>
        <w:t>S/</w:t>
      </w:r>
      <w:r w:rsidRPr="006334E2">
        <w:t xml:space="preserve">TMF which is </w:t>
      </w:r>
      <w:r w:rsidRPr="006334E2">
        <w:rPr>
          <w:lang w:val="en-US"/>
        </w:rPr>
        <w:t>held by the Sponsor</w:t>
      </w:r>
      <w:r>
        <w:rPr>
          <w:lang w:val="en-US"/>
        </w:rPr>
        <w:t xml:space="preserve"> </w:t>
      </w:r>
      <w:r w:rsidRPr="006334E2">
        <w:t xml:space="preserve">and archived for the specified period.    </w:t>
      </w:r>
    </w:p>
    <w:p w14:paraId="05D68D41" w14:textId="50A2E8D4" w:rsidR="00966396" w:rsidRPr="006334E2" w:rsidRDefault="00966396" w:rsidP="00966396">
      <w:pPr>
        <w:pStyle w:val="Numberlist"/>
        <w:numPr>
          <w:ilvl w:val="0"/>
          <w:numId w:val="7"/>
        </w:numPr>
      </w:pPr>
      <w:r w:rsidRPr="006334E2">
        <w:rPr>
          <w:lang w:val="en-US"/>
        </w:rPr>
        <w:t xml:space="preserve">Where the </w:t>
      </w:r>
      <w:proofErr w:type="spellStart"/>
      <w:r w:rsidRPr="006334E2">
        <w:rPr>
          <w:lang w:val="en-US"/>
        </w:rPr>
        <w:t>UoB</w:t>
      </w:r>
      <w:proofErr w:type="spellEnd"/>
      <w:r w:rsidRPr="006334E2">
        <w:rPr>
          <w:lang w:val="en-US"/>
        </w:rPr>
        <w:t xml:space="preserve"> takes on </w:t>
      </w:r>
      <w:r w:rsidR="006F532B">
        <w:rPr>
          <w:lang w:val="en-US"/>
        </w:rPr>
        <w:t xml:space="preserve">the </w:t>
      </w:r>
      <w:r w:rsidR="00826C1C">
        <w:rPr>
          <w:lang w:val="en-US"/>
        </w:rPr>
        <w:t>s</w:t>
      </w:r>
      <w:r w:rsidR="00826C1C" w:rsidRPr="006334E2">
        <w:rPr>
          <w:lang w:val="en-US"/>
        </w:rPr>
        <w:t>ponsor</w:t>
      </w:r>
      <w:r w:rsidR="006F532B">
        <w:rPr>
          <w:lang w:val="en-US"/>
        </w:rPr>
        <w:t>’s</w:t>
      </w:r>
      <w:r w:rsidR="00826C1C" w:rsidRPr="006334E2">
        <w:rPr>
          <w:lang w:val="en-US"/>
        </w:rPr>
        <w:t xml:space="preserve"> </w:t>
      </w:r>
      <w:r w:rsidRPr="006334E2">
        <w:rPr>
          <w:lang w:val="en-US"/>
        </w:rPr>
        <w:t xml:space="preserve">responsibility for </w:t>
      </w:r>
      <w:r>
        <w:rPr>
          <w:lang w:val="en-US"/>
        </w:rPr>
        <w:t>S/</w:t>
      </w:r>
      <w:r w:rsidRPr="006334E2">
        <w:rPr>
          <w:lang w:val="en-US"/>
        </w:rPr>
        <w:t>TMF maintenance and archiving</w:t>
      </w:r>
      <w:r>
        <w:rPr>
          <w:lang w:val="en-US"/>
        </w:rPr>
        <w:t xml:space="preserve"> and for clinical research approved by </w:t>
      </w:r>
      <w:r w:rsidR="00826C1C">
        <w:rPr>
          <w:lang w:val="en-US"/>
        </w:rPr>
        <w:t xml:space="preserve">a </w:t>
      </w:r>
      <w:proofErr w:type="spellStart"/>
      <w:r>
        <w:rPr>
          <w:lang w:val="en-US"/>
        </w:rPr>
        <w:t>UoB</w:t>
      </w:r>
      <w:proofErr w:type="spellEnd"/>
      <w:r>
        <w:rPr>
          <w:lang w:val="en-US"/>
        </w:rPr>
        <w:t xml:space="preserve"> REC</w:t>
      </w:r>
      <w:r w:rsidRPr="006334E2">
        <w:rPr>
          <w:lang w:val="en-US"/>
        </w:rPr>
        <w:t xml:space="preserve">, </w:t>
      </w:r>
      <w:r>
        <w:rPr>
          <w:lang w:val="en-US"/>
        </w:rPr>
        <w:t xml:space="preserve">the CI is </w:t>
      </w:r>
      <w:r w:rsidRPr="006334E2">
        <w:rPr>
          <w:lang w:val="en-US"/>
        </w:rPr>
        <w:t>delegated t</w:t>
      </w:r>
      <w:r>
        <w:rPr>
          <w:lang w:val="en-US"/>
        </w:rPr>
        <w:t>his duty. The CI (or delegate) will ensure that:</w:t>
      </w:r>
    </w:p>
    <w:p w14:paraId="12F59F3A" w14:textId="14CAF385" w:rsidR="00966396" w:rsidRPr="006334E2" w:rsidRDefault="00966396" w:rsidP="00966396">
      <w:pPr>
        <w:pStyle w:val="bullet2"/>
        <w:ind w:left="720" w:hanging="360"/>
      </w:pPr>
      <w:r w:rsidRPr="006334E2">
        <w:t>Where documents are stored or archived elsewhere (e.g. laboratory analysis forms)</w:t>
      </w:r>
      <w:r>
        <w:t xml:space="preserve">, ensure </w:t>
      </w:r>
      <w:r w:rsidRPr="006334E2">
        <w:t xml:space="preserve">reference </w:t>
      </w:r>
      <w:r>
        <w:t>is</w:t>
      </w:r>
      <w:r w:rsidRPr="006334E2">
        <w:t xml:space="preserve"> made in the </w:t>
      </w:r>
      <w:r>
        <w:t>S/</w:t>
      </w:r>
      <w:r w:rsidRPr="006334E2">
        <w:t>TMF describing the location of these documents</w:t>
      </w:r>
      <w:r>
        <w:t>.</w:t>
      </w:r>
    </w:p>
    <w:p w14:paraId="73EA38C7" w14:textId="77777777" w:rsidR="00966396" w:rsidRPr="006334E2" w:rsidRDefault="00966396" w:rsidP="00966396">
      <w:pPr>
        <w:pStyle w:val="bullet2"/>
        <w:ind w:left="720" w:hanging="360"/>
      </w:pPr>
      <w:r w:rsidRPr="006334E2">
        <w:t xml:space="preserve">Where laboratory analysis forms part of the end point analysis the related analytical data and supporting records must be filed in the </w:t>
      </w:r>
      <w:r>
        <w:t>S/</w:t>
      </w:r>
      <w:r w:rsidRPr="006334E2">
        <w:t>TMF</w:t>
      </w:r>
      <w:r>
        <w:t>, or a reference is made in the S/TMF describing the location of these documents (as stated above).</w:t>
      </w:r>
    </w:p>
    <w:p w14:paraId="7B9119C8" w14:textId="77777777" w:rsidR="00966396" w:rsidRPr="006334E2" w:rsidRDefault="00966396" w:rsidP="00966396">
      <w:pPr>
        <w:pStyle w:val="bullet2"/>
        <w:ind w:left="720" w:hanging="360"/>
      </w:pPr>
      <w:r>
        <w:t>K</w:t>
      </w:r>
      <w:r w:rsidRPr="006334E2">
        <w:t>ey emails, including decision processes</w:t>
      </w:r>
      <w:r>
        <w:t xml:space="preserve"> are filed </w:t>
      </w:r>
      <w:r w:rsidRPr="006334E2">
        <w:t xml:space="preserve">in the </w:t>
      </w:r>
      <w:r>
        <w:t>S/</w:t>
      </w:r>
      <w:r w:rsidRPr="006334E2">
        <w:t>TMF to ensure documents can be accessed</w:t>
      </w:r>
      <w:r>
        <w:t>.</w:t>
      </w:r>
      <w:r w:rsidRPr="006334E2">
        <w:t xml:space="preserve"> </w:t>
      </w:r>
    </w:p>
    <w:p w14:paraId="089718A7" w14:textId="77777777" w:rsidR="00966396" w:rsidRDefault="00966396" w:rsidP="00966396">
      <w:pPr>
        <w:pStyle w:val="bullet2"/>
        <w:ind w:left="720" w:hanging="360"/>
      </w:pPr>
      <w:r>
        <w:t>E</w:t>
      </w:r>
      <w:r w:rsidRPr="00E03FA5">
        <w:t>ach site maintains a</w:t>
      </w:r>
      <w:r>
        <w:t>n</w:t>
      </w:r>
      <w:r w:rsidRPr="00E03FA5">
        <w:t xml:space="preserve"> </w:t>
      </w:r>
      <w:r>
        <w:t>I</w:t>
      </w:r>
      <w:r w:rsidRPr="00E03FA5">
        <w:t xml:space="preserve">SF, separate to the </w:t>
      </w:r>
      <w:r>
        <w:t>S/</w:t>
      </w:r>
      <w:r w:rsidRPr="00E03FA5">
        <w:t xml:space="preserve">TMF as this will contain patient identifiable information such as the participant identification log, which should not be held in the </w:t>
      </w:r>
      <w:r>
        <w:t>S/</w:t>
      </w:r>
      <w:r w:rsidRPr="00E03FA5">
        <w:t>TMF</w:t>
      </w:r>
      <w:r>
        <w:t>.</w:t>
      </w:r>
    </w:p>
    <w:p w14:paraId="2799700C" w14:textId="77777777" w:rsidR="00966396" w:rsidRPr="00547893" w:rsidRDefault="00966396" w:rsidP="00966396">
      <w:pPr>
        <w:pStyle w:val="bullet2"/>
        <w:ind w:left="720" w:hanging="360"/>
      </w:pPr>
      <w:r>
        <w:t xml:space="preserve">For CTIMPs, as a minimum, all relevant documents as listed in </w:t>
      </w:r>
      <w:r w:rsidRPr="00F657D2">
        <w:t xml:space="preserve"> </w:t>
      </w:r>
      <w:hyperlink r:id="rId22" w:tooltip="Link to the ICH Guidelines for GCP E6(R2)" w:history="1">
        <w:r>
          <w:rPr>
            <w:rStyle w:val="Hyperlink"/>
          </w:rPr>
          <w:t>Section 8 of the ICH</w:t>
        </w:r>
        <w:r w:rsidRPr="00B712BE">
          <w:rPr>
            <w:rStyle w:val="Hyperlink"/>
          </w:rPr>
          <w:t xml:space="preserve"> Guideline</w:t>
        </w:r>
        <w:r>
          <w:rPr>
            <w:rStyle w:val="Hyperlink"/>
          </w:rPr>
          <w:t>s</w:t>
        </w:r>
        <w:r w:rsidRPr="00B712BE">
          <w:rPr>
            <w:rStyle w:val="Hyperlink"/>
          </w:rPr>
          <w:t xml:space="preserve"> for </w:t>
        </w:r>
        <w:r>
          <w:rPr>
            <w:rStyle w:val="Hyperlink"/>
          </w:rPr>
          <w:t xml:space="preserve">GCP </w:t>
        </w:r>
        <w:r w:rsidRPr="00B712BE">
          <w:rPr>
            <w:rStyle w:val="Hyperlink"/>
          </w:rPr>
          <w:t>E6</w:t>
        </w:r>
        <w:r>
          <w:rPr>
            <w:rStyle w:val="Hyperlink"/>
          </w:rPr>
          <w:t>(R2) (PDF – 693 KB</w:t>
        </w:r>
        <w:r w:rsidRPr="00B712BE">
          <w:rPr>
            <w:rStyle w:val="Hyperlink"/>
          </w:rPr>
          <w:t>)</w:t>
        </w:r>
      </w:hyperlink>
      <w:r>
        <w:t xml:space="preserve"> are filed in the TMF. See also </w:t>
      </w:r>
      <w:bookmarkStart w:id="18" w:name="_Hlk97623516"/>
      <w:r w:rsidRPr="00E03FA5">
        <w:rPr>
          <w:rStyle w:val="ReferencestootherSOPsQCDsChar"/>
        </w:rPr>
        <w:t>UoB-CLN-ESD-QCD-001 Essential Documents Checklist</w:t>
      </w:r>
      <w:bookmarkEnd w:id="18"/>
      <w:r w:rsidRPr="00E03FA5">
        <w:rPr>
          <w:rStyle w:val="ReferencestootherSOPsQCDsChar"/>
        </w:rPr>
        <w:t xml:space="preserve"> </w:t>
      </w:r>
      <w:r>
        <w:t>f</w:t>
      </w:r>
      <w:r w:rsidRPr="00547893">
        <w:t xml:space="preserve">or guidance of what should be held in the TMF and </w:t>
      </w:r>
      <w:r>
        <w:t>I</w:t>
      </w:r>
      <w:r w:rsidRPr="00547893">
        <w:t>SF</w:t>
      </w:r>
      <w:r>
        <w:t>.</w:t>
      </w:r>
      <w:r w:rsidRPr="00547893">
        <w:t xml:space="preserve"> </w:t>
      </w:r>
    </w:p>
    <w:p w14:paraId="446C4ABC" w14:textId="77777777" w:rsidR="00966396" w:rsidRPr="006334E2" w:rsidRDefault="00966396" w:rsidP="00966396">
      <w:pPr>
        <w:pStyle w:val="Numberlist"/>
        <w:numPr>
          <w:ilvl w:val="0"/>
          <w:numId w:val="7"/>
        </w:numPr>
      </w:pPr>
      <w:r w:rsidRPr="006334E2">
        <w:t xml:space="preserve">When preparing for archiving, </w:t>
      </w:r>
      <w:r>
        <w:t xml:space="preserve">the CI (or delegate) will follow the procedures detailed </w:t>
      </w:r>
      <w:bookmarkStart w:id="19" w:name="_Hlk97623524"/>
      <w:r>
        <w:t>in</w:t>
      </w:r>
      <w:r w:rsidRPr="009E6CFD">
        <w:rPr>
          <w:i/>
        </w:rPr>
        <w:t xml:space="preserve"> </w:t>
      </w:r>
      <w:r w:rsidRPr="00E03FA5">
        <w:rPr>
          <w:rStyle w:val="ReferencestootherSOPsQCDsChar"/>
        </w:rPr>
        <w:t>UoB-ARC-SOP-001 Archiving</w:t>
      </w:r>
      <w:bookmarkEnd w:id="19"/>
      <w:r>
        <w:t>.</w:t>
      </w:r>
      <w:r w:rsidRPr="006334E2">
        <w:rPr>
          <w:rStyle w:val="ReferencestootherSOPsQCDsChar"/>
        </w:rPr>
        <w:t xml:space="preserve"> </w:t>
      </w:r>
    </w:p>
    <w:p w14:paraId="097BE7FD" w14:textId="48ECFB60" w:rsidR="00966396" w:rsidRDefault="00966396" w:rsidP="00966396">
      <w:pPr>
        <w:pStyle w:val="Heading1"/>
      </w:pPr>
      <w:r w:rsidRPr="00435EAE">
        <w:t>List of expected outputs</w:t>
      </w:r>
    </w:p>
    <w:p w14:paraId="717F98A5" w14:textId="3C4AD4F6" w:rsidR="00966396" w:rsidRDefault="00966396" w:rsidP="00966396">
      <w:pPr>
        <w:pStyle w:val="bullet1"/>
        <w:numPr>
          <w:ilvl w:val="0"/>
          <w:numId w:val="12"/>
        </w:numPr>
      </w:pPr>
      <w:r>
        <w:t>Evidence of</w:t>
      </w:r>
      <w:r w:rsidR="009E5483">
        <w:t xml:space="preserve"> dated essential documents with</w:t>
      </w:r>
      <w:r>
        <w:t xml:space="preserve"> version control</w:t>
      </w:r>
      <w:r w:rsidR="009E5483">
        <w:t>.</w:t>
      </w:r>
    </w:p>
    <w:p w14:paraId="0D6E3B47" w14:textId="7A60C824" w:rsidR="00D166C5" w:rsidRDefault="00D166C5" w:rsidP="00D166C5">
      <w:pPr>
        <w:pStyle w:val="bullet1"/>
        <w:numPr>
          <w:ilvl w:val="0"/>
          <w:numId w:val="12"/>
        </w:numPr>
      </w:pPr>
      <w:r>
        <w:t xml:space="preserve">Evidence that, where signatures are required on </w:t>
      </w:r>
      <w:r w:rsidR="00826C1C">
        <w:t>essential documents</w:t>
      </w:r>
      <w:r>
        <w:t xml:space="preserve">, these are </w:t>
      </w:r>
      <w:r w:rsidRPr="006334E2">
        <w:t xml:space="preserve">in ink and dated, or </w:t>
      </w:r>
      <w:r>
        <w:t xml:space="preserve">using appropriate </w:t>
      </w:r>
      <w:r w:rsidRPr="006334E2">
        <w:t>e</w:t>
      </w:r>
      <w:r>
        <w:t xml:space="preserve">lectronic </w:t>
      </w:r>
      <w:r w:rsidRPr="006334E2">
        <w:t>signatures</w:t>
      </w:r>
      <w:r>
        <w:t xml:space="preserve"> where th</w:t>
      </w:r>
      <w:r w:rsidR="00BE76A6">
        <w:t>e</w:t>
      </w:r>
      <w:r>
        <w:t xml:space="preserve"> names and date of signatures are clearly specified and attributed to the signatures.</w:t>
      </w:r>
    </w:p>
    <w:p w14:paraId="77D6B930" w14:textId="4D6140DC" w:rsidR="00D166C5" w:rsidRDefault="00BE76A6" w:rsidP="00966396">
      <w:pPr>
        <w:pStyle w:val="bullet1"/>
        <w:numPr>
          <w:ilvl w:val="0"/>
          <w:numId w:val="12"/>
        </w:numPr>
      </w:pPr>
      <w:r>
        <w:t>A</w:t>
      </w:r>
      <w:r w:rsidR="00D166C5">
        <w:t xml:space="preserve"> version control log.</w:t>
      </w:r>
    </w:p>
    <w:p w14:paraId="45347BF4" w14:textId="6E18ACF0" w:rsidR="00966396" w:rsidRDefault="00966396" w:rsidP="00966396">
      <w:pPr>
        <w:pStyle w:val="bullet1"/>
        <w:numPr>
          <w:ilvl w:val="0"/>
          <w:numId w:val="12"/>
        </w:numPr>
      </w:pPr>
      <w:r>
        <w:t xml:space="preserve">Where appropriate, evidence of the use of a reputable translation service provider for translation of </w:t>
      </w:r>
      <w:r w:rsidR="00D0740F">
        <w:t xml:space="preserve">essential documents </w:t>
      </w:r>
      <w:r>
        <w:t>with the process of translation documented appropriately.</w:t>
      </w:r>
    </w:p>
    <w:p w14:paraId="09841969" w14:textId="39AEBA52" w:rsidR="00966396" w:rsidRDefault="00966396" w:rsidP="00966396">
      <w:pPr>
        <w:pStyle w:val="bullet1"/>
        <w:numPr>
          <w:ilvl w:val="0"/>
          <w:numId w:val="12"/>
        </w:numPr>
      </w:pPr>
      <w:r>
        <w:t xml:space="preserve">Documented evidence of internal review of all draft versions of </w:t>
      </w:r>
      <w:r w:rsidR="00D0740F">
        <w:t>essential documents</w:t>
      </w:r>
      <w:r>
        <w:t>.</w:t>
      </w:r>
    </w:p>
    <w:p w14:paraId="2BCF757C" w14:textId="77777777" w:rsidR="00966396" w:rsidRDefault="00966396" w:rsidP="00966396">
      <w:pPr>
        <w:pStyle w:val="bullet1"/>
        <w:numPr>
          <w:ilvl w:val="0"/>
          <w:numId w:val="12"/>
        </w:numPr>
      </w:pPr>
      <w:r>
        <w:lastRenderedPageBreak/>
        <w:t>Documented evidence within the S/TMF confirming the CI’s approval of the final version of the protocol, PIS/ICF and CRF and for any subsequent amendments.</w:t>
      </w:r>
    </w:p>
    <w:p w14:paraId="50DAF38F" w14:textId="3E98CC0C" w:rsidR="00966396" w:rsidRDefault="00966396" w:rsidP="00966396">
      <w:pPr>
        <w:pStyle w:val="bullet1"/>
        <w:numPr>
          <w:ilvl w:val="0"/>
          <w:numId w:val="12"/>
        </w:numPr>
      </w:pPr>
      <w:r>
        <w:t xml:space="preserve">Evidence that </w:t>
      </w:r>
      <w:r w:rsidR="00D0740F">
        <w:t xml:space="preserve">essential documents </w:t>
      </w:r>
      <w:r>
        <w:t>have been reviewed and approved by the REC and HRA (and MHRA for CTIMPs), and a clear audit trail is provided in the S/TMF and LMF (where appropriate), with copies in the ISF file and any previous versions marked as superseded.</w:t>
      </w:r>
    </w:p>
    <w:p w14:paraId="653E859C" w14:textId="28E84C38" w:rsidR="00D166C5" w:rsidRDefault="00D166C5" w:rsidP="00966396">
      <w:pPr>
        <w:pStyle w:val="bullet1"/>
        <w:numPr>
          <w:ilvl w:val="0"/>
          <w:numId w:val="12"/>
        </w:numPr>
      </w:pPr>
      <w:r>
        <w:t>A protocol.</w:t>
      </w:r>
    </w:p>
    <w:p w14:paraId="00C20E9E" w14:textId="36E2C9A1" w:rsidR="00D166C5" w:rsidRDefault="00D166C5" w:rsidP="00966396">
      <w:pPr>
        <w:pStyle w:val="bullet1"/>
        <w:numPr>
          <w:ilvl w:val="0"/>
          <w:numId w:val="12"/>
        </w:numPr>
      </w:pPr>
      <w:r>
        <w:t>PIS and ICF (in accordance with the protocol).</w:t>
      </w:r>
    </w:p>
    <w:p w14:paraId="344574EC" w14:textId="5D6BFEEE" w:rsidR="00966396" w:rsidRDefault="00966396" w:rsidP="00966396">
      <w:pPr>
        <w:pStyle w:val="bullet1"/>
        <w:numPr>
          <w:ilvl w:val="0"/>
          <w:numId w:val="12"/>
        </w:numPr>
      </w:pPr>
      <w:r>
        <w:t>Where human tissue is to be collected, the ICF outlines where it will be collected, stored, shipped to, and processed and what will happen to samples at the end of the research.</w:t>
      </w:r>
    </w:p>
    <w:p w14:paraId="131FE607" w14:textId="0BDB23C9" w:rsidR="00ED0AA4" w:rsidRDefault="00ED0AA4" w:rsidP="00966396">
      <w:pPr>
        <w:pStyle w:val="bullet1"/>
        <w:numPr>
          <w:ilvl w:val="0"/>
          <w:numId w:val="12"/>
        </w:numPr>
      </w:pPr>
      <w:r>
        <w:t>CRF</w:t>
      </w:r>
    </w:p>
    <w:p w14:paraId="67A3404C" w14:textId="4517AAC4" w:rsidR="00966396" w:rsidRDefault="00966396" w:rsidP="00966396">
      <w:pPr>
        <w:pStyle w:val="bullet1"/>
        <w:numPr>
          <w:ilvl w:val="0"/>
          <w:numId w:val="12"/>
        </w:numPr>
      </w:pPr>
      <w:r>
        <w:t xml:space="preserve">Evidence of confirmation of receipt of approved </w:t>
      </w:r>
      <w:r w:rsidR="00D0740F">
        <w:t xml:space="preserve">essential documents </w:t>
      </w:r>
      <w:r>
        <w:t>by the PI(s) and documented agreement to work with the latest approved version of the protocol.</w:t>
      </w:r>
    </w:p>
    <w:p w14:paraId="26BA866E" w14:textId="27020480" w:rsidR="00ED0AA4" w:rsidRDefault="00ED0AA4" w:rsidP="00966396">
      <w:pPr>
        <w:pStyle w:val="bullet1"/>
        <w:numPr>
          <w:ilvl w:val="0"/>
          <w:numId w:val="12"/>
        </w:numPr>
      </w:pPr>
      <w:r>
        <w:t>IB (for CTIMPs)</w:t>
      </w:r>
      <w:r w:rsidR="00BE76A6">
        <w:t>.</w:t>
      </w:r>
    </w:p>
    <w:p w14:paraId="671CDBE0" w14:textId="61837299" w:rsidR="00ED0AA4" w:rsidRPr="00955AA8" w:rsidRDefault="00ED0AA4" w:rsidP="00966396">
      <w:pPr>
        <w:pStyle w:val="bullet1"/>
        <w:numPr>
          <w:ilvl w:val="0"/>
          <w:numId w:val="12"/>
        </w:numPr>
      </w:pPr>
      <w:r w:rsidRPr="00955AA8">
        <w:t>Other research project specific essential documents (where applicable).</w:t>
      </w:r>
    </w:p>
    <w:p w14:paraId="222BD3CE" w14:textId="4EAF071D" w:rsidR="00ED0AA4" w:rsidRDefault="00ED0AA4" w:rsidP="00966396">
      <w:pPr>
        <w:pStyle w:val="bullet1"/>
        <w:numPr>
          <w:ilvl w:val="0"/>
          <w:numId w:val="12"/>
        </w:numPr>
      </w:pPr>
      <w:r w:rsidRPr="00955AA8">
        <w:t>Evidence that any correspondence to participants</w:t>
      </w:r>
      <w:r>
        <w:t xml:space="preserve"> is on headed</w:t>
      </w:r>
      <w:r w:rsidRPr="00955AA8">
        <w:t xml:space="preserve"> </w:t>
      </w:r>
      <w:r>
        <w:t>paper (in the UK) and</w:t>
      </w:r>
      <w:r w:rsidRPr="00955AA8">
        <w:t xml:space="preserve"> </w:t>
      </w:r>
      <w:r>
        <w:t xml:space="preserve">forms part of the </w:t>
      </w:r>
      <w:r w:rsidR="00D0740F">
        <w:t>essential documents</w:t>
      </w:r>
      <w:r w:rsidR="00930994">
        <w:t>.</w:t>
      </w:r>
      <w:r>
        <w:t xml:space="preserve"> </w:t>
      </w:r>
    </w:p>
    <w:p w14:paraId="543FDCB7" w14:textId="35162C4A" w:rsidR="00ED0AA4" w:rsidRPr="00ED0AA4" w:rsidRDefault="00930994" w:rsidP="00966396">
      <w:pPr>
        <w:pStyle w:val="bullet1"/>
        <w:numPr>
          <w:ilvl w:val="0"/>
          <w:numId w:val="12"/>
        </w:numPr>
      </w:pPr>
      <w:r>
        <w:t xml:space="preserve">Evidence of </w:t>
      </w:r>
      <w:r w:rsidR="00D0740F">
        <w:t xml:space="preserve">essential documents </w:t>
      </w:r>
      <w:r>
        <w:t>being submitted to RGT and all relevant bodies for review and approval.</w:t>
      </w:r>
    </w:p>
    <w:p w14:paraId="6A9A7983" w14:textId="62B8375C" w:rsidR="00930994" w:rsidRDefault="00930994" w:rsidP="00930994">
      <w:pPr>
        <w:pStyle w:val="bullet1"/>
        <w:numPr>
          <w:ilvl w:val="0"/>
          <w:numId w:val="12"/>
        </w:numPr>
      </w:pPr>
      <w:r>
        <w:t xml:space="preserve">Evidence of distribution of </w:t>
      </w:r>
      <w:r w:rsidR="00D0740F">
        <w:t xml:space="preserve">essential documents </w:t>
      </w:r>
      <w:r>
        <w:t>to site PIs</w:t>
      </w:r>
      <w:r w:rsidR="00377318">
        <w:t xml:space="preserve"> and evidence of their agreement to work to and distribute that version. </w:t>
      </w:r>
    </w:p>
    <w:p w14:paraId="3173F5D9" w14:textId="5030A202" w:rsidR="002F6804" w:rsidRDefault="002F6804" w:rsidP="00930994">
      <w:pPr>
        <w:pStyle w:val="bullet1"/>
        <w:numPr>
          <w:ilvl w:val="0"/>
          <w:numId w:val="12"/>
        </w:numPr>
      </w:pPr>
      <w:r>
        <w:t xml:space="preserve">Essential </w:t>
      </w:r>
      <w:r w:rsidR="00D0740F">
        <w:t xml:space="preserve">documents </w:t>
      </w:r>
      <w:r>
        <w:t>added to the ISF</w:t>
      </w:r>
      <w:r w:rsidR="00BE76A6">
        <w:t>.</w:t>
      </w:r>
    </w:p>
    <w:p w14:paraId="35416A17" w14:textId="1D95F504" w:rsidR="00966396" w:rsidRDefault="00966396" w:rsidP="00966396">
      <w:pPr>
        <w:pStyle w:val="bullet1"/>
        <w:numPr>
          <w:ilvl w:val="0"/>
          <w:numId w:val="12"/>
        </w:numPr>
      </w:pPr>
      <w:r>
        <w:t xml:space="preserve">Evidence that site staff are appropriately trained in the protocol and other </w:t>
      </w:r>
      <w:r w:rsidR="00D0740F">
        <w:t xml:space="preserve">essential documents </w:t>
      </w:r>
      <w:r>
        <w:t>prior to site initiation and following subsequent amendments.</w:t>
      </w:r>
    </w:p>
    <w:p w14:paraId="298FD3BE" w14:textId="24FF68B8" w:rsidR="00966396" w:rsidRDefault="00966396" w:rsidP="00966396">
      <w:pPr>
        <w:pStyle w:val="bullet1"/>
        <w:numPr>
          <w:ilvl w:val="0"/>
          <w:numId w:val="12"/>
        </w:numPr>
      </w:pPr>
      <w:r>
        <w:t xml:space="preserve">Superseded copies of </w:t>
      </w:r>
      <w:r w:rsidR="00D0740F">
        <w:t xml:space="preserve">essential documents </w:t>
      </w:r>
      <w:r>
        <w:t>to be marked as such in ISF, S/TF and LMF.</w:t>
      </w:r>
    </w:p>
    <w:p w14:paraId="0DBADC45" w14:textId="2B51C4B7" w:rsidR="00966396" w:rsidRDefault="00966396" w:rsidP="00966396">
      <w:pPr>
        <w:pStyle w:val="bullet1"/>
        <w:numPr>
          <w:ilvl w:val="0"/>
          <w:numId w:val="12"/>
        </w:numPr>
      </w:pPr>
      <w:r>
        <w:t xml:space="preserve">Removal of previous versions of </w:t>
      </w:r>
      <w:r w:rsidR="00D0740F">
        <w:t xml:space="preserve">essential documents </w:t>
      </w:r>
      <w:r>
        <w:t>from any working files.</w:t>
      </w:r>
    </w:p>
    <w:p w14:paraId="3ED87AAD" w14:textId="22694CD9" w:rsidR="002F6804" w:rsidRDefault="00966396" w:rsidP="002F6804">
      <w:pPr>
        <w:pStyle w:val="bullet1"/>
        <w:numPr>
          <w:ilvl w:val="0"/>
          <w:numId w:val="12"/>
        </w:numPr>
      </w:pPr>
      <w:r>
        <w:t xml:space="preserve">Copies of approved versions of </w:t>
      </w:r>
      <w:r w:rsidR="00D0740F">
        <w:t xml:space="preserve">essential documents </w:t>
      </w:r>
      <w:r>
        <w:t>circulated to third parties as appropriate, e.g.</w:t>
      </w:r>
      <w:r w:rsidR="002E17F3">
        <w:t xml:space="preserve"> </w:t>
      </w:r>
      <w:r>
        <w:t>IMP manufacturers.</w:t>
      </w:r>
      <w:r w:rsidR="002F6804" w:rsidRPr="002F6804">
        <w:t xml:space="preserve"> </w:t>
      </w:r>
    </w:p>
    <w:p w14:paraId="00A54B5C" w14:textId="7DE11466" w:rsidR="002F6804" w:rsidRDefault="002F6804" w:rsidP="002F6804">
      <w:pPr>
        <w:pStyle w:val="bullet1"/>
        <w:numPr>
          <w:ilvl w:val="0"/>
          <w:numId w:val="12"/>
        </w:numPr>
      </w:pPr>
      <w:r>
        <w:t>For CTIMPs, e</w:t>
      </w:r>
      <w:r w:rsidRPr="00ED0AA4">
        <w:t>vidence of distribution of protocol to LAL(s).</w:t>
      </w:r>
    </w:p>
    <w:p w14:paraId="647004D2" w14:textId="77777777" w:rsidR="00966396" w:rsidRDefault="00966396" w:rsidP="00966396">
      <w:pPr>
        <w:pStyle w:val="bullet1"/>
        <w:numPr>
          <w:ilvl w:val="0"/>
          <w:numId w:val="12"/>
        </w:numPr>
      </w:pPr>
      <w:r>
        <w:t xml:space="preserve">Evidence of retention and archiving of all essential documents and research project records for the specified period and in accordance with </w:t>
      </w:r>
      <w:r w:rsidRPr="000278EC">
        <w:rPr>
          <w:rStyle w:val="ReferencestootherSOPsQCDsChar"/>
          <w:rFonts w:eastAsiaTheme="minorHAnsi"/>
        </w:rPr>
        <w:t>UoB-ARC-SOP-001 Archiving</w:t>
      </w:r>
      <w:r w:rsidRPr="008F40F7">
        <w:rPr>
          <w:rFonts w:eastAsiaTheme="minorHAnsi"/>
        </w:rPr>
        <w:t>.</w:t>
      </w:r>
    </w:p>
    <w:p w14:paraId="3875E85F" w14:textId="77777777" w:rsidR="00966396" w:rsidRPr="009F6CDA" w:rsidRDefault="00966396" w:rsidP="00966396">
      <w:pPr>
        <w:pStyle w:val="bullet1"/>
        <w:numPr>
          <w:ilvl w:val="0"/>
          <w:numId w:val="12"/>
        </w:numPr>
      </w:pPr>
      <w:r>
        <w:t>For any documents stored elsewhere, reference is made in the S/TMF to where these are located.</w:t>
      </w:r>
    </w:p>
    <w:p w14:paraId="1E605690" w14:textId="77777777" w:rsidR="00966396" w:rsidRDefault="00966396" w:rsidP="00966396">
      <w:pPr>
        <w:pStyle w:val="Heading1"/>
      </w:pPr>
      <w:r w:rsidRPr="006561C0">
        <w:t>Related</w:t>
      </w:r>
      <w:r>
        <w:t xml:space="preserve"> documents</w:t>
      </w:r>
    </w:p>
    <w:p w14:paraId="70E581D0" w14:textId="77777777" w:rsidR="00966396" w:rsidRDefault="00966396" w:rsidP="00966396">
      <w:pPr>
        <w:pStyle w:val="bullet1"/>
        <w:numPr>
          <w:ilvl w:val="0"/>
          <w:numId w:val="13"/>
        </w:numPr>
      </w:pPr>
      <w:r w:rsidRPr="00C014ED">
        <w:t>UoB</w:t>
      </w:r>
      <w:r w:rsidRPr="00C014ED" w:rsidDel="00AD6B6D">
        <w:t>-</w:t>
      </w:r>
      <w:r w:rsidRPr="00C014ED">
        <w:t>ARC-SOP-001 Archiving</w:t>
      </w:r>
    </w:p>
    <w:p w14:paraId="2FB20EE9" w14:textId="77777777" w:rsidR="00966396" w:rsidRDefault="00966396" w:rsidP="00966396">
      <w:pPr>
        <w:pStyle w:val="bullet1"/>
        <w:numPr>
          <w:ilvl w:val="0"/>
          <w:numId w:val="13"/>
        </w:numPr>
      </w:pPr>
      <w:r w:rsidRPr="00C014ED">
        <w:t>UoB-CLN-CTM-QCD-002 Clinical Trial</w:t>
      </w:r>
      <w:r>
        <w:t>s</w:t>
      </w:r>
      <w:r w:rsidRPr="00C014ED">
        <w:t xml:space="preserve"> Task Delegation Log</w:t>
      </w:r>
    </w:p>
    <w:p w14:paraId="5CF2CE58" w14:textId="77777777" w:rsidR="00966396" w:rsidRDefault="00966396" w:rsidP="00966396">
      <w:pPr>
        <w:pStyle w:val="bullet1"/>
        <w:numPr>
          <w:ilvl w:val="0"/>
          <w:numId w:val="13"/>
        </w:numPr>
      </w:pPr>
      <w:r w:rsidRPr="00C014ED">
        <w:t>UoB-</w:t>
      </w:r>
      <w:r>
        <w:t>CLN-</w:t>
      </w:r>
      <w:r w:rsidRPr="00C014ED">
        <w:t>ESD-QCD-00</w:t>
      </w:r>
      <w:r>
        <w:t>1</w:t>
      </w:r>
      <w:r w:rsidRPr="00C014ED">
        <w:t xml:space="preserve"> Essential Documents Checklist </w:t>
      </w:r>
    </w:p>
    <w:p w14:paraId="69E2EDAB" w14:textId="77777777" w:rsidR="00966396" w:rsidRPr="00C014ED" w:rsidRDefault="00966396" w:rsidP="00966396">
      <w:pPr>
        <w:pStyle w:val="bullet1"/>
        <w:numPr>
          <w:ilvl w:val="0"/>
          <w:numId w:val="13"/>
        </w:numPr>
      </w:pPr>
      <w:r w:rsidRPr="00C014ED">
        <w:t>UoB-</w:t>
      </w:r>
      <w:r>
        <w:t>CLN</w:t>
      </w:r>
      <w:r w:rsidRPr="00C014ED">
        <w:t>-</w:t>
      </w:r>
      <w:r>
        <w:t>ESD</w:t>
      </w:r>
      <w:r w:rsidRPr="00C014ED">
        <w:t>-</w:t>
      </w:r>
      <w:r>
        <w:t>QCD-</w:t>
      </w:r>
      <w:r w:rsidRPr="00C014ED">
        <w:t>00</w:t>
      </w:r>
      <w:r>
        <w:t>3</w:t>
      </w:r>
      <w:r w:rsidRPr="00C014ED">
        <w:t xml:space="preserve"> Site Signature and Delegation Log </w:t>
      </w:r>
    </w:p>
    <w:p w14:paraId="41C4A1F2" w14:textId="77777777" w:rsidR="00966396" w:rsidRPr="00C014ED" w:rsidRDefault="00966396" w:rsidP="00966396">
      <w:pPr>
        <w:pStyle w:val="bullet1"/>
        <w:numPr>
          <w:ilvl w:val="0"/>
          <w:numId w:val="13"/>
        </w:numPr>
      </w:pPr>
      <w:r w:rsidRPr="00C014ED">
        <w:t>UoB-CLN-ESD-QCD-004 Informed Consent procedure for site staff</w:t>
      </w:r>
    </w:p>
    <w:p w14:paraId="2F859F2D" w14:textId="77777777" w:rsidR="00966396" w:rsidRPr="00C014ED" w:rsidRDefault="00966396" w:rsidP="00966396">
      <w:pPr>
        <w:pStyle w:val="bullet1"/>
        <w:numPr>
          <w:ilvl w:val="0"/>
          <w:numId w:val="13"/>
        </w:numPr>
      </w:pPr>
      <w:r w:rsidRPr="00C014ED">
        <w:t>UoB-CLN-ESD-QCD-00</w:t>
      </w:r>
      <w:r>
        <w:t>6</w:t>
      </w:r>
      <w:r w:rsidRPr="00C014ED">
        <w:t xml:space="preserve"> Version Control Log</w:t>
      </w:r>
    </w:p>
    <w:p w14:paraId="34384828" w14:textId="77777777" w:rsidR="00966396" w:rsidRPr="00C014ED" w:rsidRDefault="00966396" w:rsidP="00966396">
      <w:pPr>
        <w:pStyle w:val="bullet1"/>
        <w:numPr>
          <w:ilvl w:val="0"/>
          <w:numId w:val="13"/>
        </w:numPr>
      </w:pPr>
      <w:r w:rsidRPr="00C014ED">
        <w:t>UoB-</w:t>
      </w:r>
      <w:r>
        <w:t>CLN</w:t>
      </w:r>
      <w:r w:rsidRPr="00C014ED">
        <w:t>-</w:t>
      </w:r>
      <w:r>
        <w:t>PRO-</w:t>
      </w:r>
      <w:r w:rsidRPr="00C014ED">
        <w:t>QCD-00</w:t>
      </w:r>
      <w:r>
        <w:t>2</w:t>
      </w:r>
      <w:r w:rsidRPr="00C014ED">
        <w:t xml:space="preserve"> Protocol </w:t>
      </w:r>
      <w:r>
        <w:t>T</w:t>
      </w:r>
      <w:r w:rsidRPr="00C014ED">
        <w:t>emplate</w:t>
      </w:r>
      <w:r>
        <w:t xml:space="preserve"> for </w:t>
      </w:r>
      <w:r w:rsidRPr="00C014ED">
        <w:t>CTIMPs</w:t>
      </w:r>
    </w:p>
    <w:p w14:paraId="6E34F2F5" w14:textId="77777777" w:rsidR="00966396" w:rsidRDefault="00966396" w:rsidP="00966396">
      <w:pPr>
        <w:pStyle w:val="bullet1"/>
        <w:numPr>
          <w:ilvl w:val="0"/>
          <w:numId w:val="13"/>
        </w:numPr>
      </w:pPr>
      <w:r w:rsidRPr="00C014ED">
        <w:t>UoB-CRG-QCD-001 Sponsor Review Tool</w:t>
      </w:r>
    </w:p>
    <w:p w14:paraId="00598556" w14:textId="77777777" w:rsidR="00966396" w:rsidRDefault="00966396" w:rsidP="00966396">
      <w:pPr>
        <w:pStyle w:val="bullet1"/>
        <w:numPr>
          <w:ilvl w:val="0"/>
          <w:numId w:val="13"/>
        </w:numPr>
      </w:pPr>
      <w:r>
        <w:t>UoB-CRL-QCD-001 Setting up a Laboratory Master File</w:t>
      </w:r>
    </w:p>
    <w:p w14:paraId="055CF01D" w14:textId="77777777" w:rsidR="00966396" w:rsidRDefault="00966396" w:rsidP="00966396">
      <w:pPr>
        <w:pStyle w:val="bullet1"/>
        <w:numPr>
          <w:ilvl w:val="0"/>
          <w:numId w:val="13"/>
        </w:numPr>
      </w:pPr>
      <w:r w:rsidRPr="006B05A0">
        <w:t>UoB-CRL-SOP-001 Laboratory Set-Up and Management</w:t>
      </w:r>
    </w:p>
    <w:p w14:paraId="59744108" w14:textId="7D229779" w:rsidR="00966396" w:rsidRPr="00C014ED" w:rsidRDefault="00966396" w:rsidP="00966396">
      <w:pPr>
        <w:pStyle w:val="bullet1"/>
        <w:numPr>
          <w:ilvl w:val="0"/>
          <w:numId w:val="13"/>
        </w:numPr>
      </w:pPr>
      <w:r w:rsidRPr="00C014ED">
        <w:t xml:space="preserve">UoB-CRT-CRF-SOP-001 Case Report Form </w:t>
      </w:r>
      <w:r w:rsidR="00BB710F">
        <w:t>D</w:t>
      </w:r>
      <w:r w:rsidR="00BB710F" w:rsidRPr="00C014ED">
        <w:t>evelopment</w:t>
      </w:r>
    </w:p>
    <w:p w14:paraId="5BEFB678" w14:textId="77777777" w:rsidR="00966396" w:rsidRDefault="00966396" w:rsidP="00966396">
      <w:pPr>
        <w:pStyle w:val="bullet1"/>
        <w:numPr>
          <w:ilvl w:val="0"/>
          <w:numId w:val="13"/>
        </w:numPr>
      </w:pPr>
      <w:r w:rsidRPr="00C014ED">
        <w:t>UoB-</w:t>
      </w:r>
      <w:r>
        <w:t>CRT-NCTM-</w:t>
      </w:r>
      <w:r w:rsidRPr="00C014ED">
        <w:t>QCD-00</w:t>
      </w:r>
      <w:r>
        <w:t>1</w:t>
      </w:r>
      <w:r w:rsidRPr="00C014ED">
        <w:t xml:space="preserve"> Non-CTIMP</w:t>
      </w:r>
      <w:r w:rsidDel="008D2A67">
        <w:t>s</w:t>
      </w:r>
      <w:r>
        <w:t xml:space="preserve"> and Studies Protocol Template</w:t>
      </w:r>
    </w:p>
    <w:p w14:paraId="7BEA3656" w14:textId="77777777" w:rsidR="00966396" w:rsidRPr="00C014ED" w:rsidRDefault="00966396" w:rsidP="00966396">
      <w:pPr>
        <w:pStyle w:val="bullet1"/>
        <w:numPr>
          <w:ilvl w:val="0"/>
          <w:numId w:val="13"/>
        </w:numPr>
      </w:pPr>
      <w:r>
        <w:t xml:space="preserve">UoB-GCP-POL-001 </w:t>
      </w:r>
      <w:proofErr w:type="spellStart"/>
      <w:r>
        <w:t>UoB</w:t>
      </w:r>
      <w:proofErr w:type="spellEnd"/>
      <w:r>
        <w:t xml:space="preserve"> Principles of GCP for Clinical Research</w:t>
      </w:r>
    </w:p>
    <w:p w14:paraId="63338617" w14:textId="77777777" w:rsidR="00966396" w:rsidRDefault="00966396" w:rsidP="00966396">
      <w:pPr>
        <w:pStyle w:val="bullet1"/>
        <w:numPr>
          <w:ilvl w:val="0"/>
          <w:numId w:val="13"/>
        </w:numPr>
      </w:pPr>
      <w:r>
        <w:t>UoB-PEI-SOP-001 Participant Engagement and Informed Consent</w:t>
      </w:r>
    </w:p>
    <w:p w14:paraId="4AABFC24" w14:textId="077C3AC9" w:rsidR="00966396" w:rsidRDefault="00966396" w:rsidP="00966396">
      <w:pPr>
        <w:pStyle w:val="bullet1"/>
        <w:numPr>
          <w:ilvl w:val="0"/>
          <w:numId w:val="13"/>
        </w:numPr>
      </w:pPr>
      <w:r>
        <w:t xml:space="preserve">UoB-SET-SOP-001 Project Setup </w:t>
      </w:r>
    </w:p>
    <w:p w14:paraId="42F4DE79" w14:textId="43E7E505" w:rsidR="00966396" w:rsidRPr="00C014ED" w:rsidRDefault="00966396" w:rsidP="00966396">
      <w:pPr>
        <w:pStyle w:val="bullet1"/>
        <w:numPr>
          <w:ilvl w:val="0"/>
          <w:numId w:val="13"/>
        </w:numPr>
      </w:pPr>
      <w:r>
        <w:t xml:space="preserve">UoB-SMA-SOP-001 Investigator Site Management </w:t>
      </w:r>
    </w:p>
    <w:p w14:paraId="4707A94A" w14:textId="5767E971" w:rsidR="00966396" w:rsidRDefault="00966396" w:rsidP="00966396">
      <w:pPr>
        <w:rPr>
          <w:lang w:eastAsia="en-GB"/>
        </w:rPr>
      </w:pPr>
      <w:r>
        <w:lastRenderedPageBreak/>
        <w:t xml:space="preserve">Note the </w:t>
      </w:r>
      <w:proofErr w:type="spellStart"/>
      <w:r>
        <w:t>UoB</w:t>
      </w:r>
      <w:proofErr w:type="spellEnd"/>
      <w:r>
        <w:t xml:space="preserve"> QMS documents can be found on the </w:t>
      </w:r>
      <w:hyperlink r:id="rId23" w:tooltip="Website for the Clinical Research Compliance Team" w:history="1">
        <w:r>
          <w:rPr>
            <w:rStyle w:val="Hyperlink"/>
            <w:lang w:eastAsia="en-GB"/>
          </w:rPr>
          <w:t xml:space="preserve">Clinical Research Compliance Team </w:t>
        </w:r>
        <w:r w:rsidR="002F5EB3">
          <w:rPr>
            <w:rStyle w:val="Hyperlink"/>
            <w:lang w:eastAsia="en-GB"/>
          </w:rPr>
          <w:t xml:space="preserve">(CRCT) </w:t>
        </w:r>
        <w:r>
          <w:rPr>
            <w:rStyle w:val="Hyperlink"/>
            <w:lang w:eastAsia="en-GB"/>
          </w:rPr>
          <w:t>website</w:t>
        </w:r>
      </w:hyperlink>
      <w:r>
        <w:rPr>
          <w:lang w:eastAsia="en-GB"/>
        </w:rPr>
        <w:t xml:space="preserve">. </w:t>
      </w:r>
      <w:r w:rsidR="00D0740F">
        <w:rPr>
          <w:lang w:eastAsia="en-GB"/>
        </w:rPr>
        <w:t>Internal work instructions can be obtained from the CRCT (</w:t>
      </w:r>
      <w:hyperlink r:id="rId24" w:tooltip="Email address for the Clinical Research Compliance Team" w:history="1">
        <w:r w:rsidR="00D0740F">
          <w:rPr>
            <w:rStyle w:val="Hyperlink"/>
            <w:lang w:eastAsia="en-GB"/>
          </w:rPr>
          <w:t>crct@contacts.bham.ac.uk</w:t>
        </w:r>
      </w:hyperlink>
      <w:r w:rsidR="00D0740F" w:rsidRPr="00E619A9">
        <w:rPr>
          <w:rStyle w:val="Hyperlink"/>
          <w:color w:val="auto"/>
          <w:lang w:eastAsia="en-GB"/>
        </w:rPr>
        <w:t>)</w:t>
      </w:r>
      <w:r w:rsidR="00D0740F">
        <w:rPr>
          <w:rStyle w:val="Hyperlink"/>
          <w:lang w:eastAsia="en-GB"/>
        </w:rPr>
        <w:t xml:space="preserve"> </w:t>
      </w:r>
      <w:r w:rsidR="00D0740F" w:rsidRPr="00E619A9">
        <w:rPr>
          <w:rStyle w:val="Hyperlink"/>
          <w:color w:val="auto"/>
          <w:u w:val="none"/>
          <w:lang w:eastAsia="en-GB"/>
        </w:rPr>
        <w:t>and/or the</w:t>
      </w:r>
      <w:r w:rsidR="00E619A9" w:rsidRPr="00E619A9">
        <w:rPr>
          <w:rStyle w:val="Hyperlink"/>
          <w:color w:val="auto"/>
          <w:u w:val="none"/>
          <w:lang w:eastAsia="en-GB"/>
        </w:rPr>
        <w:t xml:space="preserve"> </w:t>
      </w:r>
      <w:r>
        <w:rPr>
          <w:lang w:eastAsia="en-GB"/>
        </w:rPr>
        <w:t xml:space="preserve">RGT </w:t>
      </w:r>
      <w:r w:rsidR="00D0740F">
        <w:rPr>
          <w:lang w:eastAsia="en-GB"/>
        </w:rPr>
        <w:t>(</w:t>
      </w:r>
      <w:hyperlink r:id="rId25" w:tooltip="Email address for the Research Governance Team" w:history="1">
        <w:r>
          <w:rPr>
            <w:rStyle w:val="Hyperlink"/>
            <w:lang w:eastAsia="en-GB"/>
          </w:rPr>
          <w:t>researchgovernance@contacts.bham.ac.uk</w:t>
        </w:r>
      </w:hyperlink>
      <w:r w:rsidR="00D0740F" w:rsidRPr="00E619A9">
        <w:rPr>
          <w:rStyle w:val="Hyperlink"/>
          <w:color w:val="auto"/>
          <w:lang w:eastAsia="en-GB"/>
        </w:rPr>
        <w:t>).</w:t>
      </w:r>
      <w:r>
        <w:rPr>
          <w:lang w:eastAsia="en-GB"/>
        </w:rPr>
        <w:t xml:space="preserve"> </w:t>
      </w:r>
    </w:p>
    <w:p w14:paraId="0BF653DA" w14:textId="10E982E1" w:rsidR="00966396" w:rsidRDefault="00966396" w:rsidP="00966396">
      <w:pPr>
        <w:pStyle w:val="Heading1"/>
        <w:rPr>
          <w:lang w:eastAsia="en-GB"/>
        </w:rPr>
      </w:pPr>
      <w:r>
        <w:rPr>
          <w:lang w:eastAsia="en-GB"/>
        </w:rPr>
        <w:t xml:space="preserve">References and </w:t>
      </w:r>
      <w:r w:rsidR="002F5EB3">
        <w:rPr>
          <w:lang w:eastAsia="en-GB"/>
        </w:rPr>
        <w:t>frameworks</w:t>
      </w:r>
    </w:p>
    <w:p w14:paraId="03FB8F1E" w14:textId="699991DC" w:rsidR="00966396" w:rsidRDefault="00966396" w:rsidP="00966396">
      <w:pPr>
        <w:pStyle w:val="bullet1"/>
        <w:numPr>
          <w:ilvl w:val="0"/>
          <w:numId w:val="13"/>
        </w:numPr>
      </w:pPr>
      <w:r>
        <w:t xml:space="preserve">European Committee, 2006. Recommendations </w:t>
      </w:r>
      <w:r w:rsidR="002F5EB3">
        <w:t xml:space="preserve">on </w:t>
      </w:r>
      <w:r>
        <w:t xml:space="preserve">the content of the </w:t>
      </w:r>
      <w:r w:rsidR="002F5EB3">
        <w:t xml:space="preserve">trial master file </w:t>
      </w:r>
      <w:r>
        <w:t xml:space="preserve">and </w:t>
      </w:r>
      <w:r w:rsidR="002F5EB3">
        <w:t>archiving</w:t>
      </w:r>
      <w:r>
        <w:t xml:space="preserve">: </w:t>
      </w:r>
      <w:hyperlink r:id="rId26" w:tooltip="Link to European Committee (2006) Recommendations of the content of the Trial Master File and Archiving" w:history="1">
        <w:r>
          <w:rPr>
            <w:rStyle w:val="Hyperlink"/>
            <w:rFonts w:eastAsiaTheme="minorHAnsi"/>
          </w:rPr>
          <w:t>https://ec.europa.eu/health/sites/health/files/files/eudralex/vol-10/v10_chap5_en.pdf</w:t>
        </w:r>
      </w:hyperlink>
    </w:p>
    <w:p w14:paraId="64AE18DC" w14:textId="4CCB3102" w:rsidR="00966396" w:rsidRPr="006721CA" w:rsidRDefault="00966396" w:rsidP="00966396">
      <w:pPr>
        <w:pStyle w:val="bullet1"/>
        <w:numPr>
          <w:ilvl w:val="0"/>
          <w:numId w:val="13"/>
        </w:numPr>
        <w:rPr>
          <w:rStyle w:val="Hyperlink"/>
          <w:color w:val="auto"/>
          <w:u w:val="none"/>
        </w:rPr>
      </w:pPr>
      <w:r w:rsidRPr="00921E19">
        <w:t>HRA</w:t>
      </w:r>
      <w:r>
        <w:t xml:space="preserve"> approval process: </w:t>
      </w:r>
      <w:hyperlink r:id="rId27" w:history="1">
        <w:r>
          <w:rPr>
            <w:rStyle w:val="Hyperlink"/>
            <w:rFonts w:eastAsiaTheme="minorHAnsi"/>
          </w:rPr>
          <w:t>https://www.hra.nhs.uk/approvals-amendments/what-approvals-do-i-need/hra-approval/</w:t>
        </w:r>
      </w:hyperlink>
    </w:p>
    <w:p w14:paraId="2A2407A6" w14:textId="2A3D9130" w:rsidR="00D55242" w:rsidRPr="00A22FF7" w:rsidRDefault="00D55242" w:rsidP="00966396">
      <w:pPr>
        <w:pStyle w:val="bullet1"/>
        <w:numPr>
          <w:ilvl w:val="0"/>
          <w:numId w:val="13"/>
        </w:numPr>
        <w:rPr>
          <w:rStyle w:val="Hyperlink"/>
          <w:color w:val="auto"/>
          <w:u w:val="none"/>
        </w:rPr>
      </w:pPr>
      <w:r>
        <w:t>HRA Combined review:</w:t>
      </w:r>
      <w:r>
        <w:rPr>
          <w:rStyle w:val="Hyperlink"/>
          <w:color w:val="auto"/>
          <w:u w:val="none"/>
        </w:rPr>
        <w:t xml:space="preserve"> </w:t>
      </w:r>
      <w:r w:rsidRPr="00D55242">
        <w:rPr>
          <w:rStyle w:val="Hyperlink"/>
          <w:color w:val="auto"/>
          <w:u w:val="none"/>
        </w:rPr>
        <w:t>https://www.hra.nhs.uk/planning-and-improving-research/policies-standards-legislation/clinical-trials-investigational-medicinal-products-ctimps/combined-ways-working-pilot/</w:t>
      </w:r>
      <w:hyperlink r:id="rId28" w:tooltip="Link to HRA webpage about Combined review" w:history="1">
        <w:r w:rsidRPr="00D55242">
          <w:rPr>
            <w:rStyle w:val="Hyperlink"/>
          </w:rPr>
          <w:t>https://www.hra.nhs.uk/planning-and-improving-research/policies-standards-legislation/clinical-trials-investigational-medicinal-products-ctimps/combined-ways-working-pilot/</w:t>
        </w:r>
      </w:hyperlink>
    </w:p>
    <w:p w14:paraId="05FC9B26" w14:textId="77777777" w:rsidR="00966396" w:rsidRDefault="00966396" w:rsidP="00966396">
      <w:pPr>
        <w:pStyle w:val="bullet1"/>
        <w:numPr>
          <w:ilvl w:val="0"/>
          <w:numId w:val="13"/>
        </w:numPr>
      </w:pPr>
      <w:r>
        <w:t xml:space="preserve">HRA Consent and Participant Information Guidance: </w:t>
      </w:r>
      <w:hyperlink r:id="rId29" w:tooltip="Link to HRA Consent and Participant Information Guidance" w:history="1">
        <w:r w:rsidRPr="002A7BC9">
          <w:rPr>
            <w:rStyle w:val="Hyperlink"/>
          </w:rPr>
          <w:t>http://www.hra-decisiontools.org.uk/consent/docs/Consent%20and%20PIS%20Guidance.pdf</w:t>
        </w:r>
      </w:hyperlink>
    </w:p>
    <w:p w14:paraId="46D8B182" w14:textId="77777777" w:rsidR="00966396" w:rsidRPr="00A22FF7" w:rsidRDefault="00966396" w:rsidP="00966396">
      <w:pPr>
        <w:pStyle w:val="bullet1"/>
        <w:numPr>
          <w:ilvl w:val="0"/>
          <w:numId w:val="13"/>
        </w:numPr>
        <w:rPr>
          <w:rStyle w:val="Hyperlink"/>
          <w:color w:val="auto"/>
          <w:u w:val="none"/>
        </w:rPr>
      </w:pPr>
      <w:r>
        <w:t xml:space="preserve">HRA informing participants and seeking consent: </w:t>
      </w:r>
      <w:hyperlink r:id="rId30" w:tooltip="Link to HRA webpage about informing paryticipants and seeking consent" w:history="1">
        <w:r>
          <w:rPr>
            <w:rStyle w:val="Hyperlink"/>
            <w:rFonts w:eastAsiaTheme="minorHAnsi"/>
          </w:rPr>
          <w:t>https://www.hra.nhs.uk/planning-and-improving-research/best-practice/informing-participants-and-seeking-consent/</w:t>
        </w:r>
      </w:hyperlink>
    </w:p>
    <w:p w14:paraId="021EA49E" w14:textId="77777777" w:rsidR="00966396" w:rsidRDefault="00966396" w:rsidP="00966396">
      <w:pPr>
        <w:pStyle w:val="bullet1"/>
        <w:numPr>
          <w:ilvl w:val="0"/>
          <w:numId w:val="13"/>
        </w:numPr>
      </w:pPr>
      <w:r>
        <w:t xml:space="preserve">HTA Code of Practice A - Guiding Principles and the Fundamental Principle of Consent: </w:t>
      </w:r>
      <w:hyperlink r:id="rId31" w:tooltip="Link to HTA consent guidance" w:history="1">
        <w:r>
          <w:rPr>
            <w:rStyle w:val="Hyperlink"/>
          </w:rPr>
          <w:t>https://content.hta.gov.uk/sites/default/files/2020-11/Code%20A.pdf</w:t>
        </w:r>
      </w:hyperlink>
    </w:p>
    <w:p w14:paraId="6C9DF373" w14:textId="467E92FC" w:rsidR="00966396" w:rsidRPr="006721CA" w:rsidRDefault="00966396" w:rsidP="00966396">
      <w:pPr>
        <w:pStyle w:val="bullet1"/>
        <w:numPr>
          <w:ilvl w:val="0"/>
          <w:numId w:val="13"/>
        </w:numPr>
        <w:rPr>
          <w:rStyle w:val="Hyperlink"/>
          <w:color w:val="auto"/>
          <w:u w:val="none"/>
        </w:rPr>
      </w:pPr>
      <w:r>
        <w:t xml:space="preserve">ICH Guidelines for GCP E6(R2): </w:t>
      </w:r>
      <w:hyperlink r:id="rId32" w:tooltip="Link to ICH Guidelines for GCP E6(R2)" w:history="1">
        <w:r>
          <w:rPr>
            <w:rStyle w:val="Hyperlink"/>
            <w:rFonts w:eastAsiaTheme="minorHAnsi"/>
          </w:rPr>
          <w:t>https://www.ema.europa.eu/en/documents/scientific-guideline/ich-e-6-r2-guideline-good-clinical-practice-step-5_en.pdf</w:t>
        </w:r>
      </w:hyperlink>
    </w:p>
    <w:p w14:paraId="3947D0CA" w14:textId="7AD4E732" w:rsidR="00007DC7" w:rsidRDefault="00007DC7" w:rsidP="00966396">
      <w:pPr>
        <w:pStyle w:val="bullet1"/>
        <w:numPr>
          <w:ilvl w:val="0"/>
          <w:numId w:val="13"/>
        </w:numPr>
      </w:pPr>
      <w:r>
        <w:t xml:space="preserve">IRAS Amendment Tool guidance: </w:t>
      </w:r>
      <w:r w:rsidRPr="00007DC7">
        <w:t>https://www.myresearchproject.org.uk/help/hlpamendments.aspx</w:t>
      </w:r>
      <w:hyperlink r:id="rId33" w:tooltip="Link to guidance about IRAS Amendment Tool" w:history="1">
        <w:r w:rsidRPr="00007DC7">
          <w:rPr>
            <w:rStyle w:val="Hyperlink"/>
          </w:rPr>
          <w:t>https://www.myresearchproject.org.uk/help/hlpamendments.aspx</w:t>
        </w:r>
      </w:hyperlink>
    </w:p>
    <w:p w14:paraId="02916983" w14:textId="3A8120EB" w:rsidR="00966396" w:rsidRDefault="00966396" w:rsidP="00966396">
      <w:pPr>
        <w:pStyle w:val="bullet1"/>
        <w:numPr>
          <w:ilvl w:val="0"/>
          <w:numId w:val="13"/>
        </w:numPr>
      </w:pPr>
      <w:r>
        <w:t xml:space="preserve">MHRA guidance on clinical trials for medicines; applying for authorisation in the UK: </w:t>
      </w:r>
      <w:hyperlink r:id="rId34" w:tooltip="Link to MHRA guidance on clinical trials for medicines; applying for authorisation in the UK." w:history="1">
        <w:r>
          <w:rPr>
            <w:rStyle w:val="Hyperlink"/>
            <w:rFonts w:eastAsiaTheme="minorHAnsi"/>
          </w:rPr>
          <w:t>https://www.gov.uk/guidance/clinical-trials-for-medicines-apply-for-authorisation-in-the-uk</w:t>
        </w:r>
      </w:hyperlink>
    </w:p>
    <w:p w14:paraId="1F896BD5" w14:textId="4476B773" w:rsidR="00966396" w:rsidRDefault="00966396" w:rsidP="00966396">
      <w:pPr>
        <w:pStyle w:val="bullet1"/>
        <w:numPr>
          <w:ilvl w:val="0"/>
          <w:numId w:val="13"/>
        </w:numPr>
      </w:pPr>
      <w:r>
        <w:t xml:space="preserve">Spirit 2013 Checklist: Recommended items to address in a clinical trial protocol and related documents: </w:t>
      </w:r>
      <w:hyperlink r:id="rId35" w:tooltip="Link to SPIRIT 2013 Checklist." w:history="1">
        <w:r>
          <w:rPr>
            <w:rStyle w:val="Hyperlink"/>
            <w:rFonts w:eastAsiaTheme="minorHAnsi"/>
          </w:rPr>
          <w:t>http://www.spirit-statement.org/wp-content/uploads/2013/01/SPIRIT-Checklist-download-8Jan13.pdf</w:t>
        </w:r>
      </w:hyperlink>
      <w:r>
        <w:t xml:space="preserve"> </w:t>
      </w:r>
    </w:p>
    <w:p w14:paraId="75FA886B" w14:textId="5A501CC7" w:rsidR="00966396" w:rsidRPr="006103A8" w:rsidRDefault="00966396" w:rsidP="00966396">
      <w:pPr>
        <w:pStyle w:val="bullet1"/>
        <w:numPr>
          <w:ilvl w:val="0"/>
          <w:numId w:val="13"/>
        </w:numPr>
        <w:rPr>
          <w:rStyle w:val="Hyperlink"/>
          <w:color w:val="auto"/>
          <w:u w:val="none"/>
        </w:rPr>
      </w:pPr>
      <w:proofErr w:type="spellStart"/>
      <w:r>
        <w:t>UoB</w:t>
      </w:r>
      <w:proofErr w:type="spellEnd"/>
      <w:r>
        <w:t xml:space="preserve"> CI Declaration: </w:t>
      </w:r>
      <w:hyperlink r:id="rId36" w:tooltip="Link to University of Birmingham's declaration by the chief investigator." w:history="1">
        <w:r w:rsidRPr="00B35D4E">
          <w:rPr>
            <w:rStyle w:val="Hyperlink"/>
          </w:rPr>
          <w:t>https://intranet.birmingham.ac.uk/finance/documents/public/rgt/Internal-CI-Agreement-UoB-sponsor-UK-study-non-CTIMPs-V1.docx</w:t>
        </w:r>
      </w:hyperlink>
    </w:p>
    <w:p w14:paraId="4BD8C5E6" w14:textId="7D509056" w:rsidR="00DD7454" w:rsidRDefault="00DD7454" w:rsidP="00DD7454">
      <w:pPr>
        <w:pStyle w:val="bullet1"/>
        <w:numPr>
          <w:ilvl w:val="0"/>
          <w:numId w:val="13"/>
        </w:numPr>
      </w:pPr>
      <w:proofErr w:type="spellStart"/>
      <w:r w:rsidRPr="00E619A9">
        <w:rPr>
          <w:rStyle w:val="Hyperlink"/>
          <w:color w:val="auto"/>
        </w:rPr>
        <w:t>UoB</w:t>
      </w:r>
      <w:proofErr w:type="spellEnd"/>
      <w:r w:rsidRPr="00E619A9">
        <w:rPr>
          <w:rStyle w:val="Hyperlink"/>
          <w:color w:val="auto"/>
        </w:rPr>
        <w:t xml:space="preserve"> How the University uses your data: </w:t>
      </w:r>
      <w:hyperlink r:id="rId37" w:tooltip="Link to UoB webpage about how the University uses your data" w:history="1">
        <w:r w:rsidRPr="00DD7454">
          <w:rPr>
            <w:rStyle w:val="Hyperlink"/>
          </w:rPr>
          <w:t>https://www.birmingham.ac.uk/privacy/index.aspx</w:t>
        </w:r>
      </w:hyperlink>
    </w:p>
    <w:p w14:paraId="27507100" w14:textId="42D44931" w:rsidR="00966396" w:rsidRDefault="00966396" w:rsidP="00966396">
      <w:pPr>
        <w:pStyle w:val="bullet1"/>
        <w:numPr>
          <w:ilvl w:val="0"/>
          <w:numId w:val="13"/>
        </w:numPr>
      </w:pPr>
      <w:proofErr w:type="spellStart"/>
      <w:r>
        <w:t>UoB</w:t>
      </w:r>
      <w:proofErr w:type="spellEnd"/>
      <w:r>
        <w:t xml:space="preserve"> Information Classification Standard: </w:t>
      </w:r>
      <w:hyperlink r:id="rId38" w:tooltip="Link to Unversity of Birmingham's web page re. standard for security markings and classification of data assests." w:history="1">
        <w:r w:rsidRPr="00B53F01">
          <w:rPr>
            <w:rStyle w:val="Hyperlink"/>
            <w:rFonts w:eastAsiaTheme="minorHAnsi"/>
          </w:rPr>
          <w:t>https://collaborate.bham.ac.uk/it/itas/Published/Standards/Information%20Classification%20Standard.pdf</w:t>
        </w:r>
      </w:hyperlink>
    </w:p>
    <w:p w14:paraId="540BD7DA" w14:textId="2E52176F" w:rsidR="00966396" w:rsidRDefault="00966396" w:rsidP="00966396">
      <w:pPr>
        <w:pStyle w:val="Heading1"/>
      </w:pPr>
      <w:r w:rsidRPr="00522ABB">
        <w:t>Abbreviations</w:t>
      </w:r>
      <w:r>
        <w:t xml:space="preserve"> and </w:t>
      </w:r>
      <w:r w:rsidR="00660F21">
        <w:t>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966396" w14:paraId="0A570D40" w14:textId="77777777" w:rsidTr="00BE55C2">
        <w:trPr>
          <w:cantSplit/>
          <w:tblHeader/>
        </w:trPr>
        <w:tc>
          <w:tcPr>
            <w:tcW w:w="2462" w:type="dxa"/>
            <w:vAlign w:val="center"/>
          </w:tcPr>
          <w:p w14:paraId="6564B1A4" w14:textId="77777777" w:rsidR="00966396" w:rsidRPr="003D5BFC" w:rsidRDefault="00966396" w:rsidP="00BE55C2">
            <w:pPr>
              <w:pStyle w:val="Heading2"/>
            </w:pPr>
            <w:r w:rsidRPr="003D5BFC">
              <w:t>Term</w:t>
            </w:r>
          </w:p>
        </w:tc>
        <w:tc>
          <w:tcPr>
            <w:tcW w:w="6555" w:type="dxa"/>
            <w:vAlign w:val="center"/>
          </w:tcPr>
          <w:p w14:paraId="62FFCC8C" w14:textId="77777777" w:rsidR="00966396" w:rsidRPr="003D5BFC" w:rsidRDefault="00966396" w:rsidP="00BE55C2">
            <w:pPr>
              <w:pStyle w:val="Heading2"/>
            </w:pPr>
            <w:r w:rsidRPr="003D5BFC">
              <w:t>Description</w:t>
            </w:r>
          </w:p>
        </w:tc>
      </w:tr>
      <w:tr w:rsidR="00966396" w14:paraId="2608245A" w14:textId="77777777" w:rsidTr="00BE55C2">
        <w:trPr>
          <w:cantSplit/>
        </w:trPr>
        <w:tc>
          <w:tcPr>
            <w:tcW w:w="2462" w:type="dxa"/>
          </w:tcPr>
          <w:p w14:paraId="48A4036D" w14:textId="77777777" w:rsidR="00966396" w:rsidRPr="006334E2" w:rsidRDefault="00966396" w:rsidP="00BE55C2">
            <w:pPr>
              <w:pStyle w:val="AbbreviationsDefinitionsTerm"/>
            </w:pPr>
            <w:r>
              <w:t>CI</w:t>
            </w:r>
          </w:p>
        </w:tc>
        <w:tc>
          <w:tcPr>
            <w:tcW w:w="6555" w:type="dxa"/>
          </w:tcPr>
          <w:p w14:paraId="7D93B9BF" w14:textId="1E59BAFE" w:rsidR="00966396" w:rsidRDefault="00966396" w:rsidP="00BE55C2">
            <w:pPr>
              <w:rPr>
                <w:lang w:eastAsia="en-GB"/>
              </w:rPr>
            </w:pPr>
            <w:r>
              <w:rPr>
                <w:lang w:eastAsia="en-GB"/>
              </w:rPr>
              <w:t xml:space="preserve">Chief </w:t>
            </w:r>
            <w:r w:rsidR="00660F21">
              <w:rPr>
                <w:lang w:eastAsia="en-GB"/>
              </w:rPr>
              <w:t>investigator</w:t>
            </w:r>
          </w:p>
          <w:p w14:paraId="572448C2" w14:textId="002A9B48" w:rsidR="001A6EE2" w:rsidRPr="001A6EE2" w:rsidRDefault="001A6EE2" w:rsidP="001A6EE2"/>
        </w:tc>
      </w:tr>
      <w:tr w:rsidR="00966396" w14:paraId="30C2F493" w14:textId="77777777" w:rsidTr="00BE55C2">
        <w:trPr>
          <w:cantSplit/>
        </w:trPr>
        <w:tc>
          <w:tcPr>
            <w:tcW w:w="2462" w:type="dxa"/>
          </w:tcPr>
          <w:p w14:paraId="21675D6D" w14:textId="77777777" w:rsidR="00966396" w:rsidRPr="006334E2" w:rsidDel="00D034AF" w:rsidRDefault="00966396" w:rsidP="00BE55C2">
            <w:pPr>
              <w:pStyle w:val="AbbreviationsDefinitionsTerm"/>
            </w:pPr>
            <w:r w:rsidRPr="006334E2">
              <w:t>CRF</w:t>
            </w:r>
          </w:p>
        </w:tc>
        <w:tc>
          <w:tcPr>
            <w:tcW w:w="6555" w:type="dxa"/>
          </w:tcPr>
          <w:p w14:paraId="1577D214" w14:textId="6122F7F6" w:rsidR="00966396" w:rsidRPr="006334E2" w:rsidDel="00D034AF" w:rsidRDefault="00966396" w:rsidP="00BE55C2">
            <w:pPr>
              <w:rPr>
                <w:color w:val="000000" w:themeColor="text1"/>
              </w:rPr>
            </w:pPr>
            <w:r>
              <w:t xml:space="preserve">Case </w:t>
            </w:r>
            <w:r w:rsidR="00660F21">
              <w:t>report form</w:t>
            </w:r>
          </w:p>
        </w:tc>
      </w:tr>
      <w:tr w:rsidR="00966396" w14:paraId="708C7535" w14:textId="77777777" w:rsidTr="00BE55C2">
        <w:trPr>
          <w:cantSplit/>
        </w:trPr>
        <w:tc>
          <w:tcPr>
            <w:tcW w:w="2462" w:type="dxa"/>
          </w:tcPr>
          <w:p w14:paraId="422D84CB" w14:textId="77777777" w:rsidR="00966396" w:rsidDel="00E528D5" w:rsidRDefault="00966396" w:rsidP="00BE55C2">
            <w:pPr>
              <w:pStyle w:val="AbbreviationsDefinitionsTerm"/>
            </w:pPr>
            <w:r>
              <w:t>CTA</w:t>
            </w:r>
          </w:p>
        </w:tc>
        <w:tc>
          <w:tcPr>
            <w:tcW w:w="6555" w:type="dxa"/>
          </w:tcPr>
          <w:p w14:paraId="674C2DF8" w14:textId="3B456B1E" w:rsidR="00966396" w:rsidDel="00E528D5" w:rsidRDefault="00966396" w:rsidP="00BE55C2">
            <w:pPr>
              <w:rPr>
                <w:lang w:eastAsia="en-GB"/>
              </w:rPr>
            </w:pPr>
            <w:r>
              <w:rPr>
                <w:lang w:eastAsia="en-GB"/>
              </w:rPr>
              <w:t xml:space="preserve">Clinical </w:t>
            </w:r>
            <w:r w:rsidR="00660F21">
              <w:rPr>
                <w:lang w:eastAsia="en-GB"/>
              </w:rPr>
              <w:t>trial authorisation</w:t>
            </w:r>
          </w:p>
        </w:tc>
      </w:tr>
      <w:tr w:rsidR="00966396" w14:paraId="2B1E05B5" w14:textId="77777777" w:rsidTr="00BE55C2">
        <w:trPr>
          <w:cantSplit/>
        </w:trPr>
        <w:tc>
          <w:tcPr>
            <w:tcW w:w="2462" w:type="dxa"/>
          </w:tcPr>
          <w:p w14:paraId="57796498" w14:textId="77777777" w:rsidR="00966396" w:rsidRPr="006334E2" w:rsidRDefault="00966396" w:rsidP="00BE55C2">
            <w:pPr>
              <w:pStyle w:val="AbbreviationsDefinitionsTerm"/>
            </w:pPr>
            <w:r>
              <w:t>CTIMP</w:t>
            </w:r>
          </w:p>
        </w:tc>
        <w:tc>
          <w:tcPr>
            <w:tcW w:w="6555" w:type="dxa"/>
          </w:tcPr>
          <w:p w14:paraId="6714FC40" w14:textId="274FA649" w:rsidR="00966396" w:rsidRPr="006334E2" w:rsidRDefault="00966396" w:rsidP="00BE55C2">
            <w:r w:rsidDel="00D23866">
              <w:rPr>
                <w:lang w:eastAsia="en-GB"/>
              </w:rPr>
              <w:t xml:space="preserve">Clinical </w:t>
            </w:r>
            <w:r w:rsidR="00660F21">
              <w:rPr>
                <w:lang w:eastAsia="en-GB"/>
              </w:rPr>
              <w:t>t</w:t>
            </w:r>
            <w:r w:rsidR="00660F21" w:rsidDel="00D23866">
              <w:rPr>
                <w:lang w:eastAsia="en-GB"/>
              </w:rPr>
              <w:t xml:space="preserve">rial </w:t>
            </w:r>
            <w:r w:rsidDel="00D23866">
              <w:rPr>
                <w:lang w:eastAsia="en-GB"/>
              </w:rPr>
              <w:t xml:space="preserve">of an </w:t>
            </w:r>
            <w:r w:rsidR="00660F21">
              <w:rPr>
                <w:lang w:eastAsia="en-GB"/>
              </w:rPr>
              <w:t>i</w:t>
            </w:r>
            <w:r w:rsidR="00660F21" w:rsidDel="00D23866">
              <w:rPr>
                <w:lang w:eastAsia="en-GB"/>
              </w:rPr>
              <w:t xml:space="preserve">nvestigational </w:t>
            </w:r>
            <w:r w:rsidR="00660F21">
              <w:rPr>
                <w:lang w:eastAsia="en-GB"/>
              </w:rPr>
              <w:t>medicinal p</w:t>
            </w:r>
            <w:r w:rsidR="00660F21" w:rsidDel="00D23866">
              <w:rPr>
                <w:lang w:eastAsia="en-GB"/>
              </w:rPr>
              <w:t>roduct</w:t>
            </w:r>
          </w:p>
        </w:tc>
      </w:tr>
      <w:tr w:rsidR="00966396" w14:paraId="44BA2C5E" w14:textId="77777777" w:rsidTr="00BE55C2">
        <w:trPr>
          <w:cantSplit/>
        </w:trPr>
        <w:tc>
          <w:tcPr>
            <w:tcW w:w="2462" w:type="dxa"/>
          </w:tcPr>
          <w:p w14:paraId="39CDBE28" w14:textId="77777777" w:rsidR="00966396" w:rsidRPr="006334E2" w:rsidRDefault="00966396" w:rsidP="00BE55C2">
            <w:pPr>
              <w:pStyle w:val="AbbreviationsDefinitionsTerm"/>
            </w:pPr>
            <w:r>
              <w:t>CTU</w:t>
            </w:r>
          </w:p>
        </w:tc>
        <w:tc>
          <w:tcPr>
            <w:tcW w:w="6555" w:type="dxa"/>
          </w:tcPr>
          <w:p w14:paraId="2504D05C" w14:textId="7CD8955D" w:rsidR="00966396" w:rsidRPr="006334E2" w:rsidRDefault="00966396" w:rsidP="00BE55C2">
            <w:r w:rsidDel="00D23866">
              <w:rPr>
                <w:lang w:eastAsia="en-GB"/>
              </w:rPr>
              <w:t xml:space="preserve">Clinical </w:t>
            </w:r>
            <w:r w:rsidR="00660F21">
              <w:rPr>
                <w:lang w:eastAsia="en-GB"/>
              </w:rPr>
              <w:t>t</w:t>
            </w:r>
            <w:r w:rsidR="00660F21" w:rsidDel="00D23866">
              <w:rPr>
                <w:lang w:eastAsia="en-GB"/>
              </w:rPr>
              <w:t xml:space="preserve">rials </w:t>
            </w:r>
            <w:r w:rsidR="00660F21">
              <w:rPr>
                <w:lang w:eastAsia="en-GB"/>
              </w:rPr>
              <w:t>u</w:t>
            </w:r>
            <w:r w:rsidR="00660F21" w:rsidDel="00D23866">
              <w:rPr>
                <w:lang w:eastAsia="en-GB"/>
              </w:rPr>
              <w:t>nit</w:t>
            </w:r>
          </w:p>
        </w:tc>
      </w:tr>
      <w:tr w:rsidR="00966396" w14:paraId="5AA8C141" w14:textId="77777777" w:rsidTr="00BE55C2">
        <w:trPr>
          <w:cantSplit/>
        </w:trPr>
        <w:tc>
          <w:tcPr>
            <w:tcW w:w="2462" w:type="dxa"/>
          </w:tcPr>
          <w:p w14:paraId="3544EEE9" w14:textId="77777777" w:rsidR="00966396" w:rsidRPr="006334E2" w:rsidRDefault="00966396" w:rsidP="00BE55C2">
            <w:pPr>
              <w:pStyle w:val="AbbreviationsDefinitionsTerm"/>
            </w:pPr>
            <w:r>
              <w:t>GCP</w:t>
            </w:r>
          </w:p>
        </w:tc>
        <w:tc>
          <w:tcPr>
            <w:tcW w:w="6555" w:type="dxa"/>
          </w:tcPr>
          <w:p w14:paraId="308E358A" w14:textId="77777777" w:rsidR="00966396" w:rsidRPr="006334E2" w:rsidRDefault="00966396" w:rsidP="00BE55C2">
            <w:r>
              <w:t>Good Clinical Practice</w:t>
            </w:r>
          </w:p>
        </w:tc>
      </w:tr>
      <w:tr w:rsidR="00966396" w14:paraId="76026B93" w14:textId="77777777" w:rsidTr="00BE55C2">
        <w:trPr>
          <w:cantSplit/>
        </w:trPr>
        <w:tc>
          <w:tcPr>
            <w:tcW w:w="2462" w:type="dxa"/>
          </w:tcPr>
          <w:p w14:paraId="170AB774" w14:textId="77777777" w:rsidR="00966396" w:rsidRPr="006334E2" w:rsidRDefault="00966396" w:rsidP="00BE55C2">
            <w:pPr>
              <w:pStyle w:val="AbbreviationsDefinitionsTerm"/>
            </w:pPr>
            <w:r>
              <w:t>HRA</w:t>
            </w:r>
          </w:p>
        </w:tc>
        <w:tc>
          <w:tcPr>
            <w:tcW w:w="6555" w:type="dxa"/>
          </w:tcPr>
          <w:p w14:paraId="112C92A5" w14:textId="77777777" w:rsidR="00966396" w:rsidRPr="006334E2" w:rsidRDefault="00966396" w:rsidP="00BE55C2">
            <w:r>
              <w:t>Health Research Authority</w:t>
            </w:r>
          </w:p>
        </w:tc>
      </w:tr>
      <w:tr w:rsidR="00966396" w14:paraId="799CA8A6" w14:textId="77777777" w:rsidTr="00BE55C2">
        <w:trPr>
          <w:cantSplit/>
        </w:trPr>
        <w:tc>
          <w:tcPr>
            <w:tcW w:w="2462" w:type="dxa"/>
            <w:shd w:val="clear" w:color="auto" w:fill="auto"/>
          </w:tcPr>
          <w:p w14:paraId="55E5E9FA" w14:textId="77777777" w:rsidR="00966396" w:rsidRPr="00865770" w:rsidRDefault="00966396" w:rsidP="00BE55C2">
            <w:pPr>
              <w:pStyle w:val="AbbreviationsDefinitionsTerm"/>
            </w:pPr>
            <w:r w:rsidRPr="00865770">
              <w:t>HTA</w:t>
            </w:r>
          </w:p>
        </w:tc>
        <w:tc>
          <w:tcPr>
            <w:tcW w:w="6555" w:type="dxa"/>
            <w:shd w:val="clear" w:color="auto" w:fill="auto"/>
          </w:tcPr>
          <w:p w14:paraId="704DF428" w14:textId="77777777" w:rsidR="00966396" w:rsidRPr="00865770" w:rsidRDefault="00966396" w:rsidP="00BE55C2">
            <w:r w:rsidRPr="00865770">
              <w:t>Human Tissue Authority</w:t>
            </w:r>
          </w:p>
        </w:tc>
      </w:tr>
      <w:tr w:rsidR="00966396" w14:paraId="676FBCF1" w14:textId="77777777" w:rsidTr="00BE55C2">
        <w:trPr>
          <w:cantSplit/>
        </w:trPr>
        <w:tc>
          <w:tcPr>
            <w:tcW w:w="2462" w:type="dxa"/>
            <w:shd w:val="clear" w:color="auto" w:fill="auto"/>
          </w:tcPr>
          <w:p w14:paraId="09FEEDE8" w14:textId="77777777" w:rsidR="00966396" w:rsidRPr="00865770" w:rsidRDefault="00966396" w:rsidP="00BE55C2">
            <w:pPr>
              <w:pStyle w:val="AbbreviationsDefinitionsTerm"/>
            </w:pPr>
            <w:r w:rsidRPr="00865770">
              <w:t>IB</w:t>
            </w:r>
          </w:p>
        </w:tc>
        <w:tc>
          <w:tcPr>
            <w:tcW w:w="6555" w:type="dxa"/>
            <w:shd w:val="clear" w:color="auto" w:fill="auto"/>
          </w:tcPr>
          <w:p w14:paraId="13F98BAA" w14:textId="1BE6FC16" w:rsidR="00966396" w:rsidRPr="00865770" w:rsidRDefault="00966396" w:rsidP="00BE55C2">
            <w:pPr>
              <w:rPr>
                <w:lang w:val="en-US"/>
              </w:rPr>
            </w:pPr>
            <w:r w:rsidRPr="00865770">
              <w:t xml:space="preserve">Investigator </w:t>
            </w:r>
            <w:r w:rsidR="00660F21">
              <w:t>b</w:t>
            </w:r>
            <w:r w:rsidR="00660F21" w:rsidRPr="00865770">
              <w:t>rochure</w:t>
            </w:r>
          </w:p>
        </w:tc>
      </w:tr>
      <w:tr w:rsidR="00966396" w14:paraId="3ED855FD" w14:textId="77777777" w:rsidTr="00BE55C2">
        <w:trPr>
          <w:cantSplit/>
        </w:trPr>
        <w:tc>
          <w:tcPr>
            <w:tcW w:w="2462" w:type="dxa"/>
          </w:tcPr>
          <w:p w14:paraId="44B04EA1" w14:textId="77777777" w:rsidR="00966396" w:rsidRPr="006334E2" w:rsidRDefault="00966396" w:rsidP="00BE55C2">
            <w:pPr>
              <w:pStyle w:val="AbbreviationsDefinitionsTerm"/>
            </w:pPr>
            <w:r w:rsidRPr="006334E2">
              <w:lastRenderedPageBreak/>
              <w:t>ICF</w:t>
            </w:r>
          </w:p>
        </w:tc>
        <w:tc>
          <w:tcPr>
            <w:tcW w:w="6555" w:type="dxa"/>
          </w:tcPr>
          <w:p w14:paraId="3AC5519A" w14:textId="44D14506" w:rsidR="00966396" w:rsidRPr="006334E2" w:rsidRDefault="00966396" w:rsidP="00BE55C2">
            <w:pPr>
              <w:rPr>
                <w:color w:val="222222"/>
              </w:rPr>
            </w:pPr>
            <w:r w:rsidRPr="006334E2">
              <w:rPr>
                <w:lang w:val="en-US"/>
              </w:rPr>
              <w:t xml:space="preserve">Informed </w:t>
            </w:r>
            <w:r w:rsidR="00660F21">
              <w:rPr>
                <w:lang w:val="en-US"/>
              </w:rPr>
              <w:t>c</w:t>
            </w:r>
            <w:r w:rsidR="00660F21" w:rsidRPr="006334E2">
              <w:rPr>
                <w:lang w:val="en-US"/>
              </w:rPr>
              <w:t xml:space="preserve">onsent </w:t>
            </w:r>
            <w:r w:rsidR="00660F21">
              <w:rPr>
                <w:lang w:val="en-US"/>
              </w:rPr>
              <w:t>f</w:t>
            </w:r>
            <w:r w:rsidR="00660F21" w:rsidRPr="006334E2">
              <w:rPr>
                <w:lang w:val="en-US"/>
              </w:rPr>
              <w:t>orm</w:t>
            </w:r>
          </w:p>
        </w:tc>
      </w:tr>
      <w:tr w:rsidR="00966396" w14:paraId="2C000C67" w14:textId="77777777" w:rsidTr="00BE55C2">
        <w:trPr>
          <w:cantSplit/>
          <w:trHeight w:val="64"/>
        </w:trPr>
        <w:tc>
          <w:tcPr>
            <w:tcW w:w="2462" w:type="dxa"/>
          </w:tcPr>
          <w:p w14:paraId="68E7742E" w14:textId="77777777" w:rsidR="00966396" w:rsidRPr="006334E2" w:rsidRDefault="00966396" w:rsidP="00BE55C2">
            <w:pPr>
              <w:pStyle w:val="AbbreviationsDefinitionsTerm"/>
            </w:pPr>
            <w:r w:rsidRPr="006334E2">
              <w:t>IMP</w:t>
            </w:r>
          </w:p>
        </w:tc>
        <w:tc>
          <w:tcPr>
            <w:tcW w:w="6555" w:type="dxa"/>
          </w:tcPr>
          <w:p w14:paraId="1260F0BC" w14:textId="3C6D0F84" w:rsidR="00966396" w:rsidRPr="006334E2" w:rsidRDefault="00966396" w:rsidP="00BE55C2">
            <w:pPr>
              <w:rPr>
                <w:color w:val="222222"/>
              </w:rPr>
            </w:pPr>
            <w:r w:rsidRPr="006334E2" w:rsidDel="00466018">
              <w:rPr>
                <w:color w:val="222222"/>
              </w:rPr>
              <w:t xml:space="preserve">Investigational </w:t>
            </w:r>
            <w:r w:rsidR="00660F21">
              <w:rPr>
                <w:color w:val="222222"/>
              </w:rPr>
              <w:t>m</w:t>
            </w:r>
            <w:r w:rsidR="00660F21" w:rsidRPr="006334E2" w:rsidDel="00466018">
              <w:rPr>
                <w:color w:val="222222"/>
              </w:rPr>
              <w:t xml:space="preserve">edicinal </w:t>
            </w:r>
            <w:r w:rsidR="00660F21">
              <w:rPr>
                <w:color w:val="222222"/>
              </w:rPr>
              <w:t>p</w:t>
            </w:r>
            <w:r w:rsidR="00660F21" w:rsidRPr="006334E2" w:rsidDel="00466018">
              <w:rPr>
                <w:color w:val="222222"/>
              </w:rPr>
              <w:t>roduct</w:t>
            </w:r>
          </w:p>
        </w:tc>
      </w:tr>
      <w:tr w:rsidR="002758B9" w14:paraId="2A873572" w14:textId="77777777" w:rsidTr="00BE55C2">
        <w:trPr>
          <w:cantSplit/>
        </w:trPr>
        <w:tc>
          <w:tcPr>
            <w:tcW w:w="2462" w:type="dxa"/>
          </w:tcPr>
          <w:p w14:paraId="582C74E9" w14:textId="5944D589" w:rsidR="002758B9" w:rsidDel="007B24AA" w:rsidRDefault="002758B9" w:rsidP="002758B9">
            <w:pPr>
              <w:pStyle w:val="AbbreviationsDefinitionsTerm"/>
            </w:pPr>
            <w:r w:rsidRPr="006334E2">
              <w:t>IRAS</w:t>
            </w:r>
          </w:p>
        </w:tc>
        <w:tc>
          <w:tcPr>
            <w:tcW w:w="6555" w:type="dxa"/>
          </w:tcPr>
          <w:p w14:paraId="3C8DE496" w14:textId="40C0E095" w:rsidR="002758B9" w:rsidRDefault="002758B9" w:rsidP="002758B9">
            <w:pPr>
              <w:rPr>
                <w:rFonts w:asciiTheme="minorHAnsi" w:hAnsiTheme="minorHAnsi" w:cstheme="minorHAnsi"/>
              </w:rPr>
            </w:pPr>
            <w:r w:rsidRPr="006334E2">
              <w:rPr>
                <w:color w:val="222222"/>
              </w:rPr>
              <w:t>Integrated Research Application System</w:t>
            </w:r>
          </w:p>
        </w:tc>
      </w:tr>
      <w:tr w:rsidR="002758B9" w14:paraId="72482157" w14:textId="77777777" w:rsidTr="00BE55C2">
        <w:trPr>
          <w:cantSplit/>
        </w:trPr>
        <w:tc>
          <w:tcPr>
            <w:tcW w:w="2462" w:type="dxa"/>
          </w:tcPr>
          <w:p w14:paraId="18E8966D" w14:textId="77777777" w:rsidR="002758B9" w:rsidRPr="006334E2" w:rsidRDefault="002758B9" w:rsidP="002758B9">
            <w:pPr>
              <w:pStyle w:val="AbbreviationsDefinitionsTerm"/>
            </w:pPr>
            <w:r w:rsidDel="007B24AA">
              <w:t>ISF</w:t>
            </w:r>
          </w:p>
        </w:tc>
        <w:tc>
          <w:tcPr>
            <w:tcW w:w="6555" w:type="dxa"/>
          </w:tcPr>
          <w:p w14:paraId="2DDF8042" w14:textId="5C7B15C3" w:rsidR="002758B9" w:rsidRPr="006334E2" w:rsidRDefault="002758B9" w:rsidP="002758B9">
            <w:r>
              <w:rPr>
                <w:rFonts w:asciiTheme="minorHAnsi" w:hAnsiTheme="minorHAnsi" w:cstheme="minorHAnsi"/>
              </w:rPr>
              <w:t>Investigator site file. See ‘Site file’.</w:t>
            </w:r>
          </w:p>
        </w:tc>
      </w:tr>
      <w:tr w:rsidR="002758B9" w:rsidDel="007B24AA" w14:paraId="0B2455B4" w14:textId="77777777" w:rsidTr="00BE55C2">
        <w:trPr>
          <w:cantSplit/>
        </w:trPr>
        <w:tc>
          <w:tcPr>
            <w:tcW w:w="2462" w:type="dxa"/>
          </w:tcPr>
          <w:p w14:paraId="3E9B00E4" w14:textId="77777777" w:rsidR="002758B9" w:rsidRDefault="002758B9" w:rsidP="002758B9">
            <w:pPr>
              <w:pStyle w:val="AbbreviationsDefinitionsTerm"/>
              <w:rPr>
                <w:rFonts w:asciiTheme="minorHAnsi" w:hAnsiTheme="minorHAnsi" w:cstheme="minorHAnsi"/>
              </w:rPr>
            </w:pPr>
            <w:r>
              <w:rPr>
                <w:rFonts w:asciiTheme="minorHAnsi" w:hAnsiTheme="minorHAnsi" w:cstheme="minorHAnsi"/>
              </w:rPr>
              <w:t>LAL</w:t>
            </w:r>
          </w:p>
        </w:tc>
        <w:tc>
          <w:tcPr>
            <w:tcW w:w="6555" w:type="dxa"/>
          </w:tcPr>
          <w:p w14:paraId="5B7DFB73" w14:textId="46661FDA" w:rsidR="002758B9" w:rsidRDefault="002758B9" w:rsidP="002758B9">
            <w:r>
              <w:t>Laboratory academic lead</w:t>
            </w:r>
          </w:p>
        </w:tc>
      </w:tr>
      <w:tr w:rsidR="002758B9" w:rsidDel="007B24AA" w14:paraId="49AF70EB" w14:textId="77777777" w:rsidTr="00BE55C2">
        <w:trPr>
          <w:cantSplit/>
        </w:trPr>
        <w:tc>
          <w:tcPr>
            <w:tcW w:w="2462" w:type="dxa"/>
          </w:tcPr>
          <w:p w14:paraId="0BF89596" w14:textId="77777777" w:rsidR="002758B9" w:rsidDel="007B24AA" w:rsidRDefault="002758B9" w:rsidP="002758B9">
            <w:pPr>
              <w:pStyle w:val="AbbreviationsDefinitionsTerm"/>
            </w:pPr>
            <w:r>
              <w:rPr>
                <w:rFonts w:asciiTheme="minorHAnsi" w:hAnsiTheme="minorHAnsi" w:cstheme="minorHAnsi"/>
              </w:rPr>
              <w:t>LMF</w:t>
            </w:r>
          </w:p>
        </w:tc>
        <w:tc>
          <w:tcPr>
            <w:tcW w:w="6555" w:type="dxa"/>
          </w:tcPr>
          <w:p w14:paraId="5A8F6200" w14:textId="06F9C35F" w:rsidR="002758B9" w:rsidDel="007B24AA" w:rsidRDefault="002758B9" w:rsidP="002758B9">
            <w:pPr>
              <w:rPr>
                <w:lang w:val="en"/>
              </w:rPr>
            </w:pPr>
            <w:r>
              <w:rPr>
                <w:rFonts w:asciiTheme="minorHAnsi" w:hAnsiTheme="minorHAnsi" w:cstheme="minorHAnsi"/>
              </w:rPr>
              <w:t>Laboratory master file</w:t>
            </w:r>
          </w:p>
        </w:tc>
      </w:tr>
      <w:tr w:rsidR="002758B9" w:rsidDel="007B24AA" w14:paraId="66AF3EE4" w14:textId="77777777" w:rsidTr="00BE55C2">
        <w:trPr>
          <w:cantSplit/>
        </w:trPr>
        <w:tc>
          <w:tcPr>
            <w:tcW w:w="2462" w:type="dxa"/>
          </w:tcPr>
          <w:p w14:paraId="6A8BB5D2" w14:textId="77777777" w:rsidR="002758B9" w:rsidRDefault="002758B9" w:rsidP="002758B9">
            <w:pPr>
              <w:pStyle w:val="AbbreviationsDefinitionsTerm"/>
              <w:rPr>
                <w:rFonts w:asciiTheme="minorHAnsi" w:hAnsiTheme="minorHAnsi" w:cstheme="minorHAnsi"/>
              </w:rPr>
            </w:pPr>
            <w:r>
              <w:rPr>
                <w:rFonts w:asciiTheme="minorHAnsi" w:hAnsiTheme="minorHAnsi" w:cstheme="minorHAnsi"/>
              </w:rPr>
              <w:t>MHRA</w:t>
            </w:r>
          </w:p>
        </w:tc>
        <w:tc>
          <w:tcPr>
            <w:tcW w:w="6555" w:type="dxa"/>
          </w:tcPr>
          <w:p w14:paraId="0CCB19F3" w14:textId="77777777" w:rsidR="002758B9" w:rsidRDefault="002758B9" w:rsidP="002758B9">
            <w:bookmarkStart w:id="20" w:name="_Hlk77669277"/>
            <w:r>
              <w:t>Medicines and Healthcare products Regulatory Agency</w:t>
            </w:r>
            <w:bookmarkEnd w:id="20"/>
          </w:p>
        </w:tc>
      </w:tr>
      <w:tr w:rsidR="002758B9" w:rsidDel="007B24AA" w14:paraId="2E9DC24B" w14:textId="77777777" w:rsidTr="00BE55C2">
        <w:trPr>
          <w:cantSplit/>
        </w:trPr>
        <w:tc>
          <w:tcPr>
            <w:tcW w:w="2462" w:type="dxa"/>
          </w:tcPr>
          <w:p w14:paraId="6C0C92D5" w14:textId="77777777" w:rsidR="002758B9" w:rsidRDefault="002758B9" w:rsidP="002758B9">
            <w:pPr>
              <w:pStyle w:val="AbbreviationsDefinitionsTerm"/>
              <w:rPr>
                <w:rFonts w:asciiTheme="minorHAnsi" w:hAnsiTheme="minorHAnsi" w:cstheme="minorHAnsi"/>
              </w:rPr>
            </w:pPr>
            <w:r>
              <w:rPr>
                <w:rFonts w:asciiTheme="minorHAnsi" w:hAnsiTheme="minorHAnsi" w:cstheme="minorHAnsi"/>
              </w:rPr>
              <w:t>NIMP</w:t>
            </w:r>
          </w:p>
        </w:tc>
        <w:tc>
          <w:tcPr>
            <w:tcW w:w="6555" w:type="dxa"/>
          </w:tcPr>
          <w:p w14:paraId="3969E5B2" w14:textId="12286530" w:rsidR="002758B9" w:rsidRDefault="002758B9" w:rsidP="002758B9">
            <w:r>
              <w:t>Non-investigational medicinal product</w:t>
            </w:r>
          </w:p>
        </w:tc>
      </w:tr>
      <w:tr w:rsidR="002758B9" w14:paraId="1CDEB665" w14:textId="77777777" w:rsidTr="00BE55C2">
        <w:trPr>
          <w:cantSplit/>
        </w:trPr>
        <w:tc>
          <w:tcPr>
            <w:tcW w:w="2462" w:type="dxa"/>
          </w:tcPr>
          <w:p w14:paraId="75338EE9" w14:textId="77777777" w:rsidR="002758B9" w:rsidRPr="006334E2" w:rsidRDefault="002758B9" w:rsidP="002758B9">
            <w:pPr>
              <w:pStyle w:val="AbbreviationsDefinitionsTerm"/>
            </w:pPr>
            <w:r w:rsidRPr="006334E2">
              <w:t>PI</w:t>
            </w:r>
          </w:p>
        </w:tc>
        <w:tc>
          <w:tcPr>
            <w:tcW w:w="6555" w:type="dxa"/>
          </w:tcPr>
          <w:p w14:paraId="55FE6E6A" w14:textId="32BE9038" w:rsidR="002758B9" w:rsidRPr="006334E2" w:rsidDel="002925DE" w:rsidRDefault="002758B9" w:rsidP="002758B9">
            <w:r>
              <w:t>Principal investigator</w:t>
            </w:r>
          </w:p>
        </w:tc>
      </w:tr>
      <w:tr w:rsidR="002758B9" w14:paraId="3F502A4A" w14:textId="77777777" w:rsidTr="00BE55C2">
        <w:trPr>
          <w:cantSplit/>
        </w:trPr>
        <w:tc>
          <w:tcPr>
            <w:tcW w:w="2462" w:type="dxa"/>
          </w:tcPr>
          <w:p w14:paraId="27080B06" w14:textId="77777777" w:rsidR="002758B9" w:rsidRPr="006334E2" w:rsidRDefault="002758B9" w:rsidP="002758B9">
            <w:pPr>
              <w:pStyle w:val="AbbreviationsDefinitionsTerm"/>
            </w:pPr>
            <w:r w:rsidRPr="006334E2">
              <w:t>PIS</w:t>
            </w:r>
          </w:p>
        </w:tc>
        <w:tc>
          <w:tcPr>
            <w:tcW w:w="6555" w:type="dxa"/>
          </w:tcPr>
          <w:p w14:paraId="7A9B9FD8" w14:textId="10D493EA" w:rsidR="002758B9" w:rsidRPr="006334E2" w:rsidDel="0074655C" w:rsidRDefault="002758B9" w:rsidP="002758B9">
            <w:r w:rsidRPr="006334E2" w:rsidDel="002925DE">
              <w:t xml:space="preserve">Participant </w:t>
            </w:r>
            <w:r>
              <w:t>i</w:t>
            </w:r>
            <w:r w:rsidRPr="006334E2" w:rsidDel="002925DE">
              <w:t xml:space="preserve">nformation </w:t>
            </w:r>
            <w:r>
              <w:t>s</w:t>
            </w:r>
            <w:r w:rsidRPr="006334E2" w:rsidDel="002925DE">
              <w:t>heet</w:t>
            </w:r>
          </w:p>
        </w:tc>
      </w:tr>
      <w:tr w:rsidR="002758B9" w14:paraId="55A51F0F" w14:textId="77777777" w:rsidTr="00BE55C2">
        <w:trPr>
          <w:cantSplit/>
        </w:trPr>
        <w:tc>
          <w:tcPr>
            <w:tcW w:w="2462" w:type="dxa"/>
          </w:tcPr>
          <w:p w14:paraId="01732670" w14:textId="77777777" w:rsidR="002758B9" w:rsidRPr="006334E2" w:rsidRDefault="002758B9" w:rsidP="002758B9">
            <w:pPr>
              <w:pStyle w:val="AbbreviationsDefinitionsTerm"/>
            </w:pPr>
            <w:r>
              <w:t>QP</w:t>
            </w:r>
          </w:p>
        </w:tc>
        <w:tc>
          <w:tcPr>
            <w:tcW w:w="6555" w:type="dxa"/>
          </w:tcPr>
          <w:p w14:paraId="39964A17" w14:textId="463B29C3" w:rsidR="002758B9" w:rsidRPr="006334E2" w:rsidDel="002925DE" w:rsidRDefault="002758B9" w:rsidP="002758B9">
            <w:r>
              <w:t>Quality person</w:t>
            </w:r>
          </w:p>
        </w:tc>
      </w:tr>
      <w:tr w:rsidR="002758B9" w14:paraId="479232E4" w14:textId="77777777" w:rsidTr="00BE55C2">
        <w:trPr>
          <w:cantSplit/>
        </w:trPr>
        <w:tc>
          <w:tcPr>
            <w:tcW w:w="2462" w:type="dxa"/>
          </w:tcPr>
          <w:p w14:paraId="3AA56B6D" w14:textId="77777777" w:rsidR="002758B9" w:rsidRPr="006334E2" w:rsidRDefault="002758B9" w:rsidP="002758B9">
            <w:pPr>
              <w:pStyle w:val="AbbreviationsDefinitionsTerm"/>
            </w:pPr>
            <w:r>
              <w:t>REC</w:t>
            </w:r>
          </w:p>
        </w:tc>
        <w:tc>
          <w:tcPr>
            <w:tcW w:w="6555" w:type="dxa"/>
          </w:tcPr>
          <w:p w14:paraId="7716FA6E" w14:textId="1E94B9C0" w:rsidR="002758B9" w:rsidRPr="006334E2" w:rsidRDefault="002758B9" w:rsidP="002758B9">
            <w:pPr>
              <w:rPr>
                <w:color w:val="222222"/>
              </w:rPr>
            </w:pPr>
            <w:r>
              <w:t>Research ethics committee</w:t>
            </w:r>
          </w:p>
        </w:tc>
      </w:tr>
      <w:tr w:rsidR="002758B9" w14:paraId="2B7BF281" w14:textId="77777777" w:rsidTr="00BE55C2">
        <w:trPr>
          <w:cantSplit/>
        </w:trPr>
        <w:tc>
          <w:tcPr>
            <w:tcW w:w="2462" w:type="dxa"/>
            <w:vAlign w:val="center"/>
          </w:tcPr>
          <w:p w14:paraId="4EB72214" w14:textId="77777777" w:rsidR="002758B9" w:rsidRDefault="002758B9" w:rsidP="002758B9">
            <w:pPr>
              <w:pStyle w:val="AbbreviationsDefinitionsTerm"/>
            </w:pPr>
            <w:r w:rsidRPr="00155558">
              <w:t>RG</w:t>
            </w:r>
            <w:r>
              <w:t>T</w:t>
            </w:r>
          </w:p>
        </w:tc>
        <w:tc>
          <w:tcPr>
            <w:tcW w:w="6555" w:type="dxa"/>
            <w:vAlign w:val="center"/>
          </w:tcPr>
          <w:p w14:paraId="62A33D85" w14:textId="77777777" w:rsidR="002758B9" w:rsidRPr="006301D5" w:rsidRDefault="002758B9" w:rsidP="002758B9">
            <w:r w:rsidRPr="00A22FF7">
              <w:rPr>
                <w:rFonts w:asciiTheme="minorHAnsi" w:hAnsiTheme="minorHAnsi" w:cstheme="minorHAnsi"/>
              </w:rPr>
              <w:t>Research Governance Team</w:t>
            </w:r>
          </w:p>
        </w:tc>
      </w:tr>
      <w:tr w:rsidR="002758B9" w14:paraId="6355D508" w14:textId="77777777" w:rsidTr="00BE55C2">
        <w:trPr>
          <w:cantSplit/>
        </w:trPr>
        <w:tc>
          <w:tcPr>
            <w:tcW w:w="2462" w:type="dxa"/>
            <w:vAlign w:val="center"/>
          </w:tcPr>
          <w:p w14:paraId="4D131AE0" w14:textId="77777777" w:rsidR="002758B9" w:rsidRPr="00155558" w:rsidDel="00525422" w:rsidRDefault="002758B9" w:rsidP="002758B9">
            <w:pPr>
              <w:pStyle w:val="AbbreviationsDefinitionsTerm"/>
            </w:pPr>
            <w:r>
              <w:t>RSI</w:t>
            </w:r>
          </w:p>
        </w:tc>
        <w:tc>
          <w:tcPr>
            <w:tcW w:w="6555" w:type="dxa"/>
            <w:vAlign w:val="center"/>
          </w:tcPr>
          <w:p w14:paraId="70FADF4F" w14:textId="483B34E7" w:rsidR="002758B9" w:rsidRPr="00525422" w:rsidDel="00525422" w:rsidRDefault="002758B9" w:rsidP="002758B9">
            <w:pPr>
              <w:rPr>
                <w:rFonts w:asciiTheme="minorHAnsi" w:hAnsiTheme="minorHAnsi" w:cstheme="minorHAnsi"/>
              </w:rPr>
            </w:pPr>
            <w:r>
              <w:rPr>
                <w:rFonts w:asciiTheme="minorHAnsi" w:hAnsiTheme="minorHAnsi" w:cstheme="minorHAnsi"/>
              </w:rPr>
              <w:t xml:space="preserve">Reference safety </w:t>
            </w:r>
            <w:r w:rsidR="002E17F3">
              <w:rPr>
                <w:rFonts w:asciiTheme="minorHAnsi" w:hAnsiTheme="minorHAnsi" w:cstheme="minorHAnsi"/>
              </w:rPr>
              <w:t>information</w:t>
            </w:r>
          </w:p>
        </w:tc>
      </w:tr>
      <w:tr w:rsidR="002758B9" w14:paraId="4CA86BDD" w14:textId="77777777" w:rsidTr="00BE55C2">
        <w:trPr>
          <w:cantSplit/>
        </w:trPr>
        <w:tc>
          <w:tcPr>
            <w:tcW w:w="2462" w:type="dxa"/>
            <w:vAlign w:val="center"/>
          </w:tcPr>
          <w:p w14:paraId="6EDA6D25" w14:textId="7A2E5971" w:rsidR="002758B9" w:rsidRPr="00155558" w:rsidDel="00525422" w:rsidRDefault="002758B9" w:rsidP="002758B9">
            <w:pPr>
              <w:pStyle w:val="AbbreviationsDefinitionsTerm"/>
            </w:pPr>
            <w:r>
              <w:t xml:space="preserve">Site </w:t>
            </w:r>
            <w:r w:rsidR="00B4323E">
              <w:t>file</w:t>
            </w:r>
          </w:p>
        </w:tc>
        <w:tc>
          <w:tcPr>
            <w:tcW w:w="6555" w:type="dxa"/>
            <w:vAlign w:val="center"/>
          </w:tcPr>
          <w:p w14:paraId="4C9A0B18" w14:textId="72D9655C" w:rsidR="002758B9" w:rsidRPr="00525422" w:rsidDel="00525422" w:rsidRDefault="002758B9" w:rsidP="002758B9">
            <w:pPr>
              <w:rPr>
                <w:rFonts w:asciiTheme="minorHAnsi" w:hAnsiTheme="minorHAnsi" w:cstheme="minorHAnsi"/>
              </w:rPr>
            </w:pPr>
            <w:r w:rsidRPr="002E53DC">
              <w:rPr>
                <w:rFonts w:asciiTheme="minorHAnsi" w:hAnsiTheme="minorHAnsi" w:cstheme="minorHAnsi"/>
              </w:rPr>
              <w:t xml:space="preserve">The </w:t>
            </w:r>
            <w:r w:rsidR="00B4323E">
              <w:rPr>
                <w:rFonts w:asciiTheme="minorHAnsi" w:hAnsiTheme="minorHAnsi" w:cstheme="minorHAnsi"/>
              </w:rPr>
              <w:t>s</w:t>
            </w:r>
            <w:r w:rsidR="00B4323E" w:rsidRPr="002E53DC">
              <w:rPr>
                <w:rFonts w:asciiTheme="minorHAnsi" w:hAnsiTheme="minorHAnsi" w:cstheme="minorHAnsi"/>
              </w:rPr>
              <w:t xml:space="preserve">ite </w:t>
            </w:r>
            <w:r w:rsidR="00B4323E">
              <w:rPr>
                <w:rFonts w:asciiTheme="minorHAnsi" w:hAnsiTheme="minorHAnsi" w:cstheme="minorHAnsi"/>
              </w:rPr>
              <w:t>f</w:t>
            </w:r>
            <w:r w:rsidR="00B4323E" w:rsidRPr="002E53DC">
              <w:rPr>
                <w:rFonts w:asciiTheme="minorHAnsi" w:hAnsiTheme="minorHAnsi" w:cstheme="minorHAnsi"/>
              </w:rPr>
              <w:t xml:space="preserve">ile </w:t>
            </w:r>
            <w:r w:rsidRPr="002E53DC">
              <w:rPr>
                <w:rFonts w:asciiTheme="minorHAnsi" w:hAnsiTheme="minorHAnsi" w:cstheme="minorHAnsi"/>
              </w:rPr>
              <w:t xml:space="preserve">contains all </w:t>
            </w:r>
            <w:r w:rsidR="00B4323E">
              <w:rPr>
                <w:rFonts w:asciiTheme="minorHAnsi" w:hAnsiTheme="minorHAnsi" w:cstheme="minorHAnsi"/>
              </w:rPr>
              <w:t xml:space="preserve">the </w:t>
            </w:r>
            <w:r w:rsidRPr="002E53DC">
              <w:rPr>
                <w:rFonts w:asciiTheme="minorHAnsi" w:hAnsiTheme="minorHAnsi" w:cstheme="minorHAnsi"/>
              </w:rPr>
              <w:t xml:space="preserve">essential documents held by </w:t>
            </w:r>
            <w:r w:rsidR="00B4323E">
              <w:rPr>
                <w:rFonts w:asciiTheme="minorHAnsi" w:hAnsiTheme="minorHAnsi" w:cstheme="minorHAnsi"/>
              </w:rPr>
              <w:t>p</w:t>
            </w:r>
            <w:r w:rsidR="00B4323E" w:rsidRPr="002E53DC">
              <w:rPr>
                <w:rFonts w:asciiTheme="minorHAnsi" w:hAnsiTheme="minorHAnsi" w:cstheme="minorHAnsi"/>
              </w:rPr>
              <w:t xml:space="preserve">rincipal </w:t>
            </w:r>
            <w:r w:rsidR="00B4323E">
              <w:rPr>
                <w:rFonts w:asciiTheme="minorHAnsi" w:hAnsiTheme="minorHAnsi" w:cstheme="minorHAnsi"/>
              </w:rPr>
              <w:t>i</w:t>
            </w:r>
            <w:r w:rsidRPr="002E53DC">
              <w:rPr>
                <w:rFonts w:asciiTheme="minorHAnsi" w:hAnsiTheme="minorHAnsi" w:cstheme="minorHAnsi"/>
              </w:rPr>
              <w:t xml:space="preserve">nvestigator(s) conducting a trial which individually and collectively permit the evaluation of the conduct of a trial and the quality of the data produced. Also known as the </w:t>
            </w:r>
            <w:r w:rsidR="00B4323E">
              <w:rPr>
                <w:rFonts w:asciiTheme="minorHAnsi" w:hAnsiTheme="minorHAnsi" w:cstheme="minorHAnsi"/>
              </w:rPr>
              <w:t>i</w:t>
            </w:r>
            <w:r w:rsidR="00B4323E" w:rsidRPr="002E53DC">
              <w:rPr>
                <w:rFonts w:asciiTheme="minorHAnsi" w:hAnsiTheme="minorHAnsi" w:cstheme="minorHAnsi"/>
              </w:rPr>
              <w:t xml:space="preserve">nvestigator </w:t>
            </w:r>
            <w:r w:rsidR="00B4323E">
              <w:rPr>
                <w:rFonts w:asciiTheme="minorHAnsi" w:hAnsiTheme="minorHAnsi" w:cstheme="minorHAnsi"/>
              </w:rPr>
              <w:t>s</w:t>
            </w:r>
            <w:r w:rsidR="00B4323E" w:rsidRPr="002E53DC">
              <w:rPr>
                <w:rFonts w:asciiTheme="minorHAnsi" w:hAnsiTheme="minorHAnsi" w:cstheme="minorHAnsi"/>
              </w:rPr>
              <w:t xml:space="preserve">ite </w:t>
            </w:r>
            <w:r w:rsidR="00B4323E">
              <w:rPr>
                <w:rFonts w:asciiTheme="minorHAnsi" w:hAnsiTheme="minorHAnsi" w:cstheme="minorHAnsi"/>
              </w:rPr>
              <w:t>f</w:t>
            </w:r>
            <w:r w:rsidR="00B4323E" w:rsidRPr="002E53DC">
              <w:rPr>
                <w:rFonts w:asciiTheme="minorHAnsi" w:hAnsiTheme="minorHAnsi" w:cstheme="minorHAnsi"/>
              </w:rPr>
              <w:t xml:space="preserve">ile </w:t>
            </w:r>
            <w:r w:rsidRPr="002E53DC">
              <w:rPr>
                <w:rFonts w:asciiTheme="minorHAnsi" w:hAnsiTheme="minorHAnsi" w:cstheme="minorHAnsi"/>
              </w:rPr>
              <w:t>(ISF).</w:t>
            </w:r>
          </w:p>
        </w:tc>
      </w:tr>
      <w:tr w:rsidR="002758B9" w14:paraId="40645C0F" w14:textId="77777777" w:rsidTr="00BE55C2">
        <w:trPr>
          <w:cantSplit/>
          <w:trHeight w:val="70"/>
        </w:trPr>
        <w:tc>
          <w:tcPr>
            <w:tcW w:w="2462" w:type="dxa"/>
          </w:tcPr>
          <w:p w14:paraId="743ED672" w14:textId="77777777" w:rsidR="002758B9" w:rsidRDefault="002758B9" w:rsidP="002758B9">
            <w:pPr>
              <w:pStyle w:val="AbbreviationsDefinitionsTerm"/>
            </w:pPr>
            <w:r>
              <w:t>SmPC</w:t>
            </w:r>
          </w:p>
        </w:tc>
        <w:tc>
          <w:tcPr>
            <w:tcW w:w="6555" w:type="dxa"/>
          </w:tcPr>
          <w:p w14:paraId="29B5D976" w14:textId="737E8EBC" w:rsidR="002758B9" w:rsidRDefault="002758B9" w:rsidP="002758B9">
            <w:pPr>
              <w:rPr>
                <w:lang w:eastAsia="en-GB"/>
              </w:rPr>
            </w:pPr>
            <w:r>
              <w:rPr>
                <w:lang w:eastAsia="en-GB"/>
              </w:rPr>
              <w:t xml:space="preserve">Summary of </w:t>
            </w:r>
            <w:r w:rsidR="00B4323E">
              <w:rPr>
                <w:lang w:eastAsia="en-GB"/>
              </w:rPr>
              <w:t>product characteristics</w:t>
            </w:r>
          </w:p>
        </w:tc>
      </w:tr>
      <w:tr w:rsidR="002758B9" w14:paraId="70F893AC" w14:textId="77777777" w:rsidTr="00BE55C2">
        <w:trPr>
          <w:cantSplit/>
          <w:trHeight w:val="70"/>
        </w:trPr>
        <w:tc>
          <w:tcPr>
            <w:tcW w:w="2462" w:type="dxa"/>
          </w:tcPr>
          <w:p w14:paraId="652C7D45" w14:textId="77777777" w:rsidR="002758B9" w:rsidRDefault="002758B9" w:rsidP="002758B9">
            <w:pPr>
              <w:pStyle w:val="AbbreviationsDefinitionsTerm"/>
            </w:pPr>
            <w:r>
              <w:t>SOP</w:t>
            </w:r>
          </w:p>
        </w:tc>
        <w:tc>
          <w:tcPr>
            <w:tcW w:w="6555" w:type="dxa"/>
          </w:tcPr>
          <w:p w14:paraId="76CEA764" w14:textId="25299651" w:rsidR="002758B9" w:rsidRPr="006D57DE" w:rsidDel="00525422" w:rsidRDefault="002758B9" w:rsidP="002758B9">
            <w:pPr>
              <w:rPr>
                <w:lang w:eastAsia="en-GB"/>
              </w:rPr>
            </w:pPr>
            <w:r>
              <w:rPr>
                <w:lang w:eastAsia="en-GB"/>
              </w:rPr>
              <w:t xml:space="preserve">Standard </w:t>
            </w:r>
            <w:r w:rsidR="00B4323E">
              <w:rPr>
                <w:lang w:eastAsia="en-GB"/>
              </w:rPr>
              <w:t>operating procedure</w:t>
            </w:r>
          </w:p>
        </w:tc>
      </w:tr>
      <w:tr w:rsidR="002758B9" w14:paraId="7FB2D765" w14:textId="77777777" w:rsidTr="00BE55C2">
        <w:trPr>
          <w:cantSplit/>
          <w:trHeight w:val="70"/>
        </w:trPr>
        <w:tc>
          <w:tcPr>
            <w:tcW w:w="2462" w:type="dxa"/>
          </w:tcPr>
          <w:p w14:paraId="13270147" w14:textId="2299DF5B" w:rsidR="002758B9" w:rsidRDefault="002758B9" w:rsidP="002758B9">
            <w:pPr>
              <w:pStyle w:val="AbbreviationsDefinitionsTerm"/>
            </w:pPr>
            <w:r>
              <w:t>SS&amp;DL</w:t>
            </w:r>
          </w:p>
        </w:tc>
        <w:tc>
          <w:tcPr>
            <w:tcW w:w="6555" w:type="dxa"/>
          </w:tcPr>
          <w:p w14:paraId="5A68C0A1" w14:textId="390BE88E" w:rsidR="002758B9" w:rsidRPr="007B40BA" w:rsidRDefault="002758B9" w:rsidP="002758B9">
            <w:r>
              <w:t>Site signature and delegation log</w:t>
            </w:r>
          </w:p>
        </w:tc>
      </w:tr>
      <w:tr w:rsidR="002758B9" w14:paraId="35936F2D" w14:textId="77777777" w:rsidTr="00BE55C2">
        <w:trPr>
          <w:cantSplit/>
          <w:trHeight w:val="70"/>
        </w:trPr>
        <w:tc>
          <w:tcPr>
            <w:tcW w:w="2462" w:type="dxa"/>
          </w:tcPr>
          <w:p w14:paraId="0B462081" w14:textId="625D4E0A" w:rsidR="002758B9" w:rsidRPr="006334E2" w:rsidRDefault="002758B9" w:rsidP="002758B9">
            <w:pPr>
              <w:pStyle w:val="AbbreviationsDefinitionsTerm"/>
            </w:pPr>
            <w:r>
              <w:t>Study/</w:t>
            </w:r>
            <w:r w:rsidR="00B4323E">
              <w:t xml:space="preserve">trial master file </w:t>
            </w:r>
            <w:r>
              <w:t>(S/TMF)</w:t>
            </w:r>
          </w:p>
        </w:tc>
        <w:tc>
          <w:tcPr>
            <w:tcW w:w="6555" w:type="dxa"/>
          </w:tcPr>
          <w:p w14:paraId="1C59A173" w14:textId="052EDB83" w:rsidR="002758B9" w:rsidRPr="006334E2" w:rsidRDefault="002758B9" w:rsidP="002758B9">
            <w:pPr>
              <w:rPr>
                <w:color w:val="222222"/>
              </w:rPr>
            </w:pPr>
            <w:r w:rsidRPr="007B40BA">
              <w:t xml:space="preserve">The </w:t>
            </w:r>
            <w:r w:rsidR="00B4323E">
              <w:t>s</w:t>
            </w:r>
            <w:r w:rsidR="00B4323E" w:rsidRPr="007B40BA">
              <w:t>tudy</w:t>
            </w:r>
            <w:r>
              <w:t>/</w:t>
            </w:r>
            <w:r w:rsidR="00B4323E">
              <w:t xml:space="preserve">trial master file </w:t>
            </w:r>
            <w:r>
              <w:t>consists of essential d</w:t>
            </w:r>
            <w:r w:rsidRPr="007B40BA">
              <w:t xml:space="preserve">ocuments kept at the </w:t>
            </w:r>
            <w:r w:rsidR="00B4323E">
              <w:t>s</w:t>
            </w:r>
            <w:r w:rsidR="00B4323E" w:rsidRPr="007B40BA">
              <w:t xml:space="preserve">ponsor </w:t>
            </w:r>
            <w:r w:rsidRPr="007B40BA">
              <w:t>(or delegate) site, which enable</w:t>
            </w:r>
            <w:r>
              <w:t>s</w:t>
            </w:r>
            <w:r w:rsidRPr="007B40BA">
              <w:t xml:space="preserve"> both the conduc</w:t>
            </w:r>
            <w:r>
              <w:t xml:space="preserve">t of a clinical study/trial </w:t>
            </w:r>
            <w:r w:rsidRPr="007B40BA">
              <w:t>and the quality of the data produced to be evaluated. The filing system can be in the form of a single file, or a number of files as deemed most appropriate.</w:t>
            </w:r>
          </w:p>
        </w:tc>
      </w:tr>
      <w:tr w:rsidR="002758B9" w14:paraId="54D458C7" w14:textId="77777777" w:rsidTr="00BE55C2">
        <w:trPr>
          <w:cantSplit/>
          <w:trHeight w:val="70"/>
        </w:trPr>
        <w:tc>
          <w:tcPr>
            <w:tcW w:w="2462" w:type="dxa"/>
          </w:tcPr>
          <w:p w14:paraId="741CE63D" w14:textId="77777777" w:rsidR="002758B9" w:rsidRPr="006334E2" w:rsidRDefault="002758B9" w:rsidP="002758B9">
            <w:pPr>
              <w:pStyle w:val="AbbreviationsDefinitionsTerm"/>
            </w:pPr>
            <w:proofErr w:type="spellStart"/>
            <w:r w:rsidRPr="006334E2">
              <w:t>UoB</w:t>
            </w:r>
            <w:proofErr w:type="spellEnd"/>
          </w:p>
        </w:tc>
        <w:tc>
          <w:tcPr>
            <w:tcW w:w="6555" w:type="dxa"/>
          </w:tcPr>
          <w:p w14:paraId="13B9AAA6" w14:textId="77777777" w:rsidR="002758B9" w:rsidRPr="006334E2" w:rsidRDefault="002758B9" w:rsidP="002758B9">
            <w:r w:rsidRPr="006334E2">
              <w:t>University of Birmingham</w:t>
            </w:r>
          </w:p>
        </w:tc>
      </w:tr>
    </w:tbl>
    <w:p w14:paraId="4309CF60" w14:textId="3656559C" w:rsidR="000374CB" w:rsidRDefault="00966396">
      <w:r w:rsidRPr="009C2C63">
        <w:t xml:space="preserve">See also the </w:t>
      </w:r>
      <w:hyperlink r:id="rId39" w:tooltip="Link to CRCT Glossary of Terms" w:history="1">
        <w:r w:rsidRPr="00242A7B">
          <w:rPr>
            <w:rStyle w:val="Hyperlink"/>
          </w:rPr>
          <w:t>Glossary of Terms</w:t>
        </w:r>
      </w:hyperlink>
      <w:r w:rsidRPr="009C2C63">
        <w:t>.</w:t>
      </w:r>
    </w:p>
    <w:sectPr w:rsidR="000374CB" w:rsidSect="003A24EB">
      <w:headerReference w:type="even" r:id="rId40"/>
      <w:headerReference w:type="default" r:id="rId41"/>
      <w:footerReference w:type="even" r:id="rId42"/>
      <w:footerReference w:type="default" r:id="rId43"/>
      <w:headerReference w:type="first" r:id="rId44"/>
      <w:footerReference w:type="first" r:id="rId45"/>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5CF7A" w14:textId="77777777" w:rsidR="00352C4E" w:rsidRDefault="00352C4E" w:rsidP="00F46DE6">
      <w:r>
        <w:separator/>
      </w:r>
    </w:p>
    <w:p w14:paraId="3DD54BCB" w14:textId="77777777" w:rsidR="00352C4E" w:rsidRDefault="00352C4E" w:rsidP="00F46DE6"/>
  </w:endnote>
  <w:endnote w:type="continuationSeparator" w:id="0">
    <w:p w14:paraId="6068FABB" w14:textId="77777777" w:rsidR="00352C4E" w:rsidRDefault="00352C4E" w:rsidP="00F46DE6">
      <w:r>
        <w:continuationSeparator/>
      </w:r>
    </w:p>
    <w:p w14:paraId="3667C40E" w14:textId="77777777" w:rsidR="00352C4E" w:rsidRDefault="00352C4E" w:rsidP="00F46DE6"/>
  </w:endnote>
  <w:endnote w:type="continuationNotice" w:id="1">
    <w:p w14:paraId="37553CA8" w14:textId="77777777" w:rsidR="00352C4E" w:rsidRDefault="00352C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BE03" w14:textId="77777777" w:rsidR="00BE55C2" w:rsidRDefault="00BE55C2" w:rsidP="00276842">
    <w:pPr>
      <w:pStyle w:val="propertystatement"/>
    </w:pPr>
    <w:r w:rsidRPr="002D6577">
      <w:t xml:space="preserve">Property of </w:t>
    </w:r>
    <w:r>
      <w:t xml:space="preserve">the </w:t>
    </w:r>
    <w:r w:rsidRPr="002D6577">
      <w:t>University of Birmingham, Vincent Drive, Edgbaston, Birmingham, B15 2TT, United Kingdom</w:t>
    </w:r>
  </w:p>
  <w:p w14:paraId="768D69A1" w14:textId="77777777" w:rsidR="00BE55C2" w:rsidRPr="001348DC" w:rsidRDefault="00BE55C2" w:rsidP="00DD3075">
    <w:pPr>
      <w:pStyle w:val="propertystatement"/>
    </w:pPr>
    <w:r w:rsidRPr="001348DC">
      <w:t>Copies are only valid for 14 days and may be subject to amendment a</w:t>
    </w:r>
    <w:r>
      <w:t>t any time. For the latest version refer to:</w:t>
    </w:r>
    <w:r w:rsidRPr="001348DC">
      <w:t xml:space="preserve"> </w:t>
    </w:r>
  </w:p>
  <w:p w14:paraId="2A1A3EF3" w14:textId="77777777" w:rsidR="00BE55C2" w:rsidRDefault="002F4156" w:rsidP="00DD3075">
    <w:pPr>
      <w:pStyle w:val="propertystatement"/>
    </w:pPr>
    <w:hyperlink r:id="rId1" w:history="1">
      <w:r w:rsidR="00BE55C2" w:rsidRPr="00D317E8">
        <w:rPr>
          <w:rStyle w:val="Hyperlink"/>
        </w:rPr>
        <w:t>http://www.birmingham.ac.uk/research/activity/mds/mds-rkto/governance/index.aspx</w:t>
      </w:r>
    </w:hyperlink>
  </w:p>
  <w:p w14:paraId="4BEDB4B0" w14:textId="77777777" w:rsidR="00BE55C2" w:rsidRPr="002D6577" w:rsidRDefault="00BE55C2"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1B23" w14:textId="77777777" w:rsidR="00BE55C2" w:rsidRDefault="00BE55C2" w:rsidP="009E44AF">
    <w:pPr>
      <w:pStyle w:val="Footer"/>
      <w:jc w:val="center"/>
    </w:pPr>
    <w:r w:rsidRPr="002D6577">
      <w:t xml:space="preserve">Property of </w:t>
    </w:r>
    <w:r>
      <w:t xml:space="preserve">the </w:t>
    </w:r>
    <w:r w:rsidRPr="002D6577">
      <w:t xml:space="preserve">University of Birmingham, Vincent Drive, </w:t>
    </w:r>
    <w:proofErr w:type="spellStart"/>
    <w:r w:rsidRPr="002D6577">
      <w:t>Edgbaston</w:t>
    </w:r>
    <w:proofErr w:type="spellEnd"/>
    <w:r w:rsidRPr="002D6577">
      <w:t>, Birmingham, B15 2TT, United Kingdom</w:t>
    </w:r>
    <w:r>
      <w:t>.</w:t>
    </w:r>
  </w:p>
  <w:p w14:paraId="6A3312C9" w14:textId="77777777" w:rsidR="00BE55C2" w:rsidRPr="001348DC" w:rsidRDefault="00BE55C2" w:rsidP="009E44AF">
    <w:pPr>
      <w:pStyle w:val="Footer"/>
      <w:jc w:val="center"/>
    </w:pPr>
    <w:r w:rsidRPr="001348DC">
      <w:t>Copies are only valid for 14 days and may be subject to amendment a</w:t>
    </w:r>
    <w:r>
      <w:t>t any time. For the latest version refer to:</w:t>
    </w:r>
  </w:p>
  <w:p w14:paraId="446499A3" w14:textId="77777777" w:rsidR="00BE55C2" w:rsidRDefault="002F4156" w:rsidP="00D17200">
    <w:pPr>
      <w:pStyle w:val="propertystatement"/>
    </w:pPr>
    <w:hyperlink r:id="rId1" w:tooltip="Website for the Clinical Research Compliance Team" w:history="1">
      <w:r w:rsidR="00BE55C2">
        <w:rPr>
          <w:rStyle w:val="Hyperlink"/>
        </w:rPr>
        <w:t>birmingham.ac.uk/</w:t>
      </w:r>
      <w:proofErr w:type="spellStart"/>
      <w:r w:rsidR="00BE55C2">
        <w:rPr>
          <w:rStyle w:val="Hyperlink"/>
        </w:rPr>
        <w:t>crct</w:t>
      </w:r>
      <w:proofErr w:type="spellEnd"/>
    </w:hyperlink>
    <w:r w:rsidR="00BE55C2">
      <w:t xml:space="preserve"> </w:t>
    </w:r>
  </w:p>
  <w:p w14:paraId="6266DC47" w14:textId="77777777" w:rsidR="00BE55C2" w:rsidRDefault="00BE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9353" w14:textId="77777777" w:rsidR="00BE55C2" w:rsidRDefault="00BE55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BE55C2" w:rsidRPr="002D6577" w14:paraId="26EC00FA" w14:textId="77777777" w:rsidTr="003A24EB">
      <w:trPr>
        <w:trHeight w:val="148"/>
      </w:trPr>
      <w:tc>
        <w:tcPr>
          <w:tcW w:w="1441" w:type="dxa"/>
          <w:tcMar>
            <w:top w:w="0" w:type="dxa"/>
            <w:left w:w="57" w:type="dxa"/>
            <w:bottom w:w="0" w:type="dxa"/>
            <w:right w:w="57" w:type="dxa"/>
          </w:tcMar>
          <w:vAlign w:val="center"/>
        </w:tcPr>
        <w:p w14:paraId="55AD7CF0" w14:textId="77777777" w:rsidR="00BE55C2" w:rsidRPr="001C6EFB" w:rsidRDefault="00BE55C2" w:rsidP="00BE55C2">
          <w:pPr>
            <w:pStyle w:val="Footer"/>
          </w:pPr>
          <w:r w:rsidRPr="001C6EFB">
            <w:t>Document code:</w:t>
          </w:r>
        </w:p>
      </w:tc>
      <w:tc>
        <w:tcPr>
          <w:tcW w:w="3073" w:type="dxa"/>
          <w:tcMar>
            <w:top w:w="0" w:type="dxa"/>
            <w:left w:w="57" w:type="dxa"/>
            <w:bottom w:w="0" w:type="dxa"/>
            <w:right w:w="57" w:type="dxa"/>
          </w:tcMar>
          <w:vAlign w:val="center"/>
        </w:tcPr>
        <w:p w14:paraId="7B9EE198" w14:textId="39501714" w:rsidR="00BE55C2" w:rsidRPr="001C6EFB" w:rsidRDefault="00BE55C2" w:rsidP="0060052C">
          <w:pPr>
            <w:pStyle w:val="Footer"/>
          </w:pPr>
          <w:r>
            <w:t>UoB-ESD-SOP-001</w:t>
          </w:r>
        </w:p>
      </w:tc>
      <w:tc>
        <w:tcPr>
          <w:tcW w:w="3401" w:type="dxa"/>
          <w:tcMar>
            <w:top w:w="0" w:type="dxa"/>
            <w:left w:w="57" w:type="dxa"/>
            <w:bottom w:w="0" w:type="dxa"/>
            <w:right w:w="57" w:type="dxa"/>
          </w:tcMar>
          <w:vAlign w:val="center"/>
        </w:tcPr>
        <w:p w14:paraId="19417F54" w14:textId="77777777" w:rsidR="00BE55C2" w:rsidRPr="001C6EFB" w:rsidRDefault="00BE55C2" w:rsidP="00163F57">
          <w:pPr>
            <w:pStyle w:val="Footer"/>
            <w:jc w:val="right"/>
          </w:pPr>
          <w:r w:rsidRPr="001C6EFB">
            <w:t>Print Date:</w:t>
          </w:r>
        </w:p>
      </w:tc>
      <w:tc>
        <w:tcPr>
          <w:tcW w:w="1112" w:type="dxa"/>
          <w:tcMar>
            <w:top w:w="0" w:type="dxa"/>
            <w:left w:w="57" w:type="dxa"/>
            <w:bottom w:w="0" w:type="dxa"/>
            <w:right w:w="57" w:type="dxa"/>
          </w:tcMar>
          <w:vAlign w:val="center"/>
        </w:tcPr>
        <w:p w14:paraId="00BE7DC8" w14:textId="66EA7FD4" w:rsidR="00BE55C2" w:rsidRPr="001C6EFB" w:rsidRDefault="00BE55C2" w:rsidP="00163F57">
          <w:pPr>
            <w:pStyle w:val="Footer"/>
            <w:jc w:val="right"/>
          </w:pPr>
          <w:r>
            <w:fldChar w:fldCharType="begin"/>
          </w:r>
          <w:r>
            <w:instrText xml:space="preserve"> DATE  \@ "dd-MMM-yyyy"  \* MERGEFORMAT </w:instrText>
          </w:r>
          <w:r>
            <w:fldChar w:fldCharType="separate"/>
          </w:r>
          <w:r w:rsidR="002F4156">
            <w:rPr>
              <w:noProof/>
            </w:rPr>
            <w:t>22-Mar-2022</w:t>
          </w:r>
          <w:r>
            <w:fldChar w:fldCharType="end"/>
          </w:r>
        </w:p>
      </w:tc>
    </w:tr>
    <w:tr w:rsidR="00BE55C2" w:rsidRPr="002D6577" w14:paraId="343711D4" w14:textId="77777777" w:rsidTr="003A24EB">
      <w:tc>
        <w:tcPr>
          <w:tcW w:w="1441" w:type="dxa"/>
          <w:tcMar>
            <w:top w:w="0" w:type="dxa"/>
            <w:left w:w="57" w:type="dxa"/>
            <w:bottom w:w="0" w:type="dxa"/>
            <w:right w:w="57" w:type="dxa"/>
          </w:tcMar>
          <w:vAlign w:val="center"/>
        </w:tcPr>
        <w:p w14:paraId="46EE4DD0" w14:textId="77777777" w:rsidR="00BE55C2" w:rsidRPr="001C6EFB" w:rsidRDefault="00BE55C2" w:rsidP="00BE55C2">
          <w:pPr>
            <w:pStyle w:val="Footer"/>
          </w:pPr>
          <w:r w:rsidRPr="001C6EFB">
            <w:t>Version no:</w:t>
          </w:r>
        </w:p>
      </w:tc>
      <w:tc>
        <w:tcPr>
          <w:tcW w:w="3073" w:type="dxa"/>
          <w:tcMar>
            <w:top w:w="0" w:type="dxa"/>
            <w:left w:w="57" w:type="dxa"/>
            <w:bottom w:w="0" w:type="dxa"/>
            <w:right w:w="57" w:type="dxa"/>
          </w:tcMar>
          <w:vAlign w:val="center"/>
        </w:tcPr>
        <w:p w14:paraId="3F2C057C" w14:textId="79A904FF" w:rsidR="00BE55C2" w:rsidRPr="001C6EFB" w:rsidRDefault="00FD6D9D" w:rsidP="00BE55C2">
          <w:pPr>
            <w:pStyle w:val="Footer"/>
          </w:pPr>
          <w:r>
            <w:t>1.0</w:t>
          </w:r>
        </w:p>
      </w:tc>
      <w:tc>
        <w:tcPr>
          <w:tcW w:w="3401" w:type="dxa"/>
          <w:tcMar>
            <w:top w:w="0" w:type="dxa"/>
            <w:left w:w="57" w:type="dxa"/>
            <w:bottom w:w="0" w:type="dxa"/>
            <w:right w:w="57" w:type="dxa"/>
          </w:tcMar>
          <w:vAlign w:val="center"/>
        </w:tcPr>
        <w:p w14:paraId="16DB2AD5" w14:textId="77777777" w:rsidR="00BE55C2" w:rsidRPr="001C6EFB" w:rsidRDefault="00BE55C2" w:rsidP="00163F57">
          <w:pPr>
            <w:pStyle w:val="Footer"/>
            <w:jc w:val="right"/>
          </w:pPr>
          <w:r w:rsidRPr="001C6EFB">
            <w:t>Page:</w:t>
          </w:r>
        </w:p>
      </w:tc>
      <w:tc>
        <w:tcPr>
          <w:tcW w:w="1112" w:type="dxa"/>
          <w:tcMar>
            <w:top w:w="0" w:type="dxa"/>
            <w:left w:w="57" w:type="dxa"/>
            <w:bottom w:w="0" w:type="dxa"/>
            <w:right w:w="57" w:type="dxa"/>
          </w:tcMar>
          <w:vAlign w:val="center"/>
        </w:tcPr>
        <w:p w14:paraId="7106FD79" w14:textId="11FBD6C8" w:rsidR="00BE55C2" w:rsidRPr="001C6EFB" w:rsidRDefault="00BE55C2" w:rsidP="0060052C">
          <w:pPr>
            <w:pStyle w:val="Footer"/>
            <w:jc w:val="right"/>
          </w:pPr>
          <w:r w:rsidRPr="001C6EFB">
            <w:t xml:space="preserve"> </w:t>
          </w:r>
          <w:r>
            <w:fldChar w:fldCharType="begin"/>
          </w:r>
          <w:r>
            <w:instrText xml:space="preserve"> PAGE   \* MERGEFORMAT </w:instrText>
          </w:r>
          <w:r>
            <w:fldChar w:fldCharType="separate"/>
          </w:r>
          <w:r w:rsidR="00487DC3">
            <w:rPr>
              <w:noProof/>
            </w:rPr>
            <w:t>11</w:t>
          </w:r>
          <w:r>
            <w:fldChar w:fldCharType="end"/>
          </w:r>
          <w:r w:rsidRPr="001C6EFB">
            <w:t xml:space="preserve"> of </w:t>
          </w:r>
          <w:r w:rsidR="002F4156">
            <w:fldChar w:fldCharType="begin"/>
          </w:r>
          <w:r w:rsidR="002F4156">
            <w:instrText xml:space="preserve"> NUMPAGES   \* MERGEFORMAT </w:instrText>
          </w:r>
          <w:r w:rsidR="002F4156">
            <w:fldChar w:fldCharType="separate"/>
          </w:r>
          <w:r w:rsidR="00487DC3">
            <w:rPr>
              <w:noProof/>
            </w:rPr>
            <w:t>11</w:t>
          </w:r>
          <w:r w:rsidR="002F4156">
            <w:rPr>
              <w:noProof/>
            </w:rPr>
            <w:fldChar w:fldCharType="end"/>
          </w:r>
        </w:p>
      </w:tc>
    </w:tr>
  </w:tbl>
  <w:p w14:paraId="3FB3CA0F" w14:textId="77777777" w:rsidR="00BE55C2" w:rsidRPr="003A24EB" w:rsidRDefault="00BE55C2"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8881" w14:textId="77777777" w:rsidR="00BE55C2" w:rsidRDefault="00BE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1886" w14:textId="77777777" w:rsidR="00352C4E" w:rsidRDefault="00352C4E" w:rsidP="00F46DE6">
      <w:r>
        <w:separator/>
      </w:r>
    </w:p>
    <w:p w14:paraId="60ACB6ED" w14:textId="77777777" w:rsidR="00352C4E" w:rsidRDefault="00352C4E" w:rsidP="00F46DE6"/>
  </w:footnote>
  <w:footnote w:type="continuationSeparator" w:id="0">
    <w:p w14:paraId="60CB125A" w14:textId="77777777" w:rsidR="00352C4E" w:rsidRDefault="00352C4E" w:rsidP="00F46DE6">
      <w:r>
        <w:continuationSeparator/>
      </w:r>
    </w:p>
    <w:p w14:paraId="698C009A" w14:textId="77777777" w:rsidR="00352C4E" w:rsidRDefault="00352C4E" w:rsidP="00F46DE6"/>
  </w:footnote>
  <w:footnote w:type="continuationNotice" w:id="1">
    <w:p w14:paraId="0A5D06A6" w14:textId="77777777" w:rsidR="00352C4E" w:rsidRDefault="00352C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17B3" w14:textId="43D240C1" w:rsidR="00BE55C2" w:rsidRDefault="00387491" w:rsidP="00A91AC7">
    <w:pPr>
      <w:pStyle w:val="propertystatement"/>
      <w:jc w:val="left"/>
    </w:pPr>
    <w:r w:rsidRPr="00F16569">
      <w:rPr>
        <w:noProof/>
        <w:lang w:eastAsia="en-GB"/>
      </w:rPr>
      <w:drawing>
        <wp:anchor distT="0" distB="0" distL="114300" distR="114300" simplePos="0" relativeHeight="251659264" behindDoc="0" locked="0" layoutInCell="1" allowOverlap="1" wp14:anchorId="44B303D4" wp14:editId="05C1733B">
          <wp:simplePos x="0" y="0"/>
          <wp:positionH relativeFrom="column">
            <wp:posOffset>-302260</wp:posOffset>
          </wp:positionH>
          <wp:positionV relativeFrom="page">
            <wp:posOffset>1051560</wp:posOffset>
          </wp:positionV>
          <wp:extent cx="2703600" cy="1062000"/>
          <wp:effectExtent l="0" t="0" r="0" b="0"/>
          <wp:wrapNone/>
          <wp:docPr id="1" name="Picture 1" descr="The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BE55C2" w14:paraId="5359C56D" w14:textId="77777777" w:rsidTr="00BE55C2">
      <w:trPr>
        <w:trHeight w:val="278"/>
        <w:tblHeader/>
      </w:trPr>
      <w:tc>
        <w:tcPr>
          <w:tcW w:w="1668" w:type="dxa"/>
          <w:vAlign w:val="center"/>
        </w:tcPr>
        <w:p w14:paraId="67320445" w14:textId="77777777" w:rsidR="00BE55C2" w:rsidRDefault="00BE55C2" w:rsidP="00A91AC7">
          <w:pPr>
            <w:pStyle w:val="Footer"/>
          </w:pPr>
          <w:r w:rsidRPr="001C6EFB">
            <w:t>Document code:</w:t>
          </w:r>
        </w:p>
      </w:tc>
      <w:tc>
        <w:tcPr>
          <w:tcW w:w="2310" w:type="dxa"/>
          <w:vAlign w:val="center"/>
        </w:tcPr>
        <w:p w14:paraId="04DAA788" w14:textId="557478FB" w:rsidR="00BE55C2" w:rsidRDefault="00BE55C2" w:rsidP="00A91AC7">
          <w:pPr>
            <w:pStyle w:val="Footer"/>
            <w:jc w:val="right"/>
          </w:pPr>
          <w:r>
            <w:t>UoB-ESD-SOP-001</w:t>
          </w:r>
        </w:p>
      </w:tc>
    </w:tr>
    <w:tr w:rsidR="00BE55C2" w14:paraId="482BBA05" w14:textId="77777777" w:rsidTr="00BE55C2">
      <w:trPr>
        <w:trHeight w:val="278"/>
      </w:trPr>
      <w:tc>
        <w:tcPr>
          <w:tcW w:w="1668" w:type="dxa"/>
          <w:vAlign w:val="center"/>
        </w:tcPr>
        <w:p w14:paraId="35F7C934" w14:textId="77777777" w:rsidR="00BE55C2" w:rsidRDefault="00BE55C2" w:rsidP="00A91AC7">
          <w:pPr>
            <w:pStyle w:val="Footer"/>
          </w:pPr>
          <w:r w:rsidRPr="001C6EFB">
            <w:t>Version no:</w:t>
          </w:r>
        </w:p>
      </w:tc>
      <w:tc>
        <w:tcPr>
          <w:tcW w:w="2310" w:type="dxa"/>
          <w:vAlign w:val="center"/>
        </w:tcPr>
        <w:p w14:paraId="7DEEAB3A" w14:textId="6338EECD" w:rsidR="00BE55C2" w:rsidRDefault="00FD6D9D" w:rsidP="00352C4E">
          <w:pPr>
            <w:pStyle w:val="Footer"/>
            <w:jc w:val="right"/>
          </w:pPr>
          <w:r>
            <w:t>1.0</w:t>
          </w:r>
        </w:p>
      </w:tc>
    </w:tr>
    <w:tr w:rsidR="00BE55C2" w14:paraId="7474C486" w14:textId="77777777" w:rsidTr="00BE55C2">
      <w:trPr>
        <w:trHeight w:val="278"/>
      </w:trPr>
      <w:tc>
        <w:tcPr>
          <w:tcW w:w="1668" w:type="dxa"/>
          <w:vAlign w:val="center"/>
        </w:tcPr>
        <w:p w14:paraId="508C25A9" w14:textId="77777777" w:rsidR="00BE55C2" w:rsidRDefault="00BE55C2" w:rsidP="00A91AC7">
          <w:pPr>
            <w:pStyle w:val="Footer"/>
          </w:pPr>
          <w:r>
            <w:t>Effective date:</w:t>
          </w:r>
        </w:p>
      </w:tc>
      <w:tc>
        <w:tcPr>
          <w:tcW w:w="2310" w:type="dxa"/>
          <w:vAlign w:val="center"/>
        </w:tcPr>
        <w:p w14:paraId="2B8DA80D" w14:textId="2DACC0D5" w:rsidR="00BE55C2" w:rsidRDefault="009E03AA" w:rsidP="00A91AC7">
          <w:pPr>
            <w:pStyle w:val="Footer"/>
            <w:jc w:val="right"/>
          </w:pPr>
          <w:r>
            <w:t>0</w:t>
          </w:r>
          <w:r w:rsidR="00270495">
            <w:t>4</w:t>
          </w:r>
          <w:r>
            <w:t>-Apr-2022</w:t>
          </w:r>
        </w:p>
      </w:tc>
    </w:tr>
    <w:tr w:rsidR="00BE55C2" w14:paraId="136AD706" w14:textId="77777777" w:rsidTr="00BE55C2">
      <w:trPr>
        <w:trHeight w:val="278"/>
      </w:trPr>
      <w:tc>
        <w:tcPr>
          <w:tcW w:w="1668" w:type="dxa"/>
          <w:vAlign w:val="center"/>
        </w:tcPr>
        <w:p w14:paraId="3EA445A9" w14:textId="77777777" w:rsidR="00BE55C2" w:rsidRPr="001C6EFB" w:rsidRDefault="00BE55C2" w:rsidP="00A91AC7">
          <w:pPr>
            <w:pStyle w:val="Footer"/>
          </w:pPr>
          <w:r>
            <w:t>Print d</w:t>
          </w:r>
          <w:r w:rsidRPr="001C6EFB">
            <w:t>ate:</w:t>
          </w:r>
        </w:p>
      </w:tc>
      <w:tc>
        <w:tcPr>
          <w:tcW w:w="2310" w:type="dxa"/>
          <w:vAlign w:val="center"/>
        </w:tcPr>
        <w:p w14:paraId="3F113D56" w14:textId="0D17F4B0" w:rsidR="00BE55C2" w:rsidRDefault="00BE55C2" w:rsidP="00A91AC7">
          <w:pPr>
            <w:pStyle w:val="Footer"/>
            <w:jc w:val="right"/>
          </w:pPr>
          <w:r>
            <w:fldChar w:fldCharType="begin"/>
          </w:r>
          <w:r>
            <w:instrText xml:space="preserve"> DATE  \@ "dd-MMM-yyyy"  \* MERGEFORMAT </w:instrText>
          </w:r>
          <w:r>
            <w:fldChar w:fldCharType="separate"/>
          </w:r>
          <w:r w:rsidR="002F4156">
            <w:rPr>
              <w:noProof/>
            </w:rPr>
            <w:t>22-Mar-2022</w:t>
          </w:r>
          <w:r>
            <w:fldChar w:fldCharType="end"/>
          </w:r>
        </w:p>
      </w:tc>
    </w:tr>
    <w:tr w:rsidR="00BE55C2" w14:paraId="43682941" w14:textId="77777777" w:rsidTr="00BE55C2">
      <w:trPr>
        <w:trHeight w:val="278"/>
      </w:trPr>
      <w:tc>
        <w:tcPr>
          <w:tcW w:w="1668" w:type="dxa"/>
          <w:vAlign w:val="center"/>
        </w:tcPr>
        <w:p w14:paraId="04C7BF4D" w14:textId="77777777" w:rsidR="00BE55C2" w:rsidRPr="001C6EFB" w:rsidRDefault="00BE55C2" w:rsidP="00A91AC7">
          <w:pPr>
            <w:pStyle w:val="Footer"/>
          </w:pPr>
          <w:r w:rsidRPr="001C6EFB">
            <w:t>Page:</w:t>
          </w:r>
        </w:p>
      </w:tc>
      <w:tc>
        <w:tcPr>
          <w:tcW w:w="2310" w:type="dxa"/>
          <w:vAlign w:val="center"/>
        </w:tcPr>
        <w:p w14:paraId="7E029056" w14:textId="40001C1B" w:rsidR="00BE55C2" w:rsidRDefault="00BE55C2" w:rsidP="00A91AC7">
          <w:pPr>
            <w:pStyle w:val="Footer"/>
            <w:jc w:val="right"/>
          </w:pPr>
          <w:r>
            <w:fldChar w:fldCharType="begin"/>
          </w:r>
          <w:r>
            <w:instrText xml:space="preserve"> PAGE   \* MERGEFORMAT </w:instrText>
          </w:r>
          <w:r>
            <w:fldChar w:fldCharType="separate"/>
          </w:r>
          <w:r w:rsidR="00487DC3">
            <w:rPr>
              <w:noProof/>
            </w:rPr>
            <w:t>1</w:t>
          </w:r>
          <w:r>
            <w:fldChar w:fldCharType="end"/>
          </w:r>
          <w:r>
            <w:t xml:space="preserve"> of </w:t>
          </w:r>
          <w:r w:rsidR="002F4156">
            <w:fldChar w:fldCharType="begin"/>
          </w:r>
          <w:r w:rsidR="002F4156">
            <w:instrText xml:space="preserve"> NUMPAGES   \* MERGEFORMAT </w:instrText>
          </w:r>
          <w:r w:rsidR="002F4156">
            <w:fldChar w:fldCharType="separate"/>
          </w:r>
          <w:r w:rsidR="00487DC3">
            <w:rPr>
              <w:noProof/>
            </w:rPr>
            <w:t>11</w:t>
          </w:r>
          <w:r w:rsidR="002F4156">
            <w:rPr>
              <w:noProof/>
            </w:rPr>
            <w:fldChar w:fldCharType="end"/>
          </w:r>
          <w:r w:rsidRPr="001C6EFB">
            <w:t xml:space="preserve"> </w:t>
          </w:r>
        </w:p>
      </w:tc>
    </w:tr>
  </w:tbl>
  <w:p w14:paraId="0E037FC1" w14:textId="31E5A3AC" w:rsidR="00BE55C2" w:rsidRDefault="00BE55C2" w:rsidP="00A91AC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E78A" w14:textId="77777777" w:rsidR="00BE55C2" w:rsidRDefault="00BE55C2"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1E3C" w14:textId="438E9EF6" w:rsidR="00BE55C2" w:rsidRPr="002135BA" w:rsidRDefault="00BE55C2">
    <w:pPr>
      <w:pStyle w:val="Header"/>
    </w:pPr>
    <w:r w:rsidRPr="002135BA">
      <w:t>SOP</w:t>
    </w:r>
    <w:r>
      <w:t>: Essential Documents Development and Maintenance</w:t>
    </w:r>
  </w:p>
  <w:p w14:paraId="78E6BEAF" w14:textId="77777777" w:rsidR="00BE55C2" w:rsidRPr="001C75D5" w:rsidRDefault="00BE55C2">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D73" w14:textId="77777777" w:rsidR="00BE55C2" w:rsidRDefault="00BE55C2"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443B"/>
    <w:multiLevelType w:val="hybridMultilevel"/>
    <w:tmpl w:val="97368556"/>
    <w:lvl w:ilvl="0" w:tplc="339AEA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0695D"/>
    <w:multiLevelType w:val="hybridMultilevel"/>
    <w:tmpl w:val="DE68C8B0"/>
    <w:lvl w:ilvl="0" w:tplc="339AEA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C4824"/>
    <w:multiLevelType w:val="hybridMultilevel"/>
    <w:tmpl w:val="13341788"/>
    <w:lvl w:ilvl="0" w:tplc="27DA3138">
      <w:start w:val="1"/>
      <w:numFmt w:val="decimal"/>
      <w:pStyle w:val="Numberlist"/>
      <w:lvlText w:val="%1."/>
      <w:lvlJc w:val="left"/>
      <w:pPr>
        <w:ind w:left="360" w:hanging="360"/>
      </w:pPr>
      <w:rPr>
        <w:rFonts w:hint="default"/>
        <w:i w:val="0"/>
        <w:iCs/>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8233B"/>
    <w:multiLevelType w:val="multilevel"/>
    <w:tmpl w:val="9E0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9" w15:restartNumberingAfterBreak="0">
    <w:nsid w:val="50AF1CB2"/>
    <w:multiLevelType w:val="hybridMultilevel"/>
    <w:tmpl w:val="985A52A0"/>
    <w:lvl w:ilvl="0" w:tplc="2820B7F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5704"/>
    <w:multiLevelType w:val="hybridMultilevel"/>
    <w:tmpl w:val="05A29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
  </w:num>
  <w:num w:numId="5">
    <w:abstractNumId w:val="6"/>
  </w:num>
  <w:num w:numId="6">
    <w:abstractNumId w:val="10"/>
  </w:num>
  <w:num w:numId="7">
    <w:abstractNumId w:val="4"/>
  </w:num>
  <w:num w:numId="8">
    <w:abstractNumId w:val="4"/>
  </w:num>
  <w:num w:numId="9">
    <w:abstractNumId w:val="0"/>
  </w:num>
  <w:num w:numId="10">
    <w:abstractNumId w:val="9"/>
  </w:num>
  <w:num w:numId="11">
    <w:abstractNumId w:val="11"/>
  </w:num>
  <w:num w:numId="12">
    <w:abstractNumId w:val="3"/>
  </w:num>
  <w:num w:numId="13">
    <w:abstractNumId w:val="2"/>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96"/>
    <w:rsid w:val="00001923"/>
    <w:rsid w:val="00001A7E"/>
    <w:rsid w:val="00002EFF"/>
    <w:rsid w:val="000060AE"/>
    <w:rsid w:val="00007DC7"/>
    <w:rsid w:val="0001086D"/>
    <w:rsid w:val="00012800"/>
    <w:rsid w:val="00013B08"/>
    <w:rsid w:val="000146F1"/>
    <w:rsid w:val="000229C5"/>
    <w:rsid w:val="00023BC0"/>
    <w:rsid w:val="00025F76"/>
    <w:rsid w:val="000374CB"/>
    <w:rsid w:val="000379D7"/>
    <w:rsid w:val="000421FD"/>
    <w:rsid w:val="00043513"/>
    <w:rsid w:val="00044A64"/>
    <w:rsid w:val="00053A54"/>
    <w:rsid w:val="0005610D"/>
    <w:rsid w:val="00056940"/>
    <w:rsid w:val="000639EF"/>
    <w:rsid w:val="00064262"/>
    <w:rsid w:val="00064F56"/>
    <w:rsid w:val="00072AD5"/>
    <w:rsid w:val="00072F51"/>
    <w:rsid w:val="00073CA6"/>
    <w:rsid w:val="0007480B"/>
    <w:rsid w:val="00074F00"/>
    <w:rsid w:val="00075A9D"/>
    <w:rsid w:val="00077D41"/>
    <w:rsid w:val="00083C9D"/>
    <w:rsid w:val="000875F9"/>
    <w:rsid w:val="0009369B"/>
    <w:rsid w:val="00095EFA"/>
    <w:rsid w:val="00097B78"/>
    <w:rsid w:val="000A0DFF"/>
    <w:rsid w:val="000A1324"/>
    <w:rsid w:val="000A1B0F"/>
    <w:rsid w:val="000A2C3B"/>
    <w:rsid w:val="000A7BE6"/>
    <w:rsid w:val="000B1E3E"/>
    <w:rsid w:val="000B2A15"/>
    <w:rsid w:val="000B442E"/>
    <w:rsid w:val="000B5140"/>
    <w:rsid w:val="000B6B94"/>
    <w:rsid w:val="000C3681"/>
    <w:rsid w:val="000C448F"/>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102"/>
    <w:rsid w:val="00134690"/>
    <w:rsid w:val="00134766"/>
    <w:rsid w:val="00135E89"/>
    <w:rsid w:val="001445C0"/>
    <w:rsid w:val="00163B7C"/>
    <w:rsid w:val="00163F57"/>
    <w:rsid w:val="001653F1"/>
    <w:rsid w:val="00165F48"/>
    <w:rsid w:val="00174B60"/>
    <w:rsid w:val="00174E0E"/>
    <w:rsid w:val="001775A9"/>
    <w:rsid w:val="001801AE"/>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6EE2"/>
    <w:rsid w:val="001B1E29"/>
    <w:rsid w:val="001B2717"/>
    <w:rsid w:val="001B30AD"/>
    <w:rsid w:val="001B3B91"/>
    <w:rsid w:val="001B412F"/>
    <w:rsid w:val="001B5617"/>
    <w:rsid w:val="001C0B15"/>
    <w:rsid w:val="001C314A"/>
    <w:rsid w:val="001C3B6D"/>
    <w:rsid w:val="001C6EFB"/>
    <w:rsid w:val="001C75D5"/>
    <w:rsid w:val="001D0B50"/>
    <w:rsid w:val="001D1245"/>
    <w:rsid w:val="001D17A5"/>
    <w:rsid w:val="001D1986"/>
    <w:rsid w:val="001D28AC"/>
    <w:rsid w:val="001D3B22"/>
    <w:rsid w:val="001D7813"/>
    <w:rsid w:val="001E41A3"/>
    <w:rsid w:val="001F4FC3"/>
    <w:rsid w:val="001F712A"/>
    <w:rsid w:val="001F7B4E"/>
    <w:rsid w:val="00202189"/>
    <w:rsid w:val="00202B8D"/>
    <w:rsid w:val="0020343A"/>
    <w:rsid w:val="0020434B"/>
    <w:rsid w:val="00206578"/>
    <w:rsid w:val="002106E5"/>
    <w:rsid w:val="002107D5"/>
    <w:rsid w:val="00210C1A"/>
    <w:rsid w:val="0021165B"/>
    <w:rsid w:val="00211B96"/>
    <w:rsid w:val="002135BA"/>
    <w:rsid w:val="00214550"/>
    <w:rsid w:val="0021793B"/>
    <w:rsid w:val="0022018B"/>
    <w:rsid w:val="00220406"/>
    <w:rsid w:val="002227A2"/>
    <w:rsid w:val="0022356E"/>
    <w:rsid w:val="00231612"/>
    <w:rsid w:val="0023483C"/>
    <w:rsid w:val="002365F5"/>
    <w:rsid w:val="0024092C"/>
    <w:rsid w:val="002444DB"/>
    <w:rsid w:val="0024558E"/>
    <w:rsid w:val="0024670C"/>
    <w:rsid w:val="00247F23"/>
    <w:rsid w:val="00250233"/>
    <w:rsid w:val="002518EA"/>
    <w:rsid w:val="002549E9"/>
    <w:rsid w:val="00254B93"/>
    <w:rsid w:val="0025522A"/>
    <w:rsid w:val="00264399"/>
    <w:rsid w:val="00266CBF"/>
    <w:rsid w:val="00270495"/>
    <w:rsid w:val="00270EA8"/>
    <w:rsid w:val="00272DF4"/>
    <w:rsid w:val="002758B9"/>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1851"/>
    <w:rsid w:val="002D37A9"/>
    <w:rsid w:val="002D49D7"/>
    <w:rsid w:val="002D6577"/>
    <w:rsid w:val="002E17F3"/>
    <w:rsid w:val="002E3060"/>
    <w:rsid w:val="002E3BB0"/>
    <w:rsid w:val="002E6AE2"/>
    <w:rsid w:val="002E721B"/>
    <w:rsid w:val="002F0ACA"/>
    <w:rsid w:val="002F281C"/>
    <w:rsid w:val="002F4156"/>
    <w:rsid w:val="002F490C"/>
    <w:rsid w:val="002F5EB3"/>
    <w:rsid w:val="002F6804"/>
    <w:rsid w:val="002F787E"/>
    <w:rsid w:val="00301050"/>
    <w:rsid w:val="003016D5"/>
    <w:rsid w:val="00304754"/>
    <w:rsid w:val="00310F22"/>
    <w:rsid w:val="00314B72"/>
    <w:rsid w:val="0031673C"/>
    <w:rsid w:val="0032079B"/>
    <w:rsid w:val="0032408C"/>
    <w:rsid w:val="00324A19"/>
    <w:rsid w:val="0032531B"/>
    <w:rsid w:val="00330AA7"/>
    <w:rsid w:val="003313C3"/>
    <w:rsid w:val="00333888"/>
    <w:rsid w:val="00335D05"/>
    <w:rsid w:val="00337B7A"/>
    <w:rsid w:val="00342788"/>
    <w:rsid w:val="00342C1E"/>
    <w:rsid w:val="00342CC7"/>
    <w:rsid w:val="00343541"/>
    <w:rsid w:val="00345620"/>
    <w:rsid w:val="00350A42"/>
    <w:rsid w:val="00352C4E"/>
    <w:rsid w:val="00352FD6"/>
    <w:rsid w:val="003607CB"/>
    <w:rsid w:val="0036201D"/>
    <w:rsid w:val="00365D77"/>
    <w:rsid w:val="0037517E"/>
    <w:rsid w:val="0037641D"/>
    <w:rsid w:val="00377318"/>
    <w:rsid w:val="00380579"/>
    <w:rsid w:val="00381B35"/>
    <w:rsid w:val="00384D53"/>
    <w:rsid w:val="003854BD"/>
    <w:rsid w:val="00387491"/>
    <w:rsid w:val="003876D0"/>
    <w:rsid w:val="00387EFA"/>
    <w:rsid w:val="00391A7C"/>
    <w:rsid w:val="00393C4E"/>
    <w:rsid w:val="00395F1E"/>
    <w:rsid w:val="00396068"/>
    <w:rsid w:val="003A1879"/>
    <w:rsid w:val="003A2150"/>
    <w:rsid w:val="003A24EB"/>
    <w:rsid w:val="003A2A2C"/>
    <w:rsid w:val="003A4D84"/>
    <w:rsid w:val="003A5879"/>
    <w:rsid w:val="003A70FF"/>
    <w:rsid w:val="003B0005"/>
    <w:rsid w:val="003B15C9"/>
    <w:rsid w:val="003B1F55"/>
    <w:rsid w:val="003B2DA7"/>
    <w:rsid w:val="003B34FB"/>
    <w:rsid w:val="003B56C0"/>
    <w:rsid w:val="003B6528"/>
    <w:rsid w:val="003C04AD"/>
    <w:rsid w:val="003C35EE"/>
    <w:rsid w:val="003C720C"/>
    <w:rsid w:val="003D00A8"/>
    <w:rsid w:val="003D25C9"/>
    <w:rsid w:val="003D42E3"/>
    <w:rsid w:val="003D4BD6"/>
    <w:rsid w:val="003D51DC"/>
    <w:rsid w:val="003D7997"/>
    <w:rsid w:val="003E073D"/>
    <w:rsid w:val="003E7A4F"/>
    <w:rsid w:val="003F0145"/>
    <w:rsid w:val="003F2345"/>
    <w:rsid w:val="003F4E5F"/>
    <w:rsid w:val="003F608D"/>
    <w:rsid w:val="003F64A9"/>
    <w:rsid w:val="003F7147"/>
    <w:rsid w:val="003F7AD7"/>
    <w:rsid w:val="00401840"/>
    <w:rsid w:val="00403449"/>
    <w:rsid w:val="00404742"/>
    <w:rsid w:val="0040651B"/>
    <w:rsid w:val="0041265B"/>
    <w:rsid w:val="00412CF3"/>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04A5"/>
    <w:rsid w:val="00462B5B"/>
    <w:rsid w:val="00467F74"/>
    <w:rsid w:val="00474A88"/>
    <w:rsid w:val="00474B7F"/>
    <w:rsid w:val="00475745"/>
    <w:rsid w:val="00476DB0"/>
    <w:rsid w:val="004773E0"/>
    <w:rsid w:val="004810D9"/>
    <w:rsid w:val="0048194C"/>
    <w:rsid w:val="00485E6A"/>
    <w:rsid w:val="0048641A"/>
    <w:rsid w:val="00487DC3"/>
    <w:rsid w:val="00497A4C"/>
    <w:rsid w:val="00497E87"/>
    <w:rsid w:val="004A364B"/>
    <w:rsid w:val="004A4882"/>
    <w:rsid w:val="004A6763"/>
    <w:rsid w:val="004A75B7"/>
    <w:rsid w:val="004B03A3"/>
    <w:rsid w:val="004B0C68"/>
    <w:rsid w:val="004B0C77"/>
    <w:rsid w:val="004B22FC"/>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29FC"/>
    <w:rsid w:val="00556B76"/>
    <w:rsid w:val="005636D5"/>
    <w:rsid w:val="005663EA"/>
    <w:rsid w:val="005708FE"/>
    <w:rsid w:val="00571788"/>
    <w:rsid w:val="00571A9B"/>
    <w:rsid w:val="00580E05"/>
    <w:rsid w:val="0058476F"/>
    <w:rsid w:val="00584775"/>
    <w:rsid w:val="00586C5E"/>
    <w:rsid w:val="00587557"/>
    <w:rsid w:val="00592FFB"/>
    <w:rsid w:val="005948ED"/>
    <w:rsid w:val="005951E3"/>
    <w:rsid w:val="0059568E"/>
    <w:rsid w:val="005A1486"/>
    <w:rsid w:val="005A1BF0"/>
    <w:rsid w:val="005A1CF3"/>
    <w:rsid w:val="005A6461"/>
    <w:rsid w:val="005B1516"/>
    <w:rsid w:val="005B2B90"/>
    <w:rsid w:val="005B42D1"/>
    <w:rsid w:val="005B5AA9"/>
    <w:rsid w:val="005C38BD"/>
    <w:rsid w:val="005C666C"/>
    <w:rsid w:val="005C7A45"/>
    <w:rsid w:val="005D03E7"/>
    <w:rsid w:val="005D085D"/>
    <w:rsid w:val="005D17F6"/>
    <w:rsid w:val="005D321A"/>
    <w:rsid w:val="005D40D9"/>
    <w:rsid w:val="005D755A"/>
    <w:rsid w:val="005E1BDF"/>
    <w:rsid w:val="005E1F7C"/>
    <w:rsid w:val="005F0420"/>
    <w:rsid w:val="005F175F"/>
    <w:rsid w:val="005F1AD8"/>
    <w:rsid w:val="005F662B"/>
    <w:rsid w:val="00600106"/>
    <w:rsid w:val="0060052C"/>
    <w:rsid w:val="0060316E"/>
    <w:rsid w:val="006031E9"/>
    <w:rsid w:val="0060493A"/>
    <w:rsid w:val="00605E24"/>
    <w:rsid w:val="006103A8"/>
    <w:rsid w:val="006119AC"/>
    <w:rsid w:val="00612446"/>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0F21"/>
    <w:rsid w:val="00664185"/>
    <w:rsid w:val="0066505A"/>
    <w:rsid w:val="00670599"/>
    <w:rsid w:val="006721CA"/>
    <w:rsid w:val="0067375A"/>
    <w:rsid w:val="00684803"/>
    <w:rsid w:val="00684DA0"/>
    <w:rsid w:val="00690BFE"/>
    <w:rsid w:val="00692ACD"/>
    <w:rsid w:val="00692DFA"/>
    <w:rsid w:val="006941D1"/>
    <w:rsid w:val="00694F87"/>
    <w:rsid w:val="00696301"/>
    <w:rsid w:val="00696B18"/>
    <w:rsid w:val="006A057F"/>
    <w:rsid w:val="006A52C2"/>
    <w:rsid w:val="006A5B18"/>
    <w:rsid w:val="006B0E53"/>
    <w:rsid w:val="006B270C"/>
    <w:rsid w:val="006B351B"/>
    <w:rsid w:val="006B66EE"/>
    <w:rsid w:val="006C0879"/>
    <w:rsid w:val="006E32A4"/>
    <w:rsid w:val="006E39DA"/>
    <w:rsid w:val="006E4A96"/>
    <w:rsid w:val="006E57D8"/>
    <w:rsid w:val="006F30B1"/>
    <w:rsid w:val="006F532B"/>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1149"/>
    <w:rsid w:val="00752E2A"/>
    <w:rsid w:val="00754D1F"/>
    <w:rsid w:val="00757628"/>
    <w:rsid w:val="007602C8"/>
    <w:rsid w:val="00760E2A"/>
    <w:rsid w:val="00761F87"/>
    <w:rsid w:val="007642D1"/>
    <w:rsid w:val="007655EC"/>
    <w:rsid w:val="00765A24"/>
    <w:rsid w:val="007668D7"/>
    <w:rsid w:val="00766C73"/>
    <w:rsid w:val="007748A5"/>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C6667"/>
    <w:rsid w:val="007D3863"/>
    <w:rsid w:val="007D64E6"/>
    <w:rsid w:val="007D68C1"/>
    <w:rsid w:val="007D79E6"/>
    <w:rsid w:val="007E4BBE"/>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6C1C"/>
    <w:rsid w:val="0082795A"/>
    <w:rsid w:val="0083169E"/>
    <w:rsid w:val="00832412"/>
    <w:rsid w:val="00834888"/>
    <w:rsid w:val="00840893"/>
    <w:rsid w:val="008424AF"/>
    <w:rsid w:val="008435F5"/>
    <w:rsid w:val="00851971"/>
    <w:rsid w:val="00852323"/>
    <w:rsid w:val="00860FC1"/>
    <w:rsid w:val="00860FC2"/>
    <w:rsid w:val="00862C8C"/>
    <w:rsid w:val="00864335"/>
    <w:rsid w:val="008645A6"/>
    <w:rsid w:val="008647F2"/>
    <w:rsid w:val="00870BB2"/>
    <w:rsid w:val="008715F3"/>
    <w:rsid w:val="00871FE5"/>
    <w:rsid w:val="00875EAE"/>
    <w:rsid w:val="008766D7"/>
    <w:rsid w:val="008823B6"/>
    <w:rsid w:val="00886A0B"/>
    <w:rsid w:val="00891D4B"/>
    <w:rsid w:val="00893B82"/>
    <w:rsid w:val="00893CC2"/>
    <w:rsid w:val="008A0005"/>
    <w:rsid w:val="008A053A"/>
    <w:rsid w:val="008A41DE"/>
    <w:rsid w:val="008A5826"/>
    <w:rsid w:val="008A682E"/>
    <w:rsid w:val="008A7373"/>
    <w:rsid w:val="008B1C2E"/>
    <w:rsid w:val="008B4B57"/>
    <w:rsid w:val="008B5A32"/>
    <w:rsid w:val="008B6790"/>
    <w:rsid w:val="008B6B2A"/>
    <w:rsid w:val="008C0049"/>
    <w:rsid w:val="008C2F7E"/>
    <w:rsid w:val="008C75C7"/>
    <w:rsid w:val="008C7BEB"/>
    <w:rsid w:val="008D1C4D"/>
    <w:rsid w:val="008D31AF"/>
    <w:rsid w:val="008D54DF"/>
    <w:rsid w:val="008D6C84"/>
    <w:rsid w:val="008E2669"/>
    <w:rsid w:val="008E30FD"/>
    <w:rsid w:val="008E4568"/>
    <w:rsid w:val="008E466A"/>
    <w:rsid w:val="008E601E"/>
    <w:rsid w:val="008E79D2"/>
    <w:rsid w:val="008F0AD5"/>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25EC9"/>
    <w:rsid w:val="00930994"/>
    <w:rsid w:val="00935ADD"/>
    <w:rsid w:val="009360CF"/>
    <w:rsid w:val="00937647"/>
    <w:rsid w:val="00937A31"/>
    <w:rsid w:val="009411F8"/>
    <w:rsid w:val="0094272E"/>
    <w:rsid w:val="0094547A"/>
    <w:rsid w:val="0094638C"/>
    <w:rsid w:val="0094639E"/>
    <w:rsid w:val="00946465"/>
    <w:rsid w:val="00955AA8"/>
    <w:rsid w:val="00955EE1"/>
    <w:rsid w:val="009576BD"/>
    <w:rsid w:val="009608DB"/>
    <w:rsid w:val="00961343"/>
    <w:rsid w:val="00962995"/>
    <w:rsid w:val="00966396"/>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B3BB5"/>
    <w:rsid w:val="009C2C63"/>
    <w:rsid w:val="009C4257"/>
    <w:rsid w:val="009C52B9"/>
    <w:rsid w:val="009C5723"/>
    <w:rsid w:val="009D0F66"/>
    <w:rsid w:val="009D2891"/>
    <w:rsid w:val="009D38FA"/>
    <w:rsid w:val="009D5431"/>
    <w:rsid w:val="009D6F1F"/>
    <w:rsid w:val="009E03AA"/>
    <w:rsid w:val="009E08FF"/>
    <w:rsid w:val="009E11DD"/>
    <w:rsid w:val="009E44AF"/>
    <w:rsid w:val="009E45A3"/>
    <w:rsid w:val="009E5483"/>
    <w:rsid w:val="009F0638"/>
    <w:rsid w:val="009F06A4"/>
    <w:rsid w:val="009F1369"/>
    <w:rsid w:val="009F2F77"/>
    <w:rsid w:val="009F4AC7"/>
    <w:rsid w:val="009F627E"/>
    <w:rsid w:val="00A00156"/>
    <w:rsid w:val="00A00BE8"/>
    <w:rsid w:val="00A01C93"/>
    <w:rsid w:val="00A0271E"/>
    <w:rsid w:val="00A06B2E"/>
    <w:rsid w:val="00A06D1A"/>
    <w:rsid w:val="00A11FDD"/>
    <w:rsid w:val="00A123E1"/>
    <w:rsid w:val="00A13CB0"/>
    <w:rsid w:val="00A140D5"/>
    <w:rsid w:val="00A21EF3"/>
    <w:rsid w:val="00A264AD"/>
    <w:rsid w:val="00A306A4"/>
    <w:rsid w:val="00A308A4"/>
    <w:rsid w:val="00A3465C"/>
    <w:rsid w:val="00A3579A"/>
    <w:rsid w:val="00A35E4F"/>
    <w:rsid w:val="00A46AE5"/>
    <w:rsid w:val="00A47A14"/>
    <w:rsid w:val="00A5240E"/>
    <w:rsid w:val="00A5391E"/>
    <w:rsid w:val="00A55A06"/>
    <w:rsid w:val="00A5670C"/>
    <w:rsid w:val="00A57390"/>
    <w:rsid w:val="00A6082D"/>
    <w:rsid w:val="00A6339F"/>
    <w:rsid w:val="00A64B4F"/>
    <w:rsid w:val="00A65B06"/>
    <w:rsid w:val="00A66148"/>
    <w:rsid w:val="00A668FC"/>
    <w:rsid w:val="00A74DB6"/>
    <w:rsid w:val="00A74E71"/>
    <w:rsid w:val="00A76DCF"/>
    <w:rsid w:val="00A7704C"/>
    <w:rsid w:val="00A80207"/>
    <w:rsid w:val="00A814FD"/>
    <w:rsid w:val="00A81AC4"/>
    <w:rsid w:val="00A822DC"/>
    <w:rsid w:val="00A84701"/>
    <w:rsid w:val="00A91AC7"/>
    <w:rsid w:val="00A9242A"/>
    <w:rsid w:val="00A93988"/>
    <w:rsid w:val="00A9456D"/>
    <w:rsid w:val="00A95C65"/>
    <w:rsid w:val="00AA1665"/>
    <w:rsid w:val="00AA3234"/>
    <w:rsid w:val="00AA3DC0"/>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0C9D"/>
    <w:rsid w:val="00AE2516"/>
    <w:rsid w:val="00AE5591"/>
    <w:rsid w:val="00AE5780"/>
    <w:rsid w:val="00AE59D5"/>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323E"/>
    <w:rsid w:val="00B452AE"/>
    <w:rsid w:val="00B53A1C"/>
    <w:rsid w:val="00B53C9D"/>
    <w:rsid w:val="00B55F4C"/>
    <w:rsid w:val="00B6064B"/>
    <w:rsid w:val="00B60FEA"/>
    <w:rsid w:val="00B6322E"/>
    <w:rsid w:val="00B63F21"/>
    <w:rsid w:val="00B66F60"/>
    <w:rsid w:val="00B72E42"/>
    <w:rsid w:val="00B747FB"/>
    <w:rsid w:val="00B7682F"/>
    <w:rsid w:val="00B76ACC"/>
    <w:rsid w:val="00B7758F"/>
    <w:rsid w:val="00B77B48"/>
    <w:rsid w:val="00B80F8D"/>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B710F"/>
    <w:rsid w:val="00BD1740"/>
    <w:rsid w:val="00BD3F7D"/>
    <w:rsid w:val="00BD4DD3"/>
    <w:rsid w:val="00BE1BAC"/>
    <w:rsid w:val="00BE1DB1"/>
    <w:rsid w:val="00BE55C2"/>
    <w:rsid w:val="00BE5AE5"/>
    <w:rsid w:val="00BE76A6"/>
    <w:rsid w:val="00BF4265"/>
    <w:rsid w:val="00BF6B08"/>
    <w:rsid w:val="00BF6D4D"/>
    <w:rsid w:val="00C02B76"/>
    <w:rsid w:val="00C036D8"/>
    <w:rsid w:val="00C0382A"/>
    <w:rsid w:val="00C0396F"/>
    <w:rsid w:val="00C04D64"/>
    <w:rsid w:val="00C060C8"/>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B8E"/>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B4A98"/>
    <w:rsid w:val="00CC0682"/>
    <w:rsid w:val="00CC2B7A"/>
    <w:rsid w:val="00CC478A"/>
    <w:rsid w:val="00CC61A6"/>
    <w:rsid w:val="00CC6C2A"/>
    <w:rsid w:val="00CD1532"/>
    <w:rsid w:val="00CD2F93"/>
    <w:rsid w:val="00CD3E66"/>
    <w:rsid w:val="00CD5B93"/>
    <w:rsid w:val="00CE116E"/>
    <w:rsid w:val="00CE2541"/>
    <w:rsid w:val="00CE53EC"/>
    <w:rsid w:val="00CE7D01"/>
    <w:rsid w:val="00CF124E"/>
    <w:rsid w:val="00CF2072"/>
    <w:rsid w:val="00CF2082"/>
    <w:rsid w:val="00D00C72"/>
    <w:rsid w:val="00D017DD"/>
    <w:rsid w:val="00D01F82"/>
    <w:rsid w:val="00D0237D"/>
    <w:rsid w:val="00D04619"/>
    <w:rsid w:val="00D05063"/>
    <w:rsid w:val="00D05DA4"/>
    <w:rsid w:val="00D07256"/>
    <w:rsid w:val="00D0740F"/>
    <w:rsid w:val="00D07D11"/>
    <w:rsid w:val="00D166C5"/>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68A9"/>
    <w:rsid w:val="00D47970"/>
    <w:rsid w:val="00D53B40"/>
    <w:rsid w:val="00D54A56"/>
    <w:rsid w:val="00D55242"/>
    <w:rsid w:val="00D608A3"/>
    <w:rsid w:val="00D61A38"/>
    <w:rsid w:val="00D63317"/>
    <w:rsid w:val="00D63BBD"/>
    <w:rsid w:val="00D65096"/>
    <w:rsid w:val="00D67824"/>
    <w:rsid w:val="00D679C4"/>
    <w:rsid w:val="00D70945"/>
    <w:rsid w:val="00D72805"/>
    <w:rsid w:val="00D7713D"/>
    <w:rsid w:val="00D82CCF"/>
    <w:rsid w:val="00D85404"/>
    <w:rsid w:val="00D914F3"/>
    <w:rsid w:val="00D930D4"/>
    <w:rsid w:val="00DA19A3"/>
    <w:rsid w:val="00DA31DC"/>
    <w:rsid w:val="00DA4D76"/>
    <w:rsid w:val="00DA54AF"/>
    <w:rsid w:val="00DA781F"/>
    <w:rsid w:val="00DB2FB1"/>
    <w:rsid w:val="00DB4A98"/>
    <w:rsid w:val="00DB5FB3"/>
    <w:rsid w:val="00DC0548"/>
    <w:rsid w:val="00DC0D2B"/>
    <w:rsid w:val="00DC100B"/>
    <w:rsid w:val="00DC30B1"/>
    <w:rsid w:val="00DC435D"/>
    <w:rsid w:val="00DC58E9"/>
    <w:rsid w:val="00DD171A"/>
    <w:rsid w:val="00DD1D67"/>
    <w:rsid w:val="00DD3075"/>
    <w:rsid w:val="00DD635E"/>
    <w:rsid w:val="00DD7454"/>
    <w:rsid w:val="00DE08B9"/>
    <w:rsid w:val="00DE4B2A"/>
    <w:rsid w:val="00DE6BC6"/>
    <w:rsid w:val="00DF7574"/>
    <w:rsid w:val="00DF77AD"/>
    <w:rsid w:val="00E110BA"/>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19A9"/>
    <w:rsid w:val="00E66F7C"/>
    <w:rsid w:val="00E714DD"/>
    <w:rsid w:val="00E81719"/>
    <w:rsid w:val="00E81F47"/>
    <w:rsid w:val="00E9003F"/>
    <w:rsid w:val="00E921B9"/>
    <w:rsid w:val="00E935B2"/>
    <w:rsid w:val="00E93A22"/>
    <w:rsid w:val="00E95340"/>
    <w:rsid w:val="00E95906"/>
    <w:rsid w:val="00E9727F"/>
    <w:rsid w:val="00EA0161"/>
    <w:rsid w:val="00EA35BA"/>
    <w:rsid w:val="00EA47FF"/>
    <w:rsid w:val="00EA5210"/>
    <w:rsid w:val="00EA62D7"/>
    <w:rsid w:val="00EB0C6D"/>
    <w:rsid w:val="00EB122B"/>
    <w:rsid w:val="00EB6B50"/>
    <w:rsid w:val="00EC0950"/>
    <w:rsid w:val="00EC130E"/>
    <w:rsid w:val="00EC3122"/>
    <w:rsid w:val="00EC42B6"/>
    <w:rsid w:val="00EC5810"/>
    <w:rsid w:val="00EC6230"/>
    <w:rsid w:val="00ED0AA4"/>
    <w:rsid w:val="00ED1753"/>
    <w:rsid w:val="00ED2C7C"/>
    <w:rsid w:val="00ED6779"/>
    <w:rsid w:val="00EE1837"/>
    <w:rsid w:val="00EE2D9B"/>
    <w:rsid w:val="00EE35DE"/>
    <w:rsid w:val="00EE47E5"/>
    <w:rsid w:val="00EE6CA5"/>
    <w:rsid w:val="00EF1B60"/>
    <w:rsid w:val="00EF30F1"/>
    <w:rsid w:val="00EF5E08"/>
    <w:rsid w:val="00F013DE"/>
    <w:rsid w:val="00F03A30"/>
    <w:rsid w:val="00F04052"/>
    <w:rsid w:val="00F06A70"/>
    <w:rsid w:val="00F13ED0"/>
    <w:rsid w:val="00F17811"/>
    <w:rsid w:val="00F210C4"/>
    <w:rsid w:val="00F21898"/>
    <w:rsid w:val="00F21A50"/>
    <w:rsid w:val="00F235C9"/>
    <w:rsid w:val="00F31B22"/>
    <w:rsid w:val="00F31D4F"/>
    <w:rsid w:val="00F34199"/>
    <w:rsid w:val="00F34657"/>
    <w:rsid w:val="00F355FB"/>
    <w:rsid w:val="00F40DCF"/>
    <w:rsid w:val="00F43764"/>
    <w:rsid w:val="00F46DE6"/>
    <w:rsid w:val="00F47D41"/>
    <w:rsid w:val="00F506E3"/>
    <w:rsid w:val="00F52128"/>
    <w:rsid w:val="00F52638"/>
    <w:rsid w:val="00F53172"/>
    <w:rsid w:val="00F55561"/>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A7DFC"/>
    <w:rsid w:val="00FB0787"/>
    <w:rsid w:val="00FB3238"/>
    <w:rsid w:val="00FB5172"/>
    <w:rsid w:val="00FC05BD"/>
    <w:rsid w:val="00FC1903"/>
    <w:rsid w:val="00FD05D4"/>
    <w:rsid w:val="00FD4392"/>
    <w:rsid w:val="00FD58A1"/>
    <w:rsid w:val="00FD689E"/>
    <w:rsid w:val="00FD6D9D"/>
    <w:rsid w:val="00FE1FEC"/>
    <w:rsid w:val="00FE259F"/>
    <w:rsid w:val="00FE324F"/>
    <w:rsid w:val="00FE32F0"/>
    <w:rsid w:val="00FE50DE"/>
    <w:rsid w:val="00FE587B"/>
    <w:rsid w:val="00FE6B73"/>
    <w:rsid w:val="00FF33E7"/>
    <w:rsid w:val="00FF3585"/>
    <w:rsid w:val="00FF514D"/>
    <w:rsid w:val="00FF611B"/>
    <w:rsid w:val="00FF61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2A1D6F"/>
  <w15:docId w15:val="{5F154863-5542-497B-B301-98F3D8A3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6" w:qFormat="1"/>
    <w:lsdException w:name="heading 2" w:locked="1" w:uiPriority="7" w:qFormat="1"/>
    <w:lsdException w:name="heading 3" w:locked="1" w:uiPriority="8"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4"/>
      </w:numPr>
      <w:ind w:left="680" w:hanging="340"/>
    </w:pPr>
    <w:rPr>
      <w:rFonts w:cs="Times New Roman"/>
    </w:rPr>
  </w:style>
  <w:style w:type="paragraph" w:customStyle="1" w:styleId="Instructions-numbered">
    <w:name w:val="Instructions - numbered"/>
    <w:basedOn w:val="Normal"/>
    <w:uiPriority w:val="13"/>
    <w:qFormat/>
    <w:rsid w:val="00475745"/>
    <w:pPr>
      <w:numPr>
        <w:numId w:val="5"/>
      </w:numPr>
      <w:ind w:left="680" w:hanging="340"/>
    </w:pPr>
    <w:rPr>
      <w:rFonts w:cs="Times New Roman"/>
      <w:i/>
      <w:color w:val="FF0000"/>
    </w:rPr>
  </w:style>
  <w:style w:type="paragraph" w:customStyle="1" w:styleId="bullet1">
    <w:name w:val="bullet 1"/>
    <w:basedOn w:val="Normal"/>
    <w:link w:val="bullet1Char"/>
    <w:qFormat/>
    <w:rsid w:val="00475745"/>
    <w:pPr>
      <w:numPr>
        <w:numId w:val="9"/>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6"/>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2"/>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3"/>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rsid w:val="00475745"/>
    <w:pPr>
      <w:ind w:left="340" w:hanging="340"/>
    </w:pPr>
  </w:style>
  <w:style w:type="character" w:customStyle="1" w:styleId="Bullet1Char0">
    <w:name w:val="Bullet 1 Char"/>
    <w:basedOn w:val="DefaultParagraphFont"/>
    <w:link w:val="Bullet10"/>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8"/>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paragraph" w:customStyle="1" w:styleId="Definitionsabbreviations">
    <w:name w:val="Definitions &amp; abbreviations"/>
    <w:autoRedefine/>
    <w:uiPriority w:val="99"/>
    <w:rsid w:val="00966396"/>
    <w:pPr>
      <w:spacing w:before="60" w:after="120"/>
    </w:pPr>
    <w:rPr>
      <w:rFonts w:ascii="Tahoma" w:hAnsi="Tahoma" w:cs="Tahoma"/>
      <w:b/>
      <w:bCs/>
      <w:color w:val="000000" w:themeColor="text1"/>
      <w:spacing w:val="5"/>
      <w:kern w:val="28"/>
      <w:sz w:val="20"/>
      <w:szCs w:val="26"/>
      <w:lang w:eastAsia="en-US"/>
    </w:rPr>
  </w:style>
  <w:style w:type="paragraph" w:customStyle="1" w:styleId="heading2numbered">
    <w:name w:val="heading 2 numbered"/>
    <w:basedOn w:val="Heading2"/>
    <w:next w:val="Normal"/>
    <w:link w:val="heading2numberedChar"/>
    <w:autoRedefine/>
    <w:qFormat/>
    <w:rsid w:val="00396068"/>
  </w:style>
  <w:style w:type="paragraph" w:customStyle="1" w:styleId="heading1numbered">
    <w:name w:val="heading 1 numbered"/>
    <w:basedOn w:val="Heading1"/>
    <w:next w:val="Normal"/>
    <w:autoRedefine/>
    <w:qFormat/>
    <w:rsid w:val="00966396"/>
  </w:style>
  <w:style w:type="paragraph" w:customStyle="1" w:styleId="heading3numbered">
    <w:name w:val="heading 3 numbered"/>
    <w:basedOn w:val="Heading3"/>
    <w:next w:val="Normal"/>
    <w:autoRedefine/>
    <w:qFormat/>
    <w:rsid w:val="00396068"/>
  </w:style>
  <w:style w:type="character" w:customStyle="1" w:styleId="heading2numberedChar">
    <w:name w:val="heading 2 numbered Char"/>
    <w:basedOn w:val="Heading2Char"/>
    <w:link w:val="heading2numbered"/>
    <w:rsid w:val="00396068"/>
    <w:rPr>
      <w:rFonts w:ascii="Gill Sans MT" w:eastAsiaTheme="minorHAnsi" w:hAnsi="Gill Sans MT" w:cs="Arial"/>
      <w:bCs/>
      <w:iCs/>
      <w:color w:val="943634"/>
      <w:szCs w:val="28"/>
      <w:lang w:eastAsia="en-US"/>
    </w:rPr>
  </w:style>
  <w:style w:type="paragraph" w:styleId="ListParagraph">
    <w:name w:val="List Paragraph"/>
    <w:basedOn w:val="Normal"/>
    <w:uiPriority w:val="34"/>
    <w:rsid w:val="00966396"/>
    <w:pPr>
      <w:ind w:left="720"/>
      <w:contextualSpacing/>
    </w:pPr>
  </w:style>
  <w:style w:type="paragraph" w:styleId="NormalWeb">
    <w:name w:val="Normal (Web)"/>
    <w:basedOn w:val="Normal"/>
    <w:uiPriority w:val="99"/>
    <w:semiHidden/>
    <w:unhideWhenUsed/>
    <w:rsid w:val="00966396"/>
    <w:pPr>
      <w:spacing w:before="100" w:beforeAutospacing="1" w:after="100" w:afterAutospacing="1"/>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66396"/>
    <w:rPr>
      <w:color w:val="605E5C"/>
      <w:shd w:val="clear" w:color="auto" w:fill="E1DFDD"/>
    </w:rPr>
  </w:style>
  <w:style w:type="paragraph" w:customStyle="1" w:styleId="Default">
    <w:name w:val="Default"/>
    <w:rsid w:val="00966396"/>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D55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2234">
      <w:bodyDiv w:val="1"/>
      <w:marLeft w:val="0"/>
      <w:marRight w:val="0"/>
      <w:marTop w:val="0"/>
      <w:marBottom w:val="0"/>
      <w:divBdr>
        <w:top w:val="none" w:sz="0" w:space="0" w:color="auto"/>
        <w:left w:val="none" w:sz="0" w:space="0" w:color="auto"/>
        <w:bottom w:val="none" w:sz="0" w:space="0" w:color="auto"/>
        <w:right w:val="none" w:sz="0" w:space="0" w:color="auto"/>
      </w:divBdr>
    </w:div>
    <w:div w:id="989405173">
      <w:bodyDiv w:val="1"/>
      <w:marLeft w:val="0"/>
      <w:marRight w:val="0"/>
      <w:marTop w:val="0"/>
      <w:marBottom w:val="0"/>
      <w:divBdr>
        <w:top w:val="none" w:sz="0" w:space="0" w:color="auto"/>
        <w:left w:val="none" w:sz="0" w:space="0" w:color="auto"/>
        <w:bottom w:val="none" w:sz="0" w:space="0" w:color="auto"/>
        <w:right w:val="none" w:sz="0" w:space="0" w:color="auto"/>
      </w:divBdr>
    </w:div>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irmingham.ac.uk/privacy/index.aspx" TargetMode="External"/><Relationship Id="rId26" Type="http://schemas.openxmlformats.org/officeDocument/2006/relationships/hyperlink" Target="https://ec.europa.eu/health/sites/health/files/files/eudralex/vol-10/v10_chap5_en.pdf" TargetMode="External"/><Relationship Id="rId39" Type="http://schemas.openxmlformats.org/officeDocument/2006/relationships/hyperlink" Target="https://www.birmingham.ac.uk/research/activity/mds/mds-rkto/governance/Glossary-of-Terms.aspx" TargetMode="External"/><Relationship Id="rId3" Type="http://schemas.openxmlformats.org/officeDocument/2006/relationships/customXml" Target="../customXml/item3.xml"/><Relationship Id="rId21" Type="http://schemas.openxmlformats.org/officeDocument/2006/relationships/hyperlink" Target="https://www.hra.nhs.uk/planning-and-improving-research/policies-standards-legislation/clinical-trials-investigational-medicinal-products-ctimps/combined-ways-working-pilot/" TargetMode="External"/><Relationship Id="rId34" Type="http://schemas.openxmlformats.org/officeDocument/2006/relationships/hyperlink" Target="https://www.gov.uk/guidance/clinical-trials-for-medicines-apply-for-authorisation-in-the-uk"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laborate.bham.ac.uk/it/itas/Published/Standards/Information%20Classification%20Standard.pdf" TargetMode="External"/><Relationship Id="rId25" Type="http://schemas.openxmlformats.org/officeDocument/2006/relationships/hyperlink" Target="mailto:researchgovernance@contacts.bham.ac.uk" TargetMode="External"/><Relationship Id="rId33" Type="http://schemas.openxmlformats.org/officeDocument/2006/relationships/hyperlink" Target="https://www.myresearchproject.org.uk/help/hlpamendments.aspx" TargetMode="External"/><Relationship Id="rId38" Type="http://schemas.openxmlformats.org/officeDocument/2006/relationships/hyperlink" Target="https://collaborate.bham.ac.uk/it/itas/Published/Standards/Information%20Classification%20Standard.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hyperlink" Target="https://www.ema.europa.eu/en/documents/scientific-guideline/ich-e-6-r2-guideline-good-clinical-practice-step-5_en.pdf" TargetMode="External"/><Relationship Id="rId29" Type="http://schemas.openxmlformats.org/officeDocument/2006/relationships/hyperlink" Target="http://www.hra-decisiontools.org.uk/consent/docs/Consent%20and%20PIS%20Guidance.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crct@contacts.bham.ac.uk" TargetMode="External"/><Relationship Id="rId32" Type="http://schemas.openxmlformats.org/officeDocument/2006/relationships/hyperlink" Target="https://www.ema.europa.eu/en/documents/scientific-guideline/ich-e-6-r2-guideline-good-clinical-practice-step-5_en.pdf" TargetMode="External"/><Relationship Id="rId37" Type="http://schemas.openxmlformats.org/officeDocument/2006/relationships/hyperlink" Target="https://www.birmingham.ac.uk/privacy/index.aspx" TargetMode="External"/><Relationship Id="rId40" Type="http://schemas.openxmlformats.org/officeDocument/2006/relationships/header" Target="header2.xm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birmingham.ac.uk/research/activity/mds/mds-rkto/governance/index.aspx" TargetMode="External"/><Relationship Id="rId28" Type="http://schemas.openxmlformats.org/officeDocument/2006/relationships/hyperlink" Target="https://www.hra.nhs.uk/planning-and-improving-research/policies-standards-legislation/clinical-trials-investigational-medicinal-products-ctimps/combined-ways-working-pilot/" TargetMode="External"/><Relationship Id="rId36" Type="http://schemas.openxmlformats.org/officeDocument/2006/relationships/hyperlink" Target="https://intranet.birmingham.ac.uk/finance/documents/public/rgt/Internal-CI-Agreement-UoB-sponsor-UK-study-non-CTIMPs-V1.docx" TargetMode="External"/><Relationship Id="rId10" Type="http://schemas.openxmlformats.org/officeDocument/2006/relationships/endnotes" Target="endnotes.xml"/><Relationship Id="rId19" Type="http://schemas.openxmlformats.org/officeDocument/2006/relationships/hyperlink" Target="https://content.hta.gov.uk/sites/default/files/2020-11/Code%20A.pdf" TargetMode="External"/><Relationship Id="rId31" Type="http://schemas.openxmlformats.org/officeDocument/2006/relationships/hyperlink" Target="https://content.hta.gov.uk/sites/default/files/2020-11/Code%20A.pdf"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uropa.eu/en/documents/scientific-guideline/ich-e-6-r2-guideline-good-clinical-practice-step-5_en.pdf" TargetMode="External"/><Relationship Id="rId22" Type="http://schemas.openxmlformats.org/officeDocument/2006/relationships/hyperlink" Target="https://www.ema.europa.eu/en/documents/scientific-guideline/ich-e-6-r2-guideline-good-clinical-practice-step-5_en.pdf" TargetMode="External"/><Relationship Id="rId27" Type="http://schemas.openxmlformats.org/officeDocument/2006/relationships/hyperlink" Target="https://www.hra.nhs.uk/approvals-amendments/what-approvals-do-i-need/hra-approval/" TargetMode="External"/><Relationship Id="rId30" Type="http://schemas.openxmlformats.org/officeDocument/2006/relationships/hyperlink" Target="https://www.hra.nhs.uk/planning-and-improving-research/best-practice/informing-participants-and-seeking-consent/" TargetMode="External"/><Relationship Id="rId35" Type="http://schemas.openxmlformats.org/officeDocument/2006/relationships/hyperlink" Target="http://www.spirit-statement.org/wp-content/uploads/2013/01/SPIRIT-Checklist-download-8Jan13.pdf" TargetMode="External"/><Relationship Id="rId43"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74C064C5E6A4BBA3C1427415C2253" ma:contentTypeVersion="10" ma:contentTypeDescription="Create a new document." ma:contentTypeScope="" ma:versionID="eb4de9de0f5e00176cbd66130d31731f">
  <xsd:schema xmlns:xsd="http://www.w3.org/2001/XMLSchema" xmlns:xs="http://www.w3.org/2001/XMLSchema" xmlns:p="http://schemas.microsoft.com/office/2006/metadata/properties" xmlns:ns2="bbcdd600-913c-431e-8c32-68135d9f832f" xmlns:ns3="3a59bc76-4fe8-444b-b40b-fedcf35e2929" targetNamespace="http://schemas.microsoft.com/office/2006/metadata/properties" ma:root="true" ma:fieldsID="990f0f7ed58334a7128401847581471d" ns2:_="" ns3:_="">
    <xsd:import namespace="bbcdd600-913c-431e-8c32-68135d9f832f"/>
    <xsd:import namespace="3a59bc76-4fe8-444b-b40b-fedcf35e2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d600-913c-431e-8c32-68135d9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9bc76-4fe8-444b-b40b-fedcf35e29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6471-1D46-4E7A-936D-008DC97ED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d600-913c-431e-8c32-68135d9f832f"/>
    <ds:schemaRef ds:uri="3a59bc76-4fe8-444b-b40b-fedcf35e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934D3-3B15-407F-963C-CC0262DCEB9D}">
  <ds:schemaRefs>
    <ds:schemaRef ds:uri="http://schemas.microsoft.com/sharepoint/v3/contenttype/forms"/>
  </ds:schemaRefs>
</ds:datastoreItem>
</file>

<file path=customXml/itemProps3.xml><?xml version="1.0" encoding="utf-8"?>
<ds:datastoreItem xmlns:ds="http://schemas.openxmlformats.org/officeDocument/2006/customXml" ds:itemID="{ED39712E-D952-42A2-B5A5-A63FFD118F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cdd600-913c-431e-8c32-68135d9f832f"/>
    <ds:schemaRef ds:uri="3a59bc76-4fe8-444b-b40b-fedcf35e2929"/>
    <ds:schemaRef ds:uri="http://www.w3.org/XML/1998/namespace"/>
    <ds:schemaRef ds:uri="http://purl.org/dc/dcmitype/"/>
  </ds:schemaRefs>
</ds:datastoreItem>
</file>

<file path=customXml/itemProps4.xml><?xml version="1.0" encoding="utf-8"?>
<ds:datastoreItem xmlns:ds="http://schemas.openxmlformats.org/officeDocument/2006/customXml" ds:itemID="{EFF9F609-402D-4B85-BC21-8059D84A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v8.0 vd 11-Oct-2019</dc:title>
  <dc:creator>Jamie Douglas-Pugh</dc:creator>
  <cp:lastModifiedBy>Guojin Liu (MDS - Research and Knowledge Transfer)</cp:lastModifiedBy>
  <cp:revision>9</cp:revision>
  <cp:lastPrinted>2021-09-08T08:48:00Z</cp:lastPrinted>
  <dcterms:created xsi:type="dcterms:W3CDTF">2022-03-09T09:15:00Z</dcterms:created>
  <dcterms:modified xsi:type="dcterms:W3CDTF">2022-03-22T10:59:00Z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0x0101005CC74C064C5E6A4BBA3C1427415C2253</vt:lpwstr>
  </property>
</Properties>
</file>