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5283E8" w14:textId="77777777" w:rsidR="00C0396F" w:rsidRPr="00C0396F" w:rsidRDefault="008235B1" w:rsidP="00C0396F">
      <w:pPr>
        <w:pStyle w:val="Title"/>
      </w:pPr>
      <w:r w:rsidRPr="00C0396F">
        <w:t>Standard Operating Procedure:</w:t>
      </w:r>
      <w:bookmarkStart w:id="0" w:name="_GoBack"/>
      <w:bookmarkEnd w:id="0"/>
    </w:p>
    <w:p w14:paraId="469B1341" w14:textId="77777777" w:rsidR="005F1AD8" w:rsidRDefault="00230C9E" w:rsidP="00F013DE">
      <w:pPr>
        <w:pStyle w:val="Title"/>
      </w:pPr>
      <w:r>
        <w:t>Food and Nutritional Components</w:t>
      </w:r>
    </w:p>
    <w:p w14:paraId="463E7264" w14:textId="77777777" w:rsidR="00C0396F" w:rsidRDefault="00C0396F" w:rsidP="00C0396F">
      <w:pPr>
        <w:rPr>
          <w:rFonts w:eastAsiaTheme="majorEastAsia"/>
        </w:rPr>
      </w:pPr>
    </w:p>
    <w:p w14:paraId="64B72EA2" w14:textId="77777777" w:rsidR="00512C56" w:rsidRDefault="00512C56" w:rsidP="00C0396F">
      <w:pPr>
        <w:rPr>
          <w:rFonts w:eastAsiaTheme="majorEastAsia"/>
        </w:rPr>
      </w:pPr>
    </w:p>
    <w:p w14:paraId="6284E18E" w14:textId="576EBAC0" w:rsidR="005F1AD8" w:rsidRDefault="005F1AD8">
      <w:pPr>
        <w:pStyle w:val="Heading1"/>
      </w:pPr>
      <w:r w:rsidRPr="00B6322E">
        <w:t>Purpose</w:t>
      </w:r>
    </w:p>
    <w:p w14:paraId="1ECDE339" w14:textId="79006CEB" w:rsidR="0060052C" w:rsidRPr="0060052C" w:rsidRDefault="00230C9E" w:rsidP="0060052C">
      <w:r w:rsidRPr="00230C9E">
        <w:t xml:space="preserve">This </w:t>
      </w:r>
      <w:r w:rsidR="001D449B">
        <w:t>s</w:t>
      </w:r>
      <w:r w:rsidR="001D449B" w:rsidRPr="00230C9E">
        <w:t xml:space="preserve">tandard </w:t>
      </w:r>
      <w:r w:rsidR="001D449B">
        <w:t>o</w:t>
      </w:r>
      <w:r w:rsidR="001D449B" w:rsidRPr="00230C9E">
        <w:t xml:space="preserve">perating </w:t>
      </w:r>
      <w:r w:rsidR="001D449B">
        <w:t>p</w:t>
      </w:r>
      <w:r w:rsidR="001D449B" w:rsidRPr="00230C9E">
        <w:t xml:space="preserve">rocedure </w:t>
      </w:r>
      <w:r w:rsidRPr="00230C9E">
        <w:t>(SOP) describes the procedures for sourcing, storage, preparation and administration of food and/or nutritional components to participants. It includes repackaging and labelling of any bulk supplies, and the disposal of excess product.</w:t>
      </w:r>
    </w:p>
    <w:p w14:paraId="5B92C4FE" w14:textId="205F7A2B" w:rsidR="005F1AD8" w:rsidRDefault="005F1AD8">
      <w:pPr>
        <w:pStyle w:val="Heading1"/>
      </w:pPr>
      <w:r w:rsidRPr="00B63F21">
        <w:t>Scope</w:t>
      </w:r>
    </w:p>
    <w:p w14:paraId="289C2276" w14:textId="2D9893B6" w:rsidR="0060052C" w:rsidRPr="0060052C" w:rsidRDefault="00230C9E" w:rsidP="0060052C">
      <w:r w:rsidRPr="00230C9E">
        <w:t xml:space="preserve">This SOP is applicable to all University of Birmingham (UoB) sponsored clinical research where food and/or nutritional components are sourced, stored, prepared and/or administered to participants. Where clinical research is (co-)sponsored by another institution, this procedure should be followed as far as possible, and in line with </w:t>
      </w:r>
      <w:r w:rsidR="006107CC">
        <w:t xml:space="preserve">the </w:t>
      </w:r>
      <w:r w:rsidRPr="00230C9E">
        <w:t xml:space="preserve">contractual agreement between the UoB and the other institution. This SOP also applies to clinical research approved by UoB Research Ethics Committee (REC) that are required to follow </w:t>
      </w:r>
      <w:r w:rsidR="00526C91">
        <w:t xml:space="preserve">the </w:t>
      </w:r>
      <w:bookmarkStart w:id="1" w:name="_Hlk122002082"/>
      <w:r w:rsidRPr="001D449B">
        <w:rPr>
          <w:rStyle w:val="ReferencestootherSOPsQCDsChar"/>
        </w:rPr>
        <w:t>UoB Principles of Good Clinical Practice (GCP) for Clinical Research</w:t>
      </w:r>
      <w:r w:rsidR="00526C91" w:rsidRPr="001D449B">
        <w:rPr>
          <w:rStyle w:val="ReferencestootherSOPsQCDsChar"/>
        </w:rPr>
        <w:t xml:space="preserve"> </w:t>
      </w:r>
      <w:r w:rsidR="00526C91" w:rsidRPr="00526C91">
        <w:rPr>
          <w:rStyle w:val="ReferencestootherSOPsQCDsChar"/>
        </w:rPr>
        <w:t>(UoB-GCP-POL-001)</w:t>
      </w:r>
      <w:bookmarkEnd w:id="1"/>
      <w:r w:rsidRPr="001D449B">
        <w:rPr>
          <w:rStyle w:val="ReferencestootherSOPsQCDsChar"/>
        </w:rPr>
        <w:t>.</w:t>
      </w:r>
      <w:r w:rsidR="00526C91" w:rsidRPr="00526C91">
        <w:t xml:space="preserve"> </w:t>
      </w:r>
      <w:r w:rsidR="00526C91" w:rsidRPr="00E812CE">
        <w:t>This SOP may be used as a guidance document in all other cases.</w:t>
      </w:r>
    </w:p>
    <w:p w14:paraId="08E2C8B6" w14:textId="29016BA3" w:rsidR="005F1AD8" w:rsidRPr="00C34A3B" w:rsidRDefault="005F1AD8" w:rsidP="00B937B6">
      <w:pPr>
        <w:pStyle w:val="Heading1"/>
      </w:pPr>
      <w:r w:rsidRPr="00B63F21">
        <w:t>Implementation plan</w:t>
      </w:r>
    </w:p>
    <w:p w14:paraId="7F3A984C" w14:textId="3D73A79D" w:rsidR="005F1AD8" w:rsidRPr="00C34A3B" w:rsidRDefault="00372EE2">
      <w:r w:rsidRPr="00372EE2">
        <w:t xml:space="preserve">This SOP will be implemented directly after the effective date for any clinical research that </w:t>
      </w:r>
      <w:r w:rsidR="001D449B">
        <w:t>is</w:t>
      </w:r>
      <w:r w:rsidR="001D449B" w:rsidRPr="00372EE2">
        <w:t xml:space="preserve"> </w:t>
      </w:r>
      <w:r w:rsidRPr="00372EE2">
        <w:t>still in the set</w:t>
      </w:r>
      <w:r w:rsidR="001D449B">
        <w:t>-</w:t>
      </w:r>
      <w:r w:rsidRPr="00372EE2">
        <w:t xml:space="preserve"> up phase. For existing clinical research that </w:t>
      </w:r>
      <w:r w:rsidR="001D449B" w:rsidRPr="00372EE2">
        <w:t>ha</w:t>
      </w:r>
      <w:r w:rsidR="001D449B">
        <w:t>s</w:t>
      </w:r>
      <w:r w:rsidR="001D449B" w:rsidRPr="00372EE2">
        <w:t xml:space="preserve"> </w:t>
      </w:r>
      <w:r w:rsidRPr="00372EE2">
        <w:t xml:space="preserve">already been set up and </w:t>
      </w:r>
      <w:r w:rsidR="001D449B">
        <w:t>is</w:t>
      </w:r>
      <w:r w:rsidR="001D449B" w:rsidRPr="00372EE2">
        <w:t xml:space="preserve"> </w:t>
      </w:r>
      <w:r w:rsidRPr="00372EE2">
        <w:t xml:space="preserve">in the recruitment phase (or further) at the time of implementation, this SOP will be implemented within 12 months of the </w:t>
      </w:r>
      <w:r w:rsidR="00C34C37">
        <w:t>effective</w:t>
      </w:r>
      <w:r w:rsidR="00C34C37" w:rsidRPr="00372EE2">
        <w:t xml:space="preserve"> </w:t>
      </w:r>
      <w:r w:rsidRPr="00372EE2">
        <w:t>date.</w:t>
      </w:r>
    </w:p>
    <w:p w14:paraId="05F1A5EE" w14:textId="5F3CCF43" w:rsidR="005F1AD8" w:rsidRDefault="005F1AD8">
      <w:pPr>
        <w:pStyle w:val="Heading1"/>
      </w:pPr>
      <w:r>
        <w:t>Stakeholders</w:t>
      </w:r>
    </w:p>
    <w:p w14:paraId="22775AED" w14:textId="1D911C90" w:rsidR="00372EE2" w:rsidRPr="00372EE2" w:rsidRDefault="00372EE2" w:rsidP="00372EE2">
      <w:r w:rsidRPr="00372EE2">
        <w:t xml:space="preserve">Note that where a </w:t>
      </w:r>
      <w:r w:rsidR="001D449B">
        <w:t>c</w:t>
      </w:r>
      <w:r w:rsidR="001D449B" w:rsidRPr="00372EE2">
        <w:t xml:space="preserve">linical </w:t>
      </w:r>
      <w:r w:rsidR="001D449B">
        <w:t>t</w:t>
      </w:r>
      <w:r w:rsidR="001D449B" w:rsidRPr="00372EE2">
        <w:t>rial</w:t>
      </w:r>
      <w:r w:rsidR="001D449B">
        <w:t>s</w:t>
      </w:r>
      <w:r w:rsidR="001D449B" w:rsidRPr="00372EE2">
        <w:t xml:space="preserve"> </w:t>
      </w:r>
      <w:r w:rsidR="001D449B">
        <w:t>u</w:t>
      </w:r>
      <w:r w:rsidR="001D449B" w:rsidRPr="00372EE2">
        <w:t xml:space="preserve">nit </w:t>
      </w:r>
      <w:r w:rsidRPr="00372EE2">
        <w:t xml:space="preserve">(CTU) is involved, the CTU may take on responsibility for aspects of the procedures relating to food and nutritional components. The CTU may delegate these duties further to their trials team(s). All delegation of duties will be documented </w:t>
      </w:r>
      <w:r w:rsidR="00526C91">
        <w:t xml:space="preserve">e.g. </w:t>
      </w:r>
      <w:r w:rsidRPr="00372EE2">
        <w:t xml:space="preserve">using the </w:t>
      </w:r>
      <w:bookmarkStart w:id="2" w:name="_Hlk122002090"/>
      <w:r w:rsidRPr="001D449B">
        <w:rPr>
          <w:rStyle w:val="ReferencestootherSOPsQCDsChar"/>
        </w:rPr>
        <w:t>Clinical Trials Task Delegation Log</w:t>
      </w:r>
      <w:r w:rsidR="00526C91" w:rsidRPr="001D449B">
        <w:rPr>
          <w:rStyle w:val="ReferencestootherSOPsQCDsChar"/>
        </w:rPr>
        <w:t xml:space="preserve"> (UoB-SPO-QCD-001)</w:t>
      </w:r>
      <w:r w:rsidRPr="00372EE2">
        <w:t>.</w:t>
      </w:r>
    </w:p>
    <w:bookmarkEnd w:id="2"/>
    <w:p w14:paraId="57E80A2B" w14:textId="2ECDD216" w:rsidR="00372EE2" w:rsidRDefault="00B968D3" w:rsidP="00372EE2">
      <w:pPr>
        <w:pStyle w:val="bullet1"/>
      </w:pPr>
      <w:r>
        <w:t xml:space="preserve">Chief </w:t>
      </w:r>
      <w:r w:rsidR="001D449B">
        <w:t xml:space="preserve">investigator </w:t>
      </w:r>
      <w:r>
        <w:t>(</w:t>
      </w:r>
      <w:r w:rsidR="00372EE2">
        <w:t>CI</w:t>
      </w:r>
      <w:r>
        <w:t>)</w:t>
      </w:r>
      <w:r w:rsidR="00372EE2">
        <w:t xml:space="preserve">: the CI may delegate activities to members of their research team, although evidence of CI involvement and approval is still expected and may not be delegated where ‘no delegation allowed’ is indicated. The SOP will state where delegation is possible. For clinical research approved by UoB REC, the role of CI may be termed the </w:t>
      </w:r>
      <w:r w:rsidR="001D449B">
        <w:t>principal investigator</w:t>
      </w:r>
      <w:r w:rsidR="00372EE2">
        <w:t>, or the supervisor for the postgraduate research student.</w:t>
      </w:r>
    </w:p>
    <w:p w14:paraId="17AF66BC" w14:textId="77777777" w:rsidR="004C46FF" w:rsidRPr="00342C1E" w:rsidRDefault="004C46FF" w:rsidP="004C46FF">
      <w:pPr>
        <w:pStyle w:val="bullet1"/>
        <w:numPr>
          <w:ilvl w:val="0"/>
          <w:numId w:val="0"/>
        </w:numPr>
        <w:sectPr w:rsidR="004C46FF" w:rsidRPr="00342C1E" w:rsidSect="00512C56">
          <w:footerReference w:type="default" r:id="rId8"/>
          <w:headerReference w:type="first" r:id="rId9"/>
          <w:footerReference w:type="first" r:id="rId10"/>
          <w:pgSz w:w="11907" w:h="16839" w:code="9"/>
          <w:pgMar w:top="5211" w:right="1440" w:bottom="1440" w:left="1440" w:header="1438" w:footer="283" w:gutter="0"/>
          <w:cols w:space="708"/>
          <w:titlePg/>
          <w:docGrid w:linePitch="360"/>
        </w:sectPr>
      </w:pPr>
    </w:p>
    <w:p w14:paraId="582C5E2C" w14:textId="178ECBCD" w:rsidR="001D449B" w:rsidRPr="001D449B" w:rsidRDefault="001D449B" w:rsidP="00CF71BF">
      <w:pPr>
        <w:pStyle w:val="bullet1"/>
      </w:pPr>
      <w:bookmarkStart w:id="3" w:name="_Toc320536979"/>
      <w:r w:rsidRPr="00CF71BF">
        <w:lastRenderedPageBreak/>
        <w:t>Authorised healthcare professional (i.e. doctor, dentist, nurse or pharmacist). This may be the CI where they are an authorised healthcare professional.</w:t>
      </w:r>
    </w:p>
    <w:p w14:paraId="3F04EBAD" w14:textId="6853E24C" w:rsidR="005F0420" w:rsidRDefault="005F0420" w:rsidP="0060052C">
      <w:pPr>
        <w:pStyle w:val="Heading1"/>
      </w:pPr>
      <w:r>
        <w:t>Background</w:t>
      </w:r>
      <w:r w:rsidR="008D54DF">
        <w:t xml:space="preserve"> and </w:t>
      </w:r>
      <w:r w:rsidR="00667FF6">
        <w:t>r</w:t>
      </w:r>
      <w:r w:rsidR="008D54DF">
        <w:t>ationale</w:t>
      </w:r>
    </w:p>
    <w:p w14:paraId="3AD21A39" w14:textId="58D3F216" w:rsidR="00372EE2" w:rsidRDefault="00372EE2" w:rsidP="00372EE2">
      <w:r>
        <w:t xml:space="preserve">The purpose of this document is to explain the procedures for the sourcing, preparation, handling and storage of food and nutritional components intended for human consumption as part of a clinical research project. Robust procedures are required for the use of food and nutritional components to ensure the safety and </w:t>
      </w:r>
      <w:r w:rsidRPr="00981406">
        <w:t xml:space="preserve">well-being of the </w:t>
      </w:r>
      <w:r>
        <w:t>participant (</w:t>
      </w:r>
      <w:r w:rsidR="00526C91">
        <w:t xml:space="preserve">see </w:t>
      </w:r>
      <w:proofErr w:type="spellStart"/>
      <w:r w:rsidRPr="00D23D92">
        <w:rPr>
          <w:rStyle w:val="ReferencestootherSOPsQCDsChar"/>
        </w:rPr>
        <w:t>UoB</w:t>
      </w:r>
      <w:proofErr w:type="spellEnd"/>
      <w:r w:rsidRPr="00D23D92">
        <w:rPr>
          <w:rStyle w:val="ReferencestootherSOPsQCDsChar"/>
        </w:rPr>
        <w:t xml:space="preserve"> Principles of GCP for Clinical Research</w:t>
      </w:r>
      <w:r w:rsidR="00526C91">
        <w:rPr>
          <w:rStyle w:val="ReferencestootherSOPsQCDsChar"/>
        </w:rPr>
        <w:t xml:space="preserve"> (</w:t>
      </w:r>
      <w:r w:rsidR="00526C91" w:rsidRPr="00D23D92">
        <w:rPr>
          <w:rStyle w:val="ReferencestootherSOPsQCDsChar"/>
        </w:rPr>
        <w:t>UoB-G</w:t>
      </w:r>
      <w:r w:rsidR="00526C91">
        <w:rPr>
          <w:rStyle w:val="ReferencestootherSOPsQCDsChar"/>
        </w:rPr>
        <w:t>CP</w:t>
      </w:r>
      <w:r w:rsidR="00526C91" w:rsidRPr="00D23D92">
        <w:rPr>
          <w:rStyle w:val="ReferencestootherSOPsQCDsChar"/>
        </w:rPr>
        <w:t>-POL-001</w:t>
      </w:r>
      <w:r w:rsidR="00526C91">
        <w:rPr>
          <w:rStyle w:val="ReferencestootherSOPsQCDsChar"/>
        </w:rPr>
        <w:t>)</w:t>
      </w:r>
      <w:r>
        <w:t>).</w:t>
      </w:r>
    </w:p>
    <w:p w14:paraId="2944D666" w14:textId="3729CF57" w:rsidR="00372EE2" w:rsidRDefault="00372EE2" w:rsidP="00372EE2">
      <w:r>
        <w:t>Nutritional components include macronutrients (e.g.</w:t>
      </w:r>
      <w:r w:rsidR="001D449B">
        <w:t xml:space="preserve"> </w:t>
      </w:r>
      <w:r>
        <w:t>carbohydrates and/or protein supplements) and micronutrients (e.g. vitamin and/or minimal supplements).</w:t>
      </w:r>
    </w:p>
    <w:p w14:paraId="50E1CACA" w14:textId="1ED13F13" w:rsidR="00372EE2" w:rsidRDefault="00372EE2" w:rsidP="00372EE2">
      <w:r>
        <w:t>In this document</w:t>
      </w:r>
      <w:r w:rsidR="00FF0AF2">
        <w:t>,</w:t>
      </w:r>
      <w:r>
        <w:t xml:space="preserve"> preparation of nutritional components may include</w:t>
      </w:r>
      <w:r w:rsidR="00FF0AF2">
        <w:t xml:space="preserve">: </w:t>
      </w:r>
      <w:r>
        <w:t>(</w:t>
      </w:r>
      <w:proofErr w:type="spellStart"/>
      <w:r>
        <w:t>i</w:t>
      </w:r>
      <w:proofErr w:type="spellEnd"/>
      <w:r>
        <w:t>) the manufacture of components in combination with other reagents</w:t>
      </w:r>
      <w:r w:rsidR="00FF0AF2">
        <w:t>;</w:t>
      </w:r>
      <w:r>
        <w:t xml:space="preserve"> (ii) encapsulation of a supplement</w:t>
      </w:r>
      <w:r w:rsidR="00FF0AF2">
        <w:t>;</w:t>
      </w:r>
      <w:r>
        <w:t xml:space="preserve"> (iii) preparation of components incorporating stable isotope tracers for oral ingestion or intra-venous infusion</w:t>
      </w:r>
      <w:r w:rsidR="00FF0AF2">
        <w:t>;</w:t>
      </w:r>
      <w:r>
        <w:t xml:space="preserve"> (iv) addition of a component(s) to a liquid prior to administration and</w:t>
      </w:r>
      <w:r w:rsidR="00FF0AF2">
        <w:t>;</w:t>
      </w:r>
      <w:r>
        <w:t xml:space="preserve"> (v) repackaging of a product from bulk supply. The preparation of food products includes any processing/cooking of the food products, and repackaging of the food if it is to be consumed at a later time. </w:t>
      </w:r>
    </w:p>
    <w:p w14:paraId="012D8905" w14:textId="6D878BB6" w:rsidR="00372EE2" w:rsidRDefault="00372EE2" w:rsidP="00372EE2">
      <w:r w:rsidRPr="00B04979">
        <w:t>Where the product(s) will be parenteral</w:t>
      </w:r>
      <w:r>
        <w:t>ly</w:t>
      </w:r>
      <w:r w:rsidRPr="00B04979">
        <w:t xml:space="preserve"> administrated</w:t>
      </w:r>
      <w:r>
        <w:t xml:space="preserve"> (i.e. administrated by non-oral means), additional safety measures must be incorporated into the research processes, see ‘Parenteral administration’ section below. </w:t>
      </w:r>
    </w:p>
    <w:p w14:paraId="4AEE2BEE" w14:textId="0B8870E2" w:rsidR="00372EE2" w:rsidRDefault="00372EE2" w:rsidP="00372EE2">
      <w:r>
        <w:t>In the event of an a</w:t>
      </w:r>
      <w:r w:rsidRPr="00BA607F">
        <w:t>dverse event</w:t>
      </w:r>
      <w:r w:rsidR="00FF0AF2">
        <w:t>,</w:t>
      </w:r>
      <w:r>
        <w:t xml:space="preserve"> whether related or not to the food and/or nutritional component, see </w:t>
      </w:r>
      <w:r w:rsidR="00526C91">
        <w:t xml:space="preserve">the </w:t>
      </w:r>
      <w:bookmarkStart w:id="4" w:name="_Hlk122002104"/>
      <w:r w:rsidR="00526C91" w:rsidRPr="00903CA1">
        <w:rPr>
          <w:rStyle w:val="ReferencestootherSOPsQCDsChar"/>
        </w:rPr>
        <w:t>Adverse Event Reporting</w:t>
      </w:r>
      <w:r w:rsidR="00526C91">
        <w:rPr>
          <w:rStyle w:val="ReferencestootherSOPsQCDsChar"/>
        </w:rPr>
        <w:t xml:space="preserve"> SOP (UoB-AES-SOP-001</w:t>
      </w:r>
      <w:bookmarkEnd w:id="4"/>
      <w:r w:rsidR="00526C91">
        <w:rPr>
          <w:rStyle w:val="ReferencestootherSOPsQCDsChar"/>
        </w:rPr>
        <w:t>)</w:t>
      </w:r>
      <w:r>
        <w:t xml:space="preserve"> for reporting requirements. </w:t>
      </w:r>
    </w:p>
    <w:p w14:paraId="2E181C42" w14:textId="0C5F4361" w:rsidR="00372EE2" w:rsidRDefault="00372EE2" w:rsidP="00372EE2">
      <w:r>
        <w:t xml:space="preserve">For deviation and serious breach reporting, see </w:t>
      </w:r>
      <w:r w:rsidR="00C10BC9">
        <w:t xml:space="preserve">the </w:t>
      </w:r>
      <w:bookmarkStart w:id="5" w:name="_Hlk122002112"/>
      <w:r w:rsidRPr="0018530A">
        <w:rPr>
          <w:rStyle w:val="ReferencestootherSOPsQCDsChar"/>
        </w:rPr>
        <w:t>Deviations and Serious Breach Reporting</w:t>
      </w:r>
      <w:r w:rsidR="00C10BC9">
        <w:rPr>
          <w:rStyle w:val="ReferencestootherSOPsQCDsChar"/>
        </w:rPr>
        <w:t xml:space="preserve"> SOP (</w:t>
      </w:r>
      <w:r w:rsidR="00C10BC9" w:rsidRPr="0018530A">
        <w:rPr>
          <w:rStyle w:val="ReferencestootherSOPsQCDsChar"/>
        </w:rPr>
        <w:t>UoB-DSB-SOP-001</w:t>
      </w:r>
      <w:r w:rsidR="00C10BC9">
        <w:rPr>
          <w:rStyle w:val="ReferencestootherSOPsQCDsChar"/>
        </w:rPr>
        <w:t>)</w:t>
      </w:r>
      <w:r>
        <w:t xml:space="preserve">. </w:t>
      </w:r>
    </w:p>
    <w:bookmarkEnd w:id="5"/>
    <w:p w14:paraId="6E00EA43" w14:textId="3DA89956" w:rsidR="00E22773" w:rsidRDefault="00C3647F">
      <w:pPr>
        <w:pStyle w:val="Heading1"/>
      </w:pPr>
      <w:r w:rsidRPr="00435EAE">
        <w:t>Procedure</w:t>
      </w:r>
    </w:p>
    <w:p w14:paraId="342807D3" w14:textId="77777777" w:rsidR="00372EE2" w:rsidRDefault="00372EE2" w:rsidP="00372EE2">
      <w:pPr>
        <w:pStyle w:val="Heading2"/>
      </w:pPr>
      <w:r>
        <w:t xml:space="preserve">Project classification </w:t>
      </w:r>
    </w:p>
    <w:p w14:paraId="7EC0EA50" w14:textId="5A9835D6" w:rsidR="00372EE2" w:rsidRDefault="00372EE2" w:rsidP="00372EE2">
      <w:pPr>
        <w:pStyle w:val="Numberlist"/>
      </w:pPr>
      <w:r>
        <w:t xml:space="preserve">For use of nutritional components, the CI (or delegate) will determine whether the nutritional component is an </w:t>
      </w:r>
      <w:r w:rsidR="00FF0AF2">
        <w:t xml:space="preserve">investigational medicinal product </w:t>
      </w:r>
      <w:r>
        <w:t xml:space="preserve">(IMP) and therefore the clinical research project is classified as a </w:t>
      </w:r>
      <w:r w:rsidR="00FF0AF2">
        <w:t>c</w:t>
      </w:r>
      <w:r w:rsidR="00FF0AF2" w:rsidRPr="003C7643">
        <w:t xml:space="preserve">linical </w:t>
      </w:r>
      <w:r w:rsidR="00FF0AF2">
        <w:t>t</w:t>
      </w:r>
      <w:r w:rsidR="00FF0AF2" w:rsidRPr="003C7643">
        <w:t xml:space="preserve">rial </w:t>
      </w:r>
      <w:r w:rsidRPr="003C7643">
        <w:t xml:space="preserve">of an </w:t>
      </w:r>
      <w:r w:rsidR="00FF0AF2">
        <w:t>i</w:t>
      </w:r>
      <w:r w:rsidR="00FF0AF2" w:rsidRPr="003C7643">
        <w:t xml:space="preserve">nvestigational </w:t>
      </w:r>
      <w:r w:rsidR="00FF0AF2">
        <w:t>m</w:t>
      </w:r>
      <w:r w:rsidR="00FF0AF2" w:rsidRPr="003C7643">
        <w:t xml:space="preserve">edicinal </w:t>
      </w:r>
      <w:r w:rsidR="00FF0AF2">
        <w:t>p</w:t>
      </w:r>
      <w:r w:rsidR="00FF0AF2" w:rsidRPr="003C7643">
        <w:t>roduct</w:t>
      </w:r>
      <w:r w:rsidR="00FF0AF2">
        <w:t xml:space="preserve"> </w:t>
      </w:r>
      <w:r>
        <w:t xml:space="preserve">(CTIMP). Refer to the </w:t>
      </w:r>
      <w:proofErr w:type="spellStart"/>
      <w:r w:rsidRPr="00EB7D09">
        <w:rPr>
          <w:rStyle w:val="ReferencestootherSOPsQCDsChar"/>
        </w:rPr>
        <w:t>UoB</w:t>
      </w:r>
      <w:proofErr w:type="spellEnd"/>
      <w:r w:rsidRPr="00EB7D09">
        <w:rPr>
          <w:rStyle w:val="ReferencestootherSOPsQCDsChar"/>
        </w:rPr>
        <w:t xml:space="preserve"> Clinical Research Definitions</w:t>
      </w:r>
      <w:r w:rsidR="009D75A9">
        <w:rPr>
          <w:rStyle w:val="ReferencestootherSOPsQCDsChar"/>
        </w:rPr>
        <w:t xml:space="preserve"> (</w:t>
      </w:r>
      <w:r w:rsidR="009D75A9" w:rsidRPr="00EB7D09">
        <w:rPr>
          <w:rStyle w:val="ReferencestootherSOPsQCDsChar"/>
        </w:rPr>
        <w:t>UoB-CRG-POL-002</w:t>
      </w:r>
      <w:r w:rsidR="009D75A9">
        <w:rPr>
          <w:rStyle w:val="ReferencestootherSOPsQCDsChar"/>
        </w:rPr>
        <w:t>)</w:t>
      </w:r>
      <w:r>
        <w:t xml:space="preserve">.  </w:t>
      </w:r>
    </w:p>
    <w:p w14:paraId="49E9F5E6" w14:textId="77777777" w:rsidR="00372EE2" w:rsidRDefault="00372EE2" w:rsidP="00372EE2">
      <w:pPr>
        <w:pStyle w:val="Heading2"/>
      </w:pPr>
      <w:r>
        <w:t>Training and facilities</w:t>
      </w:r>
    </w:p>
    <w:p w14:paraId="2F8B55B1" w14:textId="738B62E5" w:rsidR="00372EE2" w:rsidRDefault="00372EE2" w:rsidP="00372EE2">
      <w:pPr>
        <w:pStyle w:val="Numberlist"/>
        <w:numPr>
          <w:ilvl w:val="0"/>
          <w:numId w:val="12"/>
        </w:numPr>
        <w:ind w:left="340" w:hanging="340"/>
      </w:pPr>
      <w:r w:rsidRPr="00890639">
        <w:t>The CI (or delegate) will</w:t>
      </w:r>
      <w:r>
        <w:t xml:space="preserve"> ensure and evidence that relevant staff are appropriately trained in the handling of food and/</w:t>
      </w:r>
      <w:r w:rsidRPr="00D46F94">
        <w:t xml:space="preserve">or nutritional </w:t>
      </w:r>
      <w:r>
        <w:t>components</w:t>
      </w:r>
      <w:r w:rsidRPr="00D46F94">
        <w:t>, and informed of their roles within the project before und</w:t>
      </w:r>
      <w:r>
        <w:t xml:space="preserve">ertaking their respective tasks. See </w:t>
      </w:r>
      <w:r w:rsidR="00FF0AF2">
        <w:t xml:space="preserve">the </w:t>
      </w:r>
      <w:bookmarkStart w:id="6" w:name="_Hlk122002121"/>
      <w:r w:rsidRPr="005E01EF">
        <w:rPr>
          <w:rStyle w:val="ReferencestootherSOPsQCDsChar"/>
        </w:rPr>
        <w:t>Training</w:t>
      </w:r>
      <w:r w:rsidR="009D75A9">
        <w:rPr>
          <w:rStyle w:val="ReferencestootherSOPsQCDsChar"/>
        </w:rPr>
        <w:t xml:space="preserve"> SOP (</w:t>
      </w:r>
      <w:r w:rsidR="009D75A9" w:rsidRPr="005E01EF">
        <w:rPr>
          <w:rStyle w:val="ReferencestootherSOPsQCDsChar"/>
        </w:rPr>
        <w:t>UoB-</w:t>
      </w:r>
      <w:r w:rsidR="009D75A9">
        <w:rPr>
          <w:rStyle w:val="ReferencestootherSOPsQCDsChar"/>
        </w:rPr>
        <w:t>TRN</w:t>
      </w:r>
      <w:r w:rsidR="009D75A9" w:rsidRPr="005E01EF">
        <w:rPr>
          <w:rStyle w:val="ReferencestootherSOPsQCDsChar"/>
        </w:rPr>
        <w:t>-SOP-00</w:t>
      </w:r>
      <w:r w:rsidR="009D75A9">
        <w:rPr>
          <w:rStyle w:val="ReferencestootherSOPsQCDsChar"/>
        </w:rPr>
        <w:t>1)</w:t>
      </w:r>
      <w:r>
        <w:t xml:space="preserve">.  </w:t>
      </w:r>
      <w:bookmarkEnd w:id="6"/>
    </w:p>
    <w:p w14:paraId="0F6338AD" w14:textId="1515C343" w:rsidR="00372EE2" w:rsidRDefault="00372EE2" w:rsidP="00372EE2">
      <w:pPr>
        <w:pStyle w:val="bullet2"/>
      </w:pPr>
      <w:r>
        <w:t xml:space="preserve">It is expected that staff are trained to </w:t>
      </w:r>
      <w:r w:rsidR="009D75A9">
        <w:t xml:space="preserve">at least </w:t>
      </w:r>
      <w:r>
        <w:t xml:space="preserve">a Level 2 Food Safety and Hygiene standard. </w:t>
      </w:r>
    </w:p>
    <w:p w14:paraId="6C82025D" w14:textId="65876EB2" w:rsidR="00372EE2" w:rsidRPr="004E163C" w:rsidRDefault="00372EE2" w:rsidP="00372EE2">
      <w:pPr>
        <w:pStyle w:val="Numberlist"/>
        <w:numPr>
          <w:ilvl w:val="0"/>
          <w:numId w:val="12"/>
        </w:numPr>
        <w:ind w:left="340" w:hanging="340"/>
      </w:pPr>
      <w:r w:rsidRPr="004E163C">
        <w:t>The CI (or delegate) will ensure</w:t>
      </w:r>
      <w:r>
        <w:t>, as far as is practicable</w:t>
      </w:r>
      <w:r w:rsidR="00FF0AF2">
        <w:t>,</w:t>
      </w:r>
      <w:r w:rsidRPr="004E163C">
        <w:t xml:space="preserve"> that staff affected by an infectious disease or who have open lesions on exposed surfaces of the body</w:t>
      </w:r>
      <w:r>
        <w:t xml:space="preserve"> (that cannot be covered by waterproof dressing)</w:t>
      </w:r>
      <w:r w:rsidRPr="004E163C">
        <w:t xml:space="preserve"> do not engage in activities relating to the handling of food and/or nutritional components. </w:t>
      </w:r>
    </w:p>
    <w:p w14:paraId="52A1887E" w14:textId="19F3D449" w:rsidR="00372EE2" w:rsidRPr="006400BB" w:rsidRDefault="00372EE2" w:rsidP="00372EE2">
      <w:pPr>
        <w:pStyle w:val="Numberlist"/>
        <w:numPr>
          <w:ilvl w:val="0"/>
          <w:numId w:val="12"/>
        </w:numPr>
        <w:ind w:left="340" w:hanging="340"/>
      </w:pPr>
      <w:r>
        <w:t>Where relevant, t</w:t>
      </w:r>
      <w:r w:rsidRPr="00503514">
        <w:t>he CI (or delegate) will ensure equipment</w:t>
      </w:r>
      <w:r>
        <w:t xml:space="preserve"> used</w:t>
      </w:r>
      <w:r w:rsidRPr="00503514">
        <w:t xml:space="preserve"> is maintained and </w:t>
      </w:r>
      <w:r w:rsidR="00FF0AF2">
        <w:t xml:space="preserve">that </w:t>
      </w:r>
      <w:r>
        <w:t xml:space="preserve">servicing and </w:t>
      </w:r>
      <w:r w:rsidRPr="00503514">
        <w:t>calibration checks are performed</w:t>
      </w:r>
      <w:r>
        <w:t xml:space="preserve"> (see</w:t>
      </w:r>
      <w:r w:rsidR="00C23FFE">
        <w:t xml:space="preserve"> the </w:t>
      </w:r>
      <w:bookmarkStart w:id="7" w:name="_Hlk122002136"/>
      <w:r w:rsidRPr="00503514">
        <w:rPr>
          <w:rStyle w:val="ReferencestootherSOPsQCDsChar"/>
        </w:rPr>
        <w:t>Equipment Maintenance Schedule</w:t>
      </w:r>
      <w:r w:rsidR="009D75A9">
        <w:rPr>
          <w:rStyle w:val="ReferencestootherSOPsQCDsChar"/>
        </w:rPr>
        <w:t xml:space="preserve"> (</w:t>
      </w:r>
      <w:r w:rsidR="009D75A9" w:rsidRPr="00503514">
        <w:rPr>
          <w:rStyle w:val="ReferencestootherSOPsQCDsChar"/>
        </w:rPr>
        <w:t>UoB-CRL-QCD-010</w:t>
      </w:r>
      <w:r w:rsidR="00FF0AF2">
        <w:rPr>
          <w:rStyle w:val="ReferencestootherSOPsQCDsChar"/>
        </w:rPr>
        <w:t>)</w:t>
      </w:r>
      <w:r w:rsidR="00FF0AF2">
        <w:t xml:space="preserve">. </w:t>
      </w:r>
      <w:bookmarkEnd w:id="7"/>
      <w:r w:rsidR="00FF0AF2">
        <w:t xml:space="preserve">Note that </w:t>
      </w:r>
      <w:r>
        <w:t>this QCD is intended for clinical trials but could also be utilised for studies to support best practice</w:t>
      </w:r>
      <w:r w:rsidRPr="004A5706">
        <w:t>.</w:t>
      </w:r>
      <w:r w:rsidRPr="00C94E9E">
        <w:t xml:space="preserve"> See also</w:t>
      </w:r>
      <w:r>
        <w:rPr>
          <w:color w:val="FF0000"/>
        </w:rPr>
        <w:t xml:space="preserve"> </w:t>
      </w:r>
      <w:r w:rsidR="00FF0AF2" w:rsidRPr="00FF0AF2">
        <w:t>the</w:t>
      </w:r>
      <w:r w:rsidR="00FF0AF2">
        <w:rPr>
          <w:color w:val="FF0000"/>
        </w:rPr>
        <w:t xml:space="preserve"> </w:t>
      </w:r>
      <w:bookmarkStart w:id="8" w:name="_Hlk122002173"/>
      <w:r w:rsidRPr="00510CEB">
        <w:rPr>
          <w:rStyle w:val="ReferencestootherSOPsQCDsChar"/>
        </w:rPr>
        <w:t>Laboratory Facilities</w:t>
      </w:r>
      <w:r w:rsidR="009D75A9">
        <w:rPr>
          <w:rStyle w:val="ReferencestootherSOPsQCDsChar"/>
        </w:rPr>
        <w:t xml:space="preserve"> SOP (</w:t>
      </w:r>
      <w:r w:rsidR="009D75A9" w:rsidRPr="00510CEB">
        <w:rPr>
          <w:rStyle w:val="ReferencestootherSOPsQCDsChar"/>
        </w:rPr>
        <w:t>UoB-CRL-SOP-002</w:t>
      </w:r>
      <w:r w:rsidR="009D75A9">
        <w:rPr>
          <w:rStyle w:val="ReferencestootherSOPsQCDsChar"/>
        </w:rPr>
        <w:t>)</w:t>
      </w:r>
      <w:r w:rsidRPr="00510CEB">
        <w:rPr>
          <w:rStyle w:val="ReferencestootherSOPsQCDsChar"/>
        </w:rPr>
        <w:t xml:space="preserve"> </w:t>
      </w:r>
      <w:bookmarkEnd w:id="8"/>
      <w:r w:rsidRPr="00C94E9E">
        <w:t>for more information.</w:t>
      </w:r>
      <w:r>
        <w:rPr>
          <w:color w:val="FF0000"/>
        </w:rPr>
        <w:t xml:space="preserve">  </w:t>
      </w:r>
    </w:p>
    <w:p w14:paraId="19FE3A65" w14:textId="77777777" w:rsidR="00372EE2" w:rsidRPr="00EA2423" w:rsidRDefault="00372EE2" w:rsidP="00372EE2">
      <w:pPr>
        <w:pStyle w:val="bullet2"/>
      </w:pPr>
      <w:r>
        <w:t>Is it expected that defective equipment is removed (if possible), or clearly labelled as defective.</w:t>
      </w:r>
    </w:p>
    <w:p w14:paraId="4912E864" w14:textId="77777777" w:rsidR="00372EE2" w:rsidRDefault="00372EE2" w:rsidP="00372EE2">
      <w:pPr>
        <w:pStyle w:val="Numberlist"/>
        <w:numPr>
          <w:ilvl w:val="0"/>
          <w:numId w:val="12"/>
        </w:numPr>
        <w:ind w:left="340" w:hanging="340"/>
      </w:pPr>
      <w:r w:rsidRPr="00EA2423">
        <w:t xml:space="preserve">The CI (or delegate) will </w:t>
      </w:r>
      <w:r>
        <w:t>document the appropriate facilities and personal protective equipment (PPE) to be used for the handling and storage of food and/or nutritional components, ensu</w:t>
      </w:r>
      <w:r w:rsidR="00C34C37">
        <w:t>r</w:t>
      </w:r>
      <w:r>
        <w:t>ing the following:</w:t>
      </w:r>
    </w:p>
    <w:p w14:paraId="756A2AE7" w14:textId="1AB0F6CE" w:rsidR="00372EE2" w:rsidRDefault="009D75A9" w:rsidP="00372EE2">
      <w:pPr>
        <w:pStyle w:val="bullet2"/>
      </w:pPr>
      <w:r>
        <w:t>there is a</w:t>
      </w:r>
      <w:r w:rsidR="00372EE2">
        <w:t>ccess to hand-washing facilities</w:t>
      </w:r>
    </w:p>
    <w:p w14:paraId="04FCD350" w14:textId="43A504B0" w:rsidR="00372EE2" w:rsidRDefault="00372EE2" w:rsidP="00372EE2">
      <w:pPr>
        <w:pStyle w:val="bullet2"/>
      </w:pPr>
      <w:r>
        <w:t>gloves</w:t>
      </w:r>
      <w:r w:rsidR="009D75A9">
        <w:t xml:space="preserve"> are used</w:t>
      </w:r>
      <w:r>
        <w:t xml:space="preserve"> to prevent direct contact with the product, or any equipment that comes in contact with the product</w:t>
      </w:r>
    </w:p>
    <w:p w14:paraId="72434D0C" w14:textId="51D79C86" w:rsidR="00372EE2" w:rsidRDefault="009D75A9" w:rsidP="00372EE2">
      <w:pPr>
        <w:pStyle w:val="bullet2"/>
      </w:pPr>
      <w:r>
        <w:t>no e</w:t>
      </w:r>
      <w:r w:rsidR="00372EE2" w:rsidRPr="00E172D1">
        <w:t xml:space="preserve">ating, drinking, chewing or smoking, or the storage of </w:t>
      </w:r>
      <w:r>
        <w:t xml:space="preserve">any personal </w:t>
      </w:r>
      <w:r w:rsidR="00372EE2" w:rsidRPr="00E172D1">
        <w:t xml:space="preserve">food, drink, smoking materials or medication in the </w:t>
      </w:r>
      <w:r w:rsidR="00372EE2">
        <w:t>facilities</w:t>
      </w:r>
    </w:p>
    <w:p w14:paraId="1AEFACEA" w14:textId="16C8F77F" w:rsidR="00372EE2" w:rsidRDefault="00372EE2" w:rsidP="00372EE2">
      <w:pPr>
        <w:pStyle w:val="bullet2"/>
      </w:pPr>
      <w:r>
        <w:lastRenderedPageBreak/>
        <w:t xml:space="preserve">storage facilities are capable of maintaining the product(s) at </w:t>
      </w:r>
      <w:r w:rsidR="00C34C37">
        <w:t xml:space="preserve">the </w:t>
      </w:r>
      <w:r>
        <w:t>appropriate temperature</w:t>
      </w:r>
      <w:r w:rsidR="00C34C37">
        <w:t>s</w:t>
      </w:r>
      <w:r>
        <w:t xml:space="preserve"> and allow those temperatures to be monitored</w:t>
      </w:r>
      <w:r w:rsidR="009D75A9">
        <w:t xml:space="preserve"> (where required)</w:t>
      </w:r>
      <w:r>
        <w:t>.</w:t>
      </w:r>
    </w:p>
    <w:p w14:paraId="77C941AE" w14:textId="64F96790" w:rsidR="00372EE2" w:rsidRDefault="00372EE2" w:rsidP="00372EE2">
      <w:pPr>
        <w:pStyle w:val="Numberlist"/>
        <w:numPr>
          <w:ilvl w:val="0"/>
          <w:numId w:val="12"/>
        </w:numPr>
        <w:ind w:left="340" w:hanging="340"/>
      </w:pPr>
      <w:r>
        <w:t xml:space="preserve">The CI (or delegate) will set up appropriate housekeeping procedures to ensure facilities are kept in a sufficiently clean and orderly state to protect the product and prevent contamination. See also </w:t>
      </w:r>
      <w:bookmarkStart w:id="9" w:name="_Hlk122002185"/>
      <w:r w:rsidRPr="00EB0480">
        <w:rPr>
          <w:rStyle w:val="ReferencestootherSOPsQCDsChar"/>
        </w:rPr>
        <w:t>Housekeeping Schedule</w:t>
      </w:r>
      <w:r w:rsidR="009D75A9">
        <w:rPr>
          <w:rStyle w:val="ReferencestootherSOPsQCDsChar"/>
        </w:rPr>
        <w:t xml:space="preserve"> (</w:t>
      </w:r>
      <w:r w:rsidR="009D75A9" w:rsidRPr="00EB0480">
        <w:rPr>
          <w:rStyle w:val="ReferencestootherSOPsQCDsChar"/>
        </w:rPr>
        <w:t>UoB-CRL-QCD-006</w:t>
      </w:r>
      <w:r w:rsidR="009D75A9">
        <w:rPr>
          <w:rStyle w:val="ReferencestootherSOPsQCDsChar"/>
        </w:rPr>
        <w:t>)</w:t>
      </w:r>
      <w:r>
        <w:t xml:space="preserve"> </w:t>
      </w:r>
      <w:bookmarkEnd w:id="9"/>
      <w:r>
        <w:t>(note that this document is intended for laboratories but can be adapted for use in a research kitchen</w:t>
      </w:r>
      <w:r w:rsidRPr="004A5706">
        <w:t>).</w:t>
      </w:r>
      <w:r w:rsidRPr="00C94E9E">
        <w:t xml:space="preserve"> See also</w:t>
      </w:r>
      <w:r>
        <w:rPr>
          <w:color w:val="FF0000"/>
        </w:rPr>
        <w:t xml:space="preserve"> </w:t>
      </w:r>
      <w:r w:rsidRPr="00510CEB">
        <w:rPr>
          <w:rStyle w:val="ReferencestootherSOPsQCDsChar"/>
        </w:rPr>
        <w:t>Laboratory Facilities</w:t>
      </w:r>
      <w:r w:rsidR="009D75A9">
        <w:rPr>
          <w:rStyle w:val="ReferencestootherSOPsQCDsChar"/>
        </w:rPr>
        <w:t xml:space="preserve"> SOP (</w:t>
      </w:r>
      <w:r w:rsidR="009D75A9" w:rsidRPr="00510CEB">
        <w:rPr>
          <w:rStyle w:val="ReferencestootherSOPsQCDsChar"/>
        </w:rPr>
        <w:t>UoB-CRL-SOP-002</w:t>
      </w:r>
      <w:r w:rsidR="009D75A9">
        <w:rPr>
          <w:rStyle w:val="ReferencestootherSOPsQCDsChar"/>
        </w:rPr>
        <w:t>)</w:t>
      </w:r>
      <w:r w:rsidRPr="00510CEB">
        <w:rPr>
          <w:rStyle w:val="ReferencestootherSOPsQCDsChar"/>
        </w:rPr>
        <w:t xml:space="preserve"> </w:t>
      </w:r>
      <w:r w:rsidRPr="00C94E9E">
        <w:t>for more information.</w:t>
      </w:r>
      <w:r>
        <w:rPr>
          <w:color w:val="FF0000"/>
        </w:rPr>
        <w:t xml:space="preserve">  </w:t>
      </w:r>
    </w:p>
    <w:p w14:paraId="7EE9A4A5" w14:textId="044660A5" w:rsidR="00372EE2" w:rsidRPr="00A9546C" w:rsidRDefault="00372EE2" w:rsidP="00372EE2">
      <w:pPr>
        <w:pStyle w:val="Numberlist"/>
        <w:numPr>
          <w:ilvl w:val="0"/>
          <w:numId w:val="12"/>
        </w:numPr>
        <w:ind w:left="340" w:hanging="340"/>
      </w:pPr>
      <w:r w:rsidRPr="00A9546C">
        <w:t xml:space="preserve">The CI (or delegate) will document details of the </w:t>
      </w:r>
      <w:r>
        <w:t xml:space="preserve">food and and/or nutritional component related </w:t>
      </w:r>
      <w:r w:rsidRPr="00A9546C">
        <w:t>procedure</w:t>
      </w:r>
      <w:r>
        <w:t>s</w:t>
      </w:r>
      <w:r w:rsidRPr="00A9546C">
        <w:t xml:space="preserve"> within the risk assessment.</w:t>
      </w:r>
      <w:r w:rsidR="009D75A9">
        <w:t xml:space="preserve"> See also</w:t>
      </w:r>
      <w:r w:rsidR="00BB64A3">
        <w:t xml:space="preserve"> the</w:t>
      </w:r>
      <w:r w:rsidR="009D75A9">
        <w:t xml:space="preserve"> </w:t>
      </w:r>
      <w:bookmarkStart w:id="10" w:name="_Hlk122002198"/>
      <w:r w:rsidR="009D75A9" w:rsidRPr="00BB64A3">
        <w:rPr>
          <w:rStyle w:val="ReferencestootherSOPsQCDsChar"/>
        </w:rPr>
        <w:t>Project Oversight and Quality Management SOP (UoB-POS-SOP-001)</w:t>
      </w:r>
      <w:r w:rsidR="009D75A9">
        <w:t xml:space="preserve"> </w:t>
      </w:r>
      <w:bookmarkEnd w:id="10"/>
      <w:r w:rsidR="00BB64A3">
        <w:t xml:space="preserve">for </w:t>
      </w:r>
      <w:r w:rsidR="009D75A9">
        <w:t>details on performing a project-specific risk assessment.</w:t>
      </w:r>
    </w:p>
    <w:p w14:paraId="127B2116" w14:textId="3FC9F318" w:rsidR="00372EE2" w:rsidRDefault="00372EE2" w:rsidP="00372EE2">
      <w:pPr>
        <w:pStyle w:val="Heading2"/>
      </w:pPr>
      <w:r>
        <w:t>Sourcing, receipt and storage</w:t>
      </w:r>
    </w:p>
    <w:p w14:paraId="18B1017E" w14:textId="272E7F48" w:rsidR="00372EE2" w:rsidRPr="00890639" w:rsidRDefault="00372EE2" w:rsidP="00372EE2">
      <w:pPr>
        <w:pStyle w:val="Numberlist"/>
        <w:numPr>
          <w:ilvl w:val="0"/>
          <w:numId w:val="12"/>
        </w:numPr>
        <w:ind w:left="340" w:hanging="340"/>
      </w:pPr>
      <w:r w:rsidRPr="00890639">
        <w:t xml:space="preserve">The CI (or delegate) will define and </w:t>
      </w:r>
      <w:r>
        <w:t xml:space="preserve">document the source of any food and/or </w:t>
      </w:r>
      <w:r w:rsidRPr="00890639">
        <w:t xml:space="preserve">nutritional </w:t>
      </w:r>
      <w:r>
        <w:t>components</w:t>
      </w:r>
      <w:r w:rsidRPr="00890639">
        <w:t xml:space="preserve"> that will be administrated to participants. </w:t>
      </w:r>
      <w:r>
        <w:t xml:space="preserve">This will include details on shipping requirements (e.g. temperature controls), and a process for monitoring conditions during shipping (if necessary). </w:t>
      </w:r>
    </w:p>
    <w:p w14:paraId="5992F099" w14:textId="4D039906" w:rsidR="00372EE2" w:rsidRPr="00890639" w:rsidRDefault="00372EE2" w:rsidP="00372EE2">
      <w:pPr>
        <w:pStyle w:val="bullet2"/>
      </w:pPr>
      <w:r>
        <w:t>A</w:t>
      </w:r>
      <w:r w:rsidRPr="00890639">
        <w:t>dditional infor</w:t>
      </w:r>
      <w:r>
        <w:t xml:space="preserve">mation should be included where relevant e.g. the reason(s) for selecting </w:t>
      </w:r>
      <w:r w:rsidRPr="00890639">
        <w:t>a particular manufacturer.</w:t>
      </w:r>
    </w:p>
    <w:p w14:paraId="752515C4" w14:textId="77777777" w:rsidR="00372EE2" w:rsidRDefault="00372EE2" w:rsidP="00372EE2">
      <w:pPr>
        <w:pStyle w:val="Numberlist"/>
        <w:numPr>
          <w:ilvl w:val="0"/>
          <w:numId w:val="12"/>
        </w:numPr>
        <w:ind w:left="340" w:hanging="340"/>
      </w:pPr>
      <w:r>
        <w:t xml:space="preserve">The </w:t>
      </w:r>
      <w:r w:rsidRPr="00890639">
        <w:t>CI (or delegate) will</w:t>
      </w:r>
      <w:r>
        <w:t xml:space="preserve"> document the specific storage instructions for the food and/or nutritional component. This will include procedures for temperature monitoring, dealing with adverse storage conditions and checking for tampering during storage. </w:t>
      </w:r>
    </w:p>
    <w:p w14:paraId="2AC0E788" w14:textId="2A96D5DC" w:rsidR="00372EE2" w:rsidRDefault="00372EE2" w:rsidP="00372EE2">
      <w:pPr>
        <w:pStyle w:val="Numberlist"/>
        <w:numPr>
          <w:ilvl w:val="0"/>
          <w:numId w:val="12"/>
        </w:numPr>
        <w:ind w:left="340" w:hanging="340"/>
      </w:pPr>
      <w:r>
        <w:t xml:space="preserve">The CI (or delegate) will define a process for documenting the receipt and storage of the food and/or nutritional component, including any quality checks to be performed on incoming products and dealing with damaged products (e.g. due to tampering). It is expected that the data </w:t>
      </w:r>
      <w:r w:rsidR="001553AA">
        <w:t xml:space="preserve">listed below </w:t>
      </w:r>
      <w:r>
        <w:t>is recorded in a receipt and storage log (see</w:t>
      </w:r>
      <w:r w:rsidR="00C23FFE">
        <w:t xml:space="preserve"> the</w:t>
      </w:r>
      <w:r>
        <w:t xml:space="preserve"> </w:t>
      </w:r>
      <w:bookmarkStart w:id="11" w:name="_Hlk122002212"/>
      <w:r>
        <w:rPr>
          <w:rStyle w:val="ReferencestootherSOPsQCDsChar"/>
        </w:rPr>
        <w:t>Receipt and Storage Record</w:t>
      </w:r>
      <w:r w:rsidR="001553AA">
        <w:rPr>
          <w:rStyle w:val="ReferencestootherSOPsQCDsChar"/>
        </w:rPr>
        <w:t xml:space="preserve"> (</w:t>
      </w:r>
      <w:r w:rsidR="001553AA" w:rsidRPr="00ED2BD5">
        <w:rPr>
          <w:rStyle w:val="ReferencestootherSOPsQCDsChar"/>
        </w:rPr>
        <w:t>UoB-</w:t>
      </w:r>
      <w:r w:rsidR="001553AA">
        <w:rPr>
          <w:rStyle w:val="ReferencestootherSOPsQCDsChar"/>
        </w:rPr>
        <w:t>FNC</w:t>
      </w:r>
      <w:r w:rsidR="001553AA" w:rsidRPr="00ED2BD5">
        <w:rPr>
          <w:rStyle w:val="ReferencestootherSOPsQCDsChar"/>
        </w:rPr>
        <w:t>-QCD-001</w:t>
      </w:r>
      <w:r w:rsidR="001553AA">
        <w:rPr>
          <w:rStyle w:val="ReferencestootherSOPsQCDsChar"/>
        </w:rPr>
        <w:t>)</w:t>
      </w:r>
      <w:r>
        <w:t xml:space="preserve"> </w:t>
      </w:r>
      <w:bookmarkEnd w:id="11"/>
      <w:r>
        <w:t>for a</w:t>
      </w:r>
      <w:r w:rsidR="004076CC">
        <w:t xml:space="preserve"> template</w:t>
      </w:r>
      <w:r>
        <w:t>)</w:t>
      </w:r>
      <w:r w:rsidR="001553AA">
        <w:t>.</w:t>
      </w:r>
    </w:p>
    <w:p w14:paraId="457F1277" w14:textId="1EB267A2" w:rsidR="00372EE2" w:rsidRDefault="00372EE2" w:rsidP="00372EE2">
      <w:pPr>
        <w:pStyle w:val="bullet2"/>
      </w:pPr>
      <w:r>
        <w:t>Name of product (and code)</w:t>
      </w:r>
      <w:r w:rsidR="001553AA">
        <w:t>.</w:t>
      </w:r>
    </w:p>
    <w:p w14:paraId="36F432B4" w14:textId="3D3E7D74" w:rsidR="00372EE2" w:rsidRDefault="00372EE2" w:rsidP="00372EE2">
      <w:pPr>
        <w:pStyle w:val="bullet2"/>
      </w:pPr>
      <w:r>
        <w:t>Manufacturer of product</w:t>
      </w:r>
      <w:r w:rsidR="001553AA">
        <w:t>.</w:t>
      </w:r>
    </w:p>
    <w:p w14:paraId="5149E434" w14:textId="215FAF8C" w:rsidR="00372EE2" w:rsidRDefault="00372EE2" w:rsidP="00372EE2">
      <w:pPr>
        <w:pStyle w:val="bullet2"/>
      </w:pPr>
      <w:r>
        <w:t>Arrival date of product</w:t>
      </w:r>
      <w:r w:rsidR="001553AA">
        <w:t>.</w:t>
      </w:r>
    </w:p>
    <w:p w14:paraId="1AC47D4E" w14:textId="6EDE509E" w:rsidR="00372EE2" w:rsidRDefault="00372EE2" w:rsidP="00372EE2">
      <w:pPr>
        <w:pStyle w:val="bullet2"/>
      </w:pPr>
      <w:r>
        <w:t>Quantity received (amount/vials numbers)</w:t>
      </w:r>
      <w:r w:rsidR="001553AA">
        <w:t>.</w:t>
      </w:r>
    </w:p>
    <w:p w14:paraId="7F07C7B7" w14:textId="61C7B788" w:rsidR="00372EE2" w:rsidRDefault="00372EE2" w:rsidP="00372EE2">
      <w:pPr>
        <w:pStyle w:val="bullet2"/>
      </w:pPr>
      <w:r>
        <w:t>Batch number (where applicable)</w:t>
      </w:r>
      <w:r w:rsidR="001553AA">
        <w:t>.</w:t>
      </w:r>
    </w:p>
    <w:p w14:paraId="6885A207" w14:textId="45D8B93E" w:rsidR="00372EE2" w:rsidRDefault="00372EE2" w:rsidP="00372EE2">
      <w:pPr>
        <w:pStyle w:val="bullet2"/>
      </w:pPr>
      <w:r>
        <w:t>Person who has received and stored the product</w:t>
      </w:r>
      <w:r w:rsidR="001553AA">
        <w:t>.</w:t>
      </w:r>
    </w:p>
    <w:p w14:paraId="69A5CBC5" w14:textId="26475B63" w:rsidR="00372EE2" w:rsidRDefault="00372EE2" w:rsidP="00372EE2">
      <w:pPr>
        <w:pStyle w:val="bullet2"/>
      </w:pPr>
      <w:r>
        <w:t>Expiry date</w:t>
      </w:r>
      <w:r w:rsidR="001553AA">
        <w:t>.</w:t>
      </w:r>
    </w:p>
    <w:p w14:paraId="18872D9E" w14:textId="1A89B2F8" w:rsidR="00372EE2" w:rsidRDefault="00372EE2" w:rsidP="00372EE2">
      <w:pPr>
        <w:pStyle w:val="bullet2"/>
      </w:pPr>
      <w:r>
        <w:t>Storage location</w:t>
      </w:r>
      <w:r w:rsidR="001553AA">
        <w:t>.</w:t>
      </w:r>
    </w:p>
    <w:p w14:paraId="14EDD334" w14:textId="2FA38AF1" w:rsidR="00372EE2" w:rsidRDefault="00372EE2" w:rsidP="00372EE2">
      <w:pPr>
        <w:pStyle w:val="bullet2"/>
      </w:pPr>
      <w:r>
        <w:t>Temperature of storage</w:t>
      </w:r>
      <w:r w:rsidR="001553AA">
        <w:t>.</w:t>
      </w:r>
    </w:p>
    <w:p w14:paraId="02CC2C57" w14:textId="77777777" w:rsidR="00372EE2" w:rsidRDefault="00372EE2" w:rsidP="00372EE2">
      <w:pPr>
        <w:pStyle w:val="Heading2"/>
      </w:pPr>
      <w:r>
        <w:t>Preparation and administration</w:t>
      </w:r>
    </w:p>
    <w:p w14:paraId="6DCDACCA" w14:textId="0F7FDB55" w:rsidR="00372EE2" w:rsidRDefault="00372EE2" w:rsidP="00372EE2">
      <w:pPr>
        <w:pStyle w:val="Numberlist"/>
        <w:numPr>
          <w:ilvl w:val="0"/>
          <w:numId w:val="12"/>
        </w:numPr>
        <w:ind w:left="340" w:hanging="340"/>
      </w:pPr>
      <w:r w:rsidDel="00B66575">
        <w:t xml:space="preserve"> </w:t>
      </w:r>
      <w:r>
        <w:t>T</w:t>
      </w:r>
      <w:r w:rsidRPr="00890639">
        <w:t>he CI (or delegate) will</w:t>
      </w:r>
      <w:r>
        <w:t xml:space="preserve"> develop and document a process for ensuring the safe and hygienic preparation and administration of the food and/or nutritional component. This will include </w:t>
      </w:r>
      <w:r w:rsidR="001553AA">
        <w:t xml:space="preserve">the follow items </w:t>
      </w:r>
      <w:r>
        <w:t>detail</w:t>
      </w:r>
      <w:r w:rsidR="001553AA">
        <w:t>ed</w:t>
      </w:r>
      <w:r>
        <w:t xml:space="preserve"> </w:t>
      </w:r>
      <w:r w:rsidR="001553AA">
        <w:t>below</w:t>
      </w:r>
      <w:r>
        <w:t xml:space="preserve"> (where applicable)</w:t>
      </w:r>
      <w:r w:rsidR="001553AA">
        <w:t>.</w:t>
      </w:r>
      <w:r>
        <w:t xml:space="preserve"> </w:t>
      </w:r>
    </w:p>
    <w:p w14:paraId="066AC184" w14:textId="77777777" w:rsidR="00372EE2" w:rsidRDefault="00372EE2" w:rsidP="00372EE2">
      <w:pPr>
        <w:pStyle w:val="bullet2"/>
      </w:pPr>
      <w:r>
        <w:t>Validating, calculating and authorising any formulas used to determine amounts/doses.</w:t>
      </w:r>
    </w:p>
    <w:p w14:paraId="488EA05F" w14:textId="77777777" w:rsidR="00372EE2" w:rsidRDefault="00372EE2" w:rsidP="00372EE2">
      <w:pPr>
        <w:pStyle w:val="bullet2"/>
      </w:pPr>
      <w:r>
        <w:t>Product stability/shelf life if it requires repacking prior to administration.</w:t>
      </w:r>
    </w:p>
    <w:p w14:paraId="22AB37ED" w14:textId="77777777" w:rsidR="00372EE2" w:rsidRDefault="00372EE2" w:rsidP="00372EE2">
      <w:pPr>
        <w:pStyle w:val="bullet2"/>
      </w:pPr>
      <w:r>
        <w:t>Packaging instructions (if applicable, see also ‘</w:t>
      </w:r>
      <w:r w:rsidRPr="002F7BE3">
        <w:t>Repackaging bulk supplies of nutritional components</w:t>
      </w:r>
      <w:r>
        <w:t>’ section below).</w:t>
      </w:r>
    </w:p>
    <w:p w14:paraId="1D8D49A7" w14:textId="77777777" w:rsidR="00372EE2" w:rsidRDefault="00372EE2" w:rsidP="00372EE2">
      <w:pPr>
        <w:pStyle w:val="bullet2"/>
      </w:pPr>
      <w:r>
        <w:t>Recording the identity (initials) of the person(s) performing each process and, where appropriate, the name of any person who checked/authorised the process.</w:t>
      </w:r>
    </w:p>
    <w:p w14:paraId="504F5B3E" w14:textId="1E086E31" w:rsidR="00372EE2" w:rsidRDefault="00372EE2" w:rsidP="00372EE2">
      <w:pPr>
        <w:pStyle w:val="Numberlist"/>
        <w:numPr>
          <w:ilvl w:val="0"/>
          <w:numId w:val="12"/>
        </w:numPr>
        <w:ind w:left="340" w:hanging="340"/>
      </w:pPr>
      <w:r>
        <w:t>The CI (no delegation allowed) will approve the project-specific process</w:t>
      </w:r>
      <w:r w:rsidR="001553AA">
        <w:t xml:space="preserve"> for ensuring the safe and hygienic preparation and administration of the food and/or nutritional component</w:t>
      </w:r>
      <w:r>
        <w:t>.</w:t>
      </w:r>
    </w:p>
    <w:p w14:paraId="0F6C2F9F" w14:textId="4772B571" w:rsidR="00372EE2" w:rsidRDefault="00372EE2" w:rsidP="00372EE2">
      <w:pPr>
        <w:pStyle w:val="Numberlist"/>
        <w:numPr>
          <w:ilvl w:val="0"/>
          <w:numId w:val="12"/>
        </w:numPr>
        <w:ind w:left="340" w:hanging="340"/>
      </w:pPr>
      <w:r>
        <w:t xml:space="preserve">The CI (or delegate) will maintain an appropriate inventory of the food and/or nutritional components used during the project (see </w:t>
      </w:r>
      <w:r w:rsidR="00BB64A3">
        <w:t xml:space="preserve">the </w:t>
      </w:r>
      <w:bookmarkStart w:id="12" w:name="_Hlk122002236"/>
      <w:r>
        <w:rPr>
          <w:rStyle w:val="ReferencestootherSOPsQCDsChar"/>
        </w:rPr>
        <w:t>Accountability Log</w:t>
      </w:r>
      <w:r w:rsidR="001553AA">
        <w:rPr>
          <w:rStyle w:val="ReferencestootherSOPsQCDsChar"/>
        </w:rPr>
        <w:t xml:space="preserve"> (</w:t>
      </w:r>
      <w:r w:rsidR="001553AA" w:rsidRPr="0087375E">
        <w:rPr>
          <w:rStyle w:val="ReferencestootherSOPsQCDsChar"/>
        </w:rPr>
        <w:t>UoB-</w:t>
      </w:r>
      <w:r w:rsidR="001553AA">
        <w:rPr>
          <w:rStyle w:val="ReferencestootherSOPsQCDsChar"/>
        </w:rPr>
        <w:t>FNC</w:t>
      </w:r>
      <w:r w:rsidR="001553AA" w:rsidRPr="0087375E">
        <w:rPr>
          <w:rStyle w:val="ReferencestootherSOPsQCDsChar"/>
        </w:rPr>
        <w:t>-QCD-00</w:t>
      </w:r>
      <w:r w:rsidR="001553AA">
        <w:rPr>
          <w:rStyle w:val="ReferencestootherSOPsQCDsChar"/>
        </w:rPr>
        <w:t>2)</w:t>
      </w:r>
      <w:r>
        <w:t xml:space="preserve"> </w:t>
      </w:r>
      <w:bookmarkEnd w:id="12"/>
      <w:r>
        <w:t>for an example).</w:t>
      </w:r>
    </w:p>
    <w:p w14:paraId="446B8EEC" w14:textId="047AD848" w:rsidR="00372EE2" w:rsidRDefault="00372EE2" w:rsidP="00372EE2">
      <w:pPr>
        <w:pStyle w:val="Numberlist"/>
        <w:numPr>
          <w:ilvl w:val="0"/>
          <w:numId w:val="12"/>
        </w:numPr>
        <w:ind w:left="340" w:hanging="340"/>
      </w:pPr>
      <w:r>
        <w:t xml:space="preserve">Where applicable, the CI (or delegate) will document a procedure for the randomisation and/or blinding of food and/or nutritional components. </w:t>
      </w:r>
      <w:r w:rsidR="001553AA">
        <w:t xml:space="preserve">See also </w:t>
      </w:r>
      <w:r w:rsidR="00BB64A3">
        <w:t xml:space="preserve">the </w:t>
      </w:r>
      <w:bookmarkStart w:id="13" w:name="_Hlk122002246"/>
      <w:r w:rsidR="001553AA" w:rsidRPr="00FF0AF2">
        <w:rPr>
          <w:rStyle w:val="ReferencestootherSOPsQCDsChar"/>
        </w:rPr>
        <w:t>Randomisation and Blinding SOP (UoB-RND-SOP-001</w:t>
      </w:r>
      <w:r w:rsidR="00BB64A3" w:rsidRPr="00FF0AF2">
        <w:rPr>
          <w:rStyle w:val="ReferencestootherSOPsQCDsChar"/>
        </w:rPr>
        <w:t>)</w:t>
      </w:r>
      <w:r w:rsidR="00BB64A3">
        <w:t xml:space="preserve">. </w:t>
      </w:r>
      <w:bookmarkEnd w:id="13"/>
      <w:r w:rsidR="00BB64A3">
        <w:t>This</w:t>
      </w:r>
      <w:r w:rsidR="001553AA">
        <w:t xml:space="preserve"> procedure</w:t>
      </w:r>
      <w:r>
        <w:t xml:space="preserve"> will include </w:t>
      </w:r>
      <w:r w:rsidR="001553AA">
        <w:t xml:space="preserve">processes </w:t>
      </w:r>
      <w:r>
        <w:t>for, but not limited to:</w:t>
      </w:r>
    </w:p>
    <w:p w14:paraId="6D56DB5C" w14:textId="31FAABA4" w:rsidR="00372EE2" w:rsidRDefault="001553AA" w:rsidP="00372EE2">
      <w:pPr>
        <w:pStyle w:val="bullet2"/>
      </w:pPr>
      <w:r>
        <w:lastRenderedPageBreak/>
        <w:t>m</w:t>
      </w:r>
      <w:r w:rsidR="00372EE2">
        <w:t>aintaining the integrity of the blind and preventing accidental or deliberate (unauthorised) unblinding</w:t>
      </w:r>
    </w:p>
    <w:p w14:paraId="382A3A47" w14:textId="66FBAD2C" w:rsidR="00372EE2" w:rsidRDefault="001553AA" w:rsidP="00372EE2">
      <w:pPr>
        <w:pStyle w:val="bullet2"/>
      </w:pPr>
      <w:r>
        <w:t>u</w:t>
      </w:r>
      <w:r w:rsidR="00372EE2">
        <w:t>nblinding in a medical emergency and/or pre-specified protocol indication</w:t>
      </w:r>
    </w:p>
    <w:p w14:paraId="470A9853" w14:textId="602F6918" w:rsidR="00372EE2" w:rsidRDefault="001553AA" w:rsidP="00372EE2">
      <w:pPr>
        <w:pStyle w:val="bullet2"/>
      </w:pPr>
      <w:r>
        <w:t>u</w:t>
      </w:r>
      <w:r w:rsidR="00372EE2">
        <w:t>nblinding for analysis purposes.</w:t>
      </w:r>
    </w:p>
    <w:p w14:paraId="34EFE863" w14:textId="53E2C49F" w:rsidR="00372EE2" w:rsidRDefault="00372EE2" w:rsidP="00372EE2">
      <w:pPr>
        <w:pStyle w:val="Numberlist"/>
        <w:numPr>
          <w:ilvl w:val="0"/>
          <w:numId w:val="12"/>
        </w:numPr>
        <w:ind w:left="340" w:hanging="340"/>
      </w:pPr>
      <w:r>
        <w:t>Where administration of the product(s) is at home, the CI (or delegate) will:</w:t>
      </w:r>
    </w:p>
    <w:p w14:paraId="72B2F15B" w14:textId="33760C1B" w:rsidR="00372EE2" w:rsidRDefault="001553AA" w:rsidP="00372EE2">
      <w:pPr>
        <w:pStyle w:val="bullet2"/>
      </w:pPr>
      <w:r>
        <w:t>p</w:t>
      </w:r>
      <w:r w:rsidR="00372EE2">
        <w:t>rovide relevant information (‘training’) to participants on how, when and where to store and consume the products (e.g. through instructions on the packaging)</w:t>
      </w:r>
    </w:p>
    <w:p w14:paraId="55E236A1" w14:textId="73A75C6C" w:rsidR="00372EE2" w:rsidRDefault="001553AA" w:rsidP="00372EE2">
      <w:pPr>
        <w:pStyle w:val="bullet2"/>
      </w:pPr>
      <w:r>
        <w:t>c</w:t>
      </w:r>
      <w:r w:rsidR="00372EE2">
        <w:t>onsider procedures for assessing compliance (e.g. participant diaries) and implement as appropriate.</w:t>
      </w:r>
    </w:p>
    <w:p w14:paraId="6256A104" w14:textId="77777777" w:rsidR="00372EE2" w:rsidRDefault="00372EE2" w:rsidP="00372EE2">
      <w:pPr>
        <w:pStyle w:val="Heading3"/>
      </w:pPr>
      <w:r>
        <w:t>Repackaging bulk supplies of nutritional components</w:t>
      </w:r>
    </w:p>
    <w:p w14:paraId="306C1130" w14:textId="77777777" w:rsidR="00372EE2" w:rsidRDefault="00372EE2" w:rsidP="00372EE2">
      <w:pPr>
        <w:pStyle w:val="Numberlist"/>
        <w:numPr>
          <w:ilvl w:val="0"/>
          <w:numId w:val="12"/>
        </w:numPr>
        <w:ind w:left="340" w:hanging="340"/>
      </w:pPr>
      <w:r w:rsidRPr="009B67AA">
        <w:t>The CI (or delegate) will design a label to be us</w:t>
      </w:r>
      <w:r>
        <w:t xml:space="preserve">ed for repacking the product. </w:t>
      </w:r>
    </w:p>
    <w:p w14:paraId="3CDC2625" w14:textId="2773AD24" w:rsidR="00372EE2" w:rsidRPr="009B67AA" w:rsidRDefault="00372EE2" w:rsidP="00372EE2">
      <w:pPr>
        <w:pStyle w:val="bullet2"/>
      </w:pPr>
      <w:r>
        <w:t>As a minimum the label will include</w:t>
      </w:r>
      <w:r w:rsidR="001553AA">
        <w:t xml:space="preserve"> the information listed below.</w:t>
      </w:r>
    </w:p>
    <w:p w14:paraId="64B02CC2" w14:textId="1FB6B9A4" w:rsidR="00372EE2" w:rsidRPr="009C37B5" w:rsidRDefault="00BB64A3" w:rsidP="00372EE2">
      <w:pPr>
        <w:pStyle w:val="bullet3"/>
      </w:pPr>
      <w:r>
        <w:t>P</w:t>
      </w:r>
      <w:r w:rsidRPr="009C37B5">
        <w:t xml:space="preserve">articipant </w:t>
      </w:r>
      <w:r w:rsidR="00372EE2" w:rsidRPr="009C37B5">
        <w:t>identification number/treatment number and where relevant, the visit number</w:t>
      </w:r>
    </w:p>
    <w:p w14:paraId="55B20E14" w14:textId="060ED328" w:rsidR="00372EE2" w:rsidRPr="009C37B5" w:rsidRDefault="00BB64A3" w:rsidP="00372EE2">
      <w:pPr>
        <w:pStyle w:val="bullet3"/>
      </w:pPr>
      <w:r>
        <w:t>S</w:t>
      </w:r>
      <w:r w:rsidRPr="009C37B5">
        <w:t>tudy</w:t>
      </w:r>
      <w:r w:rsidR="00372EE2" w:rsidRPr="009C37B5">
        <w:t>/</w:t>
      </w:r>
      <w:r>
        <w:t>t</w:t>
      </w:r>
      <w:r w:rsidRPr="009C37B5">
        <w:t xml:space="preserve">rial </w:t>
      </w:r>
      <w:r w:rsidR="00372EE2" w:rsidRPr="009C37B5">
        <w:t>reference code allowing identification of the research project, site, investigator and sponsor</w:t>
      </w:r>
      <w:r w:rsidR="00372EE2">
        <w:t>.</w:t>
      </w:r>
    </w:p>
    <w:p w14:paraId="2AD2FBEB" w14:textId="55B1AA4A" w:rsidR="00372EE2" w:rsidRDefault="00372EE2" w:rsidP="00372EE2">
      <w:pPr>
        <w:pStyle w:val="bullet2"/>
      </w:pPr>
      <w:r>
        <w:t>In addition</w:t>
      </w:r>
      <w:r w:rsidR="001553AA">
        <w:t xml:space="preserve"> to the minimum label requirements above</w:t>
      </w:r>
      <w:r>
        <w:t xml:space="preserve">, for products used off-site (e.g. taken unsupervised by the participant at home) the </w:t>
      </w:r>
      <w:r w:rsidR="001553AA">
        <w:t>label will also include the information listed below.</w:t>
      </w:r>
      <w:r>
        <w:t xml:space="preserve"> </w:t>
      </w:r>
    </w:p>
    <w:p w14:paraId="7B173A5D" w14:textId="77777777" w:rsidR="00372EE2" w:rsidRDefault="00372EE2" w:rsidP="00372EE2">
      <w:pPr>
        <w:pStyle w:val="bullet3"/>
      </w:pPr>
      <w:r w:rsidRPr="009C37B5">
        <w:t>Name</w:t>
      </w:r>
      <w:r>
        <w:t xml:space="preserve"> and</w:t>
      </w:r>
      <w:r w:rsidRPr="009C37B5">
        <w:t xml:space="preserve"> </w:t>
      </w:r>
      <w:r>
        <w:t>contact details</w:t>
      </w:r>
      <w:r w:rsidRPr="009C37B5">
        <w:t xml:space="preserve"> of the investigator (the main contact for information on the product, clinical </w:t>
      </w:r>
      <w:r>
        <w:t>research</w:t>
      </w:r>
      <w:r w:rsidRPr="009C37B5">
        <w:t xml:space="preserve"> and emergency unblinding</w:t>
      </w:r>
      <w:r>
        <w:t xml:space="preserve"> as applicable)</w:t>
      </w:r>
      <w:r w:rsidRPr="009C37B5">
        <w:t xml:space="preserve">. Note that if the </w:t>
      </w:r>
      <w:r>
        <w:t>participant</w:t>
      </w:r>
      <w:r w:rsidRPr="009C37B5">
        <w:t xml:space="preserve"> has been given a card with the address and telephone number of the investigator and told to keep this in their possession at all times, the label does not need to repeat these contact details</w:t>
      </w:r>
      <w:r>
        <w:t>.</w:t>
      </w:r>
    </w:p>
    <w:p w14:paraId="4526F360" w14:textId="195F8DDA" w:rsidR="00372EE2" w:rsidRPr="009C37B5" w:rsidRDefault="00372EE2" w:rsidP="00372EE2">
      <w:pPr>
        <w:pStyle w:val="bullet3"/>
      </w:pPr>
      <w:r w:rsidRPr="009C37B5">
        <w:t>Directions for use</w:t>
      </w:r>
      <w:r>
        <w:t xml:space="preserve"> detailing </w:t>
      </w:r>
      <w:r w:rsidR="00BB64A3">
        <w:t xml:space="preserve">the </w:t>
      </w:r>
      <w:r>
        <w:t>d</w:t>
      </w:r>
      <w:r w:rsidRPr="009C37B5">
        <w:t>osage form, route of administration, quantity of dosage units, and in the case of open trials, the name/identifier and strength/potency</w:t>
      </w:r>
      <w:r>
        <w:t xml:space="preserve">. Note </w:t>
      </w:r>
      <w:r w:rsidRPr="009C37B5">
        <w:t>reference may be made to a leaflet or other explanatory document intended for the participant administering the product</w:t>
      </w:r>
      <w:r>
        <w:t>.</w:t>
      </w:r>
    </w:p>
    <w:p w14:paraId="025391CE" w14:textId="77777777" w:rsidR="00372EE2" w:rsidRPr="009C37B5" w:rsidRDefault="00372EE2" w:rsidP="00372EE2">
      <w:pPr>
        <w:pStyle w:val="bullet3"/>
      </w:pPr>
      <w:r w:rsidRPr="009C37B5">
        <w:t>Batch and/or code number to identify the contents and packaging operation</w:t>
      </w:r>
      <w:r>
        <w:t>.</w:t>
      </w:r>
    </w:p>
    <w:p w14:paraId="5B0D3CD6" w14:textId="77777777" w:rsidR="00372EE2" w:rsidRPr="009C37B5" w:rsidRDefault="00372EE2" w:rsidP="00372EE2">
      <w:pPr>
        <w:pStyle w:val="bullet3"/>
      </w:pPr>
      <w:r w:rsidRPr="009C37B5" w:rsidDel="003D3626">
        <w:t xml:space="preserve"> </w:t>
      </w:r>
      <w:r w:rsidRPr="009C37B5">
        <w:t>“For clinical research use only” or similar wording</w:t>
      </w:r>
      <w:r>
        <w:t>.</w:t>
      </w:r>
    </w:p>
    <w:p w14:paraId="25E3D602" w14:textId="46A45716" w:rsidR="00372EE2" w:rsidRPr="009C37B5" w:rsidRDefault="00372EE2" w:rsidP="00372EE2">
      <w:pPr>
        <w:pStyle w:val="bullet3"/>
      </w:pPr>
      <w:r w:rsidRPr="009C37B5">
        <w:t xml:space="preserve">The storage </w:t>
      </w:r>
      <w:r w:rsidR="001553AA">
        <w:t>requirements for the product</w:t>
      </w:r>
      <w:r>
        <w:t>.</w:t>
      </w:r>
    </w:p>
    <w:p w14:paraId="3095C34C" w14:textId="77777777" w:rsidR="00372EE2" w:rsidRPr="009C37B5" w:rsidRDefault="00372EE2" w:rsidP="00372EE2">
      <w:pPr>
        <w:pStyle w:val="bullet3"/>
      </w:pPr>
      <w:r w:rsidRPr="009C37B5">
        <w:t>Period of use (use-by date, expiry date or re-test date as applicable), in month/year format and in a manner that avoids any ambiguity</w:t>
      </w:r>
      <w:r>
        <w:t>.</w:t>
      </w:r>
    </w:p>
    <w:p w14:paraId="7C7219C4" w14:textId="0A04FA78" w:rsidR="00372EE2" w:rsidRPr="009C37B5" w:rsidRDefault="00372EE2" w:rsidP="00372EE2">
      <w:pPr>
        <w:pStyle w:val="bullet3"/>
      </w:pPr>
      <w:r w:rsidRPr="009C37B5">
        <w:t xml:space="preserve">“Keep out of reach of children” except when the product is for use in </w:t>
      </w:r>
      <w:r w:rsidR="001553AA">
        <w:t>projects</w:t>
      </w:r>
      <w:r w:rsidR="001553AA" w:rsidRPr="009C37B5">
        <w:t xml:space="preserve"> </w:t>
      </w:r>
      <w:r w:rsidRPr="009C37B5">
        <w:t xml:space="preserve">where the product is not taken home by </w:t>
      </w:r>
      <w:r>
        <w:t>participants.</w:t>
      </w:r>
    </w:p>
    <w:p w14:paraId="40536844" w14:textId="77777777" w:rsidR="00372EE2" w:rsidRDefault="00372EE2" w:rsidP="00372EE2">
      <w:pPr>
        <w:pStyle w:val="Heading2"/>
      </w:pPr>
      <w:r>
        <w:t xml:space="preserve">Parenteral administration </w:t>
      </w:r>
    </w:p>
    <w:p w14:paraId="5AD3E07A" w14:textId="4F1089BE" w:rsidR="00372EE2" w:rsidRDefault="00372EE2" w:rsidP="00372EE2">
      <w:pPr>
        <w:pStyle w:val="Numberlist"/>
        <w:numPr>
          <w:ilvl w:val="0"/>
          <w:numId w:val="12"/>
        </w:numPr>
        <w:ind w:left="340" w:hanging="340"/>
      </w:pPr>
      <w:r>
        <w:t xml:space="preserve">The CI (or delegate) will follow the </w:t>
      </w:r>
      <w:hyperlink r:id="rId11" w:tooltip="Link to UoB Health and Safety Policies and Guidance for Biological Safety" w:history="1">
        <w:proofErr w:type="spellStart"/>
        <w:r w:rsidRPr="00771486">
          <w:rPr>
            <w:rStyle w:val="Hyperlink"/>
          </w:rPr>
          <w:t>UoB</w:t>
        </w:r>
        <w:proofErr w:type="spellEnd"/>
        <w:r w:rsidRPr="00771486">
          <w:rPr>
            <w:rStyle w:val="Hyperlink"/>
          </w:rPr>
          <w:t xml:space="preserve"> </w:t>
        </w:r>
        <w:r w:rsidR="00BB64A3">
          <w:rPr>
            <w:rStyle w:val="Hyperlink"/>
          </w:rPr>
          <w:t>h</w:t>
        </w:r>
        <w:r w:rsidR="00BB64A3" w:rsidRPr="00771486">
          <w:rPr>
            <w:rStyle w:val="Hyperlink"/>
          </w:rPr>
          <w:t xml:space="preserve">ealth </w:t>
        </w:r>
        <w:r w:rsidRPr="00771486">
          <w:rPr>
            <w:rStyle w:val="Hyperlink"/>
          </w:rPr>
          <w:t xml:space="preserve">and </w:t>
        </w:r>
        <w:r w:rsidR="00BB64A3">
          <w:rPr>
            <w:rStyle w:val="Hyperlink"/>
          </w:rPr>
          <w:t>s</w:t>
        </w:r>
        <w:r w:rsidR="00BB64A3" w:rsidRPr="00771486">
          <w:rPr>
            <w:rStyle w:val="Hyperlink"/>
          </w:rPr>
          <w:t xml:space="preserve">afety </w:t>
        </w:r>
        <w:r w:rsidR="00BB64A3">
          <w:rPr>
            <w:rStyle w:val="Hyperlink"/>
          </w:rPr>
          <w:t>p</w:t>
        </w:r>
        <w:r w:rsidR="00BB64A3" w:rsidRPr="00771486">
          <w:rPr>
            <w:rStyle w:val="Hyperlink"/>
          </w:rPr>
          <w:t xml:space="preserve">olicies </w:t>
        </w:r>
        <w:r w:rsidRPr="00771486">
          <w:rPr>
            <w:rStyle w:val="Hyperlink"/>
          </w:rPr>
          <w:t xml:space="preserve">and </w:t>
        </w:r>
        <w:r w:rsidR="00BB64A3">
          <w:rPr>
            <w:rStyle w:val="Hyperlink"/>
          </w:rPr>
          <w:t>g</w:t>
        </w:r>
        <w:r w:rsidR="00BB64A3" w:rsidRPr="00771486">
          <w:rPr>
            <w:rStyle w:val="Hyperlink"/>
          </w:rPr>
          <w:t xml:space="preserve">uidance </w:t>
        </w:r>
        <w:r w:rsidRPr="00771486">
          <w:rPr>
            <w:rStyle w:val="Hyperlink"/>
          </w:rPr>
          <w:t xml:space="preserve">for </w:t>
        </w:r>
        <w:r w:rsidR="00BB64A3">
          <w:rPr>
            <w:rStyle w:val="Hyperlink"/>
          </w:rPr>
          <w:t>b</w:t>
        </w:r>
        <w:r w:rsidR="00BB64A3" w:rsidRPr="00771486">
          <w:rPr>
            <w:rStyle w:val="Hyperlink"/>
          </w:rPr>
          <w:t xml:space="preserve">iological </w:t>
        </w:r>
        <w:r w:rsidR="00BB64A3">
          <w:rPr>
            <w:rStyle w:val="Hyperlink"/>
          </w:rPr>
          <w:t>s</w:t>
        </w:r>
        <w:r w:rsidRPr="00771486">
          <w:rPr>
            <w:rStyle w:val="Hyperlink"/>
          </w:rPr>
          <w:t>afety</w:t>
        </w:r>
      </w:hyperlink>
      <w:r>
        <w:t xml:space="preserve">, including performing a separate risk </w:t>
      </w:r>
      <w:r w:rsidRPr="00A8635A">
        <w:t>assessment for work with biological materials</w:t>
      </w:r>
      <w:r>
        <w:t>.</w:t>
      </w:r>
    </w:p>
    <w:p w14:paraId="0D57981E" w14:textId="77777777" w:rsidR="00372EE2" w:rsidRDefault="00372EE2" w:rsidP="00372EE2">
      <w:pPr>
        <w:pStyle w:val="Numberlist"/>
        <w:numPr>
          <w:ilvl w:val="0"/>
          <w:numId w:val="12"/>
        </w:numPr>
        <w:ind w:left="340" w:hanging="340"/>
      </w:pPr>
      <w:r>
        <w:t>Where the product(s) will be parenterally administrated, the CI (or delegate) will inform the Clinical Research Compliance Team (CRCT) of this work, and seek advice about the Good Manufacturing Practice (GMP) requirements.</w:t>
      </w:r>
    </w:p>
    <w:p w14:paraId="74736AAC" w14:textId="3AE441F6" w:rsidR="00372EE2" w:rsidRDefault="00372EE2" w:rsidP="00372EE2">
      <w:pPr>
        <w:pStyle w:val="bullet2"/>
      </w:pPr>
      <w:r>
        <w:t xml:space="preserve">It is recommended that advice is sought after </w:t>
      </w:r>
      <w:r w:rsidRPr="00FB1037">
        <w:t xml:space="preserve">the initial conceptualisation of a </w:t>
      </w:r>
      <w:r>
        <w:t>project</w:t>
      </w:r>
      <w:r w:rsidRPr="00FB1037">
        <w:t xml:space="preserve"> (e.g. </w:t>
      </w:r>
      <w:r>
        <w:t>at the grant application phase) to ensure appropriate costs are accounted for.</w:t>
      </w:r>
    </w:p>
    <w:p w14:paraId="0AD03608" w14:textId="77777777" w:rsidR="00372EE2" w:rsidRDefault="00372EE2" w:rsidP="00372EE2">
      <w:pPr>
        <w:pStyle w:val="bullet2"/>
      </w:pPr>
      <w:r>
        <w:t xml:space="preserve">The starting material is expected to meet the criteria for manufacturing to GMP standards (typically manufactures refer to this as a ‘Clinical Trial Materials (CTM)’ grade or ‘GMP’ grade). </w:t>
      </w:r>
    </w:p>
    <w:p w14:paraId="70B599F5" w14:textId="244AC99D" w:rsidR="00372EE2" w:rsidRDefault="00372EE2" w:rsidP="00372EE2">
      <w:pPr>
        <w:pStyle w:val="bullet2"/>
      </w:pPr>
      <w:r>
        <w:t xml:space="preserve">Starting material from </w:t>
      </w:r>
      <w:r w:rsidR="00B00B30">
        <w:t xml:space="preserve">an </w:t>
      </w:r>
      <w:r>
        <w:t xml:space="preserve">unproven source may be used on a recorded/justified risk/benefit analysis with written approval from the Clinical Trial Oversight Committee (CTOC). As </w:t>
      </w:r>
      <w:r w:rsidR="00B00B30">
        <w:t xml:space="preserve">a minimum </w:t>
      </w:r>
      <w:r>
        <w:t xml:space="preserve">the product </w:t>
      </w:r>
      <w:r w:rsidRPr="007428EF">
        <w:t xml:space="preserve">will be of </w:t>
      </w:r>
      <w:r w:rsidR="005B7766">
        <w:t>m</w:t>
      </w:r>
      <w:r w:rsidR="005B7766" w:rsidRPr="007428EF">
        <w:t xml:space="preserve">icrobiological </w:t>
      </w:r>
      <w:r w:rsidRPr="007428EF">
        <w:t xml:space="preserve">and </w:t>
      </w:r>
      <w:r w:rsidR="005B7766">
        <w:t>p</w:t>
      </w:r>
      <w:r w:rsidR="005B7766" w:rsidRPr="007428EF">
        <w:t xml:space="preserve">yrogen </w:t>
      </w:r>
      <w:r w:rsidR="005B7766">
        <w:t>t</w:t>
      </w:r>
      <w:r w:rsidR="005B7766" w:rsidRPr="007428EF">
        <w:t xml:space="preserve">ested </w:t>
      </w:r>
      <w:r w:rsidRPr="007428EF">
        <w:t>(MPT) quality</w:t>
      </w:r>
      <w:r>
        <w:t xml:space="preserve">, and a risk assessment will be performed. However, alternative sources should always be considered in the first instance. </w:t>
      </w:r>
    </w:p>
    <w:p w14:paraId="01E05008" w14:textId="3F1A08FF" w:rsidR="00372EE2" w:rsidRDefault="00372EE2" w:rsidP="00372EE2">
      <w:pPr>
        <w:pStyle w:val="Numberlist"/>
        <w:numPr>
          <w:ilvl w:val="0"/>
          <w:numId w:val="12"/>
        </w:numPr>
        <w:ind w:left="340" w:hanging="340"/>
      </w:pPr>
      <w:r>
        <w:t xml:space="preserve">Following receipt of the product, the CI (or delegate) will ensure the appropriate steps </w:t>
      </w:r>
      <w:r w:rsidR="00B00B30">
        <w:t xml:space="preserve">in </w:t>
      </w:r>
      <w:r>
        <w:t xml:space="preserve">the ‘Preparation and Administration’ section above </w:t>
      </w:r>
      <w:proofErr w:type="gramStart"/>
      <w:r>
        <w:t>are</w:t>
      </w:r>
      <w:proofErr w:type="gramEnd"/>
      <w:r>
        <w:t xml:space="preserve"> followed.</w:t>
      </w:r>
    </w:p>
    <w:p w14:paraId="156AF87C" w14:textId="77777777" w:rsidR="00372EE2" w:rsidRDefault="00372EE2" w:rsidP="00372EE2">
      <w:pPr>
        <w:pStyle w:val="Numberlist"/>
        <w:numPr>
          <w:ilvl w:val="0"/>
          <w:numId w:val="12"/>
        </w:numPr>
        <w:ind w:left="340" w:hanging="340"/>
      </w:pPr>
      <w:r>
        <w:t xml:space="preserve">Where additional production steps are required following receipt of the product, the CI (or delegate) will ensure the production process is conducted at an appropriate GMP facility. </w:t>
      </w:r>
    </w:p>
    <w:p w14:paraId="43CB5BA8" w14:textId="2B02C70C" w:rsidR="00372EE2" w:rsidRDefault="00372EE2" w:rsidP="00372EE2">
      <w:pPr>
        <w:pStyle w:val="Numberlist"/>
        <w:numPr>
          <w:ilvl w:val="0"/>
          <w:numId w:val="12"/>
        </w:numPr>
        <w:ind w:left="340" w:hanging="340"/>
      </w:pPr>
      <w:r>
        <w:lastRenderedPageBreak/>
        <w:t xml:space="preserve">The CI (or delegate) </w:t>
      </w:r>
      <w:r w:rsidR="00B00B30">
        <w:t xml:space="preserve">will </w:t>
      </w:r>
      <w:r>
        <w:t>ensure oversight is provided by an authorised health</w:t>
      </w:r>
      <w:r w:rsidR="00526C91">
        <w:t>care</w:t>
      </w:r>
      <w:r>
        <w:t xml:space="preserve"> professional, with evidence of all calculations/formulas used to determine amounts/doses approved by the authorised health</w:t>
      </w:r>
      <w:r w:rsidR="00526C91">
        <w:t>care</w:t>
      </w:r>
      <w:r>
        <w:t xml:space="preserve"> professional.</w:t>
      </w:r>
    </w:p>
    <w:p w14:paraId="5C51D97D" w14:textId="77777777" w:rsidR="00372EE2" w:rsidRDefault="006A4894" w:rsidP="00372EE2">
      <w:pPr>
        <w:pStyle w:val="Heading2"/>
      </w:pPr>
      <w:r>
        <w:t>D</w:t>
      </w:r>
      <w:r w:rsidR="00372EE2">
        <w:t>isposal</w:t>
      </w:r>
    </w:p>
    <w:p w14:paraId="4B116D8C" w14:textId="77777777" w:rsidR="00372EE2" w:rsidRDefault="00372EE2" w:rsidP="00372EE2">
      <w:pPr>
        <w:pStyle w:val="Numberlist"/>
        <w:numPr>
          <w:ilvl w:val="0"/>
          <w:numId w:val="12"/>
        </w:numPr>
        <w:ind w:left="340" w:hanging="340"/>
      </w:pPr>
      <w:r w:rsidRPr="00890639">
        <w:t>The CI (or delegate) will</w:t>
      </w:r>
      <w:r>
        <w:t xml:space="preserve"> define procedures for the disposal of surplus products.</w:t>
      </w:r>
    </w:p>
    <w:p w14:paraId="76A4653A" w14:textId="3ED9DBCC" w:rsidR="00372EE2" w:rsidRDefault="00372EE2" w:rsidP="00FF0AF2">
      <w:pPr>
        <w:pStyle w:val="Numberlist"/>
      </w:pPr>
      <w:r>
        <w:t xml:space="preserve">The CI (or delegate) will seek guidance from the local </w:t>
      </w:r>
      <w:r w:rsidR="00B00B30">
        <w:t xml:space="preserve">health </w:t>
      </w:r>
      <w:r>
        <w:t xml:space="preserve">and </w:t>
      </w:r>
      <w:r w:rsidR="00B00B30">
        <w:t xml:space="preserve">safety officer </w:t>
      </w:r>
      <w:r>
        <w:t xml:space="preserve">to ensure that the product and/or its constituents are disposed in accordance with local policy after the expiry date or at the end of the project. </w:t>
      </w:r>
    </w:p>
    <w:p w14:paraId="1BCC6C51" w14:textId="117542FA" w:rsidR="00372EE2" w:rsidRDefault="00372EE2" w:rsidP="00372EE2">
      <w:pPr>
        <w:pStyle w:val="Numberlist"/>
        <w:numPr>
          <w:ilvl w:val="0"/>
          <w:numId w:val="12"/>
        </w:numPr>
        <w:ind w:left="340" w:hanging="340"/>
      </w:pPr>
      <w:r>
        <w:t xml:space="preserve">The CI (or delegate) will file evidence of the disposal, including the individual responsible for disposing the product and the date of disposal (see </w:t>
      </w:r>
      <w:r w:rsidRPr="00503514">
        <w:rPr>
          <w:rStyle w:val="ReferencestootherSOPsQCDsChar"/>
        </w:rPr>
        <w:t>Accountability Log</w:t>
      </w:r>
      <w:r w:rsidR="00DD65AC">
        <w:rPr>
          <w:rStyle w:val="ReferencestootherSOPsQCDsChar"/>
        </w:rPr>
        <w:t xml:space="preserve"> (UoB-FNC-QCD-002)</w:t>
      </w:r>
      <w:r>
        <w:t>).</w:t>
      </w:r>
    </w:p>
    <w:p w14:paraId="0C6417DA" w14:textId="77777777" w:rsidR="00372EE2" w:rsidRDefault="00372EE2" w:rsidP="00372EE2">
      <w:pPr>
        <w:pStyle w:val="Heading2"/>
      </w:pPr>
      <w:r>
        <w:t>Archiving</w:t>
      </w:r>
    </w:p>
    <w:p w14:paraId="76F3B10D" w14:textId="7EFCE04F" w:rsidR="00372EE2" w:rsidRDefault="00372EE2" w:rsidP="00372EE2">
      <w:pPr>
        <w:pStyle w:val="Numberlist"/>
        <w:numPr>
          <w:ilvl w:val="0"/>
          <w:numId w:val="12"/>
        </w:numPr>
        <w:ind w:left="340" w:hanging="340"/>
      </w:pPr>
      <w:r>
        <w:t>The CI (or delegate) will archive documentation relating to the food and/or nutritional component processes with</w:t>
      </w:r>
      <w:r w:rsidR="00B00B30">
        <w:t>in</w:t>
      </w:r>
      <w:r>
        <w:t xml:space="preserve"> the study</w:t>
      </w:r>
      <w:r w:rsidR="0072728E">
        <w:t xml:space="preserve">/trial </w:t>
      </w:r>
      <w:r w:rsidR="00EE0A9B">
        <w:t>master file</w:t>
      </w:r>
      <w:r>
        <w:t xml:space="preserve"> at the end of the </w:t>
      </w:r>
      <w:r w:rsidR="00EE0A9B">
        <w:t>project</w:t>
      </w:r>
      <w:r>
        <w:t xml:space="preserve">. </w:t>
      </w:r>
      <w:bookmarkStart w:id="14" w:name="_Hlk110439953"/>
      <w:r w:rsidR="00DD65AC">
        <w:t xml:space="preserve">See </w:t>
      </w:r>
      <w:bookmarkStart w:id="15" w:name="_Hlk122002267"/>
      <w:r w:rsidR="00DD65AC" w:rsidRPr="00FF0AF2">
        <w:rPr>
          <w:rStyle w:val="ReferencestootherSOPsQCDsChar"/>
        </w:rPr>
        <w:t>Archiving SOP (UoB-ARC-SOP-001)</w:t>
      </w:r>
      <w:bookmarkEnd w:id="15"/>
      <w:r w:rsidR="00DD65AC">
        <w:t xml:space="preserve"> for further information on archi</w:t>
      </w:r>
      <w:r w:rsidR="00736F73">
        <w:t>ving</w:t>
      </w:r>
      <w:r w:rsidR="00DD65AC">
        <w:t xml:space="preserve"> requirements. </w:t>
      </w:r>
      <w:bookmarkEnd w:id="14"/>
    </w:p>
    <w:p w14:paraId="04F7BF93" w14:textId="5586EE30" w:rsidR="00692DFA" w:rsidRPr="00435EAE" w:rsidRDefault="00692DFA">
      <w:pPr>
        <w:pStyle w:val="Heading1"/>
      </w:pPr>
      <w:r w:rsidRPr="00435EAE">
        <w:t>List of expected outputs</w:t>
      </w:r>
    </w:p>
    <w:p w14:paraId="2F7D1497" w14:textId="77777777" w:rsidR="00372EE2" w:rsidRDefault="00372EE2" w:rsidP="00372EE2">
      <w:pPr>
        <w:pStyle w:val="bullet1"/>
        <w:numPr>
          <w:ilvl w:val="0"/>
          <w:numId w:val="3"/>
        </w:numPr>
        <w:ind w:left="340" w:hanging="340"/>
      </w:pPr>
      <w:r>
        <w:t>A documented procedure for the sourcing, receipt, storage, handling and disposal of food and/or nutritional components, with evidence of its implementation.</w:t>
      </w:r>
    </w:p>
    <w:p w14:paraId="6C8BA272" w14:textId="77777777" w:rsidR="00372EE2" w:rsidRDefault="00372EE2" w:rsidP="00372EE2">
      <w:pPr>
        <w:pStyle w:val="bullet1"/>
        <w:numPr>
          <w:ilvl w:val="0"/>
          <w:numId w:val="3"/>
        </w:numPr>
        <w:ind w:left="340" w:hanging="340"/>
      </w:pPr>
      <w:r>
        <w:t>Evidence of a risk assessment.</w:t>
      </w:r>
    </w:p>
    <w:p w14:paraId="43E3D518" w14:textId="77777777" w:rsidR="00372EE2" w:rsidRDefault="00372EE2" w:rsidP="00372EE2">
      <w:pPr>
        <w:pStyle w:val="bullet1"/>
        <w:numPr>
          <w:ilvl w:val="0"/>
          <w:numId w:val="3"/>
        </w:numPr>
        <w:ind w:left="340" w:hanging="340"/>
      </w:pPr>
      <w:r>
        <w:t>Housekeeping schedule in place and documented evidence of its implementation.</w:t>
      </w:r>
    </w:p>
    <w:p w14:paraId="1672BFEE" w14:textId="05C00071" w:rsidR="00372EE2" w:rsidRDefault="00372EE2" w:rsidP="00372EE2">
      <w:pPr>
        <w:pStyle w:val="bullet1"/>
        <w:numPr>
          <w:ilvl w:val="0"/>
          <w:numId w:val="3"/>
        </w:numPr>
        <w:ind w:left="340" w:hanging="340"/>
      </w:pPr>
      <w:r>
        <w:t>Where applicable</w:t>
      </w:r>
      <w:r w:rsidR="00DD65AC">
        <w:t>, evidence of</w:t>
      </w:r>
      <w:r>
        <w:t>:</w:t>
      </w:r>
    </w:p>
    <w:p w14:paraId="4B39C881" w14:textId="10D7A280" w:rsidR="00372EE2" w:rsidRDefault="00372EE2" w:rsidP="00372EE2">
      <w:pPr>
        <w:pStyle w:val="bullet2"/>
      </w:pPr>
      <w:r>
        <w:t>equipment maintenance</w:t>
      </w:r>
    </w:p>
    <w:p w14:paraId="02CDDBCD" w14:textId="7C7C8753" w:rsidR="00372EE2" w:rsidRDefault="00DD65AC" w:rsidP="00372EE2">
      <w:pPr>
        <w:pStyle w:val="bullet2"/>
      </w:pPr>
      <w:r>
        <w:t>a</w:t>
      </w:r>
      <w:r w:rsidR="00372EE2">
        <w:t xml:space="preserve"> documented randomisation and/or blinding process</w:t>
      </w:r>
    </w:p>
    <w:p w14:paraId="2E760045" w14:textId="50606A7F" w:rsidR="00372EE2" w:rsidRDefault="00372EE2" w:rsidP="00372EE2">
      <w:pPr>
        <w:pStyle w:val="bullet2"/>
      </w:pPr>
      <w:r>
        <w:t>correct labelling of repackaged nutritional components.</w:t>
      </w:r>
    </w:p>
    <w:p w14:paraId="7FF524C4" w14:textId="77777777" w:rsidR="00372EE2" w:rsidRDefault="00372EE2" w:rsidP="00372EE2">
      <w:pPr>
        <w:pStyle w:val="bullet1"/>
        <w:numPr>
          <w:ilvl w:val="0"/>
          <w:numId w:val="3"/>
        </w:numPr>
        <w:ind w:left="340" w:hanging="340"/>
      </w:pPr>
      <w:r>
        <w:t>For parenteral administration:</w:t>
      </w:r>
    </w:p>
    <w:p w14:paraId="7A9071E7" w14:textId="2BC30926" w:rsidR="00372EE2" w:rsidRDefault="00DD65AC" w:rsidP="00372EE2">
      <w:pPr>
        <w:pStyle w:val="bullet2"/>
      </w:pPr>
      <w:r>
        <w:t>e</w:t>
      </w:r>
      <w:r w:rsidR="00372EE2">
        <w:t xml:space="preserve">vidence of </w:t>
      </w:r>
      <w:r w:rsidR="00B00B30">
        <w:t xml:space="preserve">the </w:t>
      </w:r>
      <w:r w:rsidR="00372EE2">
        <w:t>CRCT reviewing processes</w:t>
      </w:r>
    </w:p>
    <w:p w14:paraId="126EB11E" w14:textId="5E1F6A32" w:rsidR="00372EE2" w:rsidRDefault="00DD65AC" w:rsidP="00372EE2">
      <w:pPr>
        <w:pStyle w:val="bullet2"/>
      </w:pPr>
      <w:r>
        <w:t>u</w:t>
      </w:r>
      <w:r w:rsidR="00372EE2">
        <w:t xml:space="preserve">se of an appropriate GMP </w:t>
      </w:r>
      <w:r w:rsidR="00B00B30">
        <w:t xml:space="preserve">facility </w:t>
      </w:r>
      <w:r w:rsidR="00372EE2">
        <w:t>(where appropriate)</w:t>
      </w:r>
    </w:p>
    <w:p w14:paraId="3B8D8BAA" w14:textId="7F7FDD09" w:rsidR="00A5391E" w:rsidRDefault="00DD65AC" w:rsidP="00372EE2">
      <w:pPr>
        <w:pStyle w:val="bullet2"/>
      </w:pPr>
      <w:r>
        <w:t>e</w:t>
      </w:r>
      <w:r w:rsidR="00372EE2">
        <w:t>vidence of oversight by an authorised health</w:t>
      </w:r>
      <w:r w:rsidR="00526C91">
        <w:t>care</w:t>
      </w:r>
      <w:r w:rsidR="00372EE2">
        <w:t xml:space="preserve"> professional.</w:t>
      </w:r>
    </w:p>
    <w:p w14:paraId="4033C256" w14:textId="5FA01485" w:rsidR="007B4836" w:rsidRDefault="007B4836">
      <w:pPr>
        <w:pStyle w:val="Heading1"/>
      </w:pPr>
      <w:r w:rsidRPr="006561C0">
        <w:t>Related</w:t>
      </w:r>
      <w:r>
        <w:t xml:space="preserve"> documents</w:t>
      </w:r>
      <w:bookmarkEnd w:id="3"/>
    </w:p>
    <w:p w14:paraId="0E5E5080" w14:textId="77777777" w:rsidR="00027755" w:rsidRDefault="00027755" w:rsidP="00586DB2">
      <w:pPr>
        <w:pStyle w:val="bullet1"/>
      </w:pPr>
      <w:r>
        <w:t>UoB-AES-SOP-001 Adverse Event Reporting</w:t>
      </w:r>
    </w:p>
    <w:p w14:paraId="5342F02D" w14:textId="77777777" w:rsidR="00027755" w:rsidRDefault="00027755" w:rsidP="00586DB2">
      <w:pPr>
        <w:pStyle w:val="bullet1"/>
      </w:pPr>
      <w:r>
        <w:t>UoB-ARC-SOP-001 Archiving</w:t>
      </w:r>
    </w:p>
    <w:p w14:paraId="4A04D898" w14:textId="77777777" w:rsidR="00027755" w:rsidRDefault="00027755" w:rsidP="00FC2B53">
      <w:pPr>
        <w:pStyle w:val="bullet1"/>
      </w:pPr>
      <w:r>
        <w:t xml:space="preserve">UoB-CRG-POL-002 </w:t>
      </w:r>
      <w:proofErr w:type="spellStart"/>
      <w:r>
        <w:t>UoB</w:t>
      </w:r>
      <w:proofErr w:type="spellEnd"/>
      <w:r>
        <w:t xml:space="preserve"> Clinical Research Definitions</w:t>
      </w:r>
    </w:p>
    <w:p w14:paraId="36F62ECA" w14:textId="77777777" w:rsidR="00027755" w:rsidRDefault="00027755" w:rsidP="00586DB2">
      <w:pPr>
        <w:pStyle w:val="bullet1"/>
      </w:pPr>
      <w:r>
        <w:t>UoB-CRL-QCD-006 Housekeeping Schedule</w:t>
      </w:r>
    </w:p>
    <w:p w14:paraId="1D6DC09E" w14:textId="77777777" w:rsidR="00027755" w:rsidRDefault="00027755" w:rsidP="00586DB2">
      <w:pPr>
        <w:pStyle w:val="bullet1"/>
      </w:pPr>
      <w:r>
        <w:t>UoB-CRL-QCD-010 Equipment Maintenance Schedule</w:t>
      </w:r>
    </w:p>
    <w:p w14:paraId="168340F2" w14:textId="77777777" w:rsidR="00027755" w:rsidRDefault="00027755" w:rsidP="00FC2B53">
      <w:pPr>
        <w:pStyle w:val="bullet1"/>
      </w:pPr>
      <w:r>
        <w:t>UoB-CRL-SOP-002 Laboratory Facilities</w:t>
      </w:r>
    </w:p>
    <w:p w14:paraId="445F4BB2" w14:textId="77777777" w:rsidR="00027755" w:rsidRDefault="00027755" w:rsidP="00FC2B53">
      <w:pPr>
        <w:pStyle w:val="bullet1"/>
      </w:pPr>
      <w:r>
        <w:t>UoB-DSB-SOP-001 Deviations and Serious Breach Reporting</w:t>
      </w:r>
    </w:p>
    <w:p w14:paraId="16E7C5F5" w14:textId="77777777" w:rsidR="00027755" w:rsidRDefault="00027755" w:rsidP="00586DB2">
      <w:pPr>
        <w:pStyle w:val="bullet1"/>
      </w:pPr>
      <w:r>
        <w:t xml:space="preserve">UoB-FNC-QCD-001 Receipt and Storage Record </w:t>
      </w:r>
    </w:p>
    <w:p w14:paraId="54A1F6C2" w14:textId="77777777" w:rsidR="00027755" w:rsidRDefault="00027755" w:rsidP="00586DB2">
      <w:pPr>
        <w:pStyle w:val="bullet1"/>
      </w:pPr>
      <w:r>
        <w:t>UoB-FNC-QCD-002 Accountability Log</w:t>
      </w:r>
    </w:p>
    <w:p w14:paraId="64845780" w14:textId="77777777" w:rsidR="00027755" w:rsidRDefault="00027755" w:rsidP="00FC2B53">
      <w:pPr>
        <w:pStyle w:val="bullet1"/>
      </w:pPr>
      <w:r>
        <w:t xml:space="preserve">UoB-GCP-POL-001 </w:t>
      </w:r>
      <w:proofErr w:type="spellStart"/>
      <w:r>
        <w:t>UoB</w:t>
      </w:r>
      <w:proofErr w:type="spellEnd"/>
      <w:r>
        <w:t xml:space="preserve"> Principles of GCP for Clinical Research</w:t>
      </w:r>
    </w:p>
    <w:p w14:paraId="441DC056" w14:textId="77777777" w:rsidR="00027755" w:rsidRDefault="00027755" w:rsidP="00FC2B53">
      <w:pPr>
        <w:pStyle w:val="bullet1"/>
      </w:pPr>
      <w:r>
        <w:t>UoB-POS-SOP-001 Project Oversight and Quality Management</w:t>
      </w:r>
    </w:p>
    <w:p w14:paraId="4468803A" w14:textId="77777777" w:rsidR="00027755" w:rsidRDefault="00027755" w:rsidP="004669D5">
      <w:pPr>
        <w:pStyle w:val="bullet1"/>
      </w:pPr>
      <w:r>
        <w:t>UoB-RND-SOP-001 Randomisation and Blinding</w:t>
      </w:r>
    </w:p>
    <w:p w14:paraId="780C1ADE" w14:textId="77777777" w:rsidR="00027755" w:rsidRDefault="00027755" w:rsidP="004669D5">
      <w:pPr>
        <w:pStyle w:val="bullet1"/>
      </w:pPr>
      <w:r>
        <w:t>UoB-SPO-QCD-001 Clinical Trials Task Delegation Log</w:t>
      </w:r>
    </w:p>
    <w:p w14:paraId="036FA2C6" w14:textId="77777777" w:rsidR="00027755" w:rsidRDefault="00027755" w:rsidP="00586DB2">
      <w:pPr>
        <w:pStyle w:val="bullet1"/>
      </w:pPr>
      <w:r>
        <w:t>UoB-TRN-SOP-001 Training</w:t>
      </w:r>
    </w:p>
    <w:p w14:paraId="11E83688" w14:textId="315A1BCB" w:rsidR="00DD65AC" w:rsidRDefault="00DD65AC" w:rsidP="00DA19A3">
      <w:proofErr w:type="spellStart"/>
      <w:r>
        <w:t>UoB</w:t>
      </w:r>
      <w:proofErr w:type="spellEnd"/>
      <w:r>
        <w:t xml:space="preserve"> QMS documents can be found on the </w:t>
      </w:r>
      <w:hyperlink r:id="rId12" w:tooltip="Link to the CRCT's website" w:history="1">
        <w:r w:rsidR="00B00B30" w:rsidRPr="00B00B30">
          <w:rPr>
            <w:rStyle w:val="Hyperlink"/>
            <w:lang w:eastAsia="en-GB"/>
          </w:rPr>
          <w:t>CRCT website</w:t>
        </w:r>
      </w:hyperlink>
      <w:r>
        <w:rPr>
          <w:lang w:eastAsia="en-GB"/>
        </w:rPr>
        <w:t>. Internal work instructions can be obtained from the CRCT (</w:t>
      </w:r>
      <w:hyperlink r:id="rId13" w:tooltip="Email address for the CRCT (Clinical Research Compliance Team)" w:history="1">
        <w:r w:rsidRPr="00A101C2">
          <w:rPr>
            <w:rStyle w:val="Hyperlink"/>
            <w:lang w:eastAsia="en-GB"/>
          </w:rPr>
          <w:t>crct@contacts.bham.ac.uk</w:t>
        </w:r>
      </w:hyperlink>
      <w:r>
        <w:rPr>
          <w:lang w:eastAsia="en-GB"/>
        </w:rPr>
        <w:t>) and/or from the Research Governance Team (RGT) (</w:t>
      </w:r>
      <w:hyperlink r:id="rId14" w:tooltip="Email address the RGT (Research Governance Team)" w:history="1">
        <w:r w:rsidRPr="00335337">
          <w:rPr>
            <w:rStyle w:val="Hyperlink"/>
            <w:lang w:eastAsia="en-GB"/>
          </w:rPr>
          <w:t>researchgovernance@contacts.bham.ac.uk</w:t>
        </w:r>
      </w:hyperlink>
      <w:r w:rsidRPr="00824C98">
        <w:t>).</w:t>
      </w:r>
      <w:r>
        <w:rPr>
          <w:lang w:eastAsia="en-GB"/>
        </w:rPr>
        <w:t xml:space="preserve"> </w:t>
      </w:r>
    </w:p>
    <w:p w14:paraId="0F01E09F" w14:textId="2AE54088" w:rsidR="007B4836" w:rsidRDefault="007B4836">
      <w:pPr>
        <w:pStyle w:val="Heading1"/>
      </w:pPr>
      <w:r w:rsidRPr="005D17F6">
        <w:lastRenderedPageBreak/>
        <w:t>References</w:t>
      </w:r>
      <w:r w:rsidR="005F0420">
        <w:t xml:space="preserve"> and </w:t>
      </w:r>
      <w:r w:rsidR="00667FF6">
        <w:t>f</w:t>
      </w:r>
      <w:r w:rsidR="005F0420">
        <w:t>rameworks</w:t>
      </w:r>
    </w:p>
    <w:p w14:paraId="5612E2AA" w14:textId="6CD7AF5E" w:rsidR="002A505C" w:rsidRDefault="002A505C" w:rsidP="002A505C">
      <w:pPr>
        <w:pStyle w:val="bullet1"/>
      </w:pPr>
      <w:r>
        <w:t xml:space="preserve">Food Safety Act 1990: </w:t>
      </w:r>
      <w:hyperlink r:id="rId15" w:tooltip="Link to Food Safety Act 1990" w:history="1">
        <w:r w:rsidRPr="004A6877">
          <w:rPr>
            <w:rStyle w:val="Hyperlink"/>
          </w:rPr>
          <w:t>http://www.legislation.gov.uk/ukpga/1990/16/contents</w:t>
        </w:r>
      </w:hyperlink>
    </w:p>
    <w:p w14:paraId="2D8E88B9" w14:textId="77777777" w:rsidR="002A505C" w:rsidRDefault="002A505C" w:rsidP="002A505C">
      <w:pPr>
        <w:pStyle w:val="bullet1"/>
      </w:pPr>
      <w:r>
        <w:t>Rules and Guidance for Pharmaceutical Manufacturers and Distributors complied by the Medicines and Healthcare products Regulatory Agency (MHRA). Tenth edition published in 2017. UK: Pharmaceutical Press</w:t>
      </w:r>
    </w:p>
    <w:p w14:paraId="501FE970" w14:textId="68E91B40" w:rsidR="002A505C" w:rsidRDefault="002A505C" w:rsidP="002A505C">
      <w:pPr>
        <w:pStyle w:val="bullet1"/>
      </w:pPr>
      <w:r>
        <w:t>The Food Safety And Hygiene (England) Regulation</w:t>
      </w:r>
      <w:r w:rsidR="00B00B30">
        <w:t>s</w:t>
      </w:r>
      <w:r>
        <w:t xml:space="preserve"> 2013: </w:t>
      </w:r>
      <w:hyperlink r:id="rId16" w:tooltip="Link to the Food Safety And Hygiene (England) Regulation 2013" w:history="1">
        <w:r w:rsidRPr="004A6877">
          <w:rPr>
            <w:rStyle w:val="Hyperlink"/>
          </w:rPr>
          <w:t>http://www.legislation.gov.uk/uksi/2013/2996/made</w:t>
        </w:r>
      </w:hyperlink>
      <w:r>
        <w:t xml:space="preserve"> </w:t>
      </w:r>
    </w:p>
    <w:p w14:paraId="2A9950FE" w14:textId="752EA574" w:rsidR="00110971" w:rsidRDefault="002A505C" w:rsidP="002A505C">
      <w:pPr>
        <w:pStyle w:val="bullet1"/>
      </w:pPr>
      <w:proofErr w:type="spellStart"/>
      <w:r w:rsidRPr="00BC7B6A">
        <w:t>UoB</w:t>
      </w:r>
      <w:proofErr w:type="spellEnd"/>
      <w:r w:rsidRPr="00BC7B6A">
        <w:t xml:space="preserve"> </w:t>
      </w:r>
      <w:r w:rsidR="00416B7E">
        <w:t>h</w:t>
      </w:r>
      <w:r w:rsidR="00416B7E" w:rsidRPr="00BC7B6A">
        <w:t xml:space="preserve">ealth </w:t>
      </w:r>
      <w:r w:rsidRPr="00BC7B6A">
        <w:t xml:space="preserve">and </w:t>
      </w:r>
      <w:r w:rsidR="00416B7E">
        <w:t>s</w:t>
      </w:r>
      <w:r w:rsidR="00416B7E" w:rsidRPr="00BC7B6A">
        <w:t xml:space="preserve">afety </w:t>
      </w:r>
      <w:r w:rsidR="00416B7E">
        <w:t>p</w:t>
      </w:r>
      <w:r w:rsidR="00416B7E" w:rsidRPr="00BC7B6A">
        <w:t xml:space="preserve">olicies </w:t>
      </w:r>
      <w:r w:rsidRPr="00BC7B6A">
        <w:t xml:space="preserve">and </w:t>
      </w:r>
      <w:r w:rsidR="00416B7E">
        <w:t>g</w:t>
      </w:r>
      <w:r w:rsidR="00416B7E" w:rsidRPr="00BC7B6A">
        <w:t xml:space="preserve">uidance </w:t>
      </w:r>
      <w:r w:rsidRPr="00BC7B6A">
        <w:t xml:space="preserve">for </w:t>
      </w:r>
      <w:r w:rsidR="00416B7E">
        <w:t>b</w:t>
      </w:r>
      <w:r w:rsidR="00416B7E" w:rsidRPr="00BC7B6A">
        <w:t xml:space="preserve">iological </w:t>
      </w:r>
      <w:r w:rsidR="00416B7E">
        <w:t>s</w:t>
      </w:r>
      <w:r w:rsidR="00416B7E" w:rsidRPr="00BC7B6A">
        <w:t>afety</w:t>
      </w:r>
      <w:r>
        <w:t xml:space="preserve">: </w:t>
      </w:r>
      <w:hyperlink r:id="rId17" w:tooltip="Link to UoB Health and Safety Policies and Guidance for Biological Safety" w:history="1">
        <w:r w:rsidRPr="004A6877">
          <w:rPr>
            <w:rStyle w:val="Hyperlink"/>
          </w:rPr>
          <w:t>https://intranet.birmingham.ac.uk/hr/wellbeing/worksafe/biological/index.aspx</w:t>
        </w:r>
      </w:hyperlink>
      <w:r>
        <w:t xml:space="preserve"> </w:t>
      </w:r>
    </w:p>
    <w:p w14:paraId="56C4E355" w14:textId="05F27E7A" w:rsidR="00B10C05" w:rsidRDefault="00B10C05">
      <w:pPr>
        <w:pStyle w:val="Heading1"/>
      </w:pPr>
      <w:r w:rsidRPr="00522ABB">
        <w:t>Abbreviations</w:t>
      </w:r>
      <w:r>
        <w:t xml:space="preserve"> and </w:t>
      </w:r>
      <w:r w:rsidR="00667FF6">
        <w:t>d</w:t>
      </w:r>
      <w:r>
        <w:t>efinitions</w:t>
      </w:r>
    </w:p>
    <w:tbl>
      <w:tblPr>
        <w:tblStyle w:val="TableGrid"/>
        <w:tblW w:w="0" w:type="auto"/>
        <w:tblBorders>
          <w:insideH w:val="dotted" w:sz="4" w:space="0" w:color="auto"/>
          <w:insideV w:val="dotted" w:sz="4" w:space="0" w:color="auto"/>
        </w:tblBorders>
        <w:tblLook w:val="04A0" w:firstRow="1" w:lastRow="0" w:firstColumn="1" w:lastColumn="0" w:noHBand="0" w:noVBand="1"/>
        <w:tblCaption w:val="Abbreviations and Definitions"/>
        <w:tblDescription w:val="List of abbreviations and Definitions used in this document."/>
      </w:tblPr>
      <w:tblGrid>
        <w:gridCol w:w="2462"/>
        <w:gridCol w:w="6555"/>
      </w:tblGrid>
      <w:tr w:rsidR="00CC61A6" w14:paraId="02B48888" w14:textId="77777777" w:rsidTr="002A505C">
        <w:trPr>
          <w:cantSplit/>
          <w:tblHeader/>
        </w:trPr>
        <w:tc>
          <w:tcPr>
            <w:tcW w:w="2462" w:type="dxa"/>
            <w:vAlign w:val="center"/>
          </w:tcPr>
          <w:p w14:paraId="5A522385" w14:textId="77777777" w:rsidR="00CC61A6" w:rsidRPr="003D5BFC" w:rsidRDefault="00CC61A6" w:rsidP="00043513">
            <w:pPr>
              <w:pStyle w:val="Heading2"/>
            </w:pPr>
            <w:r w:rsidRPr="003D5BFC">
              <w:t>Term</w:t>
            </w:r>
          </w:p>
        </w:tc>
        <w:tc>
          <w:tcPr>
            <w:tcW w:w="6555" w:type="dxa"/>
            <w:vAlign w:val="center"/>
          </w:tcPr>
          <w:p w14:paraId="1C2997E2" w14:textId="77777777" w:rsidR="00CC61A6" w:rsidRPr="003D5BFC" w:rsidRDefault="00CC61A6" w:rsidP="00043513">
            <w:pPr>
              <w:pStyle w:val="Heading2"/>
            </w:pPr>
            <w:r w:rsidRPr="003D5BFC">
              <w:t>Description</w:t>
            </w:r>
          </w:p>
        </w:tc>
      </w:tr>
      <w:tr w:rsidR="002A505C" w14:paraId="14B3ED21" w14:textId="77777777" w:rsidTr="002A505C">
        <w:trPr>
          <w:cantSplit/>
        </w:trPr>
        <w:tc>
          <w:tcPr>
            <w:tcW w:w="2462" w:type="dxa"/>
          </w:tcPr>
          <w:p w14:paraId="62E66B32" w14:textId="666751CB" w:rsidR="002A505C" w:rsidRDefault="002A505C" w:rsidP="002A505C">
            <w:pPr>
              <w:pStyle w:val="AbbreviationsDefinitionsTerm"/>
            </w:pPr>
            <w:r>
              <w:t>Authorised health</w:t>
            </w:r>
            <w:r w:rsidR="00526C91">
              <w:t>care</w:t>
            </w:r>
            <w:r>
              <w:t xml:space="preserve"> professional</w:t>
            </w:r>
          </w:p>
        </w:tc>
        <w:tc>
          <w:tcPr>
            <w:tcW w:w="6555" w:type="dxa"/>
            <w:vAlign w:val="center"/>
          </w:tcPr>
          <w:p w14:paraId="3CAB5A4C" w14:textId="4AC11E19" w:rsidR="002A505C" w:rsidRDefault="002A505C" w:rsidP="002A505C">
            <w:r>
              <w:t>An authorised health</w:t>
            </w:r>
            <w:r w:rsidR="00526C91">
              <w:t>care</w:t>
            </w:r>
            <w:r>
              <w:t xml:space="preserve"> professional is defined as a doctor, dentist, nurse or pharmacist. </w:t>
            </w:r>
          </w:p>
        </w:tc>
      </w:tr>
      <w:tr w:rsidR="002A505C" w14:paraId="2A4E0A90" w14:textId="77777777" w:rsidTr="002A505C">
        <w:trPr>
          <w:cantSplit/>
        </w:trPr>
        <w:tc>
          <w:tcPr>
            <w:tcW w:w="2462" w:type="dxa"/>
          </w:tcPr>
          <w:p w14:paraId="559CC475" w14:textId="77777777" w:rsidR="002A505C" w:rsidRPr="003A0513" w:rsidRDefault="002A505C" w:rsidP="002A505C">
            <w:pPr>
              <w:pStyle w:val="AbbreviationsDefinitionsTerm"/>
            </w:pPr>
            <w:r>
              <w:t>CI</w:t>
            </w:r>
          </w:p>
        </w:tc>
        <w:tc>
          <w:tcPr>
            <w:tcW w:w="6555" w:type="dxa"/>
            <w:vAlign w:val="center"/>
          </w:tcPr>
          <w:p w14:paraId="7A29A28E" w14:textId="382BBA2A" w:rsidR="002A505C" w:rsidRDefault="002A505C" w:rsidP="002A505C">
            <w:r>
              <w:t xml:space="preserve">Chief </w:t>
            </w:r>
            <w:r w:rsidR="00416B7E">
              <w:t xml:space="preserve">investigator </w:t>
            </w:r>
          </w:p>
        </w:tc>
      </w:tr>
      <w:tr w:rsidR="002A505C" w14:paraId="206C76C1" w14:textId="77777777" w:rsidTr="002A505C">
        <w:trPr>
          <w:cantSplit/>
        </w:trPr>
        <w:tc>
          <w:tcPr>
            <w:tcW w:w="2462" w:type="dxa"/>
          </w:tcPr>
          <w:p w14:paraId="0EF7FC39" w14:textId="77777777" w:rsidR="002A505C" w:rsidRPr="00043513" w:rsidRDefault="002A505C" w:rsidP="002A505C">
            <w:pPr>
              <w:pStyle w:val="AbbreviationsDefinitionsTerm"/>
            </w:pPr>
            <w:r w:rsidRPr="003A0513">
              <w:t>Clinical study</w:t>
            </w:r>
          </w:p>
        </w:tc>
        <w:tc>
          <w:tcPr>
            <w:tcW w:w="6555" w:type="dxa"/>
            <w:vAlign w:val="center"/>
          </w:tcPr>
          <w:p w14:paraId="5A93DC3D" w14:textId="516D7CB5" w:rsidR="002A505C" w:rsidRDefault="002A505C" w:rsidP="002A505C">
            <w:r>
              <w:t>Any health related research study on humans. This includes</w:t>
            </w:r>
            <w:r w:rsidR="00416B7E">
              <w:t xml:space="preserve"> a study</w:t>
            </w:r>
            <w:r>
              <w:t>:</w:t>
            </w:r>
          </w:p>
          <w:p w14:paraId="7574FF93" w14:textId="66FC6724" w:rsidR="002A505C" w:rsidRDefault="002A505C" w:rsidP="002A505C">
            <w:pPr>
              <w:pStyle w:val="bullet2"/>
            </w:pPr>
            <w:r>
              <w:t>administering questionnaires/interviews for quantitative analysis, or using mixed quantitative/qualitative methodology</w:t>
            </w:r>
          </w:p>
          <w:p w14:paraId="247DAE6E" w14:textId="7C0DC5DD" w:rsidR="002A505C" w:rsidRDefault="002A505C" w:rsidP="002A505C">
            <w:pPr>
              <w:pStyle w:val="bullet2"/>
            </w:pPr>
            <w:r>
              <w:t>involving qualitative methods only</w:t>
            </w:r>
          </w:p>
          <w:p w14:paraId="0499678A" w14:textId="376C9DCE" w:rsidR="002A505C" w:rsidRDefault="002A505C" w:rsidP="002A505C">
            <w:pPr>
              <w:pStyle w:val="bullet2"/>
            </w:pPr>
            <w:r>
              <w:t>limited to working with human tissue samples (or other human biological samples) and data (specific project only)</w:t>
            </w:r>
          </w:p>
          <w:p w14:paraId="0C25C7BE" w14:textId="5CEEBEAD" w:rsidR="002A505C" w:rsidRPr="00A11FDD" w:rsidRDefault="002A505C" w:rsidP="002A505C">
            <w:pPr>
              <w:pStyle w:val="bullet2"/>
            </w:pPr>
            <w:r>
              <w:t>limited to working with data (specific project only).</w:t>
            </w:r>
          </w:p>
        </w:tc>
      </w:tr>
      <w:tr w:rsidR="002A505C" w14:paraId="417F8267" w14:textId="77777777" w:rsidTr="002A505C">
        <w:trPr>
          <w:cantSplit/>
        </w:trPr>
        <w:tc>
          <w:tcPr>
            <w:tcW w:w="2462" w:type="dxa"/>
          </w:tcPr>
          <w:p w14:paraId="7C147C76" w14:textId="77777777" w:rsidR="002A505C" w:rsidRPr="00043513" w:rsidRDefault="002A505C" w:rsidP="002A505C">
            <w:pPr>
              <w:pStyle w:val="AbbreviationsDefinitionsTerm"/>
            </w:pPr>
            <w:r w:rsidRPr="003A0513">
              <w:t>Clinical trial</w:t>
            </w:r>
          </w:p>
        </w:tc>
        <w:tc>
          <w:tcPr>
            <w:tcW w:w="6555" w:type="dxa"/>
            <w:vAlign w:val="center"/>
          </w:tcPr>
          <w:p w14:paraId="38F7BD78" w14:textId="02CC7492" w:rsidR="002A505C" w:rsidRDefault="002A505C" w:rsidP="002A505C">
            <w:pPr>
              <w:pStyle w:val="AbbreviationsDefinitionsTerm"/>
            </w:pPr>
            <w:r>
              <w:t xml:space="preserve">For clinical trials using an </w:t>
            </w:r>
            <w:r w:rsidR="00416B7E">
              <w:t>investigational medicinal product</w:t>
            </w:r>
            <w:r>
              <w:t>:</w:t>
            </w:r>
          </w:p>
          <w:p w14:paraId="132C6F27" w14:textId="083ACF16" w:rsidR="002A505C" w:rsidRDefault="002A505C" w:rsidP="002A505C">
            <w:r>
              <w:t xml:space="preserve">Any investigation in human subjects intended to discover or verify the clinical, pharmacological and/or other pharmacodynamic effects of one or more </w:t>
            </w:r>
            <w:r w:rsidR="00416B7E">
              <w:t>investigational medicinal product</w:t>
            </w:r>
            <w:r>
              <w:t xml:space="preserve">(s), and/or to identify any adverse reactions to one or more </w:t>
            </w:r>
            <w:r w:rsidR="00416B7E">
              <w:t>investigational medicinal product</w:t>
            </w:r>
            <w:r>
              <w:t xml:space="preserve">(s) and/or to study absorption, distribution, metabolism and excretion of one or more </w:t>
            </w:r>
            <w:r w:rsidR="00416B7E">
              <w:t>investigational medicinal product</w:t>
            </w:r>
            <w:r>
              <w:t>(s) with the object of ascertaining its (their) safety and/or efficacy.</w:t>
            </w:r>
          </w:p>
          <w:p w14:paraId="2AB0D461" w14:textId="77777777" w:rsidR="002A505C" w:rsidRDefault="002A505C" w:rsidP="002A505C">
            <w:pPr>
              <w:pStyle w:val="AbbreviationsDefinitionsTerm"/>
            </w:pPr>
            <w:r>
              <w:t>For all other clinical trials:</w:t>
            </w:r>
          </w:p>
          <w:p w14:paraId="5CD06354" w14:textId="77777777" w:rsidR="002A505C" w:rsidRDefault="002A505C" w:rsidP="002A505C">
            <w:r>
              <w:t>Prospective biomedical research on human subjects that are conducted to allow safety (or more specifically, information about adverse drug reactions and adverse effects of other treatments) and efficacy data to be collected for health interventions. Examples include devices, surgery and radiotherapy trials.</w:t>
            </w:r>
          </w:p>
        </w:tc>
      </w:tr>
      <w:tr w:rsidR="002A505C" w14:paraId="41077194" w14:textId="77777777" w:rsidTr="002A505C">
        <w:trPr>
          <w:cantSplit/>
        </w:trPr>
        <w:tc>
          <w:tcPr>
            <w:tcW w:w="2462" w:type="dxa"/>
            <w:vAlign w:val="center"/>
          </w:tcPr>
          <w:p w14:paraId="53BA910B" w14:textId="77777777" w:rsidR="002A505C" w:rsidRDefault="002A505C" w:rsidP="002A505C">
            <w:pPr>
              <w:pStyle w:val="AbbreviationsDefinitionsTerm"/>
            </w:pPr>
            <w:r>
              <w:t>CRCT</w:t>
            </w:r>
          </w:p>
        </w:tc>
        <w:tc>
          <w:tcPr>
            <w:tcW w:w="6555" w:type="dxa"/>
            <w:vAlign w:val="center"/>
          </w:tcPr>
          <w:p w14:paraId="375B34DA" w14:textId="77777777" w:rsidR="002A505C" w:rsidRDefault="002A505C" w:rsidP="002A505C">
            <w:r>
              <w:t>Clinical Research Compliance Team</w:t>
            </w:r>
          </w:p>
        </w:tc>
      </w:tr>
      <w:tr w:rsidR="002A505C" w14:paraId="5BC807E4" w14:textId="77777777" w:rsidTr="002A505C">
        <w:trPr>
          <w:cantSplit/>
        </w:trPr>
        <w:tc>
          <w:tcPr>
            <w:tcW w:w="2462" w:type="dxa"/>
            <w:vAlign w:val="center"/>
          </w:tcPr>
          <w:p w14:paraId="559D0132" w14:textId="77777777" w:rsidR="002A505C" w:rsidRDefault="002A505C" w:rsidP="002A505C">
            <w:pPr>
              <w:pStyle w:val="AbbreviationsDefinitionsTerm"/>
            </w:pPr>
            <w:r>
              <w:t>CTOC</w:t>
            </w:r>
          </w:p>
        </w:tc>
        <w:tc>
          <w:tcPr>
            <w:tcW w:w="6555" w:type="dxa"/>
            <w:vAlign w:val="center"/>
          </w:tcPr>
          <w:p w14:paraId="0343D17B" w14:textId="77777777" w:rsidR="002A505C" w:rsidRDefault="002A505C" w:rsidP="002A505C">
            <w:r>
              <w:t>Clinical Trial Oversight Committee</w:t>
            </w:r>
          </w:p>
        </w:tc>
      </w:tr>
      <w:tr w:rsidR="002A505C" w14:paraId="1B40A408" w14:textId="77777777" w:rsidTr="002A505C">
        <w:trPr>
          <w:cantSplit/>
        </w:trPr>
        <w:tc>
          <w:tcPr>
            <w:tcW w:w="2462" w:type="dxa"/>
            <w:vAlign w:val="center"/>
          </w:tcPr>
          <w:p w14:paraId="23E3961E" w14:textId="77777777" w:rsidR="002A505C" w:rsidRDefault="002A505C" w:rsidP="002A505C">
            <w:pPr>
              <w:pStyle w:val="AbbreviationsDefinitionsTerm"/>
            </w:pPr>
            <w:r>
              <w:t>CTU</w:t>
            </w:r>
          </w:p>
        </w:tc>
        <w:tc>
          <w:tcPr>
            <w:tcW w:w="6555" w:type="dxa"/>
            <w:vAlign w:val="center"/>
          </w:tcPr>
          <w:p w14:paraId="6D02B0AC" w14:textId="23DBBF58" w:rsidR="002A505C" w:rsidRDefault="002A505C" w:rsidP="002A505C">
            <w:r>
              <w:t xml:space="preserve">Clinical </w:t>
            </w:r>
            <w:r w:rsidR="00416B7E">
              <w:t>trials unit</w:t>
            </w:r>
          </w:p>
        </w:tc>
      </w:tr>
      <w:tr w:rsidR="002A505C" w14:paraId="678D1E54" w14:textId="77777777" w:rsidTr="002A505C">
        <w:trPr>
          <w:cantSplit/>
        </w:trPr>
        <w:tc>
          <w:tcPr>
            <w:tcW w:w="2462" w:type="dxa"/>
            <w:vAlign w:val="center"/>
          </w:tcPr>
          <w:p w14:paraId="19E18FF7" w14:textId="77777777" w:rsidR="002A505C" w:rsidRDefault="002A505C" w:rsidP="002A505C">
            <w:pPr>
              <w:pStyle w:val="AbbreviationsDefinitionsTerm"/>
            </w:pPr>
            <w:r>
              <w:t>GCP</w:t>
            </w:r>
          </w:p>
        </w:tc>
        <w:tc>
          <w:tcPr>
            <w:tcW w:w="6555" w:type="dxa"/>
            <w:vAlign w:val="center"/>
          </w:tcPr>
          <w:p w14:paraId="7D5CAE06" w14:textId="77777777" w:rsidR="002A505C" w:rsidRDefault="002A505C" w:rsidP="002A505C">
            <w:r>
              <w:t>Good Clinical Practice</w:t>
            </w:r>
          </w:p>
        </w:tc>
      </w:tr>
      <w:tr w:rsidR="002A505C" w14:paraId="5AE7E8AD" w14:textId="77777777" w:rsidTr="002A505C">
        <w:trPr>
          <w:cantSplit/>
        </w:trPr>
        <w:tc>
          <w:tcPr>
            <w:tcW w:w="2462" w:type="dxa"/>
            <w:vAlign w:val="center"/>
          </w:tcPr>
          <w:p w14:paraId="2BD169FD" w14:textId="77777777" w:rsidR="002A505C" w:rsidRPr="00043513" w:rsidRDefault="002A505C" w:rsidP="002A505C">
            <w:pPr>
              <w:pStyle w:val="AbbreviationsDefinitionsTerm"/>
            </w:pPr>
            <w:r>
              <w:t>GMP</w:t>
            </w:r>
          </w:p>
        </w:tc>
        <w:tc>
          <w:tcPr>
            <w:tcW w:w="6555" w:type="dxa"/>
            <w:vAlign w:val="center"/>
          </w:tcPr>
          <w:p w14:paraId="1BDBD0D9" w14:textId="77777777" w:rsidR="002A505C" w:rsidRDefault="002A505C" w:rsidP="002A505C">
            <w:r>
              <w:t>Good Manufacturing Practice</w:t>
            </w:r>
          </w:p>
        </w:tc>
      </w:tr>
      <w:tr w:rsidR="002A505C" w14:paraId="0F1634BE" w14:textId="77777777" w:rsidTr="00DE0E01">
        <w:trPr>
          <w:cantSplit/>
        </w:trPr>
        <w:tc>
          <w:tcPr>
            <w:tcW w:w="2462" w:type="dxa"/>
          </w:tcPr>
          <w:p w14:paraId="0DD61881" w14:textId="77777777" w:rsidR="002A505C" w:rsidRDefault="002A505C" w:rsidP="002A505C">
            <w:pPr>
              <w:pStyle w:val="AbbreviationsDefinitionsTerm"/>
            </w:pPr>
            <w:r>
              <w:t>MPT</w:t>
            </w:r>
          </w:p>
        </w:tc>
        <w:tc>
          <w:tcPr>
            <w:tcW w:w="6555" w:type="dxa"/>
            <w:vAlign w:val="center"/>
          </w:tcPr>
          <w:p w14:paraId="6976D6AA" w14:textId="306CED75" w:rsidR="002A505C" w:rsidRPr="00153B8A" w:rsidRDefault="002A505C" w:rsidP="002A505C">
            <w:r w:rsidRPr="00BC7B6A">
              <w:t xml:space="preserve">Microbiological and </w:t>
            </w:r>
            <w:r w:rsidR="005B7766">
              <w:t>p</w:t>
            </w:r>
            <w:r w:rsidR="005B7766" w:rsidRPr="00BC7B6A">
              <w:t xml:space="preserve">yrogen </w:t>
            </w:r>
            <w:r w:rsidR="005B7766">
              <w:t>t</w:t>
            </w:r>
            <w:r w:rsidR="005B7766" w:rsidRPr="00BC7B6A">
              <w:t>ested</w:t>
            </w:r>
          </w:p>
        </w:tc>
      </w:tr>
      <w:tr w:rsidR="002A505C" w14:paraId="17450AB0" w14:textId="77777777" w:rsidTr="00DE0E01">
        <w:trPr>
          <w:cantSplit/>
        </w:trPr>
        <w:tc>
          <w:tcPr>
            <w:tcW w:w="2462" w:type="dxa"/>
          </w:tcPr>
          <w:p w14:paraId="61F20F99" w14:textId="77777777" w:rsidR="002A505C" w:rsidRPr="00153B8A" w:rsidRDefault="002A505C" w:rsidP="002A505C">
            <w:pPr>
              <w:pStyle w:val="AbbreviationsDefinitionsTerm"/>
            </w:pPr>
            <w:r>
              <w:t>PPE</w:t>
            </w:r>
          </w:p>
        </w:tc>
        <w:tc>
          <w:tcPr>
            <w:tcW w:w="6555" w:type="dxa"/>
            <w:vAlign w:val="center"/>
          </w:tcPr>
          <w:p w14:paraId="1E4D51BA" w14:textId="392C27CA" w:rsidR="002A505C" w:rsidRPr="00153B8A" w:rsidRDefault="002A505C" w:rsidP="002A505C">
            <w:r w:rsidRPr="00F22339">
              <w:t xml:space="preserve">Personal </w:t>
            </w:r>
            <w:r w:rsidR="00416B7E">
              <w:t>p</w:t>
            </w:r>
            <w:r w:rsidR="00416B7E" w:rsidRPr="00F22339">
              <w:t xml:space="preserve">rotective </w:t>
            </w:r>
            <w:r w:rsidR="00416B7E">
              <w:t>e</w:t>
            </w:r>
            <w:r w:rsidR="00416B7E" w:rsidRPr="00F22339">
              <w:t>quipment</w:t>
            </w:r>
          </w:p>
        </w:tc>
      </w:tr>
      <w:tr w:rsidR="002A505C" w14:paraId="20C818A1" w14:textId="77777777" w:rsidTr="00DE0E01">
        <w:trPr>
          <w:cantSplit/>
        </w:trPr>
        <w:tc>
          <w:tcPr>
            <w:tcW w:w="2462" w:type="dxa"/>
          </w:tcPr>
          <w:p w14:paraId="4EB7CBAB" w14:textId="77777777" w:rsidR="002A505C" w:rsidRDefault="002A505C" w:rsidP="002A505C">
            <w:pPr>
              <w:pStyle w:val="AbbreviationsDefinitionsTerm"/>
            </w:pPr>
            <w:r>
              <w:t>QMS</w:t>
            </w:r>
          </w:p>
        </w:tc>
        <w:tc>
          <w:tcPr>
            <w:tcW w:w="6555" w:type="dxa"/>
            <w:vAlign w:val="center"/>
          </w:tcPr>
          <w:p w14:paraId="7C0D2EC4" w14:textId="770E5005" w:rsidR="002A505C" w:rsidRPr="00153B8A" w:rsidRDefault="002A505C" w:rsidP="002A505C">
            <w:r>
              <w:t xml:space="preserve">Quality </w:t>
            </w:r>
            <w:r w:rsidR="005B7766">
              <w:t>management system</w:t>
            </w:r>
          </w:p>
        </w:tc>
      </w:tr>
      <w:tr w:rsidR="002A505C" w14:paraId="39E53322" w14:textId="77777777" w:rsidTr="00DE0E01">
        <w:trPr>
          <w:cantSplit/>
        </w:trPr>
        <w:tc>
          <w:tcPr>
            <w:tcW w:w="2462" w:type="dxa"/>
          </w:tcPr>
          <w:p w14:paraId="3765A30B" w14:textId="77777777" w:rsidR="002A505C" w:rsidRDefault="002A505C" w:rsidP="002A505C">
            <w:pPr>
              <w:pStyle w:val="AbbreviationsDefinitionsTerm"/>
            </w:pPr>
            <w:r>
              <w:t>REC</w:t>
            </w:r>
          </w:p>
        </w:tc>
        <w:tc>
          <w:tcPr>
            <w:tcW w:w="6555" w:type="dxa"/>
            <w:vAlign w:val="center"/>
          </w:tcPr>
          <w:p w14:paraId="512CAC92" w14:textId="353ADD2B" w:rsidR="002A505C" w:rsidRDefault="002A505C" w:rsidP="002A505C">
            <w:r>
              <w:t xml:space="preserve">Research </w:t>
            </w:r>
            <w:r w:rsidR="005B7766">
              <w:t>ethics committee</w:t>
            </w:r>
          </w:p>
        </w:tc>
      </w:tr>
      <w:tr w:rsidR="002A505C" w14:paraId="2D126BDC" w14:textId="77777777" w:rsidTr="00DE0E01">
        <w:trPr>
          <w:cantSplit/>
        </w:trPr>
        <w:tc>
          <w:tcPr>
            <w:tcW w:w="2462" w:type="dxa"/>
          </w:tcPr>
          <w:p w14:paraId="28E76DE1" w14:textId="77777777" w:rsidR="002A505C" w:rsidRDefault="002A505C" w:rsidP="002A505C">
            <w:pPr>
              <w:pStyle w:val="AbbreviationsDefinitionsTerm"/>
            </w:pPr>
            <w:r>
              <w:lastRenderedPageBreak/>
              <w:t>SOP</w:t>
            </w:r>
          </w:p>
        </w:tc>
        <w:tc>
          <w:tcPr>
            <w:tcW w:w="6555" w:type="dxa"/>
            <w:vAlign w:val="center"/>
          </w:tcPr>
          <w:p w14:paraId="516F1200" w14:textId="22C4E6AC" w:rsidR="002A505C" w:rsidRPr="00153B8A" w:rsidRDefault="002A505C" w:rsidP="002A505C">
            <w:r>
              <w:t xml:space="preserve">Standard </w:t>
            </w:r>
            <w:r w:rsidR="005B7766">
              <w:t>operating procedure</w:t>
            </w:r>
          </w:p>
        </w:tc>
      </w:tr>
      <w:tr w:rsidR="002A505C" w14:paraId="54A3AC7F" w14:textId="77777777" w:rsidTr="003F3D2F">
        <w:trPr>
          <w:cantSplit/>
          <w:trHeight w:val="70"/>
        </w:trPr>
        <w:tc>
          <w:tcPr>
            <w:tcW w:w="2462" w:type="dxa"/>
          </w:tcPr>
          <w:p w14:paraId="36C092F1" w14:textId="77777777" w:rsidR="002A505C" w:rsidRDefault="002A505C" w:rsidP="002A505C">
            <w:pPr>
              <w:pStyle w:val="AbbreviationsDefinitionsTerm"/>
            </w:pPr>
            <w:r>
              <w:t>UoB</w:t>
            </w:r>
          </w:p>
        </w:tc>
        <w:tc>
          <w:tcPr>
            <w:tcW w:w="6555" w:type="dxa"/>
            <w:vAlign w:val="center"/>
          </w:tcPr>
          <w:p w14:paraId="14D1EDFD" w14:textId="77777777" w:rsidR="002A505C" w:rsidRDefault="002A505C" w:rsidP="002A505C">
            <w:r>
              <w:t>University of Birmingham</w:t>
            </w:r>
          </w:p>
        </w:tc>
      </w:tr>
    </w:tbl>
    <w:p w14:paraId="261D56B6" w14:textId="42EABB6D" w:rsidR="000374CB" w:rsidRDefault="00B10C05">
      <w:r w:rsidRPr="009C2C63">
        <w:t xml:space="preserve">See also the </w:t>
      </w:r>
      <w:hyperlink r:id="rId18" w:tooltip="Link to CRCT Glossary of Terms" w:history="1">
        <w:r w:rsidR="00667FF6" w:rsidRPr="00242A7B">
          <w:rPr>
            <w:rStyle w:val="Hyperlink"/>
          </w:rPr>
          <w:t>Glossary of Terms</w:t>
        </w:r>
      </w:hyperlink>
      <w:r w:rsidRPr="009C2C63">
        <w:t>.</w:t>
      </w:r>
    </w:p>
    <w:p w14:paraId="4E943E09" w14:textId="77777777" w:rsidR="000374CB" w:rsidRDefault="000374CB"/>
    <w:sectPr w:rsidR="000374CB" w:rsidSect="003A24EB">
      <w:headerReference w:type="even" r:id="rId19"/>
      <w:headerReference w:type="default" r:id="rId20"/>
      <w:footerReference w:type="even" r:id="rId21"/>
      <w:footerReference w:type="default" r:id="rId22"/>
      <w:headerReference w:type="first" r:id="rId23"/>
      <w:footerReference w:type="first" r:id="rId24"/>
      <w:pgSz w:w="11907" w:h="16839" w:code="9"/>
      <w:pgMar w:top="1440" w:right="1440" w:bottom="1440" w:left="1440" w:header="567" w:footer="397" w:gutter="0"/>
      <w:pgBorders>
        <w:top w:val="single" w:sz="12" w:space="3" w:color="943634"/>
        <w:bottom w:val="single" w:sz="12" w:space="3" w:color="943634"/>
      </w:pgBorders>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9529D0" w16cex:dateUtc="2022-08-03T16:07:00Z"/>
  <w16cex:commentExtensible w16cex:durableId="2695213D" w16cex:dateUtc="2022-08-03T15:30:00Z"/>
  <w16cex:commentExtensible w16cex:durableId="26952277" w16cex:dateUtc="2022-08-03T15:36:00Z"/>
  <w16cex:commentExtensible w16cex:durableId="269524D2" w16cex:dateUtc="2022-08-03T15:46:00Z"/>
  <w16cex:commentExtensible w16cex:durableId="2695262D" w16cex:dateUtc="2022-08-03T15:51:00Z"/>
  <w16cex:commentExtensible w16cex:durableId="2695283A" w16cex:dateUtc="2022-08-03T16:00:00Z"/>
  <w16cex:commentExtensible w16cex:durableId="26952F33" w16cex:dateUtc="2022-08-03T16:3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78DC5E" w14:textId="77777777" w:rsidR="00230C9E" w:rsidRDefault="00230C9E" w:rsidP="00F46DE6">
      <w:r>
        <w:separator/>
      </w:r>
    </w:p>
    <w:p w14:paraId="17AAF0AC" w14:textId="77777777" w:rsidR="00230C9E" w:rsidRDefault="00230C9E" w:rsidP="00F46DE6"/>
  </w:endnote>
  <w:endnote w:type="continuationSeparator" w:id="0">
    <w:p w14:paraId="06123958" w14:textId="77777777" w:rsidR="00230C9E" w:rsidRDefault="00230C9E" w:rsidP="00F46DE6">
      <w:r>
        <w:continuationSeparator/>
      </w:r>
    </w:p>
    <w:p w14:paraId="042EA782" w14:textId="77777777" w:rsidR="00230C9E" w:rsidRDefault="00230C9E" w:rsidP="00F46D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D8C68" w14:textId="77777777" w:rsidR="00DD3075" w:rsidRDefault="00276842" w:rsidP="00276842">
    <w:pPr>
      <w:pStyle w:val="propertystatement"/>
    </w:pPr>
    <w:r w:rsidRPr="002D6577">
      <w:t xml:space="preserve">Property of </w:t>
    </w:r>
    <w:r>
      <w:t xml:space="preserve">the </w:t>
    </w:r>
    <w:r w:rsidRPr="002D6577">
      <w:t>University of Birmingham, Vincent Drive, Edgbaston, Birmingham, B15 2TT, United Kingdom</w:t>
    </w:r>
  </w:p>
  <w:p w14:paraId="67103E95" w14:textId="77777777" w:rsidR="00DD3075" w:rsidRPr="001348DC" w:rsidRDefault="00DD3075" w:rsidP="00DD3075">
    <w:pPr>
      <w:pStyle w:val="propertystatement"/>
    </w:pPr>
    <w:r w:rsidRPr="001348DC">
      <w:t>Copies are only valid for 14 days and may be subject to amendment a</w:t>
    </w:r>
    <w:r>
      <w:t>t any time. For the latest version refer to:</w:t>
    </w:r>
    <w:r w:rsidRPr="001348DC">
      <w:t xml:space="preserve"> </w:t>
    </w:r>
  </w:p>
  <w:p w14:paraId="753DBAEF" w14:textId="77777777" w:rsidR="00276842" w:rsidRDefault="000C31F9" w:rsidP="00DD3075">
    <w:pPr>
      <w:pStyle w:val="propertystatement"/>
    </w:pPr>
    <w:hyperlink r:id="rId1" w:history="1">
      <w:r w:rsidR="00DD3075" w:rsidRPr="00D317E8">
        <w:rPr>
          <w:rStyle w:val="Hyperlink"/>
        </w:rPr>
        <w:t>http://www.birmingham.ac.uk/research/activity/mds/mds-rkto/governance/index.aspx</w:t>
      </w:r>
    </w:hyperlink>
  </w:p>
  <w:p w14:paraId="5C3956BD" w14:textId="77777777" w:rsidR="00D33108" w:rsidRPr="002D6577" w:rsidRDefault="00D33108" w:rsidP="006B351B">
    <w:pPr>
      <w:pStyle w:val="Footer"/>
      <w:jc w:val="both"/>
      <w:rPr>
        <w:bCs/>
        <w:iCs/>
        <w:szCs w:val="28"/>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67A59" w14:textId="77777777" w:rsidR="00D17200" w:rsidRDefault="00D17200" w:rsidP="009E44AF">
    <w:pPr>
      <w:pStyle w:val="Footer"/>
      <w:jc w:val="center"/>
    </w:pPr>
    <w:r w:rsidRPr="002D6577">
      <w:t xml:space="preserve">Property of </w:t>
    </w:r>
    <w:r>
      <w:t xml:space="preserve">the </w:t>
    </w:r>
    <w:r w:rsidRPr="002D6577">
      <w:t>University of Birmingham, Vincent Drive, Edgbaston, Birmingham, B15 2TT, United Kingdom</w:t>
    </w:r>
    <w:r w:rsidR="008F795D">
      <w:t>.</w:t>
    </w:r>
  </w:p>
  <w:p w14:paraId="039063D4" w14:textId="77777777" w:rsidR="00D17200" w:rsidRPr="001348DC" w:rsidRDefault="00D17200" w:rsidP="009E44AF">
    <w:pPr>
      <w:pStyle w:val="Footer"/>
      <w:jc w:val="center"/>
    </w:pPr>
    <w:r w:rsidRPr="001348DC">
      <w:t>Copies are only valid for 14 days and may be subject to amendment a</w:t>
    </w:r>
    <w:r>
      <w:t>t any time. For the latest version refer to:</w:t>
    </w:r>
  </w:p>
  <w:p w14:paraId="55527808" w14:textId="77777777" w:rsidR="00D17200" w:rsidRDefault="000C31F9" w:rsidP="00D17200">
    <w:pPr>
      <w:pStyle w:val="propertystatement"/>
    </w:pPr>
    <w:hyperlink r:id="rId1" w:tooltip="Website for the Clinical Research Compliance Team" w:history="1">
      <w:r w:rsidR="00C31D63">
        <w:rPr>
          <w:rStyle w:val="Hyperlink"/>
        </w:rPr>
        <w:t>birmingham.ac.uk/crct</w:t>
      </w:r>
    </w:hyperlink>
    <w:r w:rsidR="008F795D">
      <w:t xml:space="preserve"> </w:t>
    </w:r>
  </w:p>
  <w:p w14:paraId="57D3B7B3" w14:textId="77777777" w:rsidR="00D17200" w:rsidRDefault="00D172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3365C" w14:textId="77777777" w:rsidR="00DD3075" w:rsidRDefault="00DD307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A0" w:firstRow="1" w:lastRow="0" w:firstColumn="1" w:lastColumn="0" w:noHBand="0" w:noVBand="0"/>
      <w:tblCaption w:val="Document Information"/>
      <w:tblDescription w:val="This includes the document code, version number, print date and page number. "/>
    </w:tblPr>
    <w:tblGrid>
      <w:gridCol w:w="1441"/>
      <w:gridCol w:w="3073"/>
      <w:gridCol w:w="3401"/>
      <w:gridCol w:w="1112"/>
    </w:tblGrid>
    <w:tr w:rsidR="00A668FC" w:rsidRPr="002D6577" w14:paraId="7ACD8EEF" w14:textId="77777777" w:rsidTr="003A24EB">
      <w:trPr>
        <w:trHeight w:val="148"/>
      </w:trPr>
      <w:tc>
        <w:tcPr>
          <w:tcW w:w="1441" w:type="dxa"/>
          <w:tcMar>
            <w:top w:w="0" w:type="dxa"/>
            <w:left w:w="57" w:type="dxa"/>
            <w:bottom w:w="0" w:type="dxa"/>
            <w:right w:w="57" w:type="dxa"/>
          </w:tcMar>
          <w:vAlign w:val="center"/>
        </w:tcPr>
        <w:p w14:paraId="4B1EC286" w14:textId="77777777" w:rsidR="00A668FC" w:rsidRPr="001C6EFB" w:rsidRDefault="00A668FC" w:rsidP="005D02BC">
          <w:pPr>
            <w:pStyle w:val="Footer"/>
          </w:pPr>
          <w:r w:rsidRPr="001C6EFB">
            <w:t>Document code:</w:t>
          </w:r>
        </w:p>
      </w:tc>
      <w:tc>
        <w:tcPr>
          <w:tcW w:w="3073" w:type="dxa"/>
          <w:tcMar>
            <w:top w:w="0" w:type="dxa"/>
            <w:left w:w="57" w:type="dxa"/>
            <w:bottom w:w="0" w:type="dxa"/>
            <w:right w:w="57" w:type="dxa"/>
          </w:tcMar>
          <w:vAlign w:val="center"/>
        </w:tcPr>
        <w:p w14:paraId="76197A93" w14:textId="77777777" w:rsidR="00A668FC" w:rsidRPr="001C6EFB" w:rsidRDefault="00A668FC" w:rsidP="0060052C">
          <w:pPr>
            <w:pStyle w:val="Footer"/>
          </w:pPr>
          <w:r>
            <w:t>UoB-</w:t>
          </w:r>
          <w:r w:rsidR="00586DB2">
            <w:t>FNC-SOP-001</w:t>
          </w:r>
        </w:p>
      </w:tc>
      <w:tc>
        <w:tcPr>
          <w:tcW w:w="3401" w:type="dxa"/>
          <w:tcMar>
            <w:top w:w="0" w:type="dxa"/>
            <w:left w:w="57" w:type="dxa"/>
            <w:bottom w:w="0" w:type="dxa"/>
            <w:right w:w="57" w:type="dxa"/>
          </w:tcMar>
          <w:vAlign w:val="center"/>
        </w:tcPr>
        <w:p w14:paraId="4A8048D2" w14:textId="77777777" w:rsidR="00A668FC" w:rsidRPr="001C6EFB" w:rsidRDefault="00A668FC" w:rsidP="00163F57">
          <w:pPr>
            <w:pStyle w:val="Footer"/>
            <w:jc w:val="right"/>
          </w:pPr>
          <w:r w:rsidRPr="001C6EFB">
            <w:t>Print Date:</w:t>
          </w:r>
        </w:p>
      </w:tc>
      <w:tc>
        <w:tcPr>
          <w:tcW w:w="1112" w:type="dxa"/>
          <w:tcMar>
            <w:top w:w="0" w:type="dxa"/>
            <w:left w:w="57" w:type="dxa"/>
            <w:bottom w:w="0" w:type="dxa"/>
            <w:right w:w="57" w:type="dxa"/>
          </w:tcMar>
          <w:vAlign w:val="center"/>
        </w:tcPr>
        <w:p w14:paraId="36767E06" w14:textId="3C003B97" w:rsidR="00A668FC" w:rsidRPr="001C6EFB" w:rsidRDefault="00044A64" w:rsidP="00163F57">
          <w:pPr>
            <w:pStyle w:val="Footer"/>
            <w:jc w:val="right"/>
          </w:pPr>
          <w:r>
            <w:fldChar w:fldCharType="begin"/>
          </w:r>
          <w:r>
            <w:instrText xml:space="preserve"> DATE  \@ "dd-MMM-yyyy"  \* MERGEFORMAT </w:instrText>
          </w:r>
          <w:r>
            <w:fldChar w:fldCharType="separate"/>
          </w:r>
          <w:r w:rsidR="000C31F9">
            <w:rPr>
              <w:noProof/>
            </w:rPr>
            <w:t>16-Dec-2022</w:t>
          </w:r>
          <w:r>
            <w:fldChar w:fldCharType="end"/>
          </w:r>
        </w:p>
      </w:tc>
    </w:tr>
    <w:tr w:rsidR="00A668FC" w:rsidRPr="002D6577" w14:paraId="03481DB5" w14:textId="77777777" w:rsidTr="003A24EB">
      <w:tc>
        <w:tcPr>
          <w:tcW w:w="1441" w:type="dxa"/>
          <w:tcMar>
            <w:top w:w="0" w:type="dxa"/>
            <w:left w:w="57" w:type="dxa"/>
            <w:bottom w:w="0" w:type="dxa"/>
            <w:right w:w="57" w:type="dxa"/>
          </w:tcMar>
          <w:vAlign w:val="center"/>
        </w:tcPr>
        <w:p w14:paraId="3AF15019" w14:textId="77777777" w:rsidR="00A668FC" w:rsidRPr="001C6EFB" w:rsidRDefault="00A668FC" w:rsidP="005D02BC">
          <w:pPr>
            <w:pStyle w:val="Footer"/>
          </w:pPr>
          <w:r w:rsidRPr="001C6EFB">
            <w:t>Version no:</w:t>
          </w:r>
        </w:p>
      </w:tc>
      <w:tc>
        <w:tcPr>
          <w:tcW w:w="3073" w:type="dxa"/>
          <w:tcMar>
            <w:top w:w="0" w:type="dxa"/>
            <w:left w:w="57" w:type="dxa"/>
            <w:bottom w:w="0" w:type="dxa"/>
            <w:right w:w="57" w:type="dxa"/>
          </w:tcMar>
          <w:vAlign w:val="center"/>
        </w:tcPr>
        <w:p w14:paraId="569AB0DD" w14:textId="3D2236B4" w:rsidR="00A668FC" w:rsidRPr="001C6EFB" w:rsidRDefault="00C36EFD" w:rsidP="005D02BC">
          <w:pPr>
            <w:pStyle w:val="Footer"/>
          </w:pPr>
          <w:r>
            <w:t>1.0</w:t>
          </w:r>
          <w:r w:rsidR="006E1940">
            <w:t xml:space="preserve"> (EAv1.0)</w:t>
          </w:r>
        </w:p>
      </w:tc>
      <w:tc>
        <w:tcPr>
          <w:tcW w:w="3401" w:type="dxa"/>
          <w:tcMar>
            <w:top w:w="0" w:type="dxa"/>
            <w:left w:w="57" w:type="dxa"/>
            <w:bottom w:w="0" w:type="dxa"/>
            <w:right w:w="57" w:type="dxa"/>
          </w:tcMar>
          <w:vAlign w:val="center"/>
        </w:tcPr>
        <w:p w14:paraId="077FE9B4" w14:textId="77777777" w:rsidR="00A668FC" w:rsidRPr="001C6EFB" w:rsidRDefault="00A668FC" w:rsidP="00163F57">
          <w:pPr>
            <w:pStyle w:val="Footer"/>
            <w:jc w:val="right"/>
          </w:pPr>
          <w:r w:rsidRPr="001C6EFB">
            <w:t>Page:</w:t>
          </w:r>
        </w:p>
      </w:tc>
      <w:tc>
        <w:tcPr>
          <w:tcW w:w="1112" w:type="dxa"/>
          <w:tcMar>
            <w:top w:w="0" w:type="dxa"/>
            <w:left w:w="57" w:type="dxa"/>
            <w:bottom w:w="0" w:type="dxa"/>
            <w:right w:w="57" w:type="dxa"/>
          </w:tcMar>
          <w:vAlign w:val="center"/>
        </w:tcPr>
        <w:p w14:paraId="51354295" w14:textId="77777777" w:rsidR="00A668FC" w:rsidRPr="001C6EFB" w:rsidRDefault="00A668FC" w:rsidP="0060052C">
          <w:pPr>
            <w:pStyle w:val="Footer"/>
            <w:jc w:val="right"/>
          </w:pPr>
          <w:r w:rsidRPr="001C6EFB">
            <w:t xml:space="preserve"> </w:t>
          </w:r>
          <w:r w:rsidR="0060052C">
            <w:fldChar w:fldCharType="begin"/>
          </w:r>
          <w:r w:rsidR="0060052C">
            <w:instrText xml:space="preserve"> PAGE   \* MERGEFORMAT </w:instrText>
          </w:r>
          <w:r w:rsidR="0060052C">
            <w:fldChar w:fldCharType="separate"/>
          </w:r>
          <w:r w:rsidR="00C36EFD">
            <w:rPr>
              <w:noProof/>
            </w:rPr>
            <w:t>2</w:t>
          </w:r>
          <w:r w:rsidR="0060052C">
            <w:fldChar w:fldCharType="end"/>
          </w:r>
          <w:r w:rsidRPr="001C6EFB">
            <w:t xml:space="preserve"> of </w:t>
          </w:r>
          <w:fldSimple w:instr=" NUMPAGES   \* MERGEFORMAT ">
            <w:r w:rsidR="00C36EFD">
              <w:rPr>
                <w:noProof/>
              </w:rPr>
              <w:t>6</w:t>
            </w:r>
          </w:fldSimple>
        </w:p>
      </w:tc>
    </w:tr>
  </w:tbl>
  <w:p w14:paraId="00A8587D" w14:textId="77777777" w:rsidR="00DD3075" w:rsidRPr="003A24EB" w:rsidRDefault="00DD3075" w:rsidP="003A24E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D870A" w14:textId="77777777" w:rsidR="00DD3075" w:rsidRDefault="00DD30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4EFDD0" w14:textId="77777777" w:rsidR="00230C9E" w:rsidRDefault="00230C9E" w:rsidP="00F46DE6">
      <w:r>
        <w:separator/>
      </w:r>
    </w:p>
    <w:p w14:paraId="386C0302" w14:textId="77777777" w:rsidR="00230C9E" w:rsidRDefault="00230C9E" w:rsidP="00F46DE6"/>
  </w:footnote>
  <w:footnote w:type="continuationSeparator" w:id="0">
    <w:p w14:paraId="2917466C" w14:textId="77777777" w:rsidR="00230C9E" w:rsidRDefault="00230C9E" w:rsidP="00F46DE6">
      <w:r>
        <w:continuationSeparator/>
      </w:r>
    </w:p>
    <w:p w14:paraId="7CF55727" w14:textId="77777777" w:rsidR="00230C9E" w:rsidRDefault="00230C9E" w:rsidP="00F46D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F822B" w14:textId="77777777" w:rsidR="00A91AC7" w:rsidRDefault="00A91AC7" w:rsidP="00A91AC7">
    <w:pPr>
      <w:pStyle w:val="propertystatement"/>
      <w:jc w:val="left"/>
    </w:pPr>
  </w:p>
  <w:tbl>
    <w:tblPr>
      <w:tblStyle w:val="TableGrid"/>
      <w:tblpPr w:leftFromText="180" w:rightFromText="180" w:vertAnchor="text" w:horzAnchor="margin" w:tblpXSpec="right" w:tblpY="-88"/>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ook w:val="04A0" w:firstRow="1" w:lastRow="0" w:firstColumn="1" w:lastColumn="0" w:noHBand="0" w:noVBand="1"/>
      <w:tblCaption w:val="Document Information"/>
      <w:tblDescription w:val="This includes the document code, version number, effective date, print date and page number. "/>
    </w:tblPr>
    <w:tblGrid>
      <w:gridCol w:w="1668"/>
      <w:gridCol w:w="2310"/>
    </w:tblGrid>
    <w:tr w:rsidR="00A91AC7" w14:paraId="1E18A112" w14:textId="77777777" w:rsidTr="005F734C">
      <w:trPr>
        <w:trHeight w:val="278"/>
        <w:tblHeader/>
      </w:trPr>
      <w:tc>
        <w:tcPr>
          <w:tcW w:w="1668" w:type="dxa"/>
          <w:vAlign w:val="center"/>
        </w:tcPr>
        <w:p w14:paraId="3CD1AB60" w14:textId="77777777" w:rsidR="00A91AC7" w:rsidRDefault="00A91AC7" w:rsidP="00A91AC7">
          <w:pPr>
            <w:pStyle w:val="Footer"/>
          </w:pPr>
          <w:r w:rsidRPr="001C6EFB">
            <w:t>Document code:</w:t>
          </w:r>
        </w:p>
      </w:tc>
      <w:tc>
        <w:tcPr>
          <w:tcW w:w="2310" w:type="dxa"/>
          <w:vAlign w:val="center"/>
        </w:tcPr>
        <w:p w14:paraId="52A8502D" w14:textId="77777777" w:rsidR="00A91AC7" w:rsidRDefault="00A91AC7" w:rsidP="00A91AC7">
          <w:pPr>
            <w:pStyle w:val="Footer"/>
            <w:jc w:val="right"/>
          </w:pPr>
          <w:r>
            <w:t>UoB-</w:t>
          </w:r>
          <w:r w:rsidR="00372EE2">
            <w:t>FNC-SOP-001</w:t>
          </w:r>
        </w:p>
      </w:tc>
    </w:tr>
    <w:tr w:rsidR="00A91AC7" w14:paraId="564C4146" w14:textId="77777777" w:rsidTr="005F734C">
      <w:trPr>
        <w:trHeight w:val="278"/>
      </w:trPr>
      <w:tc>
        <w:tcPr>
          <w:tcW w:w="1668" w:type="dxa"/>
          <w:vAlign w:val="center"/>
        </w:tcPr>
        <w:p w14:paraId="31E7F765" w14:textId="77777777" w:rsidR="00A91AC7" w:rsidRDefault="00A91AC7" w:rsidP="00A91AC7">
          <w:pPr>
            <w:pStyle w:val="Footer"/>
          </w:pPr>
          <w:r w:rsidRPr="001C6EFB">
            <w:t>Version no:</w:t>
          </w:r>
        </w:p>
      </w:tc>
      <w:tc>
        <w:tcPr>
          <w:tcW w:w="2310" w:type="dxa"/>
          <w:vAlign w:val="center"/>
        </w:tcPr>
        <w:p w14:paraId="2B0ABEF3" w14:textId="0EDD5060" w:rsidR="00A91AC7" w:rsidRDefault="00C36EFD" w:rsidP="00A91AC7">
          <w:pPr>
            <w:pStyle w:val="Footer"/>
            <w:jc w:val="right"/>
          </w:pPr>
          <w:r>
            <w:t>1.0</w:t>
          </w:r>
          <w:r w:rsidR="00CF71BF">
            <w:t xml:space="preserve"> (EAv1.0)</w:t>
          </w:r>
        </w:p>
      </w:tc>
    </w:tr>
    <w:tr w:rsidR="00A91AC7" w14:paraId="191F2643" w14:textId="77777777" w:rsidTr="005F734C">
      <w:trPr>
        <w:trHeight w:val="278"/>
      </w:trPr>
      <w:tc>
        <w:tcPr>
          <w:tcW w:w="1668" w:type="dxa"/>
          <w:vAlign w:val="center"/>
        </w:tcPr>
        <w:p w14:paraId="467101D5" w14:textId="77777777" w:rsidR="00A91AC7" w:rsidRDefault="00A91AC7" w:rsidP="00A91AC7">
          <w:pPr>
            <w:pStyle w:val="Footer"/>
          </w:pPr>
          <w:r>
            <w:t>Effective date:</w:t>
          </w:r>
        </w:p>
      </w:tc>
      <w:tc>
        <w:tcPr>
          <w:tcW w:w="2310" w:type="dxa"/>
          <w:vAlign w:val="center"/>
        </w:tcPr>
        <w:p w14:paraId="78601554" w14:textId="1E3C5758" w:rsidR="00A91AC7" w:rsidRDefault="00C36EFD" w:rsidP="00A91AC7">
          <w:pPr>
            <w:pStyle w:val="Footer"/>
            <w:jc w:val="right"/>
          </w:pPr>
          <w:r>
            <w:t>20-</w:t>
          </w:r>
          <w:r w:rsidR="000C31F9">
            <w:t>July</w:t>
          </w:r>
          <w:r>
            <w:t>-20</w:t>
          </w:r>
          <w:r w:rsidR="000C31F9">
            <w:t>20</w:t>
          </w:r>
        </w:p>
      </w:tc>
    </w:tr>
    <w:tr w:rsidR="00A91AC7" w14:paraId="2010E6BC" w14:textId="77777777" w:rsidTr="005F734C">
      <w:trPr>
        <w:trHeight w:val="278"/>
      </w:trPr>
      <w:tc>
        <w:tcPr>
          <w:tcW w:w="1668" w:type="dxa"/>
          <w:vAlign w:val="center"/>
        </w:tcPr>
        <w:p w14:paraId="5B0B9DCC" w14:textId="77777777" w:rsidR="00A91AC7" w:rsidRPr="001C6EFB" w:rsidRDefault="00A91AC7" w:rsidP="00A91AC7">
          <w:pPr>
            <w:pStyle w:val="Footer"/>
          </w:pPr>
          <w:r>
            <w:t>Print d</w:t>
          </w:r>
          <w:r w:rsidRPr="001C6EFB">
            <w:t>ate:</w:t>
          </w:r>
        </w:p>
      </w:tc>
      <w:tc>
        <w:tcPr>
          <w:tcW w:w="2310" w:type="dxa"/>
          <w:vAlign w:val="center"/>
        </w:tcPr>
        <w:p w14:paraId="67B1838F" w14:textId="5DBDDC1B" w:rsidR="00A91AC7" w:rsidRDefault="00A91AC7" w:rsidP="00A91AC7">
          <w:pPr>
            <w:pStyle w:val="Footer"/>
            <w:jc w:val="right"/>
          </w:pPr>
          <w:r>
            <w:fldChar w:fldCharType="begin"/>
          </w:r>
          <w:r>
            <w:instrText xml:space="preserve"> DATE  \@ "dd-MMM-yyyy"  \* MERGEFORMAT </w:instrText>
          </w:r>
          <w:r>
            <w:fldChar w:fldCharType="separate"/>
          </w:r>
          <w:r w:rsidR="000C31F9">
            <w:rPr>
              <w:noProof/>
            </w:rPr>
            <w:t>16-Dec-2022</w:t>
          </w:r>
          <w:r>
            <w:fldChar w:fldCharType="end"/>
          </w:r>
        </w:p>
      </w:tc>
    </w:tr>
    <w:tr w:rsidR="00A91AC7" w14:paraId="1AA69B0B" w14:textId="77777777" w:rsidTr="005F734C">
      <w:trPr>
        <w:trHeight w:val="278"/>
      </w:trPr>
      <w:tc>
        <w:tcPr>
          <w:tcW w:w="1668" w:type="dxa"/>
          <w:vAlign w:val="center"/>
        </w:tcPr>
        <w:p w14:paraId="43706F59" w14:textId="77777777" w:rsidR="00A91AC7" w:rsidRPr="001C6EFB" w:rsidRDefault="00A91AC7" w:rsidP="00A91AC7">
          <w:pPr>
            <w:pStyle w:val="Footer"/>
          </w:pPr>
          <w:r w:rsidRPr="001C6EFB">
            <w:t>Page:</w:t>
          </w:r>
        </w:p>
      </w:tc>
      <w:tc>
        <w:tcPr>
          <w:tcW w:w="2310" w:type="dxa"/>
          <w:vAlign w:val="center"/>
        </w:tcPr>
        <w:p w14:paraId="4B6C73E3" w14:textId="77777777" w:rsidR="00A91AC7" w:rsidRDefault="00A91AC7" w:rsidP="00A91AC7">
          <w:pPr>
            <w:pStyle w:val="Footer"/>
            <w:jc w:val="right"/>
          </w:pPr>
          <w:r>
            <w:fldChar w:fldCharType="begin"/>
          </w:r>
          <w:r>
            <w:instrText xml:space="preserve"> PAGE   \* MERGEFORMAT </w:instrText>
          </w:r>
          <w:r>
            <w:fldChar w:fldCharType="separate"/>
          </w:r>
          <w:r w:rsidR="00C36EFD">
            <w:rPr>
              <w:noProof/>
            </w:rPr>
            <w:t>1</w:t>
          </w:r>
          <w:r>
            <w:fldChar w:fldCharType="end"/>
          </w:r>
          <w:r>
            <w:t xml:space="preserve"> of </w:t>
          </w:r>
          <w:fldSimple w:instr=" NUMPAGES   \* MERGEFORMAT ">
            <w:r w:rsidR="00C36EFD">
              <w:rPr>
                <w:noProof/>
              </w:rPr>
              <w:t>6</w:t>
            </w:r>
          </w:fldSimple>
          <w:r w:rsidRPr="001C6EFB">
            <w:t xml:space="preserve"> </w:t>
          </w:r>
        </w:p>
      </w:tc>
    </w:tr>
  </w:tbl>
  <w:p w14:paraId="0496A4BB" w14:textId="5CB98D4F" w:rsidR="00A91AC7" w:rsidRDefault="00C23FFE" w:rsidP="00A91AC7">
    <w:pPr>
      <w:pStyle w:val="Header"/>
      <w:jc w:val="left"/>
    </w:pPr>
    <w:r w:rsidRPr="00F16569">
      <w:rPr>
        <w:lang w:eastAsia="en-GB"/>
      </w:rPr>
      <w:drawing>
        <wp:anchor distT="0" distB="0" distL="114300" distR="114300" simplePos="0" relativeHeight="251659264" behindDoc="0" locked="0" layoutInCell="1" allowOverlap="1" wp14:anchorId="556EE890" wp14:editId="672FD5C4">
          <wp:simplePos x="0" y="0"/>
          <wp:positionH relativeFrom="column">
            <wp:posOffset>-302260</wp:posOffset>
          </wp:positionH>
          <wp:positionV relativeFrom="page">
            <wp:posOffset>1051560</wp:posOffset>
          </wp:positionV>
          <wp:extent cx="2703600" cy="1062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_Marque_Blac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03600" cy="106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9902E" w14:textId="77777777" w:rsidR="00DD3075" w:rsidRDefault="00DD3075" w:rsidP="00163F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13FBA" w14:textId="77777777" w:rsidR="00DD3075" w:rsidRPr="002135BA" w:rsidRDefault="00860FC2">
    <w:pPr>
      <w:pStyle w:val="Header"/>
    </w:pPr>
    <w:r w:rsidRPr="002135BA">
      <w:t>SOP</w:t>
    </w:r>
    <w:r w:rsidR="0060052C">
      <w:t xml:space="preserve">: </w:t>
    </w:r>
    <w:r w:rsidR="00372EE2">
      <w:t>Food and Nutritional Components</w:t>
    </w:r>
  </w:p>
  <w:p w14:paraId="7BB6B0F0" w14:textId="77777777" w:rsidR="007D79E6" w:rsidRPr="001C75D5" w:rsidRDefault="007D79E6">
    <w:pPr>
      <w:rPr>
        <w:noProof/>
        <w:sz w:val="8"/>
        <w:szCs w:val="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0EEAA" w14:textId="77777777" w:rsidR="00DD3075" w:rsidRDefault="00DD3075" w:rsidP="00163F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03BE"/>
    <w:multiLevelType w:val="hybridMultilevel"/>
    <w:tmpl w:val="52C81F4A"/>
    <w:lvl w:ilvl="0" w:tplc="0726BFCC">
      <w:start w:val="1"/>
      <w:numFmt w:val="bullet"/>
      <w:pStyle w:val="bullet1"/>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02114"/>
    <w:multiLevelType w:val="hybridMultilevel"/>
    <w:tmpl w:val="9CF614FC"/>
    <w:lvl w:ilvl="0" w:tplc="6C103476">
      <w:start w:val="1"/>
      <w:numFmt w:val="bullet"/>
      <w:pStyle w:val="Instructions-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24B9B"/>
    <w:multiLevelType w:val="hybridMultilevel"/>
    <w:tmpl w:val="E3AE0E1C"/>
    <w:lvl w:ilvl="0" w:tplc="AD80755C">
      <w:start w:val="1"/>
      <w:numFmt w:val="bullet"/>
      <w:lvlText w:val=""/>
      <w:lvlJc w:val="left"/>
      <w:pPr>
        <w:ind w:left="360" w:hanging="360"/>
      </w:pPr>
      <w:rPr>
        <w:rFonts w:ascii="Wingdings" w:hAnsi="Wingdings" w:hint="default"/>
      </w:rPr>
    </w:lvl>
    <w:lvl w:ilvl="1" w:tplc="9DA081D6">
      <w:start w:val="1"/>
      <w:numFmt w:val="bullet"/>
      <w:lvlText w:val="o"/>
      <w:lvlJc w:val="left"/>
      <w:pPr>
        <w:ind w:left="1080" w:hanging="360"/>
      </w:pPr>
      <w:rPr>
        <w:rFonts w:ascii="Courier New" w:hAnsi="Courier New" w:cs="Courier New" w:hint="default"/>
      </w:rPr>
    </w:lvl>
    <w:lvl w:ilvl="2" w:tplc="C340FC4C">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9CA1AA0"/>
    <w:multiLevelType w:val="hybridMultilevel"/>
    <w:tmpl w:val="37B47F5A"/>
    <w:lvl w:ilvl="0" w:tplc="F73C7BAE">
      <w:start w:val="1"/>
      <w:numFmt w:val="decimal"/>
      <w:lvlText w:val="%1.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5C4824"/>
    <w:multiLevelType w:val="hybridMultilevel"/>
    <w:tmpl w:val="7E86468A"/>
    <w:lvl w:ilvl="0" w:tplc="C98EDA8A">
      <w:start w:val="1"/>
      <w:numFmt w:val="decimal"/>
      <w:pStyle w:val="Numberlist"/>
      <w:lvlText w:val="%1."/>
      <w:lvlJc w:val="left"/>
      <w:pPr>
        <w:ind w:left="360" w:hanging="360"/>
      </w:pPr>
      <w:rPr>
        <w:rFonts w:hint="default"/>
        <w:color w:val="auto"/>
      </w:rPr>
    </w:lvl>
    <w:lvl w:ilvl="1" w:tplc="7554898E">
      <w:start w:val="1"/>
      <w:numFmt w:val="lowerLetter"/>
      <w:lvlText w:val="%2."/>
      <w:lvlJc w:val="left"/>
      <w:pPr>
        <w:tabs>
          <w:tab w:val="num" w:pos="1440"/>
        </w:tabs>
        <w:ind w:left="1440" w:hanging="360"/>
      </w:pPr>
    </w:lvl>
    <w:lvl w:ilvl="2" w:tplc="785E4974" w:tentative="1">
      <w:start w:val="1"/>
      <w:numFmt w:val="lowerRoman"/>
      <w:lvlText w:val="%3."/>
      <w:lvlJc w:val="right"/>
      <w:pPr>
        <w:tabs>
          <w:tab w:val="num" w:pos="2160"/>
        </w:tabs>
        <w:ind w:left="2160" w:hanging="180"/>
      </w:pPr>
    </w:lvl>
    <w:lvl w:ilvl="3" w:tplc="3BBAC876" w:tentative="1">
      <w:start w:val="1"/>
      <w:numFmt w:val="decimal"/>
      <w:lvlText w:val="%4."/>
      <w:lvlJc w:val="left"/>
      <w:pPr>
        <w:tabs>
          <w:tab w:val="num" w:pos="2880"/>
        </w:tabs>
        <w:ind w:left="2880" w:hanging="360"/>
      </w:pPr>
    </w:lvl>
    <w:lvl w:ilvl="4" w:tplc="F6C441AC" w:tentative="1">
      <w:start w:val="1"/>
      <w:numFmt w:val="lowerLetter"/>
      <w:lvlText w:val="%5."/>
      <w:lvlJc w:val="left"/>
      <w:pPr>
        <w:tabs>
          <w:tab w:val="num" w:pos="3600"/>
        </w:tabs>
        <w:ind w:left="3600" w:hanging="360"/>
      </w:pPr>
    </w:lvl>
    <w:lvl w:ilvl="5" w:tplc="B050A130" w:tentative="1">
      <w:start w:val="1"/>
      <w:numFmt w:val="lowerRoman"/>
      <w:lvlText w:val="%6."/>
      <w:lvlJc w:val="right"/>
      <w:pPr>
        <w:tabs>
          <w:tab w:val="num" w:pos="4320"/>
        </w:tabs>
        <w:ind w:left="4320" w:hanging="180"/>
      </w:pPr>
    </w:lvl>
    <w:lvl w:ilvl="6" w:tplc="4CAE014A" w:tentative="1">
      <w:start w:val="1"/>
      <w:numFmt w:val="decimal"/>
      <w:lvlText w:val="%7."/>
      <w:lvlJc w:val="left"/>
      <w:pPr>
        <w:tabs>
          <w:tab w:val="num" w:pos="5040"/>
        </w:tabs>
        <w:ind w:left="5040" w:hanging="360"/>
      </w:pPr>
    </w:lvl>
    <w:lvl w:ilvl="7" w:tplc="E0E67DE8" w:tentative="1">
      <w:start w:val="1"/>
      <w:numFmt w:val="lowerLetter"/>
      <w:lvlText w:val="%8."/>
      <w:lvlJc w:val="left"/>
      <w:pPr>
        <w:tabs>
          <w:tab w:val="num" w:pos="5760"/>
        </w:tabs>
        <w:ind w:left="5760" w:hanging="360"/>
      </w:pPr>
    </w:lvl>
    <w:lvl w:ilvl="8" w:tplc="B53428EA" w:tentative="1">
      <w:start w:val="1"/>
      <w:numFmt w:val="lowerRoman"/>
      <w:lvlText w:val="%9."/>
      <w:lvlJc w:val="right"/>
      <w:pPr>
        <w:tabs>
          <w:tab w:val="num" w:pos="6480"/>
        </w:tabs>
        <w:ind w:left="6480" w:hanging="180"/>
      </w:pPr>
    </w:lvl>
  </w:abstractNum>
  <w:abstractNum w:abstractNumId="5" w15:restartNumberingAfterBreak="0">
    <w:nsid w:val="2D9A217D"/>
    <w:multiLevelType w:val="multilevel"/>
    <w:tmpl w:val="89004E84"/>
    <w:styleLink w:val="Style1"/>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315E1E45"/>
    <w:multiLevelType w:val="multilevel"/>
    <w:tmpl w:val="FF66B4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C443C74"/>
    <w:multiLevelType w:val="hybridMultilevel"/>
    <w:tmpl w:val="784A547C"/>
    <w:lvl w:ilvl="0" w:tplc="A814AD26">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0705812"/>
    <w:multiLevelType w:val="hybridMultilevel"/>
    <w:tmpl w:val="0980AC84"/>
    <w:lvl w:ilvl="0" w:tplc="F2C653CE">
      <w:start w:val="1"/>
      <w:numFmt w:val="decimal"/>
      <w:pStyle w:val="Instructions-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BE549AB"/>
    <w:multiLevelType w:val="hybridMultilevel"/>
    <w:tmpl w:val="F90A8552"/>
    <w:lvl w:ilvl="0" w:tplc="818AEEF4">
      <w:start w:val="1"/>
      <w:numFmt w:val="bullet"/>
      <w:pStyle w:val="bullet3"/>
      <w:lvlText w:val=""/>
      <w:lvlJc w:val="left"/>
      <w:pPr>
        <w:tabs>
          <w:tab w:val="num" w:pos="1021"/>
        </w:tabs>
        <w:ind w:left="1021" w:hanging="341"/>
      </w:pPr>
      <w:rPr>
        <w:rFonts w:ascii="Wingdings" w:hAnsi="Wingdings" w:hint="default"/>
      </w:rPr>
    </w:lvl>
    <w:lvl w:ilvl="1" w:tplc="CFA20C1A" w:tentative="1">
      <w:start w:val="1"/>
      <w:numFmt w:val="lowerLetter"/>
      <w:lvlText w:val="%2."/>
      <w:lvlJc w:val="left"/>
      <w:pPr>
        <w:tabs>
          <w:tab w:val="num" w:pos="1780"/>
        </w:tabs>
        <w:ind w:left="1780" w:hanging="360"/>
      </w:pPr>
    </w:lvl>
    <w:lvl w:ilvl="2" w:tplc="0809001B" w:tentative="1">
      <w:start w:val="1"/>
      <w:numFmt w:val="lowerRoman"/>
      <w:lvlText w:val="%3."/>
      <w:lvlJc w:val="right"/>
      <w:pPr>
        <w:tabs>
          <w:tab w:val="num" w:pos="2500"/>
        </w:tabs>
        <w:ind w:left="2500" w:hanging="180"/>
      </w:pPr>
    </w:lvl>
    <w:lvl w:ilvl="3" w:tplc="0809000F" w:tentative="1">
      <w:start w:val="1"/>
      <w:numFmt w:val="decimal"/>
      <w:lvlText w:val="%4."/>
      <w:lvlJc w:val="left"/>
      <w:pPr>
        <w:tabs>
          <w:tab w:val="num" w:pos="3220"/>
        </w:tabs>
        <w:ind w:left="3220" w:hanging="360"/>
      </w:pPr>
    </w:lvl>
    <w:lvl w:ilvl="4" w:tplc="08090019" w:tentative="1">
      <w:start w:val="1"/>
      <w:numFmt w:val="lowerLetter"/>
      <w:lvlText w:val="%5."/>
      <w:lvlJc w:val="left"/>
      <w:pPr>
        <w:tabs>
          <w:tab w:val="num" w:pos="3940"/>
        </w:tabs>
        <w:ind w:left="3940" w:hanging="360"/>
      </w:pPr>
    </w:lvl>
    <w:lvl w:ilvl="5" w:tplc="0809001B" w:tentative="1">
      <w:start w:val="1"/>
      <w:numFmt w:val="lowerRoman"/>
      <w:lvlText w:val="%6."/>
      <w:lvlJc w:val="right"/>
      <w:pPr>
        <w:tabs>
          <w:tab w:val="num" w:pos="4660"/>
        </w:tabs>
        <w:ind w:left="4660" w:hanging="180"/>
      </w:pPr>
    </w:lvl>
    <w:lvl w:ilvl="6" w:tplc="0809000F" w:tentative="1">
      <w:start w:val="1"/>
      <w:numFmt w:val="decimal"/>
      <w:lvlText w:val="%7."/>
      <w:lvlJc w:val="left"/>
      <w:pPr>
        <w:tabs>
          <w:tab w:val="num" w:pos="5380"/>
        </w:tabs>
        <w:ind w:left="5380" w:hanging="360"/>
      </w:pPr>
    </w:lvl>
    <w:lvl w:ilvl="7" w:tplc="08090019" w:tentative="1">
      <w:start w:val="1"/>
      <w:numFmt w:val="lowerLetter"/>
      <w:lvlText w:val="%8."/>
      <w:lvlJc w:val="left"/>
      <w:pPr>
        <w:tabs>
          <w:tab w:val="num" w:pos="6100"/>
        </w:tabs>
        <w:ind w:left="6100" w:hanging="360"/>
      </w:pPr>
    </w:lvl>
    <w:lvl w:ilvl="8" w:tplc="0809001B" w:tentative="1">
      <w:start w:val="1"/>
      <w:numFmt w:val="lowerRoman"/>
      <w:lvlText w:val="%9."/>
      <w:lvlJc w:val="right"/>
      <w:pPr>
        <w:tabs>
          <w:tab w:val="num" w:pos="6820"/>
        </w:tabs>
        <w:ind w:left="6820" w:hanging="180"/>
      </w:pPr>
    </w:lvl>
  </w:abstractNum>
  <w:abstractNum w:abstractNumId="10" w15:restartNumberingAfterBreak="0">
    <w:nsid w:val="5DAF433B"/>
    <w:multiLevelType w:val="hybridMultilevel"/>
    <w:tmpl w:val="FA7CF612"/>
    <w:lvl w:ilvl="0" w:tplc="08090001">
      <w:numFmt w:val="bullet"/>
      <w:pStyle w:val="ListBullet"/>
      <w:lvlText w:val=""/>
      <w:lvlJc w:val="left"/>
      <w:pPr>
        <w:ind w:left="720" w:hanging="360"/>
      </w:pPr>
      <w:rPr>
        <w:rFonts w:ascii="Symbol" w:eastAsia="Times New Roman" w:hAnsi="Symbol" w:hint="default"/>
      </w:rPr>
    </w:lvl>
    <w:lvl w:ilvl="1" w:tplc="DB9A5D18"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B579D5"/>
    <w:multiLevelType w:val="hybridMultilevel"/>
    <w:tmpl w:val="FBC2FDFC"/>
    <w:lvl w:ilvl="0" w:tplc="295C39BE">
      <w:start w:val="1"/>
      <w:numFmt w:val="bullet"/>
      <w:pStyle w:val="bullet2"/>
      <w:lvlText w:val="o"/>
      <w:lvlJc w:val="left"/>
      <w:pPr>
        <w:ind w:left="720" w:hanging="360"/>
      </w:pPr>
      <w:rPr>
        <w:rFonts w:ascii="Courier New" w:hAnsi="Courier New" w:cs="Courier New" w:hint="default"/>
      </w:rPr>
    </w:lvl>
    <w:lvl w:ilvl="1" w:tplc="3E1C1D58">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814814"/>
    <w:multiLevelType w:val="multilevel"/>
    <w:tmpl w:val="70D4DC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D03340C"/>
    <w:multiLevelType w:val="multilevel"/>
    <w:tmpl w:val="4CEEBA04"/>
    <w:lvl w:ilvl="0">
      <w:start w:val="1"/>
      <w:numFmt w:val="decimal"/>
      <w:lvlText w:val="%1."/>
      <w:lvlJc w:val="left"/>
      <w:pPr>
        <w:ind w:left="360" w:hanging="360"/>
      </w:pPr>
      <w:rPr>
        <w:rFonts w:hint="default"/>
        <w:b/>
        <w:bCs w:val="0"/>
        <w:i w:val="0"/>
        <w:iCs w:val="0"/>
        <w:caps w:val="0"/>
        <w:smallCaps w:val="0"/>
        <w:strike w:val="0"/>
        <w:dstrike w:val="0"/>
        <w:noProof w:val="0"/>
        <w:vanish w:val="0"/>
        <w:color w:val="943634" w:themeColor="accent2" w:themeShade="BF"/>
        <w:spacing w:val="0"/>
        <w:kern w:val="0"/>
        <w:position w:val="0"/>
        <w:sz w:val="24"/>
        <w:u w:val="none"/>
        <w:vertAlign w:val="baseline"/>
        <w:em w:val="none"/>
      </w:rPr>
    </w:lvl>
    <w:lvl w:ilvl="1">
      <w:start w:val="1"/>
      <w:numFmt w:val="decimal"/>
      <w:lvlText w:val="%1.%2"/>
      <w:lvlJc w:val="left"/>
      <w:pPr>
        <w:tabs>
          <w:tab w:val="num" w:pos="567"/>
        </w:tabs>
        <w:ind w:left="567" w:hanging="567"/>
      </w:pPr>
      <w:rPr>
        <w:rFonts w:ascii="Arial" w:hAnsi="Arial" w:hint="default"/>
        <w:b/>
        <w:i w:val="0"/>
        <w:caps w:val="0"/>
        <w:color w:val="0000FF"/>
        <w:sz w:val="22"/>
      </w:rPr>
    </w:lvl>
    <w:lvl w:ilvl="2">
      <w:start w:val="1"/>
      <w:numFmt w:val="decimal"/>
      <w:lvlText w:val="%1.%2.%3"/>
      <w:lvlJc w:val="left"/>
      <w:pPr>
        <w:tabs>
          <w:tab w:val="num" w:pos="680"/>
        </w:tabs>
        <w:ind w:left="680" w:hanging="680"/>
      </w:pPr>
      <w:rPr>
        <w:rFonts w:ascii="Arial" w:hAnsi="Arial" w:hint="default"/>
        <w:b/>
        <w:i w:val="0"/>
        <w:caps w:val="0"/>
        <w:sz w:val="20"/>
      </w:rPr>
    </w:lvl>
    <w:lvl w:ilvl="3">
      <w:start w:val="1"/>
      <w:numFmt w:val="decimal"/>
      <w:lvlText w:val="%1.%2.%3.%4"/>
      <w:lvlJc w:val="left"/>
      <w:pPr>
        <w:tabs>
          <w:tab w:val="num" w:pos="880"/>
        </w:tabs>
        <w:ind w:left="680" w:hanging="680"/>
      </w:pPr>
      <w:rPr>
        <w:rFonts w:ascii="Arial Bold" w:hAnsi="Arial Bold" w:hint="default"/>
        <w:b/>
        <w:i w:val="0"/>
        <w:sz w:val="20"/>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abstractNumId w:val="5"/>
  </w:num>
  <w:num w:numId="2">
    <w:abstractNumId w:val="7"/>
  </w:num>
  <w:num w:numId="3">
    <w:abstractNumId w:val="0"/>
  </w:num>
  <w:num w:numId="4">
    <w:abstractNumId w:val="11"/>
  </w:num>
  <w:num w:numId="5">
    <w:abstractNumId w:val="9"/>
  </w:num>
  <w:num w:numId="6">
    <w:abstractNumId w:val="12"/>
  </w:num>
  <w:num w:numId="7">
    <w:abstractNumId w:val="1"/>
  </w:num>
  <w:num w:numId="8">
    <w:abstractNumId w:val="8"/>
  </w:num>
  <w:num w:numId="9">
    <w:abstractNumId w:val="10"/>
  </w:num>
  <w:num w:numId="10">
    <w:abstractNumId w:val="13"/>
  </w:num>
  <w:num w:numId="11">
    <w:abstractNumId w:val="3"/>
  </w:num>
  <w:num w:numId="12">
    <w:abstractNumId w:val="4"/>
  </w:num>
  <w:num w:numId="13">
    <w:abstractNumId w:val="2"/>
  </w:num>
  <w:num w:numId="14">
    <w:abstractNumId w:val="6"/>
  </w:num>
  <w:num w:numId="15">
    <w:abstractNumId w:val="4"/>
  </w:num>
  <w:num w:numId="16">
    <w:abstractNumId w:val="4"/>
  </w:num>
  <w:num w:numId="17">
    <w:abstractNumId w:val="0"/>
  </w:num>
  <w:num w:numId="18">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C9E"/>
    <w:rsid w:val="00001923"/>
    <w:rsid w:val="00001A7E"/>
    <w:rsid w:val="000060AE"/>
    <w:rsid w:val="0001086D"/>
    <w:rsid w:val="00012800"/>
    <w:rsid w:val="00013B08"/>
    <w:rsid w:val="000146F1"/>
    <w:rsid w:val="000229C5"/>
    <w:rsid w:val="00023BC0"/>
    <w:rsid w:val="00027755"/>
    <w:rsid w:val="000374CB"/>
    <w:rsid w:val="000379D7"/>
    <w:rsid w:val="000421FD"/>
    <w:rsid w:val="00043513"/>
    <w:rsid w:val="00044A64"/>
    <w:rsid w:val="00053A54"/>
    <w:rsid w:val="0005610D"/>
    <w:rsid w:val="00056940"/>
    <w:rsid w:val="000639EF"/>
    <w:rsid w:val="00064262"/>
    <w:rsid w:val="00064F56"/>
    <w:rsid w:val="00072AD5"/>
    <w:rsid w:val="00072F51"/>
    <w:rsid w:val="0007480B"/>
    <w:rsid w:val="00075A9D"/>
    <w:rsid w:val="00077D41"/>
    <w:rsid w:val="00083C9D"/>
    <w:rsid w:val="0009369B"/>
    <w:rsid w:val="00095EFA"/>
    <w:rsid w:val="00097B78"/>
    <w:rsid w:val="000A0DFF"/>
    <w:rsid w:val="000A1324"/>
    <w:rsid w:val="000A1B0F"/>
    <w:rsid w:val="000A7BE6"/>
    <w:rsid w:val="000B1E3E"/>
    <w:rsid w:val="000B442E"/>
    <w:rsid w:val="000C31F9"/>
    <w:rsid w:val="000C3681"/>
    <w:rsid w:val="000C45B6"/>
    <w:rsid w:val="000C5087"/>
    <w:rsid w:val="000C54A1"/>
    <w:rsid w:val="000D34E7"/>
    <w:rsid w:val="000D3D68"/>
    <w:rsid w:val="000D3E8C"/>
    <w:rsid w:val="000D4912"/>
    <w:rsid w:val="000D677A"/>
    <w:rsid w:val="000D70AA"/>
    <w:rsid w:val="000D7D37"/>
    <w:rsid w:val="000F2380"/>
    <w:rsid w:val="000F391A"/>
    <w:rsid w:val="00100541"/>
    <w:rsid w:val="00100D71"/>
    <w:rsid w:val="00101773"/>
    <w:rsid w:val="00101B2B"/>
    <w:rsid w:val="00103FD0"/>
    <w:rsid w:val="00104D42"/>
    <w:rsid w:val="00105091"/>
    <w:rsid w:val="001057FB"/>
    <w:rsid w:val="001064D3"/>
    <w:rsid w:val="00110971"/>
    <w:rsid w:val="00113E78"/>
    <w:rsid w:val="001206F6"/>
    <w:rsid w:val="00121F28"/>
    <w:rsid w:val="00122579"/>
    <w:rsid w:val="00124792"/>
    <w:rsid w:val="00125667"/>
    <w:rsid w:val="00125EFD"/>
    <w:rsid w:val="00127D56"/>
    <w:rsid w:val="001300C8"/>
    <w:rsid w:val="0013051D"/>
    <w:rsid w:val="0013059D"/>
    <w:rsid w:val="00130746"/>
    <w:rsid w:val="00130E43"/>
    <w:rsid w:val="00134690"/>
    <w:rsid w:val="00134766"/>
    <w:rsid w:val="00135E89"/>
    <w:rsid w:val="001445C0"/>
    <w:rsid w:val="001553AA"/>
    <w:rsid w:val="00163B7C"/>
    <w:rsid w:val="00163F57"/>
    <w:rsid w:val="001653F1"/>
    <w:rsid w:val="00165F48"/>
    <w:rsid w:val="00174B60"/>
    <w:rsid w:val="00174E0E"/>
    <w:rsid w:val="001775A9"/>
    <w:rsid w:val="00182896"/>
    <w:rsid w:val="0018309A"/>
    <w:rsid w:val="001841A1"/>
    <w:rsid w:val="00184BB7"/>
    <w:rsid w:val="00190C93"/>
    <w:rsid w:val="00194EE8"/>
    <w:rsid w:val="00195717"/>
    <w:rsid w:val="00196565"/>
    <w:rsid w:val="001A024E"/>
    <w:rsid w:val="001A142E"/>
    <w:rsid w:val="001A26D3"/>
    <w:rsid w:val="001A4718"/>
    <w:rsid w:val="001A544B"/>
    <w:rsid w:val="001A561F"/>
    <w:rsid w:val="001B1E29"/>
    <w:rsid w:val="001B2717"/>
    <w:rsid w:val="001B30AD"/>
    <w:rsid w:val="001B3B91"/>
    <w:rsid w:val="001B412F"/>
    <w:rsid w:val="001B5617"/>
    <w:rsid w:val="001C314A"/>
    <w:rsid w:val="001C6EFB"/>
    <w:rsid w:val="001C75D5"/>
    <w:rsid w:val="001D0B50"/>
    <w:rsid w:val="001D1245"/>
    <w:rsid w:val="001D17A5"/>
    <w:rsid w:val="001D1986"/>
    <w:rsid w:val="001D28AC"/>
    <w:rsid w:val="001D3B22"/>
    <w:rsid w:val="001D449B"/>
    <w:rsid w:val="001D7813"/>
    <w:rsid w:val="001E41A3"/>
    <w:rsid w:val="001F4FC3"/>
    <w:rsid w:val="001F7B4E"/>
    <w:rsid w:val="00202189"/>
    <w:rsid w:val="00202B8D"/>
    <w:rsid w:val="0020434B"/>
    <w:rsid w:val="00206578"/>
    <w:rsid w:val="002106E5"/>
    <w:rsid w:val="00210C1A"/>
    <w:rsid w:val="0021165B"/>
    <w:rsid w:val="00211B96"/>
    <w:rsid w:val="002135BA"/>
    <w:rsid w:val="00214550"/>
    <w:rsid w:val="0022018B"/>
    <w:rsid w:val="00220406"/>
    <w:rsid w:val="002227A2"/>
    <w:rsid w:val="0022356E"/>
    <w:rsid w:val="00230C9E"/>
    <w:rsid w:val="00231612"/>
    <w:rsid w:val="0023483C"/>
    <w:rsid w:val="002365F5"/>
    <w:rsid w:val="002444DB"/>
    <w:rsid w:val="0024558E"/>
    <w:rsid w:val="0024670C"/>
    <w:rsid w:val="00247F23"/>
    <w:rsid w:val="00250233"/>
    <w:rsid w:val="002518EA"/>
    <w:rsid w:val="002549E9"/>
    <w:rsid w:val="00254B93"/>
    <w:rsid w:val="00254C4A"/>
    <w:rsid w:val="0025522A"/>
    <w:rsid w:val="00264399"/>
    <w:rsid w:val="00266CBF"/>
    <w:rsid w:val="00270EA8"/>
    <w:rsid w:val="00275BAE"/>
    <w:rsid w:val="00276048"/>
    <w:rsid w:val="00276842"/>
    <w:rsid w:val="00281585"/>
    <w:rsid w:val="00290F8C"/>
    <w:rsid w:val="002937FE"/>
    <w:rsid w:val="002952B5"/>
    <w:rsid w:val="0029582C"/>
    <w:rsid w:val="002A068A"/>
    <w:rsid w:val="002A27DC"/>
    <w:rsid w:val="002A330A"/>
    <w:rsid w:val="002A38A5"/>
    <w:rsid w:val="002A505C"/>
    <w:rsid w:val="002A57C2"/>
    <w:rsid w:val="002A5FA6"/>
    <w:rsid w:val="002A6563"/>
    <w:rsid w:val="002A68D6"/>
    <w:rsid w:val="002B016B"/>
    <w:rsid w:val="002B10B6"/>
    <w:rsid w:val="002C0E28"/>
    <w:rsid w:val="002C67A4"/>
    <w:rsid w:val="002D49D7"/>
    <w:rsid w:val="002D6577"/>
    <w:rsid w:val="002D6578"/>
    <w:rsid w:val="002E3060"/>
    <w:rsid w:val="002E3BB0"/>
    <w:rsid w:val="002E6AE2"/>
    <w:rsid w:val="002E721B"/>
    <w:rsid w:val="002F0ACA"/>
    <w:rsid w:val="002F281C"/>
    <w:rsid w:val="002F490C"/>
    <w:rsid w:val="002F787E"/>
    <w:rsid w:val="00301050"/>
    <w:rsid w:val="003016D5"/>
    <w:rsid w:val="00304754"/>
    <w:rsid w:val="00310F22"/>
    <w:rsid w:val="00314B72"/>
    <w:rsid w:val="0031673C"/>
    <w:rsid w:val="0032079B"/>
    <w:rsid w:val="0032408C"/>
    <w:rsid w:val="00324A19"/>
    <w:rsid w:val="003313C3"/>
    <w:rsid w:val="00333888"/>
    <w:rsid w:val="00335D05"/>
    <w:rsid w:val="00337B7A"/>
    <w:rsid w:val="00342788"/>
    <w:rsid w:val="00342C1E"/>
    <w:rsid w:val="00342CC7"/>
    <w:rsid w:val="00343541"/>
    <w:rsid w:val="00345620"/>
    <w:rsid w:val="00350A42"/>
    <w:rsid w:val="00352FD6"/>
    <w:rsid w:val="003607CB"/>
    <w:rsid w:val="0036201D"/>
    <w:rsid w:val="00365D77"/>
    <w:rsid w:val="00372EE2"/>
    <w:rsid w:val="0037641D"/>
    <w:rsid w:val="00380579"/>
    <w:rsid w:val="00381B35"/>
    <w:rsid w:val="003854BD"/>
    <w:rsid w:val="003876D0"/>
    <w:rsid w:val="00387EFA"/>
    <w:rsid w:val="00391A7C"/>
    <w:rsid w:val="00393C4E"/>
    <w:rsid w:val="00395F1E"/>
    <w:rsid w:val="003A1879"/>
    <w:rsid w:val="003A2150"/>
    <w:rsid w:val="003A24EB"/>
    <w:rsid w:val="003A2A2C"/>
    <w:rsid w:val="003A4D84"/>
    <w:rsid w:val="003A5879"/>
    <w:rsid w:val="003A70FF"/>
    <w:rsid w:val="003B0005"/>
    <w:rsid w:val="003B15C9"/>
    <w:rsid w:val="003B1F55"/>
    <w:rsid w:val="003B2DA7"/>
    <w:rsid w:val="003B34FB"/>
    <w:rsid w:val="003B56C0"/>
    <w:rsid w:val="003C04AD"/>
    <w:rsid w:val="003C35EE"/>
    <w:rsid w:val="003C720C"/>
    <w:rsid w:val="003D25C9"/>
    <w:rsid w:val="003D42E3"/>
    <w:rsid w:val="003D4BD6"/>
    <w:rsid w:val="003D51DC"/>
    <w:rsid w:val="003D7997"/>
    <w:rsid w:val="003E073D"/>
    <w:rsid w:val="003F0145"/>
    <w:rsid w:val="003F2345"/>
    <w:rsid w:val="003F4E5F"/>
    <w:rsid w:val="003F608D"/>
    <w:rsid w:val="003F64A9"/>
    <w:rsid w:val="003F7147"/>
    <w:rsid w:val="003F7AD7"/>
    <w:rsid w:val="00401840"/>
    <w:rsid w:val="00403449"/>
    <w:rsid w:val="00404742"/>
    <w:rsid w:val="0040651B"/>
    <w:rsid w:val="004076CC"/>
    <w:rsid w:val="0041265B"/>
    <w:rsid w:val="00414858"/>
    <w:rsid w:val="00416B7E"/>
    <w:rsid w:val="00417854"/>
    <w:rsid w:val="00420EB6"/>
    <w:rsid w:val="00422A7E"/>
    <w:rsid w:val="004233AD"/>
    <w:rsid w:val="0042380D"/>
    <w:rsid w:val="00423E00"/>
    <w:rsid w:val="004243C4"/>
    <w:rsid w:val="00424C48"/>
    <w:rsid w:val="00424D85"/>
    <w:rsid w:val="00431633"/>
    <w:rsid w:val="00432B85"/>
    <w:rsid w:val="00433584"/>
    <w:rsid w:val="004342B5"/>
    <w:rsid w:val="00435EAE"/>
    <w:rsid w:val="00441DE6"/>
    <w:rsid w:val="00445DD9"/>
    <w:rsid w:val="00454205"/>
    <w:rsid w:val="00462B5B"/>
    <w:rsid w:val="00467F74"/>
    <w:rsid w:val="00474B7F"/>
    <w:rsid w:val="00475745"/>
    <w:rsid w:val="00476DB0"/>
    <w:rsid w:val="004773E0"/>
    <w:rsid w:val="004810D9"/>
    <w:rsid w:val="0048194C"/>
    <w:rsid w:val="0048279C"/>
    <w:rsid w:val="00485E6A"/>
    <w:rsid w:val="0048641A"/>
    <w:rsid w:val="00497A4C"/>
    <w:rsid w:val="00497E87"/>
    <w:rsid w:val="004A364B"/>
    <w:rsid w:val="004A4882"/>
    <w:rsid w:val="004A75B7"/>
    <w:rsid w:val="004B03A3"/>
    <w:rsid w:val="004B0C68"/>
    <w:rsid w:val="004B0C77"/>
    <w:rsid w:val="004B3DB9"/>
    <w:rsid w:val="004B7034"/>
    <w:rsid w:val="004C2253"/>
    <w:rsid w:val="004C366B"/>
    <w:rsid w:val="004C46FF"/>
    <w:rsid w:val="004C526D"/>
    <w:rsid w:val="004C560A"/>
    <w:rsid w:val="004C5E89"/>
    <w:rsid w:val="004C6631"/>
    <w:rsid w:val="004D05BE"/>
    <w:rsid w:val="004D1948"/>
    <w:rsid w:val="004E21EE"/>
    <w:rsid w:val="004E4D87"/>
    <w:rsid w:val="004E5613"/>
    <w:rsid w:val="004E5F84"/>
    <w:rsid w:val="004E7EB2"/>
    <w:rsid w:val="004F28BC"/>
    <w:rsid w:val="00500409"/>
    <w:rsid w:val="005024F4"/>
    <w:rsid w:val="00502A82"/>
    <w:rsid w:val="005030FC"/>
    <w:rsid w:val="00512BE1"/>
    <w:rsid w:val="00512C56"/>
    <w:rsid w:val="00513DB5"/>
    <w:rsid w:val="005142C2"/>
    <w:rsid w:val="00515F0F"/>
    <w:rsid w:val="00516200"/>
    <w:rsid w:val="005223BE"/>
    <w:rsid w:val="00522ABB"/>
    <w:rsid w:val="00525CA4"/>
    <w:rsid w:val="00526C91"/>
    <w:rsid w:val="00527E78"/>
    <w:rsid w:val="005343E6"/>
    <w:rsid w:val="005354C1"/>
    <w:rsid w:val="0053623B"/>
    <w:rsid w:val="00543C1B"/>
    <w:rsid w:val="0055153E"/>
    <w:rsid w:val="00556B76"/>
    <w:rsid w:val="005636D5"/>
    <w:rsid w:val="005663EA"/>
    <w:rsid w:val="005708FE"/>
    <w:rsid w:val="00571788"/>
    <w:rsid w:val="00571A9B"/>
    <w:rsid w:val="0058476F"/>
    <w:rsid w:val="00584775"/>
    <w:rsid w:val="00586C5E"/>
    <w:rsid w:val="00586DB2"/>
    <w:rsid w:val="00587557"/>
    <w:rsid w:val="00592FFB"/>
    <w:rsid w:val="005948ED"/>
    <w:rsid w:val="005951E3"/>
    <w:rsid w:val="0059568E"/>
    <w:rsid w:val="005A1486"/>
    <w:rsid w:val="005A1CF3"/>
    <w:rsid w:val="005A6461"/>
    <w:rsid w:val="005B2B90"/>
    <w:rsid w:val="005B5AA9"/>
    <w:rsid w:val="005B7766"/>
    <w:rsid w:val="005C38BD"/>
    <w:rsid w:val="005C7A45"/>
    <w:rsid w:val="005D085D"/>
    <w:rsid w:val="005D17F6"/>
    <w:rsid w:val="005D321A"/>
    <w:rsid w:val="005D40D9"/>
    <w:rsid w:val="005E1F7C"/>
    <w:rsid w:val="005E236C"/>
    <w:rsid w:val="005F0420"/>
    <w:rsid w:val="005F175F"/>
    <w:rsid w:val="005F1AD8"/>
    <w:rsid w:val="00600106"/>
    <w:rsid w:val="0060052C"/>
    <w:rsid w:val="006031E9"/>
    <w:rsid w:val="0060493A"/>
    <w:rsid w:val="00605E24"/>
    <w:rsid w:val="006107CC"/>
    <w:rsid w:val="006119AC"/>
    <w:rsid w:val="00613A01"/>
    <w:rsid w:val="006147A9"/>
    <w:rsid w:val="006176B2"/>
    <w:rsid w:val="00624B79"/>
    <w:rsid w:val="00630316"/>
    <w:rsid w:val="0063129B"/>
    <w:rsid w:val="00636907"/>
    <w:rsid w:val="00636BD2"/>
    <w:rsid w:val="006372C5"/>
    <w:rsid w:val="00640296"/>
    <w:rsid w:val="0064360D"/>
    <w:rsid w:val="006452BA"/>
    <w:rsid w:val="00653B3D"/>
    <w:rsid w:val="00654502"/>
    <w:rsid w:val="006561C0"/>
    <w:rsid w:val="00657D72"/>
    <w:rsid w:val="00660DC2"/>
    <w:rsid w:val="00664185"/>
    <w:rsid w:val="0066505A"/>
    <w:rsid w:val="00667FF6"/>
    <w:rsid w:val="00670599"/>
    <w:rsid w:val="0067375A"/>
    <w:rsid w:val="00684803"/>
    <w:rsid w:val="00684DA0"/>
    <w:rsid w:val="00690BFE"/>
    <w:rsid w:val="00692ACD"/>
    <w:rsid w:val="00692DFA"/>
    <w:rsid w:val="006941D1"/>
    <w:rsid w:val="00696301"/>
    <w:rsid w:val="00696B18"/>
    <w:rsid w:val="006A057F"/>
    <w:rsid w:val="006A4894"/>
    <w:rsid w:val="006A52C2"/>
    <w:rsid w:val="006A5B18"/>
    <w:rsid w:val="006B0E53"/>
    <w:rsid w:val="006B270C"/>
    <w:rsid w:val="006B351B"/>
    <w:rsid w:val="006B66EE"/>
    <w:rsid w:val="006C0879"/>
    <w:rsid w:val="006E1940"/>
    <w:rsid w:val="006E32A4"/>
    <w:rsid w:val="006E39DA"/>
    <w:rsid w:val="006E57D8"/>
    <w:rsid w:val="006F30B1"/>
    <w:rsid w:val="006F6EFF"/>
    <w:rsid w:val="007029A2"/>
    <w:rsid w:val="00704E9B"/>
    <w:rsid w:val="00705FD1"/>
    <w:rsid w:val="007064B3"/>
    <w:rsid w:val="00712A28"/>
    <w:rsid w:val="00714ABF"/>
    <w:rsid w:val="00715858"/>
    <w:rsid w:val="007227AF"/>
    <w:rsid w:val="0072425C"/>
    <w:rsid w:val="007265FC"/>
    <w:rsid w:val="00726D2D"/>
    <w:rsid w:val="0072728E"/>
    <w:rsid w:val="00727E41"/>
    <w:rsid w:val="00731E89"/>
    <w:rsid w:val="007327DD"/>
    <w:rsid w:val="00734CF6"/>
    <w:rsid w:val="007363E6"/>
    <w:rsid w:val="00736F73"/>
    <w:rsid w:val="0074146D"/>
    <w:rsid w:val="007427DD"/>
    <w:rsid w:val="00743FCE"/>
    <w:rsid w:val="00745292"/>
    <w:rsid w:val="00745CB4"/>
    <w:rsid w:val="00746BB7"/>
    <w:rsid w:val="00752E2A"/>
    <w:rsid w:val="00754D1F"/>
    <w:rsid w:val="00757628"/>
    <w:rsid w:val="007602C8"/>
    <w:rsid w:val="00760E2A"/>
    <w:rsid w:val="00761F87"/>
    <w:rsid w:val="007642D1"/>
    <w:rsid w:val="007655EC"/>
    <w:rsid w:val="00765A24"/>
    <w:rsid w:val="007668D7"/>
    <w:rsid w:val="00766C73"/>
    <w:rsid w:val="007764EB"/>
    <w:rsid w:val="00780DA8"/>
    <w:rsid w:val="00790CBC"/>
    <w:rsid w:val="00791AC8"/>
    <w:rsid w:val="0079417E"/>
    <w:rsid w:val="00794AB7"/>
    <w:rsid w:val="007A44B0"/>
    <w:rsid w:val="007A6E56"/>
    <w:rsid w:val="007B2EC7"/>
    <w:rsid w:val="007B2EFE"/>
    <w:rsid w:val="007B4836"/>
    <w:rsid w:val="007B53E5"/>
    <w:rsid w:val="007B5831"/>
    <w:rsid w:val="007B58A5"/>
    <w:rsid w:val="007B6DB7"/>
    <w:rsid w:val="007B72E2"/>
    <w:rsid w:val="007C10CF"/>
    <w:rsid w:val="007C2BD5"/>
    <w:rsid w:val="007C5977"/>
    <w:rsid w:val="007C5C93"/>
    <w:rsid w:val="007D3863"/>
    <w:rsid w:val="007D68C1"/>
    <w:rsid w:val="007D79E6"/>
    <w:rsid w:val="007F62D4"/>
    <w:rsid w:val="007F73CA"/>
    <w:rsid w:val="008016C1"/>
    <w:rsid w:val="0080244D"/>
    <w:rsid w:val="00802A77"/>
    <w:rsid w:val="008036AB"/>
    <w:rsid w:val="0080371D"/>
    <w:rsid w:val="00803F0F"/>
    <w:rsid w:val="008044C3"/>
    <w:rsid w:val="00804525"/>
    <w:rsid w:val="00804622"/>
    <w:rsid w:val="008076E5"/>
    <w:rsid w:val="00811195"/>
    <w:rsid w:val="008125A6"/>
    <w:rsid w:val="008129C1"/>
    <w:rsid w:val="00814346"/>
    <w:rsid w:val="00814EC7"/>
    <w:rsid w:val="00815021"/>
    <w:rsid w:val="0081603F"/>
    <w:rsid w:val="0081675C"/>
    <w:rsid w:val="00817FDE"/>
    <w:rsid w:val="008235B1"/>
    <w:rsid w:val="0082795A"/>
    <w:rsid w:val="0083169E"/>
    <w:rsid w:val="00832412"/>
    <w:rsid w:val="00834888"/>
    <w:rsid w:val="00840893"/>
    <w:rsid w:val="008424AF"/>
    <w:rsid w:val="008435F5"/>
    <w:rsid w:val="00851971"/>
    <w:rsid w:val="00852323"/>
    <w:rsid w:val="00860FC1"/>
    <w:rsid w:val="00860FC2"/>
    <w:rsid w:val="00862C8C"/>
    <w:rsid w:val="00864335"/>
    <w:rsid w:val="008647F2"/>
    <w:rsid w:val="00870BB2"/>
    <w:rsid w:val="008715F3"/>
    <w:rsid w:val="00875EAE"/>
    <w:rsid w:val="008766D7"/>
    <w:rsid w:val="008823B6"/>
    <w:rsid w:val="00886A0B"/>
    <w:rsid w:val="00893B82"/>
    <w:rsid w:val="00893CC2"/>
    <w:rsid w:val="008A0005"/>
    <w:rsid w:val="008A053A"/>
    <w:rsid w:val="008A41DE"/>
    <w:rsid w:val="008A5826"/>
    <w:rsid w:val="008A682E"/>
    <w:rsid w:val="008A7373"/>
    <w:rsid w:val="008B1C2E"/>
    <w:rsid w:val="008B4B57"/>
    <w:rsid w:val="008B5A32"/>
    <w:rsid w:val="008B6B2A"/>
    <w:rsid w:val="008C0049"/>
    <w:rsid w:val="008C2F7E"/>
    <w:rsid w:val="008C75C7"/>
    <w:rsid w:val="008C7BEB"/>
    <w:rsid w:val="008D31AF"/>
    <w:rsid w:val="008D54DF"/>
    <w:rsid w:val="008D6C84"/>
    <w:rsid w:val="008E2669"/>
    <w:rsid w:val="008E30FD"/>
    <w:rsid w:val="008E4568"/>
    <w:rsid w:val="008E466A"/>
    <w:rsid w:val="008E601E"/>
    <w:rsid w:val="008E79D2"/>
    <w:rsid w:val="008F0D57"/>
    <w:rsid w:val="008F3DCA"/>
    <w:rsid w:val="008F40D0"/>
    <w:rsid w:val="008F5FE0"/>
    <w:rsid w:val="008F795D"/>
    <w:rsid w:val="00902F90"/>
    <w:rsid w:val="00907B94"/>
    <w:rsid w:val="00913142"/>
    <w:rsid w:val="0091437E"/>
    <w:rsid w:val="00914FF9"/>
    <w:rsid w:val="009161CB"/>
    <w:rsid w:val="0091627A"/>
    <w:rsid w:val="009212E1"/>
    <w:rsid w:val="009218BC"/>
    <w:rsid w:val="00924799"/>
    <w:rsid w:val="00935ADD"/>
    <w:rsid w:val="00937647"/>
    <w:rsid w:val="00937A31"/>
    <w:rsid w:val="0094272E"/>
    <w:rsid w:val="0094547A"/>
    <w:rsid w:val="0094639E"/>
    <w:rsid w:val="00946465"/>
    <w:rsid w:val="00955EE1"/>
    <w:rsid w:val="009576BD"/>
    <w:rsid w:val="00961343"/>
    <w:rsid w:val="00962995"/>
    <w:rsid w:val="009665CF"/>
    <w:rsid w:val="00971826"/>
    <w:rsid w:val="009719C3"/>
    <w:rsid w:val="00971F1C"/>
    <w:rsid w:val="009725E3"/>
    <w:rsid w:val="00975188"/>
    <w:rsid w:val="00982575"/>
    <w:rsid w:val="00983431"/>
    <w:rsid w:val="00984F87"/>
    <w:rsid w:val="0099679E"/>
    <w:rsid w:val="009A2040"/>
    <w:rsid w:val="009A221B"/>
    <w:rsid w:val="009A3446"/>
    <w:rsid w:val="009B26BA"/>
    <w:rsid w:val="009C2C63"/>
    <w:rsid w:val="009C4257"/>
    <w:rsid w:val="009C52B9"/>
    <w:rsid w:val="009C5723"/>
    <w:rsid w:val="009D0F66"/>
    <w:rsid w:val="009D2891"/>
    <w:rsid w:val="009D6F1F"/>
    <w:rsid w:val="009D75A9"/>
    <w:rsid w:val="009E08FF"/>
    <w:rsid w:val="009E11DD"/>
    <w:rsid w:val="009E44AF"/>
    <w:rsid w:val="009E45A3"/>
    <w:rsid w:val="009F0638"/>
    <w:rsid w:val="009F1369"/>
    <w:rsid w:val="009F2F77"/>
    <w:rsid w:val="009F4AC7"/>
    <w:rsid w:val="009F627E"/>
    <w:rsid w:val="00A00156"/>
    <w:rsid w:val="00A00BE8"/>
    <w:rsid w:val="00A01C93"/>
    <w:rsid w:val="00A0271E"/>
    <w:rsid w:val="00A06B2E"/>
    <w:rsid w:val="00A11FDD"/>
    <w:rsid w:val="00A123E1"/>
    <w:rsid w:val="00A13CB0"/>
    <w:rsid w:val="00A140D5"/>
    <w:rsid w:val="00A21EF3"/>
    <w:rsid w:val="00A264AD"/>
    <w:rsid w:val="00A306A4"/>
    <w:rsid w:val="00A308A4"/>
    <w:rsid w:val="00A3465C"/>
    <w:rsid w:val="00A3579A"/>
    <w:rsid w:val="00A35E4F"/>
    <w:rsid w:val="00A46AE5"/>
    <w:rsid w:val="00A5240E"/>
    <w:rsid w:val="00A5391E"/>
    <w:rsid w:val="00A55A06"/>
    <w:rsid w:val="00A5670C"/>
    <w:rsid w:val="00A57390"/>
    <w:rsid w:val="00A6082D"/>
    <w:rsid w:val="00A6339F"/>
    <w:rsid w:val="00A64B4F"/>
    <w:rsid w:val="00A66148"/>
    <w:rsid w:val="00A668FC"/>
    <w:rsid w:val="00A74DB6"/>
    <w:rsid w:val="00A74E71"/>
    <w:rsid w:val="00A7704C"/>
    <w:rsid w:val="00A80207"/>
    <w:rsid w:val="00A822DC"/>
    <w:rsid w:val="00A84701"/>
    <w:rsid w:val="00A91AC7"/>
    <w:rsid w:val="00A93988"/>
    <w:rsid w:val="00A9456D"/>
    <w:rsid w:val="00A95C65"/>
    <w:rsid w:val="00AA1665"/>
    <w:rsid w:val="00AA3234"/>
    <w:rsid w:val="00AA6011"/>
    <w:rsid w:val="00AA74BA"/>
    <w:rsid w:val="00AB191E"/>
    <w:rsid w:val="00AB2EAD"/>
    <w:rsid w:val="00AB566D"/>
    <w:rsid w:val="00AB704E"/>
    <w:rsid w:val="00AC0978"/>
    <w:rsid w:val="00AC215A"/>
    <w:rsid w:val="00AC5EAA"/>
    <w:rsid w:val="00AC7BE0"/>
    <w:rsid w:val="00AD13D7"/>
    <w:rsid w:val="00AD4665"/>
    <w:rsid w:val="00AD57CC"/>
    <w:rsid w:val="00AD6081"/>
    <w:rsid w:val="00AD65E0"/>
    <w:rsid w:val="00AE0AC8"/>
    <w:rsid w:val="00AE2516"/>
    <w:rsid w:val="00AE5591"/>
    <w:rsid w:val="00AE5780"/>
    <w:rsid w:val="00AE6309"/>
    <w:rsid w:val="00AE744B"/>
    <w:rsid w:val="00AF0C85"/>
    <w:rsid w:val="00AF10D0"/>
    <w:rsid w:val="00AF7CD2"/>
    <w:rsid w:val="00B00B30"/>
    <w:rsid w:val="00B07452"/>
    <w:rsid w:val="00B1052F"/>
    <w:rsid w:val="00B10C05"/>
    <w:rsid w:val="00B134F0"/>
    <w:rsid w:val="00B13B5E"/>
    <w:rsid w:val="00B14826"/>
    <w:rsid w:val="00B16E7D"/>
    <w:rsid w:val="00B22AD7"/>
    <w:rsid w:val="00B27204"/>
    <w:rsid w:val="00B35770"/>
    <w:rsid w:val="00B3606D"/>
    <w:rsid w:val="00B40C5F"/>
    <w:rsid w:val="00B452AE"/>
    <w:rsid w:val="00B53A1C"/>
    <w:rsid w:val="00B53C9D"/>
    <w:rsid w:val="00B55F4C"/>
    <w:rsid w:val="00B6064B"/>
    <w:rsid w:val="00B6322E"/>
    <w:rsid w:val="00B63F21"/>
    <w:rsid w:val="00B72E42"/>
    <w:rsid w:val="00B747FB"/>
    <w:rsid w:val="00B7682F"/>
    <w:rsid w:val="00B76ACC"/>
    <w:rsid w:val="00B7758F"/>
    <w:rsid w:val="00B77B48"/>
    <w:rsid w:val="00B80F8D"/>
    <w:rsid w:val="00B84799"/>
    <w:rsid w:val="00B86A0E"/>
    <w:rsid w:val="00B92012"/>
    <w:rsid w:val="00B928F6"/>
    <w:rsid w:val="00B937B6"/>
    <w:rsid w:val="00B940A8"/>
    <w:rsid w:val="00B952E8"/>
    <w:rsid w:val="00B967BD"/>
    <w:rsid w:val="00B968D3"/>
    <w:rsid w:val="00B9696A"/>
    <w:rsid w:val="00BA59CF"/>
    <w:rsid w:val="00BB16B3"/>
    <w:rsid w:val="00BB27E5"/>
    <w:rsid w:val="00BB2AF0"/>
    <w:rsid w:val="00BB30D5"/>
    <w:rsid w:val="00BB64A3"/>
    <w:rsid w:val="00BB6ABD"/>
    <w:rsid w:val="00BD1740"/>
    <w:rsid w:val="00BD3F7D"/>
    <w:rsid w:val="00BD4DD3"/>
    <w:rsid w:val="00BE1BAC"/>
    <w:rsid w:val="00BE1DB1"/>
    <w:rsid w:val="00BE5AE5"/>
    <w:rsid w:val="00BF4265"/>
    <w:rsid w:val="00BF6B08"/>
    <w:rsid w:val="00BF6D4D"/>
    <w:rsid w:val="00C02B76"/>
    <w:rsid w:val="00C036D8"/>
    <w:rsid w:val="00C0382A"/>
    <w:rsid w:val="00C0396F"/>
    <w:rsid w:val="00C04D64"/>
    <w:rsid w:val="00C10BC9"/>
    <w:rsid w:val="00C11049"/>
    <w:rsid w:val="00C126C0"/>
    <w:rsid w:val="00C16E6D"/>
    <w:rsid w:val="00C20F6B"/>
    <w:rsid w:val="00C23FFE"/>
    <w:rsid w:val="00C24712"/>
    <w:rsid w:val="00C30124"/>
    <w:rsid w:val="00C31D63"/>
    <w:rsid w:val="00C34052"/>
    <w:rsid w:val="00C34A3B"/>
    <w:rsid w:val="00C34C37"/>
    <w:rsid w:val="00C34E3D"/>
    <w:rsid w:val="00C3647F"/>
    <w:rsid w:val="00C36AE0"/>
    <w:rsid w:val="00C36EFD"/>
    <w:rsid w:val="00C40F55"/>
    <w:rsid w:val="00C435CC"/>
    <w:rsid w:val="00C43BEC"/>
    <w:rsid w:val="00C4454A"/>
    <w:rsid w:val="00C44E7C"/>
    <w:rsid w:val="00C45C15"/>
    <w:rsid w:val="00C51ECE"/>
    <w:rsid w:val="00C534D8"/>
    <w:rsid w:val="00C5401C"/>
    <w:rsid w:val="00C55413"/>
    <w:rsid w:val="00C56ADA"/>
    <w:rsid w:val="00C56C83"/>
    <w:rsid w:val="00C65C41"/>
    <w:rsid w:val="00C67B31"/>
    <w:rsid w:val="00C75D9A"/>
    <w:rsid w:val="00C81ADC"/>
    <w:rsid w:val="00C8467F"/>
    <w:rsid w:val="00C84EEF"/>
    <w:rsid w:val="00C862EE"/>
    <w:rsid w:val="00C87A3B"/>
    <w:rsid w:val="00C91CEB"/>
    <w:rsid w:val="00C93BBD"/>
    <w:rsid w:val="00C942FE"/>
    <w:rsid w:val="00CA03CB"/>
    <w:rsid w:val="00CA098E"/>
    <w:rsid w:val="00CA2C1A"/>
    <w:rsid w:val="00CA7404"/>
    <w:rsid w:val="00CB07E8"/>
    <w:rsid w:val="00CB45BA"/>
    <w:rsid w:val="00CC0682"/>
    <w:rsid w:val="00CC2B7A"/>
    <w:rsid w:val="00CC478A"/>
    <w:rsid w:val="00CC61A6"/>
    <w:rsid w:val="00CC6C2A"/>
    <w:rsid w:val="00CD1532"/>
    <w:rsid w:val="00CD2F93"/>
    <w:rsid w:val="00CD3E66"/>
    <w:rsid w:val="00CD5B93"/>
    <w:rsid w:val="00CE116E"/>
    <w:rsid w:val="00CE2541"/>
    <w:rsid w:val="00CE7D01"/>
    <w:rsid w:val="00CF124E"/>
    <w:rsid w:val="00CF2072"/>
    <w:rsid w:val="00CF2082"/>
    <w:rsid w:val="00CF71BF"/>
    <w:rsid w:val="00D00C72"/>
    <w:rsid w:val="00D017DD"/>
    <w:rsid w:val="00D01F82"/>
    <w:rsid w:val="00D0237D"/>
    <w:rsid w:val="00D04619"/>
    <w:rsid w:val="00D05063"/>
    <w:rsid w:val="00D05DA4"/>
    <w:rsid w:val="00D07256"/>
    <w:rsid w:val="00D07D11"/>
    <w:rsid w:val="00D17200"/>
    <w:rsid w:val="00D17544"/>
    <w:rsid w:val="00D23782"/>
    <w:rsid w:val="00D26749"/>
    <w:rsid w:val="00D270BD"/>
    <w:rsid w:val="00D27D10"/>
    <w:rsid w:val="00D30131"/>
    <w:rsid w:val="00D31164"/>
    <w:rsid w:val="00D31668"/>
    <w:rsid w:val="00D33108"/>
    <w:rsid w:val="00D33C0E"/>
    <w:rsid w:val="00D33E53"/>
    <w:rsid w:val="00D41A7F"/>
    <w:rsid w:val="00D41CE6"/>
    <w:rsid w:val="00D47970"/>
    <w:rsid w:val="00D53B40"/>
    <w:rsid w:val="00D608A3"/>
    <w:rsid w:val="00D61A38"/>
    <w:rsid w:val="00D63317"/>
    <w:rsid w:val="00D63BBD"/>
    <w:rsid w:val="00D65096"/>
    <w:rsid w:val="00D67824"/>
    <w:rsid w:val="00D72805"/>
    <w:rsid w:val="00D7713D"/>
    <w:rsid w:val="00D82CCF"/>
    <w:rsid w:val="00D85404"/>
    <w:rsid w:val="00D914F3"/>
    <w:rsid w:val="00D930D4"/>
    <w:rsid w:val="00DA19A3"/>
    <w:rsid w:val="00DA31DC"/>
    <w:rsid w:val="00DA4D76"/>
    <w:rsid w:val="00DA54AF"/>
    <w:rsid w:val="00DA781F"/>
    <w:rsid w:val="00DB4A98"/>
    <w:rsid w:val="00DB5FB3"/>
    <w:rsid w:val="00DC0548"/>
    <w:rsid w:val="00DC0D2B"/>
    <w:rsid w:val="00DC30B1"/>
    <w:rsid w:val="00DC435D"/>
    <w:rsid w:val="00DC58E9"/>
    <w:rsid w:val="00DD171A"/>
    <w:rsid w:val="00DD3075"/>
    <w:rsid w:val="00DD635E"/>
    <w:rsid w:val="00DD65AC"/>
    <w:rsid w:val="00DE08B9"/>
    <w:rsid w:val="00DE4B2A"/>
    <w:rsid w:val="00DE6BC6"/>
    <w:rsid w:val="00DF77AD"/>
    <w:rsid w:val="00E12A20"/>
    <w:rsid w:val="00E16DBD"/>
    <w:rsid w:val="00E2252B"/>
    <w:rsid w:val="00E22773"/>
    <w:rsid w:val="00E234E5"/>
    <w:rsid w:val="00E31646"/>
    <w:rsid w:val="00E32E75"/>
    <w:rsid w:val="00E34990"/>
    <w:rsid w:val="00E34BEA"/>
    <w:rsid w:val="00E410D8"/>
    <w:rsid w:val="00E4248D"/>
    <w:rsid w:val="00E47E03"/>
    <w:rsid w:val="00E52962"/>
    <w:rsid w:val="00E52A33"/>
    <w:rsid w:val="00E53B95"/>
    <w:rsid w:val="00E54F5E"/>
    <w:rsid w:val="00E57BDF"/>
    <w:rsid w:val="00E66F7C"/>
    <w:rsid w:val="00E714DD"/>
    <w:rsid w:val="00E81F47"/>
    <w:rsid w:val="00E9003F"/>
    <w:rsid w:val="00E935B2"/>
    <w:rsid w:val="00E93A22"/>
    <w:rsid w:val="00E95340"/>
    <w:rsid w:val="00E95906"/>
    <w:rsid w:val="00EA35BA"/>
    <w:rsid w:val="00EA47FF"/>
    <w:rsid w:val="00EA5210"/>
    <w:rsid w:val="00EA62D7"/>
    <w:rsid w:val="00EB0C6D"/>
    <w:rsid w:val="00EB122B"/>
    <w:rsid w:val="00EB6B50"/>
    <w:rsid w:val="00EC0950"/>
    <w:rsid w:val="00EC130E"/>
    <w:rsid w:val="00EC3122"/>
    <w:rsid w:val="00EC42B6"/>
    <w:rsid w:val="00EC5810"/>
    <w:rsid w:val="00EC6230"/>
    <w:rsid w:val="00ED1753"/>
    <w:rsid w:val="00ED2C7C"/>
    <w:rsid w:val="00ED6779"/>
    <w:rsid w:val="00EE0A9B"/>
    <w:rsid w:val="00EE1837"/>
    <w:rsid w:val="00EE35DE"/>
    <w:rsid w:val="00EE47E5"/>
    <w:rsid w:val="00EE6CA5"/>
    <w:rsid w:val="00EF1B60"/>
    <w:rsid w:val="00EF30F1"/>
    <w:rsid w:val="00EF5E08"/>
    <w:rsid w:val="00F013DE"/>
    <w:rsid w:val="00F03A30"/>
    <w:rsid w:val="00F04052"/>
    <w:rsid w:val="00F13ED0"/>
    <w:rsid w:val="00F17811"/>
    <w:rsid w:val="00F210C4"/>
    <w:rsid w:val="00F21898"/>
    <w:rsid w:val="00F21A50"/>
    <w:rsid w:val="00F31B22"/>
    <w:rsid w:val="00F31D4F"/>
    <w:rsid w:val="00F34657"/>
    <w:rsid w:val="00F355FB"/>
    <w:rsid w:val="00F40DCF"/>
    <w:rsid w:val="00F43764"/>
    <w:rsid w:val="00F46DE6"/>
    <w:rsid w:val="00F47D41"/>
    <w:rsid w:val="00F506E3"/>
    <w:rsid w:val="00F52128"/>
    <w:rsid w:val="00F52638"/>
    <w:rsid w:val="00F53172"/>
    <w:rsid w:val="00F55561"/>
    <w:rsid w:val="00F62C5B"/>
    <w:rsid w:val="00F62EB2"/>
    <w:rsid w:val="00F70A26"/>
    <w:rsid w:val="00F73811"/>
    <w:rsid w:val="00F7576E"/>
    <w:rsid w:val="00F7764F"/>
    <w:rsid w:val="00F77B3A"/>
    <w:rsid w:val="00F81EA8"/>
    <w:rsid w:val="00F83916"/>
    <w:rsid w:val="00F86FE3"/>
    <w:rsid w:val="00F9033A"/>
    <w:rsid w:val="00F90381"/>
    <w:rsid w:val="00F949D7"/>
    <w:rsid w:val="00FA2705"/>
    <w:rsid w:val="00FA3166"/>
    <w:rsid w:val="00FA41BA"/>
    <w:rsid w:val="00FA7B7C"/>
    <w:rsid w:val="00FB0787"/>
    <w:rsid w:val="00FB3238"/>
    <w:rsid w:val="00FB5172"/>
    <w:rsid w:val="00FC05BD"/>
    <w:rsid w:val="00FC1903"/>
    <w:rsid w:val="00FC2B53"/>
    <w:rsid w:val="00FD05D4"/>
    <w:rsid w:val="00FD58A1"/>
    <w:rsid w:val="00FD689E"/>
    <w:rsid w:val="00FE1FEC"/>
    <w:rsid w:val="00FE259F"/>
    <w:rsid w:val="00FE324F"/>
    <w:rsid w:val="00FE32F0"/>
    <w:rsid w:val="00FE50DE"/>
    <w:rsid w:val="00FE587B"/>
    <w:rsid w:val="00FE6B73"/>
    <w:rsid w:val="00FF0AF2"/>
    <w:rsid w:val="00FF33E7"/>
    <w:rsid w:val="00FF514D"/>
    <w:rsid w:val="00FF611B"/>
    <w:rsid w:val="00FF61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93B0D6C"/>
  <w15:docId w15:val="{9DB2C6C9-0C55-494E-AAFD-A968CEBA7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7" w:qFormat="1"/>
    <w:lsdException w:name="heading 3" w:locked="1" w:uiPriority="8" w:qFormat="1"/>
    <w:lsdException w:name="heading 4" w:locked="1"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unhideWhenUsed="1" w:qFormat="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0"/>
    <w:lsdException w:name="Intense Emphasis" w:uiPriority="21"/>
    <w:lsdException w:name="Subtle Reference" w:uiPriority="31"/>
    <w:lsdException w:name="Intense Reference" w:uiPriority="32"/>
    <w:lsdException w:name="Book Title" w:uiPriority="3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13DE"/>
    <w:pPr>
      <w:spacing w:before="60" w:after="60" w:line="240" w:lineRule="auto"/>
    </w:pPr>
    <w:rPr>
      <w:rFonts w:ascii="Calibri" w:hAnsi="Calibri" w:cs="Arial"/>
      <w:sz w:val="20"/>
      <w:szCs w:val="20"/>
      <w:lang w:eastAsia="en-US"/>
    </w:rPr>
  </w:style>
  <w:style w:type="paragraph" w:styleId="Heading1">
    <w:name w:val="heading 1"/>
    <w:basedOn w:val="Normal"/>
    <w:next w:val="Normal"/>
    <w:link w:val="Heading1Char"/>
    <w:uiPriority w:val="6"/>
    <w:qFormat/>
    <w:rsid w:val="00475745"/>
    <w:pPr>
      <w:keepNext/>
      <w:spacing w:before="240"/>
      <w:outlineLvl w:val="0"/>
    </w:pPr>
    <w:rPr>
      <w:rFonts w:ascii="Gill Sans MT" w:hAnsi="Gill Sans MT" w:cs="Tahoma"/>
      <w:bCs/>
      <w:color w:val="943634"/>
      <w:kern w:val="32"/>
      <w:sz w:val="28"/>
      <w:szCs w:val="28"/>
    </w:rPr>
  </w:style>
  <w:style w:type="paragraph" w:styleId="Heading2">
    <w:name w:val="heading 2"/>
    <w:basedOn w:val="Normal"/>
    <w:next w:val="Normal"/>
    <w:link w:val="Heading2Char"/>
    <w:uiPriority w:val="7"/>
    <w:qFormat/>
    <w:rsid w:val="00475745"/>
    <w:pPr>
      <w:keepNext/>
      <w:spacing w:before="120"/>
      <w:outlineLvl w:val="1"/>
    </w:pPr>
    <w:rPr>
      <w:rFonts w:ascii="Gill Sans MT" w:eastAsiaTheme="minorHAnsi" w:hAnsi="Gill Sans MT"/>
      <w:bCs/>
      <w:iCs/>
      <w:color w:val="943634"/>
      <w:sz w:val="22"/>
      <w:szCs w:val="28"/>
    </w:rPr>
  </w:style>
  <w:style w:type="paragraph" w:styleId="Heading3">
    <w:name w:val="heading 3"/>
    <w:basedOn w:val="Normal"/>
    <w:next w:val="Normal"/>
    <w:link w:val="Heading3Char"/>
    <w:uiPriority w:val="8"/>
    <w:qFormat/>
    <w:rsid w:val="00475745"/>
    <w:pPr>
      <w:keepNext/>
      <w:spacing w:before="120"/>
      <w:outlineLvl w:val="2"/>
    </w:pPr>
    <w:rPr>
      <w:b/>
      <w:bCs/>
      <w:szCs w:val="26"/>
    </w:rPr>
  </w:style>
  <w:style w:type="paragraph" w:styleId="Heading4">
    <w:name w:val="heading 4"/>
    <w:basedOn w:val="Heading3"/>
    <w:next w:val="Normal"/>
    <w:link w:val="Heading4Char"/>
    <w:semiHidden/>
    <w:qFormat/>
    <w:locked/>
    <w:rsid w:val="0013059D"/>
    <w:pPr>
      <w:spacing w:before="240"/>
      <w:outlineLvl w:val="3"/>
    </w:pPr>
    <w:rPr>
      <w:b w:val="0"/>
      <w:bCs w:val="0"/>
      <w:i/>
      <w:szCs w:val="28"/>
    </w:rPr>
  </w:style>
  <w:style w:type="paragraph" w:styleId="Heading5">
    <w:name w:val="heading 5"/>
    <w:basedOn w:val="Normal"/>
    <w:next w:val="Normal"/>
    <w:link w:val="Heading5Char"/>
    <w:uiPriority w:val="9"/>
    <w:semiHidden/>
    <w:qFormat/>
    <w:rsid w:val="00C43BE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qFormat/>
    <w:rsid w:val="00C43BE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6"/>
    <w:locked/>
    <w:rsid w:val="00475745"/>
    <w:rPr>
      <w:rFonts w:ascii="Gill Sans MT" w:hAnsi="Gill Sans MT" w:cs="Tahoma"/>
      <w:bCs/>
      <w:color w:val="943634"/>
      <w:kern w:val="32"/>
      <w:sz w:val="28"/>
      <w:szCs w:val="28"/>
      <w:lang w:eastAsia="en-US"/>
    </w:rPr>
  </w:style>
  <w:style w:type="character" w:customStyle="1" w:styleId="Heading2Char">
    <w:name w:val="Heading 2 Char"/>
    <w:basedOn w:val="DefaultParagraphFont"/>
    <w:link w:val="Heading2"/>
    <w:uiPriority w:val="7"/>
    <w:locked/>
    <w:rsid w:val="00475745"/>
    <w:rPr>
      <w:rFonts w:ascii="Gill Sans MT" w:eastAsiaTheme="minorHAnsi" w:hAnsi="Gill Sans MT" w:cs="Arial"/>
      <w:bCs/>
      <w:iCs/>
      <w:color w:val="943634"/>
      <w:szCs w:val="28"/>
      <w:lang w:eastAsia="en-US"/>
    </w:rPr>
  </w:style>
  <w:style w:type="character" w:customStyle="1" w:styleId="Heading3Char">
    <w:name w:val="Heading 3 Char"/>
    <w:basedOn w:val="DefaultParagraphFont"/>
    <w:link w:val="Heading3"/>
    <w:uiPriority w:val="8"/>
    <w:locked/>
    <w:rsid w:val="00475745"/>
    <w:rPr>
      <w:rFonts w:ascii="Calibri" w:hAnsi="Calibri" w:cs="Arial"/>
      <w:b/>
      <w:bCs/>
      <w:sz w:val="20"/>
      <w:szCs w:val="26"/>
      <w:lang w:eastAsia="en-US"/>
    </w:rPr>
  </w:style>
  <w:style w:type="paragraph" w:customStyle="1" w:styleId="Instructions-bullet1">
    <w:name w:val="Instructions - bullet 1"/>
    <w:basedOn w:val="Instructions"/>
    <w:uiPriority w:val="12"/>
    <w:qFormat/>
    <w:rsid w:val="00475745"/>
    <w:pPr>
      <w:numPr>
        <w:numId w:val="7"/>
      </w:numPr>
      <w:ind w:left="680" w:hanging="340"/>
    </w:pPr>
    <w:rPr>
      <w:rFonts w:cs="Times New Roman"/>
    </w:rPr>
  </w:style>
  <w:style w:type="paragraph" w:customStyle="1" w:styleId="Instructions-numbered">
    <w:name w:val="Instructions - numbered"/>
    <w:basedOn w:val="Normal"/>
    <w:uiPriority w:val="13"/>
    <w:qFormat/>
    <w:rsid w:val="00475745"/>
    <w:pPr>
      <w:numPr>
        <w:numId w:val="8"/>
      </w:numPr>
      <w:ind w:left="680" w:hanging="340"/>
    </w:pPr>
    <w:rPr>
      <w:rFonts w:cs="Times New Roman"/>
      <w:i/>
      <w:color w:val="FF0000"/>
    </w:rPr>
  </w:style>
  <w:style w:type="paragraph" w:customStyle="1" w:styleId="bullet1">
    <w:name w:val="bullet 1"/>
    <w:basedOn w:val="Normal"/>
    <w:link w:val="bullet1Char"/>
    <w:uiPriority w:val="3"/>
    <w:qFormat/>
    <w:rsid w:val="00475745"/>
    <w:pPr>
      <w:numPr>
        <w:numId w:val="17"/>
      </w:numPr>
    </w:pPr>
  </w:style>
  <w:style w:type="paragraph" w:styleId="BalloonText">
    <w:name w:val="Balloon Text"/>
    <w:basedOn w:val="Normal"/>
    <w:link w:val="BalloonTextChar"/>
    <w:uiPriority w:val="99"/>
    <w:semiHidden/>
    <w:unhideWhenUsed/>
    <w:rsid w:val="003A70F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0FF"/>
    <w:rPr>
      <w:rFonts w:ascii="Segoe UI" w:hAnsi="Segoe UI" w:cs="Segoe UI"/>
      <w:sz w:val="18"/>
      <w:szCs w:val="18"/>
      <w:lang w:eastAsia="en-US"/>
    </w:rPr>
  </w:style>
  <w:style w:type="paragraph" w:styleId="Footer">
    <w:name w:val="footer"/>
    <w:basedOn w:val="Normal"/>
    <w:link w:val="FooterChar"/>
    <w:uiPriority w:val="17"/>
    <w:qFormat/>
    <w:rsid w:val="00F70A26"/>
    <w:pPr>
      <w:spacing w:before="0" w:after="0"/>
      <w:contextualSpacing/>
    </w:pPr>
    <w:rPr>
      <w:color w:val="808080" w:themeColor="background1" w:themeShade="80"/>
      <w:sz w:val="18"/>
      <w:lang w:val="en-US"/>
    </w:rPr>
  </w:style>
  <w:style w:type="character" w:customStyle="1" w:styleId="FooterChar">
    <w:name w:val="Footer Char"/>
    <w:basedOn w:val="DefaultParagraphFont"/>
    <w:link w:val="Footer"/>
    <w:uiPriority w:val="17"/>
    <w:locked/>
    <w:rsid w:val="0083169E"/>
    <w:rPr>
      <w:rFonts w:ascii="Calibri" w:hAnsi="Calibri" w:cs="Arial"/>
      <w:color w:val="808080" w:themeColor="background1" w:themeShade="80"/>
      <w:sz w:val="18"/>
      <w:szCs w:val="20"/>
      <w:lang w:val="en-US" w:eastAsia="en-US"/>
    </w:rPr>
  </w:style>
  <w:style w:type="paragraph" w:styleId="Header">
    <w:name w:val="header"/>
    <w:aliases w:val="Header - SOP"/>
    <w:basedOn w:val="Normal"/>
    <w:link w:val="HeaderChar"/>
    <w:uiPriority w:val="15"/>
    <w:qFormat/>
    <w:rsid w:val="006E32A4"/>
    <w:pPr>
      <w:tabs>
        <w:tab w:val="center" w:pos="4153"/>
        <w:tab w:val="right" w:pos="8306"/>
      </w:tabs>
      <w:spacing w:before="240"/>
      <w:jc w:val="center"/>
    </w:pPr>
    <w:rPr>
      <w:rFonts w:ascii="Gill Sans MT" w:hAnsi="Gill Sans MT"/>
      <w:noProof/>
      <w:color w:val="808080" w:themeColor="background1" w:themeShade="80"/>
      <w:sz w:val="32"/>
    </w:rPr>
  </w:style>
  <w:style w:type="character" w:customStyle="1" w:styleId="HeaderChar">
    <w:name w:val="Header Char"/>
    <w:aliases w:val="Header - SOP Char"/>
    <w:basedOn w:val="DefaultParagraphFont"/>
    <w:link w:val="Header"/>
    <w:uiPriority w:val="15"/>
    <w:locked/>
    <w:rsid w:val="0083169E"/>
    <w:rPr>
      <w:rFonts w:ascii="Gill Sans MT" w:hAnsi="Gill Sans MT" w:cs="Arial"/>
      <w:noProof/>
      <w:color w:val="808080" w:themeColor="background1" w:themeShade="80"/>
      <w:sz w:val="32"/>
      <w:szCs w:val="20"/>
      <w:lang w:eastAsia="en-US"/>
    </w:rPr>
  </w:style>
  <w:style w:type="table" w:styleId="TableGrid">
    <w:name w:val="Table Grid"/>
    <w:basedOn w:val="TableNormal"/>
    <w:uiPriority w:val="59"/>
    <w:rsid w:val="00130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
    <w:qFormat/>
    <w:rsid w:val="00083C9D"/>
    <w:pPr>
      <w:spacing w:before="0" w:after="300"/>
      <w:contextualSpacing/>
      <w:jc w:val="center"/>
    </w:pPr>
    <w:rPr>
      <w:rFonts w:ascii="Gill Sans MT" w:eastAsiaTheme="majorEastAsia" w:hAnsi="Gill Sans MT" w:cs="Tahoma"/>
      <w:color w:val="943634"/>
      <w:spacing w:val="5"/>
      <w:kern w:val="28"/>
      <w:sz w:val="44"/>
      <w:szCs w:val="40"/>
    </w:rPr>
  </w:style>
  <w:style w:type="character" w:customStyle="1" w:styleId="TitleChar">
    <w:name w:val="Title Char"/>
    <w:basedOn w:val="DefaultParagraphFont"/>
    <w:link w:val="Title"/>
    <w:uiPriority w:val="9"/>
    <w:locked/>
    <w:rsid w:val="00083C9D"/>
    <w:rPr>
      <w:rFonts w:ascii="Gill Sans MT" w:eastAsiaTheme="majorEastAsia" w:hAnsi="Gill Sans MT" w:cs="Tahoma"/>
      <w:color w:val="943634"/>
      <w:spacing w:val="5"/>
      <w:kern w:val="28"/>
      <w:sz w:val="44"/>
      <w:szCs w:val="40"/>
      <w:lang w:eastAsia="en-US"/>
    </w:rPr>
  </w:style>
  <w:style w:type="paragraph" w:customStyle="1" w:styleId="propertystatement">
    <w:name w:val="property statement"/>
    <w:basedOn w:val="Normal"/>
    <w:uiPriority w:val="14"/>
    <w:qFormat/>
    <w:rsid w:val="00342788"/>
    <w:pPr>
      <w:jc w:val="center"/>
    </w:pPr>
    <w:rPr>
      <w:color w:val="7F7F7F" w:themeColor="text1" w:themeTint="80"/>
      <w:sz w:val="18"/>
      <w:szCs w:val="18"/>
    </w:rPr>
  </w:style>
  <w:style w:type="paragraph" w:styleId="Revision">
    <w:name w:val="Revision"/>
    <w:hidden/>
    <w:uiPriority w:val="99"/>
    <w:semiHidden/>
    <w:rsid w:val="002D6577"/>
    <w:rPr>
      <w:rFonts w:ascii="Arial" w:hAnsi="Arial" w:cs="Arial"/>
      <w:lang w:eastAsia="en-US"/>
    </w:rPr>
  </w:style>
  <w:style w:type="paragraph" w:customStyle="1" w:styleId="Table">
    <w:name w:val="Table"/>
    <w:basedOn w:val="Normal"/>
    <w:autoRedefine/>
    <w:semiHidden/>
    <w:qFormat/>
    <w:rsid w:val="00B10C05"/>
    <w:pPr>
      <w:framePr w:hSpace="181" w:wrap="around" w:vAnchor="text" w:hAnchor="margin" w:y="239"/>
    </w:pPr>
  </w:style>
  <w:style w:type="paragraph" w:customStyle="1" w:styleId="AbbreviationsDefinitionsTerm">
    <w:name w:val="Abbreviations &amp; Definitions 'Term'"/>
    <w:link w:val="AbbreviationsDefinitionsTermChar"/>
    <w:uiPriority w:val="14"/>
    <w:qFormat/>
    <w:rsid w:val="00DC0548"/>
    <w:pPr>
      <w:spacing w:before="60" w:after="60" w:line="240" w:lineRule="auto"/>
    </w:pPr>
    <w:rPr>
      <w:rFonts w:ascii="Calibri" w:hAnsi="Calibri" w:cs="Tahoma"/>
      <w:b/>
      <w:bCs/>
      <w:color w:val="000000" w:themeColor="text1"/>
      <w:spacing w:val="5"/>
      <w:kern w:val="28"/>
      <w:sz w:val="20"/>
      <w:szCs w:val="26"/>
      <w:lang w:eastAsia="en-US"/>
    </w:rPr>
  </w:style>
  <w:style w:type="paragraph" w:styleId="List">
    <w:name w:val="List"/>
    <w:aliases w:val="Numberlist 1"/>
    <w:basedOn w:val="Normal"/>
    <w:autoRedefine/>
    <w:semiHidden/>
    <w:qFormat/>
    <w:rsid w:val="00C43BEC"/>
    <w:pPr>
      <w:spacing w:before="120"/>
      <w:ind w:left="717" w:hanging="360"/>
    </w:pPr>
  </w:style>
  <w:style w:type="paragraph" w:styleId="ListBullet">
    <w:name w:val="List Bullet"/>
    <w:basedOn w:val="Normal"/>
    <w:uiPriority w:val="99"/>
    <w:semiHidden/>
    <w:rsid w:val="00C43BEC"/>
    <w:pPr>
      <w:numPr>
        <w:numId w:val="9"/>
      </w:numPr>
      <w:contextualSpacing/>
    </w:pPr>
  </w:style>
  <w:style w:type="numbering" w:customStyle="1" w:styleId="Style1">
    <w:name w:val="Style1"/>
    <w:rsid w:val="001F581B"/>
    <w:pPr>
      <w:numPr>
        <w:numId w:val="1"/>
      </w:numPr>
    </w:pPr>
  </w:style>
  <w:style w:type="character" w:customStyle="1" w:styleId="Heading4Char">
    <w:name w:val="Heading 4 Char"/>
    <w:basedOn w:val="DefaultParagraphFont"/>
    <w:link w:val="Heading4"/>
    <w:semiHidden/>
    <w:rsid w:val="0013059D"/>
    <w:rPr>
      <w:rFonts w:ascii="Arial" w:hAnsi="Arial" w:cs="Arial"/>
      <w:i/>
      <w:sz w:val="20"/>
      <w:szCs w:val="28"/>
      <w:lang w:eastAsia="en-US"/>
    </w:rPr>
  </w:style>
  <w:style w:type="paragraph" w:customStyle="1" w:styleId="Instructions">
    <w:name w:val="Instructions"/>
    <w:basedOn w:val="Normal"/>
    <w:link w:val="InstructionsChar"/>
    <w:uiPriority w:val="11"/>
    <w:qFormat/>
    <w:rsid w:val="00C43BEC"/>
    <w:rPr>
      <w:i/>
      <w:iCs/>
      <w:color w:val="FF0000"/>
    </w:rPr>
  </w:style>
  <w:style w:type="character" w:customStyle="1" w:styleId="InstructionsChar">
    <w:name w:val="Instructions Char"/>
    <w:basedOn w:val="DefaultParagraphFont"/>
    <w:link w:val="Instructions"/>
    <w:uiPriority w:val="11"/>
    <w:rsid w:val="0083169E"/>
    <w:rPr>
      <w:rFonts w:ascii="Calibri" w:hAnsi="Calibri" w:cs="Arial"/>
      <w:i/>
      <w:iCs/>
      <w:color w:val="FF0000"/>
      <w:sz w:val="20"/>
      <w:szCs w:val="20"/>
      <w:lang w:eastAsia="en-US"/>
    </w:rPr>
  </w:style>
  <w:style w:type="paragraph" w:customStyle="1" w:styleId="bullet2">
    <w:name w:val="bullet 2"/>
    <w:basedOn w:val="Normal"/>
    <w:link w:val="bullet2Char"/>
    <w:uiPriority w:val="4"/>
    <w:qFormat/>
    <w:rsid w:val="00475745"/>
    <w:pPr>
      <w:numPr>
        <w:numId w:val="4"/>
      </w:numPr>
      <w:ind w:left="680" w:hanging="340"/>
    </w:pPr>
  </w:style>
  <w:style w:type="character" w:customStyle="1" w:styleId="bullet2Char">
    <w:name w:val="bullet 2 Char"/>
    <w:basedOn w:val="DefaultParagraphFont"/>
    <w:link w:val="bullet2"/>
    <w:uiPriority w:val="4"/>
    <w:locked/>
    <w:rsid w:val="00475745"/>
    <w:rPr>
      <w:rFonts w:ascii="Calibri" w:hAnsi="Calibri" w:cs="Arial"/>
      <w:sz w:val="20"/>
      <w:szCs w:val="20"/>
      <w:lang w:eastAsia="en-US"/>
    </w:rPr>
  </w:style>
  <w:style w:type="paragraph" w:customStyle="1" w:styleId="bullet3">
    <w:name w:val="bullet 3"/>
    <w:basedOn w:val="Normal"/>
    <w:uiPriority w:val="5"/>
    <w:qFormat/>
    <w:rsid w:val="00475745"/>
    <w:pPr>
      <w:numPr>
        <w:numId w:val="5"/>
      </w:numPr>
      <w:ind w:left="1020" w:hanging="340"/>
    </w:pPr>
  </w:style>
  <w:style w:type="character" w:customStyle="1" w:styleId="Heading5Char">
    <w:name w:val="Heading 5 Char"/>
    <w:basedOn w:val="DefaultParagraphFont"/>
    <w:link w:val="Heading5"/>
    <w:uiPriority w:val="9"/>
    <w:semiHidden/>
    <w:rsid w:val="00104D42"/>
    <w:rPr>
      <w:rFonts w:asciiTheme="majorHAnsi" w:eastAsiaTheme="majorEastAsia" w:hAnsiTheme="majorHAnsi" w:cstheme="majorBidi"/>
      <w:color w:val="243F60" w:themeColor="accent1" w:themeShade="7F"/>
      <w:sz w:val="20"/>
      <w:szCs w:val="20"/>
      <w:lang w:eastAsia="en-US"/>
    </w:rPr>
  </w:style>
  <w:style w:type="character" w:customStyle="1" w:styleId="Heading6Char">
    <w:name w:val="Heading 6 Char"/>
    <w:basedOn w:val="DefaultParagraphFont"/>
    <w:link w:val="Heading6"/>
    <w:uiPriority w:val="9"/>
    <w:semiHidden/>
    <w:rsid w:val="00104D42"/>
    <w:rPr>
      <w:rFonts w:asciiTheme="majorHAnsi" w:eastAsiaTheme="majorEastAsia" w:hAnsiTheme="majorHAnsi" w:cstheme="majorBidi"/>
      <w:i/>
      <w:iCs/>
      <w:color w:val="243F60" w:themeColor="accent1" w:themeShade="7F"/>
      <w:sz w:val="20"/>
      <w:szCs w:val="20"/>
      <w:lang w:eastAsia="en-US"/>
    </w:rPr>
  </w:style>
  <w:style w:type="paragraph" w:styleId="Quote">
    <w:name w:val="Quote"/>
    <w:basedOn w:val="Normal"/>
    <w:next w:val="Normal"/>
    <w:link w:val="QuoteChar"/>
    <w:uiPriority w:val="29"/>
    <w:semiHidden/>
    <w:qFormat/>
    <w:rsid w:val="00C43BEC"/>
    <w:rPr>
      <w:i/>
      <w:iCs/>
      <w:color w:val="000000" w:themeColor="text1"/>
    </w:rPr>
  </w:style>
  <w:style w:type="character" w:customStyle="1" w:styleId="QuoteChar">
    <w:name w:val="Quote Char"/>
    <w:basedOn w:val="DefaultParagraphFont"/>
    <w:link w:val="Quote"/>
    <w:uiPriority w:val="29"/>
    <w:semiHidden/>
    <w:rsid w:val="00104D42"/>
    <w:rPr>
      <w:rFonts w:ascii="Arial" w:hAnsi="Arial" w:cs="Arial"/>
      <w:i/>
      <w:iCs/>
      <w:color w:val="000000" w:themeColor="text1"/>
      <w:sz w:val="20"/>
      <w:szCs w:val="20"/>
      <w:lang w:eastAsia="en-US"/>
    </w:rPr>
  </w:style>
  <w:style w:type="paragraph" w:customStyle="1" w:styleId="SOPreference">
    <w:name w:val="SOP reference"/>
    <w:basedOn w:val="Normal"/>
    <w:uiPriority w:val="99"/>
    <w:semiHidden/>
    <w:rsid w:val="00C43BEC"/>
    <w:rPr>
      <w:color w:val="0000FF"/>
    </w:rPr>
  </w:style>
  <w:style w:type="paragraph" w:customStyle="1" w:styleId="StyleBoldDarkBlueCentered">
    <w:name w:val="Style Bold Dark Blue Centered"/>
    <w:basedOn w:val="Normal"/>
    <w:semiHidden/>
    <w:rsid w:val="00C43BEC"/>
    <w:pPr>
      <w:spacing w:before="40" w:after="40"/>
      <w:jc w:val="center"/>
    </w:pPr>
    <w:rPr>
      <w:b/>
      <w:bCs/>
      <w:color w:val="000080"/>
    </w:rPr>
  </w:style>
  <w:style w:type="paragraph" w:customStyle="1" w:styleId="StyleBoldDarkRedCentered">
    <w:name w:val="Style Bold Dark Red Centered"/>
    <w:basedOn w:val="Normal"/>
    <w:semiHidden/>
    <w:rsid w:val="00C43BEC"/>
    <w:pPr>
      <w:spacing w:before="40" w:after="40"/>
      <w:jc w:val="center"/>
    </w:pPr>
    <w:rPr>
      <w:b/>
      <w:bCs/>
      <w:color w:val="632423" w:themeColor="accent2" w:themeShade="80"/>
    </w:rPr>
  </w:style>
  <w:style w:type="paragraph" w:customStyle="1" w:styleId="StyleDarkBlueCentered">
    <w:name w:val="Style Dark Blue Centered"/>
    <w:basedOn w:val="Normal"/>
    <w:semiHidden/>
    <w:rsid w:val="00C43BEC"/>
    <w:pPr>
      <w:spacing w:before="40" w:after="40"/>
      <w:jc w:val="center"/>
    </w:pPr>
    <w:rPr>
      <w:color w:val="000080"/>
    </w:rPr>
  </w:style>
  <w:style w:type="paragraph" w:customStyle="1" w:styleId="StyleDarkRedCentered">
    <w:name w:val="Style Dark Red Centered"/>
    <w:basedOn w:val="Normal"/>
    <w:semiHidden/>
    <w:rsid w:val="00C43BEC"/>
    <w:pPr>
      <w:spacing w:before="40" w:after="40"/>
      <w:jc w:val="center"/>
    </w:pPr>
    <w:rPr>
      <w:color w:val="632423" w:themeColor="accent2" w:themeShade="80"/>
    </w:rPr>
  </w:style>
  <w:style w:type="paragraph" w:customStyle="1" w:styleId="Header-QCDs">
    <w:name w:val="Header - QCDs"/>
    <w:basedOn w:val="Header"/>
    <w:uiPriority w:val="16"/>
    <w:qFormat/>
    <w:rsid w:val="006E32A4"/>
    <w:pPr>
      <w:jc w:val="right"/>
    </w:pPr>
  </w:style>
  <w:style w:type="paragraph" w:customStyle="1" w:styleId="ReferencestootherSOPsQCDs">
    <w:name w:val="References to other SOPs/QCDs"/>
    <w:basedOn w:val="Instructions"/>
    <w:next w:val="Normal"/>
    <w:link w:val="ReferencestootherSOPsQCDsChar"/>
    <w:uiPriority w:val="2"/>
    <w:qFormat/>
    <w:rsid w:val="00475745"/>
    <w:rPr>
      <w:color w:val="943634"/>
    </w:rPr>
  </w:style>
  <w:style w:type="character" w:customStyle="1" w:styleId="ReferencestootherSOPsQCDsChar">
    <w:name w:val="References to other SOPs/QCDs Char"/>
    <w:basedOn w:val="InstructionsChar"/>
    <w:link w:val="ReferencestootherSOPsQCDs"/>
    <w:uiPriority w:val="2"/>
    <w:rsid w:val="00475745"/>
    <w:rPr>
      <w:rFonts w:ascii="Calibri" w:hAnsi="Calibri" w:cs="Arial"/>
      <w:i/>
      <w:iCs/>
      <w:color w:val="943634"/>
      <w:sz w:val="20"/>
      <w:szCs w:val="20"/>
      <w:lang w:eastAsia="en-US"/>
    </w:rPr>
  </w:style>
  <w:style w:type="character" w:customStyle="1" w:styleId="bullet1Char">
    <w:name w:val="bullet 1 Char"/>
    <w:basedOn w:val="DefaultParagraphFont"/>
    <w:link w:val="bullet1"/>
    <w:uiPriority w:val="3"/>
    <w:locked/>
    <w:rsid w:val="00475745"/>
    <w:rPr>
      <w:rFonts w:ascii="Calibri" w:hAnsi="Calibri" w:cs="Arial"/>
      <w:sz w:val="20"/>
      <w:szCs w:val="20"/>
      <w:lang w:eastAsia="en-US"/>
    </w:rPr>
  </w:style>
  <w:style w:type="character" w:customStyle="1" w:styleId="AbbreviationsDefinitionsTermChar">
    <w:name w:val="Abbreviations &amp; Definitions 'Term' Char"/>
    <w:basedOn w:val="DefaultParagraphFont"/>
    <w:link w:val="AbbreviationsDefinitionsTerm"/>
    <w:uiPriority w:val="14"/>
    <w:rsid w:val="0083169E"/>
    <w:rPr>
      <w:rFonts w:ascii="Calibri" w:hAnsi="Calibri" w:cs="Tahoma"/>
      <w:b/>
      <w:bCs/>
      <w:color w:val="000000" w:themeColor="text1"/>
      <w:spacing w:val="5"/>
      <w:kern w:val="28"/>
      <w:sz w:val="20"/>
      <w:szCs w:val="26"/>
      <w:lang w:eastAsia="en-US"/>
    </w:rPr>
  </w:style>
  <w:style w:type="character" w:styleId="Hyperlink">
    <w:name w:val="Hyperlink"/>
    <w:basedOn w:val="DefaultParagraphFont"/>
    <w:uiPriority w:val="99"/>
    <w:rsid w:val="00692DFA"/>
    <w:rPr>
      <w:color w:val="0000FF"/>
      <w:u w:val="single"/>
    </w:rPr>
  </w:style>
  <w:style w:type="paragraph" w:customStyle="1" w:styleId="Bullet10">
    <w:name w:val="Bullet 1"/>
    <w:basedOn w:val="Normal"/>
    <w:link w:val="Bullet1Char0"/>
    <w:uiPriority w:val="19"/>
    <w:rsid w:val="00475745"/>
    <w:pPr>
      <w:ind w:left="340" w:hanging="340"/>
    </w:pPr>
  </w:style>
  <w:style w:type="character" w:customStyle="1" w:styleId="Bullet1Char0">
    <w:name w:val="Bullet 1 Char"/>
    <w:basedOn w:val="DefaultParagraphFont"/>
    <w:link w:val="Bullet10"/>
    <w:uiPriority w:val="19"/>
    <w:rsid w:val="00475745"/>
    <w:rPr>
      <w:rFonts w:ascii="Calibri" w:hAnsi="Calibri" w:cs="Arial"/>
      <w:sz w:val="20"/>
      <w:szCs w:val="20"/>
      <w:lang w:eastAsia="en-US"/>
    </w:rPr>
  </w:style>
  <w:style w:type="paragraph" w:customStyle="1" w:styleId="Numberlist">
    <w:name w:val="Numberlist"/>
    <w:basedOn w:val="Normal"/>
    <w:uiPriority w:val="1"/>
    <w:qFormat/>
    <w:rsid w:val="00475745"/>
    <w:pPr>
      <w:numPr>
        <w:numId w:val="16"/>
      </w:numPr>
      <w:ind w:left="340" w:hanging="340"/>
    </w:p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Calibri" w:hAnsi="Calibri" w:cs="Arial"/>
      <w:sz w:val="20"/>
      <w:szCs w:val="20"/>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1165B"/>
    <w:rPr>
      <w:b/>
      <w:bCs/>
    </w:rPr>
  </w:style>
  <w:style w:type="character" w:customStyle="1" w:styleId="CommentSubjectChar">
    <w:name w:val="Comment Subject Char"/>
    <w:basedOn w:val="CommentTextChar"/>
    <w:link w:val="CommentSubject"/>
    <w:uiPriority w:val="99"/>
    <w:semiHidden/>
    <w:rsid w:val="0021165B"/>
    <w:rPr>
      <w:rFonts w:ascii="Calibri" w:hAnsi="Calibri" w:cs="Arial"/>
      <w:b/>
      <w:bCs/>
      <w:sz w:val="20"/>
      <w:szCs w:val="20"/>
      <w:lang w:eastAsia="en-US"/>
    </w:rPr>
  </w:style>
  <w:style w:type="character" w:styleId="FollowedHyperlink">
    <w:name w:val="FollowedHyperlink"/>
    <w:basedOn w:val="DefaultParagraphFont"/>
    <w:semiHidden/>
    <w:unhideWhenUsed/>
    <w:rsid w:val="00043513"/>
    <w:rPr>
      <w:color w:val="800080" w:themeColor="followedHyperlink"/>
      <w:u w:val="single"/>
    </w:rPr>
  </w:style>
  <w:style w:type="paragraph" w:customStyle="1" w:styleId="Bold">
    <w:name w:val="Bold"/>
    <w:basedOn w:val="Normal"/>
    <w:uiPriority w:val="18"/>
    <w:qFormat/>
    <w:rsid w:val="00F013DE"/>
    <w:rPr>
      <w:b/>
    </w:rPr>
  </w:style>
  <w:style w:type="paragraph" w:styleId="NormalWeb">
    <w:name w:val="Normal (Web)"/>
    <w:basedOn w:val="Normal"/>
    <w:uiPriority w:val="99"/>
    <w:semiHidden/>
    <w:unhideWhenUsed/>
    <w:rsid w:val="00372EE2"/>
    <w:pPr>
      <w:spacing w:before="0" w:after="0"/>
    </w:pPr>
    <w:rPr>
      <w:rFonts w:ascii="PMingLiU" w:eastAsia="PMingLiU" w:hAnsi="Times New Roman" w:cs="PMingLiU"/>
      <w:sz w:val="24"/>
      <w:szCs w:val="24"/>
      <w:lang w:eastAsia="zh-TW"/>
    </w:rPr>
  </w:style>
  <w:style w:type="character" w:styleId="UnresolvedMention">
    <w:name w:val="Unresolved Mention"/>
    <w:basedOn w:val="DefaultParagraphFont"/>
    <w:uiPriority w:val="99"/>
    <w:semiHidden/>
    <w:unhideWhenUsed/>
    <w:rsid w:val="00DD65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517569">
      <w:bodyDiv w:val="1"/>
      <w:marLeft w:val="0"/>
      <w:marRight w:val="0"/>
      <w:marTop w:val="0"/>
      <w:marBottom w:val="0"/>
      <w:divBdr>
        <w:top w:val="none" w:sz="0" w:space="0" w:color="auto"/>
        <w:left w:val="none" w:sz="0" w:space="0" w:color="auto"/>
        <w:bottom w:val="none" w:sz="0" w:space="0" w:color="auto"/>
        <w:right w:val="none" w:sz="0" w:space="0" w:color="auto"/>
      </w:divBdr>
    </w:div>
    <w:div w:id="1128280163">
      <w:bodyDiv w:val="1"/>
      <w:marLeft w:val="0"/>
      <w:marRight w:val="0"/>
      <w:marTop w:val="0"/>
      <w:marBottom w:val="0"/>
      <w:divBdr>
        <w:top w:val="none" w:sz="0" w:space="0" w:color="auto"/>
        <w:left w:val="none" w:sz="0" w:space="0" w:color="auto"/>
        <w:bottom w:val="none" w:sz="0" w:space="0" w:color="auto"/>
        <w:right w:val="none" w:sz="0" w:space="0" w:color="auto"/>
      </w:divBdr>
    </w:div>
    <w:div w:id="1289703582">
      <w:marLeft w:val="0"/>
      <w:marRight w:val="0"/>
      <w:marTop w:val="0"/>
      <w:marBottom w:val="0"/>
      <w:divBdr>
        <w:top w:val="none" w:sz="0" w:space="0" w:color="auto"/>
        <w:left w:val="none" w:sz="0" w:space="0" w:color="auto"/>
        <w:bottom w:val="none" w:sz="0" w:space="0" w:color="auto"/>
        <w:right w:val="none" w:sz="0" w:space="0" w:color="auto"/>
      </w:divBdr>
    </w:div>
    <w:div w:id="1289703583">
      <w:marLeft w:val="0"/>
      <w:marRight w:val="0"/>
      <w:marTop w:val="0"/>
      <w:marBottom w:val="0"/>
      <w:divBdr>
        <w:top w:val="none" w:sz="0" w:space="0" w:color="auto"/>
        <w:left w:val="none" w:sz="0" w:space="0" w:color="auto"/>
        <w:bottom w:val="none" w:sz="0" w:space="0" w:color="auto"/>
        <w:right w:val="none" w:sz="0" w:space="0" w:color="auto"/>
      </w:divBdr>
    </w:div>
    <w:div w:id="1289703584">
      <w:marLeft w:val="0"/>
      <w:marRight w:val="0"/>
      <w:marTop w:val="0"/>
      <w:marBottom w:val="0"/>
      <w:divBdr>
        <w:top w:val="none" w:sz="0" w:space="0" w:color="auto"/>
        <w:left w:val="none" w:sz="0" w:space="0" w:color="auto"/>
        <w:bottom w:val="none" w:sz="0" w:space="0" w:color="auto"/>
        <w:right w:val="none" w:sz="0" w:space="0" w:color="auto"/>
      </w:divBdr>
    </w:div>
    <w:div w:id="1289703587">
      <w:marLeft w:val="0"/>
      <w:marRight w:val="0"/>
      <w:marTop w:val="0"/>
      <w:marBottom w:val="0"/>
      <w:divBdr>
        <w:top w:val="none" w:sz="0" w:space="0" w:color="auto"/>
        <w:left w:val="none" w:sz="0" w:space="0" w:color="auto"/>
        <w:bottom w:val="none" w:sz="0" w:space="0" w:color="auto"/>
        <w:right w:val="none" w:sz="0" w:space="0" w:color="auto"/>
      </w:divBdr>
    </w:div>
    <w:div w:id="1289703589">
      <w:marLeft w:val="0"/>
      <w:marRight w:val="0"/>
      <w:marTop w:val="0"/>
      <w:marBottom w:val="0"/>
      <w:divBdr>
        <w:top w:val="none" w:sz="0" w:space="0" w:color="auto"/>
        <w:left w:val="none" w:sz="0" w:space="0" w:color="auto"/>
        <w:bottom w:val="none" w:sz="0" w:space="0" w:color="auto"/>
        <w:right w:val="none" w:sz="0" w:space="0" w:color="auto"/>
      </w:divBdr>
    </w:div>
    <w:div w:id="1289703590">
      <w:marLeft w:val="0"/>
      <w:marRight w:val="0"/>
      <w:marTop w:val="0"/>
      <w:marBottom w:val="0"/>
      <w:divBdr>
        <w:top w:val="none" w:sz="0" w:space="0" w:color="auto"/>
        <w:left w:val="none" w:sz="0" w:space="0" w:color="auto"/>
        <w:bottom w:val="none" w:sz="0" w:space="0" w:color="auto"/>
        <w:right w:val="none" w:sz="0" w:space="0" w:color="auto"/>
      </w:divBdr>
    </w:div>
    <w:div w:id="1289703594">
      <w:marLeft w:val="0"/>
      <w:marRight w:val="0"/>
      <w:marTop w:val="0"/>
      <w:marBottom w:val="0"/>
      <w:divBdr>
        <w:top w:val="none" w:sz="0" w:space="0" w:color="auto"/>
        <w:left w:val="none" w:sz="0" w:space="0" w:color="auto"/>
        <w:bottom w:val="none" w:sz="0" w:space="0" w:color="auto"/>
        <w:right w:val="none" w:sz="0" w:space="0" w:color="auto"/>
      </w:divBdr>
      <w:divsChild>
        <w:div w:id="1289703591">
          <w:marLeft w:val="0"/>
          <w:marRight w:val="0"/>
          <w:marTop w:val="0"/>
          <w:marBottom w:val="0"/>
          <w:divBdr>
            <w:top w:val="none" w:sz="0" w:space="0" w:color="auto"/>
            <w:left w:val="none" w:sz="0" w:space="0" w:color="auto"/>
            <w:bottom w:val="none" w:sz="0" w:space="0" w:color="auto"/>
            <w:right w:val="none" w:sz="0" w:space="0" w:color="auto"/>
          </w:divBdr>
          <w:divsChild>
            <w:div w:id="1289703593">
              <w:marLeft w:val="0"/>
              <w:marRight w:val="0"/>
              <w:marTop w:val="0"/>
              <w:marBottom w:val="0"/>
              <w:divBdr>
                <w:top w:val="none" w:sz="0" w:space="0" w:color="auto"/>
                <w:left w:val="none" w:sz="0" w:space="0" w:color="auto"/>
                <w:bottom w:val="none" w:sz="0" w:space="0" w:color="auto"/>
                <w:right w:val="none" w:sz="0" w:space="0" w:color="auto"/>
              </w:divBdr>
              <w:divsChild>
                <w:div w:id="1289703602">
                  <w:marLeft w:val="0"/>
                  <w:marRight w:val="0"/>
                  <w:marTop w:val="0"/>
                  <w:marBottom w:val="0"/>
                  <w:divBdr>
                    <w:top w:val="none" w:sz="0" w:space="0" w:color="auto"/>
                    <w:left w:val="none" w:sz="0" w:space="0" w:color="auto"/>
                    <w:bottom w:val="none" w:sz="0" w:space="0" w:color="auto"/>
                    <w:right w:val="none" w:sz="0" w:space="0" w:color="auto"/>
                  </w:divBdr>
                  <w:divsChild>
                    <w:div w:id="1289703600">
                      <w:marLeft w:val="230"/>
                      <w:marRight w:val="230"/>
                      <w:marTop w:val="0"/>
                      <w:marBottom w:val="115"/>
                      <w:divBdr>
                        <w:top w:val="none" w:sz="0" w:space="0" w:color="auto"/>
                        <w:left w:val="none" w:sz="0" w:space="0" w:color="auto"/>
                        <w:bottom w:val="none" w:sz="0" w:space="0" w:color="auto"/>
                        <w:right w:val="none" w:sz="0" w:space="0" w:color="auto"/>
                      </w:divBdr>
                      <w:divsChild>
                        <w:div w:id="1289703598">
                          <w:marLeft w:val="0"/>
                          <w:marRight w:val="0"/>
                          <w:marTop w:val="0"/>
                          <w:marBottom w:val="0"/>
                          <w:divBdr>
                            <w:top w:val="none" w:sz="0" w:space="0" w:color="auto"/>
                            <w:left w:val="none" w:sz="0" w:space="0" w:color="auto"/>
                            <w:bottom w:val="none" w:sz="0" w:space="0" w:color="auto"/>
                            <w:right w:val="none" w:sz="0" w:space="0" w:color="auto"/>
                          </w:divBdr>
                          <w:divsChild>
                            <w:div w:id="1289703586">
                              <w:marLeft w:val="0"/>
                              <w:marRight w:val="0"/>
                              <w:marTop w:val="0"/>
                              <w:marBottom w:val="0"/>
                              <w:divBdr>
                                <w:top w:val="none" w:sz="0" w:space="0" w:color="auto"/>
                                <w:left w:val="none" w:sz="0" w:space="0" w:color="auto"/>
                                <w:bottom w:val="none" w:sz="0" w:space="0" w:color="auto"/>
                                <w:right w:val="none" w:sz="0" w:space="0" w:color="auto"/>
                              </w:divBdr>
                              <w:divsChild>
                                <w:div w:id="1289703595">
                                  <w:marLeft w:val="0"/>
                                  <w:marRight w:val="0"/>
                                  <w:marTop w:val="0"/>
                                  <w:marBottom w:val="0"/>
                                  <w:divBdr>
                                    <w:top w:val="none" w:sz="0" w:space="0" w:color="auto"/>
                                    <w:left w:val="none" w:sz="0" w:space="0" w:color="auto"/>
                                    <w:bottom w:val="none" w:sz="0" w:space="0" w:color="auto"/>
                                    <w:right w:val="none" w:sz="0" w:space="0" w:color="auto"/>
                                  </w:divBdr>
                                  <w:divsChild>
                                    <w:div w:id="1289703588">
                                      <w:marLeft w:val="0"/>
                                      <w:marRight w:val="0"/>
                                      <w:marTop w:val="0"/>
                                      <w:marBottom w:val="0"/>
                                      <w:divBdr>
                                        <w:top w:val="none" w:sz="0" w:space="0" w:color="auto"/>
                                        <w:left w:val="none" w:sz="0" w:space="0" w:color="auto"/>
                                        <w:bottom w:val="none" w:sz="0" w:space="0" w:color="auto"/>
                                        <w:right w:val="none" w:sz="0" w:space="0" w:color="auto"/>
                                      </w:divBdr>
                                      <w:divsChild>
                                        <w:div w:id="1289703597">
                                          <w:marLeft w:val="184"/>
                                          <w:marRight w:val="0"/>
                                          <w:marTop w:val="0"/>
                                          <w:marBottom w:val="138"/>
                                          <w:divBdr>
                                            <w:top w:val="none" w:sz="0" w:space="0" w:color="auto"/>
                                            <w:left w:val="none" w:sz="0" w:space="0" w:color="auto"/>
                                            <w:bottom w:val="none" w:sz="0" w:space="0" w:color="auto"/>
                                            <w:right w:val="none" w:sz="0" w:space="0" w:color="auto"/>
                                          </w:divBdr>
                                          <w:divsChild>
                                            <w:div w:id="1289703585">
                                              <w:marLeft w:val="0"/>
                                              <w:marRight w:val="0"/>
                                              <w:marTop w:val="0"/>
                                              <w:marBottom w:val="0"/>
                                              <w:divBdr>
                                                <w:top w:val="none" w:sz="0" w:space="0" w:color="auto"/>
                                                <w:left w:val="none" w:sz="0" w:space="0" w:color="auto"/>
                                                <w:bottom w:val="none" w:sz="0" w:space="0" w:color="auto"/>
                                                <w:right w:val="none" w:sz="0" w:space="0" w:color="auto"/>
                                              </w:divBdr>
                                              <w:divsChild>
                                                <w:div w:id="128970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9703596">
      <w:marLeft w:val="0"/>
      <w:marRight w:val="0"/>
      <w:marTop w:val="0"/>
      <w:marBottom w:val="0"/>
      <w:divBdr>
        <w:top w:val="none" w:sz="0" w:space="0" w:color="auto"/>
        <w:left w:val="none" w:sz="0" w:space="0" w:color="auto"/>
        <w:bottom w:val="none" w:sz="0" w:space="0" w:color="auto"/>
        <w:right w:val="none" w:sz="0" w:space="0" w:color="auto"/>
      </w:divBdr>
    </w:div>
    <w:div w:id="1289703599">
      <w:marLeft w:val="0"/>
      <w:marRight w:val="0"/>
      <w:marTop w:val="0"/>
      <w:marBottom w:val="0"/>
      <w:divBdr>
        <w:top w:val="none" w:sz="0" w:space="0" w:color="auto"/>
        <w:left w:val="none" w:sz="0" w:space="0" w:color="auto"/>
        <w:bottom w:val="none" w:sz="0" w:space="0" w:color="auto"/>
        <w:right w:val="none" w:sz="0" w:space="0" w:color="auto"/>
      </w:divBdr>
    </w:div>
    <w:div w:id="1289703601">
      <w:marLeft w:val="0"/>
      <w:marRight w:val="0"/>
      <w:marTop w:val="0"/>
      <w:marBottom w:val="0"/>
      <w:divBdr>
        <w:top w:val="none" w:sz="0" w:space="0" w:color="auto"/>
        <w:left w:val="none" w:sz="0" w:space="0" w:color="auto"/>
        <w:bottom w:val="none" w:sz="0" w:space="0" w:color="auto"/>
        <w:right w:val="none" w:sz="0" w:space="0" w:color="auto"/>
      </w:divBdr>
    </w:div>
    <w:div w:id="1990092204">
      <w:bodyDiv w:val="1"/>
      <w:marLeft w:val="0"/>
      <w:marRight w:val="0"/>
      <w:marTop w:val="0"/>
      <w:marBottom w:val="0"/>
      <w:divBdr>
        <w:top w:val="none" w:sz="0" w:space="0" w:color="auto"/>
        <w:left w:val="none" w:sz="0" w:space="0" w:color="auto"/>
        <w:bottom w:val="none" w:sz="0" w:space="0" w:color="auto"/>
        <w:right w:val="none" w:sz="0" w:space="0" w:color="auto"/>
      </w:divBdr>
      <w:divsChild>
        <w:div w:id="1913275970">
          <w:marLeft w:val="0"/>
          <w:marRight w:val="0"/>
          <w:marTop w:val="0"/>
          <w:marBottom w:val="0"/>
          <w:divBdr>
            <w:top w:val="none" w:sz="0" w:space="0" w:color="auto"/>
            <w:left w:val="none" w:sz="0" w:space="0" w:color="auto"/>
            <w:bottom w:val="none" w:sz="0" w:space="0" w:color="auto"/>
            <w:right w:val="none" w:sz="0" w:space="0" w:color="auto"/>
          </w:divBdr>
          <w:divsChild>
            <w:div w:id="1577327034">
              <w:marLeft w:val="0"/>
              <w:marRight w:val="0"/>
              <w:marTop w:val="0"/>
              <w:marBottom w:val="0"/>
              <w:divBdr>
                <w:top w:val="none" w:sz="0" w:space="0" w:color="auto"/>
                <w:left w:val="none" w:sz="0" w:space="0" w:color="auto"/>
                <w:bottom w:val="none" w:sz="0" w:space="0" w:color="auto"/>
                <w:right w:val="none" w:sz="0" w:space="0" w:color="auto"/>
              </w:divBdr>
              <w:divsChild>
                <w:div w:id="703359860">
                  <w:marLeft w:val="0"/>
                  <w:marRight w:val="0"/>
                  <w:marTop w:val="0"/>
                  <w:marBottom w:val="0"/>
                  <w:divBdr>
                    <w:top w:val="none" w:sz="0" w:space="0" w:color="auto"/>
                    <w:left w:val="none" w:sz="0" w:space="0" w:color="auto"/>
                    <w:bottom w:val="none" w:sz="0" w:space="0" w:color="auto"/>
                    <w:right w:val="none" w:sz="0" w:space="0" w:color="auto"/>
                  </w:divBdr>
                  <w:divsChild>
                    <w:div w:id="965163433">
                      <w:marLeft w:val="0"/>
                      <w:marRight w:val="0"/>
                      <w:marTop w:val="0"/>
                      <w:marBottom w:val="0"/>
                      <w:divBdr>
                        <w:top w:val="none" w:sz="0" w:space="0" w:color="auto"/>
                        <w:left w:val="none" w:sz="0" w:space="0" w:color="auto"/>
                        <w:bottom w:val="none" w:sz="0" w:space="0" w:color="auto"/>
                        <w:right w:val="none" w:sz="0" w:space="0" w:color="auto"/>
                      </w:divBdr>
                      <w:divsChild>
                        <w:div w:id="239415494">
                          <w:marLeft w:val="0"/>
                          <w:marRight w:val="0"/>
                          <w:marTop w:val="0"/>
                          <w:marBottom w:val="0"/>
                          <w:divBdr>
                            <w:top w:val="none" w:sz="0" w:space="0" w:color="auto"/>
                            <w:left w:val="none" w:sz="0" w:space="0" w:color="auto"/>
                            <w:bottom w:val="none" w:sz="0" w:space="0" w:color="auto"/>
                            <w:right w:val="none" w:sz="0" w:space="0" w:color="auto"/>
                          </w:divBdr>
                          <w:divsChild>
                            <w:div w:id="375593669">
                              <w:marLeft w:val="0"/>
                              <w:marRight w:val="0"/>
                              <w:marTop w:val="0"/>
                              <w:marBottom w:val="0"/>
                              <w:divBdr>
                                <w:top w:val="none" w:sz="0" w:space="0" w:color="auto"/>
                                <w:left w:val="none" w:sz="0" w:space="0" w:color="auto"/>
                                <w:bottom w:val="none" w:sz="0" w:space="0" w:color="auto"/>
                                <w:right w:val="none" w:sz="0" w:space="0" w:color="auto"/>
                              </w:divBdr>
                              <w:divsChild>
                                <w:div w:id="535508236">
                                  <w:marLeft w:val="0"/>
                                  <w:marRight w:val="0"/>
                                  <w:marTop w:val="0"/>
                                  <w:marBottom w:val="0"/>
                                  <w:divBdr>
                                    <w:top w:val="none" w:sz="0" w:space="0" w:color="auto"/>
                                    <w:left w:val="none" w:sz="0" w:space="0" w:color="auto"/>
                                    <w:bottom w:val="none" w:sz="0" w:space="0" w:color="auto"/>
                                    <w:right w:val="none" w:sz="0" w:space="0" w:color="auto"/>
                                  </w:divBdr>
                                  <w:divsChild>
                                    <w:div w:id="163472709">
                                      <w:marLeft w:val="0"/>
                                      <w:marRight w:val="0"/>
                                      <w:marTop w:val="0"/>
                                      <w:marBottom w:val="0"/>
                                      <w:divBdr>
                                        <w:top w:val="none" w:sz="0" w:space="0" w:color="auto"/>
                                        <w:left w:val="none" w:sz="0" w:space="0" w:color="auto"/>
                                        <w:bottom w:val="none" w:sz="0" w:space="0" w:color="auto"/>
                                        <w:right w:val="none" w:sz="0" w:space="0" w:color="auto"/>
                                      </w:divBdr>
                                      <w:divsChild>
                                        <w:div w:id="1561407064">
                                          <w:marLeft w:val="0"/>
                                          <w:marRight w:val="0"/>
                                          <w:marTop w:val="0"/>
                                          <w:marBottom w:val="0"/>
                                          <w:divBdr>
                                            <w:top w:val="none" w:sz="0" w:space="0" w:color="auto"/>
                                            <w:left w:val="none" w:sz="0" w:space="0" w:color="auto"/>
                                            <w:bottom w:val="none" w:sz="0" w:space="0" w:color="auto"/>
                                            <w:right w:val="none" w:sz="0" w:space="0" w:color="auto"/>
                                          </w:divBdr>
                                          <w:divsChild>
                                            <w:div w:id="1295910778">
                                              <w:marLeft w:val="0"/>
                                              <w:marRight w:val="0"/>
                                              <w:marTop w:val="0"/>
                                              <w:marBottom w:val="0"/>
                                              <w:divBdr>
                                                <w:top w:val="none" w:sz="0" w:space="0" w:color="auto"/>
                                                <w:left w:val="none" w:sz="0" w:space="0" w:color="auto"/>
                                                <w:bottom w:val="none" w:sz="0" w:space="0" w:color="auto"/>
                                                <w:right w:val="none" w:sz="0" w:space="0" w:color="auto"/>
                                              </w:divBdr>
                                              <w:divsChild>
                                                <w:div w:id="2021614778">
                                                  <w:marLeft w:val="0"/>
                                                  <w:marRight w:val="0"/>
                                                  <w:marTop w:val="0"/>
                                                  <w:marBottom w:val="0"/>
                                                  <w:divBdr>
                                                    <w:top w:val="none" w:sz="0" w:space="0" w:color="auto"/>
                                                    <w:left w:val="none" w:sz="0" w:space="0" w:color="auto"/>
                                                    <w:bottom w:val="none" w:sz="0" w:space="0" w:color="auto"/>
                                                    <w:right w:val="none" w:sz="0" w:space="0" w:color="auto"/>
                                                  </w:divBdr>
                                                  <w:divsChild>
                                                    <w:div w:id="2028409500">
                                                      <w:marLeft w:val="0"/>
                                                      <w:marRight w:val="0"/>
                                                      <w:marTop w:val="0"/>
                                                      <w:marBottom w:val="0"/>
                                                      <w:divBdr>
                                                        <w:top w:val="none" w:sz="0" w:space="0" w:color="auto"/>
                                                        <w:left w:val="none" w:sz="0" w:space="0" w:color="auto"/>
                                                        <w:bottom w:val="none" w:sz="0" w:space="0" w:color="auto"/>
                                                        <w:right w:val="none" w:sz="0" w:space="0" w:color="auto"/>
                                                      </w:divBdr>
                                                      <w:divsChild>
                                                        <w:div w:id="755788043">
                                                          <w:marLeft w:val="0"/>
                                                          <w:marRight w:val="0"/>
                                                          <w:marTop w:val="0"/>
                                                          <w:marBottom w:val="0"/>
                                                          <w:divBdr>
                                                            <w:top w:val="none" w:sz="0" w:space="0" w:color="auto"/>
                                                            <w:left w:val="none" w:sz="0" w:space="0" w:color="auto"/>
                                                            <w:bottom w:val="none" w:sz="0" w:space="0" w:color="auto"/>
                                                            <w:right w:val="none" w:sz="0" w:space="0" w:color="auto"/>
                                                          </w:divBdr>
                                                          <w:divsChild>
                                                            <w:div w:id="172991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crct@contacts.bham.ac.uk" TargetMode="External"/><Relationship Id="rId18" Type="http://schemas.openxmlformats.org/officeDocument/2006/relationships/hyperlink" Target="https://www.birmingham.ac.uk/research/activity/mds/mds-rkto/governance/Glossary-of-Terms.asp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birmingham.ac.uk/research/activity/mds/mds-rkto/governance/index.aspx" TargetMode="External"/><Relationship Id="rId17" Type="http://schemas.openxmlformats.org/officeDocument/2006/relationships/hyperlink" Target="https://intranet.birmingham.ac.uk/hr/wellbeing/worksafe/biological/index.asp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legislation.gov.uk/uksi/2013/2996/made"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ranet.birmingham.ac.uk/hr/wellbeing/worksafe/biological/index.aspx"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www.legislation.gov.uk/ukpga/1990/16/contents" TargetMode="External"/><Relationship Id="rId23" Type="http://schemas.openxmlformats.org/officeDocument/2006/relationships/header" Target="header4.xml"/><Relationship Id="rId10" Type="http://schemas.openxmlformats.org/officeDocument/2006/relationships/footer" Target="footer2.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researchgovernance@contacts.bham.ac.uk" TargetMode="External"/><Relationship Id="rId22" Type="http://schemas.openxmlformats.org/officeDocument/2006/relationships/footer" Target="footer4.xml"/><Relationship Id="rId27"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1" Type="http://schemas.openxmlformats.org/officeDocument/2006/relationships/hyperlink" Target="http://www.birmingham.ac.uk/research/activity/mds/mds-rkto/governance/index.asp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birmingham.ac.uk/cr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BB725-F8B3-44B9-B51F-F5958AA66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7</Pages>
  <Words>2903</Words>
  <Characters>16548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UoB SOP template v8.0 vd 11-Oct-2019</vt:lpstr>
    </vt:vector>
  </TitlesOfParts>
  <Company>MDS</Company>
  <LinksUpToDate>false</LinksUpToDate>
  <CharactersWithSpaces>19413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UoB SOP template v8.0 vd 11-Oct-2019</dc:title>
  <dc:creator>Jamie Pugh</dc:creator>
  <cp:lastModifiedBy>Kari Bottolfsen (Life and Environmental Sciences)</cp:lastModifiedBy>
  <cp:revision>26</cp:revision>
  <cp:lastPrinted>2019-05-31T11:18:00Z</cp:lastPrinted>
  <dcterms:created xsi:type="dcterms:W3CDTF">2020-02-05T09:32:00Z</dcterms:created>
  <dcterms:modified xsi:type="dcterms:W3CDTF">2022-12-16T10:16:00Z</dcterms:modified>
</cp:coreProperties>
</file>