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10F0" w14:textId="77777777" w:rsidR="009F4967" w:rsidRDefault="009F4967" w:rsidP="009F4967">
      <w:pPr>
        <w:pStyle w:val="Title"/>
      </w:pPr>
      <w:r>
        <w:t>Quality Control Document:</w:t>
      </w:r>
    </w:p>
    <w:p w14:paraId="0B9E9B56" w14:textId="3F4000F7" w:rsidR="009F4967" w:rsidRPr="009F4967" w:rsidRDefault="00B01FB6" w:rsidP="009F4967">
      <w:pPr>
        <w:pStyle w:val="Title"/>
      </w:pPr>
      <w:r>
        <w:t>Sample Receipt, Labelling, Tracking and Storage</w:t>
      </w:r>
    </w:p>
    <w:p w14:paraId="5EB9E50B" w14:textId="77777777" w:rsidR="009F4967" w:rsidRDefault="009F4967" w:rsidP="009F4967"/>
    <w:p w14:paraId="1C94B6AF" w14:textId="77777777" w:rsidR="009F4967" w:rsidRPr="009F4967" w:rsidRDefault="009F4967" w:rsidP="009F4967"/>
    <w:p w14:paraId="10310954" w14:textId="3CCA15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5EE48409" w14:textId="77777777" w:rsidR="00B01FB6" w:rsidRDefault="00B01FB6" w:rsidP="00B01FB6">
      <w:r>
        <w:t xml:space="preserve">To allow complete and robust traceability of all human biomaterial samples (and aliquots thereof), receipt into the laboratory, labelling, tracking and storage must be considered and recorded. </w:t>
      </w:r>
    </w:p>
    <w:p w14:paraId="7FAA3C9C" w14:textId="1CCAE2E9" w:rsidR="00B01FB6" w:rsidRDefault="00B01FB6" w:rsidP="00B01FB6">
      <w:r w:rsidRPr="009647ED">
        <w:t xml:space="preserve">This document is designed to be used for clinical trials and for clinical studies using human tissue. It is possible to create a project specific sample </w:t>
      </w:r>
      <w:r>
        <w:t>management plan</w:t>
      </w:r>
      <w:r w:rsidRPr="009647ED">
        <w:t xml:space="preserve">, in which case it should contain the specifications outlined in </w:t>
      </w:r>
      <w:r w:rsidR="004126FA">
        <w:t xml:space="preserve">the </w:t>
      </w:r>
      <w:r w:rsidR="004126FA" w:rsidRPr="009647ED">
        <w:rPr>
          <w:i/>
          <w:iCs/>
          <w:color w:val="943634"/>
        </w:rPr>
        <w:t>Sample Management</w:t>
      </w:r>
      <w:r w:rsidR="004126FA" w:rsidRPr="009647ED">
        <w:rPr>
          <w:i/>
          <w:iCs/>
          <w:color w:val="943634"/>
        </w:rPr>
        <w:t xml:space="preserve"> </w:t>
      </w:r>
      <w:r w:rsidR="004126FA">
        <w:rPr>
          <w:i/>
          <w:iCs/>
          <w:color w:val="943634"/>
        </w:rPr>
        <w:t>SOP (</w:t>
      </w:r>
      <w:r w:rsidRPr="009647ED">
        <w:rPr>
          <w:i/>
          <w:iCs/>
          <w:color w:val="943634"/>
        </w:rPr>
        <w:t>UoB-CRL-SOP-003</w:t>
      </w:r>
      <w:r w:rsidR="004126FA">
        <w:rPr>
          <w:i/>
          <w:iCs/>
          <w:color w:val="943634"/>
        </w:rPr>
        <w:t>)</w:t>
      </w:r>
      <w:r w:rsidRPr="00920F7B">
        <w:rPr>
          <w:iCs/>
        </w:rPr>
        <w:t>.</w:t>
      </w:r>
    </w:p>
    <w:p w14:paraId="58DE4F98" w14:textId="31CD7A7E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63A06630" w14:textId="4EAE7CD2" w:rsidR="0017791A" w:rsidRDefault="0017791A" w:rsidP="0017791A">
      <w:pPr>
        <w:pStyle w:val="Numberlist"/>
      </w:pPr>
      <w:r>
        <w:t xml:space="preserve">Remove this first instruction page. </w:t>
      </w:r>
    </w:p>
    <w:p w14:paraId="2972FA37" w14:textId="77777777" w:rsidR="004126FA" w:rsidRDefault="004126FA" w:rsidP="004126FA">
      <w:pPr>
        <w:pStyle w:val="Heading2"/>
      </w:pPr>
      <w:r>
        <w:t>Sample Management Plan</w:t>
      </w:r>
    </w:p>
    <w:p w14:paraId="6F71BAFC" w14:textId="77777777" w:rsidR="009C7F84" w:rsidRDefault="009C7F84" w:rsidP="009C7F84">
      <w:pPr>
        <w:pStyle w:val="NumberlistforSOPs"/>
        <w:numPr>
          <w:ilvl w:val="0"/>
          <w:numId w:val="6"/>
        </w:numPr>
      </w:pPr>
      <w:bookmarkStart w:id="0" w:name="_Hlk120631079"/>
      <w:r w:rsidRPr="006023B3">
        <w:t>Upd</w:t>
      </w:r>
      <w:r>
        <w:t xml:space="preserve">ate the header to include the trial/study </w:t>
      </w:r>
      <w:r w:rsidRPr="006023B3">
        <w:t>ID</w:t>
      </w:r>
      <w:r>
        <w:t>.</w:t>
      </w:r>
    </w:p>
    <w:p w14:paraId="791F3E12" w14:textId="77777777" w:rsidR="009C7F84" w:rsidRDefault="009C7F84" w:rsidP="009C7F84">
      <w:pPr>
        <w:pStyle w:val="Numberlist"/>
      </w:pPr>
      <w:bookmarkStart w:id="1" w:name="_Hlk120630930"/>
      <w:bookmarkEnd w:id="0"/>
      <w:r>
        <w:t xml:space="preserve">Update the footer; include a version date and retain the document reference information relating to this quality control document (QCD). </w:t>
      </w:r>
    </w:p>
    <w:bookmarkEnd w:id="1"/>
    <w:p w14:paraId="488E9A9F" w14:textId="0809FE79" w:rsidR="00B01FB6" w:rsidRDefault="00B01FB6" w:rsidP="00B01FB6">
      <w:pPr>
        <w:pStyle w:val="NumberlistforSOPs"/>
        <w:numPr>
          <w:ilvl w:val="0"/>
          <w:numId w:val="6"/>
        </w:numPr>
        <w:rPr>
          <w:iCs/>
        </w:rPr>
      </w:pPr>
      <w:r>
        <w:rPr>
          <w:iCs/>
        </w:rPr>
        <w:t>Detail how samples and their aliquots should be labelled in the ‘Sample and aliquot labelling’ section.</w:t>
      </w:r>
    </w:p>
    <w:p w14:paraId="21CE981C" w14:textId="77777777" w:rsidR="00B01FB6" w:rsidRDefault="00B01FB6" w:rsidP="00B01FB6">
      <w:pPr>
        <w:pStyle w:val="bullet2"/>
        <w:ind w:left="720" w:right="340" w:hanging="360"/>
      </w:pPr>
      <w:r>
        <w:t>Ensure all samples have a unique identifier.</w:t>
      </w:r>
    </w:p>
    <w:p w14:paraId="0DAE358E" w14:textId="77777777" w:rsidR="00B01FB6" w:rsidRDefault="00B01FB6" w:rsidP="00B01FB6">
      <w:pPr>
        <w:pStyle w:val="bullet2"/>
        <w:ind w:left="720" w:right="340" w:hanging="360"/>
      </w:pPr>
      <w:r>
        <w:t>Ensure the labelling method enables the linking of all aliquots (and their derivatives) back to the original sample.</w:t>
      </w:r>
    </w:p>
    <w:p w14:paraId="6F4931B8" w14:textId="77777777" w:rsidR="00B01FB6" w:rsidRDefault="00B01FB6" w:rsidP="00B01FB6">
      <w:pPr>
        <w:pStyle w:val="NumberlistforSOPs"/>
        <w:numPr>
          <w:ilvl w:val="0"/>
          <w:numId w:val="6"/>
        </w:numPr>
      </w:pPr>
      <w:r>
        <w:t>Document the sample pathway through the laboratory.</w:t>
      </w:r>
    </w:p>
    <w:p w14:paraId="66055554" w14:textId="77777777" w:rsidR="00B01FB6" w:rsidRDefault="00B01FB6" w:rsidP="00B01FB6">
      <w:pPr>
        <w:pStyle w:val="bullet2"/>
        <w:ind w:left="720" w:right="340" w:hanging="360"/>
      </w:pPr>
      <w:r>
        <w:t>This could be illustrated through a written description or with the aid of a flow chart.</w:t>
      </w:r>
    </w:p>
    <w:p w14:paraId="75A77086" w14:textId="77777777" w:rsidR="00B01FB6" w:rsidRDefault="00B01FB6" w:rsidP="00B01FB6">
      <w:pPr>
        <w:pStyle w:val="bullet2"/>
        <w:ind w:left="720" w:right="340" w:hanging="360"/>
      </w:pPr>
      <w:r>
        <w:t>Consider sample receipt, processing, storage, usage and disposal stages.</w:t>
      </w:r>
    </w:p>
    <w:p w14:paraId="771E1B3B" w14:textId="77777777" w:rsidR="00B01FB6" w:rsidRDefault="00B01FB6" w:rsidP="00B01FB6">
      <w:pPr>
        <w:pStyle w:val="NumberlistforSOPs"/>
        <w:numPr>
          <w:ilvl w:val="0"/>
          <w:numId w:val="6"/>
        </w:numPr>
      </w:pPr>
      <w:r>
        <w:t>Record the sample storage locations to be used.</w:t>
      </w:r>
    </w:p>
    <w:p w14:paraId="5907921B" w14:textId="77777777" w:rsidR="00B01FB6" w:rsidRDefault="00B01FB6" w:rsidP="00B01FB6">
      <w:pPr>
        <w:pStyle w:val="bullet2"/>
        <w:ind w:left="720" w:right="340" w:hanging="360"/>
      </w:pPr>
      <w:r>
        <w:t>For example, “Urine aliquots will be stored in -80 Freezer Number 3 (-80) in Laboratory 4”.</w:t>
      </w:r>
    </w:p>
    <w:p w14:paraId="127CF066" w14:textId="77777777" w:rsidR="00B01FB6" w:rsidRDefault="00B01FB6" w:rsidP="00B01FB6">
      <w:pPr>
        <w:pStyle w:val="NumberlistforSOPs"/>
        <w:numPr>
          <w:ilvl w:val="0"/>
          <w:numId w:val="6"/>
        </w:numPr>
      </w:pPr>
      <w:r>
        <w:t>Detail the system (either electronic or paper based) that will be used to track samples through the laboratory</w:t>
      </w:r>
    </w:p>
    <w:p w14:paraId="616B7312" w14:textId="755C4E90" w:rsidR="00B01FB6" w:rsidRDefault="00B01FB6" w:rsidP="00B01FB6">
      <w:pPr>
        <w:pStyle w:val="bullet2"/>
        <w:ind w:left="720" w:right="340" w:hanging="360"/>
      </w:pPr>
      <w:r>
        <w:t>For example, “Pro-Curo will be used for sample tracking and can be accessed via (K:)/Laboratory/Trial/Sample Tracking”</w:t>
      </w:r>
    </w:p>
    <w:p w14:paraId="0AE3737E" w14:textId="4F26E82D" w:rsidR="009C7F84" w:rsidRPr="005C710B" w:rsidRDefault="009C7F84" w:rsidP="00B01FB6"/>
    <w:p w14:paraId="63592B07" w14:textId="7055C814" w:rsidR="009C7F84" w:rsidRDefault="009C7F84" w:rsidP="00B63EFD">
      <w:pPr>
        <w:tabs>
          <w:tab w:val="left" w:pos="3104"/>
        </w:tabs>
        <w:sectPr w:rsidR="009C7F84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65E83AE7" w14:textId="77777777" w:rsidR="00B01FB6" w:rsidRDefault="00B01FB6" w:rsidP="00B01FB6">
      <w:pPr>
        <w:pStyle w:val="NumberlistforSOPs"/>
        <w:numPr>
          <w:ilvl w:val="0"/>
          <w:numId w:val="6"/>
        </w:numPr>
      </w:pPr>
      <w:r>
        <w:lastRenderedPageBreak/>
        <w:t>Provide instructions for tracking system users. Consider:</w:t>
      </w:r>
    </w:p>
    <w:p w14:paraId="1928ABB4" w14:textId="77777777" w:rsidR="00B01FB6" w:rsidRDefault="00B01FB6" w:rsidP="00B01FB6">
      <w:pPr>
        <w:pStyle w:val="bullet2"/>
        <w:ind w:left="720" w:right="340" w:hanging="360"/>
      </w:pPr>
      <w:r>
        <w:t>User access levels</w:t>
      </w:r>
    </w:p>
    <w:p w14:paraId="484FCE90" w14:textId="77777777" w:rsidR="00B01FB6" w:rsidRDefault="00B01FB6" w:rsidP="00B01FB6">
      <w:pPr>
        <w:pStyle w:val="bullet2"/>
        <w:ind w:left="720" w:right="340" w:hanging="360"/>
      </w:pPr>
      <w:r>
        <w:t>Back-up requirements (if electronic)</w:t>
      </w:r>
    </w:p>
    <w:p w14:paraId="38B450AA" w14:textId="77777777" w:rsidR="00B01FB6" w:rsidRDefault="00B01FB6" w:rsidP="00B01FB6">
      <w:pPr>
        <w:pStyle w:val="bullet2"/>
        <w:ind w:left="720" w:right="340" w:hanging="360"/>
      </w:pPr>
      <w:r>
        <w:t>What information should be entered in each field</w:t>
      </w:r>
    </w:p>
    <w:p w14:paraId="7887683D" w14:textId="77777777" w:rsidR="00B01FB6" w:rsidRDefault="00B01FB6" w:rsidP="00B01FB6">
      <w:pPr>
        <w:pStyle w:val="bullet2"/>
        <w:ind w:left="720" w:right="340" w:hanging="360"/>
      </w:pPr>
      <w:r>
        <w:t>When to update the tracking system</w:t>
      </w:r>
    </w:p>
    <w:p w14:paraId="7DB6EE3B" w14:textId="77777777" w:rsidR="00B01FB6" w:rsidRDefault="00B01FB6" w:rsidP="00B01FB6">
      <w:pPr>
        <w:pStyle w:val="bullet2"/>
        <w:ind w:left="720" w:right="340" w:hanging="360"/>
      </w:pPr>
      <w:r>
        <w:t xml:space="preserve">How quality checks will be performed </w:t>
      </w:r>
    </w:p>
    <w:p w14:paraId="6DDE5A39" w14:textId="11845AB8" w:rsidR="00B01FB6" w:rsidRDefault="00B01FB6" w:rsidP="00B01FB6">
      <w:pPr>
        <w:pStyle w:val="NumberlistforSOPs"/>
        <w:numPr>
          <w:ilvl w:val="0"/>
          <w:numId w:val="6"/>
        </w:numPr>
      </w:pPr>
      <w:r>
        <w:t>File a copy of this form in the ‘Sample Tracking’ section of the Laboratory Master File (LMF)</w:t>
      </w:r>
      <w:r w:rsidR="004126FA">
        <w:t>. S</w:t>
      </w:r>
      <w:r w:rsidRPr="006023B3">
        <w:t xml:space="preserve">ee </w:t>
      </w:r>
      <w:r w:rsidR="004126FA">
        <w:t xml:space="preserve">quality control document (QCD) </w:t>
      </w:r>
      <w:bookmarkStart w:id="3" w:name="_GoBack"/>
      <w:r w:rsidR="004126FA" w:rsidRPr="00C65E1F">
        <w:rPr>
          <w:rStyle w:val="ReferencestootherSOPsQCDsChar"/>
        </w:rPr>
        <w:t>Set</w:t>
      </w:r>
      <w:bookmarkEnd w:id="3"/>
      <w:r w:rsidR="004126FA" w:rsidRPr="00C65E1F">
        <w:rPr>
          <w:rStyle w:val="ReferencestootherSOPsQCDsChar"/>
        </w:rPr>
        <w:t xml:space="preserve">ting </w:t>
      </w:r>
      <w:r w:rsidR="004126FA">
        <w:rPr>
          <w:rStyle w:val="ReferencestootherSOPsQCDsChar"/>
        </w:rPr>
        <w:t>U</w:t>
      </w:r>
      <w:r w:rsidR="004126FA" w:rsidRPr="00C65E1F">
        <w:rPr>
          <w:rStyle w:val="ReferencestootherSOPsQCDsChar"/>
        </w:rPr>
        <w:t>p a Laboratory Master File</w:t>
      </w:r>
      <w:r w:rsidR="004126FA">
        <w:t xml:space="preserve"> </w:t>
      </w:r>
      <w:r w:rsidR="004126FA">
        <w:rPr>
          <w:rStyle w:val="ReferencestootherSOPsQCDsChar"/>
        </w:rPr>
        <w:t>(U</w:t>
      </w:r>
      <w:r w:rsidRPr="00C65E1F">
        <w:rPr>
          <w:rStyle w:val="ReferencestootherSOPsQCDsChar"/>
        </w:rPr>
        <w:t>oB-CRL-QCD-001</w:t>
      </w:r>
      <w:r w:rsidR="004126FA">
        <w:rPr>
          <w:rStyle w:val="ReferencestootherSOPsQCDsChar"/>
        </w:rPr>
        <w:t xml:space="preserve">). </w:t>
      </w:r>
      <w:r w:rsidR="004126FA" w:rsidRPr="004126FA">
        <w:rPr>
          <w:bCs/>
          <w:i/>
          <w:iCs/>
        </w:rPr>
        <w:t>A</w:t>
      </w:r>
      <w:r w:rsidRPr="00B57C29">
        <w:rPr>
          <w:bCs/>
        </w:rPr>
        <w:t>rchive with the other trial</w:t>
      </w:r>
      <w:r>
        <w:rPr>
          <w:bCs/>
        </w:rPr>
        <w:t>/study</w:t>
      </w:r>
      <w:r w:rsidRPr="00B57C29">
        <w:rPr>
          <w:bCs/>
        </w:rPr>
        <w:t xml:space="preserve"> records upon closure</w:t>
      </w:r>
      <w:r w:rsidR="004126FA">
        <w:rPr>
          <w:bCs/>
        </w:rPr>
        <w:t xml:space="preserve">; see the </w:t>
      </w:r>
      <w:r w:rsidR="004126FA" w:rsidRPr="00B01FB6">
        <w:rPr>
          <w:rStyle w:val="ReferencestootherSOPsQCDsChar"/>
        </w:rPr>
        <w:t>Archiving</w:t>
      </w:r>
      <w:r w:rsidR="004126FA" w:rsidRPr="00B01FB6">
        <w:rPr>
          <w:rStyle w:val="ReferencestootherSOPsQCDsChar"/>
        </w:rPr>
        <w:t xml:space="preserve"> </w:t>
      </w:r>
      <w:r w:rsidR="004126FA">
        <w:rPr>
          <w:rStyle w:val="ReferencestootherSOPsQCDsChar"/>
        </w:rPr>
        <w:t>SOP (</w:t>
      </w:r>
      <w:r w:rsidRPr="00B01FB6">
        <w:rPr>
          <w:rStyle w:val="ReferencestootherSOPsQCDsChar"/>
        </w:rPr>
        <w:t>UoB-ARC-SOP-001</w:t>
      </w:r>
      <w:r w:rsidR="004126FA">
        <w:rPr>
          <w:rStyle w:val="ReferencestootherSOPsQCDsChar"/>
        </w:rPr>
        <w:t>)</w:t>
      </w:r>
      <w:r w:rsidRPr="006023B3">
        <w:t>.</w:t>
      </w:r>
    </w:p>
    <w:p w14:paraId="0C2F3D38" w14:textId="77777777" w:rsidR="00B01FB6" w:rsidRPr="009F47D9" w:rsidRDefault="00B01FB6" w:rsidP="00B01FB6">
      <w:pPr>
        <w:pStyle w:val="Heading2"/>
      </w:pPr>
      <w:r w:rsidRPr="009F47D9">
        <w:t>Sample Receipt Form</w:t>
      </w:r>
    </w:p>
    <w:p w14:paraId="0B4C3CED" w14:textId="1B608ED3" w:rsidR="00B01FB6" w:rsidRDefault="00B01FB6" w:rsidP="00B01FB6">
      <w:pPr>
        <w:pStyle w:val="NumberlistforSOPs"/>
        <w:numPr>
          <w:ilvl w:val="0"/>
          <w:numId w:val="6"/>
        </w:numPr>
      </w:pPr>
      <w:r w:rsidRPr="006023B3">
        <w:t>Upd</w:t>
      </w:r>
      <w:r>
        <w:t xml:space="preserve">ate </w:t>
      </w:r>
      <w:r w:rsidR="0038086B">
        <w:t xml:space="preserve">the </w:t>
      </w:r>
      <w:r>
        <w:t xml:space="preserve">header to include the trial/study </w:t>
      </w:r>
      <w:r w:rsidRPr="006023B3">
        <w:t>ID</w:t>
      </w:r>
      <w:r>
        <w:t>.</w:t>
      </w:r>
    </w:p>
    <w:p w14:paraId="4F4EEC2A" w14:textId="3D708874" w:rsidR="0038086B" w:rsidRDefault="0038086B" w:rsidP="0038086B">
      <w:pPr>
        <w:pStyle w:val="Numberlist"/>
      </w:pPr>
      <w:r>
        <w:t xml:space="preserve">Update the footer; include a version date and retain the document reference information relating to this QCD. </w:t>
      </w:r>
    </w:p>
    <w:p w14:paraId="3AE44529" w14:textId="6693A3CB" w:rsidR="00B01FB6" w:rsidRDefault="00B01FB6" w:rsidP="00B01FB6">
      <w:pPr>
        <w:pStyle w:val="NumberlistforSOPs"/>
        <w:numPr>
          <w:ilvl w:val="0"/>
          <w:numId w:val="6"/>
        </w:numPr>
      </w:pPr>
      <w:r>
        <w:t>Add any trial</w:t>
      </w:r>
      <w:r w:rsidR="0038086B">
        <w:t>-</w:t>
      </w:r>
      <w:r>
        <w:t>specific quality checks as appropriate.</w:t>
      </w:r>
    </w:p>
    <w:p w14:paraId="7E849848" w14:textId="5C4987CF" w:rsidR="00B01FB6" w:rsidRDefault="00B01FB6" w:rsidP="00B01FB6">
      <w:pPr>
        <w:pStyle w:val="NumberlistforSOPs"/>
        <w:numPr>
          <w:ilvl w:val="0"/>
          <w:numId w:val="6"/>
        </w:numPr>
      </w:pPr>
      <w:r>
        <w:t>File a blank copy of this form in the ‘Sample Tracking’ section of the LMF</w:t>
      </w:r>
      <w:r w:rsidR="004126FA">
        <w:t xml:space="preserve">. </w:t>
      </w:r>
      <w:r w:rsidR="004126FA">
        <w:t>S</w:t>
      </w:r>
      <w:r w:rsidR="004126FA" w:rsidRPr="006023B3">
        <w:t xml:space="preserve">ee </w:t>
      </w:r>
      <w:r w:rsidR="004126FA">
        <w:t xml:space="preserve">QCD </w:t>
      </w:r>
      <w:r w:rsidR="004126FA" w:rsidRPr="00C65E1F">
        <w:rPr>
          <w:rStyle w:val="ReferencestootherSOPsQCDsChar"/>
        </w:rPr>
        <w:t xml:space="preserve">Setting </w:t>
      </w:r>
      <w:r w:rsidR="004126FA">
        <w:rPr>
          <w:rStyle w:val="ReferencestootherSOPsQCDsChar"/>
        </w:rPr>
        <w:t>U</w:t>
      </w:r>
      <w:r w:rsidR="004126FA" w:rsidRPr="00C65E1F">
        <w:rPr>
          <w:rStyle w:val="ReferencestootherSOPsQCDsChar"/>
        </w:rPr>
        <w:t>p a Laboratory Master File</w:t>
      </w:r>
      <w:r w:rsidR="004126FA">
        <w:t xml:space="preserve"> </w:t>
      </w:r>
      <w:r w:rsidR="004126FA">
        <w:rPr>
          <w:rStyle w:val="ReferencestootherSOPsQCDsChar"/>
        </w:rPr>
        <w:t>(U</w:t>
      </w:r>
      <w:r w:rsidR="004126FA" w:rsidRPr="00C65E1F">
        <w:rPr>
          <w:rStyle w:val="ReferencestootherSOPsQCDsChar"/>
        </w:rPr>
        <w:t>oB-CRL-QCD-001</w:t>
      </w:r>
      <w:r w:rsidR="004126FA">
        <w:rPr>
          <w:rStyle w:val="ReferencestootherSOPsQCDsChar"/>
        </w:rPr>
        <w:t xml:space="preserve">). </w:t>
      </w:r>
      <w:r>
        <w:t xml:space="preserve">Use </w:t>
      </w:r>
      <w:r w:rsidR="004126FA">
        <w:t xml:space="preserve">the </w:t>
      </w:r>
      <w:r>
        <w:t>form whenever samples are received into the laboratory.</w:t>
      </w:r>
    </w:p>
    <w:p w14:paraId="0ABD2E01" w14:textId="77777777" w:rsidR="00B01FB6" w:rsidRPr="005F36D9" w:rsidRDefault="00B01FB6" w:rsidP="00B01FB6">
      <w:pPr>
        <w:pStyle w:val="NumberlistforSOPs"/>
        <w:numPr>
          <w:ilvl w:val="0"/>
          <w:numId w:val="6"/>
        </w:numPr>
      </w:pPr>
      <w:r>
        <w:t>Send a copy of the completed form to the sender.</w:t>
      </w:r>
    </w:p>
    <w:p w14:paraId="169AA2E0" w14:textId="638059BF" w:rsidR="00B01FB6" w:rsidRDefault="00B01FB6" w:rsidP="00B01FB6">
      <w:pPr>
        <w:pStyle w:val="NumberlistforSOPs"/>
        <w:numPr>
          <w:ilvl w:val="0"/>
          <w:numId w:val="6"/>
        </w:numPr>
      </w:pPr>
      <w:r>
        <w:t>File completed versions of this form in the ‘Sample Tracking’ section of the LMF</w:t>
      </w:r>
      <w:r w:rsidR="004126FA">
        <w:t>; s</w:t>
      </w:r>
      <w:r w:rsidRPr="006023B3">
        <w:t xml:space="preserve">ee </w:t>
      </w:r>
      <w:r w:rsidR="004126FA">
        <w:t xml:space="preserve">QCD </w:t>
      </w:r>
      <w:r w:rsidR="004126FA" w:rsidRPr="00C65E1F">
        <w:rPr>
          <w:rStyle w:val="ReferencestootherSOPsQCDsChar"/>
        </w:rPr>
        <w:t xml:space="preserve">Setting </w:t>
      </w:r>
      <w:r w:rsidR="004126FA">
        <w:rPr>
          <w:rStyle w:val="ReferencestootherSOPsQCDsChar"/>
        </w:rPr>
        <w:t>U</w:t>
      </w:r>
      <w:r w:rsidR="004126FA" w:rsidRPr="00C65E1F">
        <w:rPr>
          <w:rStyle w:val="ReferencestootherSOPsQCDsChar"/>
        </w:rPr>
        <w:t>p a Laboratory Master File</w:t>
      </w:r>
      <w:r w:rsidR="004126FA" w:rsidRPr="00C65E1F">
        <w:rPr>
          <w:rStyle w:val="ReferencestootherSOPsQCDsChar"/>
        </w:rPr>
        <w:t xml:space="preserve"> </w:t>
      </w:r>
      <w:r w:rsidR="004126FA">
        <w:rPr>
          <w:rStyle w:val="ReferencestootherSOPsQCDsChar"/>
        </w:rPr>
        <w:t>(</w:t>
      </w:r>
      <w:r w:rsidRPr="00C65E1F">
        <w:rPr>
          <w:rStyle w:val="ReferencestootherSOPsQCDsChar"/>
        </w:rPr>
        <w:t>UoB-CRL-QCD-001</w:t>
      </w:r>
      <w:r w:rsidR="004126FA">
        <w:rPr>
          <w:rStyle w:val="ReferencestootherSOPsQCDsChar"/>
        </w:rPr>
        <w:t>)</w:t>
      </w:r>
      <w:r w:rsidR="004126FA">
        <w:t>. A</w:t>
      </w:r>
      <w:r w:rsidRPr="00B57C29">
        <w:rPr>
          <w:bCs/>
        </w:rPr>
        <w:t>rchive with the other trial records upon closure</w:t>
      </w:r>
      <w:r w:rsidR="004126FA">
        <w:rPr>
          <w:bCs/>
        </w:rPr>
        <w:t xml:space="preserve">; </w:t>
      </w:r>
      <w:r w:rsidRPr="00B57C29">
        <w:rPr>
          <w:bCs/>
        </w:rPr>
        <w:t xml:space="preserve">see </w:t>
      </w:r>
      <w:r w:rsidR="004126FA" w:rsidRPr="00B01FB6">
        <w:rPr>
          <w:rStyle w:val="ReferencestootherSOPsQCDsChar"/>
        </w:rPr>
        <w:t>Archiving</w:t>
      </w:r>
      <w:r w:rsidR="004126FA">
        <w:rPr>
          <w:rStyle w:val="ReferencestootherSOPsQCDsChar"/>
        </w:rPr>
        <w:t xml:space="preserve"> SOP</w:t>
      </w:r>
      <w:r w:rsidR="004126FA">
        <w:rPr>
          <w:rStyle w:val="ReferencestootherSOPsQCDsChar"/>
        </w:rPr>
        <w:t xml:space="preserve"> (</w:t>
      </w:r>
      <w:r w:rsidRPr="00B01FB6">
        <w:rPr>
          <w:rStyle w:val="ReferencestootherSOPsQCDsChar"/>
        </w:rPr>
        <w:t>UoB-ARC-SOP-001</w:t>
      </w:r>
      <w:r w:rsidR="004126FA">
        <w:rPr>
          <w:rStyle w:val="ReferencestootherSOPsQCDsChar"/>
        </w:rPr>
        <w:t>)</w:t>
      </w:r>
      <w:r w:rsidR="004126FA" w:rsidRPr="004126FA">
        <w:rPr>
          <w:rStyle w:val="ReferencestootherSOPsQCDsChar"/>
          <w:color w:val="auto"/>
        </w:rPr>
        <w:t>.</w:t>
      </w:r>
    </w:p>
    <w:p w14:paraId="53C3DE82" w14:textId="77777777" w:rsidR="00B01FB6" w:rsidRDefault="00B01FB6" w:rsidP="00B01FB6">
      <w:pPr>
        <w:pStyle w:val="Heading1"/>
      </w:pPr>
      <w:r>
        <w:t>Related documents</w:t>
      </w:r>
    </w:p>
    <w:p w14:paraId="7C7A3FEE" w14:textId="77777777" w:rsidR="00B01FB6" w:rsidRPr="008E1FA8" w:rsidRDefault="00B01FB6" w:rsidP="00B01FB6">
      <w:pPr>
        <w:pStyle w:val="bullet1"/>
        <w:ind w:left="360" w:hanging="360"/>
      </w:pPr>
      <w:r w:rsidRPr="008E1FA8">
        <w:t>UoB-ARC-SOP-001 Archiving</w:t>
      </w:r>
    </w:p>
    <w:p w14:paraId="78F37CE0" w14:textId="77777777" w:rsidR="00B01FB6" w:rsidRPr="008E1FA8" w:rsidRDefault="00B01FB6" w:rsidP="00B01FB6">
      <w:pPr>
        <w:pStyle w:val="bullet1"/>
        <w:ind w:left="360" w:hanging="360"/>
      </w:pPr>
      <w:r w:rsidRPr="008E1FA8">
        <w:t>UoB-CRL-QCD-001 Setting Up a Laboratory Master File</w:t>
      </w:r>
    </w:p>
    <w:p w14:paraId="300AA17A" w14:textId="77777777" w:rsidR="00B01FB6" w:rsidRPr="008E1FA8" w:rsidRDefault="00B01FB6" w:rsidP="00B01FB6">
      <w:pPr>
        <w:pStyle w:val="bullet1"/>
        <w:ind w:left="360" w:hanging="360"/>
      </w:pPr>
      <w:r w:rsidRPr="008E1FA8">
        <w:t>UoB-CRL-QCD-005 Key Contacts</w:t>
      </w:r>
    </w:p>
    <w:p w14:paraId="22E181CA" w14:textId="5C2D3D8E" w:rsidR="00B01FB6" w:rsidRPr="008E1FA8" w:rsidRDefault="00B01FB6" w:rsidP="00B01FB6">
      <w:pPr>
        <w:pStyle w:val="bullet1"/>
        <w:ind w:left="360" w:hanging="360"/>
      </w:pPr>
      <w:r w:rsidRPr="008E1FA8">
        <w:t>UoB-CRL-SOP-001 Laboratory Set</w:t>
      </w:r>
      <w:r w:rsidR="0057301B">
        <w:t>-up</w:t>
      </w:r>
      <w:r w:rsidRPr="008E1FA8">
        <w:t xml:space="preserve"> and Management</w:t>
      </w:r>
    </w:p>
    <w:p w14:paraId="403CEC43" w14:textId="77777777" w:rsidR="00B01FB6" w:rsidRPr="008E1FA8" w:rsidRDefault="00B01FB6" w:rsidP="00B01FB6">
      <w:pPr>
        <w:pStyle w:val="bullet1"/>
        <w:ind w:left="360" w:hanging="360"/>
      </w:pPr>
      <w:r w:rsidRPr="008E1FA8">
        <w:t>UoB-CRL-SOP-002 Laboratory Facilities</w:t>
      </w:r>
    </w:p>
    <w:p w14:paraId="7C40A3EC" w14:textId="77777777" w:rsidR="00B01FB6" w:rsidRPr="008E1FA8" w:rsidRDefault="00B01FB6" w:rsidP="00B01FB6">
      <w:pPr>
        <w:pStyle w:val="bullet1"/>
        <w:ind w:left="360" w:hanging="360"/>
      </w:pPr>
      <w:r w:rsidRPr="008E1FA8">
        <w:t>UoB-CRL-SOP-003 Sample Management</w:t>
      </w:r>
    </w:p>
    <w:p w14:paraId="56DD8FEA" w14:textId="77777777" w:rsidR="00B01FB6" w:rsidRPr="008E1FA8" w:rsidRDefault="00B01FB6" w:rsidP="00B01FB6">
      <w:pPr>
        <w:pStyle w:val="bullet1"/>
        <w:ind w:left="360" w:hanging="360"/>
      </w:pPr>
      <w:r w:rsidRPr="008E1FA8">
        <w:t>UoB-CRL-SOP-004 Laboratory Analysis</w:t>
      </w:r>
    </w:p>
    <w:p w14:paraId="49B3A6B4" w14:textId="77777777" w:rsidR="00B01FB6" w:rsidRDefault="00B01FB6" w:rsidP="00B01FB6">
      <w:pPr>
        <w:pStyle w:val="bullet1"/>
      </w:pPr>
      <w:r w:rsidRPr="008E1FA8">
        <w:t>UoB-CRL-SOP-005 Reportable Issues</w:t>
      </w:r>
    </w:p>
    <w:p w14:paraId="1DBC5AC4" w14:textId="74AC8A71" w:rsidR="009C7F84" w:rsidRDefault="00B01FB6" w:rsidP="00B01FB6">
      <w:pPr>
        <w:rPr>
          <w:lang w:eastAsia="en-GB"/>
        </w:rPr>
      </w:pPr>
      <w:bookmarkStart w:id="4" w:name="_Hlk120631267"/>
      <w:proofErr w:type="spellStart"/>
      <w:r>
        <w:t>UoB</w:t>
      </w:r>
      <w:proofErr w:type="spellEnd"/>
      <w:r>
        <w:t xml:space="preserve"> QMS documents can be found on the </w:t>
      </w:r>
      <w:hyperlink r:id="rId11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2" w:tooltip="Email address for the Clinical Research Compliance Team (CRCT)" w:history="1">
        <w:r>
          <w:rPr>
            <w:rStyle w:val="Hyperlink"/>
            <w:lang w:eastAsia="en-GB"/>
          </w:rPr>
          <w:t>mailto:crct@contacts.bham.ac.uk</w:t>
        </w:r>
      </w:hyperlink>
      <w:r>
        <w:rPr>
          <w:lang w:eastAsia="en-GB"/>
        </w:rPr>
        <w:t>) and/or from the RGT (</w:t>
      </w:r>
      <w:hyperlink r:id="rId13" w:tooltip="Email address for the Research Governance Team (RGT)" w:history="1">
        <w:r w:rsidRPr="007D1003">
          <w:rPr>
            <w:rStyle w:val="Hyperlink"/>
            <w:lang w:eastAsia="en-GB"/>
          </w:rPr>
          <w:t>researchgovernance@contacts.bham.ac.uk</w:t>
        </w:r>
      </w:hyperlink>
      <w:r>
        <w:rPr>
          <w:rStyle w:val="Hyperlink"/>
          <w:color w:val="auto"/>
          <w:lang w:eastAsia="en-GB"/>
        </w:rPr>
        <w:t>)</w:t>
      </w:r>
      <w:bookmarkEnd w:id="4"/>
      <w:r>
        <w:rPr>
          <w:rStyle w:val="Hyperlink"/>
          <w:color w:val="auto"/>
          <w:lang w:eastAsia="en-GB"/>
        </w:rPr>
        <w:t>.</w:t>
      </w:r>
    </w:p>
    <w:p w14:paraId="288D179D" w14:textId="77777777" w:rsidR="009C7F84" w:rsidRDefault="009C7F84" w:rsidP="00174260">
      <w:pPr>
        <w:sectPr w:rsidR="009C7F84" w:rsidSect="00212610">
          <w:headerReference w:type="default" r:id="rId14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016"/>
      </w:tblGrid>
      <w:tr w:rsidR="00B01FB6" w:rsidRPr="008A053A" w14:paraId="3DEF54D5" w14:textId="77777777" w:rsidTr="00810F39">
        <w:trPr>
          <w:trHeight w:val="463"/>
        </w:trPr>
        <w:tc>
          <w:tcPr>
            <w:tcW w:w="9017" w:type="dxa"/>
            <w:tcBorders>
              <w:top w:val="single" w:sz="4" w:space="0" w:color="auto"/>
              <w:bottom w:val="dotted" w:sz="4" w:space="0" w:color="auto"/>
            </w:tcBorders>
          </w:tcPr>
          <w:p w14:paraId="7601CBAB" w14:textId="77777777" w:rsidR="00B01FB6" w:rsidRPr="00183271" w:rsidRDefault="00B01FB6" w:rsidP="00810F39">
            <w:pPr>
              <w:pStyle w:val="Heading2"/>
            </w:pPr>
            <w:r w:rsidRPr="00183271">
              <w:lastRenderedPageBreak/>
              <w:t xml:space="preserve">Sample </w:t>
            </w:r>
            <w:r>
              <w:t xml:space="preserve">and aliquot </w:t>
            </w:r>
            <w:r w:rsidRPr="00183271">
              <w:t xml:space="preserve">labelling </w:t>
            </w:r>
          </w:p>
        </w:tc>
      </w:tr>
      <w:tr w:rsidR="00B01FB6" w:rsidRPr="008A053A" w14:paraId="3F520F01" w14:textId="77777777" w:rsidTr="00810F39">
        <w:trPr>
          <w:trHeight w:val="463"/>
        </w:trPr>
        <w:tc>
          <w:tcPr>
            <w:tcW w:w="9017" w:type="dxa"/>
            <w:tcBorders>
              <w:top w:val="dotted" w:sz="4" w:space="0" w:color="auto"/>
            </w:tcBorders>
          </w:tcPr>
          <w:p w14:paraId="21965702" w14:textId="77777777" w:rsidR="00B01FB6" w:rsidRDefault="00B01FB6" w:rsidP="00810F39"/>
          <w:p w14:paraId="1F94A339" w14:textId="77777777" w:rsidR="00B01FB6" w:rsidRDefault="00B01FB6" w:rsidP="00810F39"/>
          <w:p w14:paraId="24467DBA" w14:textId="77777777" w:rsidR="00B01FB6" w:rsidRPr="009164B0" w:rsidRDefault="00B01FB6" w:rsidP="00810F39"/>
        </w:tc>
      </w:tr>
      <w:tr w:rsidR="00B01FB6" w:rsidRPr="008A053A" w14:paraId="58D2F4A2" w14:textId="77777777" w:rsidTr="00810F39">
        <w:trPr>
          <w:trHeight w:val="463"/>
        </w:trPr>
        <w:tc>
          <w:tcPr>
            <w:tcW w:w="9017" w:type="dxa"/>
          </w:tcPr>
          <w:p w14:paraId="4A166950" w14:textId="77777777" w:rsidR="00B01FB6" w:rsidRPr="00183271" w:rsidRDefault="00B01FB6" w:rsidP="00810F39">
            <w:pPr>
              <w:pStyle w:val="Heading2"/>
            </w:pPr>
            <w:r w:rsidRPr="00183271">
              <w:t xml:space="preserve">Sample </w:t>
            </w:r>
            <w:r>
              <w:t>pathway through the laboratory</w:t>
            </w:r>
          </w:p>
        </w:tc>
      </w:tr>
      <w:tr w:rsidR="00B01FB6" w:rsidRPr="008A053A" w14:paraId="7EFB9752" w14:textId="77777777" w:rsidTr="00810F39">
        <w:trPr>
          <w:trHeight w:val="463"/>
        </w:trPr>
        <w:tc>
          <w:tcPr>
            <w:tcW w:w="9017" w:type="dxa"/>
          </w:tcPr>
          <w:p w14:paraId="2FFFCB23" w14:textId="77777777" w:rsidR="00B01FB6" w:rsidRDefault="00B01FB6" w:rsidP="00810F39"/>
          <w:p w14:paraId="0320C0DB" w14:textId="77777777" w:rsidR="00B01FB6" w:rsidRDefault="00B01FB6" w:rsidP="00810F39"/>
          <w:p w14:paraId="1A933B72" w14:textId="77777777" w:rsidR="00B01FB6" w:rsidRDefault="00B01FB6" w:rsidP="00810F39"/>
          <w:p w14:paraId="1D5C4C80" w14:textId="77777777" w:rsidR="00B01FB6" w:rsidRDefault="00B01FB6" w:rsidP="00810F39"/>
          <w:p w14:paraId="78EF8AEF" w14:textId="77777777" w:rsidR="00B01FB6" w:rsidRDefault="00B01FB6" w:rsidP="00810F39"/>
          <w:p w14:paraId="18B1FB1F" w14:textId="77777777" w:rsidR="00B01FB6" w:rsidRPr="009164B0" w:rsidRDefault="00B01FB6" w:rsidP="00810F39"/>
        </w:tc>
      </w:tr>
      <w:tr w:rsidR="00B01FB6" w:rsidRPr="008A053A" w14:paraId="4CC1B2AD" w14:textId="77777777" w:rsidTr="00810F39">
        <w:trPr>
          <w:trHeight w:val="463"/>
        </w:trPr>
        <w:tc>
          <w:tcPr>
            <w:tcW w:w="9017" w:type="dxa"/>
          </w:tcPr>
          <w:p w14:paraId="14E9146F" w14:textId="77777777" w:rsidR="00B01FB6" w:rsidRPr="0090471F" w:rsidRDefault="00B01FB6" w:rsidP="00810F39">
            <w:pPr>
              <w:pStyle w:val="Heading2"/>
            </w:pPr>
            <w:r>
              <w:t>Sample storage location(s)</w:t>
            </w:r>
          </w:p>
        </w:tc>
      </w:tr>
      <w:tr w:rsidR="00B01FB6" w:rsidRPr="008A053A" w14:paraId="1FFBA892" w14:textId="77777777" w:rsidTr="00810F39">
        <w:trPr>
          <w:trHeight w:val="463"/>
        </w:trPr>
        <w:tc>
          <w:tcPr>
            <w:tcW w:w="9017" w:type="dxa"/>
          </w:tcPr>
          <w:p w14:paraId="3DF07435" w14:textId="77777777" w:rsidR="00B01FB6" w:rsidRDefault="00B01FB6" w:rsidP="00810F39"/>
          <w:p w14:paraId="4CA6FB88" w14:textId="77777777" w:rsidR="00B01FB6" w:rsidRDefault="00B01FB6" w:rsidP="00810F39"/>
          <w:p w14:paraId="3D0C67EC" w14:textId="77777777" w:rsidR="00B01FB6" w:rsidRPr="009164B0" w:rsidRDefault="00B01FB6" w:rsidP="00810F39"/>
        </w:tc>
      </w:tr>
      <w:tr w:rsidR="00B01FB6" w:rsidRPr="008A053A" w14:paraId="5A1BD08B" w14:textId="77777777" w:rsidTr="00810F39">
        <w:trPr>
          <w:trHeight w:val="463"/>
        </w:trPr>
        <w:tc>
          <w:tcPr>
            <w:tcW w:w="9017" w:type="dxa"/>
          </w:tcPr>
          <w:p w14:paraId="147EA8BB" w14:textId="77777777" w:rsidR="00B01FB6" w:rsidRDefault="00B01FB6" w:rsidP="00810F39">
            <w:pPr>
              <w:pStyle w:val="Heading2"/>
            </w:pPr>
            <w:r w:rsidRPr="0090471F">
              <w:t xml:space="preserve">Sample tracking </w:t>
            </w:r>
            <w:r>
              <w:t>system and user instructions</w:t>
            </w:r>
          </w:p>
        </w:tc>
      </w:tr>
      <w:tr w:rsidR="00B01FB6" w:rsidRPr="008A053A" w14:paraId="18B20C0F" w14:textId="77777777" w:rsidTr="00810F39">
        <w:trPr>
          <w:trHeight w:val="463"/>
        </w:trPr>
        <w:tc>
          <w:tcPr>
            <w:tcW w:w="9017" w:type="dxa"/>
          </w:tcPr>
          <w:p w14:paraId="781C50B0" w14:textId="77777777" w:rsidR="00B01FB6" w:rsidRDefault="00B01FB6" w:rsidP="00810F39"/>
          <w:p w14:paraId="71507B3A" w14:textId="77777777" w:rsidR="00B01FB6" w:rsidRDefault="00B01FB6" w:rsidP="00810F39"/>
          <w:p w14:paraId="379453AF" w14:textId="77777777" w:rsidR="00B01FB6" w:rsidRDefault="00B01FB6" w:rsidP="00810F39"/>
          <w:p w14:paraId="505B44E7" w14:textId="77777777" w:rsidR="00B01FB6" w:rsidRDefault="00B01FB6" w:rsidP="00810F39"/>
          <w:p w14:paraId="586F3413" w14:textId="77777777" w:rsidR="00B01FB6" w:rsidRDefault="00B01FB6" w:rsidP="00810F39"/>
          <w:p w14:paraId="3D2D94CB" w14:textId="77777777" w:rsidR="00B01FB6" w:rsidRDefault="00B01FB6" w:rsidP="00810F39"/>
        </w:tc>
      </w:tr>
    </w:tbl>
    <w:p w14:paraId="6ED484EE" w14:textId="3247F87E" w:rsidR="00B63EFD" w:rsidRDefault="00B63EFD" w:rsidP="00174260"/>
    <w:p w14:paraId="22A52C45" w14:textId="77777777" w:rsidR="00B01FB6" w:rsidRDefault="00B01FB6" w:rsidP="00174260">
      <w:pPr>
        <w:sectPr w:rsidR="00B01FB6" w:rsidSect="00212610">
          <w:headerReference w:type="default" r:id="rId15"/>
          <w:footerReference w:type="default" r:id="rId16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547"/>
        <w:gridCol w:w="6469"/>
      </w:tblGrid>
      <w:tr w:rsidR="00B01FB6" w:rsidRPr="008A053A" w14:paraId="4CD8ECB9" w14:textId="77777777" w:rsidTr="00810F39">
        <w:tc>
          <w:tcPr>
            <w:tcW w:w="9017" w:type="dxa"/>
            <w:gridSpan w:val="2"/>
          </w:tcPr>
          <w:p w14:paraId="7398ED6A" w14:textId="77777777" w:rsidR="00B01FB6" w:rsidRPr="009164B0" w:rsidRDefault="00B01FB6" w:rsidP="00810F39">
            <w:pPr>
              <w:pStyle w:val="Heading2"/>
            </w:pPr>
            <w:r>
              <w:lastRenderedPageBreak/>
              <w:t>Sample Details</w:t>
            </w:r>
          </w:p>
        </w:tc>
      </w:tr>
      <w:tr w:rsidR="00B01FB6" w:rsidRPr="008A053A" w14:paraId="34BA177E" w14:textId="77777777" w:rsidTr="00810F39">
        <w:trPr>
          <w:trHeight w:val="463"/>
        </w:trPr>
        <w:tc>
          <w:tcPr>
            <w:tcW w:w="2547" w:type="dxa"/>
          </w:tcPr>
          <w:p w14:paraId="38FE60BB" w14:textId="77777777" w:rsidR="00B01FB6" w:rsidRPr="009164B0" w:rsidRDefault="00B01FB6" w:rsidP="00810F39">
            <w:r>
              <w:t xml:space="preserve">Name of person receiving samples into the laboratory </w:t>
            </w:r>
          </w:p>
        </w:tc>
        <w:tc>
          <w:tcPr>
            <w:tcW w:w="6470" w:type="dxa"/>
          </w:tcPr>
          <w:p w14:paraId="11D1B283" w14:textId="77777777" w:rsidR="00B01FB6" w:rsidRPr="009164B0" w:rsidRDefault="00B01FB6" w:rsidP="00810F39"/>
        </w:tc>
      </w:tr>
      <w:tr w:rsidR="00B01FB6" w:rsidRPr="008A053A" w14:paraId="6745A108" w14:textId="77777777" w:rsidTr="00810F39">
        <w:trPr>
          <w:trHeight w:val="463"/>
        </w:trPr>
        <w:tc>
          <w:tcPr>
            <w:tcW w:w="2547" w:type="dxa"/>
          </w:tcPr>
          <w:p w14:paraId="622416B0" w14:textId="77777777" w:rsidR="00B01FB6" w:rsidRPr="009164B0" w:rsidRDefault="00B01FB6" w:rsidP="00810F39">
            <w:r>
              <w:t>Date (dd-mmm-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6470" w:type="dxa"/>
          </w:tcPr>
          <w:p w14:paraId="1D873695" w14:textId="77777777" w:rsidR="00B01FB6" w:rsidRPr="009164B0" w:rsidRDefault="00B01FB6" w:rsidP="00810F39"/>
        </w:tc>
      </w:tr>
      <w:tr w:rsidR="00B01FB6" w:rsidRPr="008A053A" w14:paraId="3D7C7342" w14:textId="77777777" w:rsidTr="00810F39">
        <w:trPr>
          <w:trHeight w:val="463"/>
        </w:trPr>
        <w:tc>
          <w:tcPr>
            <w:tcW w:w="2547" w:type="dxa"/>
          </w:tcPr>
          <w:p w14:paraId="753FA4DE" w14:textId="77777777" w:rsidR="00B01FB6" w:rsidRPr="009164B0" w:rsidRDefault="00B01FB6" w:rsidP="00810F39">
            <w:r>
              <w:t>Originating Site</w:t>
            </w:r>
          </w:p>
        </w:tc>
        <w:tc>
          <w:tcPr>
            <w:tcW w:w="6470" w:type="dxa"/>
          </w:tcPr>
          <w:p w14:paraId="25A4C73F" w14:textId="77777777" w:rsidR="00B01FB6" w:rsidRPr="009164B0" w:rsidRDefault="00B01FB6" w:rsidP="00810F39"/>
        </w:tc>
      </w:tr>
      <w:tr w:rsidR="00B01FB6" w:rsidRPr="008A053A" w14:paraId="11C35AF7" w14:textId="77777777" w:rsidTr="00810F39">
        <w:trPr>
          <w:trHeight w:val="463"/>
        </w:trPr>
        <w:tc>
          <w:tcPr>
            <w:tcW w:w="2547" w:type="dxa"/>
          </w:tcPr>
          <w:p w14:paraId="6A5E8DBB" w14:textId="77777777" w:rsidR="00B01FB6" w:rsidRPr="009164B0" w:rsidRDefault="00B01FB6" w:rsidP="00810F39">
            <w:r>
              <w:t>Sample Type</w:t>
            </w:r>
          </w:p>
        </w:tc>
        <w:tc>
          <w:tcPr>
            <w:tcW w:w="6470" w:type="dxa"/>
          </w:tcPr>
          <w:p w14:paraId="48702835" w14:textId="77777777" w:rsidR="00B01FB6" w:rsidRPr="009164B0" w:rsidRDefault="00B01FB6" w:rsidP="00810F39"/>
        </w:tc>
      </w:tr>
      <w:tr w:rsidR="00B01FB6" w:rsidRPr="008A053A" w14:paraId="3EFD805C" w14:textId="77777777" w:rsidTr="00810F39">
        <w:trPr>
          <w:trHeight w:val="463"/>
        </w:trPr>
        <w:tc>
          <w:tcPr>
            <w:tcW w:w="2547" w:type="dxa"/>
          </w:tcPr>
          <w:p w14:paraId="0E8563D1" w14:textId="77777777" w:rsidR="00B01FB6" w:rsidRPr="009164B0" w:rsidRDefault="00B01FB6" w:rsidP="00810F39">
            <w:r>
              <w:t>Sample IDs</w:t>
            </w:r>
          </w:p>
        </w:tc>
        <w:tc>
          <w:tcPr>
            <w:tcW w:w="6470" w:type="dxa"/>
          </w:tcPr>
          <w:p w14:paraId="2E52F13D" w14:textId="77777777" w:rsidR="00B01FB6" w:rsidRPr="009164B0" w:rsidRDefault="00B01FB6" w:rsidP="00810F39"/>
        </w:tc>
      </w:tr>
    </w:tbl>
    <w:p w14:paraId="0E14B69E" w14:textId="1E32230A" w:rsidR="009C7F84" w:rsidRDefault="009C7F84" w:rsidP="001742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649"/>
        <w:gridCol w:w="1367"/>
      </w:tblGrid>
      <w:tr w:rsidR="00B01FB6" w:rsidRPr="008A053A" w14:paraId="0C0D5488" w14:textId="77777777" w:rsidTr="00810F39">
        <w:trPr>
          <w:trHeight w:val="463"/>
        </w:trPr>
        <w:tc>
          <w:tcPr>
            <w:tcW w:w="7650" w:type="dxa"/>
          </w:tcPr>
          <w:p w14:paraId="6B20D4FD" w14:textId="77777777" w:rsidR="00B01FB6" w:rsidRDefault="00B01FB6" w:rsidP="00810F39">
            <w:pPr>
              <w:pStyle w:val="Heading2"/>
            </w:pPr>
            <w:r>
              <w:t>Sample Quality Checks</w:t>
            </w:r>
          </w:p>
        </w:tc>
        <w:tc>
          <w:tcPr>
            <w:tcW w:w="1367" w:type="dxa"/>
          </w:tcPr>
          <w:p w14:paraId="6597CFD7" w14:textId="77777777" w:rsidR="00B01FB6" w:rsidRPr="00F84D5C" w:rsidRDefault="00B01FB6" w:rsidP="00810F39">
            <w:pPr>
              <w:jc w:val="center"/>
              <w:rPr>
                <w:b/>
              </w:rPr>
            </w:pPr>
            <w:r w:rsidRPr="00F84D5C">
              <w:rPr>
                <w:b/>
              </w:rPr>
              <w:t>Yes / No</w:t>
            </w:r>
          </w:p>
        </w:tc>
      </w:tr>
      <w:tr w:rsidR="00B01FB6" w:rsidRPr="008A053A" w14:paraId="49C3CE94" w14:textId="77777777" w:rsidTr="00810F39">
        <w:trPr>
          <w:trHeight w:val="463"/>
        </w:trPr>
        <w:tc>
          <w:tcPr>
            <w:tcW w:w="7650" w:type="dxa"/>
          </w:tcPr>
          <w:p w14:paraId="7670AEAF" w14:textId="77777777" w:rsidR="00B01FB6" w:rsidRDefault="00B01FB6" w:rsidP="00810F39">
            <w:r>
              <w:t>Was the physical integrity of samples maintained during transport?</w:t>
            </w:r>
          </w:p>
        </w:tc>
        <w:tc>
          <w:tcPr>
            <w:tcW w:w="1367" w:type="dxa"/>
          </w:tcPr>
          <w:p w14:paraId="5BEA6223" w14:textId="77777777" w:rsidR="00B01FB6" w:rsidRDefault="00B01FB6" w:rsidP="00810F39"/>
        </w:tc>
      </w:tr>
      <w:tr w:rsidR="00B01FB6" w:rsidRPr="008A053A" w14:paraId="4F05D448" w14:textId="77777777" w:rsidTr="00810F39">
        <w:trPr>
          <w:trHeight w:val="463"/>
        </w:trPr>
        <w:tc>
          <w:tcPr>
            <w:tcW w:w="7650" w:type="dxa"/>
          </w:tcPr>
          <w:p w14:paraId="77D8D2E3" w14:textId="77777777" w:rsidR="00B01FB6" w:rsidRDefault="00B01FB6" w:rsidP="00810F39">
            <w:r>
              <w:t>Are all samples accounted for?</w:t>
            </w:r>
          </w:p>
        </w:tc>
        <w:tc>
          <w:tcPr>
            <w:tcW w:w="1367" w:type="dxa"/>
          </w:tcPr>
          <w:p w14:paraId="541F4779" w14:textId="77777777" w:rsidR="00B01FB6" w:rsidRDefault="00B01FB6" w:rsidP="00810F39"/>
        </w:tc>
      </w:tr>
      <w:tr w:rsidR="00B01FB6" w:rsidRPr="008A053A" w14:paraId="7F9F1DA9" w14:textId="77777777" w:rsidTr="00810F39">
        <w:trPr>
          <w:trHeight w:val="463"/>
        </w:trPr>
        <w:tc>
          <w:tcPr>
            <w:tcW w:w="7650" w:type="dxa"/>
          </w:tcPr>
          <w:p w14:paraId="2DADBA81" w14:textId="77777777" w:rsidR="00B01FB6" w:rsidRDefault="00B01FB6" w:rsidP="00810F39">
            <w:r>
              <w:t xml:space="preserve">Are samples free from patient identifiers? </w:t>
            </w:r>
          </w:p>
          <w:p w14:paraId="7CD8B35D" w14:textId="77777777" w:rsidR="00B01FB6" w:rsidRDefault="00B01FB6" w:rsidP="00810F39">
            <w:r>
              <w:t xml:space="preserve">(unless specific consent obtained for identifiers to remain) </w:t>
            </w:r>
          </w:p>
        </w:tc>
        <w:tc>
          <w:tcPr>
            <w:tcW w:w="1367" w:type="dxa"/>
          </w:tcPr>
          <w:p w14:paraId="2065E216" w14:textId="77777777" w:rsidR="00B01FB6" w:rsidRDefault="00B01FB6" w:rsidP="00810F39"/>
        </w:tc>
      </w:tr>
      <w:tr w:rsidR="00B01FB6" w:rsidRPr="008A053A" w14:paraId="76CDC60A" w14:textId="77777777" w:rsidTr="00810F39">
        <w:trPr>
          <w:trHeight w:val="463"/>
        </w:trPr>
        <w:tc>
          <w:tcPr>
            <w:tcW w:w="7650" w:type="dxa"/>
          </w:tcPr>
          <w:p w14:paraId="1641DB07" w14:textId="77777777" w:rsidR="00B01FB6" w:rsidRDefault="00B01FB6" w:rsidP="00810F39">
            <w:r>
              <w:t xml:space="preserve">Where samples require temperature control during transport, was this maintained? </w:t>
            </w:r>
          </w:p>
        </w:tc>
        <w:tc>
          <w:tcPr>
            <w:tcW w:w="1367" w:type="dxa"/>
          </w:tcPr>
          <w:p w14:paraId="777C4E1E" w14:textId="77777777" w:rsidR="00B01FB6" w:rsidRDefault="00B01FB6" w:rsidP="00810F39"/>
        </w:tc>
      </w:tr>
      <w:tr w:rsidR="00B01FB6" w:rsidRPr="008A053A" w14:paraId="4FF2B034" w14:textId="77777777" w:rsidTr="00810F39">
        <w:trPr>
          <w:trHeight w:val="463"/>
        </w:trPr>
        <w:tc>
          <w:tcPr>
            <w:tcW w:w="7650" w:type="dxa"/>
          </w:tcPr>
          <w:p w14:paraId="4F335243" w14:textId="77777777" w:rsidR="00B01FB6" w:rsidRDefault="00B01FB6" w:rsidP="00810F39">
            <w:r>
              <w:t>Are samples to be accepted and processed by the laboratory?</w:t>
            </w:r>
          </w:p>
          <w:p w14:paraId="7EE7AC14" w14:textId="77777777" w:rsidR="00B01FB6" w:rsidRDefault="00B01FB6" w:rsidP="00810F39">
            <w:r>
              <w:t xml:space="preserve">(in the case of damaged, unexpected or mislabelled samples follow the study specific processes) </w:t>
            </w:r>
          </w:p>
        </w:tc>
        <w:tc>
          <w:tcPr>
            <w:tcW w:w="1367" w:type="dxa"/>
          </w:tcPr>
          <w:p w14:paraId="18C17002" w14:textId="77777777" w:rsidR="00B01FB6" w:rsidRDefault="00B01FB6" w:rsidP="00810F39"/>
        </w:tc>
      </w:tr>
      <w:tr w:rsidR="00B01FB6" w:rsidRPr="008A053A" w14:paraId="0ADB1528" w14:textId="77777777" w:rsidTr="00810F39">
        <w:trPr>
          <w:trHeight w:val="463"/>
        </w:trPr>
        <w:tc>
          <w:tcPr>
            <w:tcW w:w="9017" w:type="dxa"/>
            <w:gridSpan w:val="2"/>
          </w:tcPr>
          <w:p w14:paraId="2C5E8C90" w14:textId="77777777" w:rsidR="00B01FB6" w:rsidRDefault="00B01FB6" w:rsidP="00810F39">
            <w:r>
              <w:t xml:space="preserve">If ‘No’, detail course of action to be taken </w:t>
            </w:r>
          </w:p>
          <w:p w14:paraId="424349B4" w14:textId="77777777" w:rsidR="00B01FB6" w:rsidRDefault="00B01FB6" w:rsidP="00810F39"/>
          <w:p w14:paraId="2A6F4C9E" w14:textId="77777777" w:rsidR="00B01FB6" w:rsidRDefault="00B01FB6" w:rsidP="00810F39"/>
        </w:tc>
      </w:tr>
    </w:tbl>
    <w:p w14:paraId="0476F367" w14:textId="77777777" w:rsidR="00B01FB6" w:rsidRPr="00B63EFD" w:rsidRDefault="00B01FB6" w:rsidP="00174260"/>
    <w:sectPr w:rsidR="00B01FB6" w:rsidRPr="00B63EFD" w:rsidSect="00212610">
      <w:headerReference w:type="default" r:id="rId17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5043" w14:textId="77777777" w:rsidR="009C7F84" w:rsidRDefault="009C7F84" w:rsidP="009E2541">
      <w:pPr>
        <w:spacing w:before="0" w:after="0"/>
      </w:pPr>
      <w:r>
        <w:separator/>
      </w:r>
    </w:p>
  </w:endnote>
  <w:endnote w:type="continuationSeparator" w:id="0">
    <w:p w14:paraId="69F263A3" w14:textId="77777777" w:rsidR="009C7F84" w:rsidRDefault="009C7F84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5F78E2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74AA692" w14:textId="7A4D46A1" w:rsidR="00A121AC" w:rsidRPr="009E2541" w:rsidRDefault="009C7F84" w:rsidP="00866324">
            <w:pPr>
              <w:pStyle w:val="Footer"/>
              <w:tabs>
                <w:tab w:val="right" w:pos="9026"/>
              </w:tabs>
            </w:pPr>
            <w:bookmarkStart w:id="2" w:name="_Hlk120631318"/>
            <w:r>
              <w:t>UoB-CRL-QCD-0</w:t>
            </w:r>
            <w:r w:rsidR="00B01FB6">
              <w:t>18</w:t>
            </w:r>
            <w:r>
              <w:t xml:space="preserve"> </w:t>
            </w:r>
            <w:r w:rsidR="00B01FB6">
              <w:t>Sample Receipt, Labelling, Tracking and Storage</w:t>
            </w:r>
            <w:r>
              <w:t xml:space="preserve"> v2.0 Effective date </w:t>
            </w:r>
            <w:r w:rsidR="004126FA">
              <w:t>03</w:t>
            </w:r>
            <w:r>
              <w:t>-</w:t>
            </w:r>
            <w:r w:rsidR="004126FA">
              <w:t>Jan</w:t>
            </w:r>
            <w:r>
              <w:t>-202</w:t>
            </w:r>
            <w:bookmarkEnd w:id="2"/>
            <w:r w:rsidR="004126FA">
              <w:t>3</w:t>
            </w:r>
            <w:r w:rsidR="00352C78" w:rsidRPr="00352C78">
              <w:tab/>
            </w:r>
            <w:r w:rsidR="0017791A">
              <w:t xml:space="preserve">Page </w:t>
            </w:r>
            <w:r w:rsidR="0017791A">
              <w:fldChar w:fldCharType="begin"/>
            </w:r>
            <w:r w:rsidR="0017791A">
              <w:instrText xml:space="preserve"> PAGE   \* MERGEFORMAT </w:instrText>
            </w:r>
            <w:r w:rsidR="0017791A">
              <w:fldChar w:fldCharType="separate"/>
            </w:r>
            <w:r w:rsidR="00174260">
              <w:rPr>
                <w:noProof/>
              </w:rPr>
              <w:t>2</w:t>
            </w:r>
            <w:r w:rsidR="0017791A">
              <w:fldChar w:fldCharType="end"/>
            </w:r>
            <w:r w:rsidR="0017791A"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494C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76CABB41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A7E93DD" w14:textId="77777777" w:rsidR="009F4967" w:rsidRDefault="0057301B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555258"/>
      <w:docPartObj>
        <w:docPartGallery w:val="Page Numbers (Bottom of Page)"/>
        <w:docPartUnique/>
      </w:docPartObj>
    </w:sdtPr>
    <w:sdtEndPr/>
    <w:sdtContent>
      <w:bookmarkStart w:id="5" w:name="_Hlk120705526" w:displacedByCustomXml="next"/>
      <w:sdt>
        <w:sdtPr>
          <w:id w:val="1112562150"/>
          <w:docPartObj>
            <w:docPartGallery w:val="Page Numbers (Top of Page)"/>
            <w:docPartUnique/>
          </w:docPartObj>
        </w:sdtPr>
        <w:sdtEndPr/>
        <w:sdtContent>
          <w:bookmarkStart w:id="6" w:name="_Hlk120631396" w:displacedByCustomXml="prev"/>
          <w:p w14:paraId="104EC3CA" w14:textId="66BA253C" w:rsidR="00866324" w:rsidRDefault="00866324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required&gt;</w:t>
            </w:r>
            <w:bookmarkEnd w:id="6"/>
            <w:bookmarkEnd w:id="5"/>
            <w:r>
              <w:tab/>
            </w:r>
          </w:p>
          <w:p w14:paraId="38B9D3AE" w14:textId="70455351" w:rsidR="00866324" w:rsidRPr="009E2541" w:rsidRDefault="00866324" w:rsidP="00866324">
            <w:pPr>
              <w:pStyle w:val="Footer"/>
              <w:tabs>
                <w:tab w:val="right" w:pos="9026"/>
              </w:tabs>
            </w:pPr>
            <w:r>
              <w:t>UoB-CRL-QCD-0</w:t>
            </w:r>
            <w:r w:rsidR="00B01FB6">
              <w:t>18</w:t>
            </w:r>
            <w:r>
              <w:t xml:space="preserve"> </w:t>
            </w:r>
            <w:r w:rsidR="00B01FB6">
              <w:t>Sample Receipt, Labelling, Tracking and Storage</w:t>
            </w:r>
            <w:r>
              <w:t xml:space="preserve"> v2.0 Effective date </w:t>
            </w:r>
            <w:r w:rsidR="004126FA">
              <w:t>03</w:t>
            </w:r>
            <w:r>
              <w:t>-</w:t>
            </w:r>
            <w:r w:rsidR="004126FA">
              <w:t>Jan</w:t>
            </w:r>
            <w:r>
              <w:t>-202</w:t>
            </w:r>
            <w:r w:rsidR="004126FA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0D60" w14:textId="77777777" w:rsidR="009C7F84" w:rsidRDefault="009C7F84" w:rsidP="009E2541">
      <w:pPr>
        <w:spacing w:before="0" w:after="0"/>
      </w:pPr>
      <w:r>
        <w:separator/>
      </w:r>
    </w:p>
  </w:footnote>
  <w:footnote w:type="continuationSeparator" w:id="0">
    <w:p w14:paraId="3951FE0C" w14:textId="77777777" w:rsidR="009C7F84" w:rsidRDefault="009C7F84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6C70" w14:textId="16E9ED93" w:rsidR="00212610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274BEA6F" wp14:editId="185A9B7E">
          <wp:simplePos x="0" y="0"/>
          <wp:positionH relativeFrom="column">
            <wp:posOffset>-314325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71" name="Picture 7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548">
      <w:tab/>
    </w:r>
    <w:r w:rsidR="00212610">
      <w:t>&lt;</w:t>
    </w:r>
    <w:r w:rsidR="00AE3918">
      <w:t>T</w:t>
    </w:r>
    <w:r w:rsidR="00212610">
      <w:t>itle&gt;</w:t>
    </w:r>
  </w:p>
  <w:p w14:paraId="4681DB14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228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04C3652D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02907416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7AC222F1" w14:textId="08FB1F41" w:rsidR="009F4967" w:rsidRDefault="009F4967" w:rsidP="00A121AC">
          <w:pPr>
            <w:pStyle w:val="Footer"/>
            <w:jc w:val="right"/>
          </w:pPr>
          <w:r>
            <w:t>UoB-</w:t>
          </w:r>
          <w:r w:rsidR="00866324">
            <w:t>CRL-QCD-0</w:t>
          </w:r>
          <w:r w:rsidR="00B01FB6">
            <w:t>18</w:t>
          </w:r>
        </w:p>
      </w:tc>
    </w:tr>
    <w:tr w:rsidR="009F4967" w14:paraId="7023A484" w14:textId="77777777" w:rsidTr="00D348D3">
      <w:trPr>
        <w:trHeight w:val="278"/>
      </w:trPr>
      <w:tc>
        <w:tcPr>
          <w:tcW w:w="1668" w:type="dxa"/>
          <w:vAlign w:val="center"/>
        </w:tcPr>
        <w:p w14:paraId="570D2FDC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2FF1F3D3" w14:textId="6D146713" w:rsidR="009F4967" w:rsidRDefault="00866324" w:rsidP="009F4967">
          <w:pPr>
            <w:pStyle w:val="Footer"/>
            <w:jc w:val="right"/>
          </w:pPr>
          <w:r>
            <w:t>2.0</w:t>
          </w:r>
        </w:p>
      </w:tc>
    </w:tr>
    <w:tr w:rsidR="009F4967" w14:paraId="0E095FCF" w14:textId="77777777" w:rsidTr="00D348D3">
      <w:trPr>
        <w:trHeight w:val="278"/>
      </w:trPr>
      <w:tc>
        <w:tcPr>
          <w:tcW w:w="1668" w:type="dxa"/>
          <w:vAlign w:val="center"/>
        </w:tcPr>
        <w:p w14:paraId="226B4501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8430452" w14:textId="39D48179" w:rsidR="009F4967" w:rsidRDefault="004126FA" w:rsidP="009F4967">
          <w:pPr>
            <w:pStyle w:val="Footer"/>
            <w:jc w:val="right"/>
          </w:pPr>
          <w:r>
            <w:t>03</w:t>
          </w:r>
          <w:r w:rsidR="00866324">
            <w:t>-</w:t>
          </w:r>
          <w:r>
            <w:t>Jan</w:t>
          </w:r>
          <w:r w:rsidR="00866324">
            <w:t>-2022</w:t>
          </w:r>
        </w:p>
      </w:tc>
    </w:tr>
    <w:tr w:rsidR="009F4967" w14:paraId="077092B0" w14:textId="77777777" w:rsidTr="00D348D3">
      <w:trPr>
        <w:trHeight w:val="278"/>
      </w:trPr>
      <w:tc>
        <w:tcPr>
          <w:tcW w:w="1668" w:type="dxa"/>
          <w:vAlign w:val="center"/>
        </w:tcPr>
        <w:p w14:paraId="18AD4D83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4B834EBD" w14:textId="74EB4668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4126FA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93773E6" w14:textId="77777777" w:rsidTr="00D348D3">
      <w:trPr>
        <w:trHeight w:val="278"/>
      </w:trPr>
      <w:tc>
        <w:tcPr>
          <w:tcW w:w="1668" w:type="dxa"/>
          <w:vAlign w:val="center"/>
        </w:tcPr>
        <w:p w14:paraId="04B81E3E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266CDBC2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1F6610E7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603563F1" wp14:editId="7B47F6EE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3394C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0329" w14:textId="2BF314A8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6432" behindDoc="0" locked="0" layoutInCell="1" allowOverlap="1" wp14:anchorId="2EE27587" wp14:editId="40C39B80">
          <wp:simplePos x="0" y="0"/>
          <wp:positionH relativeFrom="column">
            <wp:posOffset>-314325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6448D1">
      <w:t>Sample Receipt, Labelling, Tracking and Storage</w:t>
    </w:r>
  </w:p>
  <w:p w14:paraId="0EAA1B35" w14:textId="77777777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3716F" w14:textId="0A8A3301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ID:</w:t>
    </w:r>
    <w:r>
      <w:tab/>
    </w:r>
    <w:r w:rsidR="00B01FB6">
      <w:t>Sample Management Plan</w:t>
    </w:r>
  </w:p>
  <w:p w14:paraId="21A3A4BD" w14:textId="77777777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DD18" w14:textId="7E36CAF4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ID:</w:t>
    </w:r>
    <w:r>
      <w:tab/>
      <w:t>Sample Receipt Form</w:t>
    </w:r>
  </w:p>
  <w:p w14:paraId="2C40BDA8" w14:textId="77777777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4"/>
    <w:rsid w:val="000366F2"/>
    <w:rsid w:val="00051979"/>
    <w:rsid w:val="00056169"/>
    <w:rsid w:val="00174260"/>
    <w:rsid w:val="0017791A"/>
    <w:rsid w:val="001C1176"/>
    <w:rsid w:val="00201C7B"/>
    <w:rsid w:val="00212610"/>
    <w:rsid w:val="00231BC9"/>
    <w:rsid w:val="003247CD"/>
    <w:rsid w:val="00352C78"/>
    <w:rsid w:val="0038086B"/>
    <w:rsid w:val="003C0400"/>
    <w:rsid w:val="004126FA"/>
    <w:rsid w:val="00495AB8"/>
    <w:rsid w:val="00512385"/>
    <w:rsid w:val="00551B46"/>
    <w:rsid w:val="0057301B"/>
    <w:rsid w:val="006448D1"/>
    <w:rsid w:val="006D353E"/>
    <w:rsid w:val="00716230"/>
    <w:rsid w:val="007235D8"/>
    <w:rsid w:val="00785159"/>
    <w:rsid w:val="007B78A1"/>
    <w:rsid w:val="00866324"/>
    <w:rsid w:val="009A16FE"/>
    <w:rsid w:val="009C7F84"/>
    <w:rsid w:val="009E2541"/>
    <w:rsid w:val="009F4967"/>
    <w:rsid w:val="00A121AC"/>
    <w:rsid w:val="00A47580"/>
    <w:rsid w:val="00A8653B"/>
    <w:rsid w:val="00A918F1"/>
    <w:rsid w:val="00AB04CD"/>
    <w:rsid w:val="00AC31AE"/>
    <w:rsid w:val="00AE3918"/>
    <w:rsid w:val="00AF0598"/>
    <w:rsid w:val="00B01FB6"/>
    <w:rsid w:val="00B424BC"/>
    <w:rsid w:val="00B63EFD"/>
    <w:rsid w:val="00C4434C"/>
    <w:rsid w:val="00D44FA5"/>
    <w:rsid w:val="00DA4B36"/>
    <w:rsid w:val="00DB18F0"/>
    <w:rsid w:val="00DC3548"/>
    <w:rsid w:val="00DC5448"/>
    <w:rsid w:val="00E237E8"/>
    <w:rsid w:val="00E243E7"/>
    <w:rsid w:val="00E3726D"/>
    <w:rsid w:val="00E47D32"/>
    <w:rsid w:val="00E8640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B4ED"/>
  <w15:chartTrackingRefBased/>
  <w15:docId w15:val="{BD775C77-E378-42E4-83E8-11A0751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0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customStyle="1" w:styleId="NumberlistforSOPs">
    <w:name w:val="Numberlist for SOPs"/>
    <w:basedOn w:val="Normal"/>
    <w:rsid w:val="009C7F84"/>
    <w:pPr>
      <w:ind w:left="360" w:hanging="360"/>
    </w:pPr>
  </w:style>
  <w:style w:type="paragraph" w:styleId="List">
    <w:name w:val="List"/>
    <w:aliases w:val="Numberlist 1"/>
    <w:basedOn w:val="Normal"/>
    <w:autoRedefine/>
    <w:semiHidden/>
    <w:qFormat/>
    <w:rsid w:val="00B01FB6"/>
    <w:pPr>
      <w:spacing w:before="120"/>
      <w:ind w:left="71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searchgovernance@contacts.bham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rct@contacts.bham.ac.uk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rmingham.ac.uk/research/activity/mds/mds-rkto/governance/index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portrait%20-%20identifier-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identifier- v9.0 vd 19-Jan-2022</Template>
  <TotalTime>31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Kari Bottolfsen (Psychology)</dc:creator>
  <cp:keywords/>
  <dc:description/>
  <cp:lastModifiedBy>Kari Bottolfsen (Life and Environmental Sciences)</cp:lastModifiedBy>
  <cp:revision>8</cp:revision>
  <dcterms:created xsi:type="dcterms:W3CDTF">2022-11-29T16:49:00Z</dcterms:created>
  <dcterms:modified xsi:type="dcterms:W3CDTF">2022-12-02T06:28:00Z</dcterms:modified>
</cp:coreProperties>
</file>