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E3AA" w14:textId="77777777" w:rsidR="009F4967" w:rsidRDefault="009F4967" w:rsidP="009F4967">
      <w:pPr>
        <w:pStyle w:val="Title"/>
      </w:pPr>
      <w:r>
        <w:t>Quality Control Document:</w:t>
      </w:r>
    </w:p>
    <w:p w14:paraId="50B8D144" w14:textId="33EC2C08" w:rsidR="009F4967" w:rsidRPr="009F4967" w:rsidRDefault="00EB0DEA" w:rsidP="009F4967">
      <w:pPr>
        <w:pStyle w:val="Title"/>
      </w:pPr>
      <w:r>
        <w:t>Assay Validation</w:t>
      </w:r>
    </w:p>
    <w:p w14:paraId="5D40F5BE" w14:textId="77777777" w:rsidR="009F4967" w:rsidRDefault="009F4967" w:rsidP="009F4967"/>
    <w:p w14:paraId="20206446" w14:textId="77777777" w:rsidR="009F4967" w:rsidRPr="009F4967" w:rsidRDefault="009F4967" w:rsidP="009F4967"/>
    <w:p w14:paraId="15B39AA3" w14:textId="0225C4CC" w:rsidR="00E3726D" w:rsidRDefault="009E2541" w:rsidP="001C1176">
      <w:pPr>
        <w:pStyle w:val="Heading1"/>
        <w:tabs>
          <w:tab w:val="left" w:pos="5054"/>
        </w:tabs>
      </w:pPr>
      <w:r>
        <w:t>Purpose</w:t>
      </w:r>
    </w:p>
    <w:p w14:paraId="30476CB6" w14:textId="7C9D8E41" w:rsidR="00EB0DEA" w:rsidRDefault="00EB0DEA" w:rsidP="00EB0DEA">
      <w:r>
        <w:t xml:space="preserve">Analytical assays performed to Good Clinical Practice (GCP) standards must be properly validated prior to undertaking the analysis of clinical trial samples to ensure data integrity. The performance characteristics of the assay must be demonstrated to be suitable and reliable for the intended application through the use of specific laboratory investigations. In addition, acceptance criteria for each assay must be transparent and clearly defined. </w:t>
      </w:r>
    </w:p>
    <w:p w14:paraId="26402473" w14:textId="6A9976EA" w:rsidR="00DA4B36" w:rsidRDefault="00EB0DEA" w:rsidP="00DA4B36">
      <w:r>
        <w:t>This document provides a guideline for assay validation and gives examples of assay parameters which may be considered as part of the validation process. This document is designed to be used for clinical trials of investigational medicinal products (CTIMPs) but could also be used for non-CTIMP trials and studies to support best practice.</w:t>
      </w:r>
    </w:p>
    <w:p w14:paraId="05C32354" w14:textId="7DFB89D7" w:rsidR="009E2541" w:rsidRDefault="00B63EFD" w:rsidP="009E2541">
      <w:pPr>
        <w:pStyle w:val="Heading1"/>
      </w:pPr>
      <w:r>
        <w:t>I</w:t>
      </w:r>
      <w:r w:rsidR="009E2541">
        <w:t>nstructions</w:t>
      </w:r>
    </w:p>
    <w:p w14:paraId="56537CDC" w14:textId="77777777" w:rsidR="00EB0DEA" w:rsidRPr="006023B3" w:rsidRDefault="00EB0DEA" w:rsidP="00EB0DEA">
      <w:pPr>
        <w:pStyle w:val="NumberlistforSOPs"/>
        <w:numPr>
          <w:ilvl w:val="0"/>
          <w:numId w:val="6"/>
        </w:numPr>
      </w:pPr>
      <w:r w:rsidRPr="006023B3">
        <w:t>Remove this first instruction page</w:t>
      </w:r>
      <w:r>
        <w:t xml:space="preserve">. </w:t>
      </w:r>
    </w:p>
    <w:p w14:paraId="5BE9F42A" w14:textId="1B40DC26" w:rsidR="00EB0DEA" w:rsidRDefault="00EB0DEA" w:rsidP="00EB0DEA">
      <w:pPr>
        <w:pStyle w:val="NumberlistforSOPs"/>
        <w:numPr>
          <w:ilvl w:val="0"/>
          <w:numId w:val="6"/>
        </w:numPr>
      </w:pPr>
      <w:bookmarkStart w:id="0" w:name="_Hlk120631079"/>
      <w:r w:rsidRPr="006023B3">
        <w:t>Upd</w:t>
      </w:r>
      <w:r>
        <w:t xml:space="preserve">ate </w:t>
      </w:r>
      <w:r w:rsidR="006B241E">
        <w:t xml:space="preserve">the </w:t>
      </w:r>
      <w:r>
        <w:t xml:space="preserve">header to include the trial/study </w:t>
      </w:r>
      <w:r w:rsidRPr="006023B3">
        <w:t>ID</w:t>
      </w:r>
      <w:r>
        <w:t>.</w:t>
      </w:r>
    </w:p>
    <w:p w14:paraId="2AE2853C" w14:textId="2555A3DA" w:rsidR="006B241E" w:rsidRDefault="006B241E" w:rsidP="006B241E">
      <w:pPr>
        <w:pStyle w:val="Numberlist"/>
      </w:pPr>
      <w:bookmarkStart w:id="1" w:name="_Hlk120630930"/>
      <w:bookmarkEnd w:id="0"/>
      <w:r>
        <w:t>Update the footer</w:t>
      </w:r>
      <w:r w:rsidR="00D528DA">
        <w:t>;</w:t>
      </w:r>
      <w:r>
        <w:t xml:space="preserve"> </w:t>
      </w:r>
      <w:r w:rsidR="00D528DA">
        <w:t xml:space="preserve">include a version date and </w:t>
      </w:r>
      <w:r>
        <w:t>retain the document reference information relating to this quality control document (QCD).</w:t>
      </w:r>
      <w:r w:rsidR="00D528DA">
        <w:t xml:space="preserve"> </w:t>
      </w:r>
    </w:p>
    <w:bookmarkEnd w:id="1"/>
    <w:p w14:paraId="130D4539" w14:textId="77777777" w:rsidR="00EB0DEA" w:rsidRDefault="00EB0DEA" w:rsidP="00EB0DEA">
      <w:pPr>
        <w:pStyle w:val="Heading2"/>
      </w:pPr>
      <w:r>
        <w:t>Assay Validation Plan</w:t>
      </w:r>
    </w:p>
    <w:p w14:paraId="7F254B35" w14:textId="77777777" w:rsidR="00EB0DEA" w:rsidRDefault="00EB0DEA" w:rsidP="00EB0DEA">
      <w:pPr>
        <w:pStyle w:val="NumberlistforSOPs"/>
        <w:numPr>
          <w:ilvl w:val="0"/>
          <w:numId w:val="6"/>
        </w:numPr>
      </w:pPr>
      <w:r>
        <w:t>Remove red instruction text.</w:t>
      </w:r>
    </w:p>
    <w:p w14:paraId="54C33699" w14:textId="77777777" w:rsidR="00EB0DEA" w:rsidRDefault="00EB0DEA" w:rsidP="00EB0DEA">
      <w:pPr>
        <w:pStyle w:val="NumberlistforSOPs"/>
        <w:numPr>
          <w:ilvl w:val="0"/>
          <w:numId w:val="6"/>
        </w:numPr>
      </w:pPr>
      <w:r>
        <w:t>Complete an assay validation plan for each analytical assay of clinical trial samples to be completed by the laboratory.</w:t>
      </w:r>
    </w:p>
    <w:p w14:paraId="60127FA5" w14:textId="04BDDA97" w:rsidR="00EB0DEA" w:rsidRDefault="00EB0DEA" w:rsidP="00EB0DEA">
      <w:pPr>
        <w:pStyle w:val="NumberlistforSOPs"/>
        <w:numPr>
          <w:ilvl w:val="0"/>
          <w:numId w:val="6"/>
        </w:numPr>
      </w:pPr>
      <w:r>
        <w:t xml:space="preserve">Ensure the assay validation plan is approved by an appropriate member of the research team (e.g., the Laboratory Academic Lead (LAL), the Chief Investigator (CI).  </w:t>
      </w:r>
    </w:p>
    <w:p w14:paraId="3EC81849" w14:textId="613CA311" w:rsidR="00EB0DEA" w:rsidRDefault="00EB0DEA" w:rsidP="00EB0DEA">
      <w:pPr>
        <w:pStyle w:val="NumberlistforSOPs"/>
        <w:numPr>
          <w:ilvl w:val="0"/>
          <w:numId w:val="6"/>
        </w:numPr>
      </w:pPr>
      <w:r>
        <w:t>File each approved validation plan in the ‘Assay Validation’ section of the Laboratory Master File (LMF)</w:t>
      </w:r>
      <w:r w:rsidR="00533DA0">
        <w:t xml:space="preserve">; </w:t>
      </w:r>
      <w:r w:rsidRPr="006023B3">
        <w:t xml:space="preserve">see </w:t>
      </w:r>
      <w:bookmarkStart w:id="2" w:name="_Hlk120629462"/>
      <w:r w:rsidR="00533DA0">
        <w:t xml:space="preserve">quality control document (QCD) </w:t>
      </w:r>
      <w:r w:rsidR="00533DA0" w:rsidRPr="00F952F5">
        <w:rPr>
          <w:rStyle w:val="ReferencestootherSOPsQCDsChar"/>
        </w:rPr>
        <w:t xml:space="preserve">Setting </w:t>
      </w:r>
      <w:r w:rsidR="00533DA0">
        <w:rPr>
          <w:rStyle w:val="ReferencestootherSOPsQCDsChar"/>
        </w:rPr>
        <w:t>U</w:t>
      </w:r>
      <w:r w:rsidR="00533DA0" w:rsidRPr="00F952F5">
        <w:rPr>
          <w:rStyle w:val="ReferencestootherSOPsQCDsChar"/>
        </w:rPr>
        <w:t>p a Laboratory Master File</w:t>
      </w:r>
      <w:r w:rsidR="00533DA0" w:rsidRPr="00F952F5">
        <w:rPr>
          <w:rStyle w:val="ReferencestootherSOPsQCDsChar"/>
        </w:rPr>
        <w:t xml:space="preserve"> </w:t>
      </w:r>
      <w:r w:rsidR="00533DA0">
        <w:rPr>
          <w:rStyle w:val="ReferencestootherSOPsQCDsChar"/>
        </w:rPr>
        <w:t>(</w:t>
      </w:r>
      <w:r w:rsidRPr="00F952F5">
        <w:rPr>
          <w:rStyle w:val="ReferencestootherSOPsQCDsChar"/>
        </w:rPr>
        <w:t>UoB-CRL-QCD-001</w:t>
      </w:r>
      <w:bookmarkEnd w:id="2"/>
      <w:r w:rsidR="00533DA0">
        <w:rPr>
          <w:rStyle w:val="ReferencestootherSOPsQCDsChar"/>
        </w:rPr>
        <w:t>)</w:t>
      </w:r>
      <w:r w:rsidR="00533DA0" w:rsidRPr="00533DA0">
        <w:rPr>
          <w:rStyle w:val="ReferencestootherSOPsQCDsChar"/>
          <w:color w:val="auto"/>
        </w:rPr>
        <w:t>.</w:t>
      </w:r>
      <w:r w:rsidR="00533DA0">
        <w:rPr>
          <w:rStyle w:val="ReferencestootherSOPsQCDsChar"/>
        </w:rPr>
        <w:t xml:space="preserve"> </w:t>
      </w:r>
      <w:r w:rsidR="00533DA0" w:rsidRPr="00533DA0">
        <w:rPr>
          <w:rStyle w:val="ReferencestootherSOPsQCDsChar"/>
          <w:color w:val="auto"/>
        </w:rPr>
        <w:t>A</w:t>
      </w:r>
      <w:r w:rsidRPr="00533DA0">
        <w:rPr>
          <w:bCs/>
        </w:rPr>
        <w:t>rc</w:t>
      </w:r>
      <w:r w:rsidRPr="00B57C29">
        <w:rPr>
          <w:bCs/>
        </w:rPr>
        <w:t>hive with the other trial records upon closure</w:t>
      </w:r>
      <w:r w:rsidR="00533DA0">
        <w:rPr>
          <w:bCs/>
        </w:rPr>
        <w:t xml:space="preserve">; </w:t>
      </w:r>
      <w:r w:rsidRPr="00B57C29">
        <w:rPr>
          <w:bCs/>
        </w:rPr>
        <w:t xml:space="preserve">see </w:t>
      </w:r>
      <w:bookmarkStart w:id="3" w:name="_Hlk120629470"/>
      <w:r w:rsidR="00533DA0" w:rsidRPr="005170B4">
        <w:rPr>
          <w:rStyle w:val="ReferencestootherSOPsQCDsChar"/>
          <w:i w:val="0"/>
        </w:rPr>
        <w:t>Archiving</w:t>
      </w:r>
      <w:r w:rsidR="00533DA0" w:rsidRPr="005170B4">
        <w:rPr>
          <w:rStyle w:val="ReferencestootherSOPsQCDsChar"/>
          <w:i w:val="0"/>
        </w:rPr>
        <w:t xml:space="preserve"> </w:t>
      </w:r>
      <w:r w:rsidR="00533DA0">
        <w:rPr>
          <w:rStyle w:val="ReferencestootherSOPsQCDsChar"/>
          <w:i w:val="0"/>
        </w:rPr>
        <w:t>SOP (</w:t>
      </w:r>
      <w:r w:rsidRPr="005170B4">
        <w:rPr>
          <w:rStyle w:val="ReferencestootherSOPsQCDsChar"/>
          <w:i w:val="0"/>
        </w:rPr>
        <w:t>UoB-ARC-SOP-001</w:t>
      </w:r>
      <w:bookmarkEnd w:id="3"/>
      <w:r w:rsidR="00533DA0">
        <w:rPr>
          <w:rStyle w:val="ReferencestootherSOPsQCDsChar"/>
          <w:i w:val="0"/>
        </w:rPr>
        <w:t>)</w:t>
      </w:r>
      <w:r w:rsidRPr="006023B3">
        <w:t>.</w:t>
      </w:r>
    </w:p>
    <w:p w14:paraId="630F5A0A" w14:textId="77777777" w:rsidR="00EB0DEA" w:rsidRDefault="00EB0DEA" w:rsidP="00EB0DEA">
      <w:pPr>
        <w:pStyle w:val="Heading2"/>
      </w:pPr>
      <w:r>
        <w:t>Assay Validation Report</w:t>
      </w:r>
    </w:p>
    <w:p w14:paraId="40B10861" w14:textId="77777777" w:rsidR="00EB0DEA" w:rsidRDefault="00EB0DEA" w:rsidP="00EB0DEA">
      <w:pPr>
        <w:pStyle w:val="NumberlistforSOPs"/>
        <w:numPr>
          <w:ilvl w:val="0"/>
          <w:numId w:val="6"/>
        </w:numPr>
        <w:sectPr w:rsidR="00EB0DEA"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r>
        <w:t>Carry out the assay validation as described in Assay Validation Plan.</w:t>
      </w:r>
    </w:p>
    <w:p w14:paraId="34CC7C1D" w14:textId="77777777" w:rsidR="00EB0DEA" w:rsidRDefault="00EB0DEA" w:rsidP="00EB0DEA">
      <w:pPr>
        <w:pStyle w:val="NumberlistforSOPs"/>
        <w:numPr>
          <w:ilvl w:val="0"/>
          <w:numId w:val="6"/>
        </w:numPr>
      </w:pPr>
      <w:r>
        <w:lastRenderedPageBreak/>
        <w:t>Record the outcomes in the Assay Validation Report. Note - all assay validation reports must be approved by an appropriate member of the research team (e.g., the LAL, the CI) before the assay can be used to analyse clinical trial samples.</w:t>
      </w:r>
    </w:p>
    <w:p w14:paraId="23C23C94" w14:textId="27E908AD" w:rsidR="00EB0DEA" w:rsidRPr="006A5E76" w:rsidRDefault="00EB0DEA" w:rsidP="00EB0DEA">
      <w:pPr>
        <w:pStyle w:val="NumberlistforSOPs"/>
        <w:numPr>
          <w:ilvl w:val="0"/>
          <w:numId w:val="6"/>
        </w:numPr>
      </w:pPr>
      <w:r>
        <w:t>File each approved validation report in the ‘Assay Validation’ section of the LMF</w:t>
      </w:r>
      <w:r w:rsidR="00533DA0">
        <w:t xml:space="preserve">; </w:t>
      </w:r>
      <w:r w:rsidRPr="006023B3">
        <w:t xml:space="preserve">see </w:t>
      </w:r>
      <w:bookmarkStart w:id="4" w:name="_Hlk120629488"/>
      <w:r w:rsidR="00533DA0">
        <w:t xml:space="preserve">QCD </w:t>
      </w:r>
      <w:r w:rsidR="00533DA0" w:rsidRPr="00F952F5">
        <w:rPr>
          <w:rStyle w:val="ReferencestootherSOPsQCDsChar"/>
        </w:rPr>
        <w:t xml:space="preserve">Setting </w:t>
      </w:r>
      <w:r w:rsidR="00533DA0">
        <w:rPr>
          <w:rStyle w:val="ReferencestootherSOPsQCDsChar"/>
        </w:rPr>
        <w:t>U</w:t>
      </w:r>
      <w:r w:rsidR="00533DA0" w:rsidRPr="00F952F5">
        <w:rPr>
          <w:rStyle w:val="ReferencestootherSOPsQCDsChar"/>
        </w:rPr>
        <w:t>p a Laboratory Master File</w:t>
      </w:r>
      <w:r w:rsidR="00533DA0" w:rsidRPr="00F952F5">
        <w:rPr>
          <w:rStyle w:val="ReferencestootherSOPsQCDsChar"/>
        </w:rPr>
        <w:t xml:space="preserve"> </w:t>
      </w:r>
      <w:r w:rsidR="00533DA0">
        <w:rPr>
          <w:rStyle w:val="ReferencestootherSOPsQCDsChar"/>
        </w:rPr>
        <w:t>(</w:t>
      </w:r>
      <w:r w:rsidRPr="00F952F5">
        <w:rPr>
          <w:rStyle w:val="ReferencestootherSOPsQCDsChar"/>
        </w:rPr>
        <w:t>UoB-CRL-QCD-00</w:t>
      </w:r>
      <w:bookmarkEnd w:id="4"/>
      <w:r w:rsidR="00533DA0">
        <w:rPr>
          <w:rStyle w:val="ReferencestootherSOPsQCDsChar"/>
        </w:rPr>
        <w:t>)</w:t>
      </w:r>
      <w:r w:rsidR="00533DA0" w:rsidRPr="00533DA0">
        <w:rPr>
          <w:rStyle w:val="ReferencestootherSOPsQCDsChar"/>
          <w:color w:val="auto"/>
        </w:rPr>
        <w:t>.</w:t>
      </w:r>
      <w:r w:rsidR="00533DA0">
        <w:rPr>
          <w:rStyle w:val="ReferencestootherSOPsQCDsChar"/>
          <w:color w:val="auto"/>
        </w:rPr>
        <w:t xml:space="preserve"> A</w:t>
      </w:r>
      <w:r w:rsidRPr="00B57C29">
        <w:rPr>
          <w:bCs/>
        </w:rPr>
        <w:t>rchive with the other trial records upon closure</w:t>
      </w:r>
      <w:r w:rsidR="00533DA0">
        <w:rPr>
          <w:bCs/>
        </w:rPr>
        <w:t xml:space="preserve">; </w:t>
      </w:r>
      <w:r w:rsidRPr="00B57C29">
        <w:rPr>
          <w:bCs/>
        </w:rPr>
        <w:t xml:space="preserve">see </w:t>
      </w:r>
      <w:bookmarkStart w:id="5" w:name="_Hlk120629496"/>
      <w:r w:rsidR="00533DA0" w:rsidRPr="003030D7">
        <w:rPr>
          <w:rStyle w:val="ReferencestootherSOPsQCDsChar"/>
          <w:iCs w:val="0"/>
        </w:rPr>
        <w:t>Archiving</w:t>
      </w:r>
      <w:r w:rsidR="00533DA0">
        <w:rPr>
          <w:rStyle w:val="ReferencestootherSOPsQCDsChar"/>
          <w:iCs w:val="0"/>
        </w:rPr>
        <w:t xml:space="preserve"> SOP (</w:t>
      </w:r>
      <w:r w:rsidRPr="003030D7">
        <w:rPr>
          <w:rStyle w:val="ReferencestootherSOPsQCDsChar"/>
          <w:iCs w:val="0"/>
        </w:rPr>
        <w:t>UoB-ARC-SOP-001</w:t>
      </w:r>
      <w:bookmarkEnd w:id="5"/>
      <w:r w:rsidRPr="00533DA0">
        <w:rPr>
          <w:rStyle w:val="ReferencestootherSOPsQCDsChar"/>
        </w:rPr>
        <w:t>)</w:t>
      </w:r>
      <w:r w:rsidRPr="006023B3">
        <w:t>.</w:t>
      </w:r>
    </w:p>
    <w:p w14:paraId="552DA3BC" w14:textId="2C505862" w:rsidR="00EB0DEA" w:rsidRDefault="00EB0DEA" w:rsidP="00EB0DEA">
      <w:pPr>
        <w:pStyle w:val="Heading1"/>
      </w:pPr>
      <w:r w:rsidRPr="006561C0">
        <w:t>Related</w:t>
      </w:r>
      <w:r>
        <w:t xml:space="preserve"> documents</w:t>
      </w:r>
    </w:p>
    <w:p w14:paraId="3B4371A7" w14:textId="77777777" w:rsidR="00C466E9" w:rsidRDefault="00C466E9" w:rsidP="00EB0DEA">
      <w:pPr>
        <w:pStyle w:val="bullet1"/>
        <w:ind w:left="360" w:hanging="360"/>
      </w:pPr>
      <w:r>
        <w:t>UoB-ARC-SOP-001 Archiving</w:t>
      </w:r>
    </w:p>
    <w:p w14:paraId="256BEAF6" w14:textId="77777777" w:rsidR="00C466E9" w:rsidRPr="005C710B" w:rsidRDefault="00C466E9" w:rsidP="00EB0DEA">
      <w:pPr>
        <w:pStyle w:val="bullet1"/>
        <w:ind w:left="360" w:hanging="360"/>
      </w:pPr>
      <w:r>
        <w:t>UoB-CRL-QCD-001 Setting Up a Laboratory Master File</w:t>
      </w:r>
    </w:p>
    <w:p w14:paraId="3821AA4C" w14:textId="77777777" w:rsidR="00C466E9" w:rsidRPr="005C710B" w:rsidRDefault="00C466E9" w:rsidP="00EB0DEA">
      <w:pPr>
        <w:pStyle w:val="bullet1"/>
        <w:ind w:left="360" w:hanging="360"/>
      </w:pPr>
      <w:r w:rsidRPr="005C710B">
        <w:t>UoB-CRL-SOP-001 Laboratory Set</w:t>
      </w:r>
      <w:r>
        <w:t xml:space="preserve"> U</w:t>
      </w:r>
      <w:r w:rsidRPr="005C710B">
        <w:t>p and Management</w:t>
      </w:r>
    </w:p>
    <w:p w14:paraId="7E8EF1A8" w14:textId="77777777" w:rsidR="00C466E9" w:rsidRPr="005C710B" w:rsidRDefault="00C466E9" w:rsidP="00EB0DEA">
      <w:pPr>
        <w:pStyle w:val="bullet1"/>
        <w:ind w:left="360" w:hanging="360"/>
      </w:pPr>
      <w:r w:rsidRPr="005C710B">
        <w:t>UoB-CRL-SOP-002 Laboratory Facilities</w:t>
      </w:r>
    </w:p>
    <w:p w14:paraId="4CD9C83F" w14:textId="77777777" w:rsidR="00C466E9" w:rsidRPr="005C710B" w:rsidRDefault="00C466E9" w:rsidP="00EB0DEA">
      <w:pPr>
        <w:pStyle w:val="bullet1"/>
        <w:ind w:left="360" w:hanging="360"/>
      </w:pPr>
      <w:r w:rsidRPr="005C710B">
        <w:t>UoB-CRL-SOP-003 Sample Management</w:t>
      </w:r>
    </w:p>
    <w:p w14:paraId="59E3E96F" w14:textId="77777777" w:rsidR="00C466E9" w:rsidRPr="005C710B" w:rsidRDefault="00C466E9" w:rsidP="00EB0DEA">
      <w:pPr>
        <w:pStyle w:val="bullet1"/>
        <w:ind w:left="360" w:hanging="360"/>
      </w:pPr>
      <w:bookmarkStart w:id="6" w:name="_Hlk93044594"/>
      <w:r w:rsidRPr="005C710B">
        <w:t>UoB-CRL-SOP-004 Laboratory Analysis</w:t>
      </w:r>
    </w:p>
    <w:bookmarkEnd w:id="6"/>
    <w:p w14:paraId="177F2B48" w14:textId="77777777" w:rsidR="00C466E9" w:rsidRDefault="00C466E9" w:rsidP="00EB0DEA">
      <w:pPr>
        <w:pStyle w:val="bullet1"/>
        <w:ind w:left="360" w:hanging="360"/>
      </w:pPr>
      <w:r w:rsidRPr="005C710B">
        <w:t>UoB-CRL-SOP-005 Reportable Issues</w:t>
      </w:r>
    </w:p>
    <w:p w14:paraId="15E7EA8C" w14:textId="2FFAD658" w:rsidR="00EB0DEA" w:rsidRDefault="00D528DA" w:rsidP="00174260">
      <w:pPr>
        <w:sectPr w:rsidR="00EB0DEA" w:rsidSect="00212610">
          <w:footerReference w:type="default" r:id="rId11"/>
          <w:headerReference w:type="first" r:id="rId12"/>
          <w:pgSz w:w="11906" w:h="16838"/>
          <w:pgMar w:top="1440" w:right="1440" w:bottom="1440" w:left="1440" w:header="567" w:footer="567" w:gutter="0"/>
          <w:pgBorders>
            <w:top w:val="single" w:sz="12" w:space="3" w:color="943634"/>
            <w:bottom w:val="single" w:sz="12" w:space="3" w:color="943634"/>
          </w:pgBorders>
          <w:cols w:space="708"/>
          <w:docGrid w:linePitch="360"/>
        </w:sectPr>
      </w:pPr>
      <w:bookmarkStart w:id="8" w:name="_Hlk120631267"/>
      <w:proofErr w:type="spellStart"/>
      <w:r>
        <w:t>UoB</w:t>
      </w:r>
      <w:proofErr w:type="spellEnd"/>
      <w:r>
        <w:t xml:space="preserve"> QMS documents can be found on the </w:t>
      </w:r>
      <w:hyperlink r:id="rId13" w:tooltip="Website for the Clinical Research Compliance Team" w:history="1">
        <w:r>
          <w:rPr>
            <w:rStyle w:val="Hyperlink"/>
            <w:lang w:eastAsia="en-GB"/>
          </w:rPr>
          <w:t>CRCT website</w:t>
        </w:r>
      </w:hyperlink>
      <w:r>
        <w:rPr>
          <w:lang w:eastAsia="en-GB"/>
        </w:rPr>
        <w:t>. Internal work instructions can be obtained from the CRCT (</w:t>
      </w:r>
      <w:hyperlink r:id="rId14" w:tooltip="Email address for the Clinical Research Compliance Team (CRCT)" w:history="1">
        <w:r w:rsidR="00DD58C0">
          <w:rPr>
            <w:rStyle w:val="Hyperlink"/>
            <w:lang w:eastAsia="en-GB"/>
          </w:rPr>
          <w:t>mailto:crct@contacts.bham.ac.uk</w:t>
        </w:r>
      </w:hyperlink>
      <w:r>
        <w:rPr>
          <w:lang w:eastAsia="en-GB"/>
        </w:rPr>
        <w:t>) and/or from the RGT (</w:t>
      </w:r>
      <w:hyperlink r:id="rId15" w:tooltip="Email address for the Research Governance Team (RGT)" w:history="1">
        <w:r w:rsidRPr="007D1003">
          <w:rPr>
            <w:rStyle w:val="Hyperlink"/>
            <w:lang w:eastAsia="en-GB"/>
          </w:rPr>
          <w:t>researchgovernance@contacts.bham.ac.uk</w:t>
        </w:r>
      </w:hyperlink>
      <w:r>
        <w:rPr>
          <w:rStyle w:val="Hyperlink"/>
          <w:color w:val="auto"/>
          <w:lang w:eastAsia="en-GB"/>
        </w:rPr>
        <w:t>)</w:t>
      </w:r>
      <w:bookmarkEnd w:id="8"/>
      <w:r w:rsidR="00C92E61">
        <w:rPr>
          <w:rStyle w:val="Hyperlink"/>
          <w:color w:val="auto"/>
          <w:u w:val="none"/>
          <w:lang w:eastAsia="en-GB"/>
        </w:rPr>
        <w:t>.</w:t>
      </w:r>
    </w:p>
    <w:p w14:paraId="60D0CFB3" w14:textId="77777777" w:rsidR="00B630F4" w:rsidRPr="00D90AA8" w:rsidRDefault="00B630F4" w:rsidP="00B630F4">
      <w:pPr>
        <w:pStyle w:val="Heading1-table"/>
        <w:framePr w:wrap="around"/>
      </w:pPr>
      <w:r>
        <w:lastRenderedPageBreak/>
        <w:t>Validation Plan</w:t>
      </w:r>
    </w:p>
    <w:p w14:paraId="45BCF811" w14:textId="77777777" w:rsidR="00B630F4" w:rsidRPr="00D90AA8" w:rsidRDefault="00B630F4" w:rsidP="00B630F4"/>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9016"/>
      </w:tblGrid>
      <w:tr w:rsidR="00B630F4" w:rsidRPr="008A053A" w14:paraId="07E0D2DE" w14:textId="77777777" w:rsidTr="001D3E3D">
        <w:trPr>
          <w:trHeight w:val="418"/>
        </w:trPr>
        <w:tc>
          <w:tcPr>
            <w:tcW w:w="9017" w:type="dxa"/>
          </w:tcPr>
          <w:p w14:paraId="7D858F8B" w14:textId="77777777" w:rsidR="00B630F4" w:rsidRPr="00772B16" w:rsidRDefault="00B630F4" w:rsidP="001D3E3D">
            <w:pPr>
              <w:pStyle w:val="Heading2"/>
            </w:pPr>
            <w:r>
              <w:t>Assay Name</w:t>
            </w:r>
          </w:p>
        </w:tc>
      </w:tr>
      <w:tr w:rsidR="00B630F4" w:rsidRPr="008A053A" w14:paraId="25492121" w14:textId="77777777" w:rsidTr="001D3E3D">
        <w:trPr>
          <w:trHeight w:val="420"/>
        </w:trPr>
        <w:tc>
          <w:tcPr>
            <w:tcW w:w="9017" w:type="dxa"/>
          </w:tcPr>
          <w:p w14:paraId="57063C6E" w14:textId="77777777" w:rsidR="00B630F4" w:rsidRPr="00772B16" w:rsidRDefault="00B630F4" w:rsidP="001D3E3D">
            <w:pPr>
              <w:pStyle w:val="Heading3"/>
            </w:pPr>
          </w:p>
        </w:tc>
      </w:tr>
      <w:tr w:rsidR="00B630F4" w:rsidRPr="008A053A" w14:paraId="72ADB6D0" w14:textId="77777777" w:rsidTr="001D3E3D">
        <w:trPr>
          <w:trHeight w:val="420"/>
        </w:trPr>
        <w:tc>
          <w:tcPr>
            <w:tcW w:w="9017" w:type="dxa"/>
          </w:tcPr>
          <w:p w14:paraId="0188A850" w14:textId="77777777" w:rsidR="00B630F4" w:rsidRPr="00772B16" w:rsidRDefault="00B630F4" w:rsidP="001D3E3D">
            <w:pPr>
              <w:pStyle w:val="Heading2"/>
            </w:pPr>
            <w:r>
              <w:t>Assay details</w:t>
            </w:r>
          </w:p>
        </w:tc>
      </w:tr>
      <w:tr w:rsidR="00B630F4" w:rsidRPr="008A053A" w14:paraId="1A1ADB5B" w14:textId="77777777" w:rsidTr="001D3E3D">
        <w:trPr>
          <w:trHeight w:val="420"/>
        </w:trPr>
        <w:tc>
          <w:tcPr>
            <w:tcW w:w="9017" w:type="dxa"/>
          </w:tcPr>
          <w:p w14:paraId="0D4B3AC9" w14:textId="77777777" w:rsidR="00B630F4" w:rsidRPr="00772B16" w:rsidRDefault="00B630F4" w:rsidP="001D3E3D">
            <w:pPr>
              <w:spacing w:before="0" w:after="0"/>
            </w:pPr>
            <w:r w:rsidRPr="00230964">
              <w:rPr>
                <w:i/>
                <w:color w:val="FF0000"/>
              </w:rPr>
              <w:t>Method overview</w:t>
            </w:r>
          </w:p>
        </w:tc>
      </w:tr>
      <w:tr w:rsidR="00B630F4" w:rsidRPr="008A053A" w14:paraId="17D640EE" w14:textId="77777777" w:rsidTr="001D3E3D">
        <w:trPr>
          <w:trHeight w:val="420"/>
        </w:trPr>
        <w:tc>
          <w:tcPr>
            <w:tcW w:w="9017" w:type="dxa"/>
          </w:tcPr>
          <w:p w14:paraId="135DFD97" w14:textId="77777777" w:rsidR="00B630F4" w:rsidRPr="00772B16" w:rsidRDefault="00B630F4" w:rsidP="001D3E3D">
            <w:pPr>
              <w:pStyle w:val="Heading2"/>
            </w:pPr>
            <w:r w:rsidRPr="00772B16">
              <w:t>Assay Methodology</w:t>
            </w:r>
          </w:p>
        </w:tc>
      </w:tr>
      <w:tr w:rsidR="00B630F4" w:rsidRPr="008A053A" w14:paraId="50F1505D" w14:textId="77777777" w:rsidTr="001D3E3D">
        <w:trPr>
          <w:trHeight w:val="420"/>
        </w:trPr>
        <w:tc>
          <w:tcPr>
            <w:tcW w:w="9017" w:type="dxa"/>
          </w:tcPr>
          <w:p w14:paraId="1185B159" w14:textId="77777777" w:rsidR="00B630F4" w:rsidRPr="005E1BF5" w:rsidRDefault="00B630F4" w:rsidP="001D3E3D">
            <w:pPr>
              <w:spacing w:before="0" w:after="0"/>
              <w:rPr>
                <w:i/>
                <w:color w:val="FF0000"/>
              </w:rPr>
            </w:pPr>
            <w:r w:rsidRPr="005E1BF5">
              <w:rPr>
                <w:i/>
                <w:color w:val="FF0000"/>
              </w:rPr>
              <w:t>List the trial-specific procedures involved</w:t>
            </w:r>
            <w:r>
              <w:rPr>
                <w:i/>
                <w:color w:val="FF0000"/>
              </w:rPr>
              <w:t>,</w:t>
            </w:r>
            <w:r w:rsidRPr="005E1BF5">
              <w:rPr>
                <w:i/>
                <w:color w:val="FF0000"/>
              </w:rPr>
              <w:t xml:space="preserve"> giving the code and title for each.</w:t>
            </w:r>
          </w:p>
        </w:tc>
      </w:tr>
      <w:tr w:rsidR="00B630F4" w:rsidRPr="00F05633" w14:paraId="5431F5CE" w14:textId="77777777" w:rsidTr="001D3E3D">
        <w:trPr>
          <w:trHeight w:val="420"/>
        </w:trPr>
        <w:tc>
          <w:tcPr>
            <w:tcW w:w="9017" w:type="dxa"/>
          </w:tcPr>
          <w:p w14:paraId="54A4DFFE" w14:textId="77777777" w:rsidR="00B630F4" w:rsidRPr="00772B16" w:rsidRDefault="00B630F4" w:rsidP="001D3E3D">
            <w:pPr>
              <w:pStyle w:val="Heading2"/>
            </w:pPr>
            <w:r w:rsidRPr="00772B16">
              <w:t>Validation parameters being tested</w:t>
            </w:r>
          </w:p>
        </w:tc>
      </w:tr>
      <w:tr w:rsidR="00B630F4" w:rsidRPr="00F05633" w14:paraId="3EA11CF6" w14:textId="77777777" w:rsidTr="001D3E3D">
        <w:trPr>
          <w:trHeight w:val="420"/>
        </w:trPr>
        <w:tc>
          <w:tcPr>
            <w:tcW w:w="9017" w:type="dxa"/>
          </w:tcPr>
          <w:p w14:paraId="1BAFB435" w14:textId="77777777" w:rsidR="00B630F4" w:rsidRPr="00772B16" w:rsidRDefault="00B630F4" w:rsidP="001D3E3D">
            <w:pPr>
              <w:spacing w:before="0" w:after="0"/>
            </w:pPr>
            <w:r w:rsidRPr="005E1BF5">
              <w:rPr>
                <w:i/>
                <w:color w:val="FF0000"/>
              </w:rPr>
              <w:t>Describe how each of these parameters is being addressed during the validation. Justify any exclusion. It is accepted that not all performance parameters can be easily validated for some types of analytical assay e.g. some pharmacodynamic cell-based assays.</w:t>
            </w:r>
          </w:p>
        </w:tc>
      </w:tr>
      <w:tr w:rsidR="00B630F4" w:rsidRPr="00F05633" w14:paraId="5E7F252D" w14:textId="77777777" w:rsidTr="001D3E3D">
        <w:trPr>
          <w:trHeight w:val="420"/>
        </w:trPr>
        <w:tc>
          <w:tcPr>
            <w:tcW w:w="9017" w:type="dxa"/>
          </w:tcPr>
          <w:p w14:paraId="45E0DCB0" w14:textId="77777777" w:rsidR="00B630F4" w:rsidRPr="00772B16" w:rsidRDefault="00B630F4" w:rsidP="001D3E3D">
            <w:pPr>
              <w:pStyle w:val="Heading2"/>
            </w:pPr>
            <w:r w:rsidRPr="00772B16">
              <w:t>Characterisation of controls</w:t>
            </w:r>
          </w:p>
        </w:tc>
      </w:tr>
      <w:tr w:rsidR="00B630F4" w:rsidRPr="00F05633" w14:paraId="7DAE7C35" w14:textId="77777777" w:rsidTr="001D3E3D">
        <w:trPr>
          <w:trHeight w:val="420"/>
        </w:trPr>
        <w:tc>
          <w:tcPr>
            <w:tcW w:w="9017" w:type="dxa"/>
          </w:tcPr>
          <w:p w14:paraId="4EC21600" w14:textId="77777777" w:rsidR="00B630F4" w:rsidRPr="005E1BF5" w:rsidRDefault="00B630F4" w:rsidP="001D3E3D">
            <w:pPr>
              <w:spacing w:before="0" w:after="0"/>
              <w:rPr>
                <w:i/>
                <w:color w:val="FF0000"/>
              </w:rPr>
            </w:pPr>
            <w:r>
              <w:rPr>
                <w:i/>
                <w:color w:val="FF0000"/>
              </w:rPr>
              <w:t>Where possible</w:t>
            </w:r>
            <w:r w:rsidRPr="005E1BF5">
              <w:rPr>
                <w:i/>
                <w:color w:val="FF0000"/>
              </w:rPr>
              <w:t xml:space="preserve"> samples </w:t>
            </w:r>
            <w:r>
              <w:rPr>
                <w:i/>
                <w:color w:val="FF0000"/>
              </w:rPr>
              <w:t>will</w:t>
            </w:r>
            <w:r w:rsidRPr="005E1BF5">
              <w:rPr>
                <w:i/>
                <w:color w:val="FF0000"/>
              </w:rPr>
              <w:t xml:space="preserve"> be the same biological matrix as the test samples</w:t>
            </w:r>
          </w:p>
          <w:p w14:paraId="06D2D200" w14:textId="77777777" w:rsidR="00B630F4" w:rsidRPr="005E1BF5" w:rsidRDefault="00B630F4" w:rsidP="001D3E3D">
            <w:pPr>
              <w:spacing w:before="0" w:after="0"/>
              <w:rPr>
                <w:i/>
                <w:color w:val="FF0000"/>
              </w:rPr>
            </w:pPr>
            <w:r w:rsidRPr="005E1BF5">
              <w:rPr>
                <w:i/>
                <w:color w:val="FF0000"/>
              </w:rPr>
              <w:t>For many types of as</w:t>
            </w:r>
            <w:r>
              <w:rPr>
                <w:i/>
                <w:color w:val="FF0000"/>
              </w:rPr>
              <w:t>s</w:t>
            </w:r>
            <w:r w:rsidRPr="005E1BF5">
              <w:rPr>
                <w:i/>
                <w:color w:val="FF0000"/>
              </w:rPr>
              <w:t>ay, data for each control sample can be derived from a calibration curve constructed using a zero control and 5 – 8 non-zero reference standards.</w:t>
            </w:r>
          </w:p>
          <w:p w14:paraId="60CEEEDD" w14:textId="77777777" w:rsidR="00B630F4" w:rsidRPr="00772B16" w:rsidRDefault="00B630F4" w:rsidP="001D3E3D">
            <w:pPr>
              <w:spacing w:before="0" w:after="0"/>
            </w:pPr>
            <w:r w:rsidRPr="00230964">
              <w:rPr>
                <w:i/>
                <w:color w:val="FF0000"/>
              </w:rPr>
              <w:t>The data used from replicate analysis of control samples and reference standards (where appropriate and/or available) should be used to obtain intra- and inter-assay data on precision and accuracy.</w:t>
            </w:r>
          </w:p>
        </w:tc>
      </w:tr>
      <w:tr w:rsidR="00B630F4" w:rsidRPr="00F05633" w14:paraId="52749525" w14:textId="77777777" w:rsidTr="001D3E3D">
        <w:trPr>
          <w:trHeight w:val="420"/>
        </w:trPr>
        <w:tc>
          <w:tcPr>
            <w:tcW w:w="9017" w:type="dxa"/>
          </w:tcPr>
          <w:p w14:paraId="29DFFAFC" w14:textId="77777777" w:rsidR="00B630F4" w:rsidRPr="00772B16" w:rsidRDefault="00B630F4" w:rsidP="001D3E3D">
            <w:pPr>
              <w:pStyle w:val="Heading3"/>
            </w:pPr>
            <w:r w:rsidRPr="00772B16">
              <w:t>Precision</w:t>
            </w:r>
          </w:p>
          <w:p w14:paraId="10AC6799" w14:textId="77777777" w:rsidR="00B630F4" w:rsidRPr="005E1BF5" w:rsidRDefault="00B630F4" w:rsidP="001D3E3D">
            <w:pPr>
              <w:spacing w:before="0" w:after="0"/>
              <w:rPr>
                <w:i/>
                <w:color w:val="FF0000"/>
              </w:rPr>
            </w:pPr>
            <w:r w:rsidRPr="005E1BF5">
              <w:rPr>
                <w:i/>
                <w:color w:val="FF0000"/>
              </w:rPr>
              <w:t xml:space="preserve">Precision is the closeness of replicate determinations. This parameter can be further subdivided into intra-assay precision and inter-assay precision. </w:t>
            </w:r>
          </w:p>
          <w:p w14:paraId="410F0816" w14:textId="77777777" w:rsidR="00B630F4" w:rsidRPr="005E1BF5" w:rsidRDefault="00B630F4" w:rsidP="001D3E3D">
            <w:pPr>
              <w:spacing w:before="0" w:after="0"/>
              <w:rPr>
                <w:i/>
                <w:color w:val="FF0000"/>
              </w:rPr>
            </w:pPr>
            <w:r w:rsidRPr="005E1BF5">
              <w:rPr>
                <w:i/>
                <w:color w:val="FF0000"/>
              </w:rPr>
              <w:t>Measure precision using a minimum of five determinations.</w:t>
            </w:r>
          </w:p>
          <w:p w14:paraId="78B613F9" w14:textId="77777777" w:rsidR="00B630F4" w:rsidRPr="005E1BF5" w:rsidRDefault="00B630F4" w:rsidP="001D3E3D">
            <w:pPr>
              <w:spacing w:before="0" w:after="0"/>
              <w:rPr>
                <w:i/>
                <w:color w:val="FF0000"/>
              </w:rPr>
            </w:pPr>
            <w:r w:rsidRPr="005E1BF5">
              <w:rPr>
                <w:i/>
                <w:color w:val="FF0000"/>
              </w:rPr>
              <w:t>Where appropriate to the assay, carry this out at using at least three concentrations in the range expected.</w:t>
            </w:r>
          </w:p>
          <w:p w14:paraId="7C292B71" w14:textId="77777777" w:rsidR="00B630F4" w:rsidRDefault="00B630F4" w:rsidP="001D3E3D">
            <w:pPr>
              <w:spacing w:before="0" w:after="0"/>
              <w:rPr>
                <w:i/>
                <w:color w:val="FF0000"/>
              </w:rPr>
            </w:pPr>
            <w:r w:rsidRPr="005E1BF5">
              <w:rPr>
                <w:i/>
                <w:color w:val="FF0000"/>
              </w:rPr>
              <w:t>Determine both the intra-assay precision and inter-assay precision.</w:t>
            </w:r>
            <w:r w:rsidRPr="00772B16">
              <w:t xml:space="preserve"> </w:t>
            </w:r>
          </w:p>
        </w:tc>
      </w:tr>
      <w:tr w:rsidR="00B630F4" w:rsidRPr="00F05633" w14:paraId="084A45F2" w14:textId="77777777" w:rsidTr="001D3E3D">
        <w:trPr>
          <w:trHeight w:val="420"/>
        </w:trPr>
        <w:tc>
          <w:tcPr>
            <w:tcW w:w="9017" w:type="dxa"/>
          </w:tcPr>
          <w:p w14:paraId="5D8A9976" w14:textId="77777777" w:rsidR="00B630F4" w:rsidRPr="00772B16" w:rsidRDefault="00B630F4" w:rsidP="001D3E3D">
            <w:pPr>
              <w:pStyle w:val="Heading3"/>
            </w:pPr>
            <w:r w:rsidRPr="00772B16">
              <w:t>Accuracy</w:t>
            </w:r>
          </w:p>
          <w:p w14:paraId="292E28B9" w14:textId="77777777" w:rsidR="00B630F4" w:rsidRPr="005E1BF5" w:rsidRDefault="00B630F4" w:rsidP="001D3E3D">
            <w:pPr>
              <w:spacing w:before="0" w:after="0"/>
              <w:rPr>
                <w:i/>
                <w:color w:val="FF0000"/>
              </w:rPr>
            </w:pPr>
            <w:r w:rsidRPr="005E1BF5">
              <w:rPr>
                <w:i/>
                <w:color w:val="FF0000"/>
              </w:rPr>
              <w:t xml:space="preserve">Accuracy is the closeness of the test results to the true value of the analyte.  </w:t>
            </w:r>
          </w:p>
          <w:p w14:paraId="6ADD076A" w14:textId="77777777" w:rsidR="00B630F4" w:rsidRPr="005E1BF5" w:rsidRDefault="00B630F4" w:rsidP="001D3E3D">
            <w:pPr>
              <w:spacing w:before="0" w:after="0"/>
              <w:rPr>
                <w:i/>
                <w:color w:val="FF0000"/>
              </w:rPr>
            </w:pPr>
            <w:r w:rsidRPr="005E1BF5">
              <w:rPr>
                <w:i/>
                <w:color w:val="FF0000"/>
              </w:rPr>
              <w:t>Measure accuracy using a minimum of five determinations.</w:t>
            </w:r>
          </w:p>
          <w:p w14:paraId="3C724EEA" w14:textId="77777777" w:rsidR="00B630F4" w:rsidRDefault="00B630F4" w:rsidP="001D3E3D">
            <w:pPr>
              <w:spacing w:before="0" w:after="0"/>
              <w:rPr>
                <w:i/>
                <w:color w:val="FF0000"/>
              </w:rPr>
            </w:pPr>
            <w:r w:rsidRPr="005E1BF5">
              <w:rPr>
                <w:i/>
                <w:color w:val="FF0000"/>
              </w:rPr>
              <w:t>Where appropriate to the assay, carry this out for a minimum of three concentrations in the expected range.</w:t>
            </w:r>
            <w:r w:rsidRPr="00772B16">
              <w:t xml:space="preserve"> </w:t>
            </w:r>
          </w:p>
        </w:tc>
      </w:tr>
      <w:tr w:rsidR="00B630F4" w:rsidRPr="00F05633" w14:paraId="1E03C368" w14:textId="77777777" w:rsidTr="001D3E3D">
        <w:trPr>
          <w:trHeight w:val="420"/>
        </w:trPr>
        <w:tc>
          <w:tcPr>
            <w:tcW w:w="9017" w:type="dxa"/>
          </w:tcPr>
          <w:p w14:paraId="246A0DB6" w14:textId="77777777" w:rsidR="00B630F4" w:rsidRPr="005125DC" w:rsidRDefault="00B630F4" w:rsidP="001D3E3D">
            <w:pPr>
              <w:spacing w:before="120"/>
              <w:rPr>
                <w:b/>
              </w:rPr>
            </w:pPr>
            <w:r w:rsidRPr="005125DC">
              <w:rPr>
                <w:b/>
              </w:rPr>
              <w:t>Calibration (where appropriate)</w:t>
            </w:r>
          </w:p>
          <w:p w14:paraId="139CCCD2" w14:textId="77777777" w:rsidR="00B630F4" w:rsidRPr="005125DC" w:rsidRDefault="00B630F4" w:rsidP="001D3E3D">
            <w:pPr>
              <w:spacing w:before="0" w:after="0"/>
              <w:rPr>
                <w:i/>
                <w:color w:val="FF0000"/>
              </w:rPr>
            </w:pPr>
            <w:r w:rsidRPr="005125DC">
              <w:rPr>
                <w:i/>
                <w:color w:val="FF0000"/>
              </w:rPr>
              <w:t>Calibration is the relationship between the experimental value and the analytical concentration.</w:t>
            </w:r>
          </w:p>
          <w:p w14:paraId="016A55A1" w14:textId="77777777" w:rsidR="00B630F4" w:rsidRPr="005125DC" w:rsidRDefault="00B630F4" w:rsidP="001D3E3D">
            <w:pPr>
              <w:spacing w:before="0" w:after="0"/>
              <w:rPr>
                <w:i/>
                <w:color w:val="FF0000"/>
              </w:rPr>
            </w:pPr>
            <w:r w:rsidRPr="005125DC">
              <w:rPr>
                <w:i/>
                <w:color w:val="FF0000"/>
              </w:rPr>
              <w:t xml:space="preserve">A calibration curve should be constructed which consists of a blank or negative sample and typically 5 - 8 non-zero samples.  </w:t>
            </w:r>
          </w:p>
          <w:p w14:paraId="6763C3F3" w14:textId="77777777" w:rsidR="00B630F4" w:rsidRPr="005125DC" w:rsidRDefault="00B630F4" w:rsidP="001D3E3D">
            <w:pPr>
              <w:spacing w:before="0" w:after="0"/>
              <w:rPr>
                <w:i/>
                <w:color w:val="FF0000"/>
              </w:rPr>
            </w:pPr>
            <w:r w:rsidRPr="005125DC">
              <w:rPr>
                <w:i/>
                <w:color w:val="FF0000"/>
              </w:rPr>
              <w:t xml:space="preserve">A sufficient number of standards should be employed to adequately define the relationship between concentration and response, and also reflect the concentration range expected in a particular study. </w:t>
            </w:r>
          </w:p>
          <w:p w14:paraId="79611F89" w14:textId="77777777" w:rsidR="00B630F4" w:rsidRDefault="00B630F4" w:rsidP="001D3E3D">
            <w:pPr>
              <w:spacing w:before="0" w:after="0"/>
              <w:rPr>
                <w:i/>
                <w:color w:val="FF0000"/>
              </w:rPr>
            </w:pPr>
            <w:r w:rsidRPr="005125DC">
              <w:rPr>
                <w:i/>
                <w:color w:val="FF0000"/>
              </w:rPr>
              <w:t>Replicate samples may be used to improve accuracy, but the same number of replicates should be used when analysing unknown samples.</w:t>
            </w:r>
          </w:p>
        </w:tc>
      </w:tr>
    </w:tbl>
    <w:p w14:paraId="7E19C9E5" w14:textId="08F92A92" w:rsidR="00B630F4" w:rsidRDefault="00B630F4" w:rsidP="00174260"/>
    <w:p w14:paraId="59E2DB9C" w14:textId="77777777" w:rsidR="00B630F4" w:rsidRDefault="00B630F4">
      <w:pPr>
        <w:spacing w:before="0"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4507"/>
        <w:gridCol w:w="4509"/>
      </w:tblGrid>
      <w:tr w:rsidR="00B630F4" w:rsidRPr="00772B16" w14:paraId="38BF1F0F" w14:textId="77777777" w:rsidTr="001D3E3D">
        <w:trPr>
          <w:trHeight w:val="420"/>
        </w:trPr>
        <w:tc>
          <w:tcPr>
            <w:tcW w:w="9017" w:type="dxa"/>
            <w:gridSpan w:val="2"/>
          </w:tcPr>
          <w:p w14:paraId="2E843600" w14:textId="77777777" w:rsidR="00B630F4" w:rsidRPr="00772B16" w:rsidRDefault="00B630F4" w:rsidP="001D3E3D">
            <w:pPr>
              <w:pStyle w:val="Heading3"/>
            </w:pPr>
            <w:r w:rsidRPr="00772B16">
              <w:lastRenderedPageBreak/>
              <w:t>Specificity</w:t>
            </w:r>
          </w:p>
          <w:p w14:paraId="2118796A" w14:textId="77777777" w:rsidR="00B630F4" w:rsidRPr="005E1BF5" w:rsidRDefault="00B630F4" w:rsidP="001D3E3D">
            <w:pPr>
              <w:spacing w:before="0" w:after="0"/>
              <w:rPr>
                <w:i/>
                <w:color w:val="FF0000"/>
              </w:rPr>
            </w:pPr>
            <w:r w:rsidRPr="005E1BF5">
              <w:rPr>
                <w:i/>
                <w:color w:val="FF0000"/>
              </w:rPr>
              <w:t>Specificity is the ability of an analytical method to differentiate the analyte in the presence of other constituents in the sample.</w:t>
            </w:r>
          </w:p>
          <w:p w14:paraId="42F6A210" w14:textId="77777777" w:rsidR="00B630F4" w:rsidRPr="005E1BF5" w:rsidRDefault="00B630F4" w:rsidP="001D3E3D">
            <w:pPr>
              <w:spacing w:before="0" w:after="0"/>
              <w:rPr>
                <w:i/>
                <w:color w:val="FF0000"/>
              </w:rPr>
            </w:pPr>
            <w:r w:rsidRPr="005E1BF5">
              <w:rPr>
                <w:i/>
                <w:color w:val="FF0000"/>
              </w:rPr>
              <w:t>This is particularly important for ligand binding assays (e.g. ELISAs, ELISPOT assays) due to potential problems associated with cross-reactivity and non-specific binding.</w:t>
            </w:r>
          </w:p>
          <w:p w14:paraId="0AB40F64" w14:textId="77777777" w:rsidR="00B630F4" w:rsidRPr="00772B16" w:rsidRDefault="00B630F4" w:rsidP="001D3E3D">
            <w:pPr>
              <w:spacing w:before="0" w:after="0"/>
            </w:pPr>
            <w:r w:rsidRPr="005E1BF5">
              <w:rPr>
                <w:i/>
                <w:color w:val="FF0000"/>
              </w:rPr>
              <w:t>Where appropriate, test blank or normal samples of the biological matrix from a minimum of ten individuals. If more than 10% of blank samples give significant interference, test additional blank samples. If more than 10% of these samples give significant interference the method should be modified.</w:t>
            </w:r>
          </w:p>
        </w:tc>
      </w:tr>
      <w:tr w:rsidR="00B630F4" w:rsidRPr="005E1BF5" w14:paraId="15EF2436" w14:textId="77777777" w:rsidTr="001D3E3D">
        <w:trPr>
          <w:trHeight w:val="420"/>
        </w:trPr>
        <w:tc>
          <w:tcPr>
            <w:tcW w:w="9017" w:type="dxa"/>
            <w:gridSpan w:val="2"/>
          </w:tcPr>
          <w:p w14:paraId="171750FA" w14:textId="77777777" w:rsidR="00B630F4" w:rsidRPr="005E1BF5" w:rsidRDefault="00B630F4" w:rsidP="001D3E3D">
            <w:pPr>
              <w:pStyle w:val="Heading3"/>
            </w:pPr>
            <w:r w:rsidRPr="005E1BF5">
              <w:t>Stability</w:t>
            </w:r>
          </w:p>
          <w:p w14:paraId="748A4814" w14:textId="77777777" w:rsidR="00B630F4" w:rsidRPr="005E1BF5" w:rsidRDefault="00B630F4" w:rsidP="001D3E3D">
            <w:pPr>
              <w:spacing w:before="0" w:after="0"/>
              <w:rPr>
                <w:i/>
                <w:color w:val="FF0000"/>
              </w:rPr>
            </w:pPr>
            <w:r w:rsidRPr="005E1BF5">
              <w:rPr>
                <w:i/>
                <w:color w:val="FF0000"/>
              </w:rPr>
              <w:t>Stability is a function of the storage conditions of the analyte.</w:t>
            </w:r>
          </w:p>
          <w:p w14:paraId="77FC2F7B" w14:textId="77777777" w:rsidR="00B630F4" w:rsidRPr="005E1BF5" w:rsidRDefault="00B630F4" w:rsidP="001D3E3D">
            <w:pPr>
              <w:spacing w:before="0" w:after="0"/>
              <w:rPr>
                <w:i/>
                <w:color w:val="FF0000"/>
              </w:rPr>
            </w:pPr>
            <w:r w:rsidRPr="005E1BF5">
              <w:rPr>
                <w:i/>
                <w:color w:val="FF0000"/>
              </w:rPr>
              <w:t xml:space="preserve">Stability experiments should address standards, control samples, test samples, and key test reagents. </w:t>
            </w:r>
          </w:p>
          <w:p w14:paraId="20B68A94" w14:textId="77777777" w:rsidR="00B630F4" w:rsidRPr="005E1BF5" w:rsidRDefault="00B630F4" w:rsidP="001D3E3D">
            <w:pPr>
              <w:spacing w:before="0" w:after="0"/>
              <w:rPr>
                <w:i/>
                <w:color w:val="FF0000"/>
              </w:rPr>
            </w:pPr>
            <w:r w:rsidRPr="005E1BF5">
              <w:rPr>
                <w:i/>
                <w:color w:val="FF0000"/>
              </w:rPr>
              <w:t xml:space="preserve">Stability experiments on test samples should reflect situations likely to be encountered during actual sample handling i.e. from being taken from the patient, sample transit, </w:t>
            </w:r>
            <w:proofErr w:type="gramStart"/>
            <w:r w:rsidRPr="005E1BF5">
              <w:rPr>
                <w:i/>
                <w:color w:val="FF0000"/>
              </w:rPr>
              <w:t>short and long term</w:t>
            </w:r>
            <w:proofErr w:type="gramEnd"/>
            <w:r w:rsidRPr="005E1BF5">
              <w:rPr>
                <w:i/>
                <w:color w:val="FF0000"/>
              </w:rPr>
              <w:t xml:space="preserve"> storage at the intended temperature, and also freeze-thaw cycles if appropriate.</w:t>
            </w:r>
          </w:p>
        </w:tc>
      </w:tr>
      <w:tr w:rsidR="00B630F4" w:rsidRPr="00772B16" w14:paraId="2E2ADE72" w14:textId="77777777" w:rsidTr="001D3E3D">
        <w:trPr>
          <w:trHeight w:val="420"/>
        </w:trPr>
        <w:tc>
          <w:tcPr>
            <w:tcW w:w="9017" w:type="dxa"/>
            <w:gridSpan w:val="2"/>
          </w:tcPr>
          <w:p w14:paraId="124CFA4C" w14:textId="77777777" w:rsidR="00B630F4" w:rsidRPr="00772B16" w:rsidRDefault="00B630F4" w:rsidP="001D3E3D">
            <w:pPr>
              <w:pStyle w:val="Heading2"/>
            </w:pPr>
            <w:r w:rsidRPr="00772B16">
              <w:t>Acceptance criteria</w:t>
            </w:r>
          </w:p>
        </w:tc>
      </w:tr>
      <w:tr w:rsidR="00B630F4" w:rsidRPr="005E1BF5" w14:paraId="5649CB9C" w14:textId="77777777" w:rsidTr="001D3E3D">
        <w:trPr>
          <w:trHeight w:val="420"/>
        </w:trPr>
        <w:tc>
          <w:tcPr>
            <w:tcW w:w="9017" w:type="dxa"/>
            <w:gridSpan w:val="2"/>
          </w:tcPr>
          <w:p w14:paraId="3DA49507" w14:textId="77777777" w:rsidR="00B630F4" w:rsidRPr="005E1BF5" w:rsidRDefault="00B630F4" w:rsidP="001D3E3D">
            <w:pPr>
              <w:spacing w:before="0" w:after="0"/>
              <w:rPr>
                <w:i/>
                <w:color w:val="FF0000"/>
              </w:rPr>
            </w:pPr>
            <w:r w:rsidRPr="005E1BF5">
              <w:rPr>
                <w:i/>
                <w:color w:val="FF0000"/>
              </w:rPr>
              <w:t xml:space="preserve">Precision - Variability for low, medium and high concentrations should be &lt;15% and at the limit of detection it should be &lt;20%. </w:t>
            </w:r>
          </w:p>
          <w:p w14:paraId="6DF610AC" w14:textId="77777777" w:rsidR="00B630F4" w:rsidRPr="005E1BF5" w:rsidRDefault="00B630F4" w:rsidP="001D3E3D">
            <w:pPr>
              <w:spacing w:before="0" w:after="0"/>
              <w:rPr>
                <w:i/>
                <w:color w:val="FF0000"/>
              </w:rPr>
            </w:pPr>
            <w:r w:rsidRPr="005E1BF5">
              <w:rPr>
                <w:i/>
                <w:color w:val="FF0000"/>
              </w:rPr>
              <w:t>Accuracy - Mean experimental values should be within +15% of the nominal value at the low, medium and high concentrations and should not deviate more than +20% at the limit of detection.</w:t>
            </w:r>
          </w:p>
          <w:p w14:paraId="13EA7C3D" w14:textId="77777777" w:rsidR="00B630F4" w:rsidRPr="005E1BF5" w:rsidRDefault="00B630F4" w:rsidP="001D3E3D">
            <w:pPr>
              <w:spacing w:before="0" w:after="0"/>
              <w:rPr>
                <w:i/>
                <w:color w:val="FF0000"/>
              </w:rPr>
            </w:pPr>
            <w:r w:rsidRPr="005E1BF5">
              <w:rPr>
                <w:i/>
                <w:color w:val="FF0000"/>
              </w:rPr>
              <w:t>Sensitivity - The lowest standard should be accepted as the limit of quantitation if the precision and accuracy are as defined above.</w:t>
            </w:r>
          </w:p>
          <w:p w14:paraId="25ACFD6A" w14:textId="77777777" w:rsidR="00B630F4" w:rsidRPr="005E1BF5" w:rsidRDefault="00B630F4" w:rsidP="001D3E3D">
            <w:pPr>
              <w:spacing w:before="0" w:after="0"/>
              <w:rPr>
                <w:i/>
                <w:color w:val="FF0000"/>
              </w:rPr>
            </w:pPr>
            <w:r w:rsidRPr="005E1BF5">
              <w:rPr>
                <w:i/>
                <w:color w:val="FF0000"/>
              </w:rPr>
              <w:t>Specificity - should be &gt;95%.</w:t>
            </w:r>
          </w:p>
          <w:p w14:paraId="78828965" w14:textId="77777777" w:rsidR="00B630F4" w:rsidRPr="005E1BF5" w:rsidRDefault="00B630F4" w:rsidP="001D3E3D">
            <w:pPr>
              <w:spacing w:before="0" w:after="0"/>
              <w:rPr>
                <w:i/>
                <w:color w:val="FF0000"/>
              </w:rPr>
            </w:pPr>
            <w:r w:rsidRPr="005E1BF5">
              <w:rPr>
                <w:i/>
                <w:color w:val="FF0000"/>
              </w:rPr>
              <w:t>Acceptance criteria should be defined in the validation report.</w:t>
            </w:r>
          </w:p>
          <w:p w14:paraId="42DDE93E" w14:textId="77777777" w:rsidR="00B630F4" w:rsidRPr="005E1BF5" w:rsidRDefault="00B630F4" w:rsidP="001D3E3D">
            <w:pPr>
              <w:spacing w:before="0" w:after="0"/>
              <w:rPr>
                <w:i/>
                <w:color w:val="FF0000"/>
              </w:rPr>
            </w:pPr>
            <w:r w:rsidRPr="005E1BF5">
              <w:rPr>
                <w:i/>
                <w:color w:val="FF0000"/>
              </w:rPr>
              <w:t xml:space="preserve">The validation report should rationalise the acceptance of any reduced performance specifications.  </w:t>
            </w:r>
          </w:p>
        </w:tc>
      </w:tr>
      <w:tr w:rsidR="00B630F4" w:rsidRPr="00772B16" w14:paraId="0910B89E" w14:textId="77777777" w:rsidTr="001D3E3D">
        <w:trPr>
          <w:trHeight w:val="420"/>
        </w:trPr>
        <w:tc>
          <w:tcPr>
            <w:tcW w:w="9017" w:type="dxa"/>
            <w:gridSpan w:val="2"/>
          </w:tcPr>
          <w:p w14:paraId="68150293" w14:textId="77777777" w:rsidR="00B630F4" w:rsidRPr="00772B16" w:rsidRDefault="00B630F4" w:rsidP="001D3E3D">
            <w:pPr>
              <w:pStyle w:val="Heading2"/>
            </w:pPr>
            <w:r w:rsidRPr="00772B16">
              <w:t>Primary Data Storage</w:t>
            </w:r>
          </w:p>
        </w:tc>
      </w:tr>
      <w:tr w:rsidR="00B630F4" w:rsidRPr="00772B16" w14:paraId="1B8F5BB2" w14:textId="77777777" w:rsidTr="001D3E3D">
        <w:trPr>
          <w:trHeight w:val="420"/>
        </w:trPr>
        <w:tc>
          <w:tcPr>
            <w:tcW w:w="9017" w:type="dxa"/>
            <w:gridSpan w:val="2"/>
          </w:tcPr>
          <w:p w14:paraId="6187387F" w14:textId="77777777" w:rsidR="00B630F4" w:rsidRPr="00772B16" w:rsidRDefault="00B630F4" w:rsidP="001D3E3D"/>
        </w:tc>
      </w:tr>
      <w:tr w:rsidR="00B630F4" w:rsidRPr="00772B16" w14:paraId="3262C6F6" w14:textId="77777777" w:rsidTr="001D3E3D">
        <w:trPr>
          <w:trHeight w:val="420"/>
        </w:trPr>
        <w:tc>
          <w:tcPr>
            <w:tcW w:w="9017" w:type="dxa"/>
            <w:gridSpan w:val="2"/>
          </w:tcPr>
          <w:p w14:paraId="65BD834B" w14:textId="77777777" w:rsidR="00B630F4" w:rsidRPr="00772B16" w:rsidRDefault="00B630F4" w:rsidP="001D3E3D">
            <w:pPr>
              <w:pStyle w:val="Heading2"/>
            </w:pPr>
            <w:r w:rsidRPr="00772B16">
              <w:t>Storage and management of reagents</w:t>
            </w:r>
          </w:p>
        </w:tc>
      </w:tr>
      <w:tr w:rsidR="00B630F4" w:rsidRPr="00772B16" w14:paraId="1390CDDA" w14:textId="77777777" w:rsidTr="001D3E3D">
        <w:trPr>
          <w:trHeight w:val="420"/>
        </w:trPr>
        <w:tc>
          <w:tcPr>
            <w:tcW w:w="9017" w:type="dxa"/>
            <w:gridSpan w:val="2"/>
          </w:tcPr>
          <w:p w14:paraId="1277A8BB" w14:textId="77777777" w:rsidR="00B630F4" w:rsidRPr="00772B16" w:rsidRDefault="00B630F4" w:rsidP="001D3E3D">
            <w:pPr>
              <w:spacing w:before="0" w:after="0"/>
            </w:pPr>
            <w:r w:rsidRPr="005E1BF5">
              <w:rPr>
                <w:i/>
                <w:color w:val="FF0000"/>
              </w:rPr>
              <w:t xml:space="preserve">Key reagents, controls and standards should be managed and stored appropriately throughout. Try to ensure that the same lot or batch numbers of standards, control samples and key reagents are used for both the validation experiments and analyses throughout the trial. Substantial changes in any of these, or any important item of equipment, may mean that the method has to be re-validated during the study. </w:t>
            </w:r>
          </w:p>
        </w:tc>
      </w:tr>
      <w:tr w:rsidR="00B630F4" w:rsidRPr="00772B16" w14:paraId="6D46972A" w14:textId="77777777" w:rsidTr="001D3E3D">
        <w:trPr>
          <w:trHeight w:val="420"/>
        </w:trPr>
        <w:tc>
          <w:tcPr>
            <w:tcW w:w="9017" w:type="dxa"/>
            <w:gridSpan w:val="2"/>
          </w:tcPr>
          <w:p w14:paraId="3535D559" w14:textId="77777777" w:rsidR="00B630F4" w:rsidRPr="00772B16" w:rsidRDefault="00B630F4" w:rsidP="001D3E3D">
            <w:pPr>
              <w:pStyle w:val="Heading2"/>
            </w:pPr>
            <w:r w:rsidRPr="00772B16">
              <w:t>References</w:t>
            </w:r>
          </w:p>
        </w:tc>
      </w:tr>
      <w:tr w:rsidR="00B630F4" w:rsidRPr="00772B16" w14:paraId="5D3F1BD2" w14:textId="77777777" w:rsidTr="001D3E3D">
        <w:trPr>
          <w:trHeight w:val="420"/>
        </w:trPr>
        <w:tc>
          <w:tcPr>
            <w:tcW w:w="9017" w:type="dxa"/>
            <w:gridSpan w:val="2"/>
          </w:tcPr>
          <w:p w14:paraId="48220C4F" w14:textId="77777777" w:rsidR="00B630F4" w:rsidRPr="00772B16" w:rsidRDefault="00B630F4" w:rsidP="001D3E3D"/>
        </w:tc>
      </w:tr>
      <w:tr w:rsidR="00B630F4" w:rsidRPr="00772B16" w14:paraId="05A9A8ED" w14:textId="77777777" w:rsidTr="001D3E3D">
        <w:trPr>
          <w:trHeight w:val="420"/>
        </w:trPr>
        <w:tc>
          <w:tcPr>
            <w:tcW w:w="9017" w:type="dxa"/>
            <w:gridSpan w:val="2"/>
          </w:tcPr>
          <w:p w14:paraId="591B416C" w14:textId="77777777" w:rsidR="00B630F4" w:rsidRPr="00772B16" w:rsidRDefault="00B630F4" w:rsidP="001D3E3D">
            <w:pPr>
              <w:pStyle w:val="Heading2"/>
            </w:pPr>
            <w:r w:rsidRPr="00772B16">
              <w:t>Appendices</w:t>
            </w:r>
          </w:p>
        </w:tc>
      </w:tr>
      <w:tr w:rsidR="00B630F4" w:rsidRPr="00772B16" w14:paraId="2D44B0A3" w14:textId="77777777" w:rsidTr="001D3E3D">
        <w:trPr>
          <w:trHeight w:val="420"/>
        </w:trPr>
        <w:tc>
          <w:tcPr>
            <w:tcW w:w="9017" w:type="dxa"/>
            <w:gridSpan w:val="2"/>
          </w:tcPr>
          <w:p w14:paraId="58C233A9" w14:textId="77777777" w:rsidR="00B630F4" w:rsidRPr="00772B16" w:rsidRDefault="00B630F4" w:rsidP="001D3E3D"/>
        </w:tc>
      </w:tr>
      <w:tr w:rsidR="00B630F4" w:rsidRPr="00772B16" w14:paraId="1166813C" w14:textId="77777777" w:rsidTr="001D3E3D">
        <w:trPr>
          <w:trHeight w:val="420"/>
        </w:trPr>
        <w:tc>
          <w:tcPr>
            <w:tcW w:w="9017" w:type="dxa"/>
            <w:gridSpan w:val="2"/>
          </w:tcPr>
          <w:p w14:paraId="3F3939AD" w14:textId="77777777" w:rsidR="00B630F4" w:rsidRPr="00772B16" w:rsidRDefault="00B630F4" w:rsidP="001D3E3D">
            <w:pPr>
              <w:pStyle w:val="Heading2"/>
            </w:pPr>
            <w:r w:rsidRPr="00772B16">
              <w:t>Prepared by:</w:t>
            </w:r>
          </w:p>
        </w:tc>
      </w:tr>
      <w:tr w:rsidR="00B630F4" w:rsidRPr="00772B16" w14:paraId="63EE550A" w14:textId="77777777" w:rsidTr="001D3E3D">
        <w:trPr>
          <w:trHeight w:val="420"/>
        </w:trPr>
        <w:tc>
          <w:tcPr>
            <w:tcW w:w="4508" w:type="dxa"/>
          </w:tcPr>
          <w:p w14:paraId="2478970B" w14:textId="77777777" w:rsidR="00B630F4" w:rsidRPr="00772B16" w:rsidRDefault="00B630F4" w:rsidP="001D3E3D">
            <w:r w:rsidRPr="00772B16">
              <w:t>Name:</w:t>
            </w:r>
          </w:p>
        </w:tc>
        <w:tc>
          <w:tcPr>
            <w:tcW w:w="4509" w:type="dxa"/>
          </w:tcPr>
          <w:p w14:paraId="414735F8" w14:textId="77777777" w:rsidR="00B630F4" w:rsidRPr="00772B16" w:rsidRDefault="00B630F4" w:rsidP="001D3E3D">
            <w:r w:rsidRPr="00772B16">
              <w:t>Signature:</w:t>
            </w:r>
          </w:p>
        </w:tc>
      </w:tr>
      <w:tr w:rsidR="00B630F4" w:rsidRPr="00772B16" w14:paraId="6B410E04" w14:textId="77777777" w:rsidTr="001D3E3D">
        <w:trPr>
          <w:trHeight w:val="420"/>
        </w:trPr>
        <w:tc>
          <w:tcPr>
            <w:tcW w:w="9017" w:type="dxa"/>
            <w:gridSpan w:val="2"/>
          </w:tcPr>
          <w:p w14:paraId="49415AB1" w14:textId="77777777" w:rsidR="00B630F4" w:rsidRPr="00772B16" w:rsidRDefault="00B630F4" w:rsidP="001D3E3D">
            <w:r w:rsidRPr="00772B16">
              <w:t>Function:</w:t>
            </w:r>
          </w:p>
        </w:tc>
      </w:tr>
      <w:tr w:rsidR="00B630F4" w:rsidRPr="00772B16" w14:paraId="220B9F3B" w14:textId="77777777" w:rsidTr="001D3E3D">
        <w:trPr>
          <w:trHeight w:val="420"/>
        </w:trPr>
        <w:tc>
          <w:tcPr>
            <w:tcW w:w="9017" w:type="dxa"/>
            <w:gridSpan w:val="2"/>
          </w:tcPr>
          <w:p w14:paraId="39C3A7DD" w14:textId="77777777" w:rsidR="00B630F4" w:rsidRPr="00772B16" w:rsidRDefault="00B630F4" w:rsidP="001D3E3D">
            <w:r w:rsidRPr="00772B16">
              <w:t>Date (dd-m</w:t>
            </w:r>
            <w:r>
              <w:t>mm</w:t>
            </w:r>
            <w:r w:rsidRPr="00772B16">
              <w:t>-</w:t>
            </w:r>
            <w:proofErr w:type="spellStart"/>
            <w:r w:rsidRPr="00772B16">
              <w:t>yyyy</w:t>
            </w:r>
            <w:proofErr w:type="spellEnd"/>
            <w:r w:rsidRPr="00772B16">
              <w:t>):</w:t>
            </w:r>
          </w:p>
        </w:tc>
      </w:tr>
    </w:tbl>
    <w:p w14:paraId="7FFF875E" w14:textId="45A74B3F" w:rsidR="00533DA0" w:rsidRDefault="00533DA0" w:rsidP="00174260"/>
    <w:p w14:paraId="3DFE877A" w14:textId="77777777" w:rsidR="00533DA0" w:rsidRDefault="00533DA0">
      <w:pPr>
        <w:spacing w:before="0"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4507"/>
        <w:gridCol w:w="4509"/>
      </w:tblGrid>
      <w:tr w:rsidR="00533DA0" w:rsidRPr="00772B16" w14:paraId="69E53901" w14:textId="77777777" w:rsidTr="00152AD1">
        <w:trPr>
          <w:trHeight w:val="420"/>
        </w:trPr>
        <w:tc>
          <w:tcPr>
            <w:tcW w:w="9017" w:type="dxa"/>
            <w:gridSpan w:val="2"/>
          </w:tcPr>
          <w:p w14:paraId="68E9BC2F" w14:textId="77777777" w:rsidR="00533DA0" w:rsidRPr="00772B16" w:rsidRDefault="00533DA0" w:rsidP="00152AD1">
            <w:pPr>
              <w:pStyle w:val="Heading2"/>
            </w:pPr>
            <w:r w:rsidRPr="00772B16">
              <w:lastRenderedPageBreak/>
              <w:t>Approved by:</w:t>
            </w:r>
          </w:p>
        </w:tc>
      </w:tr>
      <w:tr w:rsidR="00533DA0" w:rsidRPr="00772B16" w14:paraId="22EDD612" w14:textId="77777777" w:rsidTr="00152AD1">
        <w:trPr>
          <w:trHeight w:val="420"/>
        </w:trPr>
        <w:tc>
          <w:tcPr>
            <w:tcW w:w="4508" w:type="dxa"/>
          </w:tcPr>
          <w:p w14:paraId="19C8C4B7" w14:textId="77777777" w:rsidR="00533DA0" w:rsidRPr="00772B16" w:rsidRDefault="00533DA0" w:rsidP="00152AD1">
            <w:r w:rsidRPr="00772B16">
              <w:t>Name:</w:t>
            </w:r>
          </w:p>
        </w:tc>
        <w:tc>
          <w:tcPr>
            <w:tcW w:w="4509" w:type="dxa"/>
          </w:tcPr>
          <w:p w14:paraId="462F62CB" w14:textId="77777777" w:rsidR="00533DA0" w:rsidRPr="00772B16" w:rsidRDefault="00533DA0" w:rsidP="00152AD1">
            <w:r w:rsidRPr="00772B16">
              <w:t>Signature:</w:t>
            </w:r>
          </w:p>
        </w:tc>
      </w:tr>
      <w:tr w:rsidR="00533DA0" w:rsidRPr="00772B16" w14:paraId="6AA64F88" w14:textId="77777777" w:rsidTr="00152AD1">
        <w:trPr>
          <w:trHeight w:val="420"/>
        </w:trPr>
        <w:tc>
          <w:tcPr>
            <w:tcW w:w="9017" w:type="dxa"/>
            <w:gridSpan w:val="2"/>
          </w:tcPr>
          <w:p w14:paraId="193A3F97" w14:textId="77777777" w:rsidR="00533DA0" w:rsidRPr="00772B16" w:rsidRDefault="00533DA0" w:rsidP="00152AD1">
            <w:r w:rsidRPr="00772B16">
              <w:t>Function:</w:t>
            </w:r>
          </w:p>
        </w:tc>
      </w:tr>
      <w:tr w:rsidR="00533DA0" w:rsidRPr="00772B16" w14:paraId="5D725A4B" w14:textId="77777777" w:rsidTr="00152AD1">
        <w:trPr>
          <w:trHeight w:val="420"/>
        </w:trPr>
        <w:tc>
          <w:tcPr>
            <w:tcW w:w="9017" w:type="dxa"/>
            <w:gridSpan w:val="2"/>
          </w:tcPr>
          <w:p w14:paraId="0945FFC8" w14:textId="77777777" w:rsidR="00533DA0" w:rsidRPr="00772B16" w:rsidRDefault="00533DA0" w:rsidP="00152AD1">
            <w:r w:rsidRPr="00772B16">
              <w:t>Date (dd-m</w:t>
            </w:r>
            <w:r>
              <w:t>mm</w:t>
            </w:r>
            <w:r w:rsidRPr="00772B16">
              <w:t>-</w:t>
            </w:r>
            <w:proofErr w:type="spellStart"/>
            <w:r w:rsidRPr="00772B16">
              <w:t>yyyy</w:t>
            </w:r>
            <w:proofErr w:type="spellEnd"/>
            <w:r w:rsidRPr="00772B16">
              <w:t>):</w:t>
            </w:r>
          </w:p>
        </w:tc>
      </w:tr>
    </w:tbl>
    <w:p w14:paraId="580EAA47" w14:textId="06FEE9C2" w:rsidR="00B63EFD" w:rsidRDefault="00B63EFD" w:rsidP="00174260"/>
    <w:p w14:paraId="6AA3621D" w14:textId="77777777" w:rsidR="00533DA0" w:rsidRDefault="00533DA0" w:rsidP="00533DA0">
      <w:pPr>
        <w:pStyle w:val="Heading1"/>
      </w:pPr>
      <w:r w:rsidRPr="005125DC">
        <w:t>Validation Report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4507"/>
        <w:gridCol w:w="4509"/>
      </w:tblGrid>
      <w:tr w:rsidR="00533DA0" w:rsidRPr="008A053A" w14:paraId="7B16CF1B" w14:textId="77777777" w:rsidTr="00152AD1">
        <w:trPr>
          <w:trHeight w:val="420"/>
        </w:trPr>
        <w:tc>
          <w:tcPr>
            <w:tcW w:w="9017" w:type="dxa"/>
            <w:gridSpan w:val="2"/>
          </w:tcPr>
          <w:p w14:paraId="18F7F24A" w14:textId="77777777" w:rsidR="00533DA0" w:rsidRDefault="00533DA0" w:rsidP="00152AD1">
            <w:pPr>
              <w:pStyle w:val="Heading2"/>
            </w:pPr>
            <w:r>
              <w:t xml:space="preserve">Experimental results </w:t>
            </w:r>
          </w:p>
        </w:tc>
      </w:tr>
      <w:tr w:rsidR="00533DA0" w:rsidRPr="008A053A" w14:paraId="62A5C026" w14:textId="77777777" w:rsidTr="00152AD1">
        <w:trPr>
          <w:trHeight w:val="420"/>
        </w:trPr>
        <w:tc>
          <w:tcPr>
            <w:tcW w:w="9017" w:type="dxa"/>
            <w:gridSpan w:val="2"/>
          </w:tcPr>
          <w:p w14:paraId="351430ED" w14:textId="77777777" w:rsidR="00533DA0" w:rsidRPr="00772B16" w:rsidRDefault="00533DA0" w:rsidP="00152AD1">
            <w:pPr>
              <w:pStyle w:val="Instructions-numbered"/>
            </w:pPr>
            <w:r>
              <w:t>Including characterisation of controls.</w:t>
            </w:r>
          </w:p>
        </w:tc>
      </w:tr>
      <w:tr w:rsidR="00533DA0" w:rsidRPr="008A053A" w14:paraId="4681526E" w14:textId="77777777" w:rsidTr="00152AD1">
        <w:trPr>
          <w:trHeight w:val="420"/>
        </w:trPr>
        <w:tc>
          <w:tcPr>
            <w:tcW w:w="9017" w:type="dxa"/>
            <w:gridSpan w:val="2"/>
          </w:tcPr>
          <w:p w14:paraId="0BC959A9" w14:textId="77777777" w:rsidR="00533DA0" w:rsidRDefault="00533DA0" w:rsidP="00152AD1">
            <w:pPr>
              <w:pStyle w:val="Heading2"/>
            </w:pPr>
            <w:r>
              <w:t>Conclusions</w:t>
            </w:r>
          </w:p>
        </w:tc>
      </w:tr>
      <w:tr w:rsidR="00533DA0" w:rsidRPr="008A053A" w14:paraId="51F233BD" w14:textId="77777777" w:rsidTr="00152AD1">
        <w:trPr>
          <w:trHeight w:val="420"/>
        </w:trPr>
        <w:tc>
          <w:tcPr>
            <w:tcW w:w="9017" w:type="dxa"/>
            <w:gridSpan w:val="2"/>
          </w:tcPr>
          <w:p w14:paraId="6A441BFA" w14:textId="77777777" w:rsidR="00533DA0" w:rsidRDefault="00533DA0" w:rsidP="00152AD1"/>
        </w:tc>
      </w:tr>
      <w:tr w:rsidR="00533DA0" w:rsidRPr="008A053A" w14:paraId="4C1D0843" w14:textId="77777777" w:rsidTr="00152AD1">
        <w:trPr>
          <w:trHeight w:val="420"/>
        </w:trPr>
        <w:tc>
          <w:tcPr>
            <w:tcW w:w="9017" w:type="dxa"/>
            <w:gridSpan w:val="2"/>
          </w:tcPr>
          <w:p w14:paraId="53B7C568" w14:textId="77777777" w:rsidR="00533DA0" w:rsidRDefault="00533DA0" w:rsidP="00152AD1">
            <w:pPr>
              <w:pStyle w:val="Heading2"/>
            </w:pPr>
            <w:r>
              <w:t>Recommendations and acceptance criteria</w:t>
            </w:r>
          </w:p>
        </w:tc>
      </w:tr>
      <w:tr w:rsidR="00533DA0" w:rsidRPr="008A053A" w14:paraId="03BE9D91" w14:textId="77777777" w:rsidTr="00152AD1">
        <w:trPr>
          <w:trHeight w:val="420"/>
        </w:trPr>
        <w:tc>
          <w:tcPr>
            <w:tcW w:w="9017" w:type="dxa"/>
            <w:gridSpan w:val="2"/>
          </w:tcPr>
          <w:p w14:paraId="10D2D83F" w14:textId="77777777" w:rsidR="00533DA0" w:rsidRDefault="00533DA0" w:rsidP="00152AD1"/>
        </w:tc>
      </w:tr>
      <w:tr w:rsidR="00533DA0" w:rsidRPr="008A053A" w14:paraId="5EB79924" w14:textId="77777777" w:rsidTr="00152AD1">
        <w:trPr>
          <w:trHeight w:val="420"/>
        </w:trPr>
        <w:tc>
          <w:tcPr>
            <w:tcW w:w="9017" w:type="dxa"/>
            <w:gridSpan w:val="2"/>
          </w:tcPr>
          <w:p w14:paraId="42AF6B63" w14:textId="77777777" w:rsidR="00533DA0" w:rsidRDefault="00533DA0" w:rsidP="00152AD1">
            <w:pPr>
              <w:pStyle w:val="Heading2"/>
            </w:pPr>
            <w:r>
              <w:t>References</w:t>
            </w:r>
          </w:p>
        </w:tc>
      </w:tr>
      <w:tr w:rsidR="00533DA0" w:rsidRPr="008A053A" w14:paraId="3C08D787" w14:textId="77777777" w:rsidTr="00152AD1">
        <w:trPr>
          <w:trHeight w:val="420"/>
        </w:trPr>
        <w:tc>
          <w:tcPr>
            <w:tcW w:w="9017" w:type="dxa"/>
            <w:gridSpan w:val="2"/>
          </w:tcPr>
          <w:p w14:paraId="447AF4A9" w14:textId="77777777" w:rsidR="00533DA0" w:rsidRDefault="00533DA0" w:rsidP="00152AD1"/>
        </w:tc>
      </w:tr>
      <w:tr w:rsidR="00533DA0" w:rsidRPr="00772B16" w14:paraId="7218DFCC" w14:textId="77777777" w:rsidTr="00152AD1">
        <w:trPr>
          <w:trHeight w:val="420"/>
        </w:trPr>
        <w:tc>
          <w:tcPr>
            <w:tcW w:w="9017" w:type="dxa"/>
            <w:gridSpan w:val="2"/>
            <w:tcBorders>
              <w:top w:val="dotted" w:sz="4" w:space="0" w:color="auto"/>
              <w:left w:val="single" w:sz="4" w:space="0" w:color="auto"/>
              <w:bottom w:val="dotted" w:sz="4" w:space="0" w:color="auto"/>
              <w:right w:val="single" w:sz="4" w:space="0" w:color="auto"/>
            </w:tcBorders>
          </w:tcPr>
          <w:p w14:paraId="3A41319B" w14:textId="77777777" w:rsidR="00533DA0" w:rsidRPr="00772B16" w:rsidRDefault="00533DA0" w:rsidP="00152AD1">
            <w:pPr>
              <w:pStyle w:val="Heading2"/>
            </w:pPr>
            <w:r w:rsidRPr="00772B16">
              <w:t>Prepared by:</w:t>
            </w:r>
          </w:p>
        </w:tc>
      </w:tr>
      <w:tr w:rsidR="00533DA0" w:rsidRPr="00772B16" w14:paraId="1F83ADB2" w14:textId="77777777" w:rsidTr="00152AD1">
        <w:trPr>
          <w:trHeight w:val="420"/>
        </w:trPr>
        <w:tc>
          <w:tcPr>
            <w:tcW w:w="4508" w:type="dxa"/>
          </w:tcPr>
          <w:p w14:paraId="3F4E82CE" w14:textId="77777777" w:rsidR="00533DA0" w:rsidRPr="00772B16" w:rsidRDefault="00533DA0" w:rsidP="00152AD1">
            <w:r w:rsidRPr="00772B16">
              <w:t>Name:</w:t>
            </w:r>
          </w:p>
        </w:tc>
        <w:tc>
          <w:tcPr>
            <w:tcW w:w="4509" w:type="dxa"/>
          </w:tcPr>
          <w:p w14:paraId="41FCEFAE" w14:textId="77777777" w:rsidR="00533DA0" w:rsidRPr="00772B16" w:rsidRDefault="00533DA0" w:rsidP="00152AD1">
            <w:r w:rsidRPr="00772B16">
              <w:t>Signature:</w:t>
            </w:r>
          </w:p>
        </w:tc>
      </w:tr>
      <w:tr w:rsidR="00533DA0" w:rsidRPr="00772B16" w14:paraId="5A5F98DE" w14:textId="77777777" w:rsidTr="00152AD1">
        <w:trPr>
          <w:trHeight w:val="420"/>
        </w:trPr>
        <w:tc>
          <w:tcPr>
            <w:tcW w:w="9017" w:type="dxa"/>
            <w:gridSpan w:val="2"/>
          </w:tcPr>
          <w:p w14:paraId="19AB4415" w14:textId="77777777" w:rsidR="00533DA0" w:rsidRPr="00772B16" w:rsidRDefault="00533DA0" w:rsidP="00152AD1">
            <w:r w:rsidRPr="00772B16">
              <w:t>Function:</w:t>
            </w:r>
          </w:p>
        </w:tc>
      </w:tr>
      <w:tr w:rsidR="00533DA0" w:rsidRPr="00772B16" w14:paraId="455B36E8" w14:textId="77777777" w:rsidTr="00152AD1">
        <w:trPr>
          <w:trHeight w:val="420"/>
        </w:trPr>
        <w:tc>
          <w:tcPr>
            <w:tcW w:w="9017" w:type="dxa"/>
            <w:gridSpan w:val="2"/>
          </w:tcPr>
          <w:p w14:paraId="2078622E" w14:textId="77777777" w:rsidR="00533DA0" w:rsidRPr="00772B16" w:rsidRDefault="00533DA0" w:rsidP="00152AD1">
            <w:r w:rsidRPr="00772B16">
              <w:t>Date (dd-m</w:t>
            </w:r>
            <w:r>
              <w:t>mm</w:t>
            </w:r>
            <w:r w:rsidRPr="00772B16">
              <w:t>-</w:t>
            </w:r>
            <w:proofErr w:type="spellStart"/>
            <w:r w:rsidRPr="00772B16">
              <w:t>yyyy</w:t>
            </w:r>
            <w:proofErr w:type="spellEnd"/>
            <w:r w:rsidRPr="00772B16">
              <w:t>):</w:t>
            </w:r>
          </w:p>
        </w:tc>
      </w:tr>
      <w:tr w:rsidR="00533DA0" w:rsidRPr="00772B16" w14:paraId="23A073AD" w14:textId="77777777" w:rsidTr="00152AD1">
        <w:trPr>
          <w:trHeight w:val="420"/>
        </w:trPr>
        <w:tc>
          <w:tcPr>
            <w:tcW w:w="9017" w:type="dxa"/>
            <w:gridSpan w:val="2"/>
          </w:tcPr>
          <w:p w14:paraId="575644F6" w14:textId="77777777" w:rsidR="00533DA0" w:rsidRPr="00772B16" w:rsidRDefault="00533DA0" w:rsidP="00152AD1">
            <w:pPr>
              <w:pStyle w:val="Heading2"/>
            </w:pPr>
            <w:r w:rsidRPr="00772B16">
              <w:t>Approved by:</w:t>
            </w:r>
          </w:p>
        </w:tc>
      </w:tr>
      <w:tr w:rsidR="00533DA0" w:rsidRPr="00772B16" w14:paraId="296F228D" w14:textId="77777777" w:rsidTr="00152AD1">
        <w:trPr>
          <w:trHeight w:val="420"/>
        </w:trPr>
        <w:tc>
          <w:tcPr>
            <w:tcW w:w="4508" w:type="dxa"/>
          </w:tcPr>
          <w:p w14:paraId="5D82734F" w14:textId="77777777" w:rsidR="00533DA0" w:rsidRPr="00772B16" w:rsidRDefault="00533DA0" w:rsidP="00152AD1">
            <w:r w:rsidRPr="00772B16">
              <w:t>Name:</w:t>
            </w:r>
          </w:p>
        </w:tc>
        <w:tc>
          <w:tcPr>
            <w:tcW w:w="4509" w:type="dxa"/>
          </w:tcPr>
          <w:p w14:paraId="708E9821" w14:textId="77777777" w:rsidR="00533DA0" w:rsidRPr="00772B16" w:rsidRDefault="00533DA0" w:rsidP="00152AD1">
            <w:r w:rsidRPr="00772B16">
              <w:t>Signature:</w:t>
            </w:r>
          </w:p>
        </w:tc>
      </w:tr>
      <w:tr w:rsidR="00533DA0" w:rsidRPr="00772B16" w14:paraId="6FC6895E" w14:textId="77777777" w:rsidTr="00152AD1">
        <w:trPr>
          <w:trHeight w:val="420"/>
        </w:trPr>
        <w:tc>
          <w:tcPr>
            <w:tcW w:w="9017" w:type="dxa"/>
            <w:gridSpan w:val="2"/>
          </w:tcPr>
          <w:p w14:paraId="278D38BE" w14:textId="77777777" w:rsidR="00533DA0" w:rsidRPr="00772B16" w:rsidRDefault="00533DA0" w:rsidP="00152AD1">
            <w:r w:rsidRPr="00772B16">
              <w:t>Function:</w:t>
            </w:r>
          </w:p>
        </w:tc>
      </w:tr>
      <w:tr w:rsidR="00533DA0" w:rsidRPr="00772B16" w14:paraId="03E5F859" w14:textId="77777777" w:rsidTr="00152AD1">
        <w:trPr>
          <w:trHeight w:val="420"/>
        </w:trPr>
        <w:tc>
          <w:tcPr>
            <w:tcW w:w="9017" w:type="dxa"/>
            <w:gridSpan w:val="2"/>
          </w:tcPr>
          <w:p w14:paraId="2E90CBC4" w14:textId="77777777" w:rsidR="00533DA0" w:rsidRPr="00772B16" w:rsidRDefault="00533DA0" w:rsidP="00152AD1">
            <w:r w:rsidRPr="00772B16">
              <w:t>Date (dd-m</w:t>
            </w:r>
            <w:r>
              <w:t>mm</w:t>
            </w:r>
            <w:r w:rsidRPr="00772B16">
              <w:t>-</w:t>
            </w:r>
            <w:proofErr w:type="spellStart"/>
            <w:r w:rsidRPr="00772B16">
              <w:t>yyyy</w:t>
            </w:r>
            <w:proofErr w:type="spellEnd"/>
            <w:r w:rsidRPr="00772B16">
              <w:t>):</w:t>
            </w:r>
          </w:p>
        </w:tc>
      </w:tr>
    </w:tbl>
    <w:p w14:paraId="28750F27" w14:textId="77777777" w:rsidR="00533DA0" w:rsidRDefault="00533DA0" w:rsidP="00533DA0">
      <w:pPr>
        <w:pStyle w:val="Heading1-table"/>
        <w:framePr w:hSpace="0" w:wrap="auto" w:vAnchor="margin" w:yAlign="inline"/>
        <w:suppressOverlap w:val="0"/>
        <w:jc w:val="left"/>
      </w:pPr>
    </w:p>
    <w:p w14:paraId="7C5A6A46" w14:textId="77777777" w:rsidR="00533DA0" w:rsidRPr="00B63EFD" w:rsidRDefault="00533DA0" w:rsidP="00174260">
      <w:bookmarkStart w:id="9" w:name="_GoBack"/>
      <w:bookmarkEnd w:id="9"/>
    </w:p>
    <w:sectPr w:rsidR="00533DA0" w:rsidRPr="00B63EFD" w:rsidSect="00212610">
      <w:headerReference w:type="default" r:id="rId16"/>
      <w:footerReference w:type="default" r:id="rId17"/>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44955" w14:textId="77777777" w:rsidR="00EB0DEA" w:rsidRDefault="00EB0DEA" w:rsidP="009E2541">
      <w:pPr>
        <w:spacing w:before="0" w:after="0"/>
      </w:pPr>
      <w:r>
        <w:separator/>
      </w:r>
    </w:p>
  </w:endnote>
  <w:endnote w:type="continuationSeparator" w:id="0">
    <w:p w14:paraId="1DD1C6AB" w14:textId="77777777" w:rsidR="00EB0DEA" w:rsidRDefault="00EB0DEA"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2E00C5DF" w14:textId="77777777" w:rsidR="0017791A" w:rsidRDefault="0017791A" w:rsidP="0017791A">
            <w:pPr>
              <w:pStyle w:val="Footer"/>
              <w:tabs>
                <w:tab w:val="right" w:pos="9026"/>
              </w:tabs>
            </w:pPr>
            <w:r>
              <w:tab/>
            </w:r>
          </w:p>
          <w:p w14:paraId="6EB3CB95" w14:textId="00716AFA" w:rsidR="009E2541" w:rsidRDefault="005170B4" w:rsidP="0017791A">
            <w:pPr>
              <w:pStyle w:val="Footer"/>
              <w:tabs>
                <w:tab w:val="right" w:pos="9026"/>
              </w:tabs>
            </w:pPr>
            <w:r>
              <w:t>&lt;Enter site/study/trial-specific footer text here or delete if not required&gt;</w:t>
            </w:r>
            <w:r w:rsidR="00352C78" w:rsidRPr="00352C78">
              <w:tab/>
            </w:r>
            <w:r w:rsidR="0017791A">
              <w:t xml:space="preserve">Page </w:t>
            </w:r>
            <w:r w:rsidR="0017791A">
              <w:fldChar w:fldCharType="begin"/>
            </w:r>
            <w:r w:rsidR="0017791A">
              <w:instrText xml:space="preserve"> PAGE   \* MERGEFORMAT </w:instrText>
            </w:r>
            <w:r w:rsidR="0017791A">
              <w:fldChar w:fldCharType="separate"/>
            </w:r>
            <w:r w:rsidR="00174260">
              <w:rPr>
                <w:noProof/>
              </w:rPr>
              <w:t>2</w:t>
            </w:r>
            <w:r w:rsidR="0017791A">
              <w:fldChar w:fldCharType="end"/>
            </w:r>
            <w:r w:rsidR="0017791A">
              <w:t xml:space="preserve"> of </w:t>
            </w:r>
            <w:fldSimple w:instr=" NUMPAGES   \* MERGEFORMAT ">
              <w:r w:rsidR="00174260">
                <w:rPr>
                  <w:noProof/>
                </w:rPr>
                <w:t>2</w:t>
              </w:r>
            </w:fldSimple>
          </w:p>
        </w:sdtContent>
      </w:sdt>
    </w:sdtContent>
  </w:sdt>
  <w:p w14:paraId="02960F97" w14:textId="37712BD0" w:rsidR="00A121AC" w:rsidRPr="009E2541" w:rsidRDefault="00B630F4" w:rsidP="00A121AC">
    <w:pPr>
      <w:pStyle w:val="Footer"/>
    </w:pPr>
    <w:r>
      <w:t>UoB-CRL-QCD-020 Assay Validation v2.0 Effective date 12-Dec-2022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F2CE"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54F0CB49"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34B39280" w14:textId="77777777" w:rsidR="009F4967" w:rsidRDefault="00533DA0" w:rsidP="009F4967">
    <w:pPr>
      <w:pStyle w:val="propertystatement"/>
    </w:pPr>
    <w:hyperlink r:id="rId1" w:tooltip="Website for the Clinical Research Compliance Team" w:history="1">
      <w:r w:rsidR="009F4967">
        <w:rPr>
          <w:rStyle w:val="Hyperlink"/>
        </w:rPr>
        <w:t>birmingham.ac.uk/</w:t>
      </w:r>
      <w:proofErr w:type="spellStart"/>
      <w:r w:rsidR="009F4967">
        <w:rPr>
          <w:rStyle w:val="Hyperlink"/>
        </w:rPr>
        <w:t>crct</w:t>
      </w:r>
      <w:proofErr w:type="spellEnd"/>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505961"/>
      <w:docPartObj>
        <w:docPartGallery w:val="Page Numbers (Bottom of Page)"/>
        <w:docPartUnique/>
      </w:docPartObj>
    </w:sdtPr>
    <w:sdtEndPr/>
    <w:sdtContent>
      <w:sdt>
        <w:sdtPr>
          <w:id w:val="-1806074988"/>
          <w:docPartObj>
            <w:docPartGallery w:val="Page Numbers (Top of Page)"/>
            <w:docPartUnique/>
          </w:docPartObj>
        </w:sdtPr>
        <w:sdtEndPr/>
        <w:sdtContent>
          <w:p w14:paraId="137C59FE" w14:textId="77777777" w:rsidR="005170B4" w:rsidRDefault="005170B4" w:rsidP="0017791A">
            <w:pPr>
              <w:pStyle w:val="Footer"/>
              <w:tabs>
                <w:tab w:val="right" w:pos="9026"/>
              </w:tabs>
            </w:pPr>
            <w:r>
              <w:tab/>
            </w:r>
          </w:p>
          <w:p w14:paraId="08C079F5" w14:textId="65D3B2E6" w:rsidR="005170B4" w:rsidRPr="009E2541" w:rsidRDefault="005170B4" w:rsidP="005170B4">
            <w:pPr>
              <w:pStyle w:val="Footer"/>
              <w:tabs>
                <w:tab w:val="right" w:pos="9026"/>
              </w:tabs>
            </w:pPr>
            <w:bookmarkStart w:id="7" w:name="_Hlk120631318"/>
            <w:r>
              <w:t xml:space="preserve">UoB-CRL-QCD-020 Assay Validation v2.0 Effective date </w:t>
            </w:r>
            <w:r w:rsidR="00533DA0">
              <w:t>03</w:t>
            </w:r>
            <w:r>
              <w:t>-</w:t>
            </w:r>
            <w:r w:rsidR="00533DA0">
              <w:t>Jan</w:t>
            </w:r>
            <w:r>
              <w:t>-20</w:t>
            </w:r>
            <w:bookmarkEnd w:id="7"/>
            <w:r w:rsidR="00533DA0">
              <w:t>23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849899"/>
      <w:docPartObj>
        <w:docPartGallery w:val="Page Numbers (Bottom of Page)"/>
        <w:docPartUnique/>
      </w:docPartObj>
    </w:sdtPr>
    <w:sdtEndPr/>
    <w:sdtContent>
      <w:sdt>
        <w:sdtPr>
          <w:id w:val="633147183"/>
          <w:docPartObj>
            <w:docPartGallery w:val="Page Numbers (Top of Page)"/>
            <w:docPartUnique/>
          </w:docPartObj>
        </w:sdtPr>
        <w:sdtEndPr/>
        <w:sdtContent>
          <w:p w14:paraId="5C933265" w14:textId="77777777" w:rsidR="005170B4" w:rsidRDefault="005170B4" w:rsidP="0017791A">
            <w:pPr>
              <w:pStyle w:val="Footer"/>
              <w:tabs>
                <w:tab w:val="right" w:pos="9026"/>
              </w:tabs>
            </w:pPr>
            <w:r>
              <w:tab/>
            </w:r>
          </w:p>
          <w:p w14:paraId="16012D5A" w14:textId="77777777" w:rsidR="005170B4" w:rsidRDefault="005170B4" w:rsidP="0017791A">
            <w:pPr>
              <w:pStyle w:val="Footer"/>
              <w:tabs>
                <w:tab w:val="right" w:pos="9026"/>
              </w:tabs>
            </w:pPr>
            <w:bookmarkStart w:id="10" w:name="_Hlk120631396"/>
            <w:r>
              <w:t>&lt;Enter site/study/trial-specific footer text here or delete if not required&gt;</w:t>
            </w:r>
            <w:bookmarkEnd w:id="10"/>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sdtContent>
      </w:sdt>
    </w:sdtContent>
  </w:sdt>
  <w:p w14:paraId="4635954F" w14:textId="5F87DD1E" w:rsidR="005170B4" w:rsidRPr="009E2541" w:rsidRDefault="005170B4" w:rsidP="00A121AC">
    <w:pPr>
      <w:pStyle w:val="Footer"/>
    </w:pPr>
    <w:r>
      <w:t xml:space="preserve">UoB-CRL-QCD-020 Assay Validation v2.0 Effective date </w:t>
    </w:r>
    <w:r w:rsidR="00533DA0">
      <w:t>03</w:t>
    </w:r>
    <w:r>
      <w:t>-</w:t>
    </w:r>
    <w:r w:rsidR="00533DA0">
      <w:t>Jan</w:t>
    </w:r>
    <w:r>
      <w:t>-202</w:t>
    </w:r>
    <w:r w:rsidR="00533DA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D898" w14:textId="77777777" w:rsidR="00EB0DEA" w:rsidRDefault="00EB0DEA" w:rsidP="009E2541">
      <w:pPr>
        <w:spacing w:before="0" w:after="0"/>
      </w:pPr>
      <w:r>
        <w:separator/>
      </w:r>
    </w:p>
  </w:footnote>
  <w:footnote w:type="continuationSeparator" w:id="0">
    <w:p w14:paraId="59147404" w14:textId="77777777" w:rsidR="00EB0DEA" w:rsidRDefault="00EB0DEA"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EF39" w14:textId="061B26D5" w:rsidR="00212610" w:rsidRDefault="009E7C5C"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6432" behindDoc="0" locked="0" layoutInCell="1" allowOverlap="1" wp14:anchorId="5AAD7EC3" wp14:editId="454CEC71">
          <wp:simplePos x="0" y="0"/>
          <wp:positionH relativeFrom="column">
            <wp:posOffset>-285750</wp:posOffset>
          </wp:positionH>
          <wp:positionV relativeFrom="page">
            <wp:posOffset>17145</wp:posOffset>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548">
      <w:tab/>
    </w:r>
    <w:r w:rsidR="00EB0DEA">
      <w:t>Assay Validation</w:t>
    </w:r>
  </w:p>
  <w:p w14:paraId="762A1A19"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ACF4"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525D092D" w14:textId="77777777" w:rsidTr="00D348D3">
      <w:trPr>
        <w:trHeight w:val="278"/>
        <w:tblHeader/>
      </w:trPr>
      <w:tc>
        <w:tcPr>
          <w:tcW w:w="1668" w:type="dxa"/>
          <w:vAlign w:val="center"/>
        </w:tcPr>
        <w:p w14:paraId="56A3DB04" w14:textId="77777777" w:rsidR="009F4967" w:rsidRDefault="009F4967" w:rsidP="009F4967">
          <w:pPr>
            <w:pStyle w:val="Footer"/>
          </w:pPr>
          <w:r w:rsidRPr="001C6EFB">
            <w:t>Document code:</w:t>
          </w:r>
        </w:p>
      </w:tc>
      <w:tc>
        <w:tcPr>
          <w:tcW w:w="2310" w:type="dxa"/>
          <w:vAlign w:val="center"/>
        </w:tcPr>
        <w:p w14:paraId="67160224" w14:textId="0E02414E" w:rsidR="009F4967" w:rsidRDefault="005170B4" w:rsidP="00A121AC">
          <w:pPr>
            <w:pStyle w:val="Footer"/>
            <w:jc w:val="right"/>
          </w:pPr>
          <w:r>
            <w:t>UoB-CRL-QCD-020</w:t>
          </w:r>
        </w:p>
      </w:tc>
    </w:tr>
    <w:tr w:rsidR="009F4967" w14:paraId="0DD6AC32" w14:textId="77777777" w:rsidTr="00D348D3">
      <w:trPr>
        <w:trHeight w:val="278"/>
      </w:trPr>
      <w:tc>
        <w:tcPr>
          <w:tcW w:w="1668" w:type="dxa"/>
          <w:vAlign w:val="center"/>
        </w:tcPr>
        <w:p w14:paraId="5635E4FA" w14:textId="77777777" w:rsidR="009F4967" w:rsidRDefault="009F4967" w:rsidP="009F4967">
          <w:pPr>
            <w:pStyle w:val="Footer"/>
          </w:pPr>
          <w:r w:rsidRPr="001C6EFB">
            <w:t>Version no:</w:t>
          </w:r>
        </w:p>
      </w:tc>
      <w:tc>
        <w:tcPr>
          <w:tcW w:w="2310" w:type="dxa"/>
          <w:vAlign w:val="center"/>
        </w:tcPr>
        <w:p w14:paraId="6C9E3EA8" w14:textId="1A2F91A1" w:rsidR="009F4967" w:rsidRDefault="005170B4" w:rsidP="009F4967">
          <w:pPr>
            <w:pStyle w:val="Footer"/>
            <w:jc w:val="right"/>
          </w:pPr>
          <w:r>
            <w:t>2.0</w:t>
          </w:r>
        </w:p>
      </w:tc>
    </w:tr>
    <w:tr w:rsidR="009F4967" w14:paraId="1A1A929B" w14:textId="77777777" w:rsidTr="00D348D3">
      <w:trPr>
        <w:trHeight w:val="278"/>
      </w:trPr>
      <w:tc>
        <w:tcPr>
          <w:tcW w:w="1668" w:type="dxa"/>
          <w:vAlign w:val="center"/>
        </w:tcPr>
        <w:p w14:paraId="7F98A2B2" w14:textId="77777777" w:rsidR="009F4967" w:rsidRDefault="009F4967" w:rsidP="009F4967">
          <w:pPr>
            <w:pStyle w:val="Footer"/>
          </w:pPr>
          <w:r>
            <w:t>Effective date:</w:t>
          </w:r>
        </w:p>
      </w:tc>
      <w:tc>
        <w:tcPr>
          <w:tcW w:w="2310" w:type="dxa"/>
          <w:vAlign w:val="center"/>
        </w:tcPr>
        <w:p w14:paraId="1DA69122" w14:textId="29101F9C" w:rsidR="009F4967" w:rsidRDefault="00533DA0" w:rsidP="009F4967">
          <w:pPr>
            <w:pStyle w:val="Footer"/>
            <w:jc w:val="right"/>
          </w:pPr>
          <w:r>
            <w:t>03</w:t>
          </w:r>
          <w:r w:rsidR="005170B4">
            <w:t>-</w:t>
          </w:r>
          <w:r>
            <w:t>Jan</w:t>
          </w:r>
          <w:r w:rsidR="005170B4">
            <w:t>-202</w:t>
          </w:r>
          <w:r>
            <w:t>3</w:t>
          </w:r>
        </w:p>
      </w:tc>
    </w:tr>
    <w:tr w:rsidR="009F4967" w14:paraId="7C5EFD7D" w14:textId="77777777" w:rsidTr="00D348D3">
      <w:trPr>
        <w:trHeight w:val="278"/>
      </w:trPr>
      <w:tc>
        <w:tcPr>
          <w:tcW w:w="1668" w:type="dxa"/>
          <w:vAlign w:val="center"/>
        </w:tcPr>
        <w:p w14:paraId="08770234" w14:textId="77777777" w:rsidR="009F4967" w:rsidRPr="001C6EFB" w:rsidRDefault="009F4967" w:rsidP="009F4967">
          <w:pPr>
            <w:pStyle w:val="Footer"/>
          </w:pPr>
          <w:r>
            <w:t>Print d</w:t>
          </w:r>
          <w:r w:rsidRPr="001C6EFB">
            <w:t>ate:</w:t>
          </w:r>
        </w:p>
      </w:tc>
      <w:tc>
        <w:tcPr>
          <w:tcW w:w="2310" w:type="dxa"/>
          <w:vAlign w:val="center"/>
        </w:tcPr>
        <w:p w14:paraId="589C39B7" w14:textId="290AFE86" w:rsidR="009F4967" w:rsidRDefault="009F4967" w:rsidP="009F4967">
          <w:pPr>
            <w:pStyle w:val="Footer"/>
            <w:jc w:val="right"/>
          </w:pPr>
          <w:r>
            <w:fldChar w:fldCharType="begin"/>
          </w:r>
          <w:r>
            <w:instrText xml:space="preserve"> DATE  \@ "dd-MMM-yyyy"  \* MERGEFORMAT </w:instrText>
          </w:r>
          <w:r>
            <w:fldChar w:fldCharType="separate"/>
          </w:r>
          <w:r w:rsidR="00533DA0">
            <w:rPr>
              <w:noProof/>
            </w:rPr>
            <w:t>02-Dec-2022</w:t>
          </w:r>
          <w:r>
            <w:fldChar w:fldCharType="end"/>
          </w:r>
        </w:p>
      </w:tc>
    </w:tr>
    <w:tr w:rsidR="009F4967" w14:paraId="549E29F4" w14:textId="77777777" w:rsidTr="00D348D3">
      <w:trPr>
        <w:trHeight w:val="278"/>
      </w:trPr>
      <w:tc>
        <w:tcPr>
          <w:tcW w:w="1668" w:type="dxa"/>
          <w:vAlign w:val="center"/>
        </w:tcPr>
        <w:p w14:paraId="632FA6B5" w14:textId="77777777" w:rsidR="009F4967" w:rsidRPr="001C6EFB" w:rsidRDefault="009F4967" w:rsidP="009F4967">
          <w:pPr>
            <w:pStyle w:val="Footer"/>
          </w:pPr>
          <w:r w:rsidRPr="001C6EFB">
            <w:t>Page:</w:t>
          </w:r>
        </w:p>
      </w:tc>
      <w:tc>
        <w:tcPr>
          <w:tcW w:w="2310" w:type="dxa"/>
          <w:vAlign w:val="center"/>
        </w:tcPr>
        <w:p w14:paraId="361B6929"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52BC4A3C"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3A310323" wp14:editId="055219D4">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78BC69"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A607" w14:textId="77777777" w:rsidR="00EB0DEA" w:rsidRDefault="00EB0DEA"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EB0DEA" w14:paraId="53FB38B8" w14:textId="77777777" w:rsidTr="00D348D3">
      <w:trPr>
        <w:trHeight w:val="278"/>
        <w:tblHeader/>
      </w:trPr>
      <w:tc>
        <w:tcPr>
          <w:tcW w:w="1668" w:type="dxa"/>
          <w:vAlign w:val="center"/>
        </w:tcPr>
        <w:p w14:paraId="7B682B8A" w14:textId="77777777" w:rsidR="00EB0DEA" w:rsidRDefault="00EB0DEA" w:rsidP="009F4967">
          <w:pPr>
            <w:pStyle w:val="Footer"/>
          </w:pPr>
          <w:r w:rsidRPr="001C6EFB">
            <w:t>Document code:</w:t>
          </w:r>
        </w:p>
      </w:tc>
      <w:tc>
        <w:tcPr>
          <w:tcW w:w="2310" w:type="dxa"/>
          <w:vAlign w:val="center"/>
        </w:tcPr>
        <w:p w14:paraId="665B3488" w14:textId="77777777" w:rsidR="00EB0DEA" w:rsidRDefault="00EB0DEA" w:rsidP="00A121AC">
          <w:pPr>
            <w:pStyle w:val="Footer"/>
            <w:jc w:val="right"/>
          </w:pPr>
          <w:proofErr w:type="spellStart"/>
          <w:r>
            <w:t>UoB</w:t>
          </w:r>
          <w:proofErr w:type="spellEnd"/>
          <w:r>
            <w:t>-</w:t>
          </w:r>
        </w:p>
      </w:tc>
    </w:tr>
    <w:tr w:rsidR="00EB0DEA" w14:paraId="40C594C5" w14:textId="77777777" w:rsidTr="00D348D3">
      <w:trPr>
        <w:trHeight w:val="278"/>
      </w:trPr>
      <w:tc>
        <w:tcPr>
          <w:tcW w:w="1668" w:type="dxa"/>
          <w:vAlign w:val="center"/>
        </w:tcPr>
        <w:p w14:paraId="67BBD996" w14:textId="77777777" w:rsidR="00EB0DEA" w:rsidRDefault="00EB0DEA" w:rsidP="009F4967">
          <w:pPr>
            <w:pStyle w:val="Footer"/>
          </w:pPr>
          <w:r w:rsidRPr="001C6EFB">
            <w:t>Version no:</w:t>
          </w:r>
        </w:p>
      </w:tc>
      <w:tc>
        <w:tcPr>
          <w:tcW w:w="2310" w:type="dxa"/>
          <w:vAlign w:val="center"/>
        </w:tcPr>
        <w:p w14:paraId="2C973B2A" w14:textId="77777777" w:rsidR="00EB0DEA" w:rsidRDefault="00EB0DEA" w:rsidP="009F4967">
          <w:pPr>
            <w:pStyle w:val="Footer"/>
            <w:jc w:val="right"/>
          </w:pPr>
        </w:p>
      </w:tc>
    </w:tr>
    <w:tr w:rsidR="00EB0DEA" w14:paraId="50067A10" w14:textId="77777777" w:rsidTr="00D348D3">
      <w:trPr>
        <w:trHeight w:val="278"/>
      </w:trPr>
      <w:tc>
        <w:tcPr>
          <w:tcW w:w="1668" w:type="dxa"/>
          <w:vAlign w:val="center"/>
        </w:tcPr>
        <w:p w14:paraId="76E93396" w14:textId="77777777" w:rsidR="00EB0DEA" w:rsidRDefault="00EB0DEA" w:rsidP="009F4967">
          <w:pPr>
            <w:pStyle w:val="Footer"/>
          </w:pPr>
          <w:r>
            <w:t>Effective date:</w:t>
          </w:r>
        </w:p>
      </w:tc>
      <w:tc>
        <w:tcPr>
          <w:tcW w:w="2310" w:type="dxa"/>
          <w:vAlign w:val="center"/>
        </w:tcPr>
        <w:p w14:paraId="6B6D0284" w14:textId="77777777" w:rsidR="00EB0DEA" w:rsidRDefault="00EB0DEA" w:rsidP="009F4967">
          <w:pPr>
            <w:pStyle w:val="Footer"/>
            <w:jc w:val="right"/>
          </w:pPr>
        </w:p>
      </w:tc>
    </w:tr>
    <w:tr w:rsidR="00EB0DEA" w14:paraId="2D099A60" w14:textId="77777777" w:rsidTr="00D348D3">
      <w:trPr>
        <w:trHeight w:val="278"/>
      </w:trPr>
      <w:tc>
        <w:tcPr>
          <w:tcW w:w="1668" w:type="dxa"/>
          <w:vAlign w:val="center"/>
        </w:tcPr>
        <w:p w14:paraId="2385983F" w14:textId="77777777" w:rsidR="00EB0DEA" w:rsidRPr="001C6EFB" w:rsidRDefault="00EB0DEA" w:rsidP="009F4967">
          <w:pPr>
            <w:pStyle w:val="Footer"/>
          </w:pPr>
          <w:r>
            <w:t>Print d</w:t>
          </w:r>
          <w:r w:rsidRPr="001C6EFB">
            <w:t>ate:</w:t>
          </w:r>
        </w:p>
      </w:tc>
      <w:tc>
        <w:tcPr>
          <w:tcW w:w="2310" w:type="dxa"/>
          <w:vAlign w:val="center"/>
        </w:tcPr>
        <w:p w14:paraId="572E79F5" w14:textId="1D320BAA" w:rsidR="00EB0DEA" w:rsidRDefault="00EB0DEA" w:rsidP="009F4967">
          <w:pPr>
            <w:pStyle w:val="Footer"/>
            <w:jc w:val="right"/>
          </w:pPr>
          <w:r>
            <w:fldChar w:fldCharType="begin"/>
          </w:r>
          <w:r>
            <w:instrText xml:space="preserve"> DATE  \@ "dd-MMM-yyyy"  \* MERGEFORMAT </w:instrText>
          </w:r>
          <w:r>
            <w:fldChar w:fldCharType="separate"/>
          </w:r>
          <w:r w:rsidR="00533DA0">
            <w:rPr>
              <w:noProof/>
            </w:rPr>
            <w:t>02-Dec-2022</w:t>
          </w:r>
          <w:r>
            <w:fldChar w:fldCharType="end"/>
          </w:r>
        </w:p>
      </w:tc>
    </w:tr>
    <w:tr w:rsidR="00EB0DEA" w14:paraId="20A37061" w14:textId="77777777" w:rsidTr="00D348D3">
      <w:trPr>
        <w:trHeight w:val="278"/>
      </w:trPr>
      <w:tc>
        <w:tcPr>
          <w:tcW w:w="1668" w:type="dxa"/>
          <w:vAlign w:val="center"/>
        </w:tcPr>
        <w:p w14:paraId="64741DB4" w14:textId="77777777" w:rsidR="00EB0DEA" w:rsidRPr="001C6EFB" w:rsidRDefault="00EB0DEA" w:rsidP="009F4967">
          <w:pPr>
            <w:pStyle w:val="Footer"/>
          </w:pPr>
          <w:r w:rsidRPr="001C6EFB">
            <w:t>Page:</w:t>
          </w:r>
        </w:p>
      </w:tc>
      <w:tc>
        <w:tcPr>
          <w:tcW w:w="2310" w:type="dxa"/>
          <w:vAlign w:val="center"/>
        </w:tcPr>
        <w:p w14:paraId="55A47182" w14:textId="77777777" w:rsidR="00EB0DEA" w:rsidRDefault="00EB0DEA" w:rsidP="009F4967">
          <w:pPr>
            <w:pStyle w:val="Footer"/>
            <w:jc w:val="right"/>
          </w:pP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r w:rsidRPr="001C6EFB">
            <w:t xml:space="preserve"> </w:t>
          </w:r>
        </w:p>
      </w:tc>
    </w:tr>
  </w:tbl>
  <w:p w14:paraId="391AFF26" w14:textId="77777777" w:rsidR="00EB0DEA" w:rsidRDefault="00EB0DEA" w:rsidP="00E243E7">
    <w:pPr>
      <w:pStyle w:val="Header"/>
      <w:ind w:left="-567"/>
      <w:jc w:val="left"/>
    </w:pPr>
    <w:r w:rsidRPr="00F16569">
      <w:rPr>
        <w:lang w:eastAsia="en-GB"/>
      </w:rPr>
      <w:drawing>
        <wp:anchor distT="0" distB="0" distL="114300" distR="114300" simplePos="0" relativeHeight="251664384" behindDoc="0" locked="0" layoutInCell="1" allowOverlap="1" wp14:anchorId="33EE44A9" wp14:editId="56CCE50E">
          <wp:simplePos x="0" y="0"/>
          <wp:positionH relativeFrom="column">
            <wp:posOffset>-302260</wp:posOffset>
          </wp:positionH>
          <wp:positionV relativeFrom="page">
            <wp:posOffset>1051560</wp:posOffset>
          </wp:positionV>
          <wp:extent cx="2703600" cy="1062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BB1A56" w14:textId="77777777" w:rsidR="00EB0DEA" w:rsidRPr="009F4967" w:rsidRDefault="00EB0DEA" w:rsidP="009F49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935F" w14:textId="455467FF" w:rsidR="00EB0DEA" w:rsidRDefault="00EB0DEA" w:rsidP="00DC3548">
    <w:pPr>
      <w:pStyle w:val="Header-QCDs"/>
      <w:tabs>
        <w:tab w:val="clear" w:pos="4153"/>
        <w:tab w:val="clear" w:pos="8306"/>
        <w:tab w:val="right" w:pos="9026"/>
      </w:tabs>
      <w:jc w:val="left"/>
    </w:pPr>
    <w:r>
      <w:t>Trial ID:</w:t>
    </w:r>
    <w:r>
      <w:tab/>
      <w:t>Analytical Assay Validation Plan and Report</w:t>
    </w:r>
  </w:p>
  <w:p w14:paraId="08739628" w14:textId="77777777" w:rsidR="00EB0DEA" w:rsidRDefault="00EB0DEA"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EA"/>
    <w:rsid w:val="00051979"/>
    <w:rsid w:val="00056169"/>
    <w:rsid w:val="00174260"/>
    <w:rsid w:val="0017791A"/>
    <w:rsid w:val="001C1176"/>
    <w:rsid w:val="00201C7B"/>
    <w:rsid w:val="00212610"/>
    <w:rsid w:val="00231BC9"/>
    <w:rsid w:val="003030D7"/>
    <w:rsid w:val="003247CD"/>
    <w:rsid w:val="00352C78"/>
    <w:rsid w:val="003C0400"/>
    <w:rsid w:val="00495AB8"/>
    <w:rsid w:val="00512385"/>
    <w:rsid w:val="005170B4"/>
    <w:rsid w:val="00533DA0"/>
    <w:rsid w:val="00551B46"/>
    <w:rsid w:val="006B241E"/>
    <w:rsid w:val="006D353E"/>
    <w:rsid w:val="00716230"/>
    <w:rsid w:val="007235D8"/>
    <w:rsid w:val="00785159"/>
    <w:rsid w:val="007934BA"/>
    <w:rsid w:val="007B78A1"/>
    <w:rsid w:val="009A16FE"/>
    <w:rsid w:val="009E2541"/>
    <w:rsid w:val="009E7C5C"/>
    <w:rsid w:val="009F4967"/>
    <w:rsid w:val="00A121AC"/>
    <w:rsid w:val="00A47580"/>
    <w:rsid w:val="00A8653B"/>
    <w:rsid w:val="00A918F1"/>
    <w:rsid w:val="00AB04CD"/>
    <w:rsid w:val="00AC31AE"/>
    <w:rsid w:val="00AE3918"/>
    <w:rsid w:val="00AF0598"/>
    <w:rsid w:val="00B424BC"/>
    <w:rsid w:val="00B630F4"/>
    <w:rsid w:val="00B63EFD"/>
    <w:rsid w:val="00C4434C"/>
    <w:rsid w:val="00C466E9"/>
    <w:rsid w:val="00C92E61"/>
    <w:rsid w:val="00D44FA5"/>
    <w:rsid w:val="00D528DA"/>
    <w:rsid w:val="00DA4B36"/>
    <w:rsid w:val="00DB18F0"/>
    <w:rsid w:val="00DC3548"/>
    <w:rsid w:val="00DC5448"/>
    <w:rsid w:val="00DD58C0"/>
    <w:rsid w:val="00E237E8"/>
    <w:rsid w:val="00E243E7"/>
    <w:rsid w:val="00E3726D"/>
    <w:rsid w:val="00E47D32"/>
    <w:rsid w:val="00E86405"/>
    <w:rsid w:val="00EB0DEA"/>
    <w:rsid w:val="00FC2105"/>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C514"/>
  <w15:chartTrackingRefBased/>
  <w15:docId w15:val="{66F2148E-0985-4654-8833-8B1816C9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rsid w:val="00EB0DEA"/>
    <w:rPr>
      <w:sz w:val="16"/>
      <w:szCs w:val="16"/>
    </w:rPr>
  </w:style>
  <w:style w:type="paragraph" w:styleId="CommentText">
    <w:name w:val="annotation text"/>
    <w:basedOn w:val="Normal"/>
    <w:link w:val="CommentTextChar"/>
    <w:uiPriority w:val="99"/>
    <w:semiHidden/>
    <w:rsid w:val="00EB0DEA"/>
  </w:style>
  <w:style w:type="character" w:customStyle="1" w:styleId="CommentTextChar">
    <w:name w:val="Comment Text Char"/>
    <w:basedOn w:val="DefaultParagraphFont"/>
    <w:link w:val="CommentText"/>
    <w:uiPriority w:val="99"/>
    <w:semiHidden/>
    <w:rsid w:val="00EB0DEA"/>
    <w:rPr>
      <w:rFonts w:ascii="Calibri" w:hAnsi="Calibri" w:cs="Arial"/>
      <w:sz w:val="20"/>
      <w:szCs w:val="20"/>
    </w:rPr>
  </w:style>
  <w:style w:type="paragraph" w:customStyle="1" w:styleId="NumberlistforSOPs">
    <w:name w:val="Numberlist for SOPs"/>
    <w:basedOn w:val="Normal"/>
    <w:rsid w:val="00EB0DEA"/>
    <w:pPr>
      <w:ind w:left="360" w:hanging="360"/>
    </w:pPr>
  </w:style>
  <w:style w:type="paragraph" w:customStyle="1" w:styleId="Heading1-table">
    <w:name w:val="Heading 1 - table"/>
    <w:basedOn w:val="Heading1"/>
    <w:autoRedefine/>
    <w:qFormat/>
    <w:rsid w:val="00B630F4"/>
    <w:pPr>
      <w:keepLines/>
      <w:framePr w:hSpace="180" w:wrap="around" w:vAnchor="text" w:hAnchor="text" w:y="1"/>
      <w:mirrorIndents/>
      <w:suppressOverlap/>
      <w:jc w:val="center"/>
    </w:pPr>
    <w:rPr>
      <w:szCs w:val="24"/>
    </w:rPr>
  </w:style>
  <w:style w:type="character" w:styleId="FollowedHyperlink">
    <w:name w:val="FollowedHyperlink"/>
    <w:basedOn w:val="DefaultParagraphFont"/>
    <w:uiPriority w:val="99"/>
    <w:semiHidden/>
    <w:unhideWhenUsed/>
    <w:rsid w:val="00C46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rmingham.ac.uk/research/activity/mds/mds-rkto/governance/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researchgovernance@contacts.bham.ac.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rct@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portrait - identifier- v9.0 vd 19-Jan-2022</Template>
  <TotalTime>47</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Kari Bottolfsen (Psychology)</dc:creator>
  <cp:keywords/>
  <dc:description/>
  <cp:lastModifiedBy>Kari Bottolfsen (Life and Environmental Sciences)</cp:lastModifiedBy>
  <cp:revision>9</cp:revision>
  <dcterms:created xsi:type="dcterms:W3CDTF">2022-11-29T15:12:00Z</dcterms:created>
  <dcterms:modified xsi:type="dcterms:W3CDTF">2022-12-02T06:41:00Z</dcterms:modified>
</cp:coreProperties>
</file>