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0828" w14:textId="77777777" w:rsidR="00C26147" w:rsidRPr="00C0396F" w:rsidRDefault="00C26147" w:rsidP="00C26147">
      <w:pPr>
        <w:pStyle w:val="Title"/>
      </w:pPr>
      <w:r w:rsidRPr="00C0396F">
        <w:t>Standard Operating P</w:t>
      </w:r>
      <w:r>
        <w:t>r</w:t>
      </w:r>
      <w:r w:rsidRPr="00C0396F">
        <w:t>ocedure:</w:t>
      </w:r>
    </w:p>
    <w:p w14:paraId="329ABB47" w14:textId="77777777" w:rsidR="00C26147" w:rsidRDefault="00C26147" w:rsidP="00C26147">
      <w:pPr>
        <w:pStyle w:val="Title"/>
      </w:pPr>
      <w:r>
        <w:t>Laboratory Facilities</w:t>
      </w:r>
    </w:p>
    <w:p w14:paraId="750F56FA" w14:textId="77777777" w:rsidR="00C26147" w:rsidRDefault="00C26147" w:rsidP="00C26147">
      <w:pPr>
        <w:rPr>
          <w:rFonts w:eastAsiaTheme="majorEastAsia"/>
        </w:rPr>
      </w:pPr>
    </w:p>
    <w:p w14:paraId="688899E5" w14:textId="77777777" w:rsidR="00C26147" w:rsidRDefault="00C26147" w:rsidP="00C26147">
      <w:pPr>
        <w:rPr>
          <w:rFonts w:eastAsiaTheme="majorEastAsia"/>
        </w:rPr>
      </w:pPr>
    </w:p>
    <w:p w14:paraId="5B84E7BE" w14:textId="3BE45E73" w:rsidR="00C26147" w:rsidRDefault="00C26147" w:rsidP="00C26147">
      <w:pPr>
        <w:pStyle w:val="Heading1"/>
      </w:pPr>
      <w:r w:rsidRPr="00B6322E">
        <w:t>Purpose</w:t>
      </w:r>
    </w:p>
    <w:p w14:paraId="14BB400A" w14:textId="05B2414F" w:rsidR="00C26147" w:rsidRDefault="00C26147" w:rsidP="00C26147">
      <w:r w:rsidRPr="00170A8C">
        <w:t xml:space="preserve">The purpose of this </w:t>
      </w:r>
      <w:r>
        <w:t>standard operating procedure (</w:t>
      </w:r>
      <w:r w:rsidRPr="00170A8C">
        <w:t>SOP</w:t>
      </w:r>
      <w:r>
        <w:t>)</w:t>
      </w:r>
      <w:r w:rsidRPr="00170A8C">
        <w:t xml:space="preserve"> is to describe procedures which will ensure that </w:t>
      </w:r>
      <w:r>
        <w:t xml:space="preserve">equipment within laboratories (and the laboratories themselves) are maintained sufficiently to meet the appropriate standards to allow the handling, processing, receipt, storage or analysis of samples of human biomaterials which contribute to the (primary, secondary and/or exploratory) endpoints of </w:t>
      </w:r>
      <w:r w:rsidR="002C257F">
        <w:t>c</w:t>
      </w:r>
      <w:r>
        <w:t xml:space="preserve">linical </w:t>
      </w:r>
      <w:r w:rsidR="002C257F">
        <w:t>t</w:t>
      </w:r>
      <w:r>
        <w:t xml:space="preserve">rials of </w:t>
      </w:r>
      <w:r w:rsidR="002C257F">
        <w:t>i</w:t>
      </w:r>
      <w:r>
        <w:t xml:space="preserve">nvestigational </w:t>
      </w:r>
      <w:r w:rsidR="002C257F">
        <w:t>m</w:t>
      </w:r>
      <w:r>
        <w:t xml:space="preserve">edicinal </w:t>
      </w:r>
      <w:r w:rsidR="002C257F">
        <w:t>p</w:t>
      </w:r>
      <w:r>
        <w:t xml:space="preserve">roduct (CTIMPs) or of human tissue </w:t>
      </w:r>
      <w:r w:rsidRPr="00170A8C">
        <w:t xml:space="preserve">for clinical </w:t>
      </w:r>
      <w:r>
        <w:t>studies and non-CTIMP trials.</w:t>
      </w:r>
    </w:p>
    <w:p w14:paraId="6E947534" w14:textId="7B72BDC4" w:rsidR="00C26147" w:rsidRDefault="00C26147" w:rsidP="00C26147">
      <w:pPr>
        <w:pStyle w:val="Heading1"/>
      </w:pPr>
      <w:r w:rsidRPr="00B63F21">
        <w:t>Scope</w:t>
      </w:r>
    </w:p>
    <w:p w14:paraId="50614739" w14:textId="77777777" w:rsidR="00C26147" w:rsidRDefault="00C26147" w:rsidP="00C26147">
      <w:r>
        <w:t xml:space="preserve">The SOP is applicable to University of Birmingham (UoB) staff involved in the handling, processing, receipt, storage or analysis of samples of human tissue (see Definitions) for clinical studies and non-CTIMP trials. </w:t>
      </w:r>
    </w:p>
    <w:p w14:paraId="3EF62EF2" w14:textId="77777777" w:rsidR="00C26147" w:rsidRDefault="00C26147" w:rsidP="00C26147">
      <w:r>
        <w:t>The SOP is also applicable to all UoB staff involved in the analysis</w:t>
      </w:r>
      <w:r w:rsidDel="000D2B72">
        <w:t xml:space="preserve"> </w:t>
      </w:r>
      <w:r>
        <w:t xml:space="preserve">of human biomaterials (see Definitions) that contribute to the (primary, secondary and/or exploratory) endpoints of all CTIMPs whether these are sponsored by the UoB or sponsored/co-sponsored by another institution. </w:t>
      </w:r>
    </w:p>
    <w:p w14:paraId="0573E092" w14:textId="77777777" w:rsidR="00C26147" w:rsidRDefault="00C26147" w:rsidP="00C26147">
      <w:r>
        <w:t>See ‘Decision Map’ on page 3 to determine if this SOP is applicable.</w:t>
      </w:r>
    </w:p>
    <w:p w14:paraId="497AEEAC" w14:textId="7433C116" w:rsidR="00C26147" w:rsidRDefault="00C26147" w:rsidP="00C26147">
      <w:pPr>
        <w:pStyle w:val="Heading1"/>
      </w:pPr>
      <w:r w:rsidRPr="00B63F21">
        <w:t>Implementation plan</w:t>
      </w:r>
    </w:p>
    <w:p w14:paraId="0EA16AA0" w14:textId="1510AF62" w:rsidR="0019600F" w:rsidRDefault="00C26147" w:rsidP="0019600F">
      <w:r w:rsidRPr="00A01A0C">
        <w:t xml:space="preserve">This SOP will be implemented </w:t>
      </w:r>
      <w:r>
        <w:t>in line with</w:t>
      </w:r>
      <w:r w:rsidRPr="00A01A0C">
        <w:t xml:space="preserve"> th</w:t>
      </w:r>
      <w:r>
        <w:t>is document’s</w:t>
      </w:r>
      <w:r w:rsidRPr="00A01A0C">
        <w:t xml:space="preserve"> effective date</w:t>
      </w:r>
      <w:r w:rsidR="0019600F">
        <w:t xml:space="preserve">, with the following exceptions: </w:t>
      </w:r>
    </w:p>
    <w:p w14:paraId="5D40E6F4" w14:textId="108636A3" w:rsidR="0019600F" w:rsidRDefault="00D936E8" w:rsidP="0019600F">
      <w:pPr>
        <w:pStyle w:val="bullet1"/>
      </w:pPr>
      <w:r>
        <w:t>p</w:t>
      </w:r>
      <w:r w:rsidR="0019600F" w:rsidRPr="0019600F">
        <w:t>rocedures 4</w:t>
      </w:r>
      <w:r w:rsidR="00B852A0">
        <w:t>-</w:t>
      </w:r>
      <w:r w:rsidR="0019600F" w:rsidRPr="0019600F">
        <w:t>6 for temperature-controlled areas (excluding refrigerators and freezers) will be implemented within one month</w:t>
      </w:r>
    </w:p>
    <w:p w14:paraId="5E2B7B66" w14:textId="78D2BEE7" w:rsidR="0019600F" w:rsidRDefault="00D936E8" w:rsidP="0019600F">
      <w:pPr>
        <w:pStyle w:val="bullet1"/>
      </w:pPr>
      <w:r>
        <w:t>f</w:t>
      </w:r>
      <w:r w:rsidR="0019600F">
        <w:t>or refr</w:t>
      </w:r>
      <w:r w:rsidR="0019600F" w:rsidRPr="0019600F">
        <w:t>igerators and freezer</w:t>
      </w:r>
      <w:r w:rsidR="0019600F">
        <w:t>, procedure</w:t>
      </w:r>
      <w:r>
        <w:t>s</w:t>
      </w:r>
      <w:r w:rsidR="0019600F">
        <w:t xml:space="preserve"> 4-6 </w:t>
      </w:r>
      <w:r w:rsidR="0019600F" w:rsidRPr="0019600F">
        <w:t>will be implemented immediately</w:t>
      </w:r>
      <w:r w:rsidR="0019600F">
        <w:t>.</w:t>
      </w:r>
    </w:p>
    <w:p w14:paraId="36EBB90B" w14:textId="6EA8866A" w:rsidR="00C26147" w:rsidRDefault="00C26147" w:rsidP="00C26147">
      <w:pPr>
        <w:pStyle w:val="Heading1"/>
      </w:pPr>
      <w:r>
        <w:t>Stakeholders</w:t>
      </w:r>
    </w:p>
    <w:p w14:paraId="0C26B25E" w14:textId="77777777" w:rsidR="00C26147" w:rsidRDefault="00C26147" w:rsidP="00C26147">
      <w:pPr>
        <w:pStyle w:val="bullet1"/>
        <w:numPr>
          <w:ilvl w:val="0"/>
          <w:numId w:val="3"/>
        </w:numPr>
        <w:ind w:left="340" w:hanging="340"/>
      </w:pPr>
      <w:r w:rsidRPr="008D2D5F">
        <w:t xml:space="preserve">Laboratory </w:t>
      </w:r>
      <w:r>
        <w:t>a</w:t>
      </w:r>
      <w:r w:rsidRPr="008D2D5F">
        <w:t xml:space="preserve">cademic </w:t>
      </w:r>
      <w:r>
        <w:t>l</w:t>
      </w:r>
      <w:r w:rsidRPr="008D2D5F">
        <w:t>ead (LAL)</w:t>
      </w:r>
    </w:p>
    <w:p w14:paraId="43956BAF" w14:textId="77777777" w:rsidR="00C26147" w:rsidRPr="008D2D5F" w:rsidRDefault="00C26147" w:rsidP="00C26147">
      <w:pPr>
        <w:pStyle w:val="bullet1"/>
        <w:numPr>
          <w:ilvl w:val="0"/>
          <w:numId w:val="3"/>
        </w:numPr>
        <w:ind w:left="340" w:hanging="340"/>
      </w:pPr>
      <w:r>
        <w:t>System administrator</w:t>
      </w:r>
    </w:p>
    <w:p w14:paraId="5F8223C1" w14:textId="77777777" w:rsidR="00B940A8" w:rsidRDefault="00B940A8" w:rsidP="00B940A8"/>
    <w:p w14:paraId="1EA28E1D"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6961FD3A" w14:textId="20EDCE80" w:rsidR="00C26147" w:rsidRDefault="00C26147" w:rsidP="00C26147">
      <w:pPr>
        <w:pStyle w:val="Heading1"/>
      </w:pPr>
      <w:bookmarkStart w:id="0" w:name="_Toc320536979"/>
      <w:r>
        <w:lastRenderedPageBreak/>
        <w:t>Background and rationale</w:t>
      </w:r>
    </w:p>
    <w:p w14:paraId="6F3C78DA" w14:textId="77777777" w:rsidR="00C26147" w:rsidRDefault="00C26147" w:rsidP="00C26147">
      <w:r>
        <w:t>The Human Tissue Authority (HTA) governs the storage of ‘relevant material’ (as defined by the Human Tissue Act) for research and so dictates the standard which must be applied to their management in the laboratory. For the purposes of this SOP, human tissue which falls outside of the licensing requirements of the Human Tissue Act, for example tissue stored for less than 7 days incidental to transport or rendering acellular, will be treated in the same way as that which falls under the licensing requirements (i.e. tissue that will be stored prior to analysis), until such a time as it is either rendered acellular and so no longer considered to be ‘tissue’ or until it leaves the laboratory (see Decision Map below).</w:t>
      </w:r>
    </w:p>
    <w:p w14:paraId="7DF53AC7" w14:textId="170D1B27" w:rsidR="00C26147" w:rsidRDefault="00C26147" w:rsidP="00C26147">
      <w:r>
        <w:t xml:space="preserve">The analysis of human biomaterials (see Definitions) which contributes to the endpoints of CTIMPs is regulated by the </w:t>
      </w:r>
      <w:r w:rsidRPr="00A44AA1">
        <w:t>Medicines and Healthcare products Regulatory Agency</w:t>
      </w:r>
      <w:r>
        <w:t xml:space="preserve"> (MHRA) and must be conducted to Good Clinical Practice (GCP) in the laboratory standard as described in the </w:t>
      </w:r>
      <w:hyperlink r:id="rId11" w:tooltip="Link to European Medical Agency (EMA) reflection paper for laboratories that perform the analyses or evaluation of clinical trial samples" w:history="1">
        <w:r w:rsidRPr="00274ECC">
          <w:rPr>
            <w:rStyle w:val="Hyperlink"/>
          </w:rPr>
          <w:t>E</w:t>
        </w:r>
        <w:r>
          <w:rPr>
            <w:rStyle w:val="Hyperlink"/>
          </w:rPr>
          <w:t>uropean Medica</w:t>
        </w:r>
        <w:r>
          <w:rPr>
            <w:rStyle w:val="Hyperlink"/>
          </w:rPr>
          <w:t>l</w:t>
        </w:r>
        <w:r>
          <w:rPr>
            <w:rStyle w:val="Hyperlink"/>
          </w:rPr>
          <w:t xml:space="preserve"> Agency (E</w:t>
        </w:r>
        <w:r w:rsidRPr="00274ECC">
          <w:rPr>
            <w:rStyle w:val="Hyperlink"/>
          </w:rPr>
          <w:t>MA</w:t>
        </w:r>
        <w:r>
          <w:rPr>
            <w:rStyle w:val="Hyperlink"/>
          </w:rPr>
          <w:t>)</w:t>
        </w:r>
        <w:r w:rsidRPr="00274ECC">
          <w:rPr>
            <w:rStyle w:val="Hyperlink"/>
          </w:rPr>
          <w:t xml:space="preserve"> reflection paper for laboratories that perform the analyses or evaluation of clinical trial sample</w:t>
        </w:r>
        <w:r>
          <w:rPr>
            <w:rStyle w:val="Hyperlink"/>
          </w:rPr>
          <w:t>s (PDF - 13</w:t>
        </w:r>
        <w:r w:rsidR="00DB1128">
          <w:rPr>
            <w:rStyle w:val="Hyperlink"/>
          </w:rPr>
          <w:t>5</w:t>
        </w:r>
        <w:r>
          <w:rPr>
            <w:rStyle w:val="Hyperlink"/>
          </w:rPr>
          <w:t xml:space="preserve"> KB)</w:t>
        </w:r>
      </w:hyperlink>
      <w:r>
        <w:t>.</w:t>
      </w:r>
    </w:p>
    <w:p w14:paraId="43DCE099" w14:textId="77777777" w:rsidR="00C26147" w:rsidRDefault="00C26147" w:rsidP="00C26147">
      <w:r>
        <w:t>The samples collected from clinical research need to be stored in well-maintained facilities and analysed using appropriate and well-maintained equipment to ensure the data produced are accurate, reliable and in line with the study or trial protocol.</w:t>
      </w:r>
    </w:p>
    <w:p w14:paraId="0BA1349D" w14:textId="77777777" w:rsidR="00C26147" w:rsidRDefault="00C26147" w:rsidP="00C26147">
      <w:pPr>
        <w:spacing w:before="0" w:after="200" w:line="276" w:lineRule="auto"/>
        <w:rPr>
          <w:rFonts w:ascii="Gill Sans MT" w:hAnsi="Gill Sans MT" w:cs="Tahoma"/>
          <w:bCs/>
          <w:color w:val="943634"/>
          <w:kern w:val="32"/>
          <w:sz w:val="28"/>
          <w:szCs w:val="28"/>
        </w:rPr>
      </w:pPr>
      <w:r>
        <w:br w:type="page"/>
      </w:r>
    </w:p>
    <w:p w14:paraId="426C1525" w14:textId="392F2C98" w:rsidR="00C26147" w:rsidRPr="00435EAE" w:rsidRDefault="00C26147" w:rsidP="00C26147">
      <w:pPr>
        <w:pStyle w:val="Heading1"/>
      </w:pPr>
      <w:r w:rsidRPr="00435EAE">
        <w:lastRenderedPageBreak/>
        <w:t>Procedure</w:t>
      </w:r>
    </w:p>
    <w:p w14:paraId="4774096D" w14:textId="77777777" w:rsidR="00C26147" w:rsidRDefault="00C26147" w:rsidP="00C26147">
      <w:r>
        <w:t>Follow the Decision Map to determine the requirements within this SOP for your research.</w:t>
      </w:r>
    </w:p>
    <w:p w14:paraId="499A8465" w14:textId="77777777" w:rsidR="00C26147" w:rsidRDefault="00C26147" w:rsidP="00C26147">
      <w:pPr>
        <w:pStyle w:val="Heading2"/>
      </w:pPr>
      <w:r>
        <w:t xml:space="preserve">Decision Map </w:t>
      </w:r>
    </w:p>
    <w:p w14:paraId="47D602D0" w14:textId="77777777" w:rsidR="00C26147" w:rsidRDefault="00C26147" w:rsidP="00C26147"/>
    <w:p w14:paraId="7836C385" w14:textId="77777777" w:rsidR="00C26147" w:rsidRDefault="00C26147" w:rsidP="00C26147">
      <w:r>
        <w:object w:dxaOrig="9946" w:dyaOrig="7905" w14:anchorId="33B60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Decision Map should be followed to determins the requirements within this Laboratory Facilities SOP for your research." style="width:497.75pt;height:393.8pt;mso-position-vertical:absolute" o:ole="">
            <v:imagedata r:id="rId12" o:title=""/>
          </v:shape>
          <o:OLEObject Type="Embed" ProgID="Visio.Drawing.15" ShapeID="_x0000_i1025" DrawAspect="Content" ObjectID="_1816591672" r:id="rId13"/>
        </w:object>
      </w:r>
    </w:p>
    <w:p w14:paraId="67F7BCFA" w14:textId="77777777" w:rsidR="00C26147" w:rsidRDefault="00C26147" w:rsidP="00C26147"/>
    <w:p w14:paraId="26199FCF" w14:textId="77777777" w:rsidR="00C26147" w:rsidRDefault="00C26147" w:rsidP="00C26147">
      <w:r>
        <w:t>See ‘Abbreviations and definitions’ below for more information on relevant material.</w:t>
      </w:r>
    </w:p>
    <w:p w14:paraId="40148BA3" w14:textId="77777777" w:rsidR="00C26147" w:rsidRDefault="00C26147" w:rsidP="00C26147"/>
    <w:p w14:paraId="6F3DB1F8" w14:textId="77777777" w:rsidR="00C26147" w:rsidRDefault="00C26147" w:rsidP="00C26147">
      <w:r>
        <w:t xml:space="preserve">Processes described below that apply to ALL laboratories receiving and managing human tissue for clinical research are in </w:t>
      </w:r>
      <w:r w:rsidRPr="0091193F">
        <w:rPr>
          <w:b/>
        </w:rPr>
        <w:t>BOLD</w:t>
      </w:r>
      <w:r>
        <w:t xml:space="preserve"> </w:t>
      </w:r>
      <w:r w:rsidRPr="00885181">
        <w:rPr>
          <w:b/>
        </w:rPr>
        <w:t>text</w:t>
      </w:r>
      <w:r>
        <w:t>.</w:t>
      </w:r>
    </w:p>
    <w:p w14:paraId="2CE17B6B" w14:textId="77777777" w:rsidR="00C26147" w:rsidRDefault="00C26147" w:rsidP="00C26147">
      <w:r>
        <w:t>Additional processes applying to laboratories required to be compliant with GCP standards are written in NON-BOLD Text.</w:t>
      </w:r>
    </w:p>
    <w:p w14:paraId="61488951" w14:textId="77777777" w:rsidR="00C26147" w:rsidRDefault="00C26147" w:rsidP="00C26147">
      <w:pPr>
        <w:pStyle w:val="Heading2"/>
      </w:pPr>
      <w:r>
        <w:t xml:space="preserve">Laboratory maintenance </w:t>
      </w:r>
    </w:p>
    <w:p w14:paraId="36C8D346" w14:textId="77777777" w:rsidR="00C26147" w:rsidRPr="00D7439F" w:rsidRDefault="00C26147" w:rsidP="00C26147">
      <w:pPr>
        <w:pStyle w:val="NumberlistforSOPs"/>
        <w:numPr>
          <w:ilvl w:val="0"/>
          <w:numId w:val="12"/>
        </w:numPr>
        <w:rPr>
          <w:b/>
        </w:rPr>
      </w:pPr>
      <w:r w:rsidRPr="00EA12BA">
        <w:rPr>
          <w:b/>
        </w:rPr>
        <w:t>The LAL</w:t>
      </w:r>
      <w:r w:rsidRPr="00551DC5">
        <w:rPr>
          <w:b/>
        </w:rPr>
        <w:t xml:space="preserve"> (or delegate) will </w:t>
      </w:r>
      <w:r w:rsidRPr="00D7439F">
        <w:rPr>
          <w:b/>
        </w:rPr>
        <w:t xml:space="preserve">follow UoB procedures for waste storage, collection and disposal. </w:t>
      </w:r>
    </w:p>
    <w:p w14:paraId="515DFF04" w14:textId="77777777" w:rsidR="00C26147" w:rsidRPr="00F25543" w:rsidRDefault="00C26147" w:rsidP="00C26147">
      <w:pPr>
        <w:pStyle w:val="Numberlist"/>
        <w:numPr>
          <w:ilvl w:val="0"/>
          <w:numId w:val="12"/>
        </w:numPr>
        <w:ind w:left="340" w:hanging="340"/>
        <w:rPr>
          <w:b/>
        </w:rPr>
      </w:pPr>
      <w:r w:rsidRPr="00F25543">
        <w:rPr>
          <w:b/>
        </w:rPr>
        <w:t>The LAL (or delegate) will create a housekeeping schedule for laboratories and equipment to be decontaminated appropriately (</w:t>
      </w:r>
      <w:r w:rsidRPr="00DE68B5">
        <w:rPr>
          <w:b/>
        </w:rPr>
        <w:t>see</w:t>
      </w:r>
      <w:r>
        <w:rPr>
          <w:b/>
        </w:rPr>
        <w:t xml:space="preserve"> </w:t>
      </w:r>
      <w:bookmarkStart w:id="1" w:name="_Hlk93590083"/>
      <w:r w:rsidRPr="00F25543">
        <w:rPr>
          <w:rStyle w:val="ReferencestootherSOPsQCDsChar"/>
          <w:b/>
        </w:rPr>
        <w:t>UoB-</w:t>
      </w:r>
      <w:r>
        <w:rPr>
          <w:rStyle w:val="ReferencestootherSOPsQCDsChar"/>
          <w:b/>
        </w:rPr>
        <w:t>CRL-QCD-006 Housekeeping Schedule</w:t>
      </w:r>
      <w:bookmarkEnd w:id="1"/>
      <w:r w:rsidRPr="00224AD9">
        <w:rPr>
          <w:b/>
        </w:rPr>
        <w:t>). This will include:</w:t>
      </w:r>
    </w:p>
    <w:p w14:paraId="1E0D2D73" w14:textId="77777777" w:rsidR="00C26147" w:rsidRPr="00D15C88" w:rsidRDefault="00C26147" w:rsidP="00C26147">
      <w:pPr>
        <w:pStyle w:val="bullet2"/>
        <w:ind w:left="720" w:hanging="360"/>
        <w:rPr>
          <w:b/>
        </w:rPr>
      </w:pPr>
      <w:r>
        <w:rPr>
          <w:b/>
        </w:rPr>
        <w:t>d</w:t>
      </w:r>
      <w:r w:rsidRPr="00D15C88">
        <w:rPr>
          <w:b/>
        </w:rPr>
        <w:t>etails of which housekeeping activities must be performed</w:t>
      </w:r>
    </w:p>
    <w:p w14:paraId="7A9544F4" w14:textId="77777777" w:rsidR="00C26147" w:rsidRPr="00D15C88" w:rsidRDefault="00C26147" w:rsidP="00C26147">
      <w:pPr>
        <w:pStyle w:val="bullet2"/>
        <w:ind w:left="720" w:hanging="360"/>
        <w:rPr>
          <w:b/>
        </w:rPr>
      </w:pPr>
      <w:r>
        <w:rPr>
          <w:b/>
        </w:rPr>
        <w:t>t</w:t>
      </w:r>
      <w:r w:rsidRPr="00D15C88">
        <w:rPr>
          <w:b/>
        </w:rPr>
        <w:t>he planned frequency at which housekeeping activities must be performed</w:t>
      </w:r>
    </w:p>
    <w:p w14:paraId="4B833CFA" w14:textId="77777777" w:rsidR="00C26147" w:rsidRPr="00D15C88" w:rsidRDefault="00C26147" w:rsidP="00C26147">
      <w:pPr>
        <w:pStyle w:val="bullet2"/>
        <w:ind w:left="720" w:hanging="360"/>
        <w:rPr>
          <w:b/>
        </w:rPr>
      </w:pPr>
      <w:r>
        <w:rPr>
          <w:b/>
        </w:rPr>
        <w:t>t</w:t>
      </w:r>
      <w:r w:rsidRPr="00D15C88">
        <w:rPr>
          <w:b/>
        </w:rPr>
        <w:t>he need to document decontamination.</w:t>
      </w:r>
    </w:p>
    <w:p w14:paraId="04C711E0" w14:textId="77777777" w:rsidR="00C26147" w:rsidRPr="00B81F04" w:rsidRDefault="00C26147" w:rsidP="00C26147">
      <w:pPr>
        <w:pStyle w:val="NumberlistforSOPs"/>
        <w:numPr>
          <w:ilvl w:val="0"/>
          <w:numId w:val="12"/>
        </w:numPr>
      </w:pPr>
      <w:r w:rsidRPr="00B81F04">
        <w:lastRenderedPageBreak/>
        <w:t xml:space="preserve">The </w:t>
      </w:r>
      <w:r>
        <w:t>LAL</w:t>
      </w:r>
      <w:r w:rsidRPr="00B81F04">
        <w:t xml:space="preserve"> (or delegate) will arrange for an adequate degree of separation between activities and storage areas relating to human biomaterial</w:t>
      </w:r>
      <w:r>
        <w:t>s,</w:t>
      </w:r>
      <w:r w:rsidRPr="00B81F04">
        <w:t xml:space="preserve"> and their subsequent analyses and other (non-</w:t>
      </w:r>
      <w:r>
        <w:t>CTIMP trial</w:t>
      </w:r>
      <w:r w:rsidRPr="00B81F04">
        <w:t xml:space="preserve">) activity which may be taking place simultaneously in the same laboratory. </w:t>
      </w:r>
    </w:p>
    <w:p w14:paraId="640563B0" w14:textId="325C0D9E" w:rsidR="00C26147" w:rsidRDefault="00C26147" w:rsidP="00C26147">
      <w:pPr>
        <w:pStyle w:val="Heading2"/>
      </w:pPr>
      <w:r>
        <w:t>Refrigerators</w:t>
      </w:r>
      <w:r w:rsidR="00AC21EC">
        <w:t>,</w:t>
      </w:r>
      <w:r>
        <w:t xml:space="preserve"> freezers</w:t>
      </w:r>
      <w:r w:rsidR="00AC21EC">
        <w:t xml:space="preserve"> and cold rooms</w:t>
      </w:r>
      <w:r w:rsidR="00E23611">
        <w:t xml:space="preserve"> (or any other temperature-controlled spaces)</w:t>
      </w:r>
    </w:p>
    <w:p w14:paraId="3DCE424F" w14:textId="7C5C77C3" w:rsidR="00C26147" w:rsidRPr="00200917" w:rsidRDefault="00C26147" w:rsidP="00C26147">
      <w:pPr>
        <w:pStyle w:val="NumberlistforSOPs"/>
        <w:numPr>
          <w:ilvl w:val="0"/>
          <w:numId w:val="12"/>
        </w:numPr>
        <w:rPr>
          <w:b/>
        </w:rPr>
      </w:pPr>
      <w:r w:rsidRPr="00200917">
        <w:rPr>
          <w:b/>
        </w:rPr>
        <w:t xml:space="preserve">The </w:t>
      </w:r>
      <w:r>
        <w:rPr>
          <w:b/>
        </w:rPr>
        <w:t>LAL</w:t>
      </w:r>
      <w:r w:rsidRPr="00200917">
        <w:rPr>
          <w:b/>
        </w:rPr>
        <w:t xml:space="preserve"> (or delegate) will arrange for a</w:t>
      </w:r>
      <w:r w:rsidRPr="00EA12BA">
        <w:rPr>
          <w:b/>
        </w:rPr>
        <w:t>ccess to refrigerators</w:t>
      </w:r>
      <w:r w:rsidR="00AC21EC">
        <w:rPr>
          <w:b/>
        </w:rPr>
        <w:t xml:space="preserve">, </w:t>
      </w:r>
      <w:r w:rsidRPr="00EA12BA">
        <w:rPr>
          <w:b/>
        </w:rPr>
        <w:t>freezers</w:t>
      </w:r>
      <w:r w:rsidR="00AC21EC">
        <w:rPr>
          <w:b/>
        </w:rPr>
        <w:t xml:space="preserve"> and cold rooms</w:t>
      </w:r>
      <w:r w:rsidR="00E23611">
        <w:rPr>
          <w:b/>
        </w:rPr>
        <w:t xml:space="preserve"> (or any other temperature-controlled spaces)</w:t>
      </w:r>
      <w:r w:rsidRPr="00EA12BA">
        <w:rPr>
          <w:b/>
        </w:rPr>
        <w:t xml:space="preserve"> </w:t>
      </w:r>
      <w:r w:rsidRPr="002B6448">
        <w:rPr>
          <w:b/>
        </w:rPr>
        <w:t>used to store human biomaterials</w:t>
      </w:r>
      <w:r>
        <w:rPr>
          <w:b/>
        </w:rPr>
        <w:t xml:space="preserve"> </w:t>
      </w:r>
      <w:r w:rsidRPr="00EA12BA">
        <w:rPr>
          <w:b/>
        </w:rPr>
        <w:t xml:space="preserve">to be </w:t>
      </w:r>
      <w:r w:rsidRPr="00F25543">
        <w:rPr>
          <w:b/>
        </w:rPr>
        <w:t>restricted</w:t>
      </w:r>
      <w:r w:rsidR="00AC21EC">
        <w:rPr>
          <w:b/>
        </w:rPr>
        <w:t>,</w:t>
      </w:r>
      <w:r>
        <w:rPr>
          <w:b/>
        </w:rPr>
        <w:t xml:space="preserve"> and this access evidenced.</w:t>
      </w:r>
    </w:p>
    <w:p w14:paraId="2CD2B5B4" w14:textId="3C250162" w:rsidR="00C26147" w:rsidRPr="00F25543" w:rsidRDefault="00C26147" w:rsidP="00C26147">
      <w:pPr>
        <w:pStyle w:val="NumberlistforSOPs"/>
        <w:numPr>
          <w:ilvl w:val="0"/>
          <w:numId w:val="12"/>
        </w:numPr>
        <w:rPr>
          <w:b/>
        </w:rPr>
      </w:pPr>
      <w:r w:rsidRPr="00EA12BA">
        <w:rPr>
          <w:b/>
        </w:rPr>
        <w:t xml:space="preserve">The LAL </w:t>
      </w:r>
      <w:r w:rsidRPr="00551DC5">
        <w:rPr>
          <w:b/>
        </w:rPr>
        <w:t xml:space="preserve">(or delegate) will implement temperature monitoring of </w:t>
      </w:r>
      <w:r w:rsidRPr="002B6448">
        <w:rPr>
          <w:b/>
        </w:rPr>
        <w:t>refrigerators</w:t>
      </w:r>
      <w:r w:rsidR="00AC21EC">
        <w:rPr>
          <w:b/>
        </w:rPr>
        <w:t xml:space="preserve">, </w:t>
      </w:r>
      <w:r w:rsidRPr="002B6448">
        <w:rPr>
          <w:b/>
        </w:rPr>
        <w:t>freezers</w:t>
      </w:r>
      <w:r w:rsidR="00AC21EC">
        <w:rPr>
          <w:b/>
        </w:rPr>
        <w:t xml:space="preserve"> and cold room</w:t>
      </w:r>
      <w:r w:rsidR="006D0958">
        <w:rPr>
          <w:b/>
        </w:rPr>
        <w:t>s</w:t>
      </w:r>
      <w:r w:rsidR="006D0958" w:rsidRPr="006D0958">
        <w:rPr>
          <w:b/>
        </w:rPr>
        <w:t xml:space="preserve"> </w:t>
      </w:r>
      <w:r w:rsidR="00E23611">
        <w:rPr>
          <w:b/>
        </w:rPr>
        <w:t>(</w:t>
      </w:r>
      <w:r w:rsidR="006D0958">
        <w:rPr>
          <w:b/>
        </w:rPr>
        <w:t>or any other temperature</w:t>
      </w:r>
      <w:r w:rsidR="00E23611">
        <w:rPr>
          <w:b/>
        </w:rPr>
        <w:t>-</w:t>
      </w:r>
      <w:r w:rsidR="006D0958">
        <w:rPr>
          <w:b/>
        </w:rPr>
        <w:t>controlled spaces</w:t>
      </w:r>
      <w:r w:rsidR="00E23611">
        <w:rPr>
          <w:b/>
        </w:rPr>
        <w:t>)</w:t>
      </w:r>
      <w:r w:rsidRPr="002B6448">
        <w:rPr>
          <w:b/>
        </w:rPr>
        <w:t xml:space="preserve"> used to store human biomaterials </w:t>
      </w:r>
      <w:r w:rsidRPr="000A2F34">
        <w:rPr>
          <w:b/>
        </w:rPr>
        <w:t>or analytical reagents</w:t>
      </w:r>
      <w:r w:rsidRPr="002B6448">
        <w:rPr>
          <w:b/>
        </w:rPr>
        <w:t xml:space="preserve"> to ensure their temperature remains within</w:t>
      </w:r>
      <w:r>
        <w:rPr>
          <w:b/>
        </w:rPr>
        <w:t xml:space="preserve"> defined</w:t>
      </w:r>
      <w:r w:rsidRPr="002B6448">
        <w:rPr>
          <w:b/>
        </w:rPr>
        <w:t xml:space="preserve"> acceptable parameters</w:t>
      </w:r>
      <w:r>
        <w:rPr>
          <w:b/>
        </w:rPr>
        <w:t xml:space="preserve"> (see</w:t>
      </w:r>
      <w:r w:rsidRPr="000D404D">
        <w:rPr>
          <w:b/>
        </w:rPr>
        <w:t xml:space="preserve"> </w:t>
      </w:r>
      <w:bookmarkStart w:id="2" w:name="_Hlk93590130"/>
      <w:r w:rsidRPr="00231FE3">
        <w:rPr>
          <w:rStyle w:val="ReferencestootherSOPsQCDsChar"/>
          <w:b/>
        </w:rPr>
        <w:t>UoB-CRL-QCD-007 Temperature Monitoring</w:t>
      </w:r>
      <w:bookmarkEnd w:id="2"/>
      <w:r w:rsidRPr="005B1584">
        <w:rPr>
          <w:b/>
          <w:iCs/>
        </w:rPr>
        <w:t>)</w:t>
      </w:r>
      <w:r w:rsidRPr="00F25543">
        <w:rPr>
          <w:b/>
        </w:rPr>
        <w:t>:</w:t>
      </w:r>
    </w:p>
    <w:p w14:paraId="2A918E89" w14:textId="77777777" w:rsidR="00C26147" w:rsidRPr="00D15C88" w:rsidRDefault="00C26147" w:rsidP="00C26147">
      <w:pPr>
        <w:pStyle w:val="bullet2"/>
        <w:ind w:left="720" w:hanging="360"/>
        <w:rPr>
          <w:b/>
        </w:rPr>
      </w:pPr>
      <w:r>
        <w:rPr>
          <w:b/>
        </w:rPr>
        <w:t>t</w:t>
      </w:r>
      <w:r w:rsidRPr="00D15C88">
        <w:rPr>
          <w:b/>
        </w:rPr>
        <w:t>emperature monitoring records will be traceable to a particular area/equipment</w:t>
      </w:r>
    </w:p>
    <w:p w14:paraId="2D15F6F0" w14:textId="77777777" w:rsidR="00C26147" w:rsidRPr="00D15C88" w:rsidRDefault="00C26147" w:rsidP="00C26147">
      <w:pPr>
        <w:pStyle w:val="bullet2"/>
        <w:ind w:left="720" w:hanging="360"/>
        <w:rPr>
          <w:b/>
        </w:rPr>
      </w:pPr>
      <w:r>
        <w:rPr>
          <w:b/>
        </w:rPr>
        <w:t>t</w:t>
      </w:r>
      <w:r w:rsidRPr="00D15C88">
        <w:rPr>
          <w:b/>
        </w:rPr>
        <w:t>emperature monitoring will take place at a defined frequency</w:t>
      </w:r>
    </w:p>
    <w:p w14:paraId="3EAF0E82" w14:textId="77777777" w:rsidR="00C26147" w:rsidRPr="00D15C88" w:rsidRDefault="00C26147" w:rsidP="00C26147">
      <w:pPr>
        <w:pStyle w:val="bullet2"/>
        <w:ind w:left="720" w:hanging="360"/>
        <w:rPr>
          <w:b/>
        </w:rPr>
      </w:pPr>
      <w:r>
        <w:rPr>
          <w:b/>
        </w:rPr>
        <w:t>e</w:t>
      </w:r>
      <w:r w:rsidRPr="00D15C88">
        <w:rPr>
          <w:b/>
        </w:rPr>
        <w:t xml:space="preserve">quipment used to monitor temperature </w:t>
      </w:r>
      <w:r>
        <w:rPr>
          <w:b/>
        </w:rPr>
        <w:t>should be</w:t>
      </w:r>
      <w:r w:rsidRPr="00D15C88">
        <w:rPr>
          <w:b/>
        </w:rPr>
        <w:t xml:space="preserve"> subject to periodic calibration, this process documented, and the documentation retained (see </w:t>
      </w:r>
      <w:bookmarkStart w:id="3" w:name="_Hlk93590143"/>
      <w:r w:rsidRPr="00D15C88">
        <w:rPr>
          <w:rStyle w:val="ReferencestootherSOPsQCDsChar"/>
          <w:b/>
        </w:rPr>
        <w:t>UoB-CRL-QCD-012 Calibration of Thermometers</w:t>
      </w:r>
      <w:r w:rsidRPr="00D15C88">
        <w:rPr>
          <w:b/>
        </w:rPr>
        <w:t>)</w:t>
      </w:r>
      <w:bookmarkEnd w:id="3"/>
    </w:p>
    <w:p w14:paraId="5CCC6957" w14:textId="77777777" w:rsidR="00C26147" w:rsidRPr="00D15C88" w:rsidRDefault="00C26147" w:rsidP="00C26147">
      <w:pPr>
        <w:pStyle w:val="bullet2"/>
        <w:ind w:left="720" w:hanging="360"/>
        <w:rPr>
          <w:b/>
        </w:rPr>
      </w:pPr>
      <w:r>
        <w:t>t</w:t>
      </w:r>
      <w:r w:rsidRPr="000015B9">
        <w:t xml:space="preserve">emperature monitoring will be </w:t>
      </w:r>
      <w:r w:rsidRPr="00065DBF">
        <w:t xml:space="preserve">either continuous (i.e. by a temperature probe and electronic system) or checked manually (see </w:t>
      </w:r>
      <w:r w:rsidRPr="000015B9">
        <w:rPr>
          <w:rStyle w:val="ReferencestootherSOPsQCDsChar"/>
        </w:rPr>
        <w:t>UoB-CRL-QCD-007 Temperature Monitoring</w:t>
      </w:r>
      <w:r w:rsidRPr="000015B9">
        <w:t>) but with the presence of a minimum/maximum thermometer to confirm that appropriate conditions have been maintained between manual checks</w:t>
      </w:r>
      <w:r w:rsidRPr="00231FE3">
        <w:t>.</w:t>
      </w:r>
    </w:p>
    <w:p w14:paraId="28F21FD3" w14:textId="72B2DF6F" w:rsidR="00C26147" w:rsidRPr="00200917" w:rsidRDefault="00C26147" w:rsidP="00C26147">
      <w:pPr>
        <w:pStyle w:val="NumberlistforSOPs"/>
        <w:numPr>
          <w:ilvl w:val="0"/>
          <w:numId w:val="12"/>
        </w:numPr>
        <w:rPr>
          <w:b/>
        </w:rPr>
      </w:pPr>
      <w:r w:rsidRPr="00200917">
        <w:rPr>
          <w:b/>
        </w:rPr>
        <w:t xml:space="preserve">The </w:t>
      </w:r>
      <w:r>
        <w:rPr>
          <w:b/>
        </w:rPr>
        <w:t>LAL</w:t>
      </w:r>
      <w:r w:rsidRPr="00200917">
        <w:rPr>
          <w:b/>
        </w:rPr>
        <w:t xml:space="preserve"> (or delegate) will develop a documented procedure to be followed in the event of refrigerator or freezer failure</w:t>
      </w:r>
      <w:r w:rsidR="006D0958">
        <w:rPr>
          <w:b/>
        </w:rPr>
        <w:t xml:space="preserve"> (or the failure of any </w:t>
      </w:r>
      <w:r w:rsidR="00F833CA">
        <w:rPr>
          <w:b/>
        </w:rPr>
        <w:t>other temperature</w:t>
      </w:r>
      <w:r w:rsidR="00E23611">
        <w:rPr>
          <w:b/>
        </w:rPr>
        <w:t>-</w:t>
      </w:r>
      <w:r w:rsidR="00F833CA">
        <w:rPr>
          <w:b/>
        </w:rPr>
        <w:t>controlled space)</w:t>
      </w:r>
      <w:r w:rsidRPr="00200917">
        <w:rPr>
          <w:b/>
        </w:rPr>
        <w:t xml:space="preserve"> (see </w:t>
      </w:r>
      <w:bookmarkStart w:id="4" w:name="_Hlk93590155"/>
      <w:r w:rsidRPr="00200917">
        <w:rPr>
          <w:rStyle w:val="ReferencestootherSOPsQCDsChar"/>
          <w:b/>
        </w:rPr>
        <w:t>UoB-</w:t>
      </w:r>
      <w:r>
        <w:rPr>
          <w:rStyle w:val="ReferencestootherSOPsQCDsChar"/>
          <w:b/>
        </w:rPr>
        <w:t>CRL-QCD-008 Refrigerator or Freezer Failure Management</w:t>
      </w:r>
      <w:bookmarkEnd w:id="4"/>
      <w:r w:rsidRPr="00200917">
        <w:rPr>
          <w:b/>
        </w:rPr>
        <w:t xml:space="preserve">). </w:t>
      </w:r>
      <w:r>
        <w:rPr>
          <w:b/>
        </w:rPr>
        <w:t>The procedure will include:</w:t>
      </w:r>
    </w:p>
    <w:p w14:paraId="6BBBA6BC" w14:textId="53328AC7" w:rsidR="00C26147" w:rsidRPr="00D15C88" w:rsidRDefault="00C26147" w:rsidP="00C26147">
      <w:pPr>
        <w:pStyle w:val="bullet2"/>
        <w:ind w:left="720" w:hanging="360"/>
        <w:rPr>
          <w:b/>
        </w:rPr>
      </w:pPr>
      <w:r>
        <w:rPr>
          <w:b/>
        </w:rPr>
        <w:t>t</w:t>
      </w:r>
      <w:r w:rsidRPr="00D15C88">
        <w:rPr>
          <w:b/>
        </w:rPr>
        <w:t xml:space="preserve">he identification of adequate back-up space to be available in the event of </w:t>
      </w:r>
      <w:r w:rsidR="00677BA1">
        <w:rPr>
          <w:b/>
        </w:rPr>
        <w:t xml:space="preserve">the </w:t>
      </w:r>
      <w:r w:rsidR="00EE6739">
        <w:rPr>
          <w:b/>
        </w:rPr>
        <w:t>unit/space failure</w:t>
      </w:r>
    </w:p>
    <w:p w14:paraId="18F86645" w14:textId="5502CC08" w:rsidR="00C26147" w:rsidRPr="00D15C88" w:rsidRDefault="00C26147" w:rsidP="00C26147">
      <w:pPr>
        <w:pStyle w:val="bullet2"/>
        <w:ind w:left="720" w:hanging="360"/>
        <w:rPr>
          <w:b/>
        </w:rPr>
      </w:pPr>
      <w:r>
        <w:rPr>
          <w:b/>
        </w:rPr>
        <w:t>c</w:t>
      </w:r>
      <w:r w:rsidRPr="00D15C88">
        <w:rPr>
          <w:b/>
        </w:rPr>
        <w:t>ontact details of the person(s) responsible for assessing</w:t>
      </w:r>
      <w:r>
        <w:rPr>
          <w:b/>
        </w:rPr>
        <w:t xml:space="preserve"> the</w:t>
      </w:r>
      <w:r w:rsidRPr="00D15C88">
        <w:rPr>
          <w:b/>
        </w:rPr>
        <w:t xml:space="preserve"> impact of a </w:t>
      </w:r>
      <w:r w:rsidR="00EE6739">
        <w:rPr>
          <w:b/>
        </w:rPr>
        <w:t>unit/space</w:t>
      </w:r>
      <w:r w:rsidRPr="00D15C88">
        <w:rPr>
          <w:b/>
        </w:rPr>
        <w:t xml:space="preserve"> failure</w:t>
      </w:r>
    </w:p>
    <w:p w14:paraId="0C78352B" w14:textId="675A43A4" w:rsidR="00C26147" w:rsidRPr="00D15C88" w:rsidRDefault="00C26147" w:rsidP="00C26147">
      <w:pPr>
        <w:pStyle w:val="bullet2"/>
        <w:ind w:left="720" w:hanging="360"/>
        <w:rPr>
          <w:b/>
        </w:rPr>
      </w:pPr>
      <w:r>
        <w:rPr>
          <w:b/>
        </w:rPr>
        <w:t>t</w:t>
      </w:r>
      <w:r w:rsidRPr="00D15C88">
        <w:rPr>
          <w:b/>
        </w:rPr>
        <w:t xml:space="preserve">he need for documenting that the laboratory’s procedure has been followed in the event of </w:t>
      </w:r>
      <w:r w:rsidR="00677BA1">
        <w:rPr>
          <w:b/>
        </w:rPr>
        <w:t xml:space="preserve">the </w:t>
      </w:r>
      <w:r w:rsidR="00EE6739">
        <w:rPr>
          <w:b/>
        </w:rPr>
        <w:t>unit/space</w:t>
      </w:r>
      <w:r w:rsidRPr="00D15C88">
        <w:rPr>
          <w:b/>
        </w:rPr>
        <w:t xml:space="preserve"> failure</w:t>
      </w:r>
    </w:p>
    <w:p w14:paraId="7A9C6CC3" w14:textId="0CE1EAA2" w:rsidR="00C26147" w:rsidRPr="00D15C88" w:rsidRDefault="00C26147" w:rsidP="00C26147">
      <w:pPr>
        <w:pStyle w:val="bullet2"/>
        <w:ind w:left="720" w:hanging="360"/>
        <w:rPr>
          <w:b/>
        </w:rPr>
      </w:pPr>
      <w:r>
        <w:rPr>
          <w:b/>
        </w:rPr>
        <w:t>d</w:t>
      </w:r>
      <w:r w:rsidRPr="00D15C88">
        <w:rPr>
          <w:b/>
        </w:rPr>
        <w:t xml:space="preserve">etails of the </w:t>
      </w:r>
      <w:r w:rsidR="00EE6739">
        <w:rPr>
          <w:b/>
        </w:rPr>
        <w:t>unit/space</w:t>
      </w:r>
      <w:r w:rsidRPr="00D15C88">
        <w:rPr>
          <w:b/>
        </w:rPr>
        <w:t xml:space="preserve"> failure, including by not limited </w:t>
      </w:r>
      <w:proofErr w:type="gramStart"/>
      <w:r w:rsidRPr="00D15C88">
        <w:rPr>
          <w:b/>
        </w:rPr>
        <w:t>to</w:t>
      </w:r>
      <w:r>
        <w:rPr>
          <w:b/>
        </w:rPr>
        <w:t>:</w:t>
      </w:r>
      <w:proofErr w:type="gramEnd"/>
      <w:r w:rsidRPr="00D15C88">
        <w:rPr>
          <w:b/>
        </w:rPr>
        <w:t xml:space="preserve"> details of the failed equipment, when the failure happened, when the equipment was last known to be functioning, the identity of the samples that were </w:t>
      </w:r>
      <w:r>
        <w:rPr>
          <w:b/>
        </w:rPr>
        <w:t>a</w:t>
      </w:r>
      <w:r w:rsidRPr="00D15C88">
        <w:rPr>
          <w:b/>
        </w:rPr>
        <w:t>ffected and when they were moved to the back-up location</w:t>
      </w:r>
    </w:p>
    <w:p w14:paraId="5E05733E" w14:textId="77777777" w:rsidR="00C26147" w:rsidRPr="00EB0CC0" w:rsidRDefault="00C26147" w:rsidP="00C26147">
      <w:pPr>
        <w:pStyle w:val="bullet2"/>
        <w:ind w:left="720" w:hanging="360"/>
      </w:pPr>
      <w:r>
        <w:t>t</w:t>
      </w:r>
      <w:r w:rsidRPr="003559B9">
        <w:t>he need for confirming that an Incident Documentation Record has been completed (see</w:t>
      </w:r>
      <w:r w:rsidRPr="00EB0CC0">
        <w:t xml:space="preserve"> </w:t>
      </w:r>
      <w:r w:rsidRPr="00D15C88">
        <w:rPr>
          <w:rStyle w:val="ReferencestootherSOPsQCDsChar"/>
        </w:rPr>
        <w:t>UoB-</w:t>
      </w:r>
      <w:bookmarkStart w:id="5" w:name="_Hlk93590191"/>
      <w:r w:rsidRPr="00D15C88">
        <w:rPr>
          <w:rStyle w:val="ReferencestootherSOPsQCDsChar"/>
        </w:rPr>
        <w:t>CRL-SOP-0</w:t>
      </w:r>
      <w:r w:rsidRPr="003559B9">
        <w:rPr>
          <w:rStyle w:val="ReferencestootherSOPsQCDsChar"/>
        </w:rPr>
        <w:t>05</w:t>
      </w:r>
      <w:r w:rsidRPr="00D15C88">
        <w:rPr>
          <w:rStyle w:val="ReferencestootherSOPsQCDsChar"/>
        </w:rPr>
        <w:t xml:space="preserve"> Reportable </w:t>
      </w:r>
      <w:r>
        <w:rPr>
          <w:rStyle w:val="ReferencestootherSOPsQCDsChar"/>
        </w:rPr>
        <w:t>I</w:t>
      </w:r>
      <w:r w:rsidRPr="00D15C88">
        <w:rPr>
          <w:rStyle w:val="ReferencestootherSOPsQCDsChar"/>
        </w:rPr>
        <w:t>ssues</w:t>
      </w:r>
      <w:r w:rsidRPr="003559B9">
        <w:t xml:space="preserve"> </w:t>
      </w:r>
      <w:bookmarkEnd w:id="5"/>
      <w:r w:rsidRPr="003559B9">
        <w:t xml:space="preserve">and </w:t>
      </w:r>
      <w:bookmarkStart w:id="6" w:name="_Hlk93590207"/>
      <w:r w:rsidRPr="00D15C88">
        <w:rPr>
          <w:rStyle w:val="ReferencestootherSOPsQCDsChar"/>
        </w:rPr>
        <w:t>UoB-CRL-QCD-024 Reportable Issues</w:t>
      </w:r>
      <w:bookmarkEnd w:id="6"/>
      <w:r w:rsidRPr="003559B9">
        <w:t>).</w:t>
      </w:r>
    </w:p>
    <w:p w14:paraId="1222FBDA" w14:textId="77777777" w:rsidR="00C26147" w:rsidRDefault="00C26147" w:rsidP="00C26147">
      <w:pPr>
        <w:pStyle w:val="Heading2"/>
      </w:pPr>
      <w:r>
        <w:t>Equipment maintenance</w:t>
      </w:r>
    </w:p>
    <w:p w14:paraId="63248401" w14:textId="77777777" w:rsidR="00C26147" w:rsidRDefault="00C26147" w:rsidP="00C26147">
      <w:pPr>
        <w:pStyle w:val="NumberlistforSOPs"/>
        <w:numPr>
          <w:ilvl w:val="0"/>
          <w:numId w:val="12"/>
        </w:numPr>
      </w:pPr>
      <w:r>
        <w:t xml:space="preserve">The LAL (or delegate) will confirm that any analytical equipment used in the processing and analysis of human biomaterial samples is fit for its intended use by performing user acceptance testing prior to any analyses (see </w:t>
      </w:r>
      <w:bookmarkStart w:id="7" w:name="_Hlk93590577"/>
      <w:r w:rsidRPr="00C0591C">
        <w:rPr>
          <w:rStyle w:val="ReferencestootherSOPsQCDsChar"/>
        </w:rPr>
        <w:t>UoB-CRL-QCD-</w:t>
      </w:r>
      <w:r>
        <w:rPr>
          <w:rStyle w:val="ReferencestootherSOPsQCDsChar"/>
        </w:rPr>
        <w:t>009</w:t>
      </w:r>
      <w:r w:rsidRPr="00C0591C">
        <w:rPr>
          <w:rStyle w:val="ReferencestootherSOPsQCDsChar"/>
        </w:rPr>
        <w:t xml:space="preserve"> </w:t>
      </w:r>
      <w:r>
        <w:rPr>
          <w:rStyle w:val="ReferencestootherSOPsQCDsChar"/>
        </w:rPr>
        <w:t>Equipment Fitness for Use and User Acceptance Testing</w:t>
      </w:r>
      <w:r w:rsidRPr="004C1262">
        <w:t>)</w:t>
      </w:r>
      <w:bookmarkEnd w:id="7"/>
      <w:r w:rsidRPr="004C1262">
        <w:t>.</w:t>
      </w:r>
      <w:r>
        <w:t xml:space="preserve"> </w:t>
      </w:r>
    </w:p>
    <w:p w14:paraId="0AE901D8" w14:textId="77777777" w:rsidR="00C26147" w:rsidRPr="00065DBF" w:rsidRDefault="00C26147" w:rsidP="00C26147">
      <w:pPr>
        <w:pStyle w:val="bullet2"/>
        <w:ind w:left="720" w:hanging="360"/>
      </w:pPr>
      <w:r w:rsidRPr="00065DBF">
        <w:t>Any tests performed will be by a suitably qualified person</w:t>
      </w:r>
      <w:r>
        <w:t>.</w:t>
      </w:r>
    </w:p>
    <w:p w14:paraId="27F86907" w14:textId="77777777" w:rsidR="00C26147" w:rsidRPr="00065DBF" w:rsidRDefault="00C26147" w:rsidP="00C26147">
      <w:pPr>
        <w:pStyle w:val="bullet2"/>
        <w:ind w:left="720" w:hanging="360"/>
      </w:pPr>
      <w:r w:rsidRPr="00065DBF">
        <w:t>The acceptance test criteria and definition of fit for use for each piece of analytical equipment will be defined</w:t>
      </w:r>
      <w:r>
        <w:t>.</w:t>
      </w:r>
    </w:p>
    <w:p w14:paraId="7FE1F5CD" w14:textId="77777777" w:rsidR="00C26147" w:rsidRPr="00065DBF" w:rsidRDefault="00C26147" w:rsidP="00C26147">
      <w:pPr>
        <w:pStyle w:val="bullet2"/>
        <w:ind w:left="720" w:hanging="360"/>
      </w:pPr>
      <w:r w:rsidRPr="00065DBF">
        <w:t>The planned frequency at which acceptance testing must be performed will be defined</w:t>
      </w:r>
      <w:r>
        <w:t>.</w:t>
      </w:r>
    </w:p>
    <w:p w14:paraId="1A9FA586" w14:textId="1EF5FC20" w:rsidR="00C26147" w:rsidRDefault="00C26147" w:rsidP="00C26147">
      <w:pPr>
        <w:pStyle w:val="bullet2"/>
        <w:ind w:left="720" w:hanging="360"/>
      </w:pPr>
      <w:r w:rsidRPr="00065DBF">
        <w:t xml:space="preserve">Any tests will be documented and archived with the trial documentation (see </w:t>
      </w:r>
      <w:r w:rsidRPr="00065DBF">
        <w:rPr>
          <w:rStyle w:val="ReferencestootherSOPsQCDsChar"/>
        </w:rPr>
        <w:t>UoB-ARC-SOP-001 Archiving</w:t>
      </w:r>
      <w:r w:rsidRPr="00065DBF">
        <w:t xml:space="preserve">). </w:t>
      </w:r>
    </w:p>
    <w:p w14:paraId="799DB674" w14:textId="77777777" w:rsidR="00C26147" w:rsidRDefault="00C26147" w:rsidP="00C26147">
      <w:pPr>
        <w:pStyle w:val="Numberlist"/>
        <w:numPr>
          <w:ilvl w:val="0"/>
          <w:numId w:val="12"/>
        </w:numPr>
        <w:ind w:left="340" w:hanging="340"/>
      </w:pPr>
      <w:r>
        <w:t xml:space="preserve">The LAL (or delegate) will create an equipment maintenance schedule that will cover all equipment used in the processing or analysis of human biomaterials (see </w:t>
      </w:r>
      <w:bookmarkStart w:id="8" w:name="_Hlk93590594"/>
      <w:r w:rsidRPr="00224AD9">
        <w:rPr>
          <w:rStyle w:val="ReferencestootherSOPsQCDsChar"/>
        </w:rPr>
        <w:t xml:space="preserve">UoB-CRL-QCD-010 Equipment Maintenance </w:t>
      </w:r>
      <w:bookmarkEnd w:id="8"/>
      <w:r w:rsidRPr="00224AD9">
        <w:rPr>
          <w:rStyle w:val="ReferencestootherSOPsQCDsChar"/>
        </w:rPr>
        <w:t>Schedule</w:t>
      </w:r>
      <w:r>
        <w:t>). The equipment maintenance schedule will include (but not be limited to):</w:t>
      </w:r>
    </w:p>
    <w:p w14:paraId="326D89DC" w14:textId="77777777" w:rsidR="00C26147" w:rsidRDefault="00C26147" w:rsidP="00C26147">
      <w:pPr>
        <w:pStyle w:val="bullet2"/>
      </w:pPr>
      <w:r>
        <w:t>unique identifiers for each piece of equipment</w:t>
      </w:r>
    </w:p>
    <w:p w14:paraId="2F4E915E" w14:textId="77777777" w:rsidR="00C26147" w:rsidRDefault="00C26147" w:rsidP="00C26147">
      <w:pPr>
        <w:pStyle w:val="bullet2"/>
      </w:pPr>
      <w:r>
        <w:t xml:space="preserve">calibration frequency that will follow the manufacturer’s recommendations, or in the absence of the manufacturer’s recommendations, will be determined by the LAL (or delegate) </w:t>
      </w:r>
    </w:p>
    <w:p w14:paraId="742B91D2" w14:textId="77777777" w:rsidR="00C26147" w:rsidRDefault="00C26147" w:rsidP="00C26147">
      <w:pPr>
        <w:pStyle w:val="bullet2"/>
      </w:pPr>
      <w:r>
        <w:t>the need to meet national or international standards of calibration (where appropriate)</w:t>
      </w:r>
    </w:p>
    <w:p w14:paraId="46861ADA" w14:textId="77777777" w:rsidR="00C26147" w:rsidRDefault="00C26147" w:rsidP="00C26147">
      <w:pPr>
        <w:pStyle w:val="bullet2"/>
      </w:pPr>
      <w:r>
        <w:t>identifying suitably qualified people to perform calibrations (for example, through servicing contracts)</w:t>
      </w:r>
    </w:p>
    <w:p w14:paraId="21C0F6E3" w14:textId="77777777" w:rsidR="00C26147" w:rsidRPr="00065DBF" w:rsidRDefault="00C26147" w:rsidP="00C26147">
      <w:pPr>
        <w:pStyle w:val="bullet2"/>
      </w:pPr>
      <w:r>
        <w:lastRenderedPageBreak/>
        <w:t xml:space="preserve">all maintenance activity will be documented and archived with the trial documentation (see </w:t>
      </w:r>
      <w:r w:rsidRPr="00224AD9">
        <w:rPr>
          <w:rStyle w:val="ReferencestootherSOPsQCDsChar"/>
        </w:rPr>
        <w:t>UoB-ARC-SOP-001 Archiving</w:t>
      </w:r>
      <w:r>
        <w:t>).</w:t>
      </w:r>
    </w:p>
    <w:p w14:paraId="02CC2634" w14:textId="77777777" w:rsidR="00C26147" w:rsidRDefault="00C26147" w:rsidP="00C26147">
      <w:pPr>
        <w:pStyle w:val="NumberlistforSOPs"/>
        <w:numPr>
          <w:ilvl w:val="0"/>
          <w:numId w:val="12"/>
        </w:numPr>
      </w:pPr>
      <w:r>
        <w:t xml:space="preserve">Where calibration is performed in-house, the LAL (or delegate) will do this as detailed in </w:t>
      </w:r>
      <w:bookmarkStart w:id="9" w:name="_Hlk93590610"/>
      <w:r w:rsidRPr="00D5415F">
        <w:rPr>
          <w:i/>
          <w:iCs/>
          <w:color w:val="943634"/>
        </w:rPr>
        <w:t>UoB-CRL-QCD-011 Calibration of Balances</w:t>
      </w:r>
      <w:r w:rsidRPr="00D15C88">
        <w:rPr>
          <w:iCs/>
        </w:rPr>
        <w:t>,</w:t>
      </w:r>
      <w:r w:rsidRPr="00D5415F">
        <w:rPr>
          <w:i/>
          <w:iCs/>
          <w:color w:val="943634"/>
        </w:rPr>
        <w:t xml:space="preserve"> UoB-CRL-QCD-012 Calibration of Thermometers</w:t>
      </w:r>
      <w:r w:rsidRPr="00D5415F">
        <w:rPr>
          <w:iCs/>
        </w:rPr>
        <w:t xml:space="preserve"> and</w:t>
      </w:r>
      <w:r w:rsidRPr="00D5415F">
        <w:rPr>
          <w:i/>
          <w:iCs/>
          <w:color w:val="943634"/>
        </w:rPr>
        <w:t xml:space="preserve"> UoB-CRL-QCD-013 Calibration of Single Channel and Multi-channel </w:t>
      </w:r>
      <w:r>
        <w:rPr>
          <w:i/>
          <w:iCs/>
          <w:color w:val="943634"/>
        </w:rPr>
        <w:t>P</w:t>
      </w:r>
      <w:r w:rsidRPr="00D5415F">
        <w:rPr>
          <w:i/>
          <w:iCs/>
          <w:color w:val="943634"/>
        </w:rPr>
        <w:t>ipettes</w:t>
      </w:r>
      <w:r w:rsidRPr="00D15C88">
        <w:rPr>
          <w:iCs/>
        </w:rPr>
        <w:t>.</w:t>
      </w:r>
    </w:p>
    <w:bookmarkEnd w:id="9"/>
    <w:p w14:paraId="6CE25428" w14:textId="77777777" w:rsidR="00C26147" w:rsidRDefault="00C26147" w:rsidP="00C26147">
      <w:pPr>
        <w:pStyle w:val="NumberlistforSOPs"/>
        <w:numPr>
          <w:ilvl w:val="0"/>
          <w:numId w:val="12"/>
        </w:numPr>
      </w:pPr>
      <w:r>
        <w:t xml:space="preserve">Following servicing or maintenance, the LAL (or delegate) will check that analytical equipment remains fit for its intended use by performing user-acceptance testing prior to any analyses of human biomaterial samples (see </w:t>
      </w:r>
      <w:bookmarkStart w:id="10" w:name="_Hlk93590632"/>
      <w:r w:rsidRPr="00C0591C">
        <w:rPr>
          <w:rStyle w:val="ReferencestootherSOPsQCDsChar"/>
        </w:rPr>
        <w:t>UoB-CRL-QCD-</w:t>
      </w:r>
      <w:r>
        <w:rPr>
          <w:rStyle w:val="ReferencestootherSOPsQCDsChar"/>
        </w:rPr>
        <w:t>009</w:t>
      </w:r>
      <w:r w:rsidRPr="00C0591C">
        <w:rPr>
          <w:rStyle w:val="ReferencestootherSOPsQCDsChar"/>
        </w:rPr>
        <w:t xml:space="preserve"> </w:t>
      </w:r>
      <w:r>
        <w:rPr>
          <w:rStyle w:val="ReferencestootherSOPsQCDsChar"/>
        </w:rPr>
        <w:t>Equipment Fitness for Use and User Acceptance Testing</w:t>
      </w:r>
      <w:bookmarkEnd w:id="10"/>
      <w:r w:rsidRPr="004C1262">
        <w:t>).</w:t>
      </w:r>
      <w:r>
        <w:t xml:space="preserve"> </w:t>
      </w:r>
    </w:p>
    <w:p w14:paraId="41C3765F" w14:textId="77777777" w:rsidR="00C26147" w:rsidRPr="00D51DF7" w:rsidRDefault="00C26147" w:rsidP="00C26147">
      <w:pPr>
        <w:pStyle w:val="NumberlistforSOPs"/>
        <w:numPr>
          <w:ilvl w:val="0"/>
          <w:numId w:val="12"/>
        </w:numPr>
      </w:pPr>
      <w:r w:rsidRPr="00D51DF7">
        <w:t xml:space="preserve">The </w:t>
      </w:r>
      <w:r>
        <w:t>LAL</w:t>
      </w:r>
      <w:r w:rsidRPr="00D51DF7">
        <w:t xml:space="preserve"> (or delegate) will</w:t>
      </w:r>
      <w:r>
        <w:t xml:space="preserve"> ensure all analysts are </w:t>
      </w:r>
      <w:r w:rsidRPr="00D51DF7">
        <w:t>train</w:t>
      </w:r>
      <w:r>
        <w:t xml:space="preserve">ed </w:t>
      </w:r>
      <w:r w:rsidRPr="00D51DF7">
        <w:t xml:space="preserve">on each piece of equipment prior to use and </w:t>
      </w:r>
      <w:r>
        <w:t xml:space="preserve">ensure </w:t>
      </w:r>
      <w:r w:rsidRPr="00D51DF7">
        <w:t xml:space="preserve">that evidence of </w:t>
      </w:r>
      <w:r>
        <w:t>training and/or competency</w:t>
      </w:r>
      <w:r w:rsidRPr="00D51DF7">
        <w:t xml:space="preserve"> is retained</w:t>
      </w:r>
      <w:r>
        <w:t xml:space="preserve"> (see </w:t>
      </w:r>
      <w:bookmarkStart w:id="11" w:name="_Hlk93590645"/>
      <w:r w:rsidRPr="0091193F">
        <w:rPr>
          <w:rStyle w:val="ReferencestootherSOPsQCDsChar"/>
        </w:rPr>
        <w:t>UoB-CRL-SOP-001 Laboratory Set</w:t>
      </w:r>
      <w:r>
        <w:rPr>
          <w:rStyle w:val="ReferencestootherSOPsQCDsChar"/>
        </w:rPr>
        <w:t xml:space="preserve"> </w:t>
      </w:r>
      <w:r w:rsidRPr="0091193F">
        <w:rPr>
          <w:rStyle w:val="ReferencestootherSOPsQCDsChar"/>
        </w:rPr>
        <w:t>Up and Management</w:t>
      </w:r>
      <w:r w:rsidRPr="00885181">
        <w:t>,</w:t>
      </w:r>
      <w:r>
        <w:t xml:space="preserve"> and </w:t>
      </w:r>
      <w:r w:rsidRPr="0091193F">
        <w:rPr>
          <w:rStyle w:val="ReferencestootherSOPsQCDsChar"/>
        </w:rPr>
        <w:t>UoB</w:t>
      </w:r>
      <w:r>
        <w:rPr>
          <w:rStyle w:val="ReferencestootherSOPsQCDsChar"/>
        </w:rPr>
        <w:t>-CRL-QCD-003 Laboratory Competencies</w:t>
      </w:r>
      <w:r>
        <w:t>).</w:t>
      </w:r>
      <w:bookmarkEnd w:id="11"/>
    </w:p>
    <w:p w14:paraId="02A10464" w14:textId="77777777" w:rsidR="00C26147" w:rsidRDefault="00C26147" w:rsidP="00C26147">
      <w:pPr>
        <w:pStyle w:val="NumberlistforSOPs"/>
        <w:numPr>
          <w:ilvl w:val="0"/>
          <w:numId w:val="12"/>
        </w:numPr>
      </w:pPr>
      <w:r>
        <w:t>The LAL (or delegate) will clearly label any equipment that is out of service as such.</w:t>
      </w:r>
    </w:p>
    <w:p w14:paraId="763216B0" w14:textId="77777777" w:rsidR="00C26147" w:rsidRDefault="00C26147" w:rsidP="00C26147">
      <w:pPr>
        <w:pStyle w:val="Heading2"/>
      </w:pPr>
      <w:r>
        <w:t>Computerised systems</w:t>
      </w:r>
    </w:p>
    <w:p w14:paraId="7A9D5E24" w14:textId="77777777" w:rsidR="00C26147" w:rsidRPr="00E166D2" w:rsidRDefault="00C26147" w:rsidP="00C26147">
      <w:pPr>
        <w:pStyle w:val="NumberlistforSOPs"/>
        <w:numPr>
          <w:ilvl w:val="0"/>
          <w:numId w:val="12"/>
        </w:numPr>
      </w:pPr>
      <w:r>
        <w:t xml:space="preserve">The LAL (or delegate) will site computerised systems in appropriate locations such that environmental conditions do not adversely impact on the systems’ performance. </w:t>
      </w:r>
    </w:p>
    <w:p w14:paraId="023173C2" w14:textId="55CCAAB5" w:rsidR="00C26147" w:rsidRPr="00E166D2" w:rsidRDefault="00C26147" w:rsidP="00C26147">
      <w:pPr>
        <w:pStyle w:val="NumberlistforSOPs"/>
        <w:numPr>
          <w:ilvl w:val="0"/>
          <w:numId w:val="12"/>
        </w:numPr>
      </w:pPr>
      <w:r w:rsidRPr="00E166D2">
        <w:t xml:space="preserve">The </w:t>
      </w:r>
      <w:r>
        <w:t xml:space="preserve">LAL (or delegate) will identify a person who will act as the </w:t>
      </w:r>
      <w:r w:rsidR="008D7A37">
        <w:t xml:space="preserve">system </w:t>
      </w:r>
      <w:r>
        <w:t xml:space="preserve">administrator for each computer system (see </w:t>
      </w:r>
      <w:bookmarkStart w:id="12" w:name="_Hlk93590669"/>
      <w:r>
        <w:rPr>
          <w:rStyle w:val="ReferencestootherSOPsQCDsChar"/>
        </w:rPr>
        <w:t>UoB-CRL-QCD-014</w:t>
      </w:r>
      <w:r w:rsidRPr="004B6D3D">
        <w:rPr>
          <w:rStyle w:val="ReferencestootherSOPsQCDsChar"/>
        </w:rPr>
        <w:t xml:space="preserve"> Computerised </w:t>
      </w:r>
      <w:r>
        <w:rPr>
          <w:rStyle w:val="ReferencestootherSOPsQCDsChar"/>
        </w:rPr>
        <w:t>S</w:t>
      </w:r>
      <w:r w:rsidRPr="004B6D3D">
        <w:rPr>
          <w:rStyle w:val="ReferencestootherSOPsQCDsChar"/>
        </w:rPr>
        <w:t xml:space="preserve">ystem and </w:t>
      </w:r>
      <w:r>
        <w:rPr>
          <w:rStyle w:val="ReferencestootherSOPsQCDsChar"/>
        </w:rPr>
        <w:t>U</w:t>
      </w:r>
      <w:r w:rsidRPr="004B6D3D">
        <w:rPr>
          <w:rStyle w:val="ReferencestootherSOPsQCDsChar"/>
        </w:rPr>
        <w:t xml:space="preserve">ser </w:t>
      </w:r>
      <w:r>
        <w:rPr>
          <w:rStyle w:val="ReferencestootherSOPsQCDsChar"/>
        </w:rPr>
        <w:t>A</w:t>
      </w:r>
      <w:r w:rsidRPr="004B6D3D">
        <w:rPr>
          <w:rStyle w:val="ReferencestootherSOPsQCDsChar"/>
        </w:rPr>
        <w:t xml:space="preserve">ccess </w:t>
      </w:r>
      <w:r>
        <w:rPr>
          <w:rStyle w:val="ReferencestootherSOPsQCDsChar"/>
        </w:rPr>
        <w:t>L</w:t>
      </w:r>
      <w:r w:rsidRPr="004B6D3D">
        <w:rPr>
          <w:rStyle w:val="ReferencestootherSOPsQCDsChar"/>
        </w:rPr>
        <w:t>evels</w:t>
      </w:r>
      <w:r>
        <w:t>)</w:t>
      </w:r>
      <w:bookmarkEnd w:id="12"/>
      <w:r>
        <w:t xml:space="preserve">. The </w:t>
      </w:r>
      <w:r w:rsidR="008D7A37">
        <w:t xml:space="preserve">system </w:t>
      </w:r>
      <w:r>
        <w:t>administrator will:</w:t>
      </w:r>
    </w:p>
    <w:p w14:paraId="3E328383" w14:textId="77777777" w:rsidR="00C26147" w:rsidRDefault="00C26147" w:rsidP="00C26147">
      <w:pPr>
        <w:pStyle w:val="bullet2"/>
        <w:ind w:left="720" w:hanging="360"/>
      </w:pPr>
      <w:r>
        <w:t xml:space="preserve">control access to computerised systems, and record users and their access levels (see </w:t>
      </w:r>
      <w:r>
        <w:rPr>
          <w:rStyle w:val="ReferencestootherSOPsQCDsChar"/>
        </w:rPr>
        <w:t>UoB-CRL-QCD-014</w:t>
      </w:r>
      <w:r w:rsidRPr="004B6D3D">
        <w:rPr>
          <w:rStyle w:val="ReferencestootherSOPsQCDsChar"/>
        </w:rPr>
        <w:t xml:space="preserve"> Computerised </w:t>
      </w:r>
      <w:r>
        <w:rPr>
          <w:rStyle w:val="ReferencestootherSOPsQCDsChar"/>
        </w:rPr>
        <w:t>S</w:t>
      </w:r>
      <w:r w:rsidRPr="004B6D3D">
        <w:rPr>
          <w:rStyle w:val="ReferencestootherSOPsQCDsChar"/>
        </w:rPr>
        <w:t xml:space="preserve">ystem and </w:t>
      </w:r>
      <w:r>
        <w:rPr>
          <w:rStyle w:val="ReferencestootherSOPsQCDsChar"/>
        </w:rPr>
        <w:t>U</w:t>
      </w:r>
      <w:r w:rsidRPr="004B6D3D">
        <w:rPr>
          <w:rStyle w:val="ReferencestootherSOPsQCDsChar"/>
        </w:rPr>
        <w:t xml:space="preserve">ser </w:t>
      </w:r>
      <w:r>
        <w:rPr>
          <w:rStyle w:val="ReferencestootherSOPsQCDsChar"/>
        </w:rPr>
        <w:t>A</w:t>
      </w:r>
      <w:r w:rsidRPr="004B6D3D">
        <w:rPr>
          <w:rStyle w:val="ReferencestootherSOPsQCDsChar"/>
        </w:rPr>
        <w:t xml:space="preserve">ccess </w:t>
      </w:r>
      <w:r>
        <w:rPr>
          <w:rStyle w:val="ReferencestootherSOPsQCDsChar"/>
        </w:rPr>
        <w:t>L</w:t>
      </w:r>
      <w:r w:rsidRPr="004B6D3D">
        <w:rPr>
          <w:rStyle w:val="ReferencestootherSOPsQCDsChar"/>
        </w:rPr>
        <w:t>evels</w:t>
      </w:r>
      <w:r>
        <w:rPr>
          <w:rStyle w:val="ReferencestootherSOPsQCDsChar"/>
        </w:rPr>
        <w:t>)</w:t>
      </w:r>
    </w:p>
    <w:p w14:paraId="32EC0E9C" w14:textId="77777777" w:rsidR="00C26147" w:rsidRDefault="00C26147" w:rsidP="00C26147">
      <w:pPr>
        <w:pStyle w:val="bullet2"/>
        <w:ind w:left="720" w:hanging="360"/>
      </w:pPr>
      <w:r>
        <w:t>perform a periodic (documented) review to ensure that access restrictions remain current and appropriate.</w:t>
      </w:r>
    </w:p>
    <w:p w14:paraId="24F9553C" w14:textId="77777777" w:rsidR="00C26147" w:rsidRDefault="00C26147" w:rsidP="00C26147">
      <w:pPr>
        <w:pStyle w:val="NumberlistforSOPs"/>
        <w:numPr>
          <w:ilvl w:val="0"/>
          <w:numId w:val="12"/>
        </w:numPr>
      </w:pPr>
      <w:r>
        <w:t xml:space="preserve">The LAL (or delegate) will follow the procedures detailed in </w:t>
      </w:r>
      <w:bookmarkStart w:id="13" w:name="_Hlk93590688"/>
      <w:r w:rsidRPr="00231FE3">
        <w:rPr>
          <w:rStyle w:val="ReferencestootherSOPsQCDsChar"/>
        </w:rPr>
        <w:t>UoB-CRL-SOP-004 Laboratory Analysis</w:t>
      </w:r>
      <w:r>
        <w:t xml:space="preserve"> </w:t>
      </w:r>
      <w:bookmarkEnd w:id="13"/>
      <w:r>
        <w:t>in regard to the validation of computerised systems.</w:t>
      </w:r>
    </w:p>
    <w:p w14:paraId="0C479B1E" w14:textId="37BB3B8E" w:rsidR="00C26147" w:rsidRDefault="00C26147" w:rsidP="00C26147">
      <w:pPr>
        <w:pStyle w:val="Heading1"/>
      </w:pPr>
      <w:r w:rsidRPr="00435EAE">
        <w:t>List of expected outputs</w:t>
      </w:r>
    </w:p>
    <w:p w14:paraId="1A0AA1E2" w14:textId="77777777" w:rsidR="00C26147" w:rsidRPr="00224AD9" w:rsidRDefault="00C26147" w:rsidP="00C26147">
      <w:pPr>
        <w:pStyle w:val="bullet1"/>
        <w:numPr>
          <w:ilvl w:val="0"/>
          <w:numId w:val="3"/>
        </w:numPr>
        <w:ind w:left="340" w:hanging="340"/>
        <w:rPr>
          <w:b/>
        </w:rPr>
      </w:pPr>
      <w:r w:rsidRPr="00224AD9">
        <w:rPr>
          <w:b/>
        </w:rPr>
        <w:t>UoB processes for waste storage, collection and disposal followed</w:t>
      </w:r>
      <w:r>
        <w:rPr>
          <w:b/>
        </w:rPr>
        <w:t>.</w:t>
      </w:r>
    </w:p>
    <w:p w14:paraId="24F10B5B" w14:textId="77777777" w:rsidR="00C26147" w:rsidRPr="00224AD9" w:rsidRDefault="00C26147" w:rsidP="00C26147">
      <w:pPr>
        <w:pStyle w:val="bullet1"/>
        <w:numPr>
          <w:ilvl w:val="0"/>
          <w:numId w:val="3"/>
        </w:numPr>
        <w:ind w:left="340" w:hanging="340"/>
        <w:rPr>
          <w:b/>
        </w:rPr>
      </w:pPr>
      <w:r w:rsidRPr="00224AD9">
        <w:rPr>
          <w:b/>
        </w:rPr>
        <w:t xml:space="preserve">Housekeeping schedule in place and documented evidence of its implementation (see </w:t>
      </w:r>
      <w:bookmarkStart w:id="14" w:name="_Hlk93590706"/>
      <w:r w:rsidRPr="00224AD9">
        <w:rPr>
          <w:rStyle w:val="ReferencestootherSOPsQCDsChar"/>
          <w:b/>
        </w:rPr>
        <w:t>UoB-CRL-QCD-006 Housekeeping Schedule</w:t>
      </w:r>
      <w:r w:rsidRPr="00224AD9">
        <w:rPr>
          <w:b/>
        </w:rPr>
        <w:t>)</w:t>
      </w:r>
      <w:r>
        <w:rPr>
          <w:b/>
        </w:rPr>
        <w:t>.</w:t>
      </w:r>
      <w:r w:rsidRPr="00224AD9">
        <w:rPr>
          <w:b/>
        </w:rPr>
        <w:t xml:space="preserve"> </w:t>
      </w:r>
    </w:p>
    <w:bookmarkEnd w:id="14"/>
    <w:p w14:paraId="4E4D7AFF" w14:textId="77777777" w:rsidR="00C26147" w:rsidRDefault="00C26147" w:rsidP="00C26147">
      <w:pPr>
        <w:pStyle w:val="bullet1"/>
        <w:numPr>
          <w:ilvl w:val="0"/>
          <w:numId w:val="3"/>
        </w:numPr>
        <w:ind w:left="340" w:hanging="340"/>
      </w:pPr>
      <w:r>
        <w:t>Adequate degree of separation between areas of storage and analysis of human biomaterial samples and other (non-CTIMP trial) laboratory activity.</w:t>
      </w:r>
    </w:p>
    <w:p w14:paraId="0D7479C8" w14:textId="51F30C96" w:rsidR="00C26147" w:rsidRPr="00224AD9" w:rsidRDefault="00C26147" w:rsidP="00C26147">
      <w:pPr>
        <w:pStyle w:val="bullet1"/>
        <w:numPr>
          <w:ilvl w:val="0"/>
          <w:numId w:val="3"/>
        </w:numPr>
        <w:ind w:left="340" w:hanging="340"/>
        <w:rPr>
          <w:b/>
        </w:rPr>
      </w:pPr>
      <w:r w:rsidRPr="00224AD9">
        <w:rPr>
          <w:b/>
        </w:rPr>
        <w:t>Restricted access to refrigerators</w:t>
      </w:r>
      <w:r w:rsidR="00030A68">
        <w:rPr>
          <w:b/>
        </w:rPr>
        <w:t>,</w:t>
      </w:r>
      <w:r w:rsidRPr="00224AD9">
        <w:rPr>
          <w:b/>
        </w:rPr>
        <w:t xml:space="preserve"> freezers</w:t>
      </w:r>
      <w:r w:rsidR="00030A68">
        <w:rPr>
          <w:b/>
        </w:rPr>
        <w:t xml:space="preserve"> and cold rooms</w:t>
      </w:r>
      <w:r w:rsidRPr="00224AD9">
        <w:rPr>
          <w:b/>
        </w:rPr>
        <w:t xml:space="preserve"> </w:t>
      </w:r>
      <w:r w:rsidR="00F833CA">
        <w:rPr>
          <w:b/>
        </w:rPr>
        <w:t>(or any other temperature</w:t>
      </w:r>
      <w:r w:rsidR="00DD49E5">
        <w:rPr>
          <w:b/>
        </w:rPr>
        <w:t>-</w:t>
      </w:r>
      <w:r w:rsidR="00F833CA">
        <w:rPr>
          <w:b/>
        </w:rPr>
        <w:t>controlled spaces)</w:t>
      </w:r>
      <w:r w:rsidR="00F833CA" w:rsidRPr="002B6448">
        <w:rPr>
          <w:b/>
        </w:rPr>
        <w:t xml:space="preserve"> </w:t>
      </w:r>
      <w:r w:rsidRPr="002B6448">
        <w:rPr>
          <w:b/>
        </w:rPr>
        <w:t xml:space="preserve">used to store human biomaterials </w:t>
      </w:r>
      <w:r w:rsidRPr="00224AD9">
        <w:rPr>
          <w:b/>
        </w:rPr>
        <w:t>and access evidenced</w:t>
      </w:r>
      <w:r>
        <w:rPr>
          <w:b/>
        </w:rPr>
        <w:t>.</w:t>
      </w:r>
    </w:p>
    <w:p w14:paraId="4870ABC6" w14:textId="7436B81F" w:rsidR="00C26147" w:rsidRPr="00224AD9" w:rsidRDefault="00C26147" w:rsidP="00C26147">
      <w:pPr>
        <w:pStyle w:val="bullet1"/>
        <w:numPr>
          <w:ilvl w:val="0"/>
          <w:numId w:val="3"/>
        </w:numPr>
        <w:ind w:left="340" w:hanging="340"/>
        <w:rPr>
          <w:b/>
        </w:rPr>
      </w:pPr>
      <w:r w:rsidRPr="00224AD9">
        <w:rPr>
          <w:b/>
        </w:rPr>
        <w:t>Evidence of appropriate refrigerator</w:t>
      </w:r>
      <w:r w:rsidR="00030A68">
        <w:rPr>
          <w:b/>
        </w:rPr>
        <w:t>,</w:t>
      </w:r>
      <w:r w:rsidRPr="00224AD9">
        <w:rPr>
          <w:b/>
        </w:rPr>
        <w:t xml:space="preserve"> freezer </w:t>
      </w:r>
      <w:r w:rsidR="00030A68">
        <w:rPr>
          <w:b/>
        </w:rPr>
        <w:t>and cold room</w:t>
      </w:r>
      <w:r w:rsidR="00F833CA">
        <w:rPr>
          <w:b/>
        </w:rPr>
        <w:t xml:space="preserve"> (or any other temperature</w:t>
      </w:r>
      <w:r w:rsidR="00DD49E5">
        <w:rPr>
          <w:b/>
        </w:rPr>
        <w:t>-</w:t>
      </w:r>
      <w:r w:rsidR="00F833CA">
        <w:rPr>
          <w:b/>
        </w:rPr>
        <w:t>controlled spaces)</w:t>
      </w:r>
      <w:r w:rsidR="00030A68">
        <w:rPr>
          <w:b/>
        </w:rPr>
        <w:t xml:space="preserve"> </w:t>
      </w:r>
      <w:r w:rsidRPr="00224AD9">
        <w:rPr>
          <w:b/>
        </w:rPr>
        <w:t xml:space="preserve">temperature monitoring (see </w:t>
      </w:r>
      <w:bookmarkStart w:id="15" w:name="_Hlk93590719"/>
      <w:r w:rsidRPr="00224AD9">
        <w:rPr>
          <w:rStyle w:val="ReferencestootherSOPsQCDsChar"/>
          <w:b/>
        </w:rPr>
        <w:t>UoB-CRL-QCD-007 Temperature Monitoring</w:t>
      </w:r>
      <w:r w:rsidRPr="00224AD9">
        <w:rPr>
          <w:b/>
        </w:rPr>
        <w:t>)</w:t>
      </w:r>
      <w:r>
        <w:rPr>
          <w:b/>
        </w:rPr>
        <w:t>.</w:t>
      </w:r>
      <w:r w:rsidRPr="00224AD9">
        <w:rPr>
          <w:b/>
        </w:rPr>
        <w:t xml:space="preserve"> </w:t>
      </w:r>
    </w:p>
    <w:bookmarkEnd w:id="15"/>
    <w:p w14:paraId="257A94A9" w14:textId="352FF75A" w:rsidR="00C26147" w:rsidRDefault="00C26147" w:rsidP="00C26147">
      <w:pPr>
        <w:pStyle w:val="bullet1"/>
        <w:numPr>
          <w:ilvl w:val="0"/>
          <w:numId w:val="3"/>
        </w:numPr>
        <w:ind w:left="340" w:hanging="340"/>
      </w:pPr>
      <w:r w:rsidRPr="00224AD9">
        <w:rPr>
          <w:b/>
        </w:rPr>
        <w:t>A documented procedure to follow in the event of refrigerator or freezer failure</w:t>
      </w:r>
      <w:r w:rsidR="00DD49E5">
        <w:rPr>
          <w:b/>
        </w:rPr>
        <w:t xml:space="preserve"> (or failure of any other temperature-controlled space)</w:t>
      </w:r>
      <w:r w:rsidRPr="00224AD9">
        <w:rPr>
          <w:b/>
        </w:rPr>
        <w:t xml:space="preserve">, back-up space identified and evidence of implementation of procedure where necessary (see </w:t>
      </w:r>
      <w:bookmarkStart w:id="16" w:name="_Hlk93590732"/>
      <w:r w:rsidRPr="00224AD9">
        <w:rPr>
          <w:rStyle w:val="ReferencestootherSOPsQCDsChar"/>
          <w:b/>
        </w:rPr>
        <w:t>UoB-CRL-QCD-008 Refrigerator or Freezer Failure Management</w:t>
      </w:r>
      <w:bookmarkEnd w:id="16"/>
      <w:r w:rsidRPr="00224AD9">
        <w:rPr>
          <w:b/>
        </w:rPr>
        <w:t>)</w:t>
      </w:r>
      <w:r>
        <w:rPr>
          <w:b/>
        </w:rPr>
        <w:t>.</w:t>
      </w:r>
    </w:p>
    <w:p w14:paraId="6AA5E70B" w14:textId="77777777" w:rsidR="00C26147" w:rsidRDefault="00C26147" w:rsidP="00C26147">
      <w:pPr>
        <w:pStyle w:val="bullet1"/>
        <w:numPr>
          <w:ilvl w:val="0"/>
          <w:numId w:val="3"/>
        </w:numPr>
        <w:ind w:left="340" w:hanging="340"/>
      </w:pPr>
      <w:r>
        <w:t xml:space="preserve">Evidence of user-acceptance testing performed on equipment used in the processing and analysis of human biomaterials (see </w:t>
      </w:r>
      <w:bookmarkStart w:id="17" w:name="_Hlk93590747"/>
      <w:r w:rsidRPr="00224AD9">
        <w:rPr>
          <w:rStyle w:val="ReferencestootherSOPsQCDsChar"/>
        </w:rPr>
        <w:t>UoB-CRL-QCD-009 Equipment Fitness for Use and User Acceptance Testing</w:t>
      </w:r>
      <w:bookmarkEnd w:id="17"/>
      <w:r>
        <w:t>).</w:t>
      </w:r>
    </w:p>
    <w:p w14:paraId="799D6E0E" w14:textId="77777777" w:rsidR="00C26147" w:rsidRDefault="00C26147" w:rsidP="00C26147">
      <w:pPr>
        <w:pStyle w:val="bullet1"/>
        <w:numPr>
          <w:ilvl w:val="0"/>
          <w:numId w:val="3"/>
        </w:numPr>
        <w:ind w:left="340" w:hanging="340"/>
      </w:pPr>
      <w:r>
        <w:t xml:space="preserve">An equipment maintenance schedule and evidence of equipment maintenance and calibration being performed (see </w:t>
      </w:r>
      <w:bookmarkStart w:id="18" w:name="_Hlk93590757"/>
      <w:r w:rsidRPr="00224AD9">
        <w:rPr>
          <w:rStyle w:val="ReferencestootherSOPsQCDsChar"/>
        </w:rPr>
        <w:t>UoB-CRL-QCD-010 Equipment Maintenance Schedule</w:t>
      </w:r>
      <w:bookmarkEnd w:id="18"/>
      <w:r>
        <w:t>).</w:t>
      </w:r>
    </w:p>
    <w:p w14:paraId="2793FFDB" w14:textId="77777777" w:rsidR="00C26147" w:rsidRDefault="00C26147" w:rsidP="00C26147">
      <w:pPr>
        <w:pStyle w:val="bullet1"/>
        <w:numPr>
          <w:ilvl w:val="0"/>
          <w:numId w:val="3"/>
        </w:numPr>
        <w:ind w:left="340" w:hanging="340"/>
      </w:pPr>
      <w:r>
        <w:t xml:space="preserve">Evidence that equipment is re-assessed for fitness for use following maintenance and calibration (see </w:t>
      </w:r>
      <w:r w:rsidRPr="00224AD9">
        <w:rPr>
          <w:rStyle w:val="ReferencestootherSOPsQCDsChar"/>
        </w:rPr>
        <w:t>UoB-</w:t>
      </w:r>
      <w:bookmarkStart w:id="19" w:name="_Hlk93590769"/>
      <w:r w:rsidRPr="00224AD9">
        <w:rPr>
          <w:rStyle w:val="ReferencestootherSOPsQCDsChar"/>
        </w:rPr>
        <w:t>CRL-QCD-009 Equipment Fitness for Use and User Acceptance Testing</w:t>
      </w:r>
      <w:bookmarkEnd w:id="19"/>
      <w:r>
        <w:t>).</w:t>
      </w:r>
    </w:p>
    <w:p w14:paraId="73CB3645" w14:textId="77777777" w:rsidR="00C26147" w:rsidRDefault="00C26147" w:rsidP="00C26147">
      <w:pPr>
        <w:pStyle w:val="bullet1"/>
        <w:numPr>
          <w:ilvl w:val="0"/>
          <w:numId w:val="3"/>
        </w:numPr>
        <w:ind w:left="340" w:hanging="340"/>
      </w:pPr>
      <w:r>
        <w:t xml:space="preserve">Evidence that analysts are trained on equipment prior to use (see </w:t>
      </w:r>
      <w:bookmarkStart w:id="20" w:name="_Hlk93590778"/>
      <w:r w:rsidRPr="00224AD9">
        <w:rPr>
          <w:rStyle w:val="ReferencestootherSOPsQCDsChar"/>
        </w:rPr>
        <w:t>UoB-CRL-SOP-001 Laboratory Set Up and Management</w:t>
      </w:r>
      <w:r>
        <w:t xml:space="preserve"> and </w:t>
      </w:r>
      <w:r w:rsidRPr="00224AD9">
        <w:rPr>
          <w:rStyle w:val="ReferencestootherSOPsQCDsChar"/>
        </w:rPr>
        <w:t>UoB-CRL-QCD-003 Laboratory Competencies</w:t>
      </w:r>
      <w:r>
        <w:t>).</w:t>
      </w:r>
    </w:p>
    <w:bookmarkEnd w:id="20"/>
    <w:p w14:paraId="55EDDA5E" w14:textId="77777777" w:rsidR="00C26147" w:rsidRDefault="00C26147" w:rsidP="00C26147">
      <w:pPr>
        <w:pStyle w:val="bullet1"/>
        <w:numPr>
          <w:ilvl w:val="0"/>
          <w:numId w:val="3"/>
        </w:numPr>
        <w:ind w:left="340" w:hanging="340"/>
      </w:pPr>
      <w:r>
        <w:t>Where applicable, out-of-service equipment is labelled as such.</w:t>
      </w:r>
    </w:p>
    <w:p w14:paraId="20DF382B" w14:textId="77777777" w:rsidR="00C26147" w:rsidRDefault="00C26147" w:rsidP="00C26147">
      <w:pPr>
        <w:pStyle w:val="bullet1"/>
        <w:numPr>
          <w:ilvl w:val="0"/>
          <w:numId w:val="3"/>
        </w:numPr>
        <w:ind w:left="340" w:hanging="340"/>
      </w:pPr>
      <w:r>
        <w:t xml:space="preserve">Computerised systems are sited in appropriate locations such that environmental conditions do not adversely impact on the systems performance. </w:t>
      </w:r>
    </w:p>
    <w:p w14:paraId="2E7A924E" w14:textId="713EEACE" w:rsidR="00C26147" w:rsidRDefault="008D7A37" w:rsidP="00C26147">
      <w:pPr>
        <w:pStyle w:val="bullet1"/>
        <w:numPr>
          <w:ilvl w:val="0"/>
          <w:numId w:val="3"/>
        </w:numPr>
        <w:ind w:left="340" w:hanging="340"/>
      </w:pPr>
      <w:r>
        <w:lastRenderedPageBreak/>
        <w:t>System a</w:t>
      </w:r>
      <w:r w:rsidR="00C26147">
        <w:t xml:space="preserve">dministrators identified for each computer system (see </w:t>
      </w:r>
      <w:bookmarkStart w:id="21" w:name="_Hlk93590785"/>
      <w:r w:rsidR="00C26147" w:rsidRPr="00224AD9">
        <w:rPr>
          <w:rStyle w:val="ReferencestootherSOPsQCDsChar"/>
        </w:rPr>
        <w:t>UoB-CRL-QCD-014 Computerised System and User Access Levels</w:t>
      </w:r>
      <w:r w:rsidR="00C26147">
        <w:t>).</w:t>
      </w:r>
    </w:p>
    <w:bookmarkEnd w:id="21"/>
    <w:p w14:paraId="2F4B7528" w14:textId="77777777" w:rsidR="00C26147" w:rsidRPr="00D545E7" w:rsidRDefault="00C26147" w:rsidP="00C26147">
      <w:pPr>
        <w:pStyle w:val="bullet1"/>
        <w:numPr>
          <w:ilvl w:val="0"/>
          <w:numId w:val="3"/>
        </w:numPr>
        <w:ind w:left="340" w:hanging="340"/>
        <w:rPr>
          <w:rStyle w:val="ReferencestootherSOPsQCDsChar"/>
          <w:b/>
          <w:iCs w:val="0"/>
        </w:rPr>
      </w:pPr>
      <w:r>
        <w:t xml:space="preserve">Evidence of defined access levels for computerised systems (see </w:t>
      </w:r>
      <w:bookmarkStart w:id="22" w:name="_Hlk93590794"/>
      <w:r w:rsidRPr="00224AD9">
        <w:rPr>
          <w:rStyle w:val="ReferencestootherSOPsQCDsChar"/>
        </w:rPr>
        <w:t>UoB-CRL-QCD-014 Computerised System and User Access Levels</w:t>
      </w:r>
      <w:bookmarkEnd w:id="22"/>
      <w:r>
        <w:t>) and evidence of their periodic review.</w:t>
      </w:r>
    </w:p>
    <w:p w14:paraId="45DD1B38" w14:textId="0C177FA3" w:rsidR="00C26147" w:rsidRDefault="00C26147" w:rsidP="00C26147">
      <w:pPr>
        <w:pStyle w:val="Heading1"/>
      </w:pPr>
      <w:r w:rsidRPr="006561C0">
        <w:t>Related</w:t>
      </w:r>
      <w:r>
        <w:t xml:space="preserve"> documents</w:t>
      </w:r>
      <w:bookmarkEnd w:id="0"/>
    </w:p>
    <w:p w14:paraId="4E6A1E31" w14:textId="77777777" w:rsidR="00C26147" w:rsidRPr="00DA26BA" w:rsidRDefault="00C26147" w:rsidP="00C26147">
      <w:pPr>
        <w:pStyle w:val="bullet1"/>
        <w:numPr>
          <w:ilvl w:val="0"/>
          <w:numId w:val="3"/>
        </w:numPr>
        <w:ind w:left="340" w:hanging="340"/>
        <w:rPr>
          <w:rStyle w:val="ReferencestootherSOPsQCDsChar"/>
          <w:bCs/>
          <w:i w:val="0"/>
          <w:iCs w:val="0"/>
          <w:color w:val="auto"/>
          <w:kern w:val="32"/>
        </w:rPr>
      </w:pPr>
      <w:r w:rsidRPr="00224AD9">
        <w:rPr>
          <w:rStyle w:val="ReferencestootherSOPsQCDsChar"/>
          <w:i w:val="0"/>
          <w:color w:val="auto"/>
        </w:rPr>
        <w:t>UoB-ARC-SOP-001 Archiving</w:t>
      </w:r>
    </w:p>
    <w:p w14:paraId="58151863" w14:textId="77777777" w:rsidR="00C26147" w:rsidRPr="00DA26BA" w:rsidRDefault="00C26147" w:rsidP="00C26147">
      <w:pPr>
        <w:pStyle w:val="bullet1"/>
        <w:numPr>
          <w:ilvl w:val="0"/>
          <w:numId w:val="3"/>
        </w:numPr>
        <w:ind w:left="340" w:hanging="340"/>
      </w:pPr>
      <w:r w:rsidRPr="00DA26BA">
        <w:t>UoB-CRL-QCD-003 Laboratory Competencies</w:t>
      </w:r>
    </w:p>
    <w:p w14:paraId="3C557EF5" w14:textId="77777777" w:rsidR="00C26147" w:rsidRPr="00DA26BA" w:rsidRDefault="00C26147" w:rsidP="00C26147">
      <w:pPr>
        <w:pStyle w:val="bullet1"/>
        <w:numPr>
          <w:ilvl w:val="0"/>
          <w:numId w:val="3"/>
        </w:numPr>
        <w:ind w:left="340" w:hanging="340"/>
      </w:pPr>
      <w:r w:rsidRPr="00DA26BA">
        <w:t>UoB-CRL-QCD-006 Housekeeping Schedule</w:t>
      </w:r>
    </w:p>
    <w:p w14:paraId="36F4538C" w14:textId="77777777" w:rsidR="00C26147" w:rsidRPr="00DA26BA" w:rsidRDefault="00C26147" w:rsidP="00C26147">
      <w:pPr>
        <w:pStyle w:val="bullet1"/>
        <w:numPr>
          <w:ilvl w:val="0"/>
          <w:numId w:val="3"/>
        </w:numPr>
        <w:ind w:left="340" w:hanging="340"/>
        <w:rPr>
          <w:rStyle w:val="ReferencestootherSOPsQCDsChar"/>
          <w:i w:val="0"/>
          <w:iCs w:val="0"/>
          <w:color w:val="auto"/>
        </w:rPr>
      </w:pPr>
      <w:r w:rsidRPr="00224AD9">
        <w:rPr>
          <w:rStyle w:val="ReferencestootherSOPsQCDsChar"/>
          <w:i w:val="0"/>
          <w:color w:val="auto"/>
        </w:rPr>
        <w:t>UoB-CRL-QCD-007 Temperature Monitoring</w:t>
      </w:r>
    </w:p>
    <w:p w14:paraId="5635F3D4" w14:textId="77777777" w:rsidR="00C26147" w:rsidRPr="00E77AE8" w:rsidRDefault="00C26147" w:rsidP="00C26147">
      <w:pPr>
        <w:pStyle w:val="bullet1"/>
        <w:numPr>
          <w:ilvl w:val="0"/>
          <w:numId w:val="3"/>
        </w:numPr>
        <w:ind w:left="340" w:hanging="340"/>
      </w:pPr>
      <w:r w:rsidRPr="00E77AE8">
        <w:t>UoB-CRL-QCD-008 Refrigerator or Freezer Failure Management</w:t>
      </w:r>
    </w:p>
    <w:p w14:paraId="6ED80147" w14:textId="77777777" w:rsidR="00C26147" w:rsidRPr="00DA26BA" w:rsidRDefault="00C26147" w:rsidP="00C26147">
      <w:pPr>
        <w:pStyle w:val="bullet1"/>
        <w:numPr>
          <w:ilvl w:val="0"/>
          <w:numId w:val="3"/>
        </w:numPr>
        <w:ind w:left="340" w:hanging="340"/>
        <w:rPr>
          <w:rStyle w:val="ReferencestootherSOPsQCDsChar"/>
          <w:i w:val="0"/>
          <w:iCs w:val="0"/>
          <w:color w:val="auto"/>
        </w:rPr>
      </w:pPr>
      <w:r w:rsidRPr="00224AD9">
        <w:rPr>
          <w:rStyle w:val="ReferencestootherSOPsQCDsChar"/>
          <w:i w:val="0"/>
          <w:color w:val="auto"/>
        </w:rPr>
        <w:t>UoB-CRL-QCD-009 Equipment Fitness for Use and User Acceptance Testing</w:t>
      </w:r>
    </w:p>
    <w:p w14:paraId="6FB5E4E5" w14:textId="77777777" w:rsidR="00C26147" w:rsidRPr="00DA26BA" w:rsidRDefault="00C26147" w:rsidP="00C26147">
      <w:pPr>
        <w:pStyle w:val="bullet1"/>
        <w:numPr>
          <w:ilvl w:val="0"/>
          <w:numId w:val="3"/>
        </w:numPr>
        <w:ind w:left="340" w:hanging="340"/>
        <w:rPr>
          <w:rStyle w:val="ReferencestootherSOPsQCDsChar"/>
          <w:i w:val="0"/>
          <w:iCs w:val="0"/>
          <w:color w:val="auto"/>
        </w:rPr>
      </w:pPr>
      <w:r w:rsidRPr="00224AD9">
        <w:rPr>
          <w:rStyle w:val="ReferencestootherSOPsQCDsChar"/>
          <w:i w:val="0"/>
          <w:color w:val="auto"/>
        </w:rPr>
        <w:t>UoB-CRL-QCD-010 Equipment Maintenance Schedule</w:t>
      </w:r>
    </w:p>
    <w:p w14:paraId="301B18CF" w14:textId="77777777" w:rsidR="00C26147" w:rsidRPr="00DA26BA" w:rsidRDefault="00C26147" w:rsidP="00C26147">
      <w:pPr>
        <w:pStyle w:val="bullet1"/>
        <w:numPr>
          <w:ilvl w:val="0"/>
          <w:numId w:val="3"/>
        </w:numPr>
        <w:ind w:left="340" w:hanging="340"/>
        <w:rPr>
          <w:rStyle w:val="ReferencestootherSOPsQCDsChar"/>
          <w:i w:val="0"/>
          <w:iCs w:val="0"/>
          <w:color w:val="auto"/>
        </w:rPr>
      </w:pPr>
      <w:r w:rsidRPr="00224AD9">
        <w:rPr>
          <w:rStyle w:val="ReferencestootherSOPsQCDsChar"/>
          <w:i w:val="0"/>
          <w:color w:val="auto"/>
        </w:rPr>
        <w:t>UoB-CRL-QCD-01</w:t>
      </w:r>
      <w:r>
        <w:rPr>
          <w:rStyle w:val="ReferencestootherSOPsQCDsChar"/>
          <w:i w:val="0"/>
          <w:color w:val="auto"/>
        </w:rPr>
        <w:t>2</w:t>
      </w:r>
      <w:r w:rsidRPr="00224AD9">
        <w:rPr>
          <w:rStyle w:val="ReferencestootherSOPsQCDsChar"/>
          <w:i w:val="0"/>
          <w:color w:val="auto"/>
        </w:rPr>
        <w:t xml:space="preserve"> Calibration of Thermometers</w:t>
      </w:r>
    </w:p>
    <w:p w14:paraId="1A937B2B" w14:textId="77777777" w:rsidR="00C26147" w:rsidRPr="00DA26BA" w:rsidRDefault="00C26147" w:rsidP="00C26147">
      <w:pPr>
        <w:pStyle w:val="bullet1"/>
        <w:numPr>
          <w:ilvl w:val="0"/>
          <w:numId w:val="3"/>
        </w:numPr>
        <w:ind w:left="340" w:hanging="340"/>
        <w:rPr>
          <w:rStyle w:val="ReferencestootherSOPsQCDsChar"/>
          <w:i w:val="0"/>
          <w:iCs w:val="0"/>
          <w:color w:val="auto"/>
        </w:rPr>
      </w:pPr>
      <w:r w:rsidRPr="00224AD9">
        <w:rPr>
          <w:rStyle w:val="ReferencestootherSOPsQCDsChar"/>
          <w:i w:val="0"/>
          <w:color w:val="auto"/>
        </w:rPr>
        <w:t>UoB-CRL-QCD-01</w:t>
      </w:r>
      <w:r>
        <w:rPr>
          <w:rStyle w:val="ReferencestootherSOPsQCDsChar"/>
          <w:i w:val="0"/>
          <w:color w:val="auto"/>
        </w:rPr>
        <w:t>1</w:t>
      </w:r>
      <w:r w:rsidRPr="00224AD9">
        <w:rPr>
          <w:rStyle w:val="ReferencestootherSOPsQCDsChar"/>
          <w:i w:val="0"/>
          <w:color w:val="auto"/>
        </w:rPr>
        <w:t xml:space="preserve"> Calibration of Balances</w:t>
      </w:r>
    </w:p>
    <w:p w14:paraId="26E8DC6A" w14:textId="77777777" w:rsidR="00C26147" w:rsidRPr="00DA26BA" w:rsidRDefault="00C26147" w:rsidP="00C26147">
      <w:pPr>
        <w:pStyle w:val="bullet1"/>
        <w:numPr>
          <w:ilvl w:val="0"/>
          <w:numId w:val="3"/>
        </w:numPr>
        <w:ind w:left="340" w:hanging="340"/>
        <w:rPr>
          <w:rStyle w:val="ReferencestootherSOPsQCDsChar"/>
          <w:i w:val="0"/>
          <w:iCs w:val="0"/>
          <w:color w:val="auto"/>
        </w:rPr>
      </w:pPr>
      <w:r w:rsidRPr="00224AD9">
        <w:rPr>
          <w:rStyle w:val="ReferencestootherSOPsQCDsChar"/>
          <w:i w:val="0"/>
          <w:color w:val="auto"/>
        </w:rPr>
        <w:t>UoB-CRL-QCD-013 Calibration of Single channel and Multi-channel Pipettes</w:t>
      </w:r>
    </w:p>
    <w:p w14:paraId="4E5CA666" w14:textId="77777777" w:rsidR="00C26147" w:rsidRPr="00DA26BA" w:rsidRDefault="00C26147" w:rsidP="00C26147">
      <w:pPr>
        <w:pStyle w:val="bullet1"/>
        <w:numPr>
          <w:ilvl w:val="0"/>
          <w:numId w:val="3"/>
        </w:numPr>
        <w:ind w:left="340" w:hanging="340"/>
      </w:pPr>
      <w:r w:rsidRPr="00DA26BA">
        <w:t xml:space="preserve">UoB-CRL-QCD-014 Computerised System and User Access Levels </w:t>
      </w:r>
    </w:p>
    <w:p w14:paraId="5368735E" w14:textId="77777777" w:rsidR="00C26147" w:rsidRPr="00E77AE8" w:rsidRDefault="00C26147" w:rsidP="00C26147">
      <w:pPr>
        <w:pStyle w:val="bullet1"/>
        <w:numPr>
          <w:ilvl w:val="0"/>
          <w:numId w:val="3"/>
        </w:numPr>
        <w:ind w:left="340" w:hanging="340"/>
      </w:pPr>
      <w:r w:rsidRPr="00E77AE8">
        <w:t>UoB-CRL-QCD-024 Reportable Issues</w:t>
      </w:r>
    </w:p>
    <w:p w14:paraId="691EAE98" w14:textId="77777777" w:rsidR="00C26147" w:rsidRPr="00E77AE8" w:rsidRDefault="00C26147" w:rsidP="00C26147">
      <w:pPr>
        <w:pStyle w:val="bullet1"/>
        <w:numPr>
          <w:ilvl w:val="0"/>
          <w:numId w:val="3"/>
        </w:numPr>
        <w:ind w:left="340" w:hanging="340"/>
      </w:pPr>
      <w:r w:rsidRPr="00E77AE8">
        <w:t>UoB-CRL-SOP-001 Laboratory Set Up and Management</w:t>
      </w:r>
    </w:p>
    <w:p w14:paraId="591CE811" w14:textId="77777777" w:rsidR="00C26147" w:rsidRPr="00DA26BA" w:rsidRDefault="00C26147" w:rsidP="00C26147">
      <w:pPr>
        <w:pStyle w:val="bullet1"/>
        <w:numPr>
          <w:ilvl w:val="0"/>
          <w:numId w:val="3"/>
        </w:numPr>
        <w:ind w:left="340" w:hanging="340"/>
      </w:pPr>
      <w:r w:rsidRPr="00DA26BA">
        <w:t>UoB-CRL-SOP-003 Sample Management</w:t>
      </w:r>
    </w:p>
    <w:p w14:paraId="44FFAEC4" w14:textId="77777777" w:rsidR="00C26147" w:rsidRPr="00DA26BA" w:rsidRDefault="00C26147" w:rsidP="00C26147">
      <w:pPr>
        <w:pStyle w:val="bullet1"/>
        <w:numPr>
          <w:ilvl w:val="0"/>
          <w:numId w:val="3"/>
        </w:numPr>
        <w:ind w:left="340" w:hanging="340"/>
      </w:pPr>
      <w:r w:rsidRPr="00DA26BA">
        <w:t>UoB-CRL-SOP-004 Laboratory Analysis</w:t>
      </w:r>
    </w:p>
    <w:p w14:paraId="1FE05FD6" w14:textId="5BEBB4F3" w:rsidR="00C26147" w:rsidRDefault="00C26147" w:rsidP="00C26147">
      <w:pPr>
        <w:pStyle w:val="bullet1"/>
        <w:numPr>
          <w:ilvl w:val="0"/>
          <w:numId w:val="3"/>
        </w:numPr>
        <w:ind w:left="340" w:hanging="340"/>
      </w:pPr>
      <w:r w:rsidRPr="00DA26BA">
        <w:t>UoB-CRL-SOP-005 Reportable Issues</w:t>
      </w:r>
    </w:p>
    <w:p w14:paraId="7C89A63D" w14:textId="5B433E05" w:rsidR="00BB5578" w:rsidRPr="00BB5578" w:rsidRDefault="00BB5578" w:rsidP="00BB5578">
      <w:pPr>
        <w:pStyle w:val="bullet1"/>
      </w:pPr>
      <w:r w:rsidRPr="00BB5578">
        <w:rPr>
          <w:rStyle w:val="ReferencestootherSOPsQCDsChar"/>
          <w:i w:val="0"/>
          <w:iCs w:val="0"/>
          <w:color w:val="auto"/>
        </w:rPr>
        <w:t>UoB-CRL-SOP-006 External Laboratory Set-up and Oversight</w:t>
      </w:r>
    </w:p>
    <w:p w14:paraId="0A356952" w14:textId="77777777" w:rsidR="00D87192" w:rsidRDefault="00D87192" w:rsidP="00D87192">
      <w:bookmarkStart w:id="23" w:name="_Hlk83653731"/>
      <w:r>
        <w:t xml:space="preserve">Access to the full UoB QMS for clinical research is available via the </w:t>
      </w:r>
      <w:hyperlink r:id="rId14" w:tooltip="Link to CRCT website" w:history="1">
        <w:r>
          <w:rPr>
            <w:rStyle w:val="Hyperlink"/>
            <w:lang w:eastAsia="en-GB"/>
          </w:rPr>
          <w:t>CRCT website</w:t>
        </w:r>
      </w:hyperlink>
      <w:r>
        <w:rPr>
          <w:lang w:eastAsia="en-GB"/>
        </w:rPr>
        <w:t>.</w:t>
      </w:r>
    </w:p>
    <w:bookmarkEnd w:id="23"/>
    <w:p w14:paraId="2D65E3B5" w14:textId="1AF947FB" w:rsidR="00C26147" w:rsidRDefault="00C26147" w:rsidP="00C26147">
      <w:pPr>
        <w:pStyle w:val="Heading1"/>
      </w:pPr>
      <w:r w:rsidRPr="005D17F6">
        <w:t>References</w:t>
      </w:r>
      <w:r>
        <w:t xml:space="preserve"> and frameworks</w:t>
      </w:r>
    </w:p>
    <w:p w14:paraId="38DD65CE" w14:textId="0C660D5F" w:rsidR="00C26147" w:rsidRPr="008D2D5F" w:rsidRDefault="00C26147" w:rsidP="00D87192">
      <w:pPr>
        <w:pStyle w:val="bullet1"/>
        <w:numPr>
          <w:ilvl w:val="0"/>
          <w:numId w:val="3"/>
        </w:numPr>
        <w:ind w:left="340" w:hanging="340"/>
      </w:pPr>
      <w:r w:rsidRPr="008D2D5F">
        <w:t xml:space="preserve">Reflection paper for laboratories that perform the analyses or evaluation of clinical trial samples (2012), </w:t>
      </w:r>
      <w:r w:rsidR="00964B76">
        <w:t>EMA</w:t>
      </w:r>
      <w:r w:rsidRPr="008D2D5F">
        <w:t xml:space="preserve">: </w:t>
      </w:r>
      <w:hyperlink r:id="rId15" w:tooltip="Reflection paper for laboratories that perform the analyses or evaluation of clinical trial samples" w:history="1">
        <w:r w:rsidR="00D87192" w:rsidRPr="00782727">
          <w:rPr>
            <w:rStyle w:val="Hyperlink"/>
          </w:rPr>
          <w:t>https://www.ema.europa.eu/en/document</w:t>
        </w:r>
        <w:r w:rsidR="00D87192" w:rsidRPr="00782727">
          <w:rPr>
            <w:rStyle w:val="Hyperlink"/>
          </w:rPr>
          <w:t>s</w:t>
        </w:r>
        <w:r w:rsidR="00D87192" w:rsidRPr="00782727">
          <w:rPr>
            <w:rStyle w:val="Hyperlink"/>
          </w:rPr>
          <w:t>/regulatory-procedural-guideline/reflection-paper-laboratories-perform-analysis-or-evaluation-clinical-trial-samples_en.pdf</w:t>
        </w:r>
      </w:hyperlink>
    </w:p>
    <w:p w14:paraId="20975B84" w14:textId="754E08F3" w:rsidR="00C26147" w:rsidRPr="0066309D" w:rsidRDefault="00C26147" w:rsidP="00C26147">
      <w:pPr>
        <w:pStyle w:val="bullet1"/>
        <w:numPr>
          <w:ilvl w:val="0"/>
          <w:numId w:val="3"/>
        </w:numPr>
        <w:ind w:left="340" w:hanging="340"/>
      </w:pPr>
      <w:r w:rsidRPr="005B1584">
        <w:t>The Human Tissue Act 2004</w:t>
      </w:r>
      <w:r w:rsidR="00DB1128">
        <w:t xml:space="preserve"> (as amended)</w:t>
      </w:r>
      <w:r w:rsidRPr="005B1584">
        <w:t>:</w:t>
      </w:r>
      <w:r w:rsidRPr="0066309D">
        <w:t xml:space="preserve"> </w:t>
      </w:r>
      <w:hyperlink r:id="rId16" w:tooltip="The Human Tissue Act 2004 (as amended)" w:history="1">
        <w:r w:rsidRPr="005B1584">
          <w:rPr>
            <w:rStyle w:val="Hyperlink"/>
          </w:rPr>
          <w:t>http://</w:t>
        </w:r>
        <w:r w:rsidRPr="005B1584">
          <w:rPr>
            <w:rStyle w:val="Hyperlink"/>
          </w:rPr>
          <w:t>w</w:t>
        </w:r>
        <w:r w:rsidRPr="005B1584">
          <w:rPr>
            <w:rStyle w:val="Hyperlink"/>
          </w:rPr>
          <w:t>ww.legislation.gov.uk/ukpga/2004/30/contents</w:t>
        </w:r>
      </w:hyperlink>
    </w:p>
    <w:p w14:paraId="699E9BF6" w14:textId="5351036E" w:rsidR="00C26147" w:rsidRDefault="00C26147" w:rsidP="00C26147">
      <w:pPr>
        <w:pStyle w:val="bullet1"/>
        <w:numPr>
          <w:ilvl w:val="0"/>
          <w:numId w:val="3"/>
        </w:numPr>
        <w:ind w:left="340" w:hanging="340"/>
      </w:pPr>
      <w:r w:rsidRPr="008D2D5F">
        <w:t>The Medicines for Human Use (Clinical Trials) Regulations 2004</w:t>
      </w:r>
      <w:r>
        <w:t xml:space="preserve"> </w:t>
      </w:r>
      <w:r w:rsidR="00D87192">
        <w:t xml:space="preserve">(as </w:t>
      </w:r>
      <w:r>
        <w:t>amend</w:t>
      </w:r>
      <w:r w:rsidR="00D87192">
        <w:t>ed)</w:t>
      </w:r>
      <w:r w:rsidRPr="008D2D5F">
        <w:t xml:space="preserve">: </w:t>
      </w:r>
      <w:hyperlink r:id="rId17" w:tooltip="• The Medicines for Human Use (Clinical Trials) Regulations 2004 (as amended)" w:history="1">
        <w:r w:rsidR="00D87192" w:rsidRPr="00782727">
          <w:rPr>
            <w:rStyle w:val="Hyperlink"/>
          </w:rPr>
          <w:t>https://www.legislation.gov.uk/uksi/2004/1031</w:t>
        </w:r>
        <w:r w:rsidR="00D87192" w:rsidRPr="00782727">
          <w:rPr>
            <w:rStyle w:val="Hyperlink"/>
          </w:rPr>
          <w:t>/</w:t>
        </w:r>
        <w:r w:rsidR="00D87192" w:rsidRPr="00782727">
          <w:rPr>
            <w:rStyle w:val="Hyperlink"/>
          </w:rPr>
          <w:t>contents</w:t>
        </w:r>
      </w:hyperlink>
      <w:r w:rsidR="00D87192">
        <w:t xml:space="preserve"> </w:t>
      </w:r>
    </w:p>
    <w:p w14:paraId="04D21160" w14:textId="196A4EB7" w:rsidR="00C26147" w:rsidRDefault="00C26147" w:rsidP="00C26147">
      <w:pPr>
        <w:pStyle w:val="Heading1"/>
      </w:pPr>
      <w:r w:rsidRPr="00522ABB">
        <w:t>Abbreviations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964B76" w14:paraId="30F92A85" w14:textId="77777777" w:rsidTr="00FD26A1">
        <w:trPr>
          <w:cantSplit/>
        </w:trPr>
        <w:tc>
          <w:tcPr>
            <w:tcW w:w="2462" w:type="dxa"/>
            <w:vAlign w:val="center"/>
          </w:tcPr>
          <w:p w14:paraId="329DF18F" w14:textId="7844B34F" w:rsidR="00964B76" w:rsidRDefault="00964B76" w:rsidP="00964B76">
            <w:pPr>
              <w:pStyle w:val="AbbreviationsDefinitionsTerm"/>
            </w:pPr>
            <w:r>
              <w:t>CTIMP</w:t>
            </w:r>
          </w:p>
        </w:tc>
        <w:tc>
          <w:tcPr>
            <w:tcW w:w="6555" w:type="dxa"/>
            <w:vAlign w:val="center"/>
          </w:tcPr>
          <w:p w14:paraId="7048B949" w14:textId="0A444D4D" w:rsidR="00964B76" w:rsidRDefault="00964B76" w:rsidP="00964B76">
            <w:r w:rsidRPr="00964B76">
              <w:t>Clinical trials of investigational medicinal product</w:t>
            </w:r>
          </w:p>
        </w:tc>
      </w:tr>
      <w:tr w:rsidR="00964B76" w14:paraId="7F6F217E" w14:textId="77777777" w:rsidTr="00FD26A1">
        <w:trPr>
          <w:cantSplit/>
        </w:trPr>
        <w:tc>
          <w:tcPr>
            <w:tcW w:w="2462" w:type="dxa"/>
            <w:vAlign w:val="center"/>
          </w:tcPr>
          <w:p w14:paraId="0946272D" w14:textId="17710964" w:rsidR="00964B76" w:rsidRDefault="00964B76" w:rsidP="00964B76">
            <w:pPr>
              <w:pStyle w:val="AbbreviationsDefinitionsTerm"/>
            </w:pPr>
            <w:r>
              <w:t>EMA</w:t>
            </w:r>
          </w:p>
        </w:tc>
        <w:tc>
          <w:tcPr>
            <w:tcW w:w="6555" w:type="dxa"/>
            <w:vAlign w:val="center"/>
          </w:tcPr>
          <w:p w14:paraId="635999D3" w14:textId="6681FB9F" w:rsidR="00964B76" w:rsidRDefault="00964B76" w:rsidP="00964B76">
            <w:r w:rsidRPr="00964B76">
              <w:t>European Medical Agency</w:t>
            </w:r>
          </w:p>
        </w:tc>
      </w:tr>
      <w:tr w:rsidR="00964B76" w14:paraId="1271A82F" w14:textId="77777777" w:rsidTr="00FD26A1">
        <w:trPr>
          <w:cantSplit/>
        </w:trPr>
        <w:tc>
          <w:tcPr>
            <w:tcW w:w="2462" w:type="dxa"/>
            <w:vAlign w:val="center"/>
          </w:tcPr>
          <w:p w14:paraId="65591041" w14:textId="531D1C2D" w:rsidR="00964B76" w:rsidRDefault="00964B76" w:rsidP="00964B76">
            <w:pPr>
              <w:pStyle w:val="AbbreviationsDefinitionsTerm"/>
            </w:pPr>
            <w:r w:rsidRPr="00964B76">
              <w:t>GCP</w:t>
            </w:r>
          </w:p>
        </w:tc>
        <w:tc>
          <w:tcPr>
            <w:tcW w:w="6555" w:type="dxa"/>
            <w:vAlign w:val="center"/>
          </w:tcPr>
          <w:p w14:paraId="24D17491" w14:textId="37E01D45" w:rsidR="00964B76" w:rsidRDefault="00964B76" w:rsidP="00964B76">
            <w:r w:rsidRPr="00964B76">
              <w:t>Good Clinical Practice</w:t>
            </w:r>
          </w:p>
        </w:tc>
      </w:tr>
      <w:tr w:rsidR="00964B76" w14:paraId="5458BBAF" w14:textId="77777777" w:rsidTr="00FD26A1">
        <w:trPr>
          <w:cantSplit/>
        </w:trPr>
        <w:tc>
          <w:tcPr>
            <w:tcW w:w="2462" w:type="dxa"/>
            <w:vAlign w:val="center"/>
          </w:tcPr>
          <w:p w14:paraId="1717D553" w14:textId="54DC9D05" w:rsidR="00964B76" w:rsidRDefault="00964B76" w:rsidP="00964B76">
            <w:pPr>
              <w:pStyle w:val="AbbreviationsDefinitionsTerm"/>
            </w:pPr>
            <w:r>
              <w:t>HTA</w:t>
            </w:r>
          </w:p>
        </w:tc>
        <w:tc>
          <w:tcPr>
            <w:tcW w:w="6555" w:type="dxa"/>
            <w:vAlign w:val="center"/>
          </w:tcPr>
          <w:p w14:paraId="085F8AB3" w14:textId="20FDB3AB" w:rsidR="00964B76" w:rsidRDefault="00964B76" w:rsidP="00964B76">
            <w:r w:rsidRPr="00964B76">
              <w:t>Human Tissue Authority</w:t>
            </w:r>
          </w:p>
        </w:tc>
      </w:tr>
      <w:tr w:rsidR="00964B76" w14:paraId="3B98BC3A" w14:textId="77777777" w:rsidTr="00FD26A1">
        <w:trPr>
          <w:cantSplit/>
        </w:trPr>
        <w:tc>
          <w:tcPr>
            <w:tcW w:w="2462" w:type="dxa"/>
            <w:vAlign w:val="center"/>
          </w:tcPr>
          <w:p w14:paraId="2D3EA544" w14:textId="27DC4523" w:rsidR="00964B76" w:rsidRDefault="00964B76" w:rsidP="00964B76">
            <w:pPr>
              <w:pStyle w:val="AbbreviationsDefinitionsTerm"/>
            </w:pPr>
            <w:r>
              <w:t>LAL</w:t>
            </w:r>
          </w:p>
        </w:tc>
        <w:tc>
          <w:tcPr>
            <w:tcW w:w="6555" w:type="dxa"/>
            <w:vAlign w:val="center"/>
          </w:tcPr>
          <w:p w14:paraId="5756E4EA" w14:textId="1F9703A9" w:rsidR="00964B76" w:rsidRDefault="00964B76" w:rsidP="00964B76">
            <w:r w:rsidRPr="00964B76">
              <w:t>Laboratory academic lead</w:t>
            </w:r>
          </w:p>
        </w:tc>
      </w:tr>
      <w:tr w:rsidR="00964B76" w14:paraId="77E070E0" w14:textId="77777777" w:rsidTr="00FD26A1">
        <w:trPr>
          <w:cantSplit/>
        </w:trPr>
        <w:tc>
          <w:tcPr>
            <w:tcW w:w="2462" w:type="dxa"/>
            <w:vAlign w:val="center"/>
          </w:tcPr>
          <w:p w14:paraId="0123477A" w14:textId="0A7F89FF" w:rsidR="00964B76" w:rsidRDefault="00964B76" w:rsidP="00964B76">
            <w:pPr>
              <w:pStyle w:val="AbbreviationsDefinitionsTerm"/>
            </w:pPr>
            <w:r>
              <w:t>MHRA</w:t>
            </w:r>
          </w:p>
        </w:tc>
        <w:tc>
          <w:tcPr>
            <w:tcW w:w="6555" w:type="dxa"/>
            <w:vAlign w:val="center"/>
          </w:tcPr>
          <w:p w14:paraId="4179C752" w14:textId="15A88F52" w:rsidR="00964B76" w:rsidRDefault="00964B76" w:rsidP="00964B76">
            <w:r w:rsidRPr="00964B76">
              <w:t>Medicines and Healthcare products Regulatory Agency</w:t>
            </w:r>
          </w:p>
        </w:tc>
      </w:tr>
      <w:tr w:rsidR="00964B76" w14:paraId="26684817" w14:textId="77777777" w:rsidTr="00FD26A1">
        <w:trPr>
          <w:cantSplit/>
        </w:trPr>
        <w:tc>
          <w:tcPr>
            <w:tcW w:w="2462" w:type="dxa"/>
            <w:vAlign w:val="center"/>
          </w:tcPr>
          <w:p w14:paraId="619C285A" w14:textId="6CDA257E" w:rsidR="00964B76" w:rsidRDefault="00BC4C82" w:rsidP="00964B76">
            <w:pPr>
              <w:pStyle w:val="AbbreviationsDefinitionsTerm"/>
            </w:pPr>
            <w:r>
              <w:t>SOP</w:t>
            </w:r>
          </w:p>
        </w:tc>
        <w:tc>
          <w:tcPr>
            <w:tcW w:w="6555" w:type="dxa"/>
            <w:vAlign w:val="center"/>
          </w:tcPr>
          <w:p w14:paraId="3EC4FE9B" w14:textId="159ED34E" w:rsidR="00964B76" w:rsidRDefault="00BC4C82" w:rsidP="00964B76">
            <w:r w:rsidRPr="00BC4C82">
              <w:t>Standard operating procedure</w:t>
            </w:r>
          </w:p>
        </w:tc>
      </w:tr>
      <w:tr w:rsidR="00964B76" w14:paraId="4869473F" w14:textId="77777777" w:rsidTr="00FD26A1">
        <w:trPr>
          <w:cantSplit/>
        </w:trPr>
        <w:tc>
          <w:tcPr>
            <w:tcW w:w="2462" w:type="dxa"/>
            <w:vAlign w:val="center"/>
          </w:tcPr>
          <w:p w14:paraId="055DD903" w14:textId="2515069A" w:rsidR="00964B76" w:rsidRDefault="00BC4C82" w:rsidP="00964B76">
            <w:pPr>
              <w:pStyle w:val="AbbreviationsDefinitionsTerm"/>
            </w:pPr>
            <w:r>
              <w:t>UoB</w:t>
            </w:r>
          </w:p>
        </w:tc>
        <w:tc>
          <w:tcPr>
            <w:tcW w:w="6555" w:type="dxa"/>
            <w:vAlign w:val="center"/>
          </w:tcPr>
          <w:p w14:paraId="7C5AF4AB" w14:textId="0C8C46F4" w:rsidR="00964B76" w:rsidRDefault="00BC4C82" w:rsidP="00964B76">
            <w:r w:rsidRPr="00BC4C82">
              <w:t>University of Birmingham</w:t>
            </w:r>
          </w:p>
        </w:tc>
      </w:tr>
    </w:tbl>
    <w:p w14:paraId="283AACA5" w14:textId="27F8F70B" w:rsidR="00C26147" w:rsidRDefault="00C26147" w:rsidP="00C26147">
      <w:r w:rsidRPr="009C2C63">
        <w:t xml:space="preserve">See also the </w:t>
      </w:r>
      <w:hyperlink r:id="rId18" w:tooltip="Link to CRCT Glossary of Terms" w:history="1">
        <w:r w:rsidRPr="00994EB6">
          <w:rPr>
            <w:rStyle w:val="Hyperlink"/>
          </w:rPr>
          <w:t>Glossary of Te</w:t>
        </w:r>
        <w:r w:rsidRPr="00994EB6">
          <w:rPr>
            <w:rStyle w:val="Hyperlink"/>
          </w:rPr>
          <w:t>r</w:t>
        </w:r>
        <w:r w:rsidRPr="00994EB6">
          <w:rPr>
            <w:rStyle w:val="Hyperlink"/>
          </w:rPr>
          <w:t>ms</w:t>
        </w:r>
      </w:hyperlink>
      <w:r w:rsidR="00BC4C82" w:rsidRPr="00BC4C82">
        <w:t xml:space="preserve"> for a full list of abbreviations and definitions</w:t>
      </w:r>
      <w:r w:rsidR="00BC4C82">
        <w:t>.</w:t>
      </w:r>
    </w:p>
    <w:p w14:paraId="7B2E348B" w14:textId="0E82319D" w:rsidR="000374CB" w:rsidRDefault="000374CB"/>
    <w:p w14:paraId="36A2A61E" w14:textId="77777777" w:rsidR="000374CB" w:rsidRDefault="000374CB"/>
    <w:sectPr w:rsidR="000374CB" w:rsidSect="003A24EB">
      <w:headerReference w:type="even" r:id="rId19"/>
      <w:headerReference w:type="default" r:id="rId20"/>
      <w:footerReference w:type="even" r:id="rId21"/>
      <w:footerReference w:type="default" r:id="rId22"/>
      <w:headerReference w:type="first" r:id="rId23"/>
      <w:footerReference w:type="first" r:id="rId24"/>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FC0F" w14:textId="77777777" w:rsidR="00C26147" w:rsidRDefault="00C26147" w:rsidP="00F46DE6">
      <w:r>
        <w:separator/>
      </w:r>
    </w:p>
    <w:p w14:paraId="687AB4A5" w14:textId="77777777" w:rsidR="00C26147" w:rsidRDefault="00C26147" w:rsidP="00F46DE6"/>
  </w:endnote>
  <w:endnote w:type="continuationSeparator" w:id="0">
    <w:p w14:paraId="7CC0C18F" w14:textId="77777777" w:rsidR="00C26147" w:rsidRDefault="00C26147" w:rsidP="00F46DE6">
      <w:r>
        <w:continuationSeparator/>
      </w:r>
    </w:p>
    <w:p w14:paraId="09CE7F9E" w14:textId="77777777" w:rsidR="00C26147" w:rsidRDefault="00C26147"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C634"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5B6F9606"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62DB5BEA" w14:textId="77777777" w:rsidR="00276842" w:rsidRDefault="00DD3075" w:rsidP="00DD3075">
    <w:pPr>
      <w:pStyle w:val="propertystatement"/>
    </w:pPr>
    <w:hyperlink r:id="rId1" w:history="1">
      <w:r w:rsidRPr="00D317E8">
        <w:rPr>
          <w:rStyle w:val="Hyperlink"/>
        </w:rPr>
        <w:t>http://www.birmingham.ac.uk/research/activity/mds/mds-rkto/governance/index.aspx</w:t>
      </w:r>
    </w:hyperlink>
  </w:p>
  <w:p w14:paraId="146203E4"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7CA2" w14:textId="77777777" w:rsidR="00D17200" w:rsidRDefault="00D17200" w:rsidP="00DB1128">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09531789" w14:textId="77777777" w:rsidR="00DB1128" w:rsidRDefault="00DB1128" w:rsidP="00E23611">
    <w:pPr>
      <w:pStyle w:val="Footer"/>
      <w:jc w:val="center"/>
    </w:pPr>
    <w:r w:rsidRPr="0097056C">
      <w:t xml:space="preserve">This is a controlled document. Any </w:t>
    </w:r>
    <w:proofErr w:type="spellStart"/>
    <w:r w:rsidRPr="0097056C">
      <w:t>unauthorised</w:t>
    </w:r>
    <w:proofErr w:type="spellEnd"/>
    <w:r w:rsidRPr="0097056C">
      <w:t xml:space="preserve"> prints/downloads of this document will be classed as uncontrolled.</w:t>
    </w:r>
  </w:p>
  <w:p w14:paraId="2EFB31AA" w14:textId="7A87F978" w:rsidR="00D17200" w:rsidRDefault="00DB1128" w:rsidP="00E23611">
    <w:pPr>
      <w:pStyle w:val="Footer"/>
      <w:jc w:val="center"/>
    </w:pPr>
    <w:r w:rsidRPr="0097056C">
      <w:t xml:space="preserve">For the latest version refer to: </w:t>
    </w:r>
    <w:hyperlink r:id="rId1" w:tooltip="Link to the CRCT website" w:history="1">
      <w:r w:rsidRPr="0097056C">
        <w:rPr>
          <w:rStyle w:val="Hyperlink"/>
        </w:rPr>
        <w:t>birmingham.ac.uk/crct</w:t>
      </w:r>
    </w:hyperlink>
  </w:p>
  <w:p w14:paraId="75AD02FF"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33D"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765DD4EA" w14:textId="77777777" w:rsidTr="003A24EB">
      <w:trPr>
        <w:trHeight w:val="148"/>
      </w:trPr>
      <w:tc>
        <w:tcPr>
          <w:tcW w:w="1441" w:type="dxa"/>
          <w:tcMar>
            <w:top w:w="0" w:type="dxa"/>
            <w:left w:w="57" w:type="dxa"/>
            <w:bottom w:w="0" w:type="dxa"/>
            <w:right w:w="57" w:type="dxa"/>
          </w:tcMar>
          <w:vAlign w:val="center"/>
        </w:tcPr>
        <w:p w14:paraId="50404485"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4C9174F6" w14:textId="039AA074" w:rsidR="00A668FC" w:rsidRPr="001C6EFB" w:rsidRDefault="00A668FC" w:rsidP="0060052C">
          <w:pPr>
            <w:pStyle w:val="Footer"/>
          </w:pPr>
          <w:r>
            <w:t>UoB-</w:t>
          </w:r>
          <w:r w:rsidR="00C26147">
            <w:t>CRL-SOP-002</w:t>
          </w:r>
        </w:p>
      </w:tc>
      <w:tc>
        <w:tcPr>
          <w:tcW w:w="3401" w:type="dxa"/>
          <w:tcMar>
            <w:top w:w="0" w:type="dxa"/>
            <w:left w:w="57" w:type="dxa"/>
            <w:bottom w:w="0" w:type="dxa"/>
            <w:right w:w="57" w:type="dxa"/>
          </w:tcMar>
          <w:vAlign w:val="center"/>
        </w:tcPr>
        <w:p w14:paraId="0340E89F"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6C28DAC6" w14:textId="6455DF71" w:rsidR="00A668FC" w:rsidRPr="001C6EFB" w:rsidRDefault="00044A64" w:rsidP="00163F57">
          <w:pPr>
            <w:pStyle w:val="Footer"/>
            <w:jc w:val="right"/>
          </w:pPr>
          <w:r>
            <w:fldChar w:fldCharType="begin"/>
          </w:r>
          <w:r>
            <w:instrText xml:space="preserve"> DATE  \@ "dd-MMM-yyyy"  \* MERGEFORMAT </w:instrText>
          </w:r>
          <w:r>
            <w:fldChar w:fldCharType="separate"/>
          </w:r>
          <w:r w:rsidR="00B60ABD">
            <w:rPr>
              <w:noProof/>
            </w:rPr>
            <w:t>13-Aug-2025</w:t>
          </w:r>
          <w:r>
            <w:fldChar w:fldCharType="end"/>
          </w:r>
        </w:p>
      </w:tc>
    </w:tr>
    <w:tr w:rsidR="00A668FC" w:rsidRPr="002D6577" w14:paraId="32329A96" w14:textId="77777777" w:rsidTr="003A24EB">
      <w:tc>
        <w:tcPr>
          <w:tcW w:w="1441" w:type="dxa"/>
          <w:tcMar>
            <w:top w:w="0" w:type="dxa"/>
            <w:left w:w="57" w:type="dxa"/>
            <w:bottom w:w="0" w:type="dxa"/>
            <w:right w:w="57" w:type="dxa"/>
          </w:tcMar>
          <w:vAlign w:val="center"/>
        </w:tcPr>
        <w:p w14:paraId="08BE1703"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7F858742" w14:textId="3B18B4F5" w:rsidR="00A668FC" w:rsidRPr="001C6EFB" w:rsidRDefault="00B60ABD" w:rsidP="005D02BC">
          <w:pPr>
            <w:pStyle w:val="Footer"/>
          </w:pPr>
          <w:r>
            <w:t>4.0</w:t>
          </w:r>
        </w:p>
      </w:tc>
      <w:tc>
        <w:tcPr>
          <w:tcW w:w="3401" w:type="dxa"/>
          <w:tcMar>
            <w:top w:w="0" w:type="dxa"/>
            <w:left w:w="57" w:type="dxa"/>
            <w:bottom w:w="0" w:type="dxa"/>
            <w:right w:w="57" w:type="dxa"/>
          </w:tcMar>
          <w:vAlign w:val="center"/>
        </w:tcPr>
        <w:p w14:paraId="40A2DF85"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4365C490" w14:textId="77777777"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5A6130E7" w14:textId="77777777" w:rsidR="00DD3075" w:rsidRPr="003A24EB" w:rsidRDefault="00DD3075"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5190"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0EEE" w14:textId="77777777" w:rsidR="00C26147" w:rsidRDefault="00C26147" w:rsidP="00F46DE6">
      <w:r>
        <w:separator/>
      </w:r>
    </w:p>
    <w:p w14:paraId="4B15BD37" w14:textId="77777777" w:rsidR="00C26147" w:rsidRDefault="00C26147" w:rsidP="00F46DE6"/>
  </w:footnote>
  <w:footnote w:type="continuationSeparator" w:id="0">
    <w:p w14:paraId="19582D41" w14:textId="77777777" w:rsidR="00C26147" w:rsidRDefault="00C26147" w:rsidP="00F46DE6">
      <w:r>
        <w:continuationSeparator/>
      </w:r>
    </w:p>
    <w:p w14:paraId="66CCCF7B" w14:textId="77777777" w:rsidR="00C26147" w:rsidRDefault="00C26147"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5A9B"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349BFD72" wp14:editId="5F56DD92">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7F90A45C" w14:textId="77777777" w:rsidTr="005F734C">
      <w:trPr>
        <w:trHeight w:val="278"/>
        <w:tblHeader/>
      </w:trPr>
      <w:tc>
        <w:tcPr>
          <w:tcW w:w="1668" w:type="dxa"/>
          <w:vAlign w:val="center"/>
        </w:tcPr>
        <w:p w14:paraId="1B15A003" w14:textId="77777777" w:rsidR="00A91AC7" w:rsidRDefault="00A91AC7" w:rsidP="00A91AC7">
          <w:pPr>
            <w:pStyle w:val="Footer"/>
          </w:pPr>
          <w:r w:rsidRPr="001C6EFB">
            <w:t>Document code:</w:t>
          </w:r>
        </w:p>
      </w:tc>
      <w:tc>
        <w:tcPr>
          <w:tcW w:w="2310" w:type="dxa"/>
          <w:vAlign w:val="center"/>
        </w:tcPr>
        <w:p w14:paraId="27A8534E" w14:textId="39A8F2B0" w:rsidR="00A91AC7" w:rsidRDefault="00A91AC7" w:rsidP="00A91AC7">
          <w:pPr>
            <w:pStyle w:val="Footer"/>
            <w:jc w:val="right"/>
          </w:pPr>
          <w:r>
            <w:t>UoB-</w:t>
          </w:r>
          <w:r w:rsidR="00C26147">
            <w:t>CRL-SOP-002</w:t>
          </w:r>
        </w:p>
      </w:tc>
    </w:tr>
    <w:tr w:rsidR="00A91AC7" w14:paraId="4E8C26C0" w14:textId="77777777" w:rsidTr="005F734C">
      <w:trPr>
        <w:trHeight w:val="278"/>
      </w:trPr>
      <w:tc>
        <w:tcPr>
          <w:tcW w:w="1668" w:type="dxa"/>
          <w:vAlign w:val="center"/>
        </w:tcPr>
        <w:p w14:paraId="6AFE5322" w14:textId="77777777" w:rsidR="00A91AC7" w:rsidRDefault="00A91AC7" w:rsidP="00A91AC7">
          <w:pPr>
            <w:pStyle w:val="Footer"/>
          </w:pPr>
          <w:r w:rsidRPr="001C6EFB">
            <w:t>Version no:</w:t>
          </w:r>
        </w:p>
      </w:tc>
      <w:tc>
        <w:tcPr>
          <w:tcW w:w="2310" w:type="dxa"/>
          <w:vAlign w:val="center"/>
        </w:tcPr>
        <w:p w14:paraId="39C826FA" w14:textId="10BEF13C" w:rsidR="00A91AC7" w:rsidRDefault="00B60ABD" w:rsidP="00A91AC7">
          <w:pPr>
            <w:pStyle w:val="Footer"/>
            <w:jc w:val="right"/>
          </w:pPr>
          <w:r>
            <w:t>4.0</w:t>
          </w:r>
        </w:p>
      </w:tc>
    </w:tr>
    <w:tr w:rsidR="00A91AC7" w14:paraId="6C5AB2DF" w14:textId="77777777" w:rsidTr="005F734C">
      <w:trPr>
        <w:trHeight w:val="278"/>
      </w:trPr>
      <w:tc>
        <w:tcPr>
          <w:tcW w:w="1668" w:type="dxa"/>
          <w:vAlign w:val="center"/>
        </w:tcPr>
        <w:p w14:paraId="71B77D19" w14:textId="77777777" w:rsidR="00A91AC7" w:rsidRDefault="00A91AC7" w:rsidP="00A91AC7">
          <w:pPr>
            <w:pStyle w:val="Footer"/>
          </w:pPr>
          <w:r>
            <w:t>Effective date:</w:t>
          </w:r>
        </w:p>
      </w:tc>
      <w:tc>
        <w:tcPr>
          <w:tcW w:w="2310" w:type="dxa"/>
          <w:vAlign w:val="center"/>
        </w:tcPr>
        <w:p w14:paraId="274710C2" w14:textId="504DFDFD" w:rsidR="00A91AC7" w:rsidRDefault="00B60ABD" w:rsidP="00A91AC7">
          <w:pPr>
            <w:pStyle w:val="Footer"/>
            <w:jc w:val="right"/>
          </w:pPr>
          <w:r>
            <w:t>01-Sep-2025</w:t>
          </w:r>
        </w:p>
      </w:tc>
    </w:tr>
    <w:tr w:rsidR="00A91AC7" w14:paraId="3A45B7B6" w14:textId="77777777" w:rsidTr="005F734C">
      <w:trPr>
        <w:trHeight w:val="278"/>
      </w:trPr>
      <w:tc>
        <w:tcPr>
          <w:tcW w:w="1668" w:type="dxa"/>
          <w:vAlign w:val="center"/>
        </w:tcPr>
        <w:p w14:paraId="6E8D1164" w14:textId="77777777" w:rsidR="00A91AC7" w:rsidRPr="001C6EFB" w:rsidRDefault="00A91AC7" w:rsidP="00A91AC7">
          <w:pPr>
            <w:pStyle w:val="Footer"/>
          </w:pPr>
          <w:r>
            <w:t>Print d</w:t>
          </w:r>
          <w:r w:rsidRPr="001C6EFB">
            <w:t>ate:</w:t>
          </w:r>
        </w:p>
      </w:tc>
      <w:tc>
        <w:tcPr>
          <w:tcW w:w="2310" w:type="dxa"/>
          <w:vAlign w:val="center"/>
        </w:tcPr>
        <w:p w14:paraId="34E11740" w14:textId="05FF624F" w:rsidR="00A91AC7" w:rsidRDefault="00A91AC7" w:rsidP="00A91AC7">
          <w:pPr>
            <w:pStyle w:val="Footer"/>
            <w:jc w:val="right"/>
          </w:pPr>
          <w:r>
            <w:fldChar w:fldCharType="begin"/>
          </w:r>
          <w:r>
            <w:instrText xml:space="preserve"> DATE  \@ "dd-MMM-yyyy"  \* MERGEFORMAT </w:instrText>
          </w:r>
          <w:r>
            <w:fldChar w:fldCharType="separate"/>
          </w:r>
          <w:r w:rsidR="00B60ABD">
            <w:rPr>
              <w:noProof/>
            </w:rPr>
            <w:t>13-Aug-2025</w:t>
          </w:r>
          <w:r>
            <w:fldChar w:fldCharType="end"/>
          </w:r>
        </w:p>
      </w:tc>
    </w:tr>
    <w:tr w:rsidR="00A91AC7" w14:paraId="4ADBF8E6" w14:textId="77777777" w:rsidTr="005F734C">
      <w:trPr>
        <w:trHeight w:val="278"/>
      </w:trPr>
      <w:tc>
        <w:tcPr>
          <w:tcW w:w="1668" w:type="dxa"/>
          <w:vAlign w:val="center"/>
        </w:tcPr>
        <w:p w14:paraId="1FA58335" w14:textId="77777777" w:rsidR="00A91AC7" w:rsidRPr="001C6EFB" w:rsidRDefault="00A91AC7" w:rsidP="00A91AC7">
          <w:pPr>
            <w:pStyle w:val="Footer"/>
          </w:pPr>
          <w:r w:rsidRPr="001C6EFB">
            <w:t>Page:</w:t>
          </w:r>
        </w:p>
      </w:tc>
      <w:tc>
        <w:tcPr>
          <w:tcW w:w="2310" w:type="dxa"/>
          <w:vAlign w:val="center"/>
        </w:tcPr>
        <w:p w14:paraId="2BA743AC"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73E85A1B"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B744"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95BF" w14:textId="2A70CD7D" w:rsidR="00DD3075" w:rsidRPr="002135BA" w:rsidRDefault="00860FC2">
    <w:pPr>
      <w:pStyle w:val="Header"/>
    </w:pPr>
    <w:r w:rsidRPr="002135BA">
      <w:t>SOP</w:t>
    </w:r>
    <w:r w:rsidR="0060052C">
      <w:t xml:space="preserve">: </w:t>
    </w:r>
    <w:r w:rsidR="00C26147">
      <w:t>Laboratory Facilities</w:t>
    </w:r>
  </w:p>
  <w:p w14:paraId="411492CF"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39E3"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88605262"/>
    <w:lvl w:ilvl="0" w:tplc="CC7C44AC">
      <w:start w:val="1"/>
      <w:numFmt w:val="bullet"/>
      <w:pStyle w:val="bullet1"/>
      <w:lvlText w:val=""/>
      <w:lvlJc w:val="left"/>
      <w:pPr>
        <w:ind w:left="720" w:hanging="360"/>
      </w:pPr>
      <w:rPr>
        <w:rFonts w:ascii="Wingdings" w:hAnsi="Wingdings"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E087A"/>
    <w:multiLevelType w:val="hybridMultilevel"/>
    <w:tmpl w:val="9CC6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1380862394">
    <w:abstractNumId w:val="5"/>
  </w:num>
  <w:num w:numId="2" w16cid:durableId="394007620">
    <w:abstractNumId w:val="7"/>
  </w:num>
  <w:num w:numId="3" w16cid:durableId="576403658">
    <w:abstractNumId w:val="0"/>
  </w:num>
  <w:num w:numId="4" w16cid:durableId="317348366">
    <w:abstractNumId w:val="12"/>
  </w:num>
  <w:num w:numId="5" w16cid:durableId="1691686239">
    <w:abstractNumId w:val="9"/>
  </w:num>
  <w:num w:numId="6" w16cid:durableId="1282833953">
    <w:abstractNumId w:val="13"/>
  </w:num>
  <w:num w:numId="7" w16cid:durableId="1502350587">
    <w:abstractNumId w:val="1"/>
  </w:num>
  <w:num w:numId="8" w16cid:durableId="1965846550">
    <w:abstractNumId w:val="8"/>
  </w:num>
  <w:num w:numId="9" w16cid:durableId="1099525731">
    <w:abstractNumId w:val="10"/>
  </w:num>
  <w:num w:numId="10" w16cid:durableId="1144352289">
    <w:abstractNumId w:val="14"/>
  </w:num>
  <w:num w:numId="11" w16cid:durableId="1462377951">
    <w:abstractNumId w:val="3"/>
  </w:num>
  <w:num w:numId="12" w16cid:durableId="1011175532">
    <w:abstractNumId w:val="4"/>
  </w:num>
  <w:num w:numId="13" w16cid:durableId="2055304269">
    <w:abstractNumId w:val="2"/>
  </w:num>
  <w:num w:numId="14" w16cid:durableId="523133670">
    <w:abstractNumId w:val="6"/>
  </w:num>
  <w:num w:numId="15" w16cid:durableId="178396170">
    <w:abstractNumId w:val="4"/>
  </w:num>
  <w:num w:numId="16" w16cid:durableId="54016806">
    <w:abstractNumId w:val="4"/>
  </w:num>
  <w:num w:numId="17" w16cid:durableId="1175800354">
    <w:abstractNumId w:val="0"/>
  </w:num>
  <w:num w:numId="18" w16cid:durableId="721254072">
    <w:abstractNumId w:val="0"/>
  </w:num>
  <w:num w:numId="19" w16cid:durableId="174032822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7"/>
    <w:rsid w:val="00001923"/>
    <w:rsid w:val="00001A7E"/>
    <w:rsid w:val="000060AE"/>
    <w:rsid w:val="0001086D"/>
    <w:rsid w:val="00012800"/>
    <w:rsid w:val="00013B08"/>
    <w:rsid w:val="000146F1"/>
    <w:rsid w:val="000229C5"/>
    <w:rsid w:val="00023BC0"/>
    <w:rsid w:val="00030A68"/>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97D42"/>
    <w:rsid w:val="000A0DFF"/>
    <w:rsid w:val="000A1324"/>
    <w:rsid w:val="000A1B0F"/>
    <w:rsid w:val="000A7BE6"/>
    <w:rsid w:val="000B1E3E"/>
    <w:rsid w:val="000B442E"/>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63B7C"/>
    <w:rsid w:val="00163F57"/>
    <w:rsid w:val="001653F1"/>
    <w:rsid w:val="00165F48"/>
    <w:rsid w:val="00174B60"/>
    <w:rsid w:val="00174E0E"/>
    <w:rsid w:val="001775A9"/>
    <w:rsid w:val="0018049A"/>
    <w:rsid w:val="00182896"/>
    <w:rsid w:val="0018309A"/>
    <w:rsid w:val="001841A1"/>
    <w:rsid w:val="00184BB7"/>
    <w:rsid w:val="00190C93"/>
    <w:rsid w:val="00194EE8"/>
    <w:rsid w:val="00195717"/>
    <w:rsid w:val="0019600F"/>
    <w:rsid w:val="00196565"/>
    <w:rsid w:val="001A024E"/>
    <w:rsid w:val="001A142E"/>
    <w:rsid w:val="001A26D3"/>
    <w:rsid w:val="001A4718"/>
    <w:rsid w:val="001A544B"/>
    <w:rsid w:val="001A561F"/>
    <w:rsid w:val="001A723A"/>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25B5C"/>
    <w:rsid w:val="00231612"/>
    <w:rsid w:val="0023483C"/>
    <w:rsid w:val="00234F8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257F"/>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0750C"/>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A42"/>
    <w:rsid w:val="00352FD6"/>
    <w:rsid w:val="003607CB"/>
    <w:rsid w:val="0036201D"/>
    <w:rsid w:val="00365D77"/>
    <w:rsid w:val="00372E92"/>
    <w:rsid w:val="0037641D"/>
    <w:rsid w:val="00380579"/>
    <w:rsid w:val="00381B35"/>
    <w:rsid w:val="003854BD"/>
    <w:rsid w:val="003876D0"/>
    <w:rsid w:val="00387EFA"/>
    <w:rsid w:val="00391A7C"/>
    <w:rsid w:val="00393C4E"/>
    <w:rsid w:val="00395F1E"/>
    <w:rsid w:val="00396CD2"/>
    <w:rsid w:val="003A1879"/>
    <w:rsid w:val="003A1C8B"/>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A78DE"/>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77BA1"/>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D0958"/>
    <w:rsid w:val="006E32A4"/>
    <w:rsid w:val="006E39DA"/>
    <w:rsid w:val="006E57D8"/>
    <w:rsid w:val="006F30B1"/>
    <w:rsid w:val="006F6EFF"/>
    <w:rsid w:val="007029A2"/>
    <w:rsid w:val="00704E9B"/>
    <w:rsid w:val="00705FD1"/>
    <w:rsid w:val="007064B3"/>
    <w:rsid w:val="0071293B"/>
    <w:rsid w:val="00712A28"/>
    <w:rsid w:val="00714ABF"/>
    <w:rsid w:val="00715858"/>
    <w:rsid w:val="0072387D"/>
    <w:rsid w:val="0072425C"/>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67285"/>
    <w:rsid w:val="007764EB"/>
    <w:rsid w:val="00780DA8"/>
    <w:rsid w:val="00790CBC"/>
    <w:rsid w:val="00791AC8"/>
    <w:rsid w:val="0079417E"/>
    <w:rsid w:val="00794AB7"/>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35B1"/>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2F7E"/>
    <w:rsid w:val="008C6F32"/>
    <w:rsid w:val="008C75C7"/>
    <w:rsid w:val="008C7BEB"/>
    <w:rsid w:val="008D31AF"/>
    <w:rsid w:val="008D54DF"/>
    <w:rsid w:val="008D6C84"/>
    <w:rsid w:val="008D7A37"/>
    <w:rsid w:val="008E2669"/>
    <w:rsid w:val="008E270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4B76"/>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6A2A"/>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EAD"/>
    <w:rsid w:val="00AB566D"/>
    <w:rsid w:val="00AB704E"/>
    <w:rsid w:val="00AC0978"/>
    <w:rsid w:val="00AC215A"/>
    <w:rsid w:val="00AC21EC"/>
    <w:rsid w:val="00AC5EAA"/>
    <w:rsid w:val="00AC6CB9"/>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0ABD"/>
    <w:rsid w:val="00B6322E"/>
    <w:rsid w:val="00B63F21"/>
    <w:rsid w:val="00B72E42"/>
    <w:rsid w:val="00B747FB"/>
    <w:rsid w:val="00B7682F"/>
    <w:rsid w:val="00B76ACC"/>
    <w:rsid w:val="00B7758F"/>
    <w:rsid w:val="00B77B48"/>
    <w:rsid w:val="00B80F8D"/>
    <w:rsid w:val="00B837C7"/>
    <w:rsid w:val="00B84799"/>
    <w:rsid w:val="00B852A0"/>
    <w:rsid w:val="00B86A0E"/>
    <w:rsid w:val="00B92012"/>
    <w:rsid w:val="00B928F6"/>
    <w:rsid w:val="00B937B6"/>
    <w:rsid w:val="00B940A8"/>
    <w:rsid w:val="00B952E8"/>
    <w:rsid w:val="00B967BD"/>
    <w:rsid w:val="00B9696A"/>
    <w:rsid w:val="00BA59CF"/>
    <w:rsid w:val="00BB16B3"/>
    <w:rsid w:val="00BB27E5"/>
    <w:rsid w:val="00BB2AF0"/>
    <w:rsid w:val="00BB30D5"/>
    <w:rsid w:val="00BB5578"/>
    <w:rsid w:val="00BB6ABD"/>
    <w:rsid w:val="00BC4C82"/>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26147"/>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1E10"/>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87192"/>
    <w:rsid w:val="00D914F3"/>
    <w:rsid w:val="00D930D4"/>
    <w:rsid w:val="00D936E8"/>
    <w:rsid w:val="00DA19A3"/>
    <w:rsid w:val="00DA31DC"/>
    <w:rsid w:val="00DA4D76"/>
    <w:rsid w:val="00DA54AF"/>
    <w:rsid w:val="00DA781F"/>
    <w:rsid w:val="00DB1128"/>
    <w:rsid w:val="00DB4A98"/>
    <w:rsid w:val="00DB5FB3"/>
    <w:rsid w:val="00DC0548"/>
    <w:rsid w:val="00DC0D2B"/>
    <w:rsid w:val="00DC30B1"/>
    <w:rsid w:val="00DC435D"/>
    <w:rsid w:val="00DC58E9"/>
    <w:rsid w:val="00DD171A"/>
    <w:rsid w:val="00DD3075"/>
    <w:rsid w:val="00DD49E5"/>
    <w:rsid w:val="00DD5AE3"/>
    <w:rsid w:val="00DD635E"/>
    <w:rsid w:val="00DE08B9"/>
    <w:rsid w:val="00DE2ACB"/>
    <w:rsid w:val="00DE4B2A"/>
    <w:rsid w:val="00DE6BC6"/>
    <w:rsid w:val="00DF77AD"/>
    <w:rsid w:val="00E12A20"/>
    <w:rsid w:val="00E16DBD"/>
    <w:rsid w:val="00E2252B"/>
    <w:rsid w:val="00E22773"/>
    <w:rsid w:val="00E234E5"/>
    <w:rsid w:val="00E23611"/>
    <w:rsid w:val="00E31646"/>
    <w:rsid w:val="00E32E75"/>
    <w:rsid w:val="00E34990"/>
    <w:rsid w:val="00E34BEA"/>
    <w:rsid w:val="00E410D8"/>
    <w:rsid w:val="00E4248D"/>
    <w:rsid w:val="00E47E03"/>
    <w:rsid w:val="00E52A33"/>
    <w:rsid w:val="00E53B95"/>
    <w:rsid w:val="00E54F5E"/>
    <w:rsid w:val="00E57BDF"/>
    <w:rsid w:val="00E66F7C"/>
    <w:rsid w:val="00E714DD"/>
    <w:rsid w:val="00E81F47"/>
    <w:rsid w:val="00E9003F"/>
    <w:rsid w:val="00E93265"/>
    <w:rsid w:val="00E935B2"/>
    <w:rsid w:val="00E93A22"/>
    <w:rsid w:val="00E95340"/>
    <w:rsid w:val="00E95906"/>
    <w:rsid w:val="00EA35BA"/>
    <w:rsid w:val="00EA47FF"/>
    <w:rsid w:val="00EA5210"/>
    <w:rsid w:val="00EA5972"/>
    <w:rsid w:val="00EA62D7"/>
    <w:rsid w:val="00EB0C6D"/>
    <w:rsid w:val="00EB122B"/>
    <w:rsid w:val="00EB6B50"/>
    <w:rsid w:val="00EC0950"/>
    <w:rsid w:val="00EC130E"/>
    <w:rsid w:val="00EC3122"/>
    <w:rsid w:val="00EC42B6"/>
    <w:rsid w:val="00EC5810"/>
    <w:rsid w:val="00EC6230"/>
    <w:rsid w:val="00ED1753"/>
    <w:rsid w:val="00ED2C7C"/>
    <w:rsid w:val="00ED6779"/>
    <w:rsid w:val="00EE1837"/>
    <w:rsid w:val="00EE35DE"/>
    <w:rsid w:val="00EE47E5"/>
    <w:rsid w:val="00EE6739"/>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1EA8"/>
    <w:rsid w:val="00F833CA"/>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D05D4"/>
    <w:rsid w:val="00FD58A1"/>
    <w:rsid w:val="00FD689E"/>
    <w:rsid w:val="00FE1FEC"/>
    <w:rsid w:val="00FE259F"/>
    <w:rsid w:val="00FE324F"/>
    <w:rsid w:val="00FE32F0"/>
    <w:rsid w:val="00FE50DE"/>
    <w:rsid w:val="00FE587B"/>
    <w:rsid w:val="00FE6B73"/>
    <w:rsid w:val="00FF03A6"/>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B2B326"/>
  <w15:docId w15:val="{BD279B79-92FC-4531-976C-4E6E6FD3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OP Title"/>
    <w:basedOn w:val="Normal"/>
    <w:next w:val="Normal"/>
    <w:link w:val="TitleChar"/>
    <w:uiPriority w:val="10"/>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aliases w:val="SOP Title Char"/>
    <w:basedOn w:val="DefaultParagraphFont"/>
    <w:link w:val="Title"/>
    <w:uiPriority w:val="10"/>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customStyle="1" w:styleId="NumberlistforSOPs">
    <w:name w:val="Numberlist for SOPs"/>
    <w:basedOn w:val="Normal"/>
    <w:rsid w:val="00C26147"/>
    <w:pPr>
      <w:ind w:left="360" w:hanging="360"/>
    </w:pPr>
  </w:style>
  <w:style w:type="paragraph" w:customStyle="1" w:styleId="Definitionsabbreviations">
    <w:name w:val="Definitions &amp; abbreviations"/>
    <w:link w:val="DefinitionsabbreviationsChar"/>
    <w:autoRedefine/>
    <w:uiPriority w:val="99"/>
    <w:rsid w:val="00C26147"/>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DefinitionsabbreviationsChar">
    <w:name w:val="Definitions &amp; abbreviations Char"/>
    <w:basedOn w:val="DefaultParagraphFont"/>
    <w:link w:val="Definitionsabbreviations"/>
    <w:uiPriority w:val="99"/>
    <w:rsid w:val="00C26147"/>
    <w:rPr>
      <w:rFonts w:ascii="Calibri" w:hAnsi="Calibri" w:cs="Tahoma"/>
      <w:b/>
      <w:bCs/>
      <w:color w:val="000000" w:themeColor="text1"/>
      <w:spacing w:val="5"/>
      <w:kern w:val="28"/>
      <w:sz w:val="2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182015836">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Visio_Drawing.vsdx"/><Relationship Id="rId18" Type="http://schemas.openxmlformats.org/officeDocument/2006/relationships/hyperlink" Target="https://www.birmingham.ac.uk/research/activity/mds/mds-rkto/governance/Glossary-of-Terms.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legislation.gov.uk/uksi/2004/1031/cont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pga/2004/30/cont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regulatory-procedural-guideline/reflection-paper-laboratories-perform-analysis-or-evaluation-clinical-trial-samples_en.pdf"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ema.europa.eu/en/documents/regulatory-procedural-guideline/reflection-paper-laboratories-perform-analysis-or-evaluation-clinical-trial-samples_en.pdf"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irmingham.ac.uk/research/activity/mds/mds-rkto/governance/index.aspx"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12586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Jamie Douglas-Pugh</dc:creator>
  <cp:lastModifiedBy>Emma Taylor (CMH - Research and Knowledge Transfer)</cp:lastModifiedBy>
  <cp:revision>2</cp:revision>
  <cp:lastPrinted>2019-05-31T11:18:00Z</cp:lastPrinted>
  <dcterms:created xsi:type="dcterms:W3CDTF">2025-08-13T11:01:00Z</dcterms:created>
  <dcterms:modified xsi:type="dcterms:W3CDTF">2025-08-13T11:01:00Z</dcterms:modified>
</cp:coreProperties>
</file>