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DA442" w14:textId="77777777" w:rsidR="0007229B" w:rsidRPr="00C0396F" w:rsidRDefault="0007229B" w:rsidP="0007229B">
      <w:pPr>
        <w:pStyle w:val="Title"/>
      </w:pPr>
      <w:r w:rsidRPr="00C0396F">
        <w:t>Standard Operating P</w:t>
      </w:r>
      <w:r>
        <w:t>r</w:t>
      </w:r>
      <w:r w:rsidRPr="00C0396F">
        <w:t>ocedure:</w:t>
      </w:r>
    </w:p>
    <w:p w14:paraId="2A634B26" w14:textId="77777777" w:rsidR="0007229B" w:rsidRDefault="0007229B" w:rsidP="0007229B">
      <w:pPr>
        <w:pStyle w:val="Title"/>
      </w:pPr>
      <w:r>
        <w:t>Reportable Issues</w:t>
      </w:r>
    </w:p>
    <w:p w14:paraId="3E46BC1C" w14:textId="77777777" w:rsidR="0007229B" w:rsidRDefault="0007229B" w:rsidP="0007229B"/>
    <w:p w14:paraId="3AAB46B4" w14:textId="77777777" w:rsidR="0007229B" w:rsidRDefault="0007229B" w:rsidP="0007229B"/>
    <w:p w14:paraId="57C43AA3" w14:textId="77777777" w:rsidR="0007229B" w:rsidRDefault="0007229B" w:rsidP="0007229B">
      <w:pPr>
        <w:pStyle w:val="Heading1"/>
      </w:pPr>
      <w:r w:rsidRPr="00B6322E">
        <w:t>Purpose</w:t>
      </w:r>
      <w:r w:rsidRPr="001C6EFB">
        <w:t>:</w:t>
      </w:r>
    </w:p>
    <w:p w14:paraId="1E0A517D" w14:textId="77777777" w:rsidR="0007229B" w:rsidRDefault="0007229B" w:rsidP="0007229B">
      <w:r w:rsidRPr="0014100F">
        <w:t xml:space="preserve">The purpose of this </w:t>
      </w:r>
      <w:r>
        <w:t>standard operating procedure (</w:t>
      </w:r>
      <w:r w:rsidRPr="0014100F">
        <w:t>SOP</w:t>
      </w:r>
      <w:r>
        <w:t>)</w:t>
      </w:r>
      <w:r w:rsidRPr="0014100F">
        <w:t xml:space="preserve"> is to describe</w:t>
      </w:r>
      <w:r>
        <w:t xml:space="preserve"> the process for ensuring any issues that may impact on participant safety or data integrity are reported without delay. These may include, but are not limited to, the reporting of unexpected or out-of-range results and significant deviations from the protocol or analytical plan. </w:t>
      </w:r>
    </w:p>
    <w:p w14:paraId="0CE4ECD3" w14:textId="77777777" w:rsidR="0007229B" w:rsidRDefault="0007229B" w:rsidP="0007229B">
      <w:pPr>
        <w:pStyle w:val="Heading1"/>
      </w:pPr>
      <w:r w:rsidRPr="00B63F21">
        <w:t>Scope:</w:t>
      </w:r>
    </w:p>
    <w:p w14:paraId="455E07E9" w14:textId="77777777" w:rsidR="0007229B" w:rsidRDefault="0007229B" w:rsidP="0007229B">
      <w:r>
        <w:t xml:space="preserve">The SOP is applicable to all University of Birmingham (UoB) staff and laboratories performing analyses that contribute to the (primary, secondary and/or exploratory) endpoints of clinical trials of investigational medicinal products (CTIMPs) whether these are sponsored by the UoB or sponsored/co-sponsored by another institution. </w:t>
      </w:r>
    </w:p>
    <w:p w14:paraId="43624465" w14:textId="77777777" w:rsidR="0007229B" w:rsidRDefault="0007229B" w:rsidP="0007229B">
      <w:pPr>
        <w:pStyle w:val="Heading1"/>
      </w:pPr>
      <w:r w:rsidRPr="00B63F21">
        <w:t>Implementation plan:</w:t>
      </w:r>
    </w:p>
    <w:p w14:paraId="2BE6ACDC" w14:textId="77777777" w:rsidR="0007229B" w:rsidRPr="00C34A3B" w:rsidRDefault="0007229B" w:rsidP="0007229B">
      <w:r w:rsidRPr="00A01A0C">
        <w:t xml:space="preserve">This SOP will be implemented </w:t>
      </w:r>
      <w:r>
        <w:t>in line with</w:t>
      </w:r>
      <w:r w:rsidRPr="00A01A0C">
        <w:t xml:space="preserve"> th</w:t>
      </w:r>
      <w:r>
        <w:t>is document’s</w:t>
      </w:r>
      <w:r w:rsidRPr="00A01A0C">
        <w:t xml:space="preserve"> effective date.</w:t>
      </w:r>
    </w:p>
    <w:p w14:paraId="4B82496A" w14:textId="77777777" w:rsidR="0007229B" w:rsidRDefault="0007229B" w:rsidP="0007229B">
      <w:pPr>
        <w:pStyle w:val="Heading2"/>
      </w:pPr>
      <w:r>
        <w:t>Stakeholders</w:t>
      </w:r>
      <w:r w:rsidRPr="00B63F21">
        <w:t>:</w:t>
      </w:r>
    </w:p>
    <w:p w14:paraId="60474B03" w14:textId="77777777" w:rsidR="0007229B" w:rsidRDefault="0007229B" w:rsidP="0007229B">
      <w:pPr>
        <w:pStyle w:val="bullet1"/>
        <w:numPr>
          <w:ilvl w:val="0"/>
          <w:numId w:val="3"/>
        </w:numPr>
        <w:ind w:left="340" w:hanging="340"/>
      </w:pPr>
      <w:r>
        <w:t>Laboratory academic lead (LAL)</w:t>
      </w:r>
    </w:p>
    <w:p w14:paraId="2A159453" w14:textId="77777777" w:rsidR="0007229B" w:rsidRDefault="0007229B" w:rsidP="0007229B"/>
    <w:p w14:paraId="24BEE060" w14:textId="77777777" w:rsidR="004C46FF" w:rsidRPr="00342C1E" w:rsidRDefault="004C46FF" w:rsidP="004C46FF">
      <w:pPr>
        <w:pStyle w:val="bullet1"/>
        <w:numPr>
          <w:ilvl w:val="0"/>
          <w:numId w:val="0"/>
        </w:numPr>
        <w:sectPr w:rsidR="004C46FF" w:rsidRPr="00342C1E" w:rsidSect="00512C56">
          <w:footerReference w:type="default" r:id="rId8"/>
          <w:headerReference w:type="first" r:id="rId9"/>
          <w:footerReference w:type="first" r:id="rId10"/>
          <w:pgSz w:w="11907" w:h="16839" w:code="9"/>
          <w:pgMar w:top="5211" w:right="1440" w:bottom="1440" w:left="1440" w:header="1438" w:footer="283" w:gutter="0"/>
          <w:cols w:space="708"/>
          <w:titlePg/>
          <w:docGrid w:linePitch="360"/>
        </w:sectPr>
      </w:pPr>
    </w:p>
    <w:p w14:paraId="14CC61B7" w14:textId="77777777" w:rsidR="0007229B" w:rsidRDefault="0007229B" w:rsidP="0007229B">
      <w:pPr>
        <w:pStyle w:val="Heading1"/>
      </w:pPr>
      <w:bookmarkStart w:id="0" w:name="_Toc320536979"/>
      <w:r>
        <w:lastRenderedPageBreak/>
        <w:t>Background and rationale:</w:t>
      </w:r>
    </w:p>
    <w:p w14:paraId="7FCD6306" w14:textId="77777777" w:rsidR="0007229B" w:rsidRPr="00403376" w:rsidRDefault="0007229B" w:rsidP="0007229B">
      <w:r w:rsidRPr="00403376">
        <w:t xml:space="preserve">The analysis of </w:t>
      </w:r>
      <w:r>
        <w:t>CTIMP</w:t>
      </w:r>
      <w:r w:rsidRPr="00403376">
        <w:t xml:space="preserve"> samples can provide vital information that informs the assessment of new drugs and treatments, and it can also provide valuable information relating to a participant’s health. Where there are deviations in laboratory procedures or equipment failures (such as freezers used for sample storage) these may directly impact on the integrity of the clinical trial samples or subsequent trial data. </w:t>
      </w:r>
      <w:r>
        <w:t xml:space="preserve">Where these issues are not </w:t>
      </w:r>
      <w:r w:rsidRPr="00403376">
        <w:t>recognised and reported, the</w:t>
      </w:r>
      <w:r>
        <w:t>y</w:t>
      </w:r>
      <w:r w:rsidRPr="00403376">
        <w:t xml:space="preserve"> could affect both the participants enrolled on the trial and the trial conclusions which drive future clinical care.</w:t>
      </w:r>
    </w:p>
    <w:p w14:paraId="055CCA34" w14:textId="77777777" w:rsidR="0007229B" w:rsidRPr="00403376" w:rsidRDefault="0007229B" w:rsidP="0007229B">
      <w:r w:rsidRPr="00403376">
        <w:t xml:space="preserve">The </w:t>
      </w:r>
      <w:r>
        <w:t xml:space="preserve">reporting </w:t>
      </w:r>
      <w:r w:rsidRPr="00403376">
        <w:t>of anomalous or out</w:t>
      </w:r>
      <w:r>
        <w:t>-</w:t>
      </w:r>
      <w:r w:rsidRPr="00403376">
        <w:t>of</w:t>
      </w:r>
      <w:r>
        <w:t>-</w:t>
      </w:r>
      <w:r w:rsidRPr="00403376">
        <w:t xml:space="preserve">range results beyond the scope of experimental analyses must also be considered. For example, unexpected values associated with pharmacokinetic analysis may indicate incorrect dosing or a patient’s inability to metabolise an investigational medicinal product, which may have serious safety </w:t>
      </w:r>
      <w:r>
        <w:t>implications</w:t>
      </w:r>
      <w:r w:rsidRPr="00403376">
        <w:t xml:space="preserve"> for the patient.</w:t>
      </w:r>
    </w:p>
    <w:p w14:paraId="53C5EB74" w14:textId="77777777" w:rsidR="0007229B" w:rsidRDefault="0007229B" w:rsidP="0007229B">
      <w:r w:rsidRPr="00403376">
        <w:t>The laboratory must plan to address these situations in i</w:t>
      </w:r>
      <w:r>
        <w:t>ts documented procedures. Trial-</w:t>
      </w:r>
      <w:r w:rsidRPr="00403376">
        <w:t xml:space="preserve">specific reportable issues </w:t>
      </w:r>
      <w:r>
        <w:t xml:space="preserve">and </w:t>
      </w:r>
      <w:r w:rsidRPr="00403376">
        <w:t>a process for reporting them should be defined, so that in the event of their occurrence they can be dealt with swiftly to minimise the risks to both participant and data.</w:t>
      </w:r>
    </w:p>
    <w:p w14:paraId="6AE6B4AE" w14:textId="77777777" w:rsidR="0007229B" w:rsidRPr="00435EAE" w:rsidRDefault="0007229B" w:rsidP="0007229B">
      <w:pPr>
        <w:pStyle w:val="Heading1"/>
      </w:pPr>
      <w:r w:rsidRPr="00435EAE">
        <w:t>Procedure:</w:t>
      </w:r>
    </w:p>
    <w:p w14:paraId="2FAE547F" w14:textId="77777777" w:rsidR="0007229B" w:rsidRDefault="0007229B" w:rsidP="0007229B">
      <w:pPr>
        <w:pStyle w:val="ListParagraph"/>
        <w:numPr>
          <w:ilvl w:val="0"/>
          <w:numId w:val="18"/>
        </w:numPr>
      </w:pPr>
      <w:r>
        <w:t xml:space="preserve">The LAL (or delegate) will create a documented procedure detailing what constitutes a reportable issue (see </w:t>
      </w:r>
      <w:bookmarkStart w:id="1" w:name="_Hlk93690218"/>
      <w:r w:rsidRPr="00403376">
        <w:rPr>
          <w:rStyle w:val="ReferencestootherSOPsQCDsChar"/>
        </w:rPr>
        <w:t>UoB</w:t>
      </w:r>
      <w:r>
        <w:rPr>
          <w:rStyle w:val="ReferencestootherSOPsQCDsChar"/>
        </w:rPr>
        <w:t>-CRL-QCD-024 Reportable Issues</w:t>
      </w:r>
      <w:bookmarkEnd w:id="1"/>
      <w:r>
        <w:t>). Reportable issues are those issues that may impact on participant safety or data integrity and can include (but is not limited to) those listed below.</w:t>
      </w:r>
    </w:p>
    <w:p w14:paraId="4DEC6B85" w14:textId="77777777" w:rsidR="0007229B" w:rsidRDefault="0007229B" w:rsidP="0007229B">
      <w:pPr>
        <w:pStyle w:val="bullet2"/>
        <w:ind w:left="720" w:hanging="360"/>
      </w:pPr>
      <w:r>
        <w:t>Anomalous or out-of-range results that are of clinical significance to the patient or indicate incorrect dosing.</w:t>
      </w:r>
    </w:p>
    <w:p w14:paraId="01E5AFED" w14:textId="77777777" w:rsidR="0007229B" w:rsidRDefault="0007229B" w:rsidP="0007229B">
      <w:pPr>
        <w:pStyle w:val="bullet2"/>
        <w:ind w:left="720" w:hanging="360"/>
      </w:pPr>
      <w:r>
        <w:t>Deviations from the analytical plan, clinical trial protocol and/or contract/agreement which could impact on the integrity of trial samples or data.</w:t>
      </w:r>
    </w:p>
    <w:p w14:paraId="639ACC12" w14:textId="77777777" w:rsidR="0007229B" w:rsidRDefault="0007229B" w:rsidP="0007229B">
      <w:pPr>
        <w:pStyle w:val="bullet2"/>
        <w:ind w:left="720" w:hanging="360"/>
      </w:pPr>
      <w:r>
        <w:t>Equipment failure, to include refrigerators or freezers where samples are stored, and equipment used in the analysis of samples which could impact on the integrity of trial samples or data.</w:t>
      </w:r>
    </w:p>
    <w:p w14:paraId="4493B87D" w14:textId="77777777" w:rsidR="0007229B" w:rsidRDefault="0007229B" w:rsidP="0007229B">
      <w:pPr>
        <w:pStyle w:val="bullet2"/>
        <w:ind w:left="720" w:hanging="360"/>
      </w:pPr>
      <w:r>
        <w:t>E</w:t>
      </w:r>
      <w:r w:rsidRPr="00ED268E">
        <w:t>xtra analyses or evaluations requested based on urgent clinical reasons</w:t>
      </w:r>
      <w:r>
        <w:t>.</w:t>
      </w:r>
    </w:p>
    <w:p w14:paraId="72197E1B" w14:textId="77777777" w:rsidR="0007229B" w:rsidRDefault="0007229B" w:rsidP="0007229B">
      <w:pPr>
        <w:pStyle w:val="ListParagraph"/>
        <w:numPr>
          <w:ilvl w:val="0"/>
          <w:numId w:val="18"/>
        </w:numPr>
      </w:pPr>
      <w:r>
        <w:t xml:space="preserve">The LAL (or delegate) will create a documented procedure detailing the steps to be taken following detection and up-escalation (where appropriate) of a reportable issue (see </w:t>
      </w:r>
      <w:r w:rsidRPr="00403376">
        <w:rPr>
          <w:rStyle w:val="ReferencestootherSOPsQCDsChar"/>
        </w:rPr>
        <w:t>UoB-</w:t>
      </w:r>
      <w:r>
        <w:rPr>
          <w:rStyle w:val="ReferencestootherSOPsQCDsChar"/>
        </w:rPr>
        <w:t>CRL-QCD-024 Reportable Issues</w:t>
      </w:r>
      <w:r>
        <w:t>). This will include (but will not be limited to) those aspects listed below.</w:t>
      </w:r>
    </w:p>
    <w:p w14:paraId="5707C4D3" w14:textId="77777777" w:rsidR="0007229B" w:rsidRDefault="0007229B" w:rsidP="0007229B">
      <w:pPr>
        <w:pStyle w:val="bullet2"/>
        <w:ind w:left="720" w:hanging="360"/>
      </w:pPr>
      <w:r>
        <w:t xml:space="preserve">Who will assess the impact of the reportable </w:t>
      </w:r>
      <w:proofErr w:type="gramStart"/>
      <w:r>
        <w:t>issue.</w:t>
      </w:r>
      <w:proofErr w:type="gramEnd"/>
    </w:p>
    <w:p w14:paraId="6016A599" w14:textId="77777777" w:rsidR="0007229B" w:rsidRDefault="0007229B" w:rsidP="0007229B">
      <w:pPr>
        <w:pStyle w:val="bullet2"/>
        <w:ind w:left="720" w:hanging="360"/>
      </w:pPr>
      <w:r>
        <w:t>A communication plan to ensure laboratory staff know whom to contact when reporting reportable issues to the sponsor’s representative (if externally sponsored) or trial team (or their representative) if UoB sponsored.</w:t>
      </w:r>
    </w:p>
    <w:p w14:paraId="5FDBBB57" w14:textId="77777777" w:rsidR="0007229B" w:rsidRDefault="0007229B" w:rsidP="0007229B">
      <w:pPr>
        <w:pStyle w:val="bullet2"/>
        <w:ind w:left="720" w:hanging="360"/>
      </w:pPr>
      <w:r>
        <w:t>Where there is potential to impact on the integrity or reliability of the trial data, participant confidentiality, consent or safety, the issue must be reported immediately to the sponsor or their representative and, if appropriate, to the recruiting investigator.</w:t>
      </w:r>
    </w:p>
    <w:p w14:paraId="0BAEF3DE" w14:textId="77777777" w:rsidR="0007229B" w:rsidRDefault="0007229B" w:rsidP="0007229B">
      <w:pPr>
        <w:pStyle w:val="bullet2"/>
        <w:ind w:left="720" w:hanging="360"/>
      </w:pPr>
      <w:r>
        <w:t xml:space="preserve">Where the reportable issue also constitutes a ‘serious breach’ see also </w:t>
      </w:r>
      <w:bookmarkStart w:id="2" w:name="_Hlk93690232"/>
      <w:r w:rsidRPr="005151D0">
        <w:rPr>
          <w:rStyle w:val="ReferencestootherSOPsQCDsChar"/>
        </w:rPr>
        <w:t>UoB-</w:t>
      </w:r>
      <w:r>
        <w:rPr>
          <w:rStyle w:val="ReferencestootherSOPsQCDsChar"/>
        </w:rPr>
        <w:t>DBS-</w:t>
      </w:r>
      <w:r w:rsidRPr="005151D0">
        <w:rPr>
          <w:rStyle w:val="ReferencestootherSOPsQCDsChar"/>
        </w:rPr>
        <w:t>SOP-001</w:t>
      </w:r>
      <w:r w:rsidRPr="00E9246C">
        <w:rPr>
          <w:rStyle w:val="ReferencestootherSOPsQCDsChar"/>
        </w:rPr>
        <w:t xml:space="preserve"> </w:t>
      </w:r>
      <w:r>
        <w:rPr>
          <w:rStyle w:val="ReferencestootherSOPsQCDsChar"/>
        </w:rPr>
        <w:t xml:space="preserve">Deviations and </w:t>
      </w:r>
      <w:r w:rsidRPr="00FF2CAB">
        <w:rPr>
          <w:rStyle w:val="ReferencestootherSOPsQCDsChar"/>
        </w:rPr>
        <w:t>Serious Breach Reporting</w:t>
      </w:r>
      <w:bookmarkEnd w:id="2"/>
      <w:r w:rsidRPr="00132F01">
        <w:t>.</w:t>
      </w:r>
    </w:p>
    <w:p w14:paraId="51CE3768" w14:textId="77777777" w:rsidR="0007229B" w:rsidRDefault="0007229B" w:rsidP="0007229B">
      <w:pPr>
        <w:pStyle w:val="ListParagraph"/>
        <w:numPr>
          <w:ilvl w:val="0"/>
          <w:numId w:val="18"/>
        </w:numPr>
      </w:pPr>
      <w:r>
        <w:t xml:space="preserve">The LAL (or delegate) will follow the documented procedure for issue reporting where a reportable issue is noted and retain all documented evidence and relevant correspondence (see </w:t>
      </w:r>
      <w:r w:rsidRPr="00403376">
        <w:rPr>
          <w:rStyle w:val="ReferencestootherSOPsQCDsChar"/>
        </w:rPr>
        <w:t>UoB-</w:t>
      </w:r>
      <w:r>
        <w:rPr>
          <w:rStyle w:val="ReferencestootherSOPsQCDsChar"/>
        </w:rPr>
        <w:t>CRL-QCD-024 Reportable Issues</w:t>
      </w:r>
      <w:r>
        <w:t>).</w:t>
      </w:r>
    </w:p>
    <w:p w14:paraId="6F306D9D" w14:textId="77777777" w:rsidR="0007229B" w:rsidRPr="00435EAE" w:rsidRDefault="0007229B" w:rsidP="0007229B">
      <w:pPr>
        <w:pStyle w:val="Heading1"/>
      </w:pPr>
      <w:r w:rsidRPr="00435EAE">
        <w:t>List of expected outputs:</w:t>
      </w:r>
    </w:p>
    <w:p w14:paraId="2FEA2243" w14:textId="77777777" w:rsidR="0007229B" w:rsidRDefault="0007229B" w:rsidP="0007229B">
      <w:pPr>
        <w:pStyle w:val="bullet1"/>
        <w:numPr>
          <w:ilvl w:val="0"/>
          <w:numId w:val="3"/>
        </w:numPr>
        <w:ind w:left="340" w:hanging="340"/>
      </w:pPr>
      <w:r>
        <w:t xml:space="preserve">A documented procedure defining what constitutes a reportable issue (see </w:t>
      </w:r>
      <w:r w:rsidRPr="00403376">
        <w:rPr>
          <w:rStyle w:val="ReferencestootherSOPsQCDsChar"/>
        </w:rPr>
        <w:t>UoB-</w:t>
      </w:r>
      <w:r>
        <w:rPr>
          <w:rStyle w:val="ReferencestootherSOPsQCDsChar"/>
        </w:rPr>
        <w:t>CRL-QCD-024 Reportable Issues</w:t>
      </w:r>
      <w:r>
        <w:t>).</w:t>
      </w:r>
      <w:r>
        <w:rPr>
          <w:rStyle w:val="ReferencestootherSOPsQCDsChar"/>
        </w:rPr>
        <w:t xml:space="preserve"> </w:t>
      </w:r>
    </w:p>
    <w:p w14:paraId="4431327D" w14:textId="77777777" w:rsidR="0007229B" w:rsidRDefault="0007229B" w:rsidP="0007229B">
      <w:pPr>
        <w:pStyle w:val="bullet1"/>
        <w:numPr>
          <w:ilvl w:val="0"/>
          <w:numId w:val="3"/>
        </w:numPr>
        <w:ind w:left="340" w:hanging="340"/>
      </w:pPr>
      <w:r>
        <w:t xml:space="preserve">A documented procedure defining the procedures to be followed following the occurrence of a reportable issue (see </w:t>
      </w:r>
      <w:r w:rsidRPr="00403376">
        <w:rPr>
          <w:rStyle w:val="ReferencestootherSOPsQCDsChar"/>
        </w:rPr>
        <w:t>UoB-</w:t>
      </w:r>
      <w:r>
        <w:rPr>
          <w:rStyle w:val="ReferencestootherSOPsQCDsChar"/>
        </w:rPr>
        <w:t>CRL-QCD-024 Reportable Issues</w:t>
      </w:r>
      <w:r>
        <w:t xml:space="preserve">). </w:t>
      </w:r>
    </w:p>
    <w:p w14:paraId="2E6AD08F" w14:textId="77777777" w:rsidR="0007229B" w:rsidRDefault="0007229B" w:rsidP="0007229B">
      <w:pPr>
        <w:pStyle w:val="bullet1"/>
        <w:numPr>
          <w:ilvl w:val="0"/>
          <w:numId w:val="3"/>
        </w:numPr>
        <w:ind w:left="340" w:hanging="340"/>
      </w:pPr>
      <w:r>
        <w:t xml:space="preserve">Evidence of the laboratory’s procedures being followed, where reportable issues have arisen (see </w:t>
      </w:r>
      <w:r w:rsidRPr="009B192B">
        <w:rPr>
          <w:rStyle w:val="ReferencestootherSOPsQCDsChar"/>
        </w:rPr>
        <w:t>UoB</w:t>
      </w:r>
      <w:r w:rsidRPr="00C163E3">
        <w:rPr>
          <w:rStyle w:val="ReferencestootherSOPsQCDsChar"/>
        </w:rPr>
        <w:t xml:space="preserve">-CRL-QCD-024 Reportable </w:t>
      </w:r>
      <w:r>
        <w:rPr>
          <w:rStyle w:val="ReferencestootherSOPsQCDsChar"/>
        </w:rPr>
        <w:t>Issues</w:t>
      </w:r>
      <w:r>
        <w:t>).</w:t>
      </w:r>
    </w:p>
    <w:p w14:paraId="52CFCE0C" w14:textId="77777777" w:rsidR="0007229B" w:rsidRDefault="0007229B" w:rsidP="0007229B">
      <w:pPr>
        <w:pStyle w:val="Heading1"/>
      </w:pPr>
      <w:r w:rsidRPr="006561C0">
        <w:lastRenderedPageBreak/>
        <w:t>Related</w:t>
      </w:r>
      <w:r>
        <w:t xml:space="preserve"> documents:</w:t>
      </w:r>
      <w:bookmarkEnd w:id="0"/>
    </w:p>
    <w:p w14:paraId="092082DF" w14:textId="77777777" w:rsidR="0007229B" w:rsidRDefault="0007229B" w:rsidP="0007229B">
      <w:pPr>
        <w:pStyle w:val="bullet1"/>
        <w:numPr>
          <w:ilvl w:val="0"/>
          <w:numId w:val="3"/>
        </w:numPr>
        <w:ind w:left="340" w:hanging="340"/>
      </w:pPr>
      <w:r>
        <w:t>UoB-CRL-QCD-024 Reportable Issues</w:t>
      </w:r>
    </w:p>
    <w:p w14:paraId="3F4956B1" w14:textId="77777777" w:rsidR="0007229B" w:rsidRPr="00630C7B" w:rsidRDefault="0007229B" w:rsidP="0007229B">
      <w:pPr>
        <w:pStyle w:val="bullet1"/>
        <w:numPr>
          <w:ilvl w:val="0"/>
          <w:numId w:val="3"/>
        </w:numPr>
        <w:ind w:left="340" w:hanging="340"/>
      </w:pPr>
      <w:r w:rsidRPr="00630C7B">
        <w:t>UoB-CRL-SOP-001 La</w:t>
      </w:r>
      <w:r>
        <w:t>boratory Set Up and Management</w:t>
      </w:r>
    </w:p>
    <w:p w14:paraId="7B8F882F" w14:textId="77777777" w:rsidR="0007229B" w:rsidRDefault="0007229B" w:rsidP="0007229B">
      <w:pPr>
        <w:pStyle w:val="bullet1"/>
        <w:numPr>
          <w:ilvl w:val="0"/>
          <w:numId w:val="3"/>
        </w:numPr>
        <w:ind w:left="340" w:hanging="340"/>
      </w:pPr>
      <w:r w:rsidRPr="00630C7B">
        <w:t xml:space="preserve">UoB-CRL-SOP-002 </w:t>
      </w:r>
      <w:r>
        <w:t>Laboratory Facilities</w:t>
      </w:r>
    </w:p>
    <w:p w14:paraId="4C6862A4" w14:textId="77777777" w:rsidR="0007229B" w:rsidRDefault="0007229B" w:rsidP="0007229B">
      <w:pPr>
        <w:pStyle w:val="bullet1"/>
        <w:numPr>
          <w:ilvl w:val="0"/>
          <w:numId w:val="3"/>
        </w:numPr>
        <w:ind w:left="340" w:hanging="340"/>
      </w:pPr>
      <w:bookmarkStart w:id="3" w:name="_Hlk93690462"/>
      <w:r>
        <w:t xml:space="preserve">UoB-CRL-SOP-003 </w:t>
      </w:r>
      <w:r w:rsidRPr="00630C7B">
        <w:t>Sample Manageme</w:t>
      </w:r>
      <w:r>
        <w:t>nt</w:t>
      </w:r>
    </w:p>
    <w:p w14:paraId="5B9D1940" w14:textId="701E9AA8" w:rsidR="0007229B" w:rsidRDefault="0007229B" w:rsidP="0007229B">
      <w:pPr>
        <w:pStyle w:val="bullet1"/>
        <w:numPr>
          <w:ilvl w:val="0"/>
          <w:numId w:val="3"/>
        </w:numPr>
        <w:ind w:left="340" w:hanging="340"/>
      </w:pPr>
      <w:bookmarkStart w:id="4" w:name="_Hlk93690479"/>
      <w:bookmarkEnd w:id="3"/>
      <w:r>
        <w:t>UoB-CRL-SOP-004 Laboratory Analysis</w:t>
      </w:r>
    </w:p>
    <w:p w14:paraId="5D7B2EC9" w14:textId="77777777" w:rsidR="00696E9C" w:rsidRPr="00696E9C" w:rsidRDefault="00696E9C" w:rsidP="00696E9C">
      <w:pPr>
        <w:pStyle w:val="bullet1"/>
      </w:pPr>
      <w:r w:rsidRPr="00696E9C">
        <w:rPr>
          <w:rStyle w:val="ReferencestootherSOPsQCDsChar"/>
          <w:i w:val="0"/>
          <w:iCs w:val="0"/>
          <w:color w:val="auto"/>
        </w:rPr>
        <w:t>UoB-CRL-SOP-006 External Laboratory Set-up and Oversight</w:t>
      </w:r>
    </w:p>
    <w:bookmarkEnd w:id="4"/>
    <w:p w14:paraId="34DE86C4" w14:textId="77777777" w:rsidR="0007229B" w:rsidRPr="00630C7B" w:rsidRDefault="0007229B" w:rsidP="0007229B">
      <w:pPr>
        <w:pStyle w:val="bullet1"/>
        <w:numPr>
          <w:ilvl w:val="0"/>
          <w:numId w:val="3"/>
        </w:numPr>
        <w:ind w:left="340" w:hanging="340"/>
      </w:pPr>
      <w:r>
        <w:t>UoB-DSB-SOP-001 Deviations and Serious Breach Reporting</w:t>
      </w:r>
    </w:p>
    <w:p w14:paraId="57E4D0DD" w14:textId="77777777" w:rsidR="0007229B" w:rsidRDefault="0007229B" w:rsidP="0007229B">
      <w:pPr>
        <w:rPr>
          <w:lang w:eastAsia="en-GB"/>
        </w:rPr>
      </w:pPr>
      <w:bookmarkStart w:id="5" w:name="_Hlk83653731"/>
      <w:r>
        <w:t xml:space="preserve">Note the UoB QMS documents can be found on the </w:t>
      </w:r>
      <w:hyperlink r:id="rId11" w:history="1">
        <w:r w:rsidRPr="001D5446">
          <w:rPr>
            <w:rStyle w:val="Hyperlink"/>
            <w:lang w:eastAsia="en-GB"/>
          </w:rPr>
          <w:t>CRCT website</w:t>
        </w:r>
      </w:hyperlink>
      <w:r>
        <w:rPr>
          <w:lang w:eastAsia="en-GB"/>
        </w:rPr>
        <w:t>. Internal work instructions can be obtained from the CRCT (</w:t>
      </w:r>
      <w:hyperlink r:id="rId12" w:tooltip="Email address for the Clinical Research Compliance Team" w:history="1">
        <w:r w:rsidRPr="00212E62">
          <w:rPr>
            <w:rStyle w:val="Hyperlink"/>
            <w:lang w:eastAsia="en-GB"/>
          </w:rPr>
          <w:t>crct@contacts.bham.ac.uk</w:t>
        </w:r>
      </w:hyperlink>
      <w:r>
        <w:rPr>
          <w:lang w:eastAsia="en-GB"/>
        </w:rPr>
        <w:t>) and/or from the RGT (</w:t>
      </w:r>
      <w:hyperlink r:id="rId13" w:tooltip="Email address for the Research Governance Team" w:history="1">
        <w:r w:rsidRPr="00212E62">
          <w:rPr>
            <w:rStyle w:val="Hyperlink"/>
            <w:lang w:eastAsia="en-GB"/>
          </w:rPr>
          <w:t>researchgovernance@contacts.bham.ac.uk</w:t>
        </w:r>
      </w:hyperlink>
      <w:r>
        <w:t>).</w:t>
      </w:r>
      <w:bookmarkEnd w:id="5"/>
    </w:p>
    <w:p w14:paraId="002D88F4" w14:textId="77777777" w:rsidR="0007229B" w:rsidRDefault="0007229B" w:rsidP="0007229B">
      <w:pPr>
        <w:pStyle w:val="Heading1"/>
      </w:pPr>
      <w:r w:rsidRPr="005D17F6">
        <w:t>References</w:t>
      </w:r>
      <w:r>
        <w:t xml:space="preserve"> and frameworks: </w:t>
      </w:r>
    </w:p>
    <w:p w14:paraId="6DEBA3DF" w14:textId="77777777" w:rsidR="0007229B" w:rsidRDefault="0007229B" w:rsidP="0007229B">
      <w:pPr>
        <w:pStyle w:val="bullet1"/>
        <w:numPr>
          <w:ilvl w:val="0"/>
          <w:numId w:val="3"/>
        </w:numPr>
        <w:ind w:left="340" w:hanging="340"/>
      </w:pPr>
      <w:r w:rsidRPr="00D5049E">
        <w:t>‘GXP’ Data Integrity Guidance and Definitions</w:t>
      </w:r>
      <w:r>
        <w:t xml:space="preserve"> (2018), Medicines &amp; Healthcare products Regulatory Agency (MHRA):</w:t>
      </w:r>
      <w:r w:rsidRPr="00C163E3">
        <w:rPr>
          <w:rStyle w:val="Hyperlink"/>
        </w:rPr>
        <w:t xml:space="preserve"> </w:t>
      </w:r>
      <w:hyperlink r:id="rId14" w:tooltip="Link to 'GXP’ Data Integrity Guidance and Definitions (2018), Medicines &amp; Healthcare products Regulatory Agency (MHRA)" w:history="1">
        <w:r w:rsidRPr="00C7415E">
          <w:rPr>
            <w:rStyle w:val="Hyperlink"/>
          </w:rPr>
          <w:t>https://assets.publishing.service.gov.uk/government/uploads/system/uploads/attachment_data/file/687246/MHRA_GxP_data_integrity_guide_March_edited_Final.pdf</w:t>
        </w:r>
      </w:hyperlink>
    </w:p>
    <w:p w14:paraId="03FA9ACD" w14:textId="77777777" w:rsidR="0007229B" w:rsidRDefault="0007229B" w:rsidP="0007229B">
      <w:pPr>
        <w:pStyle w:val="bullet1"/>
        <w:numPr>
          <w:ilvl w:val="0"/>
          <w:numId w:val="3"/>
        </w:numPr>
        <w:ind w:left="340" w:hanging="340"/>
      </w:pPr>
      <w:r>
        <w:t>Reflection paper</w:t>
      </w:r>
      <w:r w:rsidRPr="00410AF6">
        <w:t xml:space="preserve"> </w:t>
      </w:r>
      <w:r>
        <w:t xml:space="preserve">for laboratories that perform the analyses or evaluation of clinical trial samples (2012), European Medical Agency: </w:t>
      </w:r>
      <w:hyperlink r:id="rId15" w:tooltip="Link to Reflection paper for laboratories that perform the analyses or evaluation of clinical trial samples (2012), European Medical Agency" w:history="1">
        <w:r w:rsidRPr="005E5A6C">
          <w:rPr>
            <w:rStyle w:val="Hyperlink"/>
          </w:rPr>
          <w:t>www.ema.europa.eu/docs/en_GB/document_library/Regulatory_and_procedural_guideline/2012/05/WC500127124.pdf</w:t>
        </w:r>
      </w:hyperlink>
    </w:p>
    <w:p w14:paraId="401164D8" w14:textId="77777777" w:rsidR="0007229B" w:rsidRDefault="0007229B" w:rsidP="0007229B">
      <w:pPr>
        <w:pStyle w:val="bullet1"/>
        <w:numPr>
          <w:ilvl w:val="0"/>
          <w:numId w:val="3"/>
        </w:numPr>
        <w:ind w:left="340" w:hanging="340"/>
      </w:pPr>
      <w:r>
        <w:t xml:space="preserve">The Human Tissue Act (2004): </w:t>
      </w:r>
      <w:hyperlink r:id="rId16" w:tooltip="Link to The Human Tissue Act (2004)" w:history="1">
        <w:r w:rsidRPr="005E5A6C">
          <w:rPr>
            <w:rStyle w:val="Hyperlink"/>
          </w:rPr>
          <w:t>http://www.legislation.gov.uk/ukpga/2004/30/contents</w:t>
        </w:r>
      </w:hyperlink>
    </w:p>
    <w:p w14:paraId="7656790C" w14:textId="77777777" w:rsidR="0007229B" w:rsidRDefault="0007229B" w:rsidP="0007229B">
      <w:pPr>
        <w:pStyle w:val="bullet1"/>
        <w:numPr>
          <w:ilvl w:val="0"/>
          <w:numId w:val="3"/>
        </w:numPr>
        <w:ind w:left="340" w:hanging="340"/>
      </w:pPr>
      <w:r>
        <w:t xml:space="preserve">The Medicines for Human Use (Clinical Trials) Regulations 2004 and amendments: </w:t>
      </w:r>
      <w:hyperlink r:id="rId17" w:tooltip="Link to The Medicines for Human Use (Clinical Trials) Regulations 2004 and amendments" w:history="1">
        <w:r w:rsidRPr="007A471C">
          <w:rPr>
            <w:rStyle w:val="Hyperlink"/>
          </w:rPr>
          <w:t>http://www.legislation.gov.uk/uksi/2004/1031/contents/made</w:t>
        </w:r>
      </w:hyperlink>
    </w:p>
    <w:p w14:paraId="6E6EC59B" w14:textId="77777777" w:rsidR="0007229B" w:rsidRDefault="0007229B" w:rsidP="0007229B">
      <w:pPr>
        <w:pStyle w:val="Heading1"/>
      </w:pPr>
      <w:r w:rsidRPr="00522ABB">
        <w:t>Abbreviations</w:t>
      </w:r>
      <w:r>
        <w:t xml:space="preserve"> and definitions:</w:t>
      </w:r>
    </w:p>
    <w:tbl>
      <w:tblPr>
        <w:tblStyle w:val="TableGrid"/>
        <w:tblW w:w="0" w:type="auto"/>
        <w:tblBorders>
          <w:insideH w:val="dotted" w:sz="4" w:space="0" w:color="auto"/>
          <w:insideV w:val="dotted" w:sz="4" w:space="0" w:color="auto"/>
        </w:tblBorders>
        <w:tblLook w:val="04A0" w:firstRow="1" w:lastRow="0" w:firstColumn="1" w:lastColumn="0" w:noHBand="0" w:noVBand="1"/>
        <w:tblCaption w:val="Abbreviations and Definitions"/>
        <w:tblDescription w:val="List of abbreviations and Definitions used in this document."/>
      </w:tblPr>
      <w:tblGrid>
        <w:gridCol w:w="2462"/>
        <w:gridCol w:w="6555"/>
      </w:tblGrid>
      <w:tr w:rsidR="0007229B" w14:paraId="6FA1B81F" w14:textId="77777777" w:rsidTr="003364DB">
        <w:trPr>
          <w:cantSplit/>
          <w:tblHeader/>
        </w:trPr>
        <w:tc>
          <w:tcPr>
            <w:tcW w:w="2462" w:type="dxa"/>
            <w:vAlign w:val="center"/>
          </w:tcPr>
          <w:p w14:paraId="2A9FBC14" w14:textId="77777777" w:rsidR="0007229B" w:rsidRPr="003D5BFC" w:rsidRDefault="0007229B" w:rsidP="003364DB">
            <w:pPr>
              <w:pStyle w:val="Heading2"/>
            </w:pPr>
            <w:r w:rsidRPr="003D5BFC">
              <w:t>Term</w:t>
            </w:r>
          </w:p>
        </w:tc>
        <w:tc>
          <w:tcPr>
            <w:tcW w:w="6555" w:type="dxa"/>
            <w:vAlign w:val="center"/>
          </w:tcPr>
          <w:p w14:paraId="4CFF0CFA" w14:textId="77777777" w:rsidR="0007229B" w:rsidRPr="003D5BFC" w:rsidRDefault="0007229B" w:rsidP="003364DB">
            <w:pPr>
              <w:pStyle w:val="Heading2"/>
            </w:pPr>
            <w:r w:rsidRPr="003D5BFC">
              <w:t>Description</w:t>
            </w:r>
          </w:p>
        </w:tc>
      </w:tr>
      <w:tr w:rsidR="0007229B" w14:paraId="072371CC" w14:textId="77777777" w:rsidTr="003364DB">
        <w:trPr>
          <w:cantSplit/>
        </w:trPr>
        <w:tc>
          <w:tcPr>
            <w:tcW w:w="2462" w:type="dxa"/>
          </w:tcPr>
          <w:p w14:paraId="2A216D48" w14:textId="77777777" w:rsidR="0007229B" w:rsidRDefault="0007229B" w:rsidP="003364DB">
            <w:pPr>
              <w:pStyle w:val="AbbreviationsDefinitionsTerm"/>
            </w:pPr>
            <w:r>
              <w:t>CTIMP</w:t>
            </w:r>
          </w:p>
        </w:tc>
        <w:tc>
          <w:tcPr>
            <w:tcW w:w="6555" w:type="dxa"/>
            <w:vAlign w:val="center"/>
          </w:tcPr>
          <w:p w14:paraId="5F6A2BE9" w14:textId="77777777" w:rsidR="0007229B" w:rsidRPr="007A2552" w:rsidRDefault="0007229B" w:rsidP="003364DB">
            <w:pPr>
              <w:rPr>
                <w:bCs/>
              </w:rPr>
            </w:pPr>
            <w:r>
              <w:rPr>
                <w:bCs/>
              </w:rPr>
              <w:t>Clinical trial of an investigational medicinal product.</w:t>
            </w:r>
          </w:p>
        </w:tc>
      </w:tr>
      <w:tr w:rsidR="0007229B" w14:paraId="64BAE3C0" w14:textId="77777777" w:rsidTr="003364DB">
        <w:trPr>
          <w:cantSplit/>
        </w:trPr>
        <w:tc>
          <w:tcPr>
            <w:tcW w:w="2462" w:type="dxa"/>
          </w:tcPr>
          <w:p w14:paraId="75D16504" w14:textId="77777777" w:rsidR="0007229B" w:rsidRDefault="0007229B" w:rsidP="003364DB">
            <w:pPr>
              <w:pStyle w:val="AbbreviationsDefinitionsTerm"/>
            </w:pPr>
            <w:r>
              <w:t>Laboratory</w:t>
            </w:r>
          </w:p>
        </w:tc>
        <w:tc>
          <w:tcPr>
            <w:tcW w:w="6555" w:type="dxa"/>
            <w:vAlign w:val="center"/>
          </w:tcPr>
          <w:p w14:paraId="7D1D3659" w14:textId="77777777" w:rsidR="0007229B" w:rsidRDefault="0007229B" w:rsidP="003364DB">
            <w:r w:rsidRPr="007A2552">
              <w:rPr>
                <w:bCs/>
              </w:rPr>
              <w:t xml:space="preserve">A </w:t>
            </w:r>
            <w:r>
              <w:t xml:space="preserve">facility that conducts manipulation, analysis or evaluation of samples collected as part of a clinical trial; such analysis or evaluation may include the generation of pharmacokinetic or pharmacodynamic data, safety data, primary efficacy data, histopathology data or data used to support any other stated primary, </w:t>
            </w:r>
            <w:proofErr w:type="gramStart"/>
            <w:r>
              <w:t>secondary</w:t>
            </w:r>
            <w:proofErr w:type="gramEnd"/>
            <w:r>
              <w:t xml:space="preserve"> or exploratory end point.</w:t>
            </w:r>
          </w:p>
        </w:tc>
      </w:tr>
      <w:tr w:rsidR="0007229B" w14:paraId="71D613F1" w14:textId="77777777" w:rsidTr="003364DB">
        <w:trPr>
          <w:cantSplit/>
        </w:trPr>
        <w:tc>
          <w:tcPr>
            <w:tcW w:w="2462" w:type="dxa"/>
          </w:tcPr>
          <w:p w14:paraId="70C01A7C" w14:textId="77777777" w:rsidR="0007229B" w:rsidRDefault="0007229B" w:rsidP="003364DB">
            <w:pPr>
              <w:pStyle w:val="AbbreviationsDefinitionsTerm"/>
            </w:pPr>
            <w:r>
              <w:t>Laboratory academic lead (LAL)</w:t>
            </w:r>
          </w:p>
        </w:tc>
        <w:tc>
          <w:tcPr>
            <w:tcW w:w="6555" w:type="dxa"/>
            <w:vAlign w:val="center"/>
          </w:tcPr>
          <w:p w14:paraId="14C4E9CE" w14:textId="77777777" w:rsidR="0007229B" w:rsidRDefault="0007229B" w:rsidP="003364DB">
            <w:r>
              <w:t xml:space="preserve">Referred to as ‘Laboratory Manager’ and ‘Analytical Manager’ in the </w:t>
            </w:r>
            <w:r w:rsidRPr="00A021B5">
              <w:rPr>
                <w:i/>
              </w:rPr>
              <w:t>Reflection paper for laboratories that perform the analyses or evaluation of clinical trial samples (2012), European Medical Agency</w:t>
            </w:r>
            <w:r w:rsidRPr="009B7D21">
              <w:t xml:space="preserve">. </w:t>
            </w:r>
          </w:p>
          <w:p w14:paraId="614A46E5" w14:textId="77777777" w:rsidR="0007229B" w:rsidRDefault="0007229B" w:rsidP="003364DB">
            <w:r>
              <w:t>The individual(s) having the authority and formal responsibility for the organisation and functioning of a laboratory where work that forms part of a clinical trial is conducted.</w:t>
            </w:r>
          </w:p>
          <w:p w14:paraId="798EAED5" w14:textId="77777777" w:rsidR="0007229B" w:rsidRDefault="0007229B" w:rsidP="003364DB">
            <w:r>
              <w:t>It is expected that this role will be assigned to the principal investigator of the laboratory and that they will in turn delegate some of the duties to other members of the laboratory’s team.</w:t>
            </w:r>
          </w:p>
        </w:tc>
      </w:tr>
      <w:tr w:rsidR="0007229B" w14:paraId="196F905F" w14:textId="77777777" w:rsidTr="003364DB">
        <w:trPr>
          <w:cantSplit/>
        </w:trPr>
        <w:tc>
          <w:tcPr>
            <w:tcW w:w="2462" w:type="dxa"/>
          </w:tcPr>
          <w:p w14:paraId="3CC7FA6A" w14:textId="77777777" w:rsidR="0007229B" w:rsidRDefault="0007229B" w:rsidP="003364DB">
            <w:pPr>
              <w:pStyle w:val="AbbreviationsDefinitionsTerm"/>
            </w:pPr>
            <w:r>
              <w:t>Reportable issue</w:t>
            </w:r>
          </w:p>
        </w:tc>
        <w:tc>
          <w:tcPr>
            <w:tcW w:w="6555" w:type="dxa"/>
            <w:vAlign w:val="center"/>
          </w:tcPr>
          <w:p w14:paraId="5EDE83B5" w14:textId="77777777" w:rsidR="0007229B" w:rsidRPr="007A2552" w:rsidRDefault="0007229B" w:rsidP="003364DB">
            <w:pPr>
              <w:rPr>
                <w:bCs/>
              </w:rPr>
            </w:pPr>
            <w:r>
              <w:rPr>
                <w:bCs/>
              </w:rPr>
              <w:t xml:space="preserve">Either a deviation from the laboratory’s documented policies, work instructions, clinical trial protocol, contract or any comparable documents or equipment failures (for example, refrigerators, </w:t>
            </w:r>
            <w:proofErr w:type="gramStart"/>
            <w:r>
              <w:rPr>
                <w:bCs/>
              </w:rPr>
              <w:t>freezers</w:t>
            </w:r>
            <w:proofErr w:type="gramEnd"/>
            <w:r>
              <w:rPr>
                <w:bCs/>
              </w:rPr>
              <w:t xml:space="preserve"> or centrifuges), which may compromise the integrity of the sample or the quality of the data. </w:t>
            </w:r>
          </w:p>
        </w:tc>
      </w:tr>
      <w:tr w:rsidR="0007229B" w14:paraId="41B4DDF6" w14:textId="77777777" w:rsidTr="003364DB">
        <w:trPr>
          <w:cantSplit/>
        </w:trPr>
        <w:tc>
          <w:tcPr>
            <w:tcW w:w="2462" w:type="dxa"/>
          </w:tcPr>
          <w:p w14:paraId="68024947" w14:textId="77777777" w:rsidR="0007229B" w:rsidRDefault="0007229B" w:rsidP="003364DB">
            <w:pPr>
              <w:pStyle w:val="AbbreviationsDefinitionsTerm"/>
            </w:pPr>
            <w:r>
              <w:t>Serious breach</w:t>
            </w:r>
          </w:p>
        </w:tc>
        <w:tc>
          <w:tcPr>
            <w:tcW w:w="6555" w:type="dxa"/>
            <w:vAlign w:val="center"/>
          </w:tcPr>
          <w:p w14:paraId="3AC20E8C" w14:textId="77777777" w:rsidR="0007229B" w:rsidRDefault="0007229B" w:rsidP="003364DB">
            <w:pPr>
              <w:rPr>
                <w:bCs/>
              </w:rPr>
            </w:pPr>
            <w:r>
              <w:rPr>
                <w:bCs/>
              </w:rPr>
              <w:t>A</w:t>
            </w:r>
            <w:r w:rsidRPr="003C2478">
              <w:rPr>
                <w:bCs/>
              </w:rPr>
              <w:t xml:space="preserve"> 'serious breach' is a breach that is likely to affect to a significant degree: the safety or physical or mental integrity of the participants; or the scientific value of the trial.</w:t>
            </w:r>
          </w:p>
        </w:tc>
      </w:tr>
      <w:tr w:rsidR="0007229B" w14:paraId="1AED66A1" w14:textId="77777777" w:rsidTr="003364DB">
        <w:trPr>
          <w:cantSplit/>
        </w:trPr>
        <w:tc>
          <w:tcPr>
            <w:tcW w:w="2462" w:type="dxa"/>
          </w:tcPr>
          <w:p w14:paraId="52B3FCAF" w14:textId="77777777" w:rsidR="0007229B" w:rsidRDefault="0007229B" w:rsidP="003364DB">
            <w:pPr>
              <w:pStyle w:val="AbbreviationsDefinitionsTerm"/>
            </w:pPr>
            <w:r>
              <w:lastRenderedPageBreak/>
              <w:t>SOP</w:t>
            </w:r>
          </w:p>
        </w:tc>
        <w:tc>
          <w:tcPr>
            <w:tcW w:w="6555" w:type="dxa"/>
            <w:vAlign w:val="center"/>
          </w:tcPr>
          <w:p w14:paraId="5DF1A901" w14:textId="77777777" w:rsidR="0007229B" w:rsidRDefault="0007229B" w:rsidP="003364DB">
            <w:pPr>
              <w:rPr>
                <w:bCs/>
              </w:rPr>
            </w:pPr>
            <w:r>
              <w:rPr>
                <w:bCs/>
              </w:rPr>
              <w:t>Standard operating procedure.</w:t>
            </w:r>
          </w:p>
        </w:tc>
      </w:tr>
      <w:tr w:rsidR="0007229B" w14:paraId="6C66C977" w14:textId="77777777" w:rsidTr="003364DB">
        <w:trPr>
          <w:cantSplit/>
        </w:trPr>
        <w:tc>
          <w:tcPr>
            <w:tcW w:w="2462" w:type="dxa"/>
          </w:tcPr>
          <w:p w14:paraId="2086EB1C" w14:textId="77777777" w:rsidR="0007229B" w:rsidRDefault="0007229B" w:rsidP="003364DB">
            <w:pPr>
              <w:pStyle w:val="AbbreviationsDefinitionsTerm"/>
            </w:pPr>
            <w:r>
              <w:t>Trial team</w:t>
            </w:r>
          </w:p>
        </w:tc>
        <w:tc>
          <w:tcPr>
            <w:tcW w:w="6555" w:type="dxa"/>
            <w:vAlign w:val="center"/>
          </w:tcPr>
          <w:p w14:paraId="72F6429F" w14:textId="77777777" w:rsidR="0007229B" w:rsidRDefault="0007229B" w:rsidP="003364DB">
            <w:r w:rsidRPr="00AC31E5">
              <w:t xml:space="preserve">Chief </w:t>
            </w:r>
            <w:r>
              <w:t>i</w:t>
            </w:r>
            <w:r w:rsidRPr="00AC31E5">
              <w:t xml:space="preserve">nvestigator (CI) and their team of individuals taking on CI duties relating to the trial management. Individuals may include co-investigator, </w:t>
            </w:r>
            <w:r>
              <w:t>t</w:t>
            </w:r>
            <w:r w:rsidRPr="00AC31E5">
              <w:t xml:space="preserve">rial </w:t>
            </w:r>
            <w:r>
              <w:t>c</w:t>
            </w:r>
            <w:r w:rsidRPr="00AC31E5">
              <w:t xml:space="preserve">oordinator, </w:t>
            </w:r>
            <w:r>
              <w:t>t</w:t>
            </w:r>
            <w:r w:rsidRPr="00AC31E5">
              <w:t xml:space="preserve">rial </w:t>
            </w:r>
            <w:r>
              <w:t>a</w:t>
            </w:r>
            <w:r w:rsidRPr="00AC31E5">
              <w:t xml:space="preserve">dministrator and/or </w:t>
            </w:r>
            <w:r>
              <w:t>d</w:t>
            </w:r>
            <w:r w:rsidRPr="00AC31E5">
              <w:t xml:space="preserve">ata </w:t>
            </w:r>
            <w:r>
              <w:t>m</w:t>
            </w:r>
            <w:r w:rsidRPr="00AC31E5">
              <w:t>anager.</w:t>
            </w:r>
          </w:p>
        </w:tc>
      </w:tr>
      <w:tr w:rsidR="0007229B" w14:paraId="4413B705" w14:textId="77777777" w:rsidTr="003364DB">
        <w:trPr>
          <w:cantSplit/>
        </w:trPr>
        <w:tc>
          <w:tcPr>
            <w:tcW w:w="2462" w:type="dxa"/>
          </w:tcPr>
          <w:p w14:paraId="3E4BD63D" w14:textId="77777777" w:rsidR="0007229B" w:rsidRDefault="0007229B" w:rsidP="003364DB">
            <w:pPr>
              <w:pStyle w:val="AbbreviationsDefinitionsTerm"/>
            </w:pPr>
            <w:r>
              <w:t>UoB</w:t>
            </w:r>
          </w:p>
        </w:tc>
        <w:tc>
          <w:tcPr>
            <w:tcW w:w="6555" w:type="dxa"/>
            <w:vAlign w:val="center"/>
          </w:tcPr>
          <w:p w14:paraId="7E66AD4F" w14:textId="77777777" w:rsidR="0007229B" w:rsidRPr="00AC31E5" w:rsidRDefault="0007229B" w:rsidP="003364DB">
            <w:r>
              <w:t>University of Birmingham.</w:t>
            </w:r>
          </w:p>
        </w:tc>
      </w:tr>
    </w:tbl>
    <w:p w14:paraId="4D36523F" w14:textId="7C8F99EC" w:rsidR="000374CB" w:rsidRDefault="0007229B" w:rsidP="0007229B">
      <w:r w:rsidRPr="009C2C63">
        <w:t xml:space="preserve">See also the </w:t>
      </w:r>
      <w:hyperlink r:id="rId18" w:tooltip="Link to CRCT Glossary of Terms" w:history="1">
        <w:r w:rsidRPr="00994EB6">
          <w:rPr>
            <w:rStyle w:val="Hyperlink"/>
          </w:rPr>
          <w:t>Glossary of Terms</w:t>
        </w:r>
      </w:hyperlink>
      <w:r w:rsidRPr="009C2C63">
        <w:t>.</w:t>
      </w:r>
    </w:p>
    <w:sectPr w:rsidR="000374CB" w:rsidSect="003A24EB">
      <w:headerReference w:type="even" r:id="rId19"/>
      <w:headerReference w:type="default" r:id="rId20"/>
      <w:footerReference w:type="even" r:id="rId21"/>
      <w:footerReference w:type="default" r:id="rId22"/>
      <w:headerReference w:type="first" r:id="rId23"/>
      <w:footerReference w:type="first" r:id="rId24"/>
      <w:pgSz w:w="11907" w:h="16839" w:code="9"/>
      <w:pgMar w:top="1440" w:right="1440" w:bottom="1440" w:left="1440" w:header="567" w:footer="397" w:gutter="0"/>
      <w:pgBorders>
        <w:top w:val="single" w:sz="12" w:space="3" w:color="943634"/>
        <w:bottom w:val="single" w:sz="12" w:space="3" w:color="94363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8CCA9" w14:textId="77777777" w:rsidR="0007229B" w:rsidRDefault="0007229B" w:rsidP="00F46DE6">
      <w:r>
        <w:separator/>
      </w:r>
    </w:p>
    <w:p w14:paraId="3AE025DE" w14:textId="77777777" w:rsidR="0007229B" w:rsidRDefault="0007229B" w:rsidP="00F46DE6"/>
  </w:endnote>
  <w:endnote w:type="continuationSeparator" w:id="0">
    <w:p w14:paraId="23F01C98" w14:textId="77777777" w:rsidR="0007229B" w:rsidRDefault="0007229B" w:rsidP="00F46DE6">
      <w:r>
        <w:continuationSeparator/>
      </w:r>
    </w:p>
    <w:p w14:paraId="4D85AA11" w14:textId="77777777" w:rsidR="0007229B" w:rsidRDefault="0007229B"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475B7" w14:textId="77777777" w:rsidR="00DD3075" w:rsidRDefault="00276842" w:rsidP="00276842">
    <w:pPr>
      <w:pStyle w:val="propertystatement"/>
    </w:pPr>
    <w:r w:rsidRPr="002D6577">
      <w:t xml:space="preserve">Property of </w:t>
    </w:r>
    <w:r>
      <w:t xml:space="preserve">the </w:t>
    </w:r>
    <w:r w:rsidRPr="002D6577">
      <w:t>University of Birmingham, Vincent Drive, Edgbaston, Birmingham, B15 2TT, United Kingdom</w:t>
    </w:r>
  </w:p>
  <w:p w14:paraId="1524A634" w14:textId="77777777" w:rsidR="00DD3075" w:rsidRPr="001348DC" w:rsidRDefault="00DD3075" w:rsidP="00DD3075">
    <w:pPr>
      <w:pStyle w:val="propertystatement"/>
    </w:pPr>
    <w:r w:rsidRPr="001348DC">
      <w:t>Copies are only valid for 14 days and may be subject to amendment a</w:t>
    </w:r>
    <w:r>
      <w:t>t any time. For the latest version refer to:</w:t>
    </w:r>
    <w:r w:rsidRPr="001348DC">
      <w:t xml:space="preserve"> </w:t>
    </w:r>
  </w:p>
  <w:p w14:paraId="3A08DFA0" w14:textId="77777777" w:rsidR="00276842" w:rsidRDefault="00696E9C" w:rsidP="00DD3075">
    <w:pPr>
      <w:pStyle w:val="propertystatement"/>
    </w:pPr>
    <w:hyperlink r:id="rId1" w:history="1">
      <w:r w:rsidR="00DD3075" w:rsidRPr="00D317E8">
        <w:rPr>
          <w:rStyle w:val="Hyperlink"/>
        </w:rPr>
        <w:t>http://www.birmingham.ac.uk/research/activity/mds/mds-rkto/governance/index.aspx</w:t>
      </w:r>
    </w:hyperlink>
  </w:p>
  <w:p w14:paraId="0177C296" w14:textId="77777777" w:rsidR="00D33108" w:rsidRPr="002D6577" w:rsidRDefault="00D33108" w:rsidP="006B351B">
    <w:pPr>
      <w:pStyle w:val="Footer"/>
      <w:jc w:val="both"/>
      <w:rPr>
        <w:bCs/>
        <w:iCs/>
        <w:szCs w:val="2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A4E76" w14:textId="77777777" w:rsidR="00D17200" w:rsidRDefault="00D17200" w:rsidP="009E44AF">
    <w:pPr>
      <w:pStyle w:val="Footer"/>
      <w:jc w:val="center"/>
    </w:pPr>
    <w:r w:rsidRPr="002D6577">
      <w:t xml:space="preserve">Property of </w:t>
    </w:r>
    <w:r>
      <w:t xml:space="preserve">the </w:t>
    </w:r>
    <w:r w:rsidRPr="002D6577">
      <w:t>University of Birmingham, Vincent Drive, Edgbaston, Birmingham, B15 2TT, United Kingdom</w:t>
    </w:r>
    <w:r w:rsidR="008F795D">
      <w:t>.</w:t>
    </w:r>
  </w:p>
  <w:p w14:paraId="0F80F82F" w14:textId="77777777" w:rsidR="00D17200" w:rsidRPr="001348DC" w:rsidRDefault="00D17200" w:rsidP="009E44AF">
    <w:pPr>
      <w:pStyle w:val="Footer"/>
      <w:jc w:val="center"/>
    </w:pPr>
    <w:r w:rsidRPr="001348DC">
      <w:t>Copies are only valid for 14 days and may be subject to amendment a</w:t>
    </w:r>
    <w:r>
      <w:t>t any time. For the latest version refer to:</w:t>
    </w:r>
  </w:p>
  <w:p w14:paraId="61BDEB74" w14:textId="77777777" w:rsidR="00D17200" w:rsidRDefault="00696E9C" w:rsidP="00D17200">
    <w:pPr>
      <w:pStyle w:val="propertystatement"/>
    </w:pPr>
    <w:hyperlink r:id="rId1" w:tooltip="Website for the Clinical Research Compliance Team" w:history="1">
      <w:r w:rsidR="00C31D63">
        <w:rPr>
          <w:rStyle w:val="Hyperlink"/>
        </w:rPr>
        <w:t>birmingham.ac.uk/crct</w:t>
      </w:r>
    </w:hyperlink>
    <w:r w:rsidR="008F795D">
      <w:t xml:space="preserve"> </w:t>
    </w:r>
  </w:p>
  <w:p w14:paraId="4DFEACD0" w14:textId="77777777" w:rsidR="00D17200" w:rsidRDefault="00D172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34A74" w14:textId="77777777" w:rsidR="00D33DFF" w:rsidRDefault="00696E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401"/>
      <w:gridCol w:w="1112"/>
    </w:tblGrid>
    <w:tr w:rsidR="00D33DFF" w:rsidRPr="002D6577" w14:paraId="4F62ADAD" w14:textId="77777777" w:rsidTr="003A24EB">
      <w:trPr>
        <w:trHeight w:val="148"/>
      </w:trPr>
      <w:tc>
        <w:tcPr>
          <w:tcW w:w="1441" w:type="dxa"/>
          <w:tcMar>
            <w:top w:w="0" w:type="dxa"/>
            <w:left w:w="57" w:type="dxa"/>
            <w:bottom w:w="0" w:type="dxa"/>
            <w:right w:w="57" w:type="dxa"/>
          </w:tcMar>
          <w:vAlign w:val="center"/>
        </w:tcPr>
        <w:p w14:paraId="55AE0760" w14:textId="77777777" w:rsidR="00D33DFF" w:rsidRPr="001C6EFB" w:rsidRDefault="0007229B" w:rsidP="005F731F">
          <w:pPr>
            <w:pStyle w:val="Footer"/>
          </w:pPr>
          <w:r w:rsidRPr="001C6EFB">
            <w:t>Document code:</w:t>
          </w:r>
        </w:p>
      </w:tc>
      <w:tc>
        <w:tcPr>
          <w:tcW w:w="3073" w:type="dxa"/>
          <w:tcMar>
            <w:top w:w="0" w:type="dxa"/>
            <w:left w:w="57" w:type="dxa"/>
            <w:bottom w:w="0" w:type="dxa"/>
            <w:right w:w="57" w:type="dxa"/>
          </w:tcMar>
          <w:vAlign w:val="center"/>
        </w:tcPr>
        <w:p w14:paraId="105DC312" w14:textId="77777777" w:rsidR="00D33DFF" w:rsidRPr="001C6EFB" w:rsidRDefault="0007229B" w:rsidP="0060052C">
          <w:pPr>
            <w:pStyle w:val="Footer"/>
          </w:pPr>
          <w:r>
            <w:t>UoB-CRL-SOP-005</w:t>
          </w:r>
        </w:p>
      </w:tc>
      <w:tc>
        <w:tcPr>
          <w:tcW w:w="3401" w:type="dxa"/>
          <w:tcMar>
            <w:top w:w="0" w:type="dxa"/>
            <w:left w:w="57" w:type="dxa"/>
            <w:bottom w:w="0" w:type="dxa"/>
            <w:right w:w="57" w:type="dxa"/>
          </w:tcMar>
          <w:vAlign w:val="center"/>
        </w:tcPr>
        <w:p w14:paraId="7811512B" w14:textId="77777777" w:rsidR="00D33DFF" w:rsidRPr="001C6EFB" w:rsidRDefault="0007229B" w:rsidP="00163F57">
          <w:pPr>
            <w:pStyle w:val="Footer"/>
            <w:jc w:val="right"/>
          </w:pPr>
          <w:r w:rsidRPr="001C6EFB">
            <w:t>Print Date:</w:t>
          </w:r>
        </w:p>
      </w:tc>
      <w:tc>
        <w:tcPr>
          <w:tcW w:w="1112" w:type="dxa"/>
          <w:tcMar>
            <w:top w:w="0" w:type="dxa"/>
            <w:left w:w="57" w:type="dxa"/>
            <w:bottom w:w="0" w:type="dxa"/>
            <w:right w:w="57" w:type="dxa"/>
          </w:tcMar>
          <w:vAlign w:val="center"/>
        </w:tcPr>
        <w:p w14:paraId="4B63D156" w14:textId="0448E6F8" w:rsidR="00D33DFF" w:rsidRPr="001C6EFB" w:rsidRDefault="0007229B" w:rsidP="00163F57">
          <w:pPr>
            <w:pStyle w:val="Footer"/>
            <w:jc w:val="right"/>
          </w:pPr>
          <w:r>
            <w:fldChar w:fldCharType="begin"/>
          </w:r>
          <w:r>
            <w:instrText xml:space="preserve"> DATE  \@ "dd-MMM-yyyy"  \* MERGEFORMAT </w:instrText>
          </w:r>
          <w:r>
            <w:fldChar w:fldCharType="separate"/>
          </w:r>
          <w:r w:rsidR="00696E9C">
            <w:rPr>
              <w:noProof/>
            </w:rPr>
            <w:t>16-Feb-2022</w:t>
          </w:r>
          <w:r>
            <w:fldChar w:fldCharType="end"/>
          </w:r>
        </w:p>
      </w:tc>
    </w:tr>
    <w:tr w:rsidR="00D33DFF" w:rsidRPr="002D6577" w14:paraId="530D61F4" w14:textId="77777777" w:rsidTr="003A24EB">
      <w:tc>
        <w:tcPr>
          <w:tcW w:w="1441" w:type="dxa"/>
          <w:tcMar>
            <w:top w:w="0" w:type="dxa"/>
            <w:left w:w="57" w:type="dxa"/>
            <w:bottom w:w="0" w:type="dxa"/>
            <w:right w:w="57" w:type="dxa"/>
          </w:tcMar>
          <w:vAlign w:val="center"/>
        </w:tcPr>
        <w:p w14:paraId="17ADB319" w14:textId="77777777" w:rsidR="00D33DFF" w:rsidRPr="001C6EFB" w:rsidRDefault="0007229B" w:rsidP="005F731F">
          <w:pPr>
            <w:pStyle w:val="Footer"/>
          </w:pPr>
          <w:r w:rsidRPr="001C6EFB">
            <w:t>Version no:</w:t>
          </w:r>
        </w:p>
      </w:tc>
      <w:tc>
        <w:tcPr>
          <w:tcW w:w="3073" w:type="dxa"/>
          <w:tcMar>
            <w:top w:w="0" w:type="dxa"/>
            <w:left w:w="57" w:type="dxa"/>
            <w:bottom w:w="0" w:type="dxa"/>
            <w:right w:w="57" w:type="dxa"/>
          </w:tcMar>
          <w:vAlign w:val="center"/>
        </w:tcPr>
        <w:p w14:paraId="7DBC731C" w14:textId="77777777" w:rsidR="00D33DFF" w:rsidRPr="001C6EFB" w:rsidRDefault="0007229B" w:rsidP="005F731F">
          <w:pPr>
            <w:pStyle w:val="Footer"/>
          </w:pPr>
          <w:r>
            <w:t>3.0</w:t>
          </w:r>
        </w:p>
      </w:tc>
      <w:tc>
        <w:tcPr>
          <w:tcW w:w="3401" w:type="dxa"/>
          <w:tcMar>
            <w:top w:w="0" w:type="dxa"/>
            <w:left w:w="57" w:type="dxa"/>
            <w:bottom w:w="0" w:type="dxa"/>
            <w:right w:w="57" w:type="dxa"/>
          </w:tcMar>
          <w:vAlign w:val="center"/>
        </w:tcPr>
        <w:p w14:paraId="4198FFBE" w14:textId="77777777" w:rsidR="00D33DFF" w:rsidRPr="001C6EFB" w:rsidRDefault="0007229B" w:rsidP="00163F57">
          <w:pPr>
            <w:pStyle w:val="Footer"/>
            <w:jc w:val="right"/>
          </w:pPr>
          <w:r w:rsidRPr="001C6EFB">
            <w:t>Page:</w:t>
          </w:r>
        </w:p>
      </w:tc>
      <w:tc>
        <w:tcPr>
          <w:tcW w:w="1112" w:type="dxa"/>
          <w:tcMar>
            <w:top w:w="0" w:type="dxa"/>
            <w:left w:w="57" w:type="dxa"/>
            <w:bottom w:w="0" w:type="dxa"/>
            <w:right w:w="57" w:type="dxa"/>
          </w:tcMar>
          <w:vAlign w:val="center"/>
        </w:tcPr>
        <w:p w14:paraId="2597FE8E" w14:textId="77777777" w:rsidR="00D33DFF" w:rsidRPr="001C6EFB" w:rsidRDefault="0007229B" w:rsidP="0060052C">
          <w:pPr>
            <w:pStyle w:val="Footer"/>
            <w:jc w:val="right"/>
          </w:pPr>
          <w:r w:rsidRPr="001C6EFB">
            <w:t xml:space="preserve"> </w:t>
          </w:r>
          <w:r>
            <w:fldChar w:fldCharType="begin"/>
          </w:r>
          <w:r>
            <w:instrText xml:space="preserve"> PAGE   \* MERGEFORMAT </w:instrText>
          </w:r>
          <w:r>
            <w:fldChar w:fldCharType="separate"/>
          </w:r>
          <w:r>
            <w:rPr>
              <w:noProof/>
            </w:rPr>
            <w:t>3</w:t>
          </w:r>
          <w:r>
            <w:fldChar w:fldCharType="end"/>
          </w:r>
          <w:r w:rsidRPr="001C6EFB">
            <w:t xml:space="preserve"> of </w:t>
          </w:r>
          <w:fldSimple w:instr=" NUMPAGES   \* MERGEFORMAT ">
            <w:r>
              <w:rPr>
                <w:noProof/>
              </w:rPr>
              <w:t>3</w:t>
            </w:r>
          </w:fldSimple>
        </w:p>
      </w:tc>
    </w:tr>
  </w:tbl>
  <w:p w14:paraId="4373BBB6" w14:textId="77777777" w:rsidR="00D33DFF" w:rsidRPr="003A24EB" w:rsidRDefault="00696E9C" w:rsidP="003A24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5ACBE" w14:textId="77777777" w:rsidR="00D33DFF" w:rsidRDefault="00696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C8A7" w14:textId="77777777" w:rsidR="0007229B" w:rsidRDefault="0007229B" w:rsidP="00F46DE6">
      <w:r>
        <w:separator/>
      </w:r>
    </w:p>
    <w:p w14:paraId="55169C49" w14:textId="77777777" w:rsidR="0007229B" w:rsidRDefault="0007229B" w:rsidP="00F46DE6"/>
  </w:footnote>
  <w:footnote w:type="continuationSeparator" w:id="0">
    <w:p w14:paraId="62E8E814" w14:textId="77777777" w:rsidR="0007229B" w:rsidRDefault="0007229B" w:rsidP="00F46DE6">
      <w:r>
        <w:continuationSeparator/>
      </w:r>
    </w:p>
    <w:p w14:paraId="1C1C2BAC" w14:textId="77777777" w:rsidR="0007229B" w:rsidRDefault="0007229B"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92D8D" w14:textId="77777777" w:rsidR="00A91AC7" w:rsidRDefault="00FF0711" w:rsidP="00A91AC7">
    <w:pPr>
      <w:pStyle w:val="propertystatement"/>
      <w:jc w:val="left"/>
    </w:pPr>
    <w:r w:rsidRPr="00F16569">
      <w:rPr>
        <w:noProof/>
        <w:lang w:eastAsia="en-GB"/>
      </w:rPr>
      <w:drawing>
        <wp:anchor distT="0" distB="0" distL="114300" distR="114300" simplePos="0" relativeHeight="251658240" behindDoc="0" locked="0" layoutInCell="1" allowOverlap="1" wp14:anchorId="30DA9E9E" wp14:editId="4E03EF7C">
          <wp:simplePos x="0" y="0"/>
          <wp:positionH relativeFrom="column">
            <wp:posOffset>-301625</wp:posOffset>
          </wp:positionH>
          <wp:positionV relativeFrom="page">
            <wp:posOffset>1050925</wp:posOffset>
          </wp:positionV>
          <wp:extent cx="2705100" cy="10629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A91AC7" w14:paraId="097B99DC" w14:textId="77777777" w:rsidTr="005F734C">
      <w:trPr>
        <w:trHeight w:val="278"/>
        <w:tblHeader/>
      </w:trPr>
      <w:tc>
        <w:tcPr>
          <w:tcW w:w="1668" w:type="dxa"/>
          <w:vAlign w:val="center"/>
        </w:tcPr>
        <w:p w14:paraId="3DF53ABD" w14:textId="77777777" w:rsidR="00A91AC7" w:rsidRDefault="00A91AC7" w:rsidP="00A91AC7">
          <w:pPr>
            <w:pStyle w:val="Footer"/>
          </w:pPr>
          <w:r w:rsidRPr="001C6EFB">
            <w:t>Document code:</w:t>
          </w:r>
        </w:p>
      </w:tc>
      <w:tc>
        <w:tcPr>
          <w:tcW w:w="2310" w:type="dxa"/>
          <w:vAlign w:val="center"/>
        </w:tcPr>
        <w:p w14:paraId="03DB2734" w14:textId="5CB3C6DF" w:rsidR="00A91AC7" w:rsidRDefault="00A91AC7" w:rsidP="00A91AC7">
          <w:pPr>
            <w:pStyle w:val="Footer"/>
            <w:jc w:val="right"/>
          </w:pPr>
          <w:r>
            <w:t>UoB-</w:t>
          </w:r>
          <w:r w:rsidR="0007229B">
            <w:t>CRL-SOP-005</w:t>
          </w:r>
        </w:p>
      </w:tc>
    </w:tr>
    <w:tr w:rsidR="00A91AC7" w14:paraId="77AE2076" w14:textId="77777777" w:rsidTr="005F734C">
      <w:trPr>
        <w:trHeight w:val="278"/>
      </w:trPr>
      <w:tc>
        <w:tcPr>
          <w:tcW w:w="1668" w:type="dxa"/>
          <w:vAlign w:val="center"/>
        </w:tcPr>
        <w:p w14:paraId="65CA4797" w14:textId="77777777" w:rsidR="00A91AC7" w:rsidRDefault="00A91AC7" w:rsidP="00A91AC7">
          <w:pPr>
            <w:pStyle w:val="Footer"/>
          </w:pPr>
          <w:r w:rsidRPr="001C6EFB">
            <w:t>Version no:</w:t>
          </w:r>
        </w:p>
      </w:tc>
      <w:tc>
        <w:tcPr>
          <w:tcW w:w="2310" w:type="dxa"/>
          <w:vAlign w:val="center"/>
        </w:tcPr>
        <w:p w14:paraId="1C294E50" w14:textId="105D2B9A" w:rsidR="00A91AC7" w:rsidRDefault="0007229B" w:rsidP="00A91AC7">
          <w:pPr>
            <w:pStyle w:val="Footer"/>
            <w:jc w:val="right"/>
          </w:pPr>
          <w:r>
            <w:t>3.0</w:t>
          </w:r>
        </w:p>
      </w:tc>
    </w:tr>
    <w:tr w:rsidR="00A91AC7" w14:paraId="72919286" w14:textId="77777777" w:rsidTr="005F734C">
      <w:trPr>
        <w:trHeight w:val="278"/>
      </w:trPr>
      <w:tc>
        <w:tcPr>
          <w:tcW w:w="1668" w:type="dxa"/>
          <w:vAlign w:val="center"/>
        </w:tcPr>
        <w:p w14:paraId="6E20410E" w14:textId="77777777" w:rsidR="00A91AC7" w:rsidRDefault="00A91AC7" w:rsidP="00A91AC7">
          <w:pPr>
            <w:pStyle w:val="Footer"/>
          </w:pPr>
          <w:r>
            <w:t>Effective date:</w:t>
          </w:r>
        </w:p>
      </w:tc>
      <w:tc>
        <w:tcPr>
          <w:tcW w:w="2310" w:type="dxa"/>
          <w:vAlign w:val="center"/>
        </w:tcPr>
        <w:p w14:paraId="666CAF65" w14:textId="5535AB1D" w:rsidR="00A91AC7" w:rsidRDefault="0007229B" w:rsidP="00A91AC7">
          <w:pPr>
            <w:pStyle w:val="Footer"/>
            <w:jc w:val="right"/>
          </w:pPr>
          <w:r>
            <w:t>14-Mar-2022</w:t>
          </w:r>
        </w:p>
      </w:tc>
    </w:tr>
    <w:tr w:rsidR="00A91AC7" w14:paraId="7C31911B" w14:textId="77777777" w:rsidTr="005F734C">
      <w:trPr>
        <w:trHeight w:val="278"/>
      </w:trPr>
      <w:tc>
        <w:tcPr>
          <w:tcW w:w="1668" w:type="dxa"/>
          <w:vAlign w:val="center"/>
        </w:tcPr>
        <w:p w14:paraId="55AF20E7" w14:textId="77777777" w:rsidR="00A91AC7" w:rsidRPr="001C6EFB" w:rsidRDefault="00A91AC7" w:rsidP="00A91AC7">
          <w:pPr>
            <w:pStyle w:val="Footer"/>
          </w:pPr>
          <w:r>
            <w:t>Print d</w:t>
          </w:r>
          <w:r w:rsidRPr="001C6EFB">
            <w:t>ate:</w:t>
          </w:r>
        </w:p>
      </w:tc>
      <w:tc>
        <w:tcPr>
          <w:tcW w:w="2310" w:type="dxa"/>
          <w:vAlign w:val="center"/>
        </w:tcPr>
        <w:p w14:paraId="3A8E326F" w14:textId="1291FD9D" w:rsidR="00A91AC7" w:rsidRDefault="00A91AC7" w:rsidP="00A91AC7">
          <w:pPr>
            <w:pStyle w:val="Footer"/>
            <w:jc w:val="right"/>
          </w:pPr>
          <w:r>
            <w:fldChar w:fldCharType="begin"/>
          </w:r>
          <w:r>
            <w:instrText xml:space="preserve"> DATE  \@ "dd-MMM-yyyy"  \* MERGEFORMAT </w:instrText>
          </w:r>
          <w:r>
            <w:fldChar w:fldCharType="separate"/>
          </w:r>
          <w:r w:rsidR="00696E9C">
            <w:rPr>
              <w:noProof/>
            </w:rPr>
            <w:t>16-Feb-2022</w:t>
          </w:r>
          <w:r>
            <w:fldChar w:fldCharType="end"/>
          </w:r>
        </w:p>
      </w:tc>
    </w:tr>
    <w:tr w:rsidR="00A91AC7" w14:paraId="5AD32150" w14:textId="77777777" w:rsidTr="005F734C">
      <w:trPr>
        <w:trHeight w:val="278"/>
      </w:trPr>
      <w:tc>
        <w:tcPr>
          <w:tcW w:w="1668" w:type="dxa"/>
          <w:vAlign w:val="center"/>
        </w:tcPr>
        <w:p w14:paraId="1498AF46" w14:textId="77777777" w:rsidR="00A91AC7" w:rsidRPr="001C6EFB" w:rsidRDefault="00A91AC7" w:rsidP="00A91AC7">
          <w:pPr>
            <w:pStyle w:val="Footer"/>
          </w:pPr>
          <w:r w:rsidRPr="001C6EFB">
            <w:t>Page:</w:t>
          </w:r>
        </w:p>
      </w:tc>
      <w:tc>
        <w:tcPr>
          <w:tcW w:w="2310" w:type="dxa"/>
          <w:vAlign w:val="center"/>
        </w:tcPr>
        <w:p w14:paraId="4088CAA6" w14:textId="77777777" w:rsidR="00A91AC7" w:rsidRDefault="00A91AC7" w:rsidP="00A91AC7">
          <w:pPr>
            <w:pStyle w:val="Footer"/>
            <w:jc w:val="right"/>
          </w:pPr>
          <w:r>
            <w:fldChar w:fldCharType="begin"/>
          </w:r>
          <w:r>
            <w:instrText xml:space="preserve"> PAGE   \* MERGEFORMAT </w:instrText>
          </w:r>
          <w:r>
            <w:fldChar w:fldCharType="separate"/>
          </w:r>
          <w:r w:rsidR="00B940A8">
            <w:rPr>
              <w:noProof/>
            </w:rPr>
            <w:t>1</w:t>
          </w:r>
          <w:r>
            <w:fldChar w:fldCharType="end"/>
          </w:r>
          <w:r>
            <w:t xml:space="preserve"> of </w:t>
          </w:r>
          <w:fldSimple w:instr=" NUMPAGES   \* MERGEFORMAT ">
            <w:r w:rsidR="00B940A8">
              <w:rPr>
                <w:noProof/>
              </w:rPr>
              <w:t>2</w:t>
            </w:r>
          </w:fldSimple>
          <w:r w:rsidRPr="001C6EFB">
            <w:t xml:space="preserve"> </w:t>
          </w:r>
        </w:p>
      </w:tc>
    </w:tr>
  </w:tbl>
  <w:p w14:paraId="70B1E030" w14:textId="77777777" w:rsidR="00A91AC7" w:rsidRDefault="00A91AC7" w:rsidP="00EF729E">
    <w:pPr>
      <w:pStyle w:val="Header"/>
      <w:ind w:left="-426"/>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73F99" w14:textId="77777777" w:rsidR="00D33DFF" w:rsidRDefault="00696E9C" w:rsidP="00163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67D3" w14:textId="77777777" w:rsidR="00D33DFF" w:rsidRPr="002135BA" w:rsidRDefault="0007229B" w:rsidP="00E9246C">
    <w:pPr>
      <w:pStyle w:val="Header"/>
    </w:pPr>
    <w:r w:rsidRPr="002135BA">
      <w:t>SOP</w:t>
    </w:r>
    <w:r>
      <w:t xml:space="preserve">: Reportable Issues </w:t>
    </w:r>
  </w:p>
  <w:p w14:paraId="79FCD4A7" w14:textId="77777777" w:rsidR="00D33DFF" w:rsidRPr="001C75D5" w:rsidRDefault="00696E9C">
    <w:pPr>
      <w:rPr>
        <w:noProof/>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189ED" w14:textId="77777777" w:rsidR="00D33DFF" w:rsidRDefault="00696E9C" w:rsidP="00163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03BE"/>
    <w:multiLevelType w:val="hybridMultilevel"/>
    <w:tmpl w:val="52C81F4A"/>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CF614F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5"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E549AB"/>
    <w:multiLevelType w:val="hybridMultilevel"/>
    <w:tmpl w:val="F90A8552"/>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10"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FC2CE3"/>
    <w:multiLevelType w:val="hybridMultilevel"/>
    <w:tmpl w:val="C23CF378"/>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DB579D5"/>
    <w:multiLevelType w:val="hybridMultilevel"/>
    <w:tmpl w:val="FBC2FDFC"/>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5"/>
  </w:num>
  <w:num w:numId="2">
    <w:abstractNumId w:val="7"/>
  </w:num>
  <w:num w:numId="3">
    <w:abstractNumId w:val="0"/>
  </w:num>
  <w:num w:numId="4">
    <w:abstractNumId w:val="12"/>
  </w:num>
  <w:num w:numId="5">
    <w:abstractNumId w:val="9"/>
  </w:num>
  <w:num w:numId="6">
    <w:abstractNumId w:val="13"/>
  </w:num>
  <w:num w:numId="7">
    <w:abstractNumId w:val="1"/>
  </w:num>
  <w:num w:numId="8">
    <w:abstractNumId w:val="8"/>
  </w:num>
  <w:num w:numId="9">
    <w:abstractNumId w:val="10"/>
  </w:num>
  <w:num w:numId="10">
    <w:abstractNumId w:val="14"/>
  </w:num>
  <w:num w:numId="11">
    <w:abstractNumId w:val="3"/>
  </w:num>
  <w:num w:numId="12">
    <w:abstractNumId w:val="4"/>
  </w:num>
  <w:num w:numId="13">
    <w:abstractNumId w:val="2"/>
  </w:num>
  <w:num w:numId="14">
    <w:abstractNumId w:val="6"/>
  </w:num>
  <w:num w:numId="15">
    <w:abstractNumId w:val="4"/>
  </w:num>
  <w:num w:numId="16">
    <w:abstractNumId w:val="4"/>
  </w:num>
  <w:num w:numId="17">
    <w:abstractNumId w:val="0"/>
  </w:num>
  <w:num w:numId="18">
    <w:abstractNumId w:val="11"/>
  </w:num>
  <w:num w:numId="19">
    <w:abstractNumId w:val="0"/>
    <w:lvlOverride w:ilvl="0"/>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29B"/>
    <w:rsid w:val="00001923"/>
    <w:rsid w:val="00001A7E"/>
    <w:rsid w:val="000060AE"/>
    <w:rsid w:val="0001086D"/>
    <w:rsid w:val="00012800"/>
    <w:rsid w:val="00013B08"/>
    <w:rsid w:val="000146F1"/>
    <w:rsid w:val="000229C5"/>
    <w:rsid w:val="00023BC0"/>
    <w:rsid w:val="000374CB"/>
    <w:rsid w:val="000379D7"/>
    <w:rsid w:val="000421FD"/>
    <w:rsid w:val="00043513"/>
    <w:rsid w:val="00044A64"/>
    <w:rsid w:val="00053A54"/>
    <w:rsid w:val="0005610D"/>
    <w:rsid w:val="00056940"/>
    <w:rsid w:val="000639EF"/>
    <w:rsid w:val="00064262"/>
    <w:rsid w:val="00064F56"/>
    <w:rsid w:val="0007229B"/>
    <w:rsid w:val="00072AD5"/>
    <w:rsid w:val="00072F51"/>
    <w:rsid w:val="0007480B"/>
    <w:rsid w:val="00075A9D"/>
    <w:rsid w:val="00077D41"/>
    <w:rsid w:val="00083C9D"/>
    <w:rsid w:val="0009369B"/>
    <w:rsid w:val="00095EFA"/>
    <w:rsid w:val="00097B78"/>
    <w:rsid w:val="000A0DFF"/>
    <w:rsid w:val="000A1324"/>
    <w:rsid w:val="000A1B0F"/>
    <w:rsid w:val="000A7BE6"/>
    <w:rsid w:val="000B1E3E"/>
    <w:rsid w:val="000B442E"/>
    <w:rsid w:val="000C3681"/>
    <w:rsid w:val="000C45B6"/>
    <w:rsid w:val="000C5087"/>
    <w:rsid w:val="000C54A1"/>
    <w:rsid w:val="000D34E7"/>
    <w:rsid w:val="000D3D68"/>
    <w:rsid w:val="000D3E8C"/>
    <w:rsid w:val="000D4912"/>
    <w:rsid w:val="000D677A"/>
    <w:rsid w:val="000D70AA"/>
    <w:rsid w:val="000D7D37"/>
    <w:rsid w:val="000F2380"/>
    <w:rsid w:val="000F391A"/>
    <w:rsid w:val="00100541"/>
    <w:rsid w:val="00100D71"/>
    <w:rsid w:val="00101773"/>
    <w:rsid w:val="00101B2B"/>
    <w:rsid w:val="00103FD0"/>
    <w:rsid w:val="00104D42"/>
    <w:rsid w:val="00105091"/>
    <w:rsid w:val="001057FB"/>
    <w:rsid w:val="001064D3"/>
    <w:rsid w:val="00110971"/>
    <w:rsid w:val="00113E78"/>
    <w:rsid w:val="001206F6"/>
    <w:rsid w:val="00121F28"/>
    <w:rsid w:val="00122579"/>
    <w:rsid w:val="00124792"/>
    <w:rsid w:val="00125667"/>
    <w:rsid w:val="00127D56"/>
    <w:rsid w:val="001300C8"/>
    <w:rsid w:val="0013051D"/>
    <w:rsid w:val="0013059D"/>
    <w:rsid w:val="00130E43"/>
    <w:rsid w:val="00134690"/>
    <w:rsid w:val="00134766"/>
    <w:rsid w:val="00135E89"/>
    <w:rsid w:val="001445C0"/>
    <w:rsid w:val="00163B7C"/>
    <w:rsid w:val="00163F57"/>
    <w:rsid w:val="001653F1"/>
    <w:rsid w:val="00165F48"/>
    <w:rsid w:val="00174B60"/>
    <w:rsid w:val="00174E0E"/>
    <w:rsid w:val="001775A9"/>
    <w:rsid w:val="00182896"/>
    <w:rsid w:val="0018309A"/>
    <w:rsid w:val="001841A1"/>
    <w:rsid w:val="00184BB7"/>
    <w:rsid w:val="00190C93"/>
    <w:rsid w:val="00194EE8"/>
    <w:rsid w:val="00195717"/>
    <w:rsid w:val="00196565"/>
    <w:rsid w:val="001A024E"/>
    <w:rsid w:val="001A142E"/>
    <w:rsid w:val="001A26D3"/>
    <w:rsid w:val="001A4718"/>
    <w:rsid w:val="001A544B"/>
    <w:rsid w:val="001A561F"/>
    <w:rsid w:val="001A723A"/>
    <w:rsid w:val="001B1E29"/>
    <w:rsid w:val="001B2717"/>
    <w:rsid w:val="001B30AD"/>
    <w:rsid w:val="001B3B91"/>
    <w:rsid w:val="001B412F"/>
    <w:rsid w:val="001B5617"/>
    <w:rsid w:val="001C314A"/>
    <w:rsid w:val="001C6EFB"/>
    <w:rsid w:val="001C75D5"/>
    <w:rsid w:val="001D0B50"/>
    <w:rsid w:val="001D1245"/>
    <w:rsid w:val="001D17A5"/>
    <w:rsid w:val="001D1986"/>
    <w:rsid w:val="001D28AC"/>
    <w:rsid w:val="001D3B22"/>
    <w:rsid w:val="001D7813"/>
    <w:rsid w:val="001E41A3"/>
    <w:rsid w:val="001F4FC3"/>
    <w:rsid w:val="001F7B4E"/>
    <w:rsid w:val="00202189"/>
    <w:rsid w:val="00202B8D"/>
    <w:rsid w:val="0020434B"/>
    <w:rsid w:val="00206578"/>
    <w:rsid w:val="002106E5"/>
    <w:rsid w:val="00210C1A"/>
    <w:rsid w:val="0021165B"/>
    <w:rsid w:val="00211B96"/>
    <w:rsid w:val="002135BA"/>
    <w:rsid w:val="00214550"/>
    <w:rsid w:val="0022018B"/>
    <w:rsid w:val="00220406"/>
    <w:rsid w:val="002227A2"/>
    <w:rsid w:val="0022356E"/>
    <w:rsid w:val="00231612"/>
    <w:rsid w:val="0023483C"/>
    <w:rsid w:val="002365F5"/>
    <w:rsid w:val="002444DB"/>
    <w:rsid w:val="0024558E"/>
    <w:rsid w:val="0024670C"/>
    <w:rsid w:val="00247F23"/>
    <w:rsid w:val="00250233"/>
    <w:rsid w:val="002518EA"/>
    <w:rsid w:val="002549E9"/>
    <w:rsid w:val="00254B93"/>
    <w:rsid w:val="0025522A"/>
    <w:rsid w:val="00264399"/>
    <w:rsid w:val="00266CBF"/>
    <w:rsid w:val="00270EA8"/>
    <w:rsid w:val="00275BAE"/>
    <w:rsid w:val="00276048"/>
    <w:rsid w:val="00276842"/>
    <w:rsid w:val="00281585"/>
    <w:rsid w:val="00290F8C"/>
    <w:rsid w:val="002937FE"/>
    <w:rsid w:val="002952B5"/>
    <w:rsid w:val="0029582C"/>
    <w:rsid w:val="002A068A"/>
    <w:rsid w:val="002A27DC"/>
    <w:rsid w:val="002A330A"/>
    <w:rsid w:val="002A38A5"/>
    <w:rsid w:val="002A57C2"/>
    <w:rsid w:val="002A5FA6"/>
    <w:rsid w:val="002A6563"/>
    <w:rsid w:val="002A68D6"/>
    <w:rsid w:val="002B016B"/>
    <w:rsid w:val="002B10B6"/>
    <w:rsid w:val="002C0E28"/>
    <w:rsid w:val="002C67A4"/>
    <w:rsid w:val="002D49D7"/>
    <w:rsid w:val="002D6577"/>
    <w:rsid w:val="002E3060"/>
    <w:rsid w:val="002E3BB0"/>
    <w:rsid w:val="002E6AE2"/>
    <w:rsid w:val="002E721B"/>
    <w:rsid w:val="002F0ACA"/>
    <w:rsid w:val="002F281C"/>
    <w:rsid w:val="002F490C"/>
    <w:rsid w:val="002F787E"/>
    <w:rsid w:val="00301050"/>
    <w:rsid w:val="003016D5"/>
    <w:rsid w:val="00304754"/>
    <w:rsid w:val="00310F22"/>
    <w:rsid w:val="00314B72"/>
    <w:rsid w:val="0031673C"/>
    <w:rsid w:val="0032079B"/>
    <w:rsid w:val="0032408C"/>
    <w:rsid w:val="00324A19"/>
    <w:rsid w:val="003313C3"/>
    <w:rsid w:val="00333888"/>
    <w:rsid w:val="00335D05"/>
    <w:rsid w:val="00337B7A"/>
    <w:rsid w:val="00342788"/>
    <w:rsid w:val="00342C1E"/>
    <w:rsid w:val="00342CC7"/>
    <w:rsid w:val="00343541"/>
    <w:rsid w:val="00345620"/>
    <w:rsid w:val="00350A42"/>
    <w:rsid w:val="00352FD6"/>
    <w:rsid w:val="003607CB"/>
    <w:rsid w:val="0036201D"/>
    <w:rsid w:val="00365D77"/>
    <w:rsid w:val="00372E92"/>
    <w:rsid w:val="0037641D"/>
    <w:rsid w:val="00380579"/>
    <w:rsid w:val="00381B35"/>
    <w:rsid w:val="003854BD"/>
    <w:rsid w:val="003876D0"/>
    <w:rsid w:val="00387EFA"/>
    <w:rsid w:val="00391A7C"/>
    <w:rsid w:val="00393C4E"/>
    <w:rsid w:val="00395F1E"/>
    <w:rsid w:val="00396CD2"/>
    <w:rsid w:val="003A1879"/>
    <w:rsid w:val="003A2150"/>
    <w:rsid w:val="003A24EB"/>
    <w:rsid w:val="003A2A2C"/>
    <w:rsid w:val="003A4D84"/>
    <w:rsid w:val="003A5879"/>
    <w:rsid w:val="003A70FF"/>
    <w:rsid w:val="003B0005"/>
    <w:rsid w:val="003B15C9"/>
    <w:rsid w:val="003B1F55"/>
    <w:rsid w:val="003B2DA7"/>
    <w:rsid w:val="003B34FB"/>
    <w:rsid w:val="003B56C0"/>
    <w:rsid w:val="003C04AD"/>
    <w:rsid w:val="003C35EE"/>
    <w:rsid w:val="003C720C"/>
    <w:rsid w:val="003D25C9"/>
    <w:rsid w:val="003D42E3"/>
    <w:rsid w:val="003D4BD6"/>
    <w:rsid w:val="003D51DC"/>
    <w:rsid w:val="003D7997"/>
    <w:rsid w:val="003E073D"/>
    <w:rsid w:val="003F0145"/>
    <w:rsid w:val="003F2345"/>
    <w:rsid w:val="003F4E5F"/>
    <w:rsid w:val="003F608D"/>
    <w:rsid w:val="003F64A9"/>
    <w:rsid w:val="003F7147"/>
    <w:rsid w:val="003F7AD7"/>
    <w:rsid w:val="00401840"/>
    <w:rsid w:val="00403449"/>
    <w:rsid w:val="00404742"/>
    <w:rsid w:val="0040651B"/>
    <w:rsid w:val="0041265B"/>
    <w:rsid w:val="00414858"/>
    <w:rsid w:val="00417854"/>
    <w:rsid w:val="00420EB6"/>
    <w:rsid w:val="00422A7E"/>
    <w:rsid w:val="004233AD"/>
    <w:rsid w:val="0042380D"/>
    <w:rsid w:val="00423E00"/>
    <w:rsid w:val="004243C4"/>
    <w:rsid w:val="00424C48"/>
    <w:rsid w:val="00424D85"/>
    <w:rsid w:val="00431633"/>
    <w:rsid w:val="00432B85"/>
    <w:rsid w:val="00433584"/>
    <w:rsid w:val="004342B5"/>
    <w:rsid w:val="00435EAE"/>
    <w:rsid w:val="00441DE6"/>
    <w:rsid w:val="00445DD9"/>
    <w:rsid w:val="00454205"/>
    <w:rsid w:val="00462B5B"/>
    <w:rsid w:val="00467F74"/>
    <w:rsid w:val="00474B7F"/>
    <w:rsid w:val="00475745"/>
    <w:rsid w:val="00476DB0"/>
    <w:rsid w:val="004773E0"/>
    <w:rsid w:val="004810D9"/>
    <w:rsid w:val="0048194C"/>
    <w:rsid w:val="00485E6A"/>
    <w:rsid w:val="0048641A"/>
    <w:rsid w:val="00497A4C"/>
    <w:rsid w:val="00497E87"/>
    <w:rsid w:val="004A364B"/>
    <w:rsid w:val="004A4882"/>
    <w:rsid w:val="004A75B7"/>
    <w:rsid w:val="004B03A3"/>
    <w:rsid w:val="004B0C68"/>
    <w:rsid w:val="004B0C77"/>
    <w:rsid w:val="004B3DB9"/>
    <w:rsid w:val="004B7034"/>
    <w:rsid w:val="004C2253"/>
    <w:rsid w:val="004C366B"/>
    <w:rsid w:val="004C46FF"/>
    <w:rsid w:val="004C526D"/>
    <w:rsid w:val="004C560A"/>
    <w:rsid w:val="004C5E89"/>
    <w:rsid w:val="004C6631"/>
    <w:rsid w:val="004D05BE"/>
    <w:rsid w:val="004D1948"/>
    <w:rsid w:val="004E21EE"/>
    <w:rsid w:val="004E4D87"/>
    <w:rsid w:val="004E5613"/>
    <w:rsid w:val="004E5F84"/>
    <w:rsid w:val="004E7EB2"/>
    <w:rsid w:val="004F28BC"/>
    <w:rsid w:val="00500409"/>
    <w:rsid w:val="005024F4"/>
    <w:rsid w:val="00502A82"/>
    <w:rsid w:val="005030FC"/>
    <w:rsid w:val="00512BE1"/>
    <w:rsid w:val="00512C56"/>
    <w:rsid w:val="00513DB5"/>
    <w:rsid w:val="005142C2"/>
    <w:rsid w:val="00515F0F"/>
    <w:rsid w:val="00516200"/>
    <w:rsid w:val="005223BE"/>
    <w:rsid w:val="00522ABB"/>
    <w:rsid w:val="00525CA4"/>
    <w:rsid w:val="00527E78"/>
    <w:rsid w:val="005343E6"/>
    <w:rsid w:val="005354C1"/>
    <w:rsid w:val="0053623B"/>
    <w:rsid w:val="00543C1B"/>
    <w:rsid w:val="0055153E"/>
    <w:rsid w:val="00556B76"/>
    <w:rsid w:val="005636D5"/>
    <w:rsid w:val="005663EA"/>
    <w:rsid w:val="005708FE"/>
    <w:rsid w:val="00571788"/>
    <w:rsid w:val="00571A9B"/>
    <w:rsid w:val="0058476F"/>
    <w:rsid w:val="00584775"/>
    <w:rsid w:val="00586C5E"/>
    <w:rsid w:val="00587557"/>
    <w:rsid w:val="00592FFB"/>
    <w:rsid w:val="005948ED"/>
    <w:rsid w:val="005951E3"/>
    <w:rsid w:val="0059568E"/>
    <w:rsid w:val="005A1486"/>
    <w:rsid w:val="005A1CF3"/>
    <w:rsid w:val="005A6461"/>
    <w:rsid w:val="005B2B90"/>
    <w:rsid w:val="005B5AA9"/>
    <w:rsid w:val="005C38BD"/>
    <w:rsid w:val="005C7A45"/>
    <w:rsid w:val="005D085D"/>
    <w:rsid w:val="005D17F6"/>
    <w:rsid w:val="005D321A"/>
    <w:rsid w:val="005D40D9"/>
    <w:rsid w:val="005E1F7C"/>
    <w:rsid w:val="005F0420"/>
    <w:rsid w:val="005F175F"/>
    <w:rsid w:val="005F1AD8"/>
    <w:rsid w:val="00600106"/>
    <w:rsid w:val="0060052C"/>
    <w:rsid w:val="006031E9"/>
    <w:rsid w:val="0060493A"/>
    <w:rsid w:val="00605E24"/>
    <w:rsid w:val="006119AC"/>
    <w:rsid w:val="00613A01"/>
    <w:rsid w:val="006147A9"/>
    <w:rsid w:val="006176B2"/>
    <w:rsid w:val="00624B79"/>
    <w:rsid w:val="00630316"/>
    <w:rsid w:val="0063129B"/>
    <w:rsid w:val="00636907"/>
    <w:rsid w:val="00636BD2"/>
    <w:rsid w:val="006372C5"/>
    <w:rsid w:val="00640296"/>
    <w:rsid w:val="0064360D"/>
    <w:rsid w:val="006452BA"/>
    <w:rsid w:val="00653B3D"/>
    <w:rsid w:val="00654502"/>
    <w:rsid w:val="006561C0"/>
    <w:rsid w:val="00657D72"/>
    <w:rsid w:val="00660DC2"/>
    <w:rsid w:val="00664185"/>
    <w:rsid w:val="0066505A"/>
    <w:rsid w:val="00670599"/>
    <w:rsid w:val="0067375A"/>
    <w:rsid w:val="00684803"/>
    <w:rsid w:val="00684DA0"/>
    <w:rsid w:val="00690BFE"/>
    <w:rsid w:val="00692ACD"/>
    <w:rsid w:val="00692DFA"/>
    <w:rsid w:val="006941D1"/>
    <w:rsid w:val="00696301"/>
    <w:rsid w:val="00696B18"/>
    <w:rsid w:val="00696E9C"/>
    <w:rsid w:val="006A057F"/>
    <w:rsid w:val="006A52C2"/>
    <w:rsid w:val="006A5B18"/>
    <w:rsid w:val="006B0E53"/>
    <w:rsid w:val="006B270C"/>
    <w:rsid w:val="006B351B"/>
    <w:rsid w:val="006B66EE"/>
    <w:rsid w:val="006C0879"/>
    <w:rsid w:val="006E32A4"/>
    <w:rsid w:val="006E39DA"/>
    <w:rsid w:val="006E57D8"/>
    <w:rsid w:val="006F30B1"/>
    <w:rsid w:val="006F6EFF"/>
    <w:rsid w:val="007029A2"/>
    <w:rsid w:val="00704E9B"/>
    <w:rsid w:val="00705FD1"/>
    <w:rsid w:val="007064B3"/>
    <w:rsid w:val="00712A28"/>
    <w:rsid w:val="00714ABF"/>
    <w:rsid w:val="00715858"/>
    <w:rsid w:val="0072425C"/>
    <w:rsid w:val="007265FC"/>
    <w:rsid w:val="00726D2D"/>
    <w:rsid w:val="00727E41"/>
    <w:rsid w:val="00731E89"/>
    <w:rsid w:val="007327DD"/>
    <w:rsid w:val="00734CF6"/>
    <w:rsid w:val="007363E6"/>
    <w:rsid w:val="0074146D"/>
    <w:rsid w:val="007427DD"/>
    <w:rsid w:val="00743FCE"/>
    <w:rsid w:val="00745292"/>
    <w:rsid w:val="00745CB4"/>
    <w:rsid w:val="00746BB7"/>
    <w:rsid w:val="00752E2A"/>
    <w:rsid w:val="00754D1F"/>
    <w:rsid w:val="00757628"/>
    <w:rsid w:val="007602C8"/>
    <w:rsid w:val="00760E2A"/>
    <w:rsid w:val="00761F87"/>
    <w:rsid w:val="007642D1"/>
    <w:rsid w:val="007655EC"/>
    <w:rsid w:val="00765A24"/>
    <w:rsid w:val="007668D7"/>
    <w:rsid w:val="00766C73"/>
    <w:rsid w:val="007764EB"/>
    <w:rsid w:val="00780DA8"/>
    <w:rsid w:val="00790CBC"/>
    <w:rsid w:val="00791AC8"/>
    <w:rsid w:val="0079417E"/>
    <w:rsid w:val="00794AB7"/>
    <w:rsid w:val="007A44B0"/>
    <w:rsid w:val="007A6E56"/>
    <w:rsid w:val="007B2EC7"/>
    <w:rsid w:val="007B2EFE"/>
    <w:rsid w:val="007B4836"/>
    <w:rsid w:val="007B53E5"/>
    <w:rsid w:val="007B5831"/>
    <w:rsid w:val="007B58A5"/>
    <w:rsid w:val="007B6DB7"/>
    <w:rsid w:val="007B72E2"/>
    <w:rsid w:val="007C10CF"/>
    <w:rsid w:val="007C2BD5"/>
    <w:rsid w:val="007C5977"/>
    <w:rsid w:val="007C5C93"/>
    <w:rsid w:val="007D3863"/>
    <w:rsid w:val="007D68C1"/>
    <w:rsid w:val="007D79E6"/>
    <w:rsid w:val="007F62D4"/>
    <w:rsid w:val="007F73CA"/>
    <w:rsid w:val="008016C1"/>
    <w:rsid w:val="0080244D"/>
    <w:rsid w:val="00802A77"/>
    <w:rsid w:val="008036AB"/>
    <w:rsid w:val="0080371D"/>
    <w:rsid w:val="00803F0F"/>
    <w:rsid w:val="008044C3"/>
    <w:rsid w:val="00804525"/>
    <w:rsid w:val="00804622"/>
    <w:rsid w:val="008076E5"/>
    <w:rsid w:val="00811195"/>
    <w:rsid w:val="008125A6"/>
    <w:rsid w:val="008129C1"/>
    <w:rsid w:val="00814346"/>
    <w:rsid w:val="00814EC7"/>
    <w:rsid w:val="00815021"/>
    <w:rsid w:val="0081603F"/>
    <w:rsid w:val="0081675C"/>
    <w:rsid w:val="00817FDE"/>
    <w:rsid w:val="008235B1"/>
    <w:rsid w:val="0082795A"/>
    <w:rsid w:val="0083169E"/>
    <w:rsid w:val="00832412"/>
    <w:rsid w:val="00834888"/>
    <w:rsid w:val="00840893"/>
    <w:rsid w:val="008424AF"/>
    <w:rsid w:val="008435F5"/>
    <w:rsid w:val="00851971"/>
    <w:rsid w:val="00852323"/>
    <w:rsid w:val="00860FC1"/>
    <w:rsid w:val="00860FC2"/>
    <w:rsid w:val="00862C8C"/>
    <w:rsid w:val="00864335"/>
    <w:rsid w:val="008647F2"/>
    <w:rsid w:val="00870BB2"/>
    <w:rsid w:val="008715F3"/>
    <w:rsid w:val="00875EAE"/>
    <w:rsid w:val="008766D7"/>
    <w:rsid w:val="008823B6"/>
    <w:rsid w:val="00886A0B"/>
    <w:rsid w:val="00893B82"/>
    <w:rsid w:val="00893CC2"/>
    <w:rsid w:val="008A0005"/>
    <w:rsid w:val="008A053A"/>
    <w:rsid w:val="008A41DE"/>
    <w:rsid w:val="008A5826"/>
    <w:rsid w:val="008A682E"/>
    <w:rsid w:val="008A7373"/>
    <w:rsid w:val="008B1C2E"/>
    <w:rsid w:val="008B4B57"/>
    <w:rsid w:val="008B5A32"/>
    <w:rsid w:val="008B6B2A"/>
    <w:rsid w:val="008C0049"/>
    <w:rsid w:val="008C2F7E"/>
    <w:rsid w:val="008C75C7"/>
    <w:rsid w:val="008C7BEB"/>
    <w:rsid w:val="008D31AF"/>
    <w:rsid w:val="008D54DF"/>
    <w:rsid w:val="008D6C84"/>
    <w:rsid w:val="008E2669"/>
    <w:rsid w:val="008E30FD"/>
    <w:rsid w:val="008E4568"/>
    <w:rsid w:val="008E466A"/>
    <w:rsid w:val="008E601E"/>
    <w:rsid w:val="008E79D2"/>
    <w:rsid w:val="008F0D57"/>
    <w:rsid w:val="008F3DCA"/>
    <w:rsid w:val="008F40D0"/>
    <w:rsid w:val="008F5FE0"/>
    <w:rsid w:val="008F795D"/>
    <w:rsid w:val="00902F90"/>
    <w:rsid w:val="00907B94"/>
    <w:rsid w:val="00913142"/>
    <w:rsid w:val="0091437E"/>
    <w:rsid w:val="00914FF9"/>
    <w:rsid w:val="009161CB"/>
    <w:rsid w:val="0091627A"/>
    <w:rsid w:val="009212E1"/>
    <w:rsid w:val="009218BC"/>
    <w:rsid w:val="00924799"/>
    <w:rsid w:val="00935ADD"/>
    <w:rsid w:val="00937647"/>
    <w:rsid w:val="00937A31"/>
    <w:rsid w:val="0094272E"/>
    <w:rsid w:val="0094547A"/>
    <w:rsid w:val="0094639E"/>
    <w:rsid w:val="00946465"/>
    <w:rsid w:val="00955EE1"/>
    <w:rsid w:val="009576BD"/>
    <w:rsid w:val="00961343"/>
    <w:rsid w:val="00962995"/>
    <w:rsid w:val="009665CF"/>
    <w:rsid w:val="00971826"/>
    <w:rsid w:val="009719C3"/>
    <w:rsid w:val="00971F1C"/>
    <w:rsid w:val="009725E3"/>
    <w:rsid w:val="00975188"/>
    <w:rsid w:val="00982575"/>
    <w:rsid w:val="00983431"/>
    <w:rsid w:val="00984F87"/>
    <w:rsid w:val="0099679E"/>
    <w:rsid w:val="009A2040"/>
    <w:rsid w:val="009A221B"/>
    <w:rsid w:val="009A3446"/>
    <w:rsid w:val="009B26BA"/>
    <w:rsid w:val="009C2C63"/>
    <w:rsid w:val="009C4257"/>
    <w:rsid w:val="009C52B9"/>
    <w:rsid w:val="009C5723"/>
    <w:rsid w:val="009D0F66"/>
    <w:rsid w:val="009D2891"/>
    <w:rsid w:val="009D6F1F"/>
    <w:rsid w:val="009E08FF"/>
    <w:rsid w:val="009E11DD"/>
    <w:rsid w:val="009E44AF"/>
    <w:rsid w:val="009E45A3"/>
    <w:rsid w:val="009F0638"/>
    <w:rsid w:val="009F1369"/>
    <w:rsid w:val="009F2F77"/>
    <w:rsid w:val="009F4AC7"/>
    <w:rsid w:val="009F627E"/>
    <w:rsid w:val="00A00156"/>
    <w:rsid w:val="00A00BE8"/>
    <w:rsid w:val="00A01C93"/>
    <w:rsid w:val="00A0271E"/>
    <w:rsid w:val="00A06B2E"/>
    <w:rsid w:val="00A11FDD"/>
    <w:rsid w:val="00A123E1"/>
    <w:rsid w:val="00A13CB0"/>
    <w:rsid w:val="00A140D5"/>
    <w:rsid w:val="00A21EF3"/>
    <w:rsid w:val="00A264AD"/>
    <w:rsid w:val="00A306A4"/>
    <w:rsid w:val="00A308A4"/>
    <w:rsid w:val="00A3465C"/>
    <w:rsid w:val="00A3579A"/>
    <w:rsid w:val="00A35E4F"/>
    <w:rsid w:val="00A46AE5"/>
    <w:rsid w:val="00A5240E"/>
    <w:rsid w:val="00A5391E"/>
    <w:rsid w:val="00A55A06"/>
    <w:rsid w:val="00A5670C"/>
    <w:rsid w:val="00A57390"/>
    <w:rsid w:val="00A6082D"/>
    <w:rsid w:val="00A6339F"/>
    <w:rsid w:val="00A64B4F"/>
    <w:rsid w:val="00A66148"/>
    <w:rsid w:val="00A668FC"/>
    <w:rsid w:val="00A74DB6"/>
    <w:rsid w:val="00A74E71"/>
    <w:rsid w:val="00A7704C"/>
    <w:rsid w:val="00A80207"/>
    <w:rsid w:val="00A822DC"/>
    <w:rsid w:val="00A84701"/>
    <w:rsid w:val="00A91AC7"/>
    <w:rsid w:val="00A93988"/>
    <w:rsid w:val="00A9456D"/>
    <w:rsid w:val="00A95C65"/>
    <w:rsid w:val="00AA1665"/>
    <w:rsid w:val="00AA3234"/>
    <w:rsid w:val="00AA6011"/>
    <w:rsid w:val="00AA74BA"/>
    <w:rsid w:val="00AB2EAD"/>
    <w:rsid w:val="00AB566D"/>
    <w:rsid w:val="00AB704E"/>
    <w:rsid w:val="00AC0978"/>
    <w:rsid w:val="00AC215A"/>
    <w:rsid w:val="00AC5EAA"/>
    <w:rsid w:val="00AC7BE0"/>
    <w:rsid w:val="00AD13D7"/>
    <w:rsid w:val="00AD4665"/>
    <w:rsid w:val="00AD57CC"/>
    <w:rsid w:val="00AD6081"/>
    <w:rsid w:val="00AD65E0"/>
    <w:rsid w:val="00AE0AC8"/>
    <w:rsid w:val="00AE2516"/>
    <w:rsid w:val="00AE5591"/>
    <w:rsid w:val="00AE5780"/>
    <w:rsid w:val="00AE6309"/>
    <w:rsid w:val="00AE744B"/>
    <w:rsid w:val="00AF0C85"/>
    <w:rsid w:val="00AF10D0"/>
    <w:rsid w:val="00AF7CD2"/>
    <w:rsid w:val="00B07452"/>
    <w:rsid w:val="00B1052F"/>
    <w:rsid w:val="00B10C05"/>
    <w:rsid w:val="00B134F0"/>
    <w:rsid w:val="00B13B5E"/>
    <w:rsid w:val="00B14826"/>
    <w:rsid w:val="00B16E7D"/>
    <w:rsid w:val="00B22AD7"/>
    <w:rsid w:val="00B27204"/>
    <w:rsid w:val="00B35770"/>
    <w:rsid w:val="00B3606D"/>
    <w:rsid w:val="00B40C5F"/>
    <w:rsid w:val="00B452AE"/>
    <w:rsid w:val="00B53A1C"/>
    <w:rsid w:val="00B53C9D"/>
    <w:rsid w:val="00B55F4C"/>
    <w:rsid w:val="00B6064B"/>
    <w:rsid w:val="00B6322E"/>
    <w:rsid w:val="00B63F21"/>
    <w:rsid w:val="00B72E42"/>
    <w:rsid w:val="00B747FB"/>
    <w:rsid w:val="00B7682F"/>
    <w:rsid w:val="00B76ACC"/>
    <w:rsid w:val="00B7758F"/>
    <w:rsid w:val="00B77B48"/>
    <w:rsid w:val="00B80F8D"/>
    <w:rsid w:val="00B837C7"/>
    <w:rsid w:val="00B84799"/>
    <w:rsid w:val="00B86A0E"/>
    <w:rsid w:val="00B92012"/>
    <w:rsid w:val="00B928F6"/>
    <w:rsid w:val="00B937B6"/>
    <w:rsid w:val="00B940A8"/>
    <w:rsid w:val="00B952E8"/>
    <w:rsid w:val="00B967BD"/>
    <w:rsid w:val="00B9696A"/>
    <w:rsid w:val="00BA59CF"/>
    <w:rsid w:val="00BB16B3"/>
    <w:rsid w:val="00BB27E5"/>
    <w:rsid w:val="00BB2AF0"/>
    <w:rsid w:val="00BB30D5"/>
    <w:rsid w:val="00BB6ABD"/>
    <w:rsid w:val="00BD1740"/>
    <w:rsid w:val="00BD3F7D"/>
    <w:rsid w:val="00BD4DD3"/>
    <w:rsid w:val="00BE1BAC"/>
    <w:rsid w:val="00BE1DB1"/>
    <w:rsid w:val="00BE5AE5"/>
    <w:rsid w:val="00BF4265"/>
    <w:rsid w:val="00BF6B08"/>
    <w:rsid w:val="00BF6D4D"/>
    <w:rsid w:val="00C02B76"/>
    <w:rsid w:val="00C036D8"/>
    <w:rsid w:val="00C0382A"/>
    <w:rsid w:val="00C0396F"/>
    <w:rsid w:val="00C04D64"/>
    <w:rsid w:val="00C11049"/>
    <w:rsid w:val="00C126C0"/>
    <w:rsid w:val="00C16E6D"/>
    <w:rsid w:val="00C20F6B"/>
    <w:rsid w:val="00C24712"/>
    <w:rsid w:val="00C30124"/>
    <w:rsid w:val="00C31D63"/>
    <w:rsid w:val="00C34052"/>
    <w:rsid w:val="00C34A3B"/>
    <w:rsid w:val="00C34E3D"/>
    <w:rsid w:val="00C3647F"/>
    <w:rsid w:val="00C36AE0"/>
    <w:rsid w:val="00C40F55"/>
    <w:rsid w:val="00C435CC"/>
    <w:rsid w:val="00C43BEC"/>
    <w:rsid w:val="00C4454A"/>
    <w:rsid w:val="00C45C15"/>
    <w:rsid w:val="00C51ECE"/>
    <w:rsid w:val="00C534D8"/>
    <w:rsid w:val="00C5401C"/>
    <w:rsid w:val="00C55413"/>
    <w:rsid w:val="00C56ADA"/>
    <w:rsid w:val="00C56C83"/>
    <w:rsid w:val="00C65C41"/>
    <w:rsid w:val="00C67B31"/>
    <w:rsid w:val="00C75D9A"/>
    <w:rsid w:val="00C81ADC"/>
    <w:rsid w:val="00C8467F"/>
    <w:rsid w:val="00C84EEF"/>
    <w:rsid w:val="00C862EE"/>
    <w:rsid w:val="00C87A3B"/>
    <w:rsid w:val="00C91CEB"/>
    <w:rsid w:val="00C93BBD"/>
    <w:rsid w:val="00C942FE"/>
    <w:rsid w:val="00CA03CB"/>
    <w:rsid w:val="00CA098E"/>
    <w:rsid w:val="00CA2C1A"/>
    <w:rsid w:val="00CA7404"/>
    <w:rsid w:val="00CB07E8"/>
    <w:rsid w:val="00CB45BA"/>
    <w:rsid w:val="00CC0682"/>
    <w:rsid w:val="00CC1A24"/>
    <w:rsid w:val="00CC2B7A"/>
    <w:rsid w:val="00CC478A"/>
    <w:rsid w:val="00CC61A6"/>
    <w:rsid w:val="00CC6C2A"/>
    <w:rsid w:val="00CD1532"/>
    <w:rsid w:val="00CD2F93"/>
    <w:rsid w:val="00CD3E66"/>
    <w:rsid w:val="00CD5B93"/>
    <w:rsid w:val="00CE116E"/>
    <w:rsid w:val="00CE2541"/>
    <w:rsid w:val="00CE7D01"/>
    <w:rsid w:val="00CF124E"/>
    <w:rsid w:val="00CF2072"/>
    <w:rsid w:val="00CF2082"/>
    <w:rsid w:val="00D00C72"/>
    <w:rsid w:val="00D017DD"/>
    <w:rsid w:val="00D01F82"/>
    <w:rsid w:val="00D0237D"/>
    <w:rsid w:val="00D04619"/>
    <w:rsid w:val="00D05063"/>
    <w:rsid w:val="00D05DA4"/>
    <w:rsid w:val="00D07256"/>
    <w:rsid w:val="00D07D11"/>
    <w:rsid w:val="00D17200"/>
    <w:rsid w:val="00D17544"/>
    <w:rsid w:val="00D23782"/>
    <w:rsid w:val="00D26749"/>
    <w:rsid w:val="00D270BD"/>
    <w:rsid w:val="00D27D10"/>
    <w:rsid w:val="00D30131"/>
    <w:rsid w:val="00D31164"/>
    <w:rsid w:val="00D31668"/>
    <w:rsid w:val="00D33108"/>
    <w:rsid w:val="00D33C0E"/>
    <w:rsid w:val="00D33E53"/>
    <w:rsid w:val="00D41A7F"/>
    <w:rsid w:val="00D41CE6"/>
    <w:rsid w:val="00D47970"/>
    <w:rsid w:val="00D53B40"/>
    <w:rsid w:val="00D608A3"/>
    <w:rsid w:val="00D61A38"/>
    <w:rsid w:val="00D63317"/>
    <w:rsid w:val="00D63BBD"/>
    <w:rsid w:val="00D65096"/>
    <w:rsid w:val="00D67824"/>
    <w:rsid w:val="00D72805"/>
    <w:rsid w:val="00D7713D"/>
    <w:rsid w:val="00D82CCF"/>
    <w:rsid w:val="00D85404"/>
    <w:rsid w:val="00D914F3"/>
    <w:rsid w:val="00D930D4"/>
    <w:rsid w:val="00DA19A3"/>
    <w:rsid w:val="00DA31DC"/>
    <w:rsid w:val="00DA4D76"/>
    <w:rsid w:val="00DA54AF"/>
    <w:rsid w:val="00DA781F"/>
    <w:rsid w:val="00DB4A98"/>
    <w:rsid w:val="00DB5FB3"/>
    <w:rsid w:val="00DC0548"/>
    <w:rsid w:val="00DC0D2B"/>
    <w:rsid w:val="00DC30B1"/>
    <w:rsid w:val="00DC435D"/>
    <w:rsid w:val="00DC58E9"/>
    <w:rsid w:val="00DD171A"/>
    <w:rsid w:val="00DD3075"/>
    <w:rsid w:val="00DD635E"/>
    <w:rsid w:val="00DE08B9"/>
    <w:rsid w:val="00DE2ACB"/>
    <w:rsid w:val="00DE4B2A"/>
    <w:rsid w:val="00DE6BC6"/>
    <w:rsid w:val="00DF77AD"/>
    <w:rsid w:val="00E12A20"/>
    <w:rsid w:val="00E16DBD"/>
    <w:rsid w:val="00E2252B"/>
    <w:rsid w:val="00E22773"/>
    <w:rsid w:val="00E234E5"/>
    <w:rsid w:val="00E31646"/>
    <w:rsid w:val="00E32E75"/>
    <w:rsid w:val="00E34990"/>
    <w:rsid w:val="00E34BEA"/>
    <w:rsid w:val="00E410D8"/>
    <w:rsid w:val="00E4248D"/>
    <w:rsid w:val="00E47E03"/>
    <w:rsid w:val="00E52A33"/>
    <w:rsid w:val="00E53B95"/>
    <w:rsid w:val="00E54F5E"/>
    <w:rsid w:val="00E57BDF"/>
    <w:rsid w:val="00E66F7C"/>
    <w:rsid w:val="00E714DD"/>
    <w:rsid w:val="00E81F47"/>
    <w:rsid w:val="00E9003F"/>
    <w:rsid w:val="00E935B2"/>
    <w:rsid w:val="00E93A22"/>
    <w:rsid w:val="00E95340"/>
    <w:rsid w:val="00E95906"/>
    <w:rsid w:val="00EA35BA"/>
    <w:rsid w:val="00EA47FF"/>
    <w:rsid w:val="00EA5210"/>
    <w:rsid w:val="00EA62D7"/>
    <w:rsid w:val="00EB0C6D"/>
    <w:rsid w:val="00EB122B"/>
    <w:rsid w:val="00EB6B50"/>
    <w:rsid w:val="00EC0950"/>
    <w:rsid w:val="00EC130E"/>
    <w:rsid w:val="00EC3122"/>
    <w:rsid w:val="00EC42B6"/>
    <w:rsid w:val="00EC5810"/>
    <w:rsid w:val="00EC6230"/>
    <w:rsid w:val="00ED1753"/>
    <w:rsid w:val="00ED2C7C"/>
    <w:rsid w:val="00ED6779"/>
    <w:rsid w:val="00EE1837"/>
    <w:rsid w:val="00EE35DE"/>
    <w:rsid w:val="00EE47E5"/>
    <w:rsid w:val="00EE6CA5"/>
    <w:rsid w:val="00EF1B60"/>
    <w:rsid w:val="00EF30F1"/>
    <w:rsid w:val="00EF5E08"/>
    <w:rsid w:val="00EF729E"/>
    <w:rsid w:val="00F013DE"/>
    <w:rsid w:val="00F03A30"/>
    <w:rsid w:val="00F04052"/>
    <w:rsid w:val="00F12A38"/>
    <w:rsid w:val="00F13ED0"/>
    <w:rsid w:val="00F17811"/>
    <w:rsid w:val="00F210C4"/>
    <w:rsid w:val="00F21898"/>
    <w:rsid w:val="00F21A50"/>
    <w:rsid w:val="00F31B22"/>
    <w:rsid w:val="00F31D4F"/>
    <w:rsid w:val="00F34657"/>
    <w:rsid w:val="00F355FB"/>
    <w:rsid w:val="00F40DCF"/>
    <w:rsid w:val="00F43764"/>
    <w:rsid w:val="00F46DE6"/>
    <w:rsid w:val="00F47D41"/>
    <w:rsid w:val="00F506E3"/>
    <w:rsid w:val="00F52128"/>
    <w:rsid w:val="00F52638"/>
    <w:rsid w:val="00F53172"/>
    <w:rsid w:val="00F55561"/>
    <w:rsid w:val="00F629BC"/>
    <w:rsid w:val="00F62C5B"/>
    <w:rsid w:val="00F62EB2"/>
    <w:rsid w:val="00F70A26"/>
    <w:rsid w:val="00F73811"/>
    <w:rsid w:val="00F7576E"/>
    <w:rsid w:val="00F7764F"/>
    <w:rsid w:val="00F77B3A"/>
    <w:rsid w:val="00F81EA8"/>
    <w:rsid w:val="00F83916"/>
    <w:rsid w:val="00F86FE3"/>
    <w:rsid w:val="00F9033A"/>
    <w:rsid w:val="00F90381"/>
    <w:rsid w:val="00F949D7"/>
    <w:rsid w:val="00FA2705"/>
    <w:rsid w:val="00FA3166"/>
    <w:rsid w:val="00FA41BA"/>
    <w:rsid w:val="00FA7B7C"/>
    <w:rsid w:val="00FB0787"/>
    <w:rsid w:val="00FB3238"/>
    <w:rsid w:val="00FB5172"/>
    <w:rsid w:val="00FC05BD"/>
    <w:rsid w:val="00FC1903"/>
    <w:rsid w:val="00FD05D4"/>
    <w:rsid w:val="00FD58A1"/>
    <w:rsid w:val="00FD689E"/>
    <w:rsid w:val="00FE1FEC"/>
    <w:rsid w:val="00FE259F"/>
    <w:rsid w:val="00FE324F"/>
    <w:rsid w:val="00FE32F0"/>
    <w:rsid w:val="00FE50DE"/>
    <w:rsid w:val="00FE587B"/>
    <w:rsid w:val="00FE6B73"/>
    <w:rsid w:val="00FF0711"/>
    <w:rsid w:val="00FF33E7"/>
    <w:rsid w:val="00FF514D"/>
    <w:rsid w:val="00FF611B"/>
    <w:rsid w:val="00FF61AE"/>
    <w:rsid w:val="00FF6C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D3437E"/>
  <w15:docId w15:val="{370F1D32-35A2-4003-A146-7C00C5D87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3DE"/>
    <w:pPr>
      <w:spacing w:before="60" w:after="60" w:line="240" w:lineRule="auto"/>
    </w:pPr>
    <w:rPr>
      <w:rFonts w:ascii="Calibri" w:hAnsi="Calibri" w:cs="Arial"/>
      <w:sz w:val="20"/>
      <w:szCs w:val="20"/>
      <w:lang w:eastAsia="en-US"/>
    </w:rPr>
  </w:style>
  <w:style w:type="paragraph" w:styleId="Heading1">
    <w:name w:val="heading 1"/>
    <w:basedOn w:val="Normal"/>
    <w:next w:val="Normal"/>
    <w:link w:val="Heading1Char"/>
    <w:uiPriority w:val="6"/>
    <w:qFormat/>
    <w:rsid w:val="00475745"/>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uiPriority w:val="7"/>
    <w:qFormat/>
    <w:rsid w:val="00475745"/>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475745"/>
    <w:pPr>
      <w:keepNext/>
      <w:spacing w:before="120"/>
      <w:outlineLvl w:val="2"/>
    </w:pPr>
    <w:rPr>
      <w:b/>
      <w:bCs/>
      <w:szCs w:val="26"/>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locked/>
    <w:rsid w:val="00475745"/>
    <w:rPr>
      <w:rFonts w:ascii="Gill Sans MT" w:hAnsi="Gill Sans MT" w:cs="Tahoma"/>
      <w:bCs/>
      <w:color w:val="943634"/>
      <w:kern w:val="32"/>
      <w:sz w:val="28"/>
      <w:szCs w:val="28"/>
      <w:lang w:eastAsia="en-US"/>
    </w:rPr>
  </w:style>
  <w:style w:type="character" w:customStyle="1" w:styleId="Heading2Char">
    <w:name w:val="Heading 2 Char"/>
    <w:basedOn w:val="DefaultParagraphFont"/>
    <w:link w:val="Heading2"/>
    <w:uiPriority w:val="7"/>
    <w:locked/>
    <w:rsid w:val="00475745"/>
    <w:rPr>
      <w:rFonts w:ascii="Gill Sans MT" w:eastAsiaTheme="minorHAnsi" w:hAnsi="Gill Sans MT" w:cs="Arial"/>
      <w:bCs/>
      <w:iCs/>
      <w:color w:val="943634"/>
      <w:szCs w:val="28"/>
      <w:lang w:eastAsia="en-US"/>
    </w:rPr>
  </w:style>
  <w:style w:type="character" w:customStyle="1" w:styleId="Heading3Char">
    <w:name w:val="Heading 3 Char"/>
    <w:basedOn w:val="DefaultParagraphFont"/>
    <w:link w:val="Heading3"/>
    <w:uiPriority w:val="8"/>
    <w:locked/>
    <w:rsid w:val="00475745"/>
    <w:rPr>
      <w:rFonts w:ascii="Calibri" w:hAnsi="Calibri" w:cs="Arial"/>
      <w:b/>
      <w:bCs/>
      <w:sz w:val="20"/>
      <w:szCs w:val="26"/>
      <w:lang w:eastAsia="en-US"/>
    </w:rPr>
  </w:style>
  <w:style w:type="paragraph" w:customStyle="1" w:styleId="Instructions-bullet1">
    <w:name w:val="Instructions - bullet 1"/>
    <w:basedOn w:val="Instructions"/>
    <w:uiPriority w:val="12"/>
    <w:qFormat/>
    <w:rsid w:val="00475745"/>
    <w:pPr>
      <w:numPr>
        <w:numId w:val="7"/>
      </w:numPr>
      <w:ind w:left="680" w:hanging="340"/>
    </w:pPr>
    <w:rPr>
      <w:rFonts w:cs="Times New Roman"/>
    </w:rPr>
  </w:style>
  <w:style w:type="paragraph" w:customStyle="1" w:styleId="Instructions-numbered">
    <w:name w:val="Instructions - numbered"/>
    <w:basedOn w:val="Normal"/>
    <w:uiPriority w:val="13"/>
    <w:qFormat/>
    <w:rsid w:val="00475745"/>
    <w:pPr>
      <w:numPr>
        <w:numId w:val="8"/>
      </w:numPr>
      <w:ind w:left="680" w:hanging="340"/>
    </w:pPr>
    <w:rPr>
      <w:rFonts w:cs="Times New Roman"/>
      <w:i/>
      <w:color w:val="FF0000"/>
    </w:rPr>
  </w:style>
  <w:style w:type="paragraph" w:customStyle="1" w:styleId="bullet1">
    <w:name w:val="bullet 1"/>
    <w:basedOn w:val="Normal"/>
    <w:link w:val="bullet1Char"/>
    <w:qFormat/>
    <w:rsid w:val="00475745"/>
    <w:pPr>
      <w:numPr>
        <w:numId w:val="17"/>
      </w:numPr>
      <w:ind w:left="340" w:hanging="34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F70A2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locked/>
    <w:rsid w:val="0083169E"/>
    <w:rPr>
      <w:rFonts w:ascii="Calibri" w:hAnsi="Calibri" w:cs="Arial"/>
      <w:color w:val="808080" w:themeColor="background1" w:themeShade="80"/>
      <w:sz w:val="18"/>
      <w:szCs w:val="20"/>
      <w:lang w:val="en-US" w:eastAsia="en-US"/>
    </w:rPr>
  </w:style>
  <w:style w:type="paragraph" w:styleId="Header">
    <w:name w:val="header"/>
    <w:aliases w:val="Header - SOP"/>
    <w:basedOn w:val="Normal"/>
    <w:link w:val="HeaderChar"/>
    <w:uiPriority w:val="15"/>
    <w:qFormat/>
    <w:rsid w:val="006E32A4"/>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erChar">
    <w:name w:val="Header Char"/>
    <w:aliases w:val="Header - SOP Char"/>
    <w:basedOn w:val="DefaultParagraphFont"/>
    <w:link w:val="Header"/>
    <w:uiPriority w:val="15"/>
    <w:locked/>
    <w:rsid w:val="0083169E"/>
    <w:rPr>
      <w:rFonts w:ascii="Gill Sans MT" w:hAnsi="Gill Sans MT" w:cs="Arial"/>
      <w:noProof/>
      <w:color w:val="808080" w:themeColor="background1" w:themeShade="80"/>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SOP Title"/>
    <w:basedOn w:val="Normal"/>
    <w:next w:val="Normal"/>
    <w:link w:val="TitleChar"/>
    <w:uiPriority w:val="10"/>
    <w:qFormat/>
    <w:rsid w:val="00083C9D"/>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aliases w:val="SOP Title Char"/>
    <w:basedOn w:val="DefaultParagraphFont"/>
    <w:link w:val="Title"/>
    <w:uiPriority w:val="10"/>
    <w:locked/>
    <w:rsid w:val="00083C9D"/>
    <w:rPr>
      <w:rFonts w:ascii="Gill Sans MT" w:eastAsiaTheme="majorEastAsia" w:hAnsi="Gill Sans MT" w:cs="Tahoma"/>
      <w:color w:val="943634"/>
      <w:spacing w:val="5"/>
      <w:kern w:val="28"/>
      <w:sz w:val="44"/>
      <w:szCs w:val="40"/>
      <w:lang w:eastAsia="en-US"/>
    </w:rPr>
  </w:style>
  <w:style w:type="paragraph" w:customStyle="1" w:styleId="propertystatement">
    <w:name w:val="property statement"/>
    <w:basedOn w:val="Normal"/>
    <w:uiPriority w:val="14"/>
    <w:qFormat/>
    <w:rsid w:val="00342788"/>
    <w:pPr>
      <w:jc w:val="center"/>
    </w:pPr>
    <w:rPr>
      <w:color w:val="7F7F7F" w:themeColor="text1" w:themeTint="80"/>
      <w:sz w:val="18"/>
      <w:szCs w:val="18"/>
    </w:r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paragraph" w:customStyle="1" w:styleId="AbbreviationsDefinitionsTerm">
    <w:name w:val="Abbreviations &amp; Definitions 'Term'"/>
    <w:link w:val="AbbreviationsDefinitionsTermChar"/>
    <w:uiPriority w:val="14"/>
    <w:qFormat/>
    <w:rsid w:val="00DC0548"/>
    <w:pPr>
      <w:spacing w:before="60" w:after="60" w:line="240" w:lineRule="auto"/>
    </w:pPr>
    <w:rPr>
      <w:rFonts w:ascii="Calibri" w:hAnsi="Calibri" w:cs="Tahoma"/>
      <w:b/>
      <w:bCs/>
      <w:color w:val="000000" w:themeColor="text1"/>
      <w:spacing w:val="5"/>
      <w:kern w:val="28"/>
      <w:sz w:val="20"/>
      <w:szCs w:val="26"/>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C43BEC"/>
    <w:rPr>
      <w:i/>
      <w:iCs/>
      <w:color w:val="FF0000"/>
    </w:rPr>
  </w:style>
  <w:style w:type="character" w:customStyle="1" w:styleId="InstructionsChar">
    <w:name w:val="Instructions Char"/>
    <w:basedOn w:val="DefaultParagraphFont"/>
    <w:link w:val="Instructions"/>
    <w:uiPriority w:val="11"/>
    <w:rsid w:val="0083169E"/>
    <w:rPr>
      <w:rFonts w:ascii="Calibri" w:hAnsi="Calibri" w:cs="Arial"/>
      <w:i/>
      <w:iCs/>
      <w:color w:val="FF0000"/>
      <w:sz w:val="20"/>
      <w:szCs w:val="20"/>
      <w:lang w:eastAsia="en-US"/>
    </w:rPr>
  </w:style>
  <w:style w:type="paragraph" w:customStyle="1" w:styleId="bullet2">
    <w:name w:val="bullet 2"/>
    <w:basedOn w:val="Normal"/>
    <w:link w:val="bullet2Char"/>
    <w:uiPriority w:val="99"/>
    <w:qFormat/>
    <w:rsid w:val="00475745"/>
    <w:pPr>
      <w:numPr>
        <w:numId w:val="4"/>
      </w:numPr>
      <w:ind w:left="680" w:hanging="340"/>
    </w:pPr>
  </w:style>
  <w:style w:type="character" w:customStyle="1" w:styleId="bullet2Char">
    <w:name w:val="bullet 2 Char"/>
    <w:basedOn w:val="DefaultParagraphFont"/>
    <w:link w:val="bullet2"/>
    <w:uiPriority w:val="99"/>
    <w:locked/>
    <w:rsid w:val="00475745"/>
    <w:rPr>
      <w:rFonts w:ascii="Calibri" w:hAnsi="Calibri" w:cs="Arial"/>
      <w:sz w:val="20"/>
      <w:szCs w:val="20"/>
      <w:lang w:eastAsia="en-US"/>
    </w:rPr>
  </w:style>
  <w:style w:type="paragraph" w:customStyle="1" w:styleId="bullet3">
    <w:name w:val="bullet 3"/>
    <w:basedOn w:val="Normal"/>
    <w:uiPriority w:val="5"/>
    <w:qFormat/>
    <w:rsid w:val="00475745"/>
    <w:pPr>
      <w:numPr>
        <w:numId w:val="5"/>
      </w:numPr>
      <w:ind w:left="1020" w:hanging="340"/>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6"/>
    <w:qFormat/>
    <w:rsid w:val="006E32A4"/>
    <w:pPr>
      <w:jc w:val="right"/>
    </w:pPr>
  </w:style>
  <w:style w:type="paragraph" w:customStyle="1" w:styleId="ReferencestootherSOPsQCDs">
    <w:name w:val="References to other SOPs/QCDs"/>
    <w:basedOn w:val="Instructions"/>
    <w:next w:val="Normal"/>
    <w:link w:val="ReferencestootherSOPsQCDsChar"/>
    <w:qFormat/>
    <w:rsid w:val="00475745"/>
    <w:rPr>
      <w:color w:val="943634"/>
    </w:rPr>
  </w:style>
  <w:style w:type="character" w:customStyle="1" w:styleId="ReferencestootherSOPsQCDsChar">
    <w:name w:val="References to other SOPs/QCDs Char"/>
    <w:basedOn w:val="InstructionsChar"/>
    <w:link w:val="ReferencestootherSOPsQCDs"/>
    <w:rsid w:val="00475745"/>
    <w:rPr>
      <w:rFonts w:ascii="Calibri" w:hAnsi="Calibri" w:cs="Arial"/>
      <w:i/>
      <w:iCs/>
      <w:color w:val="943634"/>
      <w:sz w:val="20"/>
      <w:szCs w:val="20"/>
      <w:lang w:eastAsia="en-US"/>
    </w:rPr>
  </w:style>
  <w:style w:type="character" w:customStyle="1" w:styleId="bullet1Char">
    <w:name w:val="bullet 1 Char"/>
    <w:basedOn w:val="DefaultParagraphFont"/>
    <w:link w:val="bullet1"/>
    <w:locked/>
    <w:rsid w:val="00475745"/>
    <w:rPr>
      <w:rFonts w:ascii="Calibri" w:hAnsi="Calibri" w:cs="Arial"/>
      <w:sz w:val="20"/>
      <w:szCs w:val="20"/>
      <w:lang w:eastAsia="en-US"/>
    </w:rPr>
  </w:style>
  <w:style w:type="character" w:customStyle="1" w:styleId="AbbreviationsDefinitionsTermChar">
    <w:name w:val="Abbreviations &amp; Definitions 'Term' Char"/>
    <w:basedOn w:val="DefaultParagraphFont"/>
    <w:link w:val="AbbreviationsDefinitionsTerm"/>
    <w:uiPriority w:val="14"/>
    <w:rsid w:val="0083169E"/>
    <w:rPr>
      <w:rFonts w:ascii="Calibri" w:hAnsi="Calibri" w:cs="Tahoma"/>
      <w:b/>
      <w:bCs/>
      <w:color w:val="000000" w:themeColor="text1"/>
      <w:spacing w:val="5"/>
      <w:kern w:val="28"/>
      <w:sz w:val="20"/>
      <w:szCs w:val="26"/>
      <w:lang w:eastAsia="en-US"/>
    </w:rPr>
  </w:style>
  <w:style w:type="character" w:styleId="Hyperlink">
    <w:name w:val="Hyperlink"/>
    <w:basedOn w:val="DefaultParagraphFont"/>
    <w:uiPriority w:val="99"/>
    <w:rsid w:val="00692DFA"/>
    <w:rPr>
      <w:color w:val="0000FF"/>
      <w:u w:val="single"/>
    </w:rPr>
  </w:style>
  <w:style w:type="paragraph" w:customStyle="1" w:styleId="Bullet10">
    <w:name w:val="Bullet 1"/>
    <w:basedOn w:val="Normal"/>
    <w:link w:val="Bullet1Char0"/>
    <w:uiPriority w:val="19"/>
    <w:rsid w:val="00475745"/>
    <w:pPr>
      <w:ind w:left="340" w:hanging="340"/>
    </w:pPr>
  </w:style>
  <w:style w:type="character" w:customStyle="1" w:styleId="Bullet1Char0">
    <w:name w:val="Bullet 1 Char"/>
    <w:basedOn w:val="DefaultParagraphFont"/>
    <w:link w:val="Bullet10"/>
    <w:uiPriority w:val="19"/>
    <w:rsid w:val="00475745"/>
    <w:rPr>
      <w:rFonts w:ascii="Calibri" w:hAnsi="Calibri" w:cs="Arial"/>
      <w:sz w:val="20"/>
      <w:szCs w:val="20"/>
      <w:lang w:eastAsia="en-US"/>
    </w:rPr>
  </w:style>
  <w:style w:type="paragraph" w:customStyle="1" w:styleId="Numberlist">
    <w:name w:val="Numberlist"/>
    <w:basedOn w:val="Normal"/>
    <w:uiPriority w:val="1"/>
    <w:qFormat/>
    <w:rsid w:val="00475745"/>
    <w:pPr>
      <w:numPr>
        <w:numId w:val="16"/>
      </w:numPr>
      <w:ind w:left="340" w:hanging="340"/>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qFormat/>
    <w:rsid w:val="00F013DE"/>
    <w:rPr>
      <w:b/>
    </w:rPr>
  </w:style>
  <w:style w:type="character" w:styleId="UnresolvedMention">
    <w:name w:val="Unresolved Mention"/>
    <w:basedOn w:val="DefaultParagraphFont"/>
    <w:uiPriority w:val="99"/>
    <w:semiHidden/>
    <w:unhideWhenUsed/>
    <w:rsid w:val="00396CD2"/>
    <w:rPr>
      <w:color w:val="605E5C"/>
      <w:shd w:val="clear" w:color="auto" w:fill="E1DFDD"/>
    </w:rPr>
  </w:style>
  <w:style w:type="paragraph" w:styleId="ListParagraph">
    <w:name w:val="List Paragraph"/>
    <w:basedOn w:val="Normal"/>
    <w:uiPriority w:val="34"/>
    <w:qFormat/>
    <w:rsid w:val="00072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519543826">
      <w:bodyDiv w:val="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esearchgovernance@contacts.bham.ac.uk" TargetMode="External"/><Relationship Id="rId18" Type="http://schemas.openxmlformats.org/officeDocument/2006/relationships/hyperlink" Target="https://www.birmingham.ac.uk/research/activity/mds/mds-rkto/governance/Glossary-of-Terms.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crct@contacts.bham.ac.uk" TargetMode="External"/><Relationship Id="rId17" Type="http://schemas.openxmlformats.org/officeDocument/2006/relationships/hyperlink" Target="http://www.legislation.gov.uk/uksi/2004/1031/contents/mad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gislation.gov.uk/ukpga/2004/30/content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CT%20website"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ema.europa.eu/docs/en_GB/document_library/Regulatory_and_procedural_guideline/2012/05/WC500127124.pdf" TargetMode="External"/><Relationship Id="rId23"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ssets.publishing.service.gov.uk/government/uploads/system/uploads/attachment_data/file/687246/MHRA_GxP_data_integrity_guide_March_edited_Final.pdf" TargetMode="Externa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6.%20Team\1.%20Templates\QMS%20Templates\UoB%20SOP%20template%20v9.0%20vd%2018-Jan-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D14D3-279F-46D6-9282-3C6AE183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UoB SOP template v9.0 vd 18-Jan-2022</Template>
  <TotalTime>6</TotalTime>
  <Pages>4</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UoB SOP template v8.0 vd 11-Oct-2019</vt:lpstr>
    </vt:vector>
  </TitlesOfParts>
  <Company>MDS</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SOP template v9.0 vd 18-Jan-2022</dc:title>
  <dc:creator>Jamie Douglas-Pugh</dc:creator>
  <cp:lastModifiedBy>Jamie Douglas-Pugh</cp:lastModifiedBy>
  <cp:revision>2</cp:revision>
  <cp:lastPrinted>2019-05-31T11:18:00Z</cp:lastPrinted>
  <dcterms:created xsi:type="dcterms:W3CDTF">2022-02-16T09:03:00Z</dcterms:created>
  <dcterms:modified xsi:type="dcterms:W3CDTF">2022-02-16T09:16:00Z</dcterms:modified>
</cp:coreProperties>
</file>