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201AB" w14:textId="77777777" w:rsidR="00C0396F" w:rsidRPr="00C0396F" w:rsidRDefault="008235B1" w:rsidP="00C0396F">
      <w:pPr>
        <w:pStyle w:val="Title"/>
      </w:pPr>
      <w:r w:rsidRPr="00C0396F">
        <w:t>Standard Operating Procedure:</w:t>
      </w:r>
    </w:p>
    <w:p w14:paraId="5736E845" w14:textId="77777777" w:rsidR="005F1AD8" w:rsidRDefault="00EC213B" w:rsidP="00F013DE">
      <w:pPr>
        <w:pStyle w:val="Title"/>
      </w:pPr>
      <w:r>
        <w:t>Healthy Volunteers and Medical Oversight</w:t>
      </w:r>
    </w:p>
    <w:p w14:paraId="70797AA0" w14:textId="77777777" w:rsidR="00C0396F" w:rsidRDefault="00C0396F" w:rsidP="00C0396F">
      <w:pPr>
        <w:rPr>
          <w:rFonts w:eastAsiaTheme="majorEastAsia"/>
        </w:rPr>
      </w:pPr>
    </w:p>
    <w:p w14:paraId="7F624AFA" w14:textId="77777777" w:rsidR="00512C56" w:rsidRDefault="00512C56" w:rsidP="00C0396F">
      <w:pPr>
        <w:rPr>
          <w:rFonts w:eastAsiaTheme="majorEastAsia"/>
        </w:rPr>
      </w:pPr>
    </w:p>
    <w:p w14:paraId="78E34696" w14:textId="612E97E1" w:rsidR="005F1AD8" w:rsidRDefault="005F1AD8">
      <w:pPr>
        <w:pStyle w:val="Heading1"/>
      </w:pPr>
      <w:r w:rsidRPr="00B6322E">
        <w:t>Purpose</w:t>
      </w:r>
    </w:p>
    <w:p w14:paraId="4217ECBE" w14:textId="3ED3E5B8" w:rsidR="00EC213B" w:rsidRPr="007329EF" w:rsidRDefault="00EC213B" w:rsidP="00EC213B">
      <w:r w:rsidRPr="007329EF">
        <w:t xml:space="preserve">This </w:t>
      </w:r>
      <w:r w:rsidR="00F42363">
        <w:t>s</w:t>
      </w:r>
      <w:r w:rsidR="00F42363" w:rsidRPr="007329EF">
        <w:t xml:space="preserve">tandard </w:t>
      </w:r>
      <w:r w:rsidR="00F42363">
        <w:t>o</w:t>
      </w:r>
      <w:r w:rsidR="00F42363" w:rsidRPr="007329EF">
        <w:t>perat</w:t>
      </w:r>
      <w:r w:rsidR="00F42363">
        <w:t>ing</w:t>
      </w:r>
      <w:r w:rsidR="00F42363" w:rsidRPr="007329EF">
        <w:t xml:space="preserve"> </w:t>
      </w:r>
      <w:r w:rsidR="00F42363">
        <w:t>p</w:t>
      </w:r>
      <w:r w:rsidR="00F42363" w:rsidRPr="007329EF">
        <w:t xml:space="preserve">rocedure </w:t>
      </w:r>
      <w:r w:rsidRPr="007329EF">
        <w:t xml:space="preserve">(SOP) describes the procedures for the recruitment, management and </w:t>
      </w:r>
      <w:r>
        <w:t xml:space="preserve">medical </w:t>
      </w:r>
      <w:r w:rsidRPr="007329EF">
        <w:t>oversight of healthy volunteers in clinical research.</w:t>
      </w:r>
    </w:p>
    <w:p w14:paraId="2AE1FF6E" w14:textId="6220AC84" w:rsidR="005F1AD8" w:rsidRDefault="005F1AD8">
      <w:pPr>
        <w:pStyle w:val="Heading1"/>
      </w:pPr>
      <w:r w:rsidRPr="00B63F21">
        <w:t>Scope</w:t>
      </w:r>
    </w:p>
    <w:p w14:paraId="3B10E099" w14:textId="4763F804" w:rsidR="00EC213B" w:rsidRPr="005441D0" w:rsidRDefault="00EC213B" w:rsidP="00EC213B">
      <w:r w:rsidRPr="005441D0">
        <w:t xml:space="preserve">This SOP is applicable to all </w:t>
      </w:r>
      <w:r>
        <w:t>University of Birmingham (</w:t>
      </w:r>
      <w:r w:rsidRPr="005441D0">
        <w:t>UoB</w:t>
      </w:r>
      <w:r>
        <w:t>)</w:t>
      </w:r>
      <w:r w:rsidRPr="005441D0">
        <w:t xml:space="preserve"> sponsored clinical research involving healthy volunteers</w:t>
      </w:r>
      <w:r>
        <w:t>, with the exception of Phase I clinical trials</w:t>
      </w:r>
      <w:r w:rsidRPr="005441D0">
        <w:t xml:space="preserve">. Where clinical research is (co-)sponsored by another institution, this procedure should </w:t>
      </w:r>
      <w:bookmarkStart w:id="0" w:name="_Hlk122006701"/>
      <w:r w:rsidRPr="005441D0">
        <w:t xml:space="preserve">be followed as far as possible, and in line with </w:t>
      </w:r>
      <w:r w:rsidR="00F42363">
        <w:t xml:space="preserve">the </w:t>
      </w:r>
      <w:r w:rsidRPr="005441D0">
        <w:t>contractual agreement between the UoB and the other institution. This SOP also applies t</w:t>
      </w:r>
      <w:r>
        <w:t xml:space="preserve">o clinical research approved by </w:t>
      </w:r>
      <w:r w:rsidRPr="005441D0">
        <w:t xml:space="preserve">UoB </w:t>
      </w:r>
      <w:r>
        <w:t>Research Ethics Committee (</w:t>
      </w:r>
      <w:r w:rsidRPr="005441D0">
        <w:t>REC</w:t>
      </w:r>
      <w:r>
        <w:t>)</w:t>
      </w:r>
      <w:r w:rsidRPr="005441D0">
        <w:t xml:space="preserve"> that are required to follow </w:t>
      </w:r>
      <w:r w:rsidR="007D260A">
        <w:t xml:space="preserve">the </w:t>
      </w:r>
      <w:bookmarkStart w:id="1" w:name="_Hlk122006710"/>
      <w:r w:rsidRPr="00F42363">
        <w:rPr>
          <w:rStyle w:val="ReferencestootherSOPsQCDsChar"/>
        </w:rPr>
        <w:t xml:space="preserve">UoB </w:t>
      </w:r>
      <w:bookmarkEnd w:id="0"/>
      <w:r w:rsidRPr="00F42363">
        <w:rPr>
          <w:rStyle w:val="ReferencestootherSOPsQCDsChar"/>
        </w:rPr>
        <w:t>Principles of Good Clinical Practice (GCP) for Clinical Research</w:t>
      </w:r>
      <w:r w:rsidR="007D260A" w:rsidRPr="00F42363">
        <w:rPr>
          <w:rStyle w:val="ReferencestootherSOPsQCDsChar"/>
        </w:rPr>
        <w:t xml:space="preserve"> (UoB-GCP-POL-001)</w:t>
      </w:r>
      <w:bookmarkEnd w:id="1"/>
      <w:r w:rsidRPr="005441D0">
        <w:t>.</w:t>
      </w:r>
      <w:r w:rsidR="007D260A" w:rsidRPr="007D260A">
        <w:t xml:space="preserve"> </w:t>
      </w:r>
      <w:r w:rsidR="007D260A" w:rsidRPr="00E812CE">
        <w:t>This SOP may be used as a guidance document in all other cases.</w:t>
      </w:r>
    </w:p>
    <w:p w14:paraId="11852BEB" w14:textId="1A873AA4" w:rsidR="005F1AD8" w:rsidRPr="00C34A3B" w:rsidRDefault="005F1AD8" w:rsidP="00B937B6">
      <w:pPr>
        <w:pStyle w:val="Heading1"/>
      </w:pPr>
      <w:r w:rsidRPr="00B63F21">
        <w:t>Implementation plan</w:t>
      </w:r>
    </w:p>
    <w:p w14:paraId="3CF2A426" w14:textId="5ED94727" w:rsidR="00EC213B" w:rsidRPr="004B6C59" w:rsidRDefault="00EC213B" w:rsidP="00EC213B">
      <w:r>
        <w:t>This</w:t>
      </w:r>
      <w:r w:rsidRPr="00890639">
        <w:t xml:space="preserve"> SOP will be implemented </w:t>
      </w:r>
      <w:r>
        <w:t>directly</w:t>
      </w:r>
      <w:r w:rsidRPr="00890639">
        <w:t xml:space="preserve"> after </w:t>
      </w:r>
      <w:r w:rsidR="00F42363">
        <w:t>its</w:t>
      </w:r>
      <w:r w:rsidR="00F42363" w:rsidRPr="00890639">
        <w:t xml:space="preserve"> </w:t>
      </w:r>
      <w:r w:rsidRPr="00890639">
        <w:t xml:space="preserve">effective date for any </w:t>
      </w:r>
      <w:r>
        <w:t>clinical research</w:t>
      </w:r>
      <w:r w:rsidRPr="00890639">
        <w:t xml:space="preserve"> that </w:t>
      </w:r>
      <w:r w:rsidR="00F42363">
        <w:t>is</w:t>
      </w:r>
      <w:r w:rsidR="00F42363" w:rsidRPr="00890639">
        <w:t xml:space="preserve"> </w:t>
      </w:r>
      <w:r w:rsidRPr="00890639">
        <w:t>still in the set</w:t>
      </w:r>
      <w:r w:rsidR="00F42363">
        <w:t>-</w:t>
      </w:r>
      <w:r w:rsidRPr="00890639">
        <w:t>up phase.</w:t>
      </w:r>
      <w:r>
        <w:t xml:space="preserve"> </w:t>
      </w:r>
      <w:r w:rsidRPr="00890639">
        <w:t xml:space="preserve">For </w:t>
      </w:r>
      <w:r>
        <w:t>existing clinical research</w:t>
      </w:r>
      <w:r w:rsidRPr="00890639">
        <w:t xml:space="preserve"> that </w:t>
      </w:r>
      <w:r w:rsidR="00F42363" w:rsidRPr="00890639">
        <w:t>ha</w:t>
      </w:r>
      <w:r w:rsidR="00F42363">
        <w:t>s</w:t>
      </w:r>
      <w:r w:rsidR="00F42363" w:rsidRPr="00890639">
        <w:t xml:space="preserve"> </w:t>
      </w:r>
      <w:r w:rsidRPr="00890639">
        <w:t xml:space="preserve">already been set up and </w:t>
      </w:r>
      <w:r w:rsidR="00F42363">
        <w:t xml:space="preserve">is </w:t>
      </w:r>
      <w:r w:rsidRPr="00890639">
        <w:t xml:space="preserve">in the recruitment phase </w:t>
      </w:r>
      <w:r>
        <w:t xml:space="preserve">(or further) </w:t>
      </w:r>
      <w:r w:rsidRPr="00890639">
        <w:t>at the time of implementation,</w:t>
      </w:r>
      <w:r>
        <w:t xml:space="preserve"> </w:t>
      </w:r>
      <w:r w:rsidRPr="00890639">
        <w:t>the list of expected outputs (see below) should be followed as far as possible.</w:t>
      </w:r>
    </w:p>
    <w:p w14:paraId="43900E1C" w14:textId="5BAD1802" w:rsidR="00EC213B" w:rsidRDefault="00EC213B" w:rsidP="00EC213B">
      <w:pPr>
        <w:pStyle w:val="Heading1"/>
      </w:pPr>
      <w:r>
        <w:t>Stakeholders</w:t>
      </w:r>
    </w:p>
    <w:p w14:paraId="087A2CE1" w14:textId="2AB277D7" w:rsidR="00EC213B" w:rsidRPr="00C00B19" w:rsidRDefault="00EC213B" w:rsidP="00EC213B">
      <w:r w:rsidRPr="00825ADB">
        <w:t xml:space="preserve">Note that where a </w:t>
      </w:r>
      <w:r w:rsidR="00F42363">
        <w:t>c</w:t>
      </w:r>
      <w:r w:rsidR="00F42363" w:rsidRPr="00825ADB">
        <w:t xml:space="preserve">linical </w:t>
      </w:r>
      <w:r w:rsidR="00F42363">
        <w:t>t</w:t>
      </w:r>
      <w:r w:rsidR="00F42363" w:rsidRPr="00825ADB">
        <w:t>rial</w:t>
      </w:r>
      <w:r w:rsidR="00F42363">
        <w:t>s</w:t>
      </w:r>
      <w:r w:rsidR="00F42363" w:rsidRPr="00825ADB">
        <w:t xml:space="preserve"> </w:t>
      </w:r>
      <w:r w:rsidR="00F42363">
        <w:t>u</w:t>
      </w:r>
      <w:r w:rsidR="00F42363" w:rsidRPr="00825ADB">
        <w:t xml:space="preserve">nit </w:t>
      </w:r>
      <w:r w:rsidRPr="00825ADB">
        <w:t xml:space="preserve">(CTU) is involved, the CTU may take on responsibility for aspects related to the procedures for healthy volunteers and medical oversight. The CTU may delegate these duties further to their trials team(s). All delegation of duties will be documented </w:t>
      </w:r>
      <w:r w:rsidR="007D260A">
        <w:t xml:space="preserve">e.g. </w:t>
      </w:r>
      <w:r w:rsidRPr="00825ADB">
        <w:t xml:space="preserve">using the </w:t>
      </w:r>
      <w:bookmarkStart w:id="2" w:name="_Hlk122006720"/>
      <w:r w:rsidRPr="00F42363">
        <w:rPr>
          <w:rStyle w:val="ReferencestootherSOPsQCDsChar"/>
        </w:rPr>
        <w:t>Clinical Trials Task Delegation Log</w:t>
      </w:r>
      <w:r w:rsidR="007D260A" w:rsidRPr="00F42363">
        <w:rPr>
          <w:rStyle w:val="ReferencestootherSOPsQCDsChar"/>
        </w:rPr>
        <w:t xml:space="preserve"> (UoB-SPO-QCD-001)</w:t>
      </w:r>
      <w:bookmarkEnd w:id="2"/>
      <w:r w:rsidRPr="00825ADB">
        <w:t>.</w:t>
      </w:r>
    </w:p>
    <w:p w14:paraId="52186C02" w14:textId="2032E5F8" w:rsidR="00EC213B" w:rsidRDefault="00EC213B" w:rsidP="00EC213B">
      <w:pPr>
        <w:pStyle w:val="bullet1"/>
        <w:numPr>
          <w:ilvl w:val="0"/>
          <w:numId w:val="3"/>
        </w:numPr>
        <w:ind w:left="340" w:hanging="340"/>
      </w:pPr>
      <w:r>
        <w:t xml:space="preserve">Chief </w:t>
      </w:r>
      <w:r w:rsidR="00F42363">
        <w:t xml:space="preserve">investigator </w:t>
      </w:r>
      <w:r>
        <w:t>(CI):</w:t>
      </w:r>
      <w:r w:rsidRPr="00A17A3F">
        <w:t xml:space="preserve"> the CI may delegate activities to members of their </w:t>
      </w:r>
      <w:r>
        <w:t>research</w:t>
      </w:r>
      <w:r w:rsidRPr="00A17A3F">
        <w:t xml:space="preserve"> team, although evidence of CI involvement and approval is still expected and may not be delegated where ‘no delegation allowed’ is indicated. The SOP will state where delegation is possible.</w:t>
      </w:r>
      <w:r>
        <w:t xml:space="preserve"> For clinical research approved by UoB REC, the role of CI may be termed the </w:t>
      </w:r>
      <w:r w:rsidR="00F42363">
        <w:t>principal investigator</w:t>
      </w:r>
      <w:r>
        <w:t>, or the supervisor for the postgraduate research student.</w:t>
      </w:r>
    </w:p>
    <w:p w14:paraId="0DF47261" w14:textId="033E56A6" w:rsidR="00B940A8" w:rsidRDefault="00EC213B" w:rsidP="00EC213B">
      <w:pPr>
        <w:pStyle w:val="bullet1"/>
      </w:pPr>
      <w:r>
        <w:t xml:space="preserve">Healthcare professional (see ‘Abbreviations and Definition’ section below). This may be the CI where they are a healthcare professional. </w:t>
      </w:r>
    </w:p>
    <w:p w14:paraId="75D4AB0F" w14:textId="77777777" w:rsidR="004C46FF" w:rsidRPr="00342C1E" w:rsidRDefault="004C46FF" w:rsidP="004C46FF">
      <w:pPr>
        <w:pStyle w:val="bullet1"/>
        <w:numPr>
          <w:ilvl w:val="0"/>
          <w:numId w:val="0"/>
        </w:numPr>
        <w:sectPr w:rsidR="004C46FF" w:rsidRPr="00342C1E" w:rsidSect="00512C56">
          <w:headerReference w:type="even" r:id="rId8"/>
          <w:headerReference w:type="default" r:id="rId9"/>
          <w:footerReference w:type="even" r:id="rId10"/>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7AB344A6" w14:textId="2FDB7377" w:rsidR="005F0420" w:rsidRDefault="005F0420" w:rsidP="0060052C">
      <w:pPr>
        <w:pStyle w:val="Heading1"/>
      </w:pPr>
      <w:bookmarkStart w:id="4" w:name="_Toc320536979"/>
      <w:r>
        <w:lastRenderedPageBreak/>
        <w:t>Background</w:t>
      </w:r>
      <w:r w:rsidR="008D54DF">
        <w:t xml:space="preserve"> and </w:t>
      </w:r>
      <w:r w:rsidR="00724BEE">
        <w:t>r</w:t>
      </w:r>
      <w:r w:rsidR="008D54DF">
        <w:t>ationale</w:t>
      </w:r>
    </w:p>
    <w:p w14:paraId="4A5D8B37" w14:textId="77777777" w:rsidR="00EC213B" w:rsidRDefault="00EC213B" w:rsidP="00EC213B">
      <w:r>
        <w:t xml:space="preserve">For the purpose of this SOP, a healthy volunteer is defined as an individual who has either no known significant health problems or does not suffer any significant health problems relevant to the proposed research, and consents to participate in the research. A healthy volunteer may participate in research ranging from non-invasive observational studies to a Phase I clinical trial testing a new drug. However, Phase I clinical trials involving healthy volunteers are beyond the scope of this SOP. For more information, see guidance provided by the Health Research Authority (HRA) on </w:t>
      </w:r>
      <w:hyperlink r:id="rId14" w:tooltip="Link to HRA guidance on Phase 1 clinical trials" w:history="1">
        <w:r w:rsidRPr="004122C2">
          <w:rPr>
            <w:rStyle w:val="Hyperlink"/>
          </w:rPr>
          <w:t>Phase I clinical trials</w:t>
        </w:r>
      </w:hyperlink>
      <w:r>
        <w:t>.</w:t>
      </w:r>
    </w:p>
    <w:p w14:paraId="01B2A104" w14:textId="784CCF2F" w:rsidR="00EC213B" w:rsidRDefault="00EC213B" w:rsidP="00EC213B">
      <w:r>
        <w:t xml:space="preserve">Healthy volunteers do not typically benefit (therapeutically) from taking part in clinical research. It is also common for healthy volunteers who take part in clinical research to be compensated financially for their participation. </w:t>
      </w:r>
      <w:r w:rsidR="0015679C">
        <w:t>Therefore,</w:t>
      </w:r>
      <w:r>
        <w:t xml:space="preserve"> it is important to have mechanisms in place to monitor healthy volunteers who participate recurrently in clinical research (e.g. through a database or questionnaire). It is imperative that t</w:t>
      </w:r>
      <w:r w:rsidRPr="00555D65">
        <w:t>he safety and well-being of the individual</w:t>
      </w:r>
      <w:r>
        <w:t xml:space="preserve"> prevails </w:t>
      </w:r>
      <w:r w:rsidRPr="000E43FE">
        <w:t>over the interests of science and society</w:t>
      </w:r>
      <w:r>
        <w:t xml:space="preserve"> as per the </w:t>
      </w:r>
      <w:proofErr w:type="spellStart"/>
      <w:r w:rsidRPr="000E43FE">
        <w:rPr>
          <w:rStyle w:val="ReferencestootherSOPsQCDsChar"/>
        </w:rPr>
        <w:t>UoB</w:t>
      </w:r>
      <w:proofErr w:type="spellEnd"/>
      <w:r w:rsidRPr="000E43FE">
        <w:rPr>
          <w:rStyle w:val="ReferencestootherSOPsQCDsChar"/>
        </w:rPr>
        <w:t xml:space="preserve"> Principles of GCP for Clinical Research</w:t>
      </w:r>
      <w:r w:rsidR="007D260A">
        <w:rPr>
          <w:rStyle w:val="ReferencestootherSOPsQCDsChar"/>
        </w:rPr>
        <w:t xml:space="preserve"> (UoB-GCP</w:t>
      </w:r>
      <w:r w:rsidR="007D260A" w:rsidRPr="000E43FE">
        <w:rPr>
          <w:rStyle w:val="ReferencestootherSOPsQCDsChar"/>
        </w:rPr>
        <w:t>-POL-001</w:t>
      </w:r>
      <w:r w:rsidR="007D260A">
        <w:rPr>
          <w:rStyle w:val="ReferencestootherSOPsQCDsChar"/>
        </w:rPr>
        <w:t>)</w:t>
      </w:r>
      <w:r>
        <w:t xml:space="preserve">. There are various scientific, medical and ethical reasons why healthy volunteers must not participate in clinical research too often, for example: </w:t>
      </w:r>
    </w:p>
    <w:p w14:paraId="3CD7B660" w14:textId="449EC401" w:rsidR="00EC213B" w:rsidRPr="00264E10" w:rsidRDefault="007D260A" w:rsidP="00EC213B">
      <w:pPr>
        <w:pStyle w:val="bullet1"/>
        <w:numPr>
          <w:ilvl w:val="0"/>
          <w:numId w:val="3"/>
        </w:numPr>
        <w:ind w:left="340" w:hanging="340"/>
      </w:pPr>
      <w:r>
        <w:t>i</w:t>
      </w:r>
      <w:r w:rsidR="00EC213B" w:rsidRPr="00264E10">
        <w:t xml:space="preserve">f the gap between two </w:t>
      </w:r>
      <w:r w:rsidR="00EC213B">
        <w:t>studies</w:t>
      </w:r>
      <w:r w:rsidR="00EC213B" w:rsidRPr="00264E10">
        <w:t xml:space="preserve"> is too short</w:t>
      </w:r>
      <w:r w:rsidR="0015679C">
        <w:t xml:space="preserve"> </w:t>
      </w:r>
      <w:r w:rsidR="00EC213B" w:rsidRPr="00264E10">
        <w:t xml:space="preserve">or the </w:t>
      </w:r>
      <w:r w:rsidR="00EC213B">
        <w:t>studies</w:t>
      </w:r>
      <w:r w:rsidR="00EC213B" w:rsidRPr="00264E10">
        <w:t xml:space="preserve"> overlap, the </w:t>
      </w:r>
      <w:r w:rsidR="00EC213B">
        <w:t>interventions</w:t>
      </w:r>
      <w:r w:rsidR="00EC213B" w:rsidRPr="00264E10">
        <w:t xml:space="preserve"> might interact</w:t>
      </w:r>
    </w:p>
    <w:p w14:paraId="3A7C42E4" w14:textId="46F3C2D8" w:rsidR="00EC213B" w:rsidRPr="00264E10" w:rsidRDefault="007D260A" w:rsidP="00EC213B">
      <w:pPr>
        <w:pStyle w:val="bullet1"/>
        <w:numPr>
          <w:ilvl w:val="0"/>
          <w:numId w:val="3"/>
        </w:numPr>
        <w:ind w:left="340" w:hanging="340"/>
      </w:pPr>
      <w:r>
        <w:t>t</w:t>
      </w:r>
      <w:r w:rsidR="00EC213B" w:rsidRPr="00264E10">
        <w:t>aking too many blood samples could cause anaemia</w:t>
      </w:r>
    </w:p>
    <w:p w14:paraId="4C1EF048" w14:textId="1086A19A" w:rsidR="00EC213B" w:rsidRDefault="007D260A" w:rsidP="00EC213B">
      <w:pPr>
        <w:pStyle w:val="bullet1"/>
        <w:numPr>
          <w:ilvl w:val="0"/>
          <w:numId w:val="3"/>
        </w:numPr>
        <w:ind w:left="340" w:hanging="340"/>
      </w:pPr>
      <w:r>
        <w:t>i</w:t>
      </w:r>
      <w:r w:rsidR="00EC213B">
        <w:t>t is</w:t>
      </w:r>
      <w:r w:rsidR="00EC213B" w:rsidRPr="00264E10">
        <w:t xml:space="preserve"> unethical</w:t>
      </w:r>
      <w:r w:rsidR="00EC213B">
        <w:t xml:space="preserve"> and scientifically questionable</w:t>
      </w:r>
      <w:r w:rsidR="00EC213B" w:rsidRPr="00264E10">
        <w:t xml:space="preserve"> to expose healthy people </w:t>
      </w:r>
      <w:r w:rsidR="00EC213B">
        <w:t>too often to interventions (medicines) they do not</w:t>
      </w:r>
      <w:r w:rsidR="00EC213B" w:rsidRPr="00264E10">
        <w:t xml:space="preserve"> need</w:t>
      </w:r>
    </w:p>
    <w:p w14:paraId="59F4D09F" w14:textId="17F24F37" w:rsidR="00EC213B" w:rsidRDefault="007D260A" w:rsidP="00EC213B">
      <w:pPr>
        <w:pStyle w:val="bullet1"/>
        <w:numPr>
          <w:ilvl w:val="0"/>
          <w:numId w:val="3"/>
        </w:numPr>
        <w:ind w:left="340" w:hanging="340"/>
      </w:pPr>
      <w:r>
        <w:t>i</w:t>
      </w:r>
      <w:r w:rsidR="00EC213B" w:rsidRPr="007F22D0">
        <w:t xml:space="preserve">t may be dangerous to expose healthy people to </w:t>
      </w:r>
      <w:r w:rsidR="00EC213B">
        <w:t>radiation that is not necessary.</w:t>
      </w:r>
    </w:p>
    <w:p w14:paraId="1FF45521" w14:textId="634E0EE8" w:rsidR="00EC213B" w:rsidRDefault="00EC213B" w:rsidP="00EC213B">
      <w:r>
        <w:t xml:space="preserve">Where clinical research with healthy volunteers also involves </w:t>
      </w:r>
      <w:r w:rsidR="007D260A">
        <w:t>one or both of the activities listed below</w:t>
      </w:r>
      <w:r>
        <w:t xml:space="preserve">, see </w:t>
      </w:r>
      <w:r w:rsidR="007D260A">
        <w:t xml:space="preserve">the </w:t>
      </w:r>
      <w:r w:rsidR="00411AAD">
        <w:t xml:space="preserve">section on Clinical Research in the Laboratory within </w:t>
      </w:r>
      <w:r>
        <w:t xml:space="preserve">the </w:t>
      </w:r>
      <w:hyperlink r:id="rId15" w:tooltip="Link to UoB QMS" w:history="1">
        <w:r w:rsidRPr="00AE4912">
          <w:rPr>
            <w:rStyle w:val="Hyperlink"/>
          </w:rPr>
          <w:t>UoB Quality Management System (QMS)</w:t>
        </w:r>
      </w:hyperlink>
      <w:r w:rsidR="007D260A">
        <w:t>.</w:t>
      </w:r>
    </w:p>
    <w:p w14:paraId="7B72A601" w14:textId="19D23F85" w:rsidR="00EC213B" w:rsidRDefault="00EC213B" w:rsidP="00EC213B">
      <w:pPr>
        <w:pStyle w:val="bullet1"/>
        <w:numPr>
          <w:ilvl w:val="0"/>
          <w:numId w:val="3"/>
        </w:numPr>
        <w:ind w:left="340" w:hanging="340"/>
      </w:pPr>
      <w:r>
        <w:t>H</w:t>
      </w:r>
      <w:r w:rsidRPr="004122C2">
        <w:t>andling, processing, receipt, storage or analysis of samples of human tissue</w:t>
      </w:r>
    </w:p>
    <w:p w14:paraId="78577E74" w14:textId="78F02F3B" w:rsidR="00EC213B" w:rsidRDefault="007D260A" w:rsidP="00EC213B">
      <w:pPr>
        <w:pStyle w:val="bullet1"/>
        <w:numPr>
          <w:ilvl w:val="0"/>
          <w:numId w:val="3"/>
        </w:numPr>
        <w:ind w:left="340" w:hanging="340"/>
      </w:pPr>
      <w:r>
        <w:t>L</w:t>
      </w:r>
      <w:r w:rsidR="00EC213B" w:rsidRPr="007F22D0">
        <w:t xml:space="preserve">aboratories performing analyses </w:t>
      </w:r>
      <w:r w:rsidR="00EC213B">
        <w:t>that</w:t>
      </w:r>
      <w:r w:rsidR="00EC213B" w:rsidRPr="007F22D0">
        <w:t xml:space="preserve"> contribute to the (primary, secondary and exploratory) endpoints</w:t>
      </w:r>
      <w:r w:rsidR="00EC213B">
        <w:t xml:space="preserve"> of a clinical trial</w:t>
      </w:r>
      <w:r>
        <w:t xml:space="preserve"> of an investigational medicinal product</w:t>
      </w:r>
      <w:r w:rsidR="00EC213B">
        <w:t>.</w:t>
      </w:r>
    </w:p>
    <w:p w14:paraId="4F9B1F5A" w14:textId="5AA9F8BE" w:rsidR="00EC213B" w:rsidRDefault="00EC213B" w:rsidP="0015679C">
      <w:r>
        <w:t>In the event of an a</w:t>
      </w:r>
      <w:r w:rsidRPr="00BA607F">
        <w:t>dverse event</w:t>
      </w:r>
      <w:r>
        <w:t>, see</w:t>
      </w:r>
      <w:r w:rsidR="007D260A">
        <w:t xml:space="preserve"> the </w:t>
      </w:r>
      <w:bookmarkStart w:id="5" w:name="_Hlk122006736"/>
      <w:r w:rsidR="007D260A" w:rsidRPr="0015679C">
        <w:rPr>
          <w:rStyle w:val="ReferencestootherSOPsQCDsChar"/>
        </w:rPr>
        <w:t>Adverse Event Reporting SOP (UoB-AES-SOP-001)</w:t>
      </w:r>
      <w:bookmarkEnd w:id="5"/>
      <w:r>
        <w:t xml:space="preserve"> for reporting requirements. </w:t>
      </w:r>
    </w:p>
    <w:p w14:paraId="0D0E993D" w14:textId="45B8817E" w:rsidR="00EC213B" w:rsidRDefault="00EC213B" w:rsidP="0015679C">
      <w:r>
        <w:t>For deviation and serious breach reporting, see</w:t>
      </w:r>
      <w:r w:rsidR="007D260A">
        <w:t xml:space="preserve"> the</w:t>
      </w:r>
      <w:r>
        <w:t xml:space="preserve"> </w:t>
      </w:r>
      <w:bookmarkStart w:id="6" w:name="_Hlk122006745"/>
      <w:r w:rsidRPr="0018530A">
        <w:rPr>
          <w:rStyle w:val="ReferencestootherSOPsQCDsChar"/>
        </w:rPr>
        <w:t>Deviations and Serious Breach Reporting</w:t>
      </w:r>
      <w:r w:rsidR="007D260A">
        <w:rPr>
          <w:rStyle w:val="ReferencestootherSOPsQCDsChar"/>
        </w:rPr>
        <w:t xml:space="preserve"> SOP (</w:t>
      </w:r>
      <w:r w:rsidR="007D260A" w:rsidRPr="0018530A">
        <w:rPr>
          <w:rStyle w:val="ReferencestootherSOPsQCDsChar"/>
        </w:rPr>
        <w:t>UoB-DSB-SOP-001</w:t>
      </w:r>
      <w:r w:rsidR="007D260A">
        <w:rPr>
          <w:rStyle w:val="ReferencestootherSOPsQCDsChar"/>
        </w:rPr>
        <w:t>)</w:t>
      </w:r>
      <w:r>
        <w:t xml:space="preserve">. </w:t>
      </w:r>
    </w:p>
    <w:bookmarkEnd w:id="4"/>
    <w:bookmarkEnd w:id="6"/>
    <w:p w14:paraId="529B88E2" w14:textId="72F20351" w:rsidR="00ED55EB" w:rsidRDefault="00ED55EB" w:rsidP="00A62500">
      <w:pPr>
        <w:pStyle w:val="Heading1"/>
      </w:pPr>
      <w:r>
        <w:t>Procedures</w:t>
      </w:r>
    </w:p>
    <w:p w14:paraId="04196EF6" w14:textId="74A1D972" w:rsidR="002B6321" w:rsidRPr="003E459E" w:rsidRDefault="002B6321" w:rsidP="002B6321">
      <w:pPr>
        <w:pStyle w:val="Heading2"/>
      </w:pPr>
      <w:r>
        <w:t>Set</w:t>
      </w:r>
      <w:r w:rsidR="0015679C">
        <w:t>-</w:t>
      </w:r>
      <w:r>
        <w:t xml:space="preserve">up </w:t>
      </w:r>
      <w:r w:rsidR="00724BEE">
        <w:t>p</w:t>
      </w:r>
      <w:r>
        <w:t>hase</w:t>
      </w:r>
    </w:p>
    <w:p w14:paraId="5EC296E0" w14:textId="42ECC164" w:rsidR="002B6321" w:rsidRDefault="002B6321" w:rsidP="002B6321">
      <w:pPr>
        <w:pStyle w:val="Numberlist"/>
        <w:numPr>
          <w:ilvl w:val="0"/>
          <w:numId w:val="12"/>
        </w:numPr>
        <w:ind w:left="340" w:hanging="340"/>
      </w:pPr>
      <w:r>
        <w:t xml:space="preserve">During the protocol design phase, the CI (or delegate) will determine the </w:t>
      </w:r>
      <w:r w:rsidRPr="00B316F7">
        <w:t>inclusion and exclusion criteria</w:t>
      </w:r>
      <w:r>
        <w:t xml:space="preserve"> for the volunteers. Where the criteria involve healthcare-related measures (such as blood pressure, blood results or electrocardiogram readings), the CI (or delegate) will consult with an appropriate healthcare professional to determine the appropriateness/suitability of each healthcare-related </w:t>
      </w:r>
      <w:r w:rsidR="0015679C">
        <w:t xml:space="preserve">criterion </w:t>
      </w:r>
      <w:r>
        <w:t xml:space="preserve">and how these are verified (e.g. </w:t>
      </w:r>
      <w:r w:rsidR="0015679C">
        <w:t>self-reported</w:t>
      </w:r>
      <w:r>
        <w:t xml:space="preserve"> versus confirmation by a </w:t>
      </w:r>
      <w:r w:rsidR="0015679C">
        <w:t xml:space="preserve">general practitioner </w:t>
      </w:r>
      <w:r>
        <w:t xml:space="preserve">(GP)). </w:t>
      </w:r>
    </w:p>
    <w:p w14:paraId="6A230276" w14:textId="77777777" w:rsidR="002B6321" w:rsidRDefault="002B6321" w:rsidP="002B6321">
      <w:pPr>
        <w:pStyle w:val="bullet2"/>
      </w:pPr>
      <w:r>
        <w:t>Where required, the CI (or delegate) will include appropriate funding for confirming the healthcare-related criteria</w:t>
      </w:r>
      <w:r w:rsidDel="006C3CA5">
        <w:t xml:space="preserve"> </w:t>
      </w:r>
      <w:r>
        <w:t xml:space="preserve">with a GP. </w:t>
      </w:r>
    </w:p>
    <w:p w14:paraId="5C226911" w14:textId="192E76C2" w:rsidR="002B6321" w:rsidRDefault="002B6321" w:rsidP="002B6321">
      <w:pPr>
        <w:pStyle w:val="bullet2"/>
      </w:pPr>
      <w:r>
        <w:t xml:space="preserve">It is recommended that the </w:t>
      </w:r>
      <w:r w:rsidR="00724BEE">
        <w:t>items</w:t>
      </w:r>
      <w:r>
        <w:t xml:space="preserve"> </w:t>
      </w:r>
      <w:r w:rsidR="00724BEE">
        <w:t xml:space="preserve">below </w:t>
      </w:r>
      <w:r>
        <w:t>are considered when a GP is to be contacted</w:t>
      </w:r>
      <w:r w:rsidR="00724BEE">
        <w:t>.</w:t>
      </w:r>
    </w:p>
    <w:p w14:paraId="2F25A936" w14:textId="0FC3DEF1" w:rsidR="002B6321" w:rsidRDefault="002B6321" w:rsidP="002B6321">
      <w:pPr>
        <w:pStyle w:val="bullet3"/>
      </w:pPr>
      <w:r>
        <w:t xml:space="preserve">Obtaining </w:t>
      </w:r>
      <w:r w:rsidR="00724BEE">
        <w:t xml:space="preserve">specific </w:t>
      </w:r>
      <w:r>
        <w:t>consent from the participant to contact their GP</w:t>
      </w:r>
      <w:r w:rsidR="0015679C">
        <w:t>.</w:t>
      </w:r>
    </w:p>
    <w:p w14:paraId="52D95601" w14:textId="268EB929" w:rsidR="002B6321" w:rsidRDefault="002B6321" w:rsidP="002B6321">
      <w:pPr>
        <w:pStyle w:val="bullet3"/>
      </w:pPr>
      <w:r>
        <w:t xml:space="preserve">How will the contact details </w:t>
      </w:r>
      <w:r w:rsidR="00724BEE">
        <w:t>for</w:t>
      </w:r>
      <w:r>
        <w:t xml:space="preserve"> the GP be collected?</w:t>
      </w:r>
    </w:p>
    <w:p w14:paraId="76C558F3" w14:textId="684C6D35" w:rsidR="002B6321" w:rsidRDefault="002B6321" w:rsidP="002B6321">
      <w:pPr>
        <w:pStyle w:val="bullet3"/>
      </w:pPr>
      <w:r>
        <w:t>Timeframe for contacting the GP and receiving a response (if required)</w:t>
      </w:r>
      <w:r w:rsidR="0015679C">
        <w:t>.</w:t>
      </w:r>
    </w:p>
    <w:p w14:paraId="0BF25466" w14:textId="57068A28" w:rsidR="002B6321" w:rsidRDefault="002B6321" w:rsidP="002B6321">
      <w:pPr>
        <w:pStyle w:val="bullet3"/>
      </w:pPr>
      <w:r>
        <w:t>A process to deal with no response from a GP (if required)</w:t>
      </w:r>
      <w:r w:rsidR="0015679C">
        <w:t>.</w:t>
      </w:r>
    </w:p>
    <w:p w14:paraId="6A9C72BE" w14:textId="3E85B8C0" w:rsidR="002B6321" w:rsidRDefault="002B6321" w:rsidP="002B6321">
      <w:pPr>
        <w:pStyle w:val="Numberlist"/>
        <w:numPr>
          <w:ilvl w:val="0"/>
          <w:numId w:val="12"/>
        </w:numPr>
        <w:ind w:left="340" w:hanging="340"/>
      </w:pPr>
      <w:r>
        <w:t>The CI (or delegate) will decide on and document (e.g. in the protocol) the level of ongoing input required from an appropriate healthcare professional. For example, in determining the eligibility of a volunteer for healthcare-related measures as evidenced on the eligibility checklist.</w:t>
      </w:r>
    </w:p>
    <w:p w14:paraId="0EEACAE1" w14:textId="3CB4E46B" w:rsidR="002B6321" w:rsidRDefault="002B6321" w:rsidP="002B6321">
      <w:pPr>
        <w:pStyle w:val="Numberlist"/>
        <w:numPr>
          <w:ilvl w:val="0"/>
          <w:numId w:val="12"/>
        </w:numPr>
        <w:ind w:left="340" w:hanging="340"/>
      </w:pPr>
      <w:r>
        <w:t xml:space="preserve">The CI (or delegate) will develop and implement an appropriate method for confirming whether the volunteer has previously participated in clinical research and, where applicable, when and what the research involved.  </w:t>
      </w:r>
    </w:p>
    <w:p w14:paraId="6075C3C5" w14:textId="3C831311" w:rsidR="002B6321" w:rsidRDefault="002B6321" w:rsidP="002B6321">
      <w:pPr>
        <w:pStyle w:val="bullet2"/>
      </w:pPr>
      <w:r>
        <w:lastRenderedPageBreak/>
        <w:t xml:space="preserve">Where blood is donated, the CI (or delegate) will ensure that volunteers only donate a maximum of 500 millilitres of blood in any six month period as per the </w:t>
      </w:r>
      <w:hyperlink r:id="rId16" w:tooltip="Link to UoB Health and Safety Policy for Blood Taking from Volunteers for Research" w:history="1">
        <w:proofErr w:type="spellStart"/>
        <w:r w:rsidRPr="00F72E8A">
          <w:rPr>
            <w:rStyle w:val="Hyperlink"/>
          </w:rPr>
          <w:t>UoB</w:t>
        </w:r>
        <w:proofErr w:type="spellEnd"/>
        <w:r w:rsidRPr="00F72E8A">
          <w:rPr>
            <w:rStyle w:val="Hyperlink"/>
          </w:rPr>
          <w:t xml:space="preserve"> Health and Safety Policy for Blood Taking from Volunteers for Researc</w:t>
        </w:r>
        <w:r w:rsidR="00C6125F">
          <w:rPr>
            <w:rStyle w:val="Hyperlink"/>
          </w:rPr>
          <w:t>h (PDF – 58 KB)</w:t>
        </w:r>
      </w:hyperlink>
      <w:r>
        <w:t xml:space="preserve">. It is expected that this limit is stated as an exclusion </w:t>
      </w:r>
      <w:r w:rsidR="00E7781E">
        <w:t>criterion</w:t>
      </w:r>
      <w:r>
        <w:t xml:space="preserve">. </w:t>
      </w:r>
    </w:p>
    <w:p w14:paraId="20E458F3" w14:textId="1BDB2301" w:rsidR="002B6321" w:rsidRDefault="002B6321" w:rsidP="002B6321">
      <w:pPr>
        <w:pStyle w:val="Numberlist"/>
        <w:numPr>
          <w:ilvl w:val="0"/>
          <w:numId w:val="12"/>
        </w:numPr>
        <w:ind w:left="340" w:hanging="340"/>
      </w:pPr>
      <w:r>
        <w:t xml:space="preserve">The CI (or delegate) will develop and implement an appropriate method for confirming the volunteer’s relevant medical history. As a minimum, the CI (or delegate) will obtain </w:t>
      </w:r>
      <w:r w:rsidR="00E7781E">
        <w:t xml:space="preserve">a </w:t>
      </w:r>
      <w:r>
        <w:t>declaration from the volunteer to confirm that the information provided is correct (e.g.</w:t>
      </w:r>
      <w:r w:rsidR="00E7781E">
        <w:t xml:space="preserve"> </w:t>
      </w:r>
      <w:r>
        <w:t xml:space="preserve">through a health screening questionnaire). </w:t>
      </w:r>
    </w:p>
    <w:p w14:paraId="733529D5" w14:textId="549462D3" w:rsidR="002B6321" w:rsidRDefault="002B6321" w:rsidP="002B6321">
      <w:pPr>
        <w:pStyle w:val="Numberlist"/>
        <w:numPr>
          <w:ilvl w:val="0"/>
          <w:numId w:val="12"/>
        </w:numPr>
        <w:ind w:left="340" w:hanging="340"/>
      </w:pPr>
      <w:r>
        <w:t>The CI (or delegate) will ensure that staff involved in the recruitment, management and medical oversight of healthy volunteers are appropriately trained and informed of their roles before undertaking their respective tasks. See also</w:t>
      </w:r>
      <w:r w:rsidR="007D260A">
        <w:t xml:space="preserve"> the</w:t>
      </w:r>
      <w:r>
        <w:t xml:space="preserve"> </w:t>
      </w:r>
      <w:bookmarkStart w:id="7" w:name="_Hlk122006755"/>
      <w:r w:rsidRPr="00CA3A77">
        <w:rPr>
          <w:rStyle w:val="ReferencestootherSOPsQCDsChar"/>
        </w:rPr>
        <w:t>Training</w:t>
      </w:r>
      <w:r w:rsidR="007D260A">
        <w:rPr>
          <w:rStyle w:val="ReferencestootherSOPsQCDsChar"/>
        </w:rPr>
        <w:t xml:space="preserve"> SOP (</w:t>
      </w:r>
      <w:r w:rsidR="007D260A" w:rsidRPr="00CA3A77">
        <w:rPr>
          <w:rStyle w:val="ReferencestootherSOPsQCDsChar"/>
        </w:rPr>
        <w:t>UoB-</w:t>
      </w:r>
      <w:r w:rsidR="00350255">
        <w:rPr>
          <w:rStyle w:val="ReferencestootherSOPsQCDsChar"/>
        </w:rPr>
        <w:t>TRN</w:t>
      </w:r>
      <w:r w:rsidR="007D260A" w:rsidRPr="00CA3A77">
        <w:rPr>
          <w:rStyle w:val="ReferencestootherSOPsQCDsChar"/>
        </w:rPr>
        <w:t>-</w:t>
      </w:r>
      <w:r w:rsidR="00350255">
        <w:rPr>
          <w:rStyle w:val="ReferencestootherSOPsQCDsChar"/>
        </w:rPr>
        <w:t>SOP</w:t>
      </w:r>
      <w:r w:rsidR="007D260A" w:rsidRPr="00CA3A77">
        <w:rPr>
          <w:rStyle w:val="ReferencestootherSOPsQCDsChar"/>
        </w:rPr>
        <w:t>-</w:t>
      </w:r>
      <w:r w:rsidR="00350255" w:rsidRPr="00CA3A77">
        <w:rPr>
          <w:rStyle w:val="ReferencestootherSOPsQCDsChar"/>
        </w:rPr>
        <w:t>00</w:t>
      </w:r>
      <w:r w:rsidR="00350255">
        <w:rPr>
          <w:rStyle w:val="ReferencestootherSOPsQCDsChar"/>
        </w:rPr>
        <w:t>1</w:t>
      </w:r>
      <w:r w:rsidR="007D260A">
        <w:rPr>
          <w:rStyle w:val="ReferencestootherSOPsQCDsChar"/>
        </w:rPr>
        <w:t>)</w:t>
      </w:r>
      <w:r>
        <w:t xml:space="preserve">. </w:t>
      </w:r>
      <w:bookmarkEnd w:id="7"/>
    </w:p>
    <w:p w14:paraId="5992BC20" w14:textId="77777777" w:rsidR="002B6321" w:rsidRDefault="002B6321" w:rsidP="002B6321">
      <w:pPr>
        <w:pStyle w:val="Heading2"/>
      </w:pPr>
      <w:r>
        <w:t>Recruitment phase (and further)</w:t>
      </w:r>
    </w:p>
    <w:p w14:paraId="6D47F941" w14:textId="0B49F53C" w:rsidR="002B6321" w:rsidRDefault="002B6321" w:rsidP="002B6321">
      <w:pPr>
        <w:pStyle w:val="Numberlist"/>
        <w:numPr>
          <w:ilvl w:val="0"/>
          <w:numId w:val="12"/>
        </w:numPr>
        <w:ind w:left="340" w:hanging="340"/>
      </w:pPr>
      <w:r>
        <w:t xml:space="preserve">The CI (or delegate) will identify potentially eligible volunteers in accordance </w:t>
      </w:r>
      <w:r w:rsidR="00E7781E">
        <w:t xml:space="preserve">with </w:t>
      </w:r>
      <w:r>
        <w:t xml:space="preserve">ethically and regulatory approved procedures (i.e., the protocol). </w:t>
      </w:r>
    </w:p>
    <w:p w14:paraId="7D322673" w14:textId="2F51B1AD" w:rsidR="002B6321" w:rsidRDefault="002B6321" w:rsidP="002B6321">
      <w:pPr>
        <w:pStyle w:val="Numberlist"/>
        <w:numPr>
          <w:ilvl w:val="0"/>
          <w:numId w:val="12"/>
        </w:numPr>
        <w:ind w:left="340" w:hanging="340"/>
      </w:pPr>
      <w:r>
        <w:t>The CI (or delegate) will recruit and consent volunteers according to the procedures in</w:t>
      </w:r>
      <w:r w:rsidR="007D260A">
        <w:t xml:space="preserve"> the</w:t>
      </w:r>
      <w:r>
        <w:t xml:space="preserve"> </w:t>
      </w:r>
      <w:bookmarkStart w:id="8" w:name="_Hlk122006765"/>
      <w:r w:rsidRPr="008D3E57">
        <w:rPr>
          <w:rStyle w:val="ReferencestootherSOPsQCDsChar"/>
        </w:rPr>
        <w:t>Participant Engagement and Informed Consent</w:t>
      </w:r>
      <w:r w:rsidR="007D260A">
        <w:rPr>
          <w:rStyle w:val="ReferencestootherSOPsQCDsChar"/>
        </w:rPr>
        <w:t xml:space="preserve"> SOP (</w:t>
      </w:r>
      <w:r w:rsidR="007D260A" w:rsidRPr="008D3E57">
        <w:rPr>
          <w:rStyle w:val="ReferencestootherSOPsQCDsChar"/>
        </w:rPr>
        <w:t>UoB-PEI-SOP-001</w:t>
      </w:r>
      <w:r w:rsidR="007D260A">
        <w:rPr>
          <w:rStyle w:val="ReferencestootherSOPsQCDsChar"/>
        </w:rPr>
        <w:t>)</w:t>
      </w:r>
      <w:r>
        <w:t xml:space="preserve">. </w:t>
      </w:r>
      <w:bookmarkEnd w:id="8"/>
    </w:p>
    <w:p w14:paraId="07FA0317" w14:textId="3B9DE4B6" w:rsidR="002B6321" w:rsidRDefault="002B6321" w:rsidP="002B6321">
      <w:pPr>
        <w:pStyle w:val="Numberlist"/>
        <w:numPr>
          <w:ilvl w:val="0"/>
          <w:numId w:val="12"/>
        </w:numPr>
        <w:ind w:left="340" w:hanging="340"/>
      </w:pPr>
      <w:r>
        <w:t xml:space="preserve">The CI (or delegate) will assess and document the eligibility of the volunteer against the inclusion and exclusion criteria. Where a decision is required on the volunteer’s medical condition/history, the CI (or delegate) will consult with the healthcare professional, and will evidence the healthcare professional’s approval to include/exclude the volunteer. </w:t>
      </w:r>
    </w:p>
    <w:p w14:paraId="1D553FD5" w14:textId="3FA78F8E" w:rsidR="002B6321" w:rsidRDefault="002B6321" w:rsidP="002B6321">
      <w:pPr>
        <w:pStyle w:val="Numberlist"/>
        <w:numPr>
          <w:ilvl w:val="0"/>
          <w:numId w:val="12"/>
        </w:numPr>
        <w:ind w:left="340" w:hanging="340"/>
      </w:pPr>
      <w:r>
        <w:t xml:space="preserve">Where human biomaterial is collected, processed and/or stored on UoB premises, the CI (or delegate) will follow the </w:t>
      </w:r>
      <w:hyperlink r:id="rId17" w:tooltip="Link to UoB Health and Safety Policies and Guidance for Biological Safety" w:history="1">
        <w:proofErr w:type="spellStart"/>
        <w:r w:rsidRPr="00771486">
          <w:rPr>
            <w:rStyle w:val="Hyperlink"/>
          </w:rPr>
          <w:t>UoB</w:t>
        </w:r>
        <w:proofErr w:type="spellEnd"/>
        <w:r w:rsidRPr="00771486">
          <w:rPr>
            <w:rStyle w:val="Hyperlink"/>
          </w:rPr>
          <w:t xml:space="preserve"> </w:t>
        </w:r>
        <w:r w:rsidR="00E7781E">
          <w:rPr>
            <w:rStyle w:val="Hyperlink"/>
          </w:rPr>
          <w:t>h</w:t>
        </w:r>
        <w:r w:rsidR="00E7781E" w:rsidRPr="00771486">
          <w:rPr>
            <w:rStyle w:val="Hyperlink"/>
          </w:rPr>
          <w:t xml:space="preserve">ealth </w:t>
        </w:r>
        <w:r w:rsidRPr="00771486">
          <w:rPr>
            <w:rStyle w:val="Hyperlink"/>
          </w:rPr>
          <w:t xml:space="preserve">and </w:t>
        </w:r>
        <w:r w:rsidR="00E7781E">
          <w:rPr>
            <w:rStyle w:val="Hyperlink"/>
          </w:rPr>
          <w:t>s</w:t>
        </w:r>
        <w:r w:rsidR="00E7781E" w:rsidRPr="00771486">
          <w:rPr>
            <w:rStyle w:val="Hyperlink"/>
          </w:rPr>
          <w:t xml:space="preserve">afety </w:t>
        </w:r>
        <w:r w:rsidR="00E7781E">
          <w:rPr>
            <w:rStyle w:val="Hyperlink"/>
          </w:rPr>
          <w:t>p</w:t>
        </w:r>
        <w:r w:rsidR="00E7781E" w:rsidRPr="00771486">
          <w:rPr>
            <w:rStyle w:val="Hyperlink"/>
          </w:rPr>
          <w:t xml:space="preserve">olicies </w:t>
        </w:r>
        <w:r w:rsidRPr="00771486">
          <w:rPr>
            <w:rStyle w:val="Hyperlink"/>
          </w:rPr>
          <w:t xml:space="preserve">and </w:t>
        </w:r>
        <w:r w:rsidR="00E7781E">
          <w:rPr>
            <w:rStyle w:val="Hyperlink"/>
          </w:rPr>
          <w:t>g</w:t>
        </w:r>
        <w:r w:rsidR="00E7781E" w:rsidRPr="00771486">
          <w:rPr>
            <w:rStyle w:val="Hyperlink"/>
          </w:rPr>
          <w:t xml:space="preserve">uidance </w:t>
        </w:r>
        <w:r w:rsidRPr="00771486">
          <w:rPr>
            <w:rStyle w:val="Hyperlink"/>
          </w:rPr>
          <w:t xml:space="preserve">for </w:t>
        </w:r>
        <w:r w:rsidR="00E7781E">
          <w:rPr>
            <w:rStyle w:val="Hyperlink"/>
          </w:rPr>
          <w:t>b</w:t>
        </w:r>
        <w:r w:rsidR="00E7781E" w:rsidRPr="00771486">
          <w:rPr>
            <w:rStyle w:val="Hyperlink"/>
          </w:rPr>
          <w:t xml:space="preserve">iological </w:t>
        </w:r>
        <w:r w:rsidR="00E7781E">
          <w:rPr>
            <w:rStyle w:val="Hyperlink"/>
          </w:rPr>
          <w:t>s</w:t>
        </w:r>
        <w:r w:rsidRPr="00771486">
          <w:rPr>
            <w:rStyle w:val="Hyperlink"/>
          </w:rPr>
          <w:t>afety</w:t>
        </w:r>
      </w:hyperlink>
      <w:r>
        <w:t xml:space="preserve">, including performing a risk </w:t>
      </w:r>
      <w:r w:rsidRPr="00A8635A">
        <w:t>assessment for work with biological materials</w:t>
      </w:r>
      <w:r>
        <w:t>. Where applicable, the CI (or delegate) will follow the procedures detailed in</w:t>
      </w:r>
      <w:r w:rsidR="007D260A">
        <w:t xml:space="preserve"> the</w:t>
      </w:r>
      <w:r>
        <w:t xml:space="preserve"> </w:t>
      </w:r>
      <w:bookmarkStart w:id="9" w:name="_Hlk122006775"/>
      <w:r w:rsidRPr="00B10B23">
        <w:rPr>
          <w:rStyle w:val="ReferencestootherSOPsQCDsChar"/>
        </w:rPr>
        <w:t>Laboratory Facilities</w:t>
      </w:r>
      <w:r w:rsidR="007D260A">
        <w:rPr>
          <w:rStyle w:val="ReferencestootherSOPsQCDsChar"/>
        </w:rPr>
        <w:t xml:space="preserve"> SOP (</w:t>
      </w:r>
      <w:r w:rsidR="007D260A" w:rsidRPr="00B10B23">
        <w:rPr>
          <w:rStyle w:val="ReferencestootherSOPsQCDsChar"/>
        </w:rPr>
        <w:t>UoB-CRL-SOP-002</w:t>
      </w:r>
      <w:r w:rsidR="007D260A">
        <w:rPr>
          <w:rStyle w:val="ReferencestootherSOPsQCDsChar"/>
        </w:rPr>
        <w:t>)</w:t>
      </w:r>
      <w:r>
        <w:t xml:space="preserve"> and </w:t>
      </w:r>
      <w:r w:rsidRPr="00B10B23">
        <w:rPr>
          <w:rStyle w:val="ReferencestootherSOPsQCDsChar"/>
        </w:rPr>
        <w:t>Sample Management</w:t>
      </w:r>
      <w:r w:rsidR="007D260A">
        <w:rPr>
          <w:rStyle w:val="ReferencestootherSOPsQCDsChar"/>
        </w:rPr>
        <w:t xml:space="preserve"> SOP (</w:t>
      </w:r>
      <w:r w:rsidR="007D260A" w:rsidRPr="00B10B23">
        <w:rPr>
          <w:rStyle w:val="ReferencestootherSOPsQCDsChar"/>
        </w:rPr>
        <w:t>UoB-CRL-SOP-003</w:t>
      </w:r>
      <w:r w:rsidR="007D260A">
        <w:rPr>
          <w:rStyle w:val="ReferencestootherSOPsQCDsChar"/>
        </w:rPr>
        <w:t>)</w:t>
      </w:r>
      <w:r>
        <w:t xml:space="preserve">.   </w:t>
      </w:r>
    </w:p>
    <w:bookmarkEnd w:id="9"/>
    <w:p w14:paraId="6A7E83E0" w14:textId="68E8369B" w:rsidR="002B6321" w:rsidRDefault="002B6321" w:rsidP="002B6321">
      <w:pPr>
        <w:pStyle w:val="Numberlist"/>
        <w:numPr>
          <w:ilvl w:val="0"/>
          <w:numId w:val="12"/>
        </w:numPr>
        <w:ind w:left="340" w:hanging="340"/>
      </w:pPr>
      <w:r>
        <w:t>The CI (or delegate) will archive any documentation relating to the healthy volunteer with the study</w:t>
      </w:r>
      <w:r w:rsidR="001F3FF0">
        <w:t>/trial master</w:t>
      </w:r>
      <w:r>
        <w:t xml:space="preserve"> file at the end of the </w:t>
      </w:r>
      <w:r w:rsidR="001F3FF0">
        <w:t>project</w:t>
      </w:r>
      <w:r>
        <w:t xml:space="preserve">. </w:t>
      </w:r>
      <w:r w:rsidR="007D260A">
        <w:t xml:space="preserve">See </w:t>
      </w:r>
      <w:bookmarkStart w:id="10" w:name="_Hlk122006798"/>
      <w:r w:rsidR="007D260A" w:rsidRPr="00B02307">
        <w:rPr>
          <w:rStyle w:val="ReferencestootherSOPsQCDsChar"/>
        </w:rPr>
        <w:t>Archiving SOP (UoB-ARC-SOP-001)</w:t>
      </w:r>
      <w:r w:rsidR="007D260A">
        <w:t xml:space="preserve"> </w:t>
      </w:r>
      <w:bookmarkEnd w:id="10"/>
      <w:r w:rsidR="007D260A">
        <w:t>for further information on archiving requirements.</w:t>
      </w:r>
    </w:p>
    <w:p w14:paraId="23D95BDF" w14:textId="6B76F4DA" w:rsidR="002B6321" w:rsidRPr="00435EAE" w:rsidRDefault="002B6321" w:rsidP="002B6321">
      <w:pPr>
        <w:pStyle w:val="Heading1"/>
      </w:pPr>
      <w:r w:rsidRPr="00435EAE">
        <w:t>List of expected outputs</w:t>
      </w:r>
    </w:p>
    <w:p w14:paraId="64A6525A" w14:textId="77777777" w:rsidR="002B6321" w:rsidRDefault="002B6321" w:rsidP="002B6321">
      <w:pPr>
        <w:pStyle w:val="bullet1"/>
        <w:numPr>
          <w:ilvl w:val="0"/>
          <w:numId w:val="3"/>
        </w:numPr>
        <w:ind w:left="340" w:hanging="340"/>
      </w:pPr>
      <w:r>
        <w:t xml:space="preserve">Evidence of clearly defined inclusion and exclusion criteria for the volunteers. </w:t>
      </w:r>
    </w:p>
    <w:p w14:paraId="5BB22674" w14:textId="77777777" w:rsidR="002B6321" w:rsidRDefault="002B6321" w:rsidP="002B6321">
      <w:pPr>
        <w:pStyle w:val="bullet1"/>
        <w:numPr>
          <w:ilvl w:val="0"/>
          <w:numId w:val="3"/>
        </w:numPr>
        <w:ind w:left="340" w:hanging="340"/>
      </w:pPr>
      <w:r>
        <w:t>Evidence of a process to determine if a volunteer has previously participated in clinical research.</w:t>
      </w:r>
    </w:p>
    <w:p w14:paraId="5C7A0F39" w14:textId="767A88AC" w:rsidR="002B6321" w:rsidRDefault="002B6321" w:rsidP="002B6321">
      <w:pPr>
        <w:pStyle w:val="bullet1"/>
        <w:numPr>
          <w:ilvl w:val="0"/>
          <w:numId w:val="3"/>
        </w:numPr>
        <w:ind w:left="340" w:hanging="340"/>
      </w:pPr>
      <w:r>
        <w:t xml:space="preserve">Evidence of </w:t>
      </w:r>
      <w:r w:rsidRPr="005276B6">
        <w:t>the level of ongoing input required from a health</w:t>
      </w:r>
      <w:r>
        <w:t>care</w:t>
      </w:r>
      <w:r w:rsidRPr="005276B6">
        <w:t xml:space="preserve"> professional</w:t>
      </w:r>
      <w:r>
        <w:t>.</w:t>
      </w:r>
    </w:p>
    <w:p w14:paraId="51A6EACD" w14:textId="55DA1330" w:rsidR="002B6321" w:rsidRDefault="002B6321" w:rsidP="002B6321">
      <w:pPr>
        <w:pStyle w:val="bullet1"/>
        <w:numPr>
          <w:ilvl w:val="0"/>
          <w:numId w:val="3"/>
        </w:numPr>
        <w:ind w:left="340" w:hanging="340"/>
      </w:pPr>
      <w:r>
        <w:t>Evidence of recruitment and consent processes as outlined</w:t>
      </w:r>
      <w:r w:rsidR="00724BEE">
        <w:t xml:space="preserve"> the</w:t>
      </w:r>
      <w:r>
        <w:t xml:space="preserve"> </w:t>
      </w:r>
      <w:bookmarkStart w:id="11" w:name="_Hlk122006806"/>
      <w:r w:rsidRPr="00683ECD">
        <w:rPr>
          <w:rStyle w:val="ReferencestootherSOPsQCDsChar"/>
        </w:rPr>
        <w:t>Participant Engagement and Informed Consent</w:t>
      </w:r>
      <w:r w:rsidR="00724BEE">
        <w:rPr>
          <w:rStyle w:val="ReferencestootherSOPsQCDsChar"/>
        </w:rPr>
        <w:t xml:space="preserve"> SOP (</w:t>
      </w:r>
      <w:r w:rsidR="00724BEE" w:rsidRPr="00683ECD">
        <w:rPr>
          <w:rStyle w:val="ReferencestootherSOPsQCDsChar"/>
        </w:rPr>
        <w:t>UoB-PEI-SOP-001</w:t>
      </w:r>
      <w:r w:rsidR="00724BEE">
        <w:rPr>
          <w:rStyle w:val="ReferencestootherSOPsQCDsChar"/>
        </w:rPr>
        <w:t>)</w:t>
      </w:r>
      <w:bookmarkEnd w:id="11"/>
      <w:r w:rsidRPr="005276B6">
        <w:t>.</w:t>
      </w:r>
    </w:p>
    <w:p w14:paraId="0B8AA64C" w14:textId="77777777" w:rsidR="002B6321" w:rsidRDefault="002B6321" w:rsidP="002B6321">
      <w:pPr>
        <w:pStyle w:val="bullet1"/>
        <w:numPr>
          <w:ilvl w:val="0"/>
          <w:numId w:val="3"/>
        </w:numPr>
        <w:ind w:left="340" w:hanging="340"/>
      </w:pPr>
      <w:r>
        <w:t xml:space="preserve">Evidence of an eligibility assessment for each volunteer, and that relevant medical history has been reviewed. </w:t>
      </w:r>
    </w:p>
    <w:p w14:paraId="611A73B2" w14:textId="4D9C42CF" w:rsidR="002B6321" w:rsidRDefault="002B6321" w:rsidP="002B6321">
      <w:pPr>
        <w:pStyle w:val="Heading1"/>
      </w:pPr>
      <w:r w:rsidRPr="006561C0">
        <w:t>Related</w:t>
      </w:r>
      <w:r>
        <w:t xml:space="preserve"> documents</w:t>
      </w:r>
    </w:p>
    <w:p w14:paraId="01609D1D" w14:textId="77777777" w:rsidR="00350255" w:rsidRDefault="00350255" w:rsidP="002B6321">
      <w:pPr>
        <w:pStyle w:val="bullet1"/>
        <w:numPr>
          <w:ilvl w:val="0"/>
          <w:numId w:val="3"/>
        </w:numPr>
        <w:ind w:left="340" w:hanging="340"/>
      </w:pPr>
      <w:r w:rsidRPr="00006FBA">
        <w:t>UoB-AES-SOP-001 Adverse Event Reporting</w:t>
      </w:r>
    </w:p>
    <w:p w14:paraId="727819CE" w14:textId="77777777" w:rsidR="00350255" w:rsidRDefault="00350255" w:rsidP="002B6321">
      <w:pPr>
        <w:pStyle w:val="bullet1"/>
        <w:numPr>
          <w:ilvl w:val="0"/>
          <w:numId w:val="3"/>
        </w:numPr>
        <w:ind w:left="340" w:hanging="340"/>
      </w:pPr>
      <w:r w:rsidRPr="00006FBA">
        <w:t>UoB-ARC-SOP-001 Archiving</w:t>
      </w:r>
    </w:p>
    <w:p w14:paraId="0482DD7D" w14:textId="77777777" w:rsidR="00350255" w:rsidRDefault="00350255" w:rsidP="002B6321">
      <w:pPr>
        <w:pStyle w:val="bullet1"/>
        <w:numPr>
          <w:ilvl w:val="0"/>
          <w:numId w:val="3"/>
        </w:numPr>
        <w:ind w:left="340" w:hanging="340"/>
      </w:pPr>
      <w:r>
        <w:t>UoB-CRL-SOP-002 Laboratory Facilities</w:t>
      </w:r>
    </w:p>
    <w:p w14:paraId="2B77C7C6" w14:textId="77777777" w:rsidR="00350255" w:rsidRDefault="00350255" w:rsidP="002B6321">
      <w:pPr>
        <w:pStyle w:val="bullet1"/>
        <w:numPr>
          <w:ilvl w:val="0"/>
          <w:numId w:val="3"/>
        </w:numPr>
        <w:ind w:left="340" w:hanging="340"/>
      </w:pPr>
      <w:r>
        <w:t>UoB-CRL-SOP-003 Sample Management</w:t>
      </w:r>
    </w:p>
    <w:p w14:paraId="2D37B5B9" w14:textId="77777777" w:rsidR="00350255" w:rsidRDefault="00350255" w:rsidP="002B6321">
      <w:pPr>
        <w:pStyle w:val="bullet1"/>
        <w:numPr>
          <w:ilvl w:val="0"/>
          <w:numId w:val="3"/>
        </w:numPr>
        <w:ind w:left="340" w:hanging="340"/>
      </w:pPr>
      <w:r>
        <w:t>UoB-DSB-SOP-001 Deviations and Serious Breach Reporting</w:t>
      </w:r>
    </w:p>
    <w:p w14:paraId="4D4335ED" w14:textId="77777777" w:rsidR="00350255" w:rsidRDefault="00350255" w:rsidP="002B6321">
      <w:pPr>
        <w:pStyle w:val="bullet1"/>
        <w:numPr>
          <w:ilvl w:val="0"/>
          <w:numId w:val="3"/>
        </w:numPr>
        <w:ind w:left="340" w:hanging="340"/>
      </w:pPr>
      <w:r>
        <w:t xml:space="preserve">UoB-GCP-POL-001 </w:t>
      </w:r>
      <w:proofErr w:type="spellStart"/>
      <w:r>
        <w:t>UoB</w:t>
      </w:r>
      <w:proofErr w:type="spellEnd"/>
      <w:r>
        <w:t xml:space="preserve"> Principles of GCP for Clinical Research</w:t>
      </w:r>
    </w:p>
    <w:p w14:paraId="26789606" w14:textId="77777777" w:rsidR="00350255" w:rsidRDefault="00350255" w:rsidP="002B6321">
      <w:pPr>
        <w:pStyle w:val="bullet1"/>
        <w:numPr>
          <w:ilvl w:val="0"/>
          <w:numId w:val="3"/>
        </w:numPr>
        <w:ind w:left="340" w:hanging="340"/>
      </w:pPr>
      <w:r w:rsidRPr="00C9387B">
        <w:t>UoB-PEI-SOP-001 Participant Engagement and Informed Consent</w:t>
      </w:r>
    </w:p>
    <w:p w14:paraId="7B201E3F" w14:textId="77777777" w:rsidR="00350255" w:rsidRDefault="00350255" w:rsidP="002B6321">
      <w:pPr>
        <w:pStyle w:val="bullet1"/>
        <w:numPr>
          <w:ilvl w:val="0"/>
          <w:numId w:val="3"/>
        </w:numPr>
        <w:ind w:left="340" w:hanging="340"/>
      </w:pPr>
      <w:r>
        <w:t>UoB-SPO-QCD-001 Clinical Trials Task Delegation Log</w:t>
      </w:r>
    </w:p>
    <w:p w14:paraId="1A354E53" w14:textId="77777777" w:rsidR="00350255" w:rsidRDefault="00350255" w:rsidP="002B6321">
      <w:pPr>
        <w:pStyle w:val="bullet1"/>
        <w:numPr>
          <w:ilvl w:val="0"/>
          <w:numId w:val="3"/>
        </w:numPr>
        <w:ind w:left="340" w:hanging="340"/>
      </w:pPr>
      <w:r w:rsidRPr="00C9387B">
        <w:t>UoB-</w:t>
      </w:r>
      <w:r>
        <w:t>TRN</w:t>
      </w:r>
      <w:r w:rsidRPr="00C9387B">
        <w:t>-SOP-00</w:t>
      </w:r>
      <w:r>
        <w:t>1</w:t>
      </w:r>
      <w:r w:rsidRPr="00C9387B">
        <w:t xml:space="preserve"> Training</w:t>
      </w:r>
    </w:p>
    <w:p w14:paraId="3CF98872" w14:textId="5AADB3BC" w:rsidR="00724BEE" w:rsidRDefault="00724BEE" w:rsidP="00E7781E">
      <w:proofErr w:type="spellStart"/>
      <w:r>
        <w:t>UoB</w:t>
      </w:r>
      <w:proofErr w:type="spellEnd"/>
      <w:r>
        <w:t xml:space="preserve"> QMS documents can be found on the </w:t>
      </w:r>
      <w:hyperlink r:id="rId18" w:tooltip="Lnk to the CRCT (Clinical Research Compliance Team) website" w:history="1">
        <w:r w:rsidRPr="00DD65AC">
          <w:rPr>
            <w:rStyle w:val="Hyperlink"/>
            <w:lang w:eastAsia="en-GB"/>
          </w:rPr>
          <w:t>C</w:t>
        </w:r>
        <w:r>
          <w:rPr>
            <w:rStyle w:val="Hyperlink"/>
            <w:lang w:eastAsia="en-GB"/>
          </w:rPr>
          <w:t>linical Researh Compliance Team (C</w:t>
        </w:r>
        <w:r w:rsidRPr="00DD65AC">
          <w:rPr>
            <w:rStyle w:val="Hyperlink"/>
            <w:lang w:eastAsia="en-GB"/>
          </w:rPr>
          <w:t>RCT</w:t>
        </w:r>
        <w:r>
          <w:rPr>
            <w:rStyle w:val="Hyperlink"/>
            <w:lang w:eastAsia="en-GB"/>
          </w:rPr>
          <w:t>)</w:t>
        </w:r>
        <w:r w:rsidRPr="00DD65AC">
          <w:rPr>
            <w:rStyle w:val="Hyperlink"/>
            <w:lang w:eastAsia="en-GB"/>
          </w:rPr>
          <w:t xml:space="preserve"> website</w:t>
        </w:r>
      </w:hyperlink>
      <w:r>
        <w:rPr>
          <w:lang w:eastAsia="en-GB"/>
        </w:rPr>
        <w:t>. Internal work instructions can be obtained from the CRCT (</w:t>
      </w:r>
      <w:hyperlink r:id="rId19" w:tooltip="Email address for the CRCT (Clinical Research Compliance Team)" w:history="1">
        <w:r w:rsidRPr="00A101C2">
          <w:rPr>
            <w:rStyle w:val="Hyperlink"/>
            <w:lang w:eastAsia="en-GB"/>
          </w:rPr>
          <w:t>crct@contacts.bham.ac.uk</w:t>
        </w:r>
      </w:hyperlink>
      <w:r>
        <w:rPr>
          <w:lang w:eastAsia="en-GB"/>
        </w:rPr>
        <w:t>) and/or from the Research Governance Team (RGT) (</w:t>
      </w:r>
      <w:hyperlink r:id="rId20" w:tooltip="Email address for the RGT (Research Governance Team)" w:history="1">
        <w:r w:rsidRPr="00335337">
          <w:rPr>
            <w:rStyle w:val="Hyperlink"/>
            <w:lang w:eastAsia="en-GB"/>
          </w:rPr>
          <w:t>researchgovernance@contacts.bham.ac.uk</w:t>
        </w:r>
      </w:hyperlink>
      <w:r w:rsidRPr="00824C98">
        <w:t>).</w:t>
      </w:r>
      <w:r>
        <w:rPr>
          <w:lang w:eastAsia="en-GB"/>
        </w:rPr>
        <w:t xml:space="preserve"> </w:t>
      </w:r>
    </w:p>
    <w:p w14:paraId="22E58120" w14:textId="5EB5C5F4" w:rsidR="007B4836" w:rsidRDefault="007B4836">
      <w:pPr>
        <w:pStyle w:val="Heading1"/>
      </w:pPr>
      <w:r w:rsidRPr="005D17F6">
        <w:lastRenderedPageBreak/>
        <w:t>References</w:t>
      </w:r>
      <w:r w:rsidR="005F0420">
        <w:t xml:space="preserve"> and </w:t>
      </w:r>
      <w:r w:rsidR="00724BEE">
        <w:t>f</w:t>
      </w:r>
      <w:r w:rsidR="005F0420">
        <w:t>rameworks</w:t>
      </w:r>
    </w:p>
    <w:p w14:paraId="59976F0E" w14:textId="6D0CDAB0" w:rsidR="002B6321" w:rsidRDefault="00AA459B" w:rsidP="002B6321">
      <w:pPr>
        <w:pStyle w:val="bullet1"/>
      </w:pPr>
      <w:r>
        <w:t xml:space="preserve">Allied </w:t>
      </w:r>
      <w:r w:rsidR="0046174A">
        <w:t>health professions</w:t>
      </w:r>
      <w:r w:rsidR="002B6321">
        <w:t xml:space="preserve">: </w:t>
      </w:r>
      <w:hyperlink r:id="rId21" w:tooltip="Link to the NHS Allied Health Professions" w:history="1">
        <w:r w:rsidR="002B6321" w:rsidRPr="00DD51D7">
          <w:rPr>
            <w:rStyle w:val="Hyperlink"/>
          </w:rPr>
          <w:t>https://www.england.nhs.uk/ahp/role/</w:t>
        </w:r>
      </w:hyperlink>
      <w:r w:rsidR="002B6321">
        <w:t xml:space="preserve"> </w:t>
      </w:r>
    </w:p>
    <w:p w14:paraId="218C6266" w14:textId="163AD408" w:rsidR="002B6321" w:rsidRDefault="002B6321" w:rsidP="002B6321">
      <w:pPr>
        <w:pStyle w:val="bullet1"/>
      </w:pPr>
      <w:r>
        <w:t xml:space="preserve">HRA </w:t>
      </w:r>
      <w:r w:rsidR="0046174A">
        <w:t xml:space="preserve">guidance </w:t>
      </w:r>
      <w:r>
        <w:t xml:space="preserve">on Phase I clinical trials: </w:t>
      </w:r>
      <w:hyperlink r:id="rId22" w:tooltip="Link to HRA guidance on Phase I clinical trials" w:history="1">
        <w:r>
          <w:rPr>
            <w:rStyle w:val="Hyperlink"/>
            <w:rFonts w:eastAsiaTheme="minorHAnsi"/>
          </w:rPr>
          <w:t>https://www.hra.nhs.uk/planning-and-improving-research/policies-standards-legislation/phase-1-clinical-trials/</w:t>
        </w:r>
      </w:hyperlink>
    </w:p>
    <w:p w14:paraId="3829CE48" w14:textId="12CF69AC" w:rsidR="002B6321" w:rsidRDefault="002B6321" w:rsidP="002B6321">
      <w:pPr>
        <w:pStyle w:val="bullet1"/>
      </w:pPr>
      <w:proofErr w:type="spellStart"/>
      <w:r>
        <w:t>UoB</w:t>
      </w:r>
      <w:proofErr w:type="spellEnd"/>
      <w:r>
        <w:t xml:space="preserve"> </w:t>
      </w:r>
      <w:r w:rsidR="0046174A">
        <w:t xml:space="preserve">health </w:t>
      </w:r>
      <w:r>
        <w:t xml:space="preserve">and </w:t>
      </w:r>
      <w:r w:rsidR="0046174A">
        <w:t xml:space="preserve">safety policies </w:t>
      </w:r>
      <w:r>
        <w:t xml:space="preserve">and </w:t>
      </w:r>
      <w:r w:rsidR="0046174A">
        <w:t xml:space="preserve">guidance </w:t>
      </w:r>
      <w:r>
        <w:t xml:space="preserve">for </w:t>
      </w:r>
      <w:r w:rsidR="0046174A">
        <w:t>biological safety</w:t>
      </w:r>
      <w:r>
        <w:t xml:space="preserve">: </w:t>
      </w:r>
      <w:hyperlink r:id="rId23" w:tooltip="Link to UoB Health and Safety Policies and Guidance for Biological Safety" w:history="1">
        <w:r w:rsidRPr="00434EC9">
          <w:rPr>
            <w:rStyle w:val="Hyperlink"/>
          </w:rPr>
          <w:t>https://intranet.birmingham.ac.uk/hr/wellbeing/worksafe/biological/index.aspx</w:t>
        </w:r>
      </w:hyperlink>
      <w:r>
        <w:t xml:space="preserve"> </w:t>
      </w:r>
    </w:p>
    <w:p w14:paraId="36DB7068" w14:textId="0409CD47" w:rsidR="002B6321" w:rsidRDefault="002B6321" w:rsidP="002B6321">
      <w:pPr>
        <w:pStyle w:val="bullet1"/>
      </w:pPr>
      <w:r w:rsidRPr="00F72E8A">
        <w:t>UoB Health and Safety Policy for Blood Taking from Volunteers for Research</w:t>
      </w:r>
      <w:r>
        <w:t xml:space="preserve">: </w:t>
      </w:r>
      <w:hyperlink r:id="rId24" w:tooltip="Link to UoB Health and Safety Policy for Blood Taking from Volunteers for Research" w:history="1">
        <w:r w:rsidRPr="00434EC9">
          <w:rPr>
            <w:rStyle w:val="Hyperlink"/>
          </w:rPr>
          <w:t>https://intranet.birmingham.ac.uk/hr/documents/public/hsu/hsupolicy/Blood-taking-from-Volunteers-Policy.pdf</w:t>
        </w:r>
      </w:hyperlink>
      <w:r>
        <w:t xml:space="preserve"> </w:t>
      </w:r>
    </w:p>
    <w:p w14:paraId="7AC785D7" w14:textId="3A6C8B9E" w:rsidR="00411AAD" w:rsidRDefault="00411AAD" w:rsidP="002B6321">
      <w:pPr>
        <w:pStyle w:val="bullet1"/>
      </w:pPr>
      <w:r>
        <w:t xml:space="preserve">UoB QMS: </w:t>
      </w:r>
      <w:hyperlink r:id="rId25" w:history="1">
        <w:r w:rsidRPr="009F5819">
          <w:rPr>
            <w:rStyle w:val="Hyperlink"/>
          </w:rPr>
          <w:t>https://www.birmingham.ac.uk/research/activity/mds/mds-rkto/governance/qms.aspx</w:t>
        </w:r>
      </w:hyperlink>
      <w:r>
        <w:t xml:space="preserve"> </w:t>
      </w:r>
    </w:p>
    <w:p w14:paraId="1B740DDD" w14:textId="434D66D6" w:rsidR="00B10C05" w:rsidRDefault="00B10C05">
      <w:pPr>
        <w:pStyle w:val="Heading1"/>
      </w:pPr>
      <w:r w:rsidRPr="00522ABB">
        <w:t>Abbreviations</w:t>
      </w:r>
      <w:r>
        <w:t xml:space="preserve"> and </w:t>
      </w:r>
      <w:r w:rsidR="00724BEE">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0E8CD1A7" w14:textId="77777777" w:rsidTr="002B6321">
        <w:trPr>
          <w:cantSplit/>
          <w:tblHeader/>
        </w:trPr>
        <w:tc>
          <w:tcPr>
            <w:tcW w:w="2462" w:type="dxa"/>
            <w:vAlign w:val="center"/>
          </w:tcPr>
          <w:p w14:paraId="4E44A715" w14:textId="77777777" w:rsidR="00CC61A6" w:rsidRPr="003D5BFC" w:rsidRDefault="00CC61A6" w:rsidP="00043513">
            <w:pPr>
              <w:pStyle w:val="Heading2"/>
            </w:pPr>
            <w:r w:rsidRPr="003D5BFC">
              <w:t>Term</w:t>
            </w:r>
          </w:p>
        </w:tc>
        <w:tc>
          <w:tcPr>
            <w:tcW w:w="6555" w:type="dxa"/>
            <w:vAlign w:val="center"/>
          </w:tcPr>
          <w:p w14:paraId="3ACABBA1" w14:textId="77777777" w:rsidR="00CC61A6" w:rsidRPr="003D5BFC" w:rsidRDefault="00CC61A6" w:rsidP="00043513">
            <w:pPr>
              <w:pStyle w:val="Heading2"/>
            </w:pPr>
            <w:r w:rsidRPr="003D5BFC">
              <w:t>Description</w:t>
            </w:r>
          </w:p>
        </w:tc>
      </w:tr>
      <w:tr w:rsidR="002B6321" w14:paraId="63406A2A" w14:textId="77777777" w:rsidTr="002B6321">
        <w:trPr>
          <w:cantSplit/>
        </w:trPr>
        <w:tc>
          <w:tcPr>
            <w:tcW w:w="2462" w:type="dxa"/>
          </w:tcPr>
          <w:p w14:paraId="4B53B60E" w14:textId="4FF8E8C2" w:rsidR="002B6321" w:rsidRPr="00F90245" w:rsidRDefault="002B6321" w:rsidP="002B6321">
            <w:pPr>
              <w:rPr>
                <w:b/>
              </w:rPr>
            </w:pPr>
            <w:r>
              <w:rPr>
                <w:b/>
              </w:rPr>
              <w:t>Authorised health</w:t>
            </w:r>
            <w:r w:rsidR="00724BEE">
              <w:rPr>
                <w:b/>
              </w:rPr>
              <w:t>care</w:t>
            </w:r>
            <w:r>
              <w:rPr>
                <w:b/>
              </w:rPr>
              <w:t xml:space="preserve"> professional</w:t>
            </w:r>
          </w:p>
        </w:tc>
        <w:tc>
          <w:tcPr>
            <w:tcW w:w="6555" w:type="dxa"/>
          </w:tcPr>
          <w:p w14:paraId="657C0E60" w14:textId="4D840AE1" w:rsidR="002B6321" w:rsidRDefault="002B6321" w:rsidP="002B6321">
            <w:r>
              <w:t>An authorised health</w:t>
            </w:r>
            <w:r w:rsidR="00724BEE">
              <w:t>care</w:t>
            </w:r>
            <w:r>
              <w:t xml:space="preserve"> professional is defined as a doctor, dentist, nurse or pharmacist. </w:t>
            </w:r>
          </w:p>
        </w:tc>
      </w:tr>
      <w:tr w:rsidR="002B6321" w14:paraId="5030E0A4" w14:textId="77777777" w:rsidTr="002B6321">
        <w:trPr>
          <w:cantSplit/>
        </w:trPr>
        <w:tc>
          <w:tcPr>
            <w:tcW w:w="2462" w:type="dxa"/>
          </w:tcPr>
          <w:p w14:paraId="3935BFAD" w14:textId="77777777" w:rsidR="002B6321" w:rsidRPr="00F90245" w:rsidRDefault="002B6321" w:rsidP="002B6321">
            <w:pPr>
              <w:rPr>
                <w:b/>
              </w:rPr>
            </w:pPr>
            <w:r w:rsidRPr="00F90245">
              <w:rPr>
                <w:b/>
              </w:rPr>
              <w:t>CI</w:t>
            </w:r>
          </w:p>
        </w:tc>
        <w:tc>
          <w:tcPr>
            <w:tcW w:w="6555" w:type="dxa"/>
          </w:tcPr>
          <w:p w14:paraId="5E071155" w14:textId="0B6EEDF9" w:rsidR="002B6321" w:rsidRPr="00A11FDD" w:rsidRDefault="002B6321" w:rsidP="002B6321">
            <w:r>
              <w:t xml:space="preserve">Chief </w:t>
            </w:r>
            <w:r w:rsidR="0046174A">
              <w:t>investigator</w:t>
            </w:r>
          </w:p>
        </w:tc>
      </w:tr>
      <w:tr w:rsidR="002B6321" w14:paraId="02999731" w14:textId="77777777" w:rsidTr="002B6321">
        <w:trPr>
          <w:cantSplit/>
        </w:trPr>
        <w:tc>
          <w:tcPr>
            <w:tcW w:w="2462" w:type="dxa"/>
          </w:tcPr>
          <w:p w14:paraId="7E26C998" w14:textId="77777777" w:rsidR="002B6321" w:rsidRPr="00F90245" w:rsidRDefault="002B6321" w:rsidP="002B6321">
            <w:pPr>
              <w:rPr>
                <w:b/>
              </w:rPr>
            </w:pPr>
            <w:r w:rsidRPr="00F90245">
              <w:rPr>
                <w:b/>
              </w:rPr>
              <w:t xml:space="preserve">Clinical study </w:t>
            </w:r>
          </w:p>
        </w:tc>
        <w:tc>
          <w:tcPr>
            <w:tcW w:w="6555" w:type="dxa"/>
          </w:tcPr>
          <w:p w14:paraId="3110BA24" w14:textId="7A3535F9" w:rsidR="002B6321" w:rsidRDefault="002B6321" w:rsidP="002B6321">
            <w:pPr>
              <w:rPr>
                <w:lang w:eastAsia="en-GB"/>
              </w:rPr>
            </w:pPr>
            <w:r w:rsidRPr="006D57DE">
              <w:rPr>
                <w:lang w:eastAsia="en-GB"/>
              </w:rPr>
              <w:t>Any health</w:t>
            </w:r>
            <w:r w:rsidR="00C6125F">
              <w:rPr>
                <w:lang w:eastAsia="en-GB"/>
              </w:rPr>
              <w:t>-</w:t>
            </w:r>
            <w:r w:rsidRPr="006D57DE">
              <w:rPr>
                <w:lang w:eastAsia="en-GB"/>
              </w:rPr>
              <w:t>related research study on humans. This includes</w:t>
            </w:r>
            <w:r w:rsidR="0046174A">
              <w:rPr>
                <w:lang w:eastAsia="en-GB"/>
              </w:rPr>
              <w:t xml:space="preserve"> a study</w:t>
            </w:r>
            <w:r w:rsidRPr="006D57DE">
              <w:rPr>
                <w:lang w:eastAsia="en-GB"/>
              </w:rPr>
              <w:t>:</w:t>
            </w:r>
          </w:p>
          <w:p w14:paraId="69C1BC89" w14:textId="39AC0ED9" w:rsidR="002B6321" w:rsidRDefault="002B6321" w:rsidP="002B6321">
            <w:pPr>
              <w:pStyle w:val="bullet2"/>
              <w:rPr>
                <w:lang w:eastAsia="en-GB"/>
              </w:rPr>
            </w:pPr>
            <w:r w:rsidRPr="006D57DE">
              <w:rPr>
                <w:lang w:eastAsia="en-GB"/>
              </w:rPr>
              <w:t>administering questionnaires/interviews for quantitative analysis, or using mixed quantitative/qualitative methodology</w:t>
            </w:r>
          </w:p>
          <w:p w14:paraId="486ABC38" w14:textId="18C266D0" w:rsidR="002B6321" w:rsidRDefault="002B6321" w:rsidP="002B6321">
            <w:pPr>
              <w:pStyle w:val="bullet2"/>
              <w:rPr>
                <w:lang w:eastAsia="en-GB"/>
              </w:rPr>
            </w:pPr>
            <w:r w:rsidRPr="006D57DE">
              <w:rPr>
                <w:lang w:eastAsia="en-GB"/>
              </w:rPr>
              <w:t>involving qualitative methods only</w:t>
            </w:r>
          </w:p>
          <w:p w14:paraId="41C39220" w14:textId="74EEF414" w:rsidR="002B6321" w:rsidRDefault="002B6321" w:rsidP="002B6321">
            <w:pPr>
              <w:pStyle w:val="bullet2"/>
              <w:rPr>
                <w:lang w:eastAsia="en-GB"/>
              </w:rPr>
            </w:pPr>
            <w:r w:rsidRPr="006D57DE">
              <w:rPr>
                <w:lang w:eastAsia="en-GB"/>
              </w:rPr>
              <w:t>limited to working with human tissue samples (or other human biological samples) a</w:t>
            </w:r>
            <w:r>
              <w:rPr>
                <w:lang w:eastAsia="en-GB"/>
              </w:rPr>
              <w:t>nd data (specific project only)</w:t>
            </w:r>
          </w:p>
          <w:p w14:paraId="06C9B10B" w14:textId="0E169E27" w:rsidR="002B6321" w:rsidRPr="00AA03A7" w:rsidRDefault="002B6321" w:rsidP="002B6321">
            <w:pPr>
              <w:pStyle w:val="bullet2"/>
              <w:rPr>
                <w:b/>
              </w:rPr>
            </w:pPr>
            <w:r w:rsidRPr="006D57DE">
              <w:rPr>
                <w:lang w:eastAsia="en-GB"/>
              </w:rPr>
              <w:t>limited to working with data (specific project only)</w:t>
            </w:r>
            <w:r>
              <w:rPr>
                <w:lang w:eastAsia="en-GB"/>
              </w:rPr>
              <w:t>.</w:t>
            </w:r>
          </w:p>
        </w:tc>
      </w:tr>
      <w:tr w:rsidR="002B6321" w14:paraId="0EA7E4F4" w14:textId="77777777" w:rsidTr="002B6321">
        <w:trPr>
          <w:cantSplit/>
        </w:trPr>
        <w:tc>
          <w:tcPr>
            <w:tcW w:w="2462" w:type="dxa"/>
          </w:tcPr>
          <w:p w14:paraId="5949DC03" w14:textId="77777777" w:rsidR="002B6321" w:rsidRPr="00F90245" w:rsidRDefault="002B6321" w:rsidP="002B6321">
            <w:pPr>
              <w:rPr>
                <w:b/>
              </w:rPr>
            </w:pPr>
            <w:r w:rsidRPr="00F90245">
              <w:rPr>
                <w:b/>
              </w:rPr>
              <w:t>Clinical trial</w:t>
            </w:r>
          </w:p>
        </w:tc>
        <w:tc>
          <w:tcPr>
            <w:tcW w:w="6555" w:type="dxa"/>
          </w:tcPr>
          <w:p w14:paraId="018A3530" w14:textId="3E11EE8C" w:rsidR="002B6321" w:rsidRPr="00AA03A7" w:rsidRDefault="002B6321" w:rsidP="002B6321">
            <w:pPr>
              <w:rPr>
                <w:b/>
              </w:rPr>
            </w:pPr>
            <w:r w:rsidRPr="00AA03A7">
              <w:rPr>
                <w:b/>
              </w:rPr>
              <w:t xml:space="preserve">For clinical trials using an </w:t>
            </w:r>
            <w:r w:rsidR="0046174A">
              <w:rPr>
                <w:b/>
              </w:rPr>
              <w:t>i</w:t>
            </w:r>
            <w:r w:rsidR="0046174A" w:rsidRPr="00AA03A7">
              <w:rPr>
                <w:b/>
              </w:rPr>
              <w:t xml:space="preserve">nvestigational </w:t>
            </w:r>
            <w:r w:rsidR="0046174A">
              <w:rPr>
                <w:b/>
              </w:rPr>
              <w:t>m</w:t>
            </w:r>
            <w:r w:rsidR="0046174A" w:rsidRPr="00AA03A7">
              <w:rPr>
                <w:b/>
              </w:rPr>
              <w:t xml:space="preserve">edicinal </w:t>
            </w:r>
            <w:r w:rsidR="0046174A">
              <w:rPr>
                <w:b/>
              </w:rPr>
              <w:t>p</w:t>
            </w:r>
            <w:r w:rsidR="0046174A" w:rsidRPr="00AA03A7">
              <w:rPr>
                <w:b/>
              </w:rPr>
              <w:t>roduct</w:t>
            </w:r>
            <w:r w:rsidRPr="00AA03A7">
              <w:rPr>
                <w:b/>
              </w:rPr>
              <w:t>:</w:t>
            </w:r>
          </w:p>
          <w:p w14:paraId="2E27319A" w14:textId="77777777" w:rsidR="002B6321" w:rsidRPr="00D10262" w:rsidRDefault="002B6321" w:rsidP="002B6321">
            <w:r w:rsidRPr="00D10262">
              <w:rPr>
                <w:rFonts w:eastAsia="Calibri"/>
              </w:rPr>
              <w:t>Any investigation in human subjects intended to discover or verify the clinical, pharmacological and/or other pharmacodynamic effects of one or more investigational medicinal product(s), and/or to identify any adverse reactions to one or more investigational medicinal product(s) and/or to study absorption, distribution, metabolism and excretion of one or more investigational medicinal product(s) with the object of ascertaining its (their) safety and/or efficacy.</w:t>
            </w:r>
          </w:p>
          <w:p w14:paraId="30A6BF82" w14:textId="77777777" w:rsidR="002B6321" w:rsidRPr="00AA03A7" w:rsidRDefault="002B6321" w:rsidP="002B6321">
            <w:pPr>
              <w:rPr>
                <w:b/>
              </w:rPr>
            </w:pPr>
            <w:r w:rsidRPr="00AA03A7">
              <w:rPr>
                <w:b/>
              </w:rPr>
              <w:t xml:space="preserve">For all other clinical trials: </w:t>
            </w:r>
          </w:p>
          <w:p w14:paraId="080DA60D" w14:textId="77777777" w:rsidR="002B6321" w:rsidRPr="00A11FDD" w:rsidRDefault="002B6321" w:rsidP="002B6321">
            <w:r>
              <w:t>Prospective biomedical research on human subjects</w:t>
            </w:r>
            <w:r w:rsidRPr="001B3F24">
              <w:t xml:space="preserve"> </w:t>
            </w:r>
            <w:r w:rsidRPr="00D65096">
              <w:t>that are conducted to allow safety (or more specifically, information about adverse drug reactions and adverse effects of other treatments) and efficacy data to be collected for health interventions. Examples include devices, surgery and radiotherapy trials.</w:t>
            </w:r>
            <w:r w:rsidRPr="00D65096" w:rsidDel="00A06B2E">
              <w:t xml:space="preserve"> </w:t>
            </w:r>
          </w:p>
        </w:tc>
      </w:tr>
      <w:tr w:rsidR="002B6321" w14:paraId="211C174C" w14:textId="77777777" w:rsidTr="002B6321">
        <w:trPr>
          <w:cantSplit/>
        </w:trPr>
        <w:tc>
          <w:tcPr>
            <w:tcW w:w="2462" w:type="dxa"/>
          </w:tcPr>
          <w:p w14:paraId="5A072484" w14:textId="77777777" w:rsidR="002B6321" w:rsidRPr="00F90245" w:rsidRDefault="002B6321" w:rsidP="002B6321">
            <w:pPr>
              <w:rPr>
                <w:b/>
              </w:rPr>
            </w:pPr>
            <w:r>
              <w:rPr>
                <w:b/>
              </w:rPr>
              <w:t>CTU</w:t>
            </w:r>
          </w:p>
        </w:tc>
        <w:tc>
          <w:tcPr>
            <w:tcW w:w="6555" w:type="dxa"/>
            <w:vAlign w:val="center"/>
          </w:tcPr>
          <w:p w14:paraId="5F10C32A" w14:textId="0790DCBF" w:rsidR="002B6321" w:rsidRDefault="002B6321" w:rsidP="002B6321">
            <w:r>
              <w:t xml:space="preserve">Clinical </w:t>
            </w:r>
            <w:r w:rsidR="0046174A">
              <w:t>trials unit</w:t>
            </w:r>
          </w:p>
        </w:tc>
      </w:tr>
      <w:tr w:rsidR="002B6321" w14:paraId="7A7D69B0" w14:textId="77777777" w:rsidTr="002B6321">
        <w:trPr>
          <w:cantSplit/>
        </w:trPr>
        <w:tc>
          <w:tcPr>
            <w:tcW w:w="2462" w:type="dxa"/>
          </w:tcPr>
          <w:p w14:paraId="4DB68DCF" w14:textId="77777777" w:rsidR="002B6321" w:rsidRPr="00F90245" w:rsidRDefault="002B6321" w:rsidP="002B6321">
            <w:pPr>
              <w:rPr>
                <w:b/>
              </w:rPr>
            </w:pPr>
            <w:r w:rsidRPr="00F90245">
              <w:rPr>
                <w:b/>
              </w:rPr>
              <w:t>GCP</w:t>
            </w:r>
          </w:p>
        </w:tc>
        <w:tc>
          <w:tcPr>
            <w:tcW w:w="6555" w:type="dxa"/>
            <w:vAlign w:val="center"/>
          </w:tcPr>
          <w:p w14:paraId="6F6B17D0" w14:textId="77777777" w:rsidR="002B6321" w:rsidRPr="00A11FDD" w:rsidRDefault="002B6321" w:rsidP="002B6321">
            <w:r>
              <w:t>Good Clinical Practice</w:t>
            </w:r>
          </w:p>
        </w:tc>
      </w:tr>
      <w:tr w:rsidR="002B6321" w14:paraId="7E15B883" w14:textId="77777777" w:rsidTr="002B6321">
        <w:trPr>
          <w:cantSplit/>
        </w:trPr>
        <w:tc>
          <w:tcPr>
            <w:tcW w:w="2462" w:type="dxa"/>
          </w:tcPr>
          <w:p w14:paraId="384C9121" w14:textId="77777777" w:rsidR="002B6321" w:rsidRPr="00F90245" w:rsidRDefault="002B6321" w:rsidP="002B6321">
            <w:pPr>
              <w:rPr>
                <w:b/>
              </w:rPr>
            </w:pPr>
            <w:r>
              <w:rPr>
                <w:b/>
              </w:rPr>
              <w:t>GP</w:t>
            </w:r>
          </w:p>
        </w:tc>
        <w:tc>
          <w:tcPr>
            <w:tcW w:w="6555" w:type="dxa"/>
            <w:vAlign w:val="center"/>
          </w:tcPr>
          <w:p w14:paraId="6C687321" w14:textId="5B7133FF" w:rsidR="002B6321" w:rsidRDefault="002B6321" w:rsidP="002B6321">
            <w:r>
              <w:t xml:space="preserve">General </w:t>
            </w:r>
            <w:r w:rsidR="0046174A">
              <w:t>practitioner</w:t>
            </w:r>
          </w:p>
        </w:tc>
      </w:tr>
      <w:tr w:rsidR="002B6321" w14:paraId="738C0362" w14:textId="77777777" w:rsidTr="002B6321">
        <w:trPr>
          <w:cantSplit/>
        </w:trPr>
        <w:tc>
          <w:tcPr>
            <w:tcW w:w="2462" w:type="dxa"/>
          </w:tcPr>
          <w:p w14:paraId="22547FCA" w14:textId="20E4A8B6" w:rsidR="002B6321" w:rsidRPr="00F90245" w:rsidRDefault="002B6321" w:rsidP="002B6321">
            <w:pPr>
              <w:rPr>
                <w:b/>
              </w:rPr>
            </w:pPr>
            <w:r>
              <w:rPr>
                <w:b/>
              </w:rPr>
              <w:t>Healthcare professional</w:t>
            </w:r>
          </w:p>
        </w:tc>
        <w:tc>
          <w:tcPr>
            <w:tcW w:w="6555" w:type="dxa"/>
            <w:vAlign w:val="center"/>
          </w:tcPr>
          <w:p w14:paraId="1EB72826" w14:textId="666DB083" w:rsidR="002B6321" w:rsidRDefault="002B6321" w:rsidP="00AE150A">
            <w:r>
              <w:t>A healthcare professional is defined as an authorised health</w:t>
            </w:r>
            <w:r w:rsidR="00724BEE">
              <w:t>care</w:t>
            </w:r>
            <w:r>
              <w:t xml:space="preserve"> professional, or a qualified and registered (or alike) </w:t>
            </w:r>
            <w:hyperlink r:id="rId26" w:tooltip="Link to the NHS Allied Health Professions" w:history="1">
              <w:r w:rsidR="00FC2111">
                <w:rPr>
                  <w:rStyle w:val="Hyperlink"/>
                </w:rPr>
                <w:t>allied health profession</w:t>
              </w:r>
            </w:hyperlink>
            <w:r>
              <w:t xml:space="preserve"> such as a physiotherapist, dietitian or radiographer.</w:t>
            </w:r>
          </w:p>
        </w:tc>
      </w:tr>
      <w:tr w:rsidR="002B6321" w14:paraId="289469B2" w14:textId="77777777" w:rsidTr="002B6321">
        <w:trPr>
          <w:cantSplit/>
        </w:trPr>
        <w:tc>
          <w:tcPr>
            <w:tcW w:w="2462" w:type="dxa"/>
          </w:tcPr>
          <w:p w14:paraId="5D6AAEAD" w14:textId="77777777" w:rsidR="002B6321" w:rsidRPr="00F90245" w:rsidRDefault="002B6321" w:rsidP="002B6321">
            <w:pPr>
              <w:rPr>
                <w:b/>
              </w:rPr>
            </w:pPr>
            <w:r w:rsidRPr="00F90245">
              <w:rPr>
                <w:b/>
              </w:rPr>
              <w:t>Healthy volunteer</w:t>
            </w:r>
          </w:p>
        </w:tc>
        <w:tc>
          <w:tcPr>
            <w:tcW w:w="6555" w:type="dxa"/>
            <w:vAlign w:val="center"/>
          </w:tcPr>
          <w:p w14:paraId="60BC0839" w14:textId="644D6CAC" w:rsidR="002B6321" w:rsidRDefault="002B6321" w:rsidP="00692C29">
            <w:r>
              <w:t xml:space="preserve">An individual who has either no known significant health problems or does not suffer any significant health problems relevant to the proposed </w:t>
            </w:r>
            <w:r w:rsidR="00692C29">
              <w:t>research</w:t>
            </w:r>
            <w:r>
              <w:t>.</w:t>
            </w:r>
          </w:p>
        </w:tc>
      </w:tr>
      <w:tr w:rsidR="002B6321" w14:paraId="2739F936" w14:textId="77777777" w:rsidTr="002B6321">
        <w:trPr>
          <w:cantSplit/>
        </w:trPr>
        <w:tc>
          <w:tcPr>
            <w:tcW w:w="2462" w:type="dxa"/>
          </w:tcPr>
          <w:p w14:paraId="60A79639" w14:textId="77777777" w:rsidR="002B6321" w:rsidRPr="00F90245" w:rsidRDefault="002B6321" w:rsidP="002B6321">
            <w:pPr>
              <w:rPr>
                <w:b/>
              </w:rPr>
            </w:pPr>
            <w:r>
              <w:rPr>
                <w:b/>
              </w:rPr>
              <w:t>HRA</w:t>
            </w:r>
          </w:p>
        </w:tc>
        <w:tc>
          <w:tcPr>
            <w:tcW w:w="6555" w:type="dxa"/>
            <w:vAlign w:val="center"/>
          </w:tcPr>
          <w:p w14:paraId="183AEA44" w14:textId="77777777" w:rsidR="002B6321" w:rsidRDefault="002B6321" w:rsidP="002B6321">
            <w:r>
              <w:t>Health Research Authority</w:t>
            </w:r>
          </w:p>
        </w:tc>
      </w:tr>
      <w:tr w:rsidR="002B6321" w14:paraId="7BC43E13" w14:textId="77777777" w:rsidTr="002B6321">
        <w:trPr>
          <w:cantSplit/>
          <w:trHeight w:val="70"/>
        </w:trPr>
        <w:tc>
          <w:tcPr>
            <w:tcW w:w="2462" w:type="dxa"/>
          </w:tcPr>
          <w:p w14:paraId="761A6388" w14:textId="77777777" w:rsidR="002B6321" w:rsidRPr="00F90245" w:rsidRDefault="002B6321" w:rsidP="002B6321">
            <w:pPr>
              <w:rPr>
                <w:b/>
              </w:rPr>
            </w:pPr>
            <w:r w:rsidRPr="00F90245">
              <w:rPr>
                <w:b/>
              </w:rPr>
              <w:lastRenderedPageBreak/>
              <w:t>ICF</w:t>
            </w:r>
          </w:p>
        </w:tc>
        <w:tc>
          <w:tcPr>
            <w:tcW w:w="6555" w:type="dxa"/>
            <w:vAlign w:val="center"/>
          </w:tcPr>
          <w:p w14:paraId="6D694D38" w14:textId="04AA6E0B" w:rsidR="002B6321" w:rsidRDefault="002B6321" w:rsidP="002B6321">
            <w:r>
              <w:t xml:space="preserve">Informed </w:t>
            </w:r>
            <w:r w:rsidR="00FC2111">
              <w:t>consent form</w:t>
            </w:r>
          </w:p>
        </w:tc>
      </w:tr>
      <w:tr w:rsidR="002B6321" w14:paraId="599223EF" w14:textId="77777777" w:rsidTr="002B6321">
        <w:trPr>
          <w:cantSplit/>
          <w:trHeight w:val="70"/>
        </w:trPr>
        <w:tc>
          <w:tcPr>
            <w:tcW w:w="2462" w:type="dxa"/>
          </w:tcPr>
          <w:p w14:paraId="328E4BED" w14:textId="77777777" w:rsidR="002B6321" w:rsidRPr="00F90245" w:rsidRDefault="002B6321" w:rsidP="002B6321">
            <w:pPr>
              <w:rPr>
                <w:b/>
              </w:rPr>
            </w:pPr>
            <w:r w:rsidRPr="00F90245">
              <w:rPr>
                <w:b/>
              </w:rPr>
              <w:t>PIS</w:t>
            </w:r>
          </w:p>
        </w:tc>
        <w:tc>
          <w:tcPr>
            <w:tcW w:w="6555" w:type="dxa"/>
            <w:vAlign w:val="center"/>
          </w:tcPr>
          <w:p w14:paraId="180381AA" w14:textId="1F8BE6E4" w:rsidR="002B6321" w:rsidRDefault="002B6321" w:rsidP="002B6321">
            <w:r>
              <w:t xml:space="preserve">Participant </w:t>
            </w:r>
            <w:r w:rsidR="00FC2111">
              <w:t>information sheet</w:t>
            </w:r>
          </w:p>
        </w:tc>
      </w:tr>
      <w:tr w:rsidR="002B6321" w14:paraId="58B9C452" w14:textId="77777777" w:rsidTr="002B6321">
        <w:trPr>
          <w:cantSplit/>
          <w:trHeight w:val="70"/>
        </w:trPr>
        <w:tc>
          <w:tcPr>
            <w:tcW w:w="2462" w:type="dxa"/>
          </w:tcPr>
          <w:p w14:paraId="5679651C" w14:textId="77777777" w:rsidR="002B6321" w:rsidRPr="00F90245" w:rsidRDefault="002B6321" w:rsidP="002B6321">
            <w:pPr>
              <w:rPr>
                <w:b/>
              </w:rPr>
            </w:pPr>
            <w:r>
              <w:rPr>
                <w:b/>
              </w:rPr>
              <w:t>QMS</w:t>
            </w:r>
          </w:p>
        </w:tc>
        <w:tc>
          <w:tcPr>
            <w:tcW w:w="6555" w:type="dxa"/>
            <w:vAlign w:val="center"/>
          </w:tcPr>
          <w:p w14:paraId="0A28C27C" w14:textId="18E3B090" w:rsidR="002B6321" w:rsidRDefault="002B6321" w:rsidP="002B6321">
            <w:r>
              <w:t xml:space="preserve">Quality </w:t>
            </w:r>
            <w:r w:rsidR="00FC2111">
              <w:t>management system</w:t>
            </w:r>
          </w:p>
        </w:tc>
      </w:tr>
      <w:tr w:rsidR="002B6321" w14:paraId="1D603D16" w14:textId="77777777" w:rsidTr="002B6321">
        <w:trPr>
          <w:cantSplit/>
          <w:trHeight w:val="70"/>
        </w:trPr>
        <w:tc>
          <w:tcPr>
            <w:tcW w:w="2462" w:type="dxa"/>
          </w:tcPr>
          <w:p w14:paraId="69AD5D3F" w14:textId="77777777" w:rsidR="002B6321" w:rsidRPr="00F90245" w:rsidRDefault="002B6321" w:rsidP="002B6321">
            <w:pPr>
              <w:rPr>
                <w:b/>
              </w:rPr>
            </w:pPr>
            <w:r w:rsidRPr="00F90245">
              <w:rPr>
                <w:b/>
              </w:rPr>
              <w:t>REC</w:t>
            </w:r>
          </w:p>
        </w:tc>
        <w:tc>
          <w:tcPr>
            <w:tcW w:w="6555" w:type="dxa"/>
            <w:vAlign w:val="center"/>
          </w:tcPr>
          <w:p w14:paraId="3ADF2376" w14:textId="7FCFDE35" w:rsidR="002B6321" w:rsidRDefault="002B6321" w:rsidP="002B6321">
            <w:r>
              <w:t xml:space="preserve">Research </w:t>
            </w:r>
            <w:r w:rsidR="00FC2111">
              <w:t>ethics committee</w:t>
            </w:r>
          </w:p>
        </w:tc>
      </w:tr>
      <w:tr w:rsidR="002B6321" w14:paraId="2593EB0A" w14:textId="77777777" w:rsidTr="002B6321">
        <w:trPr>
          <w:cantSplit/>
          <w:trHeight w:val="70"/>
        </w:trPr>
        <w:tc>
          <w:tcPr>
            <w:tcW w:w="2462" w:type="dxa"/>
          </w:tcPr>
          <w:p w14:paraId="101438F5" w14:textId="77777777" w:rsidR="002B6321" w:rsidRPr="00F90245" w:rsidRDefault="002B6321" w:rsidP="002B6321">
            <w:pPr>
              <w:rPr>
                <w:b/>
              </w:rPr>
            </w:pPr>
            <w:r>
              <w:rPr>
                <w:b/>
              </w:rPr>
              <w:t>SOP</w:t>
            </w:r>
          </w:p>
        </w:tc>
        <w:tc>
          <w:tcPr>
            <w:tcW w:w="6555" w:type="dxa"/>
            <w:vAlign w:val="center"/>
          </w:tcPr>
          <w:p w14:paraId="72D9B8D0" w14:textId="0119AF91" w:rsidR="002B6321" w:rsidRDefault="002B6321" w:rsidP="002B6321">
            <w:r>
              <w:t xml:space="preserve">Standard </w:t>
            </w:r>
            <w:r w:rsidR="00FC2111">
              <w:t>operating procedure</w:t>
            </w:r>
          </w:p>
        </w:tc>
      </w:tr>
      <w:tr w:rsidR="002B6321" w14:paraId="2D757568" w14:textId="77777777" w:rsidTr="002B6321">
        <w:trPr>
          <w:cantSplit/>
          <w:trHeight w:val="70"/>
        </w:trPr>
        <w:tc>
          <w:tcPr>
            <w:tcW w:w="2462" w:type="dxa"/>
          </w:tcPr>
          <w:p w14:paraId="36ACB2A1" w14:textId="77777777" w:rsidR="002B6321" w:rsidRPr="00F90245" w:rsidRDefault="002B6321" w:rsidP="002B6321">
            <w:pPr>
              <w:rPr>
                <w:b/>
              </w:rPr>
            </w:pPr>
            <w:r w:rsidRPr="00F90245">
              <w:rPr>
                <w:b/>
              </w:rPr>
              <w:t>UoB</w:t>
            </w:r>
          </w:p>
        </w:tc>
        <w:tc>
          <w:tcPr>
            <w:tcW w:w="6555" w:type="dxa"/>
            <w:vAlign w:val="center"/>
          </w:tcPr>
          <w:p w14:paraId="1A4D95B8" w14:textId="77777777" w:rsidR="002B6321" w:rsidRDefault="002B6321" w:rsidP="002B6321">
            <w:r>
              <w:t>University of Birmingham</w:t>
            </w:r>
          </w:p>
        </w:tc>
      </w:tr>
    </w:tbl>
    <w:p w14:paraId="0E25EE27" w14:textId="5D4F80A8" w:rsidR="000374CB" w:rsidRDefault="00B10C05">
      <w:r w:rsidRPr="009C2C63">
        <w:t xml:space="preserve">See also the </w:t>
      </w:r>
      <w:hyperlink r:id="rId27" w:tooltip="Link to CRCT Glossary of Terms" w:history="1">
        <w:r w:rsidR="00C6125F" w:rsidRPr="00994EB6">
          <w:rPr>
            <w:rStyle w:val="Hyperlink"/>
          </w:rPr>
          <w:t>Glossary of Terms</w:t>
        </w:r>
      </w:hyperlink>
      <w:r w:rsidR="00C6125F" w:rsidRPr="009C2C63">
        <w:t>.</w:t>
      </w:r>
    </w:p>
    <w:p w14:paraId="602DF9B3" w14:textId="77777777" w:rsidR="000374CB" w:rsidRDefault="000374CB"/>
    <w:sectPr w:rsidR="000374CB" w:rsidSect="003A24EB">
      <w:headerReference w:type="even" r:id="rId28"/>
      <w:headerReference w:type="default" r:id="rId29"/>
      <w:footerReference w:type="even" r:id="rId30"/>
      <w:footerReference w:type="default" r:id="rId31"/>
      <w:headerReference w:type="first" r:id="rId32"/>
      <w:footerReference w:type="first" r:id="rId33"/>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52F43" w16cex:dateUtc="2022-08-03T16:30:00Z"/>
  <w16cex:commentExtensible w16cex:durableId="26952D48" w16cex:dateUtc="2022-08-03T16:22:00Z"/>
  <w16cex:commentExtensible w16cex:durableId="26952D39" w16cex:dateUtc="2022-08-03T16:22:00Z"/>
  <w16cex:commentExtensible w16cex:durableId="26952E1D" w16cex:dateUtc="2022-08-03T16:25:00Z"/>
  <w16cex:commentExtensible w16cex:durableId="26953030" w16cex:dateUtc="2022-08-03T16:34:00Z"/>
  <w16cex:commentExtensible w16cex:durableId="26952E8A" w16cex:dateUtc="2022-08-03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C1879" w14:textId="77777777" w:rsidR="00EC213B" w:rsidRDefault="00EC213B" w:rsidP="00F46DE6">
      <w:r>
        <w:separator/>
      </w:r>
    </w:p>
    <w:p w14:paraId="5FC398F8" w14:textId="77777777" w:rsidR="00EC213B" w:rsidRDefault="00EC213B" w:rsidP="00F46DE6"/>
  </w:endnote>
  <w:endnote w:type="continuationSeparator" w:id="0">
    <w:p w14:paraId="6CF63F30" w14:textId="77777777" w:rsidR="00EC213B" w:rsidRDefault="00EC213B" w:rsidP="00F46DE6">
      <w:r>
        <w:continuationSeparator/>
      </w:r>
    </w:p>
    <w:p w14:paraId="3DE2F612" w14:textId="77777777" w:rsidR="00EC213B" w:rsidRDefault="00EC213B"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553B0" w14:textId="77777777" w:rsidR="0051370A" w:rsidRDefault="00513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F21E"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538F59F7"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3D7B3651" w14:textId="77777777" w:rsidR="00276842" w:rsidRDefault="0051370A" w:rsidP="00DD3075">
    <w:pPr>
      <w:pStyle w:val="propertystatement"/>
    </w:pPr>
    <w:hyperlink r:id="rId1" w:history="1">
      <w:r w:rsidR="00DD3075" w:rsidRPr="00D317E8">
        <w:rPr>
          <w:rStyle w:val="Hyperlink"/>
        </w:rPr>
        <w:t>http://www.birmingham.ac.uk/research/activity/mds/mds-rkto/governance/index.aspx</w:t>
      </w:r>
    </w:hyperlink>
  </w:p>
  <w:p w14:paraId="3ADF963F" w14:textId="77777777" w:rsidR="00D33108" w:rsidRPr="002D6577" w:rsidRDefault="00D33108" w:rsidP="006B351B">
    <w:pPr>
      <w:pStyle w:val="Footer"/>
      <w:jc w:val="both"/>
      <w:rPr>
        <w:bCs/>
        <w:iCs/>
        <w:szCs w:val="2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5F48"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64BF1037"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10DDFDA0" w14:textId="77777777" w:rsidR="00D17200" w:rsidRDefault="0051370A"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2F57AF54" w14:textId="77777777" w:rsidR="00D17200" w:rsidRDefault="00D172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F6A9" w14:textId="77777777" w:rsidR="00DD3075" w:rsidRDefault="00DD30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7758F92A" w14:textId="77777777" w:rsidTr="003A24EB">
      <w:trPr>
        <w:trHeight w:val="148"/>
      </w:trPr>
      <w:tc>
        <w:tcPr>
          <w:tcW w:w="1441" w:type="dxa"/>
          <w:tcMar>
            <w:top w:w="0" w:type="dxa"/>
            <w:left w:w="57" w:type="dxa"/>
            <w:bottom w:w="0" w:type="dxa"/>
            <w:right w:w="57" w:type="dxa"/>
          </w:tcMar>
          <w:vAlign w:val="center"/>
        </w:tcPr>
        <w:p w14:paraId="3CC1E2D5"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7527D9E5" w14:textId="77777777" w:rsidR="00A668FC" w:rsidRPr="001C6EFB" w:rsidRDefault="00A668FC" w:rsidP="0060052C">
          <w:pPr>
            <w:pStyle w:val="Footer"/>
          </w:pPr>
          <w:r>
            <w:t>UoB-</w:t>
          </w:r>
          <w:r w:rsidR="00EC213B">
            <w:t>HVM-SOP-001</w:t>
          </w:r>
        </w:p>
      </w:tc>
      <w:tc>
        <w:tcPr>
          <w:tcW w:w="3401" w:type="dxa"/>
          <w:tcMar>
            <w:top w:w="0" w:type="dxa"/>
            <w:left w:w="57" w:type="dxa"/>
            <w:bottom w:w="0" w:type="dxa"/>
            <w:right w:w="57" w:type="dxa"/>
          </w:tcMar>
          <w:vAlign w:val="center"/>
        </w:tcPr>
        <w:p w14:paraId="14DF2233"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4F2FC9AE" w14:textId="732FCE5A" w:rsidR="00A668FC" w:rsidRPr="001C6EFB" w:rsidRDefault="00044A64" w:rsidP="00163F57">
          <w:pPr>
            <w:pStyle w:val="Footer"/>
            <w:jc w:val="right"/>
          </w:pPr>
          <w:r>
            <w:fldChar w:fldCharType="begin"/>
          </w:r>
          <w:r>
            <w:instrText xml:space="preserve"> DATE  \@ "dd-MMM-yyyy"  \* MERGEFORMAT </w:instrText>
          </w:r>
          <w:r>
            <w:fldChar w:fldCharType="separate"/>
          </w:r>
          <w:r w:rsidR="0051370A">
            <w:rPr>
              <w:noProof/>
            </w:rPr>
            <w:t>16-Dec-2022</w:t>
          </w:r>
          <w:r>
            <w:fldChar w:fldCharType="end"/>
          </w:r>
        </w:p>
      </w:tc>
    </w:tr>
    <w:tr w:rsidR="00A668FC" w:rsidRPr="002D6577" w14:paraId="5F8ABB6E" w14:textId="77777777" w:rsidTr="003A24EB">
      <w:tc>
        <w:tcPr>
          <w:tcW w:w="1441" w:type="dxa"/>
          <w:tcMar>
            <w:top w:w="0" w:type="dxa"/>
            <w:left w:w="57" w:type="dxa"/>
            <w:bottom w:w="0" w:type="dxa"/>
            <w:right w:w="57" w:type="dxa"/>
          </w:tcMar>
          <w:vAlign w:val="center"/>
        </w:tcPr>
        <w:p w14:paraId="2B5BC21C"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7A327DC4" w14:textId="09651DB9" w:rsidR="00A668FC" w:rsidRPr="001C6EFB" w:rsidRDefault="00825ADB" w:rsidP="00825ADB">
          <w:pPr>
            <w:pStyle w:val="Footer"/>
          </w:pPr>
          <w:r>
            <w:t>1.0</w:t>
          </w:r>
          <w:r w:rsidR="00ED55EB">
            <w:t xml:space="preserve"> (EAv</w:t>
          </w:r>
          <w:r w:rsidR="00E7781E">
            <w:t>2</w:t>
          </w:r>
          <w:r w:rsidR="00A62500">
            <w:t>.0</w:t>
          </w:r>
          <w:r w:rsidR="00ED55EB">
            <w:t>)</w:t>
          </w:r>
        </w:p>
      </w:tc>
      <w:tc>
        <w:tcPr>
          <w:tcW w:w="3401" w:type="dxa"/>
          <w:tcMar>
            <w:top w:w="0" w:type="dxa"/>
            <w:left w:w="57" w:type="dxa"/>
            <w:bottom w:w="0" w:type="dxa"/>
            <w:right w:w="57" w:type="dxa"/>
          </w:tcMar>
          <w:vAlign w:val="center"/>
        </w:tcPr>
        <w:p w14:paraId="7E0FC0FC"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3D6B7C42" w14:textId="0A3A7B33"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825ADB">
            <w:rPr>
              <w:noProof/>
            </w:rPr>
            <w:t>2</w:t>
          </w:r>
          <w:r w:rsidR="0060052C">
            <w:fldChar w:fldCharType="end"/>
          </w:r>
          <w:r w:rsidRPr="001C6EFB">
            <w:t xml:space="preserve"> of </w:t>
          </w:r>
          <w:fldSimple w:instr=" NUMPAGES   \* MERGEFORMAT ">
            <w:r w:rsidR="00825ADB">
              <w:rPr>
                <w:noProof/>
              </w:rPr>
              <w:t>5</w:t>
            </w:r>
          </w:fldSimple>
        </w:p>
      </w:tc>
    </w:tr>
  </w:tbl>
  <w:p w14:paraId="6845416D" w14:textId="77777777" w:rsidR="00DD3075" w:rsidRPr="003A24EB" w:rsidRDefault="00DD3075" w:rsidP="003A24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1975"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74B9" w14:textId="77777777" w:rsidR="00EC213B" w:rsidRDefault="00EC213B" w:rsidP="00F46DE6">
      <w:r>
        <w:separator/>
      </w:r>
    </w:p>
    <w:p w14:paraId="4AA4AF8E" w14:textId="77777777" w:rsidR="00EC213B" w:rsidRDefault="00EC213B" w:rsidP="00F46DE6"/>
  </w:footnote>
  <w:footnote w:type="continuationSeparator" w:id="0">
    <w:p w14:paraId="46BEC43B" w14:textId="77777777" w:rsidR="00EC213B" w:rsidRDefault="00EC213B" w:rsidP="00F46DE6">
      <w:r>
        <w:continuationSeparator/>
      </w:r>
    </w:p>
    <w:p w14:paraId="1F7ADA8F" w14:textId="77777777" w:rsidR="00EC213B" w:rsidRDefault="00EC213B"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9010" w14:textId="77777777" w:rsidR="0051370A" w:rsidRDefault="00513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AA2E" w14:textId="77777777" w:rsidR="0051370A" w:rsidRDefault="00513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F296" w14:textId="77777777" w:rsidR="00A91AC7" w:rsidRDefault="00A91AC7" w:rsidP="00A91AC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6DDC002B" w14:textId="77777777" w:rsidTr="005F734C">
      <w:trPr>
        <w:trHeight w:val="278"/>
        <w:tblHeader/>
      </w:trPr>
      <w:tc>
        <w:tcPr>
          <w:tcW w:w="1668" w:type="dxa"/>
          <w:vAlign w:val="center"/>
        </w:tcPr>
        <w:p w14:paraId="79EB6657" w14:textId="77777777" w:rsidR="00A91AC7" w:rsidRDefault="00A91AC7" w:rsidP="00A91AC7">
          <w:pPr>
            <w:pStyle w:val="Footer"/>
          </w:pPr>
          <w:r w:rsidRPr="001C6EFB">
            <w:t>Document code:</w:t>
          </w:r>
        </w:p>
      </w:tc>
      <w:tc>
        <w:tcPr>
          <w:tcW w:w="2310" w:type="dxa"/>
          <w:vAlign w:val="center"/>
        </w:tcPr>
        <w:p w14:paraId="56C20F91" w14:textId="77777777" w:rsidR="00A91AC7" w:rsidRDefault="00A91AC7" w:rsidP="00A91AC7">
          <w:pPr>
            <w:pStyle w:val="Footer"/>
            <w:jc w:val="right"/>
          </w:pPr>
          <w:r>
            <w:t>UoB-</w:t>
          </w:r>
          <w:r w:rsidR="00EC213B">
            <w:t>HVM-SOP-001</w:t>
          </w:r>
        </w:p>
      </w:tc>
    </w:tr>
    <w:tr w:rsidR="00A91AC7" w14:paraId="7FEDCD4E" w14:textId="77777777" w:rsidTr="005F734C">
      <w:trPr>
        <w:trHeight w:val="278"/>
      </w:trPr>
      <w:tc>
        <w:tcPr>
          <w:tcW w:w="1668" w:type="dxa"/>
          <w:vAlign w:val="center"/>
        </w:tcPr>
        <w:p w14:paraId="2BFF714D" w14:textId="77777777" w:rsidR="00A91AC7" w:rsidRDefault="00A91AC7" w:rsidP="00A91AC7">
          <w:pPr>
            <w:pStyle w:val="Footer"/>
          </w:pPr>
          <w:r w:rsidRPr="001C6EFB">
            <w:t>Version no:</w:t>
          </w:r>
        </w:p>
      </w:tc>
      <w:tc>
        <w:tcPr>
          <w:tcW w:w="2310" w:type="dxa"/>
          <w:vAlign w:val="center"/>
        </w:tcPr>
        <w:p w14:paraId="01AA5E3C" w14:textId="05E2329E" w:rsidR="00A91AC7" w:rsidRDefault="00825ADB" w:rsidP="00A91AC7">
          <w:pPr>
            <w:pStyle w:val="Footer"/>
            <w:jc w:val="right"/>
          </w:pPr>
          <w:r>
            <w:t>1.0</w:t>
          </w:r>
          <w:r w:rsidR="00ED55EB">
            <w:t xml:space="preserve"> (</w:t>
          </w:r>
          <w:r w:rsidR="0046174A">
            <w:t>EAv2</w:t>
          </w:r>
          <w:r w:rsidR="00A62500">
            <w:t>.0</w:t>
          </w:r>
          <w:r w:rsidR="00ED55EB">
            <w:t xml:space="preserve">) </w:t>
          </w:r>
        </w:p>
      </w:tc>
    </w:tr>
    <w:tr w:rsidR="00A91AC7" w14:paraId="27CB00F5" w14:textId="77777777" w:rsidTr="005F734C">
      <w:trPr>
        <w:trHeight w:val="278"/>
      </w:trPr>
      <w:tc>
        <w:tcPr>
          <w:tcW w:w="1668" w:type="dxa"/>
          <w:vAlign w:val="center"/>
        </w:tcPr>
        <w:p w14:paraId="60EA1B4D" w14:textId="77777777" w:rsidR="00A91AC7" w:rsidRDefault="00A91AC7" w:rsidP="00A91AC7">
          <w:pPr>
            <w:pStyle w:val="Footer"/>
          </w:pPr>
          <w:r>
            <w:t>Effective date:</w:t>
          </w:r>
        </w:p>
      </w:tc>
      <w:tc>
        <w:tcPr>
          <w:tcW w:w="2310" w:type="dxa"/>
          <w:vAlign w:val="center"/>
        </w:tcPr>
        <w:p w14:paraId="102648FE" w14:textId="5058F000" w:rsidR="00A91AC7" w:rsidRDefault="00825ADB" w:rsidP="00A91AC7">
          <w:pPr>
            <w:pStyle w:val="Footer"/>
            <w:jc w:val="right"/>
          </w:pPr>
          <w:r>
            <w:t>20-</w:t>
          </w:r>
          <w:r w:rsidR="0046174A">
            <w:t>J</w:t>
          </w:r>
          <w:r w:rsidR="0051370A">
            <w:t>ul</w:t>
          </w:r>
          <w:r>
            <w:t>-</w:t>
          </w:r>
          <w:r w:rsidR="0046174A">
            <w:t>202</w:t>
          </w:r>
          <w:r w:rsidR="0051370A">
            <w:t>0</w:t>
          </w:r>
          <w:bookmarkStart w:id="3" w:name="_GoBack"/>
          <w:bookmarkEnd w:id="3"/>
        </w:p>
      </w:tc>
    </w:tr>
    <w:tr w:rsidR="00A91AC7" w14:paraId="19EE7FBC" w14:textId="77777777" w:rsidTr="005F734C">
      <w:trPr>
        <w:trHeight w:val="278"/>
      </w:trPr>
      <w:tc>
        <w:tcPr>
          <w:tcW w:w="1668" w:type="dxa"/>
          <w:vAlign w:val="center"/>
        </w:tcPr>
        <w:p w14:paraId="31F071D3" w14:textId="77777777" w:rsidR="00A91AC7" w:rsidRPr="001C6EFB" w:rsidRDefault="00A91AC7" w:rsidP="00A91AC7">
          <w:pPr>
            <w:pStyle w:val="Footer"/>
          </w:pPr>
          <w:r>
            <w:t>Print d</w:t>
          </w:r>
          <w:r w:rsidRPr="001C6EFB">
            <w:t>ate:</w:t>
          </w:r>
        </w:p>
      </w:tc>
      <w:tc>
        <w:tcPr>
          <w:tcW w:w="2310" w:type="dxa"/>
          <w:vAlign w:val="center"/>
        </w:tcPr>
        <w:p w14:paraId="704B75AE" w14:textId="31ADEECD" w:rsidR="00A91AC7" w:rsidRDefault="00A91AC7" w:rsidP="00A91AC7">
          <w:pPr>
            <w:pStyle w:val="Footer"/>
            <w:jc w:val="right"/>
          </w:pPr>
          <w:r>
            <w:fldChar w:fldCharType="begin"/>
          </w:r>
          <w:r>
            <w:instrText xml:space="preserve"> DATE  \@ "dd-MMM-yyyy"  \* MERGEFORMAT </w:instrText>
          </w:r>
          <w:r>
            <w:fldChar w:fldCharType="separate"/>
          </w:r>
          <w:r w:rsidR="0051370A">
            <w:rPr>
              <w:noProof/>
            </w:rPr>
            <w:t>16-Dec-2022</w:t>
          </w:r>
          <w:r>
            <w:fldChar w:fldCharType="end"/>
          </w:r>
        </w:p>
      </w:tc>
    </w:tr>
    <w:tr w:rsidR="00A91AC7" w14:paraId="6726E3BF" w14:textId="77777777" w:rsidTr="005F734C">
      <w:trPr>
        <w:trHeight w:val="278"/>
      </w:trPr>
      <w:tc>
        <w:tcPr>
          <w:tcW w:w="1668" w:type="dxa"/>
          <w:vAlign w:val="center"/>
        </w:tcPr>
        <w:p w14:paraId="6DA71BF2" w14:textId="77777777" w:rsidR="00A91AC7" w:rsidRPr="001C6EFB" w:rsidRDefault="00A91AC7" w:rsidP="00A91AC7">
          <w:pPr>
            <w:pStyle w:val="Footer"/>
          </w:pPr>
          <w:r w:rsidRPr="001C6EFB">
            <w:t>Page:</w:t>
          </w:r>
        </w:p>
      </w:tc>
      <w:tc>
        <w:tcPr>
          <w:tcW w:w="2310" w:type="dxa"/>
          <w:vAlign w:val="center"/>
        </w:tcPr>
        <w:p w14:paraId="3EE80C26" w14:textId="2CFA36C3" w:rsidR="00A91AC7" w:rsidRDefault="00A91AC7" w:rsidP="00A91AC7">
          <w:pPr>
            <w:pStyle w:val="Footer"/>
            <w:jc w:val="right"/>
          </w:pPr>
          <w:r>
            <w:fldChar w:fldCharType="begin"/>
          </w:r>
          <w:r>
            <w:instrText xml:space="preserve"> PAGE   \* MERGEFORMAT </w:instrText>
          </w:r>
          <w:r>
            <w:fldChar w:fldCharType="separate"/>
          </w:r>
          <w:r w:rsidR="00825ADB">
            <w:rPr>
              <w:noProof/>
            </w:rPr>
            <w:t>1</w:t>
          </w:r>
          <w:r>
            <w:fldChar w:fldCharType="end"/>
          </w:r>
          <w:r>
            <w:t xml:space="preserve"> of </w:t>
          </w:r>
          <w:fldSimple w:instr=" NUMPAGES   \* MERGEFORMAT ">
            <w:r w:rsidR="00825ADB">
              <w:rPr>
                <w:noProof/>
              </w:rPr>
              <w:t>5</w:t>
            </w:r>
          </w:fldSimple>
          <w:r w:rsidRPr="001C6EFB">
            <w:t xml:space="preserve"> </w:t>
          </w:r>
        </w:p>
      </w:tc>
    </w:tr>
  </w:tbl>
  <w:p w14:paraId="59FBFD56" w14:textId="3F8D8A07" w:rsidR="00A91AC7" w:rsidRDefault="00350255" w:rsidP="00A91AC7">
    <w:pPr>
      <w:pStyle w:val="Header"/>
      <w:jc w:val="left"/>
    </w:pPr>
    <w:r w:rsidRPr="00F16569">
      <w:rPr>
        <w:lang w:eastAsia="en-GB"/>
      </w:rPr>
      <w:drawing>
        <wp:anchor distT="0" distB="0" distL="114300" distR="114300" simplePos="0" relativeHeight="251659264" behindDoc="0" locked="0" layoutInCell="1" allowOverlap="1" wp14:anchorId="33F50443" wp14:editId="2E635E8E">
          <wp:simplePos x="0" y="0"/>
          <wp:positionH relativeFrom="column">
            <wp:posOffset>-302260</wp:posOffset>
          </wp:positionH>
          <wp:positionV relativeFrom="page">
            <wp:posOffset>1051560</wp:posOffset>
          </wp:positionV>
          <wp:extent cx="2703600" cy="106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FDB5" w14:textId="77777777" w:rsidR="00DD3075" w:rsidRDefault="00DD3075" w:rsidP="00163F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3D832" w14:textId="77777777" w:rsidR="00DD3075" w:rsidRPr="002135BA" w:rsidRDefault="00860FC2">
    <w:pPr>
      <w:pStyle w:val="Header"/>
    </w:pPr>
    <w:r w:rsidRPr="002135BA">
      <w:t>SOP</w:t>
    </w:r>
    <w:r w:rsidR="0060052C">
      <w:t xml:space="preserve">: </w:t>
    </w:r>
    <w:r w:rsidR="00EC213B">
      <w:t>Healthy Volunteers and Medical Oversight</w:t>
    </w:r>
  </w:p>
  <w:p w14:paraId="4E89B8B3" w14:textId="77777777" w:rsidR="007D79E6" w:rsidRPr="001C75D5" w:rsidRDefault="007D79E6">
    <w:pPr>
      <w:rPr>
        <w:noProof/>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4DC0"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3B"/>
    <w:rsid w:val="00001923"/>
    <w:rsid w:val="00001A7E"/>
    <w:rsid w:val="000060AE"/>
    <w:rsid w:val="0001086D"/>
    <w:rsid w:val="00012800"/>
    <w:rsid w:val="00013B08"/>
    <w:rsid w:val="000146F1"/>
    <w:rsid w:val="000229C5"/>
    <w:rsid w:val="00023BC0"/>
    <w:rsid w:val="0003087C"/>
    <w:rsid w:val="000374CB"/>
    <w:rsid w:val="000379D7"/>
    <w:rsid w:val="000421FD"/>
    <w:rsid w:val="00043513"/>
    <w:rsid w:val="00044A64"/>
    <w:rsid w:val="00053A54"/>
    <w:rsid w:val="0005610D"/>
    <w:rsid w:val="00056940"/>
    <w:rsid w:val="000639EF"/>
    <w:rsid w:val="00064262"/>
    <w:rsid w:val="00064F56"/>
    <w:rsid w:val="00072AD5"/>
    <w:rsid w:val="00072F51"/>
    <w:rsid w:val="0007480B"/>
    <w:rsid w:val="00075A9D"/>
    <w:rsid w:val="00077D41"/>
    <w:rsid w:val="00083C9D"/>
    <w:rsid w:val="0009369B"/>
    <w:rsid w:val="00095EFA"/>
    <w:rsid w:val="00097B78"/>
    <w:rsid w:val="000A0DFF"/>
    <w:rsid w:val="000A1324"/>
    <w:rsid w:val="000A1B0F"/>
    <w:rsid w:val="000A7BE6"/>
    <w:rsid w:val="000B1E3E"/>
    <w:rsid w:val="000B442E"/>
    <w:rsid w:val="000C3681"/>
    <w:rsid w:val="000C45B6"/>
    <w:rsid w:val="000C5087"/>
    <w:rsid w:val="000C54A1"/>
    <w:rsid w:val="000D34E7"/>
    <w:rsid w:val="000D3D68"/>
    <w:rsid w:val="000D3E8C"/>
    <w:rsid w:val="000D4912"/>
    <w:rsid w:val="000D677A"/>
    <w:rsid w:val="000D70AA"/>
    <w:rsid w:val="000D7D37"/>
    <w:rsid w:val="000F2380"/>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4690"/>
    <w:rsid w:val="00134766"/>
    <w:rsid w:val="00135E89"/>
    <w:rsid w:val="001445C0"/>
    <w:rsid w:val="0015679C"/>
    <w:rsid w:val="00163B7C"/>
    <w:rsid w:val="00163F57"/>
    <w:rsid w:val="001653F1"/>
    <w:rsid w:val="00165F48"/>
    <w:rsid w:val="00174B60"/>
    <w:rsid w:val="00174E0E"/>
    <w:rsid w:val="001775A9"/>
    <w:rsid w:val="00182896"/>
    <w:rsid w:val="0018309A"/>
    <w:rsid w:val="001841A1"/>
    <w:rsid w:val="00184BB7"/>
    <w:rsid w:val="00190C93"/>
    <w:rsid w:val="00194EE8"/>
    <w:rsid w:val="00195717"/>
    <w:rsid w:val="00196565"/>
    <w:rsid w:val="001A024E"/>
    <w:rsid w:val="001A142E"/>
    <w:rsid w:val="001A26D3"/>
    <w:rsid w:val="001A4718"/>
    <w:rsid w:val="001A544B"/>
    <w:rsid w:val="001A561F"/>
    <w:rsid w:val="001B1E29"/>
    <w:rsid w:val="001B2717"/>
    <w:rsid w:val="001B30AD"/>
    <w:rsid w:val="001B3B91"/>
    <w:rsid w:val="001B412F"/>
    <w:rsid w:val="001B5617"/>
    <w:rsid w:val="001C314A"/>
    <w:rsid w:val="001C6EFB"/>
    <w:rsid w:val="001C75D5"/>
    <w:rsid w:val="001D0B50"/>
    <w:rsid w:val="001D1245"/>
    <w:rsid w:val="001D17A5"/>
    <w:rsid w:val="001D1986"/>
    <w:rsid w:val="001D28AC"/>
    <w:rsid w:val="001D3B22"/>
    <w:rsid w:val="001D7813"/>
    <w:rsid w:val="001E41A3"/>
    <w:rsid w:val="001F3FF0"/>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27A2"/>
    <w:rsid w:val="0022356E"/>
    <w:rsid w:val="00231612"/>
    <w:rsid w:val="0023483C"/>
    <w:rsid w:val="002365F5"/>
    <w:rsid w:val="002444DB"/>
    <w:rsid w:val="0024558E"/>
    <w:rsid w:val="0024670C"/>
    <w:rsid w:val="00247F23"/>
    <w:rsid w:val="00250233"/>
    <w:rsid w:val="002518EA"/>
    <w:rsid w:val="002549E9"/>
    <w:rsid w:val="00254B93"/>
    <w:rsid w:val="0025522A"/>
    <w:rsid w:val="00264399"/>
    <w:rsid w:val="00266CBF"/>
    <w:rsid w:val="00270EA8"/>
    <w:rsid w:val="00275BAE"/>
    <w:rsid w:val="00276048"/>
    <w:rsid w:val="00276842"/>
    <w:rsid w:val="00281585"/>
    <w:rsid w:val="00290F8C"/>
    <w:rsid w:val="002937FE"/>
    <w:rsid w:val="002952B5"/>
    <w:rsid w:val="0029582C"/>
    <w:rsid w:val="002A068A"/>
    <w:rsid w:val="002A27DC"/>
    <w:rsid w:val="002A330A"/>
    <w:rsid w:val="002A38A5"/>
    <w:rsid w:val="002A57C2"/>
    <w:rsid w:val="002A5FA6"/>
    <w:rsid w:val="002A6563"/>
    <w:rsid w:val="002A68D6"/>
    <w:rsid w:val="002B016B"/>
    <w:rsid w:val="002B10B6"/>
    <w:rsid w:val="002B6321"/>
    <w:rsid w:val="002C0E28"/>
    <w:rsid w:val="002C67A4"/>
    <w:rsid w:val="002D49D7"/>
    <w:rsid w:val="002D6577"/>
    <w:rsid w:val="002E3060"/>
    <w:rsid w:val="002E3BB0"/>
    <w:rsid w:val="002E6AE2"/>
    <w:rsid w:val="002E721B"/>
    <w:rsid w:val="002F0ACA"/>
    <w:rsid w:val="002F281C"/>
    <w:rsid w:val="002F490C"/>
    <w:rsid w:val="002F787E"/>
    <w:rsid w:val="00301050"/>
    <w:rsid w:val="003016D5"/>
    <w:rsid w:val="00304754"/>
    <w:rsid w:val="00310F22"/>
    <w:rsid w:val="00314B72"/>
    <w:rsid w:val="0031673C"/>
    <w:rsid w:val="0032079B"/>
    <w:rsid w:val="0032408C"/>
    <w:rsid w:val="00324A19"/>
    <w:rsid w:val="003313C3"/>
    <w:rsid w:val="00333888"/>
    <w:rsid w:val="00335D05"/>
    <w:rsid w:val="00337B7A"/>
    <w:rsid w:val="00342788"/>
    <w:rsid w:val="00342C1E"/>
    <w:rsid w:val="00342CC7"/>
    <w:rsid w:val="00343541"/>
    <w:rsid w:val="00345620"/>
    <w:rsid w:val="00350255"/>
    <w:rsid w:val="00350A42"/>
    <w:rsid w:val="00352FD6"/>
    <w:rsid w:val="003607CB"/>
    <w:rsid w:val="0036201D"/>
    <w:rsid w:val="00365D77"/>
    <w:rsid w:val="0037641D"/>
    <w:rsid w:val="00380579"/>
    <w:rsid w:val="00381B35"/>
    <w:rsid w:val="003854BD"/>
    <w:rsid w:val="003876D0"/>
    <w:rsid w:val="00387EFA"/>
    <w:rsid w:val="00391A7C"/>
    <w:rsid w:val="00393C4E"/>
    <w:rsid w:val="00395F1E"/>
    <w:rsid w:val="003A1879"/>
    <w:rsid w:val="003A2150"/>
    <w:rsid w:val="003A24EB"/>
    <w:rsid w:val="003A2A2C"/>
    <w:rsid w:val="003A4D84"/>
    <w:rsid w:val="003A5879"/>
    <w:rsid w:val="003A70FF"/>
    <w:rsid w:val="003B0005"/>
    <w:rsid w:val="003B15C9"/>
    <w:rsid w:val="003B1F55"/>
    <w:rsid w:val="003B2DA7"/>
    <w:rsid w:val="003B34FB"/>
    <w:rsid w:val="003B56C0"/>
    <w:rsid w:val="003C04AD"/>
    <w:rsid w:val="003C35EE"/>
    <w:rsid w:val="003C720C"/>
    <w:rsid w:val="003D25C9"/>
    <w:rsid w:val="003D42E3"/>
    <w:rsid w:val="003D4BD6"/>
    <w:rsid w:val="003D51DC"/>
    <w:rsid w:val="003D7997"/>
    <w:rsid w:val="003E073D"/>
    <w:rsid w:val="003F0145"/>
    <w:rsid w:val="003F2345"/>
    <w:rsid w:val="003F4E5F"/>
    <w:rsid w:val="003F608D"/>
    <w:rsid w:val="003F64A9"/>
    <w:rsid w:val="003F7147"/>
    <w:rsid w:val="003F7AD7"/>
    <w:rsid w:val="00401840"/>
    <w:rsid w:val="00403449"/>
    <w:rsid w:val="00404742"/>
    <w:rsid w:val="0040651B"/>
    <w:rsid w:val="00411AAD"/>
    <w:rsid w:val="0041265B"/>
    <w:rsid w:val="00414858"/>
    <w:rsid w:val="00417854"/>
    <w:rsid w:val="00420EB6"/>
    <w:rsid w:val="00422A7E"/>
    <w:rsid w:val="004233AD"/>
    <w:rsid w:val="0042380D"/>
    <w:rsid w:val="00423E00"/>
    <w:rsid w:val="004243C4"/>
    <w:rsid w:val="00424C48"/>
    <w:rsid w:val="00424D85"/>
    <w:rsid w:val="00431633"/>
    <w:rsid w:val="00432B85"/>
    <w:rsid w:val="00433584"/>
    <w:rsid w:val="004342B5"/>
    <w:rsid w:val="00435EAE"/>
    <w:rsid w:val="00441DE6"/>
    <w:rsid w:val="00445DD9"/>
    <w:rsid w:val="00454205"/>
    <w:rsid w:val="0046174A"/>
    <w:rsid w:val="00462B5B"/>
    <w:rsid w:val="00467F74"/>
    <w:rsid w:val="00474B7F"/>
    <w:rsid w:val="00475745"/>
    <w:rsid w:val="00476DB0"/>
    <w:rsid w:val="004773E0"/>
    <w:rsid w:val="004810D9"/>
    <w:rsid w:val="0048194C"/>
    <w:rsid w:val="00485E6A"/>
    <w:rsid w:val="0048641A"/>
    <w:rsid w:val="00495702"/>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E21EE"/>
    <w:rsid w:val="004E4D87"/>
    <w:rsid w:val="004E5613"/>
    <w:rsid w:val="004E5F84"/>
    <w:rsid w:val="004E7EB2"/>
    <w:rsid w:val="004F28BC"/>
    <w:rsid w:val="00500409"/>
    <w:rsid w:val="005024F4"/>
    <w:rsid w:val="00502A82"/>
    <w:rsid w:val="005030FC"/>
    <w:rsid w:val="00512BE1"/>
    <w:rsid w:val="00512C56"/>
    <w:rsid w:val="0051370A"/>
    <w:rsid w:val="00513DB5"/>
    <w:rsid w:val="005142C2"/>
    <w:rsid w:val="00515F0F"/>
    <w:rsid w:val="00516200"/>
    <w:rsid w:val="005223BE"/>
    <w:rsid w:val="00522ABB"/>
    <w:rsid w:val="00525CA4"/>
    <w:rsid w:val="00527E78"/>
    <w:rsid w:val="005343E6"/>
    <w:rsid w:val="005354C1"/>
    <w:rsid w:val="0053623B"/>
    <w:rsid w:val="00543C1B"/>
    <w:rsid w:val="0055153E"/>
    <w:rsid w:val="00556B76"/>
    <w:rsid w:val="005636D5"/>
    <w:rsid w:val="005663EA"/>
    <w:rsid w:val="005708FE"/>
    <w:rsid w:val="00571788"/>
    <w:rsid w:val="00571A9B"/>
    <w:rsid w:val="0058476F"/>
    <w:rsid w:val="00584775"/>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E1F7C"/>
    <w:rsid w:val="005F0420"/>
    <w:rsid w:val="005F175F"/>
    <w:rsid w:val="005F1AD8"/>
    <w:rsid w:val="00600106"/>
    <w:rsid w:val="0060052C"/>
    <w:rsid w:val="006031E9"/>
    <w:rsid w:val="0060493A"/>
    <w:rsid w:val="00605E24"/>
    <w:rsid w:val="006119AC"/>
    <w:rsid w:val="00613A01"/>
    <w:rsid w:val="006147A9"/>
    <w:rsid w:val="006176B2"/>
    <w:rsid w:val="00624B79"/>
    <w:rsid w:val="00630316"/>
    <w:rsid w:val="0063129B"/>
    <w:rsid w:val="00636907"/>
    <w:rsid w:val="00636BD2"/>
    <w:rsid w:val="006372C5"/>
    <w:rsid w:val="00640296"/>
    <w:rsid w:val="0064360D"/>
    <w:rsid w:val="006452BA"/>
    <w:rsid w:val="00653B3D"/>
    <w:rsid w:val="00654502"/>
    <w:rsid w:val="006561C0"/>
    <w:rsid w:val="00657D72"/>
    <w:rsid w:val="00660DC2"/>
    <w:rsid w:val="00664185"/>
    <w:rsid w:val="0066505A"/>
    <w:rsid w:val="00670599"/>
    <w:rsid w:val="0067375A"/>
    <w:rsid w:val="00684803"/>
    <w:rsid w:val="00684DA0"/>
    <w:rsid w:val="00690BFE"/>
    <w:rsid w:val="00692ACD"/>
    <w:rsid w:val="00692C29"/>
    <w:rsid w:val="00692DFA"/>
    <w:rsid w:val="006941D1"/>
    <w:rsid w:val="00696301"/>
    <w:rsid w:val="00696B18"/>
    <w:rsid w:val="006A057F"/>
    <w:rsid w:val="006A52C2"/>
    <w:rsid w:val="006A5B18"/>
    <w:rsid w:val="006B0E53"/>
    <w:rsid w:val="006B270C"/>
    <w:rsid w:val="006B351B"/>
    <w:rsid w:val="006B66EE"/>
    <w:rsid w:val="006C0879"/>
    <w:rsid w:val="006E32A4"/>
    <w:rsid w:val="006E39DA"/>
    <w:rsid w:val="006E57D8"/>
    <w:rsid w:val="006F30B1"/>
    <w:rsid w:val="006F6EFF"/>
    <w:rsid w:val="007029A2"/>
    <w:rsid w:val="00704E9B"/>
    <w:rsid w:val="00705FD1"/>
    <w:rsid w:val="007064B3"/>
    <w:rsid w:val="00712A28"/>
    <w:rsid w:val="00714ABF"/>
    <w:rsid w:val="00715858"/>
    <w:rsid w:val="0072425C"/>
    <w:rsid w:val="00724BEE"/>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64EB"/>
    <w:rsid w:val="00780DA8"/>
    <w:rsid w:val="00790CBC"/>
    <w:rsid w:val="00791AC8"/>
    <w:rsid w:val="0079417E"/>
    <w:rsid w:val="00794AB7"/>
    <w:rsid w:val="007A44B0"/>
    <w:rsid w:val="007A6E56"/>
    <w:rsid w:val="007B2EC7"/>
    <w:rsid w:val="007B2EFE"/>
    <w:rsid w:val="007B4836"/>
    <w:rsid w:val="007B53E5"/>
    <w:rsid w:val="007B53E7"/>
    <w:rsid w:val="007B5831"/>
    <w:rsid w:val="007B58A5"/>
    <w:rsid w:val="007B6DB7"/>
    <w:rsid w:val="007B72E2"/>
    <w:rsid w:val="007C10CF"/>
    <w:rsid w:val="007C2BD5"/>
    <w:rsid w:val="007C5977"/>
    <w:rsid w:val="007C5C93"/>
    <w:rsid w:val="007D260A"/>
    <w:rsid w:val="007D3863"/>
    <w:rsid w:val="007D68C1"/>
    <w:rsid w:val="007D79E6"/>
    <w:rsid w:val="007F62D4"/>
    <w:rsid w:val="007F73CA"/>
    <w:rsid w:val="008016C1"/>
    <w:rsid w:val="0080244D"/>
    <w:rsid w:val="00802A77"/>
    <w:rsid w:val="008036AB"/>
    <w:rsid w:val="0080371D"/>
    <w:rsid w:val="00803F0F"/>
    <w:rsid w:val="008044C3"/>
    <w:rsid w:val="00804525"/>
    <w:rsid w:val="00804622"/>
    <w:rsid w:val="008076E5"/>
    <w:rsid w:val="00810349"/>
    <w:rsid w:val="00811195"/>
    <w:rsid w:val="008125A6"/>
    <w:rsid w:val="008129C1"/>
    <w:rsid w:val="00814346"/>
    <w:rsid w:val="00814EC7"/>
    <w:rsid w:val="00815021"/>
    <w:rsid w:val="0081603F"/>
    <w:rsid w:val="0081675C"/>
    <w:rsid w:val="00817FDE"/>
    <w:rsid w:val="008235B1"/>
    <w:rsid w:val="00825ADB"/>
    <w:rsid w:val="0082795A"/>
    <w:rsid w:val="0083169E"/>
    <w:rsid w:val="00832412"/>
    <w:rsid w:val="00834888"/>
    <w:rsid w:val="00840893"/>
    <w:rsid w:val="008424AF"/>
    <w:rsid w:val="008435F5"/>
    <w:rsid w:val="00851971"/>
    <w:rsid w:val="00852323"/>
    <w:rsid w:val="00860FC1"/>
    <w:rsid w:val="00860FC2"/>
    <w:rsid w:val="00862C8C"/>
    <w:rsid w:val="00864335"/>
    <w:rsid w:val="008647F2"/>
    <w:rsid w:val="00870BB2"/>
    <w:rsid w:val="008715F3"/>
    <w:rsid w:val="00875EAE"/>
    <w:rsid w:val="008766D7"/>
    <w:rsid w:val="008823B6"/>
    <w:rsid w:val="00886A0B"/>
    <w:rsid w:val="00893B82"/>
    <w:rsid w:val="00893CC2"/>
    <w:rsid w:val="008A0005"/>
    <w:rsid w:val="008A053A"/>
    <w:rsid w:val="008A41DE"/>
    <w:rsid w:val="008A5826"/>
    <w:rsid w:val="008A682E"/>
    <w:rsid w:val="008A7373"/>
    <w:rsid w:val="008B1C2E"/>
    <w:rsid w:val="008B4B57"/>
    <w:rsid w:val="008B5A32"/>
    <w:rsid w:val="008B6B2A"/>
    <w:rsid w:val="008C0049"/>
    <w:rsid w:val="008C1AAB"/>
    <w:rsid w:val="008C2F7E"/>
    <w:rsid w:val="008C75C7"/>
    <w:rsid w:val="008C7BEB"/>
    <w:rsid w:val="008D31AF"/>
    <w:rsid w:val="008D54DF"/>
    <w:rsid w:val="008D6C84"/>
    <w:rsid w:val="008E2669"/>
    <w:rsid w:val="008E30FD"/>
    <w:rsid w:val="008E4568"/>
    <w:rsid w:val="008E466A"/>
    <w:rsid w:val="008E601E"/>
    <w:rsid w:val="008E79D2"/>
    <w:rsid w:val="008F0D57"/>
    <w:rsid w:val="008F3DCA"/>
    <w:rsid w:val="008F40D0"/>
    <w:rsid w:val="008F5FE0"/>
    <w:rsid w:val="008F795D"/>
    <w:rsid w:val="00902F90"/>
    <w:rsid w:val="00904C3B"/>
    <w:rsid w:val="00907B94"/>
    <w:rsid w:val="00913142"/>
    <w:rsid w:val="0091437E"/>
    <w:rsid w:val="00914FF9"/>
    <w:rsid w:val="009161CB"/>
    <w:rsid w:val="0091627A"/>
    <w:rsid w:val="009212E1"/>
    <w:rsid w:val="009218BC"/>
    <w:rsid w:val="00924799"/>
    <w:rsid w:val="00935ADD"/>
    <w:rsid w:val="00937647"/>
    <w:rsid w:val="00937A31"/>
    <w:rsid w:val="0094272E"/>
    <w:rsid w:val="0094547A"/>
    <w:rsid w:val="0094639E"/>
    <w:rsid w:val="00946465"/>
    <w:rsid w:val="00955EE1"/>
    <w:rsid w:val="009576BD"/>
    <w:rsid w:val="00961343"/>
    <w:rsid w:val="00962995"/>
    <w:rsid w:val="009665CF"/>
    <w:rsid w:val="00971826"/>
    <w:rsid w:val="009719C3"/>
    <w:rsid w:val="00971F1C"/>
    <w:rsid w:val="009725E3"/>
    <w:rsid w:val="00975188"/>
    <w:rsid w:val="00982575"/>
    <w:rsid w:val="00983431"/>
    <w:rsid w:val="00984F87"/>
    <w:rsid w:val="0099679E"/>
    <w:rsid w:val="009A2040"/>
    <w:rsid w:val="009A221B"/>
    <w:rsid w:val="009A3446"/>
    <w:rsid w:val="009B26BA"/>
    <w:rsid w:val="009C2C63"/>
    <w:rsid w:val="009C4257"/>
    <w:rsid w:val="009C52B9"/>
    <w:rsid w:val="009C5723"/>
    <w:rsid w:val="009D0F66"/>
    <w:rsid w:val="009D2891"/>
    <w:rsid w:val="009D6F1F"/>
    <w:rsid w:val="009E08FF"/>
    <w:rsid w:val="009E11DD"/>
    <w:rsid w:val="009E44AF"/>
    <w:rsid w:val="009E45A3"/>
    <w:rsid w:val="009F0638"/>
    <w:rsid w:val="009F1369"/>
    <w:rsid w:val="009F2F77"/>
    <w:rsid w:val="009F4AC7"/>
    <w:rsid w:val="009F627E"/>
    <w:rsid w:val="00A00156"/>
    <w:rsid w:val="00A00BE8"/>
    <w:rsid w:val="00A01C93"/>
    <w:rsid w:val="00A0271E"/>
    <w:rsid w:val="00A06B2E"/>
    <w:rsid w:val="00A11FDD"/>
    <w:rsid w:val="00A123E1"/>
    <w:rsid w:val="00A13CB0"/>
    <w:rsid w:val="00A140D5"/>
    <w:rsid w:val="00A21EF3"/>
    <w:rsid w:val="00A264AD"/>
    <w:rsid w:val="00A306A4"/>
    <w:rsid w:val="00A308A4"/>
    <w:rsid w:val="00A3465C"/>
    <w:rsid w:val="00A3579A"/>
    <w:rsid w:val="00A35E4F"/>
    <w:rsid w:val="00A46AE5"/>
    <w:rsid w:val="00A5240E"/>
    <w:rsid w:val="00A5391E"/>
    <w:rsid w:val="00A55A06"/>
    <w:rsid w:val="00A5670C"/>
    <w:rsid w:val="00A57390"/>
    <w:rsid w:val="00A6082D"/>
    <w:rsid w:val="00A62500"/>
    <w:rsid w:val="00A6339F"/>
    <w:rsid w:val="00A64B4F"/>
    <w:rsid w:val="00A66148"/>
    <w:rsid w:val="00A668FC"/>
    <w:rsid w:val="00A74DB6"/>
    <w:rsid w:val="00A74E71"/>
    <w:rsid w:val="00A7704C"/>
    <w:rsid w:val="00A80207"/>
    <w:rsid w:val="00A822DC"/>
    <w:rsid w:val="00A84701"/>
    <w:rsid w:val="00A91AC7"/>
    <w:rsid w:val="00A93988"/>
    <w:rsid w:val="00A9456D"/>
    <w:rsid w:val="00A95C65"/>
    <w:rsid w:val="00AA1665"/>
    <w:rsid w:val="00AA3234"/>
    <w:rsid w:val="00AA459B"/>
    <w:rsid w:val="00AA6011"/>
    <w:rsid w:val="00AA74BA"/>
    <w:rsid w:val="00AB2EAD"/>
    <w:rsid w:val="00AB566D"/>
    <w:rsid w:val="00AB704E"/>
    <w:rsid w:val="00AC0978"/>
    <w:rsid w:val="00AC215A"/>
    <w:rsid w:val="00AC5EAA"/>
    <w:rsid w:val="00AC7BE0"/>
    <w:rsid w:val="00AD13D7"/>
    <w:rsid w:val="00AD4665"/>
    <w:rsid w:val="00AD57CC"/>
    <w:rsid w:val="00AD6081"/>
    <w:rsid w:val="00AD65E0"/>
    <w:rsid w:val="00AE0AC8"/>
    <w:rsid w:val="00AE150A"/>
    <w:rsid w:val="00AE2516"/>
    <w:rsid w:val="00AE4912"/>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35770"/>
    <w:rsid w:val="00B3606D"/>
    <w:rsid w:val="00B40C5F"/>
    <w:rsid w:val="00B452AE"/>
    <w:rsid w:val="00B53A1C"/>
    <w:rsid w:val="00B53C9D"/>
    <w:rsid w:val="00B55F4C"/>
    <w:rsid w:val="00B6064B"/>
    <w:rsid w:val="00B6322E"/>
    <w:rsid w:val="00B63F21"/>
    <w:rsid w:val="00B72E42"/>
    <w:rsid w:val="00B747FB"/>
    <w:rsid w:val="00B7682F"/>
    <w:rsid w:val="00B76ACC"/>
    <w:rsid w:val="00B7758F"/>
    <w:rsid w:val="00B77B48"/>
    <w:rsid w:val="00B80F8D"/>
    <w:rsid w:val="00B84799"/>
    <w:rsid w:val="00B86A0E"/>
    <w:rsid w:val="00B92012"/>
    <w:rsid w:val="00B928F6"/>
    <w:rsid w:val="00B937B6"/>
    <w:rsid w:val="00B940A8"/>
    <w:rsid w:val="00B952E8"/>
    <w:rsid w:val="00B967BD"/>
    <w:rsid w:val="00B9696A"/>
    <w:rsid w:val="00BA59CF"/>
    <w:rsid w:val="00BB16B3"/>
    <w:rsid w:val="00BB27E5"/>
    <w:rsid w:val="00BB2AF0"/>
    <w:rsid w:val="00BB30D5"/>
    <w:rsid w:val="00BB6ABD"/>
    <w:rsid w:val="00BD1740"/>
    <w:rsid w:val="00BD3F7D"/>
    <w:rsid w:val="00BD4DD3"/>
    <w:rsid w:val="00BE1BAC"/>
    <w:rsid w:val="00BE1DB1"/>
    <w:rsid w:val="00BE5AE5"/>
    <w:rsid w:val="00BF4265"/>
    <w:rsid w:val="00BF6B08"/>
    <w:rsid w:val="00BF6D4D"/>
    <w:rsid w:val="00C02B76"/>
    <w:rsid w:val="00C036D8"/>
    <w:rsid w:val="00C0382A"/>
    <w:rsid w:val="00C0396F"/>
    <w:rsid w:val="00C04D64"/>
    <w:rsid w:val="00C11049"/>
    <w:rsid w:val="00C126C0"/>
    <w:rsid w:val="00C16E6D"/>
    <w:rsid w:val="00C20F6B"/>
    <w:rsid w:val="00C24712"/>
    <w:rsid w:val="00C30124"/>
    <w:rsid w:val="00C31D63"/>
    <w:rsid w:val="00C34052"/>
    <w:rsid w:val="00C34A3B"/>
    <w:rsid w:val="00C34E3D"/>
    <w:rsid w:val="00C3647F"/>
    <w:rsid w:val="00C36AE0"/>
    <w:rsid w:val="00C40F55"/>
    <w:rsid w:val="00C435CC"/>
    <w:rsid w:val="00C43BEC"/>
    <w:rsid w:val="00C4454A"/>
    <w:rsid w:val="00C45C15"/>
    <w:rsid w:val="00C51ECE"/>
    <w:rsid w:val="00C534D8"/>
    <w:rsid w:val="00C5401C"/>
    <w:rsid w:val="00C55413"/>
    <w:rsid w:val="00C56ADA"/>
    <w:rsid w:val="00C56C83"/>
    <w:rsid w:val="00C6125F"/>
    <w:rsid w:val="00C65C41"/>
    <w:rsid w:val="00C67B31"/>
    <w:rsid w:val="00C7309F"/>
    <w:rsid w:val="00C75D9A"/>
    <w:rsid w:val="00C81ADC"/>
    <w:rsid w:val="00C8467F"/>
    <w:rsid w:val="00C84EEF"/>
    <w:rsid w:val="00C862EE"/>
    <w:rsid w:val="00C87A3B"/>
    <w:rsid w:val="00C91CEB"/>
    <w:rsid w:val="00C93BBD"/>
    <w:rsid w:val="00C942FE"/>
    <w:rsid w:val="00CA03CB"/>
    <w:rsid w:val="00CA098E"/>
    <w:rsid w:val="00CA2C1A"/>
    <w:rsid w:val="00CA7404"/>
    <w:rsid w:val="00CB07E8"/>
    <w:rsid w:val="00CB45BA"/>
    <w:rsid w:val="00CC0682"/>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3782"/>
    <w:rsid w:val="00D26749"/>
    <w:rsid w:val="00D270BD"/>
    <w:rsid w:val="00D27D10"/>
    <w:rsid w:val="00D30131"/>
    <w:rsid w:val="00D31164"/>
    <w:rsid w:val="00D31668"/>
    <w:rsid w:val="00D33108"/>
    <w:rsid w:val="00D33C0E"/>
    <w:rsid w:val="00D33E53"/>
    <w:rsid w:val="00D41A7F"/>
    <w:rsid w:val="00D41CE6"/>
    <w:rsid w:val="00D47970"/>
    <w:rsid w:val="00D53B40"/>
    <w:rsid w:val="00D608A3"/>
    <w:rsid w:val="00D61A38"/>
    <w:rsid w:val="00D63317"/>
    <w:rsid w:val="00D63BBD"/>
    <w:rsid w:val="00D65096"/>
    <w:rsid w:val="00D67824"/>
    <w:rsid w:val="00D72805"/>
    <w:rsid w:val="00D7713D"/>
    <w:rsid w:val="00D82CCF"/>
    <w:rsid w:val="00D85404"/>
    <w:rsid w:val="00D914F3"/>
    <w:rsid w:val="00D930D4"/>
    <w:rsid w:val="00DA19A3"/>
    <w:rsid w:val="00DA31DC"/>
    <w:rsid w:val="00DA4D76"/>
    <w:rsid w:val="00DA54AF"/>
    <w:rsid w:val="00DA781F"/>
    <w:rsid w:val="00DB4A98"/>
    <w:rsid w:val="00DB5FB3"/>
    <w:rsid w:val="00DC0548"/>
    <w:rsid w:val="00DC0D2B"/>
    <w:rsid w:val="00DC30B1"/>
    <w:rsid w:val="00DC435D"/>
    <w:rsid w:val="00DC58E9"/>
    <w:rsid w:val="00DD171A"/>
    <w:rsid w:val="00DD3075"/>
    <w:rsid w:val="00DD635E"/>
    <w:rsid w:val="00DE08B9"/>
    <w:rsid w:val="00DE4B2A"/>
    <w:rsid w:val="00DE6BC6"/>
    <w:rsid w:val="00DF77AD"/>
    <w:rsid w:val="00E12A20"/>
    <w:rsid w:val="00E16DBD"/>
    <w:rsid w:val="00E2252B"/>
    <w:rsid w:val="00E22773"/>
    <w:rsid w:val="00E234E5"/>
    <w:rsid w:val="00E31646"/>
    <w:rsid w:val="00E32E75"/>
    <w:rsid w:val="00E34990"/>
    <w:rsid w:val="00E34BEA"/>
    <w:rsid w:val="00E410D8"/>
    <w:rsid w:val="00E4248D"/>
    <w:rsid w:val="00E47E03"/>
    <w:rsid w:val="00E52A33"/>
    <w:rsid w:val="00E53B95"/>
    <w:rsid w:val="00E54F5E"/>
    <w:rsid w:val="00E57BDF"/>
    <w:rsid w:val="00E66F7C"/>
    <w:rsid w:val="00E714DD"/>
    <w:rsid w:val="00E7781E"/>
    <w:rsid w:val="00E81F47"/>
    <w:rsid w:val="00E9003F"/>
    <w:rsid w:val="00E935B2"/>
    <w:rsid w:val="00E93A22"/>
    <w:rsid w:val="00E95340"/>
    <w:rsid w:val="00E95906"/>
    <w:rsid w:val="00EA35BA"/>
    <w:rsid w:val="00EA47FF"/>
    <w:rsid w:val="00EA5210"/>
    <w:rsid w:val="00EA62D7"/>
    <w:rsid w:val="00EB0C6D"/>
    <w:rsid w:val="00EB122B"/>
    <w:rsid w:val="00EB6B50"/>
    <w:rsid w:val="00EC0950"/>
    <w:rsid w:val="00EC130E"/>
    <w:rsid w:val="00EC213B"/>
    <w:rsid w:val="00EC3122"/>
    <w:rsid w:val="00EC42B6"/>
    <w:rsid w:val="00EC5810"/>
    <w:rsid w:val="00EC6230"/>
    <w:rsid w:val="00ED1753"/>
    <w:rsid w:val="00ED2C7C"/>
    <w:rsid w:val="00ED55EB"/>
    <w:rsid w:val="00ED6779"/>
    <w:rsid w:val="00EE1837"/>
    <w:rsid w:val="00EE35DE"/>
    <w:rsid w:val="00EE47E5"/>
    <w:rsid w:val="00EE6CA5"/>
    <w:rsid w:val="00EF1B60"/>
    <w:rsid w:val="00EF30F1"/>
    <w:rsid w:val="00EF5E08"/>
    <w:rsid w:val="00F013DE"/>
    <w:rsid w:val="00F03A30"/>
    <w:rsid w:val="00F04052"/>
    <w:rsid w:val="00F13ED0"/>
    <w:rsid w:val="00F17811"/>
    <w:rsid w:val="00F210C4"/>
    <w:rsid w:val="00F21898"/>
    <w:rsid w:val="00F21A50"/>
    <w:rsid w:val="00F31B22"/>
    <w:rsid w:val="00F31D4F"/>
    <w:rsid w:val="00F34657"/>
    <w:rsid w:val="00F355FB"/>
    <w:rsid w:val="00F40DCF"/>
    <w:rsid w:val="00F42363"/>
    <w:rsid w:val="00F43764"/>
    <w:rsid w:val="00F46DE6"/>
    <w:rsid w:val="00F47D41"/>
    <w:rsid w:val="00F506E3"/>
    <w:rsid w:val="00F52128"/>
    <w:rsid w:val="00F52638"/>
    <w:rsid w:val="00F53172"/>
    <w:rsid w:val="00F55561"/>
    <w:rsid w:val="00F62C5B"/>
    <w:rsid w:val="00F62EB2"/>
    <w:rsid w:val="00F70A26"/>
    <w:rsid w:val="00F73811"/>
    <w:rsid w:val="00F7576E"/>
    <w:rsid w:val="00F7764F"/>
    <w:rsid w:val="00F77B3A"/>
    <w:rsid w:val="00F81EA8"/>
    <w:rsid w:val="00F83916"/>
    <w:rsid w:val="00F86FE3"/>
    <w:rsid w:val="00F9033A"/>
    <w:rsid w:val="00F90381"/>
    <w:rsid w:val="00F949D7"/>
    <w:rsid w:val="00FA2705"/>
    <w:rsid w:val="00FA3166"/>
    <w:rsid w:val="00FA41BA"/>
    <w:rsid w:val="00FA7B7C"/>
    <w:rsid w:val="00FB0787"/>
    <w:rsid w:val="00FB3238"/>
    <w:rsid w:val="00FB5172"/>
    <w:rsid w:val="00FC05BD"/>
    <w:rsid w:val="00FC1903"/>
    <w:rsid w:val="00FC2111"/>
    <w:rsid w:val="00FD05D4"/>
    <w:rsid w:val="00FD58A1"/>
    <w:rsid w:val="00FD689E"/>
    <w:rsid w:val="00FE1FEC"/>
    <w:rsid w:val="00FE259F"/>
    <w:rsid w:val="00FE324F"/>
    <w:rsid w:val="00FE32F0"/>
    <w:rsid w:val="00FE50DE"/>
    <w:rsid w:val="00FE587B"/>
    <w:rsid w:val="00FE6B73"/>
    <w:rsid w:val="00FF33E7"/>
    <w:rsid w:val="00FF514D"/>
    <w:rsid w:val="00FF611B"/>
    <w:rsid w:val="00FF61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91C3F6"/>
  <w15:docId w15:val="{ACE76724-7568-41B3-84D9-BC5B93A6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6" w:qFormat="1"/>
    <w:lsdException w:name="heading 2" w:locked="1" w:uiPriority="7"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uiPriority w:val="3"/>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uiPriority w:val="2"/>
    <w:qFormat/>
    <w:rsid w:val="00475745"/>
    <w:rPr>
      <w:color w:val="943634"/>
    </w:rPr>
  </w:style>
  <w:style w:type="character" w:customStyle="1" w:styleId="ReferencestootherSOPsQCDsChar">
    <w:name w:val="References to other SOPs/QCDs Char"/>
    <w:basedOn w:val="InstructionsChar"/>
    <w:link w:val="ReferencestootherSOPsQCDs"/>
    <w:uiPriority w:val="2"/>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uiPriority w:val="3"/>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411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birmingham.ac.uk/research/activity/mds/mds-rkto/governance/index.aspx" TargetMode="External"/><Relationship Id="rId26" Type="http://schemas.openxmlformats.org/officeDocument/2006/relationships/hyperlink" Target="https://www.england.nhs.uk/ahp/role/" TargetMode="External"/><Relationship Id="rId3" Type="http://schemas.openxmlformats.org/officeDocument/2006/relationships/styles" Target="styles.xml"/><Relationship Id="rId21" Type="http://schemas.openxmlformats.org/officeDocument/2006/relationships/hyperlink" Target="https://www.england.nhs.uk/ahp/rol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tranet.birmingham.ac.uk/hr/wellbeing/worksafe/biological/index.aspx" TargetMode="External"/><Relationship Id="rId25" Type="http://schemas.openxmlformats.org/officeDocument/2006/relationships/hyperlink" Target="https://www.birmingham.ac.uk/research/activity/mds/mds-rkto/governance/qms.aspx"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intranet.birmingham.ac.uk/hr/documents/public/hsu/hsupolicy/Blood-taking-from-Volunteers-Policy.pdf" TargetMode="External"/><Relationship Id="rId20" Type="http://schemas.openxmlformats.org/officeDocument/2006/relationships/hyperlink" Target="mailto:researchgovernance@contacts.bham.ac.uk"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tranet.birmingham.ac.uk/hr/documents/public/hsu/hsupolicy/Blood-taking-from-Volunteers-Policy.pdf"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birmingham.ac.uk/research/activity/mds/mds-rkto/governance/qms.aspx" TargetMode="External"/><Relationship Id="rId23" Type="http://schemas.openxmlformats.org/officeDocument/2006/relationships/hyperlink" Target="https://intranet.birmingham.ac.uk/hr/wellbeing/worksafe/biological/index.aspx" TargetMode="External"/><Relationship Id="rId28" Type="http://schemas.openxmlformats.org/officeDocument/2006/relationships/header" Target="header4.xml"/><Relationship Id="rId36"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mailto:crct@contacts.bham.ac.uk"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hra.nhs.uk/planning-and-improving-research/policies-standards-legislation/phase-1-clinical-trials/" TargetMode="External"/><Relationship Id="rId22" Type="http://schemas.openxmlformats.org/officeDocument/2006/relationships/hyperlink" Target="https://www.hra.nhs.uk/planning-and-improving-research/policies-standards-legislation/phase-1-clinical-trials/" TargetMode="External"/><Relationship Id="rId27" Type="http://schemas.openxmlformats.org/officeDocument/2006/relationships/hyperlink" Target="https://www.birmingham.ac.uk/research/activity/mds/mds-rkto/governance/Glossary-of-Terms.aspx" TargetMode="External"/><Relationship Id="rId30" Type="http://schemas.openxmlformats.org/officeDocument/2006/relationships/footer" Target="footer4.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5CAA-51CB-4BC3-978D-CA3305ED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UoB SOP template v8.0 vd 11-Oct-2019</vt:lpstr>
    </vt:vector>
  </TitlesOfParts>
  <Company>MDS</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v8.0 vd 11-Oct-2019</dc:title>
  <dc:creator>Jamie Pugh</dc:creator>
  <cp:lastModifiedBy>Kari Bottolfsen (Life and Environmental Sciences)</cp:lastModifiedBy>
  <cp:revision>21</cp:revision>
  <cp:lastPrinted>2019-05-31T11:18:00Z</cp:lastPrinted>
  <dcterms:created xsi:type="dcterms:W3CDTF">2020-03-10T16:13:00Z</dcterms:created>
  <dcterms:modified xsi:type="dcterms:W3CDTF">2022-12-16T10:18:00Z</dcterms:modified>
</cp:coreProperties>
</file>