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DC9640" w14:textId="77777777" w:rsidR="00D7036B" w:rsidRDefault="00D7036B" w:rsidP="00D7036B"/>
    <w:p w14:paraId="1E7D02F3" w14:textId="77777777" w:rsidR="00895128" w:rsidRDefault="00895128" w:rsidP="00D7036B"/>
    <w:p w14:paraId="3CE6D4C2" w14:textId="77777777" w:rsidR="00895128" w:rsidRPr="00895128" w:rsidRDefault="00075D91" w:rsidP="00895128">
      <w:pPr>
        <w:rPr>
          <w:b/>
          <w:bCs/>
          <w:sz w:val="28"/>
          <w:szCs w:val="28"/>
        </w:rPr>
      </w:pPr>
      <w:r>
        <w:rPr>
          <w:b/>
          <w:bCs/>
          <w:sz w:val="28"/>
          <w:szCs w:val="28"/>
        </w:rPr>
        <w:t>Quality Control Document</w:t>
      </w:r>
      <w:r w:rsidR="00895128">
        <w:rPr>
          <w:b/>
          <w:bCs/>
          <w:sz w:val="28"/>
          <w:szCs w:val="28"/>
        </w:rPr>
        <w:t>:</w:t>
      </w:r>
    </w:p>
    <w:p w14:paraId="7E7CDDF4" w14:textId="43AE96C0" w:rsidR="00895128" w:rsidRDefault="002E77C8" w:rsidP="00A75686">
      <w:pPr>
        <w:pStyle w:val="Title"/>
      </w:pPr>
      <w:r>
        <w:t>Guidelines for informed consent procedures</w:t>
      </w:r>
    </w:p>
    <w:p w14:paraId="175BE4C9" w14:textId="77777777" w:rsidR="00A31C6D" w:rsidRDefault="00A31C6D" w:rsidP="00A31C6D"/>
    <w:p w14:paraId="3B64B256" w14:textId="77777777" w:rsidR="00D7036B" w:rsidRDefault="00D7036B" w:rsidP="00A31C6D"/>
    <w:tbl>
      <w:tblPr>
        <w:tblStyle w:val="TableGrid"/>
        <w:tblW w:w="0" w:type="auto"/>
        <w:tblBorders>
          <w:insideH w:val="dotted" w:sz="4" w:space="0" w:color="auto"/>
          <w:insideV w:val="dotted" w:sz="4" w:space="0" w:color="auto"/>
        </w:tblBorders>
        <w:tblLook w:val="04A0" w:firstRow="1" w:lastRow="0" w:firstColumn="1" w:lastColumn="0" w:noHBand="0" w:noVBand="1"/>
      </w:tblPr>
      <w:tblGrid>
        <w:gridCol w:w="1696"/>
        <w:gridCol w:w="7321"/>
      </w:tblGrid>
      <w:tr w:rsidR="00013136" w14:paraId="58FE341E" w14:textId="77777777" w:rsidTr="00C90371">
        <w:tc>
          <w:tcPr>
            <w:tcW w:w="1696" w:type="dxa"/>
          </w:tcPr>
          <w:p w14:paraId="211A5361" w14:textId="77777777" w:rsidR="00013136" w:rsidRPr="00895128" w:rsidRDefault="00013136" w:rsidP="00013136">
            <w:pPr>
              <w:rPr>
                <w:b/>
                <w:bCs/>
              </w:rPr>
            </w:pPr>
            <w:r w:rsidRPr="00895128">
              <w:rPr>
                <w:b/>
                <w:bCs/>
              </w:rPr>
              <w:t>Supersedes:</w:t>
            </w:r>
          </w:p>
        </w:tc>
        <w:tc>
          <w:tcPr>
            <w:tcW w:w="7321" w:type="dxa"/>
          </w:tcPr>
          <w:p w14:paraId="09FD6451" w14:textId="3C77B87B" w:rsidR="00013136" w:rsidRDefault="00C538DD" w:rsidP="00013136">
            <w:r>
              <w:t>Informed Consent Procedure</w:t>
            </w:r>
            <w:r w:rsidR="009D1F57">
              <w:t xml:space="preserve"> for Site Staff</w:t>
            </w:r>
            <w:r>
              <w:t xml:space="preserve"> (UoB-</w:t>
            </w:r>
            <w:r w:rsidR="009D1F57">
              <w:t>CLN-ESD</w:t>
            </w:r>
            <w:r>
              <w:t>-QCD-00</w:t>
            </w:r>
            <w:r w:rsidR="009D1F57">
              <w:t>4, v1.0</w:t>
            </w:r>
            <w:r>
              <w:t>)</w:t>
            </w:r>
          </w:p>
        </w:tc>
      </w:tr>
      <w:tr w:rsidR="00013136" w14:paraId="6AB8130D" w14:textId="77777777" w:rsidTr="00C90371">
        <w:tc>
          <w:tcPr>
            <w:tcW w:w="1696" w:type="dxa"/>
          </w:tcPr>
          <w:p w14:paraId="2B2241AF" w14:textId="77777777" w:rsidR="00013136" w:rsidRPr="00895128" w:rsidRDefault="00013136" w:rsidP="00013136">
            <w:pPr>
              <w:rPr>
                <w:b/>
                <w:bCs/>
              </w:rPr>
            </w:pPr>
            <w:r w:rsidRPr="00895128">
              <w:rPr>
                <w:b/>
                <w:bCs/>
              </w:rPr>
              <w:t>Last reviewed:</w:t>
            </w:r>
          </w:p>
        </w:tc>
        <w:tc>
          <w:tcPr>
            <w:tcW w:w="7321" w:type="dxa"/>
          </w:tcPr>
          <w:p w14:paraId="5C3EA7CC" w14:textId="62152B6A" w:rsidR="00013136" w:rsidRDefault="000919FA" w:rsidP="00013136">
            <w:r>
              <w:t>Ju</w:t>
            </w:r>
            <w:r w:rsidR="00185F78">
              <w:t>n</w:t>
            </w:r>
            <w:r>
              <w:t xml:space="preserve"> 2024</w:t>
            </w:r>
          </w:p>
        </w:tc>
      </w:tr>
      <w:tr w:rsidR="00013136" w14:paraId="607C3BCD" w14:textId="77777777" w:rsidTr="00C90371">
        <w:tc>
          <w:tcPr>
            <w:tcW w:w="1696" w:type="dxa"/>
          </w:tcPr>
          <w:p w14:paraId="32BFC0AD" w14:textId="77777777" w:rsidR="00013136" w:rsidRPr="00895128" w:rsidRDefault="00013136" w:rsidP="00013136">
            <w:pPr>
              <w:rPr>
                <w:b/>
                <w:bCs/>
              </w:rPr>
            </w:pPr>
            <w:r w:rsidRPr="00895128">
              <w:rPr>
                <w:b/>
                <w:bCs/>
              </w:rPr>
              <w:t>Next review in:</w:t>
            </w:r>
          </w:p>
        </w:tc>
        <w:tc>
          <w:tcPr>
            <w:tcW w:w="7321" w:type="dxa"/>
          </w:tcPr>
          <w:p w14:paraId="014F765B" w14:textId="76BD74C3" w:rsidR="00013136" w:rsidRDefault="000919FA" w:rsidP="00013136">
            <w:r>
              <w:t xml:space="preserve">2027, Quarter </w:t>
            </w:r>
            <w:r w:rsidR="00185F78">
              <w:t>2</w:t>
            </w:r>
            <w:r>
              <w:t xml:space="preserve"> (</w:t>
            </w:r>
            <w:r w:rsidR="00185F78">
              <w:t>Apr-Jun</w:t>
            </w:r>
            <w:r>
              <w:t>)</w:t>
            </w:r>
          </w:p>
        </w:tc>
      </w:tr>
    </w:tbl>
    <w:p w14:paraId="190F10E7" w14:textId="77777777" w:rsidR="00895128" w:rsidRDefault="00895128" w:rsidP="00A31C6D"/>
    <w:p w14:paraId="72081C4C" w14:textId="77777777" w:rsidR="00895128" w:rsidRDefault="00895128" w:rsidP="00A31C6D"/>
    <w:p w14:paraId="3C327A28" w14:textId="77777777" w:rsidR="00895128" w:rsidRDefault="00895128" w:rsidP="00A31C6D"/>
    <w:p w14:paraId="778535C2" w14:textId="77777777" w:rsidR="00A86630" w:rsidRPr="00A86630" w:rsidRDefault="00A86630" w:rsidP="00895128">
      <w:pPr>
        <w:tabs>
          <w:tab w:val="left" w:pos="3654"/>
        </w:tabs>
        <w:rPr>
          <w:lang w:val="en-US"/>
        </w:rPr>
      </w:pPr>
      <w:r>
        <w:rPr>
          <w:lang w:val="en-US"/>
        </w:rPr>
        <w:t>A</w:t>
      </w:r>
      <w:r w:rsidRPr="00A86630">
        <w:rPr>
          <w:lang w:val="en-US"/>
        </w:rPr>
        <w:t xml:space="preserve">ccess the </w:t>
      </w:r>
      <w:hyperlink r:id="rId8" w:tooltip="Link to the Clinical Research e-Pathway" w:history="1">
        <w:r w:rsidR="001D0D34" w:rsidRPr="00A86630">
          <w:rPr>
            <w:rStyle w:val="Hyperlink"/>
            <w:lang w:val="en-US"/>
          </w:rPr>
          <w:t>Clinical Research e-Pathway</w:t>
        </w:r>
      </w:hyperlink>
      <w:r w:rsidRPr="00A86630">
        <w:rPr>
          <w:lang w:val="en-US"/>
        </w:rPr>
        <w:t xml:space="preserve"> for a roadmap to </w:t>
      </w:r>
      <w:r>
        <w:rPr>
          <w:lang w:val="en-US"/>
        </w:rPr>
        <w:t xml:space="preserve">help </w:t>
      </w:r>
      <w:r w:rsidRPr="00A86630">
        <w:rPr>
          <w:lang w:val="en-US"/>
        </w:rPr>
        <w:t xml:space="preserve">navigate a </w:t>
      </w:r>
      <w:r w:rsidR="007862F4">
        <w:rPr>
          <w:lang w:val="en-US"/>
        </w:rPr>
        <w:t xml:space="preserve">complete project </w:t>
      </w:r>
      <w:r w:rsidRPr="00A86630">
        <w:rPr>
          <w:lang w:val="en-US"/>
        </w:rPr>
        <w:t>lifecycle</w:t>
      </w:r>
      <w:r>
        <w:rPr>
          <w:lang w:val="en-US"/>
        </w:rPr>
        <w:t>.</w:t>
      </w:r>
    </w:p>
    <w:p w14:paraId="4C6C3C87" w14:textId="77777777" w:rsidR="00A86630" w:rsidRDefault="00A86630" w:rsidP="007773B9">
      <w:pPr>
        <w:tabs>
          <w:tab w:val="left" w:pos="3654"/>
        </w:tabs>
      </w:pPr>
    </w:p>
    <w:p w14:paraId="6F5AD3FE" w14:textId="77777777" w:rsidR="00A86630" w:rsidRDefault="00A86630" w:rsidP="007773B9">
      <w:pPr>
        <w:tabs>
          <w:tab w:val="left" w:pos="3654"/>
        </w:tabs>
      </w:pPr>
    </w:p>
    <w:p w14:paraId="0A83A605" w14:textId="77777777" w:rsidR="0097056C" w:rsidRPr="007773B9" w:rsidRDefault="0097056C" w:rsidP="007773B9">
      <w:pPr>
        <w:tabs>
          <w:tab w:val="left" w:pos="3654"/>
        </w:tabs>
        <w:sectPr w:rsidR="0097056C" w:rsidRPr="007773B9" w:rsidSect="00EA11E4">
          <w:footerReference w:type="default" r:id="rId9"/>
          <w:headerReference w:type="first" r:id="rId10"/>
          <w:footerReference w:type="first" r:id="rId11"/>
          <w:pgSz w:w="11907" w:h="16839" w:code="9"/>
          <w:pgMar w:top="4253" w:right="1440" w:bottom="1440" w:left="1440" w:header="1438" w:footer="452" w:gutter="0"/>
          <w:pgBorders w:display="notFirstPage">
            <w:top w:val="single" w:sz="12" w:space="3" w:color="17365D" w:themeColor="text2" w:themeShade="BF"/>
            <w:bottom w:val="single" w:sz="12" w:space="3" w:color="17365D" w:themeColor="text2" w:themeShade="BF"/>
          </w:pgBorders>
          <w:cols w:space="708"/>
          <w:titlePg/>
          <w:docGrid w:linePitch="360"/>
        </w:sectPr>
      </w:pPr>
    </w:p>
    <w:p w14:paraId="7784D346" w14:textId="77777777" w:rsidR="00944528" w:rsidRDefault="00B946B0" w:rsidP="00075D91">
      <w:pPr>
        <w:pStyle w:val="Heading1"/>
        <w:spacing w:before="0"/>
      </w:pPr>
      <w:bookmarkStart w:id="0" w:name="_Toc153528138"/>
      <w:bookmarkStart w:id="1" w:name="_Toc320536979"/>
      <w:r>
        <w:lastRenderedPageBreak/>
        <w:t>Purpose</w:t>
      </w:r>
      <w:bookmarkEnd w:id="0"/>
    </w:p>
    <w:p w14:paraId="1B7FA694" w14:textId="11CA10AC" w:rsidR="002E77C8" w:rsidRPr="002E77C8" w:rsidRDefault="007A15A7" w:rsidP="002E77C8">
      <w:bookmarkStart w:id="2" w:name="_Hlk169254696"/>
      <w:r>
        <w:t xml:space="preserve">This </w:t>
      </w:r>
      <w:r w:rsidR="00CD4681">
        <w:t xml:space="preserve">quality control document (QCD) contains </w:t>
      </w:r>
      <w:r>
        <w:t>guideline</w:t>
      </w:r>
      <w:r w:rsidR="00CD4681">
        <w:t xml:space="preserve">s </w:t>
      </w:r>
      <w:r>
        <w:t>to help University of Birmingham (UoB) staff members responsible for receiving consent to understand the key steps of the consent procedure</w:t>
      </w:r>
      <w:r w:rsidR="00CD4681">
        <w:t>. This QCD</w:t>
      </w:r>
      <w:r>
        <w:t xml:space="preserve"> can also be used by UoB staff to train others, e.g. participating sites in clinical research, on the consent </w:t>
      </w:r>
      <w:r w:rsidRPr="00430CF7">
        <w:t>process</w:t>
      </w:r>
      <w:bookmarkEnd w:id="2"/>
      <w:r w:rsidRPr="00430CF7">
        <w:t xml:space="preserve">. </w:t>
      </w:r>
    </w:p>
    <w:p w14:paraId="3FBCF5AB" w14:textId="77777777" w:rsidR="00075D91" w:rsidRDefault="00075D91" w:rsidP="00075D91">
      <w:pPr>
        <w:pStyle w:val="Heading1"/>
      </w:pPr>
      <w:bookmarkStart w:id="3" w:name="_Toc153528139"/>
      <w:bookmarkEnd w:id="1"/>
      <w:r w:rsidRPr="00B63F21">
        <w:t>Scope</w:t>
      </w:r>
      <w:bookmarkEnd w:id="3"/>
    </w:p>
    <w:p w14:paraId="23EB3C62" w14:textId="0BFF9F1E" w:rsidR="009838D7" w:rsidRDefault="009838D7" w:rsidP="009838D7">
      <w:bookmarkStart w:id="4" w:name="_Hlk169254704"/>
      <w:r>
        <w:t xml:space="preserve">This is an optional QCD and </w:t>
      </w:r>
      <w:r w:rsidR="00CD4681">
        <w:t xml:space="preserve">may be used to support the informed consent procedures </w:t>
      </w:r>
      <w:r>
        <w:t>in all clinical research.</w:t>
      </w:r>
    </w:p>
    <w:p w14:paraId="07B20646" w14:textId="77777777" w:rsidR="00075D91" w:rsidRPr="00C34A3B" w:rsidRDefault="00075D91" w:rsidP="00075D91">
      <w:pPr>
        <w:pStyle w:val="Heading1"/>
      </w:pPr>
      <w:bookmarkStart w:id="5" w:name="_Toc153528140"/>
      <w:bookmarkEnd w:id="4"/>
      <w:r w:rsidRPr="00B63F21">
        <w:t>Implementation plan</w:t>
      </w:r>
      <w:bookmarkEnd w:id="5"/>
    </w:p>
    <w:p w14:paraId="53A75563" w14:textId="36568338" w:rsidR="00075D91" w:rsidRPr="00C34A3B" w:rsidRDefault="00113F94" w:rsidP="00075D91">
      <w:bookmarkStart w:id="6" w:name="_Hlk169254716"/>
      <w:r>
        <w:t>This QCD will be implemented in line with this document’s effective date</w:t>
      </w:r>
      <w:r w:rsidR="00E17C79">
        <w:t>.</w:t>
      </w:r>
    </w:p>
    <w:p w14:paraId="5583AC60" w14:textId="77777777" w:rsidR="00075D91" w:rsidRDefault="00075D91" w:rsidP="00075D91">
      <w:pPr>
        <w:pStyle w:val="Heading1"/>
      </w:pPr>
      <w:bookmarkStart w:id="7" w:name="_Ref153523581"/>
      <w:bookmarkStart w:id="8" w:name="_Toc153528141"/>
      <w:bookmarkEnd w:id="6"/>
      <w:r>
        <w:t>Stakeholders</w:t>
      </w:r>
      <w:bookmarkEnd w:id="7"/>
      <w:bookmarkEnd w:id="8"/>
    </w:p>
    <w:p w14:paraId="3778D0EB" w14:textId="2FF4C706" w:rsidR="00075D91" w:rsidRPr="000A2BA6" w:rsidRDefault="00CD4681" w:rsidP="002C1D06">
      <w:pPr>
        <w:pStyle w:val="bullet10"/>
      </w:pPr>
      <w:bookmarkStart w:id="9" w:name="_Hlk169254711"/>
      <w:r>
        <w:t>Any staff member involved in consent procedures, including the training of other staff</w:t>
      </w:r>
      <w:r w:rsidR="00E17C79">
        <w:t>.</w:t>
      </w:r>
    </w:p>
    <w:p w14:paraId="37F600AB" w14:textId="77777777" w:rsidR="00075D91" w:rsidRDefault="00075D91" w:rsidP="00075D91">
      <w:pPr>
        <w:pStyle w:val="Heading1"/>
      </w:pPr>
      <w:bookmarkStart w:id="10" w:name="_Toc153528153"/>
      <w:bookmarkEnd w:id="9"/>
      <w:r w:rsidRPr="006561C0">
        <w:t>Related</w:t>
      </w:r>
      <w:r>
        <w:t xml:space="preserve"> documents</w:t>
      </w:r>
      <w:bookmarkEnd w:id="10"/>
    </w:p>
    <w:p w14:paraId="73847948" w14:textId="77777777" w:rsidR="00075D91" w:rsidRDefault="00075D91" w:rsidP="00075D91">
      <w:pPr>
        <w:pStyle w:val="Heading2"/>
      </w:pPr>
      <w:bookmarkStart w:id="11" w:name="_Toc153528154"/>
      <w:r>
        <w:t>Associated QMS documents</w:t>
      </w:r>
      <w:bookmarkEnd w:id="11"/>
    </w:p>
    <w:p w14:paraId="31154375" w14:textId="2E3EE80B" w:rsidR="00CD4681" w:rsidRDefault="00CD4681" w:rsidP="00E17C79">
      <w:pPr>
        <w:pStyle w:val="bullet10"/>
      </w:pPr>
      <w:bookmarkStart w:id="12" w:name="_Hlk169254864"/>
      <w:r>
        <w:t>UoB-PEI-SOP-001 Participant Engagement and Informed Consent</w:t>
      </w:r>
    </w:p>
    <w:bookmarkEnd w:id="12"/>
    <w:p w14:paraId="00F97371" w14:textId="500E59E4" w:rsidR="00CD4681" w:rsidRPr="00CD4681" w:rsidRDefault="00CD4681" w:rsidP="00CD4681">
      <w:pPr>
        <w:pStyle w:val="Heading2"/>
      </w:pPr>
      <w:r>
        <w:t>Additional QMS documents</w:t>
      </w:r>
    </w:p>
    <w:p w14:paraId="0F9C7F97" w14:textId="77777777" w:rsidR="00DC258B" w:rsidRPr="00DC258B" w:rsidRDefault="00DC258B" w:rsidP="00DC258B">
      <w:pPr>
        <w:pStyle w:val="bullet10"/>
      </w:pPr>
      <w:bookmarkStart w:id="13" w:name="_Hlk169254873"/>
      <w:r w:rsidRPr="00DC258B">
        <w:t>UoB-ESD-SOP-001 Essential Documents Development and Maintenance</w:t>
      </w:r>
    </w:p>
    <w:p w14:paraId="01D79049" w14:textId="77777777" w:rsidR="00DC258B" w:rsidRPr="00DC258B" w:rsidRDefault="00DC258B" w:rsidP="00DC258B">
      <w:pPr>
        <w:pStyle w:val="bullet10"/>
      </w:pPr>
      <w:r w:rsidRPr="00DC258B">
        <w:t>UoB-GCP-POL-001 UoB Principles of Good Clinical Practice (GCP) for Clinical Research</w:t>
      </w:r>
    </w:p>
    <w:p w14:paraId="7E1DBD34" w14:textId="77777777" w:rsidR="00DC258B" w:rsidRPr="00DC258B" w:rsidRDefault="00DC258B" w:rsidP="00DC258B">
      <w:pPr>
        <w:pStyle w:val="bullet10"/>
      </w:pPr>
      <w:r w:rsidRPr="00DC258B">
        <w:t>UoB-SET-SOP-001 Project Set-up</w:t>
      </w:r>
    </w:p>
    <w:p w14:paraId="55F062C9" w14:textId="77777777" w:rsidR="00DC258B" w:rsidRPr="00DC258B" w:rsidRDefault="00DC258B" w:rsidP="00DC258B">
      <w:pPr>
        <w:pStyle w:val="bullet10"/>
      </w:pPr>
      <w:r w:rsidRPr="00DC258B">
        <w:t>UoB-SMA-QCD-001 Site Signature and Delegation Log</w:t>
      </w:r>
    </w:p>
    <w:p w14:paraId="020A8C45" w14:textId="77777777" w:rsidR="00DC258B" w:rsidRPr="00DC258B" w:rsidRDefault="00DC258B" w:rsidP="00DC258B">
      <w:pPr>
        <w:pStyle w:val="bullet10"/>
      </w:pPr>
      <w:r w:rsidRPr="00DC258B">
        <w:t>UoB-SMA-SOP-001 Investigator Site Management</w:t>
      </w:r>
    </w:p>
    <w:p w14:paraId="3C2DC534" w14:textId="14FB9427" w:rsidR="00075D91" w:rsidRDefault="00DC258B" w:rsidP="00E9652E">
      <w:pPr>
        <w:pStyle w:val="bullet10"/>
      </w:pPr>
      <w:r w:rsidRPr="00DC258B">
        <w:t>UoB-SPO-QCD-002 Sponsor Review Tool</w:t>
      </w:r>
    </w:p>
    <w:bookmarkEnd w:id="13"/>
    <w:p w14:paraId="42F33415" w14:textId="77777777" w:rsidR="00E832FE" w:rsidRDefault="00E832FE" w:rsidP="00E832FE">
      <w:r>
        <w:t xml:space="preserve">Access to the full UoB QMS for clinical research is available via the </w:t>
      </w:r>
      <w:hyperlink r:id="rId12" w:tooltip="Link to CRCT website" w:history="1">
        <w:r w:rsidR="001D0D34">
          <w:rPr>
            <w:rStyle w:val="Hyperlink"/>
            <w:lang w:eastAsia="en-GB"/>
          </w:rPr>
          <w:t>CRCT website</w:t>
        </w:r>
      </w:hyperlink>
      <w:r>
        <w:rPr>
          <w:lang w:eastAsia="en-GB"/>
        </w:rPr>
        <w:t>.</w:t>
      </w:r>
    </w:p>
    <w:p w14:paraId="44A02D53" w14:textId="77777777" w:rsidR="001F0A6E" w:rsidRPr="00793890" w:rsidRDefault="001F0A6E" w:rsidP="001F0A6E">
      <w:pPr>
        <w:pStyle w:val="Heading1"/>
      </w:pPr>
      <w:r>
        <w:t>References &amp; frameworks</w:t>
      </w:r>
    </w:p>
    <w:p w14:paraId="06E82500" w14:textId="77777777" w:rsidR="00737B78" w:rsidRPr="009E5908" w:rsidRDefault="00737B78" w:rsidP="00737B78">
      <w:pPr>
        <w:pStyle w:val="References"/>
      </w:pPr>
      <w:bookmarkStart w:id="14" w:name="_Hlk169277425"/>
      <w:r w:rsidRPr="009E5908">
        <w:t>HRA</w:t>
      </w:r>
      <w:r>
        <w:t xml:space="preserve"> (no date)</w:t>
      </w:r>
      <w:r w:rsidRPr="009E5908">
        <w:t xml:space="preserve">. </w:t>
      </w:r>
      <w:r w:rsidRPr="00F134A5">
        <w:rPr>
          <w:i/>
          <w:iCs/>
        </w:rPr>
        <w:t>Principles of consent: Children and Young People</w:t>
      </w:r>
      <w:r w:rsidRPr="009E5908">
        <w:t xml:space="preserve">. Available at: </w:t>
      </w:r>
      <w:hyperlink r:id="rId13" w:tooltip="Link HRA principles of consent: children and young people" w:history="1">
        <w:r w:rsidRPr="00DB5D14">
          <w:rPr>
            <w:rStyle w:val="Hyperlink"/>
          </w:rPr>
          <w:t>https://www.hra-decisiontools.org.uk/consent/principles-children.html</w:t>
        </w:r>
      </w:hyperlink>
      <w:r w:rsidRPr="009E5908">
        <w:t xml:space="preserve"> </w:t>
      </w:r>
      <w:r>
        <w:t>(</w:t>
      </w:r>
      <w:r w:rsidRPr="009E5908">
        <w:t>Accessed 11</w:t>
      </w:r>
      <w:r>
        <w:t>-</w:t>
      </w:r>
      <w:r w:rsidRPr="009E5908">
        <w:t>Jun</w:t>
      </w:r>
      <w:r>
        <w:t>-</w:t>
      </w:r>
      <w:r w:rsidRPr="009E5908">
        <w:t>2024</w:t>
      </w:r>
      <w:r>
        <w:t>)</w:t>
      </w:r>
      <w:r w:rsidRPr="009E5908">
        <w:t>.</w:t>
      </w:r>
    </w:p>
    <w:p w14:paraId="12E03710" w14:textId="77777777" w:rsidR="00737B78" w:rsidRPr="009E5908" w:rsidRDefault="00737B78" w:rsidP="00737B78">
      <w:pPr>
        <w:pStyle w:val="References"/>
      </w:pPr>
      <w:r w:rsidRPr="009E5908">
        <w:t>HRA</w:t>
      </w:r>
      <w:r>
        <w:t xml:space="preserve"> (no date)</w:t>
      </w:r>
      <w:r w:rsidRPr="009E5908">
        <w:t xml:space="preserve">. </w:t>
      </w:r>
      <w:r w:rsidRPr="00F134A5">
        <w:rPr>
          <w:i/>
          <w:iCs/>
        </w:rPr>
        <w:t>Principles of consent: Adults who are not able to consent for themselves</w:t>
      </w:r>
      <w:r w:rsidRPr="009E5908">
        <w:t xml:space="preserve">. Available at: </w:t>
      </w:r>
      <w:hyperlink r:id="rId14" w:tooltip="Link to HRA principles of ceonsent: adults who are not able to consent for themselves" w:history="1">
        <w:r w:rsidRPr="00DB5D14">
          <w:rPr>
            <w:rStyle w:val="Hyperlink"/>
          </w:rPr>
          <w:t>https://www.hra-decisiontools.org.uk/consent/principles-ALC.html</w:t>
        </w:r>
      </w:hyperlink>
      <w:r>
        <w:t xml:space="preserve"> (</w:t>
      </w:r>
      <w:r w:rsidRPr="009E5908">
        <w:t>Accessed 11</w:t>
      </w:r>
      <w:r>
        <w:t>-</w:t>
      </w:r>
      <w:r w:rsidRPr="009E5908">
        <w:t>Jun</w:t>
      </w:r>
      <w:r>
        <w:t>-</w:t>
      </w:r>
      <w:r w:rsidRPr="009E5908">
        <w:t>2024</w:t>
      </w:r>
      <w:r>
        <w:t>)</w:t>
      </w:r>
      <w:r w:rsidRPr="009E5908">
        <w:t>.</w:t>
      </w:r>
    </w:p>
    <w:p w14:paraId="3EAD0DEB" w14:textId="77777777" w:rsidR="00737B78" w:rsidRPr="009E5908" w:rsidRDefault="00737B78" w:rsidP="00737B78">
      <w:pPr>
        <w:pStyle w:val="References"/>
      </w:pPr>
      <w:r w:rsidRPr="009E5908">
        <w:t>HRA</w:t>
      </w:r>
      <w:r>
        <w:t xml:space="preserve"> (no date)</w:t>
      </w:r>
      <w:r w:rsidRPr="009E5908">
        <w:t xml:space="preserve">. </w:t>
      </w:r>
      <w:r w:rsidRPr="00F134A5">
        <w:rPr>
          <w:i/>
          <w:iCs/>
        </w:rPr>
        <w:t>Principles of consent: Emergency research</w:t>
      </w:r>
      <w:r w:rsidRPr="009E5908">
        <w:t xml:space="preserve">. Available at: </w:t>
      </w:r>
      <w:hyperlink r:id="rId15" w:tooltip="Link to HRA principles of consent: emergency research" w:history="1">
        <w:r w:rsidRPr="00A54F82">
          <w:rPr>
            <w:rStyle w:val="Hyperlink"/>
          </w:rPr>
          <w:t>https://www.hra-decisiontools.org.uk/consent/principles-emergency.html</w:t>
        </w:r>
      </w:hyperlink>
      <w:r>
        <w:t xml:space="preserve"> (</w:t>
      </w:r>
      <w:r w:rsidRPr="009E5908">
        <w:t>Accessed 11</w:t>
      </w:r>
      <w:r>
        <w:t>-</w:t>
      </w:r>
      <w:r w:rsidRPr="009E5908">
        <w:t>Jun</w:t>
      </w:r>
      <w:r>
        <w:t>-</w:t>
      </w:r>
      <w:r w:rsidRPr="009E5908">
        <w:t>2024</w:t>
      </w:r>
      <w:r>
        <w:t>)</w:t>
      </w:r>
      <w:r w:rsidRPr="009E5908">
        <w:t>.</w:t>
      </w:r>
    </w:p>
    <w:p w14:paraId="0FFBD78D" w14:textId="77777777" w:rsidR="00737B78" w:rsidRPr="009E5908" w:rsidRDefault="00737B78" w:rsidP="00737B78">
      <w:pPr>
        <w:pStyle w:val="References"/>
      </w:pPr>
      <w:r>
        <w:t>UK Legislation (</w:t>
      </w:r>
      <w:r w:rsidRPr="009E5908">
        <w:t>2004</w:t>
      </w:r>
      <w:r>
        <w:t>)</w:t>
      </w:r>
      <w:r w:rsidRPr="009E5908">
        <w:t xml:space="preserve">. </w:t>
      </w:r>
      <w:r w:rsidRPr="00771F7F">
        <w:rPr>
          <w:i/>
          <w:iCs/>
        </w:rPr>
        <w:t>Medicines for Human Use (Clinical Trials</w:t>
      </w:r>
      <w:r>
        <w:rPr>
          <w:i/>
          <w:iCs/>
        </w:rPr>
        <w:t>)</w:t>
      </w:r>
      <w:r w:rsidRPr="00771F7F">
        <w:rPr>
          <w:i/>
          <w:iCs/>
        </w:rPr>
        <w:t xml:space="preserve"> Regulations (as amended)</w:t>
      </w:r>
      <w:r w:rsidRPr="009E5908">
        <w:t xml:space="preserve">. Available at: </w:t>
      </w:r>
      <w:hyperlink r:id="rId16" w:tooltip="Link to medicines for Human Use (Clinical Trials) Regulations 2004" w:history="1">
        <w:r w:rsidRPr="00A54F82">
          <w:rPr>
            <w:rStyle w:val="Hyperlink"/>
          </w:rPr>
          <w:t>https://www.legislation.gov.uk/uksi/2004/1031/contents</w:t>
        </w:r>
      </w:hyperlink>
      <w:r>
        <w:t xml:space="preserve"> (</w:t>
      </w:r>
      <w:r w:rsidRPr="009E5908">
        <w:t>Accessed 11</w:t>
      </w:r>
      <w:r>
        <w:t>-</w:t>
      </w:r>
      <w:r w:rsidRPr="009E5908">
        <w:t>Jun</w:t>
      </w:r>
      <w:r>
        <w:t>-</w:t>
      </w:r>
      <w:r w:rsidRPr="009E5908">
        <w:t>2024</w:t>
      </w:r>
      <w:r>
        <w:t>)</w:t>
      </w:r>
      <w:r w:rsidRPr="009E5908">
        <w:t>.</w:t>
      </w:r>
    </w:p>
    <w:p w14:paraId="0721DB74" w14:textId="4B88F445" w:rsidR="00E832FE" w:rsidRDefault="00737B78" w:rsidP="00737B78">
      <w:pPr>
        <w:pStyle w:val="References"/>
      </w:pPr>
      <w:r w:rsidRPr="009E5908">
        <w:t>NIHR Learn</w:t>
      </w:r>
      <w:r>
        <w:t xml:space="preserve"> (no date). </w:t>
      </w:r>
      <w:r w:rsidRPr="00BC6329">
        <w:rPr>
          <w:i/>
          <w:iCs/>
        </w:rPr>
        <w:t>Informed Consent Training</w:t>
      </w:r>
      <w:r>
        <w:t>.</w:t>
      </w:r>
      <w:r w:rsidRPr="009E5908">
        <w:t xml:space="preserve"> Available at: </w:t>
      </w:r>
      <w:hyperlink r:id="rId17" w:tooltip="Link to NIHR Learn" w:history="1">
        <w:r w:rsidRPr="00A54F82">
          <w:rPr>
            <w:rStyle w:val="Hyperlink"/>
          </w:rPr>
          <w:t>https://learn.nihr.ac.uk/local/swordfish_pages/index.php?id=3</w:t>
        </w:r>
      </w:hyperlink>
      <w:r w:rsidRPr="009E5908">
        <w:t xml:space="preserve"> </w:t>
      </w:r>
      <w:bookmarkEnd w:id="14"/>
      <w:r>
        <w:t>(</w:t>
      </w:r>
      <w:r w:rsidRPr="009E5908">
        <w:t>Accessed 11</w:t>
      </w:r>
      <w:r>
        <w:t>-</w:t>
      </w:r>
      <w:r w:rsidRPr="009E5908">
        <w:t>Jun</w:t>
      </w:r>
      <w:r>
        <w:t>-</w:t>
      </w:r>
      <w:r w:rsidRPr="009E5908">
        <w:t>2024</w:t>
      </w:r>
      <w:r>
        <w:t>)</w:t>
      </w:r>
      <w:r w:rsidRPr="009E5908">
        <w:t>.</w:t>
      </w:r>
    </w:p>
    <w:p w14:paraId="78CA5F75" w14:textId="77777777" w:rsidR="00737B78" w:rsidRDefault="00737B78" w:rsidP="00737B78"/>
    <w:p w14:paraId="38ECB21B" w14:textId="77777777" w:rsidR="00E832FE" w:rsidRDefault="00E832FE" w:rsidP="00E832FE">
      <w:r>
        <w:t xml:space="preserve"> </w:t>
      </w:r>
    </w:p>
    <w:p w14:paraId="6B797BCA" w14:textId="77777777" w:rsidR="00075D91" w:rsidRDefault="00075D91" w:rsidP="00901562">
      <w:pPr>
        <w:spacing w:before="0" w:after="200" w:line="276" w:lineRule="auto"/>
        <w:sectPr w:rsidR="00075D91" w:rsidSect="00EA11E4">
          <w:headerReference w:type="even" r:id="rId18"/>
          <w:headerReference w:type="default" r:id="rId19"/>
          <w:footerReference w:type="even" r:id="rId20"/>
          <w:footerReference w:type="default" r:id="rId21"/>
          <w:headerReference w:type="first" r:id="rId22"/>
          <w:footerReference w:type="first" r:id="rId23"/>
          <w:pgSz w:w="11907" w:h="16839" w:code="9"/>
          <w:pgMar w:top="1440" w:right="1440" w:bottom="1440" w:left="1440" w:header="567" w:footer="397" w:gutter="0"/>
          <w:pgBorders>
            <w:top w:val="single" w:sz="12" w:space="3" w:color="17365D" w:themeColor="text2" w:themeShade="BF"/>
            <w:bottom w:val="single" w:sz="12" w:space="3" w:color="17365D" w:themeColor="text2" w:themeShade="BF"/>
          </w:pgBorders>
          <w:cols w:space="708"/>
          <w:docGrid w:linePitch="360"/>
        </w:sectPr>
      </w:pPr>
    </w:p>
    <w:p w14:paraId="2E8EE740" w14:textId="77777777" w:rsidR="00234600" w:rsidRPr="00901562" w:rsidRDefault="00234600" w:rsidP="00901562">
      <w:pPr>
        <w:pStyle w:val="Heading1"/>
      </w:pPr>
      <w:bookmarkStart w:id="15" w:name="_Toc153528158"/>
      <w:r>
        <w:lastRenderedPageBreak/>
        <w:t xml:space="preserve">Document </w:t>
      </w:r>
      <w:r w:rsidR="003E6162">
        <w:t>contributors</w:t>
      </w:r>
      <w:bookmarkEnd w:id="15"/>
    </w:p>
    <w:tbl>
      <w:tblPr>
        <w:tblStyle w:val="TableGrid"/>
        <w:tblW w:w="5000" w:type="pct"/>
        <w:tblBorders>
          <w:insideH w:val="dotted" w:sz="4" w:space="0" w:color="auto"/>
          <w:insideV w:val="dotted" w:sz="4" w:space="0" w:color="auto"/>
        </w:tblBorders>
        <w:tblLook w:val="04A0" w:firstRow="1" w:lastRow="0" w:firstColumn="1" w:lastColumn="0" w:noHBand="0" w:noVBand="1"/>
        <w:tblCaption w:val="Document contributors"/>
        <w:tblDescription w:val="This table contains details of the author(s), reviewer(s) and authorisor(s) of this document. "/>
      </w:tblPr>
      <w:tblGrid>
        <w:gridCol w:w="9017"/>
      </w:tblGrid>
      <w:tr w:rsidR="00D242C8" w:rsidRPr="003713E4" w14:paraId="2B9C93FB" w14:textId="77777777" w:rsidTr="00D242C8">
        <w:trPr>
          <w:trHeight w:val="454"/>
        </w:trPr>
        <w:tc>
          <w:tcPr>
            <w:tcW w:w="5000" w:type="pct"/>
            <w:shd w:val="clear" w:color="auto" w:fill="DBE5F1" w:themeFill="accent1" w:themeFillTint="33"/>
            <w:vAlign w:val="center"/>
          </w:tcPr>
          <w:p w14:paraId="3B4A4742" w14:textId="77777777" w:rsidR="00D242C8" w:rsidRPr="002B6735" w:rsidRDefault="00D242C8" w:rsidP="002B6735">
            <w:pPr>
              <w:pStyle w:val="Contributorstabletext"/>
              <w:rPr>
                <w:b/>
                <w:bCs/>
              </w:rPr>
            </w:pPr>
            <w:bookmarkStart w:id="16" w:name="_Toc143768371"/>
            <w:r w:rsidRPr="002B6735">
              <w:rPr>
                <w:b/>
                <w:bCs/>
              </w:rPr>
              <w:t>Author</w:t>
            </w:r>
            <w:r w:rsidR="002B6735" w:rsidRPr="002B6735">
              <w:rPr>
                <w:b/>
                <w:bCs/>
              </w:rPr>
              <w:t>(s)</w:t>
            </w:r>
          </w:p>
        </w:tc>
      </w:tr>
      <w:tr w:rsidR="00D242C8" w14:paraId="7CA8E7AD" w14:textId="77777777" w:rsidTr="00F6365D">
        <w:trPr>
          <w:trHeight w:val="454"/>
        </w:trPr>
        <w:tc>
          <w:tcPr>
            <w:tcW w:w="5000" w:type="pct"/>
            <w:vAlign w:val="center"/>
          </w:tcPr>
          <w:p w14:paraId="30E5D854" w14:textId="4FACB150" w:rsidR="00D242C8" w:rsidRDefault="00B474A3" w:rsidP="00F6365D">
            <w:pPr>
              <w:pStyle w:val="Contributorstabletext"/>
            </w:pPr>
            <w:r>
              <w:t>Sarah Campbell (Senior Compliance Facilitator)</w:t>
            </w:r>
          </w:p>
        </w:tc>
      </w:tr>
      <w:tr w:rsidR="00D242C8" w14:paraId="2C697262" w14:textId="77777777" w:rsidTr="002B6735">
        <w:trPr>
          <w:trHeight w:val="454"/>
        </w:trPr>
        <w:tc>
          <w:tcPr>
            <w:tcW w:w="5000" w:type="pct"/>
            <w:shd w:val="clear" w:color="auto" w:fill="DBE5F1" w:themeFill="accent1" w:themeFillTint="33"/>
          </w:tcPr>
          <w:p w14:paraId="76CCDDE4" w14:textId="77777777" w:rsidR="00D242C8" w:rsidRPr="002B6735" w:rsidRDefault="002B6735" w:rsidP="002B6735">
            <w:pPr>
              <w:pStyle w:val="Contributorstabletext"/>
              <w:rPr>
                <w:b/>
                <w:bCs/>
              </w:rPr>
            </w:pPr>
            <w:r w:rsidRPr="002B6735">
              <w:rPr>
                <w:b/>
                <w:bCs/>
              </w:rPr>
              <w:t>Reviewer(s)</w:t>
            </w:r>
          </w:p>
        </w:tc>
      </w:tr>
      <w:tr w:rsidR="002B6735" w14:paraId="5D210DE8" w14:textId="77777777" w:rsidTr="00D242C8">
        <w:trPr>
          <w:trHeight w:val="454"/>
        </w:trPr>
        <w:tc>
          <w:tcPr>
            <w:tcW w:w="5000" w:type="pct"/>
          </w:tcPr>
          <w:p w14:paraId="4F38556E" w14:textId="77777777" w:rsidR="002B6735" w:rsidRPr="00F130E6" w:rsidRDefault="00AE03AD" w:rsidP="00F6365D">
            <w:pPr>
              <w:pStyle w:val="Contributorstabletext"/>
              <w:rPr>
                <w:i/>
                <w:iCs/>
              </w:rPr>
            </w:pPr>
            <w:r>
              <w:rPr>
                <w:i/>
                <w:iCs/>
              </w:rPr>
              <w:t>Version</w:t>
            </w:r>
            <w:r w:rsidR="002B6735" w:rsidRPr="00F130E6">
              <w:rPr>
                <w:i/>
                <w:iCs/>
              </w:rPr>
              <w:t xml:space="preserve"> by – </w:t>
            </w:r>
          </w:p>
          <w:p w14:paraId="3F324530" w14:textId="77777777" w:rsidR="00283ED8" w:rsidRDefault="00075D91" w:rsidP="003F499F">
            <w:pPr>
              <w:pStyle w:val="bulletT1"/>
            </w:pPr>
            <w:r>
              <w:t>QMS Manager</w:t>
            </w:r>
          </w:p>
          <w:p w14:paraId="1F7957D7" w14:textId="77777777" w:rsidR="002B6735" w:rsidRPr="0070323D" w:rsidRDefault="002B6735" w:rsidP="002B6735">
            <w:pPr>
              <w:pStyle w:val="Contributorstabletext"/>
            </w:pPr>
            <w:r w:rsidRPr="0070323D">
              <w:rPr>
                <w:i/>
                <w:iCs/>
              </w:rPr>
              <w:t>Revisions by</w:t>
            </w:r>
            <w:r w:rsidRPr="0070323D">
              <w:t xml:space="preserve"> –</w:t>
            </w:r>
          </w:p>
          <w:p w14:paraId="0D2B9C8A" w14:textId="77777777" w:rsidR="002B6735" w:rsidRDefault="002B6735" w:rsidP="00120959">
            <w:pPr>
              <w:pStyle w:val="bulletT1"/>
            </w:pPr>
            <w:r w:rsidRPr="0070323D">
              <w:t>CRCT (see</w:t>
            </w:r>
            <w:r>
              <w:t xml:space="preserve"> </w:t>
            </w:r>
            <w:r w:rsidR="004827DE">
              <w:t>d</w:t>
            </w:r>
            <w:r>
              <w:t>ocument revision log</w:t>
            </w:r>
            <w:r w:rsidR="004827DE">
              <w:t xml:space="preserve"> </w:t>
            </w:r>
            <w:r w:rsidR="004827DE" w:rsidRPr="004827DE">
              <w:rPr>
                <w:rStyle w:val="SectionrefChar"/>
              </w:rPr>
              <w:fldChar w:fldCharType="begin"/>
            </w:r>
            <w:r w:rsidR="004827DE" w:rsidRPr="004827DE">
              <w:rPr>
                <w:rStyle w:val="SectionrefChar"/>
              </w:rPr>
              <w:instrText xml:space="preserve"> REF _Ref153523697 \p \h </w:instrText>
            </w:r>
            <w:r w:rsidR="004827DE">
              <w:rPr>
                <w:rStyle w:val="SectionrefChar"/>
              </w:rPr>
              <w:instrText xml:space="preserve"> \* MERGEFORMAT </w:instrText>
            </w:r>
            <w:r w:rsidR="004827DE" w:rsidRPr="004827DE">
              <w:rPr>
                <w:rStyle w:val="SectionrefChar"/>
              </w:rPr>
            </w:r>
            <w:r w:rsidR="004827DE" w:rsidRPr="004827DE">
              <w:rPr>
                <w:rStyle w:val="SectionrefChar"/>
              </w:rPr>
              <w:fldChar w:fldCharType="separate"/>
            </w:r>
            <w:r w:rsidR="002E77C8">
              <w:rPr>
                <w:rStyle w:val="SectionrefChar"/>
              </w:rPr>
              <w:t>below</w:t>
            </w:r>
            <w:r w:rsidR="004827DE" w:rsidRPr="004827DE">
              <w:rPr>
                <w:rStyle w:val="SectionrefChar"/>
              </w:rPr>
              <w:fldChar w:fldCharType="end"/>
            </w:r>
            <w:r w:rsidRPr="0070323D">
              <w:t>)</w:t>
            </w:r>
          </w:p>
        </w:tc>
      </w:tr>
      <w:tr w:rsidR="00D242C8" w14:paraId="48520FEC" w14:textId="77777777" w:rsidTr="002B6735">
        <w:trPr>
          <w:trHeight w:val="454"/>
        </w:trPr>
        <w:tc>
          <w:tcPr>
            <w:tcW w:w="5000" w:type="pct"/>
            <w:shd w:val="clear" w:color="auto" w:fill="DBE5F1" w:themeFill="accent1" w:themeFillTint="33"/>
          </w:tcPr>
          <w:p w14:paraId="581F6AD3" w14:textId="77777777" w:rsidR="00D242C8" w:rsidRPr="002B6735" w:rsidRDefault="002B6735" w:rsidP="002B6735">
            <w:pPr>
              <w:pStyle w:val="Contributorstabletext"/>
              <w:rPr>
                <w:b/>
                <w:bCs/>
              </w:rPr>
            </w:pPr>
            <w:r w:rsidRPr="002B6735">
              <w:rPr>
                <w:b/>
                <w:bCs/>
              </w:rPr>
              <w:t>Authoriser(s)</w:t>
            </w:r>
          </w:p>
        </w:tc>
      </w:tr>
      <w:tr w:rsidR="00D242C8" w14:paraId="30CD8C89" w14:textId="77777777" w:rsidTr="00D242C8">
        <w:trPr>
          <w:trHeight w:val="454"/>
        </w:trPr>
        <w:tc>
          <w:tcPr>
            <w:tcW w:w="5000" w:type="pct"/>
          </w:tcPr>
          <w:p w14:paraId="0F39A076" w14:textId="1033F830" w:rsidR="00075D91" w:rsidRDefault="00B474A3" w:rsidP="002B6735">
            <w:pPr>
              <w:pStyle w:val="Contributorstabletext"/>
            </w:pPr>
            <w:r>
              <w:t>Jamie Douglas-Pugh (Clinical Research Compliance Manager / QMS Manager)</w:t>
            </w:r>
          </w:p>
        </w:tc>
      </w:tr>
    </w:tbl>
    <w:p w14:paraId="58952A0D" w14:textId="77777777" w:rsidR="003E6162" w:rsidRDefault="003E6162" w:rsidP="00234600">
      <w:pPr>
        <w:pStyle w:val="Heading2"/>
      </w:pPr>
    </w:p>
    <w:p w14:paraId="6D7B1D18" w14:textId="77777777" w:rsidR="003E6162" w:rsidRPr="004827DE" w:rsidRDefault="003E6162" w:rsidP="004827DE">
      <w:pPr>
        <w:pStyle w:val="Sectionref"/>
        <w:rPr>
          <w:rFonts w:asciiTheme="minorHAnsi" w:eastAsiaTheme="minorHAnsi" w:hAnsiTheme="minorHAnsi" w:cstheme="minorHAnsi"/>
          <w:bCs/>
          <w:caps/>
          <w:sz w:val="24"/>
          <w:szCs w:val="24"/>
        </w:rPr>
      </w:pPr>
      <w:r w:rsidRPr="004827DE">
        <w:br w:type="page"/>
      </w:r>
    </w:p>
    <w:p w14:paraId="271822E6" w14:textId="77777777" w:rsidR="002B6735" w:rsidRDefault="003E6162" w:rsidP="003E6162">
      <w:pPr>
        <w:pStyle w:val="Heading1"/>
      </w:pPr>
      <w:bookmarkStart w:id="17" w:name="_Toc153528159"/>
      <w:r>
        <w:lastRenderedPageBreak/>
        <w:t xml:space="preserve">Document </w:t>
      </w:r>
      <w:r w:rsidR="001976C1">
        <w:t>h</w:t>
      </w:r>
      <w:r>
        <w:t>istory</w:t>
      </w:r>
      <w:bookmarkEnd w:id="17"/>
    </w:p>
    <w:p w14:paraId="63FF8AB9" w14:textId="77777777" w:rsidR="00234600" w:rsidRPr="00710D7B" w:rsidRDefault="00120959" w:rsidP="00234600">
      <w:pPr>
        <w:pStyle w:val="Heading2"/>
      </w:pPr>
      <w:bookmarkStart w:id="18" w:name="_Toc153528160"/>
      <w:bookmarkEnd w:id="16"/>
      <w:r>
        <w:t>Document version log</w:t>
      </w:r>
      <w:bookmarkEnd w:id="18"/>
    </w:p>
    <w:p w14:paraId="5D79CBBF" w14:textId="77777777" w:rsidR="00A5347A" w:rsidRDefault="00234600" w:rsidP="005405BD">
      <w:r>
        <w:t xml:space="preserve">The </w:t>
      </w:r>
      <w:r w:rsidR="006F7027">
        <w:t>table below</w:t>
      </w:r>
      <w:r>
        <w:t xml:space="preserve"> summarise the changes made to this document compared to its superseded version</w:t>
      </w:r>
      <w:r w:rsidR="006F7027">
        <w:t>s</w:t>
      </w:r>
      <w:r>
        <w:t xml:space="preserve">. </w:t>
      </w:r>
      <w:r w:rsidR="002A0B65">
        <w:t xml:space="preserve">For information on earlier versions not shown, please </w:t>
      </w:r>
      <w:r w:rsidR="001E07D8">
        <w:t>email</w:t>
      </w:r>
      <w:r w:rsidR="002A0B65">
        <w:t xml:space="preserve"> the CRCT</w:t>
      </w:r>
      <w:r w:rsidR="001E07D8">
        <w:t xml:space="preserve"> (</w:t>
      </w:r>
      <w:hyperlink r:id="rId24" w:tooltip="Email the CRCT" w:history="1">
        <w:r w:rsidR="001E07D8" w:rsidRPr="00986664">
          <w:rPr>
            <w:rStyle w:val="Hyperlink"/>
          </w:rPr>
          <w:t>crct@contacts.bham.ac.uk</w:t>
        </w:r>
      </w:hyperlink>
      <w:r w:rsidR="001E07D8">
        <w:t>)</w:t>
      </w:r>
      <w:r w:rsidR="002A0B65">
        <w:t>.</w:t>
      </w:r>
      <w:r w:rsidR="001E07D8">
        <w:t xml:space="preserve"> </w:t>
      </w:r>
      <w:r w:rsidR="002A0B65">
        <w:t xml:space="preserve"> </w:t>
      </w:r>
    </w:p>
    <w:tbl>
      <w:tblPr>
        <w:tblStyle w:val="TableGrid"/>
        <w:tblW w:w="5000" w:type="pct"/>
        <w:tblBorders>
          <w:insideH w:val="dotted" w:sz="4" w:space="0" w:color="auto"/>
          <w:insideV w:val="dotted" w:sz="4" w:space="0" w:color="auto"/>
        </w:tblBorders>
        <w:tblLook w:val="04A0" w:firstRow="1" w:lastRow="0" w:firstColumn="1" w:lastColumn="0" w:noHBand="0" w:noVBand="1"/>
        <w:tblCaption w:val="Document version log"/>
        <w:tblDescription w:val="This table summarise the changes made to this document compared to its superseded versions."/>
      </w:tblPr>
      <w:tblGrid>
        <w:gridCol w:w="1414"/>
        <w:gridCol w:w="7603"/>
      </w:tblGrid>
      <w:tr w:rsidR="006F7027" w:rsidRPr="003713E4" w14:paraId="6F361245" w14:textId="77777777" w:rsidTr="00F6365D">
        <w:trPr>
          <w:trHeight w:val="454"/>
          <w:tblHeader/>
        </w:trPr>
        <w:tc>
          <w:tcPr>
            <w:tcW w:w="784" w:type="pct"/>
            <w:shd w:val="clear" w:color="auto" w:fill="DBE5F1" w:themeFill="accent1" w:themeFillTint="33"/>
            <w:vAlign w:val="center"/>
          </w:tcPr>
          <w:p w14:paraId="248A57D9" w14:textId="77777777" w:rsidR="006F7027" w:rsidRPr="003713E4" w:rsidRDefault="006F7027" w:rsidP="008051E9">
            <w:pPr>
              <w:jc w:val="center"/>
              <w:rPr>
                <w:b/>
                <w:bCs/>
              </w:rPr>
            </w:pPr>
            <w:r>
              <w:rPr>
                <w:b/>
                <w:bCs/>
              </w:rPr>
              <w:t>Version</w:t>
            </w:r>
          </w:p>
        </w:tc>
        <w:tc>
          <w:tcPr>
            <w:tcW w:w="4216" w:type="pct"/>
            <w:shd w:val="clear" w:color="auto" w:fill="DBE5F1" w:themeFill="accent1" w:themeFillTint="33"/>
            <w:vAlign w:val="center"/>
          </w:tcPr>
          <w:p w14:paraId="6A58E42A" w14:textId="77777777" w:rsidR="006F7027" w:rsidRPr="003713E4" w:rsidRDefault="006F7027" w:rsidP="008051E9">
            <w:pPr>
              <w:rPr>
                <w:b/>
                <w:bCs/>
              </w:rPr>
            </w:pPr>
            <w:r>
              <w:rPr>
                <w:b/>
                <w:bCs/>
              </w:rPr>
              <w:t>Reason for update</w:t>
            </w:r>
          </w:p>
        </w:tc>
      </w:tr>
      <w:tr w:rsidR="002A0B65" w14:paraId="39E53ADF" w14:textId="77777777" w:rsidTr="00515191">
        <w:trPr>
          <w:trHeight w:val="907"/>
        </w:trPr>
        <w:tc>
          <w:tcPr>
            <w:tcW w:w="784" w:type="pct"/>
          </w:tcPr>
          <w:p w14:paraId="0867DA4E" w14:textId="177F7866" w:rsidR="00A5347A" w:rsidRDefault="00FB2F70" w:rsidP="00A5347A">
            <w:pPr>
              <w:jc w:val="center"/>
            </w:pPr>
            <w:r>
              <w:t>1.0</w:t>
            </w:r>
          </w:p>
          <w:p w14:paraId="132E91EB" w14:textId="2365513B" w:rsidR="002A0B65" w:rsidRDefault="002A0B65" w:rsidP="00A5347A">
            <w:pPr>
              <w:jc w:val="center"/>
            </w:pPr>
            <w:r>
              <w:t>(</w:t>
            </w:r>
            <w:r w:rsidR="000919FA">
              <w:t>17-Jul-2024</w:t>
            </w:r>
            <w:r>
              <w:t>)</w:t>
            </w:r>
          </w:p>
        </w:tc>
        <w:tc>
          <w:tcPr>
            <w:tcW w:w="4216" w:type="pct"/>
          </w:tcPr>
          <w:p w14:paraId="37844C3F" w14:textId="322DFC3C" w:rsidR="00CD4681" w:rsidRDefault="00CD4681" w:rsidP="00EE35FA">
            <w:pPr>
              <w:pStyle w:val="bulletT1"/>
            </w:pPr>
            <w:r>
              <w:t>Transferred to a n</w:t>
            </w:r>
            <w:r w:rsidR="00E640C3">
              <w:t xml:space="preserve">ew </w:t>
            </w:r>
            <w:r>
              <w:t xml:space="preserve">QCD </w:t>
            </w:r>
            <w:r w:rsidR="00E640C3">
              <w:t>template</w:t>
            </w:r>
            <w:r>
              <w:t>.</w:t>
            </w:r>
          </w:p>
          <w:p w14:paraId="3C044426" w14:textId="29325AA5" w:rsidR="002A0B65" w:rsidRDefault="00CD4681" w:rsidP="00EE35FA">
            <w:pPr>
              <w:pStyle w:val="bulletT1"/>
            </w:pPr>
            <w:r>
              <w:t>QMS code and document title updated, and the document version number reset.</w:t>
            </w:r>
          </w:p>
          <w:p w14:paraId="7C025494" w14:textId="0F3BE337" w:rsidR="006526E8" w:rsidRDefault="006526E8" w:rsidP="006526E8">
            <w:pPr>
              <w:pStyle w:val="bulletT1"/>
            </w:pPr>
            <w:r>
              <w:t>Updated guidance and links in line with available HRA recourses.</w:t>
            </w:r>
          </w:p>
          <w:p w14:paraId="7CA0A4F5" w14:textId="7B09477D" w:rsidR="00E640C3" w:rsidRDefault="006526E8" w:rsidP="006526E8">
            <w:pPr>
              <w:pStyle w:val="bulletT1"/>
            </w:pPr>
            <w:r>
              <w:t xml:space="preserve">Refined guidance </w:t>
            </w:r>
            <w:r w:rsidR="00E640C3">
              <w:t xml:space="preserve">pertaining to children </w:t>
            </w:r>
            <w:r>
              <w:t>&amp;</w:t>
            </w:r>
            <w:r w:rsidR="00E640C3">
              <w:t xml:space="preserve"> young people and adults lacking capacity</w:t>
            </w:r>
            <w:r>
              <w:t>.</w:t>
            </w:r>
          </w:p>
        </w:tc>
      </w:tr>
    </w:tbl>
    <w:p w14:paraId="2A105E32" w14:textId="77777777" w:rsidR="00234600" w:rsidRDefault="00234600" w:rsidP="00234600">
      <w:pPr>
        <w:pStyle w:val="Heading2"/>
      </w:pPr>
      <w:bookmarkStart w:id="19" w:name="_Toc143768372"/>
      <w:bookmarkStart w:id="20" w:name="_Ref152852855"/>
      <w:bookmarkStart w:id="21" w:name="_Ref152852890"/>
      <w:bookmarkStart w:id="22" w:name="_Ref153523697"/>
      <w:bookmarkStart w:id="23" w:name="_Toc153528161"/>
      <w:r>
        <w:t xml:space="preserve">Document </w:t>
      </w:r>
      <w:r w:rsidR="00413F0A">
        <w:t>r</w:t>
      </w:r>
      <w:r>
        <w:t xml:space="preserve">evision </w:t>
      </w:r>
      <w:r w:rsidR="00413F0A">
        <w:t>l</w:t>
      </w:r>
      <w:r>
        <w:t>og</w:t>
      </w:r>
      <w:bookmarkEnd w:id="19"/>
      <w:bookmarkEnd w:id="20"/>
      <w:bookmarkEnd w:id="21"/>
      <w:bookmarkEnd w:id="22"/>
      <w:bookmarkEnd w:id="23"/>
    </w:p>
    <w:p w14:paraId="50FA6E31" w14:textId="77777777" w:rsidR="00A5347A" w:rsidRDefault="00234600" w:rsidP="00A5347A">
      <w:r>
        <w:t xml:space="preserve">The table below summaries the reason for any revisions made to the </w:t>
      </w:r>
      <w:r w:rsidR="001D0D34">
        <w:t xml:space="preserve">latest </w:t>
      </w:r>
      <w:r>
        <w:t>version of this document. Revisions do not affect the key content and/or requirements outline</w:t>
      </w:r>
      <w:r w:rsidR="00426CB9">
        <w:t>d</w:t>
      </w:r>
      <w:r>
        <w:t xml:space="preserve"> in the document.</w:t>
      </w:r>
    </w:p>
    <w:tbl>
      <w:tblPr>
        <w:tblStyle w:val="TableGrid"/>
        <w:tblW w:w="0" w:type="auto"/>
        <w:tblBorders>
          <w:insideH w:val="dotted" w:sz="4" w:space="0" w:color="auto"/>
          <w:insideV w:val="dotted" w:sz="4" w:space="0" w:color="auto"/>
        </w:tblBorders>
        <w:tblLook w:val="04A0" w:firstRow="1" w:lastRow="0" w:firstColumn="1" w:lastColumn="0" w:noHBand="0" w:noVBand="1"/>
        <w:tblCaption w:val="Document revision log"/>
        <w:tblDescription w:val="This able summaries the reason for any revisions made to the latest version of this document."/>
      </w:tblPr>
      <w:tblGrid>
        <w:gridCol w:w="1413"/>
        <w:gridCol w:w="3544"/>
        <w:gridCol w:w="2030"/>
        <w:gridCol w:w="2030"/>
      </w:tblGrid>
      <w:tr w:rsidR="00234600" w14:paraId="0333128C" w14:textId="77777777" w:rsidTr="00F6365D">
        <w:trPr>
          <w:trHeight w:val="454"/>
          <w:tblHeader/>
        </w:trPr>
        <w:tc>
          <w:tcPr>
            <w:tcW w:w="1413" w:type="dxa"/>
            <w:shd w:val="clear" w:color="auto" w:fill="DBE5F1" w:themeFill="accent1" w:themeFillTint="33"/>
            <w:vAlign w:val="center"/>
          </w:tcPr>
          <w:p w14:paraId="32623953" w14:textId="77777777" w:rsidR="00234600" w:rsidRPr="003713E4" w:rsidRDefault="00234600" w:rsidP="008051E9">
            <w:pPr>
              <w:jc w:val="center"/>
              <w:rPr>
                <w:b/>
                <w:bCs/>
              </w:rPr>
            </w:pPr>
            <w:r w:rsidRPr="003713E4">
              <w:rPr>
                <w:b/>
                <w:bCs/>
              </w:rPr>
              <w:t>Revision</w:t>
            </w:r>
          </w:p>
        </w:tc>
        <w:tc>
          <w:tcPr>
            <w:tcW w:w="3544" w:type="dxa"/>
            <w:shd w:val="clear" w:color="auto" w:fill="DBE5F1" w:themeFill="accent1" w:themeFillTint="33"/>
            <w:vAlign w:val="center"/>
          </w:tcPr>
          <w:p w14:paraId="7D3DF1BA" w14:textId="77777777" w:rsidR="00234600" w:rsidRPr="003713E4" w:rsidRDefault="00234600" w:rsidP="008051E9">
            <w:pPr>
              <w:rPr>
                <w:b/>
                <w:bCs/>
              </w:rPr>
            </w:pPr>
            <w:r>
              <w:rPr>
                <w:b/>
                <w:bCs/>
              </w:rPr>
              <w:t>Reason for revision</w:t>
            </w:r>
          </w:p>
        </w:tc>
        <w:tc>
          <w:tcPr>
            <w:tcW w:w="2030" w:type="dxa"/>
            <w:shd w:val="clear" w:color="auto" w:fill="DBE5F1" w:themeFill="accent1" w:themeFillTint="33"/>
            <w:vAlign w:val="center"/>
          </w:tcPr>
          <w:p w14:paraId="4C6F5ED6" w14:textId="77777777" w:rsidR="00234600" w:rsidRPr="003713E4" w:rsidRDefault="00234600" w:rsidP="008051E9">
            <w:pPr>
              <w:rPr>
                <w:b/>
                <w:bCs/>
              </w:rPr>
            </w:pPr>
            <w:r w:rsidRPr="003713E4">
              <w:rPr>
                <w:b/>
                <w:bCs/>
              </w:rPr>
              <w:t>Editor/reviewer</w:t>
            </w:r>
          </w:p>
        </w:tc>
        <w:tc>
          <w:tcPr>
            <w:tcW w:w="2030" w:type="dxa"/>
            <w:shd w:val="clear" w:color="auto" w:fill="DBE5F1" w:themeFill="accent1" w:themeFillTint="33"/>
            <w:vAlign w:val="center"/>
          </w:tcPr>
          <w:p w14:paraId="679611BB" w14:textId="77777777" w:rsidR="00234600" w:rsidRPr="003713E4" w:rsidRDefault="00234600" w:rsidP="008051E9">
            <w:pPr>
              <w:rPr>
                <w:b/>
                <w:bCs/>
              </w:rPr>
            </w:pPr>
            <w:r w:rsidRPr="003713E4">
              <w:rPr>
                <w:b/>
                <w:bCs/>
              </w:rPr>
              <w:t>Authoriser</w:t>
            </w:r>
          </w:p>
        </w:tc>
      </w:tr>
      <w:tr w:rsidR="00ED36EE" w14:paraId="4AC74C8A" w14:textId="77777777" w:rsidTr="00515191">
        <w:trPr>
          <w:trHeight w:val="907"/>
        </w:trPr>
        <w:tc>
          <w:tcPr>
            <w:tcW w:w="1413" w:type="dxa"/>
          </w:tcPr>
          <w:p w14:paraId="595B2FA4" w14:textId="77777777" w:rsidR="00ED36EE" w:rsidRDefault="00ED36EE" w:rsidP="00ED36EE">
            <w:pPr>
              <w:jc w:val="center"/>
            </w:pPr>
            <w:r>
              <w:t>-</w:t>
            </w:r>
          </w:p>
        </w:tc>
        <w:tc>
          <w:tcPr>
            <w:tcW w:w="3544" w:type="dxa"/>
          </w:tcPr>
          <w:p w14:paraId="1A3F9BEC" w14:textId="77777777" w:rsidR="00ED36EE" w:rsidRDefault="00ED36EE" w:rsidP="00ED36EE">
            <w:pPr>
              <w:jc w:val="left"/>
            </w:pPr>
            <w:r>
              <w:t>-</w:t>
            </w:r>
          </w:p>
        </w:tc>
        <w:tc>
          <w:tcPr>
            <w:tcW w:w="2030" w:type="dxa"/>
          </w:tcPr>
          <w:p w14:paraId="154D6216" w14:textId="77777777" w:rsidR="00ED36EE" w:rsidRDefault="00ED36EE" w:rsidP="00ED36EE">
            <w:pPr>
              <w:jc w:val="left"/>
            </w:pPr>
            <w:r>
              <w:t>-</w:t>
            </w:r>
          </w:p>
        </w:tc>
        <w:tc>
          <w:tcPr>
            <w:tcW w:w="2030" w:type="dxa"/>
          </w:tcPr>
          <w:p w14:paraId="54B8A60E" w14:textId="77777777" w:rsidR="00ED36EE" w:rsidRDefault="00ED36EE" w:rsidP="00ED36EE">
            <w:pPr>
              <w:jc w:val="left"/>
            </w:pPr>
            <w:r>
              <w:t>-</w:t>
            </w:r>
          </w:p>
        </w:tc>
      </w:tr>
    </w:tbl>
    <w:p w14:paraId="20678B82" w14:textId="77777777" w:rsidR="00CF1011" w:rsidRDefault="00CF1011" w:rsidP="00075D91"/>
    <w:p w14:paraId="3F5FD0FE" w14:textId="77777777" w:rsidR="00CF1011" w:rsidRDefault="00CF1011" w:rsidP="00075D91"/>
    <w:p w14:paraId="59E18726" w14:textId="77777777" w:rsidR="00CF1011" w:rsidRDefault="00CF1011" w:rsidP="00075D91">
      <w:pPr>
        <w:sectPr w:rsidR="00CF1011" w:rsidSect="00EA11E4">
          <w:pgSz w:w="11907" w:h="16839" w:code="9"/>
          <w:pgMar w:top="1440" w:right="1440" w:bottom="1440" w:left="1440" w:header="567" w:footer="397" w:gutter="0"/>
          <w:pgBorders>
            <w:top w:val="single" w:sz="12" w:space="3" w:color="17365D" w:themeColor="text2" w:themeShade="BF"/>
            <w:bottom w:val="single" w:sz="12" w:space="3" w:color="17365D" w:themeColor="text2" w:themeShade="BF"/>
          </w:pgBorders>
          <w:cols w:space="708"/>
          <w:docGrid w:linePitch="360"/>
        </w:sectPr>
      </w:pPr>
    </w:p>
    <w:p w14:paraId="7F83CF9D" w14:textId="2C346EB3" w:rsidR="00075D91" w:rsidRDefault="00A64E58" w:rsidP="000B739D">
      <w:pPr>
        <w:pStyle w:val="Heading1"/>
      </w:pPr>
      <w:r>
        <w:lastRenderedPageBreak/>
        <w:t>G</w:t>
      </w:r>
      <w:r w:rsidR="000B739D">
        <w:t>uideline</w:t>
      </w:r>
      <w:r>
        <w:t>s</w:t>
      </w:r>
    </w:p>
    <w:p w14:paraId="2A44BFC8" w14:textId="7ACFDE8A" w:rsidR="000B739D" w:rsidRDefault="000B739D" w:rsidP="000B739D">
      <w:bookmarkStart w:id="24" w:name="_Hlk169254756"/>
      <w:r>
        <w:t>The process of receiving valid informed consent is fundamental to clinical research.</w:t>
      </w:r>
      <w:r w:rsidRPr="002A4643">
        <w:t xml:space="preserve"> </w:t>
      </w:r>
      <w:r>
        <w:t xml:space="preserve">The valid informed consent process ensures that all participants approached receive optimal information, that informed consent is received from all participants in accordance with the </w:t>
      </w:r>
      <w:r w:rsidRPr="00E17C79">
        <w:rPr>
          <w:rStyle w:val="DocrefChar"/>
        </w:rPr>
        <w:t>UoB Principles of Good Clinical Practice (GCP) for Clinical Research (UoB-GCP-POL-001)</w:t>
      </w:r>
      <w:r>
        <w:t xml:space="preserve">, and that informed consent is documented. It is recommended that individuals involved in the consent process complete the online </w:t>
      </w:r>
      <w:hyperlink r:id="rId25" w:tooltip="NIHR Learning Management System to access informed consent training" w:history="1">
        <w:r>
          <w:rPr>
            <w:rStyle w:val="Hyperlink"/>
          </w:rPr>
          <w:t>NIHR informed consent training</w:t>
        </w:r>
      </w:hyperlink>
      <w:bookmarkStart w:id="25" w:name="_Hlk169277389"/>
      <w:r w:rsidR="00737B78">
        <w:t xml:space="preserve"> (requires NIHR Learn login).</w:t>
      </w:r>
      <w:bookmarkEnd w:id="25"/>
    </w:p>
    <w:p w14:paraId="2A7E19EC" w14:textId="77777777" w:rsidR="000B739D" w:rsidRDefault="000B739D" w:rsidP="000B739D">
      <w:r>
        <w:t>T</w:t>
      </w:r>
      <w:r w:rsidRPr="009E177D">
        <w:t>h</w:t>
      </w:r>
      <w:r>
        <w:t>is guideline will provide information on the process for receiving and documenting informed consent from different populations (competent adults, c</w:t>
      </w:r>
      <w:r w:rsidRPr="002A4643">
        <w:t xml:space="preserve">hildren </w:t>
      </w:r>
      <w:r>
        <w:t>&amp; y</w:t>
      </w:r>
      <w:r w:rsidRPr="002A4643">
        <w:t xml:space="preserve">oung </w:t>
      </w:r>
      <w:r>
        <w:t>p</w:t>
      </w:r>
      <w:r w:rsidRPr="002A4643">
        <w:t>eople</w:t>
      </w:r>
      <w:r>
        <w:t xml:space="preserve"> and adults lacking capacity) within clinical research.</w:t>
      </w:r>
    </w:p>
    <w:p w14:paraId="4C99FD6E" w14:textId="107906BA" w:rsidR="000B739D" w:rsidRDefault="000B739D" w:rsidP="000B739D">
      <w:pPr>
        <w:pStyle w:val="Heading2"/>
      </w:pPr>
      <w:r>
        <w:t>Competent adults</w:t>
      </w:r>
    </w:p>
    <w:p w14:paraId="400F06AC" w14:textId="4E44500B" w:rsidR="000B739D" w:rsidRDefault="000B739D" w:rsidP="000B739D">
      <w:pPr>
        <w:pStyle w:val="PN1"/>
      </w:pPr>
      <w:r>
        <w:t>Initial discussion</w:t>
      </w:r>
    </w:p>
    <w:p w14:paraId="2A036AA6" w14:textId="27E6FCFE" w:rsidR="000B739D" w:rsidRDefault="000B739D" w:rsidP="000B739D">
      <w:r>
        <w:t xml:space="preserve">The Principal </w:t>
      </w:r>
      <w:r w:rsidRPr="009E177D">
        <w:t>Investigator</w:t>
      </w:r>
      <w:r>
        <w:t xml:space="preserve"> (PI) (or suitable delegate)</w:t>
      </w:r>
      <w:r w:rsidRPr="009E177D">
        <w:t xml:space="preserve"> has a preliminary discussion with the </w:t>
      </w:r>
      <w:r>
        <w:t>participant</w:t>
      </w:r>
      <w:r w:rsidRPr="009E177D">
        <w:t xml:space="preserve"> explaining </w:t>
      </w:r>
      <w:r>
        <w:t xml:space="preserve">the research, and where applicable, </w:t>
      </w:r>
      <w:r w:rsidRPr="009E177D">
        <w:t>both investigational and standard treatment options</w:t>
      </w:r>
      <w:r>
        <w:t>. This should include clarifying the voluntary nature of participation, that consent can be withdrawn at any time, and how non-participation will not affect their care/rights. For NHS sites, it is good practice that this is documented in the participants’ medical notes, with the name of the trial.</w:t>
      </w:r>
    </w:p>
    <w:p w14:paraId="4E9D5A91" w14:textId="263B04D3" w:rsidR="000B739D" w:rsidRDefault="000B739D" w:rsidP="000B739D">
      <w:pPr>
        <w:pStyle w:val="PN1"/>
      </w:pPr>
      <w:r>
        <w:t>information sheet</w:t>
      </w:r>
    </w:p>
    <w:p w14:paraId="4E5EB57A" w14:textId="77777777" w:rsidR="00262667" w:rsidRDefault="00262667" w:rsidP="00262667">
      <w:r w:rsidRPr="009E177D">
        <w:t xml:space="preserve">The </w:t>
      </w:r>
      <w:r>
        <w:t>current approved participant i</w:t>
      </w:r>
      <w:r w:rsidRPr="009E177D">
        <w:t xml:space="preserve">nformation </w:t>
      </w:r>
      <w:r>
        <w:t>s</w:t>
      </w:r>
      <w:r w:rsidRPr="009E177D">
        <w:t>heet</w:t>
      </w:r>
      <w:r>
        <w:t xml:space="preserve"> (PIS)</w:t>
      </w:r>
      <w:r w:rsidRPr="009E177D">
        <w:t xml:space="preserve"> is given to the </w:t>
      </w:r>
      <w:r>
        <w:t xml:space="preserve">participant (on </w:t>
      </w:r>
      <w:r w:rsidRPr="00C82C31">
        <w:t>institution/hospital headed paper</w:t>
      </w:r>
      <w:r>
        <w:t xml:space="preserve"> where appropriate/required</w:t>
      </w:r>
      <w:r w:rsidRPr="00C82C31">
        <w:t xml:space="preserve">) covering the comprehensive details of the project including rationale, possible benefits and adverse events. See </w:t>
      </w:r>
      <w:r w:rsidRPr="00E17C79">
        <w:rPr>
          <w:rStyle w:val="DocrefChar"/>
        </w:rPr>
        <w:t>Essential Documents Development and Maintenance (UoB-ESD-SOP-001)</w:t>
      </w:r>
      <w:r w:rsidRPr="00E17C79">
        <w:t xml:space="preserve"> </w:t>
      </w:r>
      <w:r w:rsidRPr="00C82C31">
        <w:t xml:space="preserve">and </w:t>
      </w:r>
      <w:r w:rsidRPr="00E17C79">
        <w:rPr>
          <w:rStyle w:val="DocrefChar"/>
        </w:rPr>
        <w:t>Sponsor Review Tool (UoB-SPO-QCD-002)</w:t>
      </w:r>
      <w:r w:rsidRPr="00C82C31">
        <w:t xml:space="preserve"> for further information. A suitably qualified member of the research team should talk the participant through the PIS and highlight key areas. </w:t>
      </w:r>
      <w:r>
        <w:t>T</w:t>
      </w:r>
      <w:r w:rsidRPr="00C82C31">
        <w:t>his person must be delegated this duty by the PI, and this should be documented on a delegation log</w:t>
      </w:r>
      <w:r>
        <w:t xml:space="preserve">. See the </w:t>
      </w:r>
      <w:r w:rsidRPr="00E17C79">
        <w:rPr>
          <w:rStyle w:val="DocrefChar"/>
        </w:rPr>
        <w:t>Investigator Site Management SOP (UoB-SMA-SOP-001)</w:t>
      </w:r>
      <w:r>
        <w:t xml:space="preserve"> for more information and the </w:t>
      </w:r>
      <w:r w:rsidRPr="00E17C79">
        <w:rPr>
          <w:rStyle w:val="DocrefChar"/>
        </w:rPr>
        <w:t>Site Signature and Delegation Log (UoB-SMA-QCD-001)</w:t>
      </w:r>
      <w:r w:rsidRPr="00CD46D2">
        <w:t xml:space="preserve"> for a template</w:t>
      </w:r>
      <w:r w:rsidRPr="00C82C31">
        <w:t xml:space="preserve">. </w:t>
      </w:r>
    </w:p>
    <w:p w14:paraId="63DC1C8B" w14:textId="77777777" w:rsidR="00262667" w:rsidRDefault="00262667" w:rsidP="00262667">
      <w:pPr>
        <w:pStyle w:val="bullet10"/>
      </w:pPr>
      <w:r>
        <w:t xml:space="preserve">Where the use of adequate contraception is required as part of the project, </w:t>
      </w:r>
      <w:r w:rsidRPr="005563D6">
        <w:rPr>
          <w:bCs/>
          <w:szCs w:val="26"/>
        </w:rPr>
        <w:t>this</w:t>
      </w:r>
      <w:r>
        <w:rPr>
          <w:b/>
          <w:bCs/>
          <w:szCs w:val="26"/>
        </w:rPr>
        <w:t xml:space="preserve"> </w:t>
      </w:r>
      <w:r w:rsidRPr="00D630A7">
        <w:t>must be discussed as part of the informed consent procedure</w:t>
      </w:r>
      <w:r>
        <w:t>, referring to any project specific instructions with regards to what is deemed acceptable contraception. For NHS sites, a</w:t>
      </w:r>
      <w:r w:rsidRPr="00D630A7">
        <w:t xml:space="preserve"> dated annotation should be made in the participant’s medical notes stating that contraception has been discussed or</w:t>
      </w:r>
      <w:r>
        <w:t xml:space="preserve"> </w:t>
      </w:r>
      <w:r w:rsidRPr="00D630A7">
        <w:t xml:space="preserve">that such a discussion is not </w:t>
      </w:r>
      <w:r>
        <w:t xml:space="preserve">appropriate and the reason why not, where applicable. </w:t>
      </w:r>
    </w:p>
    <w:p w14:paraId="0E3FE07C" w14:textId="77777777" w:rsidR="00262667" w:rsidRDefault="00262667" w:rsidP="00262667">
      <w:pPr>
        <w:pStyle w:val="bullet10"/>
      </w:pPr>
      <w:r>
        <w:t>There should be adequate opportunity for the participant to ask questions of the research team.</w:t>
      </w:r>
    </w:p>
    <w:p w14:paraId="43939C4F" w14:textId="77777777" w:rsidR="00262667" w:rsidRPr="009E177D" w:rsidRDefault="00262667" w:rsidP="00262667">
      <w:pPr>
        <w:pStyle w:val="bullet10"/>
      </w:pPr>
      <w:r>
        <w:t>At this point s</w:t>
      </w:r>
      <w:r w:rsidRPr="009E177D">
        <w:t xml:space="preserve">upplementary information about relevant resources such as internet sites, information leaflets, and contact details of independent third parties may </w:t>
      </w:r>
      <w:r>
        <w:t xml:space="preserve">also </w:t>
      </w:r>
      <w:r w:rsidRPr="009E177D">
        <w:t xml:space="preserve">be given. </w:t>
      </w:r>
    </w:p>
    <w:p w14:paraId="10E0636F" w14:textId="77777777" w:rsidR="00262667" w:rsidRPr="004647E7" w:rsidRDefault="00262667" w:rsidP="00262667">
      <w:pPr>
        <w:pStyle w:val="bullet10"/>
      </w:pPr>
      <w:r>
        <w:t xml:space="preserve">If a participant </w:t>
      </w:r>
      <w:r w:rsidRPr="004647E7">
        <w:t>does not read or speak English, the PIS should be translated</w:t>
      </w:r>
      <w:r>
        <w:t xml:space="preserve">. Ideally written translation should be provided. If this is not possible, an independent translator </w:t>
      </w:r>
      <w:r w:rsidRPr="004647E7">
        <w:t>(not a famil</w:t>
      </w:r>
      <w:r>
        <w:t xml:space="preserve">y member or the research staff) should be used. </w:t>
      </w:r>
      <w:r w:rsidRPr="004647E7">
        <w:t>Where a translator is used as part of the informed consent procedure, this should be documented</w:t>
      </w:r>
      <w:r>
        <w:t xml:space="preserve"> e.g.</w:t>
      </w:r>
      <w:r w:rsidRPr="004647E7">
        <w:t xml:space="preserve"> in the participant</w:t>
      </w:r>
      <w:r>
        <w:t>’s medical notes.</w:t>
      </w:r>
    </w:p>
    <w:p w14:paraId="0B535FE9" w14:textId="77777777" w:rsidR="00262667" w:rsidRDefault="00262667" w:rsidP="00262667">
      <w:pPr>
        <w:pStyle w:val="bullet10"/>
      </w:pPr>
      <w:r>
        <w:t>For NHS sites, it is strongly recommended that the above is documented in the participants’ medical notes; at the very least the version number and date that the PIS is given to the participant should be documented.</w:t>
      </w:r>
    </w:p>
    <w:p w14:paraId="6C21953B" w14:textId="77777777" w:rsidR="00262667" w:rsidRPr="00104022" w:rsidRDefault="00262667" w:rsidP="00262667">
      <w:r>
        <w:t>Note that</w:t>
      </w:r>
      <w:r w:rsidRPr="00104022">
        <w:t xml:space="preserve"> in all cases the PIS/</w:t>
      </w:r>
      <w:r>
        <w:t>informed consent form (</w:t>
      </w:r>
      <w:r w:rsidRPr="00104022">
        <w:t>ICF</w:t>
      </w:r>
      <w:r>
        <w:t>)</w:t>
      </w:r>
      <w:r w:rsidRPr="00104022">
        <w:t xml:space="preserve"> will need to be </w:t>
      </w:r>
      <w:r>
        <w:t xml:space="preserve">reviewed and </w:t>
      </w:r>
      <w:r w:rsidRPr="00104022">
        <w:t xml:space="preserve">approved </w:t>
      </w:r>
      <w:r>
        <w:t xml:space="preserve">in writing </w:t>
      </w:r>
      <w:r w:rsidRPr="00104022">
        <w:t xml:space="preserve">by </w:t>
      </w:r>
      <w:r>
        <w:t>the Sponsor, Health Research Authority (HRA), the R</w:t>
      </w:r>
      <w:r w:rsidRPr="005563D6">
        <w:t xml:space="preserve">esearch </w:t>
      </w:r>
      <w:r>
        <w:t>E</w:t>
      </w:r>
      <w:r w:rsidRPr="005563D6">
        <w:t xml:space="preserve">thics </w:t>
      </w:r>
      <w:r>
        <w:t>C</w:t>
      </w:r>
      <w:r w:rsidRPr="005563D6">
        <w:t>ommittee</w:t>
      </w:r>
      <w:r>
        <w:t xml:space="preserve"> (REC) and other parties e.g. the Competent Authority for Clinical Trials of an Investigational Medical Product (CTIMPs) as required</w:t>
      </w:r>
      <w:r w:rsidRPr="00104022">
        <w:t xml:space="preserve">. Where participants are recruited from NHS </w:t>
      </w:r>
      <w:r>
        <w:t>T</w:t>
      </w:r>
      <w:r w:rsidRPr="00104022">
        <w:t>rusts, the local R&amp;D department will also have to give permission for the PIS/ICF to be used locally.</w:t>
      </w:r>
      <w:r>
        <w:t xml:space="preserve"> See also </w:t>
      </w:r>
      <w:r w:rsidRPr="00E17C79">
        <w:rPr>
          <w:rStyle w:val="DocrefChar"/>
        </w:rPr>
        <w:t>Project Set-up SOP (UoB-SET-SOP-001)</w:t>
      </w:r>
      <w:r>
        <w:t xml:space="preserve"> details on sponsorship, ethics and external approvals. </w:t>
      </w:r>
    </w:p>
    <w:p w14:paraId="07B325E8" w14:textId="29A7F742" w:rsidR="00262667" w:rsidRDefault="00C504E0" w:rsidP="00262667">
      <w:pPr>
        <w:pStyle w:val="PN1"/>
      </w:pPr>
      <w:r>
        <w:t>thinking time</w:t>
      </w:r>
    </w:p>
    <w:p w14:paraId="0D94BE1C" w14:textId="2E088A23" w:rsidR="00C504E0" w:rsidRPr="009E177D" w:rsidRDefault="00C504E0" w:rsidP="00C504E0">
      <w:r w:rsidRPr="009E177D">
        <w:t xml:space="preserve">All </w:t>
      </w:r>
      <w:r>
        <w:t>participant</w:t>
      </w:r>
      <w:r w:rsidRPr="009E177D">
        <w:t xml:space="preserve">s should be given adequate time to read and assimilate the information and discuss with others (e.g. family/GP). </w:t>
      </w:r>
      <w:r>
        <w:t>The length of time required will vary based on the type and design of the project. More complex projects may require a longer timeframe to consider in contrast to simpler project, e.g. questionnaire-</w:t>
      </w:r>
      <w:r w:rsidRPr="00C504E0">
        <w:t xml:space="preserve"> </w:t>
      </w:r>
      <w:r>
        <w:t xml:space="preserve">based studies, which may require less time. Specific ethical approval must be given where there is no/minimal thinking </w:t>
      </w:r>
      <w:r>
        <w:lastRenderedPageBreak/>
        <w:t xml:space="preserve">time is given because of circumstances surrounding the project, e.g. in acute disease presentation or accident and emergency situations. See also the section on ‘Adults lacking capacity’ </w:t>
      </w:r>
      <w:r w:rsidR="00A64E58" w:rsidRPr="00E17C79">
        <w:rPr>
          <w:rStyle w:val="SectionrefChar"/>
        </w:rPr>
        <w:fldChar w:fldCharType="begin"/>
      </w:r>
      <w:r w:rsidR="00A64E58" w:rsidRPr="00E17C79">
        <w:rPr>
          <w:rStyle w:val="SectionrefChar"/>
        </w:rPr>
        <w:instrText xml:space="preserve"> REF _Ref169177281 \p \h </w:instrText>
      </w:r>
      <w:r w:rsidR="00A64E58">
        <w:rPr>
          <w:rStyle w:val="SectionrefChar"/>
        </w:rPr>
        <w:instrText xml:space="preserve"> \* MERGEFORMAT </w:instrText>
      </w:r>
      <w:r w:rsidR="00A64E58" w:rsidRPr="00E17C79">
        <w:rPr>
          <w:rStyle w:val="SectionrefChar"/>
        </w:rPr>
      </w:r>
      <w:r w:rsidR="00A64E58" w:rsidRPr="00E17C79">
        <w:rPr>
          <w:rStyle w:val="SectionrefChar"/>
        </w:rPr>
        <w:fldChar w:fldCharType="separate"/>
      </w:r>
      <w:r w:rsidR="00A64E58" w:rsidRPr="00E17C79">
        <w:rPr>
          <w:rStyle w:val="SectionrefChar"/>
        </w:rPr>
        <w:t>below</w:t>
      </w:r>
      <w:r w:rsidR="00A64E58" w:rsidRPr="00E17C79">
        <w:rPr>
          <w:rStyle w:val="SectionrefChar"/>
        </w:rPr>
        <w:fldChar w:fldCharType="end"/>
      </w:r>
      <w:r>
        <w:t>.</w:t>
      </w:r>
    </w:p>
    <w:p w14:paraId="50F54464" w14:textId="229D1114" w:rsidR="00C504E0" w:rsidRDefault="00C504E0" w:rsidP="00C504E0">
      <w:pPr>
        <w:pStyle w:val="PN1"/>
      </w:pPr>
      <w:r>
        <w:t>discussion</w:t>
      </w:r>
    </w:p>
    <w:p w14:paraId="19DF6B22" w14:textId="77777777" w:rsidR="00C504E0" w:rsidRDefault="00C504E0" w:rsidP="00C504E0">
      <w:pPr>
        <w:rPr>
          <w:i/>
          <w:iCs/>
          <w:color w:val="FF0000"/>
        </w:rPr>
      </w:pPr>
      <w:r w:rsidRPr="009E177D">
        <w:t xml:space="preserve">Following the agreed thinking period, the research team should have a further discussion with the </w:t>
      </w:r>
      <w:r>
        <w:t>participant</w:t>
      </w:r>
      <w:r w:rsidRPr="009E177D">
        <w:t xml:space="preserve">. The main points of the </w:t>
      </w:r>
      <w:r>
        <w:t>project</w:t>
      </w:r>
      <w:r w:rsidRPr="009E177D">
        <w:t xml:space="preserve"> should be highlighted</w:t>
      </w:r>
      <w:r>
        <w:t>,</w:t>
      </w:r>
      <w:r w:rsidRPr="009E177D">
        <w:t xml:space="preserve"> and the </w:t>
      </w:r>
      <w:r>
        <w:t>participant should be</w:t>
      </w:r>
      <w:r w:rsidRPr="009E177D">
        <w:t xml:space="preserve"> encouraged to ask questions. </w:t>
      </w:r>
    </w:p>
    <w:p w14:paraId="2B1DCA13" w14:textId="77777777" w:rsidR="00C504E0" w:rsidRDefault="00C504E0" w:rsidP="00C504E0">
      <w:r w:rsidRPr="009E177D">
        <w:t xml:space="preserve">Where English is not spoken or read by the </w:t>
      </w:r>
      <w:r>
        <w:t>participant</w:t>
      </w:r>
      <w:r w:rsidRPr="009E177D">
        <w:t xml:space="preserve">, </w:t>
      </w:r>
      <w:r>
        <w:t>an</w:t>
      </w:r>
      <w:r w:rsidRPr="009E177D">
        <w:t xml:space="preserve"> independent translator should be present at both this meeting and when the </w:t>
      </w:r>
      <w:r>
        <w:t>ICF</w:t>
      </w:r>
      <w:r w:rsidRPr="009E177D">
        <w:t xml:space="preserve"> is signed</w:t>
      </w:r>
      <w:r>
        <w:t>, and this should be documented in the medical notes (if applicable)</w:t>
      </w:r>
      <w:r w:rsidRPr="009E177D">
        <w:t>.</w:t>
      </w:r>
    </w:p>
    <w:p w14:paraId="7A138817" w14:textId="2B0F0996" w:rsidR="00C504E0" w:rsidRDefault="00C504E0" w:rsidP="00C504E0">
      <w:pPr>
        <w:pStyle w:val="PN1"/>
      </w:pPr>
      <w:r>
        <w:t>written consent</w:t>
      </w:r>
    </w:p>
    <w:p w14:paraId="65810823" w14:textId="77777777" w:rsidR="00C504E0" w:rsidRDefault="00C504E0" w:rsidP="00E17C79">
      <w:r>
        <w:t>The PI has</w:t>
      </w:r>
      <w:r w:rsidRPr="00D630A7">
        <w:t xml:space="preserve"> the sole </w:t>
      </w:r>
      <w:r>
        <w:t>responsibility</w:t>
      </w:r>
      <w:r w:rsidRPr="00D630A7">
        <w:t xml:space="preserve"> for </w:t>
      </w:r>
      <w:r>
        <w:t>receiving consent</w:t>
      </w:r>
      <w:r w:rsidRPr="00D630A7">
        <w:t xml:space="preserve"> unless the </w:t>
      </w:r>
      <w:r>
        <w:t>PI</w:t>
      </w:r>
      <w:r w:rsidRPr="00D630A7">
        <w:t xml:space="preserve"> has delegated the </w:t>
      </w:r>
      <w:r>
        <w:t>duty</w:t>
      </w:r>
      <w:r w:rsidRPr="00D630A7">
        <w:t xml:space="preserve"> </w:t>
      </w:r>
      <w:r>
        <w:t xml:space="preserve">to a suitably qualified member of their team. The delegation has to be documented e.g. via a delegation log. </w:t>
      </w:r>
    </w:p>
    <w:p w14:paraId="222225B8" w14:textId="6C555A64" w:rsidR="00C504E0" w:rsidRDefault="00C504E0" w:rsidP="00E17C79">
      <w:r w:rsidRPr="00D630A7">
        <w:t xml:space="preserve">The participant should </w:t>
      </w:r>
      <w:r>
        <w:t xml:space="preserve">themselves initial or tick (as applicable) any boxes, </w:t>
      </w:r>
      <w:r w:rsidR="00280B8A">
        <w:t>print</w:t>
      </w:r>
      <w:r>
        <w:t xml:space="preserve"> their name,</w:t>
      </w:r>
      <w:r w:rsidRPr="00D630A7">
        <w:t xml:space="preserve"> sign and date the current approved ICF</w:t>
      </w:r>
      <w:r>
        <w:t xml:space="preserve">. </w:t>
      </w:r>
      <w:r w:rsidRPr="00D630A7">
        <w:t xml:space="preserve"> </w:t>
      </w:r>
    </w:p>
    <w:p w14:paraId="130DD91D" w14:textId="77777777" w:rsidR="00C504E0" w:rsidRPr="004D637B" w:rsidRDefault="00C504E0" w:rsidP="00E17C79">
      <w:r>
        <w:t>The ICF should be signed on the same date by both the participant and the PI (or delegate) that performed the consent procedure, unless specific approval has been granted for an exception to this (e.g. postal consent). The ICF should be signed by the participant before or on</w:t>
      </w:r>
      <w:r w:rsidRPr="00D630A7">
        <w:t xml:space="preserve"> the date that the first project-specific assessment is performed</w:t>
      </w:r>
      <w:r>
        <w:t>. Note this may include completion of a Quality-of-Life Questionnaire where this is solely completed for the project.</w:t>
      </w:r>
      <w:r w:rsidRPr="004D637B">
        <w:t xml:space="preserve"> </w:t>
      </w:r>
      <w:r>
        <w:t>For clinical trials w</w:t>
      </w:r>
      <w:r w:rsidRPr="004D637B">
        <w:t>here consent is given on the</w:t>
      </w:r>
      <w:r>
        <w:t xml:space="preserve"> </w:t>
      </w:r>
      <w:r w:rsidRPr="004D637B">
        <w:t>same date as the first trial-specific assessment</w:t>
      </w:r>
      <w:r>
        <w:t>,</w:t>
      </w:r>
      <w:r w:rsidRPr="004D637B">
        <w:t xml:space="preserve"> the length of time the </w:t>
      </w:r>
      <w:r>
        <w:t>participant</w:t>
      </w:r>
      <w:r w:rsidRPr="004D637B">
        <w:t xml:space="preserve"> was given</w:t>
      </w:r>
      <w:r>
        <w:t xml:space="preserve"> </w:t>
      </w:r>
      <w:r w:rsidRPr="004D637B">
        <w:t>to consider the trial and the timings of the consent and first trial-specific assessment</w:t>
      </w:r>
      <w:r>
        <w:t xml:space="preserve"> </w:t>
      </w:r>
      <w:r w:rsidRPr="004D637B">
        <w:t xml:space="preserve">should be clearly documented to demonstrate that the </w:t>
      </w:r>
      <w:r>
        <w:t>participant</w:t>
      </w:r>
      <w:r w:rsidRPr="004D637B">
        <w:t xml:space="preserve"> was given sufficient</w:t>
      </w:r>
      <w:r>
        <w:t xml:space="preserve"> </w:t>
      </w:r>
      <w:r w:rsidRPr="004D637B">
        <w:t xml:space="preserve">time to consider the trial and that trial procedures began after the consent was </w:t>
      </w:r>
      <w:r>
        <w:t>provided</w:t>
      </w:r>
      <w:r w:rsidRPr="004D637B">
        <w:t>.</w:t>
      </w:r>
    </w:p>
    <w:p w14:paraId="154EFC23" w14:textId="77777777" w:rsidR="00C504E0" w:rsidRDefault="00C504E0" w:rsidP="00E17C79">
      <w:r>
        <w:t xml:space="preserve">A copy of the ICF should </w:t>
      </w:r>
      <w:r w:rsidRPr="004D637B">
        <w:t>be given to the</w:t>
      </w:r>
      <w:r>
        <w:t xml:space="preserve"> participant</w:t>
      </w:r>
      <w:r w:rsidRPr="004D637B">
        <w:t xml:space="preserve">, </w:t>
      </w:r>
      <w:r>
        <w:t xml:space="preserve">and (if applicable), a second copy should </w:t>
      </w:r>
      <w:r w:rsidRPr="004D637B">
        <w:t>be placed in the</w:t>
      </w:r>
      <w:r>
        <w:t>ir</w:t>
      </w:r>
      <w:r w:rsidRPr="004D637B">
        <w:t xml:space="preserve"> medical notes. The original </w:t>
      </w:r>
      <w:r>
        <w:t xml:space="preserve">ICF </w:t>
      </w:r>
      <w:r w:rsidRPr="004D637B">
        <w:t>should be filed in the</w:t>
      </w:r>
      <w:r>
        <w:t xml:space="preserve"> Investigator Site </w:t>
      </w:r>
      <w:r w:rsidRPr="004D637B">
        <w:t>File</w:t>
      </w:r>
      <w:r>
        <w:t xml:space="preserve"> (ISF), see </w:t>
      </w:r>
      <w:r w:rsidRPr="00E17C79">
        <w:rPr>
          <w:rStyle w:val="DocrefChar"/>
        </w:rPr>
        <w:t>Participant Engagement and Informed Consent (UoB-PEI-SOP-001)</w:t>
      </w:r>
      <w:r w:rsidRPr="004D637B">
        <w:t xml:space="preserve">. Depending on the </w:t>
      </w:r>
      <w:r>
        <w:t>project-</w:t>
      </w:r>
      <w:r w:rsidRPr="004D637B">
        <w:t>specific arrangements and only where</w:t>
      </w:r>
      <w:r>
        <w:t xml:space="preserve"> </w:t>
      </w:r>
      <w:r w:rsidRPr="004D637B">
        <w:t>explicit consent is obtained to do so, a c</w:t>
      </w:r>
      <w:r>
        <w:t xml:space="preserve">opy may have to be sent to the coordinating centre. </w:t>
      </w:r>
    </w:p>
    <w:p w14:paraId="122B92F3" w14:textId="77777777" w:rsidR="00C504E0" w:rsidRDefault="00C504E0" w:rsidP="00E17C79">
      <w:r>
        <w:t xml:space="preserve">Once the participant </w:t>
      </w:r>
      <w:r w:rsidRPr="004D637B">
        <w:t xml:space="preserve">is entered into the </w:t>
      </w:r>
      <w:r>
        <w:t>project, the participant’s project identifier/number can be added to the form. For NHS sites, a</w:t>
      </w:r>
      <w:r w:rsidRPr="004D637B">
        <w:t xml:space="preserve"> dated annotation should be made in the </w:t>
      </w:r>
      <w:r>
        <w:t>participant’s</w:t>
      </w:r>
      <w:r w:rsidRPr="004D637B">
        <w:t xml:space="preserve"> medical notes stating consent has</w:t>
      </w:r>
      <w:r>
        <w:t xml:space="preserve"> </w:t>
      </w:r>
      <w:r w:rsidRPr="004D637B">
        <w:t xml:space="preserve">been taken, with the name of the </w:t>
      </w:r>
      <w:r>
        <w:t>project</w:t>
      </w:r>
      <w:r w:rsidRPr="004D637B">
        <w:t xml:space="preserve"> and the version number of the </w:t>
      </w:r>
      <w:r>
        <w:t>ICF and PIS</w:t>
      </w:r>
      <w:r w:rsidRPr="004D637B">
        <w:t>.</w:t>
      </w:r>
    </w:p>
    <w:p w14:paraId="52DA7A92" w14:textId="016F9C16" w:rsidR="00C504E0" w:rsidRDefault="00C504E0" w:rsidP="00C504E0">
      <w:r>
        <w:t>Note that p</w:t>
      </w:r>
      <w:r w:rsidRPr="00F124AD">
        <w:t>articipants’ identit</w:t>
      </w:r>
      <w:r>
        <w:t>ies</w:t>
      </w:r>
      <w:r w:rsidRPr="00F124AD">
        <w:t xml:space="preserve"> </w:t>
      </w:r>
      <w:r>
        <w:t>should be verifiable, e.g. via medical notes or a participant ID log.</w:t>
      </w:r>
    </w:p>
    <w:p w14:paraId="045EAE5B" w14:textId="47AF462A" w:rsidR="00C504E0" w:rsidRDefault="00C504E0" w:rsidP="00C504E0">
      <w:pPr>
        <w:pStyle w:val="PN1"/>
      </w:pPr>
      <w:r>
        <w:t>optional consent</w:t>
      </w:r>
    </w:p>
    <w:p w14:paraId="4EA5EF50" w14:textId="77777777" w:rsidR="00C504E0" w:rsidRDefault="00C504E0" w:rsidP="00C504E0">
      <w:r>
        <w:t xml:space="preserve">In some projects, the participants are given the option to participate in a sub study, e.g. DNA analysis. The participant may opt out of participating in such sub studies; this would not affect their ability to participate in the main project. Where optional consent is requested, ensure it is clearly documented via the ICF and other systems (e.g. medical notes, tracking sheets etc.) as to who consented to participate in the optional sub study. Ensure only those participants who consented to participate in the sub study are treated following the sub study protocol. </w:t>
      </w:r>
    </w:p>
    <w:p w14:paraId="3816B5F4" w14:textId="4E2B74CA" w:rsidR="00C504E0" w:rsidRDefault="00C504E0" w:rsidP="00C504E0">
      <w:pPr>
        <w:pStyle w:val="PN1"/>
      </w:pPr>
      <w:r>
        <w:t>ongoing consent process</w:t>
      </w:r>
    </w:p>
    <w:p w14:paraId="515DD1BF" w14:textId="77777777" w:rsidR="00C504E0" w:rsidRPr="00F124AD" w:rsidRDefault="00C504E0" w:rsidP="00C504E0">
      <w:r>
        <w:t xml:space="preserve">The </w:t>
      </w:r>
      <w:r w:rsidRPr="00F124AD">
        <w:t>participant should be encouraged to ask questions throughout the research process and reminded that they are in a project and can withdraw their consent at any time.</w:t>
      </w:r>
    </w:p>
    <w:p w14:paraId="602A3E3E" w14:textId="2D913F45" w:rsidR="00C504E0" w:rsidRDefault="00C504E0" w:rsidP="00C504E0">
      <w:pPr>
        <w:pStyle w:val="PN1"/>
      </w:pPr>
      <w:r>
        <w:t>re-consenting</w:t>
      </w:r>
    </w:p>
    <w:p w14:paraId="4034AFC9" w14:textId="77777777" w:rsidR="00C504E0" w:rsidRDefault="00C504E0" w:rsidP="00C504E0">
      <w:r>
        <w:t xml:space="preserve">Throughout the project there may be a need to update the PIS and/or ICF, e.g. where new important safety information becomes available or where the project design is changed. The research team will decide in how far re-consenting is required and will provide instructions to the PIs and their team. </w:t>
      </w:r>
    </w:p>
    <w:p w14:paraId="40488DF5" w14:textId="77777777" w:rsidR="00C504E0" w:rsidRDefault="00C504E0" w:rsidP="00C504E0">
      <w:r>
        <w:t xml:space="preserve">Where re-consenting is required, follow the instructions as provided by the research team with regards to participants to be re-consented and timelines for this. </w:t>
      </w:r>
    </w:p>
    <w:p w14:paraId="2C890B59" w14:textId="77777777" w:rsidR="00C504E0" w:rsidRDefault="00C504E0" w:rsidP="00C504E0">
      <w:r w:rsidRPr="004B4F4A">
        <w:t>The process as described under points 1-6 should be followed,</w:t>
      </w:r>
      <w:r w:rsidRPr="005563D6">
        <w:t xml:space="preserve"> focusing on the new information made available to the participant, and adjusting the time to consider as appropriate; the participant may be happy to reconsent at the point the update is provided to them</w:t>
      </w:r>
      <w:r>
        <w:t xml:space="preserve"> unless the protocol specifies a longer time for the participant to consider</w:t>
      </w:r>
      <w:r w:rsidRPr="005563D6">
        <w:t xml:space="preserve">. </w:t>
      </w:r>
    </w:p>
    <w:p w14:paraId="64EAF83D" w14:textId="59F9E211" w:rsidR="00C504E0" w:rsidRDefault="00C504E0" w:rsidP="00C504E0">
      <w:pPr>
        <w:pStyle w:val="PN1"/>
      </w:pPr>
      <w:r>
        <w:lastRenderedPageBreak/>
        <w:t>withdrawal of consent</w:t>
      </w:r>
    </w:p>
    <w:p w14:paraId="50C0E231" w14:textId="547F8B70" w:rsidR="00C504E0" w:rsidRDefault="00C504E0" w:rsidP="00C504E0">
      <w:r>
        <w:t xml:space="preserve">Participants </w:t>
      </w:r>
      <w:r w:rsidRPr="00F124AD">
        <w:t>may withdraw consent at any time during a project.</w:t>
      </w:r>
      <w:r>
        <w:t xml:space="preserve"> They may do this without giving a reason.</w:t>
      </w:r>
      <w:r w:rsidRPr="00F124AD">
        <w:t xml:space="preserve"> The details of withdrawal </w:t>
      </w:r>
      <w:r>
        <w:t xml:space="preserve">(and reason, if given) </w:t>
      </w:r>
      <w:r w:rsidRPr="00F124AD">
        <w:t xml:space="preserve">should be clearly documented and communicated to the research team in the pre-agreed way (e.g. by phone, via a withdrawal </w:t>
      </w:r>
      <w:r>
        <w:t>f</w:t>
      </w:r>
      <w:r w:rsidRPr="00F124AD">
        <w:t xml:space="preserve">orm or via written confirmation. </w:t>
      </w:r>
    </w:p>
    <w:p w14:paraId="12B25948" w14:textId="77777777" w:rsidR="00C504E0" w:rsidRPr="007437AA" w:rsidRDefault="00C504E0" w:rsidP="00C504E0">
      <w:r w:rsidRPr="007437AA">
        <w:t xml:space="preserve">There are different types of withdrawal </w:t>
      </w:r>
      <w:r>
        <w:t>and a list of potential examples (but not exhaustive), are</w:t>
      </w:r>
      <w:r w:rsidRPr="007437AA">
        <w:t xml:space="preserve"> detailed below</w:t>
      </w:r>
      <w:r>
        <w:t>.</w:t>
      </w:r>
    </w:p>
    <w:p w14:paraId="5F17CCB6" w14:textId="77777777" w:rsidR="00C504E0" w:rsidRPr="009E3F30" w:rsidRDefault="00C504E0" w:rsidP="00C504E0">
      <w:pPr>
        <w:pStyle w:val="bullet10"/>
      </w:pPr>
      <w:r>
        <w:t>The participant</w:t>
      </w:r>
      <w:r w:rsidRPr="009E3F30">
        <w:t xml:space="preserve"> would like to withdraw from </w:t>
      </w:r>
      <w:r>
        <w:t>the project</w:t>
      </w:r>
      <w:r w:rsidRPr="009E3F30">
        <w:t xml:space="preserve"> but is willing to be followed</w:t>
      </w:r>
      <w:r>
        <w:t xml:space="preserve"> </w:t>
      </w:r>
      <w:r w:rsidRPr="009E3F30">
        <w:t xml:space="preserve">up according to the </w:t>
      </w:r>
      <w:r>
        <w:t>project</w:t>
      </w:r>
      <w:r w:rsidRPr="009E3F30">
        <w:t xml:space="preserve"> schedule (the </w:t>
      </w:r>
      <w:r>
        <w:t>participant</w:t>
      </w:r>
      <w:r w:rsidRPr="009E3F30">
        <w:t xml:space="preserve"> has agreed that follow-up data can be collected and used in the </w:t>
      </w:r>
      <w:r>
        <w:t>project</w:t>
      </w:r>
      <w:r w:rsidRPr="009E3F30">
        <w:t xml:space="preserve"> analysis)</w:t>
      </w:r>
      <w:r>
        <w:t>.</w:t>
      </w:r>
    </w:p>
    <w:p w14:paraId="2F154CBE" w14:textId="77777777" w:rsidR="00C504E0" w:rsidRPr="009E3F30" w:rsidRDefault="00C504E0" w:rsidP="00C504E0">
      <w:pPr>
        <w:pStyle w:val="bullet10"/>
      </w:pPr>
      <w:r>
        <w:t>The participant</w:t>
      </w:r>
      <w:r w:rsidRPr="009E3F30">
        <w:t xml:space="preserve"> does not wish to attend </w:t>
      </w:r>
      <w:r>
        <w:t>project</w:t>
      </w:r>
      <w:r w:rsidRPr="009E3F30">
        <w:t xml:space="preserve"> follow-up visits but is willing to be followed</w:t>
      </w:r>
      <w:r>
        <w:t xml:space="preserve"> </w:t>
      </w:r>
      <w:r w:rsidRPr="009E3F30">
        <w:t xml:space="preserve">up at standard clinic visits (the </w:t>
      </w:r>
      <w:r>
        <w:t>participant</w:t>
      </w:r>
      <w:r w:rsidRPr="009E3F30">
        <w:t xml:space="preserve"> has agreed that follow-up data can be collected at standard clinic visits and used in the </w:t>
      </w:r>
      <w:r>
        <w:t>project</w:t>
      </w:r>
      <w:r w:rsidRPr="009E3F30">
        <w:t xml:space="preserve"> analysis)</w:t>
      </w:r>
      <w:r>
        <w:t>.</w:t>
      </w:r>
    </w:p>
    <w:p w14:paraId="5F2DDAB5" w14:textId="77777777" w:rsidR="00C504E0" w:rsidRDefault="00C504E0" w:rsidP="00C504E0">
      <w:pPr>
        <w:pStyle w:val="bullet10"/>
      </w:pPr>
      <w:r>
        <w:t>The participant</w:t>
      </w:r>
      <w:r w:rsidRPr="009E3F30">
        <w:t xml:space="preserve"> is not willing to be followed up for </w:t>
      </w:r>
      <w:r>
        <w:t>project</w:t>
      </w:r>
      <w:r w:rsidRPr="009E3F30">
        <w:t xml:space="preserve"> purposes at any further visits (the </w:t>
      </w:r>
      <w:r>
        <w:t>participant</w:t>
      </w:r>
      <w:r w:rsidRPr="009E3F30">
        <w:t xml:space="preserve"> has agreed that any data collected prior to the withdrawal of consent can be used in the </w:t>
      </w:r>
      <w:r>
        <w:t>project</w:t>
      </w:r>
      <w:r w:rsidRPr="009E3F30">
        <w:t xml:space="preserve"> analysis)</w:t>
      </w:r>
      <w:r>
        <w:t>.</w:t>
      </w:r>
    </w:p>
    <w:p w14:paraId="7D2C28BE" w14:textId="21799A3A" w:rsidR="00C504E0" w:rsidRPr="007437AA" w:rsidRDefault="00C504E0" w:rsidP="00C504E0">
      <w:r>
        <w:t>Where a participant withdraws their consent</w:t>
      </w:r>
      <w:r w:rsidR="00280B8A">
        <w:t>,</w:t>
      </w:r>
      <w:r>
        <w:t xml:space="preserve"> t</w:t>
      </w:r>
      <w:r w:rsidRPr="007437AA">
        <w:t xml:space="preserve">he </w:t>
      </w:r>
      <w:r>
        <w:t>items listed below</w:t>
      </w:r>
      <w:r w:rsidRPr="007437AA">
        <w:t xml:space="preserve"> should be documented</w:t>
      </w:r>
      <w:r>
        <w:t xml:space="preserve">. For NHS sites, this information should also be documented </w:t>
      </w:r>
      <w:r w:rsidRPr="007437AA">
        <w:t>in the medical notes</w:t>
      </w:r>
      <w:r>
        <w:t>.</w:t>
      </w:r>
      <w:r w:rsidRPr="007437AA">
        <w:t xml:space="preserve"> </w:t>
      </w:r>
    </w:p>
    <w:p w14:paraId="2223FCCF" w14:textId="77777777" w:rsidR="00C504E0" w:rsidRPr="009E3F30" w:rsidRDefault="00C504E0" w:rsidP="00C504E0">
      <w:pPr>
        <w:pStyle w:val="bullet10"/>
      </w:pPr>
      <w:r>
        <w:t>T</w:t>
      </w:r>
      <w:r w:rsidRPr="009E3F30">
        <w:t>he dat</w:t>
      </w:r>
      <w:r>
        <w:t>e the participant withdrew consent.</w:t>
      </w:r>
    </w:p>
    <w:p w14:paraId="59A6475F" w14:textId="77777777" w:rsidR="00C504E0" w:rsidRPr="009E3F30" w:rsidRDefault="00C504E0" w:rsidP="00C504E0">
      <w:pPr>
        <w:pStyle w:val="bullet10"/>
      </w:pPr>
      <w:r>
        <w:t>T</w:t>
      </w:r>
      <w:r w:rsidRPr="009E3F30">
        <w:t>he reason</w:t>
      </w:r>
      <w:r>
        <w:t xml:space="preserve"> for withdrawing their consent</w:t>
      </w:r>
      <w:r w:rsidRPr="009E3F30">
        <w:t>, if given (e.g.</w:t>
      </w:r>
      <w:r>
        <w:t xml:space="preserve"> toxicity to drug).</w:t>
      </w:r>
    </w:p>
    <w:p w14:paraId="5B0CEDDD" w14:textId="77777777" w:rsidR="00C504E0" w:rsidRDefault="00C504E0" w:rsidP="00C504E0">
      <w:pPr>
        <w:pStyle w:val="bullet10"/>
      </w:pPr>
      <w:r>
        <w:t>T</w:t>
      </w:r>
      <w:r w:rsidRPr="009E3F30">
        <w:t>ype of withdrawal</w:t>
      </w:r>
      <w:r>
        <w:t>.</w:t>
      </w:r>
    </w:p>
    <w:p w14:paraId="7948BA70" w14:textId="38795BC4" w:rsidR="00C504E0" w:rsidRDefault="00A64E58" w:rsidP="00C504E0">
      <w:pPr>
        <w:pStyle w:val="Heading2"/>
      </w:pPr>
      <w:r>
        <w:t>C</w:t>
      </w:r>
      <w:r w:rsidR="00C504E0">
        <w:t xml:space="preserve">hildren </w:t>
      </w:r>
      <w:r w:rsidR="00523A23">
        <w:t>&amp;</w:t>
      </w:r>
      <w:r w:rsidR="00C504E0">
        <w:t xml:space="preserve"> young people</w:t>
      </w:r>
    </w:p>
    <w:p w14:paraId="7AF6A9E0" w14:textId="0FBE9CF5" w:rsidR="00C504E0" w:rsidRDefault="00C504E0" w:rsidP="00C504E0">
      <w:r>
        <w:t xml:space="preserve">For projects involving children and young people, the requirements for consent will depend on the type of project and where in the UK it is taking place. For guidance by nation see </w:t>
      </w:r>
      <w:hyperlink r:id="rId26" w:tooltip="HRA Principles of consent: Children and Young People" w:history="1">
        <w:r w:rsidRPr="004C70CF">
          <w:rPr>
            <w:rStyle w:val="Hyperlink"/>
          </w:rPr>
          <w:t>HRA Principles of consent: Children and Young People</w:t>
        </w:r>
      </w:hyperlink>
      <w:r>
        <w:t xml:space="preserve">. </w:t>
      </w:r>
    </w:p>
    <w:p w14:paraId="63DFE0B2" w14:textId="77777777" w:rsidR="00C504E0" w:rsidRDefault="00C504E0" w:rsidP="00C504E0">
      <w:r>
        <w:t xml:space="preserve">If a child or young person is not deemed legally competent to provide consent themselves, a competent adult can provide consent (e.g. a parent or guardian) following the steps described above for competent adults. Assent is then the agreement given by a child or young person or other who is not legally empowered to give consent and encourages them to be involved in the decision-making process. When seeking assent, children and young people should be given information that matches their capacity.  </w:t>
      </w:r>
    </w:p>
    <w:p w14:paraId="73ED1B93" w14:textId="72E05A4F" w:rsidR="00C504E0" w:rsidRDefault="00A64E58" w:rsidP="00793890">
      <w:pPr>
        <w:pStyle w:val="Heading3"/>
      </w:pPr>
      <w:r>
        <w:t>F</w:t>
      </w:r>
      <w:r w:rsidR="00793890">
        <w:t>or children over 16 years involved in CTIMPs</w:t>
      </w:r>
    </w:p>
    <w:p w14:paraId="275D231F" w14:textId="41759563" w:rsidR="00793890" w:rsidRPr="008F7B4A" w:rsidRDefault="00793890" w:rsidP="00793890">
      <w:r>
        <w:t>Young people aged over 16 years are presumed capable of giving consent on their own behalf to participate in CTIMPs. For 16- or 17-year</w:t>
      </w:r>
      <w:r w:rsidR="006526E8">
        <w:t>-</w:t>
      </w:r>
      <w:r>
        <w:t xml:space="preserve">olds lacking capacity, the principles for adults lacking capacity by nation should be followed. Any young person over 16, not capable of giving consent, should only be included in a CTIMP in line with the adult provisions of the </w:t>
      </w:r>
      <w:hyperlink r:id="rId27" w:tooltip="Medicines for Human Use (Clinical Trials) Regulations 2004 (as amended)" w:history="1">
        <w:r>
          <w:rPr>
            <w:rStyle w:val="Hyperlink"/>
          </w:rPr>
          <w:t>Medicines for Human Use (Clinical Trials) Regulations 2004 (as amended)</w:t>
        </w:r>
      </w:hyperlink>
      <w:r>
        <w:t xml:space="preserve">. </w:t>
      </w:r>
    </w:p>
    <w:p w14:paraId="31142029" w14:textId="1C4FE315" w:rsidR="00C504E0" w:rsidRDefault="00A64E58" w:rsidP="00793890">
      <w:pPr>
        <w:pStyle w:val="Heading2"/>
      </w:pPr>
      <w:bookmarkStart w:id="26" w:name="_Ref169177281"/>
      <w:r>
        <w:t>A</w:t>
      </w:r>
      <w:r w:rsidR="00793890">
        <w:t>dults lacking capacity</w:t>
      </w:r>
      <w:bookmarkEnd w:id="26"/>
    </w:p>
    <w:p w14:paraId="482472FB" w14:textId="715E5B3B" w:rsidR="00737B78" w:rsidRDefault="00737B78" w:rsidP="00737B78">
      <w:r>
        <w:t xml:space="preserve">For adults who are unable to consent for themselves, the requirements for consent will depend on the type of project and where in the UK it is taking place. For guidance by nation see </w:t>
      </w:r>
      <w:hyperlink r:id="rId28" w:tooltip="HRA Principles of consent: Adults who are not able to consent for themselves" w:history="1">
        <w:r>
          <w:rPr>
            <w:rStyle w:val="Hyperlink"/>
          </w:rPr>
          <w:t>HRA Principles of consent: Adults who are not able to consent for themselves</w:t>
        </w:r>
      </w:hyperlink>
      <w:r>
        <w:t xml:space="preserve">. </w:t>
      </w:r>
    </w:p>
    <w:p w14:paraId="395BED29" w14:textId="77777777" w:rsidR="00737B78" w:rsidRPr="00BC6329" w:rsidRDefault="00737B78" w:rsidP="00737B78">
      <w:pPr>
        <w:pStyle w:val="Heading3"/>
      </w:pPr>
      <w:r>
        <w:t>Emergency situations</w:t>
      </w:r>
    </w:p>
    <w:p w14:paraId="2C25008B" w14:textId="42F273F3" w:rsidR="00793890" w:rsidRDefault="00793890" w:rsidP="00793890">
      <w:r>
        <w:t xml:space="preserve">For </w:t>
      </w:r>
      <w:r w:rsidRPr="000B75C6">
        <w:t>emergency</w:t>
      </w:r>
      <w:r>
        <w:t xml:space="preserve"> situations where potential participants may lack capacity and obtaining consent from a legal representative may not be practical, the law regulating how children or adults can be included will vary depending on where in the UK the research is being conducted. For guidance by nation see </w:t>
      </w:r>
      <w:hyperlink r:id="rId29" w:tooltip="HRA Principles of Consent: Emergency Research" w:history="1">
        <w:r w:rsidRPr="00CB2EBD">
          <w:rPr>
            <w:rStyle w:val="Hyperlink"/>
          </w:rPr>
          <w:t>HRA Principles of Consent: Emergency Research</w:t>
        </w:r>
      </w:hyperlink>
      <w:r>
        <w:t xml:space="preserve">. </w:t>
      </w:r>
      <w:bookmarkEnd w:id="24"/>
    </w:p>
    <w:sectPr w:rsidR="00793890" w:rsidSect="00EA11E4">
      <w:headerReference w:type="default" r:id="rId30"/>
      <w:footerReference w:type="default" r:id="rId31"/>
      <w:pgSz w:w="11907" w:h="16839" w:code="9"/>
      <w:pgMar w:top="1016" w:right="1440" w:bottom="1440" w:left="1440" w:header="426" w:footer="397" w:gutter="0"/>
      <w:pgBorders>
        <w:top w:val="single" w:sz="12" w:space="3" w:color="17365D" w:themeColor="text2" w:themeShade="BF"/>
        <w:bottom w:val="single" w:sz="12" w:space="3" w:color="17365D" w:themeColor="text2" w:themeShade="B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29B9FB" w14:textId="77777777" w:rsidR="002E77C8" w:rsidRDefault="002E77C8" w:rsidP="00F46DE6">
      <w:r>
        <w:separator/>
      </w:r>
    </w:p>
    <w:p w14:paraId="1CD0B29E" w14:textId="77777777" w:rsidR="002E77C8" w:rsidRDefault="002E77C8" w:rsidP="00F46DE6"/>
  </w:endnote>
  <w:endnote w:type="continuationSeparator" w:id="0">
    <w:p w14:paraId="635A71F6" w14:textId="77777777" w:rsidR="002E77C8" w:rsidRDefault="002E77C8" w:rsidP="00F46DE6">
      <w:r>
        <w:continuationSeparator/>
      </w:r>
    </w:p>
    <w:p w14:paraId="1FD2D990" w14:textId="77777777" w:rsidR="002E77C8" w:rsidRDefault="002E77C8" w:rsidP="00F46D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Pro Cond Semibold">
    <w:charset w:val="00"/>
    <w:family w:val="swiss"/>
    <w:pitch w:val="variable"/>
    <w:sig w:usb0="80000287" w:usb1="00000043"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1A9E54" w14:textId="77777777" w:rsidR="00DD3075" w:rsidRDefault="00276842" w:rsidP="00276842">
    <w:r w:rsidRPr="002D6577">
      <w:t xml:space="preserve">Property of </w:t>
    </w:r>
    <w:r>
      <w:t xml:space="preserve">the </w:t>
    </w:r>
    <w:r w:rsidRPr="002D6577">
      <w:t>University of Birmingham, Vincent Drive, Edgbaston, Birmingham, B15 2TT, United Kingdom</w:t>
    </w:r>
  </w:p>
  <w:p w14:paraId="7E38C292" w14:textId="77777777" w:rsidR="00DD3075" w:rsidRPr="001348DC" w:rsidRDefault="00DD3075" w:rsidP="00DD3075">
    <w:r w:rsidRPr="001348DC">
      <w:t>Copies are only valid for 14 days and may be subject to amendment a</w:t>
    </w:r>
    <w:r>
      <w:t>t any time. For the latest version refer to:</w:t>
    </w:r>
    <w:r w:rsidRPr="001348DC">
      <w:t xml:space="preserve"> </w:t>
    </w:r>
  </w:p>
  <w:p w14:paraId="628D54DF" w14:textId="77777777" w:rsidR="00276842" w:rsidRDefault="00185F78" w:rsidP="00DD3075">
    <w:hyperlink r:id="rId1" w:history="1">
      <w:r w:rsidR="00DD3075" w:rsidRPr="00D317E8">
        <w:rPr>
          <w:rStyle w:val="Hyperlink"/>
        </w:rPr>
        <w:t>http://www.birmingham.ac.uk/research/activity/mds/mds-rkto/governance/index.aspx</w:t>
      </w:r>
    </w:hyperlink>
  </w:p>
  <w:p w14:paraId="62FDD656" w14:textId="77777777" w:rsidR="00D33108" w:rsidRPr="002D6577" w:rsidRDefault="00D33108" w:rsidP="00F64F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9FDA7C" w14:textId="77777777" w:rsidR="007773B9" w:rsidRPr="0097056C" w:rsidRDefault="007773B9" w:rsidP="00C56078">
    <w:pPr>
      <w:pStyle w:val="Footer"/>
    </w:pPr>
    <w:r w:rsidRPr="0097056C">
      <w:t>Property of the University of Birmingham, Vincent Drive, Edgbaston, Birmingham, B15 2TT, United Kingdom.</w:t>
    </w:r>
  </w:p>
  <w:p w14:paraId="1C8DCBAC" w14:textId="77777777" w:rsidR="007773B9" w:rsidRPr="0097056C" w:rsidRDefault="007773B9" w:rsidP="00C56078">
    <w:pPr>
      <w:pStyle w:val="Footer"/>
    </w:pPr>
    <w:r w:rsidRPr="0097056C">
      <w:t>This is a controlled document. Any unauthorised prints/downloads of this document will be classed as uncontrolled.</w:t>
    </w:r>
  </w:p>
  <w:p w14:paraId="06CB4C72" w14:textId="77777777" w:rsidR="0097056C" w:rsidRDefault="007773B9" w:rsidP="00C56078">
    <w:pPr>
      <w:pStyle w:val="Footer"/>
      <w:rPr>
        <w:rStyle w:val="Hyperlink"/>
      </w:rPr>
    </w:pPr>
    <w:r w:rsidRPr="0097056C">
      <w:t xml:space="preserve">For the latest version refer to: </w:t>
    </w:r>
    <w:hyperlink r:id="rId1" w:tooltip="Link to CRCT website" w:history="1">
      <w:r w:rsidR="00D7036B" w:rsidRPr="0097056C">
        <w:rPr>
          <w:rStyle w:val="Hyperlink"/>
        </w:rPr>
        <w:t>birmingham.ac.uk/crct</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5271DF" w14:textId="77777777" w:rsidR="00DD3075" w:rsidRDefault="00DD3075" w:rsidP="00F64FE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Look w:val="00A0" w:firstRow="1" w:lastRow="0" w:firstColumn="1" w:lastColumn="0" w:noHBand="0" w:noVBand="0"/>
      <w:tblCaption w:val="Document Information"/>
      <w:tblDescription w:val="This includes the document code, version number, print date and page number. "/>
    </w:tblPr>
    <w:tblGrid>
      <w:gridCol w:w="1441"/>
      <w:gridCol w:w="3073"/>
      <w:gridCol w:w="3283"/>
      <w:gridCol w:w="1230"/>
    </w:tblGrid>
    <w:tr w:rsidR="00A668FC" w:rsidRPr="002D6577" w14:paraId="4B35872F" w14:textId="77777777" w:rsidTr="00A5347A">
      <w:trPr>
        <w:trHeight w:val="148"/>
      </w:trPr>
      <w:tc>
        <w:tcPr>
          <w:tcW w:w="1441" w:type="dxa"/>
          <w:tcMar>
            <w:top w:w="0" w:type="dxa"/>
            <w:left w:w="57" w:type="dxa"/>
            <w:bottom w:w="0" w:type="dxa"/>
            <w:right w:w="57" w:type="dxa"/>
          </w:tcMar>
          <w:vAlign w:val="center"/>
        </w:tcPr>
        <w:p w14:paraId="3D43DB71" w14:textId="77777777" w:rsidR="00A668FC" w:rsidRPr="001C6EFB" w:rsidRDefault="00A668FC" w:rsidP="00A5347A">
          <w:pPr>
            <w:pStyle w:val="Footer"/>
            <w:jc w:val="left"/>
          </w:pPr>
          <w:r w:rsidRPr="001C6EFB">
            <w:t>Document code:</w:t>
          </w:r>
        </w:p>
      </w:tc>
      <w:tc>
        <w:tcPr>
          <w:tcW w:w="3073" w:type="dxa"/>
          <w:tcMar>
            <w:top w:w="0" w:type="dxa"/>
            <w:left w:w="57" w:type="dxa"/>
            <w:bottom w:w="0" w:type="dxa"/>
            <w:right w:w="57" w:type="dxa"/>
          </w:tcMar>
          <w:vAlign w:val="center"/>
        </w:tcPr>
        <w:p w14:paraId="6F4641C9" w14:textId="6333A3A0" w:rsidR="00A668FC" w:rsidRPr="001C6EFB" w:rsidRDefault="00B474A3" w:rsidP="00075D91">
          <w:pPr>
            <w:pStyle w:val="Footer"/>
            <w:jc w:val="left"/>
          </w:pPr>
          <w:r>
            <w:t>UoB-PEI-QCD-001</w:t>
          </w:r>
        </w:p>
      </w:tc>
      <w:tc>
        <w:tcPr>
          <w:tcW w:w="3283" w:type="dxa"/>
          <w:tcMar>
            <w:top w:w="0" w:type="dxa"/>
            <w:left w:w="57" w:type="dxa"/>
            <w:bottom w:w="0" w:type="dxa"/>
            <w:right w:w="57" w:type="dxa"/>
          </w:tcMar>
          <w:vAlign w:val="center"/>
        </w:tcPr>
        <w:p w14:paraId="75569DA6" w14:textId="77777777" w:rsidR="00A668FC" w:rsidRPr="001C6EFB" w:rsidRDefault="00A668FC" w:rsidP="00A5347A">
          <w:pPr>
            <w:pStyle w:val="Footer"/>
            <w:jc w:val="right"/>
          </w:pPr>
          <w:r w:rsidRPr="001C6EFB">
            <w:t>Print Date:</w:t>
          </w:r>
        </w:p>
      </w:tc>
      <w:tc>
        <w:tcPr>
          <w:tcW w:w="1230" w:type="dxa"/>
          <w:tcMar>
            <w:top w:w="0" w:type="dxa"/>
            <w:left w:w="57" w:type="dxa"/>
            <w:bottom w:w="0" w:type="dxa"/>
            <w:right w:w="57" w:type="dxa"/>
          </w:tcMar>
          <w:vAlign w:val="center"/>
        </w:tcPr>
        <w:p w14:paraId="16EADD39" w14:textId="24E7AAFD" w:rsidR="00A668FC" w:rsidRPr="001C6EFB" w:rsidRDefault="00044A64" w:rsidP="00A5347A">
          <w:pPr>
            <w:pStyle w:val="Footer"/>
            <w:jc w:val="right"/>
          </w:pPr>
          <w:r>
            <w:fldChar w:fldCharType="begin"/>
          </w:r>
          <w:r>
            <w:instrText xml:space="preserve"> DATE  \@ "dd-MMM-yyyy"  \* MERGEFORMAT </w:instrText>
          </w:r>
          <w:r>
            <w:fldChar w:fldCharType="separate"/>
          </w:r>
          <w:r w:rsidR="00185F78">
            <w:rPr>
              <w:noProof/>
            </w:rPr>
            <w:t>24-Jun-2024</w:t>
          </w:r>
          <w:r>
            <w:fldChar w:fldCharType="end"/>
          </w:r>
        </w:p>
      </w:tc>
    </w:tr>
    <w:tr w:rsidR="00A668FC" w:rsidRPr="002D6577" w14:paraId="1E229F85" w14:textId="77777777" w:rsidTr="00A5347A">
      <w:tc>
        <w:tcPr>
          <w:tcW w:w="1441" w:type="dxa"/>
          <w:tcMar>
            <w:top w:w="0" w:type="dxa"/>
            <w:left w:w="57" w:type="dxa"/>
            <w:bottom w:w="0" w:type="dxa"/>
            <w:right w:w="57" w:type="dxa"/>
          </w:tcMar>
          <w:vAlign w:val="center"/>
        </w:tcPr>
        <w:p w14:paraId="5F8FE7BF" w14:textId="77777777" w:rsidR="00A668FC" w:rsidRPr="001C6EFB" w:rsidRDefault="00A668FC" w:rsidP="00A5347A">
          <w:pPr>
            <w:pStyle w:val="Footer"/>
            <w:jc w:val="left"/>
          </w:pPr>
          <w:r w:rsidRPr="001C6EFB">
            <w:t>Version no:</w:t>
          </w:r>
        </w:p>
      </w:tc>
      <w:tc>
        <w:tcPr>
          <w:tcW w:w="3073" w:type="dxa"/>
          <w:tcMar>
            <w:top w:w="0" w:type="dxa"/>
            <w:left w:w="57" w:type="dxa"/>
            <w:bottom w:w="0" w:type="dxa"/>
            <w:right w:w="57" w:type="dxa"/>
          </w:tcMar>
          <w:vAlign w:val="center"/>
        </w:tcPr>
        <w:p w14:paraId="2EBA63C7" w14:textId="3E0095C5" w:rsidR="00A668FC" w:rsidRPr="001C6EFB" w:rsidRDefault="00920CB7" w:rsidP="00A5347A">
          <w:pPr>
            <w:pStyle w:val="Footer"/>
            <w:jc w:val="left"/>
          </w:pPr>
          <w:r>
            <w:t>1.0</w:t>
          </w:r>
        </w:p>
      </w:tc>
      <w:tc>
        <w:tcPr>
          <w:tcW w:w="3283" w:type="dxa"/>
          <w:tcMar>
            <w:top w:w="0" w:type="dxa"/>
            <w:left w:w="57" w:type="dxa"/>
            <w:bottom w:w="0" w:type="dxa"/>
            <w:right w:w="57" w:type="dxa"/>
          </w:tcMar>
          <w:vAlign w:val="center"/>
        </w:tcPr>
        <w:p w14:paraId="3F929785" w14:textId="77777777" w:rsidR="00A668FC" w:rsidRPr="001C6EFB" w:rsidRDefault="00A668FC" w:rsidP="00A5347A">
          <w:pPr>
            <w:pStyle w:val="Footer"/>
            <w:jc w:val="right"/>
          </w:pPr>
          <w:r w:rsidRPr="001C6EFB">
            <w:t>Page:</w:t>
          </w:r>
        </w:p>
      </w:tc>
      <w:tc>
        <w:tcPr>
          <w:tcW w:w="1230" w:type="dxa"/>
          <w:tcMar>
            <w:top w:w="0" w:type="dxa"/>
            <w:left w:w="57" w:type="dxa"/>
            <w:bottom w:w="0" w:type="dxa"/>
            <w:right w:w="57" w:type="dxa"/>
          </w:tcMar>
          <w:vAlign w:val="center"/>
        </w:tcPr>
        <w:p w14:paraId="75CB9511" w14:textId="77777777" w:rsidR="00A668FC" w:rsidRPr="001C6EFB" w:rsidRDefault="00A668FC" w:rsidP="00A5347A">
          <w:pPr>
            <w:pStyle w:val="Footer"/>
            <w:jc w:val="right"/>
          </w:pPr>
          <w:r w:rsidRPr="001C6EFB">
            <w:t xml:space="preserve"> </w:t>
          </w:r>
          <w:r w:rsidR="0060052C">
            <w:fldChar w:fldCharType="begin"/>
          </w:r>
          <w:r w:rsidR="0060052C">
            <w:instrText xml:space="preserve"> PAGE   \* MERGEFORMAT </w:instrText>
          </w:r>
          <w:r w:rsidR="0060052C">
            <w:fldChar w:fldCharType="separate"/>
          </w:r>
          <w:r w:rsidR="00B940A8">
            <w:rPr>
              <w:noProof/>
            </w:rPr>
            <w:t>2</w:t>
          </w:r>
          <w:r w:rsidR="0060052C">
            <w:fldChar w:fldCharType="end"/>
          </w:r>
          <w:r w:rsidRPr="001C6EFB">
            <w:t xml:space="preserve"> of </w:t>
          </w:r>
          <w:r w:rsidR="00185F78">
            <w:fldChar w:fldCharType="begin"/>
          </w:r>
          <w:r w:rsidR="00185F78">
            <w:instrText xml:space="preserve"> NUMPAGES   \* MERGEFORMAT </w:instrText>
          </w:r>
          <w:r w:rsidR="00185F78">
            <w:fldChar w:fldCharType="separate"/>
          </w:r>
          <w:r w:rsidR="00B940A8">
            <w:rPr>
              <w:noProof/>
            </w:rPr>
            <w:t>2</w:t>
          </w:r>
          <w:r w:rsidR="00185F78">
            <w:rPr>
              <w:noProof/>
            </w:rPr>
            <w:fldChar w:fldCharType="end"/>
          </w:r>
        </w:p>
      </w:tc>
    </w:tr>
  </w:tbl>
  <w:p w14:paraId="314E6BFD" w14:textId="77777777" w:rsidR="00DD3075" w:rsidRPr="003A24EB" w:rsidRDefault="00DD3075" w:rsidP="00F64FE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1308D9" w14:textId="77777777" w:rsidR="00DD3075" w:rsidRDefault="00DD3075" w:rsidP="00F64FE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Look w:val="00A0" w:firstRow="1" w:lastRow="0" w:firstColumn="1" w:lastColumn="0" w:noHBand="0" w:noVBand="0"/>
      <w:tblCaption w:val="Document Information"/>
      <w:tblDescription w:val="This includes the document code, version number, print date and page number. "/>
    </w:tblPr>
    <w:tblGrid>
      <w:gridCol w:w="7797"/>
      <w:gridCol w:w="1230"/>
    </w:tblGrid>
    <w:tr w:rsidR="00075D91" w:rsidRPr="002D6577" w14:paraId="6C9F6A5D" w14:textId="77777777" w:rsidTr="00BA1992">
      <w:trPr>
        <w:trHeight w:val="148"/>
      </w:trPr>
      <w:tc>
        <w:tcPr>
          <w:tcW w:w="9027" w:type="dxa"/>
          <w:gridSpan w:val="2"/>
          <w:tcMar>
            <w:top w:w="0" w:type="dxa"/>
            <w:left w:w="57" w:type="dxa"/>
            <w:bottom w:w="0" w:type="dxa"/>
            <w:right w:w="57" w:type="dxa"/>
          </w:tcMar>
          <w:vAlign w:val="center"/>
        </w:tcPr>
        <w:p w14:paraId="120F3636" w14:textId="2D325534" w:rsidR="00075D91" w:rsidRPr="00075D91" w:rsidRDefault="00075D91" w:rsidP="00075D91">
          <w:pPr>
            <w:pStyle w:val="Footer"/>
            <w:jc w:val="left"/>
          </w:pPr>
        </w:p>
      </w:tc>
    </w:tr>
    <w:tr w:rsidR="00075D91" w:rsidRPr="002D6577" w14:paraId="76413C62" w14:textId="77777777" w:rsidTr="001E602C">
      <w:tc>
        <w:tcPr>
          <w:tcW w:w="7797" w:type="dxa"/>
          <w:tcMar>
            <w:top w:w="0" w:type="dxa"/>
            <w:left w:w="57" w:type="dxa"/>
            <w:bottom w:w="0" w:type="dxa"/>
            <w:right w:w="57" w:type="dxa"/>
          </w:tcMar>
          <w:vAlign w:val="center"/>
        </w:tcPr>
        <w:p w14:paraId="3AC06D31" w14:textId="6B97F609" w:rsidR="00075D91" w:rsidRPr="00075D91" w:rsidRDefault="00C538DD" w:rsidP="00075D91">
          <w:pPr>
            <w:pStyle w:val="Footer"/>
            <w:jc w:val="left"/>
          </w:pPr>
          <w:r>
            <w:t>UoB-PEI-QCD-</w:t>
          </w:r>
          <w:r w:rsidR="001F0A6E">
            <w:t>001</w:t>
          </w:r>
          <w:r w:rsidR="00A64E58">
            <w:t xml:space="preserve"> v</w:t>
          </w:r>
          <w:r w:rsidR="00B76E04">
            <w:t>1.0</w:t>
          </w:r>
          <w:r w:rsidR="00A64E58">
            <w:t xml:space="preserve"> </w:t>
          </w:r>
        </w:p>
      </w:tc>
      <w:tc>
        <w:tcPr>
          <w:tcW w:w="1230" w:type="dxa"/>
          <w:tcMar>
            <w:top w:w="0" w:type="dxa"/>
            <w:left w:w="57" w:type="dxa"/>
            <w:bottom w:w="0" w:type="dxa"/>
            <w:right w:w="57" w:type="dxa"/>
          </w:tcMar>
          <w:vAlign w:val="center"/>
        </w:tcPr>
        <w:p w14:paraId="0329D0F0" w14:textId="77777777" w:rsidR="00075D91" w:rsidRPr="001C6EFB" w:rsidRDefault="00075D91" w:rsidP="00A5347A">
          <w:pPr>
            <w:pStyle w:val="Footer"/>
            <w:jc w:val="right"/>
          </w:pPr>
          <w:r w:rsidRPr="001C6EFB">
            <w:t xml:space="preserve"> </w:t>
          </w:r>
          <w:r>
            <w:t xml:space="preserve">Page </w:t>
          </w:r>
          <w:r>
            <w:fldChar w:fldCharType="begin"/>
          </w:r>
          <w:r>
            <w:instrText xml:space="preserve"> PAGE   \* MERGEFORMAT </w:instrText>
          </w:r>
          <w:r>
            <w:fldChar w:fldCharType="separate"/>
          </w:r>
          <w:r>
            <w:rPr>
              <w:noProof/>
            </w:rPr>
            <w:t>2</w:t>
          </w:r>
          <w:r>
            <w:fldChar w:fldCharType="end"/>
          </w:r>
          <w:r w:rsidRPr="001C6EFB">
            <w:t xml:space="preserve"> of </w:t>
          </w:r>
          <w:r w:rsidR="00185F78">
            <w:fldChar w:fldCharType="begin"/>
          </w:r>
          <w:r w:rsidR="00185F78">
            <w:instrText xml:space="preserve"> NUMPAGES   \* MERGEFORMAT </w:instrText>
          </w:r>
          <w:r w:rsidR="00185F78">
            <w:fldChar w:fldCharType="separate"/>
          </w:r>
          <w:r>
            <w:rPr>
              <w:noProof/>
            </w:rPr>
            <w:t>2</w:t>
          </w:r>
          <w:r w:rsidR="00185F78">
            <w:rPr>
              <w:noProof/>
            </w:rPr>
            <w:fldChar w:fldCharType="end"/>
          </w:r>
        </w:p>
      </w:tc>
    </w:tr>
  </w:tbl>
  <w:p w14:paraId="3FB67A75" w14:textId="77777777" w:rsidR="00075D91" w:rsidRPr="003A24EB" w:rsidRDefault="00075D91" w:rsidP="00F64F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6500A3" w14:textId="77777777" w:rsidR="002E77C8" w:rsidRDefault="002E77C8" w:rsidP="00F46DE6">
      <w:r>
        <w:separator/>
      </w:r>
    </w:p>
    <w:p w14:paraId="66D6349F" w14:textId="77777777" w:rsidR="002E77C8" w:rsidRDefault="002E77C8" w:rsidP="00F46DE6"/>
  </w:footnote>
  <w:footnote w:type="continuationSeparator" w:id="0">
    <w:p w14:paraId="184FEBC4" w14:textId="77777777" w:rsidR="002E77C8" w:rsidRDefault="002E77C8" w:rsidP="00F46DE6">
      <w:r>
        <w:continuationSeparator/>
      </w:r>
    </w:p>
    <w:p w14:paraId="4D147CFE" w14:textId="77777777" w:rsidR="002E77C8" w:rsidRDefault="002E77C8" w:rsidP="00F46D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88A65C" w14:textId="77777777" w:rsidR="00A91AC7" w:rsidRDefault="00FF0711" w:rsidP="00A91AC7">
    <w:pPr>
      <w:jc w:val="left"/>
    </w:pPr>
    <w:r w:rsidRPr="00F16569">
      <w:rPr>
        <w:noProof/>
        <w:lang w:eastAsia="en-GB"/>
      </w:rPr>
      <w:drawing>
        <wp:anchor distT="0" distB="0" distL="114300" distR="114300" simplePos="0" relativeHeight="251657728" behindDoc="0" locked="0" layoutInCell="1" allowOverlap="1" wp14:anchorId="5B53EF68" wp14:editId="3E144D7C">
          <wp:simplePos x="0" y="0"/>
          <wp:positionH relativeFrom="column">
            <wp:posOffset>-301625</wp:posOffset>
          </wp:positionH>
          <wp:positionV relativeFrom="page">
            <wp:posOffset>1050925</wp:posOffset>
          </wp:positionV>
          <wp:extent cx="2705100" cy="1062990"/>
          <wp:effectExtent l="0" t="0" r="0" b="0"/>
          <wp:wrapNone/>
          <wp:docPr id="244253374" name="Picture 24425337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705100" cy="10629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Style w:val="TableGrid"/>
      <w:tblpPr w:leftFromText="180" w:rightFromText="180" w:vertAnchor="text" w:horzAnchor="margin" w:tblpXSpec="right" w:tblpY="-88"/>
      <w:tblW w:w="0" w:type="auto"/>
      <w:tblBorders>
        <w:insideH w:val="none" w:sz="0" w:space="0" w:color="auto"/>
        <w:insideV w:val="none" w:sz="0" w:space="0" w:color="auto"/>
      </w:tblBorders>
      <w:tblLook w:val="04A0" w:firstRow="1" w:lastRow="0" w:firstColumn="1" w:lastColumn="0" w:noHBand="0" w:noVBand="1"/>
      <w:tblCaption w:val="Document Information"/>
      <w:tblDescription w:val="This includes the document code, version number, effective date, print date and page number. "/>
    </w:tblPr>
    <w:tblGrid>
      <w:gridCol w:w="1555"/>
      <w:gridCol w:w="2154"/>
    </w:tblGrid>
    <w:tr w:rsidR="00A91AC7" w14:paraId="27E209FC" w14:textId="77777777" w:rsidTr="00901562">
      <w:trPr>
        <w:trHeight w:val="278"/>
        <w:tblHeader/>
      </w:trPr>
      <w:tc>
        <w:tcPr>
          <w:tcW w:w="1555" w:type="dxa"/>
          <w:vAlign w:val="center"/>
        </w:tcPr>
        <w:p w14:paraId="1F62DC5C" w14:textId="77777777" w:rsidR="00A91AC7" w:rsidRDefault="00A91AC7" w:rsidP="005405BD">
          <w:pPr>
            <w:pStyle w:val="Footer"/>
            <w:jc w:val="left"/>
          </w:pPr>
          <w:r w:rsidRPr="001C6EFB">
            <w:t>Document code:</w:t>
          </w:r>
        </w:p>
      </w:tc>
      <w:tc>
        <w:tcPr>
          <w:tcW w:w="2154" w:type="dxa"/>
          <w:vAlign w:val="center"/>
        </w:tcPr>
        <w:p w14:paraId="2EAC6D18" w14:textId="1849B14C" w:rsidR="00A91AC7" w:rsidRDefault="002E77C8" w:rsidP="00075D91">
          <w:pPr>
            <w:pStyle w:val="Footer"/>
            <w:jc w:val="right"/>
          </w:pPr>
          <w:r>
            <w:t>UoB-PEI-QCD-001</w:t>
          </w:r>
        </w:p>
      </w:tc>
    </w:tr>
    <w:tr w:rsidR="00A91AC7" w14:paraId="2C399923" w14:textId="77777777" w:rsidTr="00901562">
      <w:trPr>
        <w:trHeight w:val="278"/>
      </w:trPr>
      <w:tc>
        <w:tcPr>
          <w:tcW w:w="1555" w:type="dxa"/>
          <w:vAlign w:val="center"/>
        </w:tcPr>
        <w:p w14:paraId="25A5E157" w14:textId="77777777" w:rsidR="00A91AC7" w:rsidRDefault="00A91AC7" w:rsidP="005405BD">
          <w:pPr>
            <w:pStyle w:val="Footer"/>
            <w:jc w:val="left"/>
          </w:pPr>
          <w:r w:rsidRPr="001C6EFB">
            <w:t>Version no:</w:t>
          </w:r>
        </w:p>
      </w:tc>
      <w:tc>
        <w:tcPr>
          <w:tcW w:w="2154" w:type="dxa"/>
          <w:vAlign w:val="center"/>
        </w:tcPr>
        <w:p w14:paraId="67C28372" w14:textId="1F841BB8" w:rsidR="00A91AC7" w:rsidRDefault="000919FA" w:rsidP="005405BD">
          <w:pPr>
            <w:pStyle w:val="Footer"/>
            <w:jc w:val="right"/>
          </w:pPr>
          <w:r>
            <w:t>1.0</w:t>
          </w:r>
        </w:p>
      </w:tc>
    </w:tr>
    <w:tr w:rsidR="00A91AC7" w14:paraId="16E195F8" w14:textId="77777777" w:rsidTr="00901562">
      <w:trPr>
        <w:trHeight w:val="278"/>
      </w:trPr>
      <w:tc>
        <w:tcPr>
          <w:tcW w:w="1555" w:type="dxa"/>
          <w:vAlign w:val="center"/>
        </w:tcPr>
        <w:p w14:paraId="38B49CB2" w14:textId="77777777" w:rsidR="00A91AC7" w:rsidRDefault="00A91AC7" w:rsidP="005405BD">
          <w:pPr>
            <w:pStyle w:val="Footer"/>
            <w:jc w:val="left"/>
          </w:pPr>
          <w:r>
            <w:t>Effective date:</w:t>
          </w:r>
        </w:p>
      </w:tc>
      <w:tc>
        <w:tcPr>
          <w:tcW w:w="2154" w:type="dxa"/>
          <w:vAlign w:val="center"/>
        </w:tcPr>
        <w:p w14:paraId="03EC2F5C" w14:textId="57029742" w:rsidR="00A91AC7" w:rsidRDefault="000919FA" w:rsidP="005405BD">
          <w:pPr>
            <w:pStyle w:val="Footer"/>
            <w:jc w:val="right"/>
          </w:pPr>
          <w:r>
            <w:t>17-Jul-2024</w:t>
          </w:r>
        </w:p>
      </w:tc>
    </w:tr>
    <w:tr w:rsidR="00A91AC7" w14:paraId="6EB81B84" w14:textId="77777777" w:rsidTr="00901562">
      <w:trPr>
        <w:trHeight w:val="278"/>
      </w:trPr>
      <w:tc>
        <w:tcPr>
          <w:tcW w:w="1555" w:type="dxa"/>
          <w:vAlign w:val="center"/>
        </w:tcPr>
        <w:p w14:paraId="674311C0" w14:textId="77777777" w:rsidR="00A91AC7" w:rsidRPr="001C6EFB" w:rsidRDefault="00A91AC7" w:rsidP="005405BD">
          <w:pPr>
            <w:pStyle w:val="Footer"/>
            <w:jc w:val="left"/>
          </w:pPr>
          <w:r>
            <w:t>Print d</w:t>
          </w:r>
          <w:r w:rsidRPr="001C6EFB">
            <w:t>ate:</w:t>
          </w:r>
        </w:p>
      </w:tc>
      <w:tc>
        <w:tcPr>
          <w:tcW w:w="2154" w:type="dxa"/>
          <w:vAlign w:val="center"/>
        </w:tcPr>
        <w:p w14:paraId="130CD79B" w14:textId="4338FA33" w:rsidR="00A91AC7" w:rsidRDefault="00A91AC7" w:rsidP="005405BD">
          <w:pPr>
            <w:pStyle w:val="Footer"/>
            <w:jc w:val="right"/>
          </w:pPr>
          <w:r>
            <w:fldChar w:fldCharType="begin"/>
          </w:r>
          <w:r>
            <w:instrText xml:space="preserve"> DATE  \@ "dd-MMM-yyyy"  \* MERGEFORMAT </w:instrText>
          </w:r>
          <w:r>
            <w:fldChar w:fldCharType="separate"/>
          </w:r>
          <w:r w:rsidR="00185F78">
            <w:rPr>
              <w:noProof/>
            </w:rPr>
            <w:t>24-Jun-2024</w:t>
          </w:r>
          <w:r>
            <w:fldChar w:fldCharType="end"/>
          </w:r>
        </w:p>
      </w:tc>
    </w:tr>
    <w:tr w:rsidR="00A91AC7" w14:paraId="28D3C238" w14:textId="77777777" w:rsidTr="00901562">
      <w:trPr>
        <w:trHeight w:val="278"/>
      </w:trPr>
      <w:tc>
        <w:tcPr>
          <w:tcW w:w="1555" w:type="dxa"/>
          <w:vAlign w:val="center"/>
        </w:tcPr>
        <w:p w14:paraId="2804785D" w14:textId="77777777" w:rsidR="00A91AC7" w:rsidRPr="001C6EFB" w:rsidRDefault="00A91AC7" w:rsidP="005405BD">
          <w:pPr>
            <w:pStyle w:val="Footer"/>
            <w:jc w:val="left"/>
          </w:pPr>
          <w:r w:rsidRPr="001C6EFB">
            <w:t>Page:</w:t>
          </w:r>
        </w:p>
      </w:tc>
      <w:tc>
        <w:tcPr>
          <w:tcW w:w="2154" w:type="dxa"/>
          <w:vAlign w:val="center"/>
        </w:tcPr>
        <w:p w14:paraId="4E8A405B" w14:textId="77777777" w:rsidR="00A91AC7" w:rsidRDefault="00A91AC7" w:rsidP="005405BD">
          <w:pPr>
            <w:pStyle w:val="Footer"/>
            <w:jc w:val="right"/>
          </w:pPr>
          <w:r>
            <w:fldChar w:fldCharType="begin"/>
          </w:r>
          <w:r>
            <w:instrText xml:space="preserve"> PAGE   \* MERGEFORMAT </w:instrText>
          </w:r>
          <w:r>
            <w:fldChar w:fldCharType="separate"/>
          </w:r>
          <w:r w:rsidR="00B940A8">
            <w:rPr>
              <w:noProof/>
            </w:rPr>
            <w:t>1</w:t>
          </w:r>
          <w:r>
            <w:fldChar w:fldCharType="end"/>
          </w:r>
          <w:r>
            <w:t xml:space="preserve"> of </w:t>
          </w:r>
          <w:r w:rsidR="00185F78">
            <w:fldChar w:fldCharType="begin"/>
          </w:r>
          <w:r w:rsidR="00185F78">
            <w:instrText xml:space="preserve"> NUMPAGES   \* MERGEFORMAT </w:instrText>
          </w:r>
          <w:r w:rsidR="00185F78">
            <w:fldChar w:fldCharType="separate"/>
          </w:r>
          <w:r w:rsidR="00B940A8">
            <w:rPr>
              <w:noProof/>
            </w:rPr>
            <w:t>2</w:t>
          </w:r>
          <w:r w:rsidR="00185F78">
            <w:rPr>
              <w:noProof/>
            </w:rPr>
            <w:fldChar w:fldCharType="end"/>
          </w:r>
          <w:r w:rsidRPr="001C6EFB">
            <w:t xml:space="preserve"> </w:t>
          </w:r>
        </w:p>
      </w:tc>
    </w:tr>
  </w:tbl>
  <w:p w14:paraId="5ECEAC0B" w14:textId="77777777" w:rsidR="00A91AC7" w:rsidRDefault="00A91AC7" w:rsidP="00F540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7F6F99" w14:textId="77777777" w:rsidR="00DD3075" w:rsidRDefault="00DD3075" w:rsidP="00F540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438579" w14:textId="73B7EB20" w:rsidR="00DD3075" w:rsidRPr="00F64FE9" w:rsidRDefault="00075D91" w:rsidP="00F5404A">
    <w:pPr>
      <w:pStyle w:val="Header"/>
    </w:pPr>
    <w:r>
      <w:t>QCD</w:t>
    </w:r>
    <w:r w:rsidR="00462CF7" w:rsidRPr="00F64FE9">
      <w:t xml:space="preserve">: </w:t>
    </w:r>
    <w:r w:rsidR="009D1F57">
      <w:t>Guidelines for INformed Consent Procedures</w:t>
    </w:r>
  </w:p>
  <w:p w14:paraId="1A6457ED" w14:textId="77777777" w:rsidR="007D79E6" w:rsidRPr="001C75D5" w:rsidRDefault="007D79E6">
    <w:pPr>
      <w:rPr>
        <w:noProof/>
        <w:sz w:val="8"/>
        <w:szCs w:val="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A844C3" w14:textId="77777777" w:rsidR="00DD3075" w:rsidRDefault="00DD3075" w:rsidP="00F5404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680215" w14:textId="77777777" w:rsidR="0069058F" w:rsidRDefault="00CF1011" w:rsidP="00CF1011">
    <w:pPr>
      <w:pStyle w:val="QCDheader"/>
    </w:pPr>
    <w:r w:rsidRPr="00CF1011">
      <w:rPr>
        <w:rStyle w:val="QCDheaderChar"/>
        <w:noProof/>
      </w:rPr>
      <w:drawing>
        <wp:anchor distT="0" distB="0" distL="114300" distR="114300" simplePos="0" relativeHeight="251659776" behindDoc="0" locked="0" layoutInCell="1" allowOverlap="1" wp14:anchorId="2BED6CAF" wp14:editId="4E6F38DC">
          <wp:simplePos x="0" y="0"/>
          <wp:positionH relativeFrom="column">
            <wp:posOffset>-285750</wp:posOffset>
          </wp:positionH>
          <wp:positionV relativeFrom="page">
            <wp:posOffset>106045</wp:posOffset>
          </wp:positionV>
          <wp:extent cx="2338917" cy="750498"/>
          <wp:effectExtent l="0" t="0" r="0" b="0"/>
          <wp:wrapNone/>
          <wp:docPr id="1511529184" name="Picture 1511529184" descr="University of Birmingh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_Marque_Black"/>
                  <pic:cNvPicPr>
                    <a:picLocks noChangeAspect="1" noChangeArrowheads="1"/>
                  </pic:cNvPicPr>
                </pic:nvPicPr>
                <pic:blipFill rotWithShape="1">
                  <a:blip r:embed="rId1">
                    <a:extLst>
                      <a:ext uri="{28A0092B-C50C-407E-A947-70E740481C1C}">
                        <a14:useLocalDpi xmlns:a14="http://schemas.microsoft.com/office/drawing/2010/main" val="0"/>
                      </a:ext>
                    </a:extLst>
                  </a:blip>
                  <a:srcRect b="18208"/>
                  <a:stretch/>
                </pic:blipFill>
                <pic:spPr bwMode="auto">
                  <a:xfrm>
                    <a:off x="0" y="0"/>
                    <a:ext cx="2338917" cy="75049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9058F">
      <w:t xml:space="preserve">Guidelines for </w:t>
    </w:r>
  </w:p>
  <w:p w14:paraId="24DFAF6B" w14:textId="71C42F3F" w:rsidR="00CF1011" w:rsidRPr="00CF1011" w:rsidRDefault="0069058F" w:rsidP="00CF1011">
    <w:pPr>
      <w:pStyle w:val="QCDheader"/>
    </w:pPr>
    <w:r>
      <w:t>informed consent procedures</w:t>
    </w:r>
  </w:p>
  <w:p w14:paraId="3459709E" w14:textId="77777777" w:rsidR="00CF1011" w:rsidRPr="001C75D5" w:rsidRDefault="00CF1011">
    <w:pPr>
      <w:rPr>
        <w:noProof/>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D03BE"/>
    <w:multiLevelType w:val="hybridMultilevel"/>
    <w:tmpl w:val="7F06A2EC"/>
    <w:lvl w:ilvl="0" w:tplc="B0E61B14">
      <w:start w:val="1"/>
      <w:numFmt w:val="bullet"/>
      <w:pStyle w:val="bulletT1"/>
      <w:lvlText w:val=""/>
      <w:lvlJc w:val="left"/>
      <w:pPr>
        <w:ind w:left="36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395874"/>
    <w:multiLevelType w:val="multilevel"/>
    <w:tmpl w:val="31AA8C6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5C74AC1"/>
    <w:multiLevelType w:val="hybridMultilevel"/>
    <w:tmpl w:val="0242E1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8C14EF"/>
    <w:multiLevelType w:val="multilevel"/>
    <w:tmpl w:val="658E95DC"/>
    <w:numStyleLink w:val="Style2"/>
  </w:abstractNum>
  <w:abstractNum w:abstractNumId="4" w15:restartNumberingAfterBreak="0">
    <w:nsid w:val="0BA02114"/>
    <w:multiLevelType w:val="hybridMultilevel"/>
    <w:tmpl w:val="DC565846"/>
    <w:lvl w:ilvl="0" w:tplc="61C088EA">
      <w:start w:val="1"/>
      <w:numFmt w:val="bullet"/>
      <w:pStyle w:val="Instructions-bullet1"/>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652179"/>
    <w:multiLevelType w:val="multilevel"/>
    <w:tmpl w:val="CEE26CD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F195FCC"/>
    <w:multiLevelType w:val="hybridMultilevel"/>
    <w:tmpl w:val="4904997C"/>
    <w:lvl w:ilvl="0" w:tplc="64603A4E">
      <w:numFmt w:val="bullet"/>
      <w:lvlText w:val="-"/>
      <w:lvlJc w:val="left"/>
      <w:pPr>
        <w:ind w:left="405" w:hanging="360"/>
      </w:pPr>
      <w:rPr>
        <w:rFonts w:ascii="Calibri" w:eastAsia="Times New Roman"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7" w15:restartNumberingAfterBreak="0">
    <w:nsid w:val="14924B9B"/>
    <w:multiLevelType w:val="hybridMultilevel"/>
    <w:tmpl w:val="E3AE0E1C"/>
    <w:lvl w:ilvl="0" w:tplc="AD80755C">
      <w:start w:val="1"/>
      <w:numFmt w:val="bullet"/>
      <w:lvlText w:val=""/>
      <w:lvlJc w:val="left"/>
      <w:pPr>
        <w:ind w:left="360" w:hanging="360"/>
      </w:pPr>
      <w:rPr>
        <w:rFonts w:ascii="Wingdings" w:hAnsi="Wingdings" w:hint="default"/>
      </w:rPr>
    </w:lvl>
    <w:lvl w:ilvl="1" w:tplc="9DA081D6">
      <w:start w:val="1"/>
      <w:numFmt w:val="bullet"/>
      <w:lvlText w:val="o"/>
      <w:lvlJc w:val="left"/>
      <w:pPr>
        <w:ind w:left="1080" w:hanging="360"/>
      </w:pPr>
      <w:rPr>
        <w:rFonts w:ascii="Courier New" w:hAnsi="Courier New" w:cs="Courier New" w:hint="default"/>
      </w:rPr>
    </w:lvl>
    <w:lvl w:ilvl="2" w:tplc="C340FC4C">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9CA1AA0"/>
    <w:multiLevelType w:val="hybridMultilevel"/>
    <w:tmpl w:val="37B47F5A"/>
    <w:lvl w:ilvl="0" w:tplc="F73C7BAE">
      <w:start w:val="1"/>
      <w:numFmt w:val="decimal"/>
      <w:lvlText w:val="%1.1.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172550"/>
    <w:multiLevelType w:val="multilevel"/>
    <w:tmpl w:val="F2B49BAE"/>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heme="minorHAnsi" w:eastAsiaTheme="minorHAnsi" w:hAnsiTheme="minorHAnsi" w:cstheme="minorHAns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65C4824"/>
    <w:multiLevelType w:val="hybridMultilevel"/>
    <w:tmpl w:val="D72E7A02"/>
    <w:lvl w:ilvl="0" w:tplc="FBEC0EF2">
      <w:start w:val="1"/>
      <w:numFmt w:val="decimal"/>
      <w:pStyle w:val="Numberlist"/>
      <w:lvlText w:val="%1."/>
      <w:lvlJc w:val="left"/>
      <w:pPr>
        <w:ind w:left="360" w:hanging="360"/>
      </w:pPr>
      <w:rPr>
        <w:rFonts w:hint="default"/>
        <w:color w:val="auto"/>
      </w:rPr>
    </w:lvl>
    <w:lvl w:ilvl="1" w:tplc="7554898E">
      <w:start w:val="1"/>
      <w:numFmt w:val="lowerLetter"/>
      <w:lvlText w:val="%2."/>
      <w:lvlJc w:val="left"/>
      <w:pPr>
        <w:tabs>
          <w:tab w:val="num" w:pos="1440"/>
        </w:tabs>
        <w:ind w:left="1440" w:hanging="360"/>
      </w:pPr>
    </w:lvl>
    <w:lvl w:ilvl="2" w:tplc="785E4974" w:tentative="1">
      <w:start w:val="1"/>
      <w:numFmt w:val="lowerRoman"/>
      <w:lvlText w:val="%3."/>
      <w:lvlJc w:val="right"/>
      <w:pPr>
        <w:tabs>
          <w:tab w:val="num" w:pos="2160"/>
        </w:tabs>
        <w:ind w:left="2160" w:hanging="180"/>
      </w:pPr>
    </w:lvl>
    <w:lvl w:ilvl="3" w:tplc="3BBAC876" w:tentative="1">
      <w:start w:val="1"/>
      <w:numFmt w:val="decimal"/>
      <w:lvlText w:val="%4."/>
      <w:lvlJc w:val="left"/>
      <w:pPr>
        <w:tabs>
          <w:tab w:val="num" w:pos="2880"/>
        </w:tabs>
        <w:ind w:left="2880" w:hanging="360"/>
      </w:pPr>
    </w:lvl>
    <w:lvl w:ilvl="4" w:tplc="F6C441AC" w:tentative="1">
      <w:start w:val="1"/>
      <w:numFmt w:val="lowerLetter"/>
      <w:lvlText w:val="%5."/>
      <w:lvlJc w:val="left"/>
      <w:pPr>
        <w:tabs>
          <w:tab w:val="num" w:pos="3600"/>
        </w:tabs>
        <w:ind w:left="3600" w:hanging="360"/>
      </w:pPr>
    </w:lvl>
    <w:lvl w:ilvl="5" w:tplc="B050A130" w:tentative="1">
      <w:start w:val="1"/>
      <w:numFmt w:val="lowerRoman"/>
      <w:lvlText w:val="%6."/>
      <w:lvlJc w:val="right"/>
      <w:pPr>
        <w:tabs>
          <w:tab w:val="num" w:pos="4320"/>
        </w:tabs>
        <w:ind w:left="4320" w:hanging="180"/>
      </w:pPr>
    </w:lvl>
    <w:lvl w:ilvl="6" w:tplc="4CAE014A" w:tentative="1">
      <w:start w:val="1"/>
      <w:numFmt w:val="decimal"/>
      <w:lvlText w:val="%7."/>
      <w:lvlJc w:val="left"/>
      <w:pPr>
        <w:tabs>
          <w:tab w:val="num" w:pos="5040"/>
        </w:tabs>
        <w:ind w:left="5040" w:hanging="360"/>
      </w:pPr>
    </w:lvl>
    <w:lvl w:ilvl="7" w:tplc="E0E67DE8" w:tentative="1">
      <w:start w:val="1"/>
      <w:numFmt w:val="lowerLetter"/>
      <w:lvlText w:val="%8."/>
      <w:lvlJc w:val="left"/>
      <w:pPr>
        <w:tabs>
          <w:tab w:val="num" w:pos="5760"/>
        </w:tabs>
        <w:ind w:left="5760" w:hanging="360"/>
      </w:pPr>
    </w:lvl>
    <w:lvl w:ilvl="8" w:tplc="B53428EA" w:tentative="1">
      <w:start w:val="1"/>
      <w:numFmt w:val="lowerRoman"/>
      <w:lvlText w:val="%9."/>
      <w:lvlJc w:val="right"/>
      <w:pPr>
        <w:tabs>
          <w:tab w:val="num" w:pos="6480"/>
        </w:tabs>
        <w:ind w:left="6480" w:hanging="180"/>
      </w:pPr>
    </w:lvl>
  </w:abstractNum>
  <w:abstractNum w:abstractNumId="11" w15:restartNumberingAfterBreak="0">
    <w:nsid w:val="2D9A217D"/>
    <w:multiLevelType w:val="multilevel"/>
    <w:tmpl w:val="89004E84"/>
    <w:styleLink w:val="Style1"/>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315E1E45"/>
    <w:multiLevelType w:val="multilevel"/>
    <w:tmpl w:val="FF66B4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3CD7F2D"/>
    <w:multiLevelType w:val="multilevel"/>
    <w:tmpl w:val="CEE26CD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BC70A3B"/>
    <w:multiLevelType w:val="multilevel"/>
    <w:tmpl w:val="658E95DC"/>
    <w:styleLink w:val="Style2"/>
    <w:lvl w:ilvl="0">
      <w:start w:val="1"/>
      <w:numFmt w:val="decimal"/>
      <w:lvlText w:val="%1."/>
      <w:lvlJc w:val="left"/>
      <w:pPr>
        <w:ind w:left="340" w:hanging="340"/>
      </w:pPr>
      <w:rPr>
        <w:rFonts w:hint="default"/>
        <w:color w:val="auto"/>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3C443C74"/>
    <w:multiLevelType w:val="hybridMultilevel"/>
    <w:tmpl w:val="784A547C"/>
    <w:lvl w:ilvl="0" w:tplc="A814AD26">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0705812"/>
    <w:multiLevelType w:val="hybridMultilevel"/>
    <w:tmpl w:val="0980AC84"/>
    <w:lvl w:ilvl="0" w:tplc="F2C653CE">
      <w:start w:val="1"/>
      <w:numFmt w:val="decimal"/>
      <w:pStyle w:val="Instructions-numb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16504BE"/>
    <w:multiLevelType w:val="multilevel"/>
    <w:tmpl w:val="CEE26CD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41D5FC8"/>
    <w:multiLevelType w:val="hybridMultilevel"/>
    <w:tmpl w:val="24FAD7F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BE549AB"/>
    <w:multiLevelType w:val="hybridMultilevel"/>
    <w:tmpl w:val="FC5A8DAE"/>
    <w:lvl w:ilvl="0" w:tplc="CE18074C">
      <w:start w:val="1"/>
      <w:numFmt w:val="bullet"/>
      <w:pStyle w:val="bullet3"/>
      <w:lvlText w:val=""/>
      <w:lvlJc w:val="left"/>
      <w:pPr>
        <w:ind w:left="1040" w:hanging="360"/>
      </w:pPr>
      <w:rPr>
        <w:rFonts w:ascii="Wingdings" w:hAnsi="Wingdings" w:hint="default"/>
      </w:rPr>
    </w:lvl>
    <w:lvl w:ilvl="1" w:tplc="CFA20C1A" w:tentative="1">
      <w:start w:val="1"/>
      <w:numFmt w:val="lowerLetter"/>
      <w:lvlText w:val="%2."/>
      <w:lvlJc w:val="left"/>
      <w:pPr>
        <w:tabs>
          <w:tab w:val="num" w:pos="1780"/>
        </w:tabs>
        <w:ind w:left="1780" w:hanging="360"/>
      </w:pPr>
    </w:lvl>
    <w:lvl w:ilvl="2" w:tplc="0809001B" w:tentative="1">
      <w:start w:val="1"/>
      <w:numFmt w:val="lowerRoman"/>
      <w:lvlText w:val="%3."/>
      <w:lvlJc w:val="right"/>
      <w:pPr>
        <w:tabs>
          <w:tab w:val="num" w:pos="2500"/>
        </w:tabs>
        <w:ind w:left="2500" w:hanging="180"/>
      </w:pPr>
    </w:lvl>
    <w:lvl w:ilvl="3" w:tplc="0809000F" w:tentative="1">
      <w:start w:val="1"/>
      <w:numFmt w:val="decimal"/>
      <w:lvlText w:val="%4."/>
      <w:lvlJc w:val="left"/>
      <w:pPr>
        <w:tabs>
          <w:tab w:val="num" w:pos="3220"/>
        </w:tabs>
        <w:ind w:left="3220" w:hanging="360"/>
      </w:pPr>
    </w:lvl>
    <w:lvl w:ilvl="4" w:tplc="08090019" w:tentative="1">
      <w:start w:val="1"/>
      <w:numFmt w:val="lowerLetter"/>
      <w:lvlText w:val="%5."/>
      <w:lvlJc w:val="left"/>
      <w:pPr>
        <w:tabs>
          <w:tab w:val="num" w:pos="3940"/>
        </w:tabs>
        <w:ind w:left="3940" w:hanging="360"/>
      </w:pPr>
    </w:lvl>
    <w:lvl w:ilvl="5" w:tplc="0809001B" w:tentative="1">
      <w:start w:val="1"/>
      <w:numFmt w:val="lowerRoman"/>
      <w:lvlText w:val="%6."/>
      <w:lvlJc w:val="right"/>
      <w:pPr>
        <w:tabs>
          <w:tab w:val="num" w:pos="4660"/>
        </w:tabs>
        <w:ind w:left="4660" w:hanging="180"/>
      </w:pPr>
    </w:lvl>
    <w:lvl w:ilvl="6" w:tplc="0809000F" w:tentative="1">
      <w:start w:val="1"/>
      <w:numFmt w:val="decimal"/>
      <w:lvlText w:val="%7."/>
      <w:lvlJc w:val="left"/>
      <w:pPr>
        <w:tabs>
          <w:tab w:val="num" w:pos="5380"/>
        </w:tabs>
        <w:ind w:left="5380" w:hanging="360"/>
      </w:pPr>
    </w:lvl>
    <w:lvl w:ilvl="7" w:tplc="08090019" w:tentative="1">
      <w:start w:val="1"/>
      <w:numFmt w:val="lowerLetter"/>
      <w:lvlText w:val="%8."/>
      <w:lvlJc w:val="left"/>
      <w:pPr>
        <w:tabs>
          <w:tab w:val="num" w:pos="6100"/>
        </w:tabs>
        <w:ind w:left="6100" w:hanging="360"/>
      </w:pPr>
    </w:lvl>
    <w:lvl w:ilvl="8" w:tplc="0809001B" w:tentative="1">
      <w:start w:val="1"/>
      <w:numFmt w:val="lowerRoman"/>
      <w:lvlText w:val="%9."/>
      <w:lvlJc w:val="right"/>
      <w:pPr>
        <w:tabs>
          <w:tab w:val="num" w:pos="6820"/>
        </w:tabs>
        <w:ind w:left="6820" w:hanging="180"/>
      </w:pPr>
    </w:lvl>
  </w:abstractNum>
  <w:abstractNum w:abstractNumId="20" w15:restartNumberingAfterBreak="0">
    <w:nsid w:val="5B5215C5"/>
    <w:multiLevelType w:val="hybridMultilevel"/>
    <w:tmpl w:val="828E20A6"/>
    <w:lvl w:ilvl="0" w:tplc="0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C6B3E05"/>
    <w:multiLevelType w:val="multilevel"/>
    <w:tmpl w:val="D14A9AB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2" w15:restartNumberingAfterBreak="0">
    <w:nsid w:val="5DAF433B"/>
    <w:multiLevelType w:val="hybridMultilevel"/>
    <w:tmpl w:val="FA7CF612"/>
    <w:lvl w:ilvl="0" w:tplc="08090001">
      <w:numFmt w:val="bullet"/>
      <w:pStyle w:val="ListBullet"/>
      <w:lvlText w:val=""/>
      <w:lvlJc w:val="left"/>
      <w:pPr>
        <w:ind w:left="720" w:hanging="360"/>
      </w:pPr>
      <w:rPr>
        <w:rFonts w:ascii="Symbol" w:eastAsia="Times New Roman" w:hAnsi="Symbol" w:hint="default"/>
      </w:rPr>
    </w:lvl>
    <w:lvl w:ilvl="1" w:tplc="DB9A5D18"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5856D6C"/>
    <w:multiLevelType w:val="multilevel"/>
    <w:tmpl w:val="44C6C70E"/>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heme="minorHAnsi" w:eastAsiaTheme="minorHAnsi" w:hAnsiTheme="minorHAnsi" w:cstheme="minorHAns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A0A55E8"/>
    <w:multiLevelType w:val="multilevel"/>
    <w:tmpl w:val="0AE2D9B2"/>
    <w:lvl w:ilvl="0">
      <w:start w:val="1"/>
      <w:numFmt w:val="decimal"/>
      <w:pStyle w:val="PN1"/>
      <w:lvlText w:val="%1."/>
      <w:lvlJc w:val="left"/>
      <w:pPr>
        <w:ind w:left="360" w:hanging="360"/>
      </w:pPr>
      <w:rPr>
        <w:rFonts w:hint="default"/>
      </w:rPr>
    </w:lvl>
    <w:lvl w:ilvl="1">
      <w:start w:val="1"/>
      <w:numFmt w:val="decimal"/>
      <w:pStyle w:val="PN11"/>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DB579D5"/>
    <w:multiLevelType w:val="hybridMultilevel"/>
    <w:tmpl w:val="F18C0B52"/>
    <w:lvl w:ilvl="0" w:tplc="C78832EA">
      <w:start w:val="1"/>
      <w:numFmt w:val="bullet"/>
      <w:pStyle w:val="bullet2"/>
      <w:lvlText w:val="○"/>
      <w:lvlJc w:val="left"/>
      <w:pPr>
        <w:ind w:left="700" w:hanging="360"/>
      </w:pPr>
      <w:rPr>
        <w:rFonts w:ascii="Verdana Pro Cond Semibold" w:hAnsi="Verdana Pro Cond Semibold" w:hint="default"/>
      </w:rPr>
    </w:lvl>
    <w:lvl w:ilvl="1" w:tplc="3E1C1D58">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0DC0651"/>
    <w:multiLevelType w:val="hybridMultilevel"/>
    <w:tmpl w:val="F04E9858"/>
    <w:lvl w:ilvl="0" w:tplc="1D721EEE">
      <w:start w:val="202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814814"/>
    <w:multiLevelType w:val="multilevel"/>
    <w:tmpl w:val="70D4DC7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D03340C"/>
    <w:multiLevelType w:val="multilevel"/>
    <w:tmpl w:val="4CEEBA04"/>
    <w:lvl w:ilvl="0">
      <w:start w:val="1"/>
      <w:numFmt w:val="decimal"/>
      <w:lvlText w:val="%1."/>
      <w:lvlJc w:val="left"/>
      <w:pPr>
        <w:ind w:left="360" w:hanging="360"/>
      </w:pPr>
      <w:rPr>
        <w:rFonts w:hint="default"/>
        <w:b/>
        <w:bCs w:val="0"/>
        <w:i w:val="0"/>
        <w:iCs w:val="0"/>
        <w:caps w:val="0"/>
        <w:smallCaps w:val="0"/>
        <w:strike w:val="0"/>
        <w:dstrike w:val="0"/>
        <w:noProof w:val="0"/>
        <w:vanish w:val="0"/>
        <w:color w:val="943634" w:themeColor="accent2" w:themeShade="BF"/>
        <w:spacing w:val="0"/>
        <w:kern w:val="0"/>
        <w:position w:val="0"/>
        <w:sz w:val="24"/>
        <w:u w:val="none"/>
        <w:vertAlign w:val="baseline"/>
        <w:em w:val="none"/>
      </w:rPr>
    </w:lvl>
    <w:lvl w:ilvl="1">
      <w:start w:val="1"/>
      <w:numFmt w:val="decimal"/>
      <w:lvlText w:val="%1.%2"/>
      <w:lvlJc w:val="left"/>
      <w:pPr>
        <w:tabs>
          <w:tab w:val="num" w:pos="567"/>
        </w:tabs>
        <w:ind w:left="567" w:hanging="567"/>
      </w:pPr>
      <w:rPr>
        <w:rFonts w:ascii="Arial" w:hAnsi="Arial" w:hint="default"/>
        <w:b/>
        <w:i w:val="0"/>
        <w:caps w:val="0"/>
        <w:color w:val="0000FF"/>
        <w:sz w:val="22"/>
      </w:rPr>
    </w:lvl>
    <w:lvl w:ilvl="2">
      <w:start w:val="1"/>
      <w:numFmt w:val="decimal"/>
      <w:lvlText w:val="%1.%2.%3"/>
      <w:lvlJc w:val="left"/>
      <w:pPr>
        <w:tabs>
          <w:tab w:val="num" w:pos="680"/>
        </w:tabs>
        <w:ind w:left="680" w:hanging="680"/>
      </w:pPr>
      <w:rPr>
        <w:rFonts w:ascii="Arial" w:hAnsi="Arial" w:hint="default"/>
        <w:b/>
        <w:i w:val="0"/>
        <w:caps w:val="0"/>
        <w:sz w:val="20"/>
      </w:rPr>
    </w:lvl>
    <w:lvl w:ilvl="3">
      <w:start w:val="1"/>
      <w:numFmt w:val="decimal"/>
      <w:lvlText w:val="%1.%2.%3.%4"/>
      <w:lvlJc w:val="left"/>
      <w:pPr>
        <w:tabs>
          <w:tab w:val="num" w:pos="880"/>
        </w:tabs>
        <w:ind w:left="680" w:hanging="680"/>
      </w:pPr>
      <w:rPr>
        <w:rFonts w:ascii="Arial Bold" w:hAnsi="Arial Bold" w:hint="default"/>
        <w:b/>
        <w:i w:val="0"/>
        <w:sz w:val="20"/>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num w:numId="1" w16cid:durableId="654262897">
    <w:abstractNumId w:val="11"/>
  </w:num>
  <w:num w:numId="2" w16cid:durableId="1739474749">
    <w:abstractNumId w:val="15"/>
  </w:num>
  <w:num w:numId="3" w16cid:durableId="1854150415">
    <w:abstractNumId w:val="0"/>
  </w:num>
  <w:num w:numId="4" w16cid:durableId="215943045">
    <w:abstractNumId w:val="25"/>
  </w:num>
  <w:num w:numId="5" w16cid:durableId="2125686376">
    <w:abstractNumId w:val="19"/>
  </w:num>
  <w:num w:numId="6" w16cid:durableId="2092387593">
    <w:abstractNumId w:val="27"/>
  </w:num>
  <w:num w:numId="7" w16cid:durableId="223492826">
    <w:abstractNumId w:val="4"/>
  </w:num>
  <w:num w:numId="8" w16cid:durableId="731470395">
    <w:abstractNumId w:val="16"/>
  </w:num>
  <w:num w:numId="9" w16cid:durableId="2105565099">
    <w:abstractNumId w:val="22"/>
  </w:num>
  <w:num w:numId="10" w16cid:durableId="1768579366">
    <w:abstractNumId w:val="28"/>
  </w:num>
  <w:num w:numId="11" w16cid:durableId="377358866">
    <w:abstractNumId w:val="8"/>
  </w:num>
  <w:num w:numId="12" w16cid:durableId="2095010244">
    <w:abstractNumId w:val="10"/>
  </w:num>
  <w:num w:numId="13" w16cid:durableId="2058551307">
    <w:abstractNumId w:val="7"/>
  </w:num>
  <w:num w:numId="14" w16cid:durableId="1890919626">
    <w:abstractNumId w:val="12"/>
  </w:num>
  <w:num w:numId="15" w16cid:durableId="701518233">
    <w:abstractNumId w:val="10"/>
  </w:num>
  <w:num w:numId="16" w16cid:durableId="1555506712">
    <w:abstractNumId w:val="10"/>
  </w:num>
  <w:num w:numId="17" w16cid:durableId="1065487552">
    <w:abstractNumId w:val="0"/>
  </w:num>
  <w:num w:numId="18" w16cid:durableId="72357749">
    <w:abstractNumId w:val="26"/>
  </w:num>
  <w:num w:numId="19" w16cid:durableId="366568144">
    <w:abstractNumId w:val="0"/>
  </w:num>
  <w:num w:numId="20" w16cid:durableId="2100324454">
    <w:abstractNumId w:val="21"/>
  </w:num>
  <w:num w:numId="21" w16cid:durableId="2129202077">
    <w:abstractNumId w:val="10"/>
    <w:lvlOverride w:ilvl="0">
      <w:startOverride w:val="1"/>
    </w:lvlOverride>
  </w:num>
  <w:num w:numId="22" w16cid:durableId="1954165539">
    <w:abstractNumId w:val="10"/>
    <w:lvlOverride w:ilvl="0">
      <w:startOverride w:val="1"/>
    </w:lvlOverride>
  </w:num>
  <w:num w:numId="23" w16cid:durableId="560099238">
    <w:abstractNumId w:val="10"/>
    <w:lvlOverride w:ilvl="0">
      <w:startOverride w:val="1"/>
    </w:lvlOverride>
  </w:num>
  <w:num w:numId="24" w16cid:durableId="1946960506">
    <w:abstractNumId w:val="10"/>
    <w:lvlOverride w:ilvl="0">
      <w:startOverride w:val="1"/>
    </w:lvlOverride>
  </w:num>
  <w:num w:numId="25" w16cid:durableId="1730835557">
    <w:abstractNumId w:val="0"/>
  </w:num>
  <w:num w:numId="26" w16cid:durableId="967080295">
    <w:abstractNumId w:val="6"/>
  </w:num>
  <w:num w:numId="27" w16cid:durableId="455682754">
    <w:abstractNumId w:val="9"/>
  </w:num>
  <w:num w:numId="28" w16cid:durableId="1084448835">
    <w:abstractNumId w:val="1"/>
  </w:num>
  <w:num w:numId="29" w16cid:durableId="905992767">
    <w:abstractNumId w:val="24"/>
  </w:num>
  <w:num w:numId="30" w16cid:durableId="658921717">
    <w:abstractNumId w:val="2"/>
  </w:num>
  <w:num w:numId="31" w16cid:durableId="1615671213">
    <w:abstractNumId w:val="20"/>
  </w:num>
  <w:num w:numId="32" w16cid:durableId="58675607">
    <w:abstractNumId w:val="5"/>
  </w:num>
  <w:num w:numId="33" w16cid:durableId="1008018007">
    <w:abstractNumId w:val="23"/>
  </w:num>
  <w:num w:numId="34" w16cid:durableId="1129473326">
    <w:abstractNumId w:val="13"/>
  </w:num>
  <w:num w:numId="35" w16cid:durableId="660040120">
    <w:abstractNumId w:val="17"/>
  </w:num>
  <w:num w:numId="36" w16cid:durableId="12288657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44266467">
    <w:abstractNumId w:val="10"/>
    <w:lvlOverride w:ilvl="0">
      <w:startOverride w:val="1"/>
    </w:lvlOverride>
  </w:num>
  <w:num w:numId="38" w16cid:durableId="833684335">
    <w:abstractNumId w:val="10"/>
    <w:lvlOverride w:ilvl="0">
      <w:startOverride w:val="1"/>
    </w:lvlOverride>
  </w:num>
  <w:num w:numId="39" w16cid:durableId="529488213">
    <w:abstractNumId w:val="14"/>
  </w:num>
  <w:num w:numId="40" w16cid:durableId="378089861">
    <w:abstractNumId w:val="3"/>
  </w:num>
  <w:num w:numId="41" w16cid:durableId="144588217">
    <w:abstractNumId w:val="10"/>
    <w:lvlOverride w:ilvl="0">
      <w:startOverride w:val="1"/>
    </w:lvlOverride>
  </w:num>
  <w:num w:numId="42" w16cid:durableId="274756452">
    <w:abstractNumId w:val="10"/>
    <w:lvlOverride w:ilvl="0">
      <w:startOverride w:val="1"/>
    </w:lvlOverride>
  </w:num>
  <w:num w:numId="43" w16cid:durableId="337731661">
    <w:abstractNumId w:val="10"/>
    <w:lvlOverride w:ilvl="0">
      <w:startOverride w:val="1"/>
    </w:lvlOverride>
  </w:num>
  <w:num w:numId="44" w16cid:durableId="242759221">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bordersDoNotSurroundHeader/>
  <w:bordersDoNotSurroundFooter/>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7C8"/>
    <w:rsid w:val="00001603"/>
    <w:rsid w:val="00001923"/>
    <w:rsid w:val="00001A7E"/>
    <w:rsid w:val="000060AE"/>
    <w:rsid w:val="0001086D"/>
    <w:rsid w:val="00012800"/>
    <w:rsid w:val="00013136"/>
    <w:rsid w:val="00013B08"/>
    <w:rsid w:val="000146F1"/>
    <w:rsid w:val="000226EC"/>
    <w:rsid w:val="000229C5"/>
    <w:rsid w:val="00023007"/>
    <w:rsid w:val="00023BC0"/>
    <w:rsid w:val="000317D8"/>
    <w:rsid w:val="000374CB"/>
    <w:rsid w:val="000379D7"/>
    <w:rsid w:val="00037A9C"/>
    <w:rsid w:val="000421FD"/>
    <w:rsid w:val="00043513"/>
    <w:rsid w:val="0004425F"/>
    <w:rsid w:val="00044A64"/>
    <w:rsid w:val="00053A54"/>
    <w:rsid w:val="0005610D"/>
    <w:rsid w:val="00056940"/>
    <w:rsid w:val="000639EF"/>
    <w:rsid w:val="00064262"/>
    <w:rsid w:val="00064F56"/>
    <w:rsid w:val="000650E5"/>
    <w:rsid w:val="00072AD5"/>
    <w:rsid w:val="00072F51"/>
    <w:rsid w:val="000746E9"/>
    <w:rsid w:val="0007480B"/>
    <w:rsid w:val="00075A9D"/>
    <w:rsid w:val="00075D91"/>
    <w:rsid w:val="0007643A"/>
    <w:rsid w:val="00077D41"/>
    <w:rsid w:val="00083C9D"/>
    <w:rsid w:val="000919FA"/>
    <w:rsid w:val="0009369B"/>
    <w:rsid w:val="00095EFA"/>
    <w:rsid w:val="00097B78"/>
    <w:rsid w:val="000A0DFF"/>
    <w:rsid w:val="000A1324"/>
    <w:rsid w:val="000A1B0F"/>
    <w:rsid w:val="000A56BF"/>
    <w:rsid w:val="000A7BE6"/>
    <w:rsid w:val="000B11B5"/>
    <w:rsid w:val="000B1E3E"/>
    <w:rsid w:val="000B442E"/>
    <w:rsid w:val="000B739D"/>
    <w:rsid w:val="000C1A19"/>
    <w:rsid w:val="000C3681"/>
    <w:rsid w:val="000C45B6"/>
    <w:rsid w:val="000C5087"/>
    <w:rsid w:val="000C54A1"/>
    <w:rsid w:val="000D34E7"/>
    <w:rsid w:val="000D3D68"/>
    <w:rsid w:val="000D3E8C"/>
    <w:rsid w:val="000D43A3"/>
    <w:rsid w:val="000D4912"/>
    <w:rsid w:val="000D677A"/>
    <w:rsid w:val="000D70AA"/>
    <w:rsid w:val="000D7D37"/>
    <w:rsid w:val="000E2B7C"/>
    <w:rsid w:val="000E2EAB"/>
    <w:rsid w:val="000E3D24"/>
    <w:rsid w:val="000E5841"/>
    <w:rsid w:val="000F2380"/>
    <w:rsid w:val="000F2ECE"/>
    <w:rsid w:val="000F391A"/>
    <w:rsid w:val="00100541"/>
    <w:rsid w:val="00100D71"/>
    <w:rsid w:val="00101773"/>
    <w:rsid w:val="00101B2B"/>
    <w:rsid w:val="001034FC"/>
    <w:rsid w:val="00103FD0"/>
    <w:rsid w:val="00104D42"/>
    <w:rsid w:val="00105091"/>
    <w:rsid w:val="001057FB"/>
    <w:rsid w:val="001064D3"/>
    <w:rsid w:val="00110971"/>
    <w:rsid w:val="00113E78"/>
    <w:rsid w:val="00113F94"/>
    <w:rsid w:val="001146E5"/>
    <w:rsid w:val="001206F6"/>
    <w:rsid w:val="00120959"/>
    <w:rsid w:val="00121F28"/>
    <w:rsid w:val="00122579"/>
    <w:rsid w:val="00123C6B"/>
    <w:rsid w:val="00124792"/>
    <w:rsid w:val="00125667"/>
    <w:rsid w:val="00127D56"/>
    <w:rsid w:val="001300C8"/>
    <w:rsid w:val="0013051D"/>
    <w:rsid w:val="0013059D"/>
    <w:rsid w:val="00130E43"/>
    <w:rsid w:val="00134690"/>
    <w:rsid w:val="00134766"/>
    <w:rsid w:val="00135E89"/>
    <w:rsid w:val="0014385C"/>
    <w:rsid w:val="001445C0"/>
    <w:rsid w:val="001526FE"/>
    <w:rsid w:val="00163B7C"/>
    <w:rsid w:val="00163F57"/>
    <w:rsid w:val="001653F1"/>
    <w:rsid w:val="00165F48"/>
    <w:rsid w:val="00174B60"/>
    <w:rsid w:val="00174E0E"/>
    <w:rsid w:val="001775A9"/>
    <w:rsid w:val="00180B87"/>
    <w:rsid w:val="00182896"/>
    <w:rsid w:val="0018309A"/>
    <w:rsid w:val="001841A1"/>
    <w:rsid w:val="00184BB7"/>
    <w:rsid w:val="001856A7"/>
    <w:rsid w:val="00185F78"/>
    <w:rsid w:val="00190C93"/>
    <w:rsid w:val="00194EE8"/>
    <w:rsid w:val="00195717"/>
    <w:rsid w:val="00196565"/>
    <w:rsid w:val="001976C1"/>
    <w:rsid w:val="001A024E"/>
    <w:rsid w:val="001A142E"/>
    <w:rsid w:val="001A26D3"/>
    <w:rsid w:val="001A4718"/>
    <w:rsid w:val="001A4A77"/>
    <w:rsid w:val="001A544B"/>
    <w:rsid w:val="001A561F"/>
    <w:rsid w:val="001A6228"/>
    <w:rsid w:val="001A723A"/>
    <w:rsid w:val="001B17B1"/>
    <w:rsid w:val="001B1E29"/>
    <w:rsid w:val="001B2717"/>
    <w:rsid w:val="001B30AD"/>
    <w:rsid w:val="001B3B91"/>
    <w:rsid w:val="001B412F"/>
    <w:rsid w:val="001B4B12"/>
    <w:rsid w:val="001B5617"/>
    <w:rsid w:val="001C314A"/>
    <w:rsid w:val="001C614D"/>
    <w:rsid w:val="001C6EFB"/>
    <w:rsid w:val="001C75D5"/>
    <w:rsid w:val="001D0B50"/>
    <w:rsid w:val="001D0D34"/>
    <w:rsid w:val="001D1245"/>
    <w:rsid w:val="001D17A5"/>
    <w:rsid w:val="001D1986"/>
    <w:rsid w:val="001D28AC"/>
    <w:rsid w:val="001D3B22"/>
    <w:rsid w:val="001D3DB7"/>
    <w:rsid w:val="001D6728"/>
    <w:rsid w:val="001D6F89"/>
    <w:rsid w:val="001D7813"/>
    <w:rsid w:val="001E07D8"/>
    <w:rsid w:val="001E16FE"/>
    <w:rsid w:val="001E4117"/>
    <w:rsid w:val="001E41A3"/>
    <w:rsid w:val="001F0840"/>
    <w:rsid w:val="001F0A6E"/>
    <w:rsid w:val="001F4FC3"/>
    <w:rsid w:val="001F62A2"/>
    <w:rsid w:val="001F7B4E"/>
    <w:rsid w:val="002002DA"/>
    <w:rsid w:val="00202189"/>
    <w:rsid w:val="00202B8D"/>
    <w:rsid w:val="002041BC"/>
    <w:rsid w:val="0020434B"/>
    <w:rsid w:val="00206578"/>
    <w:rsid w:val="002106E5"/>
    <w:rsid w:val="00210C1A"/>
    <w:rsid w:val="0021165B"/>
    <w:rsid w:val="00211B96"/>
    <w:rsid w:val="002135BA"/>
    <w:rsid w:val="00214550"/>
    <w:rsid w:val="002161F5"/>
    <w:rsid w:val="0022018B"/>
    <w:rsid w:val="00220406"/>
    <w:rsid w:val="002227A2"/>
    <w:rsid w:val="0022356E"/>
    <w:rsid w:val="00225D8E"/>
    <w:rsid w:val="00231612"/>
    <w:rsid w:val="00234600"/>
    <w:rsid w:val="0023483C"/>
    <w:rsid w:val="002365F5"/>
    <w:rsid w:val="002422F2"/>
    <w:rsid w:val="002444DB"/>
    <w:rsid w:val="0024558E"/>
    <w:rsid w:val="00245BE3"/>
    <w:rsid w:val="00246623"/>
    <w:rsid w:val="0024670C"/>
    <w:rsid w:val="00247206"/>
    <w:rsid w:val="00247F23"/>
    <w:rsid w:val="00250233"/>
    <w:rsid w:val="002518EA"/>
    <w:rsid w:val="002549E9"/>
    <w:rsid w:val="00254B93"/>
    <w:rsid w:val="0025522A"/>
    <w:rsid w:val="00260007"/>
    <w:rsid w:val="0026080C"/>
    <w:rsid w:val="00262667"/>
    <w:rsid w:val="00264399"/>
    <w:rsid w:val="00266CBF"/>
    <w:rsid w:val="00270EA8"/>
    <w:rsid w:val="00272F58"/>
    <w:rsid w:val="00275BAE"/>
    <w:rsid w:val="00276048"/>
    <w:rsid w:val="00276842"/>
    <w:rsid w:val="00280B8A"/>
    <w:rsid w:val="00281585"/>
    <w:rsid w:val="00282C10"/>
    <w:rsid w:val="00283490"/>
    <w:rsid w:val="00283ED8"/>
    <w:rsid w:val="00290F8C"/>
    <w:rsid w:val="002937FE"/>
    <w:rsid w:val="00293BDD"/>
    <w:rsid w:val="00294BC6"/>
    <w:rsid w:val="00294BDF"/>
    <w:rsid w:val="002952B5"/>
    <w:rsid w:val="0029582C"/>
    <w:rsid w:val="00297DEB"/>
    <w:rsid w:val="002A068A"/>
    <w:rsid w:val="002A0B65"/>
    <w:rsid w:val="002A2680"/>
    <w:rsid w:val="002A27DC"/>
    <w:rsid w:val="002A330A"/>
    <w:rsid w:val="002A38A5"/>
    <w:rsid w:val="002A57C2"/>
    <w:rsid w:val="002A5FA6"/>
    <w:rsid w:val="002A6563"/>
    <w:rsid w:val="002A68D6"/>
    <w:rsid w:val="002B016B"/>
    <w:rsid w:val="002B10B6"/>
    <w:rsid w:val="002B6735"/>
    <w:rsid w:val="002C0BB6"/>
    <w:rsid w:val="002C0E28"/>
    <w:rsid w:val="002C3B21"/>
    <w:rsid w:val="002C67A4"/>
    <w:rsid w:val="002D1FA1"/>
    <w:rsid w:val="002D49D7"/>
    <w:rsid w:val="002D6577"/>
    <w:rsid w:val="002D7DCC"/>
    <w:rsid w:val="002E3060"/>
    <w:rsid w:val="002E3BB0"/>
    <w:rsid w:val="002E6AE2"/>
    <w:rsid w:val="002E6CD6"/>
    <w:rsid w:val="002E721B"/>
    <w:rsid w:val="002E77C8"/>
    <w:rsid w:val="002F0ACA"/>
    <w:rsid w:val="002F281C"/>
    <w:rsid w:val="002F35CA"/>
    <w:rsid w:val="002F4844"/>
    <w:rsid w:val="002F490C"/>
    <w:rsid w:val="002F787E"/>
    <w:rsid w:val="00300D4E"/>
    <w:rsid w:val="00301050"/>
    <w:rsid w:val="003016D5"/>
    <w:rsid w:val="00304754"/>
    <w:rsid w:val="00310F22"/>
    <w:rsid w:val="00314B72"/>
    <w:rsid w:val="0031673C"/>
    <w:rsid w:val="0032079B"/>
    <w:rsid w:val="00323A54"/>
    <w:rsid w:val="0032408C"/>
    <w:rsid w:val="00324A19"/>
    <w:rsid w:val="003313C3"/>
    <w:rsid w:val="00333888"/>
    <w:rsid w:val="00335D05"/>
    <w:rsid w:val="00337AD6"/>
    <w:rsid w:val="00337B7A"/>
    <w:rsid w:val="00340F17"/>
    <w:rsid w:val="00342788"/>
    <w:rsid w:val="00342C1E"/>
    <w:rsid w:val="00342CC7"/>
    <w:rsid w:val="00343541"/>
    <w:rsid w:val="00345620"/>
    <w:rsid w:val="00350A42"/>
    <w:rsid w:val="00351A2D"/>
    <w:rsid w:val="00352FD6"/>
    <w:rsid w:val="003607CB"/>
    <w:rsid w:val="0036201D"/>
    <w:rsid w:val="00363E3C"/>
    <w:rsid w:val="00365D77"/>
    <w:rsid w:val="003713E4"/>
    <w:rsid w:val="00372E92"/>
    <w:rsid w:val="003730A6"/>
    <w:rsid w:val="0037641D"/>
    <w:rsid w:val="00380579"/>
    <w:rsid w:val="00381B35"/>
    <w:rsid w:val="003854BD"/>
    <w:rsid w:val="003876D0"/>
    <w:rsid w:val="00387EFA"/>
    <w:rsid w:val="00390A0B"/>
    <w:rsid w:val="00391A7C"/>
    <w:rsid w:val="00393C4E"/>
    <w:rsid w:val="00395F1E"/>
    <w:rsid w:val="00396CD2"/>
    <w:rsid w:val="003A1879"/>
    <w:rsid w:val="003A2150"/>
    <w:rsid w:val="003A24EB"/>
    <w:rsid w:val="003A2A2C"/>
    <w:rsid w:val="003A4D84"/>
    <w:rsid w:val="003A5879"/>
    <w:rsid w:val="003A7014"/>
    <w:rsid w:val="003A70FF"/>
    <w:rsid w:val="003A7897"/>
    <w:rsid w:val="003B0005"/>
    <w:rsid w:val="003B15C9"/>
    <w:rsid w:val="003B1F55"/>
    <w:rsid w:val="003B1FA8"/>
    <w:rsid w:val="003B2DA7"/>
    <w:rsid w:val="003B34FB"/>
    <w:rsid w:val="003B56C0"/>
    <w:rsid w:val="003B64F8"/>
    <w:rsid w:val="003C04AD"/>
    <w:rsid w:val="003C35EE"/>
    <w:rsid w:val="003C3654"/>
    <w:rsid w:val="003C720C"/>
    <w:rsid w:val="003D25C9"/>
    <w:rsid w:val="003D3E7C"/>
    <w:rsid w:val="003D42E3"/>
    <w:rsid w:val="003D4346"/>
    <w:rsid w:val="003D4BD6"/>
    <w:rsid w:val="003D51DC"/>
    <w:rsid w:val="003D7997"/>
    <w:rsid w:val="003E073D"/>
    <w:rsid w:val="003E6162"/>
    <w:rsid w:val="003F0145"/>
    <w:rsid w:val="003F2345"/>
    <w:rsid w:val="003F499F"/>
    <w:rsid w:val="003F4E5F"/>
    <w:rsid w:val="003F608D"/>
    <w:rsid w:val="003F64A9"/>
    <w:rsid w:val="003F7147"/>
    <w:rsid w:val="003F7AD7"/>
    <w:rsid w:val="00401840"/>
    <w:rsid w:val="00403449"/>
    <w:rsid w:val="00404742"/>
    <w:rsid w:val="0040651B"/>
    <w:rsid w:val="00410682"/>
    <w:rsid w:val="0041265B"/>
    <w:rsid w:val="00413F0A"/>
    <w:rsid w:val="00414858"/>
    <w:rsid w:val="00414F68"/>
    <w:rsid w:val="00417854"/>
    <w:rsid w:val="00420EB6"/>
    <w:rsid w:val="00422A7E"/>
    <w:rsid w:val="004233AD"/>
    <w:rsid w:val="0042380D"/>
    <w:rsid w:val="00423E00"/>
    <w:rsid w:val="004243C4"/>
    <w:rsid w:val="00424C48"/>
    <w:rsid w:val="00424D85"/>
    <w:rsid w:val="00426CB9"/>
    <w:rsid w:val="00427189"/>
    <w:rsid w:val="00431633"/>
    <w:rsid w:val="00432B0E"/>
    <w:rsid w:val="00432B85"/>
    <w:rsid w:val="00433584"/>
    <w:rsid w:val="00434072"/>
    <w:rsid w:val="004342B5"/>
    <w:rsid w:val="00435EAE"/>
    <w:rsid w:val="00441DE6"/>
    <w:rsid w:val="00445DD9"/>
    <w:rsid w:val="00447DE8"/>
    <w:rsid w:val="00454205"/>
    <w:rsid w:val="00460073"/>
    <w:rsid w:val="00462B5B"/>
    <w:rsid w:val="00462CF7"/>
    <w:rsid w:val="00467F74"/>
    <w:rsid w:val="00474B7F"/>
    <w:rsid w:val="00475745"/>
    <w:rsid w:val="0047658C"/>
    <w:rsid w:val="00476DB0"/>
    <w:rsid w:val="004773E0"/>
    <w:rsid w:val="004810D9"/>
    <w:rsid w:val="0048194C"/>
    <w:rsid w:val="004827DE"/>
    <w:rsid w:val="00482B0E"/>
    <w:rsid w:val="00485E6A"/>
    <w:rsid w:val="0048641A"/>
    <w:rsid w:val="00490084"/>
    <w:rsid w:val="0049154B"/>
    <w:rsid w:val="00494B31"/>
    <w:rsid w:val="00496C83"/>
    <w:rsid w:val="00497A4C"/>
    <w:rsid w:val="00497E87"/>
    <w:rsid w:val="004A1B2A"/>
    <w:rsid w:val="004A364B"/>
    <w:rsid w:val="004A4882"/>
    <w:rsid w:val="004A4FF8"/>
    <w:rsid w:val="004A75B7"/>
    <w:rsid w:val="004B03A3"/>
    <w:rsid w:val="004B09E5"/>
    <w:rsid w:val="004B0C68"/>
    <w:rsid w:val="004B0C77"/>
    <w:rsid w:val="004B3DB9"/>
    <w:rsid w:val="004B7034"/>
    <w:rsid w:val="004C2253"/>
    <w:rsid w:val="004C366B"/>
    <w:rsid w:val="004C46FF"/>
    <w:rsid w:val="004C526D"/>
    <w:rsid w:val="004C560A"/>
    <w:rsid w:val="004C5E89"/>
    <w:rsid w:val="004C6631"/>
    <w:rsid w:val="004D05BE"/>
    <w:rsid w:val="004D1948"/>
    <w:rsid w:val="004E21EE"/>
    <w:rsid w:val="004E4840"/>
    <w:rsid w:val="004E4D87"/>
    <w:rsid w:val="004E5613"/>
    <w:rsid w:val="004E5F84"/>
    <w:rsid w:val="004E7EB2"/>
    <w:rsid w:val="004F28BC"/>
    <w:rsid w:val="004F3518"/>
    <w:rsid w:val="00500409"/>
    <w:rsid w:val="005020DE"/>
    <w:rsid w:val="005024F4"/>
    <w:rsid w:val="00502A82"/>
    <w:rsid w:val="005030FC"/>
    <w:rsid w:val="00504B19"/>
    <w:rsid w:val="00512BE1"/>
    <w:rsid w:val="00512C56"/>
    <w:rsid w:val="00513DB5"/>
    <w:rsid w:val="00514285"/>
    <w:rsid w:val="005142C2"/>
    <w:rsid w:val="00515191"/>
    <w:rsid w:val="00515F0F"/>
    <w:rsid w:val="00516200"/>
    <w:rsid w:val="005223BE"/>
    <w:rsid w:val="00522648"/>
    <w:rsid w:val="00522ABB"/>
    <w:rsid w:val="00523A23"/>
    <w:rsid w:val="00524111"/>
    <w:rsid w:val="005244FB"/>
    <w:rsid w:val="00525CA4"/>
    <w:rsid w:val="0052745F"/>
    <w:rsid w:val="00527E78"/>
    <w:rsid w:val="005343E6"/>
    <w:rsid w:val="005354C1"/>
    <w:rsid w:val="0053623B"/>
    <w:rsid w:val="005405BD"/>
    <w:rsid w:val="005431BE"/>
    <w:rsid w:val="00543C1B"/>
    <w:rsid w:val="0055153E"/>
    <w:rsid w:val="0055342C"/>
    <w:rsid w:val="00556B76"/>
    <w:rsid w:val="0055740E"/>
    <w:rsid w:val="005636D5"/>
    <w:rsid w:val="005663EA"/>
    <w:rsid w:val="005679B7"/>
    <w:rsid w:val="005708FE"/>
    <w:rsid w:val="00571788"/>
    <w:rsid w:val="00571A9B"/>
    <w:rsid w:val="005823E1"/>
    <w:rsid w:val="0058476F"/>
    <w:rsid w:val="00584775"/>
    <w:rsid w:val="00586C5E"/>
    <w:rsid w:val="00587557"/>
    <w:rsid w:val="00592FFB"/>
    <w:rsid w:val="00593FA9"/>
    <w:rsid w:val="005948ED"/>
    <w:rsid w:val="005951E3"/>
    <w:rsid w:val="0059568E"/>
    <w:rsid w:val="005956FD"/>
    <w:rsid w:val="0059652D"/>
    <w:rsid w:val="005A1486"/>
    <w:rsid w:val="005A1CF3"/>
    <w:rsid w:val="005A6461"/>
    <w:rsid w:val="005B2B90"/>
    <w:rsid w:val="005B2E43"/>
    <w:rsid w:val="005B5AA9"/>
    <w:rsid w:val="005C38BD"/>
    <w:rsid w:val="005C3D83"/>
    <w:rsid w:val="005C7A45"/>
    <w:rsid w:val="005C7D15"/>
    <w:rsid w:val="005D085D"/>
    <w:rsid w:val="005D17F6"/>
    <w:rsid w:val="005D321A"/>
    <w:rsid w:val="005D40D9"/>
    <w:rsid w:val="005E1F7C"/>
    <w:rsid w:val="005F0420"/>
    <w:rsid w:val="005F175F"/>
    <w:rsid w:val="005F1AD8"/>
    <w:rsid w:val="005F2DE3"/>
    <w:rsid w:val="005F520A"/>
    <w:rsid w:val="00600106"/>
    <w:rsid w:val="0060052C"/>
    <w:rsid w:val="006031E9"/>
    <w:rsid w:val="0060493A"/>
    <w:rsid w:val="00605E24"/>
    <w:rsid w:val="006119AC"/>
    <w:rsid w:val="00613A01"/>
    <w:rsid w:val="006147A9"/>
    <w:rsid w:val="006176B2"/>
    <w:rsid w:val="00617A5C"/>
    <w:rsid w:val="00624B79"/>
    <w:rsid w:val="00630316"/>
    <w:rsid w:val="0063129B"/>
    <w:rsid w:val="00634CA3"/>
    <w:rsid w:val="00635CB7"/>
    <w:rsid w:val="00636907"/>
    <w:rsid w:val="00636BD2"/>
    <w:rsid w:val="006372C5"/>
    <w:rsid w:val="00640296"/>
    <w:rsid w:val="0064327C"/>
    <w:rsid w:val="0064360D"/>
    <w:rsid w:val="006452BA"/>
    <w:rsid w:val="00646D09"/>
    <w:rsid w:val="00651CD9"/>
    <w:rsid w:val="006526E8"/>
    <w:rsid w:val="00653B3D"/>
    <w:rsid w:val="00654502"/>
    <w:rsid w:val="006561C0"/>
    <w:rsid w:val="00657D72"/>
    <w:rsid w:val="00660DC2"/>
    <w:rsid w:val="00663FDE"/>
    <w:rsid w:val="00664185"/>
    <w:rsid w:val="0066505A"/>
    <w:rsid w:val="00667355"/>
    <w:rsid w:val="00670599"/>
    <w:rsid w:val="0067375A"/>
    <w:rsid w:val="00676181"/>
    <w:rsid w:val="00684803"/>
    <w:rsid w:val="00684DA0"/>
    <w:rsid w:val="00684E7A"/>
    <w:rsid w:val="0069058F"/>
    <w:rsid w:val="00690BFE"/>
    <w:rsid w:val="00692ACD"/>
    <w:rsid w:val="00692DFA"/>
    <w:rsid w:val="0069367A"/>
    <w:rsid w:val="006941D1"/>
    <w:rsid w:val="00696301"/>
    <w:rsid w:val="00696B18"/>
    <w:rsid w:val="006A057F"/>
    <w:rsid w:val="006A0A4C"/>
    <w:rsid w:val="006A52C2"/>
    <w:rsid w:val="006A5B18"/>
    <w:rsid w:val="006B0E53"/>
    <w:rsid w:val="006B270C"/>
    <w:rsid w:val="006B351B"/>
    <w:rsid w:val="006B66EE"/>
    <w:rsid w:val="006C0879"/>
    <w:rsid w:val="006C1279"/>
    <w:rsid w:val="006E32A4"/>
    <w:rsid w:val="006E39DA"/>
    <w:rsid w:val="006E57D8"/>
    <w:rsid w:val="006F0695"/>
    <w:rsid w:val="006F30B1"/>
    <w:rsid w:val="006F3CB0"/>
    <w:rsid w:val="006F60C2"/>
    <w:rsid w:val="006F6EFF"/>
    <w:rsid w:val="006F7027"/>
    <w:rsid w:val="007029A2"/>
    <w:rsid w:val="0070323D"/>
    <w:rsid w:val="00704E9B"/>
    <w:rsid w:val="00705708"/>
    <w:rsid w:val="00705FD1"/>
    <w:rsid w:val="0070627C"/>
    <w:rsid w:val="007064B3"/>
    <w:rsid w:val="00710D7B"/>
    <w:rsid w:val="00712A28"/>
    <w:rsid w:val="00714ABF"/>
    <w:rsid w:val="00715858"/>
    <w:rsid w:val="007161DB"/>
    <w:rsid w:val="007213A3"/>
    <w:rsid w:val="0072425C"/>
    <w:rsid w:val="007265FC"/>
    <w:rsid w:val="00726D2D"/>
    <w:rsid w:val="00727E41"/>
    <w:rsid w:val="007302DF"/>
    <w:rsid w:val="00731E89"/>
    <w:rsid w:val="007327DD"/>
    <w:rsid w:val="00734CF6"/>
    <w:rsid w:val="007363E6"/>
    <w:rsid w:val="00737B78"/>
    <w:rsid w:val="00737F96"/>
    <w:rsid w:val="0074146D"/>
    <w:rsid w:val="007427DD"/>
    <w:rsid w:val="00743FCE"/>
    <w:rsid w:val="00745292"/>
    <w:rsid w:val="00745CB4"/>
    <w:rsid w:val="00746BB7"/>
    <w:rsid w:val="00752E2A"/>
    <w:rsid w:val="00754D1F"/>
    <w:rsid w:val="00757628"/>
    <w:rsid w:val="00757A1A"/>
    <w:rsid w:val="007602C8"/>
    <w:rsid w:val="00760E2A"/>
    <w:rsid w:val="00761F87"/>
    <w:rsid w:val="007642D1"/>
    <w:rsid w:val="007655EC"/>
    <w:rsid w:val="00765A24"/>
    <w:rsid w:val="00765C85"/>
    <w:rsid w:val="00766627"/>
    <w:rsid w:val="007668D7"/>
    <w:rsid w:val="00766C73"/>
    <w:rsid w:val="007764EB"/>
    <w:rsid w:val="007773B9"/>
    <w:rsid w:val="00780DA8"/>
    <w:rsid w:val="007817F7"/>
    <w:rsid w:val="00784A51"/>
    <w:rsid w:val="007862F4"/>
    <w:rsid w:val="0078750D"/>
    <w:rsid w:val="00790CBC"/>
    <w:rsid w:val="00791AC8"/>
    <w:rsid w:val="00793890"/>
    <w:rsid w:val="0079417E"/>
    <w:rsid w:val="00794AB7"/>
    <w:rsid w:val="00795FC7"/>
    <w:rsid w:val="007A15A7"/>
    <w:rsid w:val="007A2C57"/>
    <w:rsid w:val="007A44B0"/>
    <w:rsid w:val="007A6E56"/>
    <w:rsid w:val="007B0EA9"/>
    <w:rsid w:val="007B1246"/>
    <w:rsid w:val="007B2EC7"/>
    <w:rsid w:val="007B2EFE"/>
    <w:rsid w:val="007B4836"/>
    <w:rsid w:val="007B53E5"/>
    <w:rsid w:val="007B5831"/>
    <w:rsid w:val="007B58A5"/>
    <w:rsid w:val="007B6DB7"/>
    <w:rsid w:val="007B72E2"/>
    <w:rsid w:val="007B743E"/>
    <w:rsid w:val="007C10CF"/>
    <w:rsid w:val="007C2BD5"/>
    <w:rsid w:val="007C400B"/>
    <w:rsid w:val="007C5977"/>
    <w:rsid w:val="007C5C93"/>
    <w:rsid w:val="007D3863"/>
    <w:rsid w:val="007D5093"/>
    <w:rsid w:val="007D5374"/>
    <w:rsid w:val="007D68C1"/>
    <w:rsid w:val="007D79E6"/>
    <w:rsid w:val="007E3E5F"/>
    <w:rsid w:val="007E625E"/>
    <w:rsid w:val="007E6F36"/>
    <w:rsid w:val="007F25E4"/>
    <w:rsid w:val="007F539A"/>
    <w:rsid w:val="007F62D4"/>
    <w:rsid w:val="007F73CA"/>
    <w:rsid w:val="007F7FAC"/>
    <w:rsid w:val="008016C1"/>
    <w:rsid w:val="0080244D"/>
    <w:rsid w:val="0080264D"/>
    <w:rsid w:val="00802A77"/>
    <w:rsid w:val="008036AB"/>
    <w:rsid w:val="0080371D"/>
    <w:rsid w:val="00803F0F"/>
    <w:rsid w:val="008044C3"/>
    <w:rsid w:val="00804525"/>
    <w:rsid w:val="00804622"/>
    <w:rsid w:val="008076E5"/>
    <w:rsid w:val="00811195"/>
    <w:rsid w:val="008125A6"/>
    <w:rsid w:val="008129C1"/>
    <w:rsid w:val="00814346"/>
    <w:rsid w:val="00814EC7"/>
    <w:rsid w:val="00815021"/>
    <w:rsid w:val="0081603F"/>
    <w:rsid w:val="0081675C"/>
    <w:rsid w:val="00816D29"/>
    <w:rsid w:val="00817FDE"/>
    <w:rsid w:val="008235B1"/>
    <w:rsid w:val="0082632B"/>
    <w:rsid w:val="0082795A"/>
    <w:rsid w:val="0083169E"/>
    <w:rsid w:val="00831C3E"/>
    <w:rsid w:val="00832412"/>
    <w:rsid w:val="00834888"/>
    <w:rsid w:val="00837331"/>
    <w:rsid w:val="00840893"/>
    <w:rsid w:val="008424AF"/>
    <w:rsid w:val="008435F5"/>
    <w:rsid w:val="008440FA"/>
    <w:rsid w:val="0084432A"/>
    <w:rsid w:val="00851971"/>
    <w:rsid w:val="00852323"/>
    <w:rsid w:val="00860FC1"/>
    <w:rsid w:val="00860FC2"/>
    <w:rsid w:val="00862C8C"/>
    <w:rsid w:val="00864335"/>
    <w:rsid w:val="008647F2"/>
    <w:rsid w:val="008703A9"/>
    <w:rsid w:val="00870BB2"/>
    <w:rsid w:val="008715F3"/>
    <w:rsid w:val="00875EAE"/>
    <w:rsid w:val="008766D7"/>
    <w:rsid w:val="00876E8E"/>
    <w:rsid w:val="008823B6"/>
    <w:rsid w:val="00882FC2"/>
    <w:rsid w:val="00886A0B"/>
    <w:rsid w:val="00893B82"/>
    <w:rsid w:val="00893CC2"/>
    <w:rsid w:val="00895128"/>
    <w:rsid w:val="008A0005"/>
    <w:rsid w:val="008A053A"/>
    <w:rsid w:val="008A13DF"/>
    <w:rsid w:val="008A41DE"/>
    <w:rsid w:val="008A5826"/>
    <w:rsid w:val="008A682E"/>
    <w:rsid w:val="008A7373"/>
    <w:rsid w:val="008B1692"/>
    <w:rsid w:val="008B1C2E"/>
    <w:rsid w:val="008B4B57"/>
    <w:rsid w:val="008B564A"/>
    <w:rsid w:val="008B5A32"/>
    <w:rsid w:val="008B6B2A"/>
    <w:rsid w:val="008C0049"/>
    <w:rsid w:val="008C2F7E"/>
    <w:rsid w:val="008C75C7"/>
    <w:rsid w:val="008C7BEB"/>
    <w:rsid w:val="008C7F8E"/>
    <w:rsid w:val="008D31AF"/>
    <w:rsid w:val="008D54DF"/>
    <w:rsid w:val="008D6C84"/>
    <w:rsid w:val="008E2669"/>
    <w:rsid w:val="008E30FD"/>
    <w:rsid w:val="008E4568"/>
    <w:rsid w:val="008E466A"/>
    <w:rsid w:val="008E5C88"/>
    <w:rsid w:val="008E601E"/>
    <w:rsid w:val="008E79D2"/>
    <w:rsid w:val="008F01BB"/>
    <w:rsid w:val="008F0D57"/>
    <w:rsid w:val="008F3747"/>
    <w:rsid w:val="008F3DCA"/>
    <w:rsid w:val="008F40D0"/>
    <w:rsid w:val="008F5FE0"/>
    <w:rsid w:val="008F7794"/>
    <w:rsid w:val="008F795D"/>
    <w:rsid w:val="00901562"/>
    <w:rsid w:val="00902F90"/>
    <w:rsid w:val="00907B94"/>
    <w:rsid w:val="00913142"/>
    <w:rsid w:val="0091437E"/>
    <w:rsid w:val="00914FF9"/>
    <w:rsid w:val="009161CB"/>
    <w:rsid w:val="0091627A"/>
    <w:rsid w:val="00920CB7"/>
    <w:rsid w:val="009212E1"/>
    <w:rsid w:val="009218BC"/>
    <w:rsid w:val="00924799"/>
    <w:rsid w:val="009271F8"/>
    <w:rsid w:val="00927957"/>
    <w:rsid w:val="00931ABA"/>
    <w:rsid w:val="00935A62"/>
    <w:rsid w:val="00935ADD"/>
    <w:rsid w:val="00937647"/>
    <w:rsid w:val="00937A31"/>
    <w:rsid w:val="0094272E"/>
    <w:rsid w:val="00943790"/>
    <w:rsid w:val="00944528"/>
    <w:rsid w:val="0094547A"/>
    <w:rsid w:val="0094639E"/>
    <w:rsid w:val="00946465"/>
    <w:rsid w:val="009544C8"/>
    <w:rsid w:val="00955EE1"/>
    <w:rsid w:val="009576BD"/>
    <w:rsid w:val="00961343"/>
    <w:rsid w:val="00962995"/>
    <w:rsid w:val="00962BA7"/>
    <w:rsid w:val="009665CF"/>
    <w:rsid w:val="0097056C"/>
    <w:rsid w:val="00971826"/>
    <w:rsid w:val="009719C3"/>
    <w:rsid w:val="00971F1C"/>
    <w:rsid w:val="009725E3"/>
    <w:rsid w:val="00975188"/>
    <w:rsid w:val="0097653D"/>
    <w:rsid w:val="00977586"/>
    <w:rsid w:val="00982575"/>
    <w:rsid w:val="00983431"/>
    <w:rsid w:val="009838D7"/>
    <w:rsid w:val="00984F87"/>
    <w:rsid w:val="009946CD"/>
    <w:rsid w:val="0099679E"/>
    <w:rsid w:val="009A2040"/>
    <w:rsid w:val="009A221B"/>
    <w:rsid w:val="009A3446"/>
    <w:rsid w:val="009B26BA"/>
    <w:rsid w:val="009B3478"/>
    <w:rsid w:val="009B4522"/>
    <w:rsid w:val="009C2C63"/>
    <w:rsid w:val="009C4257"/>
    <w:rsid w:val="009C52B9"/>
    <w:rsid w:val="009C5723"/>
    <w:rsid w:val="009C6A28"/>
    <w:rsid w:val="009C7DA9"/>
    <w:rsid w:val="009D0F66"/>
    <w:rsid w:val="009D1F57"/>
    <w:rsid w:val="009D2891"/>
    <w:rsid w:val="009D6F1F"/>
    <w:rsid w:val="009E08FF"/>
    <w:rsid w:val="009E11DD"/>
    <w:rsid w:val="009E3DFA"/>
    <w:rsid w:val="009E44AF"/>
    <w:rsid w:val="009E45A3"/>
    <w:rsid w:val="009E5908"/>
    <w:rsid w:val="009F0638"/>
    <w:rsid w:val="009F1369"/>
    <w:rsid w:val="009F16DA"/>
    <w:rsid w:val="009F2327"/>
    <w:rsid w:val="009F2F77"/>
    <w:rsid w:val="009F4AC7"/>
    <w:rsid w:val="009F627E"/>
    <w:rsid w:val="009F6F16"/>
    <w:rsid w:val="00A00156"/>
    <w:rsid w:val="00A00BE8"/>
    <w:rsid w:val="00A01C93"/>
    <w:rsid w:val="00A0271E"/>
    <w:rsid w:val="00A034B2"/>
    <w:rsid w:val="00A06B2E"/>
    <w:rsid w:val="00A11FDD"/>
    <w:rsid w:val="00A123E1"/>
    <w:rsid w:val="00A13CB0"/>
    <w:rsid w:val="00A140D5"/>
    <w:rsid w:val="00A1609B"/>
    <w:rsid w:val="00A179CC"/>
    <w:rsid w:val="00A21EF3"/>
    <w:rsid w:val="00A264AD"/>
    <w:rsid w:val="00A26E2C"/>
    <w:rsid w:val="00A306A4"/>
    <w:rsid w:val="00A308A4"/>
    <w:rsid w:val="00A31C6D"/>
    <w:rsid w:val="00A3465C"/>
    <w:rsid w:val="00A3579A"/>
    <w:rsid w:val="00A35E4F"/>
    <w:rsid w:val="00A41A16"/>
    <w:rsid w:val="00A41AB2"/>
    <w:rsid w:val="00A45F7D"/>
    <w:rsid w:val="00A46AE5"/>
    <w:rsid w:val="00A50D27"/>
    <w:rsid w:val="00A5240E"/>
    <w:rsid w:val="00A52879"/>
    <w:rsid w:val="00A5347A"/>
    <w:rsid w:val="00A5391E"/>
    <w:rsid w:val="00A54B6D"/>
    <w:rsid w:val="00A54F82"/>
    <w:rsid w:val="00A554FF"/>
    <w:rsid w:val="00A55A06"/>
    <w:rsid w:val="00A55C72"/>
    <w:rsid w:val="00A5670C"/>
    <w:rsid w:val="00A57390"/>
    <w:rsid w:val="00A6082D"/>
    <w:rsid w:val="00A60989"/>
    <w:rsid w:val="00A6339F"/>
    <w:rsid w:val="00A64B4F"/>
    <w:rsid w:val="00A64E58"/>
    <w:rsid w:val="00A6537A"/>
    <w:rsid w:val="00A66148"/>
    <w:rsid w:val="00A668FC"/>
    <w:rsid w:val="00A675E2"/>
    <w:rsid w:val="00A71FD3"/>
    <w:rsid w:val="00A72562"/>
    <w:rsid w:val="00A74DB6"/>
    <w:rsid w:val="00A74E71"/>
    <w:rsid w:val="00A75686"/>
    <w:rsid w:val="00A7704C"/>
    <w:rsid w:val="00A80207"/>
    <w:rsid w:val="00A822DC"/>
    <w:rsid w:val="00A84701"/>
    <w:rsid w:val="00A86630"/>
    <w:rsid w:val="00A91AC7"/>
    <w:rsid w:val="00A93565"/>
    <w:rsid w:val="00A93988"/>
    <w:rsid w:val="00A9456D"/>
    <w:rsid w:val="00A95C65"/>
    <w:rsid w:val="00A95F02"/>
    <w:rsid w:val="00AA1665"/>
    <w:rsid w:val="00AA3234"/>
    <w:rsid w:val="00AA6011"/>
    <w:rsid w:val="00AA74BA"/>
    <w:rsid w:val="00AB2EAD"/>
    <w:rsid w:val="00AB566D"/>
    <w:rsid w:val="00AB704E"/>
    <w:rsid w:val="00AC0978"/>
    <w:rsid w:val="00AC1646"/>
    <w:rsid w:val="00AC215A"/>
    <w:rsid w:val="00AC5EAA"/>
    <w:rsid w:val="00AC767F"/>
    <w:rsid w:val="00AC7BE0"/>
    <w:rsid w:val="00AD13D7"/>
    <w:rsid w:val="00AD4665"/>
    <w:rsid w:val="00AD57CC"/>
    <w:rsid w:val="00AD6081"/>
    <w:rsid w:val="00AD65E0"/>
    <w:rsid w:val="00AE03AD"/>
    <w:rsid w:val="00AE0AC8"/>
    <w:rsid w:val="00AE2516"/>
    <w:rsid w:val="00AE4B83"/>
    <w:rsid w:val="00AE5432"/>
    <w:rsid w:val="00AE5591"/>
    <w:rsid w:val="00AE5780"/>
    <w:rsid w:val="00AE6309"/>
    <w:rsid w:val="00AE744B"/>
    <w:rsid w:val="00AF0C85"/>
    <w:rsid w:val="00AF10D0"/>
    <w:rsid w:val="00AF1190"/>
    <w:rsid w:val="00AF2C90"/>
    <w:rsid w:val="00AF3F3D"/>
    <w:rsid w:val="00AF4334"/>
    <w:rsid w:val="00AF7CD2"/>
    <w:rsid w:val="00B048BC"/>
    <w:rsid w:val="00B07452"/>
    <w:rsid w:val="00B1052F"/>
    <w:rsid w:val="00B10C05"/>
    <w:rsid w:val="00B134F0"/>
    <w:rsid w:val="00B13B5E"/>
    <w:rsid w:val="00B14826"/>
    <w:rsid w:val="00B16E7D"/>
    <w:rsid w:val="00B20243"/>
    <w:rsid w:val="00B228F3"/>
    <w:rsid w:val="00B22AD7"/>
    <w:rsid w:val="00B27204"/>
    <w:rsid w:val="00B30806"/>
    <w:rsid w:val="00B31D84"/>
    <w:rsid w:val="00B35770"/>
    <w:rsid w:val="00B3606D"/>
    <w:rsid w:val="00B370FD"/>
    <w:rsid w:val="00B37374"/>
    <w:rsid w:val="00B40C5F"/>
    <w:rsid w:val="00B452AE"/>
    <w:rsid w:val="00B474A3"/>
    <w:rsid w:val="00B53A1C"/>
    <w:rsid w:val="00B53C9D"/>
    <w:rsid w:val="00B55F4C"/>
    <w:rsid w:val="00B6064B"/>
    <w:rsid w:val="00B62B9C"/>
    <w:rsid w:val="00B6322E"/>
    <w:rsid w:val="00B63F21"/>
    <w:rsid w:val="00B72E42"/>
    <w:rsid w:val="00B730DD"/>
    <w:rsid w:val="00B747FB"/>
    <w:rsid w:val="00B7682F"/>
    <w:rsid w:val="00B76ACC"/>
    <w:rsid w:val="00B76E04"/>
    <w:rsid w:val="00B7758F"/>
    <w:rsid w:val="00B77B48"/>
    <w:rsid w:val="00B80F8D"/>
    <w:rsid w:val="00B837C7"/>
    <w:rsid w:val="00B84799"/>
    <w:rsid w:val="00B86A0E"/>
    <w:rsid w:val="00B8709F"/>
    <w:rsid w:val="00B92012"/>
    <w:rsid w:val="00B928F6"/>
    <w:rsid w:val="00B937B6"/>
    <w:rsid w:val="00B93844"/>
    <w:rsid w:val="00B940A8"/>
    <w:rsid w:val="00B946B0"/>
    <w:rsid w:val="00B952E8"/>
    <w:rsid w:val="00B956B7"/>
    <w:rsid w:val="00B95C60"/>
    <w:rsid w:val="00B95EBA"/>
    <w:rsid w:val="00B967BD"/>
    <w:rsid w:val="00B9696A"/>
    <w:rsid w:val="00B97A9E"/>
    <w:rsid w:val="00BA59CF"/>
    <w:rsid w:val="00BB1019"/>
    <w:rsid w:val="00BB16B3"/>
    <w:rsid w:val="00BB21B7"/>
    <w:rsid w:val="00BB27E5"/>
    <w:rsid w:val="00BB2AF0"/>
    <w:rsid w:val="00BB30D5"/>
    <w:rsid w:val="00BB6ABD"/>
    <w:rsid w:val="00BC02C1"/>
    <w:rsid w:val="00BC1224"/>
    <w:rsid w:val="00BD15D7"/>
    <w:rsid w:val="00BD1740"/>
    <w:rsid w:val="00BD3F7D"/>
    <w:rsid w:val="00BD468F"/>
    <w:rsid w:val="00BD4DD3"/>
    <w:rsid w:val="00BE1BAC"/>
    <w:rsid w:val="00BE1DB1"/>
    <w:rsid w:val="00BE3FB9"/>
    <w:rsid w:val="00BE5AE5"/>
    <w:rsid w:val="00BF27CF"/>
    <w:rsid w:val="00BF3496"/>
    <w:rsid w:val="00BF4151"/>
    <w:rsid w:val="00BF4265"/>
    <w:rsid w:val="00BF6B08"/>
    <w:rsid w:val="00BF6D4D"/>
    <w:rsid w:val="00BF724F"/>
    <w:rsid w:val="00C01637"/>
    <w:rsid w:val="00C02B76"/>
    <w:rsid w:val="00C036D8"/>
    <w:rsid w:val="00C0382A"/>
    <w:rsid w:val="00C0396F"/>
    <w:rsid w:val="00C04D64"/>
    <w:rsid w:val="00C06441"/>
    <w:rsid w:val="00C11049"/>
    <w:rsid w:val="00C126C0"/>
    <w:rsid w:val="00C1292B"/>
    <w:rsid w:val="00C13E05"/>
    <w:rsid w:val="00C16E6D"/>
    <w:rsid w:val="00C20F6B"/>
    <w:rsid w:val="00C24712"/>
    <w:rsid w:val="00C26572"/>
    <w:rsid w:val="00C30124"/>
    <w:rsid w:val="00C31D63"/>
    <w:rsid w:val="00C32D64"/>
    <w:rsid w:val="00C34052"/>
    <w:rsid w:val="00C34A3B"/>
    <w:rsid w:val="00C34E3D"/>
    <w:rsid w:val="00C3647F"/>
    <w:rsid w:val="00C36AE0"/>
    <w:rsid w:val="00C40F55"/>
    <w:rsid w:val="00C435CC"/>
    <w:rsid w:val="00C43BEC"/>
    <w:rsid w:val="00C4454A"/>
    <w:rsid w:val="00C45C15"/>
    <w:rsid w:val="00C47A51"/>
    <w:rsid w:val="00C504E0"/>
    <w:rsid w:val="00C51ECE"/>
    <w:rsid w:val="00C52E37"/>
    <w:rsid w:val="00C534D8"/>
    <w:rsid w:val="00C538DD"/>
    <w:rsid w:val="00C5401C"/>
    <w:rsid w:val="00C55413"/>
    <w:rsid w:val="00C56078"/>
    <w:rsid w:val="00C56ADA"/>
    <w:rsid w:val="00C56C83"/>
    <w:rsid w:val="00C56D85"/>
    <w:rsid w:val="00C57921"/>
    <w:rsid w:val="00C62D7F"/>
    <w:rsid w:val="00C64616"/>
    <w:rsid w:val="00C64EED"/>
    <w:rsid w:val="00C6506E"/>
    <w:rsid w:val="00C65C41"/>
    <w:rsid w:val="00C66BF2"/>
    <w:rsid w:val="00C67B31"/>
    <w:rsid w:val="00C75D9A"/>
    <w:rsid w:val="00C81ADC"/>
    <w:rsid w:val="00C8467F"/>
    <w:rsid w:val="00C84EEF"/>
    <w:rsid w:val="00C862EE"/>
    <w:rsid w:val="00C87A3B"/>
    <w:rsid w:val="00C90371"/>
    <w:rsid w:val="00C91CEB"/>
    <w:rsid w:val="00C93BBD"/>
    <w:rsid w:val="00C93C39"/>
    <w:rsid w:val="00C942FE"/>
    <w:rsid w:val="00C94C24"/>
    <w:rsid w:val="00C968CC"/>
    <w:rsid w:val="00CA03CB"/>
    <w:rsid w:val="00CA098E"/>
    <w:rsid w:val="00CA2C1A"/>
    <w:rsid w:val="00CA5E9A"/>
    <w:rsid w:val="00CA7404"/>
    <w:rsid w:val="00CB07E8"/>
    <w:rsid w:val="00CB39B4"/>
    <w:rsid w:val="00CB4365"/>
    <w:rsid w:val="00CB45BA"/>
    <w:rsid w:val="00CC0682"/>
    <w:rsid w:val="00CC1A24"/>
    <w:rsid w:val="00CC1DEC"/>
    <w:rsid w:val="00CC2B7A"/>
    <w:rsid w:val="00CC478A"/>
    <w:rsid w:val="00CC61A6"/>
    <w:rsid w:val="00CC6C2A"/>
    <w:rsid w:val="00CD1532"/>
    <w:rsid w:val="00CD2F93"/>
    <w:rsid w:val="00CD3E66"/>
    <w:rsid w:val="00CD4681"/>
    <w:rsid w:val="00CD5B93"/>
    <w:rsid w:val="00CE116E"/>
    <w:rsid w:val="00CE2541"/>
    <w:rsid w:val="00CE2C58"/>
    <w:rsid w:val="00CE7D01"/>
    <w:rsid w:val="00CF1011"/>
    <w:rsid w:val="00CF124E"/>
    <w:rsid w:val="00CF2072"/>
    <w:rsid w:val="00CF2082"/>
    <w:rsid w:val="00CF2592"/>
    <w:rsid w:val="00CF611A"/>
    <w:rsid w:val="00CF6E6B"/>
    <w:rsid w:val="00CF79AA"/>
    <w:rsid w:val="00D00C72"/>
    <w:rsid w:val="00D017DD"/>
    <w:rsid w:val="00D01F82"/>
    <w:rsid w:val="00D0237D"/>
    <w:rsid w:val="00D04619"/>
    <w:rsid w:val="00D05063"/>
    <w:rsid w:val="00D05DA4"/>
    <w:rsid w:val="00D07134"/>
    <w:rsid w:val="00D07256"/>
    <w:rsid w:val="00D07D11"/>
    <w:rsid w:val="00D145FC"/>
    <w:rsid w:val="00D157F1"/>
    <w:rsid w:val="00D17200"/>
    <w:rsid w:val="00D17544"/>
    <w:rsid w:val="00D23782"/>
    <w:rsid w:val="00D242C8"/>
    <w:rsid w:val="00D244EF"/>
    <w:rsid w:val="00D26749"/>
    <w:rsid w:val="00D270BD"/>
    <w:rsid w:val="00D27D10"/>
    <w:rsid w:val="00D30131"/>
    <w:rsid w:val="00D31164"/>
    <w:rsid w:val="00D31668"/>
    <w:rsid w:val="00D32CE1"/>
    <w:rsid w:val="00D33108"/>
    <w:rsid w:val="00D33C0E"/>
    <w:rsid w:val="00D33CB4"/>
    <w:rsid w:val="00D33E53"/>
    <w:rsid w:val="00D41A7F"/>
    <w:rsid w:val="00D41CE6"/>
    <w:rsid w:val="00D47970"/>
    <w:rsid w:val="00D53B40"/>
    <w:rsid w:val="00D608A3"/>
    <w:rsid w:val="00D61A38"/>
    <w:rsid w:val="00D63317"/>
    <w:rsid w:val="00D63BBD"/>
    <w:rsid w:val="00D65096"/>
    <w:rsid w:val="00D67824"/>
    <w:rsid w:val="00D7036B"/>
    <w:rsid w:val="00D71769"/>
    <w:rsid w:val="00D72805"/>
    <w:rsid w:val="00D7288A"/>
    <w:rsid w:val="00D74590"/>
    <w:rsid w:val="00D759A0"/>
    <w:rsid w:val="00D76450"/>
    <w:rsid w:val="00D7713D"/>
    <w:rsid w:val="00D82CCF"/>
    <w:rsid w:val="00D85404"/>
    <w:rsid w:val="00D914F3"/>
    <w:rsid w:val="00D930D4"/>
    <w:rsid w:val="00DA19A3"/>
    <w:rsid w:val="00DA31DC"/>
    <w:rsid w:val="00DA44C8"/>
    <w:rsid w:val="00DA4D76"/>
    <w:rsid w:val="00DA54AF"/>
    <w:rsid w:val="00DA5CC8"/>
    <w:rsid w:val="00DA781F"/>
    <w:rsid w:val="00DB4A98"/>
    <w:rsid w:val="00DB5D14"/>
    <w:rsid w:val="00DB5FB3"/>
    <w:rsid w:val="00DC0548"/>
    <w:rsid w:val="00DC0D2B"/>
    <w:rsid w:val="00DC258B"/>
    <w:rsid w:val="00DC30B1"/>
    <w:rsid w:val="00DC3F6E"/>
    <w:rsid w:val="00DC435D"/>
    <w:rsid w:val="00DC58E9"/>
    <w:rsid w:val="00DD171A"/>
    <w:rsid w:val="00DD2080"/>
    <w:rsid w:val="00DD3075"/>
    <w:rsid w:val="00DD635E"/>
    <w:rsid w:val="00DD73BE"/>
    <w:rsid w:val="00DE079A"/>
    <w:rsid w:val="00DE08B9"/>
    <w:rsid w:val="00DE12F9"/>
    <w:rsid w:val="00DE2ACB"/>
    <w:rsid w:val="00DE4B2A"/>
    <w:rsid w:val="00DE6BC6"/>
    <w:rsid w:val="00DF2C43"/>
    <w:rsid w:val="00DF6585"/>
    <w:rsid w:val="00DF6939"/>
    <w:rsid w:val="00DF77AD"/>
    <w:rsid w:val="00E01B3B"/>
    <w:rsid w:val="00E04C12"/>
    <w:rsid w:val="00E054F7"/>
    <w:rsid w:val="00E06B04"/>
    <w:rsid w:val="00E12A20"/>
    <w:rsid w:val="00E16DBD"/>
    <w:rsid w:val="00E17C79"/>
    <w:rsid w:val="00E21D4F"/>
    <w:rsid w:val="00E2252B"/>
    <w:rsid w:val="00E22773"/>
    <w:rsid w:val="00E234E5"/>
    <w:rsid w:val="00E255B4"/>
    <w:rsid w:val="00E31646"/>
    <w:rsid w:val="00E32E75"/>
    <w:rsid w:val="00E34990"/>
    <w:rsid w:val="00E34BEA"/>
    <w:rsid w:val="00E410D8"/>
    <w:rsid w:val="00E4248D"/>
    <w:rsid w:val="00E435AD"/>
    <w:rsid w:val="00E47E03"/>
    <w:rsid w:val="00E51E91"/>
    <w:rsid w:val="00E52A33"/>
    <w:rsid w:val="00E53B95"/>
    <w:rsid w:val="00E54F5E"/>
    <w:rsid w:val="00E56554"/>
    <w:rsid w:val="00E57BDF"/>
    <w:rsid w:val="00E6032E"/>
    <w:rsid w:val="00E640C3"/>
    <w:rsid w:val="00E66F7C"/>
    <w:rsid w:val="00E714DD"/>
    <w:rsid w:val="00E77481"/>
    <w:rsid w:val="00E81F47"/>
    <w:rsid w:val="00E82BFD"/>
    <w:rsid w:val="00E832FE"/>
    <w:rsid w:val="00E860DB"/>
    <w:rsid w:val="00E9003F"/>
    <w:rsid w:val="00E935B2"/>
    <w:rsid w:val="00E93A22"/>
    <w:rsid w:val="00E95340"/>
    <w:rsid w:val="00E95906"/>
    <w:rsid w:val="00E9787B"/>
    <w:rsid w:val="00EA11E4"/>
    <w:rsid w:val="00EA35BA"/>
    <w:rsid w:val="00EA47FF"/>
    <w:rsid w:val="00EA5210"/>
    <w:rsid w:val="00EA62D7"/>
    <w:rsid w:val="00EB0C6D"/>
    <w:rsid w:val="00EB122B"/>
    <w:rsid w:val="00EB137C"/>
    <w:rsid w:val="00EB6B50"/>
    <w:rsid w:val="00EC0950"/>
    <w:rsid w:val="00EC0DDF"/>
    <w:rsid w:val="00EC130E"/>
    <w:rsid w:val="00EC3122"/>
    <w:rsid w:val="00EC42B6"/>
    <w:rsid w:val="00EC5810"/>
    <w:rsid w:val="00EC6230"/>
    <w:rsid w:val="00ED1753"/>
    <w:rsid w:val="00ED2C7C"/>
    <w:rsid w:val="00ED36EE"/>
    <w:rsid w:val="00ED6779"/>
    <w:rsid w:val="00EE1837"/>
    <w:rsid w:val="00EE35DE"/>
    <w:rsid w:val="00EE35FA"/>
    <w:rsid w:val="00EE47E5"/>
    <w:rsid w:val="00EE4E97"/>
    <w:rsid w:val="00EE6CA5"/>
    <w:rsid w:val="00EE7554"/>
    <w:rsid w:val="00EF1B60"/>
    <w:rsid w:val="00EF30F1"/>
    <w:rsid w:val="00EF5182"/>
    <w:rsid w:val="00EF5E08"/>
    <w:rsid w:val="00EF729E"/>
    <w:rsid w:val="00F013DE"/>
    <w:rsid w:val="00F03A30"/>
    <w:rsid w:val="00F04052"/>
    <w:rsid w:val="00F122B6"/>
    <w:rsid w:val="00F12A38"/>
    <w:rsid w:val="00F130E6"/>
    <w:rsid w:val="00F13ED0"/>
    <w:rsid w:val="00F14374"/>
    <w:rsid w:val="00F164D3"/>
    <w:rsid w:val="00F17811"/>
    <w:rsid w:val="00F210C4"/>
    <w:rsid w:val="00F21898"/>
    <w:rsid w:val="00F21A50"/>
    <w:rsid w:val="00F2558E"/>
    <w:rsid w:val="00F268F7"/>
    <w:rsid w:val="00F26CFB"/>
    <w:rsid w:val="00F31B22"/>
    <w:rsid w:val="00F31D4F"/>
    <w:rsid w:val="00F34657"/>
    <w:rsid w:val="00F355FB"/>
    <w:rsid w:val="00F40DCF"/>
    <w:rsid w:val="00F424DA"/>
    <w:rsid w:val="00F42AD1"/>
    <w:rsid w:val="00F43764"/>
    <w:rsid w:val="00F46DE6"/>
    <w:rsid w:val="00F47D3E"/>
    <w:rsid w:val="00F47D41"/>
    <w:rsid w:val="00F506E3"/>
    <w:rsid w:val="00F52128"/>
    <w:rsid w:val="00F52638"/>
    <w:rsid w:val="00F53172"/>
    <w:rsid w:val="00F5404A"/>
    <w:rsid w:val="00F55561"/>
    <w:rsid w:val="00F57A7B"/>
    <w:rsid w:val="00F629BC"/>
    <w:rsid w:val="00F62C5B"/>
    <w:rsid w:val="00F62EB2"/>
    <w:rsid w:val="00F6365D"/>
    <w:rsid w:val="00F6375C"/>
    <w:rsid w:val="00F64FE9"/>
    <w:rsid w:val="00F70A26"/>
    <w:rsid w:val="00F73811"/>
    <w:rsid w:val="00F7576E"/>
    <w:rsid w:val="00F7764F"/>
    <w:rsid w:val="00F776C4"/>
    <w:rsid w:val="00F77B3A"/>
    <w:rsid w:val="00F80BE1"/>
    <w:rsid w:val="00F81EA8"/>
    <w:rsid w:val="00F83916"/>
    <w:rsid w:val="00F8529C"/>
    <w:rsid w:val="00F86FE3"/>
    <w:rsid w:val="00F8766B"/>
    <w:rsid w:val="00F9033A"/>
    <w:rsid w:val="00F90381"/>
    <w:rsid w:val="00F949D7"/>
    <w:rsid w:val="00F9580A"/>
    <w:rsid w:val="00F963D0"/>
    <w:rsid w:val="00FA2034"/>
    <w:rsid w:val="00FA2705"/>
    <w:rsid w:val="00FA3166"/>
    <w:rsid w:val="00FA41BA"/>
    <w:rsid w:val="00FA7B7C"/>
    <w:rsid w:val="00FB0787"/>
    <w:rsid w:val="00FB2F70"/>
    <w:rsid w:val="00FB3238"/>
    <w:rsid w:val="00FB5172"/>
    <w:rsid w:val="00FB69C4"/>
    <w:rsid w:val="00FC05BD"/>
    <w:rsid w:val="00FC1903"/>
    <w:rsid w:val="00FD05D4"/>
    <w:rsid w:val="00FD58A1"/>
    <w:rsid w:val="00FD6351"/>
    <w:rsid w:val="00FD689E"/>
    <w:rsid w:val="00FE1FEC"/>
    <w:rsid w:val="00FE2273"/>
    <w:rsid w:val="00FE259F"/>
    <w:rsid w:val="00FE315B"/>
    <w:rsid w:val="00FE324F"/>
    <w:rsid w:val="00FE32F0"/>
    <w:rsid w:val="00FE50DE"/>
    <w:rsid w:val="00FE587B"/>
    <w:rsid w:val="00FE6417"/>
    <w:rsid w:val="00FE6B73"/>
    <w:rsid w:val="00FE771F"/>
    <w:rsid w:val="00FE7E70"/>
    <w:rsid w:val="00FF0711"/>
    <w:rsid w:val="00FF33E7"/>
    <w:rsid w:val="00FF514D"/>
    <w:rsid w:val="00FF611B"/>
    <w:rsid w:val="00FF61AE"/>
    <w:rsid w:val="00FF6CB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084BA3"/>
  <w15:docId w15:val="{7F0F561A-C6FE-4146-89E8-EF34A4EFD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unhideWhenUsed="1"/>
    <w:lsdException w:name="toc 2" w:locked="1" w:uiPriority="39" w:unhideWhenUsed="1"/>
    <w:lsdException w:name="toc 3" w:locked="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uiPriority="0" w:unhideWhenUsed="1" w:qFormat="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0"/>
    <w:lsdException w:name="Intense Emphasis" w:uiPriority="21"/>
    <w:lsdException w:name="Subtle Reference" w:uiPriority="31"/>
    <w:lsdException w:name="Intense Reference" w:uiPriority="32"/>
    <w:lsdException w:name="Book Title" w:uiPriority="33"/>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27C"/>
    <w:pPr>
      <w:spacing w:before="60" w:after="60" w:line="240" w:lineRule="auto"/>
      <w:jc w:val="both"/>
    </w:pPr>
    <w:rPr>
      <w:rFonts w:ascii="Calibri" w:hAnsi="Calibri" w:cs="Arial"/>
      <w:sz w:val="20"/>
      <w:szCs w:val="20"/>
      <w:lang w:eastAsia="en-US"/>
    </w:rPr>
  </w:style>
  <w:style w:type="paragraph" w:styleId="Heading1">
    <w:name w:val="heading 1"/>
    <w:basedOn w:val="Normal"/>
    <w:next w:val="Normal"/>
    <w:link w:val="Heading1Char"/>
    <w:uiPriority w:val="2"/>
    <w:qFormat/>
    <w:rsid w:val="005F2DE3"/>
    <w:pPr>
      <w:keepNext/>
      <w:spacing w:before="240"/>
      <w:outlineLvl w:val="0"/>
    </w:pPr>
    <w:rPr>
      <w:rFonts w:asciiTheme="minorHAnsi" w:hAnsiTheme="minorHAnsi" w:cstheme="minorHAnsi"/>
      <w:b/>
      <w:caps/>
      <w:color w:val="1F497D" w:themeColor="text2"/>
      <w:kern w:val="32"/>
      <w:sz w:val="28"/>
      <w:szCs w:val="28"/>
    </w:rPr>
  </w:style>
  <w:style w:type="paragraph" w:styleId="Heading2">
    <w:name w:val="heading 2"/>
    <w:basedOn w:val="Normal"/>
    <w:next w:val="Normal"/>
    <w:link w:val="Heading2Char"/>
    <w:uiPriority w:val="2"/>
    <w:qFormat/>
    <w:rsid w:val="002F35CA"/>
    <w:pPr>
      <w:keepNext/>
      <w:spacing w:before="120"/>
      <w:outlineLvl w:val="1"/>
    </w:pPr>
    <w:rPr>
      <w:rFonts w:asciiTheme="minorHAnsi" w:eastAsiaTheme="minorHAnsi" w:hAnsiTheme="minorHAnsi" w:cstheme="minorHAnsi"/>
      <w:bCs/>
      <w:iCs/>
      <w:caps/>
      <w:color w:val="1F497D" w:themeColor="text2"/>
      <w:sz w:val="24"/>
      <w:szCs w:val="24"/>
    </w:rPr>
  </w:style>
  <w:style w:type="paragraph" w:styleId="Heading3">
    <w:name w:val="heading 3"/>
    <w:basedOn w:val="Normal"/>
    <w:next w:val="Normal"/>
    <w:link w:val="Heading3Char"/>
    <w:uiPriority w:val="3"/>
    <w:qFormat/>
    <w:rsid w:val="005F2DE3"/>
    <w:pPr>
      <w:keepNext/>
      <w:spacing w:before="120"/>
      <w:outlineLvl w:val="2"/>
    </w:pPr>
    <w:rPr>
      <w:b/>
      <w:bCs/>
      <w:sz w:val="22"/>
      <w:szCs w:val="22"/>
    </w:rPr>
  </w:style>
  <w:style w:type="paragraph" w:styleId="Heading4">
    <w:name w:val="heading 4"/>
    <w:basedOn w:val="Heading3"/>
    <w:next w:val="Normal"/>
    <w:link w:val="Heading4Char"/>
    <w:semiHidden/>
    <w:qFormat/>
    <w:locked/>
    <w:rsid w:val="0013059D"/>
    <w:pPr>
      <w:spacing w:before="240"/>
      <w:outlineLvl w:val="3"/>
    </w:pPr>
    <w:rPr>
      <w:b w:val="0"/>
      <w:bCs w:val="0"/>
      <w:i/>
      <w:szCs w:val="28"/>
    </w:rPr>
  </w:style>
  <w:style w:type="paragraph" w:styleId="Heading5">
    <w:name w:val="heading 5"/>
    <w:basedOn w:val="Normal"/>
    <w:next w:val="Normal"/>
    <w:link w:val="Heading5Char"/>
    <w:uiPriority w:val="9"/>
    <w:semiHidden/>
    <w:qFormat/>
    <w:rsid w:val="00C43BE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qFormat/>
    <w:rsid w:val="00C43BEC"/>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locked/>
    <w:rsid w:val="001D3DB7"/>
    <w:rPr>
      <w:rFonts w:cstheme="minorHAnsi"/>
      <w:b/>
      <w:caps/>
      <w:color w:val="1F497D" w:themeColor="text2"/>
      <w:kern w:val="32"/>
      <w:sz w:val="28"/>
      <w:szCs w:val="28"/>
      <w:lang w:eastAsia="en-US"/>
    </w:rPr>
  </w:style>
  <w:style w:type="character" w:customStyle="1" w:styleId="Heading2Char">
    <w:name w:val="Heading 2 Char"/>
    <w:basedOn w:val="DefaultParagraphFont"/>
    <w:link w:val="Heading2"/>
    <w:uiPriority w:val="2"/>
    <w:locked/>
    <w:rsid w:val="001D3DB7"/>
    <w:rPr>
      <w:rFonts w:eastAsiaTheme="minorHAnsi" w:cstheme="minorHAnsi"/>
      <w:bCs/>
      <w:iCs/>
      <w:caps/>
      <w:color w:val="1F497D" w:themeColor="text2"/>
      <w:sz w:val="24"/>
      <w:szCs w:val="24"/>
      <w:lang w:eastAsia="en-US"/>
    </w:rPr>
  </w:style>
  <w:style w:type="character" w:customStyle="1" w:styleId="Heading3Char">
    <w:name w:val="Heading 3 Char"/>
    <w:basedOn w:val="DefaultParagraphFont"/>
    <w:link w:val="Heading3"/>
    <w:uiPriority w:val="3"/>
    <w:locked/>
    <w:rsid w:val="001D3DB7"/>
    <w:rPr>
      <w:rFonts w:ascii="Calibri" w:hAnsi="Calibri" w:cs="Arial"/>
      <w:b/>
      <w:bCs/>
      <w:lang w:eastAsia="en-US"/>
    </w:rPr>
  </w:style>
  <w:style w:type="paragraph" w:customStyle="1" w:styleId="Instructions-bullet1">
    <w:name w:val="Instructions - bullet 1"/>
    <w:basedOn w:val="Instructions"/>
    <w:uiPriority w:val="11"/>
    <w:qFormat/>
    <w:rsid w:val="009F16DA"/>
    <w:pPr>
      <w:numPr>
        <w:numId w:val="7"/>
      </w:numPr>
      <w:ind w:left="341" w:hanging="284"/>
    </w:pPr>
    <w:rPr>
      <w:rFonts w:cs="Times New Roman"/>
    </w:rPr>
  </w:style>
  <w:style w:type="paragraph" w:customStyle="1" w:styleId="Instructions-numbered">
    <w:name w:val="Instructions - numbered"/>
    <w:basedOn w:val="Normal"/>
    <w:uiPriority w:val="11"/>
    <w:qFormat/>
    <w:rsid w:val="009F16DA"/>
    <w:pPr>
      <w:numPr>
        <w:numId w:val="8"/>
      </w:numPr>
      <w:ind w:left="340" w:hanging="340"/>
    </w:pPr>
    <w:rPr>
      <w:rFonts w:cs="Times New Roman"/>
      <w:i/>
      <w:color w:val="C00000"/>
    </w:rPr>
  </w:style>
  <w:style w:type="paragraph" w:customStyle="1" w:styleId="bulletT1">
    <w:name w:val="bullet T1"/>
    <w:basedOn w:val="Normal"/>
    <w:link w:val="bulletT1Char"/>
    <w:uiPriority w:val="9"/>
    <w:qFormat/>
    <w:rsid w:val="003B1FA8"/>
    <w:pPr>
      <w:numPr>
        <w:numId w:val="17"/>
      </w:numPr>
      <w:ind w:left="170" w:hanging="170"/>
    </w:pPr>
  </w:style>
  <w:style w:type="paragraph" w:styleId="BalloonText">
    <w:name w:val="Balloon Text"/>
    <w:basedOn w:val="Normal"/>
    <w:link w:val="BalloonTextChar"/>
    <w:uiPriority w:val="99"/>
    <w:semiHidden/>
    <w:unhideWhenUsed/>
    <w:rsid w:val="003A70FF"/>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70FF"/>
    <w:rPr>
      <w:rFonts w:ascii="Segoe UI" w:hAnsi="Segoe UI" w:cs="Segoe UI"/>
      <w:sz w:val="18"/>
      <w:szCs w:val="18"/>
      <w:lang w:eastAsia="en-US"/>
    </w:rPr>
  </w:style>
  <w:style w:type="paragraph" w:styleId="Footer">
    <w:name w:val="footer"/>
    <w:basedOn w:val="Normal"/>
    <w:link w:val="FooterChar"/>
    <w:uiPriority w:val="17"/>
    <w:qFormat/>
    <w:rsid w:val="0055740E"/>
    <w:pPr>
      <w:spacing w:before="0" w:after="0"/>
      <w:contextualSpacing/>
      <w:jc w:val="center"/>
    </w:pPr>
    <w:rPr>
      <w:sz w:val="18"/>
      <w:lang w:val="en-US"/>
    </w:rPr>
  </w:style>
  <w:style w:type="character" w:customStyle="1" w:styleId="FooterChar">
    <w:name w:val="Footer Char"/>
    <w:basedOn w:val="DefaultParagraphFont"/>
    <w:link w:val="Footer"/>
    <w:uiPriority w:val="17"/>
    <w:locked/>
    <w:rsid w:val="00F64FE9"/>
    <w:rPr>
      <w:rFonts w:ascii="Calibri" w:hAnsi="Calibri" w:cs="Arial"/>
      <w:sz w:val="18"/>
      <w:szCs w:val="20"/>
      <w:lang w:val="en-US" w:eastAsia="en-US"/>
    </w:rPr>
  </w:style>
  <w:style w:type="paragraph" w:styleId="Header">
    <w:name w:val="header"/>
    <w:basedOn w:val="Normal"/>
    <w:link w:val="HeaderChar"/>
    <w:uiPriority w:val="15"/>
    <w:qFormat/>
    <w:rsid w:val="00F5404A"/>
    <w:pPr>
      <w:tabs>
        <w:tab w:val="center" w:pos="4153"/>
        <w:tab w:val="right" w:pos="8306"/>
      </w:tabs>
      <w:spacing w:before="240"/>
      <w:jc w:val="center"/>
    </w:pPr>
    <w:rPr>
      <w:rFonts w:asciiTheme="minorHAnsi" w:hAnsiTheme="minorHAnsi" w:cstheme="minorHAnsi"/>
      <w:b/>
      <w:bCs/>
      <w:caps/>
      <w:noProof/>
      <w:color w:val="1F497D" w:themeColor="text2"/>
      <w:sz w:val="32"/>
    </w:rPr>
  </w:style>
  <w:style w:type="character" w:customStyle="1" w:styleId="HeaderChar">
    <w:name w:val="Header Char"/>
    <w:basedOn w:val="DefaultParagraphFont"/>
    <w:link w:val="Header"/>
    <w:uiPriority w:val="15"/>
    <w:locked/>
    <w:rsid w:val="00F5404A"/>
    <w:rPr>
      <w:rFonts w:cstheme="minorHAnsi"/>
      <w:b/>
      <w:bCs/>
      <w:caps/>
      <w:noProof/>
      <w:color w:val="1F497D" w:themeColor="text2"/>
      <w:sz w:val="32"/>
      <w:szCs w:val="20"/>
      <w:lang w:eastAsia="en-US"/>
    </w:rPr>
  </w:style>
  <w:style w:type="table" w:styleId="TableGrid">
    <w:name w:val="Table Grid"/>
    <w:basedOn w:val="TableNormal"/>
    <w:uiPriority w:val="59"/>
    <w:rsid w:val="00130E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7"/>
    <w:qFormat/>
    <w:rsid w:val="00A75686"/>
    <w:pPr>
      <w:spacing w:before="240" w:after="300"/>
      <w:jc w:val="left"/>
    </w:pPr>
    <w:rPr>
      <w:rFonts w:asciiTheme="minorHAnsi" w:eastAsiaTheme="majorEastAsia" w:hAnsiTheme="minorHAnsi" w:cstheme="minorHAnsi"/>
      <w:b/>
      <w:bCs/>
      <w:caps/>
      <w:color w:val="1F497D" w:themeColor="text2"/>
      <w:spacing w:val="5"/>
      <w:kern w:val="28"/>
      <w:sz w:val="72"/>
      <w:szCs w:val="56"/>
    </w:rPr>
  </w:style>
  <w:style w:type="character" w:customStyle="1" w:styleId="TitleChar">
    <w:name w:val="Title Char"/>
    <w:basedOn w:val="DefaultParagraphFont"/>
    <w:link w:val="Title"/>
    <w:uiPriority w:val="7"/>
    <w:locked/>
    <w:rsid w:val="00A75686"/>
    <w:rPr>
      <w:rFonts w:eastAsiaTheme="majorEastAsia" w:cstheme="minorHAnsi"/>
      <w:b/>
      <w:bCs/>
      <w:caps/>
      <w:color w:val="1F497D" w:themeColor="text2"/>
      <w:spacing w:val="5"/>
      <w:kern w:val="28"/>
      <w:sz w:val="72"/>
      <w:szCs w:val="56"/>
      <w:lang w:eastAsia="en-US"/>
    </w:rPr>
  </w:style>
  <w:style w:type="paragraph" w:customStyle="1" w:styleId="bulletT2">
    <w:name w:val="bullet T2"/>
    <w:basedOn w:val="PB2"/>
    <w:link w:val="bulletT2Char"/>
    <w:uiPriority w:val="9"/>
    <w:qFormat/>
    <w:rsid w:val="001D3DB7"/>
    <w:pPr>
      <w:ind w:left="397" w:hanging="227"/>
    </w:pPr>
  </w:style>
  <w:style w:type="paragraph" w:styleId="Revision">
    <w:name w:val="Revision"/>
    <w:hidden/>
    <w:uiPriority w:val="99"/>
    <w:semiHidden/>
    <w:rsid w:val="002D6577"/>
    <w:rPr>
      <w:rFonts w:ascii="Arial" w:hAnsi="Arial" w:cs="Arial"/>
      <w:lang w:eastAsia="en-US"/>
    </w:rPr>
  </w:style>
  <w:style w:type="paragraph" w:customStyle="1" w:styleId="Table">
    <w:name w:val="Table"/>
    <w:basedOn w:val="Normal"/>
    <w:autoRedefine/>
    <w:semiHidden/>
    <w:qFormat/>
    <w:rsid w:val="00B10C05"/>
    <w:pPr>
      <w:framePr w:hSpace="181" w:wrap="around" w:vAnchor="text" w:hAnchor="margin" w:y="239"/>
    </w:pPr>
  </w:style>
  <w:style w:type="character" w:customStyle="1" w:styleId="bulletT2Char">
    <w:name w:val="bullet T2 Char"/>
    <w:basedOn w:val="PB2Char"/>
    <w:link w:val="bulletT2"/>
    <w:uiPriority w:val="9"/>
    <w:rsid w:val="00B95EBA"/>
    <w:rPr>
      <w:rFonts w:ascii="Calibri" w:hAnsi="Calibri" w:cs="Arial"/>
      <w:sz w:val="20"/>
      <w:szCs w:val="20"/>
      <w:lang w:eastAsia="en-US"/>
    </w:rPr>
  </w:style>
  <w:style w:type="paragraph" w:styleId="List">
    <w:name w:val="List"/>
    <w:aliases w:val="Numberlist 1"/>
    <w:basedOn w:val="Normal"/>
    <w:autoRedefine/>
    <w:semiHidden/>
    <w:qFormat/>
    <w:rsid w:val="00C43BEC"/>
    <w:pPr>
      <w:spacing w:before="120"/>
      <w:ind w:left="717" w:hanging="360"/>
    </w:pPr>
  </w:style>
  <w:style w:type="paragraph" w:styleId="ListBullet">
    <w:name w:val="List Bullet"/>
    <w:basedOn w:val="Normal"/>
    <w:uiPriority w:val="99"/>
    <w:semiHidden/>
    <w:rsid w:val="00C43BEC"/>
    <w:pPr>
      <w:numPr>
        <w:numId w:val="9"/>
      </w:numPr>
      <w:contextualSpacing/>
    </w:pPr>
  </w:style>
  <w:style w:type="numbering" w:customStyle="1" w:styleId="Style1">
    <w:name w:val="Style1"/>
    <w:rsid w:val="001F581B"/>
    <w:pPr>
      <w:numPr>
        <w:numId w:val="1"/>
      </w:numPr>
    </w:pPr>
  </w:style>
  <w:style w:type="character" w:customStyle="1" w:styleId="Heading4Char">
    <w:name w:val="Heading 4 Char"/>
    <w:basedOn w:val="DefaultParagraphFont"/>
    <w:link w:val="Heading4"/>
    <w:semiHidden/>
    <w:rsid w:val="0013059D"/>
    <w:rPr>
      <w:rFonts w:ascii="Arial" w:hAnsi="Arial" w:cs="Arial"/>
      <w:i/>
      <w:sz w:val="20"/>
      <w:szCs w:val="28"/>
      <w:lang w:eastAsia="en-US"/>
    </w:rPr>
  </w:style>
  <w:style w:type="paragraph" w:customStyle="1" w:styleId="Instructions">
    <w:name w:val="Instructions"/>
    <w:basedOn w:val="Normal"/>
    <w:link w:val="InstructionsChar"/>
    <w:uiPriority w:val="11"/>
    <w:qFormat/>
    <w:rsid w:val="00D244EF"/>
    <w:rPr>
      <w:i/>
      <w:iCs/>
      <w:color w:val="C00000"/>
    </w:rPr>
  </w:style>
  <w:style w:type="character" w:customStyle="1" w:styleId="InstructionsChar">
    <w:name w:val="Instructions Char"/>
    <w:basedOn w:val="DefaultParagraphFont"/>
    <w:link w:val="Instructions"/>
    <w:uiPriority w:val="11"/>
    <w:rsid w:val="00D244EF"/>
    <w:rPr>
      <w:rFonts w:ascii="Calibri" w:hAnsi="Calibri" w:cs="Arial"/>
      <w:i/>
      <w:iCs/>
      <w:color w:val="C00000"/>
      <w:sz w:val="20"/>
      <w:szCs w:val="20"/>
      <w:lang w:eastAsia="en-US"/>
    </w:rPr>
  </w:style>
  <w:style w:type="paragraph" w:customStyle="1" w:styleId="bullet2">
    <w:name w:val="bullet 2"/>
    <w:basedOn w:val="Normal"/>
    <w:link w:val="bullet2Char"/>
    <w:uiPriority w:val="99"/>
    <w:qFormat/>
    <w:rsid w:val="003A7897"/>
    <w:pPr>
      <w:numPr>
        <w:numId w:val="4"/>
      </w:numPr>
      <w:ind w:left="624" w:hanging="284"/>
    </w:pPr>
  </w:style>
  <w:style w:type="character" w:customStyle="1" w:styleId="bullet2Char">
    <w:name w:val="bullet 2 Char"/>
    <w:basedOn w:val="DefaultParagraphFont"/>
    <w:link w:val="bullet2"/>
    <w:uiPriority w:val="99"/>
    <w:locked/>
    <w:rsid w:val="00B95EBA"/>
    <w:rPr>
      <w:rFonts w:ascii="Calibri" w:hAnsi="Calibri" w:cs="Arial"/>
      <w:sz w:val="20"/>
      <w:szCs w:val="20"/>
      <w:lang w:eastAsia="en-US"/>
    </w:rPr>
  </w:style>
  <w:style w:type="paragraph" w:customStyle="1" w:styleId="bullet3">
    <w:name w:val="bullet 3"/>
    <w:basedOn w:val="Normal"/>
    <w:link w:val="bullet3Char"/>
    <w:uiPriority w:val="6"/>
    <w:qFormat/>
    <w:rsid w:val="003A7897"/>
    <w:pPr>
      <w:numPr>
        <w:numId w:val="5"/>
      </w:numPr>
      <w:ind w:left="908" w:hanging="284"/>
    </w:pPr>
  </w:style>
  <w:style w:type="character" w:customStyle="1" w:styleId="Heading5Char">
    <w:name w:val="Heading 5 Char"/>
    <w:basedOn w:val="DefaultParagraphFont"/>
    <w:link w:val="Heading5"/>
    <w:uiPriority w:val="9"/>
    <w:semiHidden/>
    <w:rsid w:val="00104D42"/>
    <w:rPr>
      <w:rFonts w:asciiTheme="majorHAnsi" w:eastAsiaTheme="majorEastAsia" w:hAnsiTheme="majorHAnsi" w:cstheme="majorBidi"/>
      <w:color w:val="243F60" w:themeColor="accent1" w:themeShade="7F"/>
      <w:sz w:val="20"/>
      <w:szCs w:val="20"/>
      <w:lang w:eastAsia="en-US"/>
    </w:rPr>
  </w:style>
  <w:style w:type="character" w:customStyle="1" w:styleId="Heading6Char">
    <w:name w:val="Heading 6 Char"/>
    <w:basedOn w:val="DefaultParagraphFont"/>
    <w:link w:val="Heading6"/>
    <w:uiPriority w:val="9"/>
    <w:semiHidden/>
    <w:rsid w:val="00104D42"/>
    <w:rPr>
      <w:rFonts w:asciiTheme="majorHAnsi" w:eastAsiaTheme="majorEastAsia" w:hAnsiTheme="majorHAnsi" w:cstheme="majorBidi"/>
      <w:i/>
      <w:iCs/>
      <w:color w:val="243F60" w:themeColor="accent1" w:themeShade="7F"/>
      <w:sz w:val="20"/>
      <w:szCs w:val="20"/>
      <w:lang w:eastAsia="en-US"/>
    </w:rPr>
  </w:style>
  <w:style w:type="paragraph" w:styleId="Quote">
    <w:name w:val="Quote"/>
    <w:basedOn w:val="Normal"/>
    <w:next w:val="Normal"/>
    <w:link w:val="QuoteChar"/>
    <w:uiPriority w:val="29"/>
    <w:semiHidden/>
    <w:qFormat/>
    <w:rsid w:val="00C43BEC"/>
    <w:rPr>
      <w:i/>
      <w:iCs/>
      <w:color w:val="000000" w:themeColor="text1"/>
    </w:rPr>
  </w:style>
  <w:style w:type="character" w:customStyle="1" w:styleId="QuoteChar">
    <w:name w:val="Quote Char"/>
    <w:basedOn w:val="DefaultParagraphFont"/>
    <w:link w:val="Quote"/>
    <w:uiPriority w:val="29"/>
    <w:semiHidden/>
    <w:rsid w:val="00104D42"/>
    <w:rPr>
      <w:rFonts w:ascii="Arial" w:hAnsi="Arial" w:cs="Arial"/>
      <w:i/>
      <w:iCs/>
      <w:color w:val="000000" w:themeColor="text1"/>
      <w:sz w:val="20"/>
      <w:szCs w:val="20"/>
      <w:lang w:eastAsia="en-US"/>
    </w:rPr>
  </w:style>
  <w:style w:type="paragraph" w:customStyle="1" w:styleId="SOPreference">
    <w:name w:val="SOP reference"/>
    <w:basedOn w:val="Normal"/>
    <w:uiPriority w:val="99"/>
    <w:semiHidden/>
    <w:rsid w:val="00C43BEC"/>
    <w:rPr>
      <w:color w:val="0000FF"/>
    </w:rPr>
  </w:style>
  <w:style w:type="paragraph" w:customStyle="1" w:styleId="StyleBoldDarkBlueCentered">
    <w:name w:val="Style Bold Dark Blue Centered"/>
    <w:basedOn w:val="Normal"/>
    <w:semiHidden/>
    <w:rsid w:val="00C43BEC"/>
    <w:pPr>
      <w:spacing w:before="40" w:after="40"/>
      <w:jc w:val="center"/>
    </w:pPr>
    <w:rPr>
      <w:b/>
      <w:bCs/>
      <w:color w:val="000080"/>
    </w:rPr>
  </w:style>
  <w:style w:type="paragraph" w:customStyle="1" w:styleId="StyleBoldDarkRedCentered">
    <w:name w:val="Style Bold Dark Red Centered"/>
    <w:basedOn w:val="Normal"/>
    <w:semiHidden/>
    <w:rsid w:val="00C43BEC"/>
    <w:pPr>
      <w:spacing w:before="40" w:after="40"/>
      <w:jc w:val="center"/>
    </w:pPr>
    <w:rPr>
      <w:b/>
      <w:bCs/>
      <w:color w:val="632423" w:themeColor="accent2" w:themeShade="80"/>
    </w:rPr>
  </w:style>
  <w:style w:type="paragraph" w:customStyle="1" w:styleId="StyleDarkBlueCentered">
    <w:name w:val="Style Dark Blue Centered"/>
    <w:basedOn w:val="Normal"/>
    <w:semiHidden/>
    <w:rsid w:val="00C43BEC"/>
    <w:pPr>
      <w:spacing w:before="40" w:after="40"/>
      <w:jc w:val="center"/>
    </w:pPr>
    <w:rPr>
      <w:color w:val="000080"/>
    </w:rPr>
  </w:style>
  <w:style w:type="paragraph" w:customStyle="1" w:styleId="StyleDarkRedCentered">
    <w:name w:val="Style Dark Red Centered"/>
    <w:basedOn w:val="Normal"/>
    <w:semiHidden/>
    <w:rsid w:val="00C43BEC"/>
    <w:pPr>
      <w:spacing w:before="40" w:after="40"/>
      <w:jc w:val="center"/>
    </w:pPr>
    <w:rPr>
      <w:color w:val="632423" w:themeColor="accent2" w:themeShade="80"/>
    </w:rPr>
  </w:style>
  <w:style w:type="paragraph" w:customStyle="1" w:styleId="Header-QCDs">
    <w:name w:val="Header - QCDs"/>
    <w:basedOn w:val="Header"/>
    <w:uiPriority w:val="19"/>
    <w:rsid w:val="006E32A4"/>
    <w:pPr>
      <w:jc w:val="right"/>
    </w:pPr>
  </w:style>
  <w:style w:type="paragraph" w:customStyle="1" w:styleId="Docref">
    <w:name w:val="Doc ref"/>
    <w:basedOn w:val="Instructions"/>
    <w:next w:val="Normal"/>
    <w:link w:val="DocrefChar"/>
    <w:uiPriority w:val="5"/>
    <w:qFormat/>
    <w:rsid w:val="00410682"/>
    <w:rPr>
      <w:i w:val="0"/>
      <w:color w:val="1F497D" w:themeColor="text2"/>
    </w:rPr>
  </w:style>
  <w:style w:type="character" w:customStyle="1" w:styleId="DocrefChar">
    <w:name w:val="Doc ref Char"/>
    <w:basedOn w:val="InstructionsChar"/>
    <w:link w:val="Docref"/>
    <w:uiPriority w:val="5"/>
    <w:rsid w:val="00B95EBA"/>
    <w:rPr>
      <w:rFonts w:ascii="Calibri" w:hAnsi="Calibri" w:cs="Arial"/>
      <w:i w:val="0"/>
      <w:iCs/>
      <w:color w:val="1F497D" w:themeColor="text2"/>
      <w:sz w:val="20"/>
      <w:szCs w:val="20"/>
      <w:lang w:eastAsia="en-US"/>
    </w:rPr>
  </w:style>
  <w:style w:type="character" w:customStyle="1" w:styleId="bulletT1Char">
    <w:name w:val="bullet T1 Char"/>
    <w:basedOn w:val="DefaultParagraphFont"/>
    <w:link w:val="bulletT1"/>
    <w:uiPriority w:val="9"/>
    <w:locked/>
    <w:rsid w:val="00B95EBA"/>
    <w:rPr>
      <w:rFonts w:ascii="Calibri" w:hAnsi="Calibri" w:cs="Arial"/>
      <w:sz w:val="20"/>
      <w:szCs w:val="20"/>
      <w:lang w:eastAsia="en-US"/>
    </w:rPr>
  </w:style>
  <w:style w:type="character" w:styleId="Hyperlink">
    <w:name w:val="Hyperlink"/>
    <w:basedOn w:val="DefaultParagraphFont"/>
    <w:uiPriority w:val="99"/>
    <w:rsid w:val="00692DFA"/>
    <w:rPr>
      <w:color w:val="0000FF"/>
      <w:u w:val="single"/>
    </w:rPr>
  </w:style>
  <w:style w:type="paragraph" w:customStyle="1" w:styleId="Bullet1">
    <w:name w:val="Bullet 1"/>
    <w:basedOn w:val="Normal"/>
    <w:link w:val="Bullet1Char"/>
    <w:uiPriority w:val="19"/>
    <w:rsid w:val="00475745"/>
    <w:pPr>
      <w:ind w:left="340" w:hanging="340"/>
    </w:pPr>
  </w:style>
  <w:style w:type="character" w:customStyle="1" w:styleId="Bullet1Char">
    <w:name w:val="Bullet 1 Char"/>
    <w:basedOn w:val="DefaultParagraphFont"/>
    <w:link w:val="Bullet1"/>
    <w:uiPriority w:val="19"/>
    <w:rsid w:val="00475745"/>
    <w:rPr>
      <w:rFonts w:ascii="Calibri" w:hAnsi="Calibri" w:cs="Arial"/>
      <w:sz w:val="20"/>
      <w:szCs w:val="20"/>
      <w:lang w:eastAsia="en-US"/>
    </w:rPr>
  </w:style>
  <w:style w:type="paragraph" w:customStyle="1" w:styleId="Numberlist">
    <w:name w:val="Numberlist"/>
    <w:basedOn w:val="Normal"/>
    <w:qFormat/>
    <w:rsid w:val="003A7897"/>
    <w:pPr>
      <w:numPr>
        <w:numId w:val="16"/>
      </w:numPr>
    </w:p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rFonts w:ascii="Calibri" w:hAnsi="Calibri" w:cs="Arial"/>
      <w:sz w:val="20"/>
      <w:szCs w:val="20"/>
      <w:lang w:eastAsia="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21165B"/>
    <w:rPr>
      <w:b/>
      <w:bCs/>
    </w:rPr>
  </w:style>
  <w:style w:type="character" w:customStyle="1" w:styleId="CommentSubjectChar">
    <w:name w:val="Comment Subject Char"/>
    <w:basedOn w:val="CommentTextChar"/>
    <w:link w:val="CommentSubject"/>
    <w:uiPriority w:val="99"/>
    <w:semiHidden/>
    <w:rsid w:val="0021165B"/>
    <w:rPr>
      <w:rFonts w:ascii="Calibri" w:hAnsi="Calibri" w:cs="Arial"/>
      <w:b/>
      <w:bCs/>
      <w:sz w:val="20"/>
      <w:szCs w:val="20"/>
      <w:lang w:eastAsia="en-US"/>
    </w:rPr>
  </w:style>
  <w:style w:type="character" w:styleId="FollowedHyperlink">
    <w:name w:val="FollowedHyperlink"/>
    <w:basedOn w:val="DefaultParagraphFont"/>
    <w:semiHidden/>
    <w:unhideWhenUsed/>
    <w:rsid w:val="00043513"/>
    <w:rPr>
      <w:color w:val="800080" w:themeColor="followedHyperlink"/>
      <w:u w:val="single"/>
    </w:rPr>
  </w:style>
  <w:style w:type="paragraph" w:customStyle="1" w:styleId="Bold">
    <w:name w:val="Bold"/>
    <w:basedOn w:val="Normal"/>
    <w:uiPriority w:val="18"/>
    <w:rsid w:val="00F013DE"/>
    <w:rPr>
      <w:b/>
    </w:rPr>
  </w:style>
  <w:style w:type="character" w:styleId="UnresolvedMention">
    <w:name w:val="Unresolved Mention"/>
    <w:basedOn w:val="DefaultParagraphFont"/>
    <w:uiPriority w:val="99"/>
    <w:semiHidden/>
    <w:unhideWhenUsed/>
    <w:rsid w:val="00396CD2"/>
    <w:rPr>
      <w:color w:val="605E5C"/>
      <w:shd w:val="clear" w:color="auto" w:fill="E1DFDD"/>
    </w:rPr>
  </w:style>
  <w:style w:type="paragraph" w:styleId="ListParagraph">
    <w:name w:val="List Paragraph"/>
    <w:basedOn w:val="Normal"/>
    <w:link w:val="ListParagraphChar"/>
    <w:uiPriority w:val="34"/>
    <w:rsid w:val="007E625E"/>
    <w:pPr>
      <w:ind w:left="720"/>
      <w:contextualSpacing/>
    </w:pPr>
  </w:style>
  <w:style w:type="paragraph" w:styleId="TOCHeading">
    <w:name w:val="TOC Heading"/>
    <w:basedOn w:val="Heading1"/>
    <w:next w:val="Normal"/>
    <w:uiPriority w:val="39"/>
    <w:unhideWhenUsed/>
    <w:rsid w:val="000317D8"/>
    <w:pPr>
      <w:keepLines/>
      <w:spacing w:after="0" w:line="259" w:lineRule="auto"/>
      <w:outlineLvl w:val="9"/>
    </w:pPr>
    <w:rPr>
      <w:rFonts w:asciiTheme="majorHAnsi" w:eastAsiaTheme="majorEastAsia" w:hAnsiTheme="majorHAnsi" w:cstheme="majorBidi"/>
      <w:b w:val="0"/>
      <w:caps w:val="0"/>
      <w:color w:val="365F91" w:themeColor="accent1" w:themeShade="BF"/>
      <w:kern w:val="0"/>
      <w:sz w:val="32"/>
      <w:szCs w:val="32"/>
      <w:lang w:val="en-US"/>
    </w:rPr>
  </w:style>
  <w:style w:type="paragraph" w:styleId="TOC1">
    <w:name w:val="toc 1"/>
    <w:basedOn w:val="Normal"/>
    <w:next w:val="Normal"/>
    <w:autoRedefine/>
    <w:uiPriority w:val="39"/>
    <w:unhideWhenUsed/>
    <w:locked/>
    <w:rsid w:val="003E6162"/>
    <w:pPr>
      <w:tabs>
        <w:tab w:val="right" w:leader="dot" w:pos="9017"/>
      </w:tabs>
      <w:spacing w:after="100"/>
    </w:pPr>
    <w:rPr>
      <w:b/>
      <w:bCs/>
      <w:noProof/>
    </w:rPr>
  </w:style>
  <w:style w:type="paragraph" w:styleId="TOC2">
    <w:name w:val="toc 2"/>
    <w:basedOn w:val="Normal"/>
    <w:next w:val="Normal"/>
    <w:autoRedefine/>
    <w:uiPriority w:val="39"/>
    <w:unhideWhenUsed/>
    <w:locked/>
    <w:rsid w:val="00FA2034"/>
    <w:pPr>
      <w:tabs>
        <w:tab w:val="left" w:pos="426"/>
        <w:tab w:val="right" w:leader="dot" w:pos="9017"/>
      </w:tabs>
      <w:spacing w:after="100"/>
      <w:ind w:left="142"/>
    </w:pPr>
  </w:style>
  <w:style w:type="paragraph" w:styleId="TOC3">
    <w:name w:val="toc 3"/>
    <w:basedOn w:val="Normal"/>
    <w:next w:val="Normal"/>
    <w:autoRedefine/>
    <w:uiPriority w:val="39"/>
    <w:unhideWhenUsed/>
    <w:locked/>
    <w:rsid w:val="00FA2034"/>
    <w:pPr>
      <w:tabs>
        <w:tab w:val="right" w:leader="dot" w:pos="9017"/>
      </w:tabs>
      <w:spacing w:after="100"/>
      <w:ind w:left="567"/>
    </w:pPr>
  </w:style>
  <w:style w:type="paragraph" w:customStyle="1" w:styleId="bullet10">
    <w:name w:val="bullet 1"/>
    <w:basedOn w:val="bulletT1"/>
    <w:link w:val="bullet1Char0"/>
    <w:uiPriority w:val="3"/>
    <w:qFormat/>
    <w:rsid w:val="003A7897"/>
    <w:pPr>
      <w:ind w:left="341" w:hanging="284"/>
    </w:pPr>
  </w:style>
  <w:style w:type="character" w:customStyle="1" w:styleId="bullet1Char0">
    <w:name w:val="bullet 1 Char"/>
    <w:basedOn w:val="bulletT1Char"/>
    <w:link w:val="bullet10"/>
    <w:uiPriority w:val="3"/>
    <w:rsid w:val="00B95EBA"/>
    <w:rPr>
      <w:rFonts w:ascii="Calibri" w:hAnsi="Calibri" w:cs="Arial"/>
      <w:sz w:val="20"/>
      <w:szCs w:val="20"/>
      <w:lang w:eastAsia="en-US"/>
    </w:rPr>
  </w:style>
  <w:style w:type="paragraph" w:customStyle="1" w:styleId="PN11">
    <w:name w:val="PN1.1"/>
    <w:basedOn w:val="ListParagraph"/>
    <w:link w:val="PN11Char"/>
    <w:uiPriority w:val="1"/>
    <w:qFormat/>
    <w:rsid w:val="00B370FD"/>
    <w:pPr>
      <w:numPr>
        <w:ilvl w:val="1"/>
        <w:numId w:val="29"/>
      </w:numPr>
      <w:ind w:left="567" w:hanging="567"/>
      <w:contextualSpacing w:val="0"/>
    </w:pPr>
  </w:style>
  <w:style w:type="character" w:customStyle="1" w:styleId="ListParagraphChar">
    <w:name w:val="List Paragraph Char"/>
    <w:basedOn w:val="DefaultParagraphFont"/>
    <w:link w:val="ListParagraph"/>
    <w:uiPriority w:val="34"/>
    <w:rsid w:val="00C62D7F"/>
    <w:rPr>
      <w:rFonts w:ascii="Calibri" w:hAnsi="Calibri" w:cs="Arial"/>
      <w:sz w:val="20"/>
      <w:szCs w:val="20"/>
      <w:lang w:eastAsia="en-US"/>
    </w:rPr>
  </w:style>
  <w:style w:type="character" w:customStyle="1" w:styleId="PN11Char">
    <w:name w:val="PN1.1 Char"/>
    <w:basedOn w:val="ListParagraphChar"/>
    <w:link w:val="PN11"/>
    <w:uiPriority w:val="1"/>
    <w:rsid w:val="001D3DB7"/>
    <w:rPr>
      <w:rFonts w:ascii="Calibri" w:hAnsi="Calibri" w:cs="Arial"/>
      <w:sz w:val="20"/>
      <w:szCs w:val="20"/>
      <w:lang w:eastAsia="en-US"/>
    </w:rPr>
  </w:style>
  <w:style w:type="paragraph" w:customStyle="1" w:styleId="PN1">
    <w:name w:val="PN1"/>
    <w:basedOn w:val="Heading2"/>
    <w:link w:val="PN1Char"/>
    <w:uiPriority w:val="1"/>
    <w:qFormat/>
    <w:rsid w:val="00FA2034"/>
    <w:pPr>
      <w:numPr>
        <w:numId w:val="29"/>
      </w:numPr>
    </w:pPr>
  </w:style>
  <w:style w:type="character" w:customStyle="1" w:styleId="PN1Char">
    <w:name w:val="PN1 Char"/>
    <w:basedOn w:val="Heading2Char"/>
    <w:link w:val="PN1"/>
    <w:uiPriority w:val="1"/>
    <w:rsid w:val="001D3DB7"/>
    <w:rPr>
      <w:rFonts w:eastAsiaTheme="minorHAnsi" w:cstheme="minorHAnsi"/>
      <w:bCs/>
      <w:iCs/>
      <w:caps/>
      <w:color w:val="1F497D" w:themeColor="text2"/>
      <w:sz w:val="24"/>
      <w:szCs w:val="24"/>
      <w:lang w:eastAsia="en-US"/>
    </w:rPr>
  </w:style>
  <w:style w:type="paragraph" w:customStyle="1" w:styleId="PB1">
    <w:name w:val="PB1"/>
    <w:basedOn w:val="bullet10"/>
    <w:link w:val="PB1Char"/>
    <w:uiPriority w:val="4"/>
    <w:qFormat/>
    <w:rsid w:val="003A7897"/>
    <w:pPr>
      <w:ind w:left="851"/>
    </w:pPr>
  </w:style>
  <w:style w:type="character" w:customStyle="1" w:styleId="PB1Char">
    <w:name w:val="PB1 Char"/>
    <w:basedOn w:val="bullet2Char"/>
    <w:link w:val="PB1"/>
    <w:uiPriority w:val="4"/>
    <w:rsid w:val="003A7897"/>
    <w:rPr>
      <w:rFonts w:ascii="Calibri" w:hAnsi="Calibri" w:cs="Arial"/>
      <w:sz w:val="20"/>
      <w:szCs w:val="20"/>
      <w:lang w:eastAsia="en-US"/>
    </w:rPr>
  </w:style>
  <w:style w:type="paragraph" w:customStyle="1" w:styleId="PB2">
    <w:name w:val="PB2"/>
    <w:basedOn w:val="bullet2"/>
    <w:link w:val="PB2Char"/>
    <w:uiPriority w:val="4"/>
    <w:qFormat/>
    <w:rsid w:val="007C400B"/>
    <w:pPr>
      <w:ind w:left="1135"/>
    </w:pPr>
  </w:style>
  <w:style w:type="character" w:customStyle="1" w:styleId="bullet3Char">
    <w:name w:val="bullet 3 Char"/>
    <w:basedOn w:val="DefaultParagraphFont"/>
    <w:link w:val="bullet3"/>
    <w:uiPriority w:val="6"/>
    <w:rsid w:val="00B95EBA"/>
    <w:rPr>
      <w:rFonts w:ascii="Calibri" w:hAnsi="Calibri" w:cs="Arial"/>
      <w:sz w:val="20"/>
      <w:szCs w:val="20"/>
      <w:lang w:eastAsia="en-US"/>
    </w:rPr>
  </w:style>
  <w:style w:type="character" w:customStyle="1" w:styleId="PB2Char">
    <w:name w:val="PB2 Char"/>
    <w:basedOn w:val="bullet3Char"/>
    <w:link w:val="PB2"/>
    <w:uiPriority w:val="4"/>
    <w:rsid w:val="001D3DB7"/>
    <w:rPr>
      <w:rFonts w:ascii="Calibri" w:hAnsi="Calibri" w:cs="Arial"/>
      <w:sz w:val="20"/>
      <w:szCs w:val="20"/>
      <w:lang w:eastAsia="en-US"/>
    </w:rPr>
  </w:style>
  <w:style w:type="paragraph" w:customStyle="1" w:styleId="PB3">
    <w:name w:val="PB3"/>
    <w:basedOn w:val="bullet3"/>
    <w:link w:val="PB3Char"/>
    <w:uiPriority w:val="4"/>
    <w:qFormat/>
    <w:rsid w:val="007C400B"/>
    <w:pPr>
      <w:ind w:left="1418"/>
    </w:pPr>
  </w:style>
  <w:style w:type="character" w:customStyle="1" w:styleId="PB3Char">
    <w:name w:val="PB3 Char"/>
    <w:basedOn w:val="bullet3Char"/>
    <w:link w:val="PB3"/>
    <w:uiPriority w:val="4"/>
    <w:rsid w:val="001D3DB7"/>
    <w:rPr>
      <w:rFonts w:ascii="Calibri" w:hAnsi="Calibri" w:cs="Arial"/>
      <w:sz w:val="20"/>
      <w:szCs w:val="20"/>
      <w:lang w:eastAsia="en-US"/>
    </w:rPr>
  </w:style>
  <w:style w:type="paragraph" w:customStyle="1" w:styleId="Contributorstabletext">
    <w:name w:val="Contributors table text"/>
    <w:basedOn w:val="Normal"/>
    <w:link w:val="ContributorstabletextChar"/>
    <w:uiPriority w:val="8"/>
    <w:qFormat/>
    <w:rsid w:val="00A5347A"/>
    <w:pPr>
      <w:spacing w:before="120" w:after="120"/>
    </w:pPr>
  </w:style>
  <w:style w:type="character" w:customStyle="1" w:styleId="ContributorstabletextChar">
    <w:name w:val="Contributors table text Char"/>
    <w:basedOn w:val="DefaultParagraphFont"/>
    <w:link w:val="Contributorstabletext"/>
    <w:uiPriority w:val="8"/>
    <w:rsid w:val="00B95EBA"/>
    <w:rPr>
      <w:rFonts w:ascii="Calibri" w:hAnsi="Calibri" w:cs="Arial"/>
      <w:sz w:val="20"/>
      <w:szCs w:val="20"/>
      <w:lang w:eastAsia="en-US"/>
    </w:rPr>
  </w:style>
  <w:style w:type="paragraph" w:customStyle="1" w:styleId="References">
    <w:name w:val="References"/>
    <w:basedOn w:val="Normal"/>
    <w:link w:val="ReferencesChar"/>
    <w:uiPriority w:val="5"/>
    <w:qFormat/>
    <w:rsid w:val="00A5347A"/>
    <w:pPr>
      <w:spacing w:after="120"/>
      <w:ind w:left="142" w:hanging="142"/>
      <w:jc w:val="left"/>
    </w:pPr>
  </w:style>
  <w:style w:type="character" w:customStyle="1" w:styleId="ReferencesChar">
    <w:name w:val="References Char"/>
    <w:basedOn w:val="DefaultParagraphFont"/>
    <w:link w:val="References"/>
    <w:uiPriority w:val="5"/>
    <w:rsid w:val="00B95EBA"/>
    <w:rPr>
      <w:rFonts w:ascii="Calibri" w:hAnsi="Calibri" w:cs="Arial"/>
      <w:sz w:val="20"/>
      <w:szCs w:val="20"/>
      <w:lang w:eastAsia="en-US"/>
    </w:rPr>
  </w:style>
  <w:style w:type="character" w:customStyle="1" w:styleId="BTable2Char">
    <w:name w:val="B.Table.2 Char"/>
    <w:basedOn w:val="bullet2Char"/>
    <w:uiPriority w:val="99"/>
    <w:rsid w:val="00A5347A"/>
    <w:rPr>
      <w:rFonts w:ascii="Calibri" w:hAnsi="Calibri" w:cs="Arial"/>
      <w:sz w:val="20"/>
      <w:szCs w:val="20"/>
      <w:lang w:eastAsia="en-US"/>
    </w:rPr>
  </w:style>
  <w:style w:type="paragraph" w:customStyle="1" w:styleId="bulletT3">
    <w:name w:val="bullet T3"/>
    <w:basedOn w:val="bullet3"/>
    <w:link w:val="bulletT3Char"/>
    <w:uiPriority w:val="9"/>
    <w:qFormat/>
    <w:rsid w:val="00A5347A"/>
    <w:pPr>
      <w:ind w:left="624" w:hanging="227"/>
    </w:pPr>
  </w:style>
  <w:style w:type="character" w:customStyle="1" w:styleId="bulletT3Char">
    <w:name w:val="bullet T3 Char"/>
    <w:basedOn w:val="bullet3Char"/>
    <w:link w:val="bulletT3"/>
    <w:uiPriority w:val="9"/>
    <w:rsid w:val="00B95EBA"/>
    <w:rPr>
      <w:rFonts w:ascii="Calibri" w:hAnsi="Calibri" w:cs="Arial"/>
      <w:sz w:val="20"/>
      <w:szCs w:val="20"/>
      <w:lang w:eastAsia="en-US"/>
    </w:rPr>
  </w:style>
  <w:style w:type="paragraph" w:customStyle="1" w:styleId="Sectionref">
    <w:name w:val="Section ref"/>
    <w:basedOn w:val="Docref"/>
    <w:link w:val="SectionrefChar"/>
    <w:uiPriority w:val="5"/>
    <w:qFormat/>
    <w:rsid w:val="004827DE"/>
    <w:rPr>
      <w:u w:val="single"/>
    </w:rPr>
  </w:style>
  <w:style w:type="character" w:customStyle="1" w:styleId="SectionrefChar">
    <w:name w:val="Section ref Char"/>
    <w:basedOn w:val="DocrefChar"/>
    <w:link w:val="Sectionref"/>
    <w:uiPriority w:val="5"/>
    <w:rsid w:val="00B95EBA"/>
    <w:rPr>
      <w:rFonts w:ascii="Calibri" w:hAnsi="Calibri" w:cs="Arial"/>
      <w:i w:val="0"/>
      <w:iCs/>
      <w:color w:val="1F497D" w:themeColor="text2"/>
      <w:sz w:val="20"/>
      <w:szCs w:val="20"/>
      <w:u w:val="single"/>
      <w:lang w:eastAsia="en-US"/>
    </w:rPr>
  </w:style>
  <w:style w:type="numbering" w:customStyle="1" w:styleId="Style2">
    <w:name w:val="Style2"/>
    <w:uiPriority w:val="99"/>
    <w:rsid w:val="005B2E43"/>
    <w:pPr>
      <w:numPr>
        <w:numId w:val="39"/>
      </w:numPr>
    </w:pPr>
  </w:style>
  <w:style w:type="paragraph" w:customStyle="1" w:styleId="QCDheader">
    <w:name w:val="QCD header"/>
    <w:basedOn w:val="Normal"/>
    <w:link w:val="QCDheaderChar"/>
    <w:uiPriority w:val="15"/>
    <w:qFormat/>
    <w:rsid w:val="0070627C"/>
    <w:pPr>
      <w:spacing w:before="0" w:after="0"/>
      <w:jc w:val="right"/>
    </w:pPr>
    <w:rPr>
      <w:b/>
      <w:bCs/>
      <w:caps/>
      <w:color w:val="1F497D" w:themeColor="text2"/>
      <w:sz w:val="32"/>
      <w:szCs w:val="28"/>
    </w:rPr>
  </w:style>
  <w:style w:type="character" w:customStyle="1" w:styleId="QCDheaderChar">
    <w:name w:val="QCD header Char"/>
    <w:basedOn w:val="DefaultParagraphFont"/>
    <w:link w:val="QCDheader"/>
    <w:uiPriority w:val="15"/>
    <w:rsid w:val="0070627C"/>
    <w:rPr>
      <w:rFonts w:ascii="Calibri" w:hAnsi="Calibri" w:cs="Arial"/>
      <w:b/>
      <w:bCs/>
      <w:caps/>
      <w:color w:val="1F497D" w:themeColor="text2"/>
      <w:sz w:val="32"/>
      <w:szCs w:val="28"/>
      <w:lang w:eastAsia="en-US"/>
    </w:rPr>
  </w:style>
  <w:style w:type="paragraph" w:customStyle="1" w:styleId="ReferencestootherSOPsQCDs">
    <w:name w:val="References to other SOPs/QCDs"/>
    <w:basedOn w:val="Instructions"/>
    <w:next w:val="Normal"/>
    <w:link w:val="ReferencestootherSOPsQCDsChar"/>
    <w:qFormat/>
    <w:rsid w:val="000B739D"/>
    <w:pPr>
      <w:jc w:val="left"/>
    </w:pPr>
    <w:rPr>
      <w:color w:val="943634"/>
    </w:rPr>
  </w:style>
  <w:style w:type="character" w:customStyle="1" w:styleId="ReferencestootherSOPsQCDsChar">
    <w:name w:val="References to other SOPs/QCDs Char"/>
    <w:basedOn w:val="InstructionsChar"/>
    <w:link w:val="ReferencestootherSOPsQCDs"/>
    <w:rsid w:val="000B739D"/>
    <w:rPr>
      <w:rFonts w:ascii="Calibri" w:hAnsi="Calibri" w:cs="Arial"/>
      <w:i/>
      <w:iCs/>
      <w:color w:val="943634"/>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0191821">
      <w:bodyDiv w:val="1"/>
      <w:marLeft w:val="0"/>
      <w:marRight w:val="0"/>
      <w:marTop w:val="0"/>
      <w:marBottom w:val="0"/>
      <w:divBdr>
        <w:top w:val="none" w:sz="0" w:space="0" w:color="auto"/>
        <w:left w:val="none" w:sz="0" w:space="0" w:color="auto"/>
        <w:bottom w:val="none" w:sz="0" w:space="0" w:color="auto"/>
        <w:right w:val="none" w:sz="0" w:space="0" w:color="auto"/>
      </w:divBdr>
    </w:div>
    <w:div w:id="720635838">
      <w:bodyDiv w:val="1"/>
      <w:marLeft w:val="0"/>
      <w:marRight w:val="0"/>
      <w:marTop w:val="0"/>
      <w:marBottom w:val="0"/>
      <w:divBdr>
        <w:top w:val="none" w:sz="0" w:space="0" w:color="auto"/>
        <w:left w:val="none" w:sz="0" w:space="0" w:color="auto"/>
        <w:bottom w:val="none" w:sz="0" w:space="0" w:color="auto"/>
        <w:right w:val="none" w:sz="0" w:space="0" w:color="auto"/>
      </w:divBdr>
    </w:div>
    <w:div w:id="828979895">
      <w:bodyDiv w:val="1"/>
      <w:marLeft w:val="0"/>
      <w:marRight w:val="0"/>
      <w:marTop w:val="0"/>
      <w:marBottom w:val="0"/>
      <w:divBdr>
        <w:top w:val="none" w:sz="0" w:space="0" w:color="auto"/>
        <w:left w:val="none" w:sz="0" w:space="0" w:color="auto"/>
        <w:bottom w:val="none" w:sz="0" w:space="0" w:color="auto"/>
        <w:right w:val="none" w:sz="0" w:space="0" w:color="auto"/>
      </w:divBdr>
    </w:div>
    <w:div w:id="1076517569">
      <w:bodyDiv w:val="1"/>
      <w:marLeft w:val="0"/>
      <w:marRight w:val="0"/>
      <w:marTop w:val="0"/>
      <w:marBottom w:val="0"/>
      <w:divBdr>
        <w:top w:val="none" w:sz="0" w:space="0" w:color="auto"/>
        <w:left w:val="none" w:sz="0" w:space="0" w:color="auto"/>
        <w:bottom w:val="none" w:sz="0" w:space="0" w:color="auto"/>
        <w:right w:val="none" w:sz="0" w:space="0" w:color="auto"/>
      </w:divBdr>
    </w:div>
    <w:div w:id="1128280163">
      <w:bodyDiv w:val="1"/>
      <w:marLeft w:val="0"/>
      <w:marRight w:val="0"/>
      <w:marTop w:val="0"/>
      <w:marBottom w:val="0"/>
      <w:divBdr>
        <w:top w:val="none" w:sz="0" w:space="0" w:color="auto"/>
        <w:left w:val="none" w:sz="0" w:space="0" w:color="auto"/>
        <w:bottom w:val="none" w:sz="0" w:space="0" w:color="auto"/>
        <w:right w:val="none" w:sz="0" w:space="0" w:color="auto"/>
      </w:divBdr>
    </w:div>
    <w:div w:id="1289703582">
      <w:marLeft w:val="0"/>
      <w:marRight w:val="0"/>
      <w:marTop w:val="0"/>
      <w:marBottom w:val="0"/>
      <w:divBdr>
        <w:top w:val="none" w:sz="0" w:space="0" w:color="auto"/>
        <w:left w:val="none" w:sz="0" w:space="0" w:color="auto"/>
        <w:bottom w:val="none" w:sz="0" w:space="0" w:color="auto"/>
        <w:right w:val="none" w:sz="0" w:space="0" w:color="auto"/>
      </w:divBdr>
    </w:div>
    <w:div w:id="1289703583">
      <w:marLeft w:val="0"/>
      <w:marRight w:val="0"/>
      <w:marTop w:val="0"/>
      <w:marBottom w:val="0"/>
      <w:divBdr>
        <w:top w:val="none" w:sz="0" w:space="0" w:color="auto"/>
        <w:left w:val="none" w:sz="0" w:space="0" w:color="auto"/>
        <w:bottom w:val="none" w:sz="0" w:space="0" w:color="auto"/>
        <w:right w:val="none" w:sz="0" w:space="0" w:color="auto"/>
      </w:divBdr>
    </w:div>
    <w:div w:id="1289703584">
      <w:marLeft w:val="0"/>
      <w:marRight w:val="0"/>
      <w:marTop w:val="0"/>
      <w:marBottom w:val="0"/>
      <w:divBdr>
        <w:top w:val="none" w:sz="0" w:space="0" w:color="auto"/>
        <w:left w:val="none" w:sz="0" w:space="0" w:color="auto"/>
        <w:bottom w:val="none" w:sz="0" w:space="0" w:color="auto"/>
        <w:right w:val="none" w:sz="0" w:space="0" w:color="auto"/>
      </w:divBdr>
    </w:div>
    <w:div w:id="1289703587">
      <w:marLeft w:val="0"/>
      <w:marRight w:val="0"/>
      <w:marTop w:val="0"/>
      <w:marBottom w:val="0"/>
      <w:divBdr>
        <w:top w:val="none" w:sz="0" w:space="0" w:color="auto"/>
        <w:left w:val="none" w:sz="0" w:space="0" w:color="auto"/>
        <w:bottom w:val="none" w:sz="0" w:space="0" w:color="auto"/>
        <w:right w:val="none" w:sz="0" w:space="0" w:color="auto"/>
      </w:divBdr>
    </w:div>
    <w:div w:id="1289703589">
      <w:marLeft w:val="0"/>
      <w:marRight w:val="0"/>
      <w:marTop w:val="0"/>
      <w:marBottom w:val="0"/>
      <w:divBdr>
        <w:top w:val="none" w:sz="0" w:space="0" w:color="auto"/>
        <w:left w:val="none" w:sz="0" w:space="0" w:color="auto"/>
        <w:bottom w:val="none" w:sz="0" w:space="0" w:color="auto"/>
        <w:right w:val="none" w:sz="0" w:space="0" w:color="auto"/>
      </w:divBdr>
    </w:div>
    <w:div w:id="1289703590">
      <w:marLeft w:val="0"/>
      <w:marRight w:val="0"/>
      <w:marTop w:val="0"/>
      <w:marBottom w:val="0"/>
      <w:divBdr>
        <w:top w:val="none" w:sz="0" w:space="0" w:color="auto"/>
        <w:left w:val="none" w:sz="0" w:space="0" w:color="auto"/>
        <w:bottom w:val="none" w:sz="0" w:space="0" w:color="auto"/>
        <w:right w:val="none" w:sz="0" w:space="0" w:color="auto"/>
      </w:divBdr>
    </w:div>
    <w:div w:id="1289703594">
      <w:marLeft w:val="0"/>
      <w:marRight w:val="0"/>
      <w:marTop w:val="0"/>
      <w:marBottom w:val="0"/>
      <w:divBdr>
        <w:top w:val="none" w:sz="0" w:space="0" w:color="auto"/>
        <w:left w:val="none" w:sz="0" w:space="0" w:color="auto"/>
        <w:bottom w:val="none" w:sz="0" w:space="0" w:color="auto"/>
        <w:right w:val="none" w:sz="0" w:space="0" w:color="auto"/>
      </w:divBdr>
      <w:divsChild>
        <w:div w:id="1289703591">
          <w:marLeft w:val="0"/>
          <w:marRight w:val="0"/>
          <w:marTop w:val="0"/>
          <w:marBottom w:val="0"/>
          <w:divBdr>
            <w:top w:val="none" w:sz="0" w:space="0" w:color="auto"/>
            <w:left w:val="none" w:sz="0" w:space="0" w:color="auto"/>
            <w:bottom w:val="none" w:sz="0" w:space="0" w:color="auto"/>
            <w:right w:val="none" w:sz="0" w:space="0" w:color="auto"/>
          </w:divBdr>
          <w:divsChild>
            <w:div w:id="1289703593">
              <w:marLeft w:val="0"/>
              <w:marRight w:val="0"/>
              <w:marTop w:val="0"/>
              <w:marBottom w:val="0"/>
              <w:divBdr>
                <w:top w:val="none" w:sz="0" w:space="0" w:color="auto"/>
                <w:left w:val="none" w:sz="0" w:space="0" w:color="auto"/>
                <w:bottom w:val="none" w:sz="0" w:space="0" w:color="auto"/>
                <w:right w:val="none" w:sz="0" w:space="0" w:color="auto"/>
              </w:divBdr>
              <w:divsChild>
                <w:div w:id="1289703602">
                  <w:marLeft w:val="0"/>
                  <w:marRight w:val="0"/>
                  <w:marTop w:val="0"/>
                  <w:marBottom w:val="0"/>
                  <w:divBdr>
                    <w:top w:val="none" w:sz="0" w:space="0" w:color="auto"/>
                    <w:left w:val="none" w:sz="0" w:space="0" w:color="auto"/>
                    <w:bottom w:val="none" w:sz="0" w:space="0" w:color="auto"/>
                    <w:right w:val="none" w:sz="0" w:space="0" w:color="auto"/>
                  </w:divBdr>
                  <w:divsChild>
                    <w:div w:id="1289703600">
                      <w:marLeft w:val="230"/>
                      <w:marRight w:val="230"/>
                      <w:marTop w:val="0"/>
                      <w:marBottom w:val="115"/>
                      <w:divBdr>
                        <w:top w:val="none" w:sz="0" w:space="0" w:color="auto"/>
                        <w:left w:val="none" w:sz="0" w:space="0" w:color="auto"/>
                        <w:bottom w:val="none" w:sz="0" w:space="0" w:color="auto"/>
                        <w:right w:val="none" w:sz="0" w:space="0" w:color="auto"/>
                      </w:divBdr>
                      <w:divsChild>
                        <w:div w:id="1289703598">
                          <w:marLeft w:val="0"/>
                          <w:marRight w:val="0"/>
                          <w:marTop w:val="0"/>
                          <w:marBottom w:val="0"/>
                          <w:divBdr>
                            <w:top w:val="none" w:sz="0" w:space="0" w:color="auto"/>
                            <w:left w:val="none" w:sz="0" w:space="0" w:color="auto"/>
                            <w:bottom w:val="none" w:sz="0" w:space="0" w:color="auto"/>
                            <w:right w:val="none" w:sz="0" w:space="0" w:color="auto"/>
                          </w:divBdr>
                          <w:divsChild>
                            <w:div w:id="1289703586">
                              <w:marLeft w:val="0"/>
                              <w:marRight w:val="0"/>
                              <w:marTop w:val="0"/>
                              <w:marBottom w:val="0"/>
                              <w:divBdr>
                                <w:top w:val="none" w:sz="0" w:space="0" w:color="auto"/>
                                <w:left w:val="none" w:sz="0" w:space="0" w:color="auto"/>
                                <w:bottom w:val="none" w:sz="0" w:space="0" w:color="auto"/>
                                <w:right w:val="none" w:sz="0" w:space="0" w:color="auto"/>
                              </w:divBdr>
                              <w:divsChild>
                                <w:div w:id="1289703595">
                                  <w:marLeft w:val="0"/>
                                  <w:marRight w:val="0"/>
                                  <w:marTop w:val="0"/>
                                  <w:marBottom w:val="0"/>
                                  <w:divBdr>
                                    <w:top w:val="none" w:sz="0" w:space="0" w:color="auto"/>
                                    <w:left w:val="none" w:sz="0" w:space="0" w:color="auto"/>
                                    <w:bottom w:val="none" w:sz="0" w:space="0" w:color="auto"/>
                                    <w:right w:val="none" w:sz="0" w:space="0" w:color="auto"/>
                                  </w:divBdr>
                                  <w:divsChild>
                                    <w:div w:id="1289703588">
                                      <w:marLeft w:val="0"/>
                                      <w:marRight w:val="0"/>
                                      <w:marTop w:val="0"/>
                                      <w:marBottom w:val="0"/>
                                      <w:divBdr>
                                        <w:top w:val="none" w:sz="0" w:space="0" w:color="auto"/>
                                        <w:left w:val="none" w:sz="0" w:space="0" w:color="auto"/>
                                        <w:bottom w:val="none" w:sz="0" w:space="0" w:color="auto"/>
                                        <w:right w:val="none" w:sz="0" w:space="0" w:color="auto"/>
                                      </w:divBdr>
                                      <w:divsChild>
                                        <w:div w:id="1289703597">
                                          <w:marLeft w:val="184"/>
                                          <w:marRight w:val="0"/>
                                          <w:marTop w:val="0"/>
                                          <w:marBottom w:val="138"/>
                                          <w:divBdr>
                                            <w:top w:val="none" w:sz="0" w:space="0" w:color="auto"/>
                                            <w:left w:val="none" w:sz="0" w:space="0" w:color="auto"/>
                                            <w:bottom w:val="none" w:sz="0" w:space="0" w:color="auto"/>
                                            <w:right w:val="none" w:sz="0" w:space="0" w:color="auto"/>
                                          </w:divBdr>
                                          <w:divsChild>
                                            <w:div w:id="1289703585">
                                              <w:marLeft w:val="0"/>
                                              <w:marRight w:val="0"/>
                                              <w:marTop w:val="0"/>
                                              <w:marBottom w:val="0"/>
                                              <w:divBdr>
                                                <w:top w:val="none" w:sz="0" w:space="0" w:color="auto"/>
                                                <w:left w:val="none" w:sz="0" w:space="0" w:color="auto"/>
                                                <w:bottom w:val="none" w:sz="0" w:space="0" w:color="auto"/>
                                                <w:right w:val="none" w:sz="0" w:space="0" w:color="auto"/>
                                              </w:divBdr>
                                              <w:divsChild>
                                                <w:div w:id="128970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9703596">
      <w:marLeft w:val="0"/>
      <w:marRight w:val="0"/>
      <w:marTop w:val="0"/>
      <w:marBottom w:val="0"/>
      <w:divBdr>
        <w:top w:val="none" w:sz="0" w:space="0" w:color="auto"/>
        <w:left w:val="none" w:sz="0" w:space="0" w:color="auto"/>
        <w:bottom w:val="none" w:sz="0" w:space="0" w:color="auto"/>
        <w:right w:val="none" w:sz="0" w:space="0" w:color="auto"/>
      </w:divBdr>
    </w:div>
    <w:div w:id="1289703599">
      <w:marLeft w:val="0"/>
      <w:marRight w:val="0"/>
      <w:marTop w:val="0"/>
      <w:marBottom w:val="0"/>
      <w:divBdr>
        <w:top w:val="none" w:sz="0" w:space="0" w:color="auto"/>
        <w:left w:val="none" w:sz="0" w:space="0" w:color="auto"/>
        <w:bottom w:val="none" w:sz="0" w:space="0" w:color="auto"/>
        <w:right w:val="none" w:sz="0" w:space="0" w:color="auto"/>
      </w:divBdr>
    </w:div>
    <w:div w:id="1289703601">
      <w:marLeft w:val="0"/>
      <w:marRight w:val="0"/>
      <w:marTop w:val="0"/>
      <w:marBottom w:val="0"/>
      <w:divBdr>
        <w:top w:val="none" w:sz="0" w:space="0" w:color="auto"/>
        <w:left w:val="none" w:sz="0" w:space="0" w:color="auto"/>
        <w:bottom w:val="none" w:sz="0" w:space="0" w:color="auto"/>
        <w:right w:val="none" w:sz="0" w:space="0" w:color="auto"/>
      </w:divBdr>
    </w:div>
    <w:div w:id="1990092204">
      <w:bodyDiv w:val="1"/>
      <w:marLeft w:val="0"/>
      <w:marRight w:val="0"/>
      <w:marTop w:val="0"/>
      <w:marBottom w:val="0"/>
      <w:divBdr>
        <w:top w:val="none" w:sz="0" w:space="0" w:color="auto"/>
        <w:left w:val="none" w:sz="0" w:space="0" w:color="auto"/>
        <w:bottom w:val="none" w:sz="0" w:space="0" w:color="auto"/>
        <w:right w:val="none" w:sz="0" w:space="0" w:color="auto"/>
      </w:divBdr>
      <w:divsChild>
        <w:div w:id="1913275970">
          <w:marLeft w:val="0"/>
          <w:marRight w:val="0"/>
          <w:marTop w:val="0"/>
          <w:marBottom w:val="0"/>
          <w:divBdr>
            <w:top w:val="none" w:sz="0" w:space="0" w:color="auto"/>
            <w:left w:val="none" w:sz="0" w:space="0" w:color="auto"/>
            <w:bottom w:val="none" w:sz="0" w:space="0" w:color="auto"/>
            <w:right w:val="none" w:sz="0" w:space="0" w:color="auto"/>
          </w:divBdr>
          <w:divsChild>
            <w:div w:id="1577327034">
              <w:marLeft w:val="0"/>
              <w:marRight w:val="0"/>
              <w:marTop w:val="0"/>
              <w:marBottom w:val="0"/>
              <w:divBdr>
                <w:top w:val="none" w:sz="0" w:space="0" w:color="auto"/>
                <w:left w:val="none" w:sz="0" w:space="0" w:color="auto"/>
                <w:bottom w:val="none" w:sz="0" w:space="0" w:color="auto"/>
                <w:right w:val="none" w:sz="0" w:space="0" w:color="auto"/>
              </w:divBdr>
              <w:divsChild>
                <w:div w:id="703359860">
                  <w:marLeft w:val="0"/>
                  <w:marRight w:val="0"/>
                  <w:marTop w:val="0"/>
                  <w:marBottom w:val="0"/>
                  <w:divBdr>
                    <w:top w:val="none" w:sz="0" w:space="0" w:color="auto"/>
                    <w:left w:val="none" w:sz="0" w:space="0" w:color="auto"/>
                    <w:bottom w:val="none" w:sz="0" w:space="0" w:color="auto"/>
                    <w:right w:val="none" w:sz="0" w:space="0" w:color="auto"/>
                  </w:divBdr>
                  <w:divsChild>
                    <w:div w:id="965163433">
                      <w:marLeft w:val="0"/>
                      <w:marRight w:val="0"/>
                      <w:marTop w:val="0"/>
                      <w:marBottom w:val="0"/>
                      <w:divBdr>
                        <w:top w:val="none" w:sz="0" w:space="0" w:color="auto"/>
                        <w:left w:val="none" w:sz="0" w:space="0" w:color="auto"/>
                        <w:bottom w:val="none" w:sz="0" w:space="0" w:color="auto"/>
                        <w:right w:val="none" w:sz="0" w:space="0" w:color="auto"/>
                      </w:divBdr>
                      <w:divsChild>
                        <w:div w:id="239415494">
                          <w:marLeft w:val="0"/>
                          <w:marRight w:val="0"/>
                          <w:marTop w:val="0"/>
                          <w:marBottom w:val="0"/>
                          <w:divBdr>
                            <w:top w:val="none" w:sz="0" w:space="0" w:color="auto"/>
                            <w:left w:val="none" w:sz="0" w:space="0" w:color="auto"/>
                            <w:bottom w:val="none" w:sz="0" w:space="0" w:color="auto"/>
                            <w:right w:val="none" w:sz="0" w:space="0" w:color="auto"/>
                          </w:divBdr>
                          <w:divsChild>
                            <w:div w:id="375593669">
                              <w:marLeft w:val="0"/>
                              <w:marRight w:val="0"/>
                              <w:marTop w:val="0"/>
                              <w:marBottom w:val="0"/>
                              <w:divBdr>
                                <w:top w:val="none" w:sz="0" w:space="0" w:color="auto"/>
                                <w:left w:val="none" w:sz="0" w:space="0" w:color="auto"/>
                                <w:bottom w:val="none" w:sz="0" w:space="0" w:color="auto"/>
                                <w:right w:val="none" w:sz="0" w:space="0" w:color="auto"/>
                              </w:divBdr>
                              <w:divsChild>
                                <w:div w:id="535508236">
                                  <w:marLeft w:val="0"/>
                                  <w:marRight w:val="0"/>
                                  <w:marTop w:val="0"/>
                                  <w:marBottom w:val="0"/>
                                  <w:divBdr>
                                    <w:top w:val="none" w:sz="0" w:space="0" w:color="auto"/>
                                    <w:left w:val="none" w:sz="0" w:space="0" w:color="auto"/>
                                    <w:bottom w:val="none" w:sz="0" w:space="0" w:color="auto"/>
                                    <w:right w:val="none" w:sz="0" w:space="0" w:color="auto"/>
                                  </w:divBdr>
                                  <w:divsChild>
                                    <w:div w:id="163472709">
                                      <w:marLeft w:val="0"/>
                                      <w:marRight w:val="0"/>
                                      <w:marTop w:val="0"/>
                                      <w:marBottom w:val="0"/>
                                      <w:divBdr>
                                        <w:top w:val="none" w:sz="0" w:space="0" w:color="auto"/>
                                        <w:left w:val="none" w:sz="0" w:space="0" w:color="auto"/>
                                        <w:bottom w:val="none" w:sz="0" w:space="0" w:color="auto"/>
                                        <w:right w:val="none" w:sz="0" w:space="0" w:color="auto"/>
                                      </w:divBdr>
                                      <w:divsChild>
                                        <w:div w:id="1561407064">
                                          <w:marLeft w:val="0"/>
                                          <w:marRight w:val="0"/>
                                          <w:marTop w:val="0"/>
                                          <w:marBottom w:val="0"/>
                                          <w:divBdr>
                                            <w:top w:val="none" w:sz="0" w:space="0" w:color="auto"/>
                                            <w:left w:val="none" w:sz="0" w:space="0" w:color="auto"/>
                                            <w:bottom w:val="none" w:sz="0" w:space="0" w:color="auto"/>
                                            <w:right w:val="none" w:sz="0" w:space="0" w:color="auto"/>
                                          </w:divBdr>
                                          <w:divsChild>
                                            <w:div w:id="1295910778">
                                              <w:marLeft w:val="0"/>
                                              <w:marRight w:val="0"/>
                                              <w:marTop w:val="0"/>
                                              <w:marBottom w:val="0"/>
                                              <w:divBdr>
                                                <w:top w:val="none" w:sz="0" w:space="0" w:color="auto"/>
                                                <w:left w:val="none" w:sz="0" w:space="0" w:color="auto"/>
                                                <w:bottom w:val="none" w:sz="0" w:space="0" w:color="auto"/>
                                                <w:right w:val="none" w:sz="0" w:space="0" w:color="auto"/>
                                              </w:divBdr>
                                              <w:divsChild>
                                                <w:div w:id="2021614778">
                                                  <w:marLeft w:val="0"/>
                                                  <w:marRight w:val="0"/>
                                                  <w:marTop w:val="0"/>
                                                  <w:marBottom w:val="0"/>
                                                  <w:divBdr>
                                                    <w:top w:val="none" w:sz="0" w:space="0" w:color="auto"/>
                                                    <w:left w:val="none" w:sz="0" w:space="0" w:color="auto"/>
                                                    <w:bottom w:val="none" w:sz="0" w:space="0" w:color="auto"/>
                                                    <w:right w:val="none" w:sz="0" w:space="0" w:color="auto"/>
                                                  </w:divBdr>
                                                  <w:divsChild>
                                                    <w:div w:id="2028409500">
                                                      <w:marLeft w:val="0"/>
                                                      <w:marRight w:val="0"/>
                                                      <w:marTop w:val="0"/>
                                                      <w:marBottom w:val="0"/>
                                                      <w:divBdr>
                                                        <w:top w:val="none" w:sz="0" w:space="0" w:color="auto"/>
                                                        <w:left w:val="none" w:sz="0" w:space="0" w:color="auto"/>
                                                        <w:bottom w:val="none" w:sz="0" w:space="0" w:color="auto"/>
                                                        <w:right w:val="none" w:sz="0" w:space="0" w:color="auto"/>
                                                      </w:divBdr>
                                                      <w:divsChild>
                                                        <w:div w:id="755788043">
                                                          <w:marLeft w:val="0"/>
                                                          <w:marRight w:val="0"/>
                                                          <w:marTop w:val="0"/>
                                                          <w:marBottom w:val="0"/>
                                                          <w:divBdr>
                                                            <w:top w:val="none" w:sz="0" w:space="0" w:color="auto"/>
                                                            <w:left w:val="none" w:sz="0" w:space="0" w:color="auto"/>
                                                            <w:bottom w:val="none" w:sz="0" w:space="0" w:color="auto"/>
                                                            <w:right w:val="none" w:sz="0" w:space="0" w:color="auto"/>
                                                          </w:divBdr>
                                                          <w:divsChild>
                                                            <w:div w:id="172991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ra-decisiontools.org.uk/consent/principles-children.html" TargetMode="External"/><Relationship Id="rId18" Type="http://schemas.openxmlformats.org/officeDocument/2006/relationships/header" Target="header2.xml"/><Relationship Id="rId26" Type="http://schemas.openxmlformats.org/officeDocument/2006/relationships/hyperlink" Target="https://www.hra-decisiontools.org.uk/consent/principles-children.html"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s://www.birmingham.ac.uk/research/activity/mds/mds-rkto/governance/index.aspx" TargetMode="External"/><Relationship Id="rId17" Type="http://schemas.openxmlformats.org/officeDocument/2006/relationships/hyperlink" Target="https://learn.nihr.ac.uk/local/swordfish_pages/index.php?id=3%20" TargetMode="External"/><Relationship Id="rId25" Type="http://schemas.openxmlformats.org/officeDocument/2006/relationships/hyperlink" Target="https://learn.nihr.ac.uk/local/swordfish_pages/index.php?id=3"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legislation.gov.uk/uksi/2004/1031/contents" TargetMode="External"/><Relationship Id="rId20" Type="http://schemas.openxmlformats.org/officeDocument/2006/relationships/footer" Target="footer3.xml"/><Relationship Id="rId29" Type="http://schemas.openxmlformats.org/officeDocument/2006/relationships/hyperlink" Target="https://www.hra-decisiontools.org.uk/consent/principles-emergency.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mailto:crct@contacts.bham.ac.uk"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hra-decisiontools.org.uk/consent/principles-emergency.html" TargetMode="External"/><Relationship Id="rId23" Type="http://schemas.openxmlformats.org/officeDocument/2006/relationships/footer" Target="footer5.xml"/><Relationship Id="rId28" Type="http://schemas.openxmlformats.org/officeDocument/2006/relationships/hyperlink" Target="https://www.hra-decisiontools.org.uk/consent/principles-ALC.html" TargetMode="External"/><Relationship Id="rId10" Type="http://schemas.openxmlformats.org/officeDocument/2006/relationships/header" Target="header1.xml"/><Relationship Id="rId19" Type="http://schemas.openxmlformats.org/officeDocument/2006/relationships/header" Target="header3.xml"/><Relationship Id="rId31"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hra-decisiontools.org.uk/consent/principles-ALC.html" TargetMode="External"/><Relationship Id="rId22" Type="http://schemas.openxmlformats.org/officeDocument/2006/relationships/header" Target="header4.xml"/><Relationship Id="rId27" Type="http://schemas.openxmlformats.org/officeDocument/2006/relationships/hyperlink" Target="https://www.legislation.gov.uk/uksi/2004/1031/contents" TargetMode="External"/><Relationship Id="rId30" Type="http://schemas.openxmlformats.org/officeDocument/2006/relationships/header" Target="header5.xml"/><Relationship Id="rId8" Type="http://schemas.openxmlformats.org/officeDocument/2006/relationships/hyperlink" Target="https://www.birmingham.ac.uk/research/activity/mds/mds-rkto/governance/e-pathway/overview.aspx"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birmingham.ac.uk/research/activity/mds/mds-rkto/governance/index.aspx"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birmingham.ac.uk/cr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College%20Hub%20Shared\Research%20&amp;%20Knowledge%20Transfer%20Office\CRCT\6.%20Team\2.%20Work%20Instructions\QMS\Resources\QMS%20Templates\UoB%20QCD%20template%20v10.0%20(EAv1.0)%20(clea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AD14D3-279F-46D6-9282-3C6AE1832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UoB QCD template v10.0 (EAv1.0) (clean)</Template>
  <TotalTime>17</TotalTime>
  <Pages>7</Pages>
  <Words>2611</Words>
  <Characters>14885</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MDS</Company>
  <LinksUpToDate>false</LinksUpToDate>
  <CharactersWithSpaces>17462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Campbesz</dc:creator>
  <cp:lastModifiedBy>Emma Taylor (MDS - Research and Knowledge Transfer)</cp:lastModifiedBy>
  <cp:revision>5</cp:revision>
  <cp:lastPrinted>2023-12-15T09:51:00Z</cp:lastPrinted>
  <dcterms:created xsi:type="dcterms:W3CDTF">2024-06-19T09:50:00Z</dcterms:created>
  <dcterms:modified xsi:type="dcterms:W3CDTF">2024-06-24T09:36:00Z</dcterms:modified>
</cp:coreProperties>
</file>