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F9983" w14:textId="77777777" w:rsidR="00D7036B" w:rsidRDefault="00D7036B" w:rsidP="00D7036B"/>
    <w:p w14:paraId="0A60F47C" w14:textId="77777777" w:rsidR="00895128" w:rsidRDefault="00895128" w:rsidP="00D7036B"/>
    <w:p w14:paraId="448FEDDF" w14:textId="77777777" w:rsidR="00895128" w:rsidRPr="00895128" w:rsidRDefault="00075D91" w:rsidP="00895128">
      <w:pPr>
        <w:rPr>
          <w:b/>
          <w:bCs/>
          <w:sz w:val="28"/>
          <w:szCs w:val="28"/>
        </w:rPr>
      </w:pPr>
      <w:r>
        <w:rPr>
          <w:b/>
          <w:bCs/>
          <w:sz w:val="28"/>
          <w:szCs w:val="28"/>
        </w:rPr>
        <w:t>Quality Control Document</w:t>
      </w:r>
      <w:r w:rsidR="00895128">
        <w:rPr>
          <w:b/>
          <w:bCs/>
          <w:sz w:val="28"/>
          <w:szCs w:val="28"/>
        </w:rPr>
        <w:t>:</w:t>
      </w:r>
    </w:p>
    <w:p w14:paraId="60A56006" w14:textId="54F72FC5" w:rsidR="00895128" w:rsidRDefault="009F4E02" w:rsidP="00A75686">
      <w:pPr>
        <w:pStyle w:val="Title"/>
      </w:pPr>
      <w:r>
        <w:t>risk assessment report</w:t>
      </w:r>
    </w:p>
    <w:p w14:paraId="4361A21E" w14:textId="77777777" w:rsidR="00A31C6D" w:rsidRDefault="00A31C6D" w:rsidP="00A31C6D"/>
    <w:p w14:paraId="13952DDF" w14:textId="77777777" w:rsidR="00D7036B" w:rsidRDefault="00D7036B" w:rsidP="00A31C6D"/>
    <w:tbl>
      <w:tblPr>
        <w:tblStyle w:val="TableGrid"/>
        <w:tblW w:w="0" w:type="auto"/>
        <w:tblBorders>
          <w:insideH w:val="dotted" w:sz="4" w:space="0" w:color="auto"/>
          <w:insideV w:val="dotted" w:sz="4" w:space="0" w:color="auto"/>
        </w:tblBorders>
        <w:tblLook w:val="04A0" w:firstRow="1" w:lastRow="0" w:firstColumn="1" w:lastColumn="0" w:noHBand="0" w:noVBand="1"/>
        <w:tblCaption w:val="Review Information"/>
        <w:tblDescription w:val="This table details which document the current document has superseded, when it was last reviewed and when the next review is due"/>
      </w:tblPr>
      <w:tblGrid>
        <w:gridCol w:w="1696"/>
        <w:gridCol w:w="7321"/>
      </w:tblGrid>
      <w:tr w:rsidR="00013136" w14:paraId="1F21841D" w14:textId="77777777" w:rsidTr="00C90371">
        <w:tc>
          <w:tcPr>
            <w:tcW w:w="1696" w:type="dxa"/>
          </w:tcPr>
          <w:p w14:paraId="5D0D76BD" w14:textId="77777777" w:rsidR="00013136" w:rsidRPr="00895128" w:rsidRDefault="00013136" w:rsidP="00013136">
            <w:pPr>
              <w:rPr>
                <w:b/>
                <w:bCs/>
              </w:rPr>
            </w:pPr>
            <w:r w:rsidRPr="00895128">
              <w:rPr>
                <w:b/>
                <w:bCs/>
              </w:rPr>
              <w:t>Supersedes:</w:t>
            </w:r>
          </w:p>
        </w:tc>
        <w:tc>
          <w:tcPr>
            <w:tcW w:w="7321" w:type="dxa"/>
          </w:tcPr>
          <w:p w14:paraId="68910960" w14:textId="48C93FCF" w:rsidR="00013136" w:rsidRDefault="009F4E02" w:rsidP="00013136">
            <w:r>
              <w:t>Risk Assessment Report (UoB-POS-QCD-001, v1.</w:t>
            </w:r>
            <w:r w:rsidR="002B5708">
              <w:t>0</w:t>
            </w:r>
            <w:r>
              <w:t xml:space="preserve">) </w:t>
            </w:r>
          </w:p>
        </w:tc>
      </w:tr>
      <w:tr w:rsidR="00013136" w14:paraId="068AC2AB" w14:textId="77777777" w:rsidTr="00C90371">
        <w:tc>
          <w:tcPr>
            <w:tcW w:w="1696" w:type="dxa"/>
          </w:tcPr>
          <w:p w14:paraId="63D61703" w14:textId="77777777" w:rsidR="00013136" w:rsidRPr="00895128" w:rsidRDefault="00013136" w:rsidP="00013136">
            <w:pPr>
              <w:rPr>
                <w:b/>
                <w:bCs/>
              </w:rPr>
            </w:pPr>
            <w:r w:rsidRPr="00895128">
              <w:rPr>
                <w:b/>
                <w:bCs/>
              </w:rPr>
              <w:t>Last reviewed:</w:t>
            </w:r>
          </w:p>
        </w:tc>
        <w:tc>
          <w:tcPr>
            <w:tcW w:w="7321" w:type="dxa"/>
          </w:tcPr>
          <w:p w14:paraId="273DBD0F" w14:textId="282F76DC" w:rsidR="00013136" w:rsidRDefault="009F4E02" w:rsidP="00013136">
            <w:r>
              <w:t>Oct 2025</w:t>
            </w:r>
          </w:p>
        </w:tc>
      </w:tr>
      <w:tr w:rsidR="00013136" w14:paraId="0A286810" w14:textId="77777777" w:rsidTr="00C90371">
        <w:tc>
          <w:tcPr>
            <w:tcW w:w="1696" w:type="dxa"/>
          </w:tcPr>
          <w:p w14:paraId="145AC1E9" w14:textId="77777777" w:rsidR="00013136" w:rsidRPr="00895128" w:rsidRDefault="00013136" w:rsidP="00013136">
            <w:pPr>
              <w:rPr>
                <w:b/>
                <w:bCs/>
              </w:rPr>
            </w:pPr>
            <w:r w:rsidRPr="00895128">
              <w:rPr>
                <w:b/>
                <w:bCs/>
              </w:rPr>
              <w:t>Next review in:</w:t>
            </w:r>
          </w:p>
        </w:tc>
        <w:tc>
          <w:tcPr>
            <w:tcW w:w="7321" w:type="dxa"/>
          </w:tcPr>
          <w:p w14:paraId="78CDCC6D" w14:textId="4A20B71C" w:rsidR="00013136" w:rsidRDefault="009F4E02" w:rsidP="00013136">
            <w:r>
              <w:t>2028, Quarter 4 (Oct-Dec)</w:t>
            </w:r>
          </w:p>
        </w:tc>
      </w:tr>
    </w:tbl>
    <w:p w14:paraId="4B2CE808" w14:textId="77777777" w:rsidR="00895128" w:rsidRDefault="00895128" w:rsidP="00A31C6D"/>
    <w:p w14:paraId="14CE59EB" w14:textId="77777777" w:rsidR="00895128" w:rsidRDefault="00895128" w:rsidP="00A31C6D"/>
    <w:p w14:paraId="4B5C4C22" w14:textId="77777777" w:rsidR="00895128" w:rsidRDefault="00895128" w:rsidP="00A31C6D"/>
    <w:p w14:paraId="2EE1A44C" w14:textId="77777777" w:rsidR="00A86630" w:rsidRPr="00A86630" w:rsidRDefault="00A86630" w:rsidP="00895128">
      <w:pPr>
        <w:tabs>
          <w:tab w:val="left" w:pos="3654"/>
        </w:tabs>
        <w:rPr>
          <w:lang w:val="en-US"/>
        </w:rPr>
      </w:pPr>
      <w:r>
        <w:rPr>
          <w:lang w:val="en-US"/>
        </w:rPr>
        <w:t>A</w:t>
      </w:r>
      <w:r w:rsidRPr="00A86630">
        <w:rPr>
          <w:lang w:val="en-US"/>
        </w:rPr>
        <w:t xml:space="preserve">ccess the </w:t>
      </w:r>
      <w:hyperlink r:id="rId11" w:tooltip="Link to the Clinical Research e-Pathway" w:history="1">
        <w:r w:rsidR="001D0D34"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2168B953" w14:textId="77777777" w:rsidR="00A86630" w:rsidRDefault="00A86630" w:rsidP="007773B9">
      <w:pPr>
        <w:tabs>
          <w:tab w:val="left" w:pos="3654"/>
        </w:tabs>
      </w:pPr>
    </w:p>
    <w:p w14:paraId="499A6418" w14:textId="77777777" w:rsidR="00A86630" w:rsidRDefault="00A86630" w:rsidP="007773B9">
      <w:pPr>
        <w:tabs>
          <w:tab w:val="left" w:pos="3654"/>
        </w:tabs>
      </w:pPr>
    </w:p>
    <w:p w14:paraId="42FEB660" w14:textId="77777777" w:rsidR="0097056C" w:rsidRPr="007773B9" w:rsidRDefault="0097056C" w:rsidP="007773B9">
      <w:pPr>
        <w:tabs>
          <w:tab w:val="left" w:pos="3654"/>
        </w:tabs>
        <w:sectPr w:rsidR="0097056C" w:rsidRPr="007773B9" w:rsidSect="00EA11E4">
          <w:footerReference w:type="default" r:id="rId12"/>
          <w:headerReference w:type="first" r:id="rId13"/>
          <w:footerReference w:type="first" r:id="rId14"/>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p>
    <w:p w14:paraId="40A7498E" w14:textId="77777777" w:rsidR="00944528" w:rsidRPr="003F499F" w:rsidRDefault="00B946B0" w:rsidP="00075D91">
      <w:pPr>
        <w:pStyle w:val="Heading1"/>
        <w:spacing w:before="0"/>
      </w:pPr>
      <w:bookmarkStart w:id="0" w:name="_Toc153528138"/>
      <w:bookmarkStart w:id="1" w:name="_Toc320536979"/>
      <w:r>
        <w:lastRenderedPageBreak/>
        <w:t>Purpose</w:t>
      </w:r>
      <w:bookmarkEnd w:id="0"/>
    </w:p>
    <w:p w14:paraId="3C7857A9" w14:textId="36E4D5F2" w:rsidR="000B3789" w:rsidRPr="00EA6F66" w:rsidRDefault="006F0E05" w:rsidP="000B3789">
      <w:bookmarkStart w:id="2" w:name="_Toc153528139"/>
      <w:bookmarkEnd w:id="1"/>
      <w:r>
        <w:t xml:space="preserve">This quality control document (QCD) contains </w:t>
      </w:r>
      <w:r w:rsidR="000B3789" w:rsidRPr="000B3789">
        <w:t>a template for the development of a project-specific risk assessment report. The risk assessment report will identify and evaluate the potential risks within the project, documenting the actions taken to mitigate and/or minimise these risks. This document has been designed for clinical trials and may be used as a tool to consider different aspects of the trial; however, the template may also be adapted for clinical studies. It should be used in conjunction with the</w:t>
      </w:r>
      <w:r w:rsidR="000B3789">
        <w:t xml:space="preserve"> </w:t>
      </w:r>
      <w:r w:rsidR="000B3789" w:rsidRPr="000B3789">
        <w:rPr>
          <w:rStyle w:val="DocrefChar"/>
        </w:rPr>
        <w:t>Project Oversight and Quality Management SOP (UoB-POS-SOP-001)</w:t>
      </w:r>
      <w:r w:rsidR="000B3789">
        <w:t xml:space="preserve">. </w:t>
      </w:r>
    </w:p>
    <w:p w14:paraId="6FC7C502" w14:textId="77777777" w:rsidR="000B3789" w:rsidRPr="00EA6F66" w:rsidRDefault="000B3789" w:rsidP="000B3789">
      <w:r w:rsidRPr="00EA6F66">
        <w:t xml:space="preserve">This </w:t>
      </w:r>
      <w:r>
        <w:t>document</w:t>
      </w:r>
      <w:r w:rsidRPr="00EA6F66">
        <w:t xml:space="preserve"> has been produced with reference to the guidelines provided by the </w:t>
      </w:r>
      <w:r w:rsidRPr="002E1FCD">
        <w:t>Medical Research Council (MRC) / Department of Health (DH) / Medical Healthcare Regulatory Agency’s (MHRA) ‘</w:t>
      </w:r>
      <w:hyperlink r:id="rId15" w:tooltip="Link to MRC/DH/MHRA's paper titled 'Risk-adapted approaches to the management of clinical trials of Investigational medicinal products'." w:history="1">
        <w:r w:rsidRPr="002E1FCD">
          <w:rPr>
            <w:color w:val="0000FF"/>
            <w:u w:val="single"/>
          </w:rPr>
          <w:t>Risk-adapted approaches to the management of clinical trials of investigational medicinal products</w:t>
        </w:r>
      </w:hyperlink>
      <w:r w:rsidRPr="002E1FCD">
        <w:t>’</w:t>
      </w:r>
      <w:r>
        <w:t xml:space="preserve"> (PDF – 4.5 MB)</w:t>
      </w:r>
      <w:r w:rsidRPr="002E1FCD">
        <w:t>.</w:t>
      </w:r>
      <w:r w:rsidRPr="00EA6F66">
        <w:t xml:space="preserve"> </w:t>
      </w:r>
      <w:r>
        <w:t xml:space="preserve">This document </w:t>
      </w:r>
      <w:r w:rsidRPr="00EA6F66">
        <w:t xml:space="preserve">defines a simple risk categorisation for clinical trials based on the marketing information of the </w:t>
      </w:r>
      <w:r>
        <w:t>i</w:t>
      </w:r>
      <w:r w:rsidRPr="00EA6F66">
        <w:t xml:space="preserve">nvestigational </w:t>
      </w:r>
      <w:r>
        <w:t>m</w:t>
      </w:r>
      <w:r w:rsidRPr="00EA6F66">
        <w:t xml:space="preserve">edicinal </w:t>
      </w:r>
      <w:r>
        <w:t>p</w:t>
      </w:r>
      <w:r w:rsidRPr="00EA6F66">
        <w:t xml:space="preserve">roduct (IMP) and standard of care.  </w:t>
      </w:r>
    </w:p>
    <w:p w14:paraId="43C02898" w14:textId="3B7A6278" w:rsidR="00075D91" w:rsidRDefault="00075D91" w:rsidP="00075D91">
      <w:pPr>
        <w:pStyle w:val="Heading1"/>
      </w:pPr>
      <w:r w:rsidRPr="00B63F21">
        <w:t>Scope</w:t>
      </w:r>
      <w:bookmarkEnd w:id="2"/>
    </w:p>
    <w:p w14:paraId="3C02993C" w14:textId="6364CE03" w:rsidR="006415EF" w:rsidRDefault="006415EF" w:rsidP="006415EF">
      <w:bookmarkStart w:id="3" w:name="_Toc153528140"/>
      <w:r>
        <w:t xml:space="preserve">This is an optional QCD and may be </w:t>
      </w:r>
      <w:r w:rsidRPr="003806DD">
        <w:t>used to support</w:t>
      </w:r>
      <w:r w:rsidR="003806DD" w:rsidRPr="003806DD">
        <w:t xml:space="preserve"> the documentation of a project-specific risk assessment </w:t>
      </w:r>
      <w:r w:rsidRPr="003806DD">
        <w:t>in all clinical research.</w:t>
      </w:r>
      <w:r>
        <w:t xml:space="preserve"> </w:t>
      </w:r>
    </w:p>
    <w:p w14:paraId="2AF4579A" w14:textId="77777777" w:rsidR="00075D91" w:rsidRPr="00C34A3B" w:rsidRDefault="00075D91" w:rsidP="00075D91">
      <w:pPr>
        <w:pStyle w:val="Heading1"/>
      </w:pPr>
      <w:r w:rsidRPr="00B63F21">
        <w:t>Implementation plan</w:t>
      </w:r>
      <w:bookmarkEnd w:id="3"/>
    </w:p>
    <w:p w14:paraId="7AD17AD8" w14:textId="210B4132" w:rsidR="00075D91" w:rsidRPr="00C34A3B" w:rsidRDefault="003E12FC" w:rsidP="00075D91">
      <w:r w:rsidRPr="003E12FC">
        <w:t>This QCD will be implemented in line with this document’s effective date.</w:t>
      </w:r>
    </w:p>
    <w:p w14:paraId="5162B0BF" w14:textId="77777777" w:rsidR="00075D91" w:rsidRDefault="00075D91" w:rsidP="00075D91">
      <w:pPr>
        <w:pStyle w:val="Heading1"/>
      </w:pPr>
      <w:bookmarkStart w:id="4" w:name="_Ref153523581"/>
      <w:bookmarkStart w:id="5" w:name="_Toc153528141"/>
      <w:r>
        <w:t>Stakeholders</w:t>
      </w:r>
      <w:bookmarkEnd w:id="4"/>
      <w:bookmarkEnd w:id="5"/>
    </w:p>
    <w:p w14:paraId="33802880" w14:textId="3EA5E5BA" w:rsidR="00457316" w:rsidRPr="00457316" w:rsidRDefault="00457316" w:rsidP="00457316">
      <w:r w:rsidRPr="00457316">
        <w:t xml:space="preserve">All </w:t>
      </w:r>
      <w:r>
        <w:t>staff</w:t>
      </w:r>
      <w:r w:rsidRPr="00457316">
        <w:t xml:space="preserve"> involved in the design, conduct, oversight, and management of clinical research</w:t>
      </w:r>
      <w:r>
        <w:t>.</w:t>
      </w:r>
    </w:p>
    <w:p w14:paraId="335AA9D0" w14:textId="77777777" w:rsidR="00075D91" w:rsidRDefault="00075D91" w:rsidP="00075D91">
      <w:pPr>
        <w:pStyle w:val="Heading1"/>
      </w:pPr>
      <w:r>
        <w:t>Instructions</w:t>
      </w:r>
    </w:p>
    <w:p w14:paraId="4D929300" w14:textId="5A2838FD" w:rsidR="008B271C" w:rsidRDefault="00CE5E4D" w:rsidP="00CE5E4D">
      <w:pPr>
        <w:pStyle w:val="Numberlist"/>
      </w:pPr>
      <w:r>
        <w:t>Save a copy of this QCD</w:t>
      </w:r>
      <w:r w:rsidR="008D04B0">
        <w:t>.</w:t>
      </w:r>
    </w:p>
    <w:p w14:paraId="205DACF5" w14:textId="3830B07A" w:rsidR="008D04B0" w:rsidRDefault="008D04B0" w:rsidP="00CE5E4D">
      <w:pPr>
        <w:pStyle w:val="Numberlist"/>
      </w:pPr>
      <w:r>
        <w:t xml:space="preserve">Update the document’s header with the project identifier. </w:t>
      </w:r>
    </w:p>
    <w:p w14:paraId="609C0701" w14:textId="53CAA661" w:rsidR="00CE5E4D" w:rsidRDefault="00CE5E4D" w:rsidP="00CE5E4D">
      <w:pPr>
        <w:pStyle w:val="Numberlist"/>
      </w:pPr>
      <w:r>
        <w:t xml:space="preserve">Update </w:t>
      </w:r>
      <w:r w:rsidR="00B35EF6">
        <w:t xml:space="preserve">the </w:t>
      </w:r>
      <w:r w:rsidR="008D04B0">
        <w:t>document’s</w:t>
      </w:r>
      <w:r w:rsidR="00B35EF6">
        <w:t xml:space="preserve"> footer details (e.g., </w:t>
      </w:r>
      <w:r w:rsidR="008D04B0">
        <w:t>with local filename and version number), retaining the document reference information to this QCD.</w:t>
      </w:r>
    </w:p>
    <w:p w14:paraId="61E7FBFC" w14:textId="7015BDAB" w:rsidR="00EA705D" w:rsidRDefault="00EA705D" w:rsidP="00CE5E4D">
      <w:pPr>
        <w:pStyle w:val="Numberlist"/>
      </w:pPr>
      <w:r>
        <w:t xml:space="preserve">Follow the instructions in the subheading below </w:t>
      </w:r>
      <w:r w:rsidR="00214606">
        <w:t xml:space="preserve">for developing, reviewing and amending the risk assessment report. </w:t>
      </w:r>
    </w:p>
    <w:p w14:paraId="635AD0D0" w14:textId="6C370602" w:rsidR="008D04B0" w:rsidRPr="008B271C" w:rsidRDefault="00214606" w:rsidP="002868D3">
      <w:pPr>
        <w:pStyle w:val="Numberlist"/>
      </w:pPr>
      <w:r>
        <w:t xml:space="preserve">When ready, delete these instructions pages (i.e., pages 1 to </w:t>
      </w:r>
      <w:r w:rsidR="0008338D">
        <w:t>5</w:t>
      </w:r>
      <w:r>
        <w:t>)</w:t>
      </w:r>
    </w:p>
    <w:p w14:paraId="38315F2A" w14:textId="350A1B6A" w:rsidR="00075D91" w:rsidRDefault="008828C7" w:rsidP="008828C7">
      <w:pPr>
        <w:pStyle w:val="Heading2"/>
      </w:pPr>
      <w:r>
        <w:t>Development of risk assessment report</w:t>
      </w:r>
    </w:p>
    <w:p w14:paraId="178FA996" w14:textId="77777777" w:rsidR="001A4768" w:rsidRPr="001A4768" w:rsidRDefault="001A4768" w:rsidP="002868D3">
      <w:pPr>
        <w:pStyle w:val="Numberlist"/>
      </w:pPr>
      <w:r w:rsidRPr="001A4768">
        <w:t>Complete the trial information section (title, sponsor reference, IRAS number and REC number)</w:t>
      </w:r>
    </w:p>
    <w:p w14:paraId="4CBA1326" w14:textId="69A165D4" w:rsidR="00712821" w:rsidRDefault="00DF541C" w:rsidP="002868D3">
      <w:pPr>
        <w:pStyle w:val="Numberlist"/>
      </w:pPr>
      <w:r w:rsidRPr="00DF541C">
        <w:t>Complete section 1 ‘Risks to participant safety associated with intervention(s) being test</w:t>
      </w:r>
      <w:r w:rsidR="00CC0538">
        <w:t>ed</w:t>
      </w:r>
      <w:r w:rsidR="00510C92">
        <w:t>’</w:t>
      </w:r>
      <w:r w:rsidRPr="00DF541C">
        <w:t xml:space="preserve"> and section 2 ‘Other risks associated with the design and methods of the trial’. </w:t>
      </w:r>
    </w:p>
    <w:p w14:paraId="4F58E58A" w14:textId="388D6B83" w:rsidR="00712821" w:rsidRDefault="007D3D24" w:rsidP="002868D3">
      <w:pPr>
        <w:pStyle w:val="bullet2"/>
      </w:pPr>
      <w:r>
        <w:t xml:space="preserve">Instructions and guidance notes are given in </w:t>
      </w:r>
      <w:r w:rsidRPr="00E05CF3">
        <w:rPr>
          <w:rStyle w:val="InstructionsChar"/>
        </w:rPr>
        <w:t>red italic text</w:t>
      </w:r>
      <w:r>
        <w:t xml:space="preserve">. </w:t>
      </w:r>
    </w:p>
    <w:p w14:paraId="3C704F6A" w14:textId="56A6A583" w:rsidR="0069746A" w:rsidRDefault="0069746A" w:rsidP="002868D3">
      <w:pPr>
        <w:pStyle w:val="bullet2"/>
      </w:pPr>
      <w:r>
        <w:t>Where appropriate, carrying out the risk assessment will be performed in collaboration with</w:t>
      </w:r>
      <w:r w:rsidR="00F22792">
        <w:t xml:space="preserve"> the trial coordinator, statistician and programmer.</w:t>
      </w:r>
    </w:p>
    <w:p w14:paraId="4506C337" w14:textId="77777777" w:rsidR="00421A01" w:rsidRPr="00421A01" w:rsidRDefault="00F22792" w:rsidP="002868D3">
      <w:pPr>
        <w:pStyle w:val="Numberlist"/>
      </w:pPr>
      <w:r>
        <w:t xml:space="preserve">For CTIMPs, submit the risk assessment report as part of the </w:t>
      </w:r>
      <w:r w:rsidR="00421A01" w:rsidRPr="00421A01">
        <w:t>initial sponsorship submission to the Research Ethics, Governance &amp; Integrity Team (REGI). Note: for non-CTIMPs and studies, REGI may request a copy of the risk assessment.</w:t>
      </w:r>
    </w:p>
    <w:p w14:paraId="5368B653" w14:textId="77777777" w:rsidR="0087585E" w:rsidRPr="0087585E" w:rsidRDefault="0087585E" w:rsidP="002868D3">
      <w:pPr>
        <w:pStyle w:val="Numberlist"/>
      </w:pPr>
      <w:r w:rsidRPr="0087585E">
        <w:t xml:space="preserve">Prior to finalisation, complete the ‘Document control sheet’ </w:t>
      </w:r>
      <w:r w:rsidRPr="00FF1F0E">
        <w:t xml:space="preserve">section. </w:t>
      </w:r>
      <w:r w:rsidRPr="002868D3">
        <w:t>Refer to the</w:t>
      </w:r>
      <w:r w:rsidRPr="0087585E">
        <w:rPr>
          <w:rStyle w:val="DocrefChar"/>
        </w:rPr>
        <w:t xml:space="preserve"> Essential Document Development and Maintenance SOP (UoB-ESD-SOP-001)</w:t>
      </w:r>
      <w:r w:rsidRPr="0087585E">
        <w:t xml:space="preserve"> for guidance on a version control system.</w:t>
      </w:r>
    </w:p>
    <w:p w14:paraId="659D793D" w14:textId="4106D3DA" w:rsidR="00CB7288" w:rsidRPr="00CB7288" w:rsidRDefault="00847A84" w:rsidP="002868D3">
      <w:pPr>
        <w:pStyle w:val="Numberlist"/>
      </w:pPr>
      <w:r>
        <w:t>A</w:t>
      </w:r>
      <w:r w:rsidR="00CB7288">
        <w:t xml:space="preserve">s </w:t>
      </w:r>
      <w:r w:rsidR="00CB7288" w:rsidRPr="00CB7288">
        <w:t>a minimum, ensure the chief investigator (CI) reviews and approves the finalised version of the risk assessment report.</w:t>
      </w:r>
    </w:p>
    <w:p w14:paraId="76F6858C" w14:textId="3C8D3C09" w:rsidR="00F22792" w:rsidRDefault="00CB7288" w:rsidP="002868D3">
      <w:pPr>
        <w:pStyle w:val="Numberlist"/>
      </w:pPr>
      <w:r>
        <w:t xml:space="preserve">File it in the trial master file. </w:t>
      </w:r>
    </w:p>
    <w:p w14:paraId="36C53F4B" w14:textId="77777777" w:rsidR="002000F2" w:rsidRDefault="002000F2">
      <w:pPr>
        <w:spacing w:before="0" w:after="200" w:line="276" w:lineRule="auto"/>
        <w:jc w:val="left"/>
        <w:rPr>
          <w:rFonts w:asciiTheme="minorHAnsi" w:eastAsiaTheme="minorHAnsi" w:hAnsiTheme="minorHAnsi" w:cstheme="minorHAnsi"/>
          <w:bCs/>
          <w:iCs/>
          <w:caps/>
          <w:color w:val="1F497D" w:themeColor="text2"/>
          <w:sz w:val="24"/>
          <w:szCs w:val="24"/>
        </w:rPr>
      </w:pPr>
      <w:r>
        <w:br w:type="page"/>
      </w:r>
    </w:p>
    <w:p w14:paraId="5A50A6BE" w14:textId="7B6397D8" w:rsidR="00371BEF" w:rsidRDefault="00371BEF" w:rsidP="00371BEF">
      <w:pPr>
        <w:pStyle w:val="Heading2"/>
      </w:pPr>
      <w:r>
        <w:lastRenderedPageBreak/>
        <w:t>Review of the risk assessment report</w:t>
      </w:r>
    </w:p>
    <w:p w14:paraId="7F68795E" w14:textId="685B30DB" w:rsidR="00482978" w:rsidRDefault="00482978" w:rsidP="002868D3">
      <w:pPr>
        <w:pStyle w:val="Numberlist"/>
      </w:pPr>
      <w:r>
        <w:t>Review the trial’s risk profile following any significant change(s) to the trial, including:</w:t>
      </w:r>
    </w:p>
    <w:p w14:paraId="64ACD6CB" w14:textId="0214BD35" w:rsidR="00A06A9E" w:rsidRDefault="00D8310C" w:rsidP="002868D3">
      <w:pPr>
        <w:pStyle w:val="bullet2"/>
      </w:pPr>
      <w:r>
        <w:t>A substantial amendment to the protocol</w:t>
      </w:r>
    </w:p>
    <w:p w14:paraId="76985331" w14:textId="1F2A837C" w:rsidR="00D8310C" w:rsidRDefault="00D8310C" w:rsidP="002868D3">
      <w:pPr>
        <w:pStyle w:val="bullet2"/>
      </w:pPr>
      <w:r>
        <w:t>A change to the organisation of the project</w:t>
      </w:r>
    </w:p>
    <w:p w14:paraId="3DDFFC3B" w14:textId="50E95D66" w:rsidR="00D8310C" w:rsidRDefault="00A73287" w:rsidP="002868D3">
      <w:pPr>
        <w:pStyle w:val="bullet2"/>
      </w:pPr>
      <w:r>
        <w:t>A significant change to the summary of product characteristics/investigator’s brochure</w:t>
      </w:r>
    </w:p>
    <w:p w14:paraId="3E32664B" w14:textId="6E8C9E76" w:rsidR="009462FD" w:rsidRDefault="009462FD" w:rsidP="002868D3">
      <w:pPr>
        <w:pStyle w:val="bullet2"/>
      </w:pPr>
      <w:r>
        <w:t>After a serious breach</w:t>
      </w:r>
    </w:p>
    <w:p w14:paraId="7F350833" w14:textId="3888AE55" w:rsidR="009462FD" w:rsidRDefault="009462FD" w:rsidP="002868D3">
      <w:pPr>
        <w:pStyle w:val="bullet2"/>
      </w:pPr>
      <w:r>
        <w:t>A change in ri</w:t>
      </w:r>
      <w:r w:rsidR="00736924">
        <w:t xml:space="preserve">sk identified during interim analysis </w:t>
      </w:r>
    </w:p>
    <w:p w14:paraId="295AE4F0" w14:textId="77777777" w:rsidR="00E159C5" w:rsidRPr="00E159C5" w:rsidRDefault="00E159C5" w:rsidP="002868D3">
      <w:pPr>
        <w:pStyle w:val="Numberlist"/>
      </w:pPr>
      <w:r w:rsidRPr="00E159C5">
        <w:t xml:space="preserve">Where the risk profile has not changed, complete section 3 ‘Risk assessment report review’. </w:t>
      </w:r>
    </w:p>
    <w:p w14:paraId="241B7349" w14:textId="47DB5B9A" w:rsidR="00D400C7" w:rsidRPr="00D400C7" w:rsidRDefault="00D400C7" w:rsidP="002868D3">
      <w:pPr>
        <w:pStyle w:val="Numberlist"/>
      </w:pPr>
      <w:r w:rsidRPr="00D400C7">
        <w:t>Where the risk profile has changed, complete points 1</w:t>
      </w:r>
      <w:r w:rsidR="0008338D">
        <w:t>5</w:t>
      </w:r>
      <w:r w:rsidRPr="00D400C7">
        <w:t>-1</w:t>
      </w:r>
      <w:r w:rsidR="0008338D">
        <w:t>9</w:t>
      </w:r>
      <w:r w:rsidRPr="00D400C7">
        <w:t xml:space="preserve"> in ‘Amendments to the risk assessment report’. </w:t>
      </w:r>
    </w:p>
    <w:p w14:paraId="668A4465" w14:textId="684FE14E" w:rsidR="009125DA" w:rsidRDefault="00C96D65" w:rsidP="00B006CB">
      <w:pPr>
        <w:pStyle w:val="Heading2"/>
      </w:pPr>
      <w:r>
        <w:t>AMENDMENTS TO THE RISK ASSESSMENT REPORT</w:t>
      </w:r>
    </w:p>
    <w:p w14:paraId="339AF91B" w14:textId="77777777" w:rsidR="00901D68" w:rsidRDefault="00901D68" w:rsidP="002868D3">
      <w:pPr>
        <w:pStyle w:val="Numberlist"/>
      </w:pPr>
      <w:r>
        <w:t xml:space="preserve">Update relevant sections in the risk assessment report and retain a version containing the tracked changes for the audit trail. </w:t>
      </w:r>
    </w:p>
    <w:p w14:paraId="5B53600B" w14:textId="77777777" w:rsidR="00901D68" w:rsidRDefault="00901D68" w:rsidP="002868D3">
      <w:pPr>
        <w:pStyle w:val="Numberlist"/>
      </w:pPr>
      <w:r>
        <w:t xml:space="preserve">Update the ‘Document control sheet’ and the document’s footer with the latest version control details. </w:t>
      </w:r>
    </w:p>
    <w:p w14:paraId="28985AAB" w14:textId="77777777" w:rsidR="00901D68" w:rsidRDefault="00901D68" w:rsidP="002868D3">
      <w:pPr>
        <w:pStyle w:val="Numberlist"/>
      </w:pPr>
      <w:r>
        <w:t>As a minimum, ensure the CI reviews and approves each updated/new version of the risk assessment report.</w:t>
      </w:r>
    </w:p>
    <w:p w14:paraId="77DB0F56" w14:textId="77777777" w:rsidR="00901D68" w:rsidRDefault="00901D68" w:rsidP="002868D3">
      <w:pPr>
        <w:pStyle w:val="Numberlist"/>
      </w:pPr>
      <w:r>
        <w:t xml:space="preserve">For CTIMPs, forward a copy of the updated/new version of the risk assessment report to the REGI for information. </w:t>
      </w:r>
    </w:p>
    <w:p w14:paraId="56628F9A" w14:textId="152253B2" w:rsidR="00482978" w:rsidRPr="00371BEF" w:rsidRDefault="00901D68" w:rsidP="002868D3">
      <w:pPr>
        <w:pStyle w:val="Numberlist"/>
      </w:pPr>
      <w:r>
        <w:t xml:space="preserve">File the updated/new version of the risk assessment report in the trial master file. </w:t>
      </w:r>
    </w:p>
    <w:p w14:paraId="591C967D" w14:textId="77777777" w:rsidR="00075D91" w:rsidRDefault="00075D91" w:rsidP="00075D91">
      <w:pPr>
        <w:pStyle w:val="Heading1"/>
      </w:pPr>
      <w:bookmarkStart w:id="6" w:name="_Toc153528153"/>
      <w:r w:rsidRPr="006561C0">
        <w:t>Related</w:t>
      </w:r>
      <w:r>
        <w:t xml:space="preserve"> documents</w:t>
      </w:r>
      <w:bookmarkEnd w:id="6"/>
    </w:p>
    <w:p w14:paraId="38C61725" w14:textId="77777777" w:rsidR="00075D91" w:rsidRDefault="00075D91" w:rsidP="00075D91">
      <w:pPr>
        <w:pStyle w:val="Heading2"/>
      </w:pPr>
      <w:bookmarkStart w:id="7" w:name="_Toc153528154"/>
      <w:r>
        <w:t>Associated QMS documents</w:t>
      </w:r>
      <w:bookmarkEnd w:id="7"/>
    </w:p>
    <w:p w14:paraId="2272C933" w14:textId="15E50922" w:rsidR="00075D91" w:rsidRDefault="002C41F0" w:rsidP="00075D91">
      <w:pPr>
        <w:pStyle w:val="bullet10"/>
      </w:pPr>
      <w:r>
        <w:t>UoB-POS-SOP-001 Project Oversight and Quality Management</w:t>
      </w:r>
    </w:p>
    <w:p w14:paraId="563D88CA" w14:textId="34427420" w:rsidR="00D9482C" w:rsidRDefault="00D9482C" w:rsidP="002868D3">
      <w:pPr>
        <w:pStyle w:val="Heading2"/>
      </w:pPr>
      <w:r>
        <w:t>Additional QMS documents</w:t>
      </w:r>
    </w:p>
    <w:p w14:paraId="1449E62C" w14:textId="2FDE1A7C" w:rsidR="002C41F0" w:rsidRDefault="002C41F0" w:rsidP="00075D91">
      <w:pPr>
        <w:pStyle w:val="bullet10"/>
      </w:pPr>
      <w:r>
        <w:t xml:space="preserve">UoB-ESD-SOP-001 Essential Document Development &amp; Maintenance </w:t>
      </w:r>
    </w:p>
    <w:p w14:paraId="0BC358BA" w14:textId="77881161" w:rsidR="002578E8" w:rsidRDefault="00E832FE" w:rsidP="00570950">
      <w:r>
        <w:t xml:space="preserve">Access to the full UoB QMS for clinical research is available via the </w:t>
      </w:r>
      <w:hyperlink r:id="rId16" w:tooltip="Link to CRCT website" w:history="1">
        <w:r w:rsidR="001D0D34">
          <w:rPr>
            <w:rStyle w:val="Hyperlink"/>
            <w:lang w:eastAsia="en-GB"/>
          </w:rPr>
          <w:t>CRCT website</w:t>
        </w:r>
      </w:hyperlink>
      <w:r>
        <w:rPr>
          <w:lang w:eastAsia="en-GB"/>
        </w:rPr>
        <w:t>.</w:t>
      </w:r>
    </w:p>
    <w:p w14:paraId="75ABBAFF" w14:textId="4AE5BD9C" w:rsidR="002578E8" w:rsidRDefault="002578E8" w:rsidP="006339F2">
      <w:pPr>
        <w:pStyle w:val="Heading1"/>
      </w:pPr>
      <w:r>
        <w:t>references and frameworks</w:t>
      </w:r>
    </w:p>
    <w:p w14:paraId="3D4D7503" w14:textId="1FA58A55" w:rsidR="00136803" w:rsidRPr="00171315" w:rsidRDefault="00136803" w:rsidP="00136803">
      <w:pPr>
        <w:pStyle w:val="References"/>
      </w:pPr>
      <w:r w:rsidRPr="00171315">
        <w:t>MHRA</w:t>
      </w:r>
      <w:r w:rsidR="00761929">
        <w:t>.</w:t>
      </w:r>
      <w:r w:rsidRPr="00171315">
        <w:t xml:space="preserve"> (</w:t>
      </w:r>
      <w:r>
        <w:t>2011</w:t>
      </w:r>
      <w:r w:rsidRPr="00171315">
        <w:t xml:space="preserve">) </w:t>
      </w:r>
      <w:r w:rsidRPr="00DF1197">
        <w:rPr>
          <w:i/>
          <w:iCs/>
        </w:rPr>
        <w:t>Risk-adapted approaches to the management of clinical trials of investigational medicinal products</w:t>
      </w:r>
      <w:r w:rsidRPr="00171315">
        <w:t xml:space="preserve">. </w:t>
      </w:r>
      <w:r>
        <w:t xml:space="preserve">Available at: </w:t>
      </w:r>
      <w:hyperlink r:id="rId17" w:tooltip="Link to MRC/DH/MHRA's paper titled 'Risk-adapted approaches to the management of clinical trials of Investigational medicinal products'." w:history="1">
        <w:r w:rsidRPr="0070694B">
          <w:rPr>
            <w:rStyle w:val="Hyperlink"/>
          </w:rPr>
          <w:t>https://assets.publishing.service.gov.uk/government/uploads/system/uploads/attachment_data/file/343677/Risk-adapted_approaches_to_the_management_of_clinical_trials_of_investigational_medicinal_products.pdf</w:t>
        </w:r>
      </w:hyperlink>
      <w:r w:rsidRPr="0070694B">
        <w:t xml:space="preserve"> </w:t>
      </w:r>
      <w:r>
        <w:t>(Accessed</w:t>
      </w:r>
      <w:r w:rsidR="0016339D">
        <w:t>:</w:t>
      </w:r>
      <w:r>
        <w:t xml:space="preserve"> 27-Oct-2025)</w:t>
      </w:r>
      <w:r w:rsidRPr="00171315">
        <w:t>.</w:t>
      </w:r>
    </w:p>
    <w:p w14:paraId="1BB3EA25" w14:textId="02B671E9" w:rsidR="00F36EB0" w:rsidRDefault="00F36EB0" w:rsidP="00F36EB0">
      <w:pPr>
        <w:pStyle w:val="References"/>
      </w:pPr>
      <w:r>
        <w:t>UoB</w:t>
      </w:r>
      <w:r w:rsidR="00761929">
        <w:t>.</w:t>
      </w:r>
      <w:r>
        <w:t xml:space="preserve"> (no date) </w:t>
      </w:r>
      <w:r w:rsidRPr="00412449">
        <w:rPr>
          <w:i/>
          <w:iCs/>
        </w:rPr>
        <w:t>IT</w:t>
      </w:r>
      <w:r>
        <w:rPr>
          <w:i/>
          <w:iCs/>
        </w:rPr>
        <w:t xml:space="preserve"> </w:t>
      </w:r>
      <w:r w:rsidRPr="00453E9B">
        <w:rPr>
          <w:i/>
          <w:iCs/>
        </w:rPr>
        <w:t xml:space="preserve">Policies and </w:t>
      </w:r>
      <w:r>
        <w:rPr>
          <w:i/>
          <w:iCs/>
        </w:rPr>
        <w:t>P</w:t>
      </w:r>
      <w:r w:rsidRPr="00453E9B">
        <w:rPr>
          <w:i/>
          <w:iCs/>
        </w:rPr>
        <w:t>rocedures</w:t>
      </w:r>
      <w:r w:rsidRPr="00453E9B">
        <w:t xml:space="preserve">. Available at: </w:t>
      </w:r>
      <w:hyperlink r:id="rId18" w:tgtFrame="_new" w:tooltip="Link to the UoB IT Policies and Procedures" w:history="1">
        <w:r w:rsidRPr="00453E9B">
          <w:rPr>
            <w:rStyle w:val="Hyperlink"/>
          </w:rPr>
          <w:t>bham.sharepoint.com/sites/IT/SitePages/Policies-and-procedures.aspx</w:t>
        </w:r>
      </w:hyperlink>
      <w:r w:rsidRPr="00453E9B">
        <w:t xml:space="preserve"> (Accessed: </w:t>
      </w:r>
      <w:r w:rsidR="00EE5957">
        <w:t>27-Oct-</w:t>
      </w:r>
      <w:r w:rsidRPr="00453E9B">
        <w:t>202</w:t>
      </w:r>
      <w:r>
        <w:t>5</w:t>
      </w:r>
      <w:r w:rsidRPr="00453E9B">
        <w:t>).</w:t>
      </w:r>
    </w:p>
    <w:p w14:paraId="6D245E63" w14:textId="62D55EDB" w:rsidR="002578E8" w:rsidRPr="002578E8" w:rsidRDefault="002578E8" w:rsidP="002578E8">
      <w:pPr>
        <w:sectPr w:rsidR="002578E8" w:rsidRPr="002578E8" w:rsidSect="00EA11E4">
          <w:headerReference w:type="even" r:id="rId19"/>
          <w:headerReference w:type="default" r:id="rId20"/>
          <w:footerReference w:type="even" r:id="rId21"/>
          <w:footerReference w:type="default" r:id="rId22"/>
          <w:headerReference w:type="first" r:id="rId23"/>
          <w:footerReference w:type="first" r:id="rId24"/>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2745F187" w14:textId="77777777" w:rsidR="00234600" w:rsidRPr="00901562" w:rsidRDefault="00234600" w:rsidP="00901562">
      <w:pPr>
        <w:pStyle w:val="Heading1"/>
      </w:pPr>
      <w:bookmarkStart w:id="8" w:name="_Toc153528158"/>
      <w:r>
        <w:lastRenderedPageBreak/>
        <w:t xml:space="preserve">Document </w:t>
      </w:r>
      <w:r w:rsidR="003E6162">
        <w:t>contributors</w:t>
      </w:r>
      <w:bookmarkEnd w:id="8"/>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D242C8" w:rsidRPr="003713E4" w14:paraId="26FC6D09" w14:textId="77777777" w:rsidTr="00D242C8">
        <w:trPr>
          <w:trHeight w:val="454"/>
        </w:trPr>
        <w:tc>
          <w:tcPr>
            <w:tcW w:w="5000" w:type="pct"/>
            <w:shd w:val="clear" w:color="auto" w:fill="DBE5F1" w:themeFill="accent1" w:themeFillTint="33"/>
            <w:vAlign w:val="center"/>
          </w:tcPr>
          <w:p w14:paraId="414FA1BB" w14:textId="77777777" w:rsidR="00D242C8" w:rsidRPr="002B6735" w:rsidRDefault="00D242C8" w:rsidP="002B6735">
            <w:pPr>
              <w:pStyle w:val="Contributorstabletext"/>
              <w:rPr>
                <w:b/>
                <w:bCs/>
              </w:rPr>
            </w:pPr>
            <w:bookmarkStart w:id="9" w:name="_Toc143768371"/>
            <w:r w:rsidRPr="002B6735">
              <w:rPr>
                <w:b/>
                <w:bCs/>
              </w:rPr>
              <w:t>Author</w:t>
            </w:r>
            <w:r w:rsidR="002B6735" w:rsidRPr="002B6735">
              <w:rPr>
                <w:b/>
                <w:bCs/>
              </w:rPr>
              <w:t>(s)</w:t>
            </w:r>
          </w:p>
        </w:tc>
      </w:tr>
      <w:tr w:rsidR="00D242C8" w14:paraId="51E1549C" w14:textId="77777777" w:rsidTr="00F6365D">
        <w:trPr>
          <w:trHeight w:val="454"/>
        </w:trPr>
        <w:tc>
          <w:tcPr>
            <w:tcW w:w="5000" w:type="pct"/>
            <w:vAlign w:val="center"/>
          </w:tcPr>
          <w:p w14:paraId="3CEFAD8A" w14:textId="5473FCB8" w:rsidR="00D242C8" w:rsidRDefault="007068F0" w:rsidP="00F6365D">
            <w:pPr>
              <w:pStyle w:val="Contributorstabletext"/>
            </w:pPr>
            <w:r>
              <w:t>Jamie Douglas-Pugh (Clinical Research Compliance Manager)</w:t>
            </w:r>
          </w:p>
        </w:tc>
      </w:tr>
      <w:tr w:rsidR="00D242C8" w14:paraId="27C6456C" w14:textId="77777777" w:rsidTr="002B6735">
        <w:trPr>
          <w:trHeight w:val="454"/>
        </w:trPr>
        <w:tc>
          <w:tcPr>
            <w:tcW w:w="5000" w:type="pct"/>
            <w:shd w:val="clear" w:color="auto" w:fill="DBE5F1" w:themeFill="accent1" w:themeFillTint="33"/>
          </w:tcPr>
          <w:p w14:paraId="4C77B778" w14:textId="77777777" w:rsidR="00D242C8" w:rsidRPr="002B6735" w:rsidRDefault="002B6735" w:rsidP="002B6735">
            <w:pPr>
              <w:pStyle w:val="Contributorstabletext"/>
              <w:rPr>
                <w:b/>
                <w:bCs/>
              </w:rPr>
            </w:pPr>
            <w:r w:rsidRPr="002B6735">
              <w:rPr>
                <w:b/>
                <w:bCs/>
              </w:rPr>
              <w:t>Reviewer(s)</w:t>
            </w:r>
          </w:p>
        </w:tc>
      </w:tr>
      <w:tr w:rsidR="002B6735" w14:paraId="41C86A8E" w14:textId="77777777" w:rsidTr="00D242C8">
        <w:trPr>
          <w:trHeight w:val="454"/>
        </w:trPr>
        <w:tc>
          <w:tcPr>
            <w:tcW w:w="5000" w:type="pct"/>
          </w:tcPr>
          <w:p w14:paraId="554DD919" w14:textId="77777777" w:rsidR="002B6735" w:rsidRPr="00F130E6" w:rsidRDefault="00AE03AD" w:rsidP="00F6365D">
            <w:pPr>
              <w:pStyle w:val="Contributorstabletext"/>
              <w:rPr>
                <w:i/>
                <w:iCs/>
              </w:rPr>
            </w:pPr>
            <w:r>
              <w:rPr>
                <w:i/>
                <w:iCs/>
              </w:rPr>
              <w:t>Version</w:t>
            </w:r>
            <w:r w:rsidR="002B6735" w:rsidRPr="00F130E6">
              <w:rPr>
                <w:i/>
                <w:iCs/>
              </w:rPr>
              <w:t xml:space="preserve"> by – </w:t>
            </w:r>
          </w:p>
          <w:p w14:paraId="268E781D" w14:textId="77777777" w:rsidR="00283ED8" w:rsidRDefault="00075D91" w:rsidP="003F499F">
            <w:pPr>
              <w:pStyle w:val="bulletT1"/>
            </w:pPr>
            <w:r>
              <w:t>QMS Manager</w:t>
            </w:r>
          </w:p>
          <w:p w14:paraId="42A2B6D1" w14:textId="77777777" w:rsidR="002B6735" w:rsidRPr="0070323D" w:rsidRDefault="002B6735" w:rsidP="003F499F">
            <w:pPr>
              <w:pStyle w:val="bulletT1"/>
            </w:pPr>
            <w:r w:rsidRPr="005405BD">
              <w:t>Any</w:t>
            </w:r>
            <w:r w:rsidRPr="00CB39B4">
              <w:t xml:space="preserve"> other stakeholders (see stakeholders</w:t>
            </w:r>
            <w:r w:rsidRPr="0070323D">
              <w:t xml:space="preserve"> </w:t>
            </w:r>
            <w:r w:rsidR="004827DE" w:rsidRPr="004827DE">
              <w:rPr>
                <w:rStyle w:val="DocrefChar"/>
                <w:u w:val="single"/>
              </w:rPr>
              <w:fldChar w:fldCharType="begin"/>
            </w:r>
            <w:r w:rsidR="004827DE" w:rsidRPr="004827DE">
              <w:rPr>
                <w:rStyle w:val="DocrefChar"/>
                <w:u w:val="single"/>
              </w:rPr>
              <w:instrText xml:space="preserve"> REF _Ref153523581 \p \h  \* MERGEFORMAT </w:instrText>
            </w:r>
            <w:r w:rsidR="004827DE" w:rsidRPr="004827DE">
              <w:rPr>
                <w:rStyle w:val="DocrefChar"/>
                <w:u w:val="single"/>
              </w:rPr>
            </w:r>
            <w:r w:rsidR="004827DE" w:rsidRPr="004827DE">
              <w:rPr>
                <w:rStyle w:val="DocrefChar"/>
                <w:u w:val="single"/>
              </w:rPr>
              <w:fldChar w:fldCharType="separate"/>
            </w:r>
            <w:r w:rsidR="00B53397">
              <w:rPr>
                <w:rStyle w:val="DocrefChar"/>
                <w:u w:val="single"/>
              </w:rPr>
              <w:t>above</w:t>
            </w:r>
            <w:r w:rsidR="004827DE" w:rsidRPr="004827DE">
              <w:rPr>
                <w:rStyle w:val="DocrefChar"/>
                <w:u w:val="single"/>
              </w:rPr>
              <w:fldChar w:fldCharType="end"/>
            </w:r>
            <w:r w:rsidRPr="0070323D">
              <w:t>)</w:t>
            </w:r>
          </w:p>
          <w:p w14:paraId="774C584C" w14:textId="77777777" w:rsidR="002B6735" w:rsidRPr="0070323D" w:rsidRDefault="002B6735" w:rsidP="002B6735">
            <w:pPr>
              <w:pStyle w:val="Contributorstabletext"/>
            </w:pPr>
            <w:r w:rsidRPr="0070323D">
              <w:rPr>
                <w:i/>
                <w:iCs/>
              </w:rPr>
              <w:t>Revisions by</w:t>
            </w:r>
            <w:r w:rsidRPr="0070323D">
              <w:t xml:space="preserve"> –</w:t>
            </w:r>
          </w:p>
          <w:p w14:paraId="46E45CC9" w14:textId="77777777" w:rsidR="002B6735" w:rsidRDefault="002B6735" w:rsidP="00120959">
            <w:pPr>
              <w:pStyle w:val="bulletT1"/>
            </w:pPr>
            <w:r w:rsidRPr="0070323D">
              <w:t>CRCT (see</w:t>
            </w:r>
            <w:r>
              <w:t xml:space="preserve"> </w:t>
            </w:r>
            <w:r w:rsidR="004827DE">
              <w:t>d</w:t>
            </w:r>
            <w:r>
              <w:t>ocument revision log</w:t>
            </w:r>
            <w:r w:rsidR="004827DE">
              <w:t xml:space="preserve"> </w:t>
            </w:r>
            <w:r w:rsidR="004827DE" w:rsidRPr="004827DE">
              <w:rPr>
                <w:rStyle w:val="SectionrefChar"/>
              </w:rPr>
              <w:fldChar w:fldCharType="begin"/>
            </w:r>
            <w:r w:rsidR="004827DE" w:rsidRPr="004827DE">
              <w:rPr>
                <w:rStyle w:val="SectionrefChar"/>
              </w:rPr>
              <w:instrText xml:space="preserve"> REF _Ref153523697 \p \h </w:instrText>
            </w:r>
            <w:r w:rsidR="004827DE">
              <w:rPr>
                <w:rStyle w:val="SectionrefChar"/>
              </w:rPr>
              <w:instrText xml:space="preserve"> \* MERGEFORMAT </w:instrText>
            </w:r>
            <w:r w:rsidR="004827DE" w:rsidRPr="004827DE">
              <w:rPr>
                <w:rStyle w:val="SectionrefChar"/>
              </w:rPr>
            </w:r>
            <w:r w:rsidR="004827DE" w:rsidRPr="004827DE">
              <w:rPr>
                <w:rStyle w:val="SectionrefChar"/>
              </w:rPr>
              <w:fldChar w:fldCharType="separate"/>
            </w:r>
            <w:r w:rsidR="00B53397">
              <w:rPr>
                <w:rStyle w:val="SectionrefChar"/>
              </w:rPr>
              <w:t>below</w:t>
            </w:r>
            <w:r w:rsidR="004827DE" w:rsidRPr="004827DE">
              <w:rPr>
                <w:rStyle w:val="SectionrefChar"/>
              </w:rPr>
              <w:fldChar w:fldCharType="end"/>
            </w:r>
            <w:r w:rsidRPr="0070323D">
              <w:t>)</w:t>
            </w:r>
          </w:p>
        </w:tc>
      </w:tr>
      <w:tr w:rsidR="00D242C8" w14:paraId="37AD994D" w14:textId="77777777" w:rsidTr="002B6735">
        <w:trPr>
          <w:trHeight w:val="454"/>
        </w:trPr>
        <w:tc>
          <w:tcPr>
            <w:tcW w:w="5000" w:type="pct"/>
            <w:shd w:val="clear" w:color="auto" w:fill="DBE5F1" w:themeFill="accent1" w:themeFillTint="33"/>
          </w:tcPr>
          <w:p w14:paraId="40AC93C4" w14:textId="77777777" w:rsidR="00D242C8" w:rsidRPr="002B6735" w:rsidRDefault="002B6735" w:rsidP="002B6735">
            <w:pPr>
              <w:pStyle w:val="Contributorstabletext"/>
              <w:rPr>
                <w:b/>
                <w:bCs/>
              </w:rPr>
            </w:pPr>
            <w:r w:rsidRPr="002B6735">
              <w:rPr>
                <w:b/>
                <w:bCs/>
              </w:rPr>
              <w:t>Authoriser(s)</w:t>
            </w:r>
          </w:p>
        </w:tc>
      </w:tr>
      <w:tr w:rsidR="00D242C8" w14:paraId="16C31A5B" w14:textId="77777777" w:rsidTr="00D242C8">
        <w:trPr>
          <w:trHeight w:val="454"/>
        </w:trPr>
        <w:tc>
          <w:tcPr>
            <w:tcW w:w="5000" w:type="pct"/>
          </w:tcPr>
          <w:p w14:paraId="19DEE34F" w14:textId="6D014133" w:rsidR="00075D91" w:rsidRDefault="002C3A84" w:rsidP="002C3A84">
            <w:pPr>
              <w:pStyle w:val="Contributorstabletext"/>
            </w:pPr>
            <w:r>
              <w:t>Leanne Stones (Clinical Research Compliance Manager (Laboratories)) / QMS Manager</w:t>
            </w:r>
          </w:p>
        </w:tc>
      </w:tr>
    </w:tbl>
    <w:p w14:paraId="55D6C191" w14:textId="77777777" w:rsidR="003E6162" w:rsidRDefault="003E6162" w:rsidP="002868D3"/>
    <w:p w14:paraId="2ACCAD78" w14:textId="77777777" w:rsidR="003E6162" w:rsidRPr="004827DE" w:rsidRDefault="003E6162" w:rsidP="004827DE">
      <w:pPr>
        <w:pStyle w:val="Sectionref"/>
        <w:rPr>
          <w:rFonts w:asciiTheme="minorHAnsi" w:eastAsiaTheme="minorHAnsi" w:hAnsiTheme="minorHAnsi" w:cstheme="minorHAnsi"/>
          <w:bCs/>
          <w:caps/>
          <w:sz w:val="24"/>
          <w:szCs w:val="24"/>
        </w:rPr>
      </w:pPr>
      <w:r w:rsidRPr="004827DE">
        <w:br w:type="page"/>
      </w:r>
    </w:p>
    <w:p w14:paraId="0927AD9D" w14:textId="77777777" w:rsidR="002B6735" w:rsidRDefault="003E6162" w:rsidP="003E6162">
      <w:pPr>
        <w:pStyle w:val="Heading1"/>
      </w:pPr>
      <w:bookmarkStart w:id="10" w:name="_Toc153528159"/>
      <w:r>
        <w:lastRenderedPageBreak/>
        <w:t xml:space="preserve">Document </w:t>
      </w:r>
      <w:r w:rsidR="001976C1">
        <w:t>h</w:t>
      </w:r>
      <w:r>
        <w:t>istory</w:t>
      </w:r>
      <w:bookmarkEnd w:id="10"/>
    </w:p>
    <w:p w14:paraId="523C0B6B" w14:textId="77777777" w:rsidR="00234600" w:rsidRPr="00710D7B" w:rsidRDefault="00120959" w:rsidP="00234600">
      <w:pPr>
        <w:pStyle w:val="Heading2"/>
      </w:pPr>
      <w:bookmarkStart w:id="11" w:name="_Toc153528160"/>
      <w:bookmarkEnd w:id="9"/>
      <w:r>
        <w:t>Document version log</w:t>
      </w:r>
      <w:bookmarkEnd w:id="11"/>
    </w:p>
    <w:p w14:paraId="648EE83A" w14:textId="77777777" w:rsidR="00A5347A" w:rsidRDefault="00234600" w:rsidP="005405BD">
      <w:r>
        <w:t xml:space="preserve">The </w:t>
      </w:r>
      <w:r w:rsidR="006F7027">
        <w:t>table below</w:t>
      </w:r>
      <w:r>
        <w:t xml:space="preserve"> summarise the changes made to this document compared to its superseded version</w:t>
      </w:r>
      <w:r w:rsidR="006F7027">
        <w:t>s</w:t>
      </w:r>
      <w:r>
        <w:t xml:space="preserve">. </w:t>
      </w:r>
      <w:r w:rsidR="002A0B65">
        <w:t xml:space="preserve">For information on earlier versions not shown, please </w:t>
      </w:r>
      <w:r w:rsidR="001E07D8">
        <w:t>email</w:t>
      </w:r>
      <w:r w:rsidR="002A0B65">
        <w:t xml:space="preserve"> the CRCT</w:t>
      </w:r>
      <w:r w:rsidR="001E07D8">
        <w:t xml:space="preserve"> (</w:t>
      </w:r>
      <w:hyperlink r:id="rId25" w:tooltip="Email the CRCT" w:history="1">
        <w:r w:rsidR="001E07D8" w:rsidRPr="00986664">
          <w:rPr>
            <w:rStyle w:val="Hyperlink"/>
          </w:rPr>
          <w:t>crct@contacts.bham.ac.uk</w:t>
        </w:r>
      </w:hyperlink>
      <w:r w:rsidR="001E07D8">
        <w:t>)</w:t>
      </w:r>
      <w:r w:rsidR="002A0B65">
        <w:t>.</w:t>
      </w:r>
      <w:r w:rsidR="001E07D8">
        <w:t xml:space="preserve"> </w:t>
      </w:r>
      <w:r w:rsidR="002A0B65">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6F7027" w:rsidRPr="003713E4" w14:paraId="1D3F15CC" w14:textId="77777777" w:rsidTr="00F6365D">
        <w:trPr>
          <w:trHeight w:val="454"/>
          <w:tblHeader/>
        </w:trPr>
        <w:tc>
          <w:tcPr>
            <w:tcW w:w="784" w:type="pct"/>
            <w:shd w:val="clear" w:color="auto" w:fill="DBE5F1" w:themeFill="accent1" w:themeFillTint="33"/>
            <w:vAlign w:val="center"/>
          </w:tcPr>
          <w:p w14:paraId="596FE989" w14:textId="77777777" w:rsidR="006F7027" w:rsidRPr="003713E4" w:rsidRDefault="006F7027" w:rsidP="008051E9">
            <w:pPr>
              <w:jc w:val="center"/>
              <w:rPr>
                <w:b/>
                <w:bCs/>
              </w:rPr>
            </w:pPr>
            <w:r>
              <w:rPr>
                <w:b/>
                <w:bCs/>
              </w:rPr>
              <w:t>Version</w:t>
            </w:r>
          </w:p>
        </w:tc>
        <w:tc>
          <w:tcPr>
            <w:tcW w:w="4216" w:type="pct"/>
            <w:shd w:val="clear" w:color="auto" w:fill="DBE5F1" w:themeFill="accent1" w:themeFillTint="33"/>
            <w:vAlign w:val="center"/>
          </w:tcPr>
          <w:p w14:paraId="355F1F43" w14:textId="77777777" w:rsidR="006F7027" w:rsidRPr="003713E4" w:rsidRDefault="006F7027" w:rsidP="008051E9">
            <w:pPr>
              <w:rPr>
                <w:b/>
                <w:bCs/>
              </w:rPr>
            </w:pPr>
            <w:r>
              <w:rPr>
                <w:b/>
                <w:bCs/>
              </w:rPr>
              <w:t>Reason for update</w:t>
            </w:r>
          </w:p>
        </w:tc>
      </w:tr>
      <w:tr w:rsidR="002A0B65" w14:paraId="34A39FA6" w14:textId="77777777" w:rsidTr="00515191">
        <w:trPr>
          <w:trHeight w:val="907"/>
        </w:trPr>
        <w:tc>
          <w:tcPr>
            <w:tcW w:w="784" w:type="pct"/>
          </w:tcPr>
          <w:p w14:paraId="1833FF64" w14:textId="2C4176B4" w:rsidR="00A5347A" w:rsidRDefault="001B32B2" w:rsidP="00A5347A">
            <w:pPr>
              <w:jc w:val="center"/>
            </w:pPr>
            <w:r>
              <w:t>2.0</w:t>
            </w:r>
          </w:p>
          <w:p w14:paraId="1DD94F5C" w14:textId="7AEA3C9B" w:rsidR="002A0B65" w:rsidRDefault="002A0B65" w:rsidP="00A5347A">
            <w:pPr>
              <w:jc w:val="center"/>
            </w:pPr>
            <w:r w:rsidRPr="00EC3C42">
              <w:t>(</w:t>
            </w:r>
            <w:r w:rsidR="00EC3C42" w:rsidRPr="00EC3C42">
              <w:t>07-Nov-2025</w:t>
            </w:r>
            <w:r w:rsidRPr="00EC3C42">
              <w:t>)</w:t>
            </w:r>
          </w:p>
        </w:tc>
        <w:tc>
          <w:tcPr>
            <w:tcW w:w="4216" w:type="pct"/>
          </w:tcPr>
          <w:p w14:paraId="5738F347" w14:textId="144ABFE4" w:rsidR="002A0B65" w:rsidRDefault="001B32B2" w:rsidP="00EE35FA">
            <w:pPr>
              <w:pStyle w:val="bulletT1"/>
            </w:pPr>
            <w:r>
              <w:t>Transferred to new QCD template</w:t>
            </w:r>
            <w:r w:rsidR="00F85EFF">
              <w:t>.</w:t>
            </w:r>
          </w:p>
          <w:p w14:paraId="4CB5A471" w14:textId="677F1BD4" w:rsidR="00834318" w:rsidRDefault="00467B80" w:rsidP="00EE35FA">
            <w:pPr>
              <w:pStyle w:val="bulletT1"/>
            </w:pPr>
            <w:r>
              <w:t xml:space="preserve">Additional risk considerations added to </w:t>
            </w:r>
            <w:r w:rsidR="00834318">
              <w:t>section 2.2</w:t>
            </w:r>
            <w:r w:rsidR="00133908">
              <w:t xml:space="preserve"> under </w:t>
            </w:r>
            <w:r w:rsidR="00834318">
              <w:t>the ‘Blinding’ category.</w:t>
            </w:r>
          </w:p>
          <w:p w14:paraId="34C64075" w14:textId="50AFC314" w:rsidR="001B32B2" w:rsidRDefault="00323044" w:rsidP="002F712D">
            <w:pPr>
              <w:pStyle w:val="bulletT1"/>
            </w:pPr>
            <w:r>
              <w:t xml:space="preserve">Updated </w:t>
            </w:r>
            <w:r w:rsidR="00B77091">
              <w:t>terminology: replaced ‘subjects’ for ‘participants’.</w:t>
            </w:r>
          </w:p>
        </w:tc>
      </w:tr>
    </w:tbl>
    <w:p w14:paraId="0430604D" w14:textId="77777777" w:rsidR="00234600" w:rsidRDefault="00234600" w:rsidP="00234600">
      <w:pPr>
        <w:pStyle w:val="Heading2"/>
      </w:pPr>
      <w:bookmarkStart w:id="12" w:name="_Toc143768372"/>
      <w:bookmarkStart w:id="13" w:name="_Ref152852855"/>
      <w:bookmarkStart w:id="14" w:name="_Ref152852890"/>
      <w:bookmarkStart w:id="15" w:name="_Ref153523697"/>
      <w:bookmarkStart w:id="16" w:name="_Toc153528161"/>
      <w:r>
        <w:t xml:space="preserve">Document </w:t>
      </w:r>
      <w:r w:rsidR="00413F0A">
        <w:t>r</w:t>
      </w:r>
      <w:r>
        <w:t xml:space="preserve">evision </w:t>
      </w:r>
      <w:r w:rsidR="00413F0A">
        <w:t>l</w:t>
      </w:r>
      <w:r>
        <w:t>og</w:t>
      </w:r>
      <w:bookmarkEnd w:id="12"/>
      <w:bookmarkEnd w:id="13"/>
      <w:bookmarkEnd w:id="14"/>
      <w:bookmarkEnd w:id="15"/>
      <w:bookmarkEnd w:id="16"/>
    </w:p>
    <w:p w14:paraId="4EEB17E7" w14:textId="77777777" w:rsidR="00A5347A" w:rsidRDefault="00234600" w:rsidP="00A5347A">
      <w:r>
        <w:t xml:space="preserve">The table below summaries the reason for any revisions made to the </w:t>
      </w:r>
      <w:r w:rsidR="001D0D34">
        <w:t xml:space="preserve">latest </w:t>
      </w:r>
      <w:r>
        <w:t>version of this document. Revisions do not affect the key content and/or requirements outline</w:t>
      </w:r>
      <w:r w:rsidR="00426CB9">
        <w:t>d</w:t>
      </w:r>
      <w:r>
        <w:t xml:space="preserve">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234600" w14:paraId="60415564" w14:textId="77777777" w:rsidTr="00F6365D">
        <w:trPr>
          <w:trHeight w:val="454"/>
          <w:tblHeader/>
        </w:trPr>
        <w:tc>
          <w:tcPr>
            <w:tcW w:w="1413" w:type="dxa"/>
            <w:shd w:val="clear" w:color="auto" w:fill="DBE5F1" w:themeFill="accent1" w:themeFillTint="33"/>
            <w:vAlign w:val="center"/>
          </w:tcPr>
          <w:p w14:paraId="2C00E005" w14:textId="77777777" w:rsidR="00234600" w:rsidRPr="003713E4" w:rsidRDefault="00234600" w:rsidP="008051E9">
            <w:pPr>
              <w:jc w:val="center"/>
              <w:rPr>
                <w:b/>
                <w:bCs/>
              </w:rPr>
            </w:pPr>
            <w:r w:rsidRPr="003713E4">
              <w:rPr>
                <w:b/>
                <w:bCs/>
              </w:rPr>
              <w:t>Revision</w:t>
            </w:r>
          </w:p>
        </w:tc>
        <w:tc>
          <w:tcPr>
            <w:tcW w:w="3544" w:type="dxa"/>
            <w:shd w:val="clear" w:color="auto" w:fill="DBE5F1" w:themeFill="accent1" w:themeFillTint="33"/>
            <w:vAlign w:val="center"/>
          </w:tcPr>
          <w:p w14:paraId="389EF742" w14:textId="77777777" w:rsidR="00234600" w:rsidRPr="003713E4" w:rsidRDefault="00234600" w:rsidP="008051E9">
            <w:pPr>
              <w:rPr>
                <w:b/>
                <w:bCs/>
              </w:rPr>
            </w:pPr>
            <w:r>
              <w:rPr>
                <w:b/>
                <w:bCs/>
              </w:rPr>
              <w:t>Reason for revision</w:t>
            </w:r>
          </w:p>
        </w:tc>
        <w:tc>
          <w:tcPr>
            <w:tcW w:w="2030" w:type="dxa"/>
            <w:shd w:val="clear" w:color="auto" w:fill="DBE5F1" w:themeFill="accent1" w:themeFillTint="33"/>
            <w:vAlign w:val="center"/>
          </w:tcPr>
          <w:p w14:paraId="458077D7" w14:textId="77777777" w:rsidR="00234600" w:rsidRPr="003713E4" w:rsidRDefault="00234600" w:rsidP="008051E9">
            <w:pPr>
              <w:rPr>
                <w:b/>
                <w:bCs/>
              </w:rPr>
            </w:pPr>
            <w:r w:rsidRPr="003713E4">
              <w:rPr>
                <w:b/>
                <w:bCs/>
              </w:rPr>
              <w:t>Editor/reviewer</w:t>
            </w:r>
          </w:p>
        </w:tc>
        <w:tc>
          <w:tcPr>
            <w:tcW w:w="2030" w:type="dxa"/>
            <w:shd w:val="clear" w:color="auto" w:fill="DBE5F1" w:themeFill="accent1" w:themeFillTint="33"/>
            <w:vAlign w:val="center"/>
          </w:tcPr>
          <w:p w14:paraId="6C825D47" w14:textId="77777777" w:rsidR="00234600" w:rsidRPr="003713E4" w:rsidRDefault="00234600" w:rsidP="008051E9">
            <w:pPr>
              <w:rPr>
                <w:b/>
                <w:bCs/>
              </w:rPr>
            </w:pPr>
            <w:r w:rsidRPr="003713E4">
              <w:rPr>
                <w:b/>
                <w:bCs/>
              </w:rPr>
              <w:t>Authoriser</w:t>
            </w:r>
          </w:p>
        </w:tc>
      </w:tr>
      <w:tr w:rsidR="00ED36EE" w14:paraId="4476CD8D" w14:textId="77777777" w:rsidTr="00515191">
        <w:trPr>
          <w:trHeight w:val="907"/>
        </w:trPr>
        <w:tc>
          <w:tcPr>
            <w:tcW w:w="1413" w:type="dxa"/>
          </w:tcPr>
          <w:p w14:paraId="4575CD0C" w14:textId="77777777" w:rsidR="00ED36EE" w:rsidRDefault="00ED36EE" w:rsidP="00ED36EE">
            <w:pPr>
              <w:jc w:val="center"/>
            </w:pPr>
            <w:r>
              <w:t>-</w:t>
            </w:r>
          </w:p>
        </w:tc>
        <w:tc>
          <w:tcPr>
            <w:tcW w:w="3544" w:type="dxa"/>
          </w:tcPr>
          <w:p w14:paraId="53481887" w14:textId="77777777" w:rsidR="00ED36EE" w:rsidRDefault="00ED36EE" w:rsidP="00ED36EE">
            <w:pPr>
              <w:jc w:val="left"/>
            </w:pPr>
            <w:r>
              <w:t>-</w:t>
            </w:r>
          </w:p>
        </w:tc>
        <w:tc>
          <w:tcPr>
            <w:tcW w:w="2030" w:type="dxa"/>
          </w:tcPr>
          <w:p w14:paraId="0FE1E4B6" w14:textId="77777777" w:rsidR="00ED36EE" w:rsidRDefault="00ED36EE" w:rsidP="00ED36EE">
            <w:pPr>
              <w:jc w:val="left"/>
            </w:pPr>
            <w:r>
              <w:t>-</w:t>
            </w:r>
          </w:p>
        </w:tc>
        <w:tc>
          <w:tcPr>
            <w:tcW w:w="2030" w:type="dxa"/>
          </w:tcPr>
          <w:p w14:paraId="680FE2A5" w14:textId="77777777" w:rsidR="00ED36EE" w:rsidRDefault="00ED36EE" w:rsidP="00ED36EE">
            <w:pPr>
              <w:jc w:val="left"/>
            </w:pPr>
            <w:r>
              <w:t>-</w:t>
            </w:r>
          </w:p>
        </w:tc>
      </w:tr>
    </w:tbl>
    <w:p w14:paraId="206C5545" w14:textId="09B1B7EA" w:rsidR="001B2B5E" w:rsidRDefault="001B2B5E">
      <w:pPr>
        <w:spacing w:before="0" w:after="200" w:line="276" w:lineRule="auto"/>
        <w:jc w:val="left"/>
      </w:pPr>
    </w:p>
    <w:p w14:paraId="63DAF651" w14:textId="742A4908" w:rsidR="002A14D3" w:rsidRPr="002A14D3" w:rsidRDefault="004C0747" w:rsidP="002A14D3">
      <w:pPr>
        <w:spacing w:before="0" w:after="200" w:line="276" w:lineRule="auto"/>
        <w:jc w:val="left"/>
        <w:rPr>
          <w:i/>
          <w:iCs/>
          <w:color w:val="C00000"/>
        </w:rPr>
        <w:sectPr w:rsidR="002A14D3" w:rsidRPr="002A14D3" w:rsidSect="00EA11E4">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r>
        <w:br w:type="page"/>
      </w:r>
    </w:p>
    <w:p w14:paraId="78BDBDD2" w14:textId="62286933" w:rsidR="001B2B5E" w:rsidRDefault="001B2B5E" w:rsidP="001B2B5E">
      <w:pPr>
        <w:pStyle w:val="Instructions"/>
        <w:jc w:val="center"/>
      </w:pPr>
      <w:r>
        <w:lastRenderedPageBreak/>
        <w:t>&lt; start of the template – delete this red text and the pages above when you are ready to use this template &gt;</w:t>
      </w:r>
    </w:p>
    <w:p w14:paraId="0A45219F" w14:textId="65DC371C" w:rsidR="00075D91" w:rsidRDefault="00770649" w:rsidP="00770649">
      <w:pPr>
        <w:pStyle w:val="Title"/>
        <w:jc w:val="center"/>
      </w:pPr>
      <w:r>
        <w:t>Risk ASSESSMENT REPORT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544"/>
        <w:gridCol w:w="10404"/>
      </w:tblGrid>
      <w:tr w:rsidR="00780EA4" w14:paraId="76D2A46F" w14:textId="77777777" w:rsidTr="003D3128">
        <w:tc>
          <w:tcPr>
            <w:tcW w:w="3544" w:type="dxa"/>
          </w:tcPr>
          <w:p w14:paraId="51465FB1" w14:textId="77777777" w:rsidR="00780EA4" w:rsidRDefault="00780EA4" w:rsidP="003D3128">
            <w:pPr>
              <w:pStyle w:val="Heading1"/>
            </w:pPr>
            <w:r>
              <w:t>Trial title:</w:t>
            </w:r>
          </w:p>
        </w:tc>
        <w:tc>
          <w:tcPr>
            <w:tcW w:w="10404" w:type="dxa"/>
            <w:vAlign w:val="bottom"/>
          </w:tcPr>
          <w:p w14:paraId="13D1E88A" w14:textId="77777777" w:rsidR="00780EA4" w:rsidRPr="00E05CF3" w:rsidRDefault="00780EA4" w:rsidP="00E05CF3">
            <w:pPr>
              <w:pStyle w:val="Instructions"/>
            </w:pPr>
            <w:r w:rsidRPr="00E05CF3">
              <w:t>&lt;</w:t>
            </w:r>
            <w:r w:rsidRPr="00E05CF3">
              <w:rPr>
                <w:rStyle w:val="InstructionsChar"/>
                <w:i/>
                <w:iCs/>
              </w:rPr>
              <w:t>insert full trial title&gt;</w:t>
            </w:r>
          </w:p>
        </w:tc>
      </w:tr>
      <w:tr w:rsidR="00780EA4" w14:paraId="74D1AD86" w14:textId="77777777" w:rsidTr="003D3128">
        <w:tc>
          <w:tcPr>
            <w:tcW w:w="3544" w:type="dxa"/>
          </w:tcPr>
          <w:p w14:paraId="09FB4045" w14:textId="77777777" w:rsidR="00780EA4" w:rsidRDefault="00780EA4" w:rsidP="003D3128">
            <w:pPr>
              <w:pStyle w:val="Heading1"/>
            </w:pPr>
            <w:r>
              <w:t>Sponsor reference:</w:t>
            </w:r>
          </w:p>
        </w:tc>
        <w:tc>
          <w:tcPr>
            <w:tcW w:w="10404" w:type="dxa"/>
            <w:vAlign w:val="bottom"/>
          </w:tcPr>
          <w:p w14:paraId="06DD59FB" w14:textId="77777777" w:rsidR="00780EA4" w:rsidRDefault="00780EA4" w:rsidP="003D3128">
            <w:r w:rsidRPr="002321D5">
              <w:rPr>
                <w:rStyle w:val="InstructionsChar"/>
              </w:rPr>
              <w:t>&lt;insert sponsor reference&gt;</w:t>
            </w:r>
            <w:r>
              <w:t xml:space="preserve"> </w:t>
            </w:r>
          </w:p>
        </w:tc>
      </w:tr>
      <w:tr w:rsidR="00780EA4" w14:paraId="384C4510" w14:textId="77777777" w:rsidTr="003D3128">
        <w:tc>
          <w:tcPr>
            <w:tcW w:w="3544" w:type="dxa"/>
          </w:tcPr>
          <w:p w14:paraId="2AFAE87D" w14:textId="77777777" w:rsidR="00780EA4" w:rsidRDefault="00780EA4" w:rsidP="003D3128">
            <w:pPr>
              <w:pStyle w:val="Heading1"/>
            </w:pPr>
            <w:r>
              <w:t>IRAS number:</w:t>
            </w:r>
          </w:p>
        </w:tc>
        <w:tc>
          <w:tcPr>
            <w:tcW w:w="10404" w:type="dxa"/>
            <w:vAlign w:val="bottom"/>
          </w:tcPr>
          <w:p w14:paraId="76B5D228" w14:textId="77777777" w:rsidR="00780EA4" w:rsidRDefault="00780EA4" w:rsidP="003D3128">
            <w:pPr>
              <w:pStyle w:val="Instructions"/>
            </w:pPr>
            <w:r>
              <w:t>&lt;insert IRAS number&gt;</w:t>
            </w:r>
          </w:p>
        </w:tc>
      </w:tr>
      <w:tr w:rsidR="00780EA4" w14:paraId="0663011F" w14:textId="77777777" w:rsidTr="003D3128">
        <w:tc>
          <w:tcPr>
            <w:tcW w:w="3544" w:type="dxa"/>
          </w:tcPr>
          <w:p w14:paraId="61024C74" w14:textId="77777777" w:rsidR="00780EA4" w:rsidRDefault="00780EA4" w:rsidP="003D3128">
            <w:pPr>
              <w:pStyle w:val="Heading1"/>
            </w:pPr>
            <w:r>
              <w:t>REC number:</w:t>
            </w:r>
          </w:p>
        </w:tc>
        <w:tc>
          <w:tcPr>
            <w:tcW w:w="10404" w:type="dxa"/>
            <w:vAlign w:val="bottom"/>
          </w:tcPr>
          <w:p w14:paraId="303BEF95" w14:textId="77777777" w:rsidR="00780EA4" w:rsidRDefault="00780EA4" w:rsidP="003D3128">
            <w:pPr>
              <w:pStyle w:val="Instructions"/>
            </w:pPr>
            <w:r>
              <w:t>&lt;insert REC number&gt;</w:t>
            </w:r>
          </w:p>
        </w:tc>
      </w:tr>
    </w:tbl>
    <w:p w14:paraId="32F57CFF" w14:textId="77777777" w:rsidR="00D2163D" w:rsidRDefault="00D2163D" w:rsidP="00D2163D">
      <w:pPr>
        <w:pStyle w:val="Heading1"/>
      </w:pPr>
      <w:r>
        <w:t>Document control sheet</w:t>
      </w: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3539"/>
        <w:gridCol w:w="10409"/>
      </w:tblGrid>
      <w:tr w:rsidR="00D2163D" w14:paraId="364D2A65" w14:textId="77777777" w:rsidTr="003D3128">
        <w:tc>
          <w:tcPr>
            <w:tcW w:w="3539" w:type="dxa"/>
          </w:tcPr>
          <w:p w14:paraId="0EC915CF" w14:textId="77777777" w:rsidR="00D2163D" w:rsidRDefault="00D2163D" w:rsidP="003D3128">
            <w:pPr>
              <w:pStyle w:val="Heading2"/>
            </w:pPr>
            <w:r>
              <w:t>Risk assessment version:</w:t>
            </w:r>
          </w:p>
        </w:tc>
        <w:tc>
          <w:tcPr>
            <w:tcW w:w="10409" w:type="dxa"/>
          </w:tcPr>
          <w:p w14:paraId="53567180" w14:textId="77777777" w:rsidR="00D2163D" w:rsidRDefault="00D2163D" w:rsidP="003D3128">
            <w:pPr>
              <w:pStyle w:val="Heading2"/>
            </w:pPr>
            <w:r>
              <w:t>Reason for update:</w:t>
            </w:r>
          </w:p>
        </w:tc>
      </w:tr>
      <w:tr w:rsidR="00D2163D" w14:paraId="67D3A746" w14:textId="77777777" w:rsidTr="003D3128">
        <w:tc>
          <w:tcPr>
            <w:tcW w:w="3539" w:type="dxa"/>
          </w:tcPr>
          <w:p w14:paraId="496037F0" w14:textId="77777777" w:rsidR="00D2163D" w:rsidRDefault="00D2163D" w:rsidP="003D3128">
            <w:pPr>
              <w:pStyle w:val="Instructions"/>
            </w:pPr>
            <w:r>
              <w:t>&lt;enter version number and date&gt;</w:t>
            </w:r>
          </w:p>
        </w:tc>
        <w:tc>
          <w:tcPr>
            <w:tcW w:w="10409" w:type="dxa"/>
          </w:tcPr>
          <w:p w14:paraId="0B4EC476" w14:textId="77777777" w:rsidR="00D2163D" w:rsidRDefault="00D2163D" w:rsidP="003D3128">
            <w:pPr>
              <w:pStyle w:val="Instructions"/>
            </w:pPr>
            <w:r>
              <w:t>&lt;enter reason&gt;</w:t>
            </w:r>
          </w:p>
        </w:tc>
      </w:tr>
      <w:tr w:rsidR="00D2163D" w14:paraId="1EAAB925" w14:textId="77777777" w:rsidTr="003D3128">
        <w:tc>
          <w:tcPr>
            <w:tcW w:w="3539" w:type="dxa"/>
          </w:tcPr>
          <w:p w14:paraId="3DC5226A" w14:textId="77777777" w:rsidR="00D2163D" w:rsidRDefault="00D2163D" w:rsidP="003D3128"/>
        </w:tc>
        <w:tc>
          <w:tcPr>
            <w:tcW w:w="10409" w:type="dxa"/>
          </w:tcPr>
          <w:p w14:paraId="4EC60B42" w14:textId="77777777" w:rsidR="00D2163D" w:rsidRDefault="00D2163D" w:rsidP="003D3128"/>
        </w:tc>
      </w:tr>
      <w:tr w:rsidR="00D2163D" w14:paraId="1DADD9C0" w14:textId="77777777" w:rsidTr="003D3128">
        <w:tc>
          <w:tcPr>
            <w:tcW w:w="3539" w:type="dxa"/>
          </w:tcPr>
          <w:p w14:paraId="168D95F0" w14:textId="77777777" w:rsidR="00D2163D" w:rsidRDefault="00D2163D" w:rsidP="003D3128"/>
        </w:tc>
        <w:tc>
          <w:tcPr>
            <w:tcW w:w="10409" w:type="dxa"/>
          </w:tcPr>
          <w:p w14:paraId="50BDD554" w14:textId="77777777" w:rsidR="00D2163D" w:rsidRDefault="00D2163D" w:rsidP="003D3128"/>
        </w:tc>
      </w:tr>
    </w:tbl>
    <w:p w14:paraId="3187533F" w14:textId="77777777" w:rsidR="00D2163D" w:rsidRDefault="00D2163D" w:rsidP="00D2163D">
      <w:pPr>
        <w:pStyle w:val="Instructions"/>
      </w:pPr>
      <w:r>
        <w:t xml:space="preserve"> Add or delete rows as required</w:t>
      </w:r>
    </w:p>
    <w:p w14:paraId="110FBE2D" w14:textId="0E47BA10" w:rsidR="00796679" w:rsidRDefault="00796679">
      <w:pPr>
        <w:spacing w:before="0" w:after="200" w:line="276" w:lineRule="auto"/>
        <w:jc w:val="left"/>
      </w:pPr>
      <w:r>
        <w:br w:type="page"/>
      </w:r>
    </w:p>
    <w:p w14:paraId="49853461" w14:textId="5F1A220A" w:rsidR="009F756B" w:rsidRDefault="009F756B" w:rsidP="002F60FA">
      <w:pPr>
        <w:pStyle w:val="Heading1"/>
        <w:numPr>
          <w:ilvl w:val="0"/>
          <w:numId w:val="16"/>
        </w:numPr>
      </w:pPr>
      <w:r>
        <w:lastRenderedPageBreak/>
        <w:t>Risks to participant safety associated with intervention(s) being test</w:t>
      </w:r>
      <w:r w:rsidR="00CC0538">
        <w:t>ed</w:t>
      </w:r>
    </w:p>
    <w:p w14:paraId="163748E1" w14:textId="77777777" w:rsidR="009F756B" w:rsidRPr="00E05CF3" w:rsidRDefault="009F756B" w:rsidP="00E05CF3">
      <w:pPr>
        <w:pStyle w:val="Instructions"/>
      </w:pPr>
      <w:r w:rsidRPr="00E05CF3">
        <w:t>Tick the appropriate box below to indicate project type</w:t>
      </w:r>
    </w:p>
    <w:p w14:paraId="61F398D5" w14:textId="77777777" w:rsidR="009F756B" w:rsidRDefault="00000000" w:rsidP="009F756B">
      <w:sdt>
        <w:sdtPr>
          <w:id w:val="344139255"/>
          <w14:checkbox>
            <w14:checked w14:val="0"/>
            <w14:checkedState w14:val="2612" w14:font="MS Gothic"/>
            <w14:uncheckedState w14:val="2610" w14:font="MS Gothic"/>
          </w14:checkbox>
        </w:sdtPr>
        <w:sdtContent>
          <w:r w:rsidR="009F756B">
            <w:rPr>
              <w:rFonts w:ascii="MS Gothic" w:eastAsia="MS Gothic" w:hAnsi="MS Gothic" w:hint="eastAsia"/>
            </w:rPr>
            <w:t>☐</w:t>
          </w:r>
        </w:sdtContent>
      </w:sdt>
      <w:r w:rsidR="009F756B">
        <w:t xml:space="preserve"> IMP trial</w:t>
      </w:r>
    </w:p>
    <w:p w14:paraId="593B0CF4" w14:textId="77777777" w:rsidR="009F756B" w:rsidRDefault="00000000" w:rsidP="009F756B">
      <w:sdt>
        <w:sdtPr>
          <w:id w:val="-797065909"/>
          <w14:checkbox>
            <w14:checked w14:val="0"/>
            <w14:checkedState w14:val="2612" w14:font="MS Gothic"/>
            <w14:uncheckedState w14:val="2610" w14:font="MS Gothic"/>
          </w14:checkbox>
        </w:sdtPr>
        <w:sdtContent>
          <w:r w:rsidR="009F756B">
            <w:rPr>
              <w:rFonts w:ascii="MS Gothic" w:eastAsia="MS Gothic" w:hAnsi="MS Gothic" w:hint="eastAsia"/>
            </w:rPr>
            <w:t>☐</w:t>
          </w:r>
        </w:sdtContent>
      </w:sdt>
      <w:r w:rsidR="009F756B">
        <w:t xml:space="preserve"> Non-IMP trial/clinical study</w:t>
      </w:r>
    </w:p>
    <w:p w14:paraId="4102F0BF" w14:textId="1EB4F78E" w:rsidR="00DC3AC4" w:rsidRDefault="00DC3AC4" w:rsidP="002F60FA">
      <w:pPr>
        <w:pStyle w:val="Heading2"/>
        <w:numPr>
          <w:ilvl w:val="1"/>
          <w:numId w:val="16"/>
        </w:numPr>
      </w:pPr>
      <w:r>
        <w:t>Risk category</w:t>
      </w:r>
    </w:p>
    <w:p w14:paraId="28DAAC4D" w14:textId="77777777" w:rsidR="00DC3AC4" w:rsidRDefault="00DC3AC4" w:rsidP="00DC3AC4">
      <w:pPr>
        <w:pStyle w:val="Instructions"/>
      </w:pPr>
      <w:r>
        <w:t xml:space="preserve">Tick the appropriate box </w:t>
      </w:r>
      <w:r w:rsidRPr="001C2B79">
        <w:t>below to indicate trial type:</w:t>
      </w:r>
    </w:p>
    <w:tbl>
      <w:tblPr>
        <w:tblW w:w="4989"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579"/>
        <w:gridCol w:w="4090"/>
        <w:gridCol w:w="731"/>
        <w:gridCol w:w="4090"/>
        <w:gridCol w:w="731"/>
        <w:gridCol w:w="4121"/>
      </w:tblGrid>
      <w:tr w:rsidR="00DC3AC4" w:rsidRPr="00B81D2E" w14:paraId="1A9BA703" w14:textId="77777777" w:rsidTr="003D3128">
        <w:tc>
          <w:tcPr>
            <w:tcW w:w="562" w:type="dxa"/>
            <w:tcBorders>
              <w:top w:val="single" w:sz="4" w:space="0" w:color="auto"/>
              <w:bottom w:val="nil"/>
            </w:tcBorders>
          </w:tcPr>
          <w:p w14:paraId="6810C270" w14:textId="77777777" w:rsidR="00DC3AC4" w:rsidRDefault="00000000" w:rsidP="003D3128">
            <w:pPr>
              <w:pStyle w:val="Heading3"/>
              <w:jc w:val="center"/>
            </w:pPr>
            <w:sdt>
              <w:sdtPr>
                <w:id w:val="-1147815841"/>
                <w14:checkbox>
                  <w14:checked w14:val="0"/>
                  <w14:checkedState w14:val="2612" w14:font="MS Gothic"/>
                  <w14:uncheckedState w14:val="2610" w14:font="MS Gothic"/>
                </w14:checkbox>
              </w:sdtPr>
              <w:sdtContent>
                <w:r w:rsidR="00DC3AC4">
                  <w:rPr>
                    <w:rFonts w:ascii="MS Gothic" w:eastAsia="MS Gothic" w:hAnsi="MS Gothic" w:hint="eastAsia"/>
                  </w:rPr>
                  <w:t>☐</w:t>
                </w:r>
              </w:sdtContent>
            </w:sdt>
          </w:p>
        </w:tc>
        <w:tc>
          <w:tcPr>
            <w:tcW w:w="3969" w:type="dxa"/>
            <w:tcBorders>
              <w:top w:val="single" w:sz="4" w:space="0" w:color="auto"/>
              <w:bottom w:val="nil"/>
            </w:tcBorders>
            <w:vAlign w:val="center"/>
          </w:tcPr>
          <w:p w14:paraId="660032EE" w14:textId="77777777" w:rsidR="00DC3AC4" w:rsidRDefault="00DC3AC4" w:rsidP="003D3128">
            <w:pPr>
              <w:pStyle w:val="Heading3"/>
            </w:pPr>
            <w:r>
              <w:t>TYPE A</w:t>
            </w:r>
          </w:p>
        </w:tc>
        <w:sdt>
          <w:sdtPr>
            <w:id w:val="-966192056"/>
            <w14:checkbox>
              <w14:checked w14:val="0"/>
              <w14:checkedState w14:val="2612" w14:font="MS Gothic"/>
              <w14:uncheckedState w14:val="2610" w14:font="MS Gothic"/>
            </w14:checkbox>
          </w:sdtPr>
          <w:sdtContent>
            <w:tc>
              <w:tcPr>
                <w:tcW w:w="709" w:type="dxa"/>
                <w:tcBorders>
                  <w:top w:val="single" w:sz="4" w:space="0" w:color="auto"/>
                  <w:bottom w:val="nil"/>
                </w:tcBorders>
                <w:vAlign w:val="center"/>
              </w:tcPr>
              <w:p w14:paraId="30AEB20C" w14:textId="77777777" w:rsidR="00DC3AC4" w:rsidRDefault="00DC3AC4" w:rsidP="003D3128">
                <w:pPr>
                  <w:pStyle w:val="Heading3"/>
                  <w:jc w:val="center"/>
                </w:pPr>
                <w:r>
                  <w:rPr>
                    <w:rFonts w:ascii="MS Gothic" w:eastAsia="MS Gothic" w:hAnsi="MS Gothic" w:hint="eastAsia"/>
                  </w:rPr>
                  <w:t>☐</w:t>
                </w:r>
              </w:p>
            </w:tc>
          </w:sdtContent>
        </w:sdt>
        <w:tc>
          <w:tcPr>
            <w:tcW w:w="3969" w:type="dxa"/>
            <w:tcBorders>
              <w:top w:val="single" w:sz="4" w:space="0" w:color="auto"/>
              <w:bottom w:val="nil"/>
            </w:tcBorders>
            <w:vAlign w:val="center"/>
          </w:tcPr>
          <w:p w14:paraId="38F14B2E" w14:textId="77777777" w:rsidR="00DC3AC4" w:rsidRDefault="00DC3AC4" w:rsidP="003D3128">
            <w:pPr>
              <w:pStyle w:val="Heading3"/>
            </w:pPr>
            <w:r>
              <w:t>TYPE B</w:t>
            </w:r>
          </w:p>
        </w:tc>
        <w:sdt>
          <w:sdtPr>
            <w:id w:val="611778367"/>
            <w14:checkbox>
              <w14:checked w14:val="0"/>
              <w14:checkedState w14:val="2612" w14:font="MS Gothic"/>
              <w14:uncheckedState w14:val="2610" w14:font="MS Gothic"/>
            </w14:checkbox>
          </w:sdtPr>
          <w:sdtContent>
            <w:tc>
              <w:tcPr>
                <w:tcW w:w="709" w:type="dxa"/>
                <w:tcBorders>
                  <w:top w:val="single" w:sz="4" w:space="0" w:color="auto"/>
                  <w:bottom w:val="nil"/>
                </w:tcBorders>
                <w:vAlign w:val="center"/>
              </w:tcPr>
              <w:p w14:paraId="1BDDEEDE" w14:textId="77777777" w:rsidR="00DC3AC4" w:rsidRDefault="00DC3AC4" w:rsidP="003D3128">
                <w:pPr>
                  <w:pStyle w:val="Heading3"/>
                  <w:jc w:val="center"/>
                </w:pPr>
                <w:r>
                  <w:rPr>
                    <w:rFonts w:ascii="MS Gothic" w:eastAsia="MS Gothic" w:hAnsi="MS Gothic" w:hint="eastAsia"/>
                  </w:rPr>
                  <w:t>☐</w:t>
                </w:r>
              </w:p>
            </w:tc>
          </w:sdtContent>
        </w:sdt>
        <w:tc>
          <w:tcPr>
            <w:tcW w:w="3999" w:type="dxa"/>
            <w:tcBorders>
              <w:top w:val="single" w:sz="4" w:space="0" w:color="auto"/>
              <w:bottom w:val="nil"/>
            </w:tcBorders>
            <w:vAlign w:val="center"/>
          </w:tcPr>
          <w:p w14:paraId="2C21753E" w14:textId="77777777" w:rsidR="00DC3AC4" w:rsidRDefault="00DC3AC4" w:rsidP="003D3128">
            <w:pPr>
              <w:pStyle w:val="Heading3"/>
            </w:pPr>
            <w:r>
              <w:t xml:space="preserve">TYPE C   </w:t>
            </w:r>
          </w:p>
        </w:tc>
      </w:tr>
      <w:tr w:rsidR="00DC3AC4" w:rsidRPr="00B81D2E" w14:paraId="1CE13CBE" w14:textId="77777777" w:rsidTr="003D3128">
        <w:trPr>
          <w:trHeight w:val="499"/>
        </w:trPr>
        <w:tc>
          <w:tcPr>
            <w:tcW w:w="4531" w:type="dxa"/>
            <w:gridSpan w:val="2"/>
            <w:tcBorders>
              <w:top w:val="nil"/>
              <w:bottom w:val="dotted" w:sz="4" w:space="0" w:color="auto"/>
            </w:tcBorders>
            <w:vAlign w:val="center"/>
          </w:tcPr>
          <w:p w14:paraId="6062EF9C" w14:textId="77777777" w:rsidR="00DC3AC4" w:rsidRDefault="00DC3AC4" w:rsidP="003D3128">
            <w:r w:rsidRPr="00B60926">
              <w:t>Comparable to the risk of standard medical car</w:t>
            </w:r>
            <w:r>
              <w:t>e</w:t>
            </w:r>
          </w:p>
        </w:tc>
        <w:tc>
          <w:tcPr>
            <w:tcW w:w="4678" w:type="dxa"/>
            <w:gridSpan w:val="2"/>
            <w:tcBorders>
              <w:top w:val="nil"/>
              <w:bottom w:val="dotted" w:sz="4" w:space="0" w:color="auto"/>
            </w:tcBorders>
            <w:vAlign w:val="center"/>
          </w:tcPr>
          <w:p w14:paraId="4E8F257D" w14:textId="77777777" w:rsidR="00DC3AC4" w:rsidRDefault="00DC3AC4" w:rsidP="003D3128">
            <w:r w:rsidRPr="00B60926">
              <w:t>Higher than the risk of standard medical care</w:t>
            </w:r>
          </w:p>
        </w:tc>
        <w:tc>
          <w:tcPr>
            <w:tcW w:w="4708" w:type="dxa"/>
            <w:gridSpan w:val="2"/>
            <w:tcBorders>
              <w:top w:val="nil"/>
              <w:bottom w:val="dotted" w:sz="4" w:space="0" w:color="auto"/>
            </w:tcBorders>
          </w:tcPr>
          <w:p w14:paraId="649E02E0" w14:textId="77777777" w:rsidR="00DC3AC4" w:rsidRDefault="00DC3AC4" w:rsidP="003D3128">
            <w:r w:rsidRPr="00940D01">
              <w:t>Markedly higher than the risk of standard medical care</w:t>
            </w:r>
          </w:p>
        </w:tc>
      </w:tr>
      <w:tr w:rsidR="00DC3AC4" w:rsidRPr="00B81D2E" w14:paraId="3B1A8784" w14:textId="77777777" w:rsidTr="00192234">
        <w:tc>
          <w:tcPr>
            <w:tcW w:w="4531" w:type="dxa"/>
            <w:gridSpan w:val="2"/>
            <w:tcBorders>
              <w:top w:val="dotted" w:sz="4" w:space="0" w:color="auto"/>
              <w:bottom w:val="single" w:sz="4" w:space="0" w:color="auto"/>
            </w:tcBorders>
          </w:tcPr>
          <w:p w14:paraId="07E4180C" w14:textId="77777777" w:rsidR="00DC3AC4" w:rsidRPr="00CB0B3C" w:rsidRDefault="00DC3AC4" w:rsidP="002868D3">
            <w:pPr>
              <w:jc w:val="left"/>
              <w:rPr>
                <w:b/>
                <w:bCs/>
                <w:sz w:val="16"/>
                <w:szCs w:val="16"/>
                <w:u w:val="single"/>
              </w:rPr>
            </w:pPr>
            <w:r w:rsidRPr="00CB0B3C">
              <w:rPr>
                <w:b/>
                <w:bCs/>
                <w:sz w:val="16"/>
                <w:szCs w:val="16"/>
                <w:u w:val="single"/>
              </w:rPr>
              <w:t>Examples</w:t>
            </w:r>
          </w:p>
          <w:p w14:paraId="547B41BA" w14:textId="77777777" w:rsidR="00DC3AC4" w:rsidRPr="00872378" w:rsidRDefault="00DC3AC4" w:rsidP="002868D3">
            <w:pPr>
              <w:jc w:val="left"/>
              <w:rPr>
                <w:sz w:val="16"/>
                <w:szCs w:val="16"/>
              </w:rPr>
            </w:pPr>
            <w:r w:rsidRPr="00872378">
              <w:rPr>
                <w:sz w:val="16"/>
                <w:szCs w:val="16"/>
              </w:rPr>
              <w:t>For CTIMPs:</w:t>
            </w:r>
          </w:p>
          <w:p w14:paraId="17954D59" w14:textId="77777777" w:rsidR="00DC3AC4" w:rsidRPr="002868D3" w:rsidRDefault="00DC3AC4" w:rsidP="002868D3">
            <w:pPr>
              <w:pStyle w:val="bulletT1"/>
              <w:jc w:val="left"/>
              <w:rPr>
                <w:sz w:val="16"/>
                <w:szCs w:val="16"/>
              </w:rPr>
            </w:pPr>
            <w:r w:rsidRPr="002868D3">
              <w:rPr>
                <w:sz w:val="16"/>
                <w:szCs w:val="16"/>
              </w:rPr>
              <w:t xml:space="preserve">Trials involving medicinal products licensed in any EU Member State if: </w:t>
            </w:r>
          </w:p>
          <w:p w14:paraId="55C4FB77" w14:textId="77777777" w:rsidR="00DC3AC4" w:rsidRPr="002868D3" w:rsidRDefault="00DC3AC4" w:rsidP="002868D3">
            <w:pPr>
              <w:pStyle w:val="bulletT2"/>
              <w:jc w:val="left"/>
              <w:rPr>
                <w:sz w:val="16"/>
                <w:szCs w:val="16"/>
              </w:rPr>
            </w:pPr>
            <w:r w:rsidRPr="002868D3">
              <w:rPr>
                <w:sz w:val="16"/>
                <w:szCs w:val="16"/>
              </w:rPr>
              <w:t>they relate to the licensed range of indications, dosage and form, or</w:t>
            </w:r>
          </w:p>
          <w:p w14:paraId="00EFDD8D" w14:textId="77777777" w:rsidR="00DC3AC4" w:rsidRPr="002868D3" w:rsidRDefault="00DC3AC4" w:rsidP="002868D3">
            <w:pPr>
              <w:pStyle w:val="bulletT2"/>
              <w:jc w:val="left"/>
              <w:rPr>
                <w:sz w:val="16"/>
                <w:szCs w:val="16"/>
              </w:rPr>
            </w:pPr>
            <w:r w:rsidRPr="002868D3">
              <w:rPr>
                <w:sz w:val="16"/>
                <w:szCs w:val="16"/>
              </w:rPr>
              <w:t>they involve off-label use if this off-label use is established practice and supported by sufficient published evidence and/or guidelines.</w:t>
            </w:r>
          </w:p>
          <w:p w14:paraId="0D130B1F" w14:textId="77777777" w:rsidR="00DC3AC4" w:rsidRPr="00872378" w:rsidRDefault="00DC3AC4" w:rsidP="002868D3">
            <w:pPr>
              <w:jc w:val="left"/>
              <w:rPr>
                <w:sz w:val="16"/>
                <w:szCs w:val="16"/>
              </w:rPr>
            </w:pPr>
          </w:p>
          <w:p w14:paraId="2E9E4DC6" w14:textId="77777777" w:rsidR="00DC3AC4" w:rsidRPr="00872378" w:rsidRDefault="00DC3AC4" w:rsidP="002868D3">
            <w:pPr>
              <w:jc w:val="left"/>
              <w:rPr>
                <w:sz w:val="16"/>
                <w:szCs w:val="16"/>
              </w:rPr>
            </w:pPr>
            <w:r w:rsidRPr="00872378">
              <w:rPr>
                <w:sz w:val="16"/>
                <w:szCs w:val="16"/>
              </w:rPr>
              <w:t>For non-CTIMPs:</w:t>
            </w:r>
          </w:p>
          <w:p w14:paraId="0A1A7C0A" w14:textId="77777777" w:rsidR="00DC3AC4" w:rsidRPr="002868D3" w:rsidRDefault="00DC3AC4" w:rsidP="002868D3">
            <w:pPr>
              <w:pStyle w:val="bulletT1"/>
              <w:jc w:val="left"/>
              <w:rPr>
                <w:sz w:val="16"/>
                <w:szCs w:val="16"/>
              </w:rPr>
            </w:pPr>
            <w:r w:rsidRPr="002868D3">
              <w:rPr>
                <w:sz w:val="16"/>
                <w:szCs w:val="16"/>
              </w:rPr>
              <w:t>Projects involving skin prick tests, observational measures or quality of life assessments.</w:t>
            </w:r>
          </w:p>
        </w:tc>
        <w:tc>
          <w:tcPr>
            <w:tcW w:w="4678" w:type="dxa"/>
            <w:gridSpan w:val="2"/>
            <w:tcBorders>
              <w:top w:val="dotted" w:sz="4" w:space="0" w:color="auto"/>
              <w:bottom w:val="single" w:sz="4" w:space="0" w:color="auto"/>
            </w:tcBorders>
          </w:tcPr>
          <w:p w14:paraId="351531F6" w14:textId="77777777" w:rsidR="00DC3AC4" w:rsidRPr="00872378" w:rsidRDefault="00DC3AC4" w:rsidP="002868D3">
            <w:pPr>
              <w:jc w:val="left"/>
              <w:rPr>
                <w:b/>
                <w:bCs/>
                <w:sz w:val="16"/>
                <w:szCs w:val="16"/>
                <w:u w:val="single"/>
              </w:rPr>
            </w:pPr>
            <w:r w:rsidRPr="00872378">
              <w:rPr>
                <w:b/>
                <w:bCs/>
                <w:sz w:val="16"/>
                <w:szCs w:val="16"/>
                <w:u w:val="single"/>
              </w:rPr>
              <w:t>Examples</w:t>
            </w:r>
          </w:p>
          <w:p w14:paraId="092A6D8B" w14:textId="77777777" w:rsidR="00DC3AC4" w:rsidRPr="00872378" w:rsidRDefault="00DC3AC4" w:rsidP="002868D3">
            <w:pPr>
              <w:jc w:val="left"/>
              <w:rPr>
                <w:sz w:val="16"/>
                <w:szCs w:val="16"/>
              </w:rPr>
            </w:pPr>
            <w:r w:rsidRPr="00872378">
              <w:rPr>
                <w:sz w:val="16"/>
                <w:szCs w:val="16"/>
              </w:rPr>
              <w:t>For CTIMPs:</w:t>
            </w:r>
          </w:p>
          <w:p w14:paraId="3BB92E0C" w14:textId="77777777" w:rsidR="00DC3AC4" w:rsidRPr="002868D3" w:rsidRDefault="00DC3AC4" w:rsidP="002868D3">
            <w:pPr>
              <w:pStyle w:val="bulletT1"/>
              <w:jc w:val="left"/>
              <w:rPr>
                <w:sz w:val="16"/>
                <w:szCs w:val="16"/>
              </w:rPr>
            </w:pPr>
            <w:r w:rsidRPr="002868D3">
              <w:rPr>
                <w:sz w:val="16"/>
                <w:szCs w:val="16"/>
              </w:rPr>
              <w:t xml:space="preserve">Trials involving medicinal products licensed in any EU Member State if: </w:t>
            </w:r>
          </w:p>
          <w:p w14:paraId="4A285B90" w14:textId="77777777" w:rsidR="00DC3AC4" w:rsidRPr="002868D3" w:rsidRDefault="00DC3AC4" w:rsidP="002868D3">
            <w:pPr>
              <w:pStyle w:val="bulletT2"/>
              <w:jc w:val="left"/>
              <w:rPr>
                <w:sz w:val="16"/>
                <w:szCs w:val="16"/>
              </w:rPr>
            </w:pPr>
            <w:r w:rsidRPr="002868D3">
              <w:rPr>
                <w:sz w:val="16"/>
                <w:szCs w:val="16"/>
              </w:rPr>
              <w:t xml:space="preserve">such products are used for a new indication, </w:t>
            </w:r>
          </w:p>
          <w:p w14:paraId="094D7357" w14:textId="77777777" w:rsidR="00DC3AC4" w:rsidRPr="002868D3" w:rsidRDefault="00DC3AC4" w:rsidP="002868D3">
            <w:pPr>
              <w:pStyle w:val="bulletT2"/>
              <w:jc w:val="left"/>
              <w:rPr>
                <w:sz w:val="16"/>
                <w:szCs w:val="16"/>
              </w:rPr>
            </w:pPr>
            <w:r w:rsidRPr="002868D3">
              <w:rPr>
                <w:sz w:val="16"/>
                <w:szCs w:val="16"/>
              </w:rPr>
              <w:t>substantial dosage modifications are made for the licensed indication, or</w:t>
            </w:r>
          </w:p>
          <w:p w14:paraId="7B4E83C7" w14:textId="77777777" w:rsidR="00DC3AC4" w:rsidRPr="002868D3" w:rsidRDefault="00DC3AC4" w:rsidP="002868D3">
            <w:pPr>
              <w:pStyle w:val="bulletT2"/>
              <w:jc w:val="left"/>
              <w:rPr>
                <w:sz w:val="16"/>
                <w:szCs w:val="16"/>
              </w:rPr>
            </w:pPr>
            <w:r w:rsidRPr="002868D3">
              <w:rPr>
                <w:sz w:val="16"/>
                <w:szCs w:val="16"/>
              </w:rPr>
              <w:t>if they are used in combinations for which interactions are suspected.</w:t>
            </w:r>
          </w:p>
          <w:p w14:paraId="0E226BD2" w14:textId="77777777" w:rsidR="00DC3AC4" w:rsidRPr="002868D3" w:rsidRDefault="00DC3AC4" w:rsidP="002868D3">
            <w:pPr>
              <w:pStyle w:val="bulletT1"/>
              <w:jc w:val="left"/>
              <w:rPr>
                <w:sz w:val="16"/>
                <w:szCs w:val="16"/>
              </w:rPr>
            </w:pPr>
            <w:r w:rsidRPr="002868D3">
              <w:rPr>
                <w:sz w:val="16"/>
                <w:szCs w:val="16"/>
              </w:rPr>
              <w:t>Trials involving medicinal products not licensed in any EU Member State if the active substance is part of a medicinal product licensed in the EU.</w:t>
            </w:r>
          </w:p>
          <w:p w14:paraId="598F1AF3" w14:textId="77777777" w:rsidR="00DC3AC4" w:rsidRPr="00872378" w:rsidRDefault="00DC3AC4" w:rsidP="002868D3">
            <w:pPr>
              <w:jc w:val="left"/>
              <w:rPr>
                <w:sz w:val="16"/>
                <w:szCs w:val="16"/>
              </w:rPr>
            </w:pPr>
          </w:p>
          <w:p w14:paraId="6209B6F0" w14:textId="77777777" w:rsidR="00DC3AC4" w:rsidRPr="00872378" w:rsidRDefault="00DC3AC4" w:rsidP="002868D3">
            <w:pPr>
              <w:jc w:val="left"/>
              <w:rPr>
                <w:sz w:val="16"/>
                <w:szCs w:val="16"/>
              </w:rPr>
            </w:pPr>
            <w:r w:rsidRPr="00872378">
              <w:rPr>
                <w:sz w:val="16"/>
                <w:szCs w:val="16"/>
              </w:rPr>
              <w:t>For non-CTIMPs:</w:t>
            </w:r>
          </w:p>
          <w:p w14:paraId="29BC0D26" w14:textId="562105CA" w:rsidR="00DC3AC4" w:rsidRPr="002868D3" w:rsidRDefault="00DC3AC4" w:rsidP="002868D3">
            <w:pPr>
              <w:pStyle w:val="bulletT1"/>
              <w:jc w:val="left"/>
              <w:rPr>
                <w:sz w:val="16"/>
                <w:szCs w:val="16"/>
              </w:rPr>
            </w:pPr>
            <w:r w:rsidRPr="002868D3">
              <w:rPr>
                <w:sz w:val="16"/>
                <w:szCs w:val="16"/>
              </w:rPr>
              <w:t xml:space="preserve">Projects involving radiotherapy dose modifications or a </w:t>
            </w:r>
            <w:r w:rsidR="00C87368" w:rsidRPr="002868D3">
              <w:rPr>
                <w:sz w:val="16"/>
                <w:szCs w:val="16"/>
              </w:rPr>
              <w:t>new combination of non-IMP treatment (e.g. surgery and radiotherapy)</w:t>
            </w:r>
            <w:r w:rsidRPr="002868D3">
              <w:rPr>
                <w:sz w:val="16"/>
                <w:szCs w:val="16"/>
              </w:rPr>
              <w:t>.</w:t>
            </w:r>
          </w:p>
        </w:tc>
        <w:tc>
          <w:tcPr>
            <w:tcW w:w="4708" w:type="dxa"/>
            <w:gridSpan w:val="2"/>
            <w:tcBorders>
              <w:top w:val="dotted" w:sz="4" w:space="0" w:color="auto"/>
              <w:bottom w:val="single" w:sz="4" w:space="0" w:color="auto"/>
            </w:tcBorders>
          </w:tcPr>
          <w:p w14:paraId="2E513D3A" w14:textId="77777777" w:rsidR="00DC3AC4" w:rsidRPr="00872378" w:rsidRDefault="00DC3AC4" w:rsidP="002868D3">
            <w:pPr>
              <w:jc w:val="left"/>
              <w:rPr>
                <w:b/>
                <w:bCs/>
                <w:sz w:val="16"/>
                <w:szCs w:val="16"/>
                <w:u w:val="single"/>
              </w:rPr>
            </w:pPr>
            <w:r w:rsidRPr="00872378">
              <w:rPr>
                <w:b/>
                <w:bCs/>
                <w:sz w:val="16"/>
                <w:szCs w:val="16"/>
                <w:u w:val="single"/>
              </w:rPr>
              <w:t>Examples</w:t>
            </w:r>
          </w:p>
          <w:p w14:paraId="7DA6AC6A" w14:textId="77777777" w:rsidR="00DC3AC4" w:rsidRPr="00872378" w:rsidRDefault="00DC3AC4" w:rsidP="002868D3">
            <w:pPr>
              <w:jc w:val="left"/>
              <w:rPr>
                <w:sz w:val="16"/>
                <w:szCs w:val="16"/>
              </w:rPr>
            </w:pPr>
            <w:r w:rsidRPr="00872378">
              <w:rPr>
                <w:sz w:val="16"/>
                <w:szCs w:val="16"/>
              </w:rPr>
              <w:t>For CTIMPs:</w:t>
            </w:r>
          </w:p>
          <w:p w14:paraId="7E31503F" w14:textId="77777777" w:rsidR="00DC3AC4" w:rsidRPr="002868D3" w:rsidRDefault="00DC3AC4" w:rsidP="002868D3">
            <w:pPr>
              <w:pStyle w:val="bulletT1"/>
              <w:jc w:val="left"/>
              <w:rPr>
                <w:sz w:val="16"/>
                <w:szCs w:val="16"/>
              </w:rPr>
            </w:pPr>
            <w:r w:rsidRPr="002868D3">
              <w:rPr>
                <w:sz w:val="16"/>
                <w:szCs w:val="16"/>
              </w:rPr>
              <w:t>Trial involving a medicinal product not licensed in any EU Member State.</w:t>
            </w:r>
          </w:p>
          <w:p w14:paraId="44E076E6" w14:textId="77777777" w:rsidR="00DC3AC4" w:rsidRPr="00872378" w:rsidRDefault="00DC3AC4" w:rsidP="002868D3">
            <w:pPr>
              <w:jc w:val="left"/>
              <w:rPr>
                <w:sz w:val="16"/>
                <w:szCs w:val="16"/>
              </w:rPr>
            </w:pPr>
          </w:p>
          <w:p w14:paraId="723E32B0" w14:textId="4B3BF50B" w:rsidR="00DC3AC4" w:rsidRPr="00872378" w:rsidRDefault="00DC3AC4" w:rsidP="002868D3">
            <w:pPr>
              <w:jc w:val="left"/>
              <w:rPr>
                <w:sz w:val="16"/>
                <w:szCs w:val="16"/>
              </w:rPr>
            </w:pPr>
            <w:r w:rsidRPr="00872378">
              <w:rPr>
                <w:sz w:val="16"/>
                <w:szCs w:val="16"/>
              </w:rPr>
              <w:t>For non-CTIMPs</w:t>
            </w:r>
            <w:r w:rsidR="00B6281B">
              <w:rPr>
                <w:sz w:val="16"/>
                <w:szCs w:val="16"/>
              </w:rPr>
              <w:t>:</w:t>
            </w:r>
          </w:p>
          <w:p w14:paraId="572B81AC" w14:textId="77777777" w:rsidR="00DC3AC4" w:rsidRPr="002868D3" w:rsidRDefault="00DC3AC4" w:rsidP="002868D3">
            <w:pPr>
              <w:pStyle w:val="bulletT1"/>
              <w:jc w:val="left"/>
              <w:rPr>
                <w:sz w:val="16"/>
                <w:szCs w:val="16"/>
              </w:rPr>
            </w:pPr>
            <w:r w:rsidRPr="002868D3">
              <w:rPr>
                <w:sz w:val="16"/>
                <w:szCs w:val="16"/>
              </w:rPr>
              <w:t>Project involving a new surgery technique, a new radiotherapy technique or a new diagnostic technique</w:t>
            </w:r>
          </w:p>
        </w:tc>
      </w:tr>
    </w:tbl>
    <w:p w14:paraId="70B99E40" w14:textId="1410BA89" w:rsidR="006516F7" w:rsidRDefault="006516F7" w:rsidP="00770649"/>
    <w:p w14:paraId="60D0C78D" w14:textId="77777777" w:rsidR="006516F7" w:rsidRDefault="006516F7">
      <w:pPr>
        <w:spacing w:before="0" w:after="200" w:line="276" w:lineRule="auto"/>
        <w:jc w:val="left"/>
      </w:pPr>
      <w:r>
        <w:br w:type="page"/>
      </w:r>
    </w:p>
    <w:tbl>
      <w:tblPr>
        <w:tblW w:w="4989"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342"/>
      </w:tblGrid>
      <w:tr w:rsidR="00806EA2" w:rsidRPr="00AF070F" w14:paraId="7CB3E2EE" w14:textId="77777777" w:rsidTr="00192234">
        <w:trPr>
          <w:trHeight w:val="611"/>
        </w:trPr>
        <w:tc>
          <w:tcPr>
            <w:tcW w:w="14342" w:type="dxa"/>
            <w:vAlign w:val="center"/>
          </w:tcPr>
          <w:p w14:paraId="1C8261B0" w14:textId="77777777" w:rsidR="00806EA2" w:rsidRDefault="00806EA2" w:rsidP="003D3128">
            <w:pPr>
              <w:pStyle w:val="Heading2"/>
            </w:pPr>
            <w:bookmarkStart w:id="17" w:name="_Hlk212040297"/>
            <w:r w:rsidRPr="001C2B79">
              <w:lastRenderedPageBreak/>
              <w:t>Justification</w:t>
            </w:r>
            <w:r>
              <w:t xml:space="preserve"> for risk category: </w:t>
            </w:r>
          </w:p>
          <w:p w14:paraId="50EA6D1C" w14:textId="77777777" w:rsidR="00806EA2" w:rsidRPr="00AF070F" w:rsidRDefault="00806EA2" w:rsidP="003D3128">
            <w:pPr>
              <w:pStyle w:val="Heading3"/>
              <w:rPr>
                <w:sz w:val="16"/>
                <w:szCs w:val="16"/>
              </w:rPr>
            </w:pPr>
            <w:r w:rsidRPr="00AF070F">
              <w:rPr>
                <w:sz w:val="16"/>
                <w:szCs w:val="16"/>
              </w:rPr>
              <w:t>Guidance</w:t>
            </w:r>
          </w:p>
          <w:p w14:paraId="4C68B2A6" w14:textId="77777777" w:rsidR="00806EA2" w:rsidRPr="00AF070F" w:rsidRDefault="00806EA2" w:rsidP="003D3128">
            <w:pPr>
              <w:rPr>
                <w:sz w:val="16"/>
                <w:szCs w:val="16"/>
              </w:rPr>
            </w:pPr>
            <w:r w:rsidRPr="00AF070F">
              <w:rPr>
                <w:sz w:val="16"/>
                <w:szCs w:val="16"/>
              </w:rPr>
              <w:t xml:space="preserve">List the intervention(s) and </w:t>
            </w:r>
            <w:r w:rsidRPr="00AF070F">
              <w:rPr>
                <w:b/>
                <w:sz w:val="16"/>
                <w:szCs w:val="16"/>
              </w:rPr>
              <w:t>briefly</w:t>
            </w:r>
            <w:r w:rsidRPr="00AF070F">
              <w:rPr>
                <w:sz w:val="16"/>
                <w:szCs w:val="16"/>
              </w:rPr>
              <w:t xml:space="preserve"> justify the overall risk category selected (Type A, B or C). Consider the following: </w:t>
            </w:r>
          </w:p>
          <w:p w14:paraId="679A5E39" w14:textId="77777777" w:rsidR="00806EA2" w:rsidRPr="00AF070F" w:rsidRDefault="00806EA2" w:rsidP="002F60FA">
            <w:pPr>
              <w:pStyle w:val="ListParagraph"/>
              <w:numPr>
                <w:ilvl w:val="1"/>
                <w:numId w:val="4"/>
              </w:numPr>
              <w:tabs>
                <w:tab w:val="clear" w:pos="1780"/>
              </w:tabs>
              <w:ind w:left="458" w:hanging="283"/>
              <w:jc w:val="left"/>
              <w:rPr>
                <w:sz w:val="16"/>
                <w:szCs w:val="16"/>
              </w:rPr>
            </w:pPr>
            <w:r w:rsidRPr="00AF070F">
              <w:rPr>
                <w:sz w:val="16"/>
                <w:szCs w:val="16"/>
              </w:rPr>
              <w:t>Phase of development</w:t>
            </w:r>
          </w:p>
          <w:p w14:paraId="281D9B55" w14:textId="67653603" w:rsidR="00806EA2" w:rsidRPr="00AF070F" w:rsidRDefault="00806EA2" w:rsidP="002F60FA">
            <w:pPr>
              <w:pStyle w:val="ListParagraph"/>
              <w:numPr>
                <w:ilvl w:val="1"/>
                <w:numId w:val="4"/>
              </w:numPr>
              <w:tabs>
                <w:tab w:val="clear" w:pos="1780"/>
              </w:tabs>
              <w:ind w:left="458" w:hanging="283"/>
              <w:jc w:val="left"/>
              <w:rPr>
                <w:sz w:val="16"/>
                <w:szCs w:val="16"/>
              </w:rPr>
            </w:pPr>
            <w:r w:rsidRPr="00AF070F">
              <w:rPr>
                <w:sz w:val="16"/>
                <w:szCs w:val="16"/>
              </w:rPr>
              <w:t xml:space="preserve">Study population – healthy </w:t>
            </w:r>
            <w:r w:rsidR="00597BC6">
              <w:rPr>
                <w:sz w:val="16"/>
                <w:szCs w:val="16"/>
              </w:rPr>
              <w:t>participants</w:t>
            </w:r>
            <w:r w:rsidRPr="00AF070F">
              <w:rPr>
                <w:sz w:val="16"/>
                <w:szCs w:val="16"/>
              </w:rPr>
              <w:t xml:space="preserve"> or patients? </w:t>
            </w:r>
          </w:p>
          <w:p w14:paraId="12DCD191" w14:textId="77777777" w:rsidR="00806EA2" w:rsidRPr="00AF070F" w:rsidRDefault="00806EA2" w:rsidP="002F60FA">
            <w:pPr>
              <w:pStyle w:val="ListParagraph"/>
              <w:numPr>
                <w:ilvl w:val="1"/>
                <w:numId w:val="4"/>
              </w:numPr>
              <w:tabs>
                <w:tab w:val="clear" w:pos="1780"/>
              </w:tabs>
              <w:ind w:left="458" w:hanging="283"/>
              <w:jc w:val="left"/>
              <w:rPr>
                <w:sz w:val="16"/>
                <w:szCs w:val="16"/>
              </w:rPr>
            </w:pPr>
            <w:r w:rsidRPr="00AF070F">
              <w:rPr>
                <w:sz w:val="16"/>
                <w:szCs w:val="16"/>
              </w:rPr>
              <w:t>Is the intervention licensed?</w:t>
            </w:r>
          </w:p>
          <w:p w14:paraId="3C60584E" w14:textId="77777777" w:rsidR="00806EA2" w:rsidRPr="00AF070F" w:rsidRDefault="00806EA2" w:rsidP="002F60FA">
            <w:pPr>
              <w:pStyle w:val="ListParagraph"/>
              <w:numPr>
                <w:ilvl w:val="1"/>
                <w:numId w:val="4"/>
              </w:numPr>
              <w:tabs>
                <w:tab w:val="clear" w:pos="1780"/>
              </w:tabs>
              <w:ind w:left="458" w:hanging="283"/>
              <w:jc w:val="left"/>
              <w:rPr>
                <w:sz w:val="16"/>
                <w:szCs w:val="16"/>
              </w:rPr>
            </w:pPr>
            <w:r w:rsidRPr="00AF070F">
              <w:rPr>
                <w:sz w:val="16"/>
                <w:szCs w:val="16"/>
              </w:rPr>
              <w:t>Is the intervention being used outside of its licensed indication?</w:t>
            </w:r>
          </w:p>
          <w:p w14:paraId="57287DC1" w14:textId="77777777" w:rsidR="00806EA2" w:rsidRPr="00AF070F" w:rsidRDefault="00806EA2" w:rsidP="002F60FA">
            <w:pPr>
              <w:pStyle w:val="ListParagraph"/>
              <w:numPr>
                <w:ilvl w:val="1"/>
                <w:numId w:val="4"/>
              </w:numPr>
              <w:tabs>
                <w:tab w:val="clear" w:pos="1780"/>
              </w:tabs>
              <w:ind w:left="458" w:hanging="283"/>
              <w:jc w:val="left"/>
              <w:rPr>
                <w:sz w:val="16"/>
                <w:szCs w:val="16"/>
              </w:rPr>
            </w:pPr>
            <w:r w:rsidRPr="00AF070F">
              <w:rPr>
                <w:sz w:val="16"/>
                <w:szCs w:val="16"/>
              </w:rPr>
              <w:t xml:space="preserve">Has the dosage regimen/route/surgical procedure/fractionation been modified? If so what are the implications of any modifications for participants? </w:t>
            </w:r>
          </w:p>
          <w:p w14:paraId="476D31A6" w14:textId="77777777" w:rsidR="00806EA2" w:rsidRDefault="00806EA2" w:rsidP="002F60FA">
            <w:pPr>
              <w:pStyle w:val="ListParagraph"/>
              <w:numPr>
                <w:ilvl w:val="1"/>
                <w:numId w:val="4"/>
              </w:numPr>
              <w:tabs>
                <w:tab w:val="clear" w:pos="1780"/>
              </w:tabs>
              <w:ind w:left="458" w:hanging="283"/>
              <w:jc w:val="left"/>
              <w:rPr>
                <w:sz w:val="16"/>
                <w:szCs w:val="16"/>
              </w:rPr>
            </w:pPr>
            <w:r w:rsidRPr="00AF070F">
              <w:rPr>
                <w:sz w:val="16"/>
                <w:szCs w:val="16"/>
              </w:rPr>
              <w:t xml:space="preserve">What is the safety profile of the intervention(s). </w:t>
            </w:r>
          </w:p>
          <w:p w14:paraId="431693A8" w14:textId="77777777" w:rsidR="00806EA2" w:rsidRDefault="00806EA2" w:rsidP="002F60FA">
            <w:pPr>
              <w:pStyle w:val="ListParagraph"/>
              <w:numPr>
                <w:ilvl w:val="2"/>
                <w:numId w:val="4"/>
              </w:numPr>
              <w:tabs>
                <w:tab w:val="clear" w:pos="2500"/>
                <w:tab w:val="num" w:pos="458"/>
              </w:tabs>
              <w:ind w:left="776" w:hanging="176"/>
              <w:jc w:val="left"/>
              <w:rPr>
                <w:sz w:val="16"/>
                <w:szCs w:val="16"/>
              </w:rPr>
            </w:pPr>
            <w:r w:rsidRPr="00AF070F">
              <w:rPr>
                <w:sz w:val="16"/>
                <w:szCs w:val="16"/>
              </w:rPr>
              <w:t>What are the known/anticipated safety issues? Are they all addressed within normal clinical practice (standard care)?</w:t>
            </w:r>
          </w:p>
          <w:p w14:paraId="542B7284" w14:textId="77777777" w:rsidR="00806EA2" w:rsidRDefault="00806EA2" w:rsidP="002F60FA">
            <w:pPr>
              <w:pStyle w:val="ListParagraph"/>
              <w:numPr>
                <w:ilvl w:val="2"/>
                <w:numId w:val="4"/>
              </w:numPr>
              <w:tabs>
                <w:tab w:val="clear" w:pos="2500"/>
                <w:tab w:val="num" w:pos="458"/>
              </w:tabs>
              <w:ind w:left="776" w:hanging="176"/>
              <w:jc w:val="left"/>
              <w:rPr>
                <w:sz w:val="16"/>
                <w:szCs w:val="16"/>
              </w:rPr>
            </w:pPr>
            <w:r w:rsidRPr="00AF070F">
              <w:rPr>
                <w:sz w:val="16"/>
                <w:szCs w:val="16"/>
              </w:rPr>
              <w:t>Anticipated risks/other effects based on pre-clinical data or knowledge of class of intervention?</w:t>
            </w:r>
          </w:p>
          <w:p w14:paraId="21D50DAB" w14:textId="77777777" w:rsidR="00806EA2" w:rsidRDefault="00806EA2" w:rsidP="002F60FA">
            <w:pPr>
              <w:pStyle w:val="ListParagraph"/>
              <w:numPr>
                <w:ilvl w:val="2"/>
                <w:numId w:val="4"/>
              </w:numPr>
              <w:tabs>
                <w:tab w:val="clear" w:pos="2500"/>
                <w:tab w:val="num" w:pos="458"/>
              </w:tabs>
              <w:ind w:left="776" w:hanging="176"/>
              <w:jc w:val="left"/>
              <w:rPr>
                <w:sz w:val="16"/>
                <w:szCs w:val="16"/>
              </w:rPr>
            </w:pPr>
            <w:r w:rsidRPr="00AF070F">
              <w:rPr>
                <w:sz w:val="16"/>
                <w:szCs w:val="16"/>
              </w:rPr>
              <w:t>Is the duration of use compatible with previous experience? Is there a potential risk of dosing errors?</w:t>
            </w:r>
          </w:p>
          <w:p w14:paraId="057A1930" w14:textId="77777777" w:rsidR="00806EA2" w:rsidRDefault="00806EA2" w:rsidP="002F60FA">
            <w:pPr>
              <w:pStyle w:val="ListParagraph"/>
              <w:numPr>
                <w:ilvl w:val="2"/>
                <w:numId w:val="4"/>
              </w:numPr>
              <w:tabs>
                <w:tab w:val="clear" w:pos="2500"/>
                <w:tab w:val="num" w:pos="458"/>
              </w:tabs>
              <w:ind w:left="776" w:hanging="176"/>
              <w:jc w:val="left"/>
              <w:rPr>
                <w:sz w:val="16"/>
                <w:szCs w:val="16"/>
              </w:rPr>
            </w:pPr>
            <w:r w:rsidRPr="00AF070F">
              <w:rPr>
                <w:sz w:val="16"/>
                <w:szCs w:val="16"/>
              </w:rPr>
              <w:t>May concomitant medication increase the risk i.e. interactions?</w:t>
            </w:r>
          </w:p>
          <w:p w14:paraId="38250587" w14:textId="77777777" w:rsidR="00806EA2" w:rsidRPr="00AF070F" w:rsidRDefault="00806EA2" w:rsidP="002F60FA">
            <w:pPr>
              <w:pStyle w:val="ListParagraph"/>
              <w:numPr>
                <w:ilvl w:val="2"/>
                <w:numId w:val="4"/>
              </w:numPr>
              <w:tabs>
                <w:tab w:val="clear" w:pos="2500"/>
                <w:tab w:val="num" w:pos="458"/>
              </w:tabs>
              <w:ind w:left="776" w:hanging="176"/>
              <w:jc w:val="left"/>
              <w:rPr>
                <w:sz w:val="16"/>
                <w:szCs w:val="16"/>
              </w:rPr>
            </w:pPr>
            <w:r w:rsidRPr="00AF070F">
              <w:rPr>
                <w:sz w:val="16"/>
                <w:szCs w:val="16"/>
                <w:lang w:eastAsia="en-GB"/>
              </w:rPr>
              <w:t>Is there any published evidence – particularly for Type A trials intending to submit via the MHRA Notifications Scheme, or to support a risk category different to that indicated above?</w:t>
            </w:r>
          </w:p>
          <w:p w14:paraId="7F51E3A1" w14:textId="77777777" w:rsidR="00806EA2" w:rsidRPr="008E28B9" w:rsidRDefault="00806EA2" w:rsidP="003D3128">
            <w:pPr>
              <w:pBdr>
                <w:bottom w:val="single" w:sz="12" w:space="1" w:color="auto"/>
              </w:pBdr>
              <w:rPr>
                <w:sz w:val="16"/>
                <w:szCs w:val="16"/>
                <w:lang w:eastAsia="en-GB"/>
              </w:rPr>
            </w:pPr>
          </w:p>
          <w:p w14:paraId="0396A4A8" w14:textId="77777777" w:rsidR="00806EA2" w:rsidRDefault="00806EA2" w:rsidP="003D3128">
            <w:pPr>
              <w:pStyle w:val="Instructions"/>
            </w:pPr>
            <w:r>
              <w:t>&lt;enter justification for risk category&gt;</w:t>
            </w:r>
            <w:r w:rsidRPr="009C272C">
              <w:t xml:space="preserve"> </w:t>
            </w:r>
          </w:p>
          <w:bookmarkEnd w:id="17"/>
          <w:p w14:paraId="45377C99" w14:textId="77777777" w:rsidR="00806EA2" w:rsidRPr="00AF070F" w:rsidRDefault="00806EA2" w:rsidP="003D3128"/>
        </w:tc>
      </w:tr>
    </w:tbl>
    <w:p w14:paraId="709275E5" w14:textId="76AEC67A" w:rsidR="00B07F28" w:rsidRDefault="009F7EA0" w:rsidP="009F7EA0">
      <w:pPr>
        <w:pStyle w:val="Heading2"/>
      </w:pPr>
      <w:r>
        <w:t xml:space="preserve">1.2 </w:t>
      </w:r>
      <w:r w:rsidR="00B07F28">
        <w:t xml:space="preserve">Risks related to the intervention </w:t>
      </w:r>
    </w:p>
    <w:p w14:paraId="3DC1BE64" w14:textId="77777777" w:rsidR="00B07F28" w:rsidRDefault="00B07F28" w:rsidP="00B07F28">
      <w:pPr>
        <w:pStyle w:val="Instructions"/>
      </w:pPr>
      <w:r>
        <w:t>List below the key risks related to the intervention(s) and how these risks will be minimised. Consider all significant project-specific medical events. Examples are provided in red italic text. Add or delete rows as required.</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2261"/>
        <w:gridCol w:w="2723"/>
        <w:gridCol w:w="4695"/>
        <w:gridCol w:w="4695"/>
      </w:tblGrid>
      <w:tr w:rsidR="00B07F28" w:rsidRPr="00B81D2E" w14:paraId="7CCF3E23" w14:textId="77777777" w:rsidTr="002868D3">
        <w:trPr>
          <w:tblHeader/>
        </w:trPr>
        <w:tc>
          <w:tcPr>
            <w:tcW w:w="786" w:type="pct"/>
            <w:shd w:val="clear" w:color="auto" w:fill="DBE5F1" w:themeFill="accent1" w:themeFillTint="33"/>
            <w:vAlign w:val="center"/>
          </w:tcPr>
          <w:p w14:paraId="4CB1D7F9" w14:textId="77777777" w:rsidR="00B07F28" w:rsidRPr="002868D3" w:rsidRDefault="00B07F28" w:rsidP="002868D3">
            <w:pPr>
              <w:rPr>
                <w:b/>
                <w:bCs/>
              </w:rPr>
            </w:pPr>
            <w:r w:rsidRPr="002868D3">
              <w:rPr>
                <w:b/>
                <w:bCs/>
              </w:rPr>
              <w:t>Intervention</w:t>
            </w:r>
            <w:r w:rsidRPr="002868D3" w:rsidDel="006C15B0">
              <w:rPr>
                <w:b/>
                <w:bCs/>
              </w:rPr>
              <w:t xml:space="preserve"> </w:t>
            </w:r>
          </w:p>
        </w:tc>
        <w:tc>
          <w:tcPr>
            <w:tcW w:w="947" w:type="pct"/>
            <w:shd w:val="clear" w:color="auto" w:fill="DBE5F1" w:themeFill="accent1" w:themeFillTint="33"/>
            <w:vAlign w:val="center"/>
          </w:tcPr>
          <w:p w14:paraId="5DB73689" w14:textId="77777777" w:rsidR="00B07F28" w:rsidRPr="002868D3" w:rsidRDefault="00B07F28" w:rsidP="002868D3">
            <w:pPr>
              <w:rPr>
                <w:b/>
                <w:bCs/>
              </w:rPr>
            </w:pPr>
            <w:r w:rsidRPr="002868D3">
              <w:rPr>
                <w:b/>
                <w:bCs/>
              </w:rPr>
              <w:t>Body system/hazard</w:t>
            </w:r>
          </w:p>
        </w:tc>
        <w:tc>
          <w:tcPr>
            <w:tcW w:w="1633" w:type="pct"/>
            <w:shd w:val="clear" w:color="auto" w:fill="DBE5F1" w:themeFill="accent1" w:themeFillTint="33"/>
            <w:vAlign w:val="center"/>
          </w:tcPr>
          <w:p w14:paraId="58B3FFC2" w14:textId="77777777" w:rsidR="00B07F28" w:rsidRPr="002868D3" w:rsidRDefault="00B07F28" w:rsidP="002868D3">
            <w:pPr>
              <w:rPr>
                <w:b/>
                <w:bCs/>
                <w:szCs w:val="22"/>
              </w:rPr>
            </w:pPr>
            <w:r w:rsidRPr="002868D3">
              <w:rPr>
                <w:b/>
                <w:bCs/>
              </w:rPr>
              <w:t>Mitigation/activity (including frequency)</w:t>
            </w:r>
          </w:p>
        </w:tc>
        <w:tc>
          <w:tcPr>
            <w:tcW w:w="1633" w:type="pct"/>
            <w:shd w:val="clear" w:color="auto" w:fill="DBE5F1" w:themeFill="accent1" w:themeFillTint="33"/>
            <w:vAlign w:val="center"/>
          </w:tcPr>
          <w:p w14:paraId="0C679517" w14:textId="77777777" w:rsidR="00B07F28" w:rsidRPr="002868D3" w:rsidRDefault="00B07F28" w:rsidP="00CC0538">
            <w:pPr>
              <w:jc w:val="left"/>
              <w:rPr>
                <w:b/>
                <w:bCs/>
              </w:rPr>
            </w:pPr>
            <w:r w:rsidRPr="002868D3">
              <w:rPr>
                <w:b/>
                <w:bCs/>
              </w:rPr>
              <w:t>Comments (including impact and likelihood where applicable)</w:t>
            </w:r>
          </w:p>
        </w:tc>
      </w:tr>
      <w:tr w:rsidR="00B07F28" w:rsidRPr="00B81D2E" w14:paraId="27486825" w14:textId="77777777" w:rsidTr="003D3128">
        <w:trPr>
          <w:trHeight w:val="507"/>
        </w:trPr>
        <w:tc>
          <w:tcPr>
            <w:tcW w:w="786" w:type="pct"/>
            <w:vAlign w:val="center"/>
          </w:tcPr>
          <w:p w14:paraId="358FBA0E" w14:textId="77777777" w:rsidR="00B07F28" w:rsidRPr="002324D4" w:rsidRDefault="00B07F28" w:rsidP="002868D3">
            <w:pPr>
              <w:pStyle w:val="Instructions"/>
              <w:jc w:val="left"/>
            </w:pPr>
            <w:r>
              <w:t>Pazopanib</w:t>
            </w:r>
          </w:p>
        </w:tc>
        <w:tc>
          <w:tcPr>
            <w:tcW w:w="947" w:type="pct"/>
            <w:vAlign w:val="center"/>
          </w:tcPr>
          <w:p w14:paraId="65E16FF1" w14:textId="77777777" w:rsidR="00B07F28" w:rsidRDefault="00B07F28" w:rsidP="002868D3">
            <w:pPr>
              <w:pStyle w:val="Instructions"/>
              <w:jc w:val="left"/>
              <w:rPr>
                <w:sz w:val="22"/>
                <w:szCs w:val="22"/>
              </w:rPr>
            </w:pPr>
            <w:r>
              <w:t>Gastrointestinal disorders / Diarrhoea</w:t>
            </w:r>
          </w:p>
        </w:tc>
        <w:tc>
          <w:tcPr>
            <w:tcW w:w="1633" w:type="pct"/>
            <w:vAlign w:val="center"/>
          </w:tcPr>
          <w:p w14:paraId="14906DFC" w14:textId="77777777" w:rsidR="00B07F28" w:rsidRDefault="00B07F28" w:rsidP="002868D3">
            <w:pPr>
              <w:pStyle w:val="Instructions"/>
              <w:jc w:val="left"/>
            </w:pPr>
            <w:r>
              <w:t>Sites will be prompted to collect data on toxicity on day one of each cycle (except first cycle and at end of treatment visit) and assess if/when the participant will have to cease the drug.</w:t>
            </w:r>
          </w:p>
          <w:p w14:paraId="03D81293" w14:textId="77777777" w:rsidR="00B07F28" w:rsidRDefault="00B07F28" w:rsidP="002868D3">
            <w:pPr>
              <w:pStyle w:val="Instructions"/>
              <w:jc w:val="left"/>
            </w:pPr>
            <w:r>
              <w:t xml:space="preserve">The protocol specifies that participants </w:t>
            </w:r>
            <w:r w:rsidRPr="002A7990">
              <w:t>who experience sever</w:t>
            </w:r>
            <w:r>
              <w:t>e</w:t>
            </w:r>
            <w:r w:rsidRPr="002A7990">
              <w:t xml:space="preserve"> diarrhoea will stop pazopanib until symptoms resolve to grade 1.</w:t>
            </w:r>
          </w:p>
          <w:p w14:paraId="134D4375" w14:textId="77777777" w:rsidR="00B07F28" w:rsidRDefault="00B07F28" w:rsidP="002868D3">
            <w:pPr>
              <w:pStyle w:val="Instructions"/>
              <w:jc w:val="left"/>
            </w:pPr>
            <w:r w:rsidRPr="002A7990">
              <w:t xml:space="preserve">Detailed supportive care guidelines for management of diarrhoea are also provided in the </w:t>
            </w:r>
            <w:r>
              <w:t>protocol</w:t>
            </w:r>
            <w:r w:rsidRPr="002A7990">
              <w:t>.</w:t>
            </w:r>
          </w:p>
          <w:p w14:paraId="16219FDF" w14:textId="77777777" w:rsidR="00B07F28" w:rsidRDefault="00B07F28" w:rsidP="002868D3">
            <w:pPr>
              <w:pStyle w:val="Instructions"/>
              <w:jc w:val="left"/>
            </w:pPr>
            <w:r>
              <w:lastRenderedPageBreak/>
              <w:t xml:space="preserve">Participants </w:t>
            </w:r>
            <w:r w:rsidRPr="002A7990">
              <w:t xml:space="preserve">are </w:t>
            </w:r>
            <w:r>
              <w:t xml:space="preserve">also </w:t>
            </w:r>
            <w:r w:rsidRPr="002A7990">
              <w:t>advi</w:t>
            </w:r>
            <w:r>
              <w:t>sed in the Participant Information S</w:t>
            </w:r>
            <w:r w:rsidRPr="002A7990">
              <w:t>heet to notify the study doctor immediately if they experience severe diarrhoea.</w:t>
            </w:r>
          </w:p>
        </w:tc>
        <w:tc>
          <w:tcPr>
            <w:tcW w:w="1633" w:type="pct"/>
            <w:vAlign w:val="center"/>
          </w:tcPr>
          <w:p w14:paraId="22FEE29D" w14:textId="77777777" w:rsidR="00B07F28" w:rsidRDefault="00B07F28" w:rsidP="002868D3">
            <w:pPr>
              <w:pStyle w:val="Instructions"/>
              <w:jc w:val="left"/>
            </w:pPr>
          </w:p>
        </w:tc>
      </w:tr>
      <w:tr w:rsidR="003F0021" w:rsidRPr="00B81D2E" w14:paraId="05A18657" w14:textId="77777777" w:rsidTr="00503142">
        <w:trPr>
          <w:trHeight w:val="507"/>
        </w:trPr>
        <w:tc>
          <w:tcPr>
            <w:tcW w:w="786" w:type="pct"/>
          </w:tcPr>
          <w:p w14:paraId="780C142D" w14:textId="68E368D9" w:rsidR="003F0021" w:rsidRDefault="003F0021" w:rsidP="002868D3">
            <w:pPr>
              <w:pStyle w:val="Instructions"/>
              <w:jc w:val="left"/>
            </w:pPr>
            <w:r w:rsidRPr="0064008F">
              <w:t>Medroxyprogesterone acetate</w:t>
            </w:r>
          </w:p>
        </w:tc>
        <w:tc>
          <w:tcPr>
            <w:tcW w:w="947" w:type="pct"/>
          </w:tcPr>
          <w:p w14:paraId="026EF2AB" w14:textId="773A40AB" w:rsidR="003F0021" w:rsidRDefault="003F0021" w:rsidP="002868D3">
            <w:pPr>
              <w:pStyle w:val="Instructions"/>
              <w:jc w:val="left"/>
            </w:pPr>
            <w:r w:rsidRPr="0064008F">
              <w:t>Neurological disorders / Depression</w:t>
            </w:r>
          </w:p>
        </w:tc>
        <w:tc>
          <w:tcPr>
            <w:tcW w:w="1633" w:type="pct"/>
          </w:tcPr>
          <w:p w14:paraId="75604862" w14:textId="10CFD949" w:rsidR="003F0021" w:rsidRDefault="003F0021" w:rsidP="002868D3">
            <w:pPr>
              <w:pStyle w:val="Instructions"/>
              <w:jc w:val="left"/>
            </w:pPr>
            <w:r w:rsidRPr="0064008F">
              <w:t xml:space="preserve">Participant is advised to contact local site if experiencing depression. </w:t>
            </w:r>
          </w:p>
        </w:tc>
        <w:tc>
          <w:tcPr>
            <w:tcW w:w="1633" w:type="pct"/>
          </w:tcPr>
          <w:p w14:paraId="09C5D5A3" w14:textId="2D330310" w:rsidR="003F0021" w:rsidRDefault="00A02E28" w:rsidP="002868D3">
            <w:pPr>
              <w:pStyle w:val="Instructions"/>
              <w:jc w:val="left"/>
            </w:pPr>
            <w:r w:rsidRPr="00A02E28">
              <w:t>Depression is also monitored by the EORTC QLC-C30 at baseline and twice during therapy. However, this data is not looked at in real time.</w:t>
            </w:r>
          </w:p>
        </w:tc>
      </w:tr>
      <w:tr w:rsidR="00C34899" w:rsidRPr="00B81D2E" w14:paraId="59F76BCB" w14:textId="77777777" w:rsidTr="007A431B">
        <w:trPr>
          <w:trHeight w:val="507"/>
        </w:trPr>
        <w:tc>
          <w:tcPr>
            <w:tcW w:w="786" w:type="pct"/>
          </w:tcPr>
          <w:p w14:paraId="4F36F5CF" w14:textId="12F92A1A" w:rsidR="00C34899" w:rsidRDefault="00C34899" w:rsidP="002868D3">
            <w:pPr>
              <w:pStyle w:val="Instructions"/>
              <w:jc w:val="left"/>
            </w:pPr>
            <w:r w:rsidRPr="00DB19FF">
              <w:t>Ch14.18/CHO Aldesleukin (IL-2)</w:t>
            </w:r>
          </w:p>
        </w:tc>
        <w:tc>
          <w:tcPr>
            <w:tcW w:w="947" w:type="pct"/>
          </w:tcPr>
          <w:p w14:paraId="0A80E00B" w14:textId="7BD0D30D" w:rsidR="00C34899" w:rsidRDefault="00C34899" w:rsidP="002868D3">
            <w:pPr>
              <w:pStyle w:val="Instructions"/>
              <w:jc w:val="left"/>
            </w:pPr>
            <w:r w:rsidRPr="00DB19FF">
              <w:t>Vascular disorders / Hypotension</w:t>
            </w:r>
          </w:p>
        </w:tc>
        <w:tc>
          <w:tcPr>
            <w:tcW w:w="1633" w:type="pct"/>
          </w:tcPr>
          <w:p w14:paraId="0D1FB14F" w14:textId="153D8EFD" w:rsidR="00C34899" w:rsidRDefault="00C34899" w:rsidP="002868D3">
            <w:pPr>
              <w:pStyle w:val="Instructions"/>
              <w:jc w:val="left"/>
            </w:pPr>
            <w:r w:rsidRPr="00DB19FF">
              <w:t>Participant’s vital signs (including blood pressure) will be checked daily by site staff, while on treatment.</w:t>
            </w:r>
          </w:p>
        </w:tc>
        <w:tc>
          <w:tcPr>
            <w:tcW w:w="1633" w:type="pct"/>
          </w:tcPr>
          <w:p w14:paraId="13E1D6BA" w14:textId="77777777" w:rsidR="00C34899" w:rsidRDefault="00C34899" w:rsidP="002868D3">
            <w:pPr>
              <w:pStyle w:val="Instructions"/>
              <w:jc w:val="left"/>
            </w:pPr>
          </w:p>
        </w:tc>
      </w:tr>
    </w:tbl>
    <w:p w14:paraId="24217F43" w14:textId="4034E5AB" w:rsidR="00837FAA" w:rsidRDefault="00837FAA" w:rsidP="00837FAA">
      <w:pPr>
        <w:pStyle w:val="Heading2"/>
      </w:pPr>
      <w:r>
        <w:t>1.3 Other risk mitigation processes</w:t>
      </w:r>
    </w:p>
    <w:p w14:paraId="341BE7B6" w14:textId="77777777" w:rsidR="00837FAA" w:rsidRDefault="00837FAA" w:rsidP="00837FAA">
      <w:r>
        <w:t>The project will be conducted in accordance with the UoB Quality Management System that is designed to mitigate generic risks for clinical research. The table below documents other project-specific risk mitigation associated with the intervention.</w:t>
      </w:r>
    </w:p>
    <w:p w14:paraId="2D94F7B3" w14:textId="577D50BD" w:rsidR="00837FAA" w:rsidRDefault="00837FAA" w:rsidP="002868D3">
      <w:pPr>
        <w:pStyle w:val="Instructions"/>
      </w:pPr>
      <w:r>
        <w:t>Examples are provided in red italic text. Add/delete rows as required</w:t>
      </w:r>
      <w:r w:rsidR="00D42547">
        <w:t>.</w:t>
      </w:r>
      <w:r>
        <w:t xml:space="preserve"> </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4984"/>
        <w:gridCol w:w="9390"/>
      </w:tblGrid>
      <w:tr w:rsidR="00837FAA" w14:paraId="5EF85646" w14:textId="77777777" w:rsidTr="002868D3">
        <w:trPr>
          <w:tblHeader/>
        </w:trPr>
        <w:tc>
          <w:tcPr>
            <w:tcW w:w="4984" w:type="dxa"/>
            <w:shd w:val="clear" w:color="auto" w:fill="DBE5F1" w:themeFill="accent1" w:themeFillTint="33"/>
            <w:vAlign w:val="center"/>
          </w:tcPr>
          <w:p w14:paraId="46EF6BEA" w14:textId="77777777" w:rsidR="00837FAA" w:rsidRPr="002868D3" w:rsidRDefault="00837FAA" w:rsidP="002868D3">
            <w:pPr>
              <w:rPr>
                <w:b/>
                <w:bCs/>
              </w:rPr>
            </w:pPr>
            <w:r w:rsidRPr="002868D3">
              <w:rPr>
                <w:b/>
                <w:bCs/>
              </w:rPr>
              <w:t xml:space="preserve">Mitigation/activity </w:t>
            </w:r>
          </w:p>
        </w:tc>
        <w:tc>
          <w:tcPr>
            <w:tcW w:w="9390" w:type="dxa"/>
            <w:shd w:val="clear" w:color="auto" w:fill="DBE5F1" w:themeFill="accent1" w:themeFillTint="33"/>
            <w:vAlign w:val="center"/>
          </w:tcPr>
          <w:p w14:paraId="6A0BBA56" w14:textId="77777777" w:rsidR="00837FAA" w:rsidRPr="002868D3" w:rsidRDefault="00837FAA" w:rsidP="002868D3">
            <w:pPr>
              <w:rPr>
                <w:b/>
                <w:bCs/>
              </w:rPr>
            </w:pPr>
            <w:r w:rsidRPr="002868D3">
              <w:rPr>
                <w:b/>
                <w:bCs/>
              </w:rPr>
              <w:t>Comments</w:t>
            </w:r>
          </w:p>
        </w:tc>
      </w:tr>
      <w:tr w:rsidR="00837FAA" w14:paraId="7251F535" w14:textId="77777777" w:rsidTr="00397862">
        <w:trPr>
          <w:trHeight w:val="507"/>
        </w:trPr>
        <w:tc>
          <w:tcPr>
            <w:tcW w:w="4984" w:type="dxa"/>
          </w:tcPr>
          <w:p w14:paraId="78129DE2" w14:textId="77777777" w:rsidR="00837FAA" w:rsidRPr="002324D4" w:rsidRDefault="00837FAA" w:rsidP="004F32C6">
            <w:pPr>
              <w:pStyle w:val="Instructions"/>
            </w:pPr>
            <w:r>
              <w:t xml:space="preserve">Treatment protocol </w:t>
            </w:r>
          </w:p>
        </w:tc>
        <w:tc>
          <w:tcPr>
            <w:tcW w:w="9390" w:type="dxa"/>
            <w:vAlign w:val="center"/>
          </w:tcPr>
          <w:p w14:paraId="7D3FDADD" w14:textId="77777777" w:rsidR="00837FAA" w:rsidRPr="006F33E4" w:rsidRDefault="00837FAA" w:rsidP="002F60FA">
            <w:pPr>
              <w:pStyle w:val="Instructions"/>
              <w:numPr>
                <w:ilvl w:val="0"/>
                <w:numId w:val="17"/>
              </w:numPr>
              <w:jc w:val="left"/>
            </w:pPr>
            <w:r w:rsidRPr="006F33E4">
              <w:t xml:space="preserve">As this is such a complex treatment schedule, the </w:t>
            </w:r>
            <w:r>
              <w:t>protocol</w:t>
            </w:r>
            <w:r w:rsidRPr="006F33E4">
              <w:t xml:space="preserve"> will contain considerable detail via description and flow diagrams of the treatment route for each randomisation group.  In addition</w:t>
            </w:r>
            <w:r>
              <w:t>,</w:t>
            </w:r>
            <w:r w:rsidRPr="006F33E4">
              <w:t xml:space="preserve"> checklists will be provided and referenced in </w:t>
            </w:r>
            <w:r>
              <w:t>the protocol</w:t>
            </w:r>
            <w:r w:rsidRPr="006F33E4">
              <w:t xml:space="preserve">. </w:t>
            </w:r>
          </w:p>
          <w:p w14:paraId="15BC428E" w14:textId="77777777" w:rsidR="00837FAA" w:rsidRPr="00857590" w:rsidRDefault="00837FAA" w:rsidP="002F60FA">
            <w:pPr>
              <w:pStyle w:val="Instructions"/>
              <w:numPr>
                <w:ilvl w:val="0"/>
                <w:numId w:val="17"/>
              </w:numPr>
              <w:jc w:val="left"/>
            </w:pPr>
            <w:r w:rsidRPr="006F33E4">
              <w:t>Participants will be enrolled onto the trial in a staged process whereby the first participant in each cohort will complete the vaccination schedule prior to the enrolment of further participants. The subsequent two participants will be treated in parallel, provided there has been no evidence of Dose Limiting Toxicity (DLT). If a DLT occurs, the subsequent participant will also complete the vaccination schedule before further participants are treated.</w:t>
            </w:r>
          </w:p>
        </w:tc>
      </w:tr>
      <w:tr w:rsidR="00837FAA" w14:paraId="26187F80" w14:textId="77777777" w:rsidTr="00397862">
        <w:trPr>
          <w:trHeight w:val="507"/>
        </w:trPr>
        <w:tc>
          <w:tcPr>
            <w:tcW w:w="4984" w:type="dxa"/>
          </w:tcPr>
          <w:p w14:paraId="4D38F83A" w14:textId="77777777" w:rsidR="00837FAA" w:rsidRPr="00B27B6E" w:rsidRDefault="00837FAA" w:rsidP="004F32C6">
            <w:pPr>
              <w:pStyle w:val="Instructions"/>
            </w:pPr>
            <w:r w:rsidRPr="00B27B6E">
              <w:t>Criteria for stopping or modifying trial treatment</w:t>
            </w:r>
          </w:p>
        </w:tc>
        <w:tc>
          <w:tcPr>
            <w:tcW w:w="9390" w:type="dxa"/>
            <w:vAlign w:val="center"/>
          </w:tcPr>
          <w:p w14:paraId="1D979A38" w14:textId="77777777" w:rsidR="00837FAA" w:rsidRPr="006F33E4" w:rsidRDefault="00837FAA" w:rsidP="002F60FA">
            <w:pPr>
              <w:pStyle w:val="Instructions"/>
              <w:numPr>
                <w:ilvl w:val="0"/>
                <w:numId w:val="18"/>
              </w:numPr>
              <w:jc w:val="left"/>
            </w:pPr>
            <w:r w:rsidRPr="006F33E4">
              <w:t>The 2</w:t>
            </w:r>
            <w:r>
              <w:t>-</w:t>
            </w:r>
            <w:r w:rsidRPr="006F33E4">
              <w:t xml:space="preserve">stage design will ensure that the </w:t>
            </w:r>
            <w:r>
              <w:t>trial</w:t>
            </w:r>
            <w:r w:rsidRPr="006F33E4">
              <w:t xml:space="preserve"> is terminated after the first stage if there is insufficient evidence of therapeutic activity.</w:t>
            </w:r>
          </w:p>
          <w:p w14:paraId="5C042551" w14:textId="77777777" w:rsidR="00837FAA" w:rsidRDefault="00837FAA" w:rsidP="002F60FA">
            <w:pPr>
              <w:pStyle w:val="Instructions"/>
              <w:numPr>
                <w:ilvl w:val="0"/>
                <w:numId w:val="18"/>
              </w:numPr>
              <w:jc w:val="left"/>
            </w:pPr>
            <w:r w:rsidRPr="006F33E4">
              <w:t>Any grade 4 toxicities will result in treatment being stopped immediately.</w:t>
            </w:r>
          </w:p>
        </w:tc>
      </w:tr>
      <w:tr w:rsidR="00837FAA" w14:paraId="33689191" w14:textId="77777777" w:rsidTr="00397862">
        <w:trPr>
          <w:trHeight w:val="507"/>
        </w:trPr>
        <w:tc>
          <w:tcPr>
            <w:tcW w:w="4984" w:type="dxa"/>
          </w:tcPr>
          <w:p w14:paraId="14E01AA2" w14:textId="77777777" w:rsidR="00837FAA" w:rsidRPr="00B27B6E" w:rsidRDefault="00837FAA" w:rsidP="004F32C6">
            <w:pPr>
              <w:pStyle w:val="Instructions"/>
            </w:pPr>
            <w:r w:rsidRPr="00B27B6E">
              <w:t>Trial-specific adverse event reporting strategy</w:t>
            </w:r>
          </w:p>
        </w:tc>
        <w:tc>
          <w:tcPr>
            <w:tcW w:w="9390" w:type="dxa"/>
            <w:vAlign w:val="center"/>
          </w:tcPr>
          <w:p w14:paraId="746A771D" w14:textId="77777777" w:rsidR="00837FAA" w:rsidRDefault="00837FAA" w:rsidP="002F60FA">
            <w:pPr>
              <w:pStyle w:val="Instructions"/>
              <w:numPr>
                <w:ilvl w:val="0"/>
                <w:numId w:val="21"/>
              </w:numPr>
              <w:jc w:val="left"/>
            </w:pPr>
            <w:r w:rsidRPr="006F33E4">
              <w:t xml:space="preserve">All </w:t>
            </w:r>
            <w:r>
              <w:t>a</w:t>
            </w:r>
            <w:r w:rsidRPr="006F33E4">
              <w:t xml:space="preserve">dverse </w:t>
            </w:r>
            <w:r>
              <w:t>e</w:t>
            </w:r>
            <w:r w:rsidRPr="006F33E4">
              <w:t xml:space="preserve">vents will be collected for this trial which will be reviewed by an </w:t>
            </w:r>
            <w:r>
              <w:t>i</w:t>
            </w:r>
            <w:r w:rsidRPr="006F33E4">
              <w:t xml:space="preserve">ndependent Data Monitoring Committee as defined by the </w:t>
            </w:r>
            <w:r>
              <w:t>protocol</w:t>
            </w:r>
            <w:r w:rsidRPr="006F33E4">
              <w:t xml:space="preserve">. Medically significant events as defined in the </w:t>
            </w:r>
            <w:r>
              <w:t>protocol</w:t>
            </w:r>
            <w:r w:rsidRPr="006F33E4">
              <w:t xml:space="preserve"> will be captured on a </w:t>
            </w:r>
            <w:r>
              <w:t>s</w:t>
            </w:r>
            <w:r w:rsidRPr="006F33E4">
              <w:t xml:space="preserve">erious </w:t>
            </w:r>
            <w:r>
              <w:t>a</w:t>
            </w:r>
            <w:r w:rsidRPr="006F33E4">
              <w:t xml:space="preserve">dverse </w:t>
            </w:r>
            <w:r>
              <w:t>e</w:t>
            </w:r>
            <w:r w:rsidRPr="006F33E4">
              <w:t>vent form.</w:t>
            </w:r>
            <w:r w:rsidRPr="00857590">
              <w:t xml:space="preserve">  </w:t>
            </w:r>
          </w:p>
        </w:tc>
      </w:tr>
      <w:tr w:rsidR="00837FAA" w14:paraId="00A631B5" w14:textId="77777777" w:rsidTr="00397862">
        <w:trPr>
          <w:trHeight w:val="507"/>
        </w:trPr>
        <w:tc>
          <w:tcPr>
            <w:tcW w:w="4984" w:type="dxa"/>
          </w:tcPr>
          <w:p w14:paraId="4DA52F3B" w14:textId="77777777" w:rsidR="00837FAA" w:rsidRPr="00B27B6E" w:rsidRDefault="00837FAA" w:rsidP="004F32C6">
            <w:pPr>
              <w:pStyle w:val="Instructions"/>
            </w:pPr>
            <w:r w:rsidRPr="00B27B6E">
              <w:lastRenderedPageBreak/>
              <w:t>Trial oversight committees</w:t>
            </w:r>
            <w:r>
              <w:t xml:space="preserve"> and in</w:t>
            </w:r>
            <w:r w:rsidRPr="00B27B6E">
              <w:t>dependent data review</w:t>
            </w:r>
          </w:p>
        </w:tc>
        <w:tc>
          <w:tcPr>
            <w:tcW w:w="9390" w:type="dxa"/>
            <w:vAlign w:val="center"/>
          </w:tcPr>
          <w:p w14:paraId="5511D62E" w14:textId="77777777" w:rsidR="00837FAA" w:rsidRPr="006F33E4" w:rsidRDefault="00837FAA" w:rsidP="002F60FA">
            <w:pPr>
              <w:pStyle w:val="Instructions"/>
              <w:numPr>
                <w:ilvl w:val="0"/>
                <w:numId w:val="19"/>
              </w:numPr>
              <w:jc w:val="left"/>
            </w:pPr>
            <w:r w:rsidRPr="006F33E4">
              <w:t>A Trial Steering Committee</w:t>
            </w:r>
            <w:r>
              <w:t xml:space="preserve"> (TSC)</w:t>
            </w:r>
            <w:r w:rsidRPr="006F33E4">
              <w:t>, Trial Management Group</w:t>
            </w:r>
            <w:r>
              <w:t xml:space="preserve"> (TMG)</w:t>
            </w:r>
            <w:r w:rsidRPr="006F33E4">
              <w:t xml:space="preserve"> and Data Monitoring Committee </w:t>
            </w:r>
            <w:r>
              <w:t xml:space="preserve">(DMC) </w:t>
            </w:r>
            <w:r w:rsidRPr="006F33E4">
              <w:t xml:space="preserve">are in place for this phase I trial. The DMC will meet after 2 </w:t>
            </w:r>
            <w:r>
              <w:t>participants</w:t>
            </w:r>
            <w:r w:rsidRPr="006F33E4">
              <w:t xml:space="preserve"> have completed 1 cycle of treatment and will review the study data and advise on the continuation of the trial. They will continue to meet per 2 </w:t>
            </w:r>
            <w:r>
              <w:t>participants</w:t>
            </w:r>
            <w:r w:rsidRPr="006F33E4">
              <w:t xml:space="preserve"> recruited until all </w:t>
            </w:r>
            <w:r>
              <w:t>participants</w:t>
            </w:r>
            <w:r w:rsidRPr="006F33E4">
              <w:t xml:space="preserve"> are </w:t>
            </w:r>
            <w:r>
              <w:t>recruited</w:t>
            </w:r>
            <w:r w:rsidRPr="006F33E4">
              <w:t xml:space="preserve">. The TMG will meet every 2 months and the TSC will meet every 3 months during the treatment period. The DMC will then meet annually to discuss the progress of the trial.  </w:t>
            </w:r>
          </w:p>
          <w:p w14:paraId="28528432" w14:textId="77777777" w:rsidR="00837FAA" w:rsidRPr="005020B2" w:rsidRDefault="00837FAA" w:rsidP="002F60FA">
            <w:pPr>
              <w:pStyle w:val="Instructions"/>
              <w:numPr>
                <w:ilvl w:val="0"/>
                <w:numId w:val="19"/>
              </w:numPr>
              <w:jc w:val="left"/>
            </w:pPr>
            <w:r w:rsidRPr="006F33E4">
              <w:t xml:space="preserve">The trial will have a </w:t>
            </w:r>
            <w:r w:rsidRPr="0090587F">
              <w:t xml:space="preserve">safety review committee who will meet a minimum of every 3 months during the recruitment phase and review all </w:t>
            </w:r>
            <w:r>
              <w:t>serious adverse events</w:t>
            </w:r>
            <w:r w:rsidRPr="006F33E4">
              <w:t xml:space="preserve"> and evaluate the evolving safety profile of the trial. It will be formed of members </w:t>
            </w:r>
            <w:r w:rsidRPr="0090587F">
              <w:t xml:space="preserve">from the </w:t>
            </w:r>
            <w:r>
              <w:t>TMG</w:t>
            </w:r>
            <w:r w:rsidRPr="0090587F">
              <w:t xml:space="preserve"> and an independent scientist and clinician.</w:t>
            </w:r>
            <w:r w:rsidRPr="005020B2">
              <w:t xml:space="preserve"> </w:t>
            </w:r>
          </w:p>
        </w:tc>
      </w:tr>
      <w:tr w:rsidR="00837FAA" w14:paraId="5CB838A0" w14:textId="77777777" w:rsidTr="00397862">
        <w:trPr>
          <w:trHeight w:val="507"/>
        </w:trPr>
        <w:tc>
          <w:tcPr>
            <w:tcW w:w="4984" w:type="dxa"/>
          </w:tcPr>
          <w:p w14:paraId="02CDA16F" w14:textId="77777777" w:rsidR="00837FAA" w:rsidRPr="00B27B6E" w:rsidRDefault="00837FAA" w:rsidP="004F32C6">
            <w:pPr>
              <w:pStyle w:val="Instructions"/>
            </w:pPr>
            <w:r w:rsidRPr="00B27B6E">
              <w:t>Trial suspension between cohorts</w:t>
            </w:r>
          </w:p>
        </w:tc>
        <w:tc>
          <w:tcPr>
            <w:tcW w:w="9390" w:type="dxa"/>
            <w:vAlign w:val="center"/>
          </w:tcPr>
          <w:p w14:paraId="25B6C70A" w14:textId="77777777" w:rsidR="00837FAA" w:rsidRPr="006F33E4" w:rsidRDefault="00837FAA" w:rsidP="002F60FA">
            <w:pPr>
              <w:pStyle w:val="Instructions"/>
              <w:numPr>
                <w:ilvl w:val="0"/>
                <w:numId w:val="20"/>
              </w:numPr>
              <w:jc w:val="left"/>
            </w:pPr>
            <w:r w:rsidRPr="006F33E4">
              <w:t xml:space="preserve">If any unexpected </w:t>
            </w:r>
            <w:r>
              <w:t>s</w:t>
            </w:r>
            <w:r w:rsidRPr="006F33E4">
              <w:t xml:space="preserve">erious </w:t>
            </w:r>
            <w:r>
              <w:t>a</w:t>
            </w:r>
            <w:r w:rsidRPr="006F33E4">
              <w:t xml:space="preserve">dverse </w:t>
            </w:r>
            <w:r>
              <w:t>e</w:t>
            </w:r>
            <w:r w:rsidRPr="006F33E4">
              <w:t xml:space="preserve">vents (CTC grade 3, 4 only) are encountered in the second arm, consideration will be given to suspending the entry of new </w:t>
            </w:r>
            <w:r>
              <w:t>participants</w:t>
            </w:r>
            <w:r w:rsidRPr="006F33E4">
              <w:t xml:space="preserve"> into this arm, pending clarification of a causal relationship.</w:t>
            </w:r>
          </w:p>
          <w:p w14:paraId="6FFE93F2" w14:textId="77777777" w:rsidR="00837FAA" w:rsidRPr="006F33E4" w:rsidRDefault="00837FAA" w:rsidP="002F60FA">
            <w:pPr>
              <w:pStyle w:val="Instructions"/>
              <w:numPr>
                <w:ilvl w:val="0"/>
                <w:numId w:val="20"/>
              </w:numPr>
              <w:jc w:val="left"/>
            </w:pPr>
            <w:r w:rsidRPr="006F33E4">
              <w:t>Toxicity will be closely monitored and if necessary, the study will be stopped in accordance with the early stopping rules, which include:</w:t>
            </w:r>
          </w:p>
          <w:p w14:paraId="147E9D25" w14:textId="77777777" w:rsidR="00837FAA" w:rsidRPr="006F33E4" w:rsidRDefault="00837FAA" w:rsidP="00837FAA">
            <w:pPr>
              <w:pStyle w:val="Instructions-bullet1"/>
              <w:ind w:left="680" w:hanging="340"/>
              <w:jc w:val="left"/>
            </w:pPr>
            <w:r>
              <w:t>t</w:t>
            </w:r>
            <w:r w:rsidRPr="006F33E4">
              <w:t xml:space="preserve">he occurrence of grade 3 mucositis in 2 </w:t>
            </w:r>
            <w:r>
              <w:t>participants</w:t>
            </w:r>
            <w:r w:rsidRPr="006F33E4">
              <w:t xml:space="preserve"> at 90 days </w:t>
            </w:r>
          </w:p>
          <w:p w14:paraId="585F57CD" w14:textId="77777777" w:rsidR="00837FAA" w:rsidRPr="00857590" w:rsidRDefault="00837FAA" w:rsidP="00837FAA">
            <w:pPr>
              <w:pStyle w:val="Instructions-bullet1"/>
              <w:ind w:left="680" w:hanging="340"/>
              <w:jc w:val="left"/>
            </w:pPr>
            <w:r>
              <w:t>g</w:t>
            </w:r>
            <w:r w:rsidRPr="006F33E4">
              <w:t xml:space="preserve">rade </w:t>
            </w:r>
            <w:r>
              <w:t>&gt;</w:t>
            </w:r>
            <w:r w:rsidRPr="006F33E4">
              <w:t>3</w:t>
            </w:r>
            <w:r>
              <w:t xml:space="preserve"> </w:t>
            </w:r>
            <w:r w:rsidRPr="006F33E4">
              <w:t xml:space="preserve">late radiotherapy induced complication in more than 2 </w:t>
            </w:r>
            <w:r>
              <w:t>participant</w:t>
            </w:r>
            <w:r w:rsidRPr="006F33E4">
              <w:t xml:space="preserve"> at one year</w:t>
            </w:r>
          </w:p>
        </w:tc>
      </w:tr>
    </w:tbl>
    <w:p w14:paraId="2105588B" w14:textId="549E6628" w:rsidR="00397862" w:rsidRDefault="00397862" w:rsidP="002F60FA">
      <w:pPr>
        <w:pStyle w:val="Heading1"/>
        <w:numPr>
          <w:ilvl w:val="0"/>
          <w:numId w:val="16"/>
        </w:numPr>
      </w:pPr>
      <w:r>
        <w:t>Other risks associated with the design and methods of the trial</w:t>
      </w:r>
    </w:p>
    <w:p w14:paraId="65228391" w14:textId="77777777" w:rsidR="00397862" w:rsidRDefault="00397862" w:rsidP="00397862">
      <w:r>
        <w:t xml:space="preserve">Review the protocol to identify whether or not it contains any aspects that materially increase the risks in the areas outlined below. For each hazard identified, consider the appropriate mitigation, management and optimal monitoring strategy. </w:t>
      </w:r>
    </w:p>
    <w:p w14:paraId="781E3EEB" w14:textId="6F4D3070" w:rsidR="00397862" w:rsidRDefault="00397862" w:rsidP="00397862">
      <w:r>
        <w:t xml:space="preserve">Under each category are some considerations when determining risk. For CTIMPS, further details can be found in Appendix 2 of the </w:t>
      </w:r>
      <w:r w:rsidR="00861538">
        <w:t>‘</w:t>
      </w:r>
      <w:hyperlink r:id="rId26" w:tooltip="Risk-adapted Approaches to the Management of Clinical Trials of Investigational Medicinal Products" w:history="1">
        <w:r w:rsidR="002F60FA">
          <w:rPr>
            <w:rStyle w:val="Hyperlink"/>
          </w:rPr>
          <w:t>Risk-adapted Approaches to the Management of Clinical Trials of Investigational Medicinal Products</w:t>
        </w:r>
      </w:hyperlink>
      <w:r w:rsidR="00861538">
        <w:t>’</w:t>
      </w:r>
      <w:r w:rsidR="002F60FA">
        <w:t xml:space="preserve"> </w:t>
      </w:r>
      <w:r w:rsidR="00861538">
        <w:t>(PDF – 4.5 MB)</w:t>
      </w:r>
      <w:r>
        <w:t>– MRC/DH/MHRA Joint Project.</w:t>
      </w:r>
    </w:p>
    <w:p w14:paraId="3B60B721" w14:textId="77777777" w:rsidR="00397862" w:rsidRDefault="00397862" w:rsidP="00397862">
      <w:r>
        <w:t>Examples are provided in red italic text.</w:t>
      </w:r>
    </w:p>
    <w:p w14:paraId="24C73991" w14:textId="6E8B54C5" w:rsidR="00397862" w:rsidRDefault="001A3876" w:rsidP="001A3876">
      <w:pPr>
        <w:pStyle w:val="Heading2"/>
      </w:pPr>
      <w:r>
        <w:lastRenderedPageBreak/>
        <w:t xml:space="preserve">2.1 </w:t>
      </w:r>
      <w:r w:rsidR="00397862" w:rsidRPr="00B51603">
        <w:t>Risks to participants</w:t>
      </w:r>
    </w:p>
    <w:tbl>
      <w:tblPr>
        <w:tblW w:w="4997"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2864"/>
        <w:gridCol w:w="1220"/>
        <w:gridCol w:w="3444"/>
        <w:gridCol w:w="3473"/>
        <w:gridCol w:w="3364"/>
      </w:tblGrid>
      <w:tr w:rsidR="00397862" w:rsidRPr="00B81D2E" w14:paraId="36CB802F" w14:textId="77777777" w:rsidTr="00FD5879">
        <w:trPr>
          <w:cantSplit/>
          <w:tblHeader/>
        </w:trPr>
        <w:tc>
          <w:tcPr>
            <w:tcW w:w="2864" w:type="dxa"/>
            <w:shd w:val="clear" w:color="auto" w:fill="DBE5F1" w:themeFill="accent1" w:themeFillTint="33"/>
            <w:vAlign w:val="center"/>
          </w:tcPr>
          <w:p w14:paraId="09F83FED" w14:textId="77777777" w:rsidR="00397862" w:rsidRPr="002868D3" w:rsidRDefault="00397862" w:rsidP="002868D3">
            <w:pPr>
              <w:rPr>
                <w:b/>
                <w:bCs/>
              </w:rPr>
            </w:pPr>
            <w:r w:rsidRPr="002868D3">
              <w:rPr>
                <w:b/>
                <w:bCs/>
              </w:rPr>
              <w:t>Category</w:t>
            </w:r>
          </w:p>
        </w:tc>
        <w:tc>
          <w:tcPr>
            <w:tcW w:w="1220" w:type="dxa"/>
            <w:shd w:val="clear" w:color="auto" w:fill="DBE5F1" w:themeFill="accent1" w:themeFillTint="33"/>
            <w:vAlign w:val="center"/>
          </w:tcPr>
          <w:p w14:paraId="13B92F2F" w14:textId="77777777" w:rsidR="00397862" w:rsidRPr="002868D3" w:rsidRDefault="00397862" w:rsidP="002868D3">
            <w:pPr>
              <w:rPr>
                <w:b/>
                <w:bCs/>
              </w:rPr>
            </w:pPr>
            <w:r w:rsidRPr="002868D3">
              <w:rPr>
                <w:b/>
                <w:bCs/>
              </w:rPr>
              <w:t xml:space="preserve">Risk identified?  </w:t>
            </w:r>
          </w:p>
        </w:tc>
        <w:tc>
          <w:tcPr>
            <w:tcW w:w="3444" w:type="dxa"/>
            <w:shd w:val="clear" w:color="auto" w:fill="DBE5F1" w:themeFill="accent1" w:themeFillTint="33"/>
            <w:vAlign w:val="center"/>
          </w:tcPr>
          <w:p w14:paraId="4253C782" w14:textId="77777777" w:rsidR="00397862" w:rsidRPr="002868D3" w:rsidRDefault="00397862" w:rsidP="002868D3">
            <w:pPr>
              <w:rPr>
                <w:b/>
                <w:bCs/>
              </w:rPr>
            </w:pPr>
            <w:r w:rsidRPr="002868D3">
              <w:rPr>
                <w:b/>
                <w:bCs/>
              </w:rPr>
              <w:t>If yes, list specific concerns</w:t>
            </w:r>
          </w:p>
        </w:tc>
        <w:tc>
          <w:tcPr>
            <w:tcW w:w="3473" w:type="dxa"/>
            <w:shd w:val="clear" w:color="auto" w:fill="DBE5F1" w:themeFill="accent1" w:themeFillTint="33"/>
            <w:vAlign w:val="center"/>
          </w:tcPr>
          <w:p w14:paraId="2319B13A" w14:textId="77777777" w:rsidR="00397862" w:rsidRPr="002868D3" w:rsidRDefault="00397862" w:rsidP="002868D3">
            <w:pPr>
              <w:rPr>
                <w:b/>
                <w:bCs/>
              </w:rPr>
            </w:pPr>
            <w:r w:rsidRPr="002868D3">
              <w:rPr>
                <w:b/>
                <w:bCs/>
              </w:rPr>
              <w:t xml:space="preserve">If yes, how will risks be minimised? Please specify any mitigations. </w:t>
            </w:r>
          </w:p>
        </w:tc>
        <w:tc>
          <w:tcPr>
            <w:tcW w:w="3364" w:type="dxa"/>
            <w:shd w:val="clear" w:color="auto" w:fill="DBE5F1" w:themeFill="accent1" w:themeFillTint="33"/>
            <w:vAlign w:val="center"/>
          </w:tcPr>
          <w:p w14:paraId="2BB0C03C" w14:textId="77777777" w:rsidR="00397862" w:rsidRPr="002868D3" w:rsidRDefault="00397862" w:rsidP="002868D3">
            <w:pPr>
              <w:rPr>
                <w:b/>
                <w:bCs/>
              </w:rPr>
            </w:pPr>
            <w:r w:rsidRPr="002868D3">
              <w:rPr>
                <w:b/>
                <w:bCs/>
              </w:rPr>
              <w:t>If yes, could monitoring methods help to address concerns? Please specify</w:t>
            </w:r>
          </w:p>
        </w:tc>
      </w:tr>
      <w:tr w:rsidR="00B9661E" w:rsidRPr="00B81D2E" w14:paraId="241DFA9C" w14:textId="77777777" w:rsidTr="00FD5879">
        <w:trPr>
          <w:cantSplit/>
          <w:trHeight w:val="524"/>
        </w:trPr>
        <w:tc>
          <w:tcPr>
            <w:tcW w:w="2864" w:type="dxa"/>
            <w:vMerge w:val="restart"/>
          </w:tcPr>
          <w:p w14:paraId="3801625E" w14:textId="77777777" w:rsidR="00B9661E" w:rsidRPr="002868D3" w:rsidRDefault="00B9661E" w:rsidP="002868D3">
            <w:pPr>
              <w:rPr>
                <w:b/>
                <w:bCs/>
              </w:rPr>
            </w:pPr>
            <w:r w:rsidRPr="002868D3">
              <w:rPr>
                <w:b/>
                <w:bCs/>
              </w:rPr>
              <w:t>Clinical procedures</w:t>
            </w:r>
          </w:p>
          <w:p w14:paraId="28277B14" w14:textId="77777777" w:rsidR="00B9661E" w:rsidRDefault="00B9661E" w:rsidP="00652DD1">
            <w:pPr>
              <w:jc w:val="left"/>
            </w:pPr>
            <w:r>
              <w:t xml:space="preserve">E.g. </w:t>
            </w:r>
          </w:p>
          <w:p w14:paraId="0DA97A52" w14:textId="77777777" w:rsidR="00B9661E" w:rsidRPr="002D167E" w:rsidRDefault="00B9661E" w:rsidP="00652DD1">
            <w:pPr>
              <w:jc w:val="left"/>
            </w:pPr>
            <w:r w:rsidRPr="00B60926">
              <w:t>Do they differ from standard care?</w:t>
            </w:r>
            <w:r>
              <w:t xml:space="preserve"> If so, what is the likelihood of severity of harm to the participant?  How will this harm be managed? </w:t>
            </w:r>
          </w:p>
        </w:tc>
        <w:tc>
          <w:tcPr>
            <w:tcW w:w="1220" w:type="dxa"/>
          </w:tcPr>
          <w:p w14:paraId="39C65D47" w14:textId="77777777" w:rsidR="00B9661E" w:rsidRPr="00714F0C" w:rsidRDefault="00000000" w:rsidP="004F32C6">
            <w:pPr>
              <w:pStyle w:val="Instructions"/>
            </w:pPr>
            <w:sdt>
              <w:sdtPr>
                <w:id w:val="2080164197"/>
                <w14:checkbox>
                  <w14:checked w14:val="1"/>
                  <w14:checkedState w14:val="2612" w14:font="MS Gothic"/>
                  <w14:uncheckedState w14:val="2610" w14:font="MS Gothic"/>
                </w14:checkbox>
              </w:sdtPr>
              <w:sdtContent>
                <w:r w:rsidR="00B9661E">
                  <w:rPr>
                    <w:rFonts w:ascii="MS Gothic" w:eastAsia="MS Gothic" w:hAnsi="MS Gothic" w:hint="eastAsia"/>
                  </w:rPr>
                  <w:t>☒</w:t>
                </w:r>
              </w:sdtContent>
            </w:sdt>
            <w:r w:rsidR="00B9661E" w:rsidRPr="00714F0C">
              <w:t xml:space="preserve"> Yes</w:t>
            </w:r>
          </w:p>
          <w:p w14:paraId="09F53D32" w14:textId="77777777" w:rsidR="00B9661E" w:rsidRPr="00714F0C" w:rsidRDefault="00000000" w:rsidP="004F32C6">
            <w:sdt>
              <w:sdtPr>
                <w:id w:val="-2026548552"/>
                <w14:checkbox>
                  <w14:checked w14:val="0"/>
                  <w14:checkedState w14:val="2612" w14:font="MS Gothic"/>
                  <w14:uncheckedState w14:val="2610" w14:font="MS Gothic"/>
                </w14:checkbox>
              </w:sdtPr>
              <w:sdtContent>
                <w:r w:rsidR="00B9661E" w:rsidRPr="00714F0C">
                  <w:rPr>
                    <w:rFonts w:ascii="MS Gothic" w:eastAsia="MS Gothic" w:hAnsi="MS Gothic" w:hint="eastAsia"/>
                  </w:rPr>
                  <w:t>☐</w:t>
                </w:r>
              </w:sdtContent>
            </w:sdt>
            <w:r w:rsidR="00B9661E" w:rsidRPr="00714F0C">
              <w:t xml:space="preserve"> No</w:t>
            </w:r>
          </w:p>
          <w:p w14:paraId="203956D2" w14:textId="77777777" w:rsidR="00B9661E" w:rsidRPr="00C12E3C" w:rsidRDefault="00000000" w:rsidP="004F32C6">
            <w:sdt>
              <w:sdtPr>
                <w:id w:val="-1496720591"/>
                <w14:checkbox>
                  <w14:checked w14:val="0"/>
                  <w14:checkedState w14:val="2612" w14:font="MS Gothic"/>
                  <w14:uncheckedState w14:val="2610" w14:font="MS Gothic"/>
                </w14:checkbox>
              </w:sdtPr>
              <w:sdtContent>
                <w:r w:rsidR="00B9661E">
                  <w:rPr>
                    <w:rFonts w:ascii="MS Gothic" w:eastAsia="MS Gothic" w:hAnsi="MS Gothic" w:hint="eastAsia"/>
                  </w:rPr>
                  <w:t>☐</w:t>
                </w:r>
              </w:sdtContent>
            </w:sdt>
            <w:r w:rsidR="00B9661E" w:rsidRPr="00714F0C">
              <w:t xml:space="preserve"> N/A</w:t>
            </w:r>
          </w:p>
        </w:tc>
        <w:tc>
          <w:tcPr>
            <w:tcW w:w="3444" w:type="dxa"/>
          </w:tcPr>
          <w:p w14:paraId="52C47DD8" w14:textId="77777777" w:rsidR="00B9661E" w:rsidRPr="00C12E3C" w:rsidRDefault="00B9661E" w:rsidP="002868D3">
            <w:pPr>
              <w:pStyle w:val="Instructions"/>
              <w:jc w:val="left"/>
            </w:pPr>
            <w:r w:rsidRPr="00C12E3C">
              <w:t>Blood sampling 5 times a day - increased skin trauma to areas already bruised, discomfort and pain to patient of regular sampling.</w:t>
            </w:r>
          </w:p>
          <w:p w14:paraId="571CB337" w14:textId="77777777" w:rsidR="00B9661E" w:rsidRPr="00C12E3C" w:rsidRDefault="00B9661E" w:rsidP="002868D3">
            <w:pPr>
              <w:pStyle w:val="Instructions"/>
              <w:jc w:val="left"/>
            </w:pPr>
          </w:p>
        </w:tc>
        <w:tc>
          <w:tcPr>
            <w:tcW w:w="3473" w:type="dxa"/>
          </w:tcPr>
          <w:p w14:paraId="03142677" w14:textId="77777777" w:rsidR="00B9661E" w:rsidRPr="00C12E3C" w:rsidRDefault="00B9661E" w:rsidP="002868D3">
            <w:pPr>
              <w:pStyle w:val="Instructions"/>
              <w:jc w:val="left"/>
            </w:pPr>
            <w:r w:rsidRPr="00C12E3C">
              <w:t>Blood sampling will be performed by appropriately trained site staff. Where possible, samples will be taken when clinical blood samples are required.</w:t>
            </w:r>
          </w:p>
        </w:tc>
        <w:tc>
          <w:tcPr>
            <w:tcW w:w="3364" w:type="dxa"/>
          </w:tcPr>
          <w:p w14:paraId="371462C5" w14:textId="77777777" w:rsidR="00B9661E" w:rsidRPr="00C12E3C" w:rsidRDefault="00B9661E" w:rsidP="002868D3">
            <w:pPr>
              <w:pStyle w:val="Instructions"/>
              <w:jc w:val="left"/>
            </w:pPr>
            <w:r w:rsidRPr="00C12E3C">
              <w:t xml:space="preserve"> N/A; monitoring not required</w:t>
            </w:r>
            <w:r>
              <w:t>.</w:t>
            </w:r>
          </w:p>
        </w:tc>
      </w:tr>
      <w:tr w:rsidR="00B9661E" w:rsidRPr="00B81D2E" w14:paraId="20556E28" w14:textId="77777777" w:rsidTr="00FD5879">
        <w:trPr>
          <w:cantSplit/>
          <w:trHeight w:val="524"/>
        </w:trPr>
        <w:tc>
          <w:tcPr>
            <w:tcW w:w="2864" w:type="dxa"/>
            <w:vMerge/>
          </w:tcPr>
          <w:p w14:paraId="236A0705" w14:textId="77777777" w:rsidR="00B9661E" w:rsidRPr="00B60926" w:rsidRDefault="00B9661E" w:rsidP="00B9661E">
            <w:pPr>
              <w:pStyle w:val="Tableheadings"/>
            </w:pPr>
          </w:p>
        </w:tc>
        <w:tc>
          <w:tcPr>
            <w:tcW w:w="1220" w:type="dxa"/>
          </w:tcPr>
          <w:p w14:paraId="0CF0844A" w14:textId="77777777" w:rsidR="00B9661E" w:rsidRPr="00714F0C" w:rsidRDefault="00000000" w:rsidP="00B9661E">
            <w:pPr>
              <w:pStyle w:val="Instructions"/>
            </w:pPr>
            <w:sdt>
              <w:sdtPr>
                <w:id w:val="-1697685152"/>
                <w14:checkbox>
                  <w14:checked w14:val="1"/>
                  <w14:checkedState w14:val="2612" w14:font="MS Gothic"/>
                  <w14:uncheckedState w14:val="2610" w14:font="MS Gothic"/>
                </w14:checkbox>
              </w:sdtPr>
              <w:sdtContent>
                <w:r w:rsidR="00B9661E">
                  <w:rPr>
                    <w:rFonts w:ascii="MS Gothic" w:eastAsia="MS Gothic" w:hAnsi="MS Gothic" w:hint="eastAsia"/>
                  </w:rPr>
                  <w:t>☒</w:t>
                </w:r>
              </w:sdtContent>
            </w:sdt>
            <w:r w:rsidR="00B9661E" w:rsidRPr="00714F0C">
              <w:t xml:space="preserve"> Yes</w:t>
            </w:r>
          </w:p>
          <w:p w14:paraId="020FB153" w14:textId="77777777" w:rsidR="00B9661E" w:rsidRPr="00714F0C" w:rsidRDefault="00000000" w:rsidP="00B9661E">
            <w:sdt>
              <w:sdtPr>
                <w:id w:val="126834038"/>
                <w14:checkbox>
                  <w14:checked w14:val="0"/>
                  <w14:checkedState w14:val="2612" w14:font="MS Gothic"/>
                  <w14:uncheckedState w14:val="2610" w14:font="MS Gothic"/>
                </w14:checkbox>
              </w:sdtPr>
              <w:sdtContent>
                <w:r w:rsidR="00B9661E" w:rsidRPr="00714F0C">
                  <w:rPr>
                    <w:rFonts w:ascii="MS Gothic" w:eastAsia="MS Gothic" w:hAnsi="MS Gothic" w:hint="eastAsia"/>
                  </w:rPr>
                  <w:t>☐</w:t>
                </w:r>
              </w:sdtContent>
            </w:sdt>
            <w:r w:rsidR="00B9661E" w:rsidRPr="00714F0C">
              <w:t xml:space="preserve"> No</w:t>
            </w:r>
          </w:p>
          <w:p w14:paraId="359C227C" w14:textId="2F127799" w:rsidR="00B9661E" w:rsidRDefault="00000000" w:rsidP="00E05CF3">
            <w:sdt>
              <w:sdtPr>
                <w:id w:val="-369304146"/>
                <w14:checkbox>
                  <w14:checked w14:val="0"/>
                  <w14:checkedState w14:val="2612" w14:font="MS Gothic"/>
                  <w14:uncheckedState w14:val="2610" w14:font="MS Gothic"/>
                </w14:checkbox>
              </w:sdtPr>
              <w:sdtContent>
                <w:r w:rsidR="00B9661E">
                  <w:rPr>
                    <w:rFonts w:ascii="MS Gothic" w:eastAsia="MS Gothic" w:hAnsi="MS Gothic" w:hint="eastAsia"/>
                  </w:rPr>
                  <w:t>☐</w:t>
                </w:r>
              </w:sdtContent>
            </w:sdt>
            <w:r w:rsidR="00B9661E" w:rsidRPr="00714F0C">
              <w:t xml:space="preserve"> N/A</w:t>
            </w:r>
          </w:p>
        </w:tc>
        <w:tc>
          <w:tcPr>
            <w:tcW w:w="3444" w:type="dxa"/>
          </w:tcPr>
          <w:p w14:paraId="41E3B674" w14:textId="7282F622" w:rsidR="00B9661E" w:rsidRPr="00C12E3C" w:rsidRDefault="00B9661E" w:rsidP="002868D3">
            <w:pPr>
              <w:pStyle w:val="Instructions"/>
              <w:jc w:val="left"/>
            </w:pPr>
            <w:r w:rsidRPr="00C12E3C">
              <w:t>Additional CT scan required - increased exposure to radiation from increased frequency of scans.</w:t>
            </w:r>
          </w:p>
        </w:tc>
        <w:tc>
          <w:tcPr>
            <w:tcW w:w="3473" w:type="dxa"/>
          </w:tcPr>
          <w:p w14:paraId="57DB5DF3" w14:textId="2529671F" w:rsidR="00B9661E" w:rsidRPr="00C12E3C" w:rsidRDefault="00B9661E" w:rsidP="002868D3">
            <w:pPr>
              <w:pStyle w:val="Instructions"/>
              <w:jc w:val="left"/>
            </w:pPr>
            <w:r w:rsidRPr="00C12E3C">
              <w:t xml:space="preserve">An additional CT head scan is equivalent to about 1 year of average natural background radiation in the UK. The risk of developing another cancer as a result of </w:t>
            </w:r>
            <w:r>
              <w:t xml:space="preserve">an </w:t>
            </w:r>
            <w:r w:rsidRPr="00C12E3C">
              <w:t xml:space="preserve">extra CT scan is considered very small. </w:t>
            </w:r>
          </w:p>
        </w:tc>
        <w:tc>
          <w:tcPr>
            <w:tcW w:w="3364" w:type="dxa"/>
          </w:tcPr>
          <w:p w14:paraId="15B01D01" w14:textId="4065D1F9" w:rsidR="00B9661E" w:rsidRPr="00C12E3C" w:rsidRDefault="00B9661E" w:rsidP="002868D3">
            <w:pPr>
              <w:pStyle w:val="Instructions"/>
              <w:jc w:val="left"/>
            </w:pPr>
            <w:r w:rsidRPr="00C12E3C">
              <w:t>N/A; monitoring not required</w:t>
            </w:r>
            <w:r>
              <w:t>.</w:t>
            </w:r>
          </w:p>
        </w:tc>
      </w:tr>
      <w:tr w:rsidR="0023614F" w:rsidRPr="00B81D2E" w14:paraId="00F71055" w14:textId="77777777" w:rsidTr="00FD5879">
        <w:trPr>
          <w:cantSplit/>
          <w:trHeight w:val="524"/>
        </w:trPr>
        <w:tc>
          <w:tcPr>
            <w:tcW w:w="2864" w:type="dxa"/>
            <w:vMerge w:val="restart"/>
          </w:tcPr>
          <w:p w14:paraId="5300ABC3" w14:textId="77777777" w:rsidR="0023614F" w:rsidRPr="002868D3" w:rsidRDefault="0023614F" w:rsidP="002868D3">
            <w:pPr>
              <w:rPr>
                <w:b/>
                <w:bCs/>
              </w:rPr>
            </w:pPr>
            <w:r w:rsidRPr="002868D3">
              <w:rPr>
                <w:b/>
                <w:bCs/>
              </w:rPr>
              <w:t>Consent</w:t>
            </w:r>
          </w:p>
          <w:p w14:paraId="5BCA26D0" w14:textId="77777777" w:rsidR="0023614F" w:rsidRDefault="0023614F" w:rsidP="002868D3">
            <w:pPr>
              <w:jc w:val="left"/>
            </w:pPr>
            <w:r>
              <w:t xml:space="preserve">E.g. </w:t>
            </w:r>
          </w:p>
          <w:p w14:paraId="61D1B975" w14:textId="77777777" w:rsidR="0023614F" w:rsidRDefault="0023614F" w:rsidP="002868D3">
            <w:pPr>
              <w:jc w:val="left"/>
            </w:pPr>
            <w:r w:rsidRPr="00B60926">
              <w:t>Is there any reason that the participants in the trial would not be able to give fully informed consent</w:t>
            </w:r>
            <w:r>
              <w:t xml:space="preserve"> e.g. </w:t>
            </w:r>
            <w:r w:rsidRPr="00E01EAF">
              <w:t>vulnerable groups, lack of capacity to consent, language difficulties</w:t>
            </w:r>
            <w:r>
              <w:t>? How will this be managed?</w:t>
            </w:r>
          </w:p>
          <w:p w14:paraId="245BC0B5" w14:textId="77777777" w:rsidR="008C29C7" w:rsidRPr="008C29C7" w:rsidRDefault="008C29C7" w:rsidP="008C29C7"/>
          <w:p w14:paraId="6F2C9C1D" w14:textId="77777777" w:rsidR="008C29C7" w:rsidRPr="008C29C7" w:rsidRDefault="008C29C7" w:rsidP="008C29C7"/>
          <w:p w14:paraId="1F992558" w14:textId="77777777" w:rsidR="008C29C7" w:rsidRPr="008C29C7" w:rsidRDefault="008C29C7" w:rsidP="008C29C7"/>
          <w:p w14:paraId="454510E8" w14:textId="77777777" w:rsidR="008C29C7" w:rsidRDefault="008C29C7" w:rsidP="008C29C7"/>
          <w:p w14:paraId="0EE0E3C3" w14:textId="11B3924C" w:rsidR="008C29C7" w:rsidRPr="008C29C7" w:rsidRDefault="008C29C7" w:rsidP="008C29C7">
            <w:pPr>
              <w:jc w:val="right"/>
            </w:pPr>
          </w:p>
        </w:tc>
        <w:tc>
          <w:tcPr>
            <w:tcW w:w="1220" w:type="dxa"/>
          </w:tcPr>
          <w:p w14:paraId="5420B699" w14:textId="77777777" w:rsidR="0023614F" w:rsidRPr="00714F0C" w:rsidRDefault="00000000" w:rsidP="00655921">
            <w:pPr>
              <w:pStyle w:val="Instructions"/>
            </w:pPr>
            <w:sdt>
              <w:sdtPr>
                <w:id w:val="-1175184264"/>
                <w14:checkbox>
                  <w14:checked w14:val="1"/>
                  <w14:checkedState w14:val="2612" w14:font="MS Gothic"/>
                  <w14:uncheckedState w14:val="2610" w14:font="MS Gothic"/>
                </w14:checkbox>
              </w:sdtPr>
              <w:sdtContent>
                <w:r w:rsidR="0023614F">
                  <w:rPr>
                    <w:rFonts w:ascii="MS Gothic" w:eastAsia="MS Gothic" w:hAnsi="MS Gothic" w:hint="eastAsia"/>
                  </w:rPr>
                  <w:t>☒</w:t>
                </w:r>
              </w:sdtContent>
            </w:sdt>
            <w:r w:rsidR="0023614F" w:rsidRPr="00714F0C">
              <w:t xml:space="preserve"> Yes</w:t>
            </w:r>
          </w:p>
          <w:p w14:paraId="0609E341" w14:textId="77777777" w:rsidR="0023614F" w:rsidRPr="00714F0C" w:rsidRDefault="00000000" w:rsidP="00655921">
            <w:sdt>
              <w:sdtPr>
                <w:id w:val="2095964250"/>
                <w14:checkbox>
                  <w14:checked w14:val="0"/>
                  <w14:checkedState w14:val="2612" w14:font="MS Gothic"/>
                  <w14:uncheckedState w14:val="2610" w14:font="MS Gothic"/>
                </w14:checkbox>
              </w:sdtPr>
              <w:sdtContent>
                <w:r w:rsidR="0023614F" w:rsidRPr="00714F0C">
                  <w:rPr>
                    <w:rFonts w:ascii="MS Gothic" w:eastAsia="MS Gothic" w:hAnsi="MS Gothic" w:hint="eastAsia"/>
                  </w:rPr>
                  <w:t>☐</w:t>
                </w:r>
              </w:sdtContent>
            </w:sdt>
            <w:r w:rsidR="0023614F" w:rsidRPr="00714F0C">
              <w:t xml:space="preserve"> No</w:t>
            </w:r>
          </w:p>
          <w:p w14:paraId="648E7885" w14:textId="24385FA2" w:rsidR="0023614F" w:rsidRDefault="00000000" w:rsidP="00E05CF3">
            <w:sdt>
              <w:sdtPr>
                <w:id w:val="1098288875"/>
                <w14:checkbox>
                  <w14:checked w14:val="0"/>
                  <w14:checkedState w14:val="2612" w14:font="MS Gothic"/>
                  <w14:uncheckedState w14:val="2610" w14:font="MS Gothic"/>
                </w14:checkbox>
              </w:sdtPr>
              <w:sdtContent>
                <w:r w:rsidR="00E05CF3">
                  <w:rPr>
                    <w:rFonts w:ascii="MS Gothic" w:eastAsia="MS Gothic" w:hAnsi="MS Gothic" w:hint="eastAsia"/>
                  </w:rPr>
                  <w:t>☐</w:t>
                </w:r>
              </w:sdtContent>
            </w:sdt>
            <w:r w:rsidR="0023614F" w:rsidRPr="00714F0C">
              <w:t xml:space="preserve"> N/A</w:t>
            </w:r>
          </w:p>
        </w:tc>
        <w:tc>
          <w:tcPr>
            <w:tcW w:w="3444" w:type="dxa"/>
          </w:tcPr>
          <w:p w14:paraId="48B26780" w14:textId="2B946BD8" w:rsidR="0023614F" w:rsidRPr="00C12E3C" w:rsidRDefault="0023614F" w:rsidP="002868D3">
            <w:pPr>
              <w:pStyle w:val="Instructions"/>
              <w:jc w:val="left"/>
            </w:pPr>
            <w:r w:rsidRPr="00C12E3C">
              <w:t>The trial will involve patients aged from 12 – 25 years of age; &lt;16 year olds are not legally able to consent for themselves.</w:t>
            </w:r>
          </w:p>
        </w:tc>
        <w:tc>
          <w:tcPr>
            <w:tcW w:w="3473" w:type="dxa"/>
          </w:tcPr>
          <w:p w14:paraId="7F396387" w14:textId="77FA00D4" w:rsidR="0023614F" w:rsidRPr="00C12E3C" w:rsidRDefault="0023614F" w:rsidP="002868D3">
            <w:pPr>
              <w:pStyle w:val="Instructions"/>
              <w:jc w:val="left"/>
            </w:pPr>
            <w:r w:rsidRPr="00C12E3C">
              <w:t xml:space="preserve">Age specific Patient Information Sheets and a Parent Information Sheet will be produced. Informed consent will be </w:t>
            </w:r>
            <w:r>
              <w:t>received</w:t>
            </w:r>
            <w:r w:rsidRPr="00C12E3C">
              <w:t xml:space="preserve"> from parent(s)/legal guardian(s) for patients under the age of 16.</w:t>
            </w:r>
          </w:p>
        </w:tc>
        <w:tc>
          <w:tcPr>
            <w:tcW w:w="3364" w:type="dxa"/>
          </w:tcPr>
          <w:p w14:paraId="4CFEAA2B" w14:textId="77777777" w:rsidR="0023614F" w:rsidRPr="00C12E3C" w:rsidRDefault="0023614F" w:rsidP="002868D3">
            <w:pPr>
              <w:pStyle w:val="Instructions"/>
              <w:jc w:val="left"/>
            </w:pPr>
            <w:r w:rsidRPr="00C12E3C">
              <w:t xml:space="preserve">With explicit consent </w:t>
            </w:r>
            <w:r>
              <w:t>received from the</w:t>
            </w:r>
            <w:r w:rsidRPr="00C12E3C">
              <w:t xml:space="preserve"> parent/legal guardian (or patient where patient is under the age of 16) a copy of the Informed Consent Form will be sent to the Trials Office for in-house review. The Site Signature and Delegation Log will also be used to verify that the correct personnel are performing the consent procedures. </w:t>
            </w:r>
          </w:p>
          <w:p w14:paraId="57AC1D90" w14:textId="60D315DA" w:rsidR="0023614F" w:rsidRPr="00C12E3C" w:rsidRDefault="0023614F" w:rsidP="002868D3">
            <w:pPr>
              <w:pStyle w:val="Instructions"/>
              <w:jc w:val="left"/>
            </w:pPr>
            <w:r w:rsidRPr="00C12E3C">
              <w:t>The consent procedure will be reviewed during on-site monitoring.</w:t>
            </w:r>
          </w:p>
        </w:tc>
      </w:tr>
      <w:tr w:rsidR="00D1034E" w:rsidRPr="00B81D2E" w14:paraId="1E5FB61E" w14:textId="77777777" w:rsidTr="00FD5879">
        <w:trPr>
          <w:cantSplit/>
          <w:trHeight w:val="524"/>
        </w:trPr>
        <w:tc>
          <w:tcPr>
            <w:tcW w:w="2864" w:type="dxa"/>
            <w:vMerge/>
          </w:tcPr>
          <w:p w14:paraId="31BC88A9" w14:textId="77777777" w:rsidR="00D1034E" w:rsidRPr="00C12E3C" w:rsidRDefault="00D1034E" w:rsidP="00D1034E">
            <w:pPr>
              <w:pStyle w:val="Tableheadings"/>
            </w:pPr>
          </w:p>
        </w:tc>
        <w:tc>
          <w:tcPr>
            <w:tcW w:w="1220" w:type="dxa"/>
          </w:tcPr>
          <w:p w14:paraId="4F2287AD" w14:textId="77777777" w:rsidR="00D1034E" w:rsidRPr="00714F0C" w:rsidRDefault="00000000" w:rsidP="00D1034E">
            <w:pPr>
              <w:pStyle w:val="Instructions"/>
            </w:pPr>
            <w:sdt>
              <w:sdtPr>
                <w:id w:val="-683511309"/>
                <w14:checkbox>
                  <w14:checked w14:val="1"/>
                  <w14:checkedState w14:val="2612" w14:font="MS Gothic"/>
                  <w14:uncheckedState w14:val="2610" w14:font="MS Gothic"/>
                </w14:checkbox>
              </w:sdtPr>
              <w:sdtContent>
                <w:r w:rsidR="00D1034E">
                  <w:rPr>
                    <w:rFonts w:ascii="MS Gothic" w:eastAsia="MS Gothic" w:hAnsi="MS Gothic" w:hint="eastAsia"/>
                  </w:rPr>
                  <w:t>☒</w:t>
                </w:r>
              </w:sdtContent>
            </w:sdt>
            <w:r w:rsidR="00D1034E" w:rsidRPr="00714F0C">
              <w:t xml:space="preserve"> Yes</w:t>
            </w:r>
          </w:p>
          <w:p w14:paraId="7ABBE65D" w14:textId="77777777" w:rsidR="00D1034E" w:rsidRPr="00714F0C" w:rsidRDefault="00000000" w:rsidP="00D1034E">
            <w:sdt>
              <w:sdtPr>
                <w:id w:val="-766003977"/>
                <w14:checkbox>
                  <w14:checked w14:val="0"/>
                  <w14:checkedState w14:val="2612" w14:font="MS Gothic"/>
                  <w14:uncheckedState w14:val="2610" w14:font="MS Gothic"/>
                </w14:checkbox>
              </w:sdtPr>
              <w:sdtContent>
                <w:r w:rsidR="00D1034E" w:rsidRPr="00714F0C">
                  <w:rPr>
                    <w:rFonts w:ascii="MS Gothic" w:eastAsia="MS Gothic" w:hAnsi="MS Gothic" w:hint="eastAsia"/>
                  </w:rPr>
                  <w:t>☐</w:t>
                </w:r>
              </w:sdtContent>
            </w:sdt>
            <w:r w:rsidR="00D1034E" w:rsidRPr="00714F0C">
              <w:t xml:space="preserve"> No</w:t>
            </w:r>
          </w:p>
          <w:p w14:paraId="28D38FD7" w14:textId="15817AEB" w:rsidR="00D1034E" w:rsidRDefault="00000000" w:rsidP="00E05CF3">
            <w:sdt>
              <w:sdtPr>
                <w:id w:val="-1060240353"/>
                <w14:checkbox>
                  <w14:checked w14:val="0"/>
                  <w14:checkedState w14:val="2612" w14:font="MS Gothic"/>
                  <w14:uncheckedState w14:val="2610" w14:font="MS Gothic"/>
                </w14:checkbox>
              </w:sdtPr>
              <w:sdtContent>
                <w:r w:rsidR="00D1034E">
                  <w:rPr>
                    <w:rFonts w:ascii="MS Gothic" w:eastAsia="MS Gothic" w:hAnsi="MS Gothic" w:hint="eastAsia"/>
                  </w:rPr>
                  <w:t>☐</w:t>
                </w:r>
              </w:sdtContent>
            </w:sdt>
            <w:r w:rsidR="00D1034E" w:rsidRPr="00714F0C">
              <w:t xml:space="preserve"> N/A</w:t>
            </w:r>
          </w:p>
        </w:tc>
        <w:tc>
          <w:tcPr>
            <w:tcW w:w="3444" w:type="dxa"/>
          </w:tcPr>
          <w:p w14:paraId="5741F9C7" w14:textId="23554A09" w:rsidR="00D1034E" w:rsidRPr="00C12E3C" w:rsidRDefault="00D1034E" w:rsidP="002868D3">
            <w:pPr>
              <w:pStyle w:val="Instructions"/>
              <w:jc w:val="left"/>
            </w:pPr>
            <w:r w:rsidRPr="00C12E3C">
              <w:t>This is an international trial involving 5 countries, with different language requirements.</w:t>
            </w:r>
          </w:p>
        </w:tc>
        <w:tc>
          <w:tcPr>
            <w:tcW w:w="3473" w:type="dxa"/>
          </w:tcPr>
          <w:p w14:paraId="19183CDC" w14:textId="1A060BBF" w:rsidR="00D1034E" w:rsidRPr="00C12E3C" w:rsidRDefault="00D1034E" w:rsidP="002868D3">
            <w:pPr>
              <w:pStyle w:val="Instructions"/>
              <w:jc w:val="left"/>
            </w:pPr>
            <w:r w:rsidRPr="00C12E3C">
              <w:t xml:space="preserve">The Patient Information Sheet and Informed Consent Form will be available in French, English, Spanish, Italian and Greek. Back translation of documents by a translation service will be performed. </w:t>
            </w:r>
          </w:p>
        </w:tc>
        <w:tc>
          <w:tcPr>
            <w:tcW w:w="3364" w:type="dxa"/>
          </w:tcPr>
          <w:p w14:paraId="51E3772C" w14:textId="74FD5502" w:rsidR="00D1034E" w:rsidRPr="00C12E3C" w:rsidRDefault="00D1034E" w:rsidP="002868D3">
            <w:pPr>
              <w:pStyle w:val="Instructions"/>
              <w:jc w:val="left"/>
            </w:pPr>
            <w:r w:rsidRPr="00C12E3C">
              <w:t>N/A; monitoring not required</w:t>
            </w:r>
            <w:r>
              <w:t>.</w:t>
            </w:r>
          </w:p>
        </w:tc>
      </w:tr>
      <w:tr w:rsidR="00934EF5" w:rsidRPr="0009166D" w14:paraId="11EF6FEA" w14:textId="77777777" w:rsidTr="00FD5879">
        <w:trPr>
          <w:cantSplit/>
          <w:trHeight w:val="524"/>
        </w:trPr>
        <w:tc>
          <w:tcPr>
            <w:tcW w:w="2864" w:type="dxa"/>
            <w:vMerge w:val="restart"/>
          </w:tcPr>
          <w:p w14:paraId="6A42A9A4" w14:textId="77777777" w:rsidR="00934EF5" w:rsidRPr="00B420B3" w:rsidRDefault="00934EF5" w:rsidP="00E75330">
            <w:pPr>
              <w:jc w:val="left"/>
              <w:rPr>
                <w:b/>
                <w:bCs/>
              </w:rPr>
            </w:pPr>
            <w:r w:rsidRPr="00B420B3">
              <w:rPr>
                <w:b/>
                <w:bCs/>
              </w:rPr>
              <w:lastRenderedPageBreak/>
              <w:t>Data protection</w:t>
            </w:r>
          </w:p>
          <w:p w14:paraId="1A72F8A2" w14:textId="77777777" w:rsidR="00934EF5" w:rsidRPr="0009166D" w:rsidRDefault="00934EF5" w:rsidP="00E75330">
            <w:pPr>
              <w:jc w:val="left"/>
            </w:pPr>
            <w:r w:rsidRPr="0009166D">
              <w:t>E.g.</w:t>
            </w:r>
          </w:p>
          <w:p w14:paraId="47B92296" w14:textId="77777777" w:rsidR="00934EF5" w:rsidRPr="0009166D" w:rsidRDefault="00934EF5" w:rsidP="00E75330">
            <w:pPr>
              <w:jc w:val="left"/>
            </w:pPr>
            <w:r w:rsidRPr="0009166D">
              <w:t>Are particularly sensitive data being collected?</w:t>
            </w:r>
          </w:p>
          <w:p w14:paraId="2470B620" w14:textId="52D9B63B" w:rsidR="00934EF5" w:rsidRPr="0009166D" w:rsidRDefault="00934EF5" w:rsidP="00E75330">
            <w:pPr>
              <w:jc w:val="left"/>
            </w:pPr>
            <w:r w:rsidRPr="0009166D">
              <w:t>Are personal identifiers associated with the data?</w:t>
            </w:r>
          </w:p>
          <w:p w14:paraId="51201267" w14:textId="77777777" w:rsidR="00E20CAB" w:rsidRDefault="00934EF5" w:rsidP="00E75330">
            <w:pPr>
              <w:jc w:val="left"/>
              <w:rPr>
                <w:color w:val="000000" w:themeColor="text1"/>
              </w:rPr>
            </w:pPr>
            <w:r w:rsidRPr="0009166D">
              <w:t>Is there a need for data to be sent outside the country? Are data protection standards equivalent to those in the UK</w:t>
            </w:r>
            <w:r w:rsidRPr="0009166D">
              <w:rPr>
                <w:color w:val="000000" w:themeColor="text1"/>
              </w:rPr>
              <w:t>?</w:t>
            </w:r>
          </w:p>
          <w:p w14:paraId="2EDE4A72" w14:textId="566EDC9F" w:rsidR="00934EF5" w:rsidRPr="0009166D" w:rsidRDefault="00934EF5" w:rsidP="00E75330">
            <w:pPr>
              <w:jc w:val="left"/>
            </w:pPr>
            <w:r w:rsidRPr="0009166D">
              <w:rPr>
                <w:i/>
                <w:color w:val="000000" w:themeColor="text1"/>
              </w:rPr>
              <w:t xml:space="preserve">Note: staff are also required to comply with all associated UoB </w:t>
            </w:r>
            <w:hyperlink r:id="rId27" w:tooltip="UoB IT policies and procedures" w:history="1">
              <w:r w:rsidRPr="0009166D">
                <w:rPr>
                  <w:rStyle w:val="Hyperlink"/>
                  <w:i/>
                </w:rPr>
                <w:t>IT policies and procedures</w:t>
              </w:r>
            </w:hyperlink>
            <w:r w:rsidR="001427EF" w:rsidRPr="00832E82">
              <w:rPr>
                <w:i/>
                <w:iCs/>
              </w:rPr>
              <w:t xml:space="preserve"> (UoB login </w:t>
            </w:r>
            <w:r w:rsidR="00832E82" w:rsidRPr="00832E82">
              <w:rPr>
                <w:i/>
                <w:iCs/>
              </w:rPr>
              <w:t>required)</w:t>
            </w:r>
            <w:r w:rsidRPr="0009166D">
              <w:rPr>
                <w:i/>
                <w:color w:val="000000" w:themeColor="text1"/>
              </w:rPr>
              <w:t>.</w:t>
            </w:r>
            <w:r w:rsidRPr="0009166D">
              <w:t xml:space="preserve"> </w:t>
            </w:r>
          </w:p>
        </w:tc>
        <w:tc>
          <w:tcPr>
            <w:tcW w:w="1220" w:type="dxa"/>
          </w:tcPr>
          <w:p w14:paraId="2A08333E" w14:textId="77777777" w:rsidR="00934EF5" w:rsidRPr="0009166D" w:rsidRDefault="00000000" w:rsidP="002868D3">
            <w:pPr>
              <w:pStyle w:val="Instructions"/>
              <w:jc w:val="left"/>
            </w:pPr>
            <w:sdt>
              <w:sdtPr>
                <w:id w:val="1728029925"/>
                <w14:checkbox>
                  <w14:checked w14:val="1"/>
                  <w14:checkedState w14:val="2612" w14:font="MS Gothic"/>
                  <w14:uncheckedState w14:val="2610" w14:font="MS Gothic"/>
                </w14:checkbox>
              </w:sdtPr>
              <w:sdtContent>
                <w:r w:rsidR="00934EF5" w:rsidRPr="0009166D">
                  <w:rPr>
                    <w:rFonts w:ascii="MS Gothic" w:eastAsia="MS Gothic" w:hAnsi="MS Gothic" w:hint="eastAsia"/>
                  </w:rPr>
                  <w:t>☒</w:t>
                </w:r>
              </w:sdtContent>
            </w:sdt>
            <w:r w:rsidR="00934EF5" w:rsidRPr="0009166D">
              <w:t xml:space="preserve"> Yes</w:t>
            </w:r>
          </w:p>
          <w:p w14:paraId="17A2A05A" w14:textId="77777777" w:rsidR="00934EF5" w:rsidRPr="0009166D" w:rsidRDefault="00000000" w:rsidP="002868D3">
            <w:pPr>
              <w:jc w:val="left"/>
            </w:pPr>
            <w:sdt>
              <w:sdtPr>
                <w:id w:val="1408951932"/>
                <w14:checkbox>
                  <w14:checked w14:val="0"/>
                  <w14:checkedState w14:val="2612" w14:font="MS Gothic"/>
                  <w14:uncheckedState w14:val="2610" w14:font="MS Gothic"/>
                </w14:checkbox>
              </w:sdtPr>
              <w:sdtContent>
                <w:r w:rsidR="00934EF5" w:rsidRPr="0009166D">
                  <w:rPr>
                    <w:rFonts w:ascii="MS Gothic" w:eastAsia="MS Gothic" w:hAnsi="MS Gothic" w:hint="eastAsia"/>
                  </w:rPr>
                  <w:t>☐</w:t>
                </w:r>
              </w:sdtContent>
            </w:sdt>
            <w:r w:rsidR="00934EF5" w:rsidRPr="0009166D">
              <w:t xml:space="preserve"> No</w:t>
            </w:r>
          </w:p>
          <w:p w14:paraId="20DAC92A" w14:textId="54EE5378" w:rsidR="00934EF5" w:rsidRPr="0009166D" w:rsidRDefault="00000000" w:rsidP="002868D3">
            <w:pPr>
              <w:jc w:val="left"/>
            </w:pPr>
            <w:sdt>
              <w:sdtPr>
                <w:id w:val="-1851708894"/>
                <w14:checkbox>
                  <w14:checked w14:val="0"/>
                  <w14:checkedState w14:val="2612" w14:font="MS Gothic"/>
                  <w14:uncheckedState w14:val="2610" w14:font="MS Gothic"/>
                </w14:checkbox>
              </w:sdtPr>
              <w:sdtContent>
                <w:r w:rsidR="00934EF5" w:rsidRPr="0009166D">
                  <w:rPr>
                    <w:rFonts w:ascii="MS Gothic" w:eastAsia="MS Gothic" w:hAnsi="MS Gothic" w:hint="eastAsia"/>
                  </w:rPr>
                  <w:t>☐</w:t>
                </w:r>
              </w:sdtContent>
            </w:sdt>
            <w:r w:rsidR="00934EF5" w:rsidRPr="0009166D">
              <w:t xml:space="preserve"> N/A</w:t>
            </w:r>
          </w:p>
        </w:tc>
        <w:tc>
          <w:tcPr>
            <w:tcW w:w="3444" w:type="dxa"/>
          </w:tcPr>
          <w:p w14:paraId="5604F3F7" w14:textId="77777777" w:rsidR="00934EF5" w:rsidRPr="0009166D" w:rsidRDefault="00934EF5" w:rsidP="002868D3">
            <w:pPr>
              <w:pStyle w:val="Instructions"/>
              <w:jc w:val="left"/>
            </w:pPr>
            <w:r w:rsidRPr="0009166D">
              <w:t>The patient’s full name and date of birth will be collected at randomisation (which is regarded as personal data in accordance with the Data Protection Act 2018 and GDPR). The patient’s full name is collected over the phone only and is entered directly into the trial database.</w:t>
            </w:r>
          </w:p>
          <w:p w14:paraId="04640A42" w14:textId="17102E9D" w:rsidR="00934EF5" w:rsidRPr="0009166D" w:rsidRDefault="00934EF5" w:rsidP="002868D3">
            <w:pPr>
              <w:pStyle w:val="Instructions"/>
              <w:jc w:val="left"/>
            </w:pPr>
            <w:r w:rsidRPr="0009166D">
              <w:t xml:space="preserve">In addition, copies of signed Informed Consent Forms will be collected and stored centrally by the Trials Office with the patient’s explicit consent. </w:t>
            </w:r>
          </w:p>
        </w:tc>
        <w:tc>
          <w:tcPr>
            <w:tcW w:w="3473" w:type="dxa"/>
          </w:tcPr>
          <w:p w14:paraId="62D8F561" w14:textId="77777777" w:rsidR="00934EF5" w:rsidRPr="0009166D" w:rsidRDefault="00934EF5" w:rsidP="002868D3">
            <w:pPr>
              <w:pStyle w:val="Instructions"/>
              <w:jc w:val="left"/>
            </w:pPr>
            <w:r w:rsidRPr="0009166D">
              <w:t>Personal data recorded on all documents will be regarded as confidential and will be handled and stored in a secure environment and in accordance with GCP, Data Protection Act 2018 and GDPR.</w:t>
            </w:r>
          </w:p>
          <w:p w14:paraId="0CEA29B9" w14:textId="384A7ADB" w:rsidR="00934EF5" w:rsidRPr="0009166D" w:rsidRDefault="00934EF5" w:rsidP="002868D3">
            <w:pPr>
              <w:pStyle w:val="Instructions"/>
              <w:jc w:val="left"/>
            </w:pPr>
            <w:r w:rsidRPr="0009166D">
              <w:t>Patients will be identified using only their unique trial number, initials and date of birth on the CRF and correspondence between the Trials Office and the participating site.</w:t>
            </w:r>
          </w:p>
        </w:tc>
        <w:tc>
          <w:tcPr>
            <w:tcW w:w="3364" w:type="dxa"/>
          </w:tcPr>
          <w:p w14:paraId="0E4F43F9" w14:textId="1C57FDA0" w:rsidR="00934EF5" w:rsidRPr="0009166D" w:rsidRDefault="00934EF5" w:rsidP="002868D3">
            <w:pPr>
              <w:pStyle w:val="Instructions"/>
              <w:jc w:val="left"/>
            </w:pPr>
            <w:r w:rsidRPr="0009166D">
              <w:t xml:space="preserve">Patient’s signed Informed Consent Forms will be checked in-house to verify that patient has given explicit consent for patient’s full name, date of birth and copy of the Informed Consent Form to be provided to the Trials Office. </w:t>
            </w:r>
          </w:p>
        </w:tc>
      </w:tr>
      <w:tr w:rsidR="00E46453" w:rsidRPr="0009166D" w14:paraId="759F6FCA" w14:textId="77777777" w:rsidTr="00FD5879">
        <w:trPr>
          <w:cantSplit/>
          <w:trHeight w:val="524"/>
        </w:trPr>
        <w:tc>
          <w:tcPr>
            <w:tcW w:w="2864" w:type="dxa"/>
            <w:vMerge/>
          </w:tcPr>
          <w:p w14:paraId="28909685" w14:textId="77777777" w:rsidR="00E46453" w:rsidRPr="0009166D" w:rsidRDefault="00E46453" w:rsidP="00E75330">
            <w:pPr>
              <w:jc w:val="left"/>
            </w:pPr>
          </w:p>
        </w:tc>
        <w:tc>
          <w:tcPr>
            <w:tcW w:w="1220" w:type="dxa"/>
          </w:tcPr>
          <w:p w14:paraId="5C64EC5A" w14:textId="77777777" w:rsidR="00E46453" w:rsidRPr="00714F0C" w:rsidRDefault="00000000" w:rsidP="002868D3">
            <w:pPr>
              <w:pStyle w:val="Instructions"/>
              <w:jc w:val="left"/>
            </w:pPr>
            <w:sdt>
              <w:sdtPr>
                <w:id w:val="557061246"/>
                <w14:checkbox>
                  <w14:checked w14:val="1"/>
                  <w14:checkedState w14:val="2612" w14:font="MS Gothic"/>
                  <w14:uncheckedState w14:val="2610" w14:font="MS Gothic"/>
                </w14:checkbox>
              </w:sdtPr>
              <w:sdtContent>
                <w:r w:rsidR="00E46453">
                  <w:rPr>
                    <w:rFonts w:ascii="MS Gothic" w:eastAsia="MS Gothic" w:hAnsi="MS Gothic" w:hint="eastAsia"/>
                  </w:rPr>
                  <w:t>☒</w:t>
                </w:r>
              </w:sdtContent>
            </w:sdt>
            <w:r w:rsidR="00E46453" w:rsidRPr="00714F0C">
              <w:t xml:space="preserve"> Yes</w:t>
            </w:r>
          </w:p>
          <w:p w14:paraId="26CC1A54" w14:textId="77777777" w:rsidR="00E46453" w:rsidRPr="00714F0C" w:rsidRDefault="00000000" w:rsidP="002868D3">
            <w:pPr>
              <w:jc w:val="left"/>
            </w:pPr>
            <w:sdt>
              <w:sdtPr>
                <w:id w:val="1942875109"/>
                <w14:checkbox>
                  <w14:checked w14:val="0"/>
                  <w14:checkedState w14:val="2612" w14:font="MS Gothic"/>
                  <w14:uncheckedState w14:val="2610" w14:font="MS Gothic"/>
                </w14:checkbox>
              </w:sdtPr>
              <w:sdtContent>
                <w:r w:rsidR="00E46453" w:rsidRPr="00714F0C">
                  <w:rPr>
                    <w:rFonts w:ascii="MS Gothic" w:eastAsia="MS Gothic" w:hAnsi="MS Gothic" w:hint="eastAsia"/>
                  </w:rPr>
                  <w:t>☐</w:t>
                </w:r>
              </w:sdtContent>
            </w:sdt>
            <w:r w:rsidR="00E46453" w:rsidRPr="00714F0C">
              <w:t xml:space="preserve"> No</w:t>
            </w:r>
          </w:p>
          <w:p w14:paraId="4DEB3A77" w14:textId="7F1AD5FD" w:rsidR="00E46453" w:rsidRPr="0009166D" w:rsidRDefault="00000000" w:rsidP="002868D3">
            <w:pPr>
              <w:jc w:val="left"/>
            </w:pPr>
            <w:sdt>
              <w:sdtPr>
                <w:id w:val="412055991"/>
                <w14:checkbox>
                  <w14:checked w14:val="0"/>
                  <w14:checkedState w14:val="2612" w14:font="MS Gothic"/>
                  <w14:uncheckedState w14:val="2610" w14:font="MS Gothic"/>
                </w14:checkbox>
              </w:sdtPr>
              <w:sdtContent>
                <w:r w:rsidR="00E46453">
                  <w:rPr>
                    <w:rFonts w:ascii="MS Gothic" w:eastAsia="MS Gothic" w:hAnsi="MS Gothic" w:hint="eastAsia"/>
                  </w:rPr>
                  <w:t>☐</w:t>
                </w:r>
              </w:sdtContent>
            </w:sdt>
            <w:r w:rsidR="00E46453" w:rsidRPr="00714F0C">
              <w:t xml:space="preserve"> N/A</w:t>
            </w:r>
          </w:p>
        </w:tc>
        <w:tc>
          <w:tcPr>
            <w:tcW w:w="3444" w:type="dxa"/>
          </w:tcPr>
          <w:p w14:paraId="542ED261" w14:textId="7B0AE074" w:rsidR="00E46453" w:rsidRPr="0009166D" w:rsidRDefault="00E46453" w:rsidP="002868D3">
            <w:pPr>
              <w:pStyle w:val="Instructions"/>
              <w:jc w:val="left"/>
            </w:pPr>
            <w:r w:rsidRPr="00C12E3C">
              <w:t>With the patient’s explicit consent GP data will be submitted directly to the Trials Office. The GP data displays the patient’s full name and address.</w:t>
            </w:r>
          </w:p>
        </w:tc>
        <w:tc>
          <w:tcPr>
            <w:tcW w:w="3473" w:type="dxa"/>
          </w:tcPr>
          <w:p w14:paraId="37F03A71" w14:textId="77777777" w:rsidR="00E46453" w:rsidRPr="00C12E3C" w:rsidRDefault="00E46453" w:rsidP="002868D3">
            <w:pPr>
              <w:pStyle w:val="Instructions"/>
              <w:jc w:val="left"/>
            </w:pPr>
            <w:r w:rsidRPr="00C12E3C">
              <w:t>At the Trials Office, the identifiers will be replaced with trial number and initials only.</w:t>
            </w:r>
          </w:p>
          <w:p w14:paraId="2349A357" w14:textId="15FED3B3" w:rsidR="00E46453" w:rsidRPr="0009166D" w:rsidRDefault="00E46453" w:rsidP="002868D3">
            <w:pPr>
              <w:pStyle w:val="Instructions"/>
              <w:jc w:val="left"/>
            </w:pPr>
            <w:r w:rsidRPr="00C12E3C">
              <w:t>Personal data recorded on all documents will be regarded as confidential and will be handled and stored in a secure environment and in accordance with GCP</w:t>
            </w:r>
            <w:r>
              <w:t xml:space="preserve">, </w:t>
            </w:r>
            <w:r w:rsidRPr="00C12E3C">
              <w:t xml:space="preserve">Data Protection Act </w:t>
            </w:r>
            <w:r>
              <w:t>2018 and GDPR</w:t>
            </w:r>
            <w:r w:rsidRPr="00C12E3C">
              <w:t>.</w:t>
            </w:r>
          </w:p>
        </w:tc>
        <w:tc>
          <w:tcPr>
            <w:tcW w:w="3364" w:type="dxa"/>
          </w:tcPr>
          <w:p w14:paraId="5B0BFAC0" w14:textId="2C3D0863" w:rsidR="00E46453" w:rsidRPr="0009166D" w:rsidRDefault="00E46453" w:rsidP="002868D3">
            <w:pPr>
              <w:pStyle w:val="Instructions"/>
              <w:jc w:val="left"/>
            </w:pPr>
            <w:r w:rsidRPr="00C12E3C">
              <w:t>Patient’s signed Informed Consent Form will be checked in-house to verify that patient has given explicit consent for data to be collected from GP.</w:t>
            </w:r>
          </w:p>
        </w:tc>
      </w:tr>
      <w:tr w:rsidR="00EA64DB" w:rsidRPr="0009166D" w14:paraId="40989C33" w14:textId="77777777" w:rsidTr="00FD5879">
        <w:trPr>
          <w:cantSplit/>
          <w:trHeight w:val="524"/>
        </w:trPr>
        <w:tc>
          <w:tcPr>
            <w:tcW w:w="2864" w:type="dxa"/>
            <w:vMerge w:val="restart"/>
          </w:tcPr>
          <w:p w14:paraId="47730C95" w14:textId="77777777" w:rsidR="00EA64DB" w:rsidRPr="002868D3" w:rsidRDefault="00EA64DB" w:rsidP="002868D3">
            <w:pPr>
              <w:jc w:val="left"/>
              <w:rPr>
                <w:b/>
                <w:bCs/>
              </w:rPr>
            </w:pPr>
            <w:r w:rsidRPr="002868D3">
              <w:rPr>
                <w:b/>
                <w:bCs/>
              </w:rPr>
              <w:t>Target population</w:t>
            </w:r>
          </w:p>
          <w:p w14:paraId="23B68D0B" w14:textId="77777777" w:rsidR="00EA64DB" w:rsidRDefault="00EA64DB" w:rsidP="002868D3">
            <w:pPr>
              <w:jc w:val="left"/>
            </w:pPr>
            <w:r>
              <w:t>E.g.</w:t>
            </w:r>
          </w:p>
          <w:p w14:paraId="52A243A1" w14:textId="2D4D9B77" w:rsidR="00EA64DB" w:rsidRPr="0009166D" w:rsidRDefault="00EA64DB" w:rsidP="00E75330">
            <w:pPr>
              <w:jc w:val="left"/>
            </w:pPr>
            <w:r>
              <w:t>P</w:t>
            </w:r>
            <w:r w:rsidRPr="00262D2C">
              <w:t xml:space="preserve">hase of the </w:t>
            </w:r>
            <w:r>
              <w:t>disease, a</w:t>
            </w:r>
            <w:r w:rsidRPr="00262D2C">
              <w:t xml:space="preserve">ge range of the group, co-morbidities, prognosis of group, susceptibility to </w:t>
            </w:r>
            <w:r w:rsidRPr="00262D2C">
              <w:lastRenderedPageBreak/>
              <w:t>infections/complications, risk carrying intervention</w:t>
            </w:r>
          </w:p>
        </w:tc>
        <w:tc>
          <w:tcPr>
            <w:tcW w:w="1220" w:type="dxa"/>
          </w:tcPr>
          <w:p w14:paraId="79C7369E" w14:textId="77777777" w:rsidR="00EA64DB" w:rsidRPr="00714F0C" w:rsidRDefault="00000000" w:rsidP="002868D3">
            <w:pPr>
              <w:pStyle w:val="Instructions"/>
              <w:jc w:val="left"/>
            </w:pPr>
            <w:sdt>
              <w:sdtPr>
                <w:id w:val="-419481855"/>
                <w14:checkbox>
                  <w14:checked w14:val="1"/>
                  <w14:checkedState w14:val="2612" w14:font="MS Gothic"/>
                  <w14:uncheckedState w14:val="2610" w14:font="MS Gothic"/>
                </w14:checkbox>
              </w:sdtPr>
              <w:sdtContent>
                <w:r w:rsidR="00EA64DB">
                  <w:rPr>
                    <w:rFonts w:ascii="MS Gothic" w:eastAsia="MS Gothic" w:hAnsi="MS Gothic" w:hint="eastAsia"/>
                  </w:rPr>
                  <w:t>☒</w:t>
                </w:r>
              </w:sdtContent>
            </w:sdt>
            <w:r w:rsidR="00EA64DB" w:rsidRPr="00714F0C">
              <w:t xml:space="preserve"> Yes</w:t>
            </w:r>
          </w:p>
          <w:p w14:paraId="6A873F29" w14:textId="77777777" w:rsidR="00EA64DB" w:rsidRPr="00714F0C" w:rsidRDefault="00000000" w:rsidP="002868D3">
            <w:pPr>
              <w:jc w:val="left"/>
            </w:pPr>
            <w:sdt>
              <w:sdtPr>
                <w:id w:val="1692179849"/>
                <w14:checkbox>
                  <w14:checked w14:val="0"/>
                  <w14:checkedState w14:val="2612" w14:font="MS Gothic"/>
                  <w14:uncheckedState w14:val="2610" w14:font="MS Gothic"/>
                </w14:checkbox>
              </w:sdtPr>
              <w:sdtContent>
                <w:r w:rsidR="00EA64DB" w:rsidRPr="00714F0C">
                  <w:rPr>
                    <w:rFonts w:ascii="MS Gothic" w:eastAsia="MS Gothic" w:hAnsi="MS Gothic" w:hint="eastAsia"/>
                  </w:rPr>
                  <w:t>☐</w:t>
                </w:r>
              </w:sdtContent>
            </w:sdt>
            <w:r w:rsidR="00EA64DB" w:rsidRPr="00714F0C">
              <w:t xml:space="preserve"> No</w:t>
            </w:r>
          </w:p>
          <w:p w14:paraId="3609475D" w14:textId="2D522894" w:rsidR="00EA64DB" w:rsidRDefault="00000000" w:rsidP="002868D3">
            <w:pPr>
              <w:jc w:val="left"/>
            </w:pPr>
            <w:sdt>
              <w:sdtPr>
                <w:id w:val="39024608"/>
                <w14:checkbox>
                  <w14:checked w14:val="0"/>
                  <w14:checkedState w14:val="2612" w14:font="MS Gothic"/>
                  <w14:uncheckedState w14:val="2610" w14:font="MS Gothic"/>
                </w14:checkbox>
              </w:sdtPr>
              <w:sdtContent>
                <w:r w:rsidR="00EA64DB">
                  <w:rPr>
                    <w:rFonts w:ascii="MS Gothic" w:eastAsia="MS Gothic" w:hAnsi="MS Gothic" w:hint="eastAsia"/>
                  </w:rPr>
                  <w:t>☐</w:t>
                </w:r>
              </w:sdtContent>
            </w:sdt>
            <w:r w:rsidR="00EA64DB" w:rsidRPr="00714F0C">
              <w:t xml:space="preserve"> N/A</w:t>
            </w:r>
          </w:p>
        </w:tc>
        <w:tc>
          <w:tcPr>
            <w:tcW w:w="3444" w:type="dxa"/>
          </w:tcPr>
          <w:p w14:paraId="1D038664" w14:textId="451FD0CF" w:rsidR="00EA64DB" w:rsidRPr="00C12E3C" w:rsidRDefault="00EA64DB" w:rsidP="002868D3">
            <w:pPr>
              <w:pStyle w:val="Instructions"/>
              <w:jc w:val="left"/>
            </w:pPr>
            <w:r w:rsidRPr="00C12E3C">
              <w:t>Critically ill patients with a poor prognosis will receive multiple concomitant medications, making both the effect of the IMP and the relatedness of the IMP to any SAEs difficult to assess.</w:t>
            </w:r>
          </w:p>
        </w:tc>
        <w:tc>
          <w:tcPr>
            <w:tcW w:w="3473" w:type="dxa"/>
          </w:tcPr>
          <w:p w14:paraId="2B47685F" w14:textId="709A6DD6" w:rsidR="00EA64DB" w:rsidRPr="00C12E3C" w:rsidRDefault="00EA64DB" w:rsidP="002868D3">
            <w:pPr>
              <w:pStyle w:val="Instructions"/>
              <w:jc w:val="left"/>
            </w:pPr>
            <w:r w:rsidRPr="00C12E3C">
              <w:t>All concomitant medications will be recorded on the CRFs and analysed by the Investigator for both their interaction with the IMP and relatedness to SAEs. Regular monitoring of SAE categories will also be performed.</w:t>
            </w:r>
          </w:p>
        </w:tc>
        <w:tc>
          <w:tcPr>
            <w:tcW w:w="3364" w:type="dxa"/>
          </w:tcPr>
          <w:p w14:paraId="6D7BC745" w14:textId="6F74A65F" w:rsidR="00EA64DB" w:rsidRPr="00C12E3C" w:rsidRDefault="00EA64DB" w:rsidP="002868D3">
            <w:pPr>
              <w:pStyle w:val="Instructions"/>
              <w:jc w:val="left"/>
            </w:pPr>
            <w:r w:rsidRPr="00C12E3C">
              <w:t>N/A; monitoring not required</w:t>
            </w:r>
            <w:r>
              <w:t>.</w:t>
            </w:r>
          </w:p>
        </w:tc>
      </w:tr>
      <w:tr w:rsidR="00407A6A" w:rsidRPr="0009166D" w14:paraId="4CE1BE2A" w14:textId="77777777" w:rsidTr="00FD5879">
        <w:trPr>
          <w:cantSplit/>
          <w:trHeight w:val="524"/>
        </w:trPr>
        <w:tc>
          <w:tcPr>
            <w:tcW w:w="2864" w:type="dxa"/>
            <w:vMerge/>
          </w:tcPr>
          <w:p w14:paraId="4928AD7E" w14:textId="77777777" w:rsidR="00407A6A" w:rsidRPr="00B924AC" w:rsidRDefault="00407A6A" w:rsidP="00E75330">
            <w:pPr>
              <w:pStyle w:val="Tableheadings"/>
            </w:pPr>
          </w:p>
        </w:tc>
        <w:tc>
          <w:tcPr>
            <w:tcW w:w="1220" w:type="dxa"/>
          </w:tcPr>
          <w:p w14:paraId="4D9AA05A" w14:textId="77777777" w:rsidR="00407A6A" w:rsidRPr="00714F0C" w:rsidRDefault="00000000" w:rsidP="002868D3">
            <w:pPr>
              <w:pStyle w:val="Instructions"/>
              <w:jc w:val="left"/>
            </w:pPr>
            <w:sdt>
              <w:sdtPr>
                <w:id w:val="-1935358706"/>
                <w14:checkbox>
                  <w14:checked w14:val="1"/>
                  <w14:checkedState w14:val="2612" w14:font="MS Gothic"/>
                  <w14:uncheckedState w14:val="2610" w14:font="MS Gothic"/>
                </w14:checkbox>
              </w:sdtPr>
              <w:sdtContent>
                <w:r w:rsidR="00407A6A">
                  <w:rPr>
                    <w:rFonts w:ascii="MS Gothic" w:eastAsia="MS Gothic" w:hAnsi="MS Gothic" w:hint="eastAsia"/>
                  </w:rPr>
                  <w:t>☒</w:t>
                </w:r>
              </w:sdtContent>
            </w:sdt>
            <w:r w:rsidR="00407A6A" w:rsidRPr="00714F0C">
              <w:t xml:space="preserve"> Yes</w:t>
            </w:r>
          </w:p>
          <w:p w14:paraId="4006702A" w14:textId="77777777" w:rsidR="00407A6A" w:rsidRPr="00714F0C" w:rsidRDefault="00000000" w:rsidP="002868D3">
            <w:pPr>
              <w:jc w:val="left"/>
            </w:pPr>
            <w:sdt>
              <w:sdtPr>
                <w:id w:val="452523060"/>
                <w14:checkbox>
                  <w14:checked w14:val="0"/>
                  <w14:checkedState w14:val="2612" w14:font="MS Gothic"/>
                  <w14:uncheckedState w14:val="2610" w14:font="MS Gothic"/>
                </w14:checkbox>
              </w:sdtPr>
              <w:sdtContent>
                <w:r w:rsidR="00407A6A" w:rsidRPr="00714F0C">
                  <w:rPr>
                    <w:rFonts w:ascii="MS Gothic" w:eastAsia="MS Gothic" w:hAnsi="MS Gothic" w:hint="eastAsia"/>
                  </w:rPr>
                  <w:t>☐</w:t>
                </w:r>
              </w:sdtContent>
            </w:sdt>
            <w:r w:rsidR="00407A6A" w:rsidRPr="00714F0C">
              <w:t xml:space="preserve"> No</w:t>
            </w:r>
          </w:p>
          <w:p w14:paraId="38949F07" w14:textId="5209E26F" w:rsidR="00407A6A" w:rsidRDefault="00000000" w:rsidP="002868D3">
            <w:pPr>
              <w:jc w:val="left"/>
            </w:pPr>
            <w:sdt>
              <w:sdtPr>
                <w:id w:val="-453402413"/>
                <w14:checkbox>
                  <w14:checked w14:val="0"/>
                  <w14:checkedState w14:val="2612" w14:font="MS Gothic"/>
                  <w14:uncheckedState w14:val="2610" w14:font="MS Gothic"/>
                </w14:checkbox>
              </w:sdtPr>
              <w:sdtContent>
                <w:r w:rsidR="00407A6A">
                  <w:rPr>
                    <w:rFonts w:ascii="MS Gothic" w:eastAsia="MS Gothic" w:hAnsi="MS Gothic" w:hint="eastAsia"/>
                  </w:rPr>
                  <w:t>☐</w:t>
                </w:r>
              </w:sdtContent>
            </w:sdt>
            <w:r w:rsidR="00407A6A" w:rsidRPr="00714F0C">
              <w:t xml:space="preserve"> N/A</w:t>
            </w:r>
          </w:p>
        </w:tc>
        <w:tc>
          <w:tcPr>
            <w:tcW w:w="3444" w:type="dxa"/>
          </w:tcPr>
          <w:p w14:paraId="38A5AABB" w14:textId="60409ABB" w:rsidR="00407A6A" w:rsidRPr="00C12E3C" w:rsidRDefault="00407A6A" w:rsidP="002868D3">
            <w:pPr>
              <w:pStyle w:val="Instructions"/>
              <w:jc w:val="left"/>
            </w:pPr>
            <w:r w:rsidRPr="00C12E3C">
              <w:t>This target population is at high risk of graft versus host disease and is at greater risk of infection associated with the transplantation procedure.</w:t>
            </w:r>
          </w:p>
        </w:tc>
        <w:tc>
          <w:tcPr>
            <w:tcW w:w="3473" w:type="dxa"/>
          </w:tcPr>
          <w:p w14:paraId="4693A3F2" w14:textId="297CF30B" w:rsidR="00407A6A" w:rsidRPr="00C12E3C" w:rsidRDefault="00407A6A" w:rsidP="002868D3">
            <w:pPr>
              <w:pStyle w:val="Instructions"/>
              <w:jc w:val="left"/>
            </w:pPr>
            <w:r w:rsidRPr="00C12E3C">
              <w:t>Vital signs and adverse events will be assessed whilst patient is on trial treatment and for up to 28 days following completion of treatment.</w:t>
            </w:r>
          </w:p>
        </w:tc>
        <w:tc>
          <w:tcPr>
            <w:tcW w:w="3364" w:type="dxa"/>
          </w:tcPr>
          <w:p w14:paraId="290556DA" w14:textId="3984B12E" w:rsidR="00407A6A" w:rsidRPr="00C12E3C" w:rsidRDefault="00407A6A" w:rsidP="002868D3">
            <w:pPr>
              <w:pStyle w:val="Instructions"/>
              <w:jc w:val="left"/>
            </w:pPr>
            <w:r w:rsidRPr="00C12E3C">
              <w:t>N/A; monitoring not required</w:t>
            </w:r>
            <w:r>
              <w:t>.</w:t>
            </w:r>
          </w:p>
        </w:tc>
      </w:tr>
    </w:tbl>
    <w:p w14:paraId="10A7E534" w14:textId="6F80E186" w:rsidR="00770649" w:rsidRDefault="00B20443" w:rsidP="00B20443">
      <w:pPr>
        <w:pStyle w:val="Heading2"/>
      </w:pPr>
      <w:r>
        <w:t xml:space="preserve">2.2 </w:t>
      </w:r>
      <w:r w:rsidR="00004F6B">
        <w:t>risks to the reliability of the results</w:t>
      </w:r>
    </w:p>
    <w:tbl>
      <w:tblPr>
        <w:tblW w:w="4997"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2864"/>
        <w:gridCol w:w="1220"/>
        <w:gridCol w:w="3444"/>
        <w:gridCol w:w="3473"/>
        <w:gridCol w:w="3364"/>
      </w:tblGrid>
      <w:tr w:rsidR="00CD22D8" w:rsidRPr="00DA3208" w14:paraId="70D7C5DA" w14:textId="77777777" w:rsidTr="00FD5879">
        <w:trPr>
          <w:cantSplit/>
          <w:tblHeader/>
        </w:trPr>
        <w:tc>
          <w:tcPr>
            <w:tcW w:w="2864" w:type="dxa"/>
            <w:shd w:val="clear" w:color="auto" w:fill="DBE5F1" w:themeFill="accent1" w:themeFillTint="33"/>
            <w:vAlign w:val="center"/>
          </w:tcPr>
          <w:p w14:paraId="1D7F548B" w14:textId="77777777" w:rsidR="00CD22D8" w:rsidRPr="002868D3" w:rsidRDefault="00CD22D8" w:rsidP="002868D3">
            <w:pPr>
              <w:rPr>
                <w:b/>
                <w:bCs/>
              </w:rPr>
            </w:pPr>
            <w:r w:rsidRPr="002868D3">
              <w:rPr>
                <w:b/>
                <w:bCs/>
              </w:rPr>
              <w:t>Category</w:t>
            </w:r>
          </w:p>
        </w:tc>
        <w:tc>
          <w:tcPr>
            <w:tcW w:w="1220" w:type="dxa"/>
            <w:shd w:val="clear" w:color="auto" w:fill="DBE5F1" w:themeFill="accent1" w:themeFillTint="33"/>
            <w:vAlign w:val="center"/>
          </w:tcPr>
          <w:p w14:paraId="38DB08E7" w14:textId="77777777" w:rsidR="00CD22D8" w:rsidRPr="002868D3" w:rsidRDefault="00CD22D8" w:rsidP="002868D3">
            <w:pPr>
              <w:rPr>
                <w:b/>
                <w:bCs/>
              </w:rPr>
            </w:pPr>
            <w:r w:rsidRPr="002868D3">
              <w:rPr>
                <w:b/>
                <w:bCs/>
              </w:rPr>
              <w:t xml:space="preserve">Risk identified?  </w:t>
            </w:r>
          </w:p>
        </w:tc>
        <w:tc>
          <w:tcPr>
            <w:tcW w:w="3444" w:type="dxa"/>
            <w:shd w:val="clear" w:color="auto" w:fill="DBE5F1" w:themeFill="accent1" w:themeFillTint="33"/>
            <w:vAlign w:val="center"/>
          </w:tcPr>
          <w:p w14:paraId="45F1466E" w14:textId="77777777" w:rsidR="00CD22D8" w:rsidRPr="002868D3" w:rsidRDefault="00CD22D8" w:rsidP="002868D3">
            <w:pPr>
              <w:rPr>
                <w:b/>
                <w:bCs/>
              </w:rPr>
            </w:pPr>
            <w:r w:rsidRPr="002868D3">
              <w:rPr>
                <w:b/>
                <w:bCs/>
              </w:rPr>
              <w:t>If yes, list specific concerns</w:t>
            </w:r>
          </w:p>
        </w:tc>
        <w:tc>
          <w:tcPr>
            <w:tcW w:w="3473" w:type="dxa"/>
            <w:shd w:val="clear" w:color="auto" w:fill="DBE5F1" w:themeFill="accent1" w:themeFillTint="33"/>
            <w:vAlign w:val="center"/>
          </w:tcPr>
          <w:p w14:paraId="5427D2DC" w14:textId="77777777" w:rsidR="00CD22D8" w:rsidRPr="002868D3" w:rsidRDefault="00CD22D8" w:rsidP="002868D3">
            <w:pPr>
              <w:rPr>
                <w:b/>
                <w:bCs/>
              </w:rPr>
            </w:pPr>
            <w:r w:rsidRPr="002868D3">
              <w:rPr>
                <w:b/>
                <w:bCs/>
              </w:rPr>
              <w:t xml:space="preserve">If yes, how will risks be minimised? Please specify any mitigations. </w:t>
            </w:r>
          </w:p>
        </w:tc>
        <w:tc>
          <w:tcPr>
            <w:tcW w:w="3364" w:type="dxa"/>
            <w:shd w:val="clear" w:color="auto" w:fill="DBE5F1" w:themeFill="accent1" w:themeFillTint="33"/>
            <w:vAlign w:val="center"/>
          </w:tcPr>
          <w:p w14:paraId="16D12727" w14:textId="77777777" w:rsidR="00CD22D8" w:rsidRPr="002868D3" w:rsidRDefault="00CD22D8" w:rsidP="002868D3">
            <w:pPr>
              <w:rPr>
                <w:b/>
                <w:bCs/>
              </w:rPr>
            </w:pPr>
            <w:r w:rsidRPr="002868D3">
              <w:rPr>
                <w:b/>
                <w:bCs/>
              </w:rPr>
              <w:t>If yes, could monitoring methods help to address concerns? Please specify</w:t>
            </w:r>
          </w:p>
        </w:tc>
      </w:tr>
      <w:tr w:rsidR="00537C54" w:rsidRPr="00C12E3C" w14:paraId="5875406F" w14:textId="77777777" w:rsidTr="00FD5879">
        <w:trPr>
          <w:cantSplit/>
          <w:trHeight w:val="524"/>
        </w:trPr>
        <w:tc>
          <w:tcPr>
            <w:tcW w:w="2864" w:type="dxa"/>
            <w:vMerge w:val="restart"/>
          </w:tcPr>
          <w:p w14:paraId="26902621" w14:textId="77777777" w:rsidR="00537C54" w:rsidRPr="002868D3" w:rsidRDefault="00537C54" w:rsidP="002868D3">
            <w:pPr>
              <w:jc w:val="left"/>
              <w:rPr>
                <w:b/>
                <w:bCs/>
              </w:rPr>
            </w:pPr>
            <w:r w:rsidRPr="002868D3">
              <w:rPr>
                <w:b/>
                <w:bCs/>
              </w:rPr>
              <w:t>Eligibility criteria</w:t>
            </w:r>
          </w:p>
          <w:p w14:paraId="03138CF2" w14:textId="77777777" w:rsidR="00537C54" w:rsidRDefault="00537C54" w:rsidP="0035289A">
            <w:pPr>
              <w:jc w:val="left"/>
            </w:pPr>
            <w:r>
              <w:t xml:space="preserve">E.g. </w:t>
            </w:r>
          </w:p>
          <w:p w14:paraId="2012C1EF" w14:textId="77777777" w:rsidR="00537C54" w:rsidRDefault="00537C54" w:rsidP="0035289A">
            <w:pPr>
              <w:jc w:val="left"/>
            </w:pPr>
            <w:r w:rsidRPr="00B60926">
              <w:t>Does the trial require very precise assessment of eligibility?</w:t>
            </w:r>
          </w:p>
          <w:p w14:paraId="749A2DDA" w14:textId="0AA6B324" w:rsidR="00537C54" w:rsidRPr="002D167E" w:rsidRDefault="00537C54" w:rsidP="0035289A">
            <w:pPr>
              <w:jc w:val="left"/>
            </w:pPr>
            <w:r>
              <w:t>Are there any eligibility criteria that are not part of the clinical assessment and may need further highlighting?</w:t>
            </w:r>
          </w:p>
        </w:tc>
        <w:tc>
          <w:tcPr>
            <w:tcW w:w="1220" w:type="dxa"/>
          </w:tcPr>
          <w:p w14:paraId="59DE0033" w14:textId="77777777" w:rsidR="00537C54" w:rsidRPr="00714F0C" w:rsidRDefault="00000000" w:rsidP="002868D3">
            <w:pPr>
              <w:pStyle w:val="Instructions"/>
              <w:jc w:val="left"/>
            </w:pPr>
            <w:sdt>
              <w:sdtPr>
                <w:id w:val="1917969871"/>
                <w14:checkbox>
                  <w14:checked w14:val="1"/>
                  <w14:checkedState w14:val="2612" w14:font="MS Gothic"/>
                  <w14:uncheckedState w14:val="2610" w14:font="MS Gothic"/>
                </w14:checkbox>
              </w:sdtPr>
              <w:sdtContent>
                <w:r w:rsidR="00537C54">
                  <w:rPr>
                    <w:rFonts w:ascii="MS Gothic" w:eastAsia="MS Gothic" w:hAnsi="MS Gothic" w:hint="eastAsia"/>
                  </w:rPr>
                  <w:t>☒</w:t>
                </w:r>
              </w:sdtContent>
            </w:sdt>
            <w:r w:rsidR="00537C54" w:rsidRPr="00714F0C">
              <w:t xml:space="preserve"> Yes</w:t>
            </w:r>
          </w:p>
          <w:p w14:paraId="34BA960B" w14:textId="77777777" w:rsidR="00537C54" w:rsidRPr="00714F0C" w:rsidRDefault="00000000" w:rsidP="002868D3">
            <w:pPr>
              <w:jc w:val="left"/>
            </w:pPr>
            <w:sdt>
              <w:sdtPr>
                <w:id w:val="-1470366827"/>
                <w14:checkbox>
                  <w14:checked w14:val="0"/>
                  <w14:checkedState w14:val="2612" w14:font="MS Gothic"/>
                  <w14:uncheckedState w14:val="2610" w14:font="MS Gothic"/>
                </w14:checkbox>
              </w:sdtPr>
              <w:sdtContent>
                <w:r w:rsidR="00537C54" w:rsidRPr="00714F0C">
                  <w:rPr>
                    <w:rFonts w:ascii="MS Gothic" w:eastAsia="MS Gothic" w:hAnsi="MS Gothic" w:hint="eastAsia"/>
                  </w:rPr>
                  <w:t>☐</w:t>
                </w:r>
              </w:sdtContent>
            </w:sdt>
            <w:r w:rsidR="00537C54" w:rsidRPr="00714F0C">
              <w:t xml:space="preserve"> No</w:t>
            </w:r>
          </w:p>
          <w:p w14:paraId="751B04F3" w14:textId="77777777" w:rsidR="00537C54" w:rsidRPr="00C12E3C" w:rsidRDefault="00000000" w:rsidP="002868D3">
            <w:pPr>
              <w:jc w:val="left"/>
            </w:pPr>
            <w:sdt>
              <w:sdtPr>
                <w:id w:val="-328219163"/>
                <w14:checkbox>
                  <w14:checked w14:val="0"/>
                  <w14:checkedState w14:val="2612" w14:font="MS Gothic"/>
                  <w14:uncheckedState w14:val="2610" w14:font="MS Gothic"/>
                </w14:checkbox>
              </w:sdtPr>
              <w:sdtContent>
                <w:r w:rsidR="00537C54">
                  <w:rPr>
                    <w:rFonts w:ascii="MS Gothic" w:eastAsia="MS Gothic" w:hAnsi="MS Gothic" w:hint="eastAsia"/>
                  </w:rPr>
                  <w:t>☐</w:t>
                </w:r>
              </w:sdtContent>
            </w:sdt>
            <w:r w:rsidR="00537C54" w:rsidRPr="00714F0C">
              <w:t xml:space="preserve"> N/A</w:t>
            </w:r>
          </w:p>
        </w:tc>
        <w:tc>
          <w:tcPr>
            <w:tcW w:w="3444" w:type="dxa"/>
          </w:tcPr>
          <w:p w14:paraId="32382396" w14:textId="12AC5D72" w:rsidR="00537C54" w:rsidRPr="00C12E3C" w:rsidRDefault="00537C54" w:rsidP="002868D3">
            <w:pPr>
              <w:pStyle w:val="Instructions"/>
              <w:jc w:val="left"/>
            </w:pPr>
            <w:r>
              <w:t>The trial has a restricted eligibility criterion, where patients need to be specifically assessed to be ECOG performance status 2 at the time of registration.</w:t>
            </w:r>
          </w:p>
        </w:tc>
        <w:tc>
          <w:tcPr>
            <w:tcW w:w="3473" w:type="dxa"/>
          </w:tcPr>
          <w:p w14:paraId="2EBA03EA" w14:textId="2C0DDC41" w:rsidR="00537C54" w:rsidRPr="00C12E3C" w:rsidRDefault="00537C54" w:rsidP="002868D3">
            <w:pPr>
              <w:pStyle w:val="Instructions"/>
              <w:jc w:val="left"/>
            </w:pPr>
            <w:r>
              <w:t>The eligibility form will contain tick boxes containing individual statements taken from ECOG performance status scales and criteria.  The form will also contain yes/no eligibility questions relating to ECOG status. This will be double checked by confirming at registration.</w:t>
            </w:r>
          </w:p>
        </w:tc>
        <w:tc>
          <w:tcPr>
            <w:tcW w:w="3364" w:type="dxa"/>
          </w:tcPr>
          <w:p w14:paraId="3134FA5B" w14:textId="408CA786" w:rsidR="00537C54" w:rsidRPr="00C12E3C" w:rsidRDefault="00537C54" w:rsidP="002868D3">
            <w:pPr>
              <w:pStyle w:val="Instructions"/>
              <w:jc w:val="left"/>
            </w:pPr>
            <w:r>
              <w:t>On-site monitoring will include source data verification to ensure ECOG performance status recorded in the medical notes is consistent with the ECOG status recorded on the eligibility form and registration form.</w:t>
            </w:r>
          </w:p>
        </w:tc>
      </w:tr>
      <w:tr w:rsidR="00537C54" w:rsidRPr="00C12E3C" w14:paraId="7ECC8419" w14:textId="77777777" w:rsidTr="00FD5879">
        <w:trPr>
          <w:cantSplit/>
          <w:trHeight w:val="524"/>
        </w:trPr>
        <w:tc>
          <w:tcPr>
            <w:tcW w:w="2864" w:type="dxa"/>
            <w:vMerge/>
          </w:tcPr>
          <w:p w14:paraId="71A30098" w14:textId="77777777" w:rsidR="00537C54" w:rsidRPr="00B60926" w:rsidRDefault="00537C54" w:rsidP="0035289A">
            <w:pPr>
              <w:pStyle w:val="Tableheadings"/>
            </w:pPr>
          </w:p>
        </w:tc>
        <w:tc>
          <w:tcPr>
            <w:tcW w:w="1220" w:type="dxa"/>
          </w:tcPr>
          <w:p w14:paraId="3017CA93" w14:textId="77777777" w:rsidR="00537C54" w:rsidRPr="00714F0C" w:rsidRDefault="00000000" w:rsidP="002868D3">
            <w:pPr>
              <w:pStyle w:val="Instructions"/>
              <w:jc w:val="left"/>
            </w:pPr>
            <w:sdt>
              <w:sdtPr>
                <w:id w:val="-2140486923"/>
                <w14:checkbox>
                  <w14:checked w14:val="1"/>
                  <w14:checkedState w14:val="2612" w14:font="MS Gothic"/>
                  <w14:uncheckedState w14:val="2610" w14:font="MS Gothic"/>
                </w14:checkbox>
              </w:sdtPr>
              <w:sdtContent>
                <w:r w:rsidR="00537C54">
                  <w:rPr>
                    <w:rFonts w:ascii="MS Gothic" w:eastAsia="MS Gothic" w:hAnsi="MS Gothic" w:hint="eastAsia"/>
                  </w:rPr>
                  <w:t>☒</w:t>
                </w:r>
              </w:sdtContent>
            </w:sdt>
            <w:r w:rsidR="00537C54" w:rsidRPr="00714F0C">
              <w:t xml:space="preserve"> Yes</w:t>
            </w:r>
          </w:p>
          <w:p w14:paraId="1BC3396E" w14:textId="77777777" w:rsidR="00537C54" w:rsidRPr="00714F0C" w:rsidRDefault="00000000" w:rsidP="002868D3">
            <w:pPr>
              <w:jc w:val="left"/>
            </w:pPr>
            <w:sdt>
              <w:sdtPr>
                <w:id w:val="-2074040918"/>
                <w14:checkbox>
                  <w14:checked w14:val="0"/>
                  <w14:checkedState w14:val="2612" w14:font="MS Gothic"/>
                  <w14:uncheckedState w14:val="2610" w14:font="MS Gothic"/>
                </w14:checkbox>
              </w:sdtPr>
              <w:sdtContent>
                <w:r w:rsidR="00537C54" w:rsidRPr="00714F0C">
                  <w:rPr>
                    <w:rFonts w:ascii="MS Gothic" w:eastAsia="MS Gothic" w:hAnsi="MS Gothic" w:hint="eastAsia"/>
                  </w:rPr>
                  <w:t>☐</w:t>
                </w:r>
              </w:sdtContent>
            </w:sdt>
            <w:r w:rsidR="00537C54" w:rsidRPr="00714F0C">
              <w:t xml:space="preserve"> No</w:t>
            </w:r>
          </w:p>
          <w:p w14:paraId="155ABDAF" w14:textId="2B7EE423" w:rsidR="00537C54" w:rsidRDefault="00000000" w:rsidP="002868D3">
            <w:pPr>
              <w:jc w:val="left"/>
            </w:pPr>
            <w:sdt>
              <w:sdtPr>
                <w:id w:val="-1125077035"/>
                <w14:checkbox>
                  <w14:checked w14:val="0"/>
                  <w14:checkedState w14:val="2612" w14:font="MS Gothic"/>
                  <w14:uncheckedState w14:val="2610" w14:font="MS Gothic"/>
                </w14:checkbox>
              </w:sdtPr>
              <w:sdtContent>
                <w:r w:rsidR="00537C54">
                  <w:rPr>
                    <w:rFonts w:ascii="MS Gothic" w:eastAsia="MS Gothic" w:hAnsi="MS Gothic" w:hint="eastAsia"/>
                  </w:rPr>
                  <w:t>☐</w:t>
                </w:r>
              </w:sdtContent>
            </w:sdt>
            <w:r w:rsidR="00537C54" w:rsidRPr="00714F0C">
              <w:t xml:space="preserve"> N/A</w:t>
            </w:r>
          </w:p>
        </w:tc>
        <w:tc>
          <w:tcPr>
            <w:tcW w:w="3444" w:type="dxa"/>
          </w:tcPr>
          <w:p w14:paraId="552B9CCB" w14:textId="3E02EEE1" w:rsidR="00537C54" w:rsidRDefault="00537C54" w:rsidP="002868D3">
            <w:pPr>
              <w:pStyle w:val="Instructions"/>
              <w:jc w:val="left"/>
            </w:pPr>
            <w:r>
              <w:t>There is a risk of ineligible patients being enrolled as such a rare disease, symptoms may be misleading.</w:t>
            </w:r>
          </w:p>
        </w:tc>
        <w:tc>
          <w:tcPr>
            <w:tcW w:w="3473" w:type="dxa"/>
          </w:tcPr>
          <w:p w14:paraId="052AF6C2" w14:textId="1192F140" w:rsidR="00537C54" w:rsidRDefault="00537C54" w:rsidP="002868D3">
            <w:pPr>
              <w:pStyle w:val="Instructions"/>
              <w:jc w:val="left"/>
            </w:pPr>
            <w:r>
              <w:t>Only Investigators experienced in this disease site that have diagnosed and treated cases before will be able to randomise.</w:t>
            </w:r>
          </w:p>
        </w:tc>
        <w:tc>
          <w:tcPr>
            <w:tcW w:w="3364" w:type="dxa"/>
          </w:tcPr>
          <w:p w14:paraId="5C49303D" w14:textId="4D3DF0FA" w:rsidR="00537C54" w:rsidRDefault="00537C54" w:rsidP="002868D3">
            <w:pPr>
              <w:pStyle w:val="Instructions"/>
              <w:jc w:val="left"/>
            </w:pPr>
            <w:r>
              <w:t xml:space="preserve">On-site monitoring will include checking patients meet eligibility criteria. </w:t>
            </w:r>
          </w:p>
        </w:tc>
      </w:tr>
      <w:tr w:rsidR="000A5ED4" w:rsidRPr="00C12E3C" w14:paraId="6F9C20EF" w14:textId="77777777" w:rsidTr="00FD5879">
        <w:trPr>
          <w:cantSplit/>
          <w:trHeight w:val="524"/>
        </w:trPr>
        <w:tc>
          <w:tcPr>
            <w:tcW w:w="2864" w:type="dxa"/>
          </w:tcPr>
          <w:p w14:paraId="3B49D2BD" w14:textId="77777777" w:rsidR="000A5ED4" w:rsidRPr="002868D3" w:rsidRDefault="000A5ED4" w:rsidP="002868D3">
            <w:pPr>
              <w:jc w:val="left"/>
              <w:rPr>
                <w:b/>
                <w:bCs/>
              </w:rPr>
            </w:pPr>
            <w:r w:rsidRPr="002868D3">
              <w:rPr>
                <w:b/>
                <w:bCs/>
              </w:rPr>
              <w:lastRenderedPageBreak/>
              <w:t>Randomisation procedure</w:t>
            </w:r>
          </w:p>
          <w:p w14:paraId="1A266605" w14:textId="77777777" w:rsidR="000A5ED4" w:rsidRDefault="000A5ED4" w:rsidP="002868D3">
            <w:pPr>
              <w:jc w:val="left"/>
            </w:pPr>
            <w:r>
              <w:t xml:space="preserve">E.g. </w:t>
            </w:r>
          </w:p>
          <w:p w14:paraId="4E247A9F" w14:textId="77777777" w:rsidR="000A5ED4" w:rsidRDefault="000A5ED4" w:rsidP="0035289A">
            <w:pPr>
              <w:jc w:val="left"/>
            </w:pPr>
            <w:r w:rsidRPr="00B60926">
              <w:t>Is there any possibility that the treatment allocation might be predicted prior to randomisation?</w:t>
            </w:r>
            <w:r>
              <w:t xml:space="preserve"> </w:t>
            </w:r>
          </w:p>
          <w:p w14:paraId="6881176D" w14:textId="77777777" w:rsidR="000A5ED4" w:rsidRDefault="000A5ED4" w:rsidP="0035289A">
            <w:pPr>
              <w:jc w:val="left"/>
            </w:pPr>
            <w:r>
              <w:t>Are there any aspects of the process surrounding randomisation that may cause errors to be made at site e.g. where site assigns next medication box number?</w:t>
            </w:r>
          </w:p>
          <w:p w14:paraId="3E09EEEE" w14:textId="3B6C9F7E" w:rsidR="000A5ED4" w:rsidRPr="000A5ED4" w:rsidRDefault="000A5ED4" w:rsidP="0035289A">
            <w:pPr>
              <w:pStyle w:val="Tableheadings"/>
              <w:rPr>
                <w:b w:val="0"/>
                <w:bCs w:val="0"/>
              </w:rPr>
            </w:pPr>
            <w:r w:rsidRPr="000F5C93">
              <w:rPr>
                <w:rFonts w:cs="Arial"/>
                <w:b w:val="0"/>
                <w:bCs w:val="0"/>
                <w:color w:val="auto"/>
                <w:spacing w:val="0"/>
                <w:kern w:val="0"/>
                <w:szCs w:val="20"/>
              </w:rPr>
              <w:t>Is there any possibility for randomisation not to be possible e.g. electronic systems go down?</w:t>
            </w:r>
          </w:p>
        </w:tc>
        <w:tc>
          <w:tcPr>
            <w:tcW w:w="1220" w:type="dxa"/>
          </w:tcPr>
          <w:p w14:paraId="512F7805" w14:textId="77777777" w:rsidR="000A5ED4" w:rsidRPr="00714F0C" w:rsidRDefault="00000000" w:rsidP="002868D3">
            <w:pPr>
              <w:pStyle w:val="Instructions"/>
              <w:jc w:val="left"/>
            </w:pPr>
            <w:sdt>
              <w:sdtPr>
                <w:id w:val="466939243"/>
                <w14:checkbox>
                  <w14:checked w14:val="1"/>
                  <w14:checkedState w14:val="2612" w14:font="MS Gothic"/>
                  <w14:uncheckedState w14:val="2610" w14:font="MS Gothic"/>
                </w14:checkbox>
              </w:sdtPr>
              <w:sdtContent>
                <w:r w:rsidR="000A5ED4">
                  <w:rPr>
                    <w:rFonts w:ascii="MS Gothic" w:eastAsia="MS Gothic" w:hAnsi="MS Gothic" w:hint="eastAsia"/>
                  </w:rPr>
                  <w:t>☒</w:t>
                </w:r>
              </w:sdtContent>
            </w:sdt>
            <w:r w:rsidR="000A5ED4" w:rsidRPr="00714F0C">
              <w:t xml:space="preserve"> Yes</w:t>
            </w:r>
          </w:p>
          <w:p w14:paraId="251C2A17" w14:textId="77777777" w:rsidR="000A5ED4" w:rsidRPr="00714F0C" w:rsidRDefault="00000000" w:rsidP="002868D3">
            <w:pPr>
              <w:jc w:val="left"/>
            </w:pPr>
            <w:sdt>
              <w:sdtPr>
                <w:id w:val="-1665459614"/>
                <w14:checkbox>
                  <w14:checked w14:val="0"/>
                  <w14:checkedState w14:val="2612" w14:font="MS Gothic"/>
                  <w14:uncheckedState w14:val="2610" w14:font="MS Gothic"/>
                </w14:checkbox>
              </w:sdtPr>
              <w:sdtContent>
                <w:r w:rsidR="000A5ED4" w:rsidRPr="00714F0C">
                  <w:rPr>
                    <w:rFonts w:ascii="MS Gothic" w:eastAsia="MS Gothic" w:hAnsi="MS Gothic" w:hint="eastAsia"/>
                  </w:rPr>
                  <w:t>☐</w:t>
                </w:r>
              </w:sdtContent>
            </w:sdt>
            <w:r w:rsidR="000A5ED4" w:rsidRPr="00714F0C">
              <w:t xml:space="preserve"> No</w:t>
            </w:r>
          </w:p>
          <w:p w14:paraId="1E200218" w14:textId="448778C4" w:rsidR="000A5ED4" w:rsidRDefault="00000000" w:rsidP="002868D3">
            <w:pPr>
              <w:jc w:val="left"/>
            </w:pPr>
            <w:sdt>
              <w:sdtPr>
                <w:id w:val="1627273164"/>
                <w14:checkbox>
                  <w14:checked w14:val="0"/>
                  <w14:checkedState w14:val="2612" w14:font="MS Gothic"/>
                  <w14:uncheckedState w14:val="2610" w14:font="MS Gothic"/>
                </w14:checkbox>
              </w:sdtPr>
              <w:sdtContent>
                <w:r w:rsidR="000A5ED4">
                  <w:rPr>
                    <w:rFonts w:ascii="MS Gothic" w:eastAsia="MS Gothic" w:hAnsi="MS Gothic" w:hint="eastAsia"/>
                  </w:rPr>
                  <w:t>☐</w:t>
                </w:r>
              </w:sdtContent>
            </w:sdt>
            <w:r w:rsidR="000A5ED4" w:rsidRPr="00714F0C">
              <w:t xml:space="preserve"> N/A</w:t>
            </w:r>
          </w:p>
        </w:tc>
        <w:tc>
          <w:tcPr>
            <w:tcW w:w="3444" w:type="dxa"/>
          </w:tcPr>
          <w:p w14:paraId="4CFD2032" w14:textId="1C30CAD3" w:rsidR="000A5ED4" w:rsidRDefault="000A5ED4" w:rsidP="002868D3">
            <w:pPr>
              <w:pStyle w:val="Instructions"/>
              <w:jc w:val="left"/>
            </w:pPr>
            <w:r>
              <w:t>External Sponsor has provided their own web-based randomisation service, concern with potential access issues/ system failure.</w:t>
            </w:r>
          </w:p>
        </w:tc>
        <w:tc>
          <w:tcPr>
            <w:tcW w:w="3473" w:type="dxa"/>
          </w:tcPr>
          <w:p w14:paraId="25C8F0F6" w14:textId="16E1CF68" w:rsidR="000A5ED4" w:rsidRDefault="000A5ED4" w:rsidP="002868D3">
            <w:pPr>
              <w:pStyle w:val="Instructions"/>
              <w:jc w:val="left"/>
            </w:pPr>
            <w:r>
              <w:t>Sponsor assures a back-up server system is in place and that usernames/passwords are registered for the Trials Office. They also operate a 24-hour help line in the event of any access issues.</w:t>
            </w:r>
          </w:p>
        </w:tc>
        <w:tc>
          <w:tcPr>
            <w:tcW w:w="3364" w:type="dxa"/>
          </w:tcPr>
          <w:p w14:paraId="28D0DC32" w14:textId="6FDE7895" w:rsidR="000A5ED4" w:rsidRDefault="000A5ED4" w:rsidP="002868D3">
            <w:pPr>
              <w:pStyle w:val="Instructions"/>
              <w:jc w:val="left"/>
            </w:pPr>
            <w:r>
              <w:t>N/A; monitoring not required.</w:t>
            </w:r>
          </w:p>
        </w:tc>
      </w:tr>
      <w:tr w:rsidR="004A6A9A" w:rsidRPr="00C12E3C" w14:paraId="521C8100" w14:textId="77777777" w:rsidTr="00FD5879">
        <w:trPr>
          <w:cantSplit/>
          <w:trHeight w:val="524"/>
        </w:trPr>
        <w:tc>
          <w:tcPr>
            <w:tcW w:w="2864" w:type="dxa"/>
            <w:vMerge w:val="restart"/>
          </w:tcPr>
          <w:p w14:paraId="603BA4E8" w14:textId="77777777" w:rsidR="004A6A9A" w:rsidRPr="002868D3" w:rsidRDefault="004A6A9A" w:rsidP="002868D3">
            <w:pPr>
              <w:jc w:val="left"/>
              <w:rPr>
                <w:b/>
                <w:bCs/>
              </w:rPr>
            </w:pPr>
            <w:r w:rsidRPr="002868D3">
              <w:rPr>
                <w:b/>
                <w:bCs/>
              </w:rPr>
              <w:t>Intervention</w:t>
            </w:r>
          </w:p>
          <w:p w14:paraId="6B32363D" w14:textId="77777777" w:rsidR="004A6A9A" w:rsidRDefault="004A6A9A" w:rsidP="0035289A">
            <w:pPr>
              <w:jc w:val="left"/>
            </w:pPr>
            <w:r>
              <w:t xml:space="preserve">E.g. </w:t>
            </w:r>
          </w:p>
          <w:p w14:paraId="0057B9D3" w14:textId="77777777" w:rsidR="004A6A9A" w:rsidRDefault="004A6A9A" w:rsidP="0035289A">
            <w:pPr>
              <w:jc w:val="left"/>
            </w:pPr>
            <w:r w:rsidRPr="00B60926">
              <w:t>Is it a complex intervention/treatment regimen which might be applied incorrectly?</w:t>
            </w:r>
          </w:p>
          <w:p w14:paraId="79A4101B" w14:textId="40808A46" w:rsidR="004A6A9A" w:rsidRPr="00793421" w:rsidRDefault="004A6A9A" w:rsidP="0035289A">
            <w:pPr>
              <w:pStyle w:val="Tableheadings"/>
              <w:rPr>
                <w:b w:val="0"/>
                <w:bCs w:val="0"/>
              </w:rPr>
            </w:pPr>
            <w:r w:rsidRPr="00793421">
              <w:rPr>
                <w:rFonts w:cs="Arial"/>
                <w:b w:val="0"/>
                <w:bCs w:val="0"/>
                <w:color w:val="auto"/>
                <w:spacing w:val="0"/>
                <w:kern w:val="0"/>
                <w:szCs w:val="20"/>
              </w:rPr>
              <w:t>If applicable, can process of dose escalation be easily followed?</w:t>
            </w:r>
          </w:p>
        </w:tc>
        <w:tc>
          <w:tcPr>
            <w:tcW w:w="1220" w:type="dxa"/>
          </w:tcPr>
          <w:p w14:paraId="72D0BCE5" w14:textId="77777777" w:rsidR="004A6A9A" w:rsidRPr="00714F0C" w:rsidRDefault="00000000" w:rsidP="002868D3">
            <w:pPr>
              <w:pStyle w:val="Instructions"/>
              <w:jc w:val="left"/>
            </w:pPr>
            <w:sdt>
              <w:sdtPr>
                <w:id w:val="1288472746"/>
                <w14:checkbox>
                  <w14:checked w14:val="1"/>
                  <w14:checkedState w14:val="2612" w14:font="MS Gothic"/>
                  <w14:uncheckedState w14:val="2610" w14:font="MS Gothic"/>
                </w14:checkbox>
              </w:sdtPr>
              <w:sdtContent>
                <w:r w:rsidR="004A6A9A">
                  <w:rPr>
                    <w:rFonts w:ascii="MS Gothic" w:eastAsia="MS Gothic" w:hAnsi="MS Gothic" w:hint="eastAsia"/>
                  </w:rPr>
                  <w:t>☒</w:t>
                </w:r>
              </w:sdtContent>
            </w:sdt>
            <w:r w:rsidR="004A6A9A" w:rsidRPr="00714F0C">
              <w:t xml:space="preserve"> Yes</w:t>
            </w:r>
          </w:p>
          <w:p w14:paraId="4CEB8B30" w14:textId="77777777" w:rsidR="004A6A9A" w:rsidRPr="00714F0C" w:rsidRDefault="00000000" w:rsidP="002868D3">
            <w:pPr>
              <w:jc w:val="left"/>
            </w:pPr>
            <w:sdt>
              <w:sdtPr>
                <w:id w:val="1146084631"/>
                <w14:checkbox>
                  <w14:checked w14:val="0"/>
                  <w14:checkedState w14:val="2612" w14:font="MS Gothic"/>
                  <w14:uncheckedState w14:val="2610" w14:font="MS Gothic"/>
                </w14:checkbox>
              </w:sdtPr>
              <w:sdtContent>
                <w:r w:rsidR="004A6A9A" w:rsidRPr="00714F0C">
                  <w:rPr>
                    <w:rFonts w:ascii="MS Gothic" w:eastAsia="MS Gothic" w:hAnsi="MS Gothic" w:hint="eastAsia"/>
                  </w:rPr>
                  <w:t>☐</w:t>
                </w:r>
              </w:sdtContent>
            </w:sdt>
            <w:r w:rsidR="004A6A9A" w:rsidRPr="00714F0C">
              <w:t xml:space="preserve"> No</w:t>
            </w:r>
          </w:p>
          <w:p w14:paraId="260AD1BF" w14:textId="03477CCB" w:rsidR="004A6A9A" w:rsidRDefault="00000000" w:rsidP="002868D3">
            <w:pPr>
              <w:jc w:val="left"/>
            </w:pPr>
            <w:sdt>
              <w:sdtPr>
                <w:id w:val="787094501"/>
                <w14:checkbox>
                  <w14:checked w14:val="0"/>
                  <w14:checkedState w14:val="2612" w14:font="MS Gothic"/>
                  <w14:uncheckedState w14:val="2610" w14:font="MS Gothic"/>
                </w14:checkbox>
              </w:sdtPr>
              <w:sdtContent>
                <w:r w:rsidR="004A6A9A">
                  <w:rPr>
                    <w:rFonts w:ascii="MS Gothic" w:eastAsia="MS Gothic" w:hAnsi="MS Gothic" w:hint="eastAsia"/>
                  </w:rPr>
                  <w:t>☐</w:t>
                </w:r>
              </w:sdtContent>
            </w:sdt>
            <w:r w:rsidR="004A6A9A" w:rsidRPr="00714F0C">
              <w:t xml:space="preserve"> N/A</w:t>
            </w:r>
          </w:p>
        </w:tc>
        <w:tc>
          <w:tcPr>
            <w:tcW w:w="3444" w:type="dxa"/>
          </w:tcPr>
          <w:p w14:paraId="081D62A2" w14:textId="688B2EBE" w:rsidR="004A6A9A" w:rsidRDefault="004A6A9A" w:rsidP="002868D3">
            <w:pPr>
              <w:pStyle w:val="Instructions"/>
              <w:jc w:val="left"/>
            </w:pPr>
            <w:r>
              <w:t>The study involves the use of intensity modulated radiotherapy. The treatment is intensified i.e. radiotherapy dose delivered to the cancer is increased over 5 weeks.</w:t>
            </w:r>
          </w:p>
        </w:tc>
        <w:tc>
          <w:tcPr>
            <w:tcW w:w="3473" w:type="dxa"/>
          </w:tcPr>
          <w:p w14:paraId="3E8D154E" w14:textId="77777777" w:rsidR="004A6A9A" w:rsidRDefault="004A6A9A" w:rsidP="002868D3">
            <w:pPr>
              <w:pStyle w:val="Instructions"/>
              <w:jc w:val="left"/>
            </w:pPr>
            <w:r>
              <w:t xml:space="preserve">Only Investigators with appropriate training will be treating patients. Treatment will occur at a single investigator site that has experience in approximately 100 cases using this technique. </w:t>
            </w:r>
          </w:p>
          <w:p w14:paraId="6A5D96F3" w14:textId="4577197E" w:rsidR="004A6A9A" w:rsidRDefault="004A6A9A" w:rsidP="002868D3">
            <w:pPr>
              <w:pStyle w:val="Instructions"/>
              <w:jc w:val="left"/>
            </w:pPr>
            <w:r>
              <w:t xml:space="preserve">There will be strict adherence to the radiotherapy contouring protocol with a contouring review exercise prior to commencement.  </w:t>
            </w:r>
          </w:p>
        </w:tc>
        <w:tc>
          <w:tcPr>
            <w:tcW w:w="3364" w:type="dxa"/>
          </w:tcPr>
          <w:p w14:paraId="2374C7AA" w14:textId="0519CD8B" w:rsidR="004A6A9A" w:rsidRDefault="004A6A9A" w:rsidP="002868D3">
            <w:pPr>
              <w:pStyle w:val="Instructions"/>
              <w:jc w:val="left"/>
            </w:pPr>
            <w:r>
              <w:t xml:space="preserve">Monitoring will include </w:t>
            </w:r>
            <w:r w:rsidRPr="00835B78">
              <w:t>check</w:t>
            </w:r>
            <w:r>
              <w:t>ing</w:t>
            </w:r>
            <w:r w:rsidRPr="00835B78">
              <w:t xml:space="preserve"> that the contouring review exercise has been performed by </w:t>
            </w:r>
            <w:r>
              <w:t>c</w:t>
            </w:r>
            <w:r w:rsidRPr="00835B78">
              <w:t xml:space="preserve">onsultants prior to any treatment of </w:t>
            </w:r>
            <w:r>
              <w:t>p</w:t>
            </w:r>
            <w:r w:rsidRPr="00835B78">
              <w:t xml:space="preserve">atients by reviewing the date the exercise was performed and the date the </w:t>
            </w:r>
            <w:r>
              <w:t>p</w:t>
            </w:r>
            <w:r w:rsidRPr="00835B78">
              <w:t>atient received treatment</w:t>
            </w:r>
            <w:r w:rsidRPr="009E0B09">
              <w:t>.</w:t>
            </w:r>
          </w:p>
        </w:tc>
      </w:tr>
      <w:tr w:rsidR="004A6A9A" w:rsidRPr="00C12E3C" w14:paraId="4C3D26A5" w14:textId="77777777" w:rsidTr="00FD5879">
        <w:trPr>
          <w:cantSplit/>
          <w:trHeight w:val="524"/>
        </w:trPr>
        <w:tc>
          <w:tcPr>
            <w:tcW w:w="2864" w:type="dxa"/>
            <w:vMerge/>
          </w:tcPr>
          <w:p w14:paraId="08FF4610" w14:textId="77777777" w:rsidR="004A6A9A" w:rsidRPr="00B60926" w:rsidRDefault="004A6A9A" w:rsidP="0035289A">
            <w:pPr>
              <w:pStyle w:val="Tableheadings"/>
            </w:pPr>
          </w:p>
        </w:tc>
        <w:tc>
          <w:tcPr>
            <w:tcW w:w="1220" w:type="dxa"/>
          </w:tcPr>
          <w:p w14:paraId="044F4866" w14:textId="77777777" w:rsidR="004A6A9A" w:rsidRPr="00714F0C" w:rsidRDefault="00000000" w:rsidP="002868D3">
            <w:pPr>
              <w:pStyle w:val="Instructions"/>
              <w:jc w:val="left"/>
            </w:pPr>
            <w:sdt>
              <w:sdtPr>
                <w:id w:val="-1827815193"/>
                <w14:checkbox>
                  <w14:checked w14:val="1"/>
                  <w14:checkedState w14:val="2612" w14:font="MS Gothic"/>
                  <w14:uncheckedState w14:val="2610" w14:font="MS Gothic"/>
                </w14:checkbox>
              </w:sdtPr>
              <w:sdtContent>
                <w:r w:rsidR="004A6A9A">
                  <w:rPr>
                    <w:rFonts w:ascii="MS Gothic" w:eastAsia="MS Gothic" w:hAnsi="MS Gothic" w:hint="eastAsia"/>
                  </w:rPr>
                  <w:t>☒</w:t>
                </w:r>
              </w:sdtContent>
            </w:sdt>
            <w:r w:rsidR="004A6A9A" w:rsidRPr="00714F0C">
              <w:t xml:space="preserve"> Yes</w:t>
            </w:r>
          </w:p>
          <w:p w14:paraId="7099359D" w14:textId="77777777" w:rsidR="004A6A9A" w:rsidRPr="00714F0C" w:rsidRDefault="00000000" w:rsidP="002868D3">
            <w:pPr>
              <w:jc w:val="left"/>
            </w:pPr>
            <w:sdt>
              <w:sdtPr>
                <w:id w:val="-745720215"/>
                <w14:checkbox>
                  <w14:checked w14:val="0"/>
                  <w14:checkedState w14:val="2612" w14:font="MS Gothic"/>
                  <w14:uncheckedState w14:val="2610" w14:font="MS Gothic"/>
                </w14:checkbox>
              </w:sdtPr>
              <w:sdtContent>
                <w:r w:rsidR="004A6A9A" w:rsidRPr="00714F0C">
                  <w:rPr>
                    <w:rFonts w:ascii="MS Gothic" w:eastAsia="MS Gothic" w:hAnsi="MS Gothic" w:hint="eastAsia"/>
                  </w:rPr>
                  <w:t>☐</w:t>
                </w:r>
              </w:sdtContent>
            </w:sdt>
            <w:r w:rsidR="004A6A9A" w:rsidRPr="00714F0C">
              <w:t xml:space="preserve"> No</w:t>
            </w:r>
          </w:p>
          <w:p w14:paraId="442F886A" w14:textId="40AAA998" w:rsidR="004A6A9A" w:rsidRDefault="00000000" w:rsidP="002868D3">
            <w:pPr>
              <w:jc w:val="left"/>
            </w:pPr>
            <w:sdt>
              <w:sdtPr>
                <w:id w:val="-1318569181"/>
                <w14:checkbox>
                  <w14:checked w14:val="0"/>
                  <w14:checkedState w14:val="2612" w14:font="MS Gothic"/>
                  <w14:uncheckedState w14:val="2610" w14:font="MS Gothic"/>
                </w14:checkbox>
              </w:sdtPr>
              <w:sdtContent>
                <w:r w:rsidR="004A6A9A">
                  <w:rPr>
                    <w:rFonts w:ascii="MS Gothic" w:eastAsia="MS Gothic" w:hAnsi="MS Gothic" w:hint="eastAsia"/>
                  </w:rPr>
                  <w:t>☐</w:t>
                </w:r>
              </w:sdtContent>
            </w:sdt>
            <w:r w:rsidR="004A6A9A" w:rsidRPr="00714F0C">
              <w:t xml:space="preserve"> N/A</w:t>
            </w:r>
          </w:p>
        </w:tc>
        <w:tc>
          <w:tcPr>
            <w:tcW w:w="3444" w:type="dxa"/>
          </w:tcPr>
          <w:p w14:paraId="6E91119D" w14:textId="6E38F2E0" w:rsidR="004A6A9A" w:rsidRDefault="004A6A9A" w:rsidP="002868D3">
            <w:pPr>
              <w:pStyle w:val="Instructions"/>
              <w:jc w:val="left"/>
            </w:pPr>
            <w:r w:rsidRPr="00E04FDA">
              <w:t xml:space="preserve">Complex treatment schedule requiring </w:t>
            </w:r>
            <w:r>
              <w:t>p</w:t>
            </w:r>
            <w:r w:rsidRPr="00E04FDA">
              <w:t>atients to attend 3 separate hospital departments on the first day of treatment</w:t>
            </w:r>
            <w:r>
              <w:t>. D</w:t>
            </w:r>
            <w:r w:rsidRPr="00E04FDA">
              <w:t>elivery of a highly potent drug in the 2</w:t>
            </w:r>
            <w:r w:rsidRPr="00E04FDA">
              <w:rPr>
                <w:vertAlign w:val="superscript"/>
              </w:rPr>
              <w:t>nd</w:t>
            </w:r>
            <w:r w:rsidRPr="00E04FDA">
              <w:t xml:space="preserve"> department </w:t>
            </w:r>
            <w:r>
              <w:t>that</w:t>
            </w:r>
            <w:r w:rsidRPr="00E04FDA">
              <w:t xml:space="preserve"> must also be given at an exact measure. Timing of chemotherapy agents is precise and wi</w:t>
            </w:r>
            <w:r>
              <w:t>l</w:t>
            </w:r>
            <w:r w:rsidRPr="00E04FDA">
              <w:t>l need close monitoring.</w:t>
            </w:r>
          </w:p>
        </w:tc>
        <w:tc>
          <w:tcPr>
            <w:tcW w:w="3473" w:type="dxa"/>
          </w:tcPr>
          <w:p w14:paraId="4E5D9C56" w14:textId="19CA603B" w:rsidR="004A6A9A" w:rsidRDefault="004A6A9A" w:rsidP="002868D3">
            <w:pPr>
              <w:pStyle w:val="Instructions"/>
              <w:jc w:val="left"/>
            </w:pPr>
            <w:r w:rsidRPr="00E04FDA">
              <w:t xml:space="preserve">Sites will be trained on the importance of treatment timing at </w:t>
            </w:r>
            <w:r>
              <w:t>site i</w:t>
            </w:r>
            <w:r w:rsidRPr="00E04FDA">
              <w:t xml:space="preserve">nitiation. A checklist will be provided so that each department will be able to see each time the treatment was administered, and each team will be required to sign off their treatment section (with start/finish times for the treatment given).  </w:t>
            </w:r>
          </w:p>
        </w:tc>
        <w:tc>
          <w:tcPr>
            <w:tcW w:w="3364" w:type="dxa"/>
          </w:tcPr>
          <w:p w14:paraId="78436315" w14:textId="03DA7DCC" w:rsidR="004A6A9A" w:rsidRDefault="004A6A9A" w:rsidP="002868D3">
            <w:pPr>
              <w:pStyle w:val="Instructions"/>
              <w:jc w:val="left"/>
            </w:pPr>
            <w:r w:rsidRPr="00E04FDA">
              <w:t>Thi</w:t>
            </w:r>
            <w:r>
              <w:t>s checklist along with treatment CRF</w:t>
            </w:r>
            <w:r w:rsidRPr="00E04FDA">
              <w:t xml:space="preserve">s will be requested immediately after treatment and will be checked </w:t>
            </w:r>
            <w:r>
              <w:t>in-house to</w:t>
            </w:r>
            <w:r w:rsidRPr="00E04FDA">
              <w:t xml:space="preserve"> ensure that not only </w:t>
            </w:r>
            <w:r>
              <w:t xml:space="preserve">has </w:t>
            </w:r>
            <w:r w:rsidRPr="00E04FDA">
              <w:t>the correct dose been delivered but that the timing was exact. The prescription forms and accountability logs will also be collect</w:t>
            </w:r>
            <w:r>
              <w:t>ed and cross-</w:t>
            </w:r>
            <w:r w:rsidRPr="00E04FDA">
              <w:t>checked</w:t>
            </w:r>
            <w:r>
              <w:t xml:space="preserve">. </w:t>
            </w:r>
          </w:p>
        </w:tc>
      </w:tr>
      <w:tr w:rsidR="004A6A9A" w:rsidRPr="00C12E3C" w14:paraId="79888BB5" w14:textId="77777777" w:rsidTr="00FD5879">
        <w:trPr>
          <w:cantSplit/>
          <w:trHeight w:val="524"/>
        </w:trPr>
        <w:tc>
          <w:tcPr>
            <w:tcW w:w="2864" w:type="dxa"/>
            <w:vMerge/>
          </w:tcPr>
          <w:p w14:paraId="084BC319" w14:textId="77777777" w:rsidR="004A6A9A" w:rsidRPr="00B60926" w:rsidRDefault="004A6A9A" w:rsidP="0035289A">
            <w:pPr>
              <w:pStyle w:val="Tableheadings"/>
            </w:pPr>
          </w:p>
        </w:tc>
        <w:tc>
          <w:tcPr>
            <w:tcW w:w="1220" w:type="dxa"/>
          </w:tcPr>
          <w:p w14:paraId="6E9C2BB2" w14:textId="77777777" w:rsidR="004A6A9A" w:rsidRPr="00714F0C" w:rsidRDefault="00000000" w:rsidP="002868D3">
            <w:pPr>
              <w:pStyle w:val="Instructions"/>
              <w:jc w:val="left"/>
            </w:pPr>
            <w:sdt>
              <w:sdtPr>
                <w:id w:val="-786889098"/>
                <w14:checkbox>
                  <w14:checked w14:val="1"/>
                  <w14:checkedState w14:val="2612" w14:font="MS Gothic"/>
                  <w14:uncheckedState w14:val="2610" w14:font="MS Gothic"/>
                </w14:checkbox>
              </w:sdtPr>
              <w:sdtContent>
                <w:r w:rsidR="004A6A9A">
                  <w:rPr>
                    <w:rFonts w:ascii="MS Gothic" w:eastAsia="MS Gothic" w:hAnsi="MS Gothic" w:hint="eastAsia"/>
                  </w:rPr>
                  <w:t>☒</w:t>
                </w:r>
              </w:sdtContent>
            </w:sdt>
            <w:r w:rsidR="004A6A9A" w:rsidRPr="00714F0C">
              <w:t xml:space="preserve"> Yes</w:t>
            </w:r>
          </w:p>
          <w:p w14:paraId="784539BB" w14:textId="77777777" w:rsidR="004A6A9A" w:rsidRPr="00714F0C" w:rsidRDefault="00000000" w:rsidP="002868D3">
            <w:pPr>
              <w:jc w:val="left"/>
            </w:pPr>
            <w:sdt>
              <w:sdtPr>
                <w:id w:val="454990012"/>
                <w14:checkbox>
                  <w14:checked w14:val="0"/>
                  <w14:checkedState w14:val="2612" w14:font="MS Gothic"/>
                  <w14:uncheckedState w14:val="2610" w14:font="MS Gothic"/>
                </w14:checkbox>
              </w:sdtPr>
              <w:sdtContent>
                <w:r w:rsidR="004A6A9A" w:rsidRPr="00714F0C">
                  <w:rPr>
                    <w:rFonts w:ascii="MS Gothic" w:eastAsia="MS Gothic" w:hAnsi="MS Gothic" w:hint="eastAsia"/>
                  </w:rPr>
                  <w:t>☐</w:t>
                </w:r>
              </w:sdtContent>
            </w:sdt>
            <w:r w:rsidR="004A6A9A" w:rsidRPr="00714F0C">
              <w:t xml:space="preserve"> No</w:t>
            </w:r>
          </w:p>
          <w:p w14:paraId="5D88431D" w14:textId="12C4B4B2" w:rsidR="004A6A9A" w:rsidRDefault="00000000" w:rsidP="002868D3">
            <w:pPr>
              <w:jc w:val="left"/>
            </w:pPr>
            <w:sdt>
              <w:sdtPr>
                <w:id w:val="-986010190"/>
                <w14:checkbox>
                  <w14:checked w14:val="0"/>
                  <w14:checkedState w14:val="2612" w14:font="MS Gothic"/>
                  <w14:uncheckedState w14:val="2610" w14:font="MS Gothic"/>
                </w14:checkbox>
              </w:sdtPr>
              <w:sdtContent>
                <w:r w:rsidR="004A6A9A">
                  <w:rPr>
                    <w:rFonts w:ascii="MS Gothic" w:eastAsia="MS Gothic" w:hAnsi="MS Gothic" w:hint="eastAsia"/>
                  </w:rPr>
                  <w:t>☐</w:t>
                </w:r>
              </w:sdtContent>
            </w:sdt>
            <w:r w:rsidR="004A6A9A" w:rsidRPr="00714F0C">
              <w:t xml:space="preserve"> N/A</w:t>
            </w:r>
          </w:p>
        </w:tc>
        <w:tc>
          <w:tcPr>
            <w:tcW w:w="3444" w:type="dxa"/>
          </w:tcPr>
          <w:p w14:paraId="4F838FBE" w14:textId="1F54CA96" w:rsidR="004A6A9A" w:rsidRDefault="004A6A9A" w:rsidP="002868D3">
            <w:pPr>
              <w:pStyle w:val="Instructions"/>
              <w:jc w:val="left"/>
            </w:pPr>
            <w:r w:rsidRPr="003668AF">
              <w:t xml:space="preserve">This trial uses a dose schedule finding algorithm with 7 potential dose schedules. A maximum of 4 of these will be tested during the </w:t>
            </w:r>
            <w:r>
              <w:t>trial</w:t>
            </w:r>
            <w:r w:rsidRPr="003668AF">
              <w:t xml:space="preserve"> and clear communication between the sponsor and sites is essential to ensure patients receive the correct assigned dose</w:t>
            </w:r>
            <w:r>
              <w:t>.</w:t>
            </w:r>
          </w:p>
        </w:tc>
        <w:tc>
          <w:tcPr>
            <w:tcW w:w="3473" w:type="dxa"/>
          </w:tcPr>
          <w:p w14:paraId="052E4E8F" w14:textId="12EC9FA2" w:rsidR="004A6A9A" w:rsidRDefault="004A6A9A" w:rsidP="002868D3">
            <w:pPr>
              <w:pStyle w:val="Instructions"/>
              <w:jc w:val="left"/>
            </w:pPr>
            <w:r w:rsidRPr="003668AF">
              <w:t xml:space="preserve">Following patient registration, </w:t>
            </w:r>
            <w:r>
              <w:t xml:space="preserve">the Trials Office </w:t>
            </w:r>
            <w:r w:rsidRPr="003668AF">
              <w:t xml:space="preserve">will inform sites of the assigned dose schedule for each individual patient which must be clearly documented and relayed to other members of the research team. </w:t>
            </w:r>
          </w:p>
        </w:tc>
        <w:tc>
          <w:tcPr>
            <w:tcW w:w="3364" w:type="dxa"/>
          </w:tcPr>
          <w:p w14:paraId="5C8871F4" w14:textId="1AB4B3BD" w:rsidR="004A6A9A" w:rsidRDefault="004A6A9A" w:rsidP="0035289A">
            <w:pPr>
              <w:pStyle w:val="Instructions"/>
              <w:jc w:val="left"/>
            </w:pPr>
            <w:r w:rsidRPr="004A6A9A">
              <w:rPr>
                <w:iCs w:val="0"/>
              </w:rPr>
              <w:t>Monitoring will include checking prescription that correct dose prescribed for cohort</w:t>
            </w:r>
            <w:r w:rsidRPr="004A6A9A">
              <w:rPr>
                <w:i w:val="0"/>
              </w:rPr>
              <w:t>.</w:t>
            </w:r>
          </w:p>
        </w:tc>
      </w:tr>
      <w:tr w:rsidR="001F37E1" w:rsidRPr="00C12E3C" w14:paraId="35C66A20" w14:textId="77777777" w:rsidTr="00FD5879">
        <w:trPr>
          <w:cantSplit/>
          <w:trHeight w:val="524"/>
        </w:trPr>
        <w:tc>
          <w:tcPr>
            <w:tcW w:w="2864" w:type="dxa"/>
            <w:vMerge w:val="restart"/>
          </w:tcPr>
          <w:p w14:paraId="2519E25E" w14:textId="77777777" w:rsidR="001F37E1" w:rsidRPr="002868D3" w:rsidRDefault="001F37E1" w:rsidP="002868D3">
            <w:pPr>
              <w:jc w:val="left"/>
              <w:rPr>
                <w:b/>
                <w:bCs/>
              </w:rPr>
            </w:pPr>
            <w:r w:rsidRPr="002868D3">
              <w:rPr>
                <w:b/>
                <w:bCs/>
              </w:rPr>
              <w:t>Management of intervention</w:t>
            </w:r>
          </w:p>
          <w:p w14:paraId="6D0E002B" w14:textId="77777777" w:rsidR="001F37E1" w:rsidRDefault="001F37E1" w:rsidP="002868D3">
            <w:pPr>
              <w:jc w:val="left"/>
            </w:pPr>
            <w:r>
              <w:t xml:space="preserve">E.g. </w:t>
            </w:r>
          </w:p>
          <w:p w14:paraId="4D297186" w14:textId="77777777" w:rsidR="001F37E1" w:rsidRPr="00B60926" w:rsidRDefault="001F37E1" w:rsidP="0035289A">
            <w:pPr>
              <w:jc w:val="left"/>
            </w:pPr>
            <w:r>
              <w:t>Consider any IMP supply, management, storage and dispensing requirements issues and impact/likelihood of non-adherence.</w:t>
            </w:r>
          </w:p>
          <w:p w14:paraId="5C5B4448" w14:textId="77777777" w:rsidR="001F37E1" w:rsidRPr="00B60926" w:rsidRDefault="001F37E1" w:rsidP="0035289A">
            <w:pPr>
              <w:pStyle w:val="Tableheadings"/>
            </w:pPr>
          </w:p>
        </w:tc>
        <w:tc>
          <w:tcPr>
            <w:tcW w:w="1220" w:type="dxa"/>
          </w:tcPr>
          <w:p w14:paraId="688B5A38" w14:textId="77777777" w:rsidR="001F37E1" w:rsidRPr="00714F0C" w:rsidRDefault="00000000" w:rsidP="002868D3">
            <w:pPr>
              <w:pStyle w:val="Instructions"/>
              <w:jc w:val="left"/>
            </w:pPr>
            <w:sdt>
              <w:sdtPr>
                <w:id w:val="147408765"/>
                <w14:checkbox>
                  <w14:checked w14:val="1"/>
                  <w14:checkedState w14:val="2612" w14:font="MS Gothic"/>
                  <w14:uncheckedState w14:val="2610" w14:font="MS Gothic"/>
                </w14:checkbox>
              </w:sdtPr>
              <w:sdtContent>
                <w:r w:rsidR="001F37E1">
                  <w:rPr>
                    <w:rFonts w:ascii="MS Gothic" w:eastAsia="MS Gothic" w:hAnsi="MS Gothic" w:hint="eastAsia"/>
                  </w:rPr>
                  <w:t>☒</w:t>
                </w:r>
              </w:sdtContent>
            </w:sdt>
            <w:r w:rsidR="001F37E1" w:rsidRPr="00714F0C">
              <w:t xml:space="preserve"> Yes</w:t>
            </w:r>
          </w:p>
          <w:p w14:paraId="451111AD" w14:textId="77777777" w:rsidR="001F37E1" w:rsidRPr="00714F0C" w:rsidRDefault="00000000" w:rsidP="002868D3">
            <w:pPr>
              <w:jc w:val="left"/>
            </w:pPr>
            <w:sdt>
              <w:sdtPr>
                <w:id w:val="-609358666"/>
                <w14:checkbox>
                  <w14:checked w14:val="0"/>
                  <w14:checkedState w14:val="2612" w14:font="MS Gothic"/>
                  <w14:uncheckedState w14:val="2610" w14:font="MS Gothic"/>
                </w14:checkbox>
              </w:sdtPr>
              <w:sdtContent>
                <w:r w:rsidR="001F37E1" w:rsidRPr="00714F0C">
                  <w:rPr>
                    <w:rFonts w:ascii="MS Gothic" w:eastAsia="MS Gothic" w:hAnsi="MS Gothic" w:hint="eastAsia"/>
                  </w:rPr>
                  <w:t>☐</w:t>
                </w:r>
              </w:sdtContent>
            </w:sdt>
            <w:r w:rsidR="001F37E1" w:rsidRPr="00714F0C">
              <w:t xml:space="preserve"> No</w:t>
            </w:r>
          </w:p>
          <w:p w14:paraId="34576303" w14:textId="3ADFF2F0" w:rsidR="001F37E1" w:rsidRPr="001B483F" w:rsidRDefault="00000000" w:rsidP="002868D3">
            <w:pPr>
              <w:pStyle w:val="Instructions"/>
              <w:jc w:val="left"/>
              <w:rPr>
                <w:i w:val="0"/>
                <w:iCs w:val="0"/>
              </w:rPr>
            </w:pPr>
            <w:sdt>
              <w:sdtPr>
                <w:rPr>
                  <w:i w:val="0"/>
                  <w:iCs w:val="0"/>
                  <w:color w:val="auto"/>
                </w:rPr>
                <w:id w:val="1806422663"/>
                <w14:checkbox>
                  <w14:checked w14:val="0"/>
                  <w14:checkedState w14:val="2612" w14:font="MS Gothic"/>
                  <w14:uncheckedState w14:val="2610" w14:font="MS Gothic"/>
                </w14:checkbox>
              </w:sdtPr>
              <w:sdtContent>
                <w:r w:rsidR="001F37E1" w:rsidRPr="001B483F">
                  <w:rPr>
                    <w:rFonts w:ascii="MS Gothic" w:eastAsia="MS Gothic" w:hAnsi="MS Gothic" w:hint="eastAsia"/>
                    <w:i w:val="0"/>
                    <w:iCs w:val="0"/>
                    <w:color w:val="auto"/>
                  </w:rPr>
                  <w:t>☐</w:t>
                </w:r>
              </w:sdtContent>
            </w:sdt>
            <w:r w:rsidR="001F37E1" w:rsidRPr="001B483F">
              <w:rPr>
                <w:i w:val="0"/>
                <w:iCs w:val="0"/>
                <w:color w:val="auto"/>
              </w:rPr>
              <w:t xml:space="preserve"> N/A</w:t>
            </w:r>
          </w:p>
        </w:tc>
        <w:tc>
          <w:tcPr>
            <w:tcW w:w="3444" w:type="dxa"/>
          </w:tcPr>
          <w:p w14:paraId="177E304D" w14:textId="21C7EF98" w:rsidR="001F37E1" w:rsidRPr="003668AF" w:rsidRDefault="001F37E1" w:rsidP="002868D3">
            <w:pPr>
              <w:pStyle w:val="Instructions"/>
              <w:jc w:val="left"/>
            </w:pPr>
            <w:r>
              <w:t>One arm of the trial treatment uses an IMP supplied by Belgium who use a company in China for the mechanism to deliver the IMP.  If there are any supply issues from either country the particular treatment arm of the trial will not be available, and the arms will therefore be unbalanced.</w:t>
            </w:r>
          </w:p>
        </w:tc>
        <w:tc>
          <w:tcPr>
            <w:tcW w:w="3473" w:type="dxa"/>
          </w:tcPr>
          <w:p w14:paraId="5F0FB504" w14:textId="0E3F5BC9" w:rsidR="001F37E1" w:rsidRPr="003668AF" w:rsidRDefault="001F37E1" w:rsidP="002868D3">
            <w:pPr>
              <w:pStyle w:val="Instructions"/>
              <w:jc w:val="left"/>
            </w:pPr>
            <w:r>
              <w:t>Assurances have been sought from both suppliers that there is sufficient stock to supply the trial for its duration.</w:t>
            </w:r>
          </w:p>
        </w:tc>
        <w:tc>
          <w:tcPr>
            <w:tcW w:w="3364" w:type="dxa"/>
          </w:tcPr>
          <w:p w14:paraId="78A03962" w14:textId="2FB0DF06" w:rsidR="001F37E1" w:rsidRPr="004A6A9A" w:rsidRDefault="001F37E1" w:rsidP="0035289A">
            <w:pPr>
              <w:pStyle w:val="Instructions"/>
              <w:jc w:val="left"/>
              <w:rPr>
                <w:iCs w:val="0"/>
              </w:rPr>
            </w:pPr>
            <w:r>
              <w:t>In-house monitoring to ensure that usability of the stock is efficient and not wasteful to ensure demand for new/additional supplies will not be required.</w:t>
            </w:r>
          </w:p>
        </w:tc>
      </w:tr>
      <w:tr w:rsidR="001F37E1" w:rsidRPr="00C12E3C" w14:paraId="595AD7FD" w14:textId="77777777" w:rsidTr="00FD5879">
        <w:trPr>
          <w:cantSplit/>
          <w:trHeight w:val="524"/>
        </w:trPr>
        <w:tc>
          <w:tcPr>
            <w:tcW w:w="2864" w:type="dxa"/>
            <w:vMerge/>
          </w:tcPr>
          <w:p w14:paraId="138D500A" w14:textId="77777777" w:rsidR="001F37E1" w:rsidRDefault="001F37E1" w:rsidP="0035289A">
            <w:pPr>
              <w:pStyle w:val="Tableheadings"/>
            </w:pPr>
          </w:p>
        </w:tc>
        <w:tc>
          <w:tcPr>
            <w:tcW w:w="1220" w:type="dxa"/>
          </w:tcPr>
          <w:p w14:paraId="00CCD9DC" w14:textId="77777777" w:rsidR="001F37E1" w:rsidRPr="00714F0C" w:rsidRDefault="00000000" w:rsidP="002868D3">
            <w:pPr>
              <w:pStyle w:val="Instructions"/>
              <w:jc w:val="left"/>
            </w:pPr>
            <w:sdt>
              <w:sdtPr>
                <w:id w:val="-973368478"/>
                <w14:checkbox>
                  <w14:checked w14:val="1"/>
                  <w14:checkedState w14:val="2612" w14:font="MS Gothic"/>
                  <w14:uncheckedState w14:val="2610" w14:font="MS Gothic"/>
                </w14:checkbox>
              </w:sdtPr>
              <w:sdtContent>
                <w:r w:rsidR="001F37E1">
                  <w:rPr>
                    <w:rFonts w:ascii="MS Gothic" w:eastAsia="MS Gothic" w:hAnsi="MS Gothic" w:hint="eastAsia"/>
                  </w:rPr>
                  <w:t>☒</w:t>
                </w:r>
              </w:sdtContent>
            </w:sdt>
            <w:r w:rsidR="001F37E1" w:rsidRPr="00714F0C">
              <w:t xml:space="preserve"> Yes</w:t>
            </w:r>
          </w:p>
          <w:p w14:paraId="4DCE8B7D" w14:textId="77777777" w:rsidR="001F37E1" w:rsidRPr="00714F0C" w:rsidRDefault="00000000" w:rsidP="002868D3">
            <w:pPr>
              <w:jc w:val="left"/>
            </w:pPr>
            <w:sdt>
              <w:sdtPr>
                <w:id w:val="-2139103824"/>
                <w14:checkbox>
                  <w14:checked w14:val="0"/>
                  <w14:checkedState w14:val="2612" w14:font="MS Gothic"/>
                  <w14:uncheckedState w14:val="2610" w14:font="MS Gothic"/>
                </w14:checkbox>
              </w:sdtPr>
              <w:sdtContent>
                <w:r w:rsidR="001F37E1" w:rsidRPr="00714F0C">
                  <w:rPr>
                    <w:rFonts w:ascii="MS Gothic" w:eastAsia="MS Gothic" w:hAnsi="MS Gothic" w:hint="eastAsia"/>
                  </w:rPr>
                  <w:t>☐</w:t>
                </w:r>
              </w:sdtContent>
            </w:sdt>
            <w:r w:rsidR="001F37E1" w:rsidRPr="00714F0C">
              <w:t xml:space="preserve"> No</w:t>
            </w:r>
          </w:p>
          <w:p w14:paraId="2F4451DF" w14:textId="07CA0797" w:rsidR="001F37E1" w:rsidRDefault="00000000" w:rsidP="002868D3">
            <w:pPr>
              <w:jc w:val="left"/>
            </w:pPr>
            <w:sdt>
              <w:sdtPr>
                <w:id w:val="308673729"/>
                <w14:checkbox>
                  <w14:checked w14:val="0"/>
                  <w14:checkedState w14:val="2612" w14:font="MS Gothic"/>
                  <w14:uncheckedState w14:val="2610" w14:font="MS Gothic"/>
                </w14:checkbox>
              </w:sdtPr>
              <w:sdtContent>
                <w:r w:rsidR="001F37E1">
                  <w:rPr>
                    <w:rFonts w:ascii="MS Gothic" w:eastAsia="MS Gothic" w:hAnsi="MS Gothic" w:hint="eastAsia"/>
                  </w:rPr>
                  <w:t>☐</w:t>
                </w:r>
              </w:sdtContent>
            </w:sdt>
            <w:r w:rsidR="001F37E1" w:rsidRPr="00714F0C">
              <w:t xml:space="preserve"> N/A</w:t>
            </w:r>
          </w:p>
        </w:tc>
        <w:tc>
          <w:tcPr>
            <w:tcW w:w="3444" w:type="dxa"/>
          </w:tcPr>
          <w:p w14:paraId="6B05A15D" w14:textId="6C91EE3D" w:rsidR="001F37E1" w:rsidRDefault="001F37E1" w:rsidP="002868D3">
            <w:pPr>
              <w:pStyle w:val="Instructions"/>
              <w:jc w:val="left"/>
            </w:pPr>
            <w:r>
              <w:t>The IMP has to be temperature controlled and shipped at -10</w:t>
            </w:r>
            <w:r>
              <w:rPr>
                <w:vertAlign w:val="superscript"/>
              </w:rPr>
              <w:t>o</w:t>
            </w:r>
            <w:r>
              <w:t>C. It must also be at the site within 3 hours.</w:t>
            </w:r>
          </w:p>
        </w:tc>
        <w:tc>
          <w:tcPr>
            <w:tcW w:w="3473" w:type="dxa"/>
          </w:tcPr>
          <w:p w14:paraId="520C6651" w14:textId="356D97D1" w:rsidR="001F37E1" w:rsidRDefault="001F37E1" w:rsidP="002868D3">
            <w:pPr>
              <w:pStyle w:val="Instructions"/>
              <w:jc w:val="left"/>
            </w:pPr>
            <w:r>
              <w:t xml:space="preserve">A specialist company that is already used by the supplier has been employed to transfer the IMP to sites. </w:t>
            </w:r>
          </w:p>
        </w:tc>
        <w:tc>
          <w:tcPr>
            <w:tcW w:w="3364" w:type="dxa"/>
          </w:tcPr>
          <w:p w14:paraId="40BE233E" w14:textId="4865F7EE" w:rsidR="001F37E1" w:rsidRDefault="001F37E1" w:rsidP="0035289A">
            <w:pPr>
              <w:pStyle w:val="Instructions"/>
              <w:jc w:val="left"/>
            </w:pPr>
            <w:r>
              <w:t>Monitoring will include checking the shipment and delivery times to ensure that the protocol requirements are being adhered to.</w:t>
            </w:r>
          </w:p>
        </w:tc>
      </w:tr>
      <w:tr w:rsidR="001A0404" w:rsidRPr="00C12E3C" w14:paraId="175B1B31" w14:textId="77777777" w:rsidTr="00FD5879">
        <w:trPr>
          <w:cantSplit/>
          <w:trHeight w:val="524"/>
        </w:trPr>
        <w:tc>
          <w:tcPr>
            <w:tcW w:w="2864" w:type="dxa"/>
            <w:vMerge w:val="restart"/>
          </w:tcPr>
          <w:p w14:paraId="71DB2B62" w14:textId="77777777" w:rsidR="001A0404" w:rsidRPr="002868D3" w:rsidRDefault="001A0404" w:rsidP="002868D3">
            <w:pPr>
              <w:jc w:val="left"/>
              <w:rPr>
                <w:b/>
                <w:bCs/>
              </w:rPr>
            </w:pPr>
            <w:r w:rsidRPr="002868D3">
              <w:rPr>
                <w:b/>
                <w:bCs/>
              </w:rPr>
              <w:lastRenderedPageBreak/>
              <w:t>Blinding</w:t>
            </w:r>
          </w:p>
          <w:p w14:paraId="001C551A" w14:textId="77777777" w:rsidR="001A0404" w:rsidRDefault="001A0404" w:rsidP="002868D3">
            <w:pPr>
              <w:jc w:val="left"/>
            </w:pPr>
            <w:r>
              <w:t xml:space="preserve">E.g. </w:t>
            </w:r>
          </w:p>
          <w:p w14:paraId="59F97BB8" w14:textId="77777777" w:rsidR="001A0404" w:rsidRDefault="001A0404" w:rsidP="002868D3">
            <w:pPr>
              <w:jc w:val="left"/>
            </w:pPr>
            <w:r w:rsidRPr="00B60926">
              <w:t>If it is required is there any risk that it could be ineffective?</w:t>
            </w:r>
            <w:r>
              <w:t xml:space="preserve"> </w:t>
            </w:r>
          </w:p>
          <w:p w14:paraId="530C214E" w14:textId="77777777" w:rsidR="001A0404" w:rsidRDefault="001A0404" w:rsidP="002868D3">
            <w:pPr>
              <w:jc w:val="left"/>
            </w:pPr>
            <w:r>
              <w:t>Does the unblinding method provide 24-hour cover with the appropriate level backup and failover processes?</w:t>
            </w:r>
          </w:p>
          <w:p w14:paraId="13667EF0" w14:textId="77777777" w:rsidR="001A0404" w:rsidRDefault="001A0404" w:rsidP="002868D3">
            <w:pPr>
              <w:jc w:val="left"/>
            </w:pPr>
            <w:r>
              <w:t xml:space="preserve">Is blinding to be performed by local pharmacies? </w:t>
            </w:r>
          </w:p>
          <w:p w14:paraId="5E20693E" w14:textId="77777777" w:rsidR="001A0404" w:rsidRDefault="001A0404" w:rsidP="002868D3">
            <w:pPr>
              <w:jc w:val="left"/>
            </w:pPr>
            <w:r>
              <w:t>Could there be any unblinding during the course of the trial?</w:t>
            </w:r>
          </w:p>
          <w:p w14:paraId="249D62E6" w14:textId="77777777" w:rsidR="00B60897" w:rsidRDefault="00B60897" w:rsidP="002868D3">
            <w:pPr>
              <w:jc w:val="left"/>
            </w:pPr>
            <w:r>
              <w:t>Could a clinical event effectively unblind the patient or group to which the patient was randomised?</w:t>
            </w:r>
          </w:p>
          <w:p w14:paraId="44E7E028" w14:textId="77777777" w:rsidR="00B60897" w:rsidRDefault="00B60897" w:rsidP="002868D3">
            <w:pPr>
              <w:jc w:val="left"/>
            </w:pPr>
            <w:r>
              <w:t>Is there a robust unblinding procedure for reporting SUSARs?</w:t>
            </w:r>
          </w:p>
          <w:p w14:paraId="0E8F26C4" w14:textId="77777777" w:rsidR="00B60897" w:rsidRDefault="00B60897" w:rsidP="002868D3">
            <w:pPr>
              <w:jc w:val="left"/>
            </w:pPr>
            <w:r>
              <w:t>Are the IMP and placebo distinguishable? E.g. by weight, appearance, smell and/or taste.</w:t>
            </w:r>
          </w:p>
          <w:p w14:paraId="24CEE494" w14:textId="77777777" w:rsidR="00B60897" w:rsidRDefault="00B60897" w:rsidP="002868D3">
            <w:pPr>
              <w:jc w:val="left"/>
            </w:pPr>
            <w:r>
              <w:t>Will there be unblinded team members? Could blinded staff be inadvertently exposed to allocation information?</w:t>
            </w:r>
          </w:p>
          <w:p w14:paraId="737A0A36" w14:textId="3023BE29" w:rsidR="009A1B65" w:rsidRDefault="00B60897" w:rsidP="002868D3">
            <w:pPr>
              <w:jc w:val="left"/>
            </w:pPr>
            <w:r>
              <w:t>How will information that could lead to unblinding be kept secure?</w:t>
            </w:r>
            <w:r>
              <w:tab/>
            </w:r>
          </w:p>
          <w:p w14:paraId="3C3287D4" w14:textId="77777777" w:rsidR="001A0404" w:rsidRDefault="001A0404" w:rsidP="0035289A">
            <w:pPr>
              <w:pStyle w:val="Tableheadings"/>
            </w:pPr>
          </w:p>
        </w:tc>
        <w:tc>
          <w:tcPr>
            <w:tcW w:w="1220" w:type="dxa"/>
          </w:tcPr>
          <w:p w14:paraId="1C72683C" w14:textId="77777777" w:rsidR="001A0404" w:rsidRPr="00714F0C" w:rsidRDefault="00000000" w:rsidP="002868D3">
            <w:pPr>
              <w:pStyle w:val="Instructions"/>
              <w:jc w:val="left"/>
            </w:pPr>
            <w:sdt>
              <w:sdtPr>
                <w:id w:val="-1970269670"/>
                <w14:checkbox>
                  <w14:checked w14:val="1"/>
                  <w14:checkedState w14:val="2612" w14:font="MS Gothic"/>
                  <w14:uncheckedState w14:val="2610" w14:font="MS Gothic"/>
                </w14:checkbox>
              </w:sdtPr>
              <w:sdtContent>
                <w:r w:rsidR="001A0404">
                  <w:rPr>
                    <w:rFonts w:ascii="MS Gothic" w:eastAsia="MS Gothic" w:hAnsi="MS Gothic" w:hint="eastAsia"/>
                  </w:rPr>
                  <w:t>☒</w:t>
                </w:r>
              </w:sdtContent>
            </w:sdt>
            <w:r w:rsidR="001A0404" w:rsidRPr="00714F0C">
              <w:t xml:space="preserve"> Yes</w:t>
            </w:r>
          </w:p>
          <w:p w14:paraId="6C15912C" w14:textId="77777777" w:rsidR="001A0404" w:rsidRPr="00714F0C" w:rsidRDefault="00000000" w:rsidP="002868D3">
            <w:pPr>
              <w:jc w:val="left"/>
            </w:pPr>
            <w:sdt>
              <w:sdtPr>
                <w:id w:val="-933813880"/>
                <w14:checkbox>
                  <w14:checked w14:val="0"/>
                  <w14:checkedState w14:val="2612" w14:font="MS Gothic"/>
                  <w14:uncheckedState w14:val="2610" w14:font="MS Gothic"/>
                </w14:checkbox>
              </w:sdtPr>
              <w:sdtContent>
                <w:r w:rsidR="001A0404" w:rsidRPr="00714F0C">
                  <w:rPr>
                    <w:rFonts w:ascii="MS Gothic" w:eastAsia="MS Gothic" w:hAnsi="MS Gothic" w:hint="eastAsia"/>
                  </w:rPr>
                  <w:t>☐</w:t>
                </w:r>
              </w:sdtContent>
            </w:sdt>
            <w:r w:rsidR="001A0404" w:rsidRPr="00714F0C">
              <w:t xml:space="preserve"> No</w:t>
            </w:r>
          </w:p>
          <w:p w14:paraId="79919E3D" w14:textId="126F3ADA" w:rsidR="001A0404" w:rsidRDefault="00000000" w:rsidP="002868D3">
            <w:pPr>
              <w:jc w:val="left"/>
            </w:pPr>
            <w:sdt>
              <w:sdtPr>
                <w:id w:val="-1363287865"/>
                <w14:checkbox>
                  <w14:checked w14:val="0"/>
                  <w14:checkedState w14:val="2612" w14:font="MS Gothic"/>
                  <w14:uncheckedState w14:val="2610" w14:font="MS Gothic"/>
                </w14:checkbox>
              </w:sdtPr>
              <w:sdtContent>
                <w:r w:rsidR="001A0404">
                  <w:rPr>
                    <w:rFonts w:ascii="MS Gothic" w:eastAsia="MS Gothic" w:hAnsi="MS Gothic" w:hint="eastAsia"/>
                  </w:rPr>
                  <w:t>☐</w:t>
                </w:r>
              </w:sdtContent>
            </w:sdt>
            <w:r w:rsidR="001A0404" w:rsidRPr="00714F0C">
              <w:t xml:space="preserve"> N/A</w:t>
            </w:r>
          </w:p>
        </w:tc>
        <w:tc>
          <w:tcPr>
            <w:tcW w:w="3444" w:type="dxa"/>
          </w:tcPr>
          <w:p w14:paraId="50316608" w14:textId="77777777" w:rsidR="001A0404" w:rsidRDefault="001A0404" w:rsidP="002868D3">
            <w:pPr>
              <w:pStyle w:val="Instructions"/>
              <w:jc w:val="left"/>
            </w:pPr>
            <w:r>
              <w:t xml:space="preserve">As this is a small trial (recruiting 100 patients), unblinding procedures will be performed by local pharmacies. This could affect objectivity and result in inappropriate unblinding. </w:t>
            </w:r>
          </w:p>
          <w:p w14:paraId="62707C46" w14:textId="77777777" w:rsidR="001A0404" w:rsidRDefault="001A0404" w:rsidP="002868D3">
            <w:pPr>
              <w:pStyle w:val="Instructions"/>
              <w:jc w:val="left"/>
            </w:pPr>
          </w:p>
        </w:tc>
        <w:tc>
          <w:tcPr>
            <w:tcW w:w="3473" w:type="dxa"/>
          </w:tcPr>
          <w:p w14:paraId="12241A86" w14:textId="77777777" w:rsidR="001A0404" w:rsidRPr="008B757D" w:rsidRDefault="001A0404" w:rsidP="002868D3">
            <w:pPr>
              <w:pStyle w:val="Instructions"/>
              <w:jc w:val="left"/>
              <w:rPr>
                <w:color w:val="000000"/>
              </w:rPr>
            </w:pPr>
            <w:r>
              <w:t xml:space="preserve">Local pharmacies have been assessed to ensure they can provide this service.  The provision of this service is included within the site agreement. </w:t>
            </w:r>
          </w:p>
          <w:p w14:paraId="0E1A4373" w14:textId="77777777" w:rsidR="001A0404" w:rsidRPr="008B757D" w:rsidRDefault="001A0404" w:rsidP="002868D3">
            <w:pPr>
              <w:pStyle w:val="Instructions"/>
              <w:jc w:val="left"/>
            </w:pPr>
            <w:r>
              <w:t xml:space="preserve">Staff at sites will be trained that unblinding must only occur </w:t>
            </w:r>
            <w:r w:rsidRPr="008B757D">
              <w:t>where knowledge of the treatment is essential for the correct clinical care of the patient or where a person other than the patient has taken trial medication</w:t>
            </w:r>
            <w:r>
              <w:t>.</w:t>
            </w:r>
          </w:p>
          <w:p w14:paraId="105C7BD9" w14:textId="209A522B" w:rsidR="001A0404" w:rsidRDefault="001A0404" w:rsidP="002868D3">
            <w:pPr>
              <w:pStyle w:val="Instructions"/>
              <w:jc w:val="left"/>
            </w:pPr>
            <w:r w:rsidRPr="008B757D">
              <w:t xml:space="preserve">Site-specific instructions will be provided. </w:t>
            </w:r>
          </w:p>
        </w:tc>
        <w:tc>
          <w:tcPr>
            <w:tcW w:w="3364" w:type="dxa"/>
          </w:tcPr>
          <w:p w14:paraId="5B4F08B9" w14:textId="77777777" w:rsidR="001A0404" w:rsidRDefault="001A0404" w:rsidP="002868D3">
            <w:pPr>
              <w:pStyle w:val="Instructions"/>
              <w:jc w:val="left"/>
            </w:pPr>
            <w:r>
              <w:t>Quality checks on unblinding process will be performed.</w:t>
            </w:r>
          </w:p>
          <w:p w14:paraId="4707F552" w14:textId="020E7787" w:rsidR="001A0404" w:rsidRDefault="001A0404" w:rsidP="0035289A">
            <w:pPr>
              <w:pStyle w:val="Instructions"/>
              <w:jc w:val="left"/>
            </w:pPr>
            <w:r>
              <w:t>Monitoring will include checking that all sites are familiar with the process and the reasons for unblinding.</w:t>
            </w:r>
          </w:p>
        </w:tc>
      </w:tr>
      <w:tr w:rsidR="001A0404" w:rsidRPr="00C12E3C" w14:paraId="351551B4" w14:textId="77777777" w:rsidTr="00FD5879">
        <w:trPr>
          <w:cantSplit/>
          <w:trHeight w:val="524"/>
        </w:trPr>
        <w:tc>
          <w:tcPr>
            <w:tcW w:w="2864" w:type="dxa"/>
            <w:vMerge/>
          </w:tcPr>
          <w:p w14:paraId="0E2BFDFC" w14:textId="77777777" w:rsidR="001A0404" w:rsidRDefault="001A0404" w:rsidP="0035289A">
            <w:pPr>
              <w:pStyle w:val="Tableheadings"/>
            </w:pPr>
          </w:p>
        </w:tc>
        <w:tc>
          <w:tcPr>
            <w:tcW w:w="1220" w:type="dxa"/>
          </w:tcPr>
          <w:p w14:paraId="17F936B7" w14:textId="77777777" w:rsidR="001A0404" w:rsidRPr="00714F0C" w:rsidRDefault="00000000" w:rsidP="002868D3">
            <w:pPr>
              <w:pStyle w:val="Instructions"/>
              <w:jc w:val="left"/>
            </w:pPr>
            <w:sdt>
              <w:sdtPr>
                <w:id w:val="-147975563"/>
                <w14:checkbox>
                  <w14:checked w14:val="1"/>
                  <w14:checkedState w14:val="2612" w14:font="MS Gothic"/>
                  <w14:uncheckedState w14:val="2610" w14:font="MS Gothic"/>
                </w14:checkbox>
              </w:sdtPr>
              <w:sdtContent>
                <w:r w:rsidR="001A0404">
                  <w:rPr>
                    <w:rFonts w:ascii="MS Gothic" w:eastAsia="MS Gothic" w:hAnsi="MS Gothic" w:hint="eastAsia"/>
                  </w:rPr>
                  <w:t>☒</w:t>
                </w:r>
              </w:sdtContent>
            </w:sdt>
            <w:r w:rsidR="001A0404" w:rsidRPr="00714F0C">
              <w:t xml:space="preserve"> Yes</w:t>
            </w:r>
          </w:p>
          <w:p w14:paraId="4EB4BEB4" w14:textId="77777777" w:rsidR="001A0404" w:rsidRPr="00714F0C" w:rsidRDefault="00000000" w:rsidP="002868D3">
            <w:pPr>
              <w:jc w:val="left"/>
            </w:pPr>
            <w:sdt>
              <w:sdtPr>
                <w:id w:val="1765338309"/>
                <w14:checkbox>
                  <w14:checked w14:val="0"/>
                  <w14:checkedState w14:val="2612" w14:font="MS Gothic"/>
                  <w14:uncheckedState w14:val="2610" w14:font="MS Gothic"/>
                </w14:checkbox>
              </w:sdtPr>
              <w:sdtContent>
                <w:r w:rsidR="001A0404" w:rsidRPr="00714F0C">
                  <w:rPr>
                    <w:rFonts w:ascii="MS Gothic" w:eastAsia="MS Gothic" w:hAnsi="MS Gothic" w:hint="eastAsia"/>
                  </w:rPr>
                  <w:t>☐</w:t>
                </w:r>
              </w:sdtContent>
            </w:sdt>
            <w:r w:rsidR="001A0404" w:rsidRPr="00714F0C">
              <w:t xml:space="preserve"> No</w:t>
            </w:r>
          </w:p>
          <w:p w14:paraId="48BB523C" w14:textId="0704F063" w:rsidR="001A0404" w:rsidRDefault="00000000" w:rsidP="002868D3">
            <w:pPr>
              <w:jc w:val="left"/>
            </w:pPr>
            <w:sdt>
              <w:sdtPr>
                <w:id w:val="-1417471497"/>
                <w14:checkbox>
                  <w14:checked w14:val="0"/>
                  <w14:checkedState w14:val="2612" w14:font="MS Gothic"/>
                  <w14:uncheckedState w14:val="2610" w14:font="MS Gothic"/>
                </w14:checkbox>
              </w:sdtPr>
              <w:sdtContent>
                <w:r w:rsidR="001A0404">
                  <w:rPr>
                    <w:rFonts w:ascii="MS Gothic" w:eastAsia="MS Gothic" w:hAnsi="MS Gothic" w:hint="eastAsia"/>
                  </w:rPr>
                  <w:t>☐</w:t>
                </w:r>
              </w:sdtContent>
            </w:sdt>
            <w:r w:rsidR="001A0404" w:rsidRPr="00714F0C">
              <w:t xml:space="preserve"> N/A</w:t>
            </w:r>
          </w:p>
        </w:tc>
        <w:tc>
          <w:tcPr>
            <w:tcW w:w="3444" w:type="dxa"/>
          </w:tcPr>
          <w:p w14:paraId="554EAFA6" w14:textId="6386B624" w:rsidR="001A0404" w:rsidRDefault="001A0404" w:rsidP="002868D3">
            <w:pPr>
              <w:pStyle w:val="Instructions"/>
              <w:jc w:val="left"/>
            </w:pPr>
            <w:r>
              <w:t>This is a placebo controlled, double blinded trial. Unblinding will occur in the event of disease progression or an SAE where knowledge of the trial treatment is essential for patient care. Disease progression is known to be high and therefore there is a risk that frequent unblinding may occur and could lead to the site becoming aware of which patients are receiving the placebo and active drug. Disease progression is also an end point and this could lead to results being available early and visible to sites.</w:t>
            </w:r>
          </w:p>
        </w:tc>
        <w:tc>
          <w:tcPr>
            <w:tcW w:w="3473" w:type="dxa"/>
          </w:tcPr>
          <w:p w14:paraId="42067B6A" w14:textId="77777777" w:rsidR="001A0404" w:rsidRDefault="001A0404" w:rsidP="002868D3">
            <w:pPr>
              <w:pStyle w:val="Instructions"/>
              <w:jc w:val="left"/>
            </w:pPr>
            <w:r>
              <w:t>A 24-hour unblinding service will be provided and controlled by the Trials Office (office hours) and an external service provider outside of office hours. The caller will be asked to provide a brief reason for the unblinding requirement. Details of the unblinding procedures are located within the protocol, pharmacy file and on the patient card.</w:t>
            </w:r>
          </w:p>
          <w:p w14:paraId="46B543B4" w14:textId="77777777" w:rsidR="001A0404" w:rsidRDefault="001A0404" w:rsidP="002868D3">
            <w:pPr>
              <w:pStyle w:val="Instructions"/>
              <w:jc w:val="left"/>
            </w:pPr>
          </w:p>
        </w:tc>
        <w:tc>
          <w:tcPr>
            <w:tcW w:w="3364" w:type="dxa"/>
          </w:tcPr>
          <w:p w14:paraId="32F32669" w14:textId="0DB96069" w:rsidR="001A0404" w:rsidRDefault="001A0404" w:rsidP="002868D3">
            <w:pPr>
              <w:pStyle w:val="Instructions"/>
              <w:jc w:val="left"/>
            </w:pPr>
            <w:r>
              <w:t xml:space="preserve">Reasons for unblinding will be monitored in-house as will the number of patients unblinded. </w:t>
            </w:r>
          </w:p>
        </w:tc>
      </w:tr>
      <w:tr w:rsidR="00BA7571" w:rsidRPr="00C12E3C" w14:paraId="599705CB" w14:textId="77777777" w:rsidTr="00FD5879">
        <w:trPr>
          <w:cantSplit/>
          <w:trHeight w:val="524"/>
        </w:trPr>
        <w:tc>
          <w:tcPr>
            <w:tcW w:w="2864" w:type="dxa"/>
            <w:vMerge w:val="restart"/>
          </w:tcPr>
          <w:p w14:paraId="38AF41AB" w14:textId="77777777" w:rsidR="00BA7571" w:rsidRPr="002868D3" w:rsidRDefault="00BA7571" w:rsidP="002868D3">
            <w:pPr>
              <w:jc w:val="left"/>
              <w:rPr>
                <w:b/>
                <w:bCs/>
              </w:rPr>
            </w:pPr>
            <w:r w:rsidRPr="002868D3">
              <w:rPr>
                <w:b/>
                <w:bCs/>
              </w:rPr>
              <w:lastRenderedPageBreak/>
              <w:t>Outcome measures</w:t>
            </w:r>
          </w:p>
          <w:p w14:paraId="36770C2C" w14:textId="77777777" w:rsidR="00BA7571" w:rsidRDefault="00BA7571" w:rsidP="0035289A">
            <w:pPr>
              <w:jc w:val="left"/>
            </w:pPr>
            <w:r w:rsidRPr="001C4610">
              <w:t>(</w:t>
            </w:r>
            <w:r>
              <w:t>these should be defined in</w:t>
            </w:r>
            <w:r w:rsidRPr="001C4610">
              <w:t xml:space="preserve"> the grant application, ethics and the protocol)</w:t>
            </w:r>
          </w:p>
          <w:p w14:paraId="101ABFAA" w14:textId="77777777" w:rsidR="00BA7571" w:rsidRDefault="00BA7571" w:rsidP="0035289A">
            <w:pPr>
              <w:jc w:val="left"/>
            </w:pPr>
            <w:r>
              <w:t xml:space="preserve">E.g. </w:t>
            </w:r>
          </w:p>
          <w:p w14:paraId="6D37A1C4" w14:textId="77777777" w:rsidR="00BA7571" w:rsidRDefault="00BA7571" w:rsidP="0035289A">
            <w:pPr>
              <w:jc w:val="left"/>
            </w:pPr>
            <w:r w:rsidRPr="00B60926">
              <w:t>Are any key outcomes subjective, or require complex assessment?</w:t>
            </w:r>
            <w:r>
              <w:t xml:space="preserve"> </w:t>
            </w:r>
          </w:p>
          <w:p w14:paraId="212E3FF9" w14:textId="0A45C136" w:rsidR="00BA7571" w:rsidRDefault="00BA7571" w:rsidP="0035289A">
            <w:pPr>
              <w:jc w:val="left"/>
            </w:pPr>
            <w:r>
              <w:t>Is there potential for standardised assessment or external verification (e.g. death certificate)?</w:t>
            </w:r>
          </w:p>
        </w:tc>
        <w:tc>
          <w:tcPr>
            <w:tcW w:w="1220" w:type="dxa"/>
          </w:tcPr>
          <w:p w14:paraId="3111E266" w14:textId="77777777" w:rsidR="00BA7571" w:rsidRPr="00714F0C" w:rsidRDefault="00000000" w:rsidP="002868D3">
            <w:pPr>
              <w:pStyle w:val="Instructions"/>
              <w:jc w:val="left"/>
            </w:pPr>
            <w:sdt>
              <w:sdtPr>
                <w:id w:val="1326937119"/>
                <w14:checkbox>
                  <w14:checked w14:val="1"/>
                  <w14:checkedState w14:val="2612" w14:font="MS Gothic"/>
                  <w14:uncheckedState w14:val="2610" w14:font="MS Gothic"/>
                </w14:checkbox>
              </w:sdtPr>
              <w:sdtContent>
                <w:r w:rsidR="00BA7571">
                  <w:rPr>
                    <w:rFonts w:ascii="MS Gothic" w:eastAsia="MS Gothic" w:hAnsi="MS Gothic" w:hint="eastAsia"/>
                  </w:rPr>
                  <w:t>☒</w:t>
                </w:r>
              </w:sdtContent>
            </w:sdt>
            <w:r w:rsidR="00BA7571" w:rsidRPr="00714F0C">
              <w:t xml:space="preserve"> Yes</w:t>
            </w:r>
          </w:p>
          <w:p w14:paraId="16273C39" w14:textId="77777777" w:rsidR="00BA7571" w:rsidRPr="00714F0C" w:rsidRDefault="00000000" w:rsidP="002868D3">
            <w:pPr>
              <w:jc w:val="left"/>
            </w:pPr>
            <w:sdt>
              <w:sdtPr>
                <w:id w:val="453990775"/>
                <w14:checkbox>
                  <w14:checked w14:val="0"/>
                  <w14:checkedState w14:val="2612" w14:font="MS Gothic"/>
                  <w14:uncheckedState w14:val="2610" w14:font="MS Gothic"/>
                </w14:checkbox>
              </w:sdtPr>
              <w:sdtContent>
                <w:r w:rsidR="00BA7571" w:rsidRPr="00714F0C">
                  <w:rPr>
                    <w:rFonts w:ascii="MS Gothic" w:eastAsia="MS Gothic" w:hAnsi="MS Gothic" w:hint="eastAsia"/>
                  </w:rPr>
                  <w:t>☐</w:t>
                </w:r>
              </w:sdtContent>
            </w:sdt>
            <w:r w:rsidR="00BA7571" w:rsidRPr="00714F0C">
              <w:t xml:space="preserve"> No</w:t>
            </w:r>
          </w:p>
          <w:p w14:paraId="0658F865" w14:textId="7A3E1006" w:rsidR="00BA7571" w:rsidRDefault="00000000" w:rsidP="002868D3">
            <w:pPr>
              <w:jc w:val="left"/>
            </w:pPr>
            <w:sdt>
              <w:sdtPr>
                <w:id w:val="2084644278"/>
                <w14:checkbox>
                  <w14:checked w14:val="0"/>
                  <w14:checkedState w14:val="2612" w14:font="MS Gothic"/>
                  <w14:uncheckedState w14:val="2610" w14:font="MS Gothic"/>
                </w14:checkbox>
              </w:sdtPr>
              <w:sdtContent>
                <w:r w:rsidR="00BA7571">
                  <w:rPr>
                    <w:rFonts w:ascii="MS Gothic" w:eastAsia="MS Gothic" w:hAnsi="MS Gothic" w:hint="eastAsia"/>
                  </w:rPr>
                  <w:t>☐</w:t>
                </w:r>
              </w:sdtContent>
            </w:sdt>
            <w:r w:rsidR="00BA7571" w:rsidRPr="00714F0C">
              <w:t xml:space="preserve"> N/A</w:t>
            </w:r>
          </w:p>
        </w:tc>
        <w:tc>
          <w:tcPr>
            <w:tcW w:w="3444" w:type="dxa"/>
          </w:tcPr>
          <w:p w14:paraId="1E3DF25E" w14:textId="39F9B4A9" w:rsidR="00BA7571" w:rsidRDefault="00BA7571" w:rsidP="002868D3">
            <w:pPr>
              <w:pStyle w:val="Instructions"/>
              <w:jc w:val="left"/>
            </w:pPr>
            <w:r>
              <w:t>One of the outcome measures for the trial is complete pathological response.</w:t>
            </w:r>
          </w:p>
        </w:tc>
        <w:tc>
          <w:tcPr>
            <w:tcW w:w="3473" w:type="dxa"/>
          </w:tcPr>
          <w:p w14:paraId="4987B20D" w14:textId="3B948240" w:rsidR="00BA7571" w:rsidRDefault="00BA7571" w:rsidP="002868D3">
            <w:pPr>
              <w:pStyle w:val="Instructions"/>
              <w:jc w:val="left"/>
            </w:pPr>
            <w:r>
              <w:t xml:space="preserve">An in-house review of all pathology reports will be performed by two independent assessors to conclude if complete Pathological Response has occurred. A standard form will be completed for each patient and compared. Where there is disagreement a third independent assessor will make the final decision. </w:t>
            </w:r>
          </w:p>
        </w:tc>
        <w:tc>
          <w:tcPr>
            <w:tcW w:w="3364" w:type="dxa"/>
          </w:tcPr>
          <w:p w14:paraId="75C67582" w14:textId="4B559655" w:rsidR="00BA7571" w:rsidRDefault="00BA7571" w:rsidP="002868D3">
            <w:pPr>
              <w:pStyle w:val="Instructions"/>
              <w:jc w:val="left"/>
            </w:pPr>
            <w:r>
              <w:t>In-house monitoring will include checking that each patient report has been reviewed by two assessors and any differences concluded.</w:t>
            </w:r>
          </w:p>
        </w:tc>
      </w:tr>
      <w:tr w:rsidR="00BA7571" w:rsidRPr="00C12E3C" w14:paraId="0A6FADBC" w14:textId="77777777" w:rsidTr="00FD5879">
        <w:trPr>
          <w:cantSplit/>
          <w:trHeight w:val="524"/>
        </w:trPr>
        <w:tc>
          <w:tcPr>
            <w:tcW w:w="2864" w:type="dxa"/>
            <w:vMerge/>
          </w:tcPr>
          <w:p w14:paraId="2F050301" w14:textId="77777777" w:rsidR="00BA7571" w:rsidRDefault="00BA7571" w:rsidP="0035289A">
            <w:pPr>
              <w:pStyle w:val="Tableheadings"/>
            </w:pPr>
          </w:p>
        </w:tc>
        <w:tc>
          <w:tcPr>
            <w:tcW w:w="1220" w:type="dxa"/>
          </w:tcPr>
          <w:p w14:paraId="0A1AA06C" w14:textId="77777777" w:rsidR="00BA7571" w:rsidRPr="00714F0C" w:rsidRDefault="00000000" w:rsidP="002868D3">
            <w:pPr>
              <w:pStyle w:val="Instructions"/>
              <w:jc w:val="left"/>
            </w:pPr>
            <w:sdt>
              <w:sdtPr>
                <w:id w:val="-1807549693"/>
                <w14:checkbox>
                  <w14:checked w14:val="1"/>
                  <w14:checkedState w14:val="2612" w14:font="MS Gothic"/>
                  <w14:uncheckedState w14:val="2610" w14:font="MS Gothic"/>
                </w14:checkbox>
              </w:sdtPr>
              <w:sdtContent>
                <w:r w:rsidR="00BA7571">
                  <w:rPr>
                    <w:rFonts w:ascii="MS Gothic" w:eastAsia="MS Gothic" w:hAnsi="MS Gothic" w:hint="eastAsia"/>
                  </w:rPr>
                  <w:t>☒</w:t>
                </w:r>
              </w:sdtContent>
            </w:sdt>
            <w:r w:rsidR="00BA7571" w:rsidRPr="00714F0C">
              <w:t xml:space="preserve"> Yes</w:t>
            </w:r>
          </w:p>
          <w:p w14:paraId="3A88F96B" w14:textId="77777777" w:rsidR="00BA7571" w:rsidRPr="00714F0C" w:rsidRDefault="00000000" w:rsidP="002868D3">
            <w:pPr>
              <w:jc w:val="left"/>
            </w:pPr>
            <w:sdt>
              <w:sdtPr>
                <w:id w:val="157351234"/>
                <w14:checkbox>
                  <w14:checked w14:val="0"/>
                  <w14:checkedState w14:val="2612" w14:font="MS Gothic"/>
                  <w14:uncheckedState w14:val="2610" w14:font="MS Gothic"/>
                </w14:checkbox>
              </w:sdtPr>
              <w:sdtContent>
                <w:r w:rsidR="00BA7571" w:rsidRPr="00714F0C">
                  <w:rPr>
                    <w:rFonts w:ascii="MS Gothic" w:eastAsia="MS Gothic" w:hAnsi="MS Gothic" w:hint="eastAsia"/>
                  </w:rPr>
                  <w:t>☐</w:t>
                </w:r>
              </w:sdtContent>
            </w:sdt>
            <w:r w:rsidR="00BA7571" w:rsidRPr="00714F0C">
              <w:t xml:space="preserve"> No</w:t>
            </w:r>
          </w:p>
          <w:p w14:paraId="6E5109F0" w14:textId="33D561D4" w:rsidR="00BA7571" w:rsidRDefault="00000000" w:rsidP="002868D3">
            <w:pPr>
              <w:jc w:val="left"/>
            </w:pPr>
            <w:sdt>
              <w:sdtPr>
                <w:id w:val="895933099"/>
                <w14:checkbox>
                  <w14:checked w14:val="0"/>
                  <w14:checkedState w14:val="2612" w14:font="MS Gothic"/>
                  <w14:uncheckedState w14:val="2610" w14:font="MS Gothic"/>
                </w14:checkbox>
              </w:sdtPr>
              <w:sdtContent>
                <w:r w:rsidR="00BA7571">
                  <w:rPr>
                    <w:rFonts w:ascii="MS Gothic" w:eastAsia="MS Gothic" w:hAnsi="MS Gothic" w:hint="eastAsia"/>
                  </w:rPr>
                  <w:t>☐</w:t>
                </w:r>
              </w:sdtContent>
            </w:sdt>
            <w:r w:rsidR="00BA7571" w:rsidRPr="00714F0C">
              <w:t xml:space="preserve"> N/A</w:t>
            </w:r>
          </w:p>
        </w:tc>
        <w:tc>
          <w:tcPr>
            <w:tcW w:w="3444" w:type="dxa"/>
          </w:tcPr>
          <w:p w14:paraId="35F72E74" w14:textId="1C16C155" w:rsidR="00BA7571" w:rsidRDefault="00BA7571" w:rsidP="002868D3">
            <w:pPr>
              <w:pStyle w:val="Instructions"/>
              <w:jc w:val="left"/>
            </w:pPr>
            <w:r>
              <w:t>One of the secondary outcome measures for this trial is complete resection. Local surgeons and radiologists will be asked to judge the resectability of the tumour based on imaging.</w:t>
            </w:r>
          </w:p>
        </w:tc>
        <w:tc>
          <w:tcPr>
            <w:tcW w:w="3473" w:type="dxa"/>
          </w:tcPr>
          <w:p w14:paraId="66BDF221" w14:textId="3003A003" w:rsidR="00BA7571" w:rsidRDefault="00BA7571" w:rsidP="002868D3">
            <w:pPr>
              <w:pStyle w:val="Instructions"/>
              <w:jc w:val="left"/>
            </w:pPr>
            <w:r>
              <w:t>In order to assist sites in the decision-making process, an Advisory Radiology Panel has been established which will review and provide a final opinion on a specific patient’s imaging for cases where it is difficult to ascertain if the tumour has been resected.</w:t>
            </w:r>
          </w:p>
        </w:tc>
        <w:tc>
          <w:tcPr>
            <w:tcW w:w="3364" w:type="dxa"/>
          </w:tcPr>
          <w:p w14:paraId="1FFEBB99" w14:textId="161E6D88" w:rsidR="00BA7571" w:rsidRDefault="00BA7571" w:rsidP="002868D3">
            <w:pPr>
              <w:pStyle w:val="Instructions"/>
              <w:jc w:val="left"/>
            </w:pPr>
            <w:r>
              <w:t>N/A; monitoring not required.</w:t>
            </w:r>
          </w:p>
        </w:tc>
      </w:tr>
      <w:tr w:rsidR="00CE2D0B" w:rsidRPr="00C12E3C" w14:paraId="5D81BEAC" w14:textId="77777777" w:rsidTr="00FD5879">
        <w:trPr>
          <w:cantSplit/>
          <w:trHeight w:val="524"/>
        </w:trPr>
        <w:tc>
          <w:tcPr>
            <w:tcW w:w="2864" w:type="dxa"/>
            <w:vMerge w:val="restart"/>
          </w:tcPr>
          <w:p w14:paraId="0BA01E4F" w14:textId="77777777" w:rsidR="00CE2D0B" w:rsidRPr="002868D3" w:rsidRDefault="00CE2D0B" w:rsidP="002868D3">
            <w:pPr>
              <w:jc w:val="left"/>
              <w:rPr>
                <w:b/>
                <w:bCs/>
              </w:rPr>
            </w:pPr>
            <w:r w:rsidRPr="002868D3">
              <w:rPr>
                <w:b/>
                <w:bCs/>
              </w:rPr>
              <w:t>Sub-studies</w:t>
            </w:r>
          </w:p>
          <w:p w14:paraId="18B7792B" w14:textId="77777777" w:rsidR="00CE2D0B" w:rsidRPr="00BA1F58" w:rsidRDefault="00CE2D0B" w:rsidP="002868D3">
            <w:pPr>
              <w:jc w:val="left"/>
              <w:rPr>
                <w:b/>
              </w:rPr>
            </w:pPr>
            <w:r w:rsidRPr="002C743B">
              <w:t>E.g.</w:t>
            </w:r>
          </w:p>
          <w:p w14:paraId="51B03080" w14:textId="77777777" w:rsidR="00CE2D0B" w:rsidRPr="00BA1F58" w:rsidRDefault="00CE2D0B" w:rsidP="0035289A">
            <w:pPr>
              <w:jc w:val="left"/>
              <w:rPr>
                <w:b/>
              </w:rPr>
            </w:pPr>
            <w:r w:rsidRPr="002C743B">
              <w:t>Are there any issues with sample collection, storage, transfer of materials?</w:t>
            </w:r>
          </w:p>
          <w:p w14:paraId="6F417C15" w14:textId="77777777" w:rsidR="00CE2D0B" w:rsidRDefault="00CE2D0B" w:rsidP="0035289A">
            <w:pPr>
              <w:jc w:val="left"/>
              <w:rPr>
                <w:b/>
              </w:rPr>
            </w:pPr>
            <w:r w:rsidRPr="002C743B">
              <w:t>Obtaining consent for the sub</w:t>
            </w:r>
            <w:r>
              <w:t>-</w:t>
            </w:r>
            <w:r w:rsidRPr="002C743B">
              <w:t>study?</w:t>
            </w:r>
          </w:p>
          <w:p w14:paraId="3C842163" w14:textId="3E422CD0" w:rsidR="00CE2D0B" w:rsidRDefault="00CE2D0B" w:rsidP="0035289A">
            <w:pPr>
              <w:jc w:val="left"/>
            </w:pPr>
            <w:r>
              <w:t>Sending data to patients?</w:t>
            </w:r>
          </w:p>
        </w:tc>
        <w:tc>
          <w:tcPr>
            <w:tcW w:w="1220" w:type="dxa"/>
          </w:tcPr>
          <w:p w14:paraId="04264B61" w14:textId="77777777" w:rsidR="00CE2D0B" w:rsidRPr="00714F0C" w:rsidRDefault="00000000" w:rsidP="002868D3">
            <w:pPr>
              <w:pStyle w:val="Instructions"/>
              <w:jc w:val="left"/>
            </w:pPr>
            <w:sdt>
              <w:sdtPr>
                <w:id w:val="779532954"/>
                <w14:checkbox>
                  <w14:checked w14:val="1"/>
                  <w14:checkedState w14:val="2612" w14:font="MS Gothic"/>
                  <w14:uncheckedState w14:val="2610" w14:font="MS Gothic"/>
                </w14:checkbox>
              </w:sdtPr>
              <w:sdtContent>
                <w:r w:rsidR="00CE2D0B">
                  <w:rPr>
                    <w:rFonts w:ascii="MS Gothic" w:eastAsia="MS Gothic" w:hAnsi="MS Gothic" w:hint="eastAsia"/>
                  </w:rPr>
                  <w:t>☒</w:t>
                </w:r>
              </w:sdtContent>
            </w:sdt>
            <w:r w:rsidR="00CE2D0B" w:rsidRPr="00714F0C">
              <w:t xml:space="preserve"> Yes</w:t>
            </w:r>
          </w:p>
          <w:p w14:paraId="4C26836E" w14:textId="77777777" w:rsidR="00CE2D0B" w:rsidRPr="00714F0C" w:rsidRDefault="00000000" w:rsidP="002868D3">
            <w:pPr>
              <w:jc w:val="left"/>
            </w:pPr>
            <w:sdt>
              <w:sdtPr>
                <w:id w:val="61376237"/>
                <w14:checkbox>
                  <w14:checked w14:val="0"/>
                  <w14:checkedState w14:val="2612" w14:font="MS Gothic"/>
                  <w14:uncheckedState w14:val="2610" w14:font="MS Gothic"/>
                </w14:checkbox>
              </w:sdtPr>
              <w:sdtContent>
                <w:r w:rsidR="00CE2D0B" w:rsidRPr="00714F0C">
                  <w:rPr>
                    <w:rFonts w:ascii="MS Gothic" w:eastAsia="MS Gothic" w:hAnsi="MS Gothic" w:hint="eastAsia"/>
                  </w:rPr>
                  <w:t>☐</w:t>
                </w:r>
              </w:sdtContent>
            </w:sdt>
            <w:r w:rsidR="00CE2D0B" w:rsidRPr="00714F0C">
              <w:t xml:space="preserve"> No</w:t>
            </w:r>
          </w:p>
          <w:p w14:paraId="3401A7DC" w14:textId="7C8CFFD4" w:rsidR="00CE2D0B" w:rsidRDefault="00000000" w:rsidP="002868D3">
            <w:pPr>
              <w:jc w:val="left"/>
            </w:pPr>
            <w:sdt>
              <w:sdtPr>
                <w:id w:val="-1705252053"/>
                <w14:checkbox>
                  <w14:checked w14:val="0"/>
                  <w14:checkedState w14:val="2612" w14:font="MS Gothic"/>
                  <w14:uncheckedState w14:val="2610" w14:font="MS Gothic"/>
                </w14:checkbox>
              </w:sdtPr>
              <w:sdtContent>
                <w:r w:rsidR="00CE2D0B">
                  <w:rPr>
                    <w:rFonts w:ascii="MS Gothic" w:eastAsia="MS Gothic" w:hAnsi="MS Gothic" w:hint="eastAsia"/>
                  </w:rPr>
                  <w:t>☐</w:t>
                </w:r>
              </w:sdtContent>
            </w:sdt>
            <w:r w:rsidR="00CE2D0B" w:rsidRPr="00714F0C">
              <w:t xml:space="preserve"> N/A</w:t>
            </w:r>
          </w:p>
        </w:tc>
        <w:tc>
          <w:tcPr>
            <w:tcW w:w="3444" w:type="dxa"/>
          </w:tcPr>
          <w:p w14:paraId="3E91750B" w14:textId="483F654C" w:rsidR="00CE2D0B" w:rsidRDefault="00CE2D0B" w:rsidP="002868D3">
            <w:pPr>
              <w:pStyle w:val="Instructions"/>
              <w:jc w:val="left"/>
            </w:pPr>
            <w:r>
              <w:t>Sites will be asked to send different types of blood samples identifying the patient only by trial number via special delivery using Royal Mail containers. There is a risk that the samples may be lost in the postal system.</w:t>
            </w:r>
          </w:p>
        </w:tc>
        <w:tc>
          <w:tcPr>
            <w:tcW w:w="3473" w:type="dxa"/>
          </w:tcPr>
          <w:p w14:paraId="6D4403D4" w14:textId="431DE30F" w:rsidR="00CE2D0B" w:rsidRDefault="00CE2D0B" w:rsidP="002868D3">
            <w:pPr>
              <w:pStyle w:val="Instructions"/>
              <w:jc w:val="left"/>
            </w:pPr>
            <w:r>
              <w:t xml:space="preserve">Sites will be asked to divide the samples equally across two boxes to minimise the risk of 1 box becoming lost. </w:t>
            </w:r>
          </w:p>
        </w:tc>
        <w:tc>
          <w:tcPr>
            <w:tcW w:w="3364" w:type="dxa"/>
          </w:tcPr>
          <w:p w14:paraId="6553DE3D" w14:textId="6C9C971B" w:rsidR="00CE2D0B" w:rsidRDefault="00CE2D0B" w:rsidP="002868D3">
            <w:pPr>
              <w:pStyle w:val="Instructions"/>
              <w:jc w:val="left"/>
            </w:pPr>
            <w:r>
              <w:t>Deliveries will be centrally monitored and alternative transportation methods identified and used if there is an issue with this system.</w:t>
            </w:r>
          </w:p>
        </w:tc>
      </w:tr>
      <w:tr w:rsidR="000D76E8" w:rsidRPr="00C12E3C" w14:paraId="34419C4D" w14:textId="77777777" w:rsidTr="00FD5879">
        <w:trPr>
          <w:cantSplit/>
          <w:trHeight w:val="524"/>
        </w:trPr>
        <w:tc>
          <w:tcPr>
            <w:tcW w:w="2864" w:type="dxa"/>
            <w:vMerge/>
          </w:tcPr>
          <w:p w14:paraId="7F97433B" w14:textId="77777777" w:rsidR="000D76E8" w:rsidRDefault="000D76E8" w:rsidP="0035289A">
            <w:pPr>
              <w:pStyle w:val="Tableheadings"/>
            </w:pPr>
          </w:p>
        </w:tc>
        <w:tc>
          <w:tcPr>
            <w:tcW w:w="1220" w:type="dxa"/>
          </w:tcPr>
          <w:p w14:paraId="64A25B08" w14:textId="77777777" w:rsidR="000D76E8" w:rsidRPr="00714F0C" w:rsidRDefault="00000000" w:rsidP="002868D3">
            <w:pPr>
              <w:pStyle w:val="Instructions"/>
              <w:jc w:val="left"/>
            </w:pPr>
            <w:sdt>
              <w:sdtPr>
                <w:id w:val="221412609"/>
                <w14:checkbox>
                  <w14:checked w14:val="1"/>
                  <w14:checkedState w14:val="2612" w14:font="MS Gothic"/>
                  <w14:uncheckedState w14:val="2610" w14:font="MS Gothic"/>
                </w14:checkbox>
              </w:sdtPr>
              <w:sdtContent>
                <w:r w:rsidR="000D76E8">
                  <w:rPr>
                    <w:rFonts w:ascii="MS Gothic" w:eastAsia="MS Gothic" w:hAnsi="MS Gothic" w:hint="eastAsia"/>
                  </w:rPr>
                  <w:t>☒</w:t>
                </w:r>
              </w:sdtContent>
            </w:sdt>
            <w:r w:rsidR="000D76E8" w:rsidRPr="00714F0C">
              <w:t xml:space="preserve"> Yes</w:t>
            </w:r>
          </w:p>
          <w:p w14:paraId="438B1C45" w14:textId="77777777" w:rsidR="000D76E8" w:rsidRPr="00714F0C" w:rsidRDefault="00000000" w:rsidP="002868D3">
            <w:pPr>
              <w:jc w:val="left"/>
            </w:pPr>
            <w:sdt>
              <w:sdtPr>
                <w:id w:val="-113597547"/>
                <w14:checkbox>
                  <w14:checked w14:val="0"/>
                  <w14:checkedState w14:val="2612" w14:font="MS Gothic"/>
                  <w14:uncheckedState w14:val="2610" w14:font="MS Gothic"/>
                </w14:checkbox>
              </w:sdtPr>
              <w:sdtContent>
                <w:r w:rsidR="000D76E8" w:rsidRPr="00714F0C">
                  <w:rPr>
                    <w:rFonts w:ascii="MS Gothic" w:eastAsia="MS Gothic" w:hAnsi="MS Gothic" w:hint="eastAsia"/>
                  </w:rPr>
                  <w:t>☐</w:t>
                </w:r>
              </w:sdtContent>
            </w:sdt>
            <w:r w:rsidR="000D76E8" w:rsidRPr="00714F0C">
              <w:t xml:space="preserve"> No</w:t>
            </w:r>
          </w:p>
          <w:p w14:paraId="68FB1A07" w14:textId="4AC85F27" w:rsidR="000D76E8" w:rsidRDefault="00000000" w:rsidP="002868D3">
            <w:pPr>
              <w:jc w:val="left"/>
            </w:pPr>
            <w:sdt>
              <w:sdtPr>
                <w:id w:val="-345938026"/>
                <w14:checkbox>
                  <w14:checked w14:val="0"/>
                  <w14:checkedState w14:val="2612" w14:font="MS Gothic"/>
                  <w14:uncheckedState w14:val="2610" w14:font="MS Gothic"/>
                </w14:checkbox>
              </w:sdtPr>
              <w:sdtContent>
                <w:r w:rsidR="000D76E8">
                  <w:rPr>
                    <w:rFonts w:ascii="MS Gothic" w:eastAsia="MS Gothic" w:hAnsi="MS Gothic" w:hint="eastAsia"/>
                  </w:rPr>
                  <w:t>☐</w:t>
                </w:r>
              </w:sdtContent>
            </w:sdt>
            <w:r w:rsidR="000D76E8" w:rsidRPr="00714F0C">
              <w:t xml:space="preserve"> N/A</w:t>
            </w:r>
          </w:p>
        </w:tc>
        <w:tc>
          <w:tcPr>
            <w:tcW w:w="3444" w:type="dxa"/>
          </w:tcPr>
          <w:p w14:paraId="04227875" w14:textId="03F73E14" w:rsidR="000D76E8" w:rsidRDefault="000D76E8" w:rsidP="002868D3">
            <w:pPr>
              <w:pStyle w:val="Instructions"/>
              <w:jc w:val="left"/>
            </w:pPr>
            <w:r>
              <w:t>The trial examines the welfare of the patient by using booklets sent directly to them for 7 years. This is a long period in which patients may move address or cease to want to participate.</w:t>
            </w:r>
          </w:p>
        </w:tc>
        <w:tc>
          <w:tcPr>
            <w:tcW w:w="3473" w:type="dxa"/>
          </w:tcPr>
          <w:p w14:paraId="3973C1EC" w14:textId="3F152FC0" w:rsidR="000D76E8" w:rsidRDefault="000D76E8" w:rsidP="002868D3">
            <w:pPr>
              <w:pStyle w:val="Instructions"/>
              <w:jc w:val="left"/>
            </w:pPr>
            <w:r>
              <w:t xml:space="preserve">Patients have to provide explicit consent for their GP to be advised of their participation in the study, through which reminders will be sent if no response or “addressee unknown” post is returned to the Trials Office. </w:t>
            </w:r>
          </w:p>
        </w:tc>
        <w:tc>
          <w:tcPr>
            <w:tcW w:w="3364" w:type="dxa"/>
          </w:tcPr>
          <w:p w14:paraId="28E35506" w14:textId="2AD5B237" w:rsidR="000D76E8" w:rsidRDefault="000D76E8" w:rsidP="002868D3">
            <w:pPr>
              <w:pStyle w:val="Instructions"/>
              <w:jc w:val="left"/>
            </w:pPr>
            <w:r>
              <w:t>N/A; monitoring not required.</w:t>
            </w:r>
          </w:p>
        </w:tc>
      </w:tr>
      <w:tr w:rsidR="00C40638" w:rsidRPr="00C12E3C" w14:paraId="6E19B549" w14:textId="77777777" w:rsidTr="00FD5879">
        <w:trPr>
          <w:cantSplit/>
          <w:trHeight w:val="524"/>
        </w:trPr>
        <w:tc>
          <w:tcPr>
            <w:tcW w:w="2864" w:type="dxa"/>
          </w:tcPr>
          <w:p w14:paraId="5FDB1749" w14:textId="77777777" w:rsidR="00C40638" w:rsidRPr="002868D3" w:rsidRDefault="00C40638" w:rsidP="002868D3">
            <w:pPr>
              <w:jc w:val="left"/>
              <w:rPr>
                <w:b/>
                <w:bCs/>
              </w:rPr>
            </w:pPr>
            <w:r w:rsidRPr="002868D3">
              <w:rPr>
                <w:b/>
                <w:bCs/>
              </w:rPr>
              <w:lastRenderedPageBreak/>
              <w:t>Follow-up</w:t>
            </w:r>
          </w:p>
          <w:p w14:paraId="731923B5" w14:textId="77777777" w:rsidR="00C40638" w:rsidRDefault="00C40638" w:rsidP="002868D3">
            <w:pPr>
              <w:jc w:val="left"/>
            </w:pPr>
            <w:r>
              <w:t xml:space="preserve">E.g. </w:t>
            </w:r>
          </w:p>
          <w:p w14:paraId="267BCEF1" w14:textId="77777777" w:rsidR="00C40638" w:rsidRDefault="00C40638" w:rsidP="0035289A">
            <w:pPr>
              <w:jc w:val="left"/>
            </w:pPr>
            <w:r w:rsidRPr="00B60926">
              <w:t>Is the follow-up schedule difficult? (e.g. long and different from standard care)</w:t>
            </w:r>
            <w:r>
              <w:t xml:space="preserve"> </w:t>
            </w:r>
          </w:p>
          <w:p w14:paraId="728D8800" w14:textId="76BEB483" w:rsidR="00C40638" w:rsidRDefault="00C40638" w:rsidP="0035289A">
            <w:pPr>
              <w:jc w:val="left"/>
            </w:pPr>
            <w:r>
              <w:t>What is the likelihood and impact on the trial results of non-adherence?</w:t>
            </w:r>
          </w:p>
        </w:tc>
        <w:tc>
          <w:tcPr>
            <w:tcW w:w="1220" w:type="dxa"/>
          </w:tcPr>
          <w:p w14:paraId="0D1FF1F1" w14:textId="77777777" w:rsidR="00C40638" w:rsidRPr="00714F0C" w:rsidRDefault="00000000" w:rsidP="002868D3">
            <w:pPr>
              <w:pStyle w:val="Instructions"/>
              <w:jc w:val="left"/>
            </w:pPr>
            <w:sdt>
              <w:sdtPr>
                <w:id w:val="-1775703055"/>
                <w14:checkbox>
                  <w14:checked w14:val="1"/>
                  <w14:checkedState w14:val="2612" w14:font="MS Gothic"/>
                  <w14:uncheckedState w14:val="2610" w14:font="MS Gothic"/>
                </w14:checkbox>
              </w:sdtPr>
              <w:sdtContent>
                <w:r w:rsidR="00C40638">
                  <w:rPr>
                    <w:rFonts w:ascii="MS Gothic" w:eastAsia="MS Gothic" w:hAnsi="MS Gothic" w:hint="eastAsia"/>
                  </w:rPr>
                  <w:t>☒</w:t>
                </w:r>
              </w:sdtContent>
            </w:sdt>
            <w:r w:rsidR="00C40638" w:rsidRPr="00714F0C">
              <w:t xml:space="preserve"> Yes</w:t>
            </w:r>
          </w:p>
          <w:p w14:paraId="1D9150D7" w14:textId="77777777" w:rsidR="00C40638" w:rsidRPr="00714F0C" w:rsidRDefault="00000000" w:rsidP="002868D3">
            <w:pPr>
              <w:jc w:val="left"/>
            </w:pPr>
            <w:sdt>
              <w:sdtPr>
                <w:id w:val="-61643413"/>
                <w14:checkbox>
                  <w14:checked w14:val="0"/>
                  <w14:checkedState w14:val="2612" w14:font="MS Gothic"/>
                  <w14:uncheckedState w14:val="2610" w14:font="MS Gothic"/>
                </w14:checkbox>
              </w:sdtPr>
              <w:sdtContent>
                <w:r w:rsidR="00C40638" w:rsidRPr="00714F0C">
                  <w:rPr>
                    <w:rFonts w:ascii="MS Gothic" w:eastAsia="MS Gothic" w:hAnsi="MS Gothic" w:hint="eastAsia"/>
                  </w:rPr>
                  <w:t>☐</w:t>
                </w:r>
              </w:sdtContent>
            </w:sdt>
            <w:r w:rsidR="00C40638" w:rsidRPr="00714F0C">
              <w:t xml:space="preserve"> No</w:t>
            </w:r>
          </w:p>
          <w:p w14:paraId="3AA75FA9" w14:textId="6AD71AF9" w:rsidR="00C40638" w:rsidRDefault="00000000" w:rsidP="002868D3">
            <w:pPr>
              <w:jc w:val="left"/>
            </w:pPr>
            <w:sdt>
              <w:sdtPr>
                <w:id w:val="-10144960"/>
                <w14:checkbox>
                  <w14:checked w14:val="0"/>
                  <w14:checkedState w14:val="2612" w14:font="MS Gothic"/>
                  <w14:uncheckedState w14:val="2610" w14:font="MS Gothic"/>
                </w14:checkbox>
              </w:sdtPr>
              <w:sdtContent>
                <w:r w:rsidR="00C40638">
                  <w:rPr>
                    <w:rFonts w:ascii="MS Gothic" w:eastAsia="MS Gothic" w:hAnsi="MS Gothic" w:hint="eastAsia"/>
                  </w:rPr>
                  <w:t>☐</w:t>
                </w:r>
              </w:sdtContent>
            </w:sdt>
            <w:r w:rsidR="00C40638" w:rsidRPr="00714F0C">
              <w:t xml:space="preserve"> N/A</w:t>
            </w:r>
          </w:p>
        </w:tc>
        <w:tc>
          <w:tcPr>
            <w:tcW w:w="3444" w:type="dxa"/>
          </w:tcPr>
          <w:p w14:paraId="5932BE9D" w14:textId="77777777" w:rsidR="00C40638" w:rsidRDefault="00C40638" w:rsidP="002868D3">
            <w:pPr>
              <w:pStyle w:val="Instructions"/>
              <w:jc w:val="left"/>
            </w:pPr>
            <w:r>
              <w:t xml:space="preserve">This study has a 20 year follow up period.  Patients may become lost to follow up or discharged to GP care. There is also the possibility that given the length of follow up, original research staff will leave and be replaced with staff members unfamiliar with the trial and its requirements, creating a danger of forms being incorrectly filled out or not completed. </w:t>
            </w:r>
          </w:p>
          <w:p w14:paraId="420DB361" w14:textId="77777777" w:rsidR="00C40638" w:rsidRDefault="00C40638" w:rsidP="002868D3">
            <w:pPr>
              <w:pStyle w:val="Instructions"/>
              <w:jc w:val="left"/>
            </w:pPr>
          </w:p>
        </w:tc>
        <w:tc>
          <w:tcPr>
            <w:tcW w:w="3473" w:type="dxa"/>
          </w:tcPr>
          <w:p w14:paraId="22A77A0A" w14:textId="0AC76621" w:rsidR="00C40638" w:rsidRDefault="00C40638" w:rsidP="002868D3">
            <w:pPr>
              <w:pStyle w:val="Instructions"/>
              <w:jc w:val="left"/>
            </w:pPr>
            <w:r>
              <w:t>To maintain follow-up compliance, a simple CRF will be used in addition to comprehensive guidelines for completion to ensure that new staff members have supporting information to work on the trial. Mail shots containing forms, reminders and queries will be sent along with ad hoc newsletters to ensure that trial awareness is maintained. The Informed Consent Form will request that patient data can be collected from the GP and Data Access Request Service. A GP letter will be produced to advise them of the trial and request for their assistance in cases of patients discharged to GP care. Sites will be advised that they may also telephone the patient for follow-up.</w:t>
            </w:r>
          </w:p>
        </w:tc>
        <w:tc>
          <w:tcPr>
            <w:tcW w:w="3364" w:type="dxa"/>
          </w:tcPr>
          <w:p w14:paraId="0E019765" w14:textId="1EA5B258" w:rsidR="00C40638" w:rsidRDefault="00C40638" w:rsidP="002868D3">
            <w:pPr>
              <w:pStyle w:val="Instructions"/>
              <w:jc w:val="left"/>
            </w:pPr>
            <w:r>
              <w:t>The T</w:t>
            </w:r>
            <w:r w:rsidRPr="00FD0D81">
              <w:t xml:space="preserve">rial </w:t>
            </w:r>
            <w:r>
              <w:t>C</w:t>
            </w:r>
            <w:r w:rsidRPr="00FD0D81">
              <w:t xml:space="preserve">oordinator and </w:t>
            </w:r>
            <w:r>
              <w:t>Trial S</w:t>
            </w:r>
            <w:r w:rsidRPr="00FD0D81">
              <w:t xml:space="preserve">tatistician will monitor returns of data from sites, to identify any underperforming sites.  </w:t>
            </w:r>
          </w:p>
        </w:tc>
      </w:tr>
      <w:tr w:rsidR="00DA1C42" w:rsidRPr="00C12E3C" w14:paraId="1476CB15" w14:textId="77777777" w:rsidTr="00FD5879">
        <w:trPr>
          <w:cantSplit/>
          <w:trHeight w:val="524"/>
        </w:trPr>
        <w:tc>
          <w:tcPr>
            <w:tcW w:w="2864" w:type="dxa"/>
          </w:tcPr>
          <w:p w14:paraId="30E780E4" w14:textId="77777777" w:rsidR="00DA1C42" w:rsidRPr="002868D3" w:rsidRDefault="00DA1C42" w:rsidP="002868D3">
            <w:pPr>
              <w:jc w:val="left"/>
              <w:rPr>
                <w:b/>
                <w:bCs/>
              </w:rPr>
            </w:pPr>
            <w:r w:rsidRPr="002868D3">
              <w:rPr>
                <w:b/>
                <w:bCs/>
              </w:rPr>
              <w:t>Statistical considerations</w:t>
            </w:r>
          </w:p>
          <w:p w14:paraId="3C487D8D" w14:textId="77777777" w:rsidR="00DA1C42" w:rsidRDefault="00DA1C42" w:rsidP="002868D3">
            <w:pPr>
              <w:jc w:val="left"/>
            </w:pPr>
            <w:r>
              <w:t xml:space="preserve">E.g. </w:t>
            </w:r>
          </w:p>
          <w:p w14:paraId="44055214" w14:textId="77777777" w:rsidR="00DA1C42" w:rsidRDefault="00DA1C42" w:rsidP="0035289A">
            <w:pPr>
              <w:jc w:val="left"/>
            </w:pPr>
            <w:r w:rsidRPr="00B60926">
              <w:t xml:space="preserve">Is there any concern that the </w:t>
            </w:r>
            <w:r>
              <w:t>trial</w:t>
            </w:r>
            <w:r w:rsidRPr="00B60926">
              <w:t xml:space="preserve"> may have insufficient power to detect the anticipated effect of the intervention?</w:t>
            </w:r>
          </w:p>
          <w:p w14:paraId="51500962" w14:textId="1B2AAA86" w:rsidR="00DA1C42" w:rsidRPr="00B60926" w:rsidRDefault="00DA1C42" w:rsidP="0035289A">
            <w:pPr>
              <w:jc w:val="left"/>
            </w:pPr>
            <w:r>
              <w:t>Any other risks associated with trial design/outcome measures/analysis plans?</w:t>
            </w:r>
          </w:p>
        </w:tc>
        <w:tc>
          <w:tcPr>
            <w:tcW w:w="1220" w:type="dxa"/>
          </w:tcPr>
          <w:p w14:paraId="4EDCA7AD" w14:textId="77777777" w:rsidR="00DA1C42" w:rsidRPr="00714F0C" w:rsidRDefault="00000000" w:rsidP="002868D3">
            <w:pPr>
              <w:pStyle w:val="Instructions"/>
              <w:jc w:val="left"/>
            </w:pPr>
            <w:sdt>
              <w:sdtPr>
                <w:id w:val="1893929578"/>
                <w14:checkbox>
                  <w14:checked w14:val="1"/>
                  <w14:checkedState w14:val="2612" w14:font="MS Gothic"/>
                  <w14:uncheckedState w14:val="2610" w14:font="MS Gothic"/>
                </w14:checkbox>
              </w:sdtPr>
              <w:sdtContent>
                <w:r w:rsidR="00DA1C42">
                  <w:rPr>
                    <w:rFonts w:ascii="MS Gothic" w:eastAsia="MS Gothic" w:hAnsi="MS Gothic" w:hint="eastAsia"/>
                  </w:rPr>
                  <w:t>☒</w:t>
                </w:r>
              </w:sdtContent>
            </w:sdt>
            <w:r w:rsidR="00DA1C42" w:rsidRPr="00714F0C">
              <w:t xml:space="preserve"> Yes</w:t>
            </w:r>
          </w:p>
          <w:p w14:paraId="02197F41" w14:textId="77777777" w:rsidR="00DA1C42" w:rsidRPr="00714F0C" w:rsidRDefault="00000000" w:rsidP="002868D3">
            <w:pPr>
              <w:jc w:val="left"/>
            </w:pPr>
            <w:sdt>
              <w:sdtPr>
                <w:id w:val="-885100464"/>
                <w14:checkbox>
                  <w14:checked w14:val="0"/>
                  <w14:checkedState w14:val="2612" w14:font="MS Gothic"/>
                  <w14:uncheckedState w14:val="2610" w14:font="MS Gothic"/>
                </w14:checkbox>
              </w:sdtPr>
              <w:sdtContent>
                <w:r w:rsidR="00DA1C42" w:rsidRPr="00714F0C">
                  <w:rPr>
                    <w:rFonts w:ascii="MS Gothic" w:eastAsia="MS Gothic" w:hAnsi="MS Gothic" w:hint="eastAsia"/>
                  </w:rPr>
                  <w:t>☐</w:t>
                </w:r>
              </w:sdtContent>
            </w:sdt>
            <w:r w:rsidR="00DA1C42" w:rsidRPr="00714F0C">
              <w:t xml:space="preserve"> No</w:t>
            </w:r>
          </w:p>
          <w:p w14:paraId="0684E5D2" w14:textId="27338734" w:rsidR="00DA1C42" w:rsidRDefault="00000000" w:rsidP="002868D3">
            <w:pPr>
              <w:jc w:val="left"/>
            </w:pPr>
            <w:sdt>
              <w:sdtPr>
                <w:id w:val="309059031"/>
                <w14:checkbox>
                  <w14:checked w14:val="0"/>
                  <w14:checkedState w14:val="2612" w14:font="MS Gothic"/>
                  <w14:uncheckedState w14:val="2610" w14:font="MS Gothic"/>
                </w14:checkbox>
              </w:sdtPr>
              <w:sdtContent>
                <w:r w:rsidR="00DA1C42">
                  <w:rPr>
                    <w:rFonts w:ascii="MS Gothic" w:eastAsia="MS Gothic" w:hAnsi="MS Gothic" w:hint="eastAsia"/>
                  </w:rPr>
                  <w:t>☐</w:t>
                </w:r>
              </w:sdtContent>
            </w:sdt>
            <w:r w:rsidR="00DA1C42" w:rsidRPr="00714F0C">
              <w:t xml:space="preserve"> N/A</w:t>
            </w:r>
          </w:p>
        </w:tc>
        <w:tc>
          <w:tcPr>
            <w:tcW w:w="3444" w:type="dxa"/>
          </w:tcPr>
          <w:p w14:paraId="33716E60" w14:textId="7ED69E45" w:rsidR="00DA1C42" w:rsidRDefault="00DA1C42" w:rsidP="002868D3">
            <w:pPr>
              <w:pStyle w:val="Instructions"/>
              <w:jc w:val="left"/>
            </w:pPr>
            <w:r>
              <w:t>There is a concern that there will be insufficient power to detect the anticipated effect of the intervention due to lower than anticipated patient numbers.</w:t>
            </w:r>
            <w:r w:rsidRPr="00835B78">
              <w:t xml:space="preserve"> </w:t>
            </w:r>
          </w:p>
        </w:tc>
        <w:tc>
          <w:tcPr>
            <w:tcW w:w="3473" w:type="dxa"/>
          </w:tcPr>
          <w:p w14:paraId="21A41E7C" w14:textId="0A82BFBF" w:rsidR="00DA1C42" w:rsidRDefault="00DA1C42" w:rsidP="002868D3">
            <w:pPr>
              <w:pStyle w:val="Instructions"/>
              <w:jc w:val="left"/>
            </w:pPr>
            <w:r>
              <w:t xml:space="preserve">Research and feasibility questionnaires indicate that there should be sufficient numbers in this disease population to achieve recruitment targets. The scenario has been factored into the statistical analysis plan and </w:t>
            </w:r>
            <w:r w:rsidRPr="00110DB2">
              <w:t>alternate options are available if this occurs</w:t>
            </w:r>
            <w:r>
              <w:t>.</w:t>
            </w:r>
          </w:p>
        </w:tc>
        <w:tc>
          <w:tcPr>
            <w:tcW w:w="3364" w:type="dxa"/>
          </w:tcPr>
          <w:p w14:paraId="30324B12" w14:textId="5502AD78" w:rsidR="00DA1C42" w:rsidRDefault="00DA1C42" w:rsidP="002868D3">
            <w:pPr>
              <w:pStyle w:val="Instructions"/>
              <w:jc w:val="left"/>
            </w:pPr>
            <w:r>
              <w:t>N/A; monitoring not required.</w:t>
            </w:r>
          </w:p>
        </w:tc>
      </w:tr>
      <w:tr w:rsidR="003270B8" w:rsidRPr="00C12E3C" w14:paraId="75041619" w14:textId="77777777" w:rsidTr="00FD5879">
        <w:trPr>
          <w:cantSplit/>
          <w:trHeight w:val="524"/>
        </w:trPr>
        <w:tc>
          <w:tcPr>
            <w:tcW w:w="2864" w:type="dxa"/>
          </w:tcPr>
          <w:p w14:paraId="172138A7" w14:textId="77777777" w:rsidR="003270B8" w:rsidRPr="002868D3" w:rsidRDefault="003270B8" w:rsidP="002868D3">
            <w:pPr>
              <w:jc w:val="left"/>
              <w:rPr>
                <w:b/>
                <w:bCs/>
              </w:rPr>
            </w:pPr>
            <w:r w:rsidRPr="002868D3">
              <w:rPr>
                <w:b/>
                <w:bCs/>
              </w:rPr>
              <w:lastRenderedPageBreak/>
              <w:t>Data collection</w:t>
            </w:r>
          </w:p>
          <w:p w14:paraId="7087179C" w14:textId="77777777" w:rsidR="003270B8" w:rsidRDefault="003270B8" w:rsidP="0035289A">
            <w:pPr>
              <w:jc w:val="left"/>
            </w:pPr>
            <w:r>
              <w:t xml:space="preserve">E.g. </w:t>
            </w:r>
          </w:p>
          <w:p w14:paraId="09A1BDAD" w14:textId="77777777" w:rsidR="003270B8" w:rsidRDefault="003270B8" w:rsidP="0035289A">
            <w:pPr>
              <w:jc w:val="left"/>
            </w:pPr>
            <w:r w:rsidRPr="00B60926">
              <w:t xml:space="preserve">Is there any particular cause for concern over the data collection (e.g. </w:t>
            </w:r>
            <w:r>
              <w:t>volume and complexity of the data)?</w:t>
            </w:r>
          </w:p>
          <w:p w14:paraId="1CF64F05" w14:textId="77777777" w:rsidR="003270B8" w:rsidRDefault="003270B8" w:rsidP="0035289A">
            <w:pPr>
              <w:jc w:val="left"/>
            </w:pPr>
            <w:r>
              <w:t>Potential for fraudulent data?</w:t>
            </w:r>
          </w:p>
          <w:p w14:paraId="39BDB41A" w14:textId="77777777" w:rsidR="003270B8" w:rsidRPr="00B60926" w:rsidRDefault="003270B8" w:rsidP="0035289A">
            <w:pPr>
              <w:pStyle w:val="Tableheadings"/>
            </w:pPr>
          </w:p>
        </w:tc>
        <w:tc>
          <w:tcPr>
            <w:tcW w:w="1220" w:type="dxa"/>
          </w:tcPr>
          <w:p w14:paraId="30423CFF" w14:textId="77777777" w:rsidR="003270B8" w:rsidRPr="00714F0C" w:rsidRDefault="00000000" w:rsidP="002868D3">
            <w:pPr>
              <w:pStyle w:val="Instructions"/>
              <w:jc w:val="left"/>
            </w:pPr>
            <w:sdt>
              <w:sdtPr>
                <w:id w:val="-858658753"/>
                <w14:checkbox>
                  <w14:checked w14:val="1"/>
                  <w14:checkedState w14:val="2612" w14:font="MS Gothic"/>
                  <w14:uncheckedState w14:val="2610" w14:font="MS Gothic"/>
                </w14:checkbox>
              </w:sdtPr>
              <w:sdtContent>
                <w:r w:rsidR="003270B8">
                  <w:rPr>
                    <w:rFonts w:ascii="MS Gothic" w:eastAsia="MS Gothic" w:hAnsi="MS Gothic" w:hint="eastAsia"/>
                  </w:rPr>
                  <w:t>☒</w:t>
                </w:r>
              </w:sdtContent>
            </w:sdt>
            <w:r w:rsidR="003270B8" w:rsidRPr="00714F0C">
              <w:t xml:space="preserve"> Yes</w:t>
            </w:r>
          </w:p>
          <w:p w14:paraId="782AD5BB" w14:textId="77777777" w:rsidR="003270B8" w:rsidRPr="00714F0C" w:rsidRDefault="00000000" w:rsidP="002868D3">
            <w:pPr>
              <w:jc w:val="left"/>
            </w:pPr>
            <w:sdt>
              <w:sdtPr>
                <w:id w:val="491612686"/>
                <w14:checkbox>
                  <w14:checked w14:val="0"/>
                  <w14:checkedState w14:val="2612" w14:font="MS Gothic"/>
                  <w14:uncheckedState w14:val="2610" w14:font="MS Gothic"/>
                </w14:checkbox>
              </w:sdtPr>
              <w:sdtContent>
                <w:r w:rsidR="003270B8" w:rsidRPr="00714F0C">
                  <w:rPr>
                    <w:rFonts w:ascii="MS Gothic" w:eastAsia="MS Gothic" w:hAnsi="MS Gothic" w:hint="eastAsia"/>
                  </w:rPr>
                  <w:t>☐</w:t>
                </w:r>
              </w:sdtContent>
            </w:sdt>
            <w:r w:rsidR="003270B8" w:rsidRPr="00714F0C">
              <w:t xml:space="preserve"> No</w:t>
            </w:r>
          </w:p>
          <w:p w14:paraId="3DB317AC" w14:textId="1E5651A2" w:rsidR="003270B8" w:rsidRDefault="00000000" w:rsidP="002868D3">
            <w:pPr>
              <w:jc w:val="left"/>
            </w:pPr>
            <w:sdt>
              <w:sdtPr>
                <w:id w:val="-83069665"/>
                <w14:checkbox>
                  <w14:checked w14:val="0"/>
                  <w14:checkedState w14:val="2612" w14:font="MS Gothic"/>
                  <w14:uncheckedState w14:val="2610" w14:font="MS Gothic"/>
                </w14:checkbox>
              </w:sdtPr>
              <w:sdtContent>
                <w:r w:rsidR="003270B8">
                  <w:rPr>
                    <w:rFonts w:ascii="MS Gothic" w:eastAsia="MS Gothic" w:hAnsi="MS Gothic" w:hint="eastAsia"/>
                  </w:rPr>
                  <w:t>☐</w:t>
                </w:r>
              </w:sdtContent>
            </w:sdt>
            <w:r w:rsidR="003270B8" w:rsidRPr="00714F0C">
              <w:t xml:space="preserve"> N/A</w:t>
            </w:r>
          </w:p>
        </w:tc>
        <w:tc>
          <w:tcPr>
            <w:tcW w:w="3444" w:type="dxa"/>
          </w:tcPr>
          <w:p w14:paraId="1A9FED3D" w14:textId="70868080" w:rsidR="003270B8" w:rsidRDefault="003270B8" w:rsidP="002868D3">
            <w:pPr>
              <w:pStyle w:val="Instructions"/>
              <w:jc w:val="left"/>
            </w:pPr>
            <w:r>
              <w:t>This trial is not part of the NIHR Portfolio so research nurse time may be limited which may impact on data return/quality.</w:t>
            </w:r>
          </w:p>
        </w:tc>
        <w:tc>
          <w:tcPr>
            <w:tcW w:w="3473" w:type="dxa"/>
          </w:tcPr>
          <w:p w14:paraId="045D0924" w14:textId="72FCA7BB" w:rsidR="003270B8" w:rsidRDefault="003270B8" w:rsidP="002868D3">
            <w:pPr>
              <w:pStyle w:val="Instructions"/>
              <w:jc w:val="left"/>
            </w:pPr>
            <w:r>
              <w:t>A modest payment is available to Trust R&amp;Ds to cover nurse time. The Trials Office is aware that this may be an issue and will be proactive in ensuring data is returned in a timely fashion.</w:t>
            </w:r>
          </w:p>
        </w:tc>
        <w:tc>
          <w:tcPr>
            <w:tcW w:w="3364" w:type="dxa"/>
          </w:tcPr>
          <w:p w14:paraId="0034649A" w14:textId="61BBAD3D" w:rsidR="003270B8" w:rsidRDefault="003270B8" w:rsidP="002868D3">
            <w:pPr>
              <w:pStyle w:val="Instructions"/>
              <w:jc w:val="left"/>
            </w:pPr>
            <w:r>
              <w:t>In-house monitoring of data return may identify any issues</w:t>
            </w:r>
          </w:p>
        </w:tc>
      </w:tr>
      <w:tr w:rsidR="00FF7721" w:rsidRPr="00C12E3C" w14:paraId="432B0E54" w14:textId="77777777" w:rsidTr="00FD5879">
        <w:trPr>
          <w:cantSplit/>
          <w:trHeight w:val="524"/>
        </w:trPr>
        <w:tc>
          <w:tcPr>
            <w:tcW w:w="2864" w:type="dxa"/>
          </w:tcPr>
          <w:p w14:paraId="727A3473" w14:textId="77777777" w:rsidR="00FF7721" w:rsidRPr="002868D3" w:rsidRDefault="00FF7721" w:rsidP="002868D3">
            <w:pPr>
              <w:jc w:val="left"/>
              <w:rPr>
                <w:b/>
                <w:bCs/>
              </w:rPr>
            </w:pPr>
            <w:r w:rsidRPr="002868D3">
              <w:rPr>
                <w:b/>
                <w:bCs/>
              </w:rPr>
              <w:t>Finance</w:t>
            </w:r>
          </w:p>
          <w:p w14:paraId="553B1005" w14:textId="77777777" w:rsidR="00FF7721" w:rsidRDefault="00FF7721" w:rsidP="002868D3">
            <w:pPr>
              <w:jc w:val="left"/>
            </w:pPr>
            <w:r>
              <w:t xml:space="preserve">E.g. </w:t>
            </w:r>
          </w:p>
          <w:p w14:paraId="757D2F25" w14:textId="55E26D8D" w:rsidR="00FF7721" w:rsidRPr="00B60926" w:rsidRDefault="00FF7721" w:rsidP="002868D3">
            <w:pPr>
              <w:jc w:val="left"/>
            </w:pPr>
            <w:r w:rsidRPr="00122EC7">
              <w:t xml:space="preserve">Availability of the appropriate </w:t>
            </w:r>
            <w:r>
              <w:t xml:space="preserve">resources.  </w:t>
            </w:r>
          </w:p>
        </w:tc>
        <w:tc>
          <w:tcPr>
            <w:tcW w:w="1220" w:type="dxa"/>
          </w:tcPr>
          <w:p w14:paraId="6A919CFA" w14:textId="77777777" w:rsidR="00FF7721" w:rsidRPr="00714F0C" w:rsidRDefault="00000000" w:rsidP="002868D3">
            <w:pPr>
              <w:pStyle w:val="Instructions"/>
              <w:jc w:val="left"/>
            </w:pPr>
            <w:sdt>
              <w:sdtPr>
                <w:id w:val="1795635827"/>
                <w14:checkbox>
                  <w14:checked w14:val="1"/>
                  <w14:checkedState w14:val="2612" w14:font="MS Gothic"/>
                  <w14:uncheckedState w14:val="2610" w14:font="MS Gothic"/>
                </w14:checkbox>
              </w:sdtPr>
              <w:sdtContent>
                <w:r w:rsidR="00FF7721">
                  <w:rPr>
                    <w:rFonts w:ascii="MS Gothic" w:eastAsia="MS Gothic" w:hAnsi="MS Gothic" w:hint="eastAsia"/>
                  </w:rPr>
                  <w:t>☒</w:t>
                </w:r>
              </w:sdtContent>
            </w:sdt>
            <w:r w:rsidR="00FF7721" w:rsidRPr="00714F0C">
              <w:t xml:space="preserve"> Yes</w:t>
            </w:r>
          </w:p>
          <w:p w14:paraId="6F400C18" w14:textId="77777777" w:rsidR="00FF7721" w:rsidRPr="00714F0C" w:rsidRDefault="00000000" w:rsidP="002868D3">
            <w:pPr>
              <w:jc w:val="left"/>
            </w:pPr>
            <w:sdt>
              <w:sdtPr>
                <w:id w:val="-1152972564"/>
                <w14:checkbox>
                  <w14:checked w14:val="0"/>
                  <w14:checkedState w14:val="2612" w14:font="MS Gothic"/>
                  <w14:uncheckedState w14:val="2610" w14:font="MS Gothic"/>
                </w14:checkbox>
              </w:sdtPr>
              <w:sdtContent>
                <w:r w:rsidR="00FF7721" w:rsidRPr="00714F0C">
                  <w:rPr>
                    <w:rFonts w:ascii="MS Gothic" w:eastAsia="MS Gothic" w:hAnsi="MS Gothic" w:hint="eastAsia"/>
                  </w:rPr>
                  <w:t>☐</w:t>
                </w:r>
              </w:sdtContent>
            </w:sdt>
            <w:r w:rsidR="00FF7721" w:rsidRPr="00714F0C">
              <w:t xml:space="preserve"> No</w:t>
            </w:r>
          </w:p>
          <w:p w14:paraId="5E869AD2" w14:textId="071CD66E" w:rsidR="00FF7721" w:rsidRDefault="00000000" w:rsidP="002868D3">
            <w:pPr>
              <w:jc w:val="left"/>
            </w:pPr>
            <w:sdt>
              <w:sdtPr>
                <w:id w:val="1039091143"/>
                <w14:checkbox>
                  <w14:checked w14:val="0"/>
                  <w14:checkedState w14:val="2612" w14:font="MS Gothic"/>
                  <w14:uncheckedState w14:val="2610" w14:font="MS Gothic"/>
                </w14:checkbox>
              </w:sdtPr>
              <w:sdtContent>
                <w:r w:rsidR="00FF7721">
                  <w:rPr>
                    <w:rFonts w:ascii="MS Gothic" w:eastAsia="MS Gothic" w:hAnsi="MS Gothic" w:hint="eastAsia"/>
                  </w:rPr>
                  <w:t>☐</w:t>
                </w:r>
              </w:sdtContent>
            </w:sdt>
            <w:r w:rsidR="00FF7721" w:rsidRPr="00714F0C">
              <w:t xml:space="preserve"> N/A</w:t>
            </w:r>
          </w:p>
        </w:tc>
        <w:tc>
          <w:tcPr>
            <w:tcW w:w="3444" w:type="dxa"/>
          </w:tcPr>
          <w:p w14:paraId="6CEE5835" w14:textId="785AE80A" w:rsidR="00FF7721" w:rsidRDefault="00FF7721" w:rsidP="002868D3">
            <w:pPr>
              <w:pStyle w:val="Instructions"/>
              <w:jc w:val="left"/>
            </w:pPr>
            <w:r w:rsidRPr="000402F2">
              <w:t>Funding has been provided by GSK for 2 years.  There are multiple targeted requirements that have to be met within this timeframe in order for finance to be renewed at the end of this period.  One of the set criteria is that 50% of the recruitment target must be met within this period.  Given the nature of the disease site, this is a challenging target which may require the initiation of additional sites to meet the target.</w:t>
            </w:r>
          </w:p>
        </w:tc>
        <w:tc>
          <w:tcPr>
            <w:tcW w:w="3473" w:type="dxa"/>
          </w:tcPr>
          <w:p w14:paraId="5284BCAC" w14:textId="77777777" w:rsidR="00FF7721" w:rsidRPr="00494AF7" w:rsidRDefault="00FF7721" w:rsidP="002868D3">
            <w:pPr>
              <w:pStyle w:val="Instructions"/>
              <w:jc w:val="left"/>
            </w:pPr>
            <w:r w:rsidRPr="00494AF7">
              <w:t xml:space="preserve">Recruitment will be monitored frequently with sites being encouraged by the Trial Coordinator to enter </w:t>
            </w:r>
            <w:r>
              <w:t>p</w:t>
            </w:r>
            <w:r w:rsidRPr="00494AF7">
              <w:t xml:space="preserve">atients.  Screening logs will also be </w:t>
            </w:r>
            <w:r>
              <w:t>collected and reviewed</w:t>
            </w:r>
            <w:r w:rsidRPr="00494AF7">
              <w:t>.</w:t>
            </w:r>
          </w:p>
          <w:p w14:paraId="0EBAD501" w14:textId="4946E1D5" w:rsidR="00FF7721" w:rsidRDefault="00FF7721" w:rsidP="002868D3">
            <w:pPr>
              <w:pStyle w:val="Instructions"/>
              <w:jc w:val="left"/>
            </w:pPr>
            <w:r w:rsidRPr="00494AF7">
              <w:t>Investigator meetings will be held to promote awareness of the disease site and the trial and to encourage referrals from non-participating centres.</w:t>
            </w:r>
          </w:p>
        </w:tc>
        <w:tc>
          <w:tcPr>
            <w:tcW w:w="3364" w:type="dxa"/>
          </w:tcPr>
          <w:p w14:paraId="308A42A2" w14:textId="3F528FEE" w:rsidR="00FF7721" w:rsidRDefault="00FF7721" w:rsidP="002868D3">
            <w:pPr>
              <w:pStyle w:val="Instructions"/>
              <w:jc w:val="left"/>
            </w:pPr>
            <w:r w:rsidRPr="009B0150">
              <w:t>N/A; monitoring not required</w:t>
            </w:r>
          </w:p>
        </w:tc>
      </w:tr>
      <w:tr w:rsidR="004A3883" w:rsidRPr="00C12E3C" w14:paraId="0A2C137A" w14:textId="77777777" w:rsidTr="00FD5879">
        <w:trPr>
          <w:cantSplit/>
          <w:trHeight w:val="524"/>
        </w:trPr>
        <w:tc>
          <w:tcPr>
            <w:tcW w:w="2864" w:type="dxa"/>
          </w:tcPr>
          <w:p w14:paraId="7B9832BD" w14:textId="77777777" w:rsidR="004A3883" w:rsidRPr="002868D3" w:rsidRDefault="004A3883" w:rsidP="002868D3">
            <w:pPr>
              <w:jc w:val="left"/>
              <w:rPr>
                <w:b/>
                <w:bCs/>
              </w:rPr>
            </w:pPr>
            <w:r w:rsidRPr="002868D3">
              <w:rPr>
                <w:b/>
                <w:bCs/>
              </w:rPr>
              <w:lastRenderedPageBreak/>
              <w:t>Investigator sites</w:t>
            </w:r>
          </w:p>
          <w:p w14:paraId="18DF7539" w14:textId="77777777" w:rsidR="004A3883" w:rsidRDefault="004A3883" w:rsidP="0035289A">
            <w:pPr>
              <w:jc w:val="left"/>
            </w:pPr>
            <w:r>
              <w:t xml:space="preserve">E.g. </w:t>
            </w:r>
          </w:p>
          <w:p w14:paraId="1F99DBE8" w14:textId="4FA0C939" w:rsidR="004A3883" w:rsidRDefault="004A3883" w:rsidP="0035289A">
            <w:pPr>
              <w:jc w:val="left"/>
            </w:pPr>
            <w:r>
              <w:t>Education and experience, existence of quality systems</w:t>
            </w:r>
          </w:p>
        </w:tc>
        <w:tc>
          <w:tcPr>
            <w:tcW w:w="1220" w:type="dxa"/>
          </w:tcPr>
          <w:p w14:paraId="66546E6A" w14:textId="77777777" w:rsidR="004A3883" w:rsidRPr="00714F0C" w:rsidRDefault="00000000" w:rsidP="002868D3">
            <w:pPr>
              <w:pStyle w:val="Instructions"/>
              <w:jc w:val="left"/>
            </w:pPr>
            <w:sdt>
              <w:sdtPr>
                <w:id w:val="1032007082"/>
                <w14:checkbox>
                  <w14:checked w14:val="1"/>
                  <w14:checkedState w14:val="2612" w14:font="MS Gothic"/>
                  <w14:uncheckedState w14:val="2610" w14:font="MS Gothic"/>
                </w14:checkbox>
              </w:sdtPr>
              <w:sdtContent>
                <w:r w:rsidR="004A3883">
                  <w:rPr>
                    <w:rFonts w:ascii="MS Gothic" w:eastAsia="MS Gothic" w:hAnsi="MS Gothic" w:hint="eastAsia"/>
                  </w:rPr>
                  <w:t>☒</w:t>
                </w:r>
              </w:sdtContent>
            </w:sdt>
            <w:r w:rsidR="004A3883" w:rsidRPr="00714F0C">
              <w:t xml:space="preserve"> Yes</w:t>
            </w:r>
          </w:p>
          <w:p w14:paraId="501CC920" w14:textId="77777777" w:rsidR="004A3883" w:rsidRPr="00714F0C" w:rsidRDefault="00000000" w:rsidP="002868D3">
            <w:pPr>
              <w:jc w:val="left"/>
            </w:pPr>
            <w:sdt>
              <w:sdtPr>
                <w:id w:val="540400669"/>
                <w14:checkbox>
                  <w14:checked w14:val="0"/>
                  <w14:checkedState w14:val="2612" w14:font="MS Gothic"/>
                  <w14:uncheckedState w14:val="2610" w14:font="MS Gothic"/>
                </w14:checkbox>
              </w:sdtPr>
              <w:sdtContent>
                <w:r w:rsidR="004A3883" w:rsidRPr="00714F0C">
                  <w:rPr>
                    <w:rFonts w:ascii="MS Gothic" w:eastAsia="MS Gothic" w:hAnsi="MS Gothic" w:hint="eastAsia"/>
                  </w:rPr>
                  <w:t>☐</w:t>
                </w:r>
              </w:sdtContent>
            </w:sdt>
            <w:r w:rsidR="004A3883" w:rsidRPr="00714F0C">
              <w:t xml:space="preserve"> No</w:t>
            </w:r>
          </w:p>
          <w:p w14:paraId="6C9619F0" w14:textId="7B5CAAAF" w:rsidR="004A3883" w:rsidRDefault="00000000" w:rsidP="002868D3">
            <w:pPr>
              <w:jc w:val="left"/>
            </w:pPr>
            <w:sdt>
              <w:sdtPr>
                <w:id w:val="-1582449184"/>
                <w14:checkbox>
                  <w14:checked w14:val="0"/>
                  <w14:checkedState w14:val="2612" w14:font="MS Gothic"/>
                  <w14:uncheckedState w14:val="2610" w14:font="MS Gothic"/>
                </w14:checkbox>
              </w:sdtPr>
              <w:sdtContent>
                <w:r w:rsidR="004A3883">
                  <w:rPr>
                    <w:rFonts w:ascii="MS Gothic" w:eastAsia="MS Gothic" w:hAnsi="MS Gothic" w:hint="eastAsia"/>
                  </w:rPr>
                  <w:t>☐</w:t>
                </w:r>
              </w:sdtContent>
            </w:sdt>
            <w:r w:rsidR="004A3883" w:rsidRPr="00714F0C">
              <w:t xml:space="preserve"> N/A</w:t>
            </w:r>
          </w:p>
        </w:tc>
        <w:tc>
          <w:tcPr>
            <w:tcW w:w="3444" w:type="dxa"/>
          </w:tcPr>
          <w:p w14:paraId="556DF10A" w14:textId="2D0D0884" w:rsidR="004A3883" w:rsidRPr="000402F2" w:rsidRDefault="004A3883" w:rsidP="002868D3">
            <w:pPr>
              <w:pStyle w:val="Instructions"/>
              <w:jc w:val="left"/>
            </w:pPr>
            <w:r>
              <w:t xml:space="preserve">A significant proportion of the Primary Treatment Centres (PTCs) will work with Shared Care Centres (SCCs) to deliver the trial treatment. </w:t>
            </w:r>
          </w:p>
        </w:tc>
        <w:tc>
          <w:tcPr>
            <w:tcW w:w="3473" w:type="dxa"/>
          </w:tcPr>
          <w:p w14:paraId="75C4F95A" w14:textId="680C7D0D" w:rsidR="004A3883" w:rsidRPr="00494AF7" w:rsidRDefault="004A3883" w:rsidP="002868D3">
            <w:pPr>
              <w:pStyle w:val="Instructions"/>
              <w:jc w:val="left"/>
            </w:pPr>
            <w:r w:rsidRPr="003421E9">
              <w:t xml:space="preserve">The </w:t>
            </w:r>
            <w:r>
              <w:t xml:space="preserve">SCCs </w:t>
            </w:r>
            <w:r w:rsidRPr="003421E9">
              <w:t>will be managed through their respective PTC which will be provided with all relevant trial documentation.</w:t>
            </w:r>
            <w:r>
              <w:t xml:space="preserve"> The site agreement with each PTC includes the PTC’s responsibilities with regards to its SCCs. </w:t>
            </w:r>
            <w:r w:rsidRPr="00110DB2">
              <w:t xml:space="preserve">The PTC will fax a checklist to the </w:t>
            </w:r>
            <w:r>
              <w:t>Trials Office</w:t>
            </w:r>
            <w:r w:rsidRPr="00110DB2">
              <w:t xml:space="preserve"> confirming activation of </w:t>
            </w:r>
            <w:r>
              <w:t>each</w:t>
            </w:r>
            <w:r w:rsidRPr="00110DB2">
              <w:t xml:space="preserve"> </w:t>
            </w:r>
            <w:r>
              <w:t>SCC; on receipt Trials Office will activate drug shipment.</w:t>
            </w:r>
            <w:r w:rsidRPr="00110DB2">
              <w:t xml:space="preserve"> To ensure that all </w:t>
            </w:r>
            <w:r>
              <w:t>SCCs</w:t>
            </w:r>
            <w:r w:rsidRPr="00110DB2">
              <w:t xml:space="preserve"> understand the trial, the </w:t>
            </w:r>
            <w:r>
              <w:t>Trials Office</w:t>
            </w:r>
            <w:r w:rsidRPr="00110DB2">
              <w:t xml:space="preserve"> will perform </w:t>
            </w:r>
            <w:r>
              <w:t>pharmacy i</w:t>
            </w:r>
            <w:r w:rsidRPr="00110DB2">
              <w:t xml:space="preserve">nitiations for each </w:t>
            </w:r>
            <w:r>
              <w:t>SCC</w:t>
            </w:r>
            <w:r w:rsidRPr="00110DB2">
              <w:t xml:space="preserve"> in addition to the PTC and will also provide them with a pharmacy manual and abbreviated site file.  </w:t>
            </w:r>
          </w:p>
        </w:tc>
        <w:tc>
          <w:tcPr>
            <w:tcW w:w="3364" w:type="dxa"/>
          </w:tcPr>
          <w:p w14:paraId="209EE10A" w14:textId="42265867" w:rsidR="004A3883" w:rsidRPr="009B0150" w:rsidRDefault="004A3883" w:rsidP="002868D3">
            <w:pPr>
              <w:pStyle w:val="Instructions"/>
              <w:jc w:val="left"/>
            </w:pPr>
            <w:r>
              <w:t>Quality checks on PTC’s oversight of its SCCs will be performed.</w:t>
            </w:r>
          </w:p>
        </w:tc>
      </w:tr>
      <w:tr w:rsidR="007C6F4C" w:rsidRPr="00C12E3C" w14:paraId="667298E4" w14:textId="77777777" w:rsidTr="00FD5879">
        <w:trPr>
          <w:cantSplit/>
          <w:trHeight w:val="524"/>
        </w:trPr>
        <w:tc>
          <w:tcPr>
            <w:tcW w:w="2864" w:type="dxa"/>
          </w:tcPr>
          <w:p w14:paraId="454E972F" w14:textId="77777777" w:rsidR="007C6F4C" w:rsidRPr="002868D3" w:rsidRDefault="007C6F4C" w:rsidP="002868D3">
            <w:pPr>
              <w:jc w:val="left"/>
              <w:rPr>
                <w:b/>
                <w:bCs/>
              </w:rPr>
            </w:pPr>
            <w:r w:rsidRPr="002868D3">
              <w:rPr>
                <w:rStyle w:val="Heading3Char"/>
                <w:rFonts w:eastAsiaTheme="majorEastAsia"/>
              </w:rPr>
              <w:t>Sponsor/coordinating centre</w:t>
            </w:r>
          </w:p>
          <w:p w14:paraId="730ABF3C" w14:textId="77777777" w:rsidR="007C6F4C" w:rsidRDefault="007C6F4C" w:rsidP="002868D3">
            <w:pPr>
              <w:jc w:val="left"/>
            </w:pPr>
            <w:r>
              <w:t xml:space="preserve">E.g. </w:t>
            </w:r>
          </w:p>
          <w:p w14:paraId="565359C9" w14:textId="7E5766D7" w:rsidR="007C6F4C" w:rsidRPr="00B60926" w:rsidRDefault="007C6F4C" w:rsidP="0035289A">
            <w:pPr>
              <w:jc w:val="left"/>
            </w:pPr>
            <w:r>
              <w:t>Education and experience, existence of quality systems</w:t>
            </w:r>
          </w:p>
        </w:tc>
        <w:tc>
          <w:tcPr>
            <w:tcW w:w="1220" w:type="dxa"/>
          </w:tcPr>
          <w:p w14:paraId="7A1144A8" w14:textId="77777777" w:rsidR="007C6F4C" w:rsidRPr="00714F0C" w:rsidRDefault="00000000" w:rsidP="002868D3">
            <w:pPr>
              <w:pStyle w:val="Instructions"/>
              <w:jc w:val="left"/>
            </w:pPr>
            <w:sdt>
              <w:sdtPr>
                <w:id w:val="1034388415"/>
                <w14:checkbox>
                  <w14:checked w14:val="1"/>
                  <w14:checkedState w14:val="2612" w14:font="MS Gothic"/>
                  <w14:uncheckedState w14:val="2610" w14:font="MS Gothic"/>
                </w14:checkbox>
              </w:sdtPr>
              <w:sdtContent>
                <w:r w:rsidR="007C6F4C">
                  <w:rPr>
                    <w:rFonts w:ascii="MS Gothic" w:eastAsia="MS Gothic" w:hAnsi="MS Gothic" w:hint="eastAsia"/>
                  </w:rPr>
                  <w:t>☒</w:t>
                </w:r>
              </w:sdtContent>
            </w:sdt>
            <w:r w:rsidR="007C6F4C" w:rsidRPr="00714F0C">
              <w:t xml:space="preserve"> Yes</w:t>
            </w:r>
          </w:p>
          <w:p w14:paraId="0383D94C" w14:textId="77777777" w:rsidR="007C6F4C" w:rsidRPr="00714F0C" w:rsidRDefault="00000000" w:rsidP="002868D3">
            <w:pPr>
              <w:jc w:val="left"/>
            </w:pPr>
            <w:sdt>
              <w:sdtPr>
                <w:id w:val="-1702851826"/>
                <w14:checkbox>
                  <w14:checked w14:val="0"/>
                  <w14:checkedState w14:val="2612" w14:font="MS Gothic"/>
                  <w14:uncheckedState w14:val="2610" w14:font="MS Gothic"/>
                </w14:checkbox>
              </w:sdtPr>
              <w:sdtContent>
                <w:r w:rsidR="007C6F4C" w:rsidRPr="00714F0C">
                  <w:rPr>
                    <w:rFonts w:ascii="MS Gothic" w:eastAsia="MS Gothic" w:hAnsi="MS Gothic" w:hint="eastAsia"/>
                  </w:rPr>
                  <w:t>☐</w:t>
                </w:r>
              </w:sdtContent>
            </w:sdt>
            <w:r w:rsidR="007C6F4C" w:rsidRPr="00714F0C">
              <w:t xml:space="preserve"> No</w:t>
            </w:r>
          </w:p>
          <w:p w14:paraId="56A85C65" w14:textId="7433DA40" w:rsidR="007C6F4C" w:rsidRDefault="00000000" w:rsidP="002868D3">
            <w:pPr>
              <w:jc w:val="left"/>
            </w:pPr>
            <w:sdt>
              <w:sdtPr>
                <w:id w:val="-116918711"/>
                <w14:checkbox>
                  <w14:checked w14:val="0"/>
                  <w14:checkedState w14:val="2612" w14:font="MS Gothic"/>
                  <w14:uncheckedState w14:val="2610" w14:font="MS Gothic"/>
                </w14:checkbox>
              </w:sdtPr>
              <w:sdtContent>
                <w:r w:rsidR="007C6F4C">
                  <w:rPr>
                    <w:rFonts w:ascii="MS Gothic" w:eastAsia="MS Gothic" w:hAnsi="MS Gothic" w:hint="eastAsia"/>
                  </w:rPr>
                  <w:t>☐</w:t>
                </w:r>
              </w:sdtContent>
            </w:sdt>
            <w:r w:rsidR="007C6F4C" w:rsidRPr="00714F0C">
              <w:t xml:space="preserve"> N/A</w:t>
            </w:r>
          </w:p>
        </w:tc>
        <w:tc>
          <w:tcPr>
            <w:tcW w:w="3444" w:type="dxa"/>
          </w:tcPr>
          <w:p w14:paraId="13ED6982" w14:textId="0448B873" w:rsidR="007C6F4C" w:rsidRDefault="007C6F4C" w:rsidP="002868D3">
            <w:pPr>
              <w:pStyle w:val="Instructions"/>
              <w:jc w:val="left"/>
            </w:pPr>
            <w:r>
              <w:t xml:space="preserve">This is an international trial. </w:t>
            </w:r>
            <w:r w:rsidRPr="00D90507">
              <w:t xml:space="preserve">The trial will operate </w:t>
            </w:r>
            <w:r>
              <w:t xml:space="preserve">from National Coordinating Centres (NCC) </w:t>
            </w:r>
            <w:r w:rsidRPr="00D90507">
              <w:t xml:space="preserve">in each </w:t>
            </w:r>
            <w:r>
              <w:t>c</w:t>
            </w:r>
            <w:r w:rsidRPr="00D90507">
              <w:t xml:space="preserve">ountry to manage the trial in accordance with the </w:t>
            </w:r>
            <w:r>
              <w:t>protocol</w:t>
            </w:r>
            <w:r w:rsidRPr="00D90507">
              <w:t xml:space="preserve"> and relevant laws.  </w:t>
            </w:r>
          </w:p>
        </w:tc>
        <w:tc>
          <w:tcPr>
            <w:tcW w:w="3473" w:type="dxa"/>
          </w:tcPr>
          <w:p w14:paraId="74D8B62B" w14:textId="77777777" w:rsidR="007C6F4C" w:rsidRPr="007E038B" w:rsidRDefault="007C6F4C" w:rsidP="002868D3">
            <w:pPr>
              <w:pStyle w:val="Instructions"/>
              <w:jc w:val="left"/>
            </w:pPr>
            <w:r>
              <w:t>The c</w:t>
            </w:r>
            <w:r w:rsidRPr="007E038B">
              <w:t xml:space="preserve">ontract with </w:t>
            </w:r>
            <w:r>
              <w:t xml:space="preserve">the </w:t>
            </w:r>
            <w:r w:rsidRPr="007E038B">
              <w:t xml:space="preserve">NCC specifies </w:t>
            </w:r>
            <w:r w:rsidRPr="007E038B">
              <w:rPr>
                <w:lang w:eastAsia="en-GB"/>
              </w:rPr>
              <w:t>wh</w:t>
            </w:r>
            <w:r>
              <w:rPr>
                <w:lang w:eastAsia="en-GB"/>
              </w:rPr>
              <w:t>ich</w:t>
            </w:r>
            <w:r w:rsidRPr="007E038B">
              <w:rPr>
                <w:lang w:eastAsia="en-GB"/>
              </w:rPr>
              <w:t xml:space="preserve"> aspects of trial management are to be taken on by the NCC</w:t>
            </w:r>
            <w:r w:rsidRPr="007E038B">
              <w:t>.</w:t>
            </w:r>
          </w:p>
          <w:p w14:paraId="38D177C6" w14:textId="77777777" w:rsidR="007C6F4C" w:rsidRDefault="007C6F4C" w:rsidP="002868D3">
            <w:pPr>
              <w:pStyle w:val="Instructions"/>
              <w:jc w:val="left"/>
            </w:pPr>
            <w:r w:rsidRPr="001E4312">
              <w:t xml:space="preserve">Each NCC </w:t>
            </w:r>
            <w:r>
              <w:t xml:space="preserve">will be </w:t>
            </w:r>
            <w:r w:rsidRPr="001E4312">
              <w:t>assessed for its suitability</w:t>
            </w:r>
            <w:r>
              <w:t>.</w:t>
            </w:r>
          </w:p>
          <w:p w14:paraId="56ECACFD" w14:textId="77777777" w:rsidR="007C6F4C" w:rsidRPr="007E038B" w:rsidRDefault="007C6F4C" w:rsidP="002868D3">
            <w:pPr>
              <w:pStyle w:val="Instructions"/>
              <w:jc w:val="left"/>
              <w:rPr>
                <w:lang w:eastAsia="en-GB"/>
              </w:rPr>
            </w:pPr>
            <w:r w:rsidRPr="007E038B">
              <w:rPr>
                <w:lang w:eastAsia="en-GB"/>
              </w:rPr>
              <w:t xml:space="preserve">NCC will be </w:t>
            </w:r>
            <w:r>
              <w:rPr>
                <w:lang w:eastAsia="en-GB"/>
              </w:rPr>
              <w:t>consulted</w:t>
            </w:r>
            <w:r w:rsidRPr="007E038B">
              <w:rPr>
                <w:lang w:eastAsia="en-GB"/>
              </w:rPr>
              <w:t xml:space="preserve"> regarding any changes to trial documents </w:t>
            </w:r>
            <w:r>
              <w:rPr>
                <w:lang w:eastAsia="en-GB"/>
              </w:rPr>
              <w:t xml:space="preserve">in order </w:t>
            </w:r>
            <w:r w:rsidRPr="007E038B">
              <w:rPr>
                <w:lang w:eastAsia="en-GB"/>
              </w:rPr>
              <w:t>to comply with local regulatory/</w:t>
            </w:r>
            <w:r>
              <w:rPr>
                <w:lang w:eastAsia="en-GB"/>
              </w:rPr>
              <w:t xml:space="preserve"> </w:t>
            </w:r>
            <w:r w:rsidRPr="007E038B">
              <w:rPr>
                <w:lang w:eastAsia="en-GB"/>
              </w:rPr>
              <w:t xml:space="preserve">legislative requirements and translation of documents.  </w:t>
            </w:r>
          </w:p>
          <w:p w14:paraId="50B53961" w14:textId="77777777" w:rsidR="007C6F4C" w:rsidRDefault="007C6F4C" w:rsidP="002868D3">
            <w:pPr>
              <w:pStyle w:val="Instructions"/>
              <w:jc w:val="left"/>
            </w:pPr>
            <w:r>
              <w:t>Trial Coordinator and Monitor will visit NCC to provide training.</w:t>
            </w:r>
          </w:p>
          <w:p w14:paraId="15F55966" w14:textId="5367256A" w:rsidR="007C6F4C" w:rsidRDefault="007C6F4C" w:rsidP="002868D3">
            <w:pPr>
              <w:pStyle w:val="Instructions"/>
              <w:jc w:val="left"/>
            </w:pPr>
            <w:r>
              <w:t>NCCs will perform site initiation and on-site monitoring of sites in their country.</w:t>
            </w:r>
          </w:p>
        </w:tc>
        <w:tc>
          <w:tcPr>
            <w:tcW w:w="3364" w:type="dxa"/>
          </w:tcPr>
          <w:p w14:paraId="0073683D" w14:textId="371331EB" w:rsidR="007C6F4C" w:rsidRDefault="007C6F4C" w:rsidP="002868D3">
            <w:pPr>
              <w:pStyle w:val="Instructions"/>
              <w:jc w:val="left"/>
            </w:pPr>
            <w:r>
              <w:t>Trials Office</w:t>
            </w:r>
            <w:r>
              <w:rPr>
                <w:lang w:eastAsia="en-GB"/>
              </w:rPr>
              <w:t xml:space="preserve"> will employ </w:t>
            </w:r>
            <w:r w:rsidRPr="001E4312">
              <w:rPr>
                <w:lang w:eastAsia="en-GB"/>
              </w:rPr>
              <w:t xml:space="preserve">methods of oversight </w:t>
            </w:r>
            <w:r>
              <w:rPr>
                <w:lang w:eastAsia="en-GB"/>
              </w:rPr>
              <w:t xml:space="preserve">of each NCC </w:t>
            </w:r>
            <w:r w:rsidRPr="001E4312">
              <w:rPr>
                <w:lang w:eastAsia="en-GB"/>
              </w:rPr>
              <w:t xml:space="preserve">e.g. </w:t>
            </w:r>
            <w:r>
              <w:rPr>
                <w:lang w:eastAsia="en-GB"/>
              </w:rPr>
              <w:t xml:space="preserve">via site visits/audits </w:t>
            </w:r>
            <w:r w:rsidRPr="001E4312">
              <w:rPr>
                <w:lang w:eastAsia="en-GB"/>
              </w:rPr>
              <w:t>and</w:t>
            </w:r>
            <w:r>
              <w:rPr>
                <w:lang w:eastAsia="en-GB"/>
              </w:rPr>
              <w:t xml:space="preserve"> collection and review of key documents such as monitor visit reports.</w:t>
            </w:r>
          </w:p>
        </w:tc>
      </w:tr>
      <w:tr w:rsidR="001824E3" w:rsidRPr="00C12E3C" w14:paraId="16C86CF6" w14:textId="77777777" w:rsidTr="00FD5879">
        <w:trPr>
          <w:cantSplit/>
          <w:trHeight w:val="524"/>
        </w:trPr>
        <w:tc>
          <w:tcPr>
            <w:tcW w:w="2864" w:type="dxa"/>
            <w:vAlign w:val="center"/>
          </w:tcPr>
          <w:p w14:paraId="1EFE6521" w14:textId="77777777" w:rsidR="001824E3" w:rsidRPr="002868D3" w:rsidRDefault="001824E3" w:rsidP="002868D3">
            <w:pPr>
              <w:jc w:val="left"/>
              <w:rPr>
                <w:b/>
                <w:bCs/>
              </w:rPr>
            </w:pPr>
            <w:r w:rsidRPr="002868D3">
              <w:rPr>
                <w:b/>
                <w:bCs/>
              </w:rPr>
              <w:lastRenderedPageBreak/>
              <w:t>Trial governance</w:t>
            </w:r>
          </w:p>
          <w:p w14:paraId="207A6EE5" w14:textId="77777777" w:rsidR="001824E3" w:rsidRDefault="001824E3" w:rsidP="0035289A">
            <w:pPr>
              <w:jc w:val="left"/>
              <w:rPr>
                <w:rFonts w:eastAsia="SAS Monospace"/>
              </w:rPr>
            </w:pPr>
            <w:r>
              <w:t xml:space="preserve">E.g. </w:t>
            </w:r>
            <w:r>
              <w:rPr>
                <w:rFonts w:eastAsia="SAS Monospace"/>
              </w:rPr>
              <w:t>Influence upon/ i</w:t>
            </w:r>
            <w:r w:rsidRPr="00832603">
              <w:rPr>
                <w:rFonts w:eastAsia="SAS Monospace"/>
              </w:rPr>
              <w:t>nterference with trial governance by a private organisation</w:t>
            </w:r>
            <w:r>
              <w:rPr>
                <w:rFonts w:eastAsia="SAS Monospace"/>
              </w:rPr>
              <w:t xml:space="preserve">. </w:t>
            </w:r>
          </w:p>
          <w:p w14:paraId="4B1DCBD4" w14:textId="13FCFABF" w:rsidR="001824E3" w:rsidRPr="00126831" w:rsidRDefault="001824E3" w:rsidP="0035289A">
            <w:pPr>
              <w:jc w:val="left"/>
              <w:rPr>
                <w:rStyle w:val="Heading3Char"/>
                <w:rFonts w:eastAsiaTheme="majorEastAsia"/>
                <w:b w:val="0"/>
                <w:bCs w:val="0"/>
              </w:rPr>
            </w:pPr>
            <w:r>
              <w:t>Consider requirements placed on Trials Office by drug company if supply of drugs is provided free of charge or grants are provided.</w:t>
            </w:r>
          </w:p>
        </w:tc>
        <w:tc>
          <w:tcPr>
            <w:tcW w:w="1220" w:type="dxa"/>
          </w:tcPr>
          <w:p w14:paraId="6B2C23A9" w14:textId="77777777" w:rsidR="001824E3" w:rsidRPr="00714F0C" w:rsidRDefault="00000000" w:rsidP="002868D3">
            <w:pPr>
              <w:pStyle w:val="Instructions"/>
              <w:jc w:val="left"/>
            </w:pPr>
            <w:sdt>
              <w:sdtPr>
                <w:id w:val="1577705986"/>
                <w14:checkbox>
                  <w14:checked w14:val="1"/>
                  <w14:checkedState w14:val="2612" w14:font="MS Gothic"/>
                  <w14:uncheckedState w14:val="2610" w14:font="MS Gothic"/>
                </w14:checkbox>
              </w:sdtPr>
              <w:sdtContent>
                <w:r w:rsidR="001824E3">
                  <w:rPr>
                    <w:rFonts w:ascii="MS Gothic" w:eastAsia="MS Gothic" w:hAnsi="MS Gothic" w:hint="eastAsia"/>
                  </w:rPr>
                  <w:t>☒</w:t>
                </w:r>
              </w:sdtContent>
            </w:sdt>
            <w:r w:rsidR="001824E3" w:rsidRPr="00714F0C">
              <w:t xml:space="preserve"> Yes</w:t>
            </w:r>
          </w:p>
          <w:p w14:paraId="17610607" w14:textId="77777777" w:rsidR="001824E3" w:rsidRPr="00714F0C" w:rsidRDefault="00000000" w:rsidP="002868D3">
            <w:pPr>
              <w:jc w:val="left"/>
            </w:pPr>
            <w:sdt>
              <w:sdtPr>
                <w:id w:val="-467052555"/>
                <w14:checkbox>
                  <w14:checked w14:val="0"/>
                  <w14:checkedState w14:val="2612" w14:font="MS Gothic"/>
                  <w14:uncheckedState w14:val="2610" w14:font="MS Gothic"/>
                </w14:checkbox>
              </w:sdtPr>
              <w:sdtContent>
                <w:r w:rsidR="001824E3" w:rsidRPr="00714F0C">
                  <w:rPr>
                    <w:rFonts w:ascii="MS Gothic" w:eastAsia="MS Gothic" w:hAnsi="MS Gothic" w:hint="eastAsia"/>
                  </w:rPr>
                  <w:t>☐</w:t>
                </w:r>
              </w:sdtContent>
            </w:sdt>
            <w:r w:rsidR="001824E3" w:rsidRPr="00714F0C">
              <w:t xml:space="preserve"> No</w:t>
            </w:r>
          </w:p>
          <w:p w14:paraId="51215CBB" w14:textId="0031094C" w:rsidR="001824E3" w:rsidRDefault="00000000" w:rsidP="002868D3">
            <w:pPr>
              <w:jc w:val="left"/>
            </w:pPr>
            <w:sdt>
              <w:sdtPr>
                <w:id w:val="-1217663937"/>
                <w14:checkbox>
                  <w14:checked w14:val="0"/>
                  <w14:checkedState w14:val="2612" w14:font="MS Gothic"/>
                  <w14:uncheckedState w14:val="2610" w14:font="MS Gothic"/>
                </w14:checkbox>
              </w:sdtPr>
              <w:sdtContent>
                <w:r w:rsidR="001824E3">
                  <w:rPr>
                    <w:rFonts w:ascii="MS Gothic" w:eastAsia="MS Gothic" w:hAnsi="MS Gothic" w:hint="eastAsia"/>
                  </w:rPr>
                  <w:t>☐</w:t>
                </w:r>
              </w:sdtContent>
            </w:sdt>
            <w:r w:rsidR="001824E3" w:rsidRPr="00714F0C">
              <w:t xml:space="preserve"> N/A</w:t>
            </w:r>
          </w:p>
        </w:tc>
        <w:tc>
          <w:tcPr>
            <w:tcW w:w="3444" w:type="dxa"/>
          </w:tcPr>
          <w:p w14:paraId="07EF4E2D" w14:textId="743E5869" w:rsidR="001824E3" w:rsidRDefault="001824E3" w:rsidP="002868D3">
            <w:pPr>
              <w:pStyle w:val="Instructions"/>
              <w:jc w:val="left"/>
            </w:pPr>
            <w:r>
              <w:t xml:space="preserve">The device used within the trial is only available through the current manufacturer. The device manufacturer also has interests in the results of the trial. </w:t>
            </w:r>
          </w:p>
        </w:tc>
        <w:tc>
          <w:tcPr>
            <w:tcW w:w="3473" w:type="dxa"/>
          </w:tcPr>
          <w:p w14:paraId="0296B878" w14:textId="16D2B001" w:rsidR="001824E3" w:rsidRDefault="001824E3" w:rsidP="002868D3">
            <w:pPr>
              <w:pStyle w:val="Instructions"/>
              <w:jc w:val="left"/>
            </w:pPr>
            <w:r>
              <w:t xml:space="preserve">Responsibilities will be clearly defined in contracts between the Sponsor and the device manufacturer. This will include what trial data the device manufacturer has access to. </w:t>
            </w:r>
          </w:p>
        </w:tc>
        <w:tc>
          <w:tcPr>
            <w:tcW w:w="3364" w:type="dxa"/>
          </w:tcPr>
          <w:p w14:paraId="6B2F75D5" w14:textId="2BB6E1F8" w:rsidR="001824E3" w:rsidRDefault="001824E3" w:rsidP="002868D3">
            <w:pPr>
              <w:pStyle w:val="Instructions"/>
              <w:jc w:val="left"/>
            </w:pPr>
            <w:r w:rsidRPr="009B0150">
              <w:t>N/A; monitoring not required</w:t>
            </w:r>
            <w:r>
              <w:t>.</w:t>
            </w:r>
          </w:p>
        </w:tc>
      </w:tr>
    </w:tbl>
    <w:p w14:paraId="7CC294EF" w14:textId="77777777" w:rsidR="004B1D85" w:rsidRPr="004B1D85" w:rsidRDefault="004B1D85" w:rsidP="004B1D85"/>
    <w:p w14:paraId="42FC8786" w14:textId="77777777" w:rsidR="009F015D" w:rsidRDefault="009F015D">
      <w:pPr>
        <w:spacing w:before="0" w:after="200" w:line="276" w:lineRule="auto"/>
        <w:jc w:val="left"/>
        <w:rPr>
          <w:rFonts w:ascii="Gill Sans MT" w:hAnsi="Gill Sans MT" w:cs="Tahoma"/>
          <w:bCs/>
          <w:color w:val="943634"/>
          <w:kern w:val="32"/>
          <w:sz w:val="28"/>
          <w:szCs w:val="28"/>
        </w:rPr>
      </w:pPr>
      <w:r>
        <w:br w:type="page"/>
      </w:r>
    </w:p>
    <w:p w14:paraId="4A7FB67A" w14:textId="7F2E335A" w:rsidR="009F015D" w:rsidRDefault="009F015D" w:rsidP="002F60FA">
      <w:pPr>
        <w:pStyle w:val="Heading1"/>
        <w:numPr>
          <w:ilvl w:val="0"/>
          <w:numId w:val="16"/>
        </w:numPr>
      </w:pPr>
      <w:r>
        <w:lastRenderedPageBreak/>
        <w:t>Risk assessment report review</w:t>
      </w:r>
    </w:p>
    <w:p w14:paraId="2088537E" w14:textId="77777777" w:rsidR="009F015D" w:rsidRDefault="009F015D" w:rsidP="009F015D">
      <w:r>
        <w:t xml:space="preserve">The below table indicated that this risk assessment report has been reviewed and no update was required. Review performed by chief investigator (or delegate). </w:t>
      </w:r>
    </w:p>
    <w:tbl>
      <w:tblPr>
        <w:tblW w:w="5000" w:type="pct"/>
        <w:tblBorders>
          <w:top w:val="single" w:sz="6" w:space="0" w:color="auto"/>
          <w:left w:val="single" w:sz="6" w:space="0" w:color="auto"/>
          <w:bottom w:val="single" w:sz="6" w:space="0" w:color="auto"/>
          <w:right w:val="single" w:sz="6" w:space="0" w:color="auto"/>
          <w:insideH w:val="dotted" w:sz="4" w:space="0" w:color="auto"/>
        </w:tblBorders>
        <w:tblLayout w:type="fixed"/>
        <w:tblLook w:val="01E0" w:firstRow="1" w:lastRow="1" w:firstColumn="1" w:lastColumn="1" w:noHBand="0" w:noVBand="0"/>
      </w:tblPr>
      <w:tblGrid>
        <w:gridCol w:w="3691"/>
        <w:gridCol w:w="3725"/>
        <w:gridCol w:w="2292"/>
        <w:gridCol w:w="4660"/>
      </w:tblGrid>
      <w:tr w:rsidR="009F015D" w14:paraId="068AE4D4" w14:textId="77777777" w:rsidTr="002868D3">
        <w:trPr>
          <w:trHeight w:val="454"/>
        </w:trPr>
        <w:tc>
          <w:tcPr>
            <w:tcW w:w="3641" w:type="dxa"/>
            <w:tcBorders>
              <w:top w:val="single" w:sz="6" w:space="0" w:color="auto"/>
              <w:bottom w:val="dotted" w:sz="4" w:space="0" w:color="auto"/>
              <w:right w:val="dotted" w:sz="4" w:space="0" w:color="auto"/>
            </w:tcBorders>
            <w:shd w:val="clear" w:color="auto" w:fill="DBE5F1" w:themeFill="accent1" w:themeFillTint="33"/>
            <w:vAlign w:val="center"/>
          </w:tcPr>
          <w:p w14:paraId="28F7D534" w14:textId="77777777" w:rsidR="009F015D" w:rsidRPr="002868D3" w:rsidRDefault="009F015D" w:rsidP="002868D3">
            <w:pPr>
              <w:rPr>
                <w:b/>
                <w:bCs/>
              </w:rPr>
            </w:pPr>
            <w:r w:rsidRPr="002868D3">
              <w:rPr>
                <w:b/>
                <w:bCs/>
              </w:rPr>
              <w:t>Name</w:t>
            </w:r>
          </w:p>
        </w:tc>
        <w:tc>
          <w:tcPr>
            <w:tcW w:w="3675" w:type="dxa"/>
            <w:tcBorders>
              <w:top w:val="single" w:sz="6" w:space="0" w:color="auto"/>
              <w:left w:val="dotted" w:sz="4" w:space="0" w:color="auto"/>
              <w:bottom w:val="dotted" w:sz="4" w:space="0" w:color="auto"/>
              <w:right w:val="dotted" w:sz="4" w:space="0" w:color="auto"/>
            </w:tcBorders>
            <w:shd w:val="clear" w:color="auto" w:fill="DBE5F1" w:themeFill="accent1" w:themeFillTint="33"/>
            <w:vAlign w:val="center"/>
          </w:tcPr>
          <w:p w14:paraId="46BAE9DB" w14:textId="77777777" w:rsidR="009F015D" w:rsidRPr="002868D3" w:rsidRDefault="009F015D" w:rsidP="002868D3">
            <w:pPr>
              <w:rPr>
                <w:b/>
                <w:bCs/>
              </w:rPr>
            </w:pPr>
            <w:r w:rsidRPr="002868D3">
              <w:rPr>
                <w:b/>
                <w:bCs/>
              </w:rPr>
              <w:t xml:space="preserve"> Signature</w:t>
            </w:r>
          </w:p>
        </w:tc>
        <w:tc>
          <w:tcPr>
            <w:tcW w:w="2261" w:type="dxa"/>
            <w:tcBorders>
              <w:top w:val="single" w:sz="6" w:space="0" w:color="auto"/>
              <w:left w:val="dotted" w:sz="4" w:space="0" w:color="auto"/>
              <w:bottom w:val="dotted" w:sz="4" w:space="0" w:color="auto"/>
              <w:right w:val="dotted" w:sz="4" w:space="0" w:color="auto"/>
            </w:tcBorders>
            <w:shd w:val="clear" w:color="auto" w:fill="DBE5F1" w:themeFill="accent1" w:themeFillTint="33"/>
            <w:vAlign w:val="center"/>
          </w:tcPr>
          <w:p w14:paraId="0BAA58B8" w14:textId="77777777" w:rsidR="009F015D" w:rsidRPr="002868D3" w:rsidRDefault="009F015D" w:rsidP="002868D3">
            <w:pPr>
              <w:rPr>
                <w:b/>
                <w:bCs/>
              </w:rPr>
            </w:pPr>
            <w:r w:rsidRPr="002868D3">
              <w:rPr>
                <w:b/>
                <w:bCs/>
              </w:rPr>
              <w:t xml:space="preserve">Date </w:t>
            </w:r>
          </w:p>
        </w:tc>
        <w:tc>
          <w:tcPr>
            <w:tcW w:w="4597" w:type="dxa"/>
            <w:tcBorders>
              <w:top w:val="single" w:sz="6" w:space="0" w:color="auto"/>
              <w:left w:val="dotted" w:sz="4" w:space="0" w:color="auto"/>
              <w:bottom w:val="dotted" w:sz="4" w:space="0" w:color="auto"/>
            </w:tcBorders>
            <w:shd w:val="clear" w:color="auto" w:fill="DBE5F1" w:themeFill="accent1" w:themeFillTint="33"/>
            <w:vAlign w:val="center"/>
          </w:tcPr>
          <w:p w14:paraId="211A3C60" w14:textId="77777777" w:rsidR="009F015D" w:rsidRPr="002868D3" w:rsidRDefault="009F015D" w:rsidP="002868D3">
            <w:pPr>
              <w:rPr>
                <w:b/>
                <w:bCs/>
              </w:rPr>
            </w:pPr>
            <w:r w:rsidRPr="002868D3">
              <w:rPr>
                <w:b/>
                <w:bCs/>
              </w:rPr>
              <w:t xml:space="preserve">Reason for review* </w:t>
            </w:r>
          </w:p>
        </w:tc>
      </w:tr>
      <w:tr w:rsidR="009F015D" w14:paraId="72843A3C" w14:textId="77777777" w:rsidTr="002868D3">
        <w:trPr>
          <w:trHeight w:val="454"/>
        </w:trPr>
        <w:tc>
          <w:tcPr>
            <w:tcW w:w="3641" w:type="dxa"/>
            <w:tcBorders>
              <w:top w:val="dotted" w:sz="4" w:space="0" w:color="auto"/>
              <w:right w:val="dotted" w:sz="4" w:space="0" w:color="auto"/>
            </w:tcBorders>
            <w:vAlign w:val="center"/>
          </w:tcPr>
          <w:p w14:paraId="1979441A" w14:textId="77777777" w:rsidR="009F015D" w:rsidRDefault="009F015D" w:rsidP="002868D3">
            <w:pPr>
              <w:jc w:val="left"/>
            </w:pPr>
          </w:p>
        </w:tc>
        <w:tc>
          <w:tcPr>
            <w:tcW w:w="3675" w:type="dxa"/>
            <w:tcBorders>
              <w:top w:val="dotted" w:sz="4" w:space="0" w:color="auto"/>
              <w:left w:val="dotted" w:sz="4" w:space="0" w:color="auto"/>
              <w:right w:val="dotted" w:sz="4" w:space="0" w:color="auto"/>
            </w:tcBorders>
            <w:vAlign w:val="center"/>
          </w:tcPr>
          <w:p w14:paraId="5C365DEE" w14:textId="77777777" w:rsidR="009F015D" w:rsidRDefault="009F015D" w:rsidP="002868D3">
            <w:pPr>
              <w:jc w:val="left"/>
            </w:pPr>
          </w:p>
        </w:tc>
        <w:tc>
          <w:tcPr>
            <w:tcW w:w="2261" w:type="dxa"/>
            <w:tcBorders>
              <w:top w:val="dotted" w:sz="4" w:space="0" w:color="auto"/>
              <w:left w:val="dotted" w:sz="4" w:space="0" w:color="auto"/>
              <w:right w:val="dotted" w:sz="4" w:space="0" w:color="auto"/>
            </w:tcBorders>
            <w:vAlign w:val="center"/>
          </w:tcPr>
          <w:p w14:paraId="2CBE4E0D" w14:textId="77777777" w:rsidR="009F015D" w:rsidRDefault="009F015D" w:rsidP="002868D3">
            <w:pPr>
              <w:jc w:val="left"/>
            </w:pPr>
          </w:p>
        </w:tc>
        <w:tc>
          <w:tcPr>
            <w:tcW w:w="4597" w:type="dxa"/>
            <w:tcBorders>
              <w:top w:val="dotted" w:sz="4" w:space="0" w:color="auto"/>
              <w:left w:val="dotted" w:sz="4" w:space="0" w:color="auto"/>
            </w:tcBorders>
            <w:vAlign w:val="center"/>
          </w:tcPr>
          <w:p w14:paraId="1BC5135B" w14:textId="77777777" w:rsidR="009F015D" w:rsidRDefault="009F015D" w:rsidP="002868D3">
            <w:pPr>
              <w:jc w:val="left"/>
            </w:pPr>
          </w:p>
        </w:tc>
      </w:tr>
      <w:tr w:rsidR="009F015D" w14:paraId="301CC05D" w14:textId="77777777" w:rsidTr="002868D3">
        <w:trPr>
          <w:trHeight w:val="454"/>
        </w:trPr>
        <w:tc>
          <w:tcPr>
            <w:tcW w:w="3641" w:type="dxa"/>
            <w:tcBorders>
              <w:top w:val="dotted" w:sz="4" w:space="0" w:color="auto"/>
              <w:right w:val="dotted" w:sz="4" w:space="0" w:color="auto"/>
            </w:tcBorders>
            <w:vAlign w:val="center"/>
          </w:tcPr>
          <w:p w14:paraId="55BB0821" w14:textId="77777777" w:rsidR="009F015D" w:rsidRDefault="009F015D" w:rsidP="002868D3">
            <w:pPr>
              <w:jc w:val="left"/>
            </w:pPr>
          </w:p>
        </w:tc>
        <w:tc>
          <w:tcPr>
            <w:tcW w:w="3675" w:type="dxa"/>
            <w:tcBorders>
              <w:top w:val="dotted" w:sz="4" w:space="0" w:color="auto"/>
              <w:left w:val="dotted" w:sz="4" w:space="0" w:color="auto"/>
              <w:right w:val="dotted" w:sz="4" w:space="0" w:color="auto"/>
            </w:tcBorders>
            <w:vAlign w:val="center"/>
          </w:tcPr>
          <w:p w14:paraId="0333CF68" w14:textId="77777777" w:rsidR="009F015D" w:rsidRDefault="009F015D" w:rsidP="002868D3">
            <w:pPr>
              <w:jc w:val="left"/>
            </w:pPr>
          </w:p>
        </w:tc>
        <w:tc>
          <w:tcPr>
            <w:tcW w:w="2261" w:type="dxa"/>
            <w:tcBorders>
              <w:top w:val="dotted" w:sz="4" w:space="0" w:color="auto"/>
              <w:left w:val="dotted" w:sz="4" w:space="0" w:color="auto"/>
              <w:right w:val="dotted" w:sz="4" w:space="0" w:color="auto"/>
            </w:tcBorders>
            <w:vAlign w:val="center"/>
          </w:tcPr>
          <w:p w14:paraId="75A86E18" w14:textId="77777777" w:rsidR="009F015D" w:rsidRDefault="009F015D" w:rsidP="002868D3">
            <w:pPr>
              <w:jc w:val="left"/>
            </w:pPr>
          </w:p>
        </w:tc>
        <w:tc>
          <w:tcPr>
            <w:tcW w:w="4597" w:type="dxa"/>
            <w:tcBorders>
              <w:top w:val="dotted" w:sz="4" w:space="0" w:color="auto"/>
              <w:left w:val="dotted" w:sz="4" w:space="0" w:color="auto"/>
            </w:tcBorders>
            <w:vAlign w:val="center"/>
          </w:tcPr>
          <w:p w14:paraId="59947A18" w14:textId="77777777" w:rsidR="009F015D" w:rsidRDefault="009F015D" w:rsidP="002868D3">
            <w:pPr>
              <w:jc w:val="left"/>
            </w:pPr>
          </w:p>
        </w:tc>
      </w:tr>
      <w:tr w:rsidR="009F015D" w14:paraId="1A2A4EA2" w14:textId="77777777" w:rsidTr="002868D3">
        <w:trPr>
          <w:trHeight w:val="454"/>
        </w:trPr>
        <w:tc>
          <w:tcPr>
            <w:tcW w:w="3641" w:type="dxa"/>
            <w:tcBorders>
              <w:top w:val="dotted" w:sz="4" w:space="0" w:color="auto"/>
              <w:right w:val="dotted" w:sz="4" w:space="0" w:color="auto"/>
            </w:tcBorders>
            <w:vAlign w:val="center"/>
          </w:tcPr>
          <w:p w14:paraId="5A0C7ADD" w14:textId="77777777" w:rsidR="009F015D" w:rsidRDefault="009F015D" w:rsidP="002868D3">
            <w:pPr>
              <w:jc w:val="left"/>
            </w:pPr>
          </w:p>
        </w:tc>
        <w:tc>
          <w:tcPr>
            <w:tcW w:w="3675" w:type="dxa"/>
            <w:tcBorders>
              <w:top w:val="dotted" w:sz="4" w:space="0" w:color="auto"/>
              <w:left w:val="dotted" w:sz="4" w:space="0" w:color="auto"/>
              <w:right w:val="dotted" w:sz="4" w:space="0" w:color="auto"/>
            </w:tcBorders>
            <w:vAlign w:val="center"/>
          </w:tcPr>
          <w:p w14:paraId="2BD24A47" w14:textId="77777777" w:rsidR="009F015D" w:rsidRDefault="009F015D" w:rsidP="002868D3">
            <w:pPr>
              <w:jc w:val="left"/>
            </w:pPr>
          </w:p>
        </w:tc>
        <w:tc>
          <w:tcPr>
            <w:tcW w:w="2261" w:type="dxa"/>
            <w:tcBorders>
              <w:top w:val="dotted" w:sz="4" w:space="0" w:color="auto"/>
              <w:left w:val="dotted" w:sz="4" w:space="0" w:color="auto"/>
              <w:right w:val="dotted" w:sz="4" w:space="0" w:color="auto"/>
            </w:tcBorders>
            <w:vAlign w:val="center"/>
          </w:tcPr>
          <w:p w14:paraId="3D783F0A" w14:textId="77777777" w:rsidR="009F015D" w:rsidRDefault="009F015D" w:rsidP="002868D3">
            <w:pPr>
              <w:jc w:val="left"/>
            </w:pPr>
          </w:p>
        </w:tc>
        <w:tc>
          <w:tcPr>
            <w:tcW w:w="4597" w:type="dxa"/>
            <w:tcBorders>
              <w:top w:val="dotted" w:sz="4" w:space="0" w:color="auto"/>
              <w:left w:val="dotted" w:sz="4" w:space="0" w:color="auto"/>
            </w:tcBorders>
            <w:vAlign w:val="center"/>
          </w:tcPr>
          <w:p w14:paraId="491733C8" w14:textId="77777777" w:rsidR="009F015D" w:rsidRDefault="009F015D" w:rsidP="002868D3">
            <w:pPr>
              <w:jc w:val="left"/>
            </w:pPr>
          </w:p>
        </w:tc>
      </w:tr>
      <w:tr w:rsidR="009F015D" w14:paraId="41B30E04" w14:textId="77777777" w:rsidTr="002868D3">
        <w:trPr>
          <w:trHeight w:val="454"/>
        </w:trPr>
        <w:tc>
          <w:tcPr>
            <w:tcW w:w="3641" w:type="dxa"/>
            <w:tcBorders>
              <w:top w:val="dotted" w:sz="4" w:space="0" w:color="auto"/>
              <w:right w:val="dotted" w:sz="4" w:space="0" w:color="auto"/>
            </w:tcBorders>
            <w:vAlign w:val="center"/>
          </w:tcPr>
          <w:p w14:paraId="6417618F" w14:textId="77777777" w:rsidR="009F015D" w:rsidRDefault="009F015D" w:rsidP="002868D3">
            <w:pPr>
              <w:jc w:val="left"/>
            </w:pPr>
          </w:p>
        </w:tc>
        <w:tc>
          <w:tcPr>
            <w:tcW w:w="3675" w:type="dxa"/>
            <w:tcBorders>
              <w:top w:val="dotted" w:sz="4" w:space="0" w:color="auto"/>
              <w:left w:val="dotted" w:sz="4" w:space="0" w:color="auto"/>
              <w:right w:val="dotted" w:sz="4" w:space="0" w:color="auto"/>
            </w:tcBorders>
            <w:vAlign w:val="center"/>
          </w:tcPr>
          <w:p w14:paraId="70069A71" w14:textId="77777777" w:rsidR="009F015D" w:rsidRDefault="009F015D" w:rsidP="002868D3">
            <w:pPr>
              <w:jc w:val="left"/>
            </w:pPr>
          </w:p>
        </w:tc>
        <w:tc>
          <w:tcPr>
            <w:tcW w:w="2261" w:type="dxa"/>
            <w:tcBorders>
              <w:top w:val="dotted" w:sz="4" w:space="0" w:color="auto"/>
              <w:left w:val="dotted" w:sz="4" w:space="0" w:color="auto"/>
              <w:right w:val="dotted" w:sz="4" w:space="0" w:color="auto"/>
            </w:tcBorders>
            <w:vAlign w:val="center"/>
          </w:tcPr>
          <w:p w14:paraId="485FC5AE" w14:textId="77777777" w:rsidR="009F015D" w:rsidRDefault="009F015D" w:rsidP="002868D3">
            <w:pPr>
              <w:jc w:val="left"/>
            </w:pPr>
          </w:p>
        </w:tc>
        <w:tc>
          <w:tcPr>
            <w:tcW w:w="4597" w:type="dxa"/>
            <w:tcBorders>
              <w:top w:val="dotted" w:sz="4" w:space="0" w:color="auto"/>
              <w:left w:val="dotted" w:sz="4" w:space="0" w:color="auto"/>
            </w:tcBorders>
            <w:vAlign w:val="center"/>
          </w:tcPr>
          <w:p w14:paraId="1D2F7BF4" w14:textId="77777777" w:rsidR="009F015D" w:rsidRDefault="009F015D" w:rsidP="002868D3">
            <w:pPr>
              <w:jc w:val="left"/>
            </w:pPr>
          </w:p>
        </w:tc>
      </w:tr>
      <w:tr w:rsidR="009F015D" w14:paraId="7E5CE330" w14:textId="77777777" w:rsidTr="002868D3">
        <w:trPr>
          <w:trHeight w:val="454"/>
        </w:trPr>
        <w:tc>
          <w:tcPr>
            <w:tcW w:w="3641" w:type="dxa"/>
            <w:tcBorders>
              <w:top w:val="dotted" w:sz="4" w:space="0" w:color="auto"/>
              <w:right w:val="dotted" w:sz="4" w:space="0" w:color="auto"/>
            </w:tcBorders>
            <w:vAlign w:val="center"/>
          </w:tcPr>
          <w:p w14:paraId="0D2D8925" w14:textId="77777777" w:rsidR="009F015D" w:rsidRDefault="009F015D" w:rsidP="002868D3">
            <w:pPr>
              <w:jc w:val="left"/>
            </w:pPr>
          </w:p>
        </w:tc>
        <w:tc>
          <w:tcPr>
            <w:tcW w:w="3675" w:type="dxa"/>
            <w:tcBorders>
              <w:top w:val="dotted" w:sz="4" w:space="0" w:color="auto"/>
              <w:left w:val="dotted" w:sz="4" w:space="0" w:color="auto"/>
              <w:right w:val="dotted" w:sz="4" w:space="0" w:color="auto"/>
            </w:tcBorders>
            <w:vAlign w:val="center"/>
          </w:tcPr>
          <w:p w14:paraId="26F3142E" w14:textId="77777777" w:rsidR="009F015D" w:rsidRDefault="009F015D" w:rsidP="002868D3">
            <w:pPr>
              <w:jc w:val="left"/>
            </w:pPr>
          </w:p>
        </w:tc>
        <w:tc>
          <w:tcPr>
            <w:tcW w:w="2261" w:type="dxa"/>
            <w:tcBorders>
              <w:top w:val="dotted" w:sz="4" w:space="0" w:color="auto"/>
              <w:left w:val="dotted" w:sz="4" w:space="0" w:color="auto"/>
              <w:right w:val="dotted" w:sz="4" w:space="0" w:color="auto"/>
            </w:tcBorders>
            <w:vAlign w:val="center"/>
          </w:tcPr>
          <w:p w14:paraId="5659E3FA" w14:textId="77777777" w:rsidR="009F015D" w:rsidRDefault="009F015D" w:rsidP="002868D3">
            <w:pPr>
              <w:jc w:val="left"/>
            </w:pPr>
          </w:p>
        </w:tc>
        <w:tc>
          <w:tcPr>
            <w:tcW w:w="4597" w:type="dxa"/>
            <w:tcBorders>
              <w:top w:val="dotted" w:sz="4" w:space="0" w:color="auto"/>
              <w:left w:val="dotted" w:sz="4" w:space="0" w:color="auto"/>
            </w:tcBorders>
            <w:vAlign w:val="center"/>
          </w:tcPr>
          <w:p w14:paraId="518BE1A9" w14:textId="77777777" w:rsidR="009F015D" w:rsidRDefault="009F015D" w:rsidP="002868D3">
            <w:pPr>
              <w:jc w:val="left"/>
            </w:pPr>
          </w:p>
        </w:tc>
      </w:tr>
      <w:tr w:rsidR="009F015D" w14:paraId="70A04D58" w14:textId="77777777" w:rsidTr="002868D3">
        <w:trPr>
          <w:trHeight w:val="454"/>
        </w:trPr>
        <w:tc>
          <w:tcPr>
            <w:tcW w:w="3641" w:type="dxa"/>
            <w:tcBorders>
              <w:top w:val="dotted" w:sz="4" w:space="0" w:color="auto"/>
              <w:right w:val="dotted" w:sz="4" w:space="0" w:color="auto"/>
            </w:tcBorders>
            <w:vAlign w:val="center"/>
          </w:tcPr>
          <w:p w14:paraId="4C849DA0" w14:textId="77777777" w:rsidR="009F015D" w:rsidRDefault="009F015D" w:rsidP="002868D3">
            <w:pPr>
              <w:jc w:val="left"/>
            </w:pPr>
          </w:p>
        </w:tc>
        <w:tc>
          <w:tcPr>
            <w:tcW w:w="3675" w:type="dxa"/>
            <w:tcBorders>
              <w:top w:val="dotted" w:sz="4" w:space="0" w:color="auto"/>
              <w:left w:val="dotted" w:sz="4" w:space="0" w:color="auto"/>
              <w:right w:val="dotted" w:sz="4" w:space="0" w:color="auto"/>
            </w:tcBorders>
            <w:vAlign w:val="center"/>
          </w:tcPr>
          <w:p w14:paraId="169FE044" w14:textId="77777777" w:rsidR="009F015D" w:rsidRDefault="009F015D" w:rsidP="002868D3">
            <w:pPr>
              <w:jc w:val="left"/>
            </w:pPr>
          </w:p>
        </w:tc>
        <w:tc>
          <w:tcPr>
            <w:tcW w:w="2261" w:type="dxa"/>
            <w:tcBorders>
              <w:top w:val="dotted" w:sz="4" w:space="0" w:color="auto"/>
              <w:left w:val="dotted" w:sz="4" w:space="0" w:color="auto"/>
              <w:right w:val="dotted" w:sz="4" w:space="0" w:color="auto"/>
            </w:tcBorders>
            <w:vAlign w:val="center"/>
          </w:tcPr>
          <w:p w14:paraId="0E6B3BB7" w14:textId="77777777" w:rsidR="009F015D" w:rsidRDefault="009F015D" w:rsidP="002868D3">
            <w:pPr>
              <w:jc w:val="left"/>
            </w:pPr>
          </w:p>
        </w:tc>
        <w:tc>
          <w:tcPr>
            <w:tcW w:w="4597" w:type="dxa"/>
            <w:tcBorders>
              <w:top w:val="dotted" w:sz="4" w:space="0" w:color="auto"/>
              <w:left w:val="dotted" w:sz="4" w:space="0" w:color="auto"/>
            </w:tcBorders>
            <w:vAlign w:val="center"/>
          </w:tcPr>
          <w:p w14:paraId="42DE98FF" w14:textId="77777777" w:rsidR="009F015D" w:rsidRDefault="009F015D" w:rsidP="002868D3">
            <w:pPr>
              <w:jc w:val="left"/>
            </w:pPr>
          </w:p>
        </w:tc>
      </w:tr>
      <w:tr w:rsidR="009F015D" w14:paraId="7927F311" w14:textId="77777777" w:rsidTr="002868D3">
        <w:trPr>
          <w:trHeight w:val="454"/>
        </w:trPr>
        <w:tc>
          <w:tcPr>
            <w:tcW w:w="3641" w:type="dxa"/>
            <w:tcBorders>
              <w:top w:val="dotted" w:sz="4" w:space="0" w:color="auto"/>
              <w:right w:val="dotted" w:sz="4" w:space="0" w:color="auto"/>
            </w:tcBorders>
            <w:vAlign w:val="center"/>
          </w:tcPr>
          <w:p w14:paraId="50C41996" w14:textId="77777777" w:rsidR="009F015D" w:rsidRDefault="009F015D" w:rsidP="002868D3">
            <w:pPr>
              <w:jc w:val="left"/>
            </w:pPr>
          </w:p>
        </w:tc>
        <w:tc>
          <w:tcPr>
            <w:tcW w:w="3675" w:type="dxa"/>
            <w:tcBorders>
              <w:top w:val="dotted" w:sz="4" w:space="0" w:color="auto"/>
              <w:left w:val="dotted" w:sz="4" w:space="0" w:color="auto"/>
              <w:right w:val="dotted" w:sz="4" w:space="0" w:color="auto"/>
            </w:tcBorders>
            <w:vAlign w:val="center"/>
          </w:tcPr>
          <w:p w14:paraId="0E1669A2" w14:textId="77777777" w:rsidR="009F015D" w:rsidRDefault="009F015D" w:rsidP="002868D3">
            <w:pPr>
              <w:jc w:val="left"/>
            </w:pPr>
          </w:p>
        </w:tc>
        <w:tc>
          <w:tcPr>
            <w:tcW w:w="2261" w:type="dxa"/>
            <w:tcBorders>
              <w:top w:val="dotted" w:sz="4" w:space="0" w:color="auto"/>
              <w:left w:val="dotted" w:sz="4" w:space="0" w:color="auto"/>
              <w:right w:val="dotted" w:sz="4" w:space="0" w:color="auto"/>
            </w:tcBorders>
            <w:vAlign w:val="center"/>
          </w:tcPr>
          <w:p w14:paraId="0CDF3309" w14:textId="77777777" w:rsidR="009F015D" w:rsidRDefault="009F015D" w:rsidP="002868D3">
            <w:pPr>
              <w:jc w:val="left"/>
            </w:pPr>
          </w:p>
        </w:tc>
        <w:tc>
          <w:tcPr>
            <w:tcW w:w="4597" w:type="dxa"/>
            <w:tcBorders>
              <w:top w:val="dotted" w:sz="4" w:space="0" w:color="auto"/>
              <w:left w:val="dotted" w:sz="4" w:space="0" w:color="auto"/>
            </w:tcBorders>
            <w:vAlign w:val="center"/>
          </w:tcPr>
          <w:p w14:paraId="69B5A92C" w14:textId="77777777" w:rsidR="009F015D" w:rsidRDefault="009F015D" w:rsidP="002868D3">
            <w:pPr>
              <w:jc w:val="left"/>
            </w:pPr>
          </w:p>
        </w:tc>
      </w:tr>
      <w:tr w:rsidR="009F015D" w14:paraId="014FA248" w14:textId="77777777" w:rsidTr="002868D3">
        <w:trPr>
          <w:trHeight w:val="454"/>
        </w:trPr>
        <w:tc>
          <w:tcPr>
            <w:tcW w:w="3641" w:type="dxa"/>
            <w:tcBorders>
              <w:top w:val="dotted" w:sz="4" w:space="0" w:color="auto"/>
              <w:right w:val="dotted" w:sz="4" w:space="0" w:color="auto"/>
            </w:tcBorders>
            <w:vAlign w:val="center"/>
          </w:tcPr>
          <w:p w14:paraId="0CA4DD92" w14:textId="77777777" w:rsidR="009F015D" w:rsidRDefault="009F015D" w:rsidP="002868D3">
            <w:pPr>
              <w:jc w:val="left"/>
            </w:pPr>
          </w:p>
        </w:tc>
        <w:tc>
          <w:tcPr>
            <w:tcW w:w="3675" w:type="dxa"/>
            <w:tcBorders>
              <w:top w:val="dotted" w:sz="4" w:space="0" w:color="auto"/>
              <w:left w:val="dotted" w:sz="4" w:space="0" w:color="auto"/>
              <w:right w:val="dotted" w:sz="4" w:space="0" w:color="auto"/>
            </w:tcBorders>
            <w:vAlign w:val="center"/>
          </w:tcPr>
          <w:p w14:paraId="2BD4F066" w14:textId="77777777" w:rsidR="009F015D" w:rsidRDefault="009F015D" w:rsidP="002868D3">
            <w:pPr>
              <w:jc w:val="left"/>
            </w:pPr>
          </w:p>
        </w:tc>
        <w:tc>
          <w:tcPr>
            <w:tcW w:w="2261" w:type="dxa"/>
            <w:tcBorders>
              <w:top w:val="dotted" w:sz="4" w:space="0" w:color="auto"/>
              <w:left w:val="dotted" w:sz="4" w:space="0" w:color="auto"/>
              <w:right w:val="dotted" w:sz="4" w:space="0" w:color="auto"/>
            </w:tcBorders>
            <w:vAlign w:val="center"/>
          </w:tcPr>
          <w:p w14:paraId="23174209" w14:textId="77777777" w:rsidR="009F015D" w:rsidRDefault="009F015D" w:rsidP="002868D3">
            <w:pPr>
              <w:jc w:val="left"/>
            </w:pPr>
          </w:p>
        </w:tc>
        <w:tc>
          <w:tcPr>
            <w:tcW w:w="4597" w:type="dxa"/>
            <w:tcBorders>
              <w:top w:val="dotted" w:sz="4" w:space="0" w:color="auto"/>
              <w:left w:val="dotted" w:sz="4" w:space="0" w:color="auto"/>
            </w:tcBorders>
            <w:vAlign w:val="center"/>
          </w:tcPr>
          <w:p w14:paraId="4E4D29F6" w14:textId="77777777" w:rsidR="009F015D" w:rsidRDefault="009F015D" w:rsidP="002868D3">
            <w:pPr>
              <w:jc w:val="left"/>
            </w:pPr>
          </w:p>
        </w:tc>
      </w:tr>
      <w:tr w:rsidR="009F015D" w14:paraId="7C3CF2C3" w14:textId="77777777" w:rsidTr="002868D3">
        <w:trPr>
          <w:trHeight w:val="454"/>
        </w:trPr>
        <w:tc>
          <w:tcPr>
            <w:tcW w:w="3641" w:type="dxa"/>
            <w:tcBorders>
              <w:top w:val="dotted" w:sz="4" w:space="0" w:color="auto"/>
              <w:right w:val="dotted" w:sz="4" w:space="0" w:color="auto"/>
            </w:tcBorders>
            <w:vAlign w:val="center"/>
          </w:tcPr>
          <w:p w14:paraId="67114473" w14:textId="77777777" w:rsidR="009F015D" w:rsidRDefault="009F015D" w:rsidP="002868D3">
            <w:pPr>
              <w:jc w:val="left"/>
            </w:pPr>
          </w:p>
        </w:tc>
        <w:tc>
          <w:tcPr>
            <w:tcW w:w="3675" w:type="dxa"/>
            <w:tcBorders>
              <w:top w:val="dotted" w:sz="4" w:space="0" w:color="auto"/>
              <w:left w:val="dotted" w:sz="4" w:space="0" w:color="auto"/>
              <w:right w:val="dotted" w:sz="4" w:space="0" w:color="auto"/>
            </w:tcBorders>
            <w:vAlign w:val="center"/>
          </w:tcPr>
          <w:p w14:paraId="1C7BD4A2" w14:textId="77777777" w:rsidR="009F015D" w:rsidRDefault="009F015D" w:rsidP="002868D3">
            <w:pPr>
              <w:jc w:val="left"/>
            </w:pPr>
          </w:p>
        </w:tc>
        <w:tc>
          <w:tcPr>
            <w:tcW w:w="2261" w:type="dxa"/>
            <w:tcBorders>
              <w:top w:val="dotted" w:sz="4" w:space="0" w:color="auto"/>
              <w:left w:val="dotted" w:sz="4" w:space="0" w:color="auto"/>
              <w:right w:val="dotted" w:sz="4" w:space="0" w:color="auto"/>
            </w:tcBorders>
            <w:vAlign w:val="center"/>
          </w:tcPr>
          <w:p w14:paraId="55991C86" w14:textId="77777777" w:rsidR="009F015D" w:rsidRDefault="009F015D" w:rsidP="002868D3">
            <w:pPr>
              <w:jc w:val="left"/>
            </w:pPr>
          </w:p>
        </w:tc>
        <w:tc>
          <w:tcPr>
            <w:tcW w:w="4597" w:type="dxa"/>
            <w:tcBorders>
              <w:top w:val="dotted" w:sz="4" w:space="0" w:color="auto"/>
              <w:left w:val="dotted" w:sz="4" w:space="0" w:color="auto"/>
            </w:tcBorders>
            <w:vAlign w:val="center"/>
          </w:tcPr>
          <w:p w14:paraId="6DE81A11" w14:textId="77777777" w:rsidR="009F015D" w:rsidRDefault="009F015D" w:rsidP="002868D3">
            <w:pPr>
              <w:jc w:val="left"/>
            </w:pPr>
          </w:p>
        </w:tc>
      </w:tr>
      <w:tr w:rsidR="009F015D" w14:paraId="60F27E82" w14:textId="77777777" w:rsidTr="002868D3">
        <w:trPr>
          <w:trHeight w:val="454"/>
        </w:trPr>
        <w:tc>
          <w:tcPr>
            <w:tcW w:w="3641" w:type="dxa"/>
            <w:tcBorders>
              <w:top w:val="dotted" w:sz="4" w:space="0" w:color="auto"/>
              <w:right w:val="dotted" w:sz="4" w:space="0" w:color="auto"/>
            </w:tcBorders>
            <w:vAlign w:val="center"/>
          </w:tcPr>
          <w:p w14:paraId="493A14F5" w14:textId="77777777" w:rsidR="009F015D" w:rsidRDefault="009F015D" w:rsidP="002868D3">
            <w:pPr>
              <w:jc w:val="left"/>
            </w:pPr>
          </w:p>
        </w:tc>
        <w:tc>
          <w:tcPr>
            <w:tcW w:w="3675" w:type="dxa"/>
            <w:tcBorders>
              <w:top w:val="dotted" w:sz="4" w:space="0" w:color="auto"/>
              <w:left w:val="dotted" w:sz="4" w:space="0" w:color="auto"/>
              <w:right w:val="dotted" w:sz="4" w:space="0" w:color="auto"/>
            </w:tcBorders>
            <w:vAlign w:val="center"/>
          </w:tcPr>
          <w:p w14:paraId="5442C70E" w14:textId="77777777" w:rsidR="009F015D" w:rsidRDefault="009F015D" w:rsidP="002868D3">
            <w:pPr>
              <w:jc w:val="left"/>
            </w:pPr>
          </w:p>
        </w:tc>
        <w:tc>
          <w:tcPr>
            <w:tcW w:w="2261" w:type="dxa"/>
            <w:tcBorders>
              <w:top w:val="dotted" w:sz="4" w:space="0" w:color="auto"/>
              <w:left w:val="dotted" w:sz="4" w:space="0" w:color="auto"/>
              <w:right w:val="dotted" w:sz="4" w:space="0" w:color="auto"/>
            </w:tcBorders>
            <w:vAlign w:val="center"/>
          </w:tcPr>
          <w:p w14:paraId="20DB4BF0" w14:textId="77777777" w:rsidR="009F015D" w:rsidRDefault="009F015D" w:rsidP="002868D3">
            <w:pPr>
              <w:jc w:val="left"/>
            </w:pPr>
          </w:p>
        </w:tc>
        <w:tc>
          <w:tcPr>
            <w:tcW w:w="4597" w:type="dxa"/>
            <w:tcBorders>
              <w:top w:val="dotted" w:sz="4" w:space="0" w:color="auto"/>
              <w:left w:val="dotted" w:sz="4" w:space="0" w:color="auto"/>
            </w:tcBorders>
            <w:vAlign w:val="center"/>
          </w:tcPr>
          <w:p w14:paraId="17FD0697" w14:textId="77777777" w:rsidR="009F015D" w:rsidRDefault="009F015D" w:rsidP="002868D3">
            <w:pPr>
              <w:jc w:val="left"/>
            </w:pPr>
          </w:p>
        </w:tc>
      </w:tr>
      <w:tr w:rsidR="009F015D" w14:paraId="73FE9569" w14:textId="77777777" w:rsidTr="002868D3">
        <w:trPr>
          <w:trHeight w:val="454"/>
        </w:trPr>
        <w:tc>
          <w:tcPr>
            <w:tcW w:w="3641" w:type="dxa"/>
            <w:tcBorders>
              <w:right w:val="dotted" w:sz="4" w:space="0" w:color="auto"/>
            </w:tcBorders>
            <w:vAlign w:val="center"/>
          </w:tcPr>
          <w:p w14:paraId="51EC2F25" w14:textId="77777777" w:rsidR="009F015D" w:rsidRDefault="009F015D" w:rsidP="002868D3">
            <w:pPr>
              <w:jc w:val="left"/>
            </w:pPr>
          </w:p>
        </w:tc>
        <w:tc>
          <w:tcPr>
            <w:tcW w:w="3675" w:type="dxa"/>
            <w:tcBorders>
              <w:left w:val="dotted" w:sz="4" w:space="0" w:color="auto"/>
              <w:right w:val="dotted" w:sz="4" w:space="0" w:color="auto"/>
            </w:tcBorders>
            <w:vAlign w:val="center"/>
          </w:tcPr>
          <w:p w14:paraId="6CD98A30" w14:textId="77777777" w:rsidR="009F015D" w:rsidRDefault="009F015D" w:rsidP="002868D3">
            <w:pPr>
              <w:jc w:val="left"/>
            </w:pPr>
          </w:p>
        </w:tc>
        <w:tc>
          <w:tcPr>
            <w:tcW w:w="2261" w:type="dxa"/>
            <w:tcBorders>
              <w:left w:val="dotted" w:sz="4" w:space="0" w:color="auto"/>
              <w:right w:val="dotted" w:sz="4" w:space="0" w:color="auto"/>
            </w:tcBorders>
            <w:vAlign w:val="center"/>
          </w:tcPr>
          <w:p w14:paraId="709734EB" w14:textId="77777777" w:rsidR="009F015D" w:rsidRDefault="009F015D" w:rsidP="002868D3">
            <w:pPr>
              <w:jc w:val="left"/>
            </w:pPr>
          </w:p>
        </w:tc>
        <w:tc>
          <w:tcPr>
            <w:tcW w:w="4597" w:type="dxa"/>
            <w:tcBorders>
              <w:left w:val="dotted" w:sz="4" w:space="0" w:color="auto"/>
            </w:tcBorders>
            <w:vAlign w:val="center"/>
          </w:tcPr>
          <w:p w14:paraId="73D60158" w14:textId="77777777" w:rsidR="009F015D" w:rsidRDefault="009F015D" w:rsidP="002868D3">
            <w:pPr>
              <w:jc w:val="left"/>
            </w:pPr>
          </w:p>
        </w:tc>
      </w:tr>
    </w:tbl>
    <w:p w14:paraId="08B6D482" w14:textId="77777777" w:rsidR="009F015D" w:rsidRPr="00AF070F" w:rsidRDefault="009F015D" w:rsidP="009F015D">
      <w:pPr>
        <w:rPr>
          <w:sz w:val="16"/>
          <w:szCs w:val="16"/>
        </w:rPr>
      </w:pPr>
      <w:r w:rsidRPr="00AF070F">
        <w:rPr>
          <w:sz w:val="16"/>
          <w:szCs w:val="16"/>
        </w:rPr>
        <w:t>*</w:t>
      </w:r>
      <w:r>
        <w:rPr>
          <w:sz w:val="16"/>
          <w:szCs w:val="16"/>
        </w:rPr>
        <w:t>A review may be conducted, for example, following:</w:t>
      </w:r>
    </w:p>
    <w:p w14:paraId="69034056" w14:textId="77777777" w:rsidR="009F015D" w:rsidRPr="002868D3" w:rsidRDefault="009F015D" w:rsidP="002868D3">
      <w:pPr>
        <w:pStyle w:val="bullet10"/>
        <w:rPr>
          <w:sz w:val="16"/>
          <w:szCs w:val="16"/>
        </w:rPr>
      </w:pPr>
      <w:r w:rsidRPr="002868D3">
        <w:rPr>
          <w:sz w:val="16"/>
          <w:szCs w:val="16"/>
        </w:rPr>
        <w:t>a substantial amendment to protocol or participant information sheet/informed consent form</w:t>
      </w:r>
    </w:p>
    <w:p w14:paraId="3CC81D87" w14:textId="77777777" w:rsidR="009F015D" w:rsidRPr="002868D3" w:rsidRDefault="009F015D" w:rsidP="002868D3">
      <w:pPr>
        <w:pStyle w:val="bullet10"/>
        <w:rPr>
          <w:sz w:val="16"/>
          <w:szCs w:val="16"/>
        </w:rPr>
      </w:pPr>
      <w:r w:rsidRPr="002868D3">
        <w:rPr>
          <w:sz w:val="16"/>
          <w:szCs w:val="16"/>
        </w:rPr>
        <w:t>significant changes in trial organisation (e.g. resource allocation, governance) and/or external funding, or</w:t>
      </w:r>
    </w:p>
    <w:p w14:paraId="6421884D" w14:textId="77777777" w:rsidR="009F015D" w:rsidRPr="002868D3" w:rsidRDefault="009F015D" w:rsidP="002868D3">
      <w:pPr>
        <w:pStyle w:val="bullet10"/>
        <w:rPr>
          <w:sz w:val="16"/>
          <w:szCs w:val="16"/>
        </w:rPr>
      </w:pPr>
      <w:r w:rsidRPr="002868D3">
        <w:rPr>
          <w:sz w:val="16"/>
          <w:szCs w:val="16"/>
        </w:rPr>
        <w:t xml:space="preserve">any other changes that may alter risk. See </w:t>
      </w:r>
      <w:r w:rsidRPr="002868D3">
        <w:rPr>
          <w:rStyle w:val="DocrefChar"/>
          <w:sz w:val="16"/>
          <w:szCs w:val="16"/>
        </w:rPr>
        <w:t>Project Oversight &amp; Quality Management SOP (UoB-POS-SOP-001)</w:t>
      </w:r>
      <w:r w:rsidRPr="002868D3">
        <w:rPr>
          <w:sz w:val="16"/>
          <w:szCs w:val="16"/>
        </w:rPr>
        <w:t xml:space="preserve"> for further examples.</w:t>
      </w:r>
    </w:p>
    <w:p w14:paraId="64486D84" w14:textId="77777777" w:rsidR="00AF2341" w:rsidRPr="00770649" w:rsidRDefault="00AF2341" w:rsidP="00770649"/>
    <w:sectPr w:rsidR="00AF2341" w:rsidRPr="00770649" w:rsidSect="002A14D3">
      <w:headerReference w:type="default" r:id="rId28"/>
      <w:footerReference w:type="default" r:id="rId29"/>
      <w:pgSz w:w="16839" w:h="11907" w:orient="landscape" w:code="9"/>
      <w:pgMar w:top="1440" w:right="1015" w:bottom="1440" w:left="1440" w:header="425"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3395" w14:textId="77777777" w:rsidR="00A12EB6" w:rsidRDefault="00A12EB6" w:rsidP="00F46DE6">
      <w:r>
        <w:separator/>
      </w:r>
    </w:p>
    <w:p w14:paraId="73DAC453" w14:textId="77777777" w:rsidR="00A12EB6" w:rsidRDefault="00A12EB6" w:rsidP="00F46DE6"/>
  </w:endnote>
  <w:endnote w:type="continuationSeparator" w:id="0">
    <w:p w14:paraId="6F928740" w14:textId="77777777" w:rsidR="00A12EB6" w:rsidRDefault="00A12EB6" w:rsidP="00F46DE6">
      <w:r>
        <w:continuationSeparator/>
      </w:r>
    </w:p>
    <w:p w14:paraId="635B9DE1" w14:textId="77777777" w:rsidR="00A12EB6" w:rsidRDefault="00A12EB6"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Pro Cond Semibold">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AS Monospace">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E122"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45B5B376"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66B29519" w14:textId="77777777" w:rsidR="00276842" w:rsidRDefault="00DD3075" w:rsidP="00DD3075">
    <w:hyperlink r:id="rId1" w:history="1">
      <w:r w:rsidRPr="00D317E8">
        <w:rPr>
          <w:rStyle w:val="Hyperlink"/>
        </w:rPr>
        <w:t>http://www.birmingham.ac.uk/research/activity/mds/mds-rkto/governance/index.aspx</w:t>
      </w:r>
    </w:hyperlink>
  </w:p>
  <w:p w14:paraId="6C0EDB1D"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0A2C" w14:textId="77777777" w:rsidR="007773B9" w:rsidRPr="0097056C" w:rsidRDefault="007773B9" w:rsidP="00C56078">
    <w:pPr>
      <w:pStyle w:val="Footer"/>
    </w:pPr>
    <w:r w:rsidRPr="0097056C">
      <w:t>Property of the University of Birmingham, Vincent Drive, Edgbaston, Birmingham, B15 2TT, United Kingdom.</w:t>
    </w:r>
  </w:p>
  <w:p w14:paraId="4A55171F" w14:textId="77777777" w:rsidR="007773B9" w:rsidRPr="0097056C" w:rsidRDefault="007773B9" w:rsidP="00C56078">
    <w:pPr>
      <w:pStyle w:val="Footer"/>
    </w:pPr>
    <w:r w:rsidRPr="0097056C">
      <w:t>This is a controlled document. Any unauthorised prints/downloads of this document will be classed as uncontrolled.</w:t>
    </w:r>
  </w:p>
  <w:p w14:paraId="3D64D1A2" w14:textId="77777777" w:rsidR="0097056C" w:rsidRDefault="007773B9" w:rsidP="00C56078">
    <w:pPr>
      <w:pStyle w:val="Footer"/>
      <w:rPr>
        <w:rStyle w:val="Hyperlink"/>
      </w:rPr>
    </w:pPr>
    <w:r w:rsidRPr="0097056C">
      <w:t xml:space="preserve">For the latest version refer to: </w:t>
    </w:r>
    <w:hyperlink r:id="rId1" w:tooltip="Link to CRCT website" w:history="1">
      <w:r w:rsidR="00D7036B" w:rsidRPr="0097056C">
        <w:rPr>
          <w:rStyle w:val="Hyperlink"/>
        </w:rPr>
        <w:t>birmingham.ac.uk/crct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33B" w14:textId="77777777" w:rsidR="00DD3075" w:rsidRDefault="00DD3075"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A668FC" w:rsidRPr="002D6577" w14:paraId="52238997" w14:textId="77777777" w:rsidTr="00A5347A">
      <w:trPr>
        <w:trHeight w:val="148"/>
      </w:trPr>
      <w:tc>
        <w:tcPr>
          <w:tcW w:w="1441" w:type="dxa"/>
          <w:tcMar>
            <w:top w:w="0" w:type="dxa"/>
            <w:left w:w="57" w:type="dxa"/>
            <w:bottom w:w="0" w:type="dxa"/>
            <w:right w:w="57" w:type="dxa"/>
          </w:tcMar>
          <w:vAlign w:val="center"/>
        </w:tcPr>
        <w:p w14:paraId="727501A6" w14:textId="77777777" w:rsidR="00A668FC" w:rsidRPr="001C6EFB" w:rsidRDefault="00A668FC" w:rsidP="00A5347A">
          <w:pPr>
            <w:pStyle w:val="Footer"/>
            <w:jc w:val="left"/>
          </w:pPr>
          <w:r w:rsidRPr="001C6EFB">
            <w:t>Document code:</w:t>
          </w:r>
        </w:p>
      </w:tc>
      <w:tc>
        <w:tcPr>
          <w:tcW w:w="3073" w:type="dxa"/>
          <w:tcMar>
            <w:top w:w="0" w:type="dxa"/>
            <w:left w:w="57" w:type="dxa"/>
            <w:bottom w:w="0" w:type="dxa"/>
            <w:right w:w="57" w:type="dxa"/>
          </w:tcMar>
          <w:vAlign w:val="center"/>
        </w:tcPr>
        <w:p w14:paraId="0DCD23CF" w14:textId="44A4219C" w:rsidR="00A668FC" w:rsidRPr="001C6EFB" w:rsidRDefault="00A83E92" w:rsidP="00075D91">
          <w:pPr>
            <w:pStyle w:val="Footer"/>
            <w:jc w:val="left"/>
          </w:pPr>
          <w:r>
            <w:t>UoB-POS-QCD-001</w:t>
          </w:r>
        </w:p>
      </w:tc>
      <w:tc>
        <w:tcPr>
          <w:tcW w:w="3283" w:type="dxa"/>
          <w:tcMar>
            <w:top w:w="0" w:type="dxa"/>
            <w:left w:w="57" w:type="dxa"/>
            <w:bottom w:w="0" w:type="dxa"/>
            <w:right w:w="57" w:type="dxa"/>
          </w:tcMar>
          <w:vAlign w:val="center"/>
        </w:tcPr>
        <w:p w14:paraId="11E38243" w14:textId="77777777" w:rsidR="00A668FC" w:rsidRPr="001C6EFB" w:rsidRDefault="00A668FC" w:rsidP="00A5347A">
          <w:pPr>
            <w:pStyle w:val="Footer"/>
            <w:jc w:val="right"/>
          </w:pPr>
          <w:r w:rsidRPr="001C6EFB">
            <w:t>Print Date:</w:t>
          </w:r>
        </w:p>
      </w:tc>
      <w:tc>
        <w:tcPr>
          <w:tcW w:w="1230" w:type="dxa"/>
          <w:tcMar>
            <w:top w:w="0" w:type="dxa"/>
            <w:left w:w="57" w:type="dxa"/>
            <w:bottom w:w="0" w:type="dxa"/>
            <w:right w:w="57" w:type="dxa"/>
          </w:tcMar>
          <w:vAlign w:val="center"/>
        </w:tcPr>
        <w:p w14:paraId="6008F172" w14:textId="542483A2" w:rsidR="00A668FC" w:rsidRPr="001C6EFB" w:rsidRDefault="00044A64" w:rsidP="00A5347A">
          <w:pPr>
            <w:pStyle w:val="Footer"/>
            <w:jc w:val="right"/>
          </w:pPr>
          <w:r>
            <w:fldChar w:fldCharType="begin"/>
          </w:r>
          <w:r>
            <w:instrText xml:space="preserve"> DATE  \@ "dd-MMM-yyyy"  \* MERGEFORMAT </w:instrText>
          </w:r>
          <w:r>
            <w:fldChar w:fldCharType="separate"/>
          </w:r>
          <w:r w:rsidR="00B53397">
            <w:rPr>
              <w:noProof/>
            </w:rPr>
            <w:t>30-Oct-2025</w:t>
          </w:r>
          <w:r>
            <w:fldChar w:fldCharType="end"/>
          </w:r>
        </w:p>
      </w:tc>
    </w:tr>
    <w:tr w:rsidR="00A668FC" w:rsidRPr="002D6577" w14:paraId="43BE3E87" w14:textId="77777777" w:rsidTr="00A5347A">
      <w:tc>
        <w:tcPr>
          <w:tcW w:w="1441" w:type="dxa"/>
          <w:tcMar>
            <w:top w:w="0" w:type="dxa"/>
            <w:left w:w="57" w:type="dxa"/>
            <w:bottom w:w="0" w:type="dxa"/>
            <w:right w:w="57" w:type="dxa"/>
          </w:tcMar>
          <w:vAlign w:val="center"/>
        </w:tcPr>
        <w:p w14:paraId="38624444" w14:textId="77777777" w:rsidR="00A668FC" w:rsidRPr="001C6EFB" w:rsidRDefault="00A668FC" w:rsidP="00A5347A">
          <w:pPr>
            <w:pStyle w:val="Footer"/>
            <w:jc w:val="left"/>
          </w:pPr>
          <w:r w:rsidRPr="001C6EFB">
            <w:t>Version no:</w:t>
          </w:r>
        </w:p>
      </w:tc>
      <w:tc>
        <w:tcPr>
          <w:tcW w:w="3073" w:type="dxa"/>
          <w:tcMar>
            <w:top w:w="0" w:type="dxa"/>
            <w:left w:w="57" w:type="dxa"/>
            <w:bottom w:w="0" w:type="dxa"/>
            <w:right w:w="57" w:type="dxa"/>
          </w:tcMar>
          <w:vAlign w:val="center"/>
        </w:tcPr>
        <w:p w14:paraId="2CE1B973" w14:textId="7D8DF72C" w:rsidR="00A668FC" w:rsidRPr="001C6EFB" w:rsidRDefault="00921194" w:rsidP="00A5347A">
          <w:pPr>
            <w:pStyle w:val="Footer"/>
            <w:jc w:val="left"/>
          </w:pPr>
          <w:r>
            <w:t>2.0</w:t>
          </w:r>
        </w:p>
      </w:tc>
      <w:tc>
        <w:tcPr>
          <w:tcW w:w="3283" w:type="dxa"/>
          <w:tcMar>
            <w:top w:w="0" w:type="dxa"/>
            <w:left w:w="57" w:type="dxa"/>
            <w:bottom w:w="0" w:type="dxa"/>
            <w:right w:w="57" w:type="dxa"/>
          </w:tcMar>
          <w:vAlign w:val="center"/>
        </w:tcPr>
        <w:p w14:paraId="6A9434F6" w14:textId="77777777" w:rsidR="00A668FC" w:rsidRPr="001C6EFB" w:rsidRDefault="00A668FC" w:rsidP="00A5347A">
          <w:pPr>
            <w:pStyle w:val="Footer"/>
            <w:jc w:val="right"/>
          </w:pPr>
          <w:r w:rsidRPr="001C6EFB">
            <w:t>Page:</w:t>
          </w:r>
        </w:p>
      </w:tc>
      <w:tc>
        <w:tcPr>
          <w:tcW w:w="1230" w:type="dxa"/>
          <w:tcMar>
            <w:top w:w="0" w:type="dxa"/>
            <w:left w:w="57" w:type="dxa"/>
            <w:bottom w:w="0" w:type="dxa"/>
            <w:right w:w="57" w:type="dxa"/>
          </w:tcMar>
          <w:vAlign w:val="center"/>
        </w:tcPr>
        <w:p w14:paraId="52C0A672" w14:textId="77777777" w:rsidR="00A668FC" w:rsidRPr="001C6EFB" w:rsidRDefault="00A668FC" w:rsidP="00A5347A">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74719615" w14:textId="77777777" w:rsidR="00DD3075" w:rsidRPr="003A24EB" w:rsidRDefault="00DD3075"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AB60" w14:textId="77777777" w:rsidR="00DD3075" w:rsidRDefault="00DD3075" w:rsidP="00F64F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2424"/>
      <w:gridCol w:w="1960"/>
    </w:tblGrid>
    <w:tr w:rsidR="00075D91" w:rsidRPr="002D6577" w14:paraId="762E20A8" w14:textId="77777777" w:rsidTr="00BA1992">
      <w:trPr>
        <w:trHeight w:val="148"/>
      </w:trPr>
      <w:tc>
        <w:tcPr>
          <w:tcW w:w="9027" w:type="dxa"/>
          <w:gridSpan w:val="2"/>
          <w:tcMar>
            <w:top w:w="0" w:type="dxa"/>
            <w:left w:w="57" w:type="dxa"/>
            <w:bottom w:w="0" w:type="dxa"/>
            <w:right w:w="57" w:type="dxa"/>
          </w:tcMar>
          <w:vAlign w:val="center"/>
        </w:tcPr>
        <w:p w14:paraId="5D53E2BC" w14:textId="77777777" w:rsidR="00075D91" w:rsidRPr="00075D91" w:rsidRDefault="00075D91" w:rsidP="00075D91">
          <w:pPr>
            <w:pStyle w:val="Footer"/>
            <w:jc w:val="left"/>
          </w:pPr>
          <w:r w:rsidRPr="00075D91">
            <w:t>&lt; Enter required footer details e.g. local filename and version number &gt;</w:t>
          </w:r>
        </w:p>
      </w:tc>
    </w:tr>
    <w:tr w:rsidR="00075D91" w:rsidRPr="002D6577" w14:paraId="66214592" w14:textId="77777777" w:rsidTr="001E602C">
      <w:tc>
        <w:tcPr>
          <w:tcW w:w="7797" w:type="dxa"/>
          <w:tcMar>
            <w:top w:w="0" w:type="dxa"/>
            <w:left w:w="57" w:type="dxa"/>
            <w:bottom w:w="0" w:type="dxa"/>
            <w:right w:w="57" w:type="dxa"/>
          </w:tcMar>
          <w:vAlign w:val="center"/>
        </w:tcPr>
        <w:p w14:paraId="62A7CF7B" w14:textId="27EB2ACD" w:rsidR="00075D91" w:rsidRPr="00075D91" w:rsidRDefault="00B20524" w:rsidP="00075D91">
          <w:pPr>
            <w:pStyle w:val="Footer"/>
            <w:jc w:val="left"/>
          </w:pPr>
          <w:r>
            <w:t>UoB-POS-QCD-001 v</w:t>
          </w:r>
          <w:r w:rsidR="00921194">
            <w:t>2.0</w:t>
          </w:r>
        </w:p>
      </w:tc>
      <w:tc>
        <w:tcPr>
          <w:tcW w:w="1230" w:type="dxa"/>
          <w:tcMar>
            <w:top w:w="0" w:type="dxa"/>
            <w:left w:w="57" w:type="dxa"/>
            <w:bottom w:w="0" w:type="dxa"/>
            <w:right w:w="57" w:type="dxa"/>
          </w:tcMar>
          <w:vAlign w:val="center"/>
        </w:tcPr>
        <w:p w14:paraId="5ACF84AA" w14:textId="77777777" w:rsidR="00075D91" w:rsidRPr="001C6EFB" w:rsidRDefault="00075D91" w:rsidP="00A5347A">
          <w:pPr>
            <w:pStyle w:val="Footer"/>
            <w:jc w:val="right"/>
          </w:pPr>
          <w:r w:rsidRPr="001C6EFB">
            <w:t xml:space="preserve"> </w:t>
          </w:r>
          <w:r>
            <w:t xml:space="preserve">Page </w:t>
          </w:r>
          <w:r>
            <w:fldChar w:fldCharType="begin"/>
          </w:r>
          <w:r>
            <w:instrText xml:space="preserve"> PAGE   \* MERGEFORMAT </w:instrText>
          </w:r>
          <w:r>
            <w:fldChar w:fldCharType="separate"/>
          </w:r>
          <w:r>
            <w:rPr>
              <w:noProof/>
            </w:rPr>
            <w:t>2</w:t>
          </w:r>
          <w:r>
            <w:fldChar w:fldCharType="end"/>
          </w:r>
          <w:r w:rsidRPr="001C6EFB">
            <w:t xml:space="preserve"> of </w:t>
          </w:r>
          <w:fldSimple w:instr=" NUMPAGES   \* MERGEFORMAT ">
            <w:r>
              <w:rPr>
                <w:noProof/>
              </w:rPr>
              <w:t>2</w:t>
            </w:r>
          </w:fldSimple>
        </w:p>
      </w:tc>
    </w:tr>
  </w:tbl>
  <w:p w14:paraId="2576EDBF" w14:textId="77777777" w:rsidR="00075D91" w:rsidRPr="003A24EB" w:rsidRDefault="00075D91"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C0B71" w14:textId="77777777" w:rsidR="00A12EB6" w:rsidRDefault="00A12EB6" w:rsidP="00F46DE6">
      <w:r>
        <w:separator/>
      </w:r>
    </w:p>
    <w:p w14:paraId="3F9FDA9F" w14:textId="77777777" w:rsidR="00A12EB6" w:rsidRDefault="00A12EB6" w:rsidP="00F46DE6"/>
  </w:footnote>
  <w:footnote w:type="continuationSeparator" w:id="0">
    <w:p w14:paraId="08BB3B8F" w14:textId="77777777" w:rsidR="00A12EB6" w:rsidRDefault="00A12EB6" w:rsidP="00F46DE6">
      <w:r>
        <w:continuationSeparator/>
      </w:r>
    </w:p>
    <w:p w14:paraId="11E895D3" w14:textId="77777777" w:rsidR="00A12EB6" w:rsidRDefault="00A12EB6"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00CF" w14:textId="77777777" w:rsidR="00A91AC7" w:rsidRDefault="00FF0711" w:rsidP="00A91AC7">
    <w:pPr>
      <w:jc w:val="left"/>
    </w:pPr>
    <w:r w:rsidRPr="00F16569">
      <w:rPr>
        <w:noProof/>
        <w:lang w:eastAsia="en-GB"/>
      </w:rPr>
      <w:drawing>
        <wp:anchor distT="0" distB="0" distL="114300" distR="114300" simplePos="0" relativeHeight="251658240" behindDoc="0" locked="0" layoutInCell="1" allowOverlap="1" wp14:anchorId="49F79AA5" wp14:editId="3AF48B2D">
          <wp:simplePos x="0" y="0"/>
          <wp:positionH relativeFrom="column">
            <wp:posOffset>-301625</wp:posOffset>
          </wp:positionH>
          <wp:positionV relativeFrom="page">
            <wp:posOffset>1050925</wp:posOffset>
          </wp:positionV>
          <wp:extent cx="2705100" cy="1062990"/>
          <wp:effectExtent l="0" t="0" r="0" b="0"/>
          <wp:wrapNone/>
          <wp:docPr id="244253374" name="Picture 244253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A91AC7" w14:paraId="4E317C52" w14:textId="77777777" w:rsidTr="00901562">
      <w:trPr>
        <w:trHeight w:val="278"/>
        <w:tblHeader/>
      </w:trPr>
      <w:tc>
        <w:tcPr>
          <w:tcW w:w="1555" w:type="dxa"/>
          <w:vAlign w:val="center"/>
        </w:tcPr>
        <w:p w14:paraId="764CE6E7" w14:textId="77777777" w:rsidR="00A91AC7" w:rsidRDefault="00A91AC7" w:rsidP="005405BD">
          <w:pPr>
            <w:pStyle w:val="Footer"/>
            <w:jc w:val="left"/>
          </w:pPr>
          <w:r w:rsidRPr="001C6EFB">
            <w:t>Document code:</w:t>
          </w:r>
        </w:p>
      </w:tc>
      <w:tc>
        <w:tcPr>
          <w:tcW w:w="2154" w:type="dxa"/>
          <w:vAlign w:val="center"/>
        </w:tcPr>
        <w:p w14:paraId="7F4326B9" w14:textId="2841FA11" w:rsidR="00A91AC7" w:rsidRDefault="009F4E02" w:rsidP="00075D91">
          <w:pPr>
            <w:pStyle w:val="Footer"/>
            <w:jc w:val="right"/>
          </w:pPr>
          <w:r>
            <w:t>UoB-POS-QCD-001</w:t>
          </w:r>
        </w:p>
      </w:tc>
    </w:tr>
    <w:tr w:rsidR="00A91AC7" w14:paraId="1CA1F489" w14:textId="77777777" w:rsidTr="00901562">
      <w:trPr>
        <w:trHeight w:val="278"/>
      </w:trPr>
      <w:tc>
        <w:tcPr>
          <w:tcW w:w="1555" w:type="dxa"/>
          <w:vAlign w:val="center"/>
        </w:tcPr>
        <w:p w14:paraId="5B7B2C08" w14:textId="77777777" w:rsidR="00A91AC7" w:rsidRDefault="00A91AC7" w:rsidP="005405BD">
          <w:pPr>
            <w:pStyle w:val="Footer"/>
            <w:jc w:val="left"/>
          </w:pPr>
          <w:r w:rsidRPr="001C6EFB">
            <w:t>Version no:</w:t>
          </w:r>
        </w:p>
      </w:tc>
      <w:tc>
        <w:tcPr>
          <w:tcW w:w="2154" w:type="dxa"/>
          <w:vAlign w:val="center"/>
        </w:tcPr>
        <w:p w14:paraId="1F550B5F" w14:textId="7EF60EE9" w:rsidR="00A91AC7" w:rsidRDefault="003B141B" w:rsidP="005405BD">
          <w:pPr>
            <w:pStyle w:val="Footer"/>
            <w:jc w:val="right"/>
          </w:pPr>
          <w:r>
            <w:t>2.0</w:t>
          </w:r>
        </w:p>
      </w:tc>
    </w:tr>
    <w:tr w:rsidR="00A91AC7" w14:paraId="32A2BD8C" w14:textId="77777777" w:rsidTr="00901562">
      <w:trPr>
        <w:trHeight w:val="278"/>
      </w:trPr>
      <w:tc>
        <w:tcPr>
          <w:tcW w:w="1555" w:type="dxa"/>
          <w:vAlign w:val="center"/>
        </w:tcPr>
        <w:p w14:paraId="0C2EE804" w14:textId="77777777" w:rsidR="00A91AC7" w:rsidRDefault="00A91AC7" w:rsidP="005405BD">
          <w:pPr>
            <w:pStyle w:val="Footer"/>
            <w:jc w:val="left"/>
          </w:pPr>
          <w:r>
            <w:t>Effective date:</w:t>
          </w:r>
        </w:p>
      </w:tc>
      <w:tc>
        <w:tcPr>
          <w:tcW w:w="2154" w:type="dxa"/>
          <w:vAlign w:val="center"/>
        </w:tcPr>
        <w:p w14:paraId="7E87966D" w14:textId="45C051BD" w:rsidR="00A91AC7" w:rsidRDefault="002373AC" w:rsidP="005405BD">
          <w:pPr>
            <w:pStyle w:val="Footer"/>
            <w:jc w:val="right"/>
          </w:pPr>
          <w:r>
            <w:t>07-Nov-2025</w:t>
          </w:r>
        </w:p>
      </w:tc>
    </w:tr>
    <w:tr w:rsidR="00A91AC7" w14:paraId="3FCE4E2A" w14:textId="77777777" w:rsidTr="00901562">
      <w:trPr>
        <w:trHeight w:val="278"/>
      </w:trPr>
      <w:tc>
        <w:tcPr>
          <w:tcW w:w="1555" w:type="dxa"/>
          <w:vAlign w:val="center"/>
        </w:tcPr>
        <w:p w14:paraId="284E77B5" w14:textId="77777777" w:rsidR="00A91AC7" w:rsidRPr="001C6EFB" w:rsidRDefault="00A91AC7" w:rsidP="005405BD">
          <w:pPr>
            <w:pStyle w:val="Footer"/>
            <w:jc w:val="left"/>
          </w:pPr>
          <w:r>
            <w:t>Print d</w:t>
          </w:r>
          <w:r w:rsidRPr="001C6EFB">
            <w:t>ate:</w:t>
          </w:r>
        </w:p>
      </w:tc>
      <w:tc>
        <w:tcPr>
          <w:tcW w:w="2154" w:type="dxa"/>
          <w:vAlign w:val="center"/>
        </w:tcPr>
        <w:p w14:paraId="6553180B" w14:textId="4F83AF8E" w:rsidR="00A91AC7" w:rsidRDefault="00A91AC7" w:rsidP="005405BD">
          <w:pPr>
            <w:pStyle w:val="Footer"/>
            <w:jc w:val="right"/>
          </w:pPr>
          <w:r>
            <w:fldChar w:fldCharType="begin"/>
          </w:r>
          <w:r>
            <w:instrText xml:space="preserve"> DATE  \@ "dd-MMM-yyyy"  \* MERGEFORMAT </w:instrText>
          </w:r>
          <w:r>
            <w:fldChar w:fldCharType="separate"/>
          </w:r>
          <w:r w:rsidR="00B53397">
            <w:rPr>
              <w:noProof/>
            </w:rPr>
            <w:t>30-Oct-2025</w:t>
          </w:r>
          <w:r>
            <w:fldChar w:fldCharType="end"/>
          </w:r>
        </w:p>
      </w:tc>
    </w:tr>
    <w:tr w:rsidR="00A91AC7" w14:paraId="150ADF35" w14:textId="77777777" w:rsidTr="00901562">
      <w:trPr>
        <w:trHeight w:val="278"/>
      </w:trPr>
      <w:tc>
        <w:tcPr>
          <w:tcW w:w="1555" w:type="dxa"/>
          <w:vAlign w:val="center"/>
        </w:tcPr>
        <w:p w14:paraId="689977DF" w14:textId="77777777" w:rsidR="00A91AC7" w:rsidRPr="001C6EFB" w:rsidRDefault="00A91AC7" w:rsidP="005405BD">
          <w:pPr>
            <w:pStyle w:val="Footer"/>
            <w:jc w:val="left"/>
          </w:pPr>
          <w:r w:rsidRPr="001C6EFB">
            <w:t>Page:</w:t>
          </w:r>
        </w:p>
      </w:tc>
      <w:tc>
        <w:tcPr>
          <w:tcW w:w="2154" w:type="dxa"/>
          <w:vAlign w:val="center"/>
        </w:tcPr>
        <w:p w14:paraId="6298A550" w14:textId="77777777" w:rsidR="00A91AC7" w:rsidRDefault="00A91AC7" w:rsidP="005405BD">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5D21B25E" w14:textId="77777777" w:rsidR="00A91AC7" w:rsidRDefault="00A91AC7" w:rsidP="00F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3FA5" w14:textId="77777777" w:rsidR="00DD3075" w:rsidRDefault="00DD3075"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C33B" w14:textId="60141365" w:rsidR="00DD3075" w:rsidRPr="00F64FE9" w:rsidRDefault="00075D91" w:rsidP="00F5404A">
    <w:pPr>
      <w:pStyle w:val="Header"/>
    </w:pPr>
    <w:r>
      <w:t>QCD</w:t>
    </w:r>
    <w:r w:rsidR="00462CF7" w:rsidRPr="00F64FE9">
      <w:t xml:space="preserve">: </w:t>
    </w:r>
    <w:r w:rsidR="009F4E02">
      <w:t>risk assessment report</w:t>
    </w:r>
  </w:p>
  <w:p w14:paraId="266D6EA6"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8978" w14:textId="77777777" w:rsidR="00DD3075" w:rsidRDefault="00DD3075" w:rsidP="00F540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D2B" w14:textId="5A583C6A" w:rsidR="00075D91" w:rsidRPr="00CF1011" w:rsidRDefault="00CF1011" w:rsidP="00CF1011">
    <w:pPr>
      <w:pStyle w:val="QCDheader"/>
    </w:pPr>
    <w:r w:rsidRPr="00CF1011">
      <w:rPr>
        <w:rStyle w:val="QCDheaderChar"/>
        <w:noProof/>
      </w:rPr>
      <w:drawing>
        <wp:anchor distT="0" distB="0" distL="114300" distR="114300" simplePos="0" relativeHeight="251658241" behindDoc="0" locked="0" layoutInCell="1" allowOverlap="1" wp14:anchorId="528C1204" wp14:editId="629C0708">
          <wp:simplePos x="0" y="0"/>
          <wp:positionH relativeFrom="column">
            <wp:posOffset>-285750</wp:posOffset>
          </wp:positionH>
          <wp:positionV relativeFrom="page">
            <wp:posOffset>106045</wp:posOffset>
          </wp:positionV>
          <wp:extent cx="2338917" cy="750498"/>
          <wp:effectExtent l="0" t="0" r="0" b="0"/>
          <wp:wrapNone/>
          <wp:docPr id="605145023" name="Picture 605145023"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rotWithShape="1">
                  <a:blip r:embed="rId1">
                    <a:extLst>
                      <a:ext uri="{28A0092B-C50C-407E-A947-70E740481C1C}">
                        <a14:useLocalDpi xmlns:a14="http://schemas.microsoft.com/office/drawing/2010/main" val="0"/>
                      </a:ext>
                    </a:extLst>
                  </a:blip>
                  <a:srcRect b="18208"/>
                  <a:stretch/>
                </pic:blipFill>
                <pic:spPr bwMode="auto">
                  <a:xfrm>
                    <a:off x="0" y="0"/>
                    <a:ext cx="233891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015D">
      <w:t>Risk assessment report</w:t>
    </w:r>
  </w:p>
  <w:p w14:paraId="65EEEAAD" w14:textId="7C3F7BDE" w:rsidR="00CF1011" w:rsidRPr="00CF1011" w:rsidRDefault="00C85C2F" w:rsidP="00CF1011">
    <w:pPr>
      <w:pStyle w:val="QCDheader"/>
    </w:pPr>
    <w:r w:rsidRPr="00C85C2F">
      <w:t>&lt;Identifier e.g. trial name&gt;</w:t>
    </w:r>
  </w:p>
  <w:p w14:paraId="19ADE9CF" w14:textId="77777777" w:rsidR="00CF1011" w:rsidRPr="001C75D5" w:rsidRDefault="00CF1011">
    <w:pPr>
      <w:rPr>
        <w:noProof/>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BE"/>
    <w:multiLevelType w:val="hybridMultilevel"/>
    <w:tmpl w:val="7F06A2EC"/>
    <w:lvl w:ilvl="0" w:tplc="B0E61B14">
      <w:start w:val="1"/>
      <w:numFmt w:val="bullet"/>
      <w:pStyle w:val="bulletT1"/>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234A7"/>
    <w:multiLevelType w:val="hybridMultilevel"/>
    <w:tmpl w:val="12BAD73C"/>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E4034"/>
    <w:multiLevelType w:val="hybridMultilevel"/>
    <w:tmpl w:val="12BAD73C"/>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DE74EF"/>
    <w:multiLevelType w:val="hybridMultilevel"/>
    <w:tmpl w:val="676E742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6"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A0F0333"/>
    <w:multiLevelType w:val="multilevel"/>
    <w:tmpl w:val="AAF28C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A464000"/>
    <w:multiLevelType w:val="hybridMultilevel"/>
    <w:tmpl w:val="C42AF3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8017F4"/>
    <w:multiLevelType w:val="hybridMultilevel"/>
    <w:tmpl w:val="12BAD73C"/>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607EDB"/>
    <w:multiLevelType w:val="hybridMultilevel"/>
    <w:tmpl w:val="D76E53B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start w:val="1"/>
      <w:numFmt w:val="lowerLetter"/>
      <w:lvlText w:val="%2."/>
      <w:lvlJc w:val="left"/>
      <w:pPr>
        <w:tabs>
          <w:tab w:val="num" w:pos="1780"/>
        </w:tabs>
        <w:ind w:left="1780" w:hanging="360"/>
      </w:pPr>
    </w:lvl>
    <w:lvl w:ilvl="2" w:tplc="0809001B">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4" w15:restartNumberingAfterBreak="0">
    <w:nsid w:val="5033063A"/>
    <w:multiLevelType w:val="hybridMultilevel"/>
    <w:tmpl w:val="5E58D0DA"/>
    <w:lvl w:ilvl="0" w:tplc="F4089D8A">
      <w:start w:val="1"/>
      <w:numFmt w:val="lowerLetter"/>
      <w:lvlText w:val="%1)"/>
      <w:lvlJc w:val="left"/>
      <w:pPr>
        <w:ind w:left="360" w:hanging="360"/>
      </w:pPr>
      <w:rPr>
        <w:rFonts w:hint="default"/>
        <w: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430B6D"/>
    <w:multiLevelType w:val="multilevel"/>
    <w:tmpl w:val="4530BD7E"/>
    <w:lvl w:ilvl="0">
      <w:start w:val="1"/>
      <w:numFmt w:val="decimal"/>
      <w:pStyle w:val="NoHeading1"/>
      <w:lvlText w:val="%1."/>
      <w:lvlJc w:val="left"/>
      <w:pPr>
        <w:ind w:left="720" w:hanging="360"/>
      </w:pPr>
      <w:rPr>
        <w:rFonts w:hint="default"/>
      </w:rPr>
    </w:lvl>
    <w:lvl w:ilvl="1">
      <w:start w:val="1"/>
      <w:numFmt w:val="decimal"/>
      <w:pStyle w:val="No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1A1349"/>
    <w:multiLevelType w:val="hybridMultilevel"/>
    <w:tmpl w:val="6ABAF1AA"/>
    <w:lvl w:ilvl="0" w:tplc="B8869CD2">
      <w:start w:val="1"/>
      <w:numFmt w:val="lowerLetter"/>
      <w:lvlText w:val="%1)"/>
      <w:lvlJc w:val="left"/>
      <w:pPr>
        <w:ind w:left="360" w:hanging="360"/>
      </w:pPr>
      <w:rPr>
        <w:rFonts w:hint="default"/>
        <w: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0A55E8"/>
    <w:multiLevelType w:val="multilevel"/>
    <w:tmpl w:val="0AE2D9B2"/>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B579D5"/>
    <w:multiLevelType w:val="hybridMultilevel"/>
    <w:tmpl w:val="F18C0B52"/>
    <w:lvl w:ilvl="0" w:tplc="C78832EA">
      <w:start w:val="1"/>
      <w:numFmt w:val="bullet"/>
      <w:pStyle w:val="bullet2"/>
      <w:lvlText w:val="○"/>
      <w:lvlJc w:val="left"/>
      <w:pPr>
        <w:ind w:left="-1003" w:hanging="360"/>
      </w:pPr>
      <w:rPr>
        <w:rFonts w:ascii="Verdana Pro Cond Semibold" w:hAnsi="Verdana Pro Cond Semibold" w:hint="default"/>
      </w:rPr>
    </w:lvl>
    <w:lvl w:ilvl="1" w:tplc="3E1C1D58">
      <w:start w:val="1"/>
      <w:numFmt w:val="bullet"/>
      <w:lvlText w:val="o"/>
      <w:lvlJc w:val="left"/>
      <w:pPr>
        <w:ind w:left="-263" w:hanging="360"/>
      </w:pPr>
      <w:rPr>
        <w:rFonts w:ascii="Courier New" w:hAnsi="Courier New" w:cs="Courier New" w:hint="default"/>
      </w:rPr>
    </w:lvl>
    <w:lvl w:ilvl="2" w:tplc="08090005" w:tentative="1">
      <w:start w:val="1"/>
      <w:numFmt w:val="bullet"/>
      <w:lvlText w:val=""/>
      <w:lvlJc w:val="left"/>
      <w:pPr>
        <w:ind w:left="457" w:hanging="360"/>
      </w:pPr>
      <w:rPr>
        <w:rFonts w:ascii="Wingdings" w:hAnsi="Wingdings" w:hint="default"/>
      </w:rPr>
    </w:lvl>
    <w:lvl w:ilvl="3" w:tplc="08090001" w:tentative="1">
      <w:start w:val="1"/>
      <w:numFmt w:val="bullet"/>
      <w:lvlText w:val=""/>
      <w:lvlJc w:val="left"/>
      <w:pPr>
        <w:ind w:left="1177" w:hanging="360"/>
      </w:pPr>
      <w:rPr>
        <w:rFonts w:ascii="Symbol" w:hAnsi="Symbol" w:hint="default"/>
      </w:rPr>
    </w:lvl>
    <w:lvl w:ilvl="4" w:tplc="08090003" w:tentative="1">
      <w:start w:val="1"/>
      <w:numFmt w:val="bullet"/>
      <w:lvlText w:val="o"/>
      <w:lvlJc w:val="left"/>
      <w:pPr>
        <w:ind w:left="1897" w:hanging="360"/>
      </w:pPr>
      <w:rPr>
        <w:rFonts w:ascii="Courier New" w:hAnsi="Courier New" w:cs="Courier New" w:hint="default"/>
      </w:rPr>
    </w:lvl>
    <w:lvl w:ilvl="5" w:tplc="08090005" w:tentative="1">
      <w:start w:val="1"/>
      <w:numFmt w:val="bullet"/>
      <w:lvlText w:val=""/>
      <w:lvlJc w:val="left"/>
      <w:pPr>
        <w:ind w:left="2617" w:hanging="360"/>
      </w:pPr>
      <w:rPr>
        <w:rFonts w:ascii="Wingdings" w:hAnsi="Wingdings" w:hint="default"/>
      </w:rPr>
    </w:lvl>
    <w:lvl w:ilvl="6" w:tplc="08090001" w:tentative="1">
      <w:start w:val="1"/>
      <w:numFmt w:val="bullet"/>
      <w:lvlText w:val=""/>
      <w:lvlJc w:val="left"/>
      <w:pPr>
        <w:ind w:left="3337" w:hanging="360"/>
      </w:pPr>
      <w:rPr>
        <w:rFonts w:ascii="Symbol" w:hAnsi="Symbol" w:hint="default"/>
      </w:rPr>
    </w:lvl>
    <w:lvl w:ilvl="7" w:tplc="08090003" w:tentative="1">
      <w:start w:val="1"/>
      <w:numFmt w:val="bullet"/>
      <w:lvlText w:val="o"/>
      <w:lvlJc w:val="left"/>
      <w:pPr>
        <w:ind w:left="4057" w:hanging="360"/>
      </w:pPr>
      <w:rPr>
        <w:rFonts w:ascii="Courier New" w:hAnsi="Courier New" w:cs="Courier New" w:hint="default"/>
      </w:rPr>
    </w:lvl>
    <w:lvl w:ilvl="8" w:tplc="08090005" w:tentative="1">
      <w:start w:val="1"/>
      <w:numFmt w:val="bullet"/>
      <w:lvlText w:val=""/>
      <w:lvlJc w:val="left"/>
      <w:pPr>
        <w:ind w:left="4777" w:hanging="360"/>
      </w:pPr>
      <w:rPr>
        <w:rFonts w:ascii="Wingdings" w:hAnsi="Wingdings" w:hint="default"/>
      </w:rPr>
    </w:lvl>
  </w:abstractNum>
  <w:num w:numId="1" w16cid:durableId="654262897">
    <w:abstractNumId w:val="6"/>
  </w:num>
  <w:num w:numId="2" w16cid:durableId="1854150415">
    <w:abstractNumId w:val="0"/>
  </w:num>
  <w:num w:numId="3" w16cid:durableId="215943045">
    <w:abstractNumId w:val="19"/>
  </w:num>
  <w:num w:numId="4" w16cid:durableId="2125686376">
    <w:abstractNumId w:val="13"/>
  </w:num>
  <w:num w:numId="5" w16cid:durableId="223492826">
    <w:abstractNumId w:val="2"/>
  </w:num>
  <w:num w:numId="6" w16cid:durableId="731470395">
    <w:abstractNumId w:val="10"/>
  </w:num>
  <w:num w:numId="7" w16cid:durableId="2105565099">
    <w:abstractNumId w:val="16"/>
  </w:num>
  <w:num w:numId="8" w16cid:durableId="1555506712">
    <w:abstractNumId w:val="5"/>
  </w:num>
  <w:num w:numId="9" w16cid:durableId="1065487552">
    <w:abstractNumId w:val="0"/>
  </w:num>
  <w:num w:numId="10" w16cid:durableId="905992767">
    <w:abstractNumId w:val="18"/>
  </w:num>
  <w:num w:numId="11" w16cid:durableId="529488213">
    <w:abstractNumId w:val="9"/>
  </w:num>
  <w:num w:numId="12" w16cid:durableId="1956786398">
    <w:abstractNumId w:val="8"/>
  </w:num>
  <w:num w:numId="13" w16cid:durableId="413433086">
    <w:abstractNumId w:val="4"/>
  </w:num>
  <w:num w:numId="14" w16cid:durableId="1252277103">
    <w:abstractNumId w:val="12"/>
  </w:num>
  <w:num w:numId="15" w16cid:durableId="242028947">
    <w:abstractNumId w:val="15"/>
  </w:num>
  <w:num w:numId="16" w16cid:durableId="751199112">
    <w:abstractNumId w:val="7"/>
  </w:num>
  <w:num w:numId="17" w16cid:durableId="616253997">
    <w:abstractNumId w:val="17"/>
  </w:num>
  <w:num w:numId="18" w16cid:durableId="1234968381">
    <w:abstractNumId w:val="11"/>
  </w:num>
  <w:num w:numId="19" w16cid:durableId="1457143332">
    <w:abstractNumId w:val="14"/>
  </w:num>
  <w:num w:numId="20" w16cid:durableId="826945418">
    <w:abstractNumId w:val="1"/>
  </w:num>
  <w:num w:numId="21" w16cid:durableId="1508478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02"/>
    <w:rsid w:val="00001923"/>
    <w:rsid w:val="00001A7E"/>
    <w:rsid w:val="00004F6B"/>
    <w:rsid w:val="000060AE"/>
    <w:rsid w:val="0001086D"/>
    <w:rsid w:val="00012800"/>
    <w:rsid w:val="00013136"/>
    <w:rsid w:val="00013B08"/>
    <w:rsid w:val="000146F1"/>
    <w:rsid w:val="000226EC"/>
    <w:rsid w:val="000229C5"/>
    <w:rsid w:val="00022EA0"/>
    <w:rsid w:val="00023007"/>
    <w:rsid w:val="00023BC0"/>
    <w:rsid w:val="000317D8"/>
    <w:rsid w:val="000331AC"/>
    <w:rsid w:val="000374CB"/>
    <w:rsid w:val="000379D7"/>
    <w:rsid w:val="00037A9C"/>
    <w:rsid w:val="000421FD"/>
    <w:rsid w:val="00043513"/>
    <w:rsid w:val="00044A64"/>
    <w:rsid w:val="00053A54"/>
    <w:rsid w:val="0005610D"/>
    <w:rsid w:val="00056940"/>
    <w:rsid w:val="000639EF"/>
    <w:rsid w:val="00064262"/>
    <w:rsid w:val="00064F56"/>
    <w:rsid w:val="000650E5"/>
    <w:rsid w:val="000722C1"/>
    <w:rsid w:val="00072AD5"/>
    <w:rsid w:val="00072F51"/>
    <w:rsid w:val="000746E9"/>
    <w:rsid w:val="0007480B"/>
    <w:rsid w:val="00075A9D"/>
    <w:rsid w:val="00075D91"/>
    <w:rsid w:val="0007643A"/>
    <w:rsid w:val="00077D41"/>
    <w:rsid w:val="0008338D"/>
    <w:rsid w:val="00083C9D"/>
    <w:rsid w:val="0009166D"/>
    <w:rsid w:val="0009369B"/>
    <w:rsid w:val="00095EFA"/>
    <w:rsid w:val="00097B78"/>
    <w:rsid w:val="000A0DFF"/>
    <w:rsid w:val="000A1324"/>
    <w:rsid w:val="000A1B0F"/>
    <w:rsid w:val="000A56BF"/>
    <w:rsid w:val="000A5ED4"/>
    <w:rsid w:val="000A7BE6"/>
    <w:rsid w:val="000B1E3E"/>
    <w:rsid w:val="000B3789"/>
    <w:rsid w:val="000B442E"/>
    <w:rsid w:val="000C0806"/>
    <w:rsid w:val="000C1A19"/>
    <w:rsid w:val="000C3681"/>
    <w:rsid w:val="000C45B6"/>
    <w:rsid w:val="000C5087"/>
    <w:rsid w:val="000C54A1"/>
    <w:rsid w:val="000D34E7"/>
    <w:rsid w:val="000D3D68"/>
    <w:rsid w:val="000D3E8C"/>
    <w:rsid w:val="000D43A3"/>
    <w:rsid w:val="000D4909"/>
    <w:rsid w:val="000D4912"/>
    <w:rsid w:val="000D632F"/>
    <w:rsid w:val="000D677A"/>
    <w:rsid w:val="000D70AA"/>
    <w:rsid w:val="000D76E8"/>
    <w:rsid w:val="000D7D37"/>
    <w:rsid w:val="000E2B7C"/>
    <w:rsid w:val="000E2EAB"/>
    <w:rsid w:val="000E3D24"/>
    <w:rsid w:val="000E5841"/>
    <w:rsid w:val="000F2380"/>
    <w:rsid w:val="000F2719"/>
    <w:rsid w:val="000F2ECE"/>
    <w:rsid w:val="000F391A"/>
    <w:rsid w:val="000F5C93"/>
    <w:rsid w:val="00100541"/>
    <w:rsid w:val="00100D71"/>
    <w:rsid w:val="00101773"/>
    <w:rsid w:val="00101B2B"/>
    <w:rsid w:val="001034D1"/>
    <w:rsid w:val="001034FC"/>
    <w:rsid w:val="00103FD0"/>
    <w:rsid w:val="00104D42"/>
    <w:rsid w:val="00105091"/>
    <w:rsid w:val="001057FB"/>
    <w:rsid w:val="001064D3"/>
    <w:rsid w:val="00110971"/>
    <w:rsid w:val="00111ED7"/>
    <w:rsid w:val="00113E78"/>
    <w:rsid w:val="001146E5"/>
    <w:rsid w:val="001206F6"/>
    <w:rsid w:val="00120959"/>
    <w:rsid w:val="00121F28"/>
    <w:rsid w:val="00122579"/>
    <w:rsid w:val="00123C6B"/>
    <w:rsid w:val="00124792"/>
    <w:rsid w:val="00125667"/>
    <w:rsid w:val="00127D56"/>
    <w:rsid w:val="001300C8"/>
    <w:rsid w:val="0013051D"/>
    <w:rsid w:val="0013059D"/>
    <w:rsid w:val="00130E43"/>
    <w:rsid w:val="00133908"/>
    <w:rsid w:val="00134690"/>
    <w:rsid w:val="00134766"/>
    <w:rsid w:val="00135E89"/>
    <w:rsid w:val="00136803"/>
    <w:rsid w:val="001427EF"/>
    <w:rsid w:val="0014385C"/>
    <w:rsid w:val="001445C0"/>
    <w:rsid w:val="001526FE"/>
    <w:rsid w:val="00152CDF"/>
    <w:rsid w:val="00155DE3"/>
    <w:rsid w:val="0015752C"/>
    <w:rsid w:val="0016339D"/>
    <w:rsid w:val="00163B7C"/>
    <w:rsid w:val="00163F57"/>
    <w:rsid w:val="001653F1"/>
    <w:rsid w:val="00165F48"/>
    <w:rsid w:val="00174B60"/>
    <w:rsid w:val="00174E0E"/>
    <w:rsid w:val="001775A9"/>
    <w:rsid w:val="00180B87"/>
    <w:rsid w:val="001824E3"/>
    <w:rsid w:val="00182896"/>
    <w:rsid w:val="0018309A"/>
    <w:rsid w:val="001841A1"/>
    <w:rsid w:val="00184BB7"/>
    <w:rsid w:val="001856A7"/>
    <w:rsid w:val="00190C93"/>
    <w:rsid w:val="00192234"/>
    <w:rsid w:val="00194EE8"/>
    <w:rsid w:val="00195717"/>
    <w:rsid w:val="00196565"/>
    <w:rsid w:val="001976C1"/>
    <w:rsid w:val="001A024E"/>
    <w:rsid w:val="001A0404"/>
    <w:rsid w:val="001A142E"/>
    <w:rsid w:val="001A26D3"/>
    <w:rsid w:val="001A3876"/>
    <w:rsid w:val="001A4718"/>
    <w:rsid w:val="001A4768"/>
    <w:rsid w:val="001A4A77"/>
    <w:rsid w:val="001A544B"/>
    <w:rsid w:val="001A561F"/>
    <w:rsid w:val="001A6228"/>
    <w:rsid w:val="001A723A"/>
    <w:rsid w:val="001B17B1"/>
    <w:rsid w:val="001B18FE"/>
    <w:rsid w:val="001B1E29"/>
    <w:rsid w:val="001B2717"/>
    <w:rsid w:val="001B2B5E"/>
    <w:rsid w:val="001B30AD"/>
    <w:rsid w:val="001B32B2"/>
    <w:rsid w:val="001B3B91"/>
    <w:rsid w:val="001B412F"/>
    <w:rsid w:val="001B483F"/>
    <w:rsid w:val="001B4B12"/>
    <w:rsid w:val="001B5617"/>
    <w:rsid w:val="001C314A"/>
    <w:rsid w:val="001C614D"/>
    <w:rsid w:val="001C6EFB"/>
    <w:rsid w:val="001C75D5"/>
    <w:rsid w:val="001D0B50"/>
    <w:rsid w:val="001D0D34"/>
    <w:rsid w:val="001D1245"/>
    <w:rsid w:val="001D17A5"/>
    <w:rsid w:val="001D1986"/>
    <w:rsid w:val="001D28AC"/>
    <w:rsid w:val="001D3B22"/>
    <w:rsid w:val="001D3DB7"/>
    <w:rsid w:val="001D6728"/>
    <w:rsid w:val="001D6F89"/>
    <w:rsid w:val="001D7813"/>
    <w:rsid w:val="001E07D8"/>
    <w:rsid w:val="001E16FE"/>
    <w:rsid w:val="001E4117"/>
    <w:rsid w:val="001E41A3"/>
    <w:rsid w:val="001F0840"/>
    <w:rsid w:val="001F37E1"/>
    <w:rsid w:val="001F4FC3"/>
    <w:rsid w:val="001F62A2"/>
    <w:rsid w:val="001F7B4E"/>
    <w:rsid w:val="002000F2"/>
    <w:rsid w:val="002002DA"/>
    <w:rsid w:val="00202189"/>
    <w:rsid w:val="00202B8D"/>
    <w:rsid w:val="002041BC"/>
    <w:rsid w:val="0020434B"/>
    <w:rsid w:val="00206578"/>
    <w:rsid w:val="00207E13"/>
    <w:rsid w:val="002106E5"/>
    <w:rsid w:val="00210C1A"/>
    <w:rsid w:val="0021165B"/>
    <w:rsid w:val="00211B96"/>
    <w:rsid w:val="002135BA"/>
    <w:rsid w:val="00214550"/>
    <w:rsid w:val="00214606"/>
    <w:rsid w:val="00216337"/>
    <w:rsid w:val="0022018B"/>
    <w:rsid w:val="00220406"/>
    <w:rsid w:val="002227A2"/>
    <w:rsid w:val="0022356E"/>
    <w:rsid w:val="00225D8E"/>
    <w:rsid w:val="00231612"/>
    <w:rsid w:val="00233534"/>
    <w:rsid w:val="00234600"/>
    <w:rsid w:val="0023483C"/>
    <w:rsid w:val="0023614F"/>
    <w:rsid w:val="002365F5"/>
    <w:rsid w:val="002373AC"/>
    <w:rsid w:val="002444DB"/>
    <w:rsid w:val="0024558E"/>
    <w:rsid w:val="00245BE3"/>
    <w:rsid w:val="00246623"/>
    <w:rsid w:val="0024670C"/>
    <w:rsid w:val="00247206"/>
    <w:rsid w:val="00247F23"/>
    <w:rsid w:val="00250233"/>
    <w:rsid w:val="002518EA"/>
    <w:rsid w:val="0025234C"/>
    <w:rsid w:val="002549E9"/>
    <w:rsid w:val="00254B93"/>
    <w:rsid w:val="0025522A"/>
    <w:rsid w:val="002578E8"/>
    <w:rsid w:val="00260007"/>
    <w:rsid w:val="0026080C"/>
    <w:rsid w:val="00264399"/>
    <w:rsid w:val="00266CBF"/>
    <w:rsid w:val="00270EA8"/>
    <w:rsid w:val="00272F58"/>
    <w:rsid w:val="00275BAE"/>
    <w:rsid w:val="00276048"/>
    <w:rsid w:val="00276842"/>
    <w:rsid w:val="00281585"/>
    <w:rsid w:val="00282C10"/>
    <w:rsid w:val="00283104"/>
    <w:rsid w:val="00283490"/>
    <w:rsid w:val="00283ED8"/>
    <w:rsid w:val="002868D3"/>
    <w:rsid w:val="00287E67"/>
    <w:rsid w:val="00290F8C"/>
    <w:rsid w:val="002937FE"/>
    <w:rsid w:val="00293BDD"/>
    <w:rsid w:val="00294BC6"/>
    <w:rsid w:val="002952B5"/>
    <w:rsid w:val="0029582C"/>
    <w:rsid w:val="002964AF"/>
    <w:rsid w:val="00297DEB"/>
    <w:rsid w:val="002A068A"/>
    <w:rsid w:val="002A0B65"/>
    <w:rsid w:val="002A14D3"/>
    <w:rsid w:val="002A2680"/>
    <w:rsid w:val="002A27DC"/>
    <w:rsid w:val="002A330A"/>
    <w:rsid w:val="002A38A5"/>
    <w:rsid w:val="002A57C2"/>
    <w:rsid w:val="002A5FA6"/>
    <w:rsid w:val="002A6563"/>
    <w:rsid w:val="002A68D6"/>
    <w:rsid w:val="002B016B"/>
    <w:rsid w:val="002B10B6"/>
    <w:rsid w:val="002B405D"/>
    <w:rsid w:val="002B5708"/>
    <w:rsid w:val="002B6735"/>
    <w:rsid w:val="002C0BB6"/>
    <w:rsid w:val="002C0E28"/>
    <w:rsid w:val="002C1D20"/>
    <w:rsid w:val="002C3A84"/>
    <w:rsid w:val="002C3B21"/>
    <w:rsid w:val="002C41F0"/>
    <w:rsid w:val="002C41FC"/>
    <w:rsid w:val="002C67A4"/>
    <w:rsid w:val="002D106B"/>
    <w:rsid w:val="002D1FA1"/>
    <w:rsid w:val="002D49D7"/>
    <w:rsid w:val="002D6577"/>
    <w:rsid w:val="002D7DCC"/>
    <w:rsid w:val="002E3060"/>
    <w:rsid w:val="002E3BB0"/>
    <w:rsid w:val="002E6AE2"/>
    <w:rsid w:val="002E6CD6"/>
    <w:rsid w:val="002E721B"/>
    <w:rsid w:val="002F07CF"/>
    <w:rsid w:val="002F0ACA"/>
    <w:rsid w:val="002F281C"/>
    <w:rsid w:val="002F35CA"/>
    <w:rsid w:val="002F4844"/>
    <w:rsid w:val="002F490C"/>
    <w:rsid w:val="002F60FA"/>
    <w:rsid w:val="002F712D"/>
    <w:rsid w:val="002F787E"/>
    <w:rsid w:val="00300D4E"/>
    <w:rsid w:val="00301050"/>
    <w:rsid w:val="003016D5"/>
    <w:rsid w:val="00304754"/>
    <w:rsid w:val="00310F22"/>
    <w:rsid w:val="00314B72"/>
    <w:rsid w:val="00315FB8"/>
    <w:rsid w:val="0031673C"/>
    <w:rsid w:val="0032079B"/>
    <w:rsid w:val="00323044"/>
    <w:rsid w:val="00323A54"/>
    <w:rsid w:val="0032408C"/>
    <w:rsid w:val="00324A19"/>
    <w:rsid w:val="003270B8"/>
    <w:rsid w:val="003313C3"/>
    <w:rsid w:val="00332329"/>
    <w:rsid w:val="00333888"/>
    <w:rsid w:val="00335D05"/>
    <w:rsid w:val="00337B7A"/>
    <w:rsid w:val="00340F17"/>
    <w:rsid w:val="00342788"/>
    <w:rsid w:val="00342C1E"/>
    <w:rsid w:val="00342CC7"/>
    <w:rsid w:val="00343541"/>
    <w:rsid w:val="00345620"/>
    <w:rsid w:val="00350A42"/>
    <w:rsid w:val="00351A2D"/>
    <w:rsid w:val="003524A2"/>
    <w:rsid w:val="0035289A"/>
    <w:rsid w:val="00352FD6"/>
    <w:rsid w:val="003607CB"/>
    <w:rsid w:val="0036201D"/>
    <w:rsid w:val="00363E3C"/>
    <w:rsid w:val="00365D77"/>
    <w:rsid w:val="003713E4"/>
    <w:rsid w:val="00371BEF"/>
    <w:rsid w:val="00372E92"/>
    <w:rsid w:val="003730A6"/>
    <w:rsid w:val="0037641D"/>
    <w:rsid w:val="00380579"/>
    <w:rsid w:val="003806DD"/>
    <w:rsid w:val="003815A2"/>
    <w:rsid w:val="00381B35"/>
    <w:rsid w:val="003854BD"/>
    <w:rsid w:val="003876D0"/>
    <w:rsid w:val="00387EFA"/>
    <w:rsid w:val="00391A7C"/>
    <w:rsid w:val="003921F8"/>
    <w:rsid w:val="00393C4E"/>
    <w:rsid w:val="00395D96"/>
    <w:rsid w:val="00395F1E"/>
    <w:rsid w:val="00396CD2"/>
    <w:rsid w:val="00397862"/>
    <w:rsid w:val="003A1879"/>
    <w:rsid w:val="003A2150"/>
    <w:rsid w:val="003A24EB"/>
    <w:rsid w:val="003A2A2C"/>
    <w:rsid w:val="003A3F60"/>
    <w:rsid w:val="003A4D84"/>
    <w:rsid w:val="003A5879"/>
    <w:rsid w:val="003A70FF"/>
    <w:rsid w:val="003A7897"/>
    <w:rsid w:val="003B0005"/>
    <w:rsid w:val="003B141B"/>
    <w:rsid w:val="003B15C9"/>
    <w:rsid w:val="003B1F55"/>
    <w:rsid w:val="003B1FA8"/>
    <w:rsid w:val="003B2DA7"/>
    <w:rsid w:val="003B34FB"/>
    <w:rsid w:val="003B56C0"/>
    <w:rsid w:val="003B64F8"/>
    <w:rsid w:val="003C04AD"/>
    <w:rsid w:val="003C29A5"/>
    <w:rsid w:val="003C35EE"/>
    <w:rsid w:val="003C3654"/>
    <w:rsid w:val="003C43DD"/>
    <w:rsid w:val="003C6153"/>
    <w:rsid w:val="003C720C"/>
    <w:rsid w:val="003D0D0A"/>
    <w:rsid w:val="003D25C9"/>
    <w:rsid w:val="003D3E7C"/>
    <w:rsid w:val="003D42E3"/>
    <w:rsid w:val="003D4BD6"/>
    <w:rsid w:val="003D51DC"/>
    <w:rsid w:val="003D7997"/>
    <w:rsid w:val="003E073D"/>
    <w:rsid w:val="003E12FC"/>
    <w:rsid w:val="003E6162"/>
    <w:rsid w:val="003E6B25"/>
    <w:rsid w:val="003F0021"/>
    <w:rsid w:val="003F0145"/>
    <w:rsid w:val="003F2345"/>
    <w:rsid w:val="003F499F"/>
    <w:rsid w:val="003F4E5F"/>
    <w:rsid w:val="003F608D"/>
    <w:rsid w:val="003F64A9"/>
    <w:rsid w:val="003F7147"/>
    <w:rsid w:val="003F7AD7"/>
    <w:rsid w:val="00401840"/>
    <w:rsid w:val="00402F80"/>
    <w:rsid w:val="00403449"/>
    <w:rsid w:val="00404742"/>
    <w:rsid w:val="0040651B"/>
    <w:rsid w:val="00407A6A"/>
    <w:rsid w:val="00410682"/>
    <w:rsid w:val="0041265B"/>
    <w:rsid w:val="00413F0A"/>
    <w:rsid w:val="00414858"/>
    <w:rsid w:val="00414F68"/>
    <w:rsid w:val="0041673E"/>
    <w:rsid w:val="00417854"/>
    <w:rsid w:val="00420EB6"/>
    <w:rsid w:val="00421A01"/>
    <w:rsid w:val="00422A7E"/>
    <w:rsid w:val="004233AD"/>
    <w:rsid w:val="0042380D"/>
    <w:rsid w:val="00423E00"/>
    <w:rsid w:val="004243C4"/>
    <w:rsid w:val="00424C48"/>
    <w:rsid w:val="00424D85"/>
    <w:rsid w:val="00426CB9"/>
    <w:rsid w:val="00427189"/>
    <w:rsid w:val="00431633"/>
    <w:rsid w:val="0043216F"/>
    <w:rsid w:val="00432B0E"/>
    <w:rsid w:val="00432B85"/>
    <w:rsid w:val="00433584"/>
    <w:rsid w:val="00434072"/>
    <w:rsid w:val="004342B5"/>
    <w:rsid w:val="00435EAE"/>
    <w:rsid w:val="00437111"/>
    <w:rsid w:val="00441DE6"/>
    <w:rsid w:val="00445DD9"/>
    <w:rsid w:val="00447951"/>
    <w:rsid w:val="00447DE8"/>
    <w:rsid w:val="00454205"/>
    <w:rsid w:val="00457316"/>
    <w:rsid w:val="00462B5B"/>
    <w:rsid w:val="00462CF7"/>
    <w:rsid w:val="00467B80"/>
    <w:rsid w:val="00467F74"/>
    <w:rsid w:val="00474B7F"/>
    <w:rsid w:val="00475745"/>
    <w:rsid w:val="0047658C"/>
    <w:rsid w:val="00476DB0"/>
    <w:rsid w:val="004773E0"/>
    <w:rsid w:val="004810D9"/>
    <w:rsid w:val="00481597"/>
    <w:rsid w:val="0048194C"/>
    <w:rsid w:val="004827DE"/>
    <w:rsid w:val="00482978"/>
    <w:rsid w:val="00482B0E"/>
    <w:rsid w:val="004841D1"/>
    <w:rsid w:val="00485E6A"/>
    <w:rsid w:val="0048641A"/>
    <w:rsid w:val="00487FF3"/>
    <w:rsid w:val="00490084"/>
    <w:rsid w:val="0049154B"/>
    <w:rsid w:val="00494B31"/>
    <w:rsid w:val="00495013"/>
    <w:rsid w:val="00496C83"/>
    <w:rsid w:val="00497A4C"/>
    <w:rsid w:val="00497E87"/>
    <w:rsid w:val="004A1B2A"/>
    <w:rsid w:val="004A364B"/>
    <w:rsid w:val="004A3883"/>
    <w:rsid w:val="004A4882"/>
    <w:rsid w:val="004A4FF8"/>
    <w:rsid w:val="004A6A9A"/>
    <w:rsid w:val="004A75B7"/>
    <w:rsid w:val="004B03A3"/>
    <w:rsid w:val="004B09E5"/>
    <w:rsid w:val="004B0C68"/>
    <w:rsid w:val="004B0C77"/>
    <w:rsid w:val="004B1D85"/>
    <w:rsid w:val="004B3DB9"/>
    <w:rsid w:val="004B7034"/>
    <w:rsid w:val="004C0747"/>
    <w:rsid w:val="004C2253"/>
    <w:rsid w:val="004C366B"/>
    <w:rsid w:val="004C46FF"/>
    <w:rsid w:val="004C526D"/>
    <w:rsid w:val="004C560A"/>
    <w:rsid w:val="004C5E89"/>
    <w:rsid w:val="004C6631"/>
    <w:rsid w:val="004D05BE"/>
    <w:rsid w:val="004D1948"/>
    <w:rsid w:val="004E21EE"/>
    <w:rsid w:val="004E4840"/>
    <w:rsid w:val="004E4D87"/>
    <w:rsid w:val="004E5613"/>
    <w:rsid w:val="004E5F84"/>
    <w:rsid w:val="004E7EB2"/>
    <w:rsid w:val="004F28BC"/>
    <w:rsid w:val="004F4620"/>
    <w:rsid w:val="00500409"/>
    <w:rsid w:val="005020DE"/>
    <w:rsid w:val="005024F4"/>
    <w:rsid w:val="00502A82"/>
    <w:rsid w:val="005030FC"/>
    <w:rsid w:val="00510C92"/>
    <w:rsid w:val="00511F4F"/>
    <w:rsid w:val="00512BE1"/>
    <w:rsid w:val="00512C56"/>
    <w:rsid w:val="00513DB5"/>
    <w:rsid w:val="00514285"/>
    <w:rsid w:val="005142C2"/>
    <w:rsid w:val="00514F9C"/>
    <w:rsid w:val="00515191"/>
    <w:rsid w:val="00515F0F"/>
    <w:rsid w:val="00516200"/>
    <w:rsid w:val="005223BE"/>
    <w:rsid w:val="00522648"/>
    <w:rsid w:val="00522ABB"/>
    <w:rsid w:val="00524111"/>
    <w:rsid w:val="005244FB"/>
    <w:rsid w:val="00525CA4"/>
    <w:rsid w:val="0052745F"/>
    <w:rsid w:val="00527E78"/>
    <w:rsid w:val="005343E6"/>
    <w:rsid w:val="005354C1"/>
    <w:rsid w:val="0053623B"/>
    <w:rsid w:val="00537C54"/>
    <w:rsid w:val="005405BD"/>
    <w:rsid w:val="005431BE"/>
    <w:rsid w:val="00543C1B"/>
    <w:rsid w:val="005514B4"/>
    <w:rsid w:val="0055153E"/>
    <w:rsid w:val="0055342C"/>
    <w:rsid w:val="00556B76"/>
    <w:rsid w:val="0055740E"/>
    <w:rsid w:val="005636D5"/>
    <w:rsid w:val="005663EA"/>
    <w:rsid w:val="00567AA4"/>
    <w:rsid w:val="005708FE"/>
    <w:rsid w:val="00570950"/>
    <w:rsid w:val="00571788"/>
    <w:rsid w:val="00571A9B"/>
    <w:rsid w:val="005823E1"/>
    <w:rsid w:val="0058476F"/>
    <w:rsid w:val="00584775"/>
    <w:rsid w:val="00586C5E"/>
    <w:rsid w:val="00587557"/>
    <w:rsid w:val="00592FFB"/>
    <w:rsid w:val="00593FA9"/>
    <w:rsid w:val="005948ED"/>
    <w:rsid w:val="005951E3"/>
    <w:rsid w:val="0059568E"/>
    <w:rsid w:val="005956FD"/>
    <w:rsid w:val="0059652D"/>
    <w:rsid w:val="00597BC6"/>
    <w:rsid w:val="005A1486"/>
    <w:rsid w:val="005A1CF3"/>
    <w:rsid w:val="005A6461"/>
    <w:rsid w:val="005B2B90"/>
    <w:rsid w:val="005B2E43"/>
    <w:rsid w:val="005B5AA9"/>
    <w:rsid w:val="005C38BD"/>
    <w:rsid w:val="005C3BCF"/>
    <w:rsid w:val="005C43EE"/>
    <w:rsid w:val="005C4CDB"/>
    <w:rsid w:val="005C7A45"/>
    <w:rsid w:val="005C7D15"/>
    <w:rsid w:val="005D085D"/>
    <w:rsid w:val="005D17F6"/>
    <w:rsid w:val="005D321A"/>
    <w:rsid w:val="005D40D9"/>
    <w:rsid w:val="005E0625"/>
    <w:rsid w:val="005E1F7C"/>
    <w:rsid w:val="005E68EC"/>
    <w:rsid w:val="005E7BE5"/>
    <w:rsid w:val="005F0420"/>
    <w:rsid w:val="005F175F"/>
    <w:rsid w:val="005F1AD8"/>
    <w:rsid w:val="005F2DE3"/>
    <w:rsid w:val="005F520A"/>
    <w:rsid w:val="00600106"/>
    <w:rsid w:val="0060052C"/>
    <w:rsid w:val="006031E9"/>
    <w:rsid w:val="0060493A"/>
    <w:rsid w:val="00605E24"/>
    <w:rsid w:val="006119AC"/>
    <w:rsid w:val="00613A01"/>
    <w:rsid w:val="006147A9"/>
    <w:rsid w:val="00614C12"/>
    <w:rsid w:val="006176B2"/>
    <w:rsid w:val="00617A5C"/>
    <w:rsid w:val="00624B79"/>
    <w:rsid w:val="00630316"/>
    <w:rsid w:val="0063129B"/>
    <w:rsid w:val="006339F2"/>
    <w:rsid w:val="00634CA3"/>
    <w:rsid w:val="00636907"/>
    <w:rsid w:val="00636BD2"/>
    <w:rsid w:val="006372C5"/>
    <w:rsid w:val="00640296"/>
    <w:rsid w:val="006415EF"/>
    <w:rsid w:val="0064327C"/>
    <w:rsid w:val="0064360D"/>
    <w:rsid w:val="006452BA"/>
    <w:rsid w:val="0064674C"/>
    <w:rsid w:val="00646D09"/>
    <w:rsid w:val="006516F7"/>
    <w:rsid w:val="00651CD9"/>
    <w:rsid w:val="00652DD1"/>
    <w:rsid w:val="00653B3D"/>
    <w:rsid w:val="00654502"/>
    <w:rsid w:val="00655921"/>
    <w:rsid w:val="006561C0"/>
    <w:rsid w:val="00657D72"/>
    <w:rsid w:val="00660DC2"/>
    <w:rsid w:val="006610D7"/>
    <w:rsid w:val="00663FDE"/>
    <w:rsid w:val="00664185"/>
    <w:rsid w:val="0066505A"/>
    <w:rsid w:val="00670599"/>
    <w:rsid w:val="00671EA4"/>
    <w:rsid w:val="0067375A"/>
    <w:rsid w:val="00676181"/>
    <w:rsid w:val="00676B03"/>
    <w:rsid w:val="006803F6"/>
    <w:rsid w:val="006834F9"/>
    <w:rsid w:val="00684803"/>
    <w:rsid w:val="00684DA0"/>
    <w:rsid w:val="00684E7A"/>
    <w:rsid w:val="00690BFE"/>
    <w:rsid w:val="00692ACD"/>
    <w:rsid w:val="00692DFA"/>
    <w:rsid w:val="0069367A"/>
    <w:rsid w:val="006941D1"/>
    <w:rsid w:val="00696301"/>
    <w:rsid w:val="00696B18"/>
    <w:rsid w:val="0069746A"/>
    <w:rsid w:val="006A057F"/>
    <w:rsid w:val="006A0A4C"/>
    <w:rsid w:val="006A1D7A"/>
    <w:rsid w:val="006A52C2"/>
    <w:rsid w:val="006A5B18"/>
    <w:rsid w:val="006B0E53"/>
    <w:rsid w:val="006B1C88"/>
    <w:rsid w:val="006B270C"/>
    <w:rsid w:val="006B351B"/>
    <w:rsid w:val="006B66EE"/>
    <w:rsid w:val="006C0879"/>
    <w:rsid w:val="006C1279"/>
    <w:rsid w:val="006E32A4"/>
    <w:rsid w:val="006E39DA"/>
    <w:rsid w:val="006E57D8"/>
    <w:rsid w:val="006F0E05"/>
    <w:rsid w:val="006F1477"/>
    <w:rsid w:val="006F30B1"/>
    <w:rsid w:val="006F3CB0"/>
    <w:rsid w:val="006F6EFF"/>
    <w:rsid w:val="006F7027"/>
    <w:rsid w:val="007029A2"/>
    <w:rsid w:val="0070323D"/>
    <w:rsid w:val="00704E9B"/>
    <w:rsid w:val="00705708"/>
    <w:rsid w:val="00705FD1"/>
    <w:rsid w:val="0070627C"/>
    <w:rsid w:val="007064B3"/>
    <w:rsid w:val="007068F0"/>
    <w:rsid w:val="00706B37"/>
    <w:rsid w:val="00710D7B"/>
    <w:rsid w:val="00712821"/>
    <w:rsid w:val="00712A28"/>
    <w:rsid w:val="00714ABF"/>
    <w:rsid w:val="00715858"/>
    <w:rsid w:val="007213A3"/>
    <w:rsid w:val="0072425C"/>
    <w:rsid w:val="007265FC"/>
    <w:rsid w:val="00726D2D"/>
    <w:rsid w:val="007279CF"/>
    <w:rsid w:val="00727E41"/>
    <w:rsid w:val="007302DF"/>
    <w:rsid w:val="00731CDE"/>
    <w:rsid w:val="00731E89"/>
    <w:rsid w:val="007327DD"/>
    <w:rsid w:val="00734CF6"/>
    <w:rsid w:val="007363E6"/>
    <w:rsid w:val="00736924"/>
    <w:rsid w:val="007375E1"/>
    <w:rsid w:val="0074146D"/>
    <w:rsid w:val="007427DD"/>
    <w:rsid w:val="00743FCE"/>
    <w:rsid w:val="00745292"/>
    <w:rsid w:val="00745CB4"/>
    <w:rsid w:val="00746BB7"/>
    <w:rsid w:val="00752E2A"/>
    <w:rsid w:val="00754D1F"/>
    <w:rsid w:val="00757628"/>
    <w:rsid w:val="00757A1A"/>
    <w:rsid w:val="007602C8"/>
    <w:rsid w:val="00760E2A"/>
    <w:rsid w:val="00761929"/>
    <w:rsid w:val="00761F87"/>
    <w:rsid w:val="007642D1"/>
    <w:rsid w:val="007655EC"/>
    <w:rsid w:val="00765A24"/>
    <w:rsid w:val="00765C85"/>
    <w:rsid w:val="00766627"/>
    <w:rsid w:val="007668D7"/>
    <w:rsid w:val="00766C73"/>
    <w:rsid w:val="00767292"/>
    <w:rsid w:val="00770649"/>
    <w:rsid w:val="007764EB"/>
    <w:rsid w:val="007773B9"/>
    <w:rsid w:val="00780DA8"/>
    <w:rsid w:val="00780EA4"/>
    <w:rsid w:val="007817F7"/>
    <w:rsid w:val="00784A51"/>
    <w:rsid w:val="007862F4"/>
    <w:rsid w:val="00786A38"/>
    <w:rsid w:val="00790CBC"/>
    <w:rsid w:val="00791AC8"/>
    <w:rsid w:val="00793421"/>
    <w:rsid w:val="0079417E"/>
    <w:rsid w:val="00794AB7"/>
    <w:rsid w:val="00795FC7"/>
    <w:rsid w:val="00796679"/>
    <w:rsid w:val="007A44B0"/>
    <w:rsid w:val="007A6E56"/>
    <w:rsid w:val="007B0EA9"/>
    <w:rsid w:val="007B1246"/>
    <w:rsid w:val="007B2EC7"/>
    <w:rsid w:val="007B2EFE"/>
    <w:rsid w:val="007B4836"/>
    <w:rsid w:val="007B53E5"/>
    <w:rsid w:val="007B5831"/>
    <w:rsid w:val="007B58A5"/>
    <w:rsid w:val="007B6DB7"/>
    <w:rsid w:val="007B72E2"/>
    <w:rsid w:val="007B743E"/>
    <w:rsid w:val="007C10CF"/>
    <w:rsid w:val="007C2BD5"/>
    <w:rsid w:val="007C400B"/>
    <w:rsid w:val="007C5977"/>
    <w:rsid w:val="007C5C93"/>
    <w:rsid w:val="007C6F4C"/>
    <w:rsid w:val="007D3863"/>
    <w:rsid w:val="007D3D24"/>
    <w:rsid w:val="007D4D1C"/>
    <w:rsid w:val="007D5093"/>
    <w:rsid w:val="007D68C1"/>
    <w:rsid w:val="007D79E6"/>
    <w:rsid w:val="007D7BAC"/>
    <w:rsid w:val="007E3E5F"/>
    <w:rsid w:val="007E625E"/>
    <w:rsid w:val="007E6F36"/>
    <w:rsid w:val="007E709C"/>
    <w:rsid w:val="007F25E4"/>
    <w:rsid w:val="007F539A"/>
    <w:rsid w:val="007F62D4"/>
    <w:rsid w:val="007F73CA"/>
    <w:rsid w:val="007F7FAC"/>
    <w:rsid w:val="008016C1"/>
    <w:rsid w:val="0080244D"/>
    <w:rsid w:val="00802575"/>
    <w:rsid w:val="0080264D"/>
    <w:rsid w:val="00802A77"/>
    <w:rsid w:val="008036AB"/>
    <w:rsid w:val="0080371D"/>
    <w:rsid w:val="00803F0F"/>
    <w:rsid w:val="008044C3"/>
    <w:rsid w:val="00804525"/>
    <w:rsid w:val="00804622"/>
    <w:rsid w:val="00806EA2"/>
    <w:rsid w:val="008076E5"/>
    <w:rsid w:val="00811195"/>
    <w:rsid w:val="008125A6"/>
    <w:rsid w:val="008129C1"/>
    <w:rsid w:val="00814346"/>
    <w:rsid w:val="00814EC7"/>
    <w:rsid w:val="00815021"/>
    <w:rsid w:val="0081603F"/>
    <w:rsid w:val="0081675C"/>
    <w:rsid w:val="00816D29"/>
    <w:rsid w:val="00817FDE"/>
    <w:rsid w:val="008235B1"/>
    <w:rsid w:val="0082632B"/>
    <w:rsid w:val="0082795A"/>
    <w:rsid w:val="0083169E"/>
    <w:rsid w:val="00831C3E"/>
    <w:rsid w:val="00832412"/>
    <w:rsid w:val="00832E82"/>
    <w:rsid w:val="00834318"/>
    <w:rsid w:val="00834888"/>
    <w:rsid w:val="00837331"/>
    <w:rsid w:val="00837FAA"/>
    <w:rsid w:val="00840893"/>
    <w:rsid w:val="008424AF"/>
    <w:rsid w:val="008435F5"/>
    <w:rsid w:val="008440FA"/>
    <w:rsid w:val="0084432A"/>
    <w:rsid w:val="00847A84"/>
    <w:rsid w:val="00851971"/>
    <w:rsid w:val="00852323"/>
    <w:rsid w:val="00852EC5"/>
    <w:rsid w:val="00860FC1"/>
    <w:rsid w:val="00860FC2"/>
    <w:rsid w:val="00861538"/>
    <w:rsid w:val="008627B1"/>
    <w:rsid w:val="00862C8C"/>
    <w:rsid w:val="00863A34"/>
    <w:rsid w:val="00864335"/>
    <w:rsid w:val="008647F2"/>
    <w:rsid w:val="008703A9"/>
    <w:rsid w:val="00870BB2"/>
    <w:rsid w:val="008715F3"/>
    <w:rsid w:val="00872378"/>
    <w:rsid w:val="0087585E"/>
    <w:rsid w:val="00875EAE"/>
    <w:rsid w:val="008766D7"/>
    <w:rsid w:val="008823B6"/>
    <w:rsid w:val="008828C7"/>
    <w:rsid w:val="00882FC2"/>
    <w:rsid w:val="00886A0B"/>
    <w:rsid w:val="00893B82"/>
    <w:rsid w:val="00893CC2"/>
    <w:rsid w:val="00895128"/>
    <w:rsid w:val="008A0005"/>
    <w:rsid w:val="008A053A"/>
    <w:rsid w:val="008A13DF"/>
    <w:rsid w:val="008A41DE"/>
    <w:rsid w:val="008A514B"/>
    <w:rsid w:val="008A5826"/>
    <w:rsid w:val="008A682E"/>
    <w:rsid w:val="008A7373"/>
    <w:rsid w:val="008B1692"/>
    <w:rsid w:val="008B1C2E"/>
    <w:rsid w:val="008B271C"/>
    <w:rsid w:val="008B4B57"/>
    <w:rsid w:val="008B564A"/>
    <w:rsid w:val="008B5A32"/>
    <w:rsid w:val="008B6B2A"/>
    <w:rsid w:val="008C0049"/>
    <w:rsid w:val="008C0620"/>
    <w:rsid w:val="008C29C7"/>
    <w:rsid w:val="008C2F7E"/>
    <w:rsid w:val="008C75C7"/>
    <w:rsid w:val="008C7BEB"/>
    <w:rsid w:val="008C7F8E"/>
    <w:rsid w:val="008D04B0"/>
    <w:rsid w:val="008D31AF"/>
    <w:rsid w:val="008D54DF"/>
    <w:rsid w:val="008D6C84"/>
    <w:rsid w:val="008E2669"/>
    <w:rsid w:val="008E28B9"/>
    <w:rsid w:val="008E30FD"/>
    <w:rsid w:val="008E4568"/>
    <w:rsid w:val="008E466A"/>
    <w:rsid w:val="008E5747"/>
    <w:rsid w:val="008E5C88"/>
    <w:rsid w:val="008E601E"/>
    <w:rsid w:val="008E79D2"/>
    <w:rsid w:val="008F0D57"/>
    <w:rsid w:val="008F3747"/>
    <w:rsid w:val="008F3DCA"/>
    <w:rsid w:val="008F3F17"/>
    <w:rsid w:val="008F40D0"/>
    <w:rsid w:val="008F5FE0"/>
    <w:rsid w:val="008F795D"/>
    <w:rsid w:val="00901562"/>
    <w:rsid w:val="00901D68"/>
    <w:rsid w:val="00902F90"/>
    <w:rsid w:val="00907B94"/>
    <w:rsid w:val="009125DA"/>
    <w:rsid w:val="00913142"/>
    <w:rsid w:val="0091437E"/>
    <w:rsid w:val="00914FF9"/>
    <w:rsid w:val="009161CB"/>
    <w:rsid w:val="0091627A"/>
    <w:rsid w:val="00921194"/>
    <w:rsid w:val="009212E1"/>
    <w:rsid w:val="009218BC"/>
    <w:rsid w:val="00924799"/>
    <w:rsid w:val="009271F8"/>
    <w:rsid w:val="00927957"/>
    <w:rsid w:val="00931ABA"/>
    <w:rsid w:val="00934EF5"/>
    <w:rsid w:val="00935A62"/>
    <w:rsid w:val="00935ADD"/>
    <w:rsid w:val="00937647"/>
    <w:rsid w:val="00937A31"/>
    <w:rsid w:val="0094272E"/>
    <w:rsid w:val="00943790"/>
    <w:rsid w:val="00944366"/>
    <w:rsid w:val="00944528"/>
    <w:rsid w:val="0094547A"/>
    <w:rsid w:val="009462FD"/>
    <w:rsid w:val="0094639E"/>
    <w:rsid w:val="00946465"/>
    <w:rsid w:val="00955EE1"/>
    <w:rsid w:val="009576BD"/>
    <w:rsid w:val="00961343"/>
    <w:rsid w:val="00962995"/>
    <w:rsid w:val="00962BA7"/>
    <w:rsid w:val="009665CF"/>
    <w:rsid w:val="0097056C"/>
    <w:rsid w:val="00971826"/>
    <w:rsid w:val="009719C3"/>
    <w:rsid w:val="00971F1C"/>
    <w:rsid w:val="009725E3"/>
    <w:rsid w:val="00975188"/>
    <w:rsid w:val="0097653D"/>
    <w:rsid w:val="00977586"/>
    <w:rsid w:val="00982575"/>
    <w:rsid w:val="00983431"/>
    <w:rsid w:val="00984F87"/>
    <w:rsid w:val="009931E8"/>
    <w:rsid w:val="009946CD"/>
    <w:rsid w:val="0099679E"/>
    <w:rsid w:val="009A1B65"/>
    <w:rsid w:val="009A2040"/>
    <w:rsid w:val="009A221B"/>
    <w:rsid w:val="009A3446"/>
    <w:rsid w:val="009B26BA"/>
    <w:rsid w:val="009B3478"/>
    <w:rsid w:val="009B4522"/>
    <w:rsid w:val="009C2C63"/>
    <w:rsid w:val="009C4257"/>
    <w:rsid w:val="009C52B9"/>
    <w:rsid w:val="009C5723"/>
    <w:rsid w:val="009C58C3"/>
    <w:rsid w:val="009C7DA9"/>
    <w:rsid w:val="009D0F66"/>
    <w:rsid w:val="009D2891"/>
    <w:rsid w:val="009D4ED0"/>
    <w:rsid w:val="009D6F1F"/>
    <w:rsid w:val="009E08FF"/>
    <w:rsid w:val="009E11DD"/>
    <w:rsid w:val="009E3DFA"/>
    <w:rsid w:val="009E44AF"/>
    <w:rsid w:val="009E45A3"/>
    <w:rsid w:val="009F015D"/>
    <w:rsid w:val="009F0638"/>
    <w:rsid w:val="009F1369"/>
    <w:rsid w:val="009F16DA"/>
    <w:rsid w:val="009F2327"/>
    <w:rsid w:val="009F2F77"/>
    <w:rsid w:val="009F4AC7"/>
    <w:rsid w:val="009F4E02"/>
    <w:rsid w:val="009F627E"/>
    <w:rsid w:val="009F6F16"/>
    <w:rsid w:val="009F756B"/>
    <w:rsid w:val="009F7EA0"/>
    <w:rsid w:val="00A00156"/>
    <w:rsid w:val="00A00BE8"/>
    <w:rsid w:val="00A01C93"/>
    <w:rsid w:val="00A0271E"/>
    <w:rsid w:val="00A02E28"/>
    <w:rsid w:val="00A034B2"/>
    <w:rsid w:val="00A06A9E"/>
    <w:rsid w:val="00A06B2E"/>
    <w:rsid w:val="00A07043"/>
    <w:rsid w:val="00A11FDD"/>
    <w:rsid w:val="00A123E1"/>
    <w:rsid w:val="00A12EB6"/>
    <w:rsid w:val="00A13CB0"/>
    <w:rsid w:val="00A140D5"/>
    <w:rsid w:val="00A1609B"/>
    <w:rsid w:val="00A179CC"/>
    <w:rsid w:val="00A21EF3"/>
    <w:rsid w:val="00A264AD"/>
    <w:rsid w:val="00A26E2C"/>
    <w:rsid w:val="00A306A4"/>
    <w:rsid w:val="00A308A4"/>
    <w:rsid w:val="00A31C6D"/>
    <w:rsid w:val="00A3465C"/>
    <w:rsid w:val="00A3579A"/>
    <w:rsid w:val="00A35E4F"/>
    <w:rsid w:val="00A41A16"/>
    <w:rsid w:val="00A41AB2"/>
    <w:rsid w:val="00A42C95"/>
    <w:rsid w:val="00A45F7D"/>
    <w:rsid w:val="00A46AE5"/>
    <w:rsid w:val="00A50D27"/>
    <w:rsid w:val="00A5240E"/>
    <w:rsid w:val="00A52879"/>
    <w:rsid w:val="00A5347A"/>
    <w:rsid w:val="00A5391E"/>
    <w:rsid w:val="00A54B6D"/>
    <w:rsid w:val="00A554FF"/>
    <w:rsid w:val="00A55A06"/>
    <w:rsid w:val="00A55C72"/>
    <w:rsid w:val="00A5670C"/>
    <w:rsid w:val="00A57390"/>
    <w:rsid w:val="00A6082D"/>
    <w:rsid w:val="00A60989"/>
    <w:rsid w:val="00A6339F"/>
    <w:rsid w:val="00A64B4F"/>
    <w:rsid w:val="00A6537A"/>
    <w:rsid w:val="00A66148"/>
    <w:rsid w:val="00A668FC"/>
    <w:rsid w:val="00A675E2"/>
    <w:rsid w:val="00A72562"/>
    <w:rsid w:val="00A73287"/>
    <w:rsid w:val="00A74DB6"/>
    <w:rsid w:val="00A74E71"/>
    <w:rsid w:val="00A75686"/>
    <w:rsid w:val="00A7704C"/>
    <w:rsid w:val="00A80207"/>
    <w:rsid w:val="00A822DC"/>
    <w:rsid w:val="00A83E92"/>
    <w:rsid w:val="00A84701"/>
    <w:rsid w:val="00A86630"/>
    <w:rsid w:val="00A91AC7"/>
    <w:rsid w:val="00A93565"/>
    <w:rsid w:val="00A93988"/>
    <w:rsid w:val="00A9456D"/>
    <w:rsid w:val="00A95C65"/>
    <w:rsid w:val="00A95F02"/>
    <w:rsid w:val="00A97313"/>
    <w:rsid w:val="00AA1665"/>
    <w:rsid w:val="00AA3234"/>
    <w:rsid w:val="00AA6011"/>
    <w:rsid w:val="00AA74BA"/>
    <w:rsid w:val="00AB19C9"/>
    <w:rsid w:val="00AB2EAD"/>
    <w:rsid w:val="00AB566D"/>
    <w:rsid w:val="00AB704E"/>
    <w:rsid w:val="00AC0978"/>
    <w:rsid w:val="00AC1646"/>
    <w:rsid w:val="00AC19CD"/>
    <w:rsid w:val="00AC215A"/>
    <w:rsid w:val="00AC5EAA"/>
    <w:rsid w:val="00AC767F"/>
    <w:rsid w:val="00AC7BE0"/>
    <w:rsid w:val="00AD02FE"/>
    <w:rsid w:val="00AD13D7"/>
    <w:rsid w:val="00AD4665"/>
    <w:rsid w:val="00AD57CC"/>
    <w:rsid w:val="00AD6081"/>
    <w:rsid w:val="00AD65E0"/>
    <w:rsid w:val="00AE03AD"/>
    <w:rsid w:val="00AE0AC8"/>
    <w:rsid w:val="00AE2516"/>
    <w:rsid w:val="00AE5432"/>
    <w:rsid w:val="00AE5591"/>
    <w:rsid w:val="00AE5780"/>
    <w:rsid w:val="00AE6309"/>
    <w:rsid w:val="00AE744B"/>
    <w:rsid w:val="00AF0C85"/>
    <w:rsid w:val="00AF10D0"/>
    <w:rsid w:val="00AF2341"/>
    <w:rsid w:val="00AF2C90"/>
    <w:rsid w:val="00AF3F3D"/>
    <w:rsid w:val="00AF4334"/>
    <w:rsid w:val="00AF7CD2"/>
    <w:rsid w:val="00B006CB"/>
    <w:rsid w:val="00B048BC"/>
    <w:rsid w:val="00B07452"/>
    <w:rsid w:val="00B07F28"/>
    <w:rsid w:val="00B1052F"/>
    <w:rsid w:val="00B10C05"/>
    <w:rsid w:val="00B12D0A"/>
    <w:rsid w:val="00B134F0"/>
    <w:rsid w:val="00B13B5E"/>
    <w:rsid w:val="00B14826"/>
    <w:rsid w:val="00B16E7D"/>
    <w:rsid w:val="00B20443"/>
    <w:rsid w:val="00B20524"/>
    <w:rsid w:val="00B22AD7"/>
    <w:rsid w:val="00B24928"/>
    <w:rsid w:val="00B27204"/>
    <w:rsid w:val="00B30806"/>
    <w:rsid w:val="00B31D84"/>
    <w:rsid w:val="00B35770"/>
    <w:rsid w:val="00B35EF6"/>
    <w:rsid w:val="00B3606D"/>
    <w:rsid w:val="00B370FD"/>
    <w:rsid w:val="00B37374"/>
    <w:rsid w:val="00B40C5F"/>
    <w:rsid w:val="00B420B3"/>
    <w:rsid w:val="00B452AE"/>
    <w:rsid w:val="00B53397"/>
    <w:rsid w:val="00B53A1C"/>
    <w:rsid w:val="00B53C9D"/>
    <w:rsid w:val="00B54F15"/>
    <w:rsid w:val="00B55F4C"/>
    <w:rsid w:val="00B6064B"/>
    <w:rsid w:val="00B60897"/>
    <w:rsid w:val="00B6281B"/>
    <w:rsid w:val="00B62B9C"/>
    <w:rsid w:val="00B6322E"/>
    <w:rsid w:val="00B63F21"/>
    <w:rsid w:val="00B72E42"/>
    <w:rsid w:val="00B730DD"/>
    <w:rsid w:val="00B74756"/>
    <w:rsid w:val="00B747FB"/>
    <w:rsid w:val="00B7682F"/>
    <w:rsid w:val="00B76ACC"/>
    <w:rsid w:val="00B77091"/>
    <w:rsid w:val="00B7758F"/>
    <w:rsid w:val="00B77B48"/>
    <w:rsid w:val="00B80F8D"/>
    <w:rsid w:val="00B812A8"/>
    <w:rsid w:val="00B837C7"/>
    <w:rsid w:val="00B84799"/>
    <w:rsid w:val="00B86117"/>
    <w:rsid w:val="00B86A0E"/>
    <w:rsid w:val="00B8709F"/>
    <w:rsid w:val="00B92012"/>
    <w:rsid w:val="00B928F6"/>
    <w:rsid w:val="00B937B6"/>
    <w:rsid w:val="00B940A8"/>
    <w:rsid w:val="00B946B0"/>
    <w:rsid w:val="00B952E8"/>
    <w:rsid w:val="00B956B7"/>
    <w:rsid w:val="00B95C60"/>
    <w:rsid w:val="00B95EBA"/>
    <w:rsid w:val="00B9661E"/>
    <w:rsid w:val="00B967BD"/>
    <w:rsid w:val="00B9696A"/>
    <w:rsid w:val="00B97A9E"/>
    <w:rsid w:val="00BA2B20"/>
    <w:rsid w:val="00BA59CF"/>
    <w:rsid w:val="00BA5B41"/>
    <w:rsid w:val="00BA7571"/>
    <w:rsid w:val="00BB1019"/>
    <w:rsid w:val="00BB16B3"/>
    <w:rsid w:val="00BB21B7"/>
    <w:rsid w:val="00BB27E5"/>
    <w:rsid w:val="00BB2AF0"/>
    <w:rsid w:val="00BB30D5"/>
    <w:rsid w:val="00BB6ABD"/>
    <w:rsid w:val="00BC02C1"/>
    <w:rsid w:val="00BC1224"/>
    <w:rsid w:val="00BD15D7"/>
    <w:rsid w:val="00BD1740"/>
    <w:rsid w:val="00BD2E9D"/>
    <w:rsid w:val="00BD3F7D"/>
    <w:rsid w:val="00BD468F"/>
    <w:rsid w:val="00BD4DD3"/>
    <w:rsid w:val="00BE1BAC"/>
    <w:rsid w:val="00BE1DB1"/>
    <w:rsid w:val="00BE3FB9"/>
    <w:rsid w:val="00BE5AE5"/>
    <w:rsid w:val="00BF27CF"/>
    <w:rsid w:val="00BF3496"/>
    <w:rsid w:val="00BF4151"/>
    <w:rsid w:val="00BF4265"/>
    <w:rsid w:val="00BF6B08"/>
    <w:rsid w:val="00BF6D4D"/>
    <w:rsid w:val="00BF724F"/>
    <w:rsid w:val="00C01637"/>
    <w:rsid w:val="00C02B76"/>
    <w:rsid w:val="00C036D8"/>
    <w:rsid w:val="00C0382A"/>
    <w:rsid w:val="00C0396F"/>
    <w:rsid w:val="00C04D64"/>
    <w:rsid w:val="00C06441"/>
    <w:rsid w:val="00C11049"/>
    <w:rsid w:val="00C126C0"/>
    <w:rsid w:val="00C1292B"/>
    <w:rsid w:val="00C13E05"/>
    <w:rsid w:val="00C16E6D"/>
    <w:rsid w:val="00C20F6B"/>
    <w:rsid w:val="00C24712"/>
    <w:rsid w:val="00C26572"/>
    <w:rsid w:val="00C30124"/>
    <w:rsid w:val="00C31D63"/>
    <w:rsid w:val="00C32D64"/>
    <w:rsid w:val="00C34052"/>
    <w:rsid w:val="00C34899"/>
    <w:rsid w:val="00C34A3B"/>
    <w:rsid w:val="00C34E3D"/>
    <w:rsid w:val="00C3647F"/>
    <w:rsid w:val="00C36AE0"/>
    <w:rsid w:val="00C40638"/>
    <w:rsid w:val="00C40F55"/>
    <w:rsid w:val="00C435CC"/>
    <w:rsid w:val="00C43BEC"/>
    <w:rsid w:val="00C4454A"/>
    <w:rsid w:val="00C45C15"/>
    <w:rsid w:val="00C47A51"/>
    <w:rsid w:val="00C51ECE"/>
    <w:rsid w:val="00C52E37"/>
    <w:rsid w:val="00C534D8"/>
    <w:rsid w:val="00C5401C"/>
    <w:rsid w:val="00C55413"/>
    <w:rsid w:val="00C56078"/>
    <w:rsid w:val="00C56ADA"/>
    <w:rsid w:val="00C56C83"/>
    <w:rsid w:val="00C56D85"/>
    <w:rsid w:val="00C57921"/>
    <w:rsid w:val="00C62D7F"/>
    <w:rsid w:val="00C64616"/>
    <w:rsid w:val="00C64EED"/>
    <w:rsid w:val="00C6506E"/>
    <w:rsid w:val="00C65C41"/>
    <w:rsid w:val="00C66BF2"/>
    <w:rsid w:val="00C67B31"/>
    <w:rsid w:val="00C75C0E"/>
    <w:rsid w:val="00C75D9A"/>
    <w:rsid w:val="00C81ADC"/>
    <w:rsid w:val="00C8467F"/>
    <w:rsid w:val="00C84EEF"/>
    <w:rsid w:val="00C85C2F"/>
    <w:rsid w:val="00C862EE"/>
    <w:rsid w:val="00C87368"/>
    <w:rsid w:val="00C87A3B"/>
    <w:rsid w:val="00C90371"/>
    <w:rsid w:val="00C91CEB"/>
    <w:rsid w:val="00C93BBD"/>
    <w:rsid w:val="00C942FE"/>
    <w:rsid w:val="00C94C24"/>
    <w:rsid w:val="00C96D65"/>
    <w:rsid w:val="00CA03CB"/>
    <w:rsid w:val="00CA098E"/>
    <w:rsid w:val="00CA2C1A"/>
    <w:rsid w:val="00CA5E9A"/>
    <w:rsid w:val="00CA7404"/>
    <w:rsid w:val="00CB07E8"/>
    <w:rsid w:val="00CB0B3C"/>
    <w:rsid w:val="00CB39B4"/>
    <w:rsid w:val="00CB4365"/>
    <w:rsid w:val="00CB45BA"/>
    <w:rsid w:val="00CB7288"/>
    <w:rsid w:val="00CC0538"/>
    <w:rsid w:val="00CC0682"/>
    <w:rsid w:val="00CC1A24"/>
    <w:rsid w:val="00CC1DEC"/>
    <w:rsid w:val="00CC2B7A"/>
    <w:rsid w:val="00CC398D"/>
    <w:rsid w:val="00CC478A"/>
    <w:rsid w:val="00CC61A6"/>
    <w:rsid w:val="00CC6C2A"/>
    <w:rsid w:val="00CD1532"/>
    <w:rsid w:val="00CD22D8"/>
    <w:rsid w:val="00CD2F93"/>
    <w:rsid w:val="00CD3E66"/>
    <w:rsid w:val="00CD5B93"/>
    <w:rsid w:val="00CD78E4"/>
    <w:rsid w:val="00CE116E"/>
    <w:rsid w:val="00CE2541"/>
    <w:rsid w:val="00CE2C58"/>
    <w:rsid w:val="00CE2D0B"/>
    <w:rsid w:val="00CE5E4D"/>
    <w:rsid w:val="00CE7D01"/>
    <w:rsid w:val="00CF1011"/>
    <w:rsid w:val="00CF124E"/>
    <w:rsid w:val="00CF2072"/>
    <w:rsid w:val="00CF2082"/>
    <w:rsid w:val="00CF6E6B"/>
    <w:rsid w:val="00CF79AA"/>
    <w:rsid w:val="00D00C72"/>
    <w:rsid w:val="00D017DD"/>
    <w:rsid w:val="00D01F82"/>
    <w:rsid w:val="00D0237D"/>
    <w:rsid w:val="00D028FF"/>
    <w:rsid w:val="00D04619"/>
    <w:rsid w:val="00D05063"/>
    <w:rsid w:val="00D05DA4"/>
    <w:rsid w:val="00D07134"/>
    <w:rsid w:val="00D07256"/>
    <w:rsid w:val="00D07D11"/>
    <w:rsid w:val="00D1034E"/>
    <w:rsid w:val="00D145FC"/>
    <w:rsid w:val="00D157F1"/>
    <w:rsid w:val="00D17200"/>
    <w:rsid w:val="00D17544"/>
    <w:rsid w:val="00D2163D"/>
    <w:rsid w:val="00D23782"/>
    <w:rsid w:val="00D242C8"/>
    <w:rsid w:val="00D244EF"/>
    <w:rsid w:val="00D26749"/>
    <w:rsid w:val="00D270BD"/>
    <w:rsid w:val="00D27D10"/>
    <w:rsid w:val="00D30131"/>
    <w:rsid w:val="00D31164"/>
    <w:rsid w:val="00D31668"/>
    <w:rsid w:val="00D32CE1"/>
    <w:rsid w:val="00D33108"/>
    <w:rsid w:val="00D33C0E"/>
    <w:rsid w:val="00D33CB4"/>
    <w:rsid w:val="00D33E53"/>
    <w:rsid w:val="00D375B0"/>
    <w:rsid w:val="00D400C7"/>
    <w:rsid w:val="00D41A7F"/>
    <w:rsid w:val="00D41CE6"/>
    <w:rsid w:val="00D42547"/>
    <w:rsid w:val="00D47970"/>
    <w:rsid w:val="00D51E3A"/>
    <w:rsid w:val="00D53B40"/>
    <w:rsid w:val="00D577FC"/>
    <w:rsid w:val="00D608A3"/>
    <w:rsid w:val="00D61A38"/>
    <w:rsid w:val="00D63317"/>
    <w:rsid w:val="00D63BBD"/>
    <w:rsid w:val="00D65096"/>
    <w:rsid w:val="00D67824"/>
    <w:rsid w:val="00D7036B"/>
    <w:rsid w:val="00D71769"/>
    <w:rsid w:val="00D72805"/>
    <w:rsid w:val="00D74590"/>
    <w:rsid w:val="00D759A0"/>
    <w:rsid w:val="00D76450"/>
    <w:rsid w:val="00D7713D"/>
    <w:rsid w:val="00D82CCF"/>
    <w:rsid w:val="00D8310C"/>
    <w:rsid w:val="00D8467F"/>
    <w:rsid w:val="00D85404"/>
    <w:rsid w:val="00D873AC"/>
    <w:rsid w:val="00D914F3"/>
    <w:rsid w:val="00D930D4"/>
    <w:rsid w:val="00D9482C"/>
    <w:rsid w:val="00DA19A3"/>
    <w:rsid w:val="00DA1C42"/>
    <w:rsid w:val="00DA31DC"/>
    <w:rsid w:val="00DA44C8"/>
    <w:rsid w:val="00DA4D76"/>
    <w:rsid w:val="00DA54AF"/>
    <w:rsid w:val="00DA5CC8"/>
    <w:rsid w:val="00DA781F"/>
    <w:rsid w:val="00DB4A98"/>
    <w:rsid w:val="00DB5FB3"/>
    <w:rsid w:val="00DC0548"/>
    <w:rsid w:val="00DC0D2B"/>
    <w:rsid w:val="00DC30B1"/>
    <w:rsid w:val="00DC3AC4"/>
    <w:rsid w:val="00DC3F6E"/>
    <w:rsid w:val="00DC435D"/>
    <w:rsid w:val="00DC58E9"/>
    <w:rsid w:val="00DC7E86"/>
    <w:rsid w:val="00DD171A"/>
    <w:rsid w:val="00DD1F15"/>
    <w:rsid w:val="00DD2080"/>
    <w:rsid w:val="00DD3075"/>
    <w:rsid w:val="00DD635E"/>
    <w:rsid w:val="00DD73BE"/>
    <w:rsid w:val="00DE079A"/>
    <w:rsid w:val="00DE08B9"/>
    <w:rsid w:val="00DE2ACB"/>
    <w:rsid w:val="00DE4B2A"/>
    <w:rsid w:val="00DE6BC6"/>
    <w:rsid w:val="00DF541C"/>
    <w:rsid w:val="00DF6585"/>
    <w:rsid w:val="00DF6939"/>
    <w:rsid w:val="00DF77AD"/>
    <w:rsid w:val="00E01B3B"/>
    <w:rsid w:val="00E04C12"/>
    <w:rsid w:val="00E054F7"/>
    <w:rsid w:val="00E05CF3"/>
    <w:rsid w:val="00E06B04"/>
    <w:rsid w:val="00E12A20"/>
    <w:rsid w:val="00E159C5"/>
    <w:rsid w:val="00E16DBD"/>
    <w:rsid w:val="00E20CAB"/>
    <w:rsid w:val="00E21D4F"/>
    <w:rsid w:val="00E2252B"/>
    <w:rsid w:val="00E22773"/>
    <w:rsid w:val="00E234E5"/>
    <w:rsid w:val="00E255B4"/>
    <w:rsid w:val="00E31646"/>
    <w:rsid w:val="00E32E75"/>
    <w:rsid w:val="00E34990"/>
    <w:rsid w:val="00E34BEA"/>
    <w:rsid w:val="00E410D8"/>
    <w:rsid w:val="00E4248D"/>
    <w:rsid w:val="00E435AD"/>
    <w:rsid w:val="00E46453"/>
    <w:rsid w:val="00E47E03"/>
    <w:rsid w:val="00E51E91"/>
    <w:rsid w:val="00E52A33"/>
    <w:rsid w:val="00E53B95"/>
    <w:rsid w:val="00E54F5E"/>
    <w:rsid w:val="00E56554"/>
    <w:rsid w:val="00E57BDF"/>
    <w:rsid w:val="00E6032E"/>
    <w:rsid w:val="00E66F7C"/>
    <w:rsid w:val="00E714DD"/>
    <w:rsid w:val="00E71F99"/>
    <w:rsid w:val="00E75330"/>
    <w:rsid w:val="00E77481"/>
    <w:rsid w:val="00E81F47"/>
    <w:rsid w:val="00E82BFD"/>
    <w:rsid w:val="00E832FE"/>
    <w:rsid w:val="00E860DB"/>
    <w:rsid w:val="00E9003F"/>
    <w:rsid w:val="00E935B2"/>
    <w:rsid w:val="00E93A22"/>
    <w:rsid w:val="00E95340"/>
    <w:rsid w:val="00E95906"/>
    <w:rsid w:val="00E9787B"/>
    <w:rsid w:val="00EA11E4"/>
    <w:rsid w:val="00EA35BA"/>
    <w:rsid w:val="00EA47FF"/>
    <w:rsid w:val="00EA4DC8"/>
    <w:rsid w:val="00EA5210"/>
    <w:rsid w:val="00EA62D7"/>
    <w:rsid w:val="00EA64DB"/>
    <w:rsid w:val="00EA705D"/>
    <w:rsid w:val="00EB0C6D"/>
    <w:rsid w:val="00EB122B"/>
    <w:rsid w:val="00EB6B50"/>
    <w:rsid w:val="00EB77EF"/>
    <w:rsid w:val="00EC0950"/>
    <w:rsid w:val="00EC0DDF"/>
    <w:rsid w:val="00EC130E"/>
    <w:rsid w:val="00EC3122"/>
    <w:rsid w:val="00EC3C42"/>
    <w:rsid w:val="00EC42B6"/>
    <w:rsid w:val="00EC5810"/>
    <w:rsid w:val="00EC6230"/>
    <w:rsid w:val="00ED1753"/>
    <w:rsid w:val="00ED2C7C"/>
    <w:rsid w:val="00ED36EE"/>
    <w:rsid w:val="00ED6779"/>
    <w:rsid w:val="00EE1837"/>
    <w:rsid w:val="00EE35DE"/>
    <w:rsid w:val="00EE35FA"/>
    <w:rsid w:val="00EE47E5"/>
    <w:rsid w:val="00EE4E97"/>
    <w:rsid w:val="00EE5957"/>
    <w:rsid w:val="00EE6CA5"/>
    <w:rsid w:val="00EE7554"/>
    <w:rsid w:val="00EF1B60"/>
    <w:rsid w:val="00EF30F1"/>
    <w:rsid w:val="00EF5182"/>
    <w:rsid w:val="00EF5E08"/>
    <w:rsid w:val="00EF729E"/>
    <w:rsid w:val="00F013DE"/>
    <w:rsid w:val="00F01601"/>
    <w:rsid w:val="00F03A30"/>
    <w:rsid w:val="00F04052"/>
    <w:rsid w:val="00F073ED"/>
    <w:rsid w:val="00F122B6"/>
    <w:rsid w:val="00F12A38"/>
    <w:rsid w:val="00F130E6"/>
    <w:rsid w:val="00F13ED0"/>
    <w:rsid w:val="00F14374"/>
    <w:rsid w:val="00F17811"/>
    <w:rsid w:val="00F210C4"/>
    <w:rsid w:val="00F21898"/>
    <w:rsid w:val="00F21A50"/>
    <w:rsid w:val="00F22792"/>
    <w:rsid w:val="00F23211"/>
    <w:rsid w:val="00F2558E"/>
    <w:rsid w:val="00F268F7"/>
    <w:rsid w:val="00F26CFB"/>
    <w:rsid w:val="00F31B22"/>
    <w:rsid w:val="00F31D4F"/>
    <w:rsid w:val="00F34657"/>
    <w:rsid w:val="00F355FB"/>
    <w:rsid w:val="00F36EB0"/>
    <w:rsid w:val="00F40DCF"/>
    <w:rsid w:val="00F424DA"/>
    <w:rsid w:val="00F42AD1"/>
    <w:rsid w:val="00F43764"/>
    <w:rsid w:val="00F445FF"/>
    <w:rsid w:val="00F46DE6"/>
    <w:rsid w:val="00F47D3E"/>
    <w:rsid w:val="00F47D41"/>
    <w:rsid w:val="00F506E3"/>
    <w:rsid w:val="00F52128"/>
    <w:rsid w:val="00F52638"/>
    <w:rsid w:val="00F53172"/>
    <w:rsid w:val="00F5404A"/>
    <w:rsid w:val="00F55561"/>
    <w:rsid w:val="00F57A7B"/>
    <w:rsid w:val="00F629BC"/>
    <w:rsid w:val="00F62C5B"/>
    <w:rsid w:val="00F62EB2"/>
    <w:rsid w:val="00F6365D"/>
    <w:rsid w:val="00F6375C"/>
    <w:rsid w:val="00F64FE9"/>
    <w:rsid w:val="00F70A26"/>
    <w:rsid w:val="00F73811"/>
    <w:rsid w:val="00F7576E"/>
    <w:rsid w:val="00F7764F"/>
    <w:rsid w:val="00F776C4"/>
    <w:rsid w:val="00F77732"/>
    <w:rsid w:val="00F77B3A"/>
    <w:rsid w:val="00F80BE1"/>
    <w:rsid w:val="00F81260"/>
    <w:rsid w:val="00F81EA8"/>
    <w:rsid w:val="00F83916"/>
    <w:rsid w:val="00F8529C"/>
    <w:rsid w:val="00F85EFF"/>
    <w:rsid w:val="00F8673A"/>
    <w:rsid w:val="00F86FE3"/>
    <w:rsid w:val="00F9033A"/>
    <w:rsid w:val="00F90381"/>
    <w:rsid w:val="00F949D7"/>
    <w:rsid w:val="00F9580A"/>
    <w:rsid w:val="00F963D0"/>
    <w:rsid w:val="00F9682C"/>
    <w:rsid w:val="00FA1A15"/>
    <w:rsid w:val="00FA2034"/>
    <w:rsid w:val="00FA264F"/>
    <w:rsid w:val="00FA2705"/>
    <w:rsid w:val="00FA3166"/>
    <w:rsid w:val="00FA41BA"/>
    <w:rsid w:val="00FA4392"/>
    <w:rsid w:val="00FA7B7C"/>
    <w:rsid w:val="00FB0787"/>
    <w:rsid w:val="00FB3238"/>
    <w:rsid w:val="00FB5172"/>
    <w:rsid w:val="00FB69C4"/>
    <w:rsid w:val="00FC05BD"/>
    <w:rsid w:val="00FC1903"/>
    <w:rsid w:val="00FD05D4"/>
    <w:rsid w:val="00FD5879"/>
    <w:rsid w:val="00FD58A1"/>
    <w:rsid w:val="00FD6351"/>
    <w:rsid w:val="00FD689E"/>
    <w:rsid w:val="00FD6B6B"/>
    <w:rsid w:val="00FD6C21"/>
    <w:rsid w:val="00FE1FEC"/>
    <w:rsid w:val="00FE2273"/>
    <w:rsid w:val="00FE259F"/>
    <w:rsid w:val="00FE30F8"/>
    <w:rsid w:val="00FE315B"/>
    <w:rsid w:val="00FE324F"/>
    <w:rsid w:val="00FE32F0"/>
    <w:rsid w:val="00FE4BAF"/>
    <w:rsid w:val="00FE50DE"/>
    <w:rsid w:val="00FE587B"/>
    <w:rsid w:val="00FE6417"/>
    <w:rsid w:val="00FE6B73"/>
    <w:rsid w:val="00FE771F"/>
    <w:rsid w:val="00FE7E70"/>
    <w:rsid w:val="00FF0711"/>
    <w:rsid w:val="00FF1F0E"/>
    <w:rsid w:val="00FF33E7"/>
    <w:rsid w:val="00FF514D"/>
    <w:rsid w:val="00FF5FD3"/>
    <w:rsid w:val="00FF611B"/>
    <w:rsid w:val="00FF61AE"/>
    <w:rsid w:val="00FF6855"/>
    <w:rsid w:val="00FF6CB2"/>
    <w:rsid w:val="00FF77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4A3E7"/>
  <w15:docId w15:val="{F826EDE8-3D33-4C3A-9CA3-CDBCF382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8"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7C"/>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8"/>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8"/>
    <w:locked/>
    <w:rsid w:val="001D3DB7"/>
    <w:rPr>
      <w:rFonts w:ascii="Calibri" w:hAnsi="Calibri" w:cs="Arial"/>
      <w:b/>
      <w:bCs/>
      <w:lang w:eastAsia="en-US"/>
    </w:rPr>
  </w:style>
  <w:style w:type="paragraph" w:customStyle="1" w:styleId="Instructions-bullet1">
    <w:name w:val="Instructions - bullet 1"/>
    <w:basedOn w:val="Instructions"/>
    <w:uiPriority w:val="12"/>
    <w:qFormat/>
    <w:rsid w:val="009F16DA"/>
    <w:pPr>
      <w:numPr>
        <w:numId w:val="5"/>
      </w:numPr>
      <w:ind w:left="341" w:hanging="284"/>
    </w:pPr>
    <w:rPr>
      <w:rFonts w:cs="Times New Roman"/>
    </w:rPr>
  </w:style>
  <w:style w:type="paragraph" w:customStyle="1" w:styleId="Instructions-numbered">
    <w:name w:val="Instructions - numbered"/>
    <w:basedOn w:val="Normal"/>
    <w:uiPriority w:val="11"/>
    <w:qFormat/>
    <w:rsid w:val="009F16DA"/>
    <w:pPr>
      <w:numPr>
        <w:numId w:val="6"/>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9"/>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7"/>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99"/>
    <w:qFormat/>
    <w:rsid w:val="00D244EF"/>
    <w:rPr>
      <w:i/>
      <w:iCs/>
      <w:color w:val="C00000"/>
    </w:rPr>
  </w:style>
  <w:style w:type="character" w:customStyle="1" w:styleId="InstructionsChar">
    <w:name w:val="Instructions Char"/>
    <w:basedOn w:val="DefaultParagraphFont"/>
    <w:link w:val="Instructions"/>
    <w:uiPriority w:val="99"/>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4"/>
    <w:qFormat/>
    <w:rsid w:val="003A7897"/>
    <w:pPr>
      <w:numPr>
        <w:numId w:val="3"/>
      </w:numPr>
      <w:ind w:left="624" w:hanging="284"/>
    </w:pPr>
  </w:style>
  <w:style w:type="character" w:customStyle="1" w:styleId="bullet2Char">
    <w:name w:val="bullet 2 Char"/>
    <w:basedOn w:val="DefaultParagraphFont"/>
    <w:link w:val="bullet2"/>
    <w:uiPriority w:val="4"/>
    <w:locked/>
    <w:rsid w:val="00B95EBA"/>
    <w:rPr>
      <w:rFonts w:ascii="Calibri" w:hAnsi="Calibri" w:cs="Arial"/>
      <w:sz w:val="20"/>
      <w:szCs w:val="20"/>
      <w:lang w:eastAsia="en-US"/>
    </w:rPr>
  </w:style>
  <w:style w:type="paragraph" w:customStyle="1" w:styleId="bullet3">
    <w:name w:val="bullet 3"/>
    <w:basedOn w:val="Normal"/>
    <w:link w:val="bullet3Char"/>
    <w:uiPriority w:val="5"/>
    <w:qFormat/>
    <w:rsid w:val="003A7897"/>
    <w:pPr>
      <w:numPr>
        <w:numId w:val="4"/>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qFormat/>
    <w:rsid w:val="003A7897"/>
    <w:pPr>
      <w:numPr>
        <w:numId w:val="8"/>
      </w:numPr>
      <w:ind w:left="340" w:hanging="34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uiPriority w:val="3"/>
    <w:qFormat/>
    <w:rsid w:val="003A7897"/>
    <w:pPr>
      <w:ind w:left="341" w:hanging="284"/>
    </w:pPr>
  </w:style>
  <w:style w:type="character" w:customStyle="1" w:styleId="bullet1Char0">
    <w:name w:val="bullet 1 Char"/>
    <w:basedOn w:val="bulletT1Char"/>
    <w:link w:val="bullet10"/>
    <w:uiPriority w:val="3"/>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10"/>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10"/>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5"/>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11"/>
      </w:numPr>
    </w:pPr>
  </w:style>
  <w:style w:type="paragraph" w:customStyle="1" w:styleId="QCDheader">
    <w:name w:val="QCD header"/>
    <w:basedOn w:val="Normal"/>
    <w:link w:val="QCDheaderChar"/>
    <w:uiPriority w:val="15"/>
    <w:qFormat/>
    <w:rsid w:val="0070627C"/>
    <w:pPr>
      <w:spacing w:before="0" w:after="0"/>
      <w:jc w:val="right"/>
    </w:pPr>
    <w:rPr>
      <w:b/>
      <w:bCs/>
      <w:caps/>
      <w:color w:val="1F497D" w:themeColor="text2"/>
      <w:sz w:val="32"/>
      <w:szCs w:val="28"/>
    </w:rPr>
  </w:style>
  <w:style w:type="character" w:customStyle="1" w:styleId="QCDheaderChar">
    <w:name w:val="QCD header Char"/>
    <w:basedOn w:val="DefaultParagraphFont"/>
    <w:link w:val="QCDheader"/>
    <w:uiPriority w:val="15"/>
    <w:rsid w:val="0070627C"/>
    <w:rPr>
      <w:rFonts w:ascii="Calibri" w:hAnsi="Calibri" w:cs="Arial"/>
      <w:b/>
      <w:bCs/>
      <w:caps/>
      <w:color w:val="1F497D" w:themeColor="text2"/>
      <w:sz w:val="32"/>
      <w:szCs w:val="28"/>
      <w:lang w:eastAsia="en-US"/>
    </w:rPr>
  </w:style>
  <w:style w:type="paragraph" w:customStyle="1" w:styleId="ReferencestootherSOPsQCDs">
    <w:name w:val="References to other SOPs/QCDs"/>
    <w:basedOn w:val="Normal"/>
    <w:next w:val="Normal"/>
    <w:link w:val="ReferencestootherSOPsQCDsChar"/>
    <w:uiPriority w:val="2"/>
    <w:rsid w:val="000B3789"/>
    <w:pPr>
      <w:jc w:val="left"/>
    </w:pPr>
    <w:rPr>
      <w:i/>
      <w:iCs/>
      <w:color w:val="943634"/>
    </w:rPr>
  </w:style>
  <w:style w:type="character" w:customStyle="1" w:styleId="ReferencestootherSOPsQCDsChar">
    <w:name w:val="References to other SOPs/QCDs Char"/>
    <w:basedOn w:val="DefaultParagraphFont"/>
    <w:link w:val="ReferencestootherSOPsQCDs"/>
    <w:uiPriority w:val="2"/>
    <w:rsid w:val="000B3789"/>
    <w:rPr>
      <w:rFonts w:ascii="Calibri" w:hAnsi="Calibri" w:cs="Arial"/>
      <w:i/>
      <w:iCs/>
      <w:color w:val="943634"/>
      <w:sz w:val="20"/>
      <w:szCs w:val="20"/>
      <w:lang w:eastAsia="en-US"/>
    </w:rPr>
  </w:style>
  <w:style w:type="paragraph" w:customStyle="1" w:styleId="NoHeading1">
    <w:name w:val="No Heading 1"/>
    <w:basedOn w:val="Heading1"/>
    <w:link w:val="NoHeading1Char"/>
    <w:rsid w:val="009F756B"/>
    <w:pPr>
      <w:numPr>
        <w:numId w:val="15"/>
      </w:numPr>
      <w:ind w:left="567" w:hanging="567"/>
      <w:jc w:val="left"/>
    </w:pPr>
    <w:rPr>
      <w:rFonts w:ascii="Gill Sans MT" w:hAnsi="Gill Sans MT" w:cs="Tahoma"/>
      <w:b w:val="0"/>
      <w:bCs/>
      <w:caps w:val="0"/>
      <w:color w:val="943634"/>
    </w:rPr>
  </w:style>
  <w:style w:type="paragraph" w:customStyle="1" w:styleId="NoHeading2">
    <w:name w:val="No Heading 2"/>
    <w:basedOn w:val="Heading2"/>
    <w:link w:val="NoHeading2Char"/>
    <w:rsid w:val="009F756B"/>
    <w:pPr>
      <w:numPr>
        <w:ilvl w:val="1"/>
        <w:numId w:val="15"/>
      </w:numPr>
      <w:ind w:left="567" w:hanging="567"/>
      <w:jc w:val="left"/>
    </w:pPr>
    <w:rPr>
      <w:rFonts w:ascii="Gill Sans MT" w:hAnsi="Gill Sans MT" w:cs="Arial"/>
      <w:caps w:val="0"/>
      <w:color w:val="943634"/>
      <w:sz w:val="22"/>
      <w:szCs w:val="28"/>
    </w:rPr>
  </w:style>
  <w:style w:type="character" w:customStyle="1" w:styleId="NoHeading1Char">
    <w:name w:val="No Heading 1 Char"/>
    <w:basedOn w:val="Heading1Char"/>
    <w:link w:val="NoHeading1"/>
    <w:rsid w:val="009F756B"/>
    <w:rPr>
      <w:rFonts w:ascii="Gill Sans MT" w:hAnsi="Gill Sans MT" w:cs="Tahoma"/>
      <w:b w:val="0"/>
      <w:bCs/>
      <w:caps w:val="0"/>
      <w:color w:val="943634"/>
      <w:kern w:val="32"/>
      <w:sz w:val="28"/>
      <w:szCs w:val="28"/>
      <w:lang w:eastAsia="en-US"/>
    </w:rPr>
  </w:style>
  <w:style w:type="character" w:customStyle="1" w:styleId="NoHeading2Char">
    <w:name w:val="No Heading 2 Char"/>
    <w:basedOn w:val="Heading2Char"/>
    <w:link w:val="NoHeading2"/>
    <w:rsid w:val="00DC3AC4"/>
    <w:rPr>
      <w:rFonts w:ascii="Gill Sans MT" w:eastAsiaTheme="minorHAnsi" w:hAnsi="Gill Sans MT" w:cs="Arial"/>
      <w:bCs/>
      <w:iCs/>
      <w:caps w:val="0"/>
      <w:color w:val="943634"/>
      <w:sz w:val="24"/>
      <w:szCs w:val="28"/>
      <w:lang w:eastAsia="en-US"/>
    </w:rPr>
  </w:style>
  <w:style w:type="paragraph" w:customStyle="1" w:styleId="Tableheadings">
    <w:name w:val="Table headings"/>
    <w:link w:val="TableheadingsChar"/>
    <w:uiPriority w:val="14"/>
    <w:rsid w:val="00B07F28"/>
    <w:pPr>
      <w:spacing w:before="60" w:after="60" w:line="240" w:lineRule="auto"/>
    </w:pPr>
    <w:rPr>
      <w:rFonts w:ascii="Calibri" w:hAnsi="Calibri" w:cs="Tahoma"/>
      <w:b/>
      <w:bCs/>
      <w:color w:val="000000" w:themeColor="text1"/>
      <w:spacing w:val="5"/>
      <w:kern w:val="28"/>
      <w:sz w:val="20"/>
      <w:szCs w:val="26"/>
      <w:lang w:eastAsia="en-US"/>
    </w:rPr>
  </w:style>
  <w:style w:type="character" w:customStyle="1" w:styleId="TableheadingsChar">
    <w:name w:val="Table headings Char"/>
    <w:basedOn w:val="DefaultParagraphFont"/>
    <w:link w:val="Tableheadings"/>
    <w:uiPriority w:val="14"/>
    <w:rsid w:val="00B07F28"/>
    <w:rPr>
      <w:rFonts w:ascii="Calibri" w:hAnsi="Calibri" w:cs="Tahoma"/>
      <w:b/>
      <w:bCs/>
      <w:color w:val="000000" w:themeColor="text1"/>
      <w:spacing w:val="5"/>
      <w:kern w:val="28"/>
      <w:sz w:val="20"/>
      <w:szCs w:val="26"/>
      <w:lang w:eastAsia="en-US"/>
    </w:rPr>
  </w:style>
  <w:style w:type="paragraph" w:customStyle="1" w:styleId="propertystatement">
    <w:name w:val="property statement"/>
    <w:basedOn w:val="Normal"/>
    <w:uiPriority w:val="14"/>
    <w:qFormat/>
    <w:rsid w:val="00655921"/>
    <w:pPr>
      <w:jc w:val="center"/>
    </w:pPr>
    <w:rPr>
      <w:color w:val="7F7F7F" w:themeColor="text1" w:themeTint="80"/>
      <w:sz w:val="18"/>
      <w:szCs w:val="18"/>
    </w:rPr>
  </w:style>
  <w:style w:type="paragraph" w:customStyle="1" w:styleId="Instructions8pt">
    <w:name w:val="Instructions 8 pt"/>
    <w:basedOn w:val="Normal"/>
    <w:link w:val="Instructions8ptCharChar"/>
    <w:rsid w:val="004A6A9A"/>
    <w:pPr>
      <w:jc w:val="left"/>
    </w:pPr>
    <w:rPr>
      <w:rFonts w:ascii="Arial" w:hAnsi="Arial"/>
      <w:i/>
      <w:color w:val="FF0000"/>
      <w:sz w:val="16"/>
    </w:rPr>
  </w:style>
  <w:style w:type="character" w:customStyle="1" w:styleId="Instructions8ptCharChar">
    <w:name w:val="Instructions 8 pt Char Char"/>
    <w:basedOn w:val="InstructionsChar"/>
    <w:link w:val="Instructions8pt"/>
    <w:rsid w:val="004A6A9A"/>
    <w:rPr>
      <w:rFonts w:ascii="Arial" w:hAnsi="Arial" w:cs="Arial"/>
      <w:i/>
      <w:iCs w:val="0"/>
      <w:color w:val="FF0000"/>
      <w:sz w:val="16"/>
      <w:szCs w:val="20"/>
      <w:lang w:eastAsia="en-US"/>
    </w:rPr>
  </w:style>
  <w:style w:type="paragraph" w:customStyle="1" w:styleId="Heading2-table">
    <w:name w:val="Heading 2-table"/>
    <w:basedOn w:val="Heading2"/>
    <w:link w:val="Heading2-tableChar"/>
    <w:rsid w:val="009F015D"/>
    <w:pPr>
      <w:spacing w:before="60" w:after="0"/>
      <w:contextualSpacing/>
      <w:jc w:val="left"/>
    </w:pPr>
    <w:rPr>
      <w:rFonts w:ascii="Tahoma" w:hAnsi="Tahoma" w:cstheme="majorHAnsi"/>
      <w:caps w:val="0"/>
      <w:color w:val="943634" w:themeColor="accent2" w:themeShade="BF"/>
      <w:sz w:val="22"/>
      <w:szCs w:val="28"/>
    </w:rPr>
  </w:style>
  <w:style w:type="character" w:customStyle="1" w:styleId="Heading2-tableChar">
    <w:name w:val="Heading 2-table Char"/>
    <w:basedOn w:val="DefaultParagraphFont"/>
    <w:link w:val="Heading2-table"/>
    <w:rsid w:val="009F015D"/>
    <w:rPr>
      <w:rFonts w:ascii="Tahoma" w:eastAsiaTheme="minorHAnsi" w:hAnsi="Tahoma" w:cstheme="majorHAnsi"/>
      <w:bCs/>
      <w:iCs/>
      <w:color w:val="943634" w:themeColor="accent2" w:themeShade="BF"/>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bham.sharepoint.com/sites/IT/SitePages/Policies-and-procedures.aspx" TargetMode="External"/><Relationship Id="rId26" Type="http://schemas.openxmlformats.org/officeDocument/2006/relationships/hyperlink" Target="https://assets.publishing.service.gov.uk/government/uploads/system/uploads/attachment_data/file/343677/Risk-adapted_approaches_to_the_management_of_clinical_trials_of_investigational_medicinal_products.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ssets.publishing.service.gov.uk/government/uploads/system/uploads/attachment_data/file/343677/Risk-adapted_approaches_to_the_management_of_clinical_trials_of_investigational_medicinal_products.pdf" TargetMode="External"/><Relationship Id="rId25" Type="http://schemas.openxmlformats.org/officeDocument/2006/relationships/hyperlink" Target="mailto:crct@contacts.bham.ac.uk" TargetMode="External"/><Relationship Id="rId2" Type="http://schemas.openxmlformats.org/officeDocument/2006/relationships/customXml" Target="../customXml/item2.xml"/><Relationship Id="rId16" Type="http://schemas.openxmlformats.org/officeDocument/2006/relationships/hyperlink" Target="https://www.birmingham.ac.uk/research/activity/mds/mds-rkto/governance/index.aspx" TargetMode="Externa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ac.uk/research/activity/mds/mds-rkto/governance/e-pathway/overview.aspx"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343677/Risk-adapted_approaches_to_the_management_of_clinical_trials_of_investigational_medicinal_products.pdf" TargetMode="External"/><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bham.sharepoint.com/sites/IT/SitePages/Policies-and-procedures.aspx?csf=1&amp;web=1&amp;e=tcMkIY"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oject_x0020_type xmlns="adba401f-eabd-4c47-b36d-42f7c29cc8bb" xsi:nil="true"/>
    <GCPlabsupport xmlns="adba401f-eabd-4c47-b36d-42f7c29cc8bb" xsi:nil="true"/>
    <lcf76f155ced4ddcb4097134ff3c332f xmlns="adba401f-eabd-4c47-b36d-42f7c29cc8bb">
      <Terms xmlns="http://schemas.microsoft.com/office/infopath/2007/PartnerControls"/>
    </lcf76f155ced4ddcb4097134ff3c332f>
    <Department xmlns="adba401f-eabd-4c47-b36d-42f7c29cc8bb" xsi:nil="true"/>
    <Shorttitle xmlns="adba401f-eabd-4c47-b36d-42f7c29cc8bb" xsi:nil="true"/>
    <Investigator xmlns="adba401f-eabd-4c47-b36d-42f7c29cc8bb" xsi:nil="true"/>
    <TaxCatchAll xmlns="e199f33f-ad08-4efa-857b-79f1236642b3" xsi:nil="true"/>
    <TaxKeywordTaxHTField xmlns="e199f33f-ad08-4efa-857b-79f1236642b3">
      <Terms xmlns="http://schemas.microsoft.com/office/infopath/2007/PartnerControls"/>
    </TaxKeywordTaxHTField>
    <TrainingFormat xmlns="adba401f-eabd-4c47-b36d-42f7c29cc8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39C3642CC0A14F83E7E5D425D671A3" ma:contentTypeVersion="29" ma:contentTypeDescription="Create a new document." ma:contentTypeScope="" ma:versionID="b4a8e8b2556523b58a87d239723cc922">
  <xsd:schema xmlns:xsd="http://www.w3.org/2001/XMLSchema" xmlns:xs="http://www.w3.org/2001/XMLSchema" xmlns:p="http://schemas.microsoft.com/office/2006/metadata/properties" xmlns:ns2="e199f33f-ad08-4efa-857b-79f1236642b3" xmlns:ns3="adba401f-eabd-4c47-b36d-42f7c29cc8bb" targetNamespace="http://schemas.microsoft.com/office/2006/metadata/properties" ma:root="true" ma:fieldsID="dff5f3814effbabe62bd1263b1fa2ef1" ns2:_="" ns3:_="">
    <xsd:import namespace="e199f33f-ad08-4efa-857b-79f1236642b3"/>
    <xsd:import namespace="adba401f-eabd-4c47-b36d-42f7c29cc8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KeywordTaxHTField" minOccurs="0"/>
                <xsd:element ref="ns2:TaxCatchAll" minOccurs="0"/>
                <xsd:element ref="ns3:Investigator" minOccurs="0"/>
                <xsd:element ref="ns3:Project_x0020_type" minOccurs="0"/>
                <xsd:element ref="ns3:Department" minOccurs="0"/>
                <xsd:element ref="ns3:lcf76f155ced4ddcb4097134ff3c332f" minOccurs="0"/>
                <xsd:element ref="ns3:MediaServiceObjectDetectorVersions" minOccurs="0"/>
                <xsd:element ref="ns3:MediaServiceSearchProperties" minOccurs="0"/>
                <xsd:element ref="ns3:GCPlabsupport" minOccurs="0"/>
                <xsd:element ref="ns3:Shorttitle" minOccurs="0"/>
                <xsd:element ref="ns3:MediaLengthInSeconds" minOccurs="0"/>
                <xsd:element ref="ns3:Training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9f33f-ad08-4efa-857b-79f1236642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ac7af76c-f141-45ca-ae1a-4959eb0cbd43"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38a996dc-6dd3-4a58-b879-30e6f413dcb1}" ma:internalName="TaxCatchAll" ma:showField="CatchAllData" ma:web="e199f33f-ad08-4efa-857b-79f1236642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ba401f-eabd-4c47-b36d-42f7c29cc8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nvestigator" ma:index="23" nillable="true" ma:displayName="Investigator" ma:internalName="Investigator">
      <xsd:simpleType>
        <xsd:restriction base="dms:Text">
          <xsd:maxLength value="255"/>
        </xsd:restriction>
      </xsd:simpleType>
    </xsd:element>
    <xsd:element name="Project_x0020_type" ma:index="24" nillable="true" ma:displayName="Project type" ma:format="Dropdown" ma:internalName="Project_x0020_type">
      <xsd:simpleType>
        <xsd:restriction base="dms:Choice">
          <xsd:enumeration value="CTIMP"/>
          <xsd:enumeration value="non-CTIMP / study"/>
          <xsd:enumeration value="UoB ethics project"/>
          <xsd:enumeration value="Devices"/>
          <xsd:enumeration value="HBRC project"/>
          <xsd:enumeration value="DRTB project"/>
        </xsd:restriction>
      </xsd:simpleType>
    </xsd:element>
    <xsd:element name="Department" ma:index="25" nillable="true" ma:displayName="CTU" ma:format="Dropdown" ma:internalName="Department">
      <xsd:simpleType>
        <xsd:restriction base="dms:Choice">
          <xsd:enumeration value="BCTU"/>
          <xsd:enumeration value="CRCTU"/>
          <xsd:enumeration value="N/A"/>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GCPlabsupport" ma:index="30" nillable="true" ma:displayName="GCP lab support" ma:format="Dropdown" ma:internalName="GCPlabsupport">
      <xsd:complexType>
        <xsd:complexContent>
          <xsd:extension base="dms:MultiChoice">
            <xsd:sequence>
              <xsd:element name="Value" maxOccurs="unbounded" minOccurs="0" nillable="true">
                <xsd:simpleType>
                  <xsd:restriction base="dms:Choice">
                    <xsd:enumeration value="Questionnaire"/>
                    <xsd:enumeration value="Setup"/>
                    <xsd:enumeration value="Audit"/>
                    <xsd:enumeration value="Assay validation"/>
                    <xsd:enumeration value="Vendor audit"/>
                  </xsd:restriction>
                </xsd:simpleType>
              </xsd:element>
            </xsd:sequence>
          </xsd:extension>
        </xsd:complexContent>
      </xsd:complexType>
    </xsd:element>
    <xsd:element name="Shorttitle" ma:index="31" nillable="true" ma:displayName="Short title" ma:description="The project's short title or acronym" ma:format="Dropdown" ma:internalName="Shorttitle">
      <xsd:simpleType>
        <xsd:restriction base="dms:Text">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TrainingFormat" ma:index="33" nillable="true" ma:displayName="Training Format" ma:format="Dropdown" ma:internalName="TrainingFormat">
      <xsd:simpleType>
        <xsd:restriction base="dms:Choice">
          <xsd:enumeration value="Canvas"/>
          <xsd:enumeration value="Workshop"/>
          <xsd:enumeration value="Lec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customXml/itemProps2.xml><?xml version="1.0" encoding="utf-8"?>
<ds:datastoreItem xmlns:ds="http://schemas.openxmlformats.org/officeDocument/2006/customXml" ds:itemID="{25FE2AF7-CB48-4CDE-A7D5-1EBE633492FE}">
  <ds:schemaRefs>
    <ds:schemaRef ds:uri="http://schemas.microsoft.com/office/2006/metadata/properties"/>
    <ds:schemaRef ds:uri="http://schemas.microsoft.com/office/infopath/2007/PartnerControls"/>
    <ds:schemaRef ds:uri="adba401f-eabd-4c47-b36d-42f7c29cc8bb"/>
    <ds:schemaRef ds:uri="e199f33f-ad08-4efa-857b-79f1236642b3"/>
  </ds:schemaRefs>
</ds:datastoreItem>
</file>

<file path=customXml/itemProps3.xml><?xml version="1.0" encoding="utf-8"?>
<ds:datastoreItem xmlns:ds="http://schemas.openxmlformats.org/officeDocument/2006/customXml" ds:itemID="{42D95947-80E2-48A4-BCDF-C126271B9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9f33f-ad08-4efa-857b-79f1236642b3"/>
    <ds:schemaRef ds:uri="adba401f-eabd-4c47-b36d-42f7c29cc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5106B-50B9-43B8-99B6-7799FDADB0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6114</Words>
  <Characters>33016</Characters>
  <Application>Microsoft Office Word</Application>
  <DocSecurity>0</DocSecurity>
  <Lines>1269</Lines>
  <Paragraphs>601</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 Smith (CMH - Research and Knowledge Transfer)</dc:creator>
  <cp:lastModifiedBy>Katy Smith (CMH - Research and Knowledge Transfer)</cp:lastModifiedBy>
  <cp:revision>42</cp:revision>
  <cp:lastPrinted>2025-10-30T13:20:00Z</cp:lastPrinted>
  <dcterms:created xsi:type="dcterms:W3CDTF">2025-10-28T08:43:00Z</dcterms:created>
  <dcterms:modified xsi:type="dcterms:W3CDTF">2025-10-30T13:20:00Z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0x010100EA39C3642CC0A14F83E7E5D425D671A3</vt:lpwstr>
  </property>
  <property fmtid="{D5CDD505-2E9C-101B-9397-08002B2CF9AE}" pid="3" name="TaxKeyword">
    <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