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84D16" w14:textId="77777777" w:rsidR="00C0396F" w:rsidRPr="00E03AA3" w:rsidRDefault="008235B1" w:rsidP="008E4E39">
      <w:pPr>
        <w:pStyle w:val="ReferencestootherSOPsQCDs"/>
        <w:jc w:val="center"/>
      </w:pPr>
      <w:r w:rsidRPr="00E03AA3">
        <w:rPr>
          <w:rFonts w:ascii="Gill Sans MT" w:eastAsiaTheme="majorEastAsia" w:hAnsi="Gill Sans MT" w:cs="Tahoma"/>
          <w:i w:val="0"/>
          <w:iCs w:val="0"/>
          <w:spacing w:val="5"/>
          <w:kern w:val="28"/>
          <w:sz w:val="44"/>
          <w:szCs w:val="40"/>
        </w:rPr>
        <w:t>Standard Operating Procedure:</w:t>
      </w:r>
      <w:bookmarkStart w:id="0" w:name="_GoBack"/>
      <w:bookmarkEnd w:id="0"/>
    </w:p>
    <w:p w14:paraId="23322C52" w14:textId="78EC2191" w:rsidR="005F1AD8" w:rsidRDefault="008C249E" w:rsidP="00F013DE">
      <w:pPr>
        <w:pStyle w:val="Title"/>
      </w:pPr>
      <w:r>
        <w:t xml:space="preserve">Skeletal Muscle </w:t>
      </w:r>
      <w:r w:rsidR="00C41774">
        <w:t>Biopsies</w:t>
      </w:r>
    </w:p>
    <w:p w14:paraId="56DB0BD9" w14:textId="77777777" w:rsidR="00C0396F" w:rsidRDefault="00C0396F" w:rsidP="00C0396F">
      <w:pPr>
        <w:rPr>
          <w:rFonts w:eastAsiaTheme="majorEastAsia"/>
        </w:rPr>
      </w:pPr>
    </w:p>
    <w:p w14:paraId="2C62574E" w14:textId="77777777" w:rsidR="00512C56" w:rsidRDefault="00512C56" w:rsidP="00C0396F">
      <w:pPr>
        <w:rPr>
          <w:rFonts w:eastAsiaTheme="majorEastAsia"/>
        </w:rPr>
      </w:pPr>
    </w:p>
    <w:p w14:paraId="53BC0C26" w14:textId="6AD82163" w:rsidR="005F1AD8" w:rsidRDefault="005F1AD8">
      <w:pPr>
        <w:pStyle w:val="Heading1"/>
      </w:pPr>
      <w:r w:rsidRPr="00B6322E">
        <w:t>Purpose</w:t>
      </w:r>
    </w:p>
    <w:p w14:paraId="702AEC36" w14:textId="77777777" w:rsidR="008C249E" w:rsidRPr="0060052C" w:rsidRDefault="008C249E" w:rsidP="008C249E">
      <w:r w:rsidRPr="00A01A0C">
        <w:t xml:space="preserve">This </w:t>
      </w:r>
      <w:r>
        <w:t>s</w:t>
      </w:r>
      <w:r w:rsidRPr="00A01A0C">
        <w:t xml:space="preserve">tandard </w:t>
      </w:r>
      <w:r>
        <w:t>o</w:t>
      </w:r>
      <w:r w:rsidRPr="00A01A0C">
        <w:t xml:space="preserve">perating </w:t>
      </w:r>
      <w:r>
        <w:t>p</w:t>
      </w:r>
      <w:r w:rsidRPr="00A01A0C">
        <w:t>rocedure (SOP) describes the procedures for the oversight and conduct of skeletal muscle biopsies (not intended for diagnostic purposes) in participants.</w:t>
      </w:r>
    </w:p>
    <w:p w14:paraId="39B4CEBA" w14:textId="1A91EA59" w:rsidR="005F1AD8" w:rsidRDefault="005F1AD8">
      <w:pPr>
        <w:pStyle w:val="Heading1"/>
      </w:pPr>
      <w:r w:rsidRPr="00B63F21">
        <w:t>Scope</w:t>
      </w:r>
    </w:p>
    <w:p w14:paraId="686B79D4" w14:textId="1F81CF24" w:rsidR="008C249E" w:rsidRDefault="008C249E" w:rsidP="008C249E">
      <w:r w:rsidRPr="00A01A0C">
        <w:t xml:space="preserve">This SOP is applicable to all University of Birmingham (UoB) sponsored clinical research where a skeletal muscle biopsy is taken from a participant. Where clinical research is sponsored by another institution, this procedure should be followed as far as possible, and in line with </w:t>
      </w:r>
      <w:r>
        <w:t xml:space="preserve">the </w:t>
      </w:r>
      <w:r w:rsidRPr="00A01A0C">
        <w:t>contractual agreement between</w:t>
      </w:r>
      <w:r w:rsidR="00694803">
        <w:t xml:space="preserve"> the</w:t>
      </w:r>
      <w:r w:rsidRPr="00A01A0C">
        <w:t xml:space="preserve"> UoB and the other</w:t>
      </w:r>
      <w:r w:rsidR="00862988">
        <w:t xml:space="preserve"> sponsoring</w:t>
      </w:r>
      <w:r w:rsidRPr="00A01A0C">
        <w:t xml:space="preserve"> institution. This SOP also applies to clinical research</w:t>
      </w:r>
      <w:r w:rsidR="00862988">
        <w:t>,</w:t>
      </w:r>
      <w:r w:rsidRPr="00A01A0C">
        <w:t xml:space="preserve"> approved by</w:t>
      </w:r>
      <w:r w:rsidR="00C26EC9">
        <w:t xml:space="preserve"> a</w:t>
      </w:r>
      <w:r w:rsidRPr="00A01A0C">
        <w:t xml:space="preserve"> UoB </w:t>
      </w:r>
      <w:r w:rsidR="00C96F5A">
        <w:t>r</w:t>
      </w:r>
      <w:r w:rsidR="00C96F5A" w:rsidRPr="00A01A0C">
        <w:t xml:space="preserve">esearch </w:t>
      </w:r>
      <w:r w:rsidR="00C96F5A">
        <w:t>e</w:t>
      </w:r>
      <w:r w:rsidR="00C96F5A" w:rsidRPr="00A01A0C">
        <w:t xml:space="preserve">thics </w:t>
      </w:r>
      <w:r w:rsidR="00C96F5A">
        <w:t>c</w:t>
      </w:r>
      <w:r w:rsidR="00C96F5A" w:rsidRPr="00A01A0C">
        <w:t xml:space="preserve">ommittee </w:t>
      </w:r>
      <w:r w:rsidRPr="00A01A0C">
        <w:t>(REC)</w:t>
      </w:r>
      <w:r w:rsidR="00862988">
        <w:t>,</w:t>
      </w:r>
      <w:r w:rsidRPr="00A01A0C">
        <w:t xml:space="preserve"> that </w:t>
      </w:r>
      <w:r w:rsidR="00446760">
        <w:t>is</w:t>
      </w:r>
      <w:r w:rsidR="00446760" w:rsidRPr="00A01A0C">
        <w:t xml:space="preserve"> </w:t>
      </w:r>
      <w:r w:rsidRPr="00A01A0C">
        <w:t xml:space="preserve">required to follow </w:t>
      </w:r>
      <w:bookmarkStart w:id="1" w:name="_Hlk121996710"/>
      <w:r>
        <w:t xml:space="preserve">the </w:t>
      </w:r>
      <w:bookmarkStart w:id="2" w:name="_Hlk150262085"/>
      <w:r w:rsidRPr="00B6408C">
        <w:rPr>
          <w:rStyle w:val="ReferencestootherSOPsQCDsChar"/>
        </w:rPr>
        <w:t>UoB Principles of Good Clinical Practice (GCP) for Clinical Research (UoB-GCP-POL-001)</w:t>
      </w:r>
      <w:bookmarkEnd w:id="1"/>
      <w:r w:rsidRPr="00967A11">
        <w:t>.</w:t>
      </w:r>
      <w:bookmarkEnd w:id="2"/>
      <w:r>
        <w:rPr>
          <w:rStyle w:val="ReferencestootherSOPsQCDsChar"/>
        </w:rPr>
        <w:t xml:space="preserve"> </w:t>
      </w:r>
      <w:r w:rsidRPr="00E812CE">
        <w:t>This SOP may be used as a guidance document in all other cases.</w:t>
      </w:r>
    </w:p>
    <w:p w14:paraId="037B3ED4" w14:textId="0D3A90FE" w:rsidR="006B4ED2" w:rsidRPr="0060052C" w:rsidRDefault="003B5AFB" w:rsidP="008C249E">
      <w:r>
        <w:t xml:space="preserve">Where </w:t>
      </w:r>
      <w:r w:rsidR="00C96F5A">
        <w:t xml:space="preserve">a </w:t>
      </w:r>
      <w:r w:rsidR="00B6337E">
        <w:t xml:space="preserve">skeletal muscle biopsy </w:t>
      </w:r>
      <w:r>
        <w:t>procedure is not being carried out at</w:t>
      </w:r>
      <w:r w:rsidR="00694803">
        <w:t xml:space="preserve"> the</w:t>
      </w:r>
      <w:r>
        <w:t xml:space="preserve"> </w:t>
      </w:r>
      <w:r w:rsidR="00B6337E">
        <w:t>UoB</w:t>
      </w:r>
      <w:r>
        <w:t xml:space="preserve"> (e.g. at a</w:t>
      </w:r>
      <w:r w:rsidR="00446760">
        <w:t>n</w:t>
      </w:r>
      <w:r>
        <w:t xml:space="preserve"> </w:t>
      </w:r>
      <w:r w:rsidR="00B6337E">
        <w:t>NHS T</w:t>
      </w:r>
      <w:r>
        <w:t>rust site)</w:t>
      </w:r>
      <w:r w:rsidR="00446760">
        <w:t>,</w:t>
      </w:r>
      <w:r>
        <w:t xml:space="preserve"> the</w:t>
      </w:r>
      <w:r w:rsidR="00446760">
        <w:t xml:space="preserve"> </w:t>
      </w:r>
      <w:r w:rsidR="001C15BD">
        <w:t>‘</w:t>
      </w:r>
      <w:r>
        <w:t>set-up and maintenance</w:t>
      </w:r>
      <w:r w:rsidR="00B6337E">
        <w:t>’</w:t>
      </w:r>
      <w:r>
        <w:t xml:space="preserve"> and the </w:t>
      </w:r>
      <w:r w:rsidR="00B6337E">
        <w:t>‘</w:t>
      </w:r>
      <w:r>
        <w:t>biopsy collection and patient care</w:t>
      </w:r>
      <w:r w:rsidR="00B6337E">
        <w:t>’</w:t>
      </w:r>
      <w:r>
        <w:t xml:space="preserve"> sections of this SOP </w:t>
      </w:r>
      <w:r w:rsidR="006B4ED2">
        <w:t>should be followed</w:t>
      </w:r>
      <w:r w:rsidR="00B6337E">
        <w:t xml:space="preserve"> </w:t>
      </w:r>
      <w:r w:rsidR="006B4ED2">
        <w:t>as far as possible</w:t>
      </w:r>
      <w:r w:rsidR="00B6337E">
        <w:t>, and</w:t>
      </w:r>
      <w:r w:rsidR="006B4ED2">
        <w:t xml:space="preserve"> in line with local procedures and policies</w:t>
      </w:r>
      <w:r>
        <w:t>.</w:t>
      </w:r>
    </w:p>
    <w:p w14:paraId="7E2DA60F" w14:textId="4603CB0F" w:rsidR="005F1AD8" w:rsidRPr="00C34A3B" w:rsidRDefault="005F1AD8" w:rsidP="00B937B6">
      <w:pPr>
        <w:pStyle w:val="Heading1"/>
      </w:pPr>
      <w:r w:rsidRPr="00B63F21">
        <w:t>Implementation plan</w:t>
      </w:r>
    </w:p>
    <w:p w14:paraId="38488ACE" w14:textId="77777777" w:rsidR="005F1AD8" w:rsidRPr="00C34A3B" w:rsidRDefault="008C249E">
      <w:r>
        <w:t>This SOP will be implemented in line with this document’s effective date.</w:t>
      </w:r>
    </w:p>
    <w:p w14:paraId="5201D654" w14:textId="0A219953" w:rsidR="005F1AD8" w:rsidRDefault="005F1AD8">
      <w:pPr>
        <w:pStyle w:val="Heading1"/>
      </w:pPr>
      <w:r>
        <w:t>Stakeholders</w:t>
      </w:r>
    </w:p>
    <w:p w14:paraId="2B883806" w14:textId="1AD91999" w:rsidR="008C249E" w:rsidRPr="008B194A" w:rsidRDefault="008C249E" w:rsidP="008C249E">
      <w:r>
        <w:t xml:space="preserve">Note that where a clinical trials unit (CTU) is involved, the CTU may take on responsibility for aspects of </w:t>
      </w:r>
      <w:r w:rsidR="00C96F5A">
        <w:t xml:space="preserve">a </w:t>
      </w:r>
      <w:r>
        <w:t xml:space="preserve">skeletal muscle biopsy. The CTU may delegate these duties further to their trials team(s). All delegation of duties will be documented e.g. using the </w:t>
      </w:r>
      <w:bookmarkStart w:id="3" w:name="_Hlk150262103"/>
      <w:bookmarkStart w:id="4" w:name="_Hlk121996719"/>
      <w:r w:rsidRPr="00B6408C">
        <w:rPr>
          <w:rStyle w:val="ReferencestootherSOPsQCDsChar"/>
        </w:rPr>
        <w:t>Clinical Trials Task Delegation Log (UoB-SPO-QCD-001)</w:t>
      </w:r>
      <w:bookmarkEnd w:id="3"/>
      <w:r w:rsidRPr="001269DD">
        <w:t>.</w:t>
      </w:r>
      <w:bookmarkEnd w:id="4"/>
    </w:p>
    <w:p w14:paraId="23D9FA0D" w14:textId="438E1218" w:rsidR="008C249E" w:rsidRDefault="008C249E" w:rsidP="008C249E">
      <w:pPr>
        <w:pStyle w:val="bullet1"/>
        <w:numPr>
          <w:ilvl w:val="0"/>
          <w:numId w:val="3"/>
        </w:numPr>
        <w:ind w:left="340" w:hanging="340"/>
      </w:pPr>
      <w:r>
        <w:t>Chief investigator (CI):</w:t>
      </w:r>
      <w:r w:rsidRPr="00A17A3F">
        <w:t xml:space="preserve"> the CI may delegate activities to members of their </w:t>
      </w:r>
      <w:r>
        <w:t>research</w:t>
      </w:r>
      <w:r w:rsidRPr="00A17A3F">
        <w:t xml:space="preserve"> team, although evidence of CI involvement and approval is still expected and may not be delegated where ‘no delegation allowed’ is indicated. The SOP will state where delegation is possible.</w:t>
      </w:r>
      <w:r>
        <w:t xml:space="preserve"> For clinical research approved by a UoB REC, the role of CI may be termed the </w:t>
      </w:r>
      <w:r w:rsidR="00C96F5A">
        <w:t>principal investigator</w:t>
      </w:r>
      <w:r>
        <w:t>, or the supervisor for the postgraduate research student.</w:t>
      </w:r>
    </w:p>
    <w:p w14:paraId="135AC8AE" w14:textId="2EE52606" w:rsidR="00BB7D76" w:rsidRDefault="008C249E" w:rsidP="00BB7D76">
      <w:pPr>
        <w:pStyle w:val="bullet1"/>
      </w:pPr>
      <w:r w:rsidRPr="00BB7D76">
        <w:t>Medical</w:t>
      </w:r>
      <w:r>
        <w:t xml:space="preserve"> supervisor: an authorised doctor (physician)</w:t>
      </w:r>
      <w:r w:rsidRPr="00AE7B8C">
        <w:t xml:space="preserve"> with relevant experience in performing a skeletal muscle biopsy</w:t>
      </w:r>
      <w:r>
        <w:t>. This may be the CI where they are a physician.</w:t>
      </w:r>
    </w:p>
    <w:p w14:paraId="1ECBBCF3" w14:textId="0C507B25" w:rsidR="004C46FF" w:rsidRPr="00342C1E" w:rsidRDefault="004C46FF" w:rsidP="004C46FF">
      <w:pPr>
        <w:pStyle w:val="bullet1"/>
        <w:numPr>
          <w:ilvl w:val="0"/>
          <w:numId w:val="0"/>
        </w:numPr>
        <w:sectPr w:rsidR="004C46FF" w:rsidRPr="00342C1E" w:rsidSect="00512C56">
          <w:footerReference w:type="default" r:id="rId8"/>
          <w:headerReference w:type="first" r:id="rId9"/>
          <w:footerReference w:type="first" r:id="rId10"/>
          <w:pgSz w:w="11907" w:h="16839" w:code="9"/>
          <w:pgMar w:top="5211" w:right="1440" w:bottom="1440" w:left="1440" w:header="1438" w:footer="283" w:gutter="0"/>
          <w:cols w:space="708"/>
          <w:titlePg/>
          <w:docGrid w:linePitch="360"/>
        </w:sectPr>
      </w:pPr>
    </w:p>
    <w:p w14:paraId="1879D2C4" w14:textId="3C590E2B" w:rsidR="0025738F" w:rsidRDefault="0025738F" w:rsidP="0025738F">
      <w:pPr>
        <w:pStyle w:val="bullet1"/>
        <w:numPr>
          <w:ilvl w:val="0"/>
          <w:numId w:val="3"/>
        </w:numPr>
        <w:ind w:left="340" w:hanging="340"/>
      </w:pPr>
      <w:bookmarkStart w:id="5" w:name="_Toc320536979"/>
      <w:r>
        <w:lastRenderedPageBreak/>
        <w:t xml:space="preserve">Technician: clinical research staff member, as detailed on delegation log, who performs </w:t>
      </w:r>
      <w:r w:rsidR="00C96F5A">
        <w:t xml:space="preserve">a </w:t>
      </w:r>
      <w:r>
        <w:t>skeletal muscle biopsy</w:t>
      </w:r>
      <w:r w:rsidRPr="00AE7B8C">
        <w:t xml:space="preserve"> </w:t>
      </w:r>
      <w:r>
        <w:t xml:space="preserve">procedure. </w:t>
      </w:r>
    </w:p>
    <w:p w14:paraId="149766A6" w14:textId="3F814D3B" w:rsidR="0025738F" w:rsidRDefault="0025738F" w:rsidP="0025738F">
      <w:pPr>
        <w:pStyle w:val="bullet1"/>
        <w:numPr>
          <w:ilvl w:val="0"/>
          <w:numId w:val="3"/>
        </w:numPr>
        <w:ind w:left="340" w:hanging="340"/>
      </w:pPr>
      <w:r>
        <w:t>Assistant: clinical research staff member, as detailed on delegation log</w:t>
      </w:r>
      <w:r w:rsidDel="00147D09">
        <w:t>,</w:t>
      </w:r>
      <w:r>
        <w:t xml:space="preserve"> who assists during </w:t>
      </w:r>
      <w:r w:rsidR="00C96F5A">
        <w:t xml:space="preserve">a </w:t>
      </w:r>
      <w:r>
        <w:t>skeletal muscle biopsy procedure.</w:t>
      </w:r>
    </w:p>
    <w:p w14:paraId="356F8519" w14:textId="0085B0A1" w:rsidR="00F95D54" w:rsidRDefault="00F95D54" w:rsidP="00F95D54">
      <w:pPr>
        <w:pStyle w:val="Heading1"/>
      </w:pPr>
      <w:r>
        <w:t>Background and rationale</w:t>
      </w:r>
    </w:p>
    <w:p w14:paraId="1251EF18" w14:textId="2E52D3D5" w:rsidR="00F95D54" w:rsidRDefault="00F95D54" w:rsidP="00F95D54">
      <w:r>
        <w:t>A</w:t>
      </w:r>
      <w:r w:rsidRPr="009165D1">
        <w:t xml:space="preserve"> </w:t>
      </w:r>
      <w:r>
        <w:t xml:space="preserve">skeletal </w:t>
      </w:r>
      <w:r w:rsidRPr="009165D1">
        <w:t>muscle biopsy</w:t>
      </w:r>
      <w:r>
        <w:t xml:space="preserve"> (from here </w:t>
      </w:r>
      <w:r w:rsidR="00862988">
        <w:t>o</w:t>
      </w:r>
      <w:r>
        <w:t>n termed ‘biopsy’)</w:t>
      </w:r>
      <w:r w:rsidRPr="009165D1">
        <w:t xml:space="preserve"> is </w:t>
      </w:r>
      <w:r>
        <w:t xml:space="preserve">a </w:t>
      </w:r>
      <w:r w:rsidRPr="009165D1">
        <w:t xml:space="preserve">widely used </w:t>
      </w:r>
      <w:r>
        <w:t>procedure in both biological research and</w:t>
      </w:r>
      <w:r w:rsidRPr="009165D1">
        <w:t xml:space="preserve"> clinical medicine. It has been routinely performed by trained researchers in a </w:t>
      </w:r>
      <w:r>
        <w:t>u</w:t>
      </w:r>
      <w:r w:rsidRPr="009165D1">
        <w:t xml:space="preserve">niversity setting for over 40 years. It is used most often in the context of the study of muscle physiology/biochemistry in human health </w:t>
      </w:r>
      <w:r>
        <w:t>and</w:t>
      </w:r>
      <w:r w:rsidRPr="009165D1">
        <w:t xml:space="preserve"> disease.</w:t>
      </w:r>
      <w:r>
        <w:t xml:space="preserve"> </w:t>
      </w:r>
    </w:p>
    <w:p w14:paraId="6C4E2B7B" w14:textId="77777777" w:rsidR="00F95D54" w:rsidRDefault="00F95D54" w:rsidP="00F95D54">
      <w:r w:rsidRPr="009165D1">
        <w:t>T</w:t>
      </w:r>
      <w:r>
        <w:t xml:space="preserve">ypically, the </w:t>
      </w:r>
      <w:r w:rsidRPr="009165D1">
        <w:t>procedure involves obtaining a small (50-200 mg) tissue sample through a</w:t>
      </w:r>
      <w:r>
        <w:t>n approx.</w:t>
      </w:r>
      <w:r w:rsidRPr="009165D1">
        <w:t xml:space="preserve"> 6-8 mm incision that is made under local anaesthesia. The most commonly sampled site is the </w:t>
      </w:r>
      <w:r w:rsidRPr="009165D1">
        <w:rPr>
          <w:i/>
        </w:rPr>
        <w:t>vastus lateralis</w:t>
      </w:r>
      <w:r w:rsidRPr="009165D1">
        <w:t xml:space="preserve">, a large muscle of the quadriceps that weighs several kilograms in adults. </w:t>
      </w:r>
      <w:r>
        <w:t xml:space="preserve">Thus, the sample represents only a </w:t>
      </w:r>
      <w:r w:rsidRPr="009165D1">
        <w:t>fraction of the mass of the tissue from which it is sampled.</w:t>
      </w:r>
    </w:p>
    <w:p w14:paraId="0DE6FDA1" w14:textId="77777777" w:rsidR="00F95D54" w:rsidRDefault="00F95D54" w:rsidP="00F95D54">
      <w:r>
        <w:t xml:space="preserve">The purpose of this document is to explain the procedures for performing a biopsy and the necessary oversight required. Robust procedures are required when performing a biopsy to ensure the safety and </w:t>
      </w:r>
      <w:r w:rsidRPr="00981406">
        <w:t xml:space="preserve">well-being of the </w:t>
      </w:r>
      <w:r>
        <w:t xml:space="preserve">participants involved (see </w:t>
      </w:r>
      <w:bookmarkStart w:id="6" w:name="_Hlk150262197"/>
      <w:r w:rsidRPr="00D23D92">
        <w:rPr>
          <w:rStyle w:val="ReferencestootherSOPsQCDsChar"/>
        </w:rPr>
        <w:t>UoB Principles of GCP for Clinical Research</w:t>
      </w:r>
      <w:r>
        <w:rPr>
          <w:rStyle w:val="ReferencestootherSOPsQCDsChar"/>
        </w:rPr>
        <w:t xml:space="preserve"> (UoB-GCP</w:t>
      </w:r>
      <w:r w:rsidRPr="00D23D92">
        <w:rPr>
          <w:rStyle w:val="ReferencestootherSOPsQCDsChar"/>
        </w:rPr>
        <w:t>-POL-001</w:t>
      </w:r>
      <w:r>
        <w:rPr>
          <w:rStyle w:val="ReferencestootherSOPsQCDsChar"/>
        </w:rPr>
        <w:t>)</w:t>
      </w:r>
      <w:r>
        <w:t>).</w:t>
      </w:r>
      <w:bookmarkEnd w:id="6"/>
    </w:p>
    <w:p w14:paraId="719CCB59" w14:textId="5E7CA075" w:rsidR="00F95D54" w:rsidRDefault="00F95D54" w:rsidP="00F95D54">
      <w:r>
        <w:t>In the event of an a</w:t>
      </w:r>
      <w:r w:rsidRPr="00BA607F">
        <w:t>dverse event</w:t>
      </w:r>
      <w:r w:rsidR="00446760">
        <w:t>,</w:t>
      </w:r>
      <w:r>
        <w:t xml:space="preserve"> whether </w:t>
      </w:r>
      <w:r w:rsidR="00446760">
        <w:t xml:space="preserve">or not </w:t>
      </w:r>
      <w:r>
        <w:t xml:space="preserve">related to </w:t>
      </w:r>
      <w:r w:rsidR="00C96F5A">
        <w:t xml:space="preserve">a </w:t>
      </w:r>
      <w:r>
        <w:t xml:space="preserve">biopsy, see the </w:t>
      </w:r>
      <w:bookmarkStart w:id="7" w:name="_Hlk150262214"/>
      <w:r w:rsidRPr="00903CA1">
        <w:rPr>
          <w:rStyle w:val="ReferencestootherSOPsQCDsChar"/>
        </w:rPr>
        <w:t>Adverse Event Reporting</w:t>
      </w:r>
      <w:r>
        <w:rPr>
          <w:rStyle w:val="ReferencestootherSOPsQCDsChar"/>
        </w:rPr>
        <w:t xml:space="preserve"> SOP (UoB-AES-SOP-001)</w:t>
      </w:r>
      <w:bookmarkEnd w:id="7"/>
      <w:r>
        <w:rPr>
          <w:rStyle w:val="ReferencestootherSOPsQCDsChar"/>
        </w:rPr>
        <w:t xml:space="preserve"> </w:t>
      </w:r>
      <w:r>
        <w:t xml:space="preserve">for reporting requirements. </w:t>
      </w:r>
    </w:p>
    <w:p w14:paraId="27320893" w14:textId="77777777" w:rsidR="00F95D54" w:rsidRDefault="00F95D54" w:rsidP="00F95D54">
      <w:r>
        <w:t xml:space="preserve">For deviation and serious breach reporting, see the </w:t>
      </w:r>
      <w:bookmarkStart w:id="8" w:name="_Hlk150262224"/>
      <w:bookmarkStart w:id="9" w:name="_Hlk121996731"/>
      <w:r w:rsidRPr="0018530A">
        <w:rPr>
          <w:rStyle w:val="ReferencestootherSOPsQCDsChar"/>
        </w:rPr>
        <w:t>Deviations and Serious Breach Reporting</w:t>
      </w:r>
      <w:r>
        <w:rPr>
          <w:rStyle w:val="ReferencestootherSOPsQCDsChar"/>
        </w:rPr>
        <w:t xml:space="preserve"> SOP (</w:t>
      </w:r>
      <w:r w:rsidRPr="0018530A">
        <w:rPr>
          <w:rStyle w:val="ReferencestootherSOPsQCDsChar"/>
        </w:rPr>
        <w:t>UoB-DSB-SOP-001</w:t>
      </w:r>
      <w:r>
        <w:rPr>
          <w:rStyle w:val="ReferencestootherSOPsQCDsChar"/>
        </w:rPr>
        <w:t>)</w:t>
      </w:r>
      <w:r>
        <w:t xml:space="preserve">. </w:t>
      </w:r>
      <w:bookmarkEnd w:id="8"/>
    </w:p>
    <w:bookmarkEnd w:id="9"/>
    <w:p w14:paraId="42760F2C" w14:textId="77777777" w:rsidR="008C249E" w:rsidRPr="00435EAE" w:rsidRDefault="008C249E" w:rsidP="008C249E">
      <w:pPr>
        <w:pStyle w:val="Heading1"/>
      </w:pPr>
      <w:r w:rsidRPr="00435EAE">
        <w:t>Procedure</w:t>
      </w:r>
    </w:p>
    <w:p w14:paraId="4630E2BA" w14:textId="77777777" w:rsidR="008C249E" w:rsidRDefault="008C249E" w:rsidP="008C249E">
      <w:pPr>
        <w:pStyle w:val="Heading2"/>
      </w:pPr>
      <w:r>
        <w:t>T</w:t>
      </w:r>
      <w:r w:rsidRPr="00B85F27">
        <w:t>raining</w:t>
      </w:r>
    </w:p>
    <w:p w14:paraId="5C76C7F2" w14:textId="0185E993" w:rsidR="008C249E" w:rsidRDefault="008C249E" w:rsidP="008C249E">
      <w:pPr>
        <w:pStyle w:val="Numberlist"/>
        <w:numPr>
          <w:ilvl w:val="0"/>
          <w:numId w:val="12"/>
        </w:numPr>
        <w:ind w:left="340" w:hanging="340"/>
      </w:pPr>
      <w:r w:rsidRPr="00890639">
        <w:t>The CI (or delegate) will</w:t>
      </w:r>
      <w:r>
        <w:t xml:space="preserve"> ensure and evidence that relevant staff are appropriately </w:t>
      </w:r>
      <w:r w:rsidR="0025738F">
        <w:t>trained and</w:t>
      </w:r>
      <w:r w:rsidR="00147D09">
        <w:t xml:space="preserve"> </w:t>
      </w:r>
      <w:r>
        <w:t xml:space="preserve">informed of their roles in the biopsy procedure before undertaking their respective tasks. See the </w:t>
      </w:r>
      <w:bookmarkStart w:id="10" w:name="_Hlk121996740"/>
      <w:r w:rsidRPr="005E01EF">
        <w:rPr>
          <w:rStyle w:val="ReferencestootherSOPsQCDsChar"/>
        </w:rPr>
        <w:t>Training</w:t>
      </w:r>
      <w:r>
        <w:rPr>
          <w:rStyle w:val="ReferencestootherSOPsQCDsChar"/>
        </w:rPr>
        <w:t xml:space="preserve"> SOP (UoB-TRN-SOP-001</w:t>
      </w:r>
      <w:r w:rsidR="00B6337E">
        <w:rPr>
          <w:rStyle w:val="ReferencestootherSOPsQCDsChar"/>
        </w:rPr>
        <w:t>)</w:t>
      </w:r>
      <w:r w:rsidR="00147D09">
        <w:rPr>
          <w:rStyle w:val="ReferencestootherSOPsQCDsChar"/>
        </w:rPr>
        <w:t xml:space="preserve"> </w:t>
      </w:r>
      <w:r w:rsidR="00147D09" w:rsidRPr="0025738F">
        <w:rPr>
          <w:rStyle w:val="ReferencestootherSOPsQCDsChar"/>
          <w:i w:val="0"/>
          <w:iCs w:val="0"/>
          <w:color w:val="auto"/>
        </w:rPr>
        <w:t>and</w:t>
      </w:r>
      <w:r w:rsidR="00B6337E">
        <w:rPr>
          <w:rStyle w:val="ReferencestootherSOPsQCDsChar"/>
          <w:i w:val="0"/>
          <w:iCs w:val="0"/>
          <w:color w:val="auto"/>
        </w:rPr>
        <w:t xml:space="preserve"> the</w:t>
      </w:r>
      <w:r w:rsidR="00147D09" w:rsidRPr="0025738F">
        <w:rPr>
          <w:rStyle w:val="ReferencestootherSOPsQCDsChar"/>
          <w:i w:val="0"/>
          <w:iCs w:val="0"/>
          <w:color w:val="auto"/>
        </w:rPr>
        <w:t xml:space="preserve"> </w:t>
      </w:r>
      <w:r w:rsidR="00147D09">
        <w:rPr>
          <w:rStyle w:val="ReferencestootherSOPsQCDsChar"/>
        </w:rPr>
        <w:t>Clinical Research Quality Manual</w:t>
      </w:r>
      <w:r w:rsidR="00B6337E">
        <w:rPr>
          <w:rStyle w:val="ReferencestootherSOPsQCDsChar"/>
        </w:rPr>
        <w:t xml:space="preserve"> (UoB-CQM-POL-001</w:t>
      </w:r>
      <w:r>
        <w:rPr>
          <w:rStyle w:val="ReferencestootherSOPsQCDsChar"/>
        </w:rPr>
        <w:t>)</w:t>
      </w:r>
      <w:r>
        <w:t xml:space="preserve"> </w:t>
      </w:r>
      <w:bookmarkEnd w:id="10"/>
      <w:r>
        <w:t>for more details.</w:t>
      </w:r>
    </w:p>
    <w:p w14:paraId="53E1689A" w14:textId="77777777" w:rsidR="008C249E" w:rsidRDefault="008C249E" w:rsidP="008C249E">
      <w:pPr>
        <w:pStyle w:val="Numberlist"/>
        <w:numPr>
          <w:ilvl w:val="0"/>
          <w:numId w:val="12"/>
        </w:numPr>
        <w:ind w:left="340" w:hanging="340"/>
      </w:pPr>
      <w:r>
        <w:t xml:space="preserve">Where the technician is a physician, the CI (or delegate) will ensure and evidence that the technician is appropriately trained in the project-specific biopsy procedure.  </w:t>
      </w:r>
    </w:p>
    <w:p w14:paraId="0976C60C" w14:textId="0A39D827" w:rsidR="008C249E" w:rsidRDefault="008C249E" w:rsidP="008C249E">
      <w:pPr>
        <w:pStyle w:val="Numberlist"/>
        <w:numPr>
          <w:ilvl w:val="0"/>
          <w:numId w:val="12"/>
        </w:numPr>
        <w:ind w:left="340" w:hanging="340"/>
      </w:pPr>
      <w:r>
        <w:t xml:space="preserve">Where the technician is </w:t>
      </w:r>
      <w:r w:rsidR="00294158">
        <w:t>not medically trained,</w:t>
      </w:r>
      <w:r>
        <w:t xml:space="preserve"> the technician will</w:t>
      </w:r>
      <w:r w:rsidR="00191B63">
        <w:t xml:space="preserve"> be trained in the project-specific biopsy procedure</w:t>
      </w:r>
      <w:r w:rsidR="00694803">
        <w:t>. They will</w:t>
      </w:r>
      <w:r w:rsidR="00191B63">
        <w:t xml:space="preserve"> </w:t>
      </w:r>
      <w:r>
        <w:t>follow the procedures outline</w:t>
      </w:r>
      <w:r w:rsidR="00294158">
        <w:t>d</w:t>
      </w:r>
      <w:r>
        <w:t xml:space="preserve"> in the section below marked ‘Biopsy training and medical oversight for non-physicians’.</w:t>
      </w:r>
    </w:p>
    <w:p w14:paraId="2C9875A1" w14:textId="77777777" w:rsidR="008C249E" w:rsidRPr="005302B0" w:rsidRDefault="008C249E" w:rsidP="008C249E">
      <w:pPr>
        <w:pStyle w:val="Heading3"/>
      </w:pPr>
      <w:r>
        <w:t>Biopsy training and medical oversight for non-physicians</w:t>
      </w:r>
    </w:p>
    <w:p w14:paraId="6FE56EF6" w14:textId="6ADB0A25" w:rsidR="008C249E" w:rsidRDefault="008C249E" w:rsidP="008C249E">
      <w:pPr>
        <w:pStyle w:val="Numberlist"/>
        <w:numPr>
          <w:ilvl w:val="0"/>
          <w:numId w:val="12"/>
        </w:numPr>
        <w:ind w:left="340" w:hanging="340"/>
      </w:pPr>
      <w:r>
        <w:t xml:space="preserve">The technician will document evidence that they have the appropriate theoretical and practical understanding to perform the relevant project-specific biopsy procedure. See the </w:t>
      </w:r>
      <w:bookmarkStart w:id="11" w:name="_Hlk150262335"/>
      <w:bookmarkStart w:id="12" w:name="_Hlk121996748"/>
      <w:r w:rsidRPr="00041E28">
        <w:rPr>
          <w:rStyle w:val="ReferencestootherSOPsQCDsChar"/>
        </w:rPr>
        <w:t>Biopsy Training Programme and Record</w:t>
      </w:r>
      <w:r>
        <w:rPr>
          <w:rStyle w:val="ReferencestootherSOPsQCDsChar"/>
        </w:rPr>
        <w:t xml:space="preserve"> (</w:t>
      </w:r>
      <w:r w:rsidRPr="00041E28">
        <w:rPr>
          <w:rStyle w:val="ReferencestootherSOPsQCDsChar"/>
        </w:rPr>
        <w:t>UoB-SMB-QCD-001</w:t>
      </w:r>
      <w:r>
        <w:rPr>
          <w:rStyle w:val="ReferencestootherSOPsQCDsChar"/>
        </w:rPr>
        <w:t xml:space="preserve">) </w:t>
      </w:r>
      <w:bookmarkEnd w:id="11"/>
      <w:r w:rsidRPr="00B6408C">
        <w:t>for an example</w:t>
      </w:r>
      <w:r>
        <w:t xml:space="preserve">. </w:t>
      </w:r>
    </w:p>
    <w:bookmarkEnd w:id="12"/>
    <w:p w14:paraId="4FDECC87" w14:textId="77777777" w:rsidR="008C249E" w:rsidRDefault="008C249E" w:rsidP="008C249E">
      <w:pPr>
        <w:pStyle w:val="bullet2"/>
      </w:pPr>
      <w:r>
        <w:t>The theoretical understanding will cover:</w:t>
      </w:r>
    </w:p>
    <w:p w14:paraId="315925F2" w14:textId="77777777" w:rsidR="008C249E" w:rsidRDefault="008C249E" w:rsidP="008C249E">
      <w:pPr>
        <w:pStyle w:val="bullet3"/>
      </w:pPr>
      <w:r>
        <w:t xml:space="preserve">anatomy of the muscle (including innervations, vasculature, skin and connective tissue (fascia)) </w:t>
      </w:r>
    </w:p>
    <w:p w14:paraId="441172A8" w14:textId="77777777" w:rsidR="008C249E" w:rsidRDefault="008C249E" w:rsidP="008C249E">
      <w:pPr>
        <w:pStyle w:val="bullet3"/>
      </w:pPr>
      <w:r>
        <w:t>knowledge of local anaesthetics and procedures to administer them</w:t>
      </w:r>
    </w:p>
    <w:p w14:paraId="6C686448" w14:textId="6E24820A" w:rsidR="008C249E" w:rsidRDefault="008C249E" w:rsidP="008C249E">
      <w:pPr>
        <w:pStyle w:val="bullet3"/>
      </w:pPr>
      <w:r>
        <w:t xml:space="preserve">knowledge of the techniques for making </w:t>
      </w:r>
      <w:r w:rsidR="00DB6931">
        <w:t xml:space="preserve">an </w:t>
      </w:r>
      <w:r>
        <w:t>incision</w:t>
      </w:r>
    </w:p>
    <w:p w14:paraId="7BDC0268" w14:textId="77777777" w:rsidR="008C249E" w:rsidRDefault="008C249E" w:rsidP="008C249E">
      <w:pPr>
        <w:pStyle w:val="bullet3"/>
      </w:pPr>
      <w:r>
        <w:t>minimizing risk for complications and wound care</w:t>
      </w:r>
    </w:p>
    <w:p w14:paraId="4255517B" w14:textId="77777777" w:rsidR="008C249E" w:rsidRDefault="008C249E" w:rsidP="008C249E">
      <w:pPr>
        <w:pStyle w:val="bullet3"/>
      </w:pPr>
      <w:r>
        <w:t>procedures to maintain sterility</w:t>
      </w:r>
    </w:p>
    <w:p w14:paraId="5E23C5B5" w14:textId="77777777" w:rsidR="008C249E" w:rsidRDefault="008C249E" w:rsidP="008C249E">
      <w:pPr>
        <w:pStyle w:val="bullet3"/>
      </w:pPr>
      <w:r>
        <w:t>emergency procedures.</w:t>
      </w:r>
    </w:p>
    <w:p w14:paraId="1D648B6B" w14:textId="77777777" w:rsidR="008C249E" w:rsidRDefault="008C249E" w:rsidP="008C249E">
      <w:pPr>
        <w:pStyle w:val="bullet2"/>
      </w:pPr>
      <w:r>
        <w:t>The practical learning will cover:</w:t>
      </w:r>
    </w:p>
    <w:p w14:paraId="35455978" w14:textId="53BE3031" w:rsidR="008C249E" w:rsidRDefault="008C249E" w:rsidP="008C249E">
      <w:pPr>
        <w:pStyle w:val="bullet3"/>
      </w:pPr>
      <w:r>
        <w:t xml:space="preserve">administration of the local anaesthetic </w:t>
      </w:r>
    </w:p>
    <w:p w14:paraId="40862304" w14:textId="77777777" w:rsidR="008C249E" w:rsidRDefault="008C249E" w:rsidP="008C249E">
      <w:pPr>
        <w:pStyle w:val="bullet3"/>
      </w:pPr>
      <w:r>
        <w:t>making an incision</w:t>
      </w:r>
    </w:p>
    <w:p w14:paraId="79045EBB" w14:textId="77777777" w:rsidR="001C15BD" w:rsidRDefault="008C249E" w:rsidP="004F346E">
      <w:pPr>
        <w:pStyle w:val="bullet3"/>
      </w:pPr>
      <w:r>
        <w:t>assisting taking a biopsy</w:t>
      </w:r>
    </w:p>
    <w:p w14:paraId="359D96DA" w14:textId="00A5F067" w:rsidR="001C15BD" w:rsidRDefault="001C15BD" w:rsidP="004F346E">
      <w:pPr>
        <w:pStyle w:val="bullet3"/>
      </w:pPr>
      <w:r>
        <w:t>taking a biopsy</w:t>
      </w:r>
    </w:p>
    <w:p w14:paraId="16B8E6F3" w14:textId="37B3186F" w:rsidR="001C15BD" w:rsidRPr="001C15BD" w:rsidRDefault="001C15BD" w:rsidP="001C15BD">
      <w:pPr>
        <w:pStyle w:val="bullet3"/>
      </w:pPr>
      <w:r>
        <w:t>closing an incision.</w:t>
      </w:r>
    </w:p>
    <w:p w14:paraId="0348348F" w14:textId="04150641" w:rsidR="008C249E" w:rsidRPr="001C15BD" w:rsidRDefault="008C249E" w:rsidP="001C15BD"/>
    <w:p w14:paraId="0E1FC4BF" w14:textId="10C02036" w:rsidR="0025738F" w:rsidRDefault="008C249E">
      <w:pPr>
        <w:pStyle w:val="Numberlist"/>
      </w:pPr>
      <w:r>
        <w:t>As a minimum, the technician will assist in 15 biopsy procedures</w:t>
      </w:r>
      <w:r w:rsidR="00A64F0B">
        <w:t xml:space="preserve">. The technician will then perform </w:t>
      </w:r>
      <w:r w:rsidR="00446760">
        <w:t>three</w:t>
      </w:r>
      <w:r w:rsidR="00A64F0B">
        <w:t xml:space="preserve"> biopsy procedures that must be supervised by the medical supervisor</w:t>
      </w:r>
      <w:r w:rsidR="00147D09">
        <w:t xml:space="preserve"> before authorising the continuation of the training via the </w:t>
      </w:r>
      <w:r w:rsidR="00147D09" w:rsidRPr="00041E28">
        <w:rPr>
          <w:rStyle w:val="ReferencestootherSOPsQCDsChar"/>
        </w:rPr>
        <w:t>Biopsy Training Programme and Record</w:t>
      </w:r>
      <w:r w:rsidR="00147D09">
        <w:rPr>
          <w:rStyle w:val="ReferencestootherSOPsQCDsChar"/>
        </w:rPr>
        <w:t xml:space="preserve"> (</w:t>
      </w:r>
      <w:r w:rsidR="00147D09" w:rsidRPr="00041E28">
        <w:rPr>
          <w:rStyle w:val="ReferencestootherSOPsQCDsChar"/>
        </w:rPr>
        <w:t>UoB-SMB-QCD-001</w:t>
      </w:r>
      <w:r w:rsidR="00147D09">
        <w:rPr>
          <w:rStyle w:val="ReferencestootherSOPsQCDsChar"/>
        </w:rPr>
        <w:t>)</w:t>
      </w:r>
      <w:r w:rsidR="00147D09">
        <w:t xml:space="preserve"> (see Declarations section).</w:t>
      </w:r>
      <w:r w:rsidR="00A64F0B">
        <w:t xml:space="preserve"> </w:t>
      </w:r>
      <w:r w:rsidR="00B6337E">
        <w:t>As a minimum, a</w:t>
      </w:r>
      <w:r w:rsidR="00A64F0B">
        <w:t xml:space="preserve"> further </w:t>
      </w:r>
      <w:r w:rsidR="00446760">
        <w:t>seven</w:t>
      </w:r>
      <w:r w:rsidR="00A64F0B">
        <w:t xml:space="preserve"> biopsy procedures</w:t>
      </w:r>
      <w:r w:rsidR="00294158">
        <w:t xml:space="preserve"> </w:t>
      </w:r>
      <w:r w:rsidR="00A64F0B">
        <w:t xml:space="preserve">will be performed by the trainee </w:t>
      </w:r>
      <w:r>
        <w:t>under</w:t>
      </w:r>
      <w:r w:rsidR="00446760">
        <w:t xml:space="preserve"> the</w:t>
      </w:r>
      <w:r>
        <w:t xml:space="preserve"> supervision</w:t>
      </w:r>
      <w:r w:rsidR="00A64F0B">
        <w:t xml:space="preserve"> of</w:t>
      </w:r>
      <w:r>
        <w:t xml:space="preserve"> a trained and competent technician</w:t>
      </w:r>
      <w:r w:rsidR="00147D09">
        <w:t xml:space="preserve">. </w:t>
      </w:r>
    </w:p>
    <w:p w14:paraId="042DB5D0" w14:textId="7C742584" w:rsidR="008C249E" w:rsidRDefault="008C249E" w:rsidP="0025738F">
      <w:pPr>
        <w:pStyle w:val="Numberlist"/>
      </w:pPr>
      <w:r>
        <w:t xml:space="preserve">Where the technician has evidence of previous biopsy experience </w:t>
      </w:r>
      <w:r w:rsidR="00997216">
        <w:t xml:space="preserve">at </w:t>
      </w:r>
      <w:r>
        <w:t xml:space="preserve">other institutions, the technician will perform a minimum of </w:t>
      </w:r>
      <w:r w:rsidR="00D45929">
        <w:t>three</w:t>
      </w:r>
      <w:r>
        <w:t xml:space="preserve"> biopsies in </w:t>
      </w:r>
      <w:r w:rsidR="00446760">
        <w:t xml:space="preserve">the </w:t>
      </w:r>
      <w:r>
        <w:t xml:space="preserve">presence of the medical supervisor at </w:t>
      </w:r>
      <w:r w:rsidR="00694803">
        <w:t xml:space="preserve">the </w:t>
      </w:r>
      <w:r>
        <w:t xml:space="preserve">UoB to assess the technician’s competency. </w:t>
      </w:r>
    </w:p>
    <w:p w14:paraId="68A4AE33" w14:textId="5C7E7B69" w:rsidR="008C249E" w:rsidRDefault="008C249E" w:rsidP="008C249E">
      <w:pPr>
        <w:pStyle w:val="Numberlist"/>
        <w:numPr>
          <w:ilvl w:val="0"/>
          <w:numId w:val="12"/>
        </w:numPr>
        <w:ind w:left="340" w:hanging="340"/>
      </w:pPr>
      <w:r>
        <w:t xml:space="preserve">Following </w:t>
      </w:r>
      <w:r w:rsidR="0015055A">
        <w:t>satisfactory completion</w:t>
      </w:r>
      <w:r>
        <w:t xml:space="preserve"> of the training, the technician will obtain authorisation from the medical supervisor via the </w:t>
      </w:r>
      <w:bookmarkStart w:id="13" w:name="_Hlk121996769"/>
      <w:r>
        <w:rPr>
          <w:rStyle w:val="ReferencestootherSOPsQCDsChar"/>
        </w:rPr>
        <w:t>Biopsy Sampling Permission F</w:t>
      </w:r>
      <w:r w:rsidRPr="007406B6">
        <w:rPr>
          <w:rStyle w:val="ReferencestootherSOPsQCDsChar"/>
        </w:rPr>
        <w:t>orm</w:t>
      </w:r>
      <w:r>
        <w:rPr>
          <w:rStyle w:val="ReferencestootherSOPsQCDsChar"/>
        </w:rPr>
        <w:t xml:space="preserve"> (Uo</w:t>
      </w:r>
      <w:r w:rsidRPr="007406B6">
        <w:rPr>
          <w:rStyle w:val="ReferencestootherSOPsQCDsChar"/>
        </w:rPr>
        <w:t>B-SMB-QCD-002</w:t>
      </w:r>
      <w:r>
        <w:rPr>
          <w:rStyle w:val="ReferencestootherSOPsQCDsChar"/>
        </w:rPr>
        <w:t>)</w:t>
      </w:r>
      <w:r>
        <w:t xml:space="preserve"> </w:t>
      </w:r>
      <w:bookmarkEnd w:id="13"/>
      <w:r>
        <w:t xml:space="preserve">to perform biopsies independently (without </w:t>
      </w:r>
      <w:r w:rsidR="00A36FF0">
        <w:t xml:space="preserve">direct </w:t>
      </w:r>
      <w:r>
        <w:t xml:space="preserve">supervision). Authorisation will be valid for three years and only provided where the criteria listed below </w:t>
      </w:r>
      <w:r w:rsidR="00446760">
        <w:t xml:space="preserve">are </w:t>
      </w:r>
      <w:r>
        <w:t>met.</w:t>
      </w:r>
    </w:p>
    <w:p w14:paraId="10BBB8DE" w14:textId="77777777" w:rsidR="008C249E" w:rsidRDefault="008C249E" w:rsidP="008C249E">
      <w:pPr>
        <w:pStyle w:val="bullet2"/>
      </w:pPr>
      <w:r>
        <w:t>Evidence of biopsy training.</w:t>
      </w:r>
    </w:p>
    <w:p w14:paraId="0CAFC410" w14:textId="77777777" w:rsidR="008C249E" w:rsidRDefault="008C249E" w:rsidP="008C249E">
      <w:pPr>
        <w:pStyle w:val="bullet2"/>
      </w:pPr>
      <w:r>
        <w:t>Evidence of up-to-date Emergency First Aid at Work training (or higher).</w:t>
      </w:r>
    </w:p>
    <w:p w14:paraId="4E01621E" w14:textId="77777777" w:rsidR="008C249E" w:rsidRPr="00655081" w:rsidRDefault="008C249E" w:rsidP="008C249E">
      <w:pPr>
        <w:pStyle w:val="bullet2"/>
      </w:pPr>
      <w:r>
        <w:t>Evidence of a competency assessment by the medical supervisor to perform the biopsy procedure and administer the local anaesthetic.</w:t>
      </w:r>
    </w:p>
    <w:p w14:paraId="261DFD9B" w14:textId="637004C9" w:rsidR="008C249E" w:rsidRDefault="008C249E" w:rsidP="008C249E">
      <w:pPr>
        <w:pStyle w:val="Numberlist"/>
        <w:numPr>
          <w:ilvl w:val="0"/>
          <w:numId w:val="12"/>
        </w:numPr>
        <w:ind w:left="340" w:hanging="340"/>
      </w:pPr>
      <w:r>
        <w:t>The technician will provide 6-monthly reports to the medical supervisor detailing the number of biopsies performed</w:t>
      </w:r>
      <w:r w:rsidR="008E4DEE">
        <w:t>,</w:t>
      </w:r>
      <w:r>
        <w:t xml:space="preserve"> the number of participants </w:t>
      </w:r>
      <w:r w:rsidR="00446760">
        <w:t xml:space="preserve">who </w:t>
      </w:r>
      <w:r>
        <w:t>have had a biopsy</w:t>
      </w:r>
      <w:r w:rsidR="008E4DEE">
        <w:t>,</w:t>
      </w:r>
      <w:r w:rsidR="008828F5">
        <w:t xml:space="preserve"> </w:t>
      </w:r>
      <w:r>
        <w:t xml:space="preserve">and a declaration to confirm the absence/existence of any problems during </w:t>
      </w:r>
      <w:r w:rsidR="00267A8E">
        <w:t xml:space="preserve">a </w:t>
      </w:r>
      <w:r>
        <w:t xml:space="preserve">biopsy procedure. </w:t>
      </w:r>
    </w:p>
    <w:p w14:paraId="6796DB94" w14:textId="737894E5" w:rsidR="008C249E" w:rsidRDefault="008C249E" w:rsidP="008C249E">
      <w:pPr>
        <w:pStyle w:val="Numberlist"/>
        <w:numPr>
          <w:ilvl w:val="0"/>
          <w:numId w:val="12"/>
        </w:numPr>
        <w:ind w:left="340" w:hanging="340"/>
      </w:pPr>
      <w:r>
        <w:t xml:space="preserve">The medical supervisor will determine and document (via the </w:t>
      </w:r>
      <w:r>
        <w:rPr>
          <w:rStyle w:val="ReferencestootherSOPsQCDsChar"/>
        </w:rPr>
        <w:t>Biopsy Sampling Permission F</w:t>
      </w:r>
      <w:r w:rsidRPr="007406B6">
        <w:rPr>
          <w:rStyle w:val="ReferencestootherSOPsQCDsChar"/>
        </w:rPr>
        <w:t>orm</w:t>
      </w:r>
      <w:r>
        <w:rPr>
          <w:rStyle w:val="ReferencestootherSOPsQCDsChar"/>
        </w:rPr>
        <w:t xml:space="preserve"> (Uo</w:t>
      </w:r>
      <w:r w:rsidRPr="007406B6">
        <w:rPr>
          <w:rStyle w:val="ReferencestootherSOPsQCDsChar"/>
        </w:rPr>
        <w:t>B-SMB-QCD-002</w:t>
      </w:r>
      <w:r>
        <w:rPr>
          <w:rStyle w:val="ReferencestootherSOPsQCDsChar"/>
        </w:rPr>
        <w:t>)</w:t>
      </w:r>
      <w:r>
        <w:t>) the minimum number of biopsies to be performed annually by the technician during the three- year authorisation</w:t>
      </w:r>
      <w:r w:rsidR="003B383E">
        <w:t xml:space="preserve"> period</w:t>
      </w:r>
      <w:r>
        <w:t xml:space="preserve">. The minimum number required will be based on the technician’s previous level of experience in performing biopsies.  </w:t>
      </w:r>
    </w:p>
    <w:p w14:paraId="61E1FFAB" w14:textId="26214B5D" w:rsidR="008A6E15" w:rsidRDefault="002F7BC8" w:rsidP="008C249E">
      <w:pPr>
        <w:pStyle w:val="Numberlist"/>
        <w:numPr>
          <w:ilvl w:val="0"/>
          <w:numId w:val="12"/>
        </w:numPr>
        <w:ind w:left="340" w:hanging="340"/>
      </w:pPr>
      <w:r>
        <w:t>At the end</w:t>
      </w:r>
      <w:r w:rsidR="008A6E15">
        <w:t xml:space="preserve"> of the three-year authorisation</w:t>
      </w:r>
      <w:r>
        <w:t xml:space="preserve"> period</w:t>
      </w:r>
      <w:r w:rsidR="00446760">
        <w:t>,</w:t>
      </w:r>
      <w:r w:rsidR="008A6E15">
        <w:t xml:space="preserve"> the medical supervisor will review and document the requirements for </w:t>
      </w:r>
      <w:r w:rsidR="003B383E">
        <w:t xml:space="preserve">a </w:t>
      </w:r>
      <w:r w:rsidR="008A6E15">
        <w:t xml:space="preserve">renewal of </w:t>
      </w:r>
      <w:r w:rsidR="003B383E">
        <w:t xml:space="preserve">the </w:t>
      </w:r>
      <w:r w:rsidR="008A6E15">
        <w:t>authorisation to perform biopsies</w:t>
      </w:r>
      <w:r w:rsidR="00D45929">
        <w:t xml:space="preserve"> (if </w:t>
      </w:r>
      <w:r w:rsidR="003B383E">
        <w:t xml:space="preserve">a </w:t>
      </w:r>
      <w:r w:rsidR="00D45929">
        <w:t>renewal is required)</w:t>
      </w:r>
      <w:r w:rsidR="008A6E15">
        <w:t>.</w:t>
      </w:r>
    </w:p>
    <w:p w14:paraId="28EB232D" w14:textId="77777777" w:rsidR="008C249E" w:rsidRDefault="008C249E" w:rsidP="008C249E">
      <w:pPr>
        <w:pStyle w:val="Heading2"/>
      </w:pPr>
      <w:r>
        <w:t>Set-up and maintenance</w:t>
      </w:r>
    </w:p>
    <w:p w14:paraId="5FB13BA1" w14:textId="47FBDE3C" w:rsidR="008C249E" w:rsidRDefault="008C249E" w:rsidP="008C249E">
      <w:pPr>
        <w:pStyle w:val="Numberlist"/>
        <w:numPr>
          <w:ilvl w:val="0"/>
          <w:numId w:val="12"/>
        </w:numPr>
        <w:ind w:left="340" w:hanging="340"/>
      </w:pPr>
      <w:r w:rsidRPr="00444FBB">
        <w:t>The CI (or delegate) will document the appropriate facilit</w:t>
      </w:r>
      <w:r>
        <w:t xml:space="preserve">ies, cleaning and decontamination procedures required </w:t>
      </w:r>
      <w:r w:rsidRPr="00444FBB">
        <w:t>to perform the biopsy procedure</w:t>
      </w:r>
      <w:r>
        <w:t xml:space="preserve"> to minimise the risk of infection to the participant.</w:t>
      </w:r>
    </w:p>
    <w:p w14:paraId="2D4977DD" w14:textId="77777777" w:rsidR="008C249E" w:rsidRDefault="008C249E" w:rsidP="008C249E">
      <w:pPr>
        <w:pStyle w:val="bullet2"/>
      </w:pPr>
      <w:r>
        <w:t xml:space="preserve">See the </w:t>
      </w:r>
      <w:bookmarkStart w:id="14" w:name="_Hlk121996782"/>
      <w:bookmarkStart w:id="15" w:name="_Hlk150262830"/>
      <w:r w:rsidRPr="00126CA3">
        <w:rPr>
          <w:rStyle w:val="ReferencestootherSOPsQCDsChar"/>
        </w:rPr>
        <w:t>Biopsy Record Form</w:t>
      </w:r>
      <w:r>
        <w:rPr>
          <w:rStyle w:val="ReferencestootherSOPsQCDsChar"/>
        </w:rPr>
        <w:t xml:space="preserve"> (</w:t>
      </w:r>
      <w:r w:rsidRPr="00126CA3">
        <w:rPr>
          <w:rStyle w:val="ReferencestootherSOPsQCDsChar"/>
        </w:rPr>
        <w:t>UoB-SMB-QCD-004</w:t>
      </w:r>
      <w:r>
        <w:rPr>
          <w:rStyle w:val="ReferencestootherSOPsQCDsChar"/>
        </w:rPr>
        <w:t>)</w:t>
      </w:r>
      <w:bookmarkEnd w:id="14"/>
      <w:r>
        <w:rPr>
          <w:rStyle w:val="ReferencestootherSOPsQCDsChar"/>
        </w:rPr>
        <w:t xml:space="preserve"> </w:t>
      </w:r>
      <w:bookmarkEnd w:id="15"/>
      <w:r>
        <w:t>for a template to document cleaning and decontamination activities before and after each biopsy.</w:t>
      </w:r>
    </w:p>
    <w:p w14:paraId="76883418" w14:textId="63CB7BE8" w:rsidR="008C249E" w:rsidRDefault="008C249E" w:rsidP="008C249E">
      <w:pPr>
        <w:pStyle w:val="bullet2"/>
      </w:pPr>
      <w:r>
        <w:t xml:space="preserve">Also see the </w:t>
      </w:r>
      <w:bookmarkStart w:id="16" w:name="_Hlk121996790"/>
      <w:r w:rsidRPr="00EB0480">
        <w:rPr>
          <w:rStyle w:val="ReferencestootherSOPsQCDsChar"/>
        </w:rPr>
        <w:t>Housekeeping Schedule</w:t>
      </w:r>
      <w:r>
        <w:rPr>
          <w:rStyle w:val="ReferencestootherSOPsQCDsChar"/>
        </w:rPr>
        <w:t xml:space="preserve"> (</w:t>
      </w:r>
      <w:r w:rsidRPr="00EB0480">
        <w:rPr>
          <w:rStyle w:val="ReferencestootherSOPsQCDsChar"/>
        </w:rPr>
        <w:t>UoB-CRL-QCD-006</w:t>
      </w:r>
      <w:r>
        <w:rPr>
          <w:rStyle w:val="ReferencestootherSOPsQCDsChar"/>
        </w:rPr>
        <w:t>)</w:t>
      </w:r>
      <w:r>
        <w:t xml:space="preserve"> </w:t>
      </w:r>
      <w:bookmarkEnd w:id="16"/>
      <w:r>
        <w:t xml:space="preserve">for a template to document housekeeping activities. </w:t>
      </w:r>
    </w:p>
    <w:p w14:paraId="105D537E" w14:textId="2AC4905F" w:rsidR="00DC387F" w:rsidRDefault="00DC387F" w:rsidP="008831CE">
      <w:pPr>
        <w:pStyle w:val="bullet2"/>
      </w:pPr>
      <w:r w:rsidRPr="00DC387F">
        <w:t xml:space="preserve">The proposed facility for carrying out </w:t>
      </w:r>
      <w:r w:rsidR="00194B73">
        <w:t xml:space="preserve">the </w:t>
      </w:r>
      <w:r w:rsidRPr="00DC387F">
        <w:t>biopsy procedure should be considered as part of the risk assessment. It is recommended that the biopsy procedure is conducted at the NIHR/</w:t>
      </w:r>
      <w:proofErr w:type="spellStart"/>
      <w:r w:rsidRPr="00DC387F">
        <w:t>Wellcome</w:t>
      </w:r>
      <w:proofErr w:type="spellEnd"/>
      <w:r w:rsidRPr="00DC387F">
        <w:t xml:space="preserve"> Trust Birmingham Clinical Research Facility based in the Heritage Building at Queen Elizabeth Hospital Birmingham. Where this is not possible/appropriate, it is advised to discuss the use of an alternative facility with the Research Ethics, Governance &amp; Integrity Team (REGI). </w:t>
      </w:r>
    </w:p>
    <w:p w14:paraId="52F6B1A7" w14:textId="66A8FA43" w:rsidR="008C249E" w:rsidRDefault="008C249E" w:rsidP="008C249E">
      <w:pPr>
        <w:pStyle w:val="Numberlist"/>
        <w:numPr>
          <w:ilvl w:val="0"/>
          <w:numId w:val="12"/>
        </w:numPr>
        <w:ind w:left="340" w:hanging="340"/>
      </w:pPr>
      <w:r>
        <w:t xml:space="preserve">The CI (or delegate) will ensure the applicable ethical and regulatory approvals are in place prior to conducting any biopsy procedures, including those for training purposes. When a trainee technician under supervision is performing a biopsy, the CI (or delegate) will ensure </w:t>
      </w:r>
      <w:r w:rsidR="00820AAC">
        <w:t xml:space="preserve">that </w:t>
      </w:r>
      <w:r>
        <w:t>appropriate approvals and explicit consent from the participant</w:t>
      </w:r>
      <w:r w:rsidR="001C15BD">
        <w:t xml:space="preserve"> </w:t>
      </w:r>
      <w:r w:rsidR="00267A8E">
        <w:t>are</w:t>
      </w:r>
      <w:r>
        <w:t xml:space="preserve"> </w:t>
      </w:r>
      <w:r w:rsidR="00DF6A10">
        <w:t>documented</w:t>
      </w:r>
      <w:r w:rsidR="00F95D54">
        <w:t xml:space="preserve"> </w:t>
      </w:r>
      <w:r>
        <w:t>for the trainee to perform the procedure.</w:t>
      </w:r>
    </w:p>
    <w:p w14:paraId="5D0A2DBB" w14:textId="33955B0F" w:rsidR="008C249E" w:rsidRPr="00A9546C" w:rsidRDefault="008C249E" w:rsidP="008C249E">
      <w:pPr>
        <w:pStyle w:val="Numberlist"/>
        <w:numPr>
          <w:ilvl w:val="0"/>
          <w:numId w:val="12"/>
        </w:numPr>
        <w:ind w:left="340" w:hanging="340"/>
      </w:pPr>
      <w:r w:rsidRPr="00A9546C">
        <w:t xml:space="preserve">The CI (or delegate) will document </w:t>
      </w:r>
      <w:r>
        <w:t>any risks related to</w:t>
      </w:r>
      <w:r w:rsidRPr="00A9546C">
        <w:t xml:space="preserve"> </w:t>
      </w:r>
      <w:r w:rsidRPr="00267A8E">
        <w:t>the</w:t>
      </w:r>
      <w:r w:rsidRPr="00A9546C">
        <w:t xml:space="preserve"> biopsy procedure</w:t>
      </w:r>
      <w:r>
        <w:t xml:space="preserve"> (e.g. in the protocol and/or risk assessment)</w:t>
      </w:r>
      <w:r w:rsidRPr="00A9546C">
        <w:t>.</w:t>
      </w:r>
      <w:r w:rsidRPr="004B0D44">
        <w:t xml:space="preserve"> </w:t>
      </w:r>
      <w:r>
        <w:t xml:space="preserve">See also </w:t>
      </w:r>
      <w:bookmarkStart w:id="17" w:name="_Hlk121996800"/>
      <w:bookmarkStart w:id="18" w:name="_Hlk150265630"/>
      <w:r w:rsidRPr="00B6408C">
        <w:rPr>
          <w:rStyle w:val="ReferencestootherSOPsQCDsChar"/>
        </w:rPr>
        <w:t xml:space="preserve">Project Oversight &amp; </w:t>
      </w:r>
      <w:r w:rsidRPr="004B0D44">
        <w:rPr>
          <w:rStyle w:val="ReferencestootherSOPsQCDsChar"/>
        </w:rPr>
        <w:t xml:space="preserve">Quality Management SOP </w:t>
      </w:r>
      <w:r w:rsidRPr="00916D15">
        <w:rPr>
          <w:rStyle w:val="ReferencestootherSOPsQCDsChar"/>
        </w:rPr>
        <w:t>(UoB-POS-SOP-001)</w:t>
      </w:r>
      <w:bookmarkEnd w:id="17"/>
      <w:r>
        <w:t xml:space="preserve"> </w:t>
      </w:r>
      <w:bookmarkEnd w:id="18"/>
      <w:r>
        <w:t>for details on performing a project-specific risk assessment.</w:t>
      </w:r>
    </w:p>
    <w:p w14:paraId="6A894582" w14:textId="0233C2E5" w:rsidR="008C249E" w:rsidRDefault="008C249E" w:rsidP="008C249E">
      <w:pPr>
        <w:pStyle w:val="Numberlist"/>
        <w:numPr>
          <w:ilvl w:val="0"/>
          <w:numId w:val="12"/>
        </w:numPr>
        <w:ind w:left="340" w:hanging="340"/>
      </w:pPr>
      <w:r>
        <w:t xml:space="preserve">The CI (or delegate) will follow the </w:t>
      </w:r>
      <w:hyperlink r:id="rId11" w:tooltip="UoB H&amp;S policies and guidance for biological safety" w:history="1">
        <w:r w:rsidRPr="00771486">
          <w:rPr>
            <w:rStyle w:val="Hyperlink"/>
          </w:rPr>
          <w:t xml:space="preserve">UoB </w:t>
        </w:r>
        <w:r>
          <w:rPr>
            <w:rStyle w:val="Hyperlink"/>
          </w:rPr>
          <w:t>h</w:t>
        </w:r>
        <w:r w:rsidRPr="00771486">
          <w:rPr>
            <w:rStyle w:val="Hyperlink"/>
          </w:rPr>
          <w:t xml:space="preserve">ealth and </w:t>
        </w:r>
        <w:r>
          <w:rPr>
            <w:rStyle w:val="Hyperlink"/>
          </w:rPr>
          <w:t>s</w:t>
        </w:r>
        <w:r w:rsidRPr="00771486">
          <w:rPr>
            <w:rStyle w:val="Hyperlink"/>
          </w:rPr>
          <w:t xml:space="preserve">afety </w:t>
        </w:r>
        <w:r>
          <w:rPr>
            <w:rStyle w:val="Hyperlink"/>
          </w:rPr>
          <w:t>p</w:t>
        </w:r>
        <w:r w:rsidRPr="00771486">
          <w:rPr>
            <w:rStyle w:val="Hyperlink"/>
          </w:rPr>
          <w:t xml:space="preserve">olicies and </w:t>
        </w:r>
        <w:r>
          <w:rPr>
            <w:rStyle w:val="Hyperlink"/>
          </w:rPr>
          <w:t>g</w:t>
        </w:r>
        <w:r w:rsidRPr="00771486">
          <w:rPr>
            <w:rStyle w:val="Hyperlink"/>
          </w:rPr>
          <w:t xml:space="preserve">uidance for </w:t>
        </w:r>
        <w:r>
          <w:rPr>
            <w:rStyle w:val="Hyperlink"/>
          </w:rPr>
          <w:t>b</w:t>
        </w:r>
        <w:r w:rsidRPr="00771486">
          <w:rPr>
            <w:rStyle w:val="Hyperlink"/>
          </w:rPr>
          <w:t xml:space="preserve">iological </w:t>
        </w:r>
        <w:r>
          <w:rPr>
            <w:rStyle w:val="Hyperlink"/>
          </w:rPr>
          <w:t>s</w:t>
        </w:r>
        <w:r w:rsidRPr="00771486">
          <w:rPr>
            <w:rStyle w:val="Hyperlink"/>
          </w:rPr>
          <w:t>afety</w:t>
        </w:r>
      </w:hyperlink>
      <w:r>
        <w:t xml:space="preserve">, including performing a separate risk </w:t>
      </w:r>
      <w:r w:rsidRPr="00A8635A">
        <w:t>assessment for work with biological materials</w:t>
      </w:r>
      <w:r>
        <w:t xml:space="preserve">. </w:t>
      </w:r>
    </w:p>
    <w:p w14:paraId="2F3C7F9E" w14:textId="6711A916" w:rsidR="008C249E" w:rsidRDefault="008C249E" w:rsidP="008C249E">
      <w:pPr>
        <w:pStyle w:val="Numberlist"/>
        <w:numPr>
          <w:ilvl w:val="0"/>
          <w:numId w:val="12"/>
        </w:numPr>
        <w:ind w:left="340" w:hanging="340"/>
      </w:pPr>
      <w:r>
        <w:t>The CI (or delegate) will document the procedure for performing the biopsy (e.g. in the protocol, work instructions or unit-level processes). The documented procedure will include the areas listed below.</w:t>
      </w:r>
    </w:p>
    <w:p w14:paraId="3EF89FBF" w14:textId="55D49B07" w:rsidR="008C249E" w:rsidRDefault="008C249E" w:rsidP="008C249E">
      <w:pPr>
        <w:pStyle w:val="bullet2"/>
      </w:pPr>
      <w:r>
        <w:t>The individual(s) who can/will perform the biopsy procedure.</w:t>
      </w:r>
    </w:p>
    <w:p w14:paraId="631549F0" w14:textId="1E3452EF" w:rsidR="008C249E" w:rsidRDefault="008C249E" w:rsidP="008C249E">
      <w:pPr>
        <w:pStyle w:val="bullet2"/>
      </w:pPr>
      <w:r>
        <w:lastRenderedPageBreak/>
        <w:t xml:space="preserve">A list of required equipment, consumables and personal protective equipment (PPE). Items that will come in direct contact with the biopsy site must be sterile. It is expected that </w:t>
      </w:r>
      <w:r w:rsidR="00DB6931">
        <w:t xml:space="preserve">the </w:t>
      </w:r>
      <w:r>
        <w:t xml:space="preserve">list </w:t>
      </w:r>
      <w:r w:rsidR="0089745C">
        <w:t xml:space="preserve">of </w:t>
      </w:r>
      <w:r w:rsidR="00E8642E">
        <w:t xml:space="preserve">required items is </w:t>
      </w:r>
      <w:r>
        <w:t xml:space="preserve">determined in consultation with the medical supervisor. </w:t>
      </w:r>
    </w:p>
    <w:p w14:paraId="4DA250D5" w14:textId="103C97A7" w:rsidR="00E03E1B" w:rsidRDefault="008C249E" w:rsidP="00FF70C6">
      <w:pPr>
        <w:pStyle w:val="bullet2"/>
      </w:pPr>
      <w:r>
        <w:t xml:space="preserve">A process to confirm consent and eligibility before performing the procedure, </w:t>
      </w:r>
      <w:r w:rsidR="00074F2F">
        <w:t xml:space="preserve">including </w:t>
      </w:r>
      <w:r w:rsidR="00631503">
        <w:t xml:space="preserve">making </w:t>
      </w:r>
      <w:r>
        <w:t>the participant aware of the</w:t>
      </w:r>
      <w:r w:rsidR="00294158">
        <w:t xml:space="preserve"> full</w:t>
      </w:r>
      <w:r>
        <w:t xml:space="preserve"> b</w:t>
      </w:r>
      <w:r w:rsidR="00294158">
        <w:t>i</w:t>
      </w:r>
      <w:r>
        <w:t>opsy procedure</w:t>
      </w:r>
      <w:r w:rsidR="0078103D">
        <w:t xml:space="preserve"> and </w:t>
      </w:r>
      <w:r w:rsidR="00294158">
        <w:t>it</w:t>
      </w:r>
      <w:r w:rsidR="00EB144F">
        <w:t>s</w:t>
      </w:r>
      <w:r w:rsidR="0078103D">
        <w:t xml:space="preserve"> associated risks</w:t>
      </w:r>
      <w:r>
        <w:t xml:space="preserve">. </w:t>
      </w:r>
      <w:r w:rsidR="00E03E1B">
        <w:t>It is recommended that the process includes re-confirming consent if there is a delay between consent being given and the day of the procedure.</w:t>
      </w:r>
    </w:p>
    <w:p w14:paraId="34935A68" w14:textId="77777777" w:rsidR="008C249E" w:rsidRDefault="008C249E" w:rsidP="008C249E">
      <w:pPr>
        <w:pStyle w:val="bullet2"/>
      </w:pPr>
      <w:r>
        <w:t xml:space="preserve">An accountability log to monitor all biopsy needles used (see </w:t>
      </w:r>
      <w:r>
        <w:rPr>
          <w:rStyle w:val="ReferencestootherSOPsQCDsChar"/>
        </w:rPr>
        <w:t>Biopsy</w:t>
      </w:r>
      <w:r w:rsidRPr="000B3A63">
        <w:rPr>
          <w:rStyle w:val="ReferencestootherSOPsQCDsChar"/>
        </w:rPr>
        <w:t xml:space="preserve"> Record Form</w:t>
      </w:r>
      <w:r>
        <w:rPr>
          <w:rStyle w:val="ReferencestootherSOPsQCDsChar"/>
        </w:rPr>
        <w:t xml:space="preserve"> (</w:t>
      </w:r>
      <w:r w:rsidRPr="000B3A63">
        <w:rPr>
          <w:rStyle w:val="ReferencestootherSOPsQCDsChar"/>
        </w:rPr>
        <w:t>UoB-SMB-QCD-004</w:t>
      </w:r>
      <w:r>
        <w:rPr>
          <w:rStyle w:val="ReferencestootherSOPsQCDsChar"/>
        </w:rPr>
        <w:t>)</w:t>
      </w:r>
      <w:r w:rsidRPr="00521AD3">
        <w:t>)</w:t>
      </w:r>
      <w:r>
        <w:t>.</w:t>
      </w:r>
    </w:p>
    <w:p w14:paraId="14000DD8" w14:textId="77777777" w:rsidR="008C249E" w:rsidRDefault="008C249E" w:rsidP="008C249E">
      <w:pPr>
        <w:pStyle w:val="bullet2"/>
      </w:pPr>
      <w:r>
        <w:t xml:space="preserve">The daily limit of anaesthetic to be used per participant. For lidocaine (also known as lignocaine), the daily use </w:t>
      </w:r>
      <w:r w:rsidRPr="007111E0">
        <w:t>must not exceed 2 mg per kg of body mass per day</w:t>
      </w:r>
      <w:r>
        <w:t>.</w:t>
      </w:r>
    </w:p>
    <w:p w14:paraId="611FC493" w14:textId="7F92924B" w:rsidR="008C249E" w:rsidRDefault="008C249E" w:rsidP="008C249E">
      <w:pPr>
        <w:pStyle w:val="bullet2"/>
      </w:pPr>
      <w:r>
        <w:t xml:space="preserve">Details of the observation period </w:t>
      </w:r>
      <w:r w:rsidR="00DB6931">
        <w:t xml:space="preserve">required </w:t>
      </w:r>
      <w:r>
        <w:t xml:space="preserve">before </w:t>
      </w:r>
      <w:r w:rsidR="000F26D1">
        <w:t xml:space="preserve">the </w:t>
      </w:r>
      <w:r>
        <w:t>participant is discharged following the biopsy procedure.</w:t>
      </w:r>
    </w:p>
    <w:p w14:paraId="25DDD457" w14:textId="3A38AD3C" w:rsidR="00673283" w:rsidRDefault="008C249E" w:rsidP="00486E4B">
      <w:pPr>
        <w:pStyle w:val="bullet2"/>
      </w:pPr>
      <w:r>
        <w:t xml:space="preserve">The procedure for handling </w:t>
      </w:r>
      <w:r w:rsidR="0015055A">
        <w:t>an emergency</w:t>
      </w:r>
      <w:r>
        <w:t xml:space="preserve"> e.g. </w:t>
      </w:r>
      <w:r w:rsidR="00194B73">
        <w:t xml:space="preserve">in the event of an </w:t>
      </w:r>
      <w:r>
        <w:t xml:space="preserve">allergic reaction to the anaesthetic. </w:t>
      </w:r>
      <w:r w:rsidR="004913E9">
        <w:t>It is also expected that the medical supervisor will be available if required (as minimum, by telephone).</w:t>
      </w:r>
    </w:p>
    <w:p w14:paraId="5C44C4DF" w14:textId="04BA259F" w:rsidR="00486E4B" w:rsidRDefault="00486E4B" w:rsidP="00486E4B">
      <w:pPr>
        <w:pStyle w:val="bullet2"/>
      </w:pPr>
      <w:r>
        <w:t>As a minimum, there must be a member of staff on</w:t>
      </w:r>
      <w:r w:rsidR="00ED0750">
        <w:t xml:space="preserve"> </w:t>
      </w:r>
      <w:r>
        <w:t>site during the biopsy procedure</w:t>
      </w:r>
      <w:r w:rsidR="00775A9C">
        <w:t xml:space="preserve"> who has </w:t>
      </w:r>
      <w:r>
        <w:t>up-to-date Emergency First Aid at Work training (or higher).</w:t>
      </w:r>
    </w:p>
    <w:p w14:paraId="669EECB4" w14:textId="55EA3ADD" w:rsidR="0078103D" w:rsidRDefault="008C249E" w:rsidP="0071055A">
      <w:pPr>
        <w:pStyle w:val="bullet2"/>
      </w:pPr>
      <w:r>
        <w:t xml:space="preserve">The procedure for sample processing after </w:t>
      </w:r>
      <w:r w:rsidR="00194B73">
        <w:t xml:space="preserve">the </w:t>
      </w:r>
      <w:r>
        <w:t xml:space="preserve">collection of the biopsy sample(s). See also the </w:t>
      </w:r>
      <w:bookmarkStart w:id="19" w:name="_Hlk121996817"/>
      <w:r w:rsidRPr="0031003E">
        <w:rPr>
          <w:rStyle w:val="ReferencestootherSOPsQCDsChar"/>
        </w:rPr>
        <w:t>Sample Management</w:t>
      </w:r>
      <w:r>
        <w:rPr>
          <w:rStyle w:val="ReferencestootherSOPsQCDsChar"/>
        </w:rPr>
        <w:t xml:space="preserve"> SOP (</w:t>
      </w:r>
      <w:r w:rsidRPr="0031003E">
        <w:rPr>
          <w:rStyle w:val="ReferencestootherSOPsQCDsChar"/>
        </w:rPr>
        <w:t>UoB-CRL-SOP-003</w:t>
      </w:r>
      <w:r>
        <w:rPr>
          <w:rStyle w:val="ReferencestootherSOPsQCDsChar"/>
        </w:rPr>
        <w:t>)</w:t>
      </w:r>
      <w:r>
        <w:t xml:space="preserve"> </w:t>
      </w:r>
      <w:bookmarkEnd w:id="19"/>
      <w:r>
        <w:t xml:space="preserve">for the </w:t>
      </w:r>
      <w:r w:rsidRPr="0031003E">
        <w:t>handling</w:t>
      </w:r>
      <w:r>
        <w:t xml:space="preserve"> and processing of human tissue samples. </w:t>
      </w:r>
    </w:p>
    <w:p w14:paraId="17CC662E" w14:textId="78458B1E" w:rsidR="008C249E" w:rsidRDefault="008C249E" w:rsidP="008C249E">
      <w:pPr>
        <w:pStyle w:val="bullet2"/>
        <w:numPr>
          <w:ilvl w:val="0"/>
          <w:numId w:val="12"/>
        </w:numPr>
        <w:ind w:left="340" w:hanging="340"/>
      </w:pPr>
      <w:r>
        <w:t xml:space="preserve">Where biopsy equipment is reusable, the CI (or delegate) will set up a process to ensure appropriate decontamination and sterilisation of the equipment. If the equipment is sent to an external company for cleaning, the CI (or delegate) will adhere to applicable regulatory requirements in relation to the transport of dangerous/contaminated goods. For example, public transport (such as buses and trains) must not be used to transport contaminated biopsy needles. See </w:t>
      </w:r>
      <w:hyperlink r:id="rId12" w:tooltip="UoB H&amp;S policies and guidance for hazardous substances" w:history="1">
        <w:r w:rsidRPr="00B94641">
          <w:rPr>
            <w:rStyle w:val="Hyperlink"/>
          </w:rPr>
          <w:t xml:space="preserve">UoB </w:t>
        </w:r>
        <w:r>
          <w:rPr>
            <w:rStyle w:val="Hyperlink"/>
          </w:rPr>
          <w:t>h</w:t>
        </w:r>
        <w:r w:rsidRPr="00B94641">
          <w:rPr>
            <w:rStyle w:val="Hyperlink"/>
          </w:rPr>
          <w:t xml:space="preserve">ealth and </w:t>
        </w:r>
        <w:r>
          <w:rPr>
            <w:rStyle w:val="Hyperlink"/>
          </w:rPr>
          <w:t>s</w:t>
        </w:r>
        <w:r w:rsidRPr="00B94641">
          <w:rPr>
            <w:rStyle w:val="Hyperlink"/>
          </w:rPr>
          <w:t xml:space="preserve">afety </w:t>
        </w:r>
        <w:r>
          <w:rPr>
            <w:rStyle w:val="Hyperlink"/>
          </w:rPr>
          <w:t>p</w:t>
        </w:r>
        <w:r w:rsidRPr="00B94641">
          <w:rPr>
            <w:rStyle w:val="Hyperlink"/>
          </w:rPr>
          <w:t xml:space="preserve">olicies and </w:t>
        </w:r>
        <w:r>
          <w:rPr>
            <w:rStyle w:val="Hyperlink"/>
          </w:rPr>
          <w:t>g</w:t>
        </w:r>
        <w:r w:rsidRPr="00B94641">
          <w:rPr>
            <w:rStyle w:val="Hyperlink"/>
          </w:rPr>
          <w:t xml:space="preserve">uidance for </w:t>
        </w:r>
        <w:r>
          <w:rPr>
            <w:rStyle w:val="Hyperlink"/>
          </w:rPr>
          <w:t>h</w:t>
        </w:r>
        <w:r w:rsidRPr="00B94641">
          <w:rPr>
            <w:rStyle w:val="Hyperlink"/>
          </w:rPr>
          <w:t xml:space="preserve">azardous </w:t>
        </w:r>
        <w:r>
          <w:rPr>
            <w:rStyle w:val="Hyperlink"/>
          </w:rPr>
          <w:t>s</w:t>
        </w:r>
        <w:r w:rsidRPr="00B94641">
          <w:rPr>
            <w:rStyle w:val="Hyperlink"/>
          </w:rPr>
          <w:t>ubstances</w:t>
        </w:r>
      </w:hyperlink>
      <w:r>
        <w:t xml:space="preserve"> for more information.   </w:t>
      </w:r>
    </w:p>
    <w:p w14:paraId="1778A118" w14:textId="3E389F53" w:rsidR="008C249E" w:rsidRDefault="008C249E" w:rsidP="008C249E">
      <w:pPr>
        <w:pStyle w:val="Numberlist"/>
        <w:numPr>
          <w:ilvl w:val="0"/>
          <w:numId w:val="12"/>
        </w:numPr>
        <w:ind w:left="340" w:hanging="340"/>
      </w:pPr>
      <w:r>
        <w:t>The CI (or delegate) will have a documented procedure for the purchase, receipt, storage and use of the local anaesthetic (typically lidocaine). This procedure will include the areas listed below</w:t>
      </w:r>
      <w:r w:rsidR="003E3A05">
        <w:t>.</w:t>
      </w:r>
    </w:p>
    <w:p w14:paraId="6640A86E" w14:textId="228F45D1" w:rsidR="00252FEE" w:rsidRDefault="00ED0750" w:rsidP="00252FEE">
      <w:pPr>
        <w:pStyle w:val="bullet2"/>
      </w:pPr>
      <w:r>
        <w:t>The p</w:t>
      </w:r>
      <w:r w:rsidR="008C249E">
        <w:t xml:space="preserve">urchase of anaesthetic by the </w:t>
      </w:r>
      <w:r w:rsidR="008C249E" w:rsidRPr="00252FEE">
        <w:t>medical</w:t>
      </w:r>
      <w:r w:rsidR="008C249E">
        <w:t xml:space="preserve"> supervisor.</w:t>
      </w:r>
    </w:p>
    <w:p w14:paraId="795C57FE" w14:textId="4B1FCDC0" w:rsidR="008C249E" w:rsidRDefault="00ED0750" w:rsidP="008C249E">
      <w:pPr>
        <w:pStyle w:val="bullet2"/>
      </w:pPr>
      <w:r>
        <w:t>The use of an a</w:t>
      </w:r>
      <w:r w:rsidR="008C249E">
        <w:t xml:space="preserve">ccountability log to monitor </w:t>
      </w:r>
      <w:r w:rsidR="00775A9C">
        <w:t xml:space="preserve">the </w:t>
      </w:r>
      <w:r w:rsidR="00252FEE">
        <w:t>receipt</w:t>
      </w:r>
      <w:r w:rsidR="00775A9C">
        <w:t xml:space="preserve"> and use of</w:t>
      </w:r>
      <w:r w:rsidR="00252FEE">
        <w:t xml:space="preserve"> </w:t>
      </w:r>
      <w:r w:rsidR="008C249E">
        <w:t xml:space="preserve">stock (see </w:t>
      </w:r>
      <w:bookmarkStart w:id="20" w:name="_Hlk150266187"/>
      <w:bookmarkStart w:id="21" w:name="_Hlk121996828"/>
      <w:r w:rsidR="008C249E">
        <w:rPr>
          <w:rStyle w:val="ReferencestootherSOPsQCDsChar"/>
        </w:rPr>
        <w:t>Anaesthetic</w:t>
      </w:r>
      <w:r w:rsidR="008C249E" w:rsidRPr="000B3A63">
        <w:rPr>
          <w:rStyle w:val="ReferencestootherSOPsQCDsChar"/>
        </w:rPr>
        <w:t xml:space="preserve"> Stock Control Form</w:t>
      </w:r>
      <w:r w:rsidR="008C249E">
        <w:rPr>
          <w:rStyle w:val="ReferencestootherSOPsQCDsChar"/>
        </w:rPr>
        <w:t xml:space="preserve"> (</w:t>
      </w:r>
      <w:r w:rsidR="008C249E" w:rsidRPr="000B3A63">
        <w:rPr>
          <w:rStyle w:val="ReferencestootherSOPsQCDsChar"/>
        </w:rPr>
        <w:t>UoB-SMB-QCD-003</w:t>
      </w:r>
      <w:bookmarkEnd w:id="20"/>
      <w:r w:rsidR="008C249E">
        <w:rPr>
          <w:rStyle w:val="ReferencestootherSOPsQCDsChar"/>
        </w:rPr>
        <w:t>)</w:t>
      </w:r>
      <w:r w:rsidR="008C249E">
        <w:t xml:space="preserve"> </w:t>
      </w:r>
      <w:bookmarkEnd w:id="21"/>
      <w:r w:rsidR="008C249E">
        <w:t xml:space="preserve">and </w:t>
      </w:r>
      <w:bookmarkStart w:id="22" w:name="_Hlk121996837"/>
      <w:r w:rsidR="008C249E">
        <w:rPr>
          <w:rStyle w:val="ReferencestootherSOPsQCDsChar"/>
        </w:rPr>
        <w:t>Biopsy</w:t>
      </w:r>
      <w:r w:rsidR="008C249E" w:rsidRPr="000B3A63">
        <w:rPr>
          <w:rStyle w:val="ReferencestootherSOPsQCDsChar"/>
        </w:rPr>
        <w:t xml:space="preserve"> Record Form</w:t>
      </w:r>
      <w:r w:rsidR="008C249E">
        <w:rPr>
          <w:rStyle w:val="ReferencestootherSOPsQCDsChar"/>
        </w:rPr>
        <w:t xml:space="preserve"> (</w:t>
      </w:r>
      <w:r w:rsidR="008C249E" w:rsidRPr="000B3A63">
        <w:rPr>
          <w:rStyle w:val="ReferencestootherSOPsQCDsChar"/>
        </w:rPr>
        <w:t>UoB-SMB-QCD-004</w:t>
      </w:r>
      <w:r w:rsidR="008C249E">
        <w:rPr>
          <w:rStyle w:val="ReferencestootherSOPsQCDsChar"/>
        </w:rPr>
        <w:t>)</w:t>
      </w:r>
      <w:bookmarkEnd w:id="22"/>
      <w:r w:rsidR="008C249E">
        <w:t>).</w:t>
      </w:r>
    </w:p>
    <w:p w14:paraId="66A8ACBF" w14:textId="56D8DF0C" w:rsidR="008C249E" w:rsidRDefault="00ED0750" w:rsidP="008C249E">
      <w:pPr>
        <w:pStyle w:val="bullet2"/>
      </w:pPr>
      <w:r>
        <w:t>The p</w:t>
      </w:r>
      <w:r w:rsidR="008C249E">
        <w:t>rocedure for the disposal of surplus stock.</w:t>
      </w:r>
    </w:p>
    <w:p w14:paraId="53C80769" w14:textId="77777777" w:rsidR="008A6E15" w:rsidRDefault="008A6E15" w:rsidP="008A6E15">
      <w:pPr>
        <w:pStyle w:val="Heading2"/>
      </w:pPr>
      <w:r>
        <w:t>Consent</w:t>
      </w:r>
    </w:p>
    <w:p w14:paraId="3BD12F72" w14:textId="1D44FA1D" w:rsidR="008A6E15" w:rsidRDefault="00252FEE" w:rsidP="008A6E15">
      <w:pPr>
        <w:pStyle w:val="Numberlist"/>
        <w:numPr>
          <w:ilvl w:val="0"/>
          <w:numId w:val="12"/>
        </w:numPr>
        <w:ind w:left="340" w:hanging="340"/>
      </w:pPr>
      <w:r>
        <w:t>The CI (or delegate) will ensure</w:t>
      </w:r>
      <w:r w:rsidR="00D81A4E">
        <w:t xml:space="preserve"> that</w:t>
      </w:r>
      <w:r>
        <w:t xml:space="preserve"> valid informed c</w:t>
      </w:r>
      <w:r w:rsidR="008A6E15">
        <w:t xml:space="preserve">onsent </w:t>
      </w:r>
      <w:r>
        <w:t>is</w:t>
      </w:r>
      <w:r w:rsidR="008A6E15">
        <w:t xml:space="preserve"> </w:t>
      </w:r>
      <w:r>
        <w:t>received</w:t>
      </w:r>
      <w:r w:rsidR="008A6E15">
        <w:t xml:space="preserve"> from the participant</w:t>
      </w:r>
      <w:r w:rsidR="00EB0E56">
        <w:t xml:space="preserve"> prior to the procedure being carried out</w:t>
      </w:r>
      <w:r w:rsidR="008A6E15">
        <w:t>.</w:t>
      </w:r>
    </w:p>
    <w:p w14:paraId="6315FC42" w14:textId="77777777" w:rsidR="008A6E15" w:rsidRDefault="008A6E15" w:rsidP="008A6E15">
      <w:pPr>
        <w:pStyle w:val="bullet2"/>
      </w:pPr>
      <w:r>
        <w:t xml:space="preserve">See </w:t>
      </w:r>
      <w:bookmarkStart w:id="23" w:name="_Hlk150266212"/>
      <w:r w:rsidRPr="00C02803">
        <w:rPr>
          <w:rStyle w:val="ReferencestootherSOPsQCDsChar"/>
        </w:rPr>
        <w:t>Participant Engagement and Informed Consent (UoB-PEI-SOP-001)</w:t>
      </w:r>
      <w:r>
        <w:t xml:space="preserve"> </w:t>
      </w:r>
      <w:bookmarkEnd w:id="23"/>
      <w:r>
        <w:t>for further details and instructions.</w:t>
      </w:r>
    </w:p>
    <w:p w14:paraId="373EA348" w14:textId="4F9FDBD2" w:rsidR="00EB0E56" w:rsidRDefault="00EB0E56" w:rsidP="0025738F">
      <w:pPr>
        <w:pStyle w:val="bullet2"/>
      </w:pPr>
      <w:r>
        <w:t>As part of the consent</w:t>
      </w:r>
      <w:r w:rsidR="00DB6C3A">
        <w:t xml:space="preserve"> </w:t>
      </w:r>
      <w:r>
        <w:t>process</w:t>
      </w:r>
      <w:r w:rsidR="00D81A4E">
        <w:t>,</w:t>
      </w:r>
      <w:r>
        <w:t xml:space="preserve"> the</w:t>
      </w:r>
      <w:r w:rsidR="008A6E15">
        <w:t xml:space="preserve"> participant will be made aware of </w:t>
      </w:r>
      <w:r w:rsidR="00D2210E">
        <w:t xml:space="preserve">and acknowledge their understanding of </w:t>
      </w:r>
      <w:r w:rsidR="008A6E15">
        <w:t>the potential risks associated with th</w:t>
      </w:r>
      <w:r>
        <w:t>e biopsy procedure</w:t>
      </w:r>
      <w:r w:rsidR="008A6E15">
        <w:t xml:space="preserve">. </w:t>
      </w:r>
      <w:r w:rsidR="008A6E15" w:rsidRPr="00BF4E95">
        <w:t>See</w:t>
      </w:r>
      <w:r w:rsidR="008A6E15" w:rsidRPr="00C02803">
        <w:rPr>
          <w:rStyle w:val="ReferencestootherSOPsQCDsChar"/>
        </w:rPr>
        <w:t xml:space="preserve"> </w:t>
      </w:r>
      <w:bookmarkStart w:id="24" w:name="_Hlk150266258"/>
      <w:r w:rsidR="008A6E15" w:rsidRPr="00C02803">
        <w:rPr>
          <w:rStyle w:val="ReferencestootherSOPsQCDsChar"/>
        </w:rPr>
        <w:t>Biopsy Information Sheet (UoB-</w:t>
      </w:r>
      <w:r w:rsidR="00631900">
        <w:rPr>
          <w:rStyle w:val="ReferencestootherSOPsQCDsChar"/>
        </w:rPr>
        <w:t>SMB</w:t>
      </w:r>
      <w:r w:rsidR="008A6E15" w:rsidRPr="00C02803">
        <w:rPr>
          <w:rStyle w:val="ReferencestootherSOPsQCDsChar"/>
        </w:rPr>
        <w:t>-QCD-005)</w:t>
      </w:r>
      <w:r w:rsidR="008A6E15">
        <w:t xml:space="preserve"> </w:t>
      </w:r>
      <w:bookmarkEnd w:id="24"/>
      <w:r w:rsidR="008A6E15">
        <w:t>for further details and guidance.</w:t>
      </w:r>
      <w:r w:rsidR="002C1BA1">
        <w:t xml:space="preserve"> </w:t>
      </w:r>
      <w:r w:rsidR="006E3759">
        <w:t xml:space="preserve"> </w:t>
      </w:r>
    </w:p>
    <w:p w14:paraId="6FF816CA" w14:textId="1549837C" w:rsidR="008C249E" w:rsidRDefault="008C249E" w:rsidP="008C249E">
      <w:pPr>
        <w:pStyle w:val="Heading2"/>
      </w:pPr>
      <w:r>
        <w:t>Biopsy collection and participant care</w:t>
      </w:r>
    </w:p>
    <w:p w14:paraId="1B8F49CF" w14:textId="6C9E810D" w:rsidR="008C249E" w:rsidRDefault="008C249E" w:rsidP="008C249E">
      <w:pPr>
        <w:pStyle w:val="Numberlist"/>
        <w:numPr>
          <w:ilvl w:val="0"/>
          <w:numId w:val="12"/>
        </w:numPr>
        <w:ind w:left="340" w:hanging="340"/>
      </w:pPr>
      <w:r>
        <w:t xml:space="preserve">The technician will perform the procedure using </w:t>
      </w:r>
      <w:r w:rsidR="008828F5">
        <w:t>appropriate PPE</w:t>
      </w:r>
      <w:r w:rsidR="00673283">
        <w:t xml:space="preserve"> (including</w:t>
      </w:r>
      <w:r w:rsidR="008828F5">
        <w:t xml:space="preserve"> </w:t>
      </w:r>
      <w:r>
        <w:t xml:space="preserve">sterile </w:t>
      </w:r>
      <w:r w:rsidR="008828F5">
        <w:t>surgical gloves</w:t>
      </w:r>
      <w:r w:rsidR="00673283">
        <w:t xml:space="preserve"> and gown)</w:t>
      </w:r>
      <w:r>
        <w:t xml:space="preserve">. Where required, a sterile field/surface will be created to store sterile equipment and consumables for the biopsy procedure. </w:t>
      </w:r>
    </w:p>
    <w:p w14:paraId="630F3894" w14:textId="7F809417" w:rsidR="008C249E" w:rsidRDefault="008C249E" w:rsidP="008C249E">
      <w:pPr>
        <w:pStyle w:val="Numberlist"/>
        <w:numPr>
          <w:ilvl w:val="0"/>
          <w:numId w:val="12"/>
        </w:numPr>
        <w:ind w:left="340" w:hanging="340"/>
      </w:pPr>
      <w:r>
        <w:t>Where applicable, the assistant will open sterile packaging without touching the contents to ensure</w:t>
      </w:r>
      <w:r w:rsidR="00D81A4E">
        <w:t xml:space="preserve"> that</w:t>
      </w:r>
      <w:r>
        <w:t xml:space="preserve"> only the technician is in contact with the sterile equipment and consumables.</w:t>
      </w:r>
    </w:p>
    <w:p w14:paraId="0CCE8C2F" w14:textId="77777777" w:rsidR="00DC387F" w:rsidRDefault="008C249E" w:rsidP="00A4574C">
      <w:pPr>
        <w:pStyle w:val="Numberlist"/>
        <w:numPr>
          <w:ilvl w:val="0"/>
          <w:numId w:val="12"/>
        </w:numPr>
        <w:ind w:left="340" w:hanging="340"/>
      </w:pPr>
      <w:r>
        <w:t xml:space="preserve">During the biopsy procedure, the technician will change to a new needle between drawing up and administrating a solution/drug (such as the local anaesthetic) to the participant. </w:t>
      </w:r>
      <w:r w:rsidR="00D81A4E">
        <w:t>Needles must not be re-sheathed.</w:t>
      </w:r>
    </w:p>
    <w:p w14:paraId="3EFA4A31" w14:textId="31EA74B6" w:rsidR="008C249E" w:rsidRPr="009230D8" w:rsidRDefault="008C249E" w:rsidP="00A4574C">
      <w:pPr>
        <w:pStyle w:val="Numberlist"/>
        <w:numPr>
          <w:ilvl w:val="0"/>
          <w:numId w:val="12"/>
        </w:numPr>
        <w:ind w:left="340" w:hanging="340"/>
      </w:pPr>
      <w:r>
        <w:t xml:space="preserve">Once the biopsy sample has been taken, the technician will transfer the sample to the assistant for processing. In the event that an inadequate sample has been obtained, the technician will seek verbal </w:t>
      </w:r>
      <w:r>
        <w:lastRenderedPageBreak/>
        <w:t xml:space="preserve">consent from the participant to take an additional biopsy sample from the same </w:t>
      </w:r>
      <w:r w:rsidRPr="009230D8">
        <w:t>incision and</w:t>
      </w:r>
      <w:r w:rsidR="002F7BC8">
        <w:t xml:space="preserve"> will record this when documenting details of the biopsy procedure. </w:t>
      </w:r>
      <w:r>
        <w:t>see</w:t>
      </w:r>
      <w:r w:rsidRPr="009230D8">
        <w:t xml:space="preserve"> </w:t>
      </w:r>
      <w:r w:rsidRPr="009230D8">
        <w:rPr>
          <w:rStyle w:val="ReferencestootherSOPsQCDsChar"/>
        </w:rPr>
        <w:t>Biopsy Record Form</w:t>
      </w:r>
      <w:r>
        <w:rPr>
          <w:rStyle w:val="ReferencestootherSOPsQCDsChar"/>
        </w:rPr>
        <w:t xml:space="preserve"> (</w:t>
      </w:r>
      <w:r w:rsidRPr="009230D8">
        <w:rPr>
          <w:rStyle w:val="ReferencestootherSOPsQCDsChar"/>
        </w:rPr>
        <w:t>UoB-SMB-QCD-00</w:t>
      </w:r>
      <w:r>
        <w:rPr>
          <w:rStyle w:val="ReferencestootherSOPsQCDsChar"/>
        </w:rPr>
        <w:t>4)</w:t>
      </w:r>
      <w:r w:rsidRPr="00C24E0B">
        <w:t>)</w:t>
      </w:r>
      <w:r w:rsidRPr="009230D8">
        <w:t>.</w:t>
      </w:r>
    </w:p>
    <w:p w14:paraId="22FD0ED9" w14:textId="77777777" w:rsidR="008C249E" w:rsidRPr="009230D8" w:rsidRDefault="008C249E" w:rsidP="008C249E">
      <w:pPr>
        <w:pStyle w:val="Numberlist"/>
        <w:numPr>
          <w:ilvl w:val="0"/>
          <w:numId w:val="12"/>
        </w:numPr>
        <w:ind w:left="340" w:hanging="340"/>
      </w:pPr>
      <w:r w:rsidRPr="009230D8">
        <w:t xml:space="preserve">Where multiple biopsies are required from separate incisions, the </w:t>
      </w:r>
      <w:r>
        <w:t>technician</w:t>
      </w:r>
      <w:r w:rsidRPr="009230D8">
        <w:t xml:space="preserve"> will perform the</w:t>
      </w:r>
      <w:r>
        <w:t xml:space="preserve"> biopsy</w:t>
      </w:r>
      <w:r w:rsidRPr="009230D8">
        <w:t xml:space="preserve"> using a new (different) sterile biopsy needle. </w:t>
      </w:r>
    </w:p>
    <w:p w14:paraId="612F5486" w14:textId="05EED14D" w:rsidR="008C249E" w:rsidRDefault="008C249E" w:rsidP="008C249E">
      <w:pPr>
        <w:pStyle w:val="Numberlist"/>
        <w:numPr>
          <w:ilvl w:val="0"/>
          <w:numId w:val="12"/>
        </w:numPr>
        <w:ind w:left="340" w:hanging="340"/>
      </w:pPr>
      <w:r>
        <w:t>The CI (or delegate) will provide the participant with both verbal and written aftercare instructions and advice</w:t>
      </w:r>
      <w:r w:rsidR="003E3A05" w:rsidRPr="003E3A05">
        <w:t xml:space="preserve"> </w:t>
      </w:r>
      <w:r w:rsidR="003E3A05">
        <w:t>as well as any supplies required.</w:t>
      </w:r>
      <w:r>
        <w:t xml:space="preserve"> This will include contact details should any issues/questions arise and any necessary consumables (such as replacement plasters and bandages). </w:t>
      </w:r>
    </w:p>
    <w:p w14:paraId="6FCA93A2" w14:textId="42CBEA88" w:rsidR="008C249E" w:rsidRDefault="008C249E" w:rsidP="008C249E">
      <w:pPr>
        <w:pStyle w:val="Numberlist"/>
        <w:numPr>
          <w:ilvl w:val="0"/>
          <w:numId w:val="12"/>
        </w:numPr>
        <w:ind w:left="340" w:hanging="340"/>
      </w:pPr>
      <w:r>
        <w:t xml:space="preserve">The CI (or delegate) will ensure </w:t>
      </w:r>
      <w:r w:rsidR="00952F7E">
        <w:t xml:space="preserve">that </w:t>
      </w:r>
      <w:r w:rsidR="00DB6C3A">
        <w:t xml:space="preserve">the </w:t>
      </w:r>
      <w:r w:rsidRPr="00AC559B">
        <w:t>UoB procedures for waste storage, collection and disposal</w:t>
      </w:r>
      <w:r>
        <w:t xml:space="preserve"> are followed.</w:t>
      </w:r>
    </w:p>
    <w:p w14:paraId="498EB0D3" w14:textId="77777777" w:rsidR="008C249E" w:rsidRDefault="008C249E" w:rsidP="008C249E">
      <w:pPr>
        <w:pStyle w:val="Heading2"/>
      </w:pPr>
      <w:r>
        <w:t>Archiving</w:t>
      </w:r>
    </w:p>
    <w:p w14:paraId="02227BFA" w14:textId="650F8AAC" w:rsidR="008C249E" w:rsidRDefault="008C249E" w:rsidP="008C249E">
      <w:pPr>
        <w:pStyle w:val="Numberlist"/>
        <w:numPr>
          <w:ilvl w:val="0"/>
          <w:numId w:val="12"/>
        </w:numPr>
        <w:ind w:left="340" w:hanging="340"/>
      </w:pPr>
      <w:r>
        <w:t>The CI (or delegate) will archive</w:t>
      </w:r>
      <w:r w:rsidR="00DF6A10">
        <w:t xml:space="preserve"> material</w:t>
      </w:r>
      <w:r>
        <w:t xml:space="preserve"> relating to the biopsy processes with the study/trial master file at the end of the project. See also the </w:t>
      </w:r>
      <w:bookmarkStart w:id="25" w:name="_Hlk121996855"/>
      <w:bookmarkStart w:id="26" w:name="_Hlk150266478"/>
      <w:r w:rsidRPr="00B6408C">
        <w:rPr>
          <w:rStyle w:val="ReferencestootherSOPsQCDsChar"/>
        </w:rPr>
        <w:t>Archiving SOP (UoB-ARC-SOP-001)</w:t>
      </w:r>
      <w:bookmarkEnd w:id="25"/>
      <w:r>
        <w:t xml:space="preserve"> </w:t>
      </w:r>
      <w:bookmarkEnd w:id="26"/>
      <w:r>
        <w:t xml:space="preserve">for further information. </w:t>
      </w:r>
    </w:p>
    <w:p w14:paraId="7FFAD9D1" w14:textId="23D5C610" w:rsidR="00692DFA" w:rsidRPr="00435EAE" w:rsidRDefault="00692DFA">
      <w:pPr>
        <w:pStyle w:val="Heading1"/>
      </w:pPr>
      <w:r w:rsidRPr="00435EAE">
        <w:t>List of expected outputs</w:t>
      </w:r>
    </w:p>
    <w:p w14:paraId="55832961" w14:textId="77777777" w:rsidR="008C249E" w:rsidRDefault="008C249E" w:rsidP="008C249E">
      <w:pPr>
        <w:pStyle w:val="bullet1"/>
        <w:numPr>
          <w:ilvl w:val="0"/>
          <w:numId w:val="3"/>
        </w:numPr>
        <w:ind w:left="340" w:hanging="340"/>
      </w:pPr>
      <w:r>
        <w:t>Evidence of appropriate staff training.</w:t>
      </w:r>
    </w:p>
    <w:p w14:paraId="23D741C9" w14:textId="0B025927" w:rsidR="008C249E" w:rsidRDefault="008C249E" w:rsidP="008C249E">
      <w:pPr>
        <w:pStyle w:val="bullet1"/>
        <w:numPr>
          <w:ilvl w:val="0"/>
          <w:numId w:val="3"/>
        </w:numPr>
        <w:ind w:left="340" w:hanging="340"/>
      </w:pPr>
      <w:r>
        <w:t>For</w:t>
      </w:r>
      <w:bookmarkStart w:id="27" w:name="_Hlk144458828"/>
      <w:r w:rsidR="003E3A05">
        <w:t xml:space="preserve"> technicians, not medically trained, who are</w:t>
      </w:r>
      <w:r>
        <w:t xml:space="preserve"> </w:t>
      </w:r>
      <w:bookmarkEnd w:id="27"/>
      <w:r>
        <w:t>performing the biopsy, evidence of:</w:t>
      </w:r>
    </w:p>
    <w:p w14:paraId="140383CE" w14:textId="2E65FE43" w:rsidR="008C249E" w:rsidRDefault="008C249E" w:rsidP="008C249E">
      <w:pPr>
        <w:pStyle w:val="bullet2"/>
      </w:pPr>
      <w:r>
        <w:t>biopsies being performed under appropriate supervision, or</w:t>
      </w:r>
      <w:r w:rsidR="00952F7E">
        <w:t>,</w:t>
      </w:r>
      <w:r>
        <w:t xml:space="preserve"> where the technician is trained</w:t>
      </w:r>
      <w:r w:rsidR="00952F7E">
        <w:t>,</w:t>
      </w:r>
      <w:r>
        <w:t xml:space="preserve"> authorisation has been obtained via the </w:t>
      </w:r>
      <w:r w:rsidRPr="00521AD3">
        <w:rPr>
          <w:rStyle w:val="ReferencestootherSOPsQCDsChar"/>
        </w:rPr>
        <w:t>Biopsy Sampling Permission Form</w:t>
      </w:r>
      <w:r>
        <w:rPr>
          <w:rStyle w:val="ReferencestootherSOPsQCDsChar"/>
        </w:rPr>
        <w:t xml:space="preserve"> (</w:t>
      </w:r>
      <w:r w:rsidRPr="00521AD3">
        <w:rPr>
          <w:rStyle w:val="ReferencestootherSOPsQCDsChar"/>
        </w:rPr>
        <w:t>UoB-SMB-QCD-002</w:t>
      </w:r>
      <w:r>
        <w:rPr>
          <w:rStyle w:val="ReferencestootherSOPsQCDsChar"/>
        </w:rPr>
        <w:t>)</w:t>
      </w:r>
      <w:r>
        <w:t xml:space="preserve"> </w:t>
      </w:r>
    </w:p>
    <w:p w14:paraId="65E429C2" w14:textId="77777777" w:rsidR="008C249E" w:rsidRDefault="008C249E" w:rsidP="008C249E">
      <w:pPr>
        <w:pStyle w:val="bullet2"/>
      </w:pPr>
      <w:r>
        <w:t>6-montly reports provided to the medical supervisor.</w:t>
      </w:r>
    </w:p>
    <w:p w14:paraId="7D22F2F4" w14:textId="5A327A1F" w:rsidR="008C249E" w:rsidRDefault="008C249E" w:rsidP="008C249E">
      <w:pPr>
        <w:pStyle w:val="bullet1"/>
        <w:numPr>
          <w:ilvl w:val="0"/>
          <w:numId w:val="3"/>
        </w:numPr>
        <w:ind w:left="340" w:hanging="340"/>
      </w:pPr>
      <w:r>
        <w:t>Evidence of a documented process for performing</w:t>
      </w:r>
      <w:r w:rsidR="00EB144F">
        <w:t xml:space="preserve"> a</w:t>
      </w:r>
      <w:r>
        <w:t xml:space="preserve"> biopsy and minimising the risk to the participant.</w:t>
      </w:r>
    </w:p>
    <w:p w14:paraId="40CF8808" w14:textId="48416D9F" w:rsidR="008C249E" w:rsidRDefault="008C249E" w:rsidP="008C249E">
      <w:pPr>
        <w:pStyle w:val="bullet1"/>
        <w:numPr>
          <w:ilvl w:val="0"/>
          <w:numId w:val="3"/>
        </w:numPr>
        <w:ind w:left="340" w:hanging="340"/>
      </w:pPr>
      <w:r>
        <w:t>Evidence of a documented process for t</w:t>
      </w:r>
      <w:r w:rsidRPr="000B68AB">
        <w:t>he purchase, receipt, storage and use of the local anaesthetic</w:t>
      </w:r>
      <w:r>
        <w:t>.</w:t>
      </w:r>
    </w:p>
    <w:p w14:paraId="74A26B74" w14:textId="5C60073D" w:rsidR="008C249E" w:rsidRDefault="008C249E" w:rsidP="008C249E">
      <w:pPr>
        <w:pStyle w:val="bullet1"/>
        <w:numPr>
          <w:ilvl w:val="0"/>
          <w:numId w:val="3"/>
        </w:numPr>
        <w:ind w:left="340" w:hanging="340"/>
      </w:pPr>
      <w:r>
        <w:t xml:space="preserve">Where appropriate, evidence of the process for </w:t>
      </w:r>
      <w:r w:rsidR="00DB6C3A">
        <w:t xml:space="preserve">the </w:t>
      </w:r>
      <w:r w:rsidRPr="000B68AB">
        <w:t>decontamination and sterilisation of equipment.</w:t>
      </w:r>
    </w:p>
    <w:p w14:paraId="44F8EF8C" w14:textId="27D603F6" w:rsidR="00A5391E" w:rsidRDefault="00DB6C3A" w:rsidP="00D720D5">
      <w:pPr>
        <w:pStyle w:val="bullet1"/>
        <w:numPr>
          <w:ilvl w:val="0"/>
          <w:numId w:val="3"/>
        </w:numPr>
        <w:ind w:left="340" w:hanging="340"/>
      </w:pPr>
      <w:r>
        <w:t xml:space="preserve">Evidence of </w:t>
      </w:r>
      <w:r w:rsidR="00775A9C">
        <w:t xml:space="preserve">the </w:t>
      </w:r>
      <w:r w:rsidR="008C249E" w:rsidRPr="00AC559B">
        <w:t xml:space="preserve">UoB processes for waste storage, collection and disposal </w:t>
      </w:r>
      <w:r w:rsidR="00775A9C">
        <w:t xml:space="preserve">being </w:t>
      </w:r>
      <w:r w:rsidR="008C249E" w:rsidRPr="00AC559B">
        <w:t>followed</w:t>
      </w:r>
      <w:r w:rsidR="008C249E">
        <w:t>.</w:t>
      </w:r>
    </w:p>
    <w:p w14:paraId="1D0AA1EE" w14:textId="5B1C28C8" w:rsidR="007B4836" w:rsidRDefault="007B4836">
      <w:pPr>
        <w:pStyle w:val="Heading1"/>
      </w:pPr>
      <w:r w:rsidRPr="006561C0">
        <w:t>Related</w:t>
      </w:r>
      <w:r>
        <w:t xml:space="preserve"> documents</w:t>
      </w:r>
      <w:bookmarkEnd w:id="5"/>
    </w:p>
    <w:p w14:paraId="04A986AC" w14:textId="533B32AE" w:rsidR="00631900" w:rsidRPr="00631900" w:rsidRDefault="00631900" w:rsidP="008C249E">
      <w:pPr>
        <w:pStyle w:val="bullet1"/>
        <w:rPr>
          <w:i/>
          <w:iCs/>
        </w:rPr>
      </w:pPr>
      <w:r w:rsidRPr="00631900">
        <w:rPr>
          <w:rStyle w:val="ReferencestootherSOPsQCDsChar"/>
          <w:i w:val="0"/>
          <w:iCs w:val="0"/>
          <w:color w:val="auto"/>
        </w:rPr>
        <w:t>UoB-AES-SOP-001</w:t>
      </w:r>
      <w:r w:rsidRPr="00631900">
        <w:rPr>
          <w:rStyle w:val="ReferencestootherSOPsQCDsChar"/>
          <w:rFonts w:eastAsiaTheme="minorHAnsi"/>
          <w:i w:val="0"/>
          <w:iCs w:val="0"/>
          <w:color w:val="auto"/>
        </w:rPr>
        <w:t xml:space="preserve"> </w:t>
      </w:r>
      <w:r w:rsidRPr="00631900">
        <w:rPr>
          <w:rStyle w:val="ReferencestootherSOPsQCDsChar"/>
          <w:i w:val="0"/>
          <w:iCs w:val="0"/>
          <w:color w:val="auto"/>
        </w:rPr>
        <w:t>Adverse Event Reporting</w:t>
      </w:r>
    </w:p>
    <w:p w14:paraId="662FBF31" w14:textId="6DB2EFE1" w:rsidR="00631900" w:rsidRDefault="00631900" w:rsidP="008C249E">
      <w:pPr>
        <w:pStyle w:val="bullet1"/>
      </w:pPr>
      <w:r>
        <w:t>UoB-ARC-SOP-001 Archiving</w:t>
      </w:r>
    </w:p>
    <w:p w14:paraId="50C6B801" w14:textId="77777777" w:rsidR="00631900" w:rsidRDefault="00631900" w:rsidP="008C249E">
      <w:pPr>
        <w:pStyle w:val="bullet1"/>
      </w:pPr>
      <w:r>
        <w:t>UoB-CQM-POL-001 Clinical Research Quality Manual</w:t>
      </w:r>
    </w:p>
    <w:p w14:paraId="728DEC35" w14:textId="77777777" w:rsidR="00631900" w:rsidRDefault="00631900" w:rsidP="008C249E">
      <w:pPr>
        <w:pStyle w:val="bullet1"/>
      </w:pPr>
      <w:r>
        <w:t>UoB-CRL-QCD-006 Housekeeping Schedule</w:t>
      </w:r>
    </w:p>
    <w:p w14:paraId="49AB9208" w14:textId="77777777" w:rsidR="00631900" w:rsidRDefault="00631900" w:rsidP="008C249E">
      <w:pPr>
        <w:pStyle w:val="bullet1"/>
      </w:pPr>
      <w:r>
        <w:t>UoB-CRL-SOP-003 Sample Management</w:t>
      </w:r>
    </w:p>
    <w:p w14:paraId="560E2295" w14:textId="77777777" w:rsidR="00631900" w:rsidRDefault="00631900" w:rsidP="008C249E">
      <w:pPr>
        <w:pStyle w:val="bullet1"/>
      </w:pPr>
      <w:r>
        <w:t>UoB-DSB-SOP-001 Deviations and Serious Breach Reporting</w:t>
      </w:r>
    </w:p>
    <w:p w14:paraId="77519A9F" w14:textId="0684311D" w:rsidR="00631900" w:rsidRDefault="00631900" w:rsidP="008C249E">
      <w:pPr>
        <w:pStyle w:val="bullet1"/>
      </w:pPr>
      <w:r>
        <w:t>UoB-GCP-POL-001 UoB Principles of Good Clinical Practice (GCP) for Clinical Research</w:t>
      </w:r>
    </w:p>
    <w:p w14:paraId="10A5C691" w14:textId="77777777" w:rsidR="00631900" w:rsidRDefault="00631900" w:rsidP="008C249E">
      <w:pPr>
        <w:pStyle w:val="bullet1"/>
      </w:pPr>
      <w:r>
        <w:t>UoB-PEI-SOP-001 Participant Engagement and Informed Consent</w:t>
      </w:r>
    </w:p>
    <w:p w14:paraId="42BF6571" w14:textId="77777777" w:rsidR="00631900" w:rsidRDefault="00631900" w:rsidP="008C249E">
      <w:pPr>
        <w:pStyle w:val="bullet1"/>
      </w:pPr>
      <w:r>
        <w:t>UoB-POS-SOP-001 Project Oversight and Quality Management</w:t>
      </w:r>
    </w:p>
    <w:p w14:paraId="43A385CE" w14:textId="77777777" w:rsidR="00631900" w:rsidRDefault="00631900" w:rsidP="008C249E">
      <w:pPr>
        <w:pStyle w:val="bullet1"/>
      </w:pPr>
      <w:r>
        <w:t>UoB-SMB-QCD-001 Biopsy Training Programme and Record</w:t>
      </w:r>
    </w:p>
    <w:p w14:paraId="7350FCEF" w14:textId="77777777" w:rsidR="00631900" w:rsidRDefault="00631900" w:rsidP="008C249E">
      <w:pPr>
        <w:pStyle w:val="bullet1"/>
      </w:pPr>
      <w:r>
        <w:t>UoB-SMB-QCD-002 Biopsy Sampling Permission Form</w:t>
      </w:r>
    </w:p>
    <w:p w14:paraId="05045982" w14:textId="77777777" w:rsidR="00631900" w:rsidRDefault="00631900" w:rsidP="008C249E">
      <w:pPr>
        <w:pStyle w:val="bullet1"/>
      </w:pPr>
      <w:r>
        <w:t>UoB-SMB-QCD-003 Anaesthetic Stock Control Form</w:t>
      </w:r>
    </w:p>
    <w:p w14:paraId="12EA8D4C" w14:textId="77777777" w:rsidR="00631900" w:rsidRDefault="00631900" w:rsidP="008C249E">
      <w:pPr>
        <w:pStyle w:val="bullet1"/>
      </w:pPr>
      <w:r>
        <w:t>UoB-SMB-QCD-004 Biopsy Record Form</w:t>
      </w:r>
    </w:p>
    <w:p w14:paraId="4B3B5182" w14:textId="77777777" w:rsidR="00631900" w:rsidRDefault="00631900" w:rsidP="007A2116">
      <w:pPr>
        <w:pStyle w:val="bullet1"/>
      </w:pPr>
      <w:r>
        <w:t>UoB-SMB-QCD-005 Biopsy Information Sheet</w:t>
      </w:r>
    </w:p>
    <w:p w14:paraId="3DB2CB35" w14:textId="77777777" w:rsidR="00631900" w:rsidRDefault="00631900" w:rsidP="008C249E">
      <w:pPr>
        <w:pStyle w:val="bullet1"/>
      </w:pPr>
      <w:r w:rsidRPr="001269DD">
        <w:t>UoB-</w:t>
      </w:r>
      <w:r>
        <w:t>SPO</w:t>
      </w:r>
      <w:r w:rsidRPr="001269DD">
        <w:t>-QCD-00</w:t>
      </w:r>
      <w:r>
        <w:t>1</w:t>
      </w:r>
      <w:r w:rsidRPr="001269DD">
        <w:t xml:space="preserve"> Clinical Trial</w:t>
      </w:r>
      <w:r>
        <w:t>s</w:t>
      </w:r>
      <w:r w:rsidRPr="001269DD">
        <w:t xml:space="preserve"> Task Delegation Log</w:t>
      </w:r>
    </w:p>
    <w:p w14:paraId="0F2A8813" w14:textId="77777777" w:rsidR="00631900" w:rsidRDefault="00631900" w:rsidP="007A2116">
      <w:pPr>
        <w:pStyle w:val="bullet1"/>
      </w:pPr>
      <w:r>
        <w:t>UoB-TRN-SOP-001 Training</w:t>
      </w:r>
    </w:p>
    <w:p w14:paraId="2F2F6448" w14:textId="3F814EE7" w:rsidR="00FA2705" w:rsidRDefault="007A2116" w:rsidP="00DA19A3">
      <w:pPr>
        <w:rPr>
          <w:lang w:eastAsia="en-GB"/>
        </w:rPr>
      </w:pPr>
      <w:bookmarkStart w:id="28" w:name="_Hlk129872723"/>
      <w:r>
        <w:t xml:space="preserve">Access to the full UoB QMS for clinical research is available via the </w:t>
      </w:r>
      <w:hyperlink r:id="rId13" w:tooltip="Website for the Clinical Research Compliance Team" w:history="1">
        <w:r>
          <w:rPr>
            <w:rStyle w:val="Hyperlink"/>
            <w:lang w:eastAsia="en-GB"/>
          </w:rPr>
          <w:t>CRCT website</w:t>
        </w:r>
      </w:hyperlink>
      <w:r>
        <w:rPr>
          <w:lang w:eastAsia="en-GB"/>
        </w:rPr>
        <w:t>.</w:t>
      </w:r>
      <w:bookmarkEnd w:id="28"/>
    </w:p>
    <w:p w14:paraId="4826D83A" w14:textId="6255653F" w:rsidR="007B4836" w:rsidRDefault="007B4836">
      <w:pPr>
        <w:pStyle w:val="Heading1"/>
      </w:pPr>
      <w:r w:rsidRPr="005D17F6">
        <w:t>References</w:t>
      </w:r>
      <w:r w:rsidR="005F0420">
        <w:t xml:space="preserve"> and </w:t>
      </w:r>
      <w:r w:rsidR="00FF6CB2">
        <w:t>f</w:t>
      </w:r>
      <w:r w:rsidR="005F0420">
        <w:t>rameworks</w:t>
      </w:r>
      <w:r>
        <w:t xml:space="preserve"> </w:t>
      </w:r>
    </w:p>
    <w:p w14:paraId="1541FA25" w14:textId="488A6C65" w:rsidR="008C249E" w:rsidRDefault="008C249E" w:rsidP="008C249E">
      <w:pPr>
        <w:pStyle w:val="bullet1"/>
      </w:pPr>
      <w:r w:rsidRPr="00335E69">
        <w:t xml:space="preserve">UoB </w:t>
      </w:r>
      <w:r>
        <w:t>h</w:t>
      </w:r>
      <w:r w:rsidRPr="00335E69">
        <w:t xml:space="preserve">ealth and </w:t>
      </w:r>
      <w:r>
        <w:t>s</w:t>
      </w:r>
      <w:r w:rsidRPr="00335E69">
        <w:t xml:space="preserve">afety </w:t>
      </w:r>
      <w:r>
        <w:t>p</w:t>
      </w:r>
      <w:r w:rsidRPr="00335E69">
        <w:t xml:space="preserve">olicies and </w:t>
      </w:r>
      <w:r>
        <w:t>g</w:t>
      </w:r>
      <w:r w:rsidRPr="00335E69">
        <w:t xml:space="preserve">uidance for </w:t>
      </w:r>
      <w:r>
        <w:t>b</w:t>
      </w:r>
      <w:r w:rsidRPr="00335E69">
        <w:t xml:space="preserve">iological </w:t>
      </w:r>
      <w:r>
        <w:t>s</w:t>
      </w:r>
      <w:r w:rsidRPr="00335E69">
        <w:t>afety</w:t>
      </w:r>
      <w:r w:rsidR="00EC26A5">
        <w:t xml:space="preserve"> (UoB login required)</w:t>
      </w:r>
      <w:r>
        <w:t xml:space="preserve">: </w:t>
      </w:r>
      <w:hyperlink r:id="rId14" w:tooltip="UoB H&amp;S policies &amp; guidance for biological safety " w:history="1">
        <w:r w:rsidR="00EC26A5" w:rsidRPr="00967059">
          <w:rPr>
            <w:rStyle w:val="Hyperlink"/>
          </w:rPr>
          <w:t>https://bham.sharepoint.com/sites/SafetyServices/SitePages/biologicalsafety.aspx</w:t>
        </w:r>
      </w:hyperlink>
      <w:r w:rsidR="00EC26A5">
        <w:t xml:space="preserve"> </w:t>
      </w:r>
    </w:p>
    <w:p w14:paraId="1577759C" w14:textId="6B7462ED" w:rsidR="00110971" w:rsidRDefault="008C249E" w:rsidP="00D720D5">
      <w:pPr>
        <w:pStyle w:val="bullet1"/>
      </w:pPr>
      <w:r w:rsidRPr="00335E69">
        <w:lastRenderedPageBreak/>
        <w:t xml:space="preserve">UoB </w:t>
      </w:r>
      <w:r>
        <w:t>h</w:t>
      </w:r>
      <w:r w:rsidRPr="00335E69">
        <w:t xml:space="preserve">ealth and </w:t>
      </w:r>
      <w:r>
        <w:t>s</w:t>
      </w:r>
      <w:r w:rsidRPr="00335E69">
        <w:t xml:space="preserve">afety </w:t>
      </w:r>
      <w:r>
        <w:t>p</w:t>
      </w:r>
      <w:r w:rsidRPr="00335E69">
        <w:t xml:space="preserve">olicies and </w:t>
      </w:r>
      <w:r>
        <w:t>g</w:t>
      </w:r>
      <w:r w:rsidRPr="00335E69">
        <w:t xml:space="preserve">uidance for </w:t>
      </w:r>
      <w:r>
        <w:t>h</w:t>
      </w:r>
      <w:r w:rsidRPr="00335E69">
        <w:t xml:space="preserve">azardous </w:t>
      </w:r>
      <w:r>
        <w:t>s</w:t>
      </w:r>
      <w:r w:rsidRPr="00335E69">
        <w:t>ubstances</w:t>
      </w:r>
      <w:r w:rsidR="00EC26A5">
        <w:t xml:space="preserve"> (UoB login required)</w:t>
      </w:r>
      <w:r>
        <w:t>:</w:t>
      </w:r>
      <w:r w:rsidR="00EC26A5">
        <w:t xml:space="preserve"> </w:t>
      </w:r>
      <w:hyperlink r:id="rId15" w:tooltip="UoB H&amp;S policies and guidance for hazardous substances" w:history="1">
        <w:r w:rsidR="00EC26A5" w:rsidRPr="00967059">
          <w:rPr>
            <w:rStyle w:val="Hyperlink"/>
          </w:rPr>
          <w:t>https://bham.sharepoint.com/sites/SafetyServices/SitePages/hazardous.aspx</w:t>
        </w:r>
      </w:hyperlink>
      <w:r w:rsidR="00EC26A5">
        <w:t xml:space="preserve"> </w:t>
      </w:r>
    </w:p>
    <w:p w14:paraId="22E7AA6E" w14:textId="011A094B" w:rsidR="00B10C05" w:rsidRDefault="00B10C05">
      <w:pPr>
        <w:pStyle w:val="Heading1"/>
      </w:pPr>
      <w:r w:rsidRPr="00522ABB">
        <w:t>Abbreviations</w:t>
      </w:r>
      <w:r>
        <w:t xml:space="preserve"> and </w:t>
      </w:r>
      <w:r w:rsidR="00FF6CB2">
        <w:t>d</w:t>
      </w:r>
      <w:r>
        <w:t>efinitions</w:t>
      </w:r>
    </w:p>
    <w:tbl>
      <w:tblPr>
        <w:tblStyle w:val="TableGrid"/>
        <w:tblW w:w="0" w:type="auto"/>
        <w:tblBorders>
          <w:insideH w:val="dotted" w:sz="4" w:space="0" w:color="auto"/>
          <w:insideV w:val="dotted" w:sz="4" w:space="0" w:color="auto"/>
        </w:tblBorders>
        <w:tblLook w:val="04A0" w:firstRow="1" w:lastRow="0" w:firstColumn="1" w:lastColumn="0" w:noHBand="0" w:noVBand="1"/>
        <w:tblCaption w:val="Abbreviations and Definitions"/>
        <w:tblDescription w:val="List of abbreviations and Definitions used in this document."/>
      </w:tblPr>
      <w:tblGrid>
        <w:gridCol w:w="2462"/>
        <w:gridCol w:w="6555"/>
      </w:tblGrid>
      <w:tr w:rsidR="00CC61A6" w14:paraId="5033CEED" w14:textId="77777777" w:rsidTr="008C249E">
        <w:trPr>
          <w:cantSplit/>
          <w:tblHeader/>
        </w:trPr>
        <w:tc>
          <w:tcPr>
            <w:tcW w:w="2462" w:type="dxa"/>
            <w:vAlign w:val="center"/>
          </w:tcPr>
          <w:p w14:paraId="2C81FFC0" w14:textId="77777777" w:rsidR="00CC61A6" w:rsidRPr="003D5BFC" w:rsidRDefault="00CC61A6" w:rsidP="00043513">
            <w:pPr>
              <w:pStyle w:val="Heading2"/>
            </w:pPr>
            <w:r w:rsidRPr="003D5BFC">
              <w:t>Term</w:t>
            </w:r>
          </w:p>
        </w:tc>
        <w:tc>
          <w:tcPr>
            <w:tcW w:w="6555" w:type="dxa"/>
            <w:vAlign w:val="center"/>
          </w:tcPr>
          <w:p w14:paraId="123D2EA9" w14:textId="77777777" w:rsidR="00CC61A6" w:rsidRPr="003D5BFC" w:rsidRDefault="00CC61A6" w:rsidP="00043513">
            <w:pPr>
              <w:pStyle w:val="Heading2"/>
            </w:pPr>
            <w:r w:rsidRPr="003D5BFC">
              <w:t>Description</w:t>
            </w:r>
          </w:p>
        </w:tc>
      </w:tr>
      <w:tr w:rsidR="00AB234B" w14:paraId="7C6C5597" w14:textId="77777777" w:rsidTr="008C249E">
        <w:trPr>
          <w:cantSplit/>
        </w:trPr>
        <w:tc>
          <w:tcPr>
            <w:tcW w:w="2462" w:type="dxa"/>
            <w:vAlign w:val="center"/>
          </w:tcPr>
          <w:p w14:paraId="593E5575" w14:textId="64466AE3" w:rsidR="00AB234B" w:rsidRDefault="00AB234B" w:rsidP="008C249E">
            <w:pPr>
              <w:pStyle w:val="AbbreviationsDefinitionsTerm"/>
            </w:pPr>
            <w:r>
              <w:t>CI</w:t>
            </w:r>
          </w:p>
        </w:tc>
        <w:tc>
          <w:tcPr>
            <w:tcW w:w="6555" w:type="dxa"/>
            <w:vAlign w:val="center"/>
          </w:tcPr>
          <w:p w14:paraId="476157A6" w14:textId="0A9ECF21" w:rsidR="00AB234B" w:rsidRDefault="00AB234B" w:rsidP="008C249E">
            <w:r>
              <w:t xml:space="preserve">Chief </w:t>
            </w:r>
            <w:r w:rsidR="00DB6C3A">
              <w:t>i</w:t>
            </w:r>
            <w:r>
              <w:t>nvestigator</w:t>
            </w:r>
          </w:p>
        </w:tc>
      </w:tr>
      <w:tr w:rsidR="00AB234B" w14:paraId="4EFE9D5C" w14:textId="77777777" w:rsidTr="008C249E">
        <w:trPr>
          <w:cantSplit/>
        </w:trPr>
        <w:tc>
          <w:tcPr>
            <w:tcW w:w="2462" w:type="dxa"/>
            <w:vAlign w:val="center"/>
          </w:tcPr>
          <w:p w14:paraId="238F5CCC" w14:textId="72ADC5DD" w:rsidR="00AB234B" w:rsidRDefault="00AB234B" w:rsidP="008C249E">
            <w:pPr>
              <w:pStyle w:val="AbbreviationsDefinitionsTerm"/>
            </w:pPr>
            <w:r>
              <w:t>CTU</w:t>
            </w:r>
          </w:p>
        </w:tc>
        <w:tc>
          <w:tcPr>
            <w:tcW w:w="6555" w:type="dxa"/>
            <w:vAlign w:val="center"/>
          </w:tcPr>
          <w:p w14:paraId="4DE7C1B2" w14:textId="0596959D" w:rsidR="00AB234B" w:rsidRDefault="00AB234B" w:rsidP="008C249E">
            <w:r>
              <w:t xml:space="preserve">Clinical </w:t>
            </w:r>
            <w:r w:rsidR="00DB6C3A">
              <w:t>t</w:t>
            </w:r>
            <w:r>
              <w:t xml:space="preserve">rials </w:t>
            </w:r>
            <w:r w:rsidR="00DB6C3A">
              <w:t>u</w:t>
            </w:r>
            <w:r>
              <w:t>nit</w:t>
            </w:r>
          </w:p>
        </w:tc>
      </w:tr>
      <w:tr w:rsidR="008C249E" w14:paraId="336FF472" w14:textId="77777777" w:rsidTr="008C249E">
        <w:trPr>
          <w:cantSplit/>
        </w:trPr>
        <w:tc>
          <w:tcPr>
            <w:tcW w:w="2462" w:type="dxa"/>
            <w:vAlign w:val="center"/>
          </w:tcPr>
          <w:p w14:paraId="42FAF5E8" w14:textId="77777777" w:rsidR="008C249E" w:rsidRPr="00043513" w:rsidRDefault="008C249E" w:rsidP="008C249E">
            <w:pPr>
              <w:pStyle w:val="AbbreviationsDefinitionsTerm"/>
            </w:pPr>
            <w:r>
              <w:t>GCP</w:t>
            </w:r>
          </w:p>
        </w:tc>
        <w:tc>
          <w:tcPr>
            <w:tcW w:w="6555" w:type="dxa"/>
            <w:vAlign w:val="center"/>
          </w:tcPr>
          <w:p w14:paraId="30B88FC3" w14:textId="77777777" w:rsidR="008C249E" w:rsidRDefault="008C249E" w:rsidP="008C249E">
            <w:r>
              <w:t>Good Clinical Practice</w:t>
            </w:r>
          </w:p>
        </w:tc>
      </w:tr>
      <w:tr w:rsidR="008C249E" w14:paraId="3BA7395D" w14:textId="77777777" w:rsidTr="008C249E">
        <w:trPr>
          <w:cantSplit/>
        </w:trPr>
        <w:tc>
          <w:tcPr>
            <w:tcW w:w="2462" w:type="dxa"/>
          </w:tcPr>
          <w:p w14:paraId="690193A0" w14:textId="77777777" w:rsidR="008C249E" w:rsidRPr="00043513" w:rsidRDefault="008C249E" w:rsidP="008C249E">
            <w:pPr>
              <w:pStyle w:val="AbbreviationsDefinitionsTerm"/>
            </w:pPr>
            <w:r>
              <w:t>PPE</w:t>
            </w:r>
          </w:p>
        </w:tc>
        <w:tc>
          <w:tcPr>
            <w:tcW w:w="6555" w:type="dxa"/>
            <w:vAlign w:val="center"/>
          </w:tcPr>
          <w:p w14:paraId="7C8955A3" w14:textId="77777777" w:rsidR="008C249E" w:rsidRDefault="008C249E" w:rsidP="008C249E">
            <w:r w:rsidRPr="00F22339">
              <w:t xml:space="preserve">Personal </w:t>
            </w:r>
            <w:r>
              <w:t>p</w:t>
            </w:r>
            <w:r w:rsidRPr="00F22339">
              <w:t xml:space="preserve">rotective </w:t>
            </w:r>
            <w:r>
              <w:t>e</w:t>
            </w:r>
            <w:r w:rsidRPr="00F22339">
              <w:t>quipment</w:t>
            </w:r>
          </w:p>
        </w:tc>
      </w:tr>
      <w:tr w:rsidR="008C249E" w14:paraId="19AF267F" w14:textId="77777777" w:rsidTr="008C249E">
        <w:trPr>
          <w:cantSplit/>
        </w:trPr>
        <w:tc>
          <w:tcPr>
            <w:tcW w:w="2462" w:type="dxa"/>
          </w:tcPr>
          <w:p w14:paraId="19507509" w14:textId="77777777" w:rsidR="008C249E" w:rsidRDefault="008C249E" w:rsidP="008C249E">
            <w:pPr>
              <w:pStyle w:val="AbbreviationsDefinitionsTerm"/>
            </w:pPr>
            <w:r>
              <w:t>REC</w:t>
            </w:r>
          </w:p>
        </w:tc>
        <w:tc>
          <w:tcPr>
            <w:tcW w:w="6555" w:type="dxa"/>
            <w:vAlign w:val="center"/>
          </w:tcPr>
          <w:p w14:paraId="3EA6A25A" w14:textId="77777777" w:rsidR="008C249E" w:rsidRDefault="008C249E" w:rsidP="008C249E">
            <w:r>
              <w:t>Research ethics committee</w:t>
            </w:r>
          </w:p>
        </w:tc>
      </w:tr>
      <w:tr w:rsidR="00776ED6" w14:paraId="054909EF" w14:textId="77777777" w:rsidTr="008C249E">
        <w:trPr>
          <w:cantSplit/>
        </w:trPr>
        <w:tc>
          <w:tcPr>
            <w:tcW w:w="2462" w:type="dxa"/>
          </w:tcPr>
          <w:p w14:paraId="3B60BA96" w14:textId="75951452" w:rsidR="00776ED6" w:rsidRDefault="00776ED6" w:rsidP="008C249E">
            <w:pPr>
              <w:pStyle w:val="AbbreviationsDefinitionsTerm"/>
            </w:pPr>
            <w:r>
              <w:t>REGI</w:t>
            </w:r>
          </w:p>
        </w:tc>
        <w:tc>
          <w:tcPr>
            <w:tcW w:w="6555" w:type="dxa"/>
            <w:vAlign w:val="center"/>
          </w:tcPr>
          <w:p w14:paraId="08E2F120" w14:textId="11F17628" w:rsidR="00776ED6" w:rsidRDefault="00776ED6" w:rsidP="008C249E">
            <w:r>
              <w:t>Research Ethics, Governance &amp; Integrity Team</w:t>
            </w:r>
          </w:p>
        </w:tc>
      </w:tr>
      <w:tr w:rsidR="008C249E" w14:paraId="677D3B2E" w14:textId="77777777" w:rsidTr="008C249E">
        <w:trPr>
          <w:cantSplit/>
        </w:trPr>
        <w:tc>
          <w:tcPr>
            <w:tcW w:w="2462" w:type="dxa"/>
          </w:tcPr>
          <w:p w14:paraId="6F649AC5" w14:textId="77777777" w:rsidR="008C249E" w:rsidRPr="00043513" w:rsidRDefault="008C249E" w:rsidP="008C249E">
            <w:pPr>
              <w:pStyle w:val="AbbreviationsDefinitionsTerm"/>
            </w:pPr>
            <w:r>
              <w:t>SOP</w:t>
            </w:r>
          </w:p>
        </w:tc>
        <w:tc>
          <w:tcPr>
            <w:tcW w:w="6555" w:type="dxa"/>
            <w:vAlign w:val="center"/>
          </w:tcPr>
          <w:p w14:paraId="01926018" w14:textId="77777777" w:rsidR="008C249E" w:rsidRDefault="008C249E" w:rsidP="008C249E">
            <w:r>
              <w:t>Standard operating procedure</w:t>
            </w:r>
          </w:p>
        </w:tc>
      </w:tr>
      <w:tr w:rsidR="00BE185E" w14:paraId="6745DAF0" w14:textId="77777777" w:rsidTr="00D720D5">
        <w:trPr>
          <w:cantSplit/>
        </w:trPr>
        <w:tc>
          <w:tcPr>
            <w:tcW w:w="2462" w:type="dxa"/>
          </w:tcPr>
          <w:p w14:paraId="5F4B0C96" w14:textId="77777777" w:rsidR="00BE185E" w:rsidRPr="00043513" w:rsidRDefault="00BE185E" w:rsidP="00BE185E">
            <w:pPr>
              <w:pStyle w:val="AbbreviationsDefinitionsTerm"/>
            </w:pPr>
            <w:r>
              <w:t>UoB</w:t>
            </w:r>
          </w:p>
        </w:tc>
        <w:tc>
          <w:tcPr>
            <w:tcW w:w="6555" w:type="dxa"/>
            <w:vAlign w:val="center"/>
          </w:tcPr>
          <w:p w14:paraId="5D2ECB9B" w14:textId="77777777" w:rsidR="00BE185E" w:rsidRPr="0027215E" w:rsidRDefault="00BE185E" w:rsidP="00BE185E">
            <w:r>
              <w:t>University of Birmingham</w:t>
            </w:r>
          </w:p>
        </w:tc>
      </w:tr>
    </w:tbl>
    <w:p w14:paraId="2E7636E0" w14:textId="372F0240" w:rsidR="000374CB" w:rsidRDefault="00B10C05">
      <w:r w:rsidRPr="009C2C63">
        <w:t xml:space="preserve">See also the </w:t>
      </w:r>
      <w:hyperlink r:id="rId16" w:tooltip="Link to Glossary of Terms" w:history="1">
        <w:r w:rsidRPr="00F12A38">
          <w:rPr>
            <w:rStyle w:val="Hyperlink"/>
          </w:rPr>
          <w:t>Glossary of Terms</w:t>
        </w:r>
      </w:hyperlink>
      <w:r w:rsidRPr="009C2C63">
        <w:t>.</w:t>
      </w:r>
    </w:p>
    <w:p w14:paraId="082408D8" w14:textId="77777777" w:rsidR="000374CB" w:rsidRDefault="000374CB"/>
    <w:p w14:paraId="69740C4D" w14:textId="77777777" w:rsidR="00A37B50" w:rsidRDefault="00A37B50"/>
    <w:p w14:paraId="2408CAE7" w14:textId="77777777" w:rsidR="00A37B50" w:rsidRDefault="00A37B50"/>
    <w:p w14:paraId="005CCD19" w14:textId="77777777" w:rsidR="00A37B50" w:rsidRDefault="00A37B50"/>
    <w:p w14:paraId="0334EF02" w14:textId="77777777" w:rsidR="00A37B50" w:rsidRDefault="00A37B50"/>
    <w:p w14:paraId="20C1D8AD" w14:textId="77777777" w:rsidR="00A37B50" w:rsidRDefault="00A37B50"/>
    <w:p w14:paraId="47A2287F" w14:textId="77777777" w:rsidR="00A37B50" w:rsidRDefault="00A37B50"/>
    <w:p w14:paraId="32F86AEA" w14:textId="77777777" w:rsidR="00A37B50" w:rsidRDefault="00A37B50"/>
    <w:p w14:paraId="7F2A5BD6" w14:textId="77777777" w:rsidR="00A37B50" w:rsidRDefault="00A37B50"/>
    <w:p w14:paraId="17120FDD" w14:textId="77777777" w:rsidR="00A37B50" w:rsidRDefault="00A37B50"/>
    <w:sectPr w:rsidR="00A37B50" w:rsidSect="003A24EB">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567" w:footer="397" w:gutter="0"/>
      <w:pgBorders>
        <w:top w:val="single" w:sz="12" w:space="3" w:color="943634"/>
        <w:bottom w:val="single" w:sz="12" w:space="3" w:color="94363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61BD3" w14:textId="77777777" w:rsidR="0060111C" w:rsidRDefault="0060111C" w:rsidP="00F46DE6">
      <w:r>
        <w:separator/>
      </w:r>
    </w:p>
    <w:p w14:paraId="6E8640E5" w14:textId="77777777" w:rsidR="0060111C" w:rsidRDefault="0060111C" w:rsidP="00F46DE6"/>
  </w:endnote>
  <w:endnote w:type="continuationSeparator" w:id="0">
    <w:p w14:paraId="24D84E94" w14:textId="77777777" w:rsidR="0060111C" w:rsidRDefault="0060111C" w:rsidP="00F46DE6">
      <w:r>
        <w:continuationSeparator/>
      </w:r>
    </w:p>
    <w:p w14:paraId="194B3EF6" w14:textId="77777777" w:rsidR="0060111C" w:rsidRDefault="0060111C" w:rsidP="00F46DE6"/>
  </w:endnote>
  <w:endnote w:type="continuationNotice" w:id="1">
    <w:p w14:paraId="05424D4C" w14:textId="77777777" w:rsidR="0060111C" w:rsidRDefault="0060111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17586" w14:textId="77777777" w:rsidR="00DD3075" w:rsidRDefault="00276842" w:rsidP="00276842">
    <w:pPr>
      <w:pStyle w:val="propertystatement"/>
    </w:pPr>
    <w:r w:rsidRPr="002D6577">
      <w:t xml:space="preserve">Property of </w:t>
    </w:r>
    <w:r>
      <w:t xml:space="preserve">the </w:t>
    </w:r>
    <w:r w:rsidRPr="002D6577">
      <w:t>University of Birmingham, Vincent Drive, Edgbaston, Birmingham, B15 2TT, United Kingdom</w:t>
    </w:r>
  </w:p>
  <w:p w14:paraId="7DA68612" w14:textId="77777777" w:rsidR="00DD3075" w:rsidRPr="001348DC" w:rsidRDefault="00DD3075" w:rsidP="00DD3075">
    <w:pPr>
      <w:pStyle w:val="propertystatement"/>
    </w:pPr>
    <w:r w:rsidRPr="001348DC">
      <w:t>Copies are only valid for 14 days and may be subject to amendment a</w:t>
    </w:r>
    <w:r>
      <w:t>t any time. For the latest version refer to:</w:t>
    </w:r>
    <w:r w:rsidRPr="001348DC">
      <w:t xml:space="preserve"> </w:t>
    </w:r>
  </w:p>
  <w:p w14:paraId="78724C0F" w14:textId="77777777" w:rsidR="00276842" w:rsidRDefault="00156305" w:rsidP="00DD3075">
    <w:pPr>
      <w:pStyle w:val="propertystatement"/>
    </w:pPr>
    <w:hyperlink r:id="rId1" w:history="1">
      <w:r w:rsidR="00DD3075" w:rsidRPr="00D317E8">
        <w:rPr>
          <w:rStyle w:val="Hyperlink"/>
        </w:rPr>
        <w:t>http://www.birmingham.ac.uk/research/activity/mds/mds-rkto/governance/index.aspx</w:t>
      </w:r>
    </w:hyperlink>
  </w:p>
  <w:p w14:paraId="53DCCE77" w14:textId="77777777" w:rsidR="00D33108" w:rsidRPr="002D6577" w:rsidRDefault="00D33108" w:rsidP="006B351B">
    <w:pPr>
      <w:pStyle w:val="Footer"/>
      <w:jc w:val="both"/>
      <w:rPr>
        <w:bCs/>
        <w:iCs/>
        <w:szCs w:val="2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2F60A" w14:textId="77777777" w:rsidR="00D17200" w:rsidRDefault="00D17200" w:rsidP="009E44AF">
    <w:pPr>
      <w:pStyle w:val="Footer"/>
      <w:jc w:val="center"/>
    </w:pPr>
    <w:r w:rsidRPr="002D6577">
      <w:t xml:space="preserve">Property of </w:t>
    </w:r>
    <w:r>
      <w:t xml:space="preserve">the </w:t>
    </w:r>
    <w:r w:rsidRPr="002D6577">
      <w:t>University of Birmingham, Vincent Drive, Edgbaston, Birmingham, B15 2TT, United Kingdom</w:t>
    </w:r>
    <w:r w:rsidR="008F795D">
      <w:t>.</w:t>
    </w:r>
  </w:p>
  <w:p w14:paraId="0D85A2A5" w14:textId="77777777" w:rsidR="00D17200" w:rsidRPr="001348DC" w:rsidRDefault="00D17200" w:rsidP="009E44AF">
    <w:pPr>
      <w:pStyle w:val="Footer"/>
      <w:jc w:val="center"/>
    </w:pPr>
    <w:r w:rsidRPr="001348DC">
      <w:t>Copies are only valid for 14 days and may be subject to amendment a</w:t>
    </w:r>
    <w:r>
      <w:t>t any time. For the latest version refer to:</w:t>
    </w:r>
  </w:p>
  <w:p w14:paraId="5ABD5295" w14:textId="77777777" w:rsidR="00D17200" w:rsidRDefault="00156305" w:rsidP="00D17200">
    <w:pPr>
      <w:pStyle w:val="propertystatement"/>
    </w:pPr>
    <w:hyperlink r:id="rId1" w:tooltip="Website for the Clinical Research Compliance Team" w:history="1">
      <w:r w:rsidR="00C31D63">
        <w:rPr>
          <w:rStyle w:val="Hyperlink"/>
        </w:rPr>
        <w:t>birmingham.ac.uk/crct</w:t>
      </w:r>
    </w:hyperlink>
    <w:r w:rsidR="008F795D">
      <w:t xml:space="preserve"> </w:t>
    </w:r>
  </w:p>
  <w:p w14:paraId="2C15F246" w14:textId="77777777" w:rsidR="00D17200" w:rsidRDefault="00D172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B3BA" w14:textId="77777777" w:rsidR="00DD3075" w:rsidRDefault="00DD30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8BEC2" w14:textId="77777777" w:rsidR="00B06754" w:rsidRDefault="00B06754"/>
  <w:tbl>
    <w:tblPr>
      <w:tblW w:w="5000" w:type="pct"/>
      <w:tblLook w:val="00A0" w:firstRow="1" w:lastRow="0" w:firstColumn="1" w:lastColumn="0" w:noHBand="0" w:noVBand="0"/>
      <w:tblCaption w:val="Document Information"/>
      <w:tblDescription w:val="This includes the document code, version number, print date and page number. "/>
    </w:tblPr>
    <w:tblGrid>
      <w:gridCol w:w="1441"/>
      <w:gridCol w:w="3073"/>
      <w:gridCol w:w="3401"/>
      <w:gridCol w:w="1112"/>
    </w:tblGrid>
    <w:tr w:rsidR="00A668FC" w:rsidRPr="002D6577" w14:paraId="76933827" w14:textId="77777777" w:rsidTr="003A24EB">
      <w:trPr>
        <w:trHeight w:val="148"/>
      </w:trPr>
      <w:tc>
        <w:tcPr>
          <w:tcW w:w="1441" w:type="dxa"/>
          <w:tcMar>
            <w:top w:w="0" w:type="dxa"/>
            <w:left w:w="57" w:type="dxa"/>
            <w:bottom w:w="0" w:type="dxa"/>
            <w:right w:w="57" w:type="dxa"/>
          </w:tcMar>
          <w:vAlign w:val="center"/>
        </w:tcPr>
        <w:p w14:paraId="747AF4A3" w14:textId="77777777" w:rsidR="00A668FC" w:rsidRPr="001C6EFB" w:rsidRDefault="00A668FC" w:rsidP="005D02BC">
          <w:pPr>
            <w:pStyle w:val="Footer"/>
          </w:pPr>
          <w:r w:rsidRPr="001C6EFB">
            <w:t>Document code:</w:t>
          </w:r>
        </w:p>
      </w:tc>
      <w:tc>
        <w:tcPr>
          <w:tcW w:w="3073" w:type="dxa"/>
          <w:tcMar>
            <w:top w:w="0" w:type="dxa"/>
            <w:left w:w="57" w:type="dxa"/>
            <w:bottom w:w="0" w:type="dxa"/>
            <w:right w:w="57" w:type="dxa"/>
          </w:tcMar>
          <w:vAlign w:val="center"/>
        </w:tcPr>
        <w:p w14:paraId="2C07FB17" w14:textId="77777777" w:rsidR="00A668FC" w:rsidRPr="001C6EFB" w:rsidRDefault="00B06754" w:rsidP="0060052C">
          <w:pPr>
            <w:pStyle w:val="Footer"/>
          </w:pPr>
          <w:r>
            <w:t>UoB-SMB-SOP-001</w:t>
          </w:r>
        </w:p>
      </w:tc>
      <w:tc>
        <w:tcPr>
          <w:tcW w:w="3401" w:type="dxa"/>
          <w:tcMar>
            <w:top w:w="0" w:type="dxa"/>
            <w:left w:w="57" w:type="dxa"/>
            <w:bottom w:w="0" w:type="dxa"/>
            <w:right w:w="57" w:type="dxa"/>
          </w:tcMar>
          <w:vAlign w:val="center"/>
        </w:tcPr>
        <w:p w14:paraId="49386E28" w14:textId="77777777" w:rsidR="00A668FC" w:rsidRPr="001C6EFB" w:rsidRDefault="00A668FC" w:rsidP="00163F57">
          <w:pPr>
            <w:pStyle w:val="Footer"/>
            <w:jc w:val="right"/>
          </w:pPr>
          <w:r w:rsidRPr="001C6EFB">
            <w:t>Print Date:</w:t>
          </w:r>
        </w:p>
      </w:tc>
      <w:tc>
        <w:tcPr>
          <w:tcW w:w="1112" w:type="dxa"/>
          <w:tcMar>
            <w:top w:w="0" w:type="dxa"/>
            <w:left w:w="57" w:type="dxa"/>
            <w:bottom w:w="0" w:type="dxa"/>
            <w:right w:w="57" w:type="dxa"/>
          </w:tcMar>
          <w:vAlign w:val="center"/>
        </w:tcPr>
        <w:p w14:paraId="14E6D557" w14:textId="649B2113" w:rsidR="00A668FC" w:rsidRPr="001C6EFB" w:rsidRDefault="00044A64" w:rsidP="00163F57">
          <w:pPr>
            <w:pStyle w:val="Footer"/>
            <w:jc w:val="right"/>
          </w:pPr>
          <w:r>
            <w:fldChar w:fldCharType="begin"/>
          </w:r>
          <w:r>
            <w:instrText xml:space="preserve"> DATE  \@ "dd-MMM-yyyy"  \* MERGEFORMAT </w:instrText>
          </w:r>
          <w:r>
            <w:fldChar w:fldCharType="separate"/>
          </w:r>
          <w:r w:rsidR="00156305">
            <w:rPr>
              <w:noProof/>
            </w:rPr>
            <w:t>11-Dec-2023</w:t>
          </w:r>
          <w:r>
            <w:fldChar w:fldCharType="end"/>
          </w:r>
        </w:p>
      </w:tc>
    </w:tr>
    <w:tr w:rsidR="00A668FC" w:rsidRPr="002D6577" w14:paraId="6687CE4A" w14:textId="77777777" w:rsidTr="003A24EB">
      <w:tc>
        <w:tcPr>
          <w:tcW w:w="1441" w:type="dxa"/>
          <w:tcMar>
            <w:top w:w="0" w:type="dxa"/>
            <w:left w:w="57" w:type="dxa"/>
            <w:bottom w:w="0" w:type="dxa"/>
            <w:right w:w="57" w:type="dxa"/>
          </w:tcMar>
          <w:vAlign w:val="center"/>
        </w:tcPr>
        <w:p w14:paraId="08DE304D" w14:textId="77777777" w:rsidR="00A668FC" w:rsidRPr="001C6EFB" w:rsidRDefault="00A668FC" w:rsidP="005D02BC">
          <w:pPr>
            <w:pStyle w:val="Footer"/>
          </w:pPr>
          <w:r w:rsidRPr="001C6EFB">
            <w:t>Version no:</w:t>
          </w:r>
        </w:p>
      </w:tc>
      <w:tc>
        <w:tcPr>
          <w:tcW w:w="3073" w:type="dxa"/>
          <w:tcMar>
            <w:top w:w="0" w:type="dxa"/>
            <w:left w:w="57" w:type="dxa"/>
            <w:bottom w:w="0" w:type="dxa"/>
            <w:right w:w="57" w:type="dxa"/>
          </w:tcMar>
          <w:vAlign w:val="center"/>
        </w:tcPr>
        <w:p w14:paraId="4EEF9E76" w14:textId="2FE68B19" w:rsidR="00A668FC" w:rsidRPr="001C6EFB" w:rsidRDefault="00914920" w:rsidP="005D02BC">
          <w:pPr>
            <w:pStyle w:val="Footer"/>
          </w:pPr>
          <w:r>
            <w:t>2.0</w:t>
          </w:r>
        </w:p>
      </w:tc>
      <w:tc>
        <w:tcPr>
          <w:tcW w:w="3401" w:type="dxa"/>
          <w:tcMar>
            <w:top w:w="0" w:type="dxa"/>
            <w:left w:w="57" w:type="dxa"/>
            <w:bottom w:w="0" w:type="dxa"/>
            <w:right w:w="57" w:type="dxa"/>
          </w:tcMar>
          <w:vAlign w:val="center"/>
        </w:tcPr>
        <w:p w14:paraId="599F0050" w14:textId="77777777" w:rsidR="00A668FC" w:rsidRPr="001C6EFB" w:rsidRDefault="00A668FC" w:rsidP="00163F57">
          <w:pPr>
            <w:pStyle w:val="Footer"/>
            <w:jc w:val="right"/>
          </w:pPr>
          <w:r w:rsidRPr="001C6EFB">
            <w:t>Page:</w:t>
          </w:r>
        </w:p>
      </w:tc>
      <w:tc>
        <w:tcPr>
          <w:tcW w:w="1112" w:type="dxa"/>
          <w:tcMar>
            <w:top w:w="0" w:type="dxa"/>
            <w:left w:w="57" w:type="dxa"/>
            <w:bottom w:w="0" w:type="dxa"/>
            <w:right w:w="57" w:type="dxa"/>
          </w:tcMar>
          <w:vAlign w:val="center"/>
        </w:tcPr>
        <w:p w14:paraId="43DBE909" w14:textId="1C992171" w:rsidR="00A668FC" w:rsidRPr="001C6EFB" w:rsidRDefault="00A668FC" w:rsidP="0060052C">
          <w:pPr>
            <w:pStyle w:val="Footer"/>
            <w:jc w:val="right"/>
          </w:pPr>
          <w:r w:rsidRPr="001C6EFB">
            <w:t xml:space="preserve"> </w:t>
          </w:r>
          <w:r w:rsidR="0060052C">
            <w:fldChar w:fldCharType="begin"/>
          </w:r>
          <w:r w:rsidR="0060052C">
            <w:instrText xml:space="preserve"> PAGE   \* MERGEFORMAT </w:instrText>
          </w:r>
          <w:r w:rsidR="0060052C">
            <w:fldChar w:fldCharType="separate"/>
          </w:r>
          <w:r w:rsidR="00B940A8">
            <w:rPr>
              <w:noProof/>
            </w:rPr>
            <w:t>2</w:t>
          </w:r>
          <w:r w:rsidR="0060052C">
            <w:fldChar w:fldCharType="end"/>
          </w:r>
          <w:r w:rsidRPr="001C6EFB">
            <w:t xml:space="preserve"> of </w:t>
          </w:r>
          <w:fldSimple w:instr=" NUMPAGES   \* MERGEFORMAT ">
            <w:r w:rsidR="00B940A8">
              <w:rPr>
                <w:noProof/>
              </w:rPr>
              <w:t>2</w:t>
            </w:r>
          </w:fldSimple>
        </w:p>
      </w:tc>
    </w:tr>
  </w:tbl>
  <w:p w14:paraId="0301ECCA" w14:textId="77777777" w:rsidR="00095365" w:rsidRDefault="000953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D27C" w14:textId="77777777" w:rsidR="00DD3075" w:rsidRDefault="00DD3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E75C2" w14:textId="77777777" w:rsidR="0060111C" w:rsidRDefault="0060111C" w:rsidP="00F46DE6">
      <w:r>
        <w:separator/>
      </w:r>
    </w:p>
    <w:p w14:paraId="0A883D37" w14:textId="77777777" w:rsidR="0060111C" w:rsidRDefault="0060111C" w:rsidP="00F46DE6"/>
  </w:footnote>
  <w:footnote w:type="continuationSeparator" w:id="0">
    <w:p w14:paraId="6B80A0AA" w14:textId="77777777" w:rsidR="0060111C" w:rsidRDefault="0060111C" w:rsidP="00F46DE6">
      <w:r>
        <w:continuationSeparator/>
      </w:r>
    </w:p>
    <w:p w14:paraId="40A08402" w14:textId="77777777" w:rsidR="0060111C" w:rsidRDefault="0060111C" w:rsidP="00F46DE6"/>
  </w:footnote>
  <w:footnote w:type="continuationNotice" w:id="1">
    <w:p w14:paraId="1B909ACD" w14:textId="77777777" w:rsidR="0060111C" w:rsidRDefault="0060111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A611D" w14:textId="77777777" w:rsidR="00A91AC7" w:rsidRDefault="00FF0711" w:rsidP="00A91AC7">
    <w:pPr>
      <w:pStyle w:val="propertystatement"/>
      <w:jc w:val="left"/>
    </w:pPr>
    <w:r w:rsidRPr="00F16569">
      <w:rPr>
        <w:noProof/>
        <w:lang w:eastAsia="en-GB"/>
      </w:rPr>
      <w:drawing>
        <wp:anchor distT="0" distB="0" distL="114300" distR="114300" simplePos="0" relativeHeight="251658240" behindDoc="0" locked="0" layoutInCell="1" allowOverlap="1" wp14:anchorId="08E613CE" wp14:editId="7D928CA4">
          <wp:simplePos x="0" y="0"/>
          <wp:positionH relativeFrom="column">
            <wp:posOffset>-301625</wp:posOffset>
          </wp:positionH>
          <wp:positionV relativeFrom="page">
            <wp:posOffset>1050925</wp:posOffset>
          </wp:positionV>
          <wp:extent cx="2705100" cy="1062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_Marque_Black"/>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051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right" w:tblpY="-88"/>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ook w:val="04A0" w:firstRow="1" w:lastRow="0" w:firstColumn="1" w:lastColumn="0" w:noHBand="0" w:noVBand="1"/>
      <w:tblCaption w:val="Document Information"/>
      <w:tblDescription w:val="This includes the document code, version number, effective date, print date and page number. "/>
    </w:tblPr>
    <w:tblGrid>
      <w:gridCol w:w="1668"/>
      <w:gridCol w:w="2310"/>
    </w:tblGrid>
    <w:tr w:rsidR="00A91AC7" w14:paraId="24F6CA73" w14:textId="77777777" w:rsidTr="005F734C">
      <w:trPr>
        <w:trHeight w:val="278"/>
        <w:tblHeader/>
      </w:trPr>
      <w:tc>
        <w:tcPr>
          <w:tcW w:w="1668" w:type="dxa"/>
          <w:vAlign w:val="center"/>
        </w:tcPr>
        <w:p w14:paraId="0D8C4412" w14:textId="77777777" w:rsidR="00A91AC7" w:rsidRDefault="00A91AC7" w:rsidP="00A91AC7">
          <w:pPr>
            <w:pStyle w:val="Footer"/>
          </w:pPr>
          <w:r w:rsidRPr="001C6EFB">
            <w:t>Document code:</w:t>
          </w:r>
        </w:p>
      </w:tc>
      <w:tc>
        <w:tcPr>
          <w:tcW w:w="2310" w:type="dxa"/>
          <w:vAlign w:val="center"/>
        </w:tcPr>
        <w:p w14:paraId="591C124C" w14:textId="2443CEC2" w:rsidR="00A91AC7" w:rsidRDefault="00A91AC7" w:rsidP="00A91AC7">
          <w:pPr>
            <w:pStyle w:val="Footer"/>
            <w:jc w:val="right"/>
          </w:pPr>
          <w:r>
            <w:t>UoB-</w:t>
          </w:r>
          <w:r w:rsidR="00E324C0">
            <w:t>SMB-SOP-001</w:t>
          </w:r>
        </w:p>
      </w:tc>
    </w:tr>
    <w:tr w:rsidR="00A91AC7" w14:paraId="268680F5" w14:textId="77777777" w:rsidTr="005F734C">
      <w:trPr>
        <w:trHeight w:val="278"/>
      </w:trPr>
      <w:tc>
        <w:tcPr>
          <w:tcW w:w="1668" w:type="dxa"/>
          <w:vAlign w:val="center"/>
        </w:tcPr>
        <w:p w14:paraId="2AC15347" w14:textId="77777777" w:rsidR="00A91AC7" w:rsidRDefault="00A91AC7" w:rsidP="00A91AC7">
          <w:pPr>
            <w:pStyle w:val="Footer"/>
          </w:pPr>
          <w:r w:rsidRPr="001C6EFB">
            <w:t>Version no:</w:t>
          </w:r>
        </w:p>
      </w:tc>
      <w:tc>
        <w:tcPr>
          <w:tcW w:w="2310" w:type="dxa"/>
          <w:vAlign w:val="center"/>
        </w:tcPr>
        <w:p w14:paraId="55A498CB" w14:textId="44596D31" w:rsidR="00A91AC7" w:rsidRDefault="00914920" w:rsidP="00A91AC7">
          <w:pPr>
            <w:pStyle w:val="Footer"/>
            <w:jc w:val="right"/>
          </w:pPr>
          <w:r>
            <w:t>2.0</w:t>
          </w:r>
        </w:p>
      </w:tc>
    </w:tr>
    <w:tr w:rsidR="00A91AC7" w14:paraId="47F6F8A7" w14:textId="77777777" w:rsidTr="005F734C">
      <w:trPr>
        <w:trHeight w:val="278"/>
      </w:trPr>
      <w:tc>
        <w:tcPr>
          <w:tcW w:w="1668" w:type="dxa"/>
          <w:vAlign w:val="center"/>
        </w:tcPr>
        <w:p w14:paraId="110E0F59" w14:textId="77777777" w:rsidR="00A91AC7" w:rsidRDefault="00A91AC7" w:rsidP="00A91AC7">
          <w:pPr>
            <w:pStyle w:val="Footer"/>
          </w:pPr>
          <w:r>
            <w:t>Effective date:</w:t>
          </w:r>
        </w:p>
      </w:tc>
      <w:tc>
        <w:tcPr>
          <w:tcW w:w="2310" w:type="dxa"/>
          <w:vAlign w:val="center"/>
        </w:tcPr>
        <w:p w14:paraId="636F82BA" w14:textId="4EE20DD0" w:rsidR="00A91AC7" w:rsidRDefault="00156305" w:rsidP="00A91AC7">
          <w:pPr>
            <w:pStyle w:val="Footer"/>
            <w:jc w:val="right"/>
          </w:pPr>
          <w:r>
            <w:t>08</w:t>
          </w:r>
          <w:r w:rsidR="007C062E">
            <w:t>-</w:t>
          </w:r>
          <w:r>
            <w:t>Jan</w:t>
          </w:r>
          <w:r w:rsidR="007C062E">
            <w:t>-202</w:t>
          </w:r>
          <w:r>
            <w:t>4</w:t>
          </w:r>
        </w:p>
      </w:tc>
    </w:tr>
    <w:tr w:rsidR="00A91AC7" w14:paraId="1E92F2D9" w14:textId="77777777" w:rsidTr="005F734C">
      <w:trPr>
        <w:trHeight w:val="278"/>
      </w:trPr>
      <w:tc>
        <w:tcPr>
          <w:tcW w:w="1668" w:type="dxa"/>
          <w:vAlign w:val="center"/>
        </w:tcPr>
        <w:p w14:paraId="68AE0BC3" w14:textId="77777777" w:rsidR="00A91AC7" w:rsidRPr="001C6EFB" w:rsidRDefault="00A91AC7" w:rsidP="00A91AC7">
          <w:pPr>
            <w:pStyle w:val="Footer"/>
          </w:pPr>
          <w:r>
            <w:t>Print d</w:t>
          </w:r>
          <w:r w:rsidRPr="001C6EFB">
            <w:t>ate:</w:t>
          </w:r>
        </w:p>
      </w:tc>
      <w:tc>
        <w:tcPr>
          <w:tcW w:w="2310" w:type="dxa"/>
          <w:vAlign w:val="center"/>
        </w:tcPr>
        <w:p w14:paraId="780623A9" w14:textId="155B1596" w:rsidR="00A91AC7" w:rsidRDefault="00A91AC7" w:rsidP="00A91AC7">
          <w:pPr>
            <w:pStyle w:val="Footer"/>
            <w:jc w:val="right"/>
          </w:pPr>
          <w:r>
            <w:fldChar w:fldCharType="begin"/>
          </w:r>
          <w:r>
            <w:instrText xml:space="preserve"> DATE  \@ "dd-MMM-yyyy"  \* MERGEFORMAT </w:instrText>
          </w:r>
          <w:r>
            <w:fldChar w:fldCharType="separate"/>
          </w:r>
          <w:r w:rsidR="00156305">
            <w:rPr>
              <w:noProof/>
            </w:rPr>
            <w:t>11-Dec-2023</w:t>
          </w:r>
          <w:r>
            <w:fldChar w:fldCharType="end"/>
          </w:r>
        </w:p>
      </w:tc>
    </w:tr>
    <w:tr w:rsidR="00A91AC7" w14:paraId="7E7C7C17" w14:textId="77777777" w:rsidTr="005F734C">
      <w:trPr>
        <w:trHeight w:val="278"/>
      </w:trPr>
      <w:tc>
        <w:tcPr>
          <w:tcW w:w="1668" w:type="dxa"/>
          <w:vAlign w:val="center"/>
        </w:tcPr>
        <w:p w14:paraId="067B2A67" w14:textId="77777777" w:rsidR="00A91AC7" w:rsidRPr="001C6EFB" w:rsidRDefault="00A91AC7" w:rsidP="00A91AC7">
          <w:pPr>
            <w:pStyle w:val="Footer"/>
          </w:pPr>
          <w:r w:rsidRPr="001C6EFB">
            <w:t>Page:</w:t>
          </w:r>
        </w:p>
      </w:tc>
      <w:tc>
        <w:tcPr>
          <w:tcW w:w="2310" w:type="dxa"/>
          <w:vAlign w:val="center"/>
        </w:tcPr>
        <w:p w14:paraId="3E167468" w14:textId="77777777" w:rsidR="00A91AC7" w:rsidRDefault="00A91AC7" w:rsidP="00A91AC7">
          <w:pPr>
            <w:pStyle w:val="Footer"/>
            <w:jc w:val="right"/>
          </w:pPr>
          <w:r>
            <w:fldChar w:fldCharType="begin"/>
          </w:r>
          <w:r>
            <w:instrText xml:space="preserve"> PAGE   \* MERGEFORMAT </w:instrText>
          </w:r>
          <w:r>
            <w:fldChar w:fldCharType="separate"/>
          </w:r>
          <w:r w:rsidR="00B940A8">
            <w:rPr>
              <w:noProof/>
            </w:rPr>
            <w:t>1</w:t>
          </w:r>
          <w:r>
            <w:fldChar w:fldCharType="end"/>
          </w:r>
          <w:r>
            <w:t xml:space="preserve"> of </w:t>
          </w:r>
          <w:fldSimple w:instr=" NUMPAGES   \* MERGEFORMAT ">
            <w:r w:rsidR="00B940A8">
              <w:rPr>
                <w:noProof/>
              </w:rPr>
              <w:t>2</w:t>
            </w:r>
          </w:fldSimple>
          <w:r w:rsidRPr="001C6EFB">
            <w:t xml:space="preserve"> </w:t>
          </w:r>
        </w:p>
      </w:tc>
    </w:tr>
  </w:tbl>
  <w:p w14:paraId="08B1750C" w14:textId="77777777" w:rsidR="00A91AC7" w:rsidRDefault="00A91AC7" w:rsidP="00EF729E">
    <w:pPr>
      <w:pStyle w:val="Header"/>
      <w:ind w:left="-426"/>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6E6E7" w14:textId="77777777" w:rsidR="00DD3075" w:rsidRDefault="00DD3075" w:rsidP="00163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9820" w14:textId="1DCB21F3" w:rsidR="007D79E6" w:rsidRPr="001C75D5" w:rsidRDefault="00860FC2" w:rsidP="00B06754">
    <w:pPr>
      <w:pStyle w:val="Header"/>
      <w:rPr>
        <w:sz w:val="8"/>
        <w:szCs w:val="8"/>
      </w:rPr>
    </w:pPr>
    <w:r w:rsidRPr="002135BA">
      <w:t>SOP</w:t>
    </w:r>
    <w:r w:rsidR="0060052C">
      <w:t xml:space="preserve">: </w:t>
    </w:r>
    <w:r w:rsidR="00B06754">
      <w:t>Skeletal Muscle Biopsies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4996" w14:textId="77777777" w:rsidR="00DD3075" w:rsidRDefault="00DD3075" w:rsidP="00163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03BE"/>
    <w:multiLevelType w:val="hybridMultilevel"/>
    <w:tmpl w:val="52C81F4A"/>
    <w:lvl w:ilvl="0" w:tplc="0726BFCC">
      <w:start w:val="1"/>
      <w:numFmt w:val="bullet"/>
      <w:pStyle w:val="bullet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02114"/>
    <w:multiLevelType w:val="hybridMultilevel"/>
    <w:tmpl w:val="9CF614FC"/>
    <w:lvl w:ilvl="0" w:tplc="6C103476">
      <w:start w:val="1"/>
      <w:numFmt w:val="bullet"/>
      <w:pStyle w:val="Instructions-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24B9B"/>
    <w:multiLevelType w:val="hybridMultilevel"/>
    <w:tmpl w:val="E3AE0E1C"/>
    <w:lvl w:ilvl="0" w:tplc="AD80755C">
      <w:start w:val="1"/>
      <w:numFmt w:val="bullet"/>
      <w:lvlText w:val=""/>
      <w:lvlJc w:val="left"/>
      <w:pPr>
        <w:ind w:left="360" w:hanging="360"/>
      </w:pPr>
      <w:rPr>
        <w:rFonts w:ascii="Wingdings" w:hAnsi="Wingdings" w:hint="default"/>
      </w:rPr>
    </w:lvl>
    <w:lvl w:ilvl="1" w:tplc="9DA081D6">
      <w:start w:val="1"/>
      <w:numFmt w:val="bullet"/>
      <w:lvlText w:val="o"/>
      <w:lvlJc w:val="left"/>
      <w:pPr>
        <w:ind w:left="1080" w:hanging="360"/>
      </w:pPr>
      <w:rPr>
        <w:rFonts w:ascii="Courier New" w:hAnsi="Courier New" w:cs="Courier New" w:hint="default"/>
      </w:rPr>
    </w:lvl>
    <w:lvl w:ilvl="2" w:tplc="C340FC4C">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9CA1AA0"/>
    <w:multiLevelType w:val="hybridMultilevel"/>
    <w:tmpl w:val="37B47F5A"/>
    <w:lvl w:ilvl="0" w:tplc="F73C7BAE">
      <w:start w:val="1"/>
      <w:numFmt w:val="decimal"/>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C4824"/>
    <w:multiLevelType w:val="hybridMultilevel"/>
    <w:tmpl w:val="7E86468A"/>
    <w:lvl w:ilvl="0" w:tplc="C98EDA8A">
      <w:start w:val="1"/>
      <w:numFmt w:val="decimal"/>
      <w:pStyle w:val="Numberlist"/>
      <w:lvlText w:val="%1."/>
      <w:lvlJc w:val="left"/>
      <w:pPr>
        <w:ind w:left="360" w:hanging="360"/>
      </w:pPr>
      <w:rPr>
        <w:rFonts w:hint="default"/>
        <w:color w:val="auto"/>
      </w:rPr>
    </w:lvl>
    <w:lvl w:ilvl="1" w:tplc="7554898E">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5"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15E1E45"/>
    <w:multiLevelType w:val="multilevel"/>
    <w:tmpl w:val="FF66B4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C443C74"/>
    <w:multiLevelType w:val="hybridMultilevel"/>
    <w:tmpl w:val="784A547C"/>
    <w:lvl w:ilvl="0" w:tplc="A814AD26">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05812"/>
    <w:multiLevelType w:val="hybridMultilevel"/>
    <w:tmpl w:val="0980AC84"/>
    <w:lvl w:ilvl="0" w:tplc="F2C653CE">
      <w:start w:val="1"/>
      <w:numFmt w:val="decimal"/>
      <w:pStyle w:val="Instructions-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549AB"/>
    <w:multiLevelType w:val="hybridMultilevel"/>
    <w:tmpl w:val="F90A8552"/>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10" w15:restartNumberingAfterBreak="0">
    <w:nsid w:val="5DAF433B"/>
    <w:multiLevelType w:val="hybridMultilevel"/>
    <w:tmpl w:val="FA7CF612"/>
    <w:lvl w:ilvl="0" w:tplc="08090001">
      <w:numFmt w:val="bullet"/>
      <w:pStyle w:val="ListBullet"/>
      <w:lvlText w:val=""/>
      <w:lvlJc w:val="left"/>
      <w:pPr>
        <w:ind w:left="720" w:hanging="360"/>
      </w:pPr>
      <w:rPr>
        <w:rFonts w:ascii="Symbol" w:eastAsia="Times New Roman" w:hAnsi="Symbol" w:hint="default"/>
      </w:rPr>
    </w:lvl>
    <w:lvl w:ilvl="1" w:tplc="DB9A5D18"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B579D5"/>
    <w:multiLevelType w:val="hybridMultilevel"/>
    <w:tmpl w:val="FBC2FDFC"/>
    <w:lvl w:ilvl="0" w:tplc="295C39BE">
      <w:start w:val="1"/>
      <w:numFmt w:val="bullet"/>
      <w:pStyle w:val="bullet2"/>
      <w:lvlText w:val="o"/>
      <w:lvlJc w:val="left"/>
      <w:pPr>
        <w:ind w:left="720" w:hanging="360"/>
      </w:pPr>
      <w:rPr>
        <w:rFonts w:ascii="Courier New" w:hAnsi="Courier New" w:cs="Courier New" w:hint="default"/>
      </w:rPr>
    </w:lvl>
    <w:lvl w:ilvl="1" w:tplc="3E1C1D58">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814814"/>
    <w:multiLevelType w:val="multilevel"/>
    <w:tmpl w:val="70D4DC7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03340C"/>
    <w:multiLevelType w:val="multilevel"/>
    <w:tmpl w:val="4CEEBA04"/>
    <w:lvl w:ilvl="0">
      <w:start w:val="1"/>
      <w:numFmt w:val="decimal"/>
      <w:lvlText w:val="%1."/>
      <w:lvlJc w:val="left"/>
      <w:pPr>
        <w:ind w:left="360" w:hanging="360"/>
      </w:pPr>
      <w:rPr>
        <w:rFonts w:hint="default"/>
        <w:b/>
        <w:bCs w:val="0"/>
        <w:i w:val="0"/>
        <w:iCs w:val="0"/>
        <w:caps w:val="0"/>
        <w:smallCaps w:val="0"/>
        <w:strike w:val="0"/>
        <w:dstrike w:val="0"/>
        <w:noProof w:val="0"/>
        <w:vanish w:val="0"/>
        <w:color w:val="943634" w:themeColor="accent2" w:themeShade="BF"/>
        <w:spacing w:val="0"/>
        <w:kern w:val="0"/>
        <w:position w:val="0"/>
        <w:sz w:val="24"/>
        <w:u w:val="none"/>
        <w:vertAlign w:val="baseline"/>
        <w:em w:val="none"/>
      </w:rPr>
    </w:lvl>
    <w:lvl w:ilvl="1">
      <w:start w:val="1"/>
      <w:numFmt w:val="decimal"/>
      <w:lvlText w:val="%1.%2"/>
      <w:lvlJc w:val="left"/>
      <w:pPr>
        <w:tabs>
          <w:tab w:val="num" w:pos="567"/>
        </w:tabs>
        <w:ind w:left="567" w:hanging="567"/>
      </w:pPr>
      <w:rPr>
        <w:rFonts w:ascii="Arial" w:hAnsi="Arial" w:hint="default"/>
        <w:b/>
        <w:i w:val="0"/>
        <w:caps w:val="0"/>
        <w:color w:val="0000FF"/>
        <w:sz w:val="22"/>
      </w:rPr>
    </w:lvl>
    <w:lvl w:ilvl="2">
      <w:start w:val="1"/>
      <w:numFmt w:val="decimal"/>
      <w:lvlText w:val="%1.%2.%3"/>
      <w:lvlJc w:val="left"/>
      <w:pPr>
        <w:tabs>
          <w:tab w:val="num" w:pos="680"/>
        </w:tabs>
        <w:ind w:left="680" w:hanging="680"/>
      </w:pPr>
      <w:rPr>
        <w:rFonts w:ascii="Arial" w:hAnsi="Arial" w:hint="default"/>
        <w:b/>
        <w:i w:val="0"/>
        <w:caps w:val="0"/>
        <w:sz w:val="20"/>
      </w:rPr>
    </w:lvl>
    <w:lvl w:ilvl="3">
      <w:start w:val="1"/>
      <w:numFmt w:val="decimal"/>
      <w:lvlText w:val="%1.%2.%3.%4"/>
      <w:lvlJc w:val="left"/>
      <w:pPr>
        <w:tabs>
          <w:tab w:val="num" w:pos="880"/>
        </w:tabs>
        <w:ind w:left="680" w:hanging="680"/>
      </w:pPr>
      <w:rPr>
        <w:rFonts w:ascii="Arial Bold" w:hAnsi="Arial Bold" w:hint="default"/>
        <w:b/>
        <w:i w:val="0"/>
        <w:sz w:val="20"/>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5"/>
  </w:num>
  <w:num w:numId="2">
    <w:abstractNumId w:val="7"/>
  </w:num>
  <w:num w:numId="3">
    <w:abstractNumId w:val="0"/>
  </w:num>
  <w:num w:numId="4">
    <w:abstractNumId w:val="11"/>
  </w:num>
  <w:num w:numId="5">
    <w:abstractNumId w:val="9"/>
  </w:num>
  <w:num w:numId="6">
    <w:abstractNumId w:val="12"/>
  </w:num>
  <w:num w:numId="7">
    <w:abstractNumId w:val="1"/>
  </w:num>
  <w:num w:numId="8">
    <w:abstractNumId w:val="8"/>
  </w:num>
  <w:num w:numId="9">
    <w:abstractNumId w:val="10"/>
  </w:num>
  <w:num w:numId="10">
    <w:abstractNumId w:val="13"/>
  </w:num>
  <w:num w:numId="11">
    <w:abstractNumId w:val="3"/>
  </w:num>
  <w:num w:numId="12">
    <w:abstractNumId w:val="4"/>
  </w:num>
  <w:num w:numId="13">
    <w:abstractNumId w:val="2"/>
  </w:num>
  <w:num w:numId="14">
    <w:abstractNumId w:val="6"/>
  </w:num>
  <w:num w:numId="15">
    <w:abstractNumId w:val="4"/>
  </w:num>
  <w:num w:numId="16">
    <w:abstractNumId w:val="4"/>
  </w:num>
  <w:num w:numId="17">
    <w:abstractNumId w:val="0"/>
  </w:num>
  <w:num w:numId="18">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36A"/>
    <w:rsid w:val="00001923"/>
    <w:rsid w:val="00001A7E"/>
    <w:rsid w:val="000060AE"/>
    <w:rsid w:val="0001086D"/>
    <w:rsid w:val="00012800"/>
    <w:rsid w:val="00013B08"/>
    <w:rsid w:val="000146F1"/>
    <w:rsid w:val="000229C5"/>
    <w:rsid w:val="00023BC0"/>
    <w:rsid w:val="00030C0C"/>
    <w:rsid w:val="0003174E"/>
    <w:rsid w:val="000374CB"/>
    <w:rsid w:val="000379D7"/>
    <w:rsid w:val="000421FD"/>
    <w:rsid w:val="00043513"/>
    <w:rsid w:val="00044A64"/>
    <w:rsid w:val="00053A54"/>
    <w:rsid w:val="0005610D"/>
    <w:rsid w:val="00056940"/>
    <w:rsid w:val="000639EF"/>
    <w:rsid w:val="00064262"/>
    <w:rsid w:val="00064F56"/>
    <w:rsid w:val="00072AD5"/>
    <w:rsid w:val="00072C00"/>
    <w:rsid w:val="00072F51"/>
    <w:rsid w:val="0007480B"/>
    <w:rsid w:val="00074F2F"/>
    <w:rsid w:val="00075A9D"/>
    <w:rsid w:val="00077D41"/>
    <w:rsid w:val="00083C9D"/>
    <w:rsid w:val="0009369B"/>
    <w:rsid w:val="00095365"/>
    <w:rsid w:val="00095EFA"/>
    <w:rsid w:val="00097B78"/>
    <w:rsid w:val="000A0DFF"/>
    <w:rsid w:val="000A1324"/>
    <w:rsid w:val="000A1B0F"/>
    <w:rsid w:val="000A7851"/>
    <w:rsid w:val="000A7BE6"/>
    <w:rsid w:val="000B1E3E"/>
    <w:rsid w:val="000B442E"/>
    <w:rsid w:val="000B7D23"/>
    <w:rsid w:val="000C3681"/>
    <w:rsid w:val="000C45B6"/>
    <w:rsid w:val="000C5087"/>
    <w:rsid w:val="000C54A1"/>
    <w:rsid w:val="000D0307"/>
    <w:rsid w:val="000D308F"/>
    <w:rsid w:val="000D34E7"/>
    <w:rsid w:val="000D3D68"/>
    <w:rsid w:val="000D3E8C"/>
    <w:rsid w:val="000D4912"/>
    <w:rsid w:val="000D677A"/>
    <w:rsid w:val="000D70AA"/>
    <w:rsid w:val="000D7D37"/>
    <w:rsid w:val="000F2380"/>
    <w:rsid w:val="000F26D1"/>
    <w:rsid w:val="000F391A"/>
    <w:rsid w:val="00100541"/>
    <w:rsid w:val="00100D71"/>
    <w:rsid w:val="00101773"/>
    <w:rsid w:val="00101B2B"/>
    <w:rsid w:val="00103FD0"/>
    <w:rsid w:val="00104D42"/>
    <w:rsid w:val="00105091"/>
    <w:rsid w:val="001057FB"/>
    <w:rsid w:val="001064D3"/>
    <w:rsid w:val="00110971"/>
    <w:rsid w:val="00113E78"/>
    <w:rsid w:val="001206F6"/>
    <w:rsid w:val="00121F28"/>
    <w:rsid w:val="00122579"/>
    <w:rsid w:val="00124792"/>
    <w:rsid w:val="00125667"/>
    <w:rsid w:val="00127D56"/>
    <w:rsid w:val="001300C8"/>
    <w:rsid w:val="0013051D"/>
    <w:rsid w:val="0013059D"/>
    <w:rsid w:val="00130E43"/>
    <w:rsid w:val="00132E21"/>
    <w:rsid w:val="00134690"/>
    <w:rsid w:val="00134766"/>
    <w:rsid w:val="00135E89"/>
    <w:rsid w:val="001445C0"/>
    <w:rsid w:val="00147D09"/>
    <w:rsid w:val="0015055A"/>
    <w:rsid w:val="00156305"/>
    <w:rsid w:val="0016303D"/>
    <w:rsid w:val="00163B7C"/>
    <w:rsid w:val="00163F57"/>
    <w:rsid w:val="001653F1"/>
    <w:rsid w:val="00165F48"/>
    <w:rsid w:val="00174B60"/>
    <w:rsid w:val="00174E0E"/>
    <w:rsid w:val="001775A9"/>
    <w:rsid w:val="00182896"/>
    <w:rsid w:val="0018309A"/>
    <w:rsid w:val="001841A1"/>
    <w:rsid w:val="00184BB7"/>
    <w:rsid w:val="00190C93"/>
    <w:rsid w:val="00191B63"/>
    <w:rsid w:val="00194B73"/>
    <w:rsid w:val="00194EE8"/>
    <w:rsid w:val="00195717"/>
    <w:rsid w:val="00196565"/>
    <w:rsid w:val="001A024E"/>
    <w:rsid w:val="001A142E"/>
    <w:rsid w:val="001A26D3"/>
    <w:rsid w:val="001A4718"/>
    <w:rsid w:val="001A544B"/>
    <w:rsid w:val="001A561F"/>
    <w:rsid w:val="001A723A"/>
    <w:rsid w:val="001B1E29"/>
    <w:rsid w:val="001B2717"/>
    <w:rsid w:val="001B30AD"/>
    <w:rsid w:val="001B3B91"/>
    <w:rsid w:val="001B412F"/>
    <w:rsid w:val="001B5617"/>
    <w:rsid w:val="001C15BD"/>
    <w:rsid w:val="001C314A"/>
    <w:rsid w:val="001C6EFB"/>
    <w:rsid w:val="001C75D5"/>
    <w:rsid w:val="001D0B50"/>
    <w:rsid w:val="001D1245"/>
    <w:rsid w:val="001D17A5"/>
    <w:rsid w:val="001D1986"/>
    <w:rsid w:val="001D28AC"/>
    <w:rsid w:val="001D3B22"/>
    <w:rsid w:val="001D7813"/>
    <w:rsid w:val="001E1B56"/>
    <w:rsid w:val="001E41A3"/>
    <w:rsid w:val="001F4FC3"/>
    <w:rsid w:val="001F7B4E"/>
    <w:rsid w:val="00202189"/>
    <w:rsid w:val="00202B8D"/>
    <w:rsid w:val="0020434B"/>
    <w:rsid w:val="00206578"/>
    <w:rsid w:val="002106E5"/>
    <w:rsid w:val="00210C1A"/>
    <w:rsid w:val="0021165B"/>
    <w:rsid w:val="00211B96"/>
    <w:rsid w:val="002135BA"/>
    <w:rsid w:val="00214550"/>
    <w:rsid w:val="0022018B"/>
    <w:rsid w:val="00220406"/>
    <w:rsid w:val="00220F01"/>
    <w:rsid w:val="002227A2"/>
    <w:rsid w:val="0022356E"/>
    <w:rsid w:val="00231612"/>
    <w:rsid w:val="0023483C"/>
    <w:rsid w:val="002365F5"/>
    <w:rsid w:val="00237E6F"/>
    <w:rsid w:val="002444DB"/>
    <w:rsid w:val="0024558E"/>
    <w:rsid w:val="0024670C"/>
    <w:rsid w:val="00247535"/>
    <w:rsid w:val="00247F23"/>
    <w:rsid w:val="00250233"/>
    <w:rsid w:val="002515B6"/>
    <w:rsid w:val="002518EA"/>
    <w:rsid w:val="00252FEE"/>
    <w:rsid w:val="002549E9"/>
    <w:rsid w:val="00254B93"/>
    <w:rsid w:val="0025522A"/>
    <w:rsid w:val="0025738F"/>
    <w:rsid w:val="00264399"/>
    <w:rsid w:val="00266CBF"/>
    <w:rsid w:val="00267A8E"/>
    <w:rsid w:val="00270EA8"/>
    <w:rsid w:val="00275BAE"/>
    <w:rsid w:val="00276048"/>
    <w:rsid w:val="00276842"/>
    <w:rsid w:val="00281585"/>
    <w:rsid w:val="00290F8C"/>
    <w:rsid w:val="002937FE"/>
    <w:rsid w:val="00294158"/>
    <w:rsid w:val="002952B5"/>
    <w:rsid w:val="0029582C"/>
    <w:rsid w:val="002A068A"/>
    <w:rsid w:val="002A27DC"/>
    <w:rsid w:val="002A330A"/>
    <w:rsid w:val="002A38A5"/>
    <w:rsid w:val="002A57C2"/>
    <w:rsid w:val="002A5FA6"/>
    <w:rsid w:val="002A6563"/>
    <w:rsid w:val="002A68D6"/>
    <w:rsid w:val="002A71F7"/>
    <w:rsid w:val="002B016B"/>
    <w:rsid w:val="002B10B6"/>
    <w:rsid w:val="002B729A"/>
    <w:rsid w:val="002C0E28"/>
    <w:rsid w:val="002C1BA1"/>
    <w:rsid w:val="002C67A4"/>
    <w:rsid w:val="002D49D7"/>
    <w:rsid w:val="002D6577"/>
    <w:rsid w:val="002E3060"/>
    <w:rsid w:val="002E3BB0"/>
    <w:rsid w:val="002E6AE2"/>
    <w:rsid w:val="002E721B"/>
    <w:rsid w:val="002F0ACA"/>
    <w:rsid w:val="002F281C"/>
    <w:rsid w:val="002F3876"/>
    <w:rsid w:val="002F408F"/>
    <w:rsid w:val="002F490C"/>
    <w:rsid w:val="002F787E"/>
    <w:rsid w:val="002F7BC8"/>
    <w:rsid w:val="00301050"/>
    <w:rsid w:val="003016D5"/>
    <w:rsid w:val="00304754"/>
    <w:rsid w:val="00310F22"/>
    <w:rsid w:val="00311045"/>
    <w:rsid w:val="00312471"/>
    <w:rsid w:val="00314B72"/>
    <w:rsid w:val="0031673C"/>
    <w:rsid w:val="0032079B"/>
    <w:rsid w:val="0032408C"/>
    <w:rsid w:val="00324A19"/>
    <w:rsid w:val="003253D0"/>
    <w:rsid w:val="003313C3"/>
    <w:rsid w:val="00333888"/>
    <w:rsid w:val="00335D05"/>
    <w:rsid w:val="00337B7A"/>
    <w:rsid w:val="00342788"/>
    <w:rsid w:val="00342C1E"/>
    <w:rsid w:val="00342CC7"/>
    <w:rsid w:val="00343541"/>
    <w:rsid w:val="00345620"/>
    <w:rsid w:val="00350A42"/>
    <w:rsid w:val="00351390"/>
    <w:rsid w:val="00352FD6"/>
    <w:rsid w:val="003567AF"/>
    <w:rsid w:val="003607CB"/>
    <w:rsid w:val="0036201D"/>
    <w:rsid w:val="00365D77"/>
    <w:rsid w:val="00372E92"/>
    <w:rsid w:val="003746BA"/>
    <w:rsid w:val="0037641D"/>
    <w:rsid w:val="00380579"/>
    <w:rsid w:val="00381B35"/>
    <w:rsid w:val="003854BD"/>
    <w:rsid w:val="003876D0"/>
    <w:rsid w:val="00387EFA"/>
    <w:rsid w:val="00391A7C"/>
    <w:rsid w:val="00393C4E"/>
    <w:rsid w:val="00395F1E"/>
    <w:rsid w:val="00396CD2"/>
    <w:rsid w:val="003A1879"/>
    <w:rsid w:val="003A2150"/>
    <w:rsid w:val="003A24EB"/>
    <w:rsid w:val="003A2A2C"/>
    <w:rsid w:val="003A4D84"/>
    <w:rsid w:val="003A5879"/>
    <w:rsid w:val="003A70FF"/>
    <w:rsid w:val="003B0005"/>
    <w:rsid w:val="003B15C9"/>
    <w:rsid w:val="003B1F55"/>
    <w:rsid w:val="003B2DA7"/>
    <w:rsid w:val="003B34FB"/>
    <w:rsid w:val="003B383E"/>
    <w:rsid w:val="003B56C0"/>
    <w:rsid w:val="003B5AFB"/>
    <w:rsid w:val="003C04AD"/>
    <w:rsid w:val="003C35EE"/>
    <w:rsid w:val="003C720C"/>
    <w:rsid w:val="003D25C9"/>
    <w:rsid w:val="003D42E3"/>
    <w:rsid w:val="003D4BD6"/>
    <w:rsid w:val="003D51DC"/>
    <w:rsid w:val="003D6913"/>
    <w:rsid w:val="003D7997"/>
    <w:rsid w:val="003D7BCF"/>
    <w:rsid w:val="003E073D"/>
    <w:rsid w:val="003E3A05"/>
    <w:rsid w:val="003F0145"/>
    <w:rsid w:val="003F2345"/>
    <w:rsid w:val="003F4E5F"/>
    <w:rsid w:val="003F608D"/>
    <w:rsid w:val="003F64A9"/>
    <w:rsid w:val="003F7147"/>
    <w:rsid w:val="003F7AD7"/>
    <w:rsid w:val="004011C4"/>
    <w:rsid w:val="00401840"/>
    <w:rsid w:val="00403449"/>
    <w:rsid w:val="00404742"/>
    <w:rsid w:val="0040651B"/>
    <w:rsid w:val="0041265B"/>
    <w:rsid w:val="00414858"/>
    <w:rsid w:val="004148ED"/>
    <w:rsid w:val="00417854"/>
    <w:rsid w:val="00420EB6"/>
    <w:rsid w:val="00422A7E"/>
    <w:rsid w:val="004233AD"/>
    <w:rsid w:val="0042380D"/>
    <w:rsid w:val="00423E00"/>
    <w:rsid w:val="004243C4"/>
    <w:rsid w:val="00424C48"/>
    <w:rsid w:val="00424D85"/>
    <w:rsid w:val="0042623F"/>
    <w:rsid w:val="00431633"/>
    <w:rsid w:val="00432B85"/>
    <w:rsid w:val="00433584"/>
    <w:rsid w:val="004342B5"/>
    <w:rsid w:val="00435EAE"/>
    <w:rsid w:val="00436BEE"/>
    <w:rsid w:val="00440CAA"/>
    <w:rsid w:val="00441DE6"/>
    <w:rsid w:val="00445DD9"/>
    <w:rsid w:val="00446760"/>
    <w:rsid w:val="004527EF"/>
    <w:rsid w:val="00454205"/>
    <w:rsid w:val="00462B5B"/>
    <w:rsid w:val="00467F74"/>
    <w:rsid w:val="00474AAF"/>
    <w:rsid w:val="00474B7F"/>
    <w:rsid w:val="00475745"/>
    <w:rsid w:val="00476DB0"/>
    <w:rsid w:val="004773E0"/>
    <w:rsid w:val="004810D9"/>
    <w:rsid w:val="0048194C"/>
    <w:rsid w:val="00485E6A"/>
    <w:rsid w:val="00486085"/>
    <w:rsid w:val="0048641A"/>
    <w:rsid w:val="00486E4B"/>
    <w:rsid w:val="004913E9"/>
    <w:rsid w:val="00497A4C"/>
    <w:rsid w:val="00497E87"/>
    <w:rsid w:val="004A364B"/>
    <w:rsid w:val="004A4882"/>
    <w:rsid w:val="004A75B7"/>
    <w:rsid w:val="004B03A3"/>
    <w:rsid w:val="004B0C68"/>
    <w:rsid w:val="004B0C77"/>
    <w:rsid w:val="004B0D44"/>
    <w:rsid w:val="004B3DB9"/>
    <w:rsid w:val="004B4075"/>
    <w:rsid w:val="004B7034"/>
    <w:rsid w:val="004C2253"/>
    <w:rsid w:val="004C366B"/>
    <w:rsid w:val="004C46FF"/>
    <w:rsid w:val="004C526D"/>
    <w:rsid w:val="004C560A"/>
    <w:rsid w:val="004C5E89"/>
    <w:rsid w:val="004C6631"/>
    <w:rsid w:val="004D05BE"/>
    <w:rsid w:val="004D1948"/>
    <w:rsid w:val="004D326E"/>
    <w:rsid w:val="004E21EE"/>
    <w:rsid w:val="004E4D87"/>
    <w:rsid w:val="004E5613"/>
    <w:rsid w:val="004E5F84"/>
    <w:rsid w:val="004E7EB2"/>
    <w:rsid w:val="004F28BC"/>
    <w:rsid w:val="00500409"/>
    <w:rsid w:val="005024F4"/>
    <w:rsid w:val="00502A82"/>
    <w:rsid w:val="005030FC"/>
    <w:rsid w:val="00505070"/>
    <w:rsid w:val="00512BE1"/>
    <w:rsid w:val="00512C56"/>
    <w:rsid w:val="00513DB5"/>
    <w:rsid w:val="005142C2"/>
    <w:rsid w:val="00515F0F"/>
    <w:rsid w:val="00516200"/>
    <w:rsid w:val="005223BE"/>
    <w:rsid w:val="00522ABB"/>
    <w:rsid w:val="00525CA4"/>
    <w:rsid w:val="005262EC"/>
    <w:rsid w:val="00527E78"/>
    <w:rsid w:val="0053113D"/>
    <w:rsid w:val="005343E6"/>
    <w:rsid w:val="005354C1"/>
    <w:rsid w:val="0053623B"/>
    <w:rsid w:val="00543C1B"/>
    <w:rsid w:val="0055153E"/>
    <w:rsid w:val="00552033"/>
    <w:rsid w:val="00552ED3"/>
    <w:rsid w:val="00556B76"/>
    <w:rsid w:val="005636D5"/>
    <w:rsid w:val="005663EA"/>
    <w:rsid w:val="005708FE"/>
    <w:rsid w:val="00571788"/>
    <w:rsid w:val="00571A9B"/>
    <w:rsid w:val="0058476F"/>
    <w:rsid w:val="00584775"/>
    <w:rsid w:val="0058621F"/>
    <w:rsid w:val="00586C5E"/>
    <w:rsid w:val="00587557"/>
    <w:rsid w:val="00592FFB"/>
    <w:rsid w:val="005948ED"/>
    <w:rsid w:val="005951E3"/>
    <w:rsid w:val="0059568E"/>
    <w:rsid w:val="005A1486"/>
    <w:rsid w:val="005A1CF3"/>
    <w:rsid w:val="005A6461"/>
    <w:rsid w:val="005B2B90"/>
    <w:rsid w:val="005B5AA9"/>
    <w:rsid w:val="005C38BD"/>
    <w:rsid w:val="005C7A45"/>
    <w:rsid w:val="005D085D"/>
    <w:rsid w:val="005D17F6"/>
    <w:rsid w:val="005D321A"/>
    <w:rsid w:val="005D40D9"/>
    <w:rsid w:val="005D7CB4"/>
    <w:rsid w:val="005E1F7C"/>
    <w:rsid w:val="005F0420"/>
    <w:rsid w:val="005F175F"/>
    <w:rsid w:val="005F1AD8"/>
    <w:rsid w:val="00600106"/>
    <w:rsid w:val="0060052C"/>
    <w:rsid w:val="0060111C"/>
    <w:rsid w:val="006031E9"/>
    <w:rsid w:val="0060493A"/>
    <w:rsid w:val="00605E24"/>
    <w:rsid w:val="006119AC"/>
    <w:rsid w:val="00613A01"/>
    <w:rsid w:val="006147A9"/>
    <w:rsid w:val="006176B2"/>
    <w:rsid w:val="00624B79"/>
    <w:rsid w:val="00630316"/>
    <w:rsid w:val="0063129B"/>
    <w:rsid w:val="00631503"/>
    <w:rsid w:val="00631900"/>
    <w:rsid w:val="00636907"/>
    <w:rsid w:val="00636BD2"/>
    <w:rsid w:val="006372C5"/>
    <w:rsid w:val="00640296"/>
    <w:rsid w:val="006427CF"/>
    <w:rsid w:val="0064360D"/>
    <w:rsid w:val="006452BA"/>
    <w:rsid w:val="00653B3D"/>
    <w:rsid w:val="00654502"/>
    <w:rsid w:val="006561C0"/>
    <w:rsid w:val="00657D72"/>
    <w:rsid w:val="00660DC2"/>
    <w:rsid w:val="00664185"/>
    <w:rsid w:val="0066505A"/>
    <w:rsid w:val="00670599"/>
    <w:rsid w:val="0067276C"/>
    <w:rsid w:val="00673283"/>
    <w:rsid w:val="0067375A"/>
    <w:rsid w:val="00684803"/>
    <w:rsid w:val="00684DA0"/>
    <w:rsid w:val="00690BFE"/>
    <w:rsid w:val="00691F51"/>
    <w:rsid w:val="00692ACD"/>
    <w:rsid w:val="00692DFA"/>
    <w:rsid w:val="006941D1"/>
    <w:rsid w:val="00694803"/>
    <w:rsid w:val="0069536A"/>
    <w:rsid w:val="00696301"/>
    <w:rsid w:val="00696B18"/>
    <w:rsid w:val="006A057F"/>
    <w:rsid w:val="006A1842"/>
    <w:rsid w:val="006A52C2"/>
    <w:rsid w:val="006A5B18"/>
    <w:rsid w:val="006B0E53"/>
    <w:rsid w:val="006B270C"/>
    <w:rsid w:val="006B34DC"/>
    <w:rsid w:val="006B351B"/>
    <w:rsid w:val="006B4ED2"/>
    <w:rsid w:val="006B66EE"/>
    <w:rsid w:val="006C0879"/>
    <w:rsid w:val="006E32A4"/>
    <w:rsid w:val="006E3759"/>
    <w:rsid w:val="006E39DA"/>
    <w:rsid w:val="006E57D8"/>
    <w:rsid w:val="006F11A7"/>
    <w:rsid w:val="006F30B1"/>
    <w:rsid w:val="006F5C29"/>
    <w:rsid w:val="006F6EFF"/>
    <w:rsid w:val="007029A2"/>
    <w:rsid w:val="00704E9B"/>
    <w:rsid w:val="00705FD1"/>
    <w:rsid w:val="007064B3"/>
    <w:rsid w:val="00712A28"/>
    <w:rsid w:val="00714ABF"/>
    <w:rsid w:val="00715858"/>
    <w:rsid w:val="00716AAA"/>
    <w:rsid w:val="0072425C"/>
    <w:rsid w:val="00725335"/>
    <w:rsid w:val="007265FC"/>
    <w:rsid w:val="00726D2D"/>
    <w:rsid w:val="00727E41"/>
    <w:rsid w:val="00731E89"/>
    <w:rsid w:val="007327DD"/>
    <w:rsid w:val="00734CF6"/>
    <w:rsid w:val="007363E6"/>
    <w:rsid w:val="0074146D"/>
    <w:rsid w:val="007427DD"/>
    <w:rsid w:val="00743FCE"/>
    <w:rsid w:val="00745292"/>
    <w:rsid w:val="00745CB4"/>
    <w:rsid w:val="00746BB7"/>
    <w:rsid w:val="00752E2A"/>
    <w:rsid w:val="00754D1F"/>
    <w:rsid w:val="00757628"/>
    <w:rsid w:val="007602C8"/>
    <w:rsid w:val="00760E2A"/>
    <w:rsid w:val="00761F87"/>
    <w:rsid w:val="007642D1"/>
    <w:rsid w:val="007655EC"/>
    <w:rsid w:val="00765A24"/>
    <w:rsid w:val="007668D7"/>
    <w:rsid w:val="00766C73"/>
    <w:rsid w:val="00775A9C"/>
    <w:rsid w:val="007764EB"/>
    <w:rsid w:val="00776ED6"/>
    <w:rsid w:val="00780DA8"/>
    <w:rsid w:val="0078103D"/>
    <w:rsid w:val="00790CBC"/>
    <w:rsid w:val="00791AC8"/>
    <w:rsid w:val="0079417E"/>
    <w:rsid w:val="00794AB7"/>
    <w:rsid w:val="007A2116"/>
    <w:rsid w:val="007A44B0"/>
    <w:rsid w:val="007A6E56"/>
    <w:rsid w:val="007B2EC7"/>
    <w:rsid w:val="007B2EFE"/>
    <w:rsid w:val="007B4836"/>
    <w:rsid w:val="007B53E5"/>
    <w:rsid w:val="007B5831"/>
    <w:rsid w:val="007B58A5"/>
    <w:rsid w:val="007B6DB7"/>
    <w:rsid w:val="007B72E2"/>
    <w:rsid w:val="007C062E"/>
    <w:rsid w:val="007C10CF"/>
    <w:rsid w:val="007C2BD5"/>
    <w:rsid w:val="007C5977"/>
    <w:rsid w:val="007C5C93"/>
    <w:rsid w:val="007D2EB3"/>
    <w:rsid w:val="007D3863"/>
    <w:rsid w:val="007D68C1"/>
    <w:rsid w:val="007D79E6"/>
    <w:rsid w:val="007E6910"/>
    <w:rsid w:val="007F62D4"/>
    <w:rsid w:val="007F73CA"/>
    <w:rsid w:val="008016C1"/>
    <w:rsid w:val="0080244D"/>
    <w:rsid w:val="00802A77"/>
    <w:rsid w:val="008036AB"/>
    <w:rsid w:val="0080371D"/>
    <w:rsid w:val="00803F0F"/>
    <w:rsid w:val="008044C3"/>
    <w:rsid w:val="00804525"/>
    <w:rsid w:val="00804622"/>
    <w:rsid w:val="008076E5"/>
    <w:rsid w:val="00811195"/>
    <w:rsid w:val="00811D55"/>
    <w:rsid w:val="008125A6"/>
    <w:rsid w:val="008129C1"/>
    <w:rsid w:val="00814346"/>
    <w:rsid w:val="00814EC7"/>
    <w:rsid w:val="00815021"/>
    <w:rsid w:val="0081603F"/>
    <w:rsid w:val="0081675C"/>
    <w:rsid w:val="00817FDE"/>
    <w:rsid w:val="00820AAC"/>
    <w:rsid w:val="008235B1"/>
    <w:rsid w:val="0082795A"/>
    <w:rsid w:val="0083169E"/>
    <w:rsid w:val="00832412"/>
    <w:rsid w:val="00834888"/>
    <w:rsid w:val="00840893"/>
    <w:rsid w:val="008424AF"/>
    <w:rsid w:val="008435F5"/>
    <w:rsid w:val="00851971"/>
    <w:rsid w:val="00852323"/>
    <w:rsid w:val="00860FC1"/>
    <w:rsid w:val="00860FC2"/>
    <w:rsid w:val="00862988"/>
    <w:rsid w:val="00862C8C"/>
    <w:rsid w:val="00864335"/>
    <w:rsid w:val="008647F2"/>
    <w:rsid w:val="00870BB2"/>
    <w:rsid w:val="008715F3"/>
    <w:rsid w:val="00875EAE"/>
    <w:rsid w:val="008766D7"/>
    <w:rsid w:val="008823B6"/>
    <w:rsid w:val="008828F5"/>
    <w:rsid w:val="00886A0B"/>
    <w:rsid w:val="00893B82"/>
    <w:rsid w:val="00893CC2"/>
    <w:rsid w:val="0089745C"/>
    <w:rsid w:val="008A0005"/>
    <w:rsid w:val="008A053A"/>
    <w:rsid w:val="008A41DE"/>
    <w:rsid w:val="008A5826"/>
    <w:rsid w:val="008A682E"/>
    <w:rsid w:val="008A6E15"/>
    <w:rsid w:val="008A7373"/>
    <w:rsid w:val="008B1C2E"/>
    <w:rsid w:val="008B4B57"/>
    <w:rsid w:val="008B5240"/>
    <w:rsid w:val="008B5A32"/>
    <w:rsid w:val="008B6B2A"/>
    <w:rsid w:val="008C0049"/>
    <w:rsid w:val="008C249E"/>
    <w:rsid w:val="008C2F7E"/>
    <w:rsid w:val="008C75C7"/>
    <w:rsid w:val="008C7BEB"/>
    <w:rsid w:val="008D31AF"/>
    <w:rsid w:val="008D54DF"/>
    <w:rsid w:val="008D6C84"/>
    <w:rsid w:val="008E2669"/>
    <w:rsid w:val="008E30FD"/>
    <w:rsid w:val="008E4568"/>
    <w:rsid w:val="008E466A"/>
    <w:rsid w:val="008E4DEE"/>
    <w:rsid w:val="008E4E39"/>
    <w:rsid w:val="008E601E"/>
    <w:rsid w:val="008E79D2"/>
    <w:rsid w:val="008F0D57"/>
    <w:rsid w:val="008F3DCA"/>
    <w:rsid w:val="008F40D0"/>
    <w:rsid w:val="008F5FE0"/>
    <w:rsid w:val="008F795D"/>
    <w:rsid w:val="00902F90"/>
    <w:rsid w:val="00907B94"/>
    <w:rsid w:val="009104BB"/>
    <w:rsid w:val="00913142"/>
    <w:rsid w:val="0091437E"/>
    <w:rsid w:val="00914920"/>
    <w:rsid w:val="00914FF9"/>
    <w:rsid w:val="009161CB"/>
    <w:rsid w:val="0091627A"/>
    <w:rsid w:val="00916D15"/>
    <w:rsid w:val="009175D9"/>
    <w:rsid w:val="009212E1"/>
    <w:rsid w:val="009218BC"/>
    <w:rsid w:val="00924799"/>
    <w:rsid w:val="00935ADD"/>
    <w:rsid w:val="00937647"/>
    <w:rsid w:val="00937A31"/>
    <w:rsid w:val="0094272E"/>
    <w:rsid w:val="0094547A"/>
    <w:rsid w:val="0094639E"/>
    <w:rsid w:val="00946465"/>
    <w:rsid w:val="00952F7E"/>
    <w:rsid w:val="00955EE1"/>
    <w:rsid w:val="009576BD"/>
    <w:rsid w:val="00961343"/>
    <w:rsid w:val="00962995"/>
    <w:rsid w:val="0096363F"/>
    <w:rsid w:val="009665CF"/>
    <w:rsid w:val="00967A11"/>
    <w:rsid w:val="00971826"/>
    <w:rsid w:val="009719C3"/>
    <w:rsid w:val="00971F1C"/>
    <w:rsid w:val="009725E3"/>
    <w:rsid w:val="00975188"/>
    <w:rsid w:val="00982575"/>
    <w:rsid w:val="00983431"/>
    <w:rsid w:val="00984F87"/>
    <w:rsid w:val="0099679E"/>
    <w:rsid w:val="00997216"/>
    <w:rsid w:val="00997C16"/>
    <w:rsid w:val="009A2040"/>
    <w:rsid w:val="009A221B"/>
    <w:rsid w:val="009A3446"/>
    <w:rsid w:val="009B26BA"/>
    <w:rsid w:val="009C2C63"/>
    <w:rsid w:val="009C4257"/>
    <w:rsid w:val="009C52B9"/>
    <w:rsid w:val="009C5723"/>
    <w:rsid w:val="009D0F66"/>
    <w:rsid w:val="009D2891"/>
    <w:rsid w:val="009D58A1"/>
    <w:rsid w:val="009D6F1F"/>
    <w:rsid w:val="009E08FF"/>
    <w:rsid w:val="009E11DD"/>
    <w:rsid w:val="009E44AF"/>
    <w:rsid w:val="009E45A3"/>
    <w:rsid w:val="009F0638"/>
    <w:rsid w:val="009F1369"/>
    <w:rsid w:val="009F2F77"/>
    <w:rsid w:val="009F4AC7"/>
    <w:rsid w:val="009F627E"/>
    <w:rsid w:val="00A00156"/>
    <w:rsid w:val="00A00BE8"/>
    <w:rsid w:val="00A01A0C"/>
    <w:rsid w:val="00A01C93"/>
    <w:rsid w:val="00A0271E"/>
    <w:rsid w:val="00A06B2E"/>
    <w:rsid w:val="00A10C3E"/>
    <w:rsid w:val="00A11FDD"/>
    <w:rsid w:val="00A123E1"/>
    <w:rsid w:val="00A13CB0"/>
    <w:rsid w:val="00A140D5"/>
    <w:rsid w:val="00A21EF3"/>
    <w:rsid w:val="00A22A07"/>
    <w:rsid w:val="00A264AD"/>
    <w:rsid w:val="00A306A4"/>
    <w:rsid w:val="00A308A4"/>
    <w:rsid w:val="00A3465C"/>
    <w:rsid w:val="00A3579A"/>
    <w:rsid w:val="00A35E4F"/>
    <w:rsid w:val="00A36FF0"/>
    <w:rsid w:val="00A37B50"/>
    <w:rsid w:val="00A40CA9"/>
    <w:rsid w:val="00A46AE5"/>
    <w:rsid w:val="00A5240E"/>
    <w:rsid w:val="00A5264D"/>
    <w:rsid w:val="00A5391E"/>
    <w:rsid w:val="00A55A06"/>
    <w:rsid w:val="00A5670C"/>
    <w:rsid w:val="00A57390"/>
    <w:rsid w:val="00A6082D"/>
    <w:rsid w:val="00A6339F"/>
    <w:rsid w:val="00A64B4F"/>
    <w:rsid w:val="00A64F0B"/>
    <w:rsid w:val="00A66148"/>
    <w:rsid w:val="00A668FC"/>
    <w:rsid w:val="00A74DB6"/>
    <w:rsid w:val="00A74E71"/>
    <w:rsid w:val="00A7704C"/>
    <w:rsid w:val="00A80207"/>
    <w:rsid w:val="00A822DC"/>
    <w:rsid w:val="00A84701"/>
    <w:rsid w:val="00A86813"/>
    <w:rsid w:val="00A86A18"/>
    <w:rsid w:val="00A91AC7"/>
    <w:rsid w:val="00A93988"/>
    <w:rsid w:val="00A9456D"/>
    <w:rsid w:val="00A95C65"/>
    <w:rsid w:val="00AA1665"/>
    <w:rsid w:val="00AA3234"/>
    <w:rsid w:val="00AA6011"/>
    <w:rsid w:val="00AA74BA"/>
    <w:rsid w:val="00AB234B"/>
    <w:rsid w:val="00AB2EAD"/>
    <w:rsid w:val="00AB566D"/>
    <w:rsid w:val="00AB575E"/>
    <w:rsid w:val="00AB704E"/>
    <w:rsid w:val="00AC0978"/>
    <w:rsid w:val="00AC215A"/>
    <w:rsid w:val="00AC5EAA"/>
    <w:rsid w:val="00AC7BE0"/>
    <w:rsid w:val="00AD13D7"/>
    <w:rsid w:val="00AD4665"/>
    <w:rsid w:val="00AD57CC"/>
    <w:rsid w:val="00AD6081"/>
    <w:rsid w:val="00AD65E0"/>
    <w:rsid w:val="00AE0AC8"/>
    <w:rsid w:val="00AE2516"/>
    <w:rsid w:val="00AE5591"/>
    <w:rsid w:val="00AE5780"/>
    <w:rsid w:val="00AE6309"/>
    <w:rsid w:val="00AE744B"/>
    <w:rsid w:val="00AF0C85"/>
    <w:rsid w:val="00AF10D0"/>
    <w:rsid w:val="00AF7CD2"/>
    <w:rsid w:val="00B06754"/>
    <w:rsid w:val="00B07452"/>
    <w:rsid w:val="00B1052F"/>
    <w:rsid w:val="00B10C05"/>
    <w:rsid w:val="00B134F0"/>
    <w:rsid w:val="00B13B5E"/>
    <w:rsid w:val="00B14826"/>
    <w:rsid w:val="00B16E7D"/>
    <w:rsid w:val="00B1786F"/>
    <w:rsid w:val="00B22AD7"/>
    <w:rsid w:val="00B27204"/>
    <w:rsid w:val="00B35770"/>
    <w:rsid w:val="00B3606D"/>
    <w:rsid w:val="00B40C5F"/>
    <w:rsid w:val="00B452AE"/>
    <w:rsid w:val="00B50E6F"/>
    <w:rsid w:val="00B53A1C"/>
    <w:rsid w:val="00B53C9D"/>
    <w:rsid w:val="00B55F4C"/>
    <w:rsid w:val="00B6064B"/>
    <w:rsid w:val="00B6322E"/>
    <w:rsid w:val="00B6337E"/>
    <w:rsid w:val="00B63F21"/>
    <w:rsid w:val="00B6408C"/>
    <w:rsid w:val="00B72E42"/>
    <w:rsid w:val="00B747FB"/>
    <w:rsid w:val="00B7682F"/>
    <w:rsid w:val="00B76ACC"/>
    <w:rsid w:val="00B7758F"/>
    <w:rsid w:val="00B77B48"/>
    <w:rsid w:val="00B80F8D"/>
    <w:rsid w:val="00B837C7"/>
    <w:rsid w:val="00B84799"/>
    <w:rsid w:val="00B85596"/>
    <w:rsid w:val="00B85B31"/>
    <w:rsid w:val="00B86A0E"/>
    <w:rsid w:val="00B92012"/>
    <w:rsid w:val="00B928F6"/>
    <w:rsid w:val="00B937B6"/>
    <w:rsid w:val="00B940A8"/>
    <w:rsid w:val="00B952E8"/>
    <w:rsid w:val="00B967BD"/>
    <w:rsid w:val="00B9696A"/>
    <w:rsid w:val="00BA0C7D"/>
    <w:rsid w:val="00BA59CF"/>
    <w:rsid w:val="00BB16B3"/>
    <w:rsid w:val="00BB27E5"/>
    <w:rsid w:val="00BB2AF0"/>
    <w:rsid w:val="00BB30D5"/>
    <w:rsid w:val="00BB69E1"/>
    <w:rsid w:val="00BB6ABD"/>
    <w:rsid w:val="00BB7B4A"/>
    <w:rsid w:val="00BB7D76"/>
    <w:rsid w:val="00BD1740"/>
    <w:rsid w:val="00BD3F7D"/>
    <w:rsid w:val="00BD4DD3"/>
    <w:rsid w:val="00BE185E"/>
    <w:rsid w:val="00BE1BAC"/>
    <w:rsid w:val="00BE1DB1"/>
    <w:rsid w:val="00BE415B"/>
    <w:rsid w:val="00BE5AE5"/>
    <w:rsid w:val="00BF4265"/>
    <w:rsid w:val="00BF4E95"/>
    <w:rsid w:val="00BF6B08"/>
    <w:rsid w:val="00BF6D4D"/>
    <w:rsid w:val="00C02B76"/>
    <w:rsid w:val="00C036D8"/>
    <w:rsid w:val="00C0382A"/>
    <w:rsid w:val="00C0396F"/>
    <w:rsid w:val="00C04D64"/>
    <w:rsid w:val="00C05F2F"/>
    <w:rsid w:val="00C11049"/>
    <w:rsid w:val="00C126C0"/>
    <w:rsid w:val="00C16E6D"/>
    <w:rsid w:val="00C20F6B"/>
    <w:rsid w:val="00C24712"/>
    <w:rsid w:val="00C24E0B"/>
    <w:rsid w:val="00C26EC9"/>
    <w:rsid w:val="00C30124"/>
    <w:rsid w:val="00C31D63"/>
    <w:rsid w:val="00C34052"/>
    <w:rsid w:val="00C34A3B"/>
    <w:rsid w:val="00C34E3D"/>
    <w:rsid w:val="00C3647F"/>
    <w:rsid w:val="00C36AE0"/>
    <w:rsid w:val="00C40F55"/>
    <w:rsid w:val="00C41774"/>
    <w:rsid w:val="00C435CC"/>
    <w:rsid w:val="00C43BEC"/>
    <w:rsid w:val="00C4454A"/>
    <w:rsid w:val="00C45C15"/>
    <w:rsid w:val="00C51ECE"/>
    <w:rsid w:val="00C534D8"/>
    <w:rsid w:val="00C5401C"/>
    <w:rsid w:val="00C55413"/>
    <w:rsid w:val="00C56ADA"/>
    <w:rsid w:val="00C56C83"/>
    <w:rsid w:val="00C6506A"/>
    <w:rsid w:val="00C65C41"/>
    <w:rsid w:val="00C67B31"/>
    <w:rsid w:val="00C75D9A"/>
    <w:rsid w:val="00C81ADC"/>
    <w:rsid w:val="00C8467F"/>
    <w:rsid w:val="00C84EEF"/>
    <w:rsid w:val="00C862EE"/>
    <w:rsid w:val="00C87A3B"/>
    <w:rsid w:val="00C91CEB"/>
    <w:rsid w:val="00C93BBD"/>
    <w:rsid w:val="00C942FE"/>
    <w:rsid w:val="00C968FE"/>
    <w:rsid w:val="00C96F5A"/>
    <w:rsid w:val="00CA03CB"/>
    <w:rsid w:val="00CA098E"/>
    <w:rsid w:val="00CA2C1A"/>
    <w:rsid w:val="00CA7404"/>
    <w:rsid w:val="00CB07E8"/>
    <w:rsid w:val="00CB45BA"/>
    <w:rsid w:val="00CC0682"/>
    <w:rsid w:val="00CC1A24"/>
    <w:rsid w:val="00CC2B7A"/>
    <w:rsid w:val="00CC478A"/>
    <w:rsid w:val="00CC61A6"/>
    <w:rsid w:val="00CC6C2A"/>
    <w:rsid w:val="00CD1532"/>
    <w:rsid w:val="00CD2F93"/>
    <w:rsid w:val="00CD3E66"/>
    <w:rsid w:val="00CD5B93"/>
    <w:rsid w:val="00CE116E"/>
    <w:rsid w:val="00CE2541"/>
    <w:rsid w:val="00CE7D01"/>
    <w:rsid w:val="00CF124E"/>
    <w:rsid w:val="00CF2072"/>
    <w:rsid w:val="00CF2082"/>
    <w:rsid w:val="00D00C72"/>
    <w:rsid w:val="00D017DD"/>
    <w:rsid w:val="00D01F82"/>
    <w:rsid w:val="00D0237D"/>
    <w:rsid w:val="00D04619"/>
    <w:rsid w:val="00D05063"/>
    <w:rsid w:val="00D05DA4"/>
    <w:rsid w:val="00D07256"/>
    <w:rsid w:val="00D07D11"/>
    <w:rsid w:val="00D17200"/>
    <w:rsid w:val="00D17544"/>
    <w:rsid w:val="00D2210E"/>
    <w:rsid w:val="00D23782"/>
    <w:rsid w:val="00D26749"/>
    <w:rsid w:val="00D270BD"/>
    <w:rsid w:val="00D27D10"/>
    <w:rsid w:val="00D30131"/>
    <w:rsid w:val="00D31164"/>
    <w:rsid w:val="00D31668"/>
    <w:rsid w:val="00D33108"/>
    <w:rsid w:val="00D33C0E"/>
    <w:rsid w:val="00D33E53"/>
    <w:rsid w:val="00D41A7F"/>
    <w:rsid w:val="00D41CE6"/>
    <w:rsid w:val="00D45929"/>
    <w:rsid w:val="00D45F97"/>
    <w:rsid w:val="00D47970"/>
    <w:rsid w:val="00D53B40"/>
    <w:rsid w:val="00D608A3"/>
    <w:rsid w:val="00D61A38"/>
    <w:rsid w:val="00D63317"/>
    <w:rsid w:val="00D63BBD"/>
    <w:rsid w:val="00D65096"/>
    <w:rsid w:val="00D66534"/>
    <w:rsid w:val="00D67824"/>
    <w:rsid w:val="00D720D5"/>
    <w:rsid w:val="00D72805"/>
    <w:rsid w:val="00D7713D"/>
    <w:rsid w:val="00D81A4E"/>
    <w:rsid w:val="00D82CCF"/>
    <w:rsid w:val="00D82D6F"/>
    <w:rsid w:val="00D85404"/>
    <w:rsid w:val="00D914F3"/>
    <w:rsid w:val="00D930D4"/>
    <w:rsid w:val="00DA0796"/>
    <w:rsid w:val="00DA19A3"/>
    <w:rsid w:val="00DA31DC"/>
    <w:rsid w:val="00DA4D76"/>
    <w:rsid w:val="00DA54AF"/>
    <w:rsid w:val="00DA781F"/>
    <w:rsid w:val="00DB1832"/>
    <w:rsid w:val="00DB4A98"/>
    <w:rsid w:val="00DB5FB3"/>
    <w:rsid w:val="00DB6931"/>
    <w:rsid w:val="00DB6C3A"/>
    <w:rsid w:val="00DC0548"/>
    <w:rsid w:val="00DC0D2B"/>
    <w:rsid w:val="00DC2ED8"/>
    <w:rsid w:val="00DC30B1"/>
    <w:rsid w:val="00DC387F"/>
    <w:rsid w:val="00DC435D"/>
    <w:rsid w:val="00DC58E9"/>
    <w:rsid w:val="00DD171A"/>
    <w:rsid w:val="00DD3075"/>
    <w:rsid w:val="00DD635E"/>
    <w:rsid w:val="00DE08B9"/>
    <w:rsid w:val="00DE2ACB"/>
    <w:rsid w:val="00DE4B2A"/>
    <w:rsid w:val="00DE6BC6"/>
    <w:rsid w:val="00DF5D32"/>
    <w:rsid w:val="00DF6A10"/>
    <w:rsid w:val="00DF77AD"/>
    <w:rsid w:val="00E03AA3"/>
    <w:rsid w:val="00E03E1B"/>
    <w:rsid w:val="00E12542"/>
    <w:rsid w:val="00E12A20"/>
    <w:rsid w:val="00E16DBD"/>
    <w:rsid w:val="00E2252B"/>
    <w:rsid w:val="00E22773"/>
    <w:rsid w:val="00E234E5"/>
    <w:rsid w:val="00E31646"/>
    <w:rsid w:val="00E324C0"/>
    <w:rsid w:val="00E32E75"/>
    <w:rsid w:val="00E34990"/>
    <w:rsid w:val="00E34BEA"/>
    <w:rsid w:val="00E410D8"/>
    <w:rsid w:val="00E4248D"/>
    <w:rsid w:val="00E47E03"/>
    <w:rsid w:val="00E52A33"/>
    <w:rsid w:val="00E53B95"/>
    <w:rsid w:val="00E54F5E"/>
    <w:rsid w:val="00E57BDF"/>
    <w:rsid w:val="00E66F7C"/>
    <w:rsid w:val="00E714DD"/>
    <w:rsid w:val="00E81F47"/>
    <w:rsid w:val="00E8642E"/>
    <w:rsid w:val="00E9003F"/>
    <w:rsid w:val="00E935B2"/>
    <w:rsid w:val="00E93A22"/>
    <w:rsid w:val="00E95340"/>
    <w:rsid w:val="00E95906"/>
    <w:rsid w:val="00E97908"/>
    <w:rsid w:val="00EA35BA"/>
    <w:rsid w:val="00EA4540"/>
    <w:rsid w:val="00EA47FF"/>
    <w:rsid w:val="00EA5210"/>
    <w:rsid w:val="00EA62D7"/>
    <w:rsid w:val="00EB0C6D"/>
    <w:rsid w:val="00EB0E56"/>
    <w:rsid w:val="00EB122B"/>
    <w:rsid w:val="00EB144F"/>
    <w:rsid w:val="00EB6B50"/>
    <w:rsid w:val="00EC0950"/>
    <w:rsid w:val="00EC130E"/>
    <w:rsid w:val="00EC26A5"/>
    <w:rsid w:val="00EC3122"/>
    <w:rsid w:val="00EC42B6"/>
    <w:rsid w:val="00EC5810"/>
    <w:rsid w:val="00EC6230"/>
    <w:rsid w:val="00ED0750"/>
    <w:rsid w:val="00ED1753"/>
    <w:rsid w:val="00ED2C7C"/>
    <w:rsid w:val="00ED6779"/>
    <w:rsid w:val="00EE1837"/>
    <w:rsid w:val="00EE35DE"/>
    <w:rsid w:val="00EE47E5"/>
    <w:rsid w:val="00EE5868"/>
    <w:rsid w:val="00EE6CA5"/>
    <w:rsid w:val="00EF1B60"/>
    <w:rsid w:val="00EF30F1"/>
    <w:rsid w:val="00EF5E08"/>
    <w:rsid w:val="00EF729E"/>
    <w:rsid w:val="00F013DE"/>
    <w:rsid w:val="00F03A30"/>
    <w:rsid w:val="00F04052"/>
    <w:rsid w:val="00F12A38"/>
    <w:rsid w:val="00F13ED0"/>
    <w:rsid w:val="00F17811"/>
    <w:rsid w:val="00F210C4"/>
    <w:rsid w:val="00F21898"/>
    <w:rsid w:val="00F21A50"/>
    <w:rsid w:val="00F25DAA"/>
    <w:rsid w:val="00F271F1"/>
    <w:rsid w:val="00F31B22"/>
    <w:rsid w:val="00F31D4F"/>
    <w:rsid w:val="00F34657"/>
    <w:rsid w:val="00F355FB"/>
    <w:rsid w:val="00F40DCF"/>
    <w:rsid w:val="00F43764"/>
    <w:rsid w:val="00F46DE6"/>
    <w:rsid w:val="00F47D41"/>
    <w:rsid w:val="00F506E3"/>
    <w:rsid w:val="00F52128"/>
    <w:rsid w:val="00F52638"/>
    <w:rsid w:val="00F53172"/>
    <w:rsid w:val="00F55561"/>
    <w:rsid w:val="00F629BC"/>
    <w:rsid w:val="00F62C5B"/>
    <w:rsid w:val="00F62EB2"/>
    <w:rsid w:val="00F70A26"/>
    <w:rsid w:val="00F71BE9"/>
    <w:rsid w:val="00F73811"/>
    <w:rsid w:val="00F74DE5"/>
    <w:rsid w:val="00F7576E"/>
    <w:rsid w:val="00F7764F"/>
    <w:rsid w:val="00F77B3A"/>
    <w:rsid w:val="00F81EA8"/>
    <w:rsid w:val="00F83916"/>
    <w:rsid w:val="00F86FE3"/>
    <w:rsid w:val="00F9033A"/>
    <w:rsid w:val="00F90381"/>
    <w:rsid w:val="00F949D7"/>
    <w:rsid w:val="00F95218"/>
    <w:rsid w:val="00F95D54"/>
    <w:rsid w:val="00FA0D9E"/>
    <w:rsid w:val="00FA2705"/>
    <w:rsid w:val="00FA3166"/>
    <w:rsid w:val="00FA41BA"/>
    <w:rsid w:val="00FA7B7C"/>
    <w:rsid w:val="00FB0787"/>
    <w:rsid w:val="00FB3238"/>
    <w:rsid w:val="00FB5172"/>
    <w:rsid w:val="00FC05BD"/>
    <w:rsid w:val="00FC1903"/>
    <w:rsid w:val="00FD05D4"/>
    <w:rsid w:val="00FD58A1"/>
    <w:rsid w:val="00FD689E"/>
    <w:rsid w:val="00FE0497"/>
    <w:rsid w:val="00FE1FEC"/>
    <w:rsid w:val="00FE259F"/>
    <w:rsid w:val="00FE324F"/>
    <w:rsid w:val="00FE32F0"/>
    <w:rsid w:val="00FE50DE"/>
    <w:rsid w:val="00FE587B"/>
    <w:rsid w:val="00FE6B73"/>
    <w:rsid w:val="00FF0711"/>
    <w:rsid w:val="00FF33E7"/>
    <w:rsid w:val="00FF514D"/>
    <w:rsid w:val="00FF611B"/>
    <w:rsid w:val="00FF61AE"/>
    <w:rsid w:val="00FF6C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290D"/>
  <w15:docId w15:val="{FE6096EA-E79B-4AB0-BC45-05293737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unhideWhenUsed="1" w:qFormat="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3DE"/>
    <w:pPr>
      <w:spacing w:before="60" w:after="60" w:line="240" w:lineRule="auto"/>
    </w:pPr>
    <w:rPr>
      <w:rFonts w:ascii="Calibri" w:hAnsi="Calibri" w:cs="Arial"/>
      <w:sz w:val="20"/>
      <w:szCs w:val="20"/>
      <w:lang w:eastAsia="en-US"/>
    </w:rPr>
  </w:style>
  <w:style w:type="paragraph" w:styleId="Heading1">
    <w:name w:val="heading 1"/>
    <w:basedOn w:val="Normal"/>
    <w:next w:val="Normal"/>
    <w:link w:val="Heading1Char"/>
    <w:uiPriority w:val="6"/>
    <w:qFormat/>
    <w:rsid w:val="00475745"/>
    <w:pPr>
      <w:keepNext/>
      <w:spacing w:before="240"/>
      <w:outlineLvl w:val="0"/>
    </w:pPr>
    <w:rPr>
      <w:rFonts w:ascii="Gill Sans MT" w:hAnsi="Gill Sans MT" w:cs="Tahoma"/>
      <w:bCs/>
      <w:color w:val="943634"/>
      <w:kern w:val="32"/>
      <w:sz w:val="28"/>
      <w:szCs w:val="28"/>
    </w:rPr>
  </w:style>
  <w:style w:type="paragraph" w:styleId="Heading2">
    <w:name w:val="heading 2"/>
    <w:basedOn w:val="Normal"/>
    <w:next w:val="Normal"/>
    <w:link w:val="Heading2Char"/>
    <w:uiPriority w:val="7"/>
    <w:qFormat/>
    <w:rsid w:val="00475745"/>
    <w:pPr>
      <w:keepNext/>
      <w:spacing w:before="120"/>
      <w:outlineLvl w:val="1"/>
    </w:pPr>
    <w:rPr>
      <w:rFonts w:ascii="Gill Sans MT" w:eastAsiaTheme="minorHAnsi" w:hAnsi="Gill Sans MT"/>
      <w:bCs/>
      <w:iCs/>
      <w:color w:val="943634"/>
      <w:sz w:val="22"/>
      <w:szCs w:val="28"/>
    </w:rPr>
  </w:style>
  <w:style w:type="paragraph" w:styleId="Heading3">
    <w:name w:val="heading 3"/>
    <w:basedOn w:val="Normal"/>
    <w:next w:val="Normal"/>
    <w:link w:val="Heading3Char"/>
    <w:uiPriority w:val="8"/>
    <w:qFormat/>
    <w:rsid w:val="00475745"/>
    <w:pPr>
      <w:keepNext/>
      <w:spacing w:before="120"/>
      <w:outlineLvl w:val="2"/>
    </w:pPr>
    <w:rPr>
      <w:b/>
      <w:bCs/>
      <w:szCs w:val="26"/>
    </w:rPr>
  </w:style>
  <w:style w:type="paragraph" w:styleId="Heading4">
    <w:name w:val="heading 4"/>
    <w:basedOn w:val="Heading3"/>
    <w:next w:val="Normal"/>
    <w:link w:val="Heading4Char"/>
    <w:semiHidden/>
    <w:qFormat/>
    <w:locked/>
    <w:rsid w:val="0013059D"/>
    <w:pPr>
      <w:spacing w:before="240"/>
      <w:outlineLvl w:val="3"/>
    </w:pPr>
    <w:rPr>
      <w:b w:val="0"/>
      <w:bCs w:val="0"/>
      <w:i/>
      <w:szCs w:val="28"/>
    </w:rPr>
  </w:style>
  <w:style w:type="paragraph" w:styleId="Heading5">
    <w:name w:val="heading 5"/>
    <w:basedOn w:val="Normal"/>
    <w:next w:val="Normal"/>
    <w:link w:val="Heading5Char"/>
    <w:uiPriority w:val="9"/>
    <w:semiHidden/>
    <w:qFormat/>
    <w:rsid w:val="00C43BE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C43BE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locked/>
    <w:rsid w:val="00475745"/>
    <w:rPr>
      <w:rFonts w:ascii="Gill Sans MT" w:hAnsi="Gill Sans MT" w:cs="Tahoma"/>
      <w:bCs/>
      <w:color w:val="943634"/>
      <w:kern w:val="32"/>
      <w:sz w:val="28"/>
      <w:szCs w:val="28"/>
      <w:lang w:eastAsia="en-US"/>
    </w:rPr>
  </w:style>
  <w:style w:type="character" w:customStyle="1" w:styleId="Heading2Char">
    <w:name w:val="Heading 2 Char"/>
    <w:basedOn w:val="DefaultParagraphFont"/>
    <w:link w:val="Heading2"/>
    <w:uiPriority w:val="7"/>
    <w:locked/>
    <w:rsid w:val="00475745"/>
    <w:rPr>
      <w:rFonts w:ascii="Gill Sans MT" w:eastAsiaTheme="minorHAnsi" w:hAnsi="Gill Sans MT" w:cs="Arial"/>
      <w:bCs/>
      <w:iCs/>
      <w:color w:val="943634"/>
      <w:szCs w:val="28"/>
      <w:lang w:eastAsia="en-US"/>
    </w:rPr>
  </w:style>
  <w:style w:type="character" w:customStyle="1" w:styleId="Heading3Char">
    <w:name w:val="Heading 3 Char"/>
    <w:basedOn w:val="DefaultParagraphFont"/>
    <w:link w:val="Heading3"/>
    <w:uiPriority w:val="8"/>
    <w:locked/>
    <w:rsid w:val="00475745"/>
    <w:rPr>
      <w:rFonts w:ascii="Calibri" w:hAnsi="Calibri" w:cs="Arial"/>
      <w:b/>
      <w:bCs/>
      <w:sz w:val="20"/>
      <w:szCs w:val="26"/>
      <w:lang w:eastAsia="en-US"/>
    </w:rPr>
  </w:style>
  <w:style w:type="paragraph" w:customStyle="1" w:styleId="Instructions-bullet1">
    <w:name w:val="Instructions - bullet 1"/>
    <w:basedOn w:val="Instructions"/>
    <w:uiPriority w:val="12"/>
    <w:qFormat/>
    <w:rsid w:val="00475745"/>
    <w:pPr>
      <w:numPr>
        <w:numId w:val="7"/>
      </w:numPr>
      <w:ind w:left="680" w:hanging="340"/>
    </w:pPr>
    <w:rPr>
      <w:rFonts w:cs="Times New Roman"/>
    </w:rPr>
  </w:style>
  <w:style w:type="paragraph" w:customStyle="1" w:styleId="Instructions-numbered">
    <w:name w:val="Instructions - numbered"/>
    <w:basedOn w:val="Normal"/>
    <w:uiPriority w:val="13"/>
    <w:qFormat/>
    <w:rsid w:val="00475745"/>
    <w:pPr>
      <w:numPr>
        <w:numId w:val="8"/>
      </w:numPr>
      <w:ind w:left="680" w:hanging="340"/>
    </w:pPr>
    <w:rPr>
      <w:rFonts w:cs="Times New Roman"/>
      <w:i/>
      <w:color w:val="FF0000"/>
    </w:rPr>
  </w:style>
  <w:style w:type="paragraph" w:customStyle="1" w:styleId="bullet1">
    <w:name w:val="bullet 1"/>
    <w:basedOn w:val="Normal"/>
    <w:link w:val="bullet1Char"/>
    <w:qFormat/>
    <w:rsid w:val="00475745"/>
    <w:pPr>
      <w:numPr>
        <w:numId w:val="17"/>
      </w:numPr>
      <w:ind w:left="340" w:hanging="340"/>
    </w:pPr>
  </w:style>
  <w:style w:type="paragraph" w:styleId="BalloonText">
    <w:name w:val="Balloon Text"/>
    <w:basedOn w:val="Normal"/>
    <w:link w:val="BalloonTextChar"/>
    <w:uiPriority w:val="99"/>
    <w:semiHidden/>
    <w:unhideWhenUsed/>
    <w:rsid w:val="003A70F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0FF"/>
    <w:rPr>
      <w:rFonts w:ascii="Segoe UI" w:hAnsi="Segoe UI" w:cs="Segoe UI"/>
      <w:sz w:val="18"/>
      <w:szCs w:val="18"/>
      <w:lang w:eastAsia="en-US"/>
    </w:rPr>
  </w:style>
  <w:style w:type="paragraph" w:styleId="Footer">
    <w:name w:val="footer"/>
    <w:basedOn w:val="Normal"/>
    <w:link w:val="FooterChar"/>
    <w:uiPriority w:val="17"/>
    <w:qFormat/>
    <w:rsid w:val="00F70A26"/>
    <w:pPr>
      <w:spacing w:before="0" w:after="0"/>
      <w:contextualSpacing/>
    </w:pPr>
    <w:rPr>
      <w:color w:val="808080" w:themeColor="background1" w:themeShade="80"/>
      <w:sz w:val="18"/>
      <w:lang w:val="en-US"/>
    </w:rPr>
  </w:style>
  <w:style w:type="character" w:customStyle="1" w:styleId="FooterChar">
    <w:name w:val="Footer Char"/>
    <w:basedOn w:val="DefaultParagraphFont"/>
    <w:link w:val="Footer"/>
    <w:uiPriority w:val="17"/>
    <w:locked/>
    <w:rsid w:val="0083169E"/>
    <w:rPr>
      <w:rFonts w:ascii="Calibri" w:hAnsi="Calibri" w:cs="Arial"/>
      <w:color w:val="808080" w:themeColor="background1" w:themeShade="80"/>
      <w:sz w:val="18"/>
      <w:szCs w:val="20"/>
      <w:lang w:val="en-US" w:eastAsia="en-US"/>
    </w:rPr>
  </w:style>
  <w:style w:type="paragraph" w:styleId="Header">
    <w:name w:val="header"/>
    <w:aliases w:val="Header - SOP"/>
    <w:basedOn w:val="Normal"/>
    <w:link w:val="HeaderChar"/>
    <w:uiPriority w:val="15"/>
    <w:qFormat/>
    <w:rsid w:val="006E32A4"/>
    <w:pPr>
      <w:tabs>
        <w:tab w:val="center" w:pos="4153"/>
        <w:tab w:val="right" w:pos="8306"/>
      </w:tabs>
      <w:spacing w:before="240"/>
      <w:jc w:val="center"/>
    </w:pPr>
    <w:rPr>
      <w:rFonts w:ascii="Gill Sans MT" w:hAnsi="Gill Sans MT"/>
      <w:noProof/>
      <w:color w:val="808080" w:themeColor="background1" w:themeShade="80"/>
      <w:sz w:val="32"/>
    </w:rPr>
  </w:style>
  <w:style w:type="character" w:customStyle="1" w:styleId="HeaderChar">
    <w:name w:val="Header Char"/>
    <w:aliases w:val="Header - SOP Char"/>
    <w:basedOn w:val="DefaultParagraphFont"/>
    <w:link w:val="Header"/>
    <w:uiPriority w:val="15"/>
    <w:locked/>
    <w:rsid w:val="0083169E"/>
    <w:rPr>
      <w:rFonts w:ascii="Gill Sans MT" w:hAnsi="Gill Sans MT" w:cs="Arial"/>
      <w:noProof/>
      <w:color w:val="808080" w:themeColor="background1" w:themeShade="80"/>
      <w:sz w:val="32"/>
      <w:szCs w:val="20"/>
      <w:lang w:eastAsia="en-US"/>
    </w:rPr>
  </w:style>
  <w:style w:type="table" w:styleId="TableGrid">
    <w:name w:val="Table Grid"/>
    <w:basedOn w:val="TableNormal"/>
    <w:uiPriority w:val="59"/>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083C9D"/>
    <w:pPr>
      <w:spacing w:before="0" w:after="300"/>
      <w:contextualSpacing/>
      <w:jc w:val="center"/>
    </w:pPr>
    <w:rPr>
      <w:rFonts w:ascii="Gill Sans MT" w:eastAsiaTheme="majorEastAsia" w:hAnsi="Gill Sans MT" w:cs="Tahoma"/>
      <w:color w:val="943634"/>
      <w:spacing w:val="5"/>
      <w:kern w:val="28"/>
      <w:sz w:val="44"/>
      <w:szCs w:val="40"/>
    </w:rPr>
  </w:style>
  <w:style w:type="character" w:customStyle="1" w:styleId="TitleChar">
    <w:name w:val="Title Char"/>
    <w:basedOn w:val="DefaultParagraphFont"/>
    <w:link w:val="Title"/>
    <w:uiPriority w:val="9"/>
    <w:locked/>
    <w:rsid w:val="00083C9D"/>
    <w:rPr>
      <w:rFonts w:ascii="Gill Sans MT" w:eastAsiaTheme="majorEastAsia" w:hAnsi="Gill Sans MT" w:cs="Tahoma"/>
      <w:color w:val="943634"/>
      <w:spacing w:val="5"/>
      <w:kern w:val="28"/>
      <w:sz w:val="44"/>
      <w:szCs w:val="40"/>
      <w:lang w:eastAsia="en-US"/>
    </w:rPr>
  </w:style>
  <w:style w:type="paragraph" w:customStyle="1" w:styleId="propertystatement">
    <w:name w:val="property statement"/>
    <w:basedOn w:val="Normal"/>
    <w:uiPriority w:val="14"/>
    <w:qFormat/>
    <w:rsid w:val="00342788"/>
    <w:pPr>
      <w:jc w:val="center"/>
    </w:pPr>
    <w:rPr>
      <w:color w:val="7F7F7F" w:themeColor="text1" w:themeTint="80"/>
      <w:sz w:val="18"/>
      <w:szCs w:val="18"/>
    </w:rPr>
  </w:style>
  <w:style w:type="paragraph" w:styleId="Revision">
    <w:name w:val="Revision"/>
    <w:hidden/>
    <w:uiPriority w:val="99"/>
    <w:semiHidden/>
    <w:rsid w:val="002D6577"/>
    <w:rPr>
      <w:rFonts w:ascii="Arial" w:hAnsi="Arial" w:cs="Arial"/>
      <w:lang w:eastAsia="en-US"/>
    </w:rPr>
  </w:style>
  <w:style w:type="paragraph" w:customStyle="1" w:styleId="Table">
    <w:name w:val="Table"/>
    <w:basedOn w:val="Normal"/>
    <w:autoRedefine/>
    <w:semiHidden/>
    <w:qFormat/>
    <w:rsid w:val="00B10C05"/>
    <w:pPr>
      <w:framePr w:hSpace="181" w:wrap="around" w:vAnchor="text" w:hAnchor="margin" w:y="239"/>
    </w:pPr>
  </w:style>
  <w:style w:type="paragraph" w:customStyle="1" w:styleId="AbbreviationsDefinitionsTerm">
    <w:name w:val="Abbreviations &amp; Definitions 'Term'"/>
    <w:link w:val="AbbreviationsDefinitionsTermChar"/>
    <w:uiPriority w:val="14"/>
    <w:qFormat/>
    <w:rsid w:val="00DC0548"/>
    <w:pPr>
      <w:spacing w:before="60" w:after="60" w:line="240" w:lineRule="auto"/>
    </w:pPr>
    <w:rPr>
      <w:rFonts w:ascii="Calibri" w:hAnsi="Calibri" w:cs="Tahoma"/>
      <w:b/>
      <w:bCs/>
      <w:color w:val="000000" w:themeColor="text1"/>
      <w:spacing w:val="5"/>
      <w:kern w:val="28"/>
      <w:sz w:val="20"/>
      <w:szCs w:val="26"/>
      <w:lang w:eastAsia="en-US"/>
    </w:rPr>
  </w:style>
  <w:style w:type="paragraph" w:styleId="List">
    <w:name w:val="List"/>
    <w:aliases w:val="Numberlist 1"/>
    <w:basedOn w:val="Normal"/>
    <w:autoRedefine/>
    <w:semiHidden/>
    <w:qFormat/>
    <w:rsid w:val="00C43BEC"/>
    <w:pPr>
      <w:spacing w:before="120"/>
      <w:ind w:left="717" w:hanging="360"/>
    </w:pPr>
  </w:style>
  <w:style w:type="paragraph" w:styleId="ListBullet">
    <w:name w:val="List Bullet"/>
    <w:basedOn w:val="Normal"/>
    <w:uiPriority w:val="99"/>
    <w:semiHidden/>
    <w:rsid w:val="00C43BEC"/>
    <w:pPr>
      <w:numPr>
        <w:numId w:val="9"/>
      </w:numPr>
      <w:contextualSpacing/>
    </w:pPr>
  </w:style>
  <w:style w:type="numbering" w:customStyle="1" w:styleId="Style1">
    <w:name w:val="Style1"/>
    <w:rsid w:val="001F581B"/>
    <w:pPr>
      <w:numPr>
        <w:numId w:val="1"/>
      </w:numPr>
    </w:pPr>
  </w:style>
  <w:style w:type="character" w:customStyle="1" w:styleId="Heading4Char">
    <w:name w:val="Heading 4 Char"/>
    <w:basedOn w:val="DefaultParagraphFont"/>
    <w:link w:val="Heading4"/>
    <w:semiHidden/>
    <w:rsid w:val="0013059D"/>
    <w:rPr>
      <w:rFonts w:ascii="Arial" w:hAnsi="Arial" w:cs="Arial"/>
      <w:i/>
      <w:sz w:val="20"/>
      <w:szCs w:val="28"/>
      <w:lang w:eastAsia="en-US"/>
    </w:rPr>
  </w:style>
  <w:style w:type="paragraph" w:customStyle="1" w:styleId="Instructions">
    <w:name w:val="Instructions"/>
    <w:basedOn w:val="Normal"/>
    <w:link w:val="InstructionsChar"/>
    <w:uiPriority w:val="11"/>
    <w:qFormat/>
    <w:rsid w:val="00C43BEC"/>
    <w:rPr>
      <w:i/>
      <w:iCs/>
      <w:color w:val="FF0000"/>
    </w:rPr>
  </w:style>
  <w:style w:type="character" w:customStyle="1" w:styleId="InstructionsChar">
    <w:name w:val="Instructions Char"/>
    <w:basedOn w:val="DefaultParagraphFont"/>
    <w:link w:val="Instructions"/>
    <w:uiPriority w:val="11"/>
    <w:rsid w:val="0083169E"/>
    <w:rPr>
      <w:rFonts w:ascii="Calibri" w:hAnsi="Calibri" w:cs="Arial"/>
      <w:i/>
      <w:iCs/>
      <w:color w:val="FF0000"/>
      <w:sz w:val="20"/>
      <w:szCs w:val="20"/>
      <w:lang w:eastAsia="en-US"/>
    </w:rPr>
  </w:style>
  <w:style w:type="paragraph" w:customStyle="1" w:styleId="bullet2">
    <w:name w:val="bullet 2"/>
    <w:basedOn w:val="Normal"/>
    <w:link w:val="bullet2Char"/>
    <w:uiPriority w:val="4"/>
    <w:qFormat/>
    <w:rsid w:val="00475745"/>
    <w:pPr>
      <w:numPr>
        <w:numId w:val="4"/>
      </w:numPr>
      <w:ind w:left="680" w:hanging="340"/>
    </w:pPr>
  </w:style>
  <w:style w:type="character" w:customStyle="1" w:styleId="bullet2Char">
    <w:name w:val="bullet 2 Char"/>
    <w:basedOn w:val="DefaultParagraphFont"/>
    <w:link w:val="bullet2"/>
    <w:uiPriority w:val="4"/>
    <w:locked/>
    <w:rsid w:val="00475745"/>
    <w:rPr>
      <w:rFonts w:ascii="Calibri" w:hAnsi="Calibri" w:cs="Arial"/>
      <w:sz w:val="20"/>
      <w:szCs w:val="20"/>
      <w:lang w:eastAsia="en-US"/>
    </w:rPr>
  </w:style>
  <w:style w:type="paragraph" w:customStyle="1" w:styleId="bullet3">
    <w:name w:val="bullet 3"/>
    <w:basedOn w:val="Normal"/>
    <w:uiPriority w:val="5"/>
    <w:qFormat/>
    <w:rsid w:val="00475745"/>
    <w:pPr>
      <w:numPr>
        <w:numId w:val="5"/>
      </w:numPr>
      <w:ind w:left="1020" w:hanging="340"/>
    </w:pPr>
  </w:style>
  <w:style w:type="character" w:customStyle="1" w:styleId="Heading5Char">
    <w:name w:val="Heading 5 Char"/>
    <w:basedOn w:val="DefaultParagraphFont"/>
    <w:link w:val="Heading5"/>
    <w:uiPriority w:val="9"/>
    <w:semiHidden/>
    <w:rsid w:val="00104D42"/>
    <w:rPr>
      <w:rFonts w:asciiTheme="majorHAnsi" w:eastAsiaTheme="majorEastAsia" w:hAnsiTheme="majorHAnsi" w:cstheme="majorBidi"/>
      <w:color w:val="243F60" w:themeColor="accent1" w:themeShade="7F"/>
      <w:sz w:val="20"/>
      <w:szCs w:val="20"/>
      <w:lang w:eastAsia="en-US"/>
    </w:rPr>
  </w:style>
  <w:style w:type="character" w:customStyle="1" w:styleId="Heading6Char">
    <w:name w:val="Heading 6 Char"/>
    <w:basedOn w:val="DefaultParagraphFont"/>
    <w:link w:val="Heading6"/>
    <w:uiPriority w:val="9"/>
    <w:semiHidden/>
    <w:rsid w:val="00104D42"/>
    <w:rPr>
      <w:rFonts w:asciiTheme="majorHAnsi" w:eastAsiaTheme="majorEastAsia" w:hAnsiTheme="majorHAnsi" w:cstheme="majorBidi"/>
      <w:i/>
      <w:iCs/>
      <w:color w:val="243F60" w:themeColor="accent1" w:themeShade="7F"/>
      <w:sz w:val="20"/>
      <w:szCs w:val="20"/>
      <w:lang w:eastAsia="en-US"/>
    </w:rPr>
  </w:style>
  <w:style w:type="paragraph" w:styleId="Quote">
    <w:name w:val="Quote"/>
    <w:basedOn w:val="Normal"/>
    <w:next w:val="Normal"/>
    <w:link w:val="QuoteChar"/>
    <w:uiPriority w:val="29"/>
    <w:semiHidden/>
    <w:qFormat/>
    <w:rsid w:val="00C43BEC"/>
    <w:rPr>
      <w:i/>
      <w:iCs/>
      <w:color w:val="000000" w:themeColor="text1"/>
    </w:rPr>
  </w:style>
  <w:style w:type="character" w:customStyle="1" w:styleId="QuoteChar">
    <w:name w:val="Quote Char"/>
    <w:basedOn w:val="DefaultParagraphFont"/>
    <w:link w:val="Quote"/>
    <w:uiPriority w:val="29"/>
    <w:semiHidden/>
    <w:rsid w:val="00104D42"/>
    <w:rPr>
      <w:rFonts w:ascii="Arial" w:hAnsi="Arial" w:cs="Arial"/>
      <w:i/>
      <w:iCs/>
      <w:color w:val="000000" w:themeColor="text1"/>
      <w:sz w:val="20"/>
      <w:szCs w:val="20"/>
      <w:lang w:eastAsia="en-US"/>
    </w:rPr>
  </w:style>
  <w:style w:type="paragraph" w:customStyle="1" w:styleId="SOPreference">
    <w:name w:val="SOP reference"/>
    <w:basedOn w:val="Normal"/>
    <w:uiPriority w:val="99"/>
    <w:semiHidden/>
    <w:rsid w:val="00C43BEC"/>
    <w:rPr>
      <w:color w:val="0000FF"/>
    </w:rPr>
  </w:style>
  <w:style w:type="paragraph" w:customStyle="1" w:styleId="StyleBoldDarkBlueCentered">
    <w:name w:val="Style Bold Dark Blue Centered"/>
    <w:basedOn w:val="Normal"/>
    <w:semiHidden/>
    <w:rsid w:val="00C43BEC"/>
    <w:pPr>
      <w:spacing w:before="40" w:after="40"/>
      <w:jc w:val="center"/>
    </w:pPr>
    <w:rPr>
      <w:b/>
      <w:bCs/>
      <w:color w:val="000080"/>
    </w:rPr>
  </w:style>
  <w:style w:type="paragraph" w:customStyle="1" w:styleId="StyleBoldDarkRedCentered">
    <w:name w:val="Style Bold Dark Red Centered"/>
    <w:basedOn w:val="Normal"/>
    <w:semiHidden/>
    <w:rsid w:val="00C43BEC"/>
    <w:pPr>
      <w:spacing w:before="40" w:after="40"/>
      <w:jc w:val="center"/>
    </w:pPr>
    <w:rPr>
      <w:b/>
      <w:bCs/>
      <w:color w:val="632423" w:themeColor="accent2" w:themeShade="80"/>
    </w:rPr>
  </w:style>
  <w:style w:type="paragraph" w:customStyle="1" w:styleId="StyleDarkBlueCentered">
    <w:name w:val="Style Dark Blue Centered"/>
    <w:basedOn w:val="Normal"/>
    <w:semiHidden/>
    <w:rsid w:val="00C43BEC"/>
    <w:pPr>
      <w:spacing w:before="40" w:after="40"/>
      <w:jc w:val="center"/>
    </w:pPr>
    <w:rPr>
      <w:color w:val="000080"/>
    </w:rPr>
  </w:style>
  <w:style w:type="paragraph" w:customStyle="1" w:styleId="StyleDarkRedCentered">
    <w:name w:val="Style Dark Red Centered"/>
    <w:basedOn w:val="Normal"/>
    <w:semiHidden/>
    <w:rsid w:val="00C43BEC"/>
    <w:pPr>
      <w:spacing w:before="40" w:after="40"/>
      <w:jc w:val="center"/>
    </w:pPr>
    <w:rPr>
      <w:color w:val="632423" w:themeColor="accent2" w:themeShade="80"/>
    </w:rPr>
  </w:style>
  <w:style w:type="paragraph" w:customStyle="1" w:styleId="Header-QCDs">
    <w:name w:val="Header - QCDs"/>
    <w:basedOn w:val="Header"/>
    <w:uiPriority w:val="16"/>
    <w:qFormat/>
    <w:rsid w:val="006E32A4"/>
    <w:pPr>
      <w:jc w:val="right"/>
    </w:pPr>
  </w:style>
  <w:style w:type="paragraph" w:customStyle="1" w:styleId="ReferencestootherSOPsQCDs">
    <w:name w:val="References to other SOPs/QCDs"/>
    <w:basedOn w:val="Instructions"/>
    <w:next w:val="Normal"/>
    <w:link w:val="ReferencestootherSOPsQCDsChar"/>
    <w:qFormat/>
    <w:rsid w:val="00475745"/>
    <w:rPr>
      <w:color w:val="943634"/>
    </w:rPr>
  </w:style>
  <w:style w:type="character" w:customStyle="1" w:styleId="ReferencestootherSOPsQCDsChar">
    <w:name w:val="References to other SOPs/QCDs Char"/>
    <w:basedOn w:val="InstructionsChar"/>
    <w:link w:val="ReferencestootherSOPsQCDs"/>
    <w:rsid w:val="00475745"/>
    <w:rPr>
      <w:rFonts w:ascii="Calibri" w:hAnsi="Calibri" w:cs="Arial"/>
      <w:i/>
      <w:iCs/>
      <w:color w:val="943634"/>
      <w:sz w:val="20"/>
      <w:szCs w:val="20"/>
      <w:lang w:eastAsia="en-US"/>
    </w:rPr>
  </w:style>
  <w:style w:type="character" w:customStyle="1" w:styleId="bullet1Char">
    <w:name w:val="bullet 1 Char"/>
    <w:basedOn w:val="DefaultParagraphFont"/>
    <w:link w:val="bullet1"/>
    <w:locked/>
    <w:rsid w:val="00475745"/>
    <w:rPr>
      <w:rFonts w:ascii="Calibri" w:hAnsi="Calibri" w:cs="Arial"/>
      <w:sz w:val="20"/>
      <w:szCs w:val="20"/>
      <w:lang w:eastAsia="en-US"/>
    </w:rPr>
  </w:style>
  <w:style w:type="character" w:customStyle="1" w:styleId="AbbreviationsDefinitionsTermChar">
    <w:name w:val="Abbreviations &amp; Definitions 'Term' Char"/>
    <w:basedOn w:val="DefaultParagraphFont"/>
    <w:link w:val="AbbreviationsDefinitionsTerm"/>
    <w:uiPriority w:val="14"/>
    <w:rsid w:val="0083169E"/>
    <w:rPr>
      <w:rFonts w:ascii="Calibri" w:hAnsi="Calibri" w:cs="Tahoma"/>
      <w:b/>
      <w:bCs/>
      <w:color w:val="000000" w:themeColor="text1"/>
      <w:spacing w:val="5"/>
      <w:kern w:val="28"/>
      <w:sz w:val="20"/>
      <w:szCs w:val="26"/>
      <w:lang w:eastAsia="en-US"/>
    </w:rPr>
  </w:style>
  <w:style w:type="character" w:styleId="Hyperlink">
    <w:name w:val="Hyperlink"/>
    <w:basedOn w:val="DefaultParagraphFont"/>
    <w:uiPriority w:val="99"/>
    <w:rsid w:val="00692DFA"/>
    <w:rPr>
      <w:color w:val="0000FF"/>
      <w:u w:val="single"/>
    </w:rPr>
  </w:style>
  <w:style w:type="paragraph" w:customStyle="1" w:styleId="Bullet10">
    <w:name w:val="Bullet 1"/>
    <w:basedOn w:val="Normal"/>
    <w:link w:val="Bullet1Char0"/>
    <w:uiPriority w:val="19"/>
    <w:rsid w:val="00475745"/>
    <w:pPr>
      <w:ind w:left="340" w:hanging="340"/>
    </w:pPr>
  </w:style>
  <w:style w:type="character" w:customStyle="1" w:styleId="Bullet1Char0">
    <w:name w:val="Bullet 1 Char"/>
    <w:basedOn w:val="DefaultParagraphFont"/>
    <w:link w:val="Bullet10"/>
    <w:uiPriority w:val="19"/>
    <w:rsid w:val="00475745"/>
    <w:rPr>
      <w:rFonts w:ascii="Calibri" w:hAnsi="Calibri" w:cs="Arial"/>
      <w:sz w:val="20"/>
      <w:szCs w:val="20"/>
      <w:lang w:eastAsia="en-US"/>
    </w:rPr>
  </w:style>
  <w:style w:type="paragraph" w:customStyle="1" w:styleId="Numberlist">
    <w:name w:val="Numberlist"/>
    <w:basedOn w:val="Normal"/>
    <w:uiPriority w:val="1"/>
    <w:qFormat/>
    <w:rsid w:val="00475745"/>
    <w:pPr>
      <w:numPr>
        <w:numId w:val="16"/>
      </w:numPr>
      <w:ind w:left="340" w:hanging="340"/>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Calibri" w:hAnsi="Calibri" w:cs="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1165B"/>
    <w:rPr>
      <w:b/>
      <w:bCs/>
    </w:rPr>
  </w:style>
  <w:style w:type="character" w:customStyle="1" w:styleId="CommentSubjectChar">
    <w:name w:val="Comment Subject Char"/>
    <w:basedOn w:val="CommentTextChar"/>
    <w:link w:val="CommentSubject"/>
    <w:uiPriority w:val="99"/>
    <w:semiHidden/>
    <w:rsid w:val="0021165B"/>
    <w:rPr>
      <w:rFonts w:ascii="Calibri" w:hAnsi="Calibri" w:cs="Arial"/>
      <w:b/>
      <w:bCs/>
      <w:sz w:val="20"/>
      <w:szCs w:val="20"/>
      <w:lang w:eastAsia="en-US"/>
    </w:rPr>
  </w:style>
  <w:style w:type="character" w:styleId="FollowedHyperlink">
    <w:name w:val="FollowedHyperlink"/>
    <w:basedOn w:val="DefaultParagraphFont"/>
    <w:semiHidden/>
    <w:unhideWhenUsed/>
    <w:rsid w:val="00043513"/>
    <w:rPr>
      <w:color w:val="800080" w:themeColor="followedHyperlink"/>
      <w:u w:val="single"/>
    </w:rPr>
  </w:style>
  <w:style w:type="paragraph" w:customStyle="1" w:styleId="Bold">
    <w:name w:val="Bold"/>
    <w:basedOn w:val="Normal"/>
    <w:uiPriority w:val="18"/>
    <w:qFormat/>
    <w:rsid w:val="00F013DE"/>
    <w:rPr>
      <w:b/>
    </w:rPr>
  </w:style>
  <w:style w:type="character" w:styleId="UnresolvedMention">
    <w:name w:val="Unresolved Mention"/>
    <w:basedOn w:val="DefaultParagraphFont"/>
    <w:uiPriority w:val="99"/>
    <w:semiHidden/>
    <w:unhideWhenUsed/>
    <w:rsid w:val="00396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517569">
      <w:bodyDiv w:val="1"/>
      <w:marLeft w:val="0"/>
      <w:marRight w:val="0"/>
      <w:marTop w:val="0"/>
      <w:marBottom w:val="0"/>
      <w:divBdr>
        <w:top w:val="none" w:sz="0" w:space="0" w:color="auto"/>
        <w:left w:val="none" w:sz="0" w:space="0" w:color="auto"/>
        <w:bottom w:val="none" w:sz="0" w:space="0" w:color="auto"/>
        <w:right w:val="none" w:sz="0" w:space="0" w:color="auto"/>
      </w:divBdr>
    </w:div>
    <w:div w:id="1093862658">
      <w:bodyDiv w:val="1"/>
      <w:marLeft w:val="0"/>
      <w:marRight w:val="0"/>
      <w:marTop w:val="0"/>
      <w:marBottom w:val="0"/>
      <w:divBdr>
        <w:top w:val="none" w:sz="0" w:space="0" w:color="auto"/>
        <w:left w:val="none" w:sz="0" w:space="0" w:color="auto"/>
        <w:bottom w:val="none" w:sz="0" w:space="0" w:color="auto"/>
        <w:right w:val="none" w:sz="0" w:space="0" w:color="auto"/>
      </w:divBdr>
    </w:div>
    <w:div w:id="1128280163">
      <w:bodyDiv w:val="1"/>
      <w:marLeft w:val="0"/>
      <w:marRight w:val="0"/>
      <w:marTop w:val="0"/>
      <w:marBottom w:val="0"/>
      <w:divBdr>
        <w:top w:val="none" w:sz="0" w:space="0" w:color="auto"/>
        <w:left w:val="none" w:sz="0" w:space="0" w:color="auto"/>
        <w:bottom w:val="none" w:sz="0" w:space="0" w:color="auto"/>
        <w:right w:val="none" w:sz="0" w:space="0" w:color="auto"/>
      </w:divBdr>
    </w:div>
    <w:div w:id="1289703582">
      <w:marLeft w:val="0"/>
      <w:marRight w:val="0"/>
      <w:marTop w:val="0"/>
      <w:marBottom w:val="0"/>
      <w:divBdr>
        <w:top w:val="none" w:sz="0" w:space="0" w:color="auto"/>
        <w:left w:val="none" w:sz="0" w:space="0" w:color="auto"/>
        <w:bottom w:val="none" w:sz="0" w:space="0" w:color="auto"/>
        <w:right w:val="none" w:sz="0" w:space="0" w:color="auto"/>
      </w:divBdr>
    </w:div>
    <w:div w:id="1289703583">
      <w:marLeft w:val="0"/>
      <w:marRight w:val="0"/>
      <w:marTop w:val="0"/>
      <w:marBottom w:val="0"/>
      <w:divBdr>
        <w:top w:val="none" w:sz="0" w:space="0" w:color="auto"/>
        <w:left w:val="none" w:sz="0" w:space="0" w:color="auto"/>
        <w:bottom w:val="none" w:sz="0" w:space="0" w:color="auto"/>
        <w:right w:val="none" w:sz="0" w:space="0" w:color="auto"/>
      </w:divBdr>
    </w:div>
    <w:div w:id="1289703584">
      <w:marLeft w:val="0"/>
      <w:marRight w:val="0"/>
      <w:marTop w:val="0"/>
      <w:marBottom w:val="0"/>
      <w:divBdr>
        <w:top w:val="none" w:sz="0" w:space="0" w:color="auto"/>
        <w:left w:val="none" w:sz="0" w:space="0" w:color="auto"/>
        <w:bottom w:val="none" w:sz="0" w:space="0" w:color="auto"/>
        <w:right w:val="none" w:sz="0" w:space="0" w:color="auto"/>
      </w:divBdr>
    </w:div>
    <w:div w:id="1289703587">
      <w:marLeft w:val="0"/>
      <w:marRight w:val="0"/>
      <w:marTop w:val="0"/>
      <w:marBottom w:val="0"/>
      <w:divBdr>
        <w:top w:val="none" w:sz="0" w:space="0" w:color="auto"/>
        <w:left w:val="none" w:sz="0" w:space="0" w:color="auto"/>
        <w:bottom w:val="none" w:sz="0" w:space="0" w:color="auto"/>
        <w:right w:val="none" w:sz="0" w:space="0" w:color="auto"/>
      </w:divBdr>
    </w:div>
    <w:div w:id="1289703589">
      <w:marLeft w:val="0"/>
      <w:marRight w:val="0"/>
      <w:marTop w:val="0"/>
      <w:marBottom w:val="0"/>
      <w:divBdr>
        <w:top w:val="none" w:sz="0" w:space="0" w:color="auto"/>
        <w:left w:val="none" w:sz="0" w:space="0" w:color="auto"/>
        <w:bottom w:val="none" w:sz="0" w:space="0" w:color="auto"/>
        <w:right w:val="none" w:sz="0" w:space="0" w:color="auto"/>
      </w:divBdr>
    </w:div>
    <w:div w:id="1289703590">
      <w:marLeft w:val="0"/>
      <w:marRight w:val="0"/>
      <w:marTop w:val="0"/>
      <w:marBottom w:val="0"/>
      <w:divBdr>
        <w:top w:val="none" w:sz="0" w:space="0" w:color="auto"/>
        <w:left w:val="none" w:sz="0" w:space="0" w:color="auto"/>
        <w:bottom w:val="none" w:sz="0" w:space="0" w:color="auto"/>
        <w:right w:val="none" w:sz="0" w:space="0" w:color="auto"/>
      </w:divBdr>
    </w:div>
    <w:div w:id="1289703594">
      <w:marLeft w:val="0"/>
      <w:marRight w:val="0"/>
      <w:marTop w:val="0"/>
      <w:marBottom w:val="0"/>
      <w:divBdr>
        <w:top w:val="none" w:sz="0" w:space="0" w:color="auto"/>
        <w:left w:val="none" w:sz="0" w:space="0" w:color="auto"/>
        <w:bottom w:val="none" w:sz="0" w:space="0" w:color="auto"/>
        <w:right w:val="none" w:sz="0" w:space="0" w:color="auto"/>
      </w:divBdr>
      <w:divsChild>
        <w:div w:id="1289703591">
          <w:marLeft w:val="0"/>
          <w:marRight w:val="0"/>
          <w:marTop w:val="0"/>
          <w:marBottom w:val="0"/>
          <w:divBdr>
            <w:top w:val="none" w:sz="0" w:space="0" w:color="auto"/>
            <w:left w:val="none" w:sz="0" w:space="0" w:color="auto"/>
            <w:bottom w:val="none" w:sz="0" w:space="0" w:color="auto"/>
            <w:right w:val="none" w:sz="0" w:space="0" w:color="auto"/>
          </w:divBdr>
          <w:divsChild>
            <w:div w:id="1289703593">
              <w:marLeft w:val="0"/>
              <w:marRight w:val="0"/>
              <w:marTop w:val="0"/>
              <w:marBottom w:val="0"/>
              <w:divBdr>
                <w:top w:val="none" w:sz="0" w:space="0" w:color="auto"/>
                <w:left w:val="none" w:sz="0" w:space="0" w:color="auto"/>
                <w:bottom w:val="none" w:sz="0" w:space="0" w:color="auto"/>
                <w:right w:val="none" w:sz="0" w:space="0" w:color="auto"/>
              </w:divBdr>
              <w:divsChild>
                <w:div w:id="1289703602">
                  <w:marLeft w:val="0"/>
                  <w:marRight w:val="0"/>
                  <w:marTop w:val="0"/>
                  <w:marBottom w:val="0"/>
                  <w:divBdr>
                    <w:top w:val="none" w:sz="0" w:space="0" w:color="auto"/>
                    <w:left w:val="none" w:sz="0" w:space="0" w:color="auto"/>
                    <w:bottom w:val="none" w:sz="0" w:space="0" w:color="auto"/>
                    <w:right w:val="none" w:sz="0" w:space="0" w:color="auto"/>
                  </w:divBdr>
                  <w:divsChild>
                    <w:div w:id="1289703600">
                      <w:marLeft w:val="230"/>
                      <w:marRight w:val="230"/>
                      <w:marTop w:val="0"/>
                      <w:marBottom w:val="115"/>
                      <w:divBdr>
                        <w:top w:val="none" w:sz="0" w:space="0" w:color="auto"/>
                        <w:left w:val="none" w:sz="0" w:space="0" w:color="auto"/>
                        <w:bottom w:val="none" w:sz="0" w:space="0" w:color="auto"/>
                        <w:right w:val="none" w:sz="0" w:space="0" w:color="auto"/>
                      </w:divBdr>
                      <w:divsChild>
                        <w:div w:id="1289703598">
                          <w:marLeft w:val="0"/>
                          <w:marRight w:val="0"/>
                          <w:marTop w:val="0"/>
                          <w:marBottom w:val="0"/>
                          <w:divBdr>
                            <w:top w:val="none" w:sz="0" w:space="0" w:color="auto"/>
                            <w:left w:val="none" w:sz="0" w:space="0" w:color="auto"/>
                            <w:bottom w:val="none" w:sz="0" w:space="0" w:color="auto"/>
                            <w:right w:val="none" w:sz="0" w:space="0" w:color="auto"/>
                          </w:divBdr>
                          <w:divsChild>
                            <w:div w:id="1289703586">
                              <w:marLeft w:val="0"/>
                              <w:marRight w:val="0"/>
                              <w:marTop w:val="0"/>
                              <w:marBottom w:val="0"/>
                              <w:divBdr>
                                <w:top w:val="none" w:sz="0" w:space="0" w:color="auto"/>
                                <w:left w:val="none" w:sz="0" w:space="0" w:color="auto"/>
                                <w:bottom w:val="none" w:sz="0" w:space="0" w:color="auto"/>
                                <w:right w:val="none" w:sz="0" w:space="0" w:color="auto"/>
                              </w:divBdr>
                              <w:divsChild>
                                <w:div w:id="1289703595">
                                  <w:marLeft w:val="0"/>
                                  <w:marRight w:val="0"/>
                                  <w:marTop w:val="0"/>
                                  <w:marBottom w:val="0"/>
                                  <w:divBdr>
                                    <w:top w:val="none" w:sz="0" w:space="0" w:color="auto"/>
                                    <w:left w:val="none" w:sz="0" w:space="0" w:color="auto"/>
                                    <w:bottom w:val="none" w:sz="0" w:space="0" w:color="auto"/>
                                    <w:right w:val="none" w:sz="0" w:space="0" w:color="auto"/>
                                  </w:divBdr>
                                  <w:divsChild>
                                    <w:div w:id="1289703588">
                                      <w:marLeft w:val="0"/>
                                      <w:marRight w:val="0"/>
                                      <w:marTop w:val="0"/>
                                      <w:marBottom w:val="0"/>
                                      <w:divBdr>
                                        <w:top w:val="none" w:sz="0" w:space="0" w:color="auto"/>
                                        <w:left w:val="none" w:sz="0" w:space="0" w:color="auto"/>
                                        <w:bottom w:val="none" w:sz="0" w:space="0" w:color="auto"/>
                                        <w:right w:val="none" w:sz="0" w:space="0" w:color="auto"/>
                                      </w:divBdr>
                                      <w:divsChild>
                                        <w:div w:id="1289703597">
                                          <w:marLeft w:val="184"/>
                                          <w:marRight w:val="0"/>
                                          <w:marTop w:val="0"/>
                                          <w:marBottom w:val="138"/>
                                          <w:divBdr>
                                            <w:top w:val="none" w:sz="0" w:space="0" w:color="auto"/>
                                            <w:left w:val="none" w:sz="0" w:space="0" w:color="auto"/>
                                            <w:bottom w:val="none" w:sz="0" w:space="0" w:color="auto"/>
                                            <w:right w:val="none" w:sz="0" w:space="0" w:color="auto"/>
                                          </w:divBdr>
                                          <w:divsChild>
                                            <w:div w:id="1289703585">
                                              <w:marLeft w:val="0"/>
                                              <w:marRight w:val="0"/>
                                              <w:marTop w:val="0"/>
                                              <w:marBottom w:val="0"/>
                                              <w:divBdr>
                                                <w:top w:val="none" w:sz="0" w:space="0" w:color="auto"/>
                                                <w:left w:val="none" w:sz="0" w:space="0" w:color="auto"/>
                                                <w:bottom w:val="none" w:sz="0" w:space="0" w:color="auto"/>
                                                <w:right w:val="none" w:sz="0" w:space="0" w:color="auto"/>
                                              </w:divBdr>
                                              <w:divsChild>
                                                <w:div w:id="128970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703596">
      <w:marLeft w:val="0"/>
      <w:marRight w:val="0"/>
      <w:marTop w:val="0"/>
      <w:marBottom w:val="0"/>
      <w:divBdr>
        <w:top w:val="none" w:sz="0" w:space="0" w:color="auto"/>
        <w:left w:val="none" w:sz="0" w:space="0" w:color="auto"/>
        <w:bottom w:val="none" w:sz="0" w:space="0" w:color="auto"/>
        <w:right w:val="none" w:sz="0" w:space="0" w:color="auto"/>
      </w:divBdr>
    </w:div>
    <w:div w:id="1289703599">
      <w:marLeft w:val="0"/>
      <w:marRight w:val="0"/>
      <w:marTop w:val="0"/>
      <w:marBottom w:val="0"/>
      <w:divBdr>
        <w:top w:val="none" w:sz="0" w:space="0" w:color="auto"/>
        <w:left w:val="none" w:sz="0" w:space="0" w:color="auto"/>
        <w:bottom w:val="none" w:sz="0" w:space="0" w:color="auto"/>
        <w:right w:val="none" w:sz="0" w:space="0" w:color="auto"/>
      </w:divBdr>
    </w:div>
    <w:div w:id="1289703601">
      <w:marLeft w:val="0"/>
      <w:marRight w:val="0"/>
      <w:marTop w:val="0"/>
      <w:marBottom w:val="0"/>
      <w:divBdr>
        <w:top w:val="none" w:sz="0" w:space="0" w:color="auto"/>
        <w:left w:val="none" w:sz="0" w:space="0" w:color="auto"/>
        <w:bottom w:val="none" w:sz="0" w:space="0" w:color="auto"/>
        <w:right w:val="none" w:sz="0" w:space="0" w:color="auto"/>
      </w:divBdr>
    </w:div>
    <w:div w:id="1406075022">
      <w:bodyDiv w:val="1"/>
      <w:marLeft w:val="0"/>
      <w:marRight w:val="0"/>
      <w:marTop w:val="0"/>
      <w:marBottom w:val="0"/>
      <w:divBdr>
        <w:top w:val="none" w:sz="0" w:space="0" w:color="auto"/>
        <w:left w:val="none" w:sz="0" w:space="0" w:color="auto"/>
        <w:bottom w:val="none" w:sz="0" w:space="0" w:color="auto"/>
        <w:right w:val="none" w:sz="0" w:space="0" w:color="auto"/>
      </w:divBdr>
    </w:div>
    <w:div w:id="1675107398">
      <w:bodyDiv w:val="1"/>
      <w:marLeft w:val="0"/>
      <w:marRight w:val="0"/>
      <w:marTop w:val="0"/>
      <w:marBottom w:val="0"/>
      <w:divBdr>
        <w:top w:val="none" w:sz="0" w:space="0" w:color="auto"/>
        <w:left w:val="none" w:sz="0" w:space="0" w:color="auto"/>
        <w:bottom w:val="none" w:sz="0" w:space="0" w:color="auto"/>
        <w:right w:val="none" w:sz="0" w:space="0" w:color="auto"/>
      </w:divBdr>
    </w:div>
    <w:div w:id="1777366124">
      <w:bodyDiv w:val="1"/>
      <w:marLeft w:val="0"/>
      <w:marRight w:val="0"/>
      <w:marTop w:val="0"/>
      <w:marBottom w:val="0"/>
      <w:divBdr>
        <w:top w:val="none" w:sz="0" w:space="0" w:color="auto"/>
        <w:left w:val="none" w:sz="0" w:space="0" w:color="auto"/>
        <w:bottom w:val="none" w:sz="0" w:space="0" w:color="auto"/>
        <w:right w:val="none" w:sz="0" w:space="0" w:color="auto"/>
      </w:divBdr>
    </w:div>
    <w:div w:id="1990092204">
      <w:bodyDiv w:val="1"/>
      <w:marLeft w:val="0"/>
      <w:marRight w:val="0"/>
      <w:marTop w:val="0"/>
      <w:marBottom w:val="0"/>
      <w:divBdr>
        <w:top w:val="none" w:sz="0" w:space="0" w:color="auto"/>
        <w:left w:val="none" w:sz="0" w:space="0" w:color="auto"/>
        <w:bottom w:val="none" w:sz="0" w:space="0" w:color="auto"/>
        <w:right w:val="none" w:sz="0" w:space="0" w:color="auto"/>
      </w:divBdr>
      <w:divsChild>
        <w:div w:id="1913275970">
          <w:marLeft w:val="0"/>
          <w:marRight w:val="0"/>
          <w:marTop w:val="0"/>
          <w:marBottom w:val="0"/>
          <w:divBdr>
            <w:top w:val="none" w:sz="0" w:space="0" w:color="auto"/>
            <w:left w:val="none" w:sz="0" w:space="0" w:color="auto"/>
            <w:bottom w:val="none" w:sz="0" w:space="0" w:color="auto"/>
            <w:right w:val="none" w:sz="0" w:space="0" w:color="auto"/>
          </w:divBdr>
          <w:divsChild>
            <w:div w:id="1577327034">
              <w:marLeft w:val="0"/>
              <w:marRight w:val="0"/>
              <w:marTop w:val="0"/>
              <w:marBottom w:val="0"/>
              <w:divBdr>
                <w:top w:val="none" w:sz="0" w:space="0" w:color="auto"/>
                <w:left w:val="none" w:sz="0" w:space="0" w:color="auto"/>
                <w:bottom w:val="none" w:sz="0" w:space="0" w:color="auto"/>
                <w:right w:val="none" w:sz="0" w:space="0" w:color="auto"/>
              </w:divBdr>
              <w:divsChild>
                <w:div w:id="703359860">
                  <w:marLeft w:val="0"/>
                  <w:marRight w:val="0"/>
                  <w:marTop w:val="0"/>
                  <w:marBottom w:val="0"/>
                  <w:divBdr>
                    <w:top w:val="none" w:sz="0" w:space="0" w:color="auto"/>
                    <w:left w:val="none" w:sz="0" w:space="0" w:color="auto"/>
                    <w:bottom w:val="none" w:sz="0" w:space="0" w:color="auto"/>
                    <w:right w:val="none" w:sz="0" w:space="0" w:color="auto"/>
                  </w:divBdr>
                  <w:divsChild>
                    <w:div w:id="965163433">
                      <w:marLeft w:val="0"/>
                      <w:marRight w:val="0"/>
                      <w:marTop w:val="0"/>
                      <w:marBottom w:val="0"/>
                      <w:divBdr>
                        <w:top w:val="none" w:sz="0" w:space="0" w:color="auto"/>
                        <w:left w:val="none" w:sz="0" w:space="0" w:color="auto"/>
                        <w:bottom w:val="none" w:sz="0" w:space="0" w:color="auto"/>
                        <w:right w:val="none" w:sz="0" w:space="0" w:color="auto"/>
                      </w:divBdr>
                      <w:divsChild>
                        <w:div w:id="239415494">
                          <w:marLeft w:val="0"/>
                          <w:marRight w:val="0"/>
                          <w:marTop w:val="0"/>
                          <w:marBottom w:val="0"/>
                          <w:divBdr>
                            <w:top w:val="none" w:sz="0" w:space="0" w:color="auto"/>
                            <w:left w:val="none" w:sz="0" w:space="0" w:color="auto"/>
                            <w:bottom w:val="none" w:sz="0" w:space="0" w:color="auto"/>
                            <w:right w:val="none" w:sz="0" w:space="0" w:color="auto"/>
                          </w:divBdr>
                          <w:divsChild>
                            <w:div w:id="375593669">
                              <w:marLeft w:val="0"/>
                              <w:marRight w:val="0"/>
                              <w:marTop w:val="0"/>
                              <w:marBottom w:val="0"/>
                              <w:divBdr>
                                <w:top w:val="none" w:sz="0" w:space="0" w:color="auto"/>
                                <w:left w:val="none" w:sz="0" w:space="0" w:color="auto"/>
                                <w:bottom w:val="none" w:sz="0" w:space="0" w:color="auto"/>
                                <w:right w:val="none" w:sz="0" w:space="0" w:color="auto"/>
                              </w:divBdr>
                              <w:divsChild>
                                <w:div w:id="535508236">
                                  <w:marLeft w:val="0"/>
                                  <w:marRight w:val="0"/>
                                  <w:marTop w:val="0"/>
                                  <w:marBottom w:val="0"/>
                                  <w:divBdr>
                                    <w:top w:val="none" w:sz="0" w:space="0" w:color="auto"/>
                                    <w:left w:val="none" w:sz="0" w:space="0" w:color="auto"/>
                                    <w:bottom w:val="none" w:sz="0" w:space="0" w:color="auto"/>
                                    <w:right w:val="none" w:sz="0" w:space="0" w:color="auto"/>
                                  </w:divBdr>
                                  <w:divsChild>
                                    <w:div w:id="163472709">
                                      <w:marLeft w:val="0"/>
                                      <w:marRight w:val="0"/>
                                      <w:marTop w:val="0"/>
                                      <w:marBottom w:val="0"/>
                                      <w:divBdr>
                                        <w:top w:val="none" w:sz="0" w:space="0" w:color="auto"/>
                                        <w:left w:val="none" w:sz="0" w:space="0" w:color="auto"/>
                                        <w:bottom w:val="none" w:sz="0" w:space="0" w:color="auto"/>
                                        <w:right w:val="none" w:sz="0" w:space="0" w:color="auto"/>
                                      </w:divBdr>
                                      <w:divsChild>
                                        <w:div w:id="1561407064">
                                          <w:marLeft w:val="0"/>
                                          <w:marRight w:val="0"/>
                                          <w:marTop w:val="0"/>
                                          <w:marBottom w:val="0"/>
                                          <w:divBdr>
                                            <w:top w:val="none" w:sz="0" w:space="0" w:color="auto"/>
                                            <w:left w:val="none" w:sz="0" w:space="0" w:color="auto"/>
                                            <w:bottom w:val="none" w:sz="0" w:space="0" w:color="auto"/>
                                            <w:right w:val="none" w:sz="0" w:space="0" w:color="auto"/>
                                          </w:divBdr>
                                          <w:divsChild>
                                            <w:div w:id="1295910778">
                                              <w:marLeft w:val="0"/>
                                              <w:marRight w:val="0"/>
                                              <w:marTop w:val="0"/>
                                              <w:marBottom w:val="0"/>
                                              <w:divBdr>
                                                <w:top w:val="none" w:sz="0" w:space="0" w:color="auto"/>
                                                <w:left w:val="none" w:sz="0" w:space="0" w:color="auto"/>
                                                <w:bottom w:val="none" w:sz="0" w:space="0" w:color="auto"/>
                                                <w:right w:val="none" w:sz="0" w:space="0" w:color="auto"/>
                                              </w:divBdr>
                                              <w:divsChild>
                                                <w:div w:id="2021614778">
                                                  <w:marLeft w:val="0"/>
                                                  <w:marRight w:val="0"/>
                                                  <w:marTop w:val="0"/>
                                                  <w:marBottom w:val="0"/>
                                                  <w:divBdr>
                                                    <w:top w:val="none" w:sz="0" w:space="0" w:color="auto"/>
                                                    <w:left w:val="none" w:sz="0" w:space="0" w:color="auto"/>
                                                    <w:bottom w:val="none" w:sz="0" w:space="0" w:color="auto"/>
                                                    <w:right w:val="none" w:sz="0" w:space="0" w:color="auto"/>
                                                  </w:divBdr>
                                                  <w:divsChild>
                                                    <w:div w:id="2028409500">
                                                      <w:marLeft w:val="0"/>
                                                      <w:marRight w:val="0"/>
                                                      <w:marTop w:val="0"/>
                                                      <w:marBottom w:val="0"/>
                                                      <w:divBdr>
                                                        <w:top w:val="none" w:sz="0" w:space="0" w:color="auto"/>
                                                        <w:left w:val="none" w:sz="0" w:space="0" w:color="auto"/>
                                                        <w:bottom w:val="none" w:sz="0" w:space="0" w:color="auto"/>
                                                        <w:right w:val="none" w:sz="0" w:space="0" w:color="auto"/>
                                                      </w:divBdr>
                                                      <w:divsChild>
                                                        <w:div w:id="755788043">
                                                          <w:marLeft w:val="0"/>
                                                          <w:marRight w:val="0"/>
                                                          <w:marTop w:val="0"/>
                                                          <w:marBottom w:val="0"/>
                                                          <w:divBdr>
                                                            <w:top w:val="none" w:sz="0" w:space="0" w:color="auto"/>
                                                            <w:left w:val="none" w:sz="0" w:space="0" w:color="auto"/>
                                                            <w:bottom w:val="none" w:sz="0" w:space="0" w:color="auto"/>
                                                            <w:right w:val="none" w:sz="0" w:space="0" w:color="auto"/>
                                                          </w:divBdr>
                                                          <w:divsChild>
                                                            <w:div w:id="172991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irmingham.ac.uk/research/activity/mds/mds-rkto/governance/index.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bham.sharepoint.com/sites/SafetyServices/SitePages/hazardous.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birmingham.ac.uk/research/activity/mds/mds-rkto/governance/Glossary-of-Terms.asp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ham.sharepoint.com/sites/SafetyServices/SitePages/biologicalsafety.asp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ham.sharepoint.com/sites/SafetyServices/SitePages/hazardous.aspx"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bham.sharepoint.com/sites/SafetyServices/SitePages/biologicalsafety.aspx" TargetMode="Externa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birmingham.ac.uk/research/activity/mds/mds-rkto/governance/index.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birmingham.ac.uk/cr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cy\Desktop\Work%20stuff%20in%20progress\Skeletal%20Muscle%20Biopsies\UoB%20SOP%20template%20v9.0%20vd%2018-Jan-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1C60-4D96-4FD5-AA9A-6BD7DF222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UoB SOP template v9.0 vd 18-Jan-2022</Template>
  <TotalTime>317</TotalTime>
  <Pages>6</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UoB SOP template v9.0 vd 18-Jan-2022</vt:lpstr>
    </vt:vector>
  </TitlesOfParts>
  <Company>MDS</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 SOP template v9.0 vd 18-Jan-2022</dc:title>
  <dc:creator>Carole Evans (Advanced Therapies Facility)</dc:creator>
  <cp:lastModifiedBy>Kari Bottolfsen (Life and Environmental Sciences)</cp:lastModifiedBy>
  <cp:revision>28</cp:revision>
  <cp:lastPrinted>2019-05-31T11:18:00Z</cp:lastPrinted>
  <dcterms:created xsi:type="dcterms:W3CDTF">2023-08-30T12:43:00Z</dcterms:created>
  <dcterms:modified xsi:type="dcterms:W3CDTF">2023-12-11T09:05:00Z</dcterms:modified>
</cp:coreProperties>
</file>