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9DFCA" w14:textId="77777777" w:rsidR="0034258C" w:rsidRPr="00C2684C" w:rsidRDefault="0034258C" w:rsidP="00523F87">
      <w:pPr>
        <w:spacing w:line="360" w:lineRule="auto"/>
        <w:jc w:val="both"/>
        <w:rPr>
          <w:rFonts w:ascii="Tahoma" w:hAnsi="Tahoma" w:cs="Tahoma"/>
          <w:i/>
          <w:noProof/>
          <w:color w:val="FF0000"/>
          <w:sz w:val="22"/>
          <w:szCs w:val="22"/>
        </w:rPr>
      </w:pPr>
      <w:r w:rsidRPr="00C2684C">
        <w:rPr>
          <w:rFonts w:ascii="Tahoma" w:hAnsi="Tahoma" w:cs="Tahoma"/>
          <w:i/>
          <w:noProof/>
          <w:color w:val="FF0000"/>
          <w:sz w:val="22"/>
          <w:szCs w:val="22"/>
          <w:lang w:val="en-GB"/>
        </w:rPr>
        <w:drawing>
          <wp:anchor distT="0" distB="0" distL="114300" distR="114300" simplePos="0" relativeHeight="251658240" behindDoc="0" locked="0" layoutInCell="1" allowOverlap="1" wp14:anchorId="7649129B" wp14:editId="6C5BCBB4">
            <wp:simplePos x="0" y="0"/>
            <wp:positionH relativeFrom="margin">
              <wp:align>right</wp:align>
            </wp:positionH>
            <wp:positionV relativeFrom="paragraph">
              <wp:posOffset>-254000</wp:posOffset>
            </wp:positionV>
            <wp:extent cx="1059815" cy="980440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15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684C">
        <w:rPr>
          <w:rFonts w:ascii="Tahoma" w:hAnsi="Tahoma" w:cs="Tahoma"/>
          <w:i/>
          <w:noProof/>
          <w:color w:val="FF0000"/>
          <w:sz w:val="22"/>
          <w:szCs w:val="22"/>
        </w:rPr>
        <w:t>&lt;</w:t>
      </w:r>
      <w:r w:rsidRPr="00AD055C">
        <w:rPr>
          <w:rFonts w:ascii="Tahoma" w:hAnsi="Tahoma" w:cs="Tahoma"/>
          <w:i/>
          <w:noProof/>
          <w:color w:val="FF0000"/>
          <w:sz w:val="22"/>
          <w:szCs w:val="22"/>
          <w:highlight w:val="yellow"/>
        </w:rPr>
        <w:t>insert local letterhead details</w:t>
      </w:r>
      <w:r w:rsidRPr="00C2684C">
        <w:rPr>
          <w:rFonts w:ascii="Tahoma" w:hAnsi="Tahoma" w:cs="Tahoma"/>
          <w:i/>
          <w:noProof/>
          <w:color w:val="FF0000"/>
          <w:sz w:val="22"/>
          <w:szCs w:val="22"/>
        </w:rPr>
        <w:t xml:space="preserve">&gt;                                                                        </w:t>
      </w:r>
    </w:p>
    <w:p w14:paraId="353B30AF" w14:textId="77777777" w:rsidR="0034258C" w:rsidRPr="00C2684C" w:rsidRDefault="0034258C" w:rsidP="00523F8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AC77D6B" w14:textId="77777777" w:rsidR="00523F87" w:rsidRPr="00C2684C" w:rsidRDefault="00523F87" w:rsidP="00523F8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2684C">
        <w:rPr>
          <w:rFonts w:ascii="Tahoma" w:hAnsi="Tahoma" w:cs="Tahoma"/>
          <w:sz w:val="22"/>
          <w:szCs w:val="22"/>
        </w:rPr>
        <w:t>&lt;</w:t>
      </w:r>
      <w:r w:rsidRPr="00AD055C">
        <w:rPr>
          <w:rFonts w:ascii="Tahoma" w:hAnsi="Tahoma" w:cs="Tahoma"/>
          <w:sz w:val="22"/>
          <w:szCs w:val="22"/>
          <w:highlight w:val="yellow"/>
        </w:rPr>
        <w:t>Doctor</w:t>
      </w:r>
      <w:r w:rsidRPr="00C2684C">
        <w:rPr>
          <w:rFonts w:ascii="Tahoma" w:hAnsi="Tahoma" w:cs="Tahoma"/>
          <w:sz w:val="22"/>
          <w:szCs w:val="22"/>
        </w:rPr>
        <w:t>&gt;</w:t>
      </w:r>
    </w:p>
    <w:p w14:paraId="12235587" w14:textId="77777777" w:rsidR="00523F87" w:rsidRPr="00C2684C" w:rsidRDefault="00523F87" w:rsidP="00523F8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2684C">
        <w:rPr>
          <w:rFonts w:ascii="Tahoma" w:hAnsi="Tahoma" w:cs="Tahoma"/>
          <w:sz w:val="22"/>
          <w:szCs w:val="22"/>
        </w:rPr>
        <w:t>&lt;</w:t>
      </w:r>
      <w:r w:rsidRPr="00AD055C">
        <w:rPr>
          <w:rFonts w:ascii="Tahoma" w:hAnsi="Tahoma" w:cs="Tahoma"/>
          <w:sz w:val="22"/>
          <w:szCs w:val="22"/>
          <w:highlight w:val="yellow"/>
        </w:rPr>
        <w:t>Practice</w:t>
      </w:r>
      <w:r w:rsidRPr="00C2684C">
        <w:rPr>
          <w:rFonts w:ascii="Tahoma" w:hAnsi="Tahoma" w:cs="Tahoma"/>
          <w:sz w:val="22"/>
          <w:szCs w:val="22"/>
        </w:rPr>
        <w:t>&gt;</w:t>
      </w:r>
    </w:p>
    <w:p w14:paraId="7094E5D8" w14:textId="77777777" w:rsidR="00523F87" w:rsidRPr="00C2684C" w:rsidRDefault="00523F87" w:rsidP="00523F8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2684C">
        <w:rPr>
          <w:rFonts w:ascii="Tahoma" w:hAnsi="Tahoma" w:cs="Tahoma"/>
          <w:sz w:val="22"/>
          <w:szCs w:val="22"/>
        </w:rPr>
        <w:t>&lt;</w:t>
      </w:r>
      <w:r w:rsidRPr="00AD055C">
        <w:rPr>
          <w:rFonts w:ascii="Tahoma" w:hAnsi="Tahoma" w:cs="Tahoma"/>
          <w:sz w:val="22"/>
          <w:szCs w:val="22"/>
          <w:highlight w:val="yellow"/>
        </w:rPr>
        <w:t>Street</w:t>
      </w:r>
      <w:r w:rsidRPr="00C2684C">
        <w:rPr>
          <w:rFonts w:ascii="Tahoma" w:hAnsi="Tahoma" w:cs="Tahoma"/>
          <w:sz w:val="22"/>
          <w:szCs w:val="22"/>
        </w:rPr>
        <w:t>&gt;</w:t>
      </w:r>
    </w:p>
    <w:p w14:paraId="1B428C74" w14:textId="77777777" w:rsidR="00523F87" w:rsidRPr="00C2684C" w:rsidRDefault="00523F87" w:rsidP="00523F8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2684C">
        <w:rPr>
          <w:rFonts w:ascii="Tahoma" w:hAnsi="Tahoma" w:cs="Tahoma"/>
          <w:sz w:val="22"/>
          <w:szCs w:val="22"/>
        </w:rPr>
        <w:t>&lt;</w:t>
      </w:r>
      <w:r w:rsidRPr="00AD055C">
        <w:rPr>
          <w:rFonts w:ascii="Tahoma" w:hAnsi="Tahoma" w:cs="Tahoma"/>
          <w:sz w:val="22"/>
          <w:szCs w:val="22"/>
          <w:highlight w:val="yellow"/>
        </w:rPr>
        <w:t>City</w:t>
      </w:r>
      <w:r w:rsidRPr="00C2684C">
        <w:rPr>
          <w:rFonts w:ascii="Tahoma" w:hAnsi="Tahoma" w:cs="Tahoma"/>
          <w:sz w:val="22"/>
          <w:szCs w:val="22"/>
        </w:rPr>
        <w:t>&gt;</w:t>
      </w:r>
    </w:p>
    <w:p w14:paraId="6312F0B7" w14:textId="77777777" w:rsidR="00523F87" w:rsidRPr="00C2684C" w:rsidRDefault="00523F87" w:rsidP="00523F8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2684C">
        <w:rPr>
          <w:rFonts w:ascii="Tahoma" w:hAnsi="Tahoma" w:cs="Tahoma"/>
          <w:sz w:val="22"/>
          <w:szCs w:val="22"/>
        </w:rPr>
        <w:t>&lt;</w:t>
      </w:r>
      <w:r w:rsidRPr="00AD055C">
        <w:rPr>
          <w:rFonts w:ascii="Tahoma" w:hAnsi="Tahoma" w:cs="Tahoma"/>
          <w:sz w:val="22"/>
          <w:szCs w:val="22"/>
          <w:highlight w:val="yellow"/>
        </w:rPr>
        <w:t>Postcode</w:t>
      </w:r>
      <w:r w:rsidRPr="00C2684C">
        <w:rPr>
          <w:rFonts w:ascii="Tahoma" w:hAnsi="Tahoma" w:cs="Tahoma"/>
          <w:sz w:val="22"/>
          <w:szCs w:val="22"/>
        </w:rPr>
        <w:t>&gt;</w:t>
      </w:r>
    </w:p>
    <w:p w14:paraId="68A98D9F" w14:textId="77777777" w:rsidR="00523F87" w:rsidRPr="00C2684C" w:rsidRDefault="00523F87" w:rsidP="00523F87">
      <w:pPr>
        <w:jc w:val="both"/>
        <w:rPr>
          <w:rFonts w:ascii="Tahoma" w:hAnsi="Tahoma" w:cs="Tahoma"/>
          <w:sz w:val="22"/>
          <w:szCs w:val="22"/>
        </w:rPr>
      </w:pPr>
    </w:p>
    <w:p w14:paraId="4BAAF13D" w14:textId="77777777" w:rsidR="00523F87" w:rsidRPr="00C2684C" w:rsidRDefault="00523F87" w:rsidP="00523F87">
      <w:pPr>
        <w:jc w:val="both"/>
        <w:rPr>
          <w:rFonts w:ascii="Tahoma" w:hAnsi="Tahoma" w:cs="Tahoma"/>
          <w:sz w:val="22"/>
          <w:szCs w:val="22"/>
        </w:rPr>
      </w:pPr>
      <w:r w:rsidRPr="00C2684C">
        <w:rPr>
          <w:rFonts w:ascii="Tahoma" w:hAnsi="Tahoma" w:cs="Tahoma"/>
          <w:sz w:val="22"/>
          <w:szCs w:val="22"/>
        </w:rPr>
        <w:t>&lt;</w:t>
      </w:r>
      <w:r w:rsidRPr="00AD055C">
        <w:rPr>
          <w:rFonts w:ascii="Tahoma" w:hAnsi="Tahoma" w:cs="Tahoma"/>
          <w:sz w:val="22"/>
          <w:szCs w:val="22"/>
          <w:highlight w:val="yellow"/>
        </w:rPr>
        <w:t>Date</w:t>
      </w:r>
      <w:r w:rsidRPr="00C2684C">
        <w:rPr>
          <w:rFonts w:ascii="Tahoma" w:hAnsi="Tahoma" w:cs="Tahoma"/>
          <w:sz w:val="22"/>
          <w:szCs w:val="22"/>
        </w:rPr>
        <w:t>&gt;</w:t>
      </w:r>
    </w:p>
    <w:p w14:paraId="77F5A140" w14:textId="77777777" w:rsidR="00523F87" w:rsidRPr="00C2684C" w:rsidRDefault="00523F87" w:rsidP="00523F87">
      <w:pPr>
        <w:jc w:val="both"/>
        <w:rPr>
          <w:rFonts w:ascii="Tahoma" w:hAnsi="Tahoma" w:cs="Tahoma"/>
          <w:sz w:val="22"/>
          <w:szCs w:val="22"/>
        </w:rPr>
      </w:pPr>
    </w:p>
    <w:p w14:paraId="25380A44" w14:textId="77777777" w:rsidR="00523F87" w:rsidRPr="00C2684C" w:rsidRDefault="00523F87" w:rsidP="00523F87">
      <w:pPr>
        <w:jc w:val="both"/>
        <w:rPr>
          <w:rFonts w:ascii="Tahoma" w:hAnsi="Tahoma" w:cs="Tahoma"/>
          <w:sz w:val="22"/>
          <w:szCs w:val="22"/>
        </w:rPr>
      </w:pPr>
    </w:p>
    <w:p w14:paraId="71EE8979" w14:textId="71DDB2DE" w:rsidR="00523F87" w:rsidRPr="00C2684C" w:rsidRDefault="00523F87" w:rsidP="00523F87">
      <w:pPr>
        <w:jc w:val="both"/>
        <w:rPr>
          <w:rFonts w:ascii="Tahoma" w:hAnsi="Tahoma" w:cs="Tahoma"/>
          <w:sz w:val="22"/>
          <w:szCs w:val="22"/>
        </w:rPr>
      </w:pPr>
      <w:r w:rsidRPr="00C2684C">
        <w:rPr>
          <w:rFonts w:ascii="Tahoma" w:hAnsi="Tahoma" w:cs="Tahoma"/>
          <w:sz w:val="22"/>
          <w:szCs w:val="22"/>
        </w:rPr>
        <w:t>Dear Dr &lt;</w:t>
      </w:r>
      <w:r w:rsidR="00AD6F17">
        <w:rPr>
          <w:rFonts w:ascii="Tahoma" w:hAnsi="Tahoma" w:cs="Tahoma"/>
          <w:sz w:val="22"/>
          <w:szCs w:val="22"/>
        </w:rPr>
        <w:t xml:space="preserve">insert </w:t>
      </w:r>
      <w:r w:rsidRPr="00C2684C">
        <w:rPr>
          <w:rFonts w:ascii="Tahoma" w:hAnsi="Tahoma" w:cs="Tahoma"/>
          <w:sz w:val="22"/>
          <w:szCs w:val="22"/>
        </w:rPr>
        <w:t>GP</w:t>
      </w:r>
      <w:r w:rsidR="00AD5BFD">
        <w:rPr>
          <w:rFonts w:ascii="Tahoma" w:hAnsi="Tahoma" w:cs="Tahoma"/>
          <w:sz w:val="22"/>
          <w:szCs w:val="22"/>
        </w:rPr>
        <w:t>/Community Paediatrician</w:t>
      </w:r>
      <w:r w:rsidRPr="00C2684C">
        <w:rPr>
          <w:rFonts w:ascii="Tahoma" w:hAnsi="Tahoma" w:cs="Tahoma"/>
          <w:sz w:val="22"/>
          <w:szCs w:val="22"/>
        </w:rPr>
        <w:t xml:space="preserve"> name&gt;,</w:t>
      </w:r>
    </w:p>
    <w:p w14:paraId="671CDEB1" w14:textId="77777777" w:rsidR="00523F87" w:rsidRPr="00C2684C" w:rsidRDefault="00523F87" w:rsidP="00523F87">
      <w:pPr>
        <w:jc w:val="both"/>
        <w:rPr>
          <w:rFonts w:ascii="Tahoma" w:hAnsi="Tahoma" w:cs="Tahoma"/>
          <w:sz w:val="22"/>
          <w:szCs w:val="22"/>
        </w:rPr>
      </w:pPr>
    </w:p>
    <w:p w14:paraId="59981054" w14:textId="77777777" w:rsidR="00523F87" w:rsidRPr="00AD055C" w:rsidRDefault="00523F87" w:rsidP="00AD055C">
      <w:pPr>
        <w:rPr>
          <w:rFonts w:ascii="Tahoma" w:hAnsi="Tahoma" w:cs="Tahoma"/>
          <w:b/>
          <w:sz w:val="22"/>
        </w:rPr>
      </w:pPr>
    </w:p>
    <w:p w14:paraId="39B7532A" w14:textId="77777777" w:rsidR="00C2684C" w:rsidRPr="00AD055C" w:rsidRDefault="00523F87" w:rsidP="00AD055C">
      <w:pPr>
        <w:rPr>
          <w:rFonts w:ascii="Tahoma" w:hAnsi="Tahoma" w:cs="Tahoma"/>
          <w:sz w:val="22"/>
        </w:rPr>
      </w:pPr>
      <w:r w:rsidRPr="00AD055C">
        <w:rPr>
          <w:rFonts w:ascii="Tahoma" w:hAnsi="Tahoma" w:cs="Tahoma"/>
          <w:b/>
          <w:sz w:val="22"/>
        </w:rPr>
        <w:t xml:space="preserve">Re:  </w:t>
      </w:r>
      <w:r w:rsidRPr="00AD055C">
        <w:rPr>
          <w:rFonts w:ascii="Tahoma" w:hAnsi="Tahoma" w:cs="Tahoma"/>
          <w:b/>
          <w:sz w:val="22"/>
        </w:rPr>
        <w:tab/>
      </w:r>
    </w:p>
    <w:p w14:paraId="48FE3445" w14:textId="77777777" w:rsidR="00523F87" w:rsidRPr="00AD055C" w:rsidRDefault="00523F87" w:rsidP="00AD055C">
      <w:pPr>
        <w:rPr>
          <w:rFonts w:ascii="Tahoma" w:hAnsi="Tahoma" w:cs="Tahoma"/>
          <w:sz w:val="22"/>
        </w:rPr>
      </w:pPr>
      <w:r w:rsidRPr="00AD055C">
        <w:rPr>
          <w:rFonts w:ascii="Tahoma" w:hAnsi="Tahoma" w:cs="Tahoma"/>
          <w:b/>
          <w:sz w:val="22"/>
        </w:rPr>
        <w:t>Name: …………………………</w:t>
      </w:r>
      <w:r w:rsidR="00C2684C" w:rsidRPr="00AD055C">
        <w:rPr>
          <w:rFonts w:ascii="Tahoma" w:hAnsi="Tahoma" w:cs="Tahoma"/>
          <w:b/>
          <w:sz w:val="22"/>
        </w:rPr>
        <w:t>…………………………………………………………………………………</w:t>
      </w:r>
    </w:p>
    <w:p w14:paraId="5B2815E1" w14:textId="77777777" w:rsidR="00523F87" w:rsidRPr="00AD055C" w:rsidRDefault="00523F87" w:rsidP="00AD055C">
      <w:pPr>
        <w:rPr>
          <w:rFonts w:ascii="Tahoma" w:hAnsi="Tahoma" w:cs="Tahoma"/>
          <w:sz w:val="22"/>
        </w:rPr>
      </w:pPr>
    </w:p>
    <w:p w14:paraId="2BDC3846" w14:textId="77777777" w:rsidR="00523F87" w:rsidRPr="00AD055C" w:rsidRDefault="00523F87" w:rsidP="00AD055C">
      <w:pPr>
        <w:rPr>
          <w:rFonts w:ascii="Tahoma" w:hAnsi="Tahoma" w:cs="Tahoma"/>
          <w:sz w:val="22"/>
        </w:rPr>
      </w:pPr>
      <w:proofErr w:type="spellStart"/>
      <w:r w:rsidRPr="00AD055C">
        <w:rPr>
          <w:rFonts w:ascii="Tahoma" w:hAnsi="Tahoma" w:cs="Tahoma"/>
          <w:b/>
          <w:sz w:val="22"/>
        </w:rPr>
        <w:t>DoB</w:t>
      </w:r>
      <w:proofErr w:type="spellEnd"/>
      <w:r w:rsidRPr="00AD055C">
        <w:rPr>
          <w:rFonts w:ascii="Tahoma" w:hAnsi="Tahoma" w:cs="Tahoma"/>
          <w:b/>
          <w:sz w:val="22"/>
        </w:rPr>
        <w:t>: ……………………………</w:t>
      </w:r>
      <w:r w:rsidR="00C2684C" w:rsidRPr="00AD055C">
        <w:rPr>
          <w:rFonts w:ascii="Tahoma" w:hAnsi="Tahoma" w:cs="Tahoma"/>
          <w:b/>
          <w:sz w:val="22"/>
        </w:rPr>
        <w:t>………………………………………………………………………………</w:t>
      </w:r>
    </w:p>
    <w:p w14:paraId="3A679F9C" w14:textId="77777777" w:rsidR="00523F87" w:rsidRPr="00AD055C" w:rsidRDefault="00523F87" w:rsidP="00AD055C">
      <w:pPr>
        <w:rPr>
          <w:rFonts w:ascii="Tahoma" w:hAnsi="Tahoma" w:cs="Tahoma"/>
          <w:sz w:val="22"/>
        </w:rPr>
      </w:pPr>
    </w:p>
    <w:p w14:paraId="3462F6C5" w14:textId="77777777" w:rsidR="00523F87" w:rsidRPr="00AD055C" w:rsidRDefault="00523F87" w:rsidP="00AD055C">
      <w:pPr>
        <w:rPr>
          <w:rFonts w:ascii="Tahoma" w:hAnsi="Tahoma" w:cs="Tahoma"/>
          <w:sz w:val="22"/>
        </w:rPr>
      </w:pPr>
      <w:r w:rsidRPr="00AD055C">
        <w:rPr>
          <w:rFonts w:ascii="Tahoma" w:hAnsi="Tahoma" w:cs="Tahoma"/>
          <w:b/>
          <w:sz w:val="22"/>
        </w:rPr>
        <w:t>NHS No: …………………………………………………………………………………………………………</w:t>
      </w:r>
    </w:p>
    <w:p w14:paraId="53A1A7E6" w14:textId="77777777" w:rsidR="00523F87" w:rsidRPr="00AD055C" w:rsidRDefault="00523F87" w:rsidP="00AD055C">
      <w:pPr>
        <w:rPr>
          <w:rFonts w:ascii="Tahoma" w:hAnsi="Tahoma" w:cs="Tahoma"/>
          <w:sz w:val="22"/>
        </w:rPr>
      </w:pPr>
    </w:p>
    <w:p w14:paraId="2835A7F1" w14:textId="77777777" w:rsidR="006219F2" w:rsidRPr="00AD055C" w:rsidRDefault="006219F2" w:rsidP="00AD055C">
      <w:pPr>
        <w:rPr>
          <w:rFonts w:ascii="Tahoma" w:hAnsi="Tahoma" w:cs="Tahoma"/>
          <w:bCs/>
          <w:sz w:val="22"/>
          <w:lang w:val="en-GB"/>
        </w:rPr>
      </w:pPr>
      <w:r w:rsidRPr="00AD055C">
        <w:rPr>
          <w:rFonts w:ascii="Tahoma" w:hAnsi="Tahoma" w:cs="Tahoma"/>
          <w:b/>
          <w:sz w:val="22"/>
          <w:lang w:val="en-GB"/>
        </w:rPr>
        <w:t xml:space="preserve">The </w:t>
      </w:r>
      <w:r w:rsidRPr="00AD055C">
        <w:rPr>
          <w:rFonts w:ascii="Tahoma" w:hAnsi="Tahoma" w:cs="Tahoma"/>
          <w:b/>
          <w:bCs/>
          <w:sz w:val="22"/>
          <w:lang w:val="en-GB"/>
        </w:rPr>
        <w:t>Growth Hormone Deficiency</w:t>
      </w:r>
      <w:r w:rsidRPr="00AD055C">
        <w:rPr>
          <w:rFonts w:ascii="Tahoma" w:hAnsi="Tahoma" w:cs="Tahoma"/>
          <w:b/>
          <w:sz w:val="22"/>
          <w:lang w:val="en-GB"/>
        </w:rPr>
        <w:t xml:space="preserve"> Reversal Trial: Effect on final height of discontinuation vs continuation of growth hormone treatment in pubertal </w:t>
      </w:r>
      <w:r w:rsidRPr="00AD055C">
        <w:rPr>
          <w:rFonts w:ascii="Tahoma" w:hAnsi="Tahoma" w:cs="Tahoma"/>
          <w:b/>
          <w:bCs/>
          <w:sz w:val="22"/>
          <w:lang w:val="en-GB"/>
        </w:rPr>
        <w:t xml:space="preserve">children </w:t>
      </w:r>
      <w:bookmarkStart w:id="0" w:name="_Hlk52991627"/>
      <w:r w:rsidRPr="00AD055C">
        <w:rPr>
          <w:rFonts w:ascii="Tahoma" w:hAnsi="Tahoma" w:cs="Tahoma"/>
          <w:b/>
          <w:bCs/>
          <w:sz w:val="22"/>
          <w:lang w:val="en-GB"/>
        </w:rPr>
        <w:t>with isolated growth hormone deficiency</w:t>
      </w:r>
      <w:bookmarkEnd w:id="0"/>
      <w:r w:rsidRPr="00AD055C">
        <w:rPr>
          <w:rFonts w:ascii="Tahoma" w:hAnsi="Tahoma" w:cs="Tahoma"/>
          <w:b/>
          <w:bCs/>
          <w:sz w:val="22"/>
          <w:lang w:val="en-GB"/>
        </w:rPr>
        <w:t xml:space="preserve"> – A non-inferiority randomised controlled trial</w:t>
      </w:r>
    </w:p>
    <w:p w14:paraId="204F54E9" w14:textId="77777777" w:rsidR="0034258C" w:rsidRPr="00C2684C" w:rsidRDefault="0034258C" w:rsidP="00523F87">
      <w:pPr>
        <w:jc w:val="both"/>
        <w:rPr>
          <w:rFonts w:ascii="Tahoma" w:hAnsi="Tahoma" w:cs="Tahoma"/>
          <w:sz w:val="22"/>
          <w:szCs w:val="22"/>
        </w:rPr>
      </w:pPr>
    </w:p>
    <w:p w14:paraId="1E794497" w14:textId="3FEC50B1" w:rsidR="00523F87" w:rsidRPr="003224B0" w:rsidRDefault="00523F87" w:rsidP="00C2684C">
      <w:pPr>
        <w:rPr>
          <w:rFonts w:ascii="Tahoma" w:hAnsi="Tahoma" w:cs="Tahoma"/>
          <w:sz w:val="22"/>
          <w:szCs w:val="22"/>
        </w:rPr>
      </w:pPr>
      <w:r w:rsidRPr="003224B0">
        <w:rPr>
          <w:rFonts w:ascii="Tahoma" w:hAnsi="Tahoma" w:cs="Tahoma"/>
          <w:sz w:val="22"/>
          <w:szCs w:val="22"/>
        </w:rPr>
        <w:t xml:space="preserve">I am writing to inform you that your patient, named above, has agreed to take part in the </w:t>
      </w:r>
      <w:r w:rsidR="0034258C" w:rsidRPr="003224B0">
        <w:rPr>
          <w:rFonts w:ascii="Tahoma" w:hAnsi="Tahoma" w:cs="Tahoma"/>
          <w:sz w:val="22"/>
          <w:szCs w:val="22"/>
        </w:rPr>
        <w:t>GHD Reversal Trial</w:t>
      </w:r>
      <w:r w:rsidRPr="003224B0">
        <w:rPr>
          <w:rFonts w:ascii="Tahoma" w:hAnsi="Tahoma" w:cs="Tahoma"/>
          <w:sz w:val="22"/>
          <w:szCs w:val="22"/>
        </w:rPr>
        <w:t xml:space="preserve">. </w:t>
      </w:r>
      <w:r w:rsidR="006F2977" w:rsidRPr="003224B0">
        <w:rPr>
          <w:rFonts w:ascii="Tahoma" w:hAnsi="Tahoma" w:cs="Tahoma"/>
          <w:sz w:val="22"/>
          <w:szCs w:val="22"/>
        </w:rPr>
        <w:t>Th</w:t>
      </w:r>
      <w:r w:rsidR="006F2977">
        <w:rPr>
          <w:rFonts w:ascii="Tahoma" w:hAnsi="Tahoma" w:cs="Tahoma"/>
          <w:sz w:val="22"/>
          <w:szCs w:val="22"/>
        </w:rPr>
        <w:t>e</w:t>
      </w:r>
      <w:r w:rsidR="006F2977" w:rsidRPr="003224B0">
        <w:rPr>
          <w:rFonts w:ascii="Tahoma" w:hAnsi="Tahoma" w:cs="Tahoma"/>
          <w:sz w:val="22"/>
          <w:szCs w:val="22"/>
        </w:rPr>
        <w:t xml:space="preserve"> </w:t>
      </w:r>
      <w:r w:rsidR="0018773E" w:rsidRPr="003224B0">
        <w:rPr>
          <w:rFonts w:ascii="Tahoma" w:hAnsi="Tahoma" w:cs="Tahoma"/>
          <w:sz w:val="22"/>
          <w:szCs w:val="22"/>
        </w:rPr>
        <w:t xml:space="preserve">aim of this study is </w:t>
      </w:r>
      <w:r w:rsidR="00C2684C" w:rsidRPr="003224B0">
        <w:rPr>
          <w:rFonts w:ascii="Tahoma" w:hAnsi="Tahoma" w:cs="Tahoma"/>
          <w:sz w:val="22"/>
          <w:szCs w:val="22"/>
        </w:rPr>
        <w:t>to assess the safety and effectiveness of discontinuing growth hormone (GH) therapy in children</w:t>
      </w:r>
      <w:r w:rsidR="0018773E" w:rsidRPr="003224B0">
        <w:rPr>
          <w:rFonts w:ascii="Tahoma" w:hAnsi="Tahoma" w:cs="Tahoma"/>
          <w:sz w:val="22"/>
          <w:szCs w:val="22"/>
        </w:rPr>
        <w:t xml:space="preserve"> with</w:t>
      </w:r>
      <w:r w:rsidR="003224B0" w:rsidRPr="003224B0">
        <w:rPr>
          <w:rFonts w:ascii="Tahoma" w:hAnsi="Tahoma" w:cs="Tahoma"/>
          <w:sz w:val="22"/>
          <w:szCs w:val="22"/>
        </w:rPr>
        <w:t xml:space="preserve"> reversed</w:t>
      </w:r>
      <w:r w:rsidR="0018773E" w:rsidRPr="003224B0">
        <w:rPr>
          <w:rFonts w:ascii="Tahoma" w:hAnsi="Tahoma" w:cs="Tahoma"/>
          <w:sz w:val="22"/>
          <w:szCs w:val="22"/>
        </w:rPr>
        <w:t xml:space="preserve"> idiopathic, isolated growth hormone deficiency (I</w:t>
      </w:r>
      <w:r w:rsidR="003224B0" w:rsidRPr="003224B0">
        <w:rPr>
          <w:rFonts w:ascii="Tahoma" w:hAnsi="Tahoma" w:cs="Tahoma"/>
          <w:sz w:val="22"/>
          <w:szCs w:val="22"/>
        </w:rPr>
        <w:t>-GHD)</w:t>
      </w:r>
      <w:r w:rsidR="00C2684C" w:rsidRPr="003224B0">
        <w:rPr>
          <w:rFonts w:ascii="Tahoma" w:hAnsi="Tahoma" w:cs="Tahoma"/>
          <w:sz w:val="22"/>
          <w:szCs w:val="22"/>
        </w:rPr>
        <w:t xml:space="preserve">.  </w:t>
      </w:r>
      <w:r w:rsidRPr="003224B0">
        <w:rPr>
          <w:rFonts w:ascii="Tahoma" w:hAnsi="Tahoma" w:cs="Tahoma"/>
          <w:sz w:val="22"/>
          <w:szCs w:val="22"/>
        </w:rPr>
        <w:t xml:space="preserve">I am writing to give you some information about the </w:t>
      </w:r>
      <w:r w:rsidR="00C2684C" w:rsidRPr="003224B0">
        <w:rPr>
          <w:rFonts w:ascii="Tahoma" w:hAnsi="Tahoma" w:cs="Tahoma"/>
          <w:sz w:val="22"/>
          <w:szCs w:val="22"/>
        </w:rPr>
        <w:t>trial</w:t>
      </w:r>
      <w:r w:rsidRPr="003224B0">
        <w:rPr>
          <w:rFonts w:ascii="Tahoma" w:hAnsi="Tahoma" w:cs="Tahoma"/>
          <w:sz w:val="22"/>
          <w:szCs w:val="22"/>
        </w:rPr>
        <w:t>.</w:t>
      </w:r>
    </w:p>
    <w:p w14:paraId="2D491572" w14:textId="77777777" w:rsidR="0018773E" w:rsidRPr="003224B0" w:rsidRDefault="0018773E" w:rsidP="00C2684C">
      <w:pPr>
        <w:rPr>
          <w:rFonts w:ascii="Tahoma" w:hAnsi="Tahoma" w:cs="Tahoma"/>
          <w:sz w:val="22"/>
          <w:szCs w:val="22"/>
        </w:rPr>
      </w:pPr>
    </w:p>
    <w:p w14:paraId="67C87FEB" w14:textId="77777777" w:rsidR="0018773E" w:rsidRPr="00E84F0E" w:rsidRDefault="008B759C" w:rsidP="00C2684C">
      <w:pPr>
        <w:rPr>
          <w:rFonts w:ascii="Tahoma" w:hAnsi="Tahoma" w:cs="Tahoma"/>
          <w:sz w:val="22"/>
          <w:szCs w:val="22"/>
        </w:rPr>
      </w:pPr>
      <w:r w:rsidRPr="00E84F0E">
        <w:rPr>
          <w:rFonts w:ascii="Tahoma" w:hAnsi="Tahoma" w:cs="Tahoma"/>
          <w:sz w:val="22"/>
          <w:szCs w:val="22"/>
        </w:rPr>
        <w:t xml:space="preserve">Around 500 children are diagnosed with GHD every year in the UK, of whom 75% have I-GHD. </w:t>
      </w:r>
      <w:r w:rsidR="00E84F0E" w:rsidRPr="00E84F0E">
        <w:rPr>
          <w:rFonts w:ascii="Tahoma" w:hAnsi="Tahoma" w:cs="Tahoma"/>
          <w:sz w:val="22"/>
          <w:szCs w:val="22"/>
        </w:rPr>
        <w:t xml:space="preserve">Diagnosis of GHD is made by measuring the peak GH concentration in the blood following injection with a stimulating substance.  </w:t>
      </w:r>
      <w:r w:rsidRPr="00E84F0E">
        <w:rPr>
          <w:rFonts w:ascii="Tahoma" w:hAnsi="Tahoma" w:cs="Tahoma"/>
          <w:sz w:val="22"/>
          <w:szCs w:val="22"/>
        </w:rPr>
        <w:t>Children are treated with daily GH injections until final height is reached, at an annual cost of between £10,000 and 23,000 per child. However, it is thought that up to 88% of patients have outgrown (reversed) I-GHD when re-tested at final height.</w:t>
      </w:r>
      <w:r w:rsidR="00E84F0E" w:rsidRPr="00E84F0E">
        <w:rPr>
          <w:rFonts w:ascii="Tahoma" w:hAnsi="Tahoma" w:cs="Tahoma"/>
          <w:sz w:val="22"/>
          <w:szCs w:val="22"/>
        </w:rPr>
        <w:t xml:space="preserve">  </w:t>
      </w:r>
      <w:r w:rsidR="00E84F0E">
        <w:rPr>
          <w:rFonts w:ascii="Tahoma" w:hAnsi="Tahoma" w:cs="Tahoma"/>
          <w:sz w:val="22"/>
          <w:szCs w:val="22"/>
        </w:rPr>
        <w:t>Some evidence</w:t>
      </w:r>
      <w:r w:rsidR="00E84F0E" w:rsidRPr="00E84F0E">
        <w:rPr>
          <w:rFonts w:ascii="Tahoma" w:hAnsi="Tahoma" w:cs="Tahoma"/>
          <w:sz w:val="22"/>
          <w:szCs w:val="22"/>
        </w:rPr>
        <w:t xml:space="preserve"> suggests that this reversal occur</w:t>
      </w:r>
      <w:r w:rsidR="00215628">
        <w:rPr>
          <w:rFonts w:ascii="Tahoma" w:hAnsi="Tahoma" w:cs="Tahoma"/>
          <w:sz w:val="22"/>
          <w:szCs w:val="22"/>
        </w:rPr>
        <w:t>s</w:t>
      </w:r>
      <w:r w:rsidR="00E84F0E" w:rsidRPr="00E84F0E">
        <w:rPr>
          <w:rFonts w:ascii="Tahoma" w:hAnsi="Tahoma" w:cs="Tahoma"/>
          <w:sz w:val="22"/>
          <w:szCs w:val="22"/>
        </w:rPr>
        <w:t xml:space="preserve"> during puberty due to the inc</w:t>
      </w:r>
      <w:r w:rsidR="00215628">
        <w:rPr>
          <w:rFonts w:ascii="Tahoma" w:hAnsi="Tahoma" w:cs="Tahoma"/>
          <w:sz w:val="22"/>
          <w:szCs w:val="22"/>
        </w:rPr>
        <w:t>rease in sex hormone production</w:t>
      </w:r>
      <w:r w:rsidR="00E84F0E" w:rsidRPr="00E84F0E">
        <w:rPr>
          <w:rFonts w:ascii="Tahoma" w:hAnsi="Tahoma" w:cs="Tahoma"/>
          <w:sz w:val="22"/>
          <w:szCs w:val="22"/>
        </w:rPr>
        <w:t>, and that children whose stimulated GH concentrations are normal in early puberty</w:t>
      </w:r>
      <w:r w:rsidR="00215628">
        <w:rPr>
          <w:rFonts w:ascii="Tahoma" w:hAnsi="Tahoma" w:cs="Tahoma"/>
          <w:sz w:val="22"/>
          <w:szCs w:val="22"/>
        </w:rPr>
        <w:t xml:space="preserve"> may</w:t>
      </w:r>
      <w:r w:rsidR="00E84F0E" w:rsidRPr="00E84F0E">
        <w:rPr>
          <w:rFonts w:ascii="Tahoma" w:hAnsi="Tahoma" w:cs="Tahoma"/>
          <w:sz w:val="22"/>
          <w:szCs w:val="22"/>
        </w:rPr>
        <w:t xml:space="preserve"> reach a </w:t>
      </w:r>
      <w:r w:rsidR="00E84F0E">
        <w:rPr>
          <w:rFonts w:ascii="Tahoma" w:hAnsi="Tahoma" w:cs="Tahoma"/>
          <w:sz w:val="22"/>
          <w:szCs w:val="22"/>
        </w:rPr>
        <w:t>final height</w:t>
      </w:r>
      <w:r w:rsidR="00E84F0E" w:rsidRPr="00E84F0E">
        <w:rPr>
          <w:rFonts w:ascii="Tahoma" w:hAnsi="Tahoma" w:cs="Tahoma"/>
          <w:sz w:val="22"/>
          <w:szCs w:val="22"/>
        </w:rPr>
        <w:t xml:space="preserve"> comparable to that of children without GHD.</w:t>
      </w:r>
    </w:p>
    <w:p w14:paraId="11E03B7B" w14:textId="77777777" w:rsidR="003224B0" w:rsidRPr="003224B0" w:rsidRDefault="003224B0" w:rsidP="00C2684C">
      <w:pPr>
        <w:rPr>
          <w:rFonts w:ascii="Tahoma" w:hAnsi="Tahoma" w:cs="Tahoma"/>
          <w:sz w:val="22"/>
          <w:szCs w:val="22"/>
        </w:rPr>
      </w:pPr>
    </w:p>
    <w:p w14:paraId="6256A0BE" w14:textId="294EDA56" w:rsidR="008B759C" w:rsidRPr="00215628" w:rsidRDefault="008B759C" w:rsidP="00215628">
      <w:pPr>
        <w:rPr>
          <w:rFonts w:ascii="Tahoma" w:hAnsi="Tahoma" w:cs="Tahoma"/>
          <w:sz w:val="22"/>
          <w:szCs w:val="22"/>
        </w:rPr>
      </w:pPr>
      <w:r w:rsidRPr="003224B0">
        <w:rPr>
          <w:rFonts w:ascii="Tahoma" w:hAnsi="Tahoma" w:cs="Tahoma"/>
          <w:sz w:val="22"/>
          <w:szCs w:val="22"/>
        </w:rPr>
        <w:t xml:space="preserve">We are undertaking a </w:t>
      </w:r>
      <w:proofErr w:type="spellStart"/>
      <w:r w:rsidR="003224B0">
        <w:rPr>
          <w:rFonts w:ascii="Tahoma" w:hAnsi="Tahoma" w:cs="Tahoma"/>
          <w:sz w:val="22"/>
          <w:szCs w:val="22"/>
        </w:rPr>
        <w:t>multicentre</w:t>
      </w:r>
      <w:proofErr w:type="spellEnd"/>
      <w:r w:rsidR="003224B0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24B0">
        <w:rPr>
          <w:rFonts w:ascii="Tahoma" w:hAnsi="Tahoma" w:cs="Tahoma"/>
          <w:sz w:val="22"/>
          <w:szCs w:val="22"/>
        </w:rPr>
        <w:t>randomised</w:t>
      </w:r>
      <w:proofErr w:type="spellEnd"/>
      <w:r w:rsidRPr="003224B0">
        <w:rPr>
          <w:rFonts w:ascii="Tahoma" w:hAnsi="Tahoma" w:cs="Tahoma"/>
          <w:sz w:val="22"/>
          <w:szCs w:val="22"/>
        </w:rPr>
        <w:t xml:space="preserve"> controlled non-inferiority trial to assess the safety, efficacy, health-related quality of life, and cost effectiveness of discontinuing GH therapy in children</w:t>
      </w:r>
      <w:r w:rsidR="003224B0" w:rsidRPr="003224B0">
        <w:rPr>
          <w:rFonts w:ascii="Tahoma" w:hAnsi="Tahoma" w:cs="Tahoma"/>
          <w:sz w:val="22"/>
          <w:szCs w:val="22"/>
        </w:rPr>
        <w:t xml:space="preserve"> with I-GHD</w:t>
      </w:r>
      <w:r w:rsidR="00215628">
        <w:rPr>
          <w:rFonts w:ascii="Tahoma" w:hAnsi="Tahoma" w:cs="Tahoma"/>
          <w:sz w:val="22"/>
          <w:szCs w:val="22"/>
        </w:rPr>
        <w:t>,</w:t>
      </w:r>
      <w:r w:rsidR="003224B0" w:rsidRPr="003224B0">
        <w:rPr>
          <w:rFonts w:ascii="Tahoma" w:hAnsi="Tahoma" w:cs="Tahoma"/>
          <w:sz w:val="22"/>
          <w:szCs w:val="22"/>
        </w:rPr>
        <w:t xml:space="preserve"> who have a normal GH re-test when t</w:t>
      </w:r>
      <w:r w:rsidR="00696253">
        <w:rPr>
          <w:rFonts w:ascii="Tahoma" w:hAnsi="Tahoma" w:cs="Tahoma"/>
          <w:sz w:val="22"/>
          <w:szCs w:val="22"/>
        </w:rPr>
        <w:t xml:space="preserve">hey reach established </w:t>
      </w:r>
      <w:r w:rsidR="00696253">
        <w:rPr>
          <w:rFonts w:ascii="Tahoma" w:hAnsi="Tahoma" w:cs="Tahoma"/>
          <w:sz w:val="22"/>
          <w:szCs w:val="22"/>
        </w:rPr>
        <w:lastRenderedPageBreak/>
        <w:t xml:space="preserve">puberty. </w:t>
      </w:r>
      <w:r w:rsidR="003224B0" w:rsidRPr="003224B0">
        <w:rPr>
          <w:rFonts w:ascii="Tahoma" w:hAnsi="Tahoma" w:cs="Tahoma"/>
          <w:sz w:val="22"/>
          <w:szCs w:val="22"/>
        </w:rPr>
        <w:t xml:space="preserve">138 </w:t>
      </w:r>
      <w:r w:rsidR="00215628">
        <w:rPr>
          <w:rFonts w:ascii="Tahoma" w:hAnsi="Tahoma" w:cs="Tahoma"/>
          <w:sz w:val="22"/>
          <w:szCs w:val="22"/>
        </w:rPr>
        <w:t>participants</w:t>
      </w:r>
      <w:r w:rsidR="00626559">
        <w:rPr>
          <w:rFonts w:ascii="Tahoma" w:hAnsi="Tahoma" w:cs="Tahoma"/>
          <w:sz w:val="22"/>
          <w:szCs w:val="22"/>
        </w:rPr>
        <w:t xml:space="preserve"> with reversed I-GHD and a normal brain MRI</w:t>
      </w:r>
      <w:r w:rsidR="003224B0">
        <w:rPr>
          <w:rFonts w:ascii="Tahoma" w:hAnsi="Tahoma" w:cs="Tahoma"/>
          <w:sz w:val="22"/>
          <w:szCs w:val="22"/>
        </w:rPr>
        <w:t xml:space="preserve"> will be recruited over a period of 42 months</w:t>
      </w:r>
      <w:r w:rsidR="00626559">
        <w:rPr>
          <w:rFonts w:ascii="Tahoma" w:hAnsi="Tahoma" w:cs="Tahoma"/>
          <w:sz w:val="22"/>
          <w:szCs w:val="22"/>
        </w:rPr>
        <w:t xml:space="preserve"> from </w:t>
      </w:r>
      <w:r w:rsidR="00626559" w:rsidRPr="006219F2">
        <w:rPr>
          <w:rFonts w:ascii="Tahoma" w:hAnsi="Tahoma" w:cs="Tahoma"/>
          <w:sz w:val="22"/>
          <w:szCs w:val="22"/>
        </w:rPr>
        <w:t>12</w:t>
      </w:r>
      <w:r w:rsidR="00626559">
        <w:rPr>
          <w:rFonts w:ascii="Tahoma" w:hAnsi="Tahoma" w:cs="Tahoma"/>
          <w:sz w:val="22"/>
          <w:szCs w:val="22"/>
        </w:rPr>
        <w:t xml:space="preserve"> UK and </w:t>
      </w:r>
      <w:r w:rsidR="007F7AB4">
        <w:rPr>
          <w:rFonts w:ascii="Tahoma" w:hAnsi="Tahoma" w:cs="Tahoma"/>
          <w:sz w:val="22"/>
          <w:szCs w:val="22"/>
        </w:rPr>
        <w:t xml:space="preserve">5 </w:t>
      </w:r>
      <w:r w:rsidR="00626559">
        <w:rPr>
          <w:rFonts w:ascii="Tahoma" w:hAnsi="Tahoma" w:cs="Tahoma"/>
          <w:sz w:val="22"/>
          <w:szCs w:val="22"/>
        </w:rPr>
        <w:t xml:space="preserve">Austrian </w:t>
      </w:r>
      <w:proofErr w:type="spellStart"/>
      <w:r w:rsidR="00626559">
        <w:rPr>
          <w:rFonts w:ascii="Tahoma" w:hAnsi="Tahoma" w:cs="Tahoma"/>
          <w:sz w:val="22"/>
          <w:szCs w:val="22"/>
        </w:rPr>
        <w:t>paediatric</w:t>
      </w:r>
      <w:proofErr w:type="spellEnd"/>
      <w:r w:rsidR="00626559">
        <w:rPr>
          <w:rFonts w:ascii="Tahoma" w:hAnsi="Tahoma" w:cs="Tahoma"/>
          <w:sz w:val="22"/>
          <w:szCs w:val="22"/>
        </w:rPr>
        <w:t xml:space="preserve"> endocrine centres</w:t>
      </w:r>
      <w:r w:rsidR="003224B0">
        <w:rPr>
          <w:rFonts w:ascii="Tahoma" w:hAnsi="Tahoma" w:cs="Tahoma"/>
          <w:sz w:val="22"/>
          <w:szCs w:val="22"/>
        </w:rPr>
        <w:t xml:space="preserve">.  Participants will be randomised to either stop or continue their standard GH therapy.  All participants will be followed up </w:t>
      </w:r>
      <w:r w:rsidR="00626559">
        <w:rPr>
          <w:rFonts w:ascii="Tahoma" w:hAnsi="Tahoma" w:cs="Tahoma"/>
          <w:sz w:val="22"/>
          <w:szCs w:val="22"/>
        </w:rPr>
        <w:t xml:space="preserve">at 6 monthly trial </w:t>
      </w:r>
      <w:r w:rsidR="00E84F0E">
        <w:rPr>
          <w:rFonts w:ascii="Tahoma" w:hAnsi="Tahoma" w:cs="Tahoma"/>
          <w:sz w:val="22"/>
          <w:szCs w:val="22"/>
        </w:rPr>
        <w:t>assessments</w:t>
      </w:r>
      <w:r w:rsidR="00626559">
        <w:rPr>
          <w:rFonts w:ascii="Tahoma" w:hAnsi="Tahoma" w:cs="Tahoma"/>
          <w:sz w:val="22"/>
          <w:szCs w:val="22"/>
        </w:rPr>
        <w:t xml:space="preserve"> until final height has been reached.  The trial will monitor final height and other growth</w:t>
      </w:r>
      <w:r w:rsidR="007F7AB4">
        <w:rPr>
          <w:rFonts w:ascii="Tahoma" w:hAnsi="Tahoma" w:cs="Tahoma"/>
          <w:sz w:val="22"/>
          <w:szCs w:val="22"/>
        </w:rPr>
        <w:t>-</w:t>
      </w:r>
      <w:r w:rsidR="00626559">
        <w:rPr>
          <w:rFonts w:ascii="Tahoma" w:hAnsi="Tahoma" w:cs="Tahoma"/>
          <w:sz w:val="22"/>
          <w:szCs w:val="22"/>
        </w:rPr>
        <w:t>related outcomes, bone age and health, biochemistry (peak stimulated GH, serum I</w:t>
      </w:r>
      <w:r w:rsidR="00BD5616">
        <w:rPr>
          <w:rFonts w:ascii="Tahoma" w:hAnsi="Tahoma" w:cs="Tahoma"/>
          <w:sz w:val="22"/>
          <w:szCs w:val="22"/>
        </w:rPr>
        <w:t xml:space="preserve">GF-1, lipid profile), adverse events, and health economic information in all participants recruited.  In addition, a subset of </w:t>
      </w:r>
      <w:r w:rsidR="00E84F0E">
        <w:rPr>
          <w:rFonts w:ascii="Tahoma" w:hAnsi="Tahoma" w:cs="Tahoma"/>
          <w:sz w:val="22"/>
          <w:szCs w:val="22"/>
        </w:rPr>
        <w:t>participants</w:t>
      </w:r>
      <w:r w:rsidR="00BD5616">
        <w:rPr>
          <w:rFonts w:ascii="Tahoma" w:hAnsi="Tahoma" w:cs="Tahoma"/>
          <w:sz w:val="22"/>
          <w:szCs w:val="22"/>
        </w:rPr>
        <w:t xml:space="preserve"> will undertake additional qualitative research to ascertain trial acceptability, parent and patient experience of the trial and treatment pathways.</w:t>
      </w:r>
      <w:r w:rsidR="00215628">
        <w:rPr>
          <w:rFonts w:ascii="Tahoma" w:hAnsi="Tahoma" w:cs="Tahoma"/>
          <w:sz w:val="22"/>
          <w:szCs w:val="22"/>
        </w:rPr>
        <w:t xml:space="preserve">  </w:t>
      </w:r>
      <w:r w:rsidRPr="00215628">
        <w:rPr>
          <w:rFonts w:ascii="Arial" w:hAnsi="Arial" w:cs="Arial"/>
          <w:sz w:val="22"/>
          <w:szCs w:val="22"/>
        </w:rPr>
        <w:t>The study will receive full UKCRN support.</w:t>
      </w:r>
    </w:p>
    <w:p w14:paraId="306188AB" w14:textId="77777777" w:rsidR="008B759C" w:rsidRPr="008B759C" w:rsidRDefault="008B759C" w:rsidP="00C2684C">
      <w:pPr>
        <w:rPr>
          <w:rFonts w:ascii="Tahoma" w:hAnsi="Tahoma" w:cs="Tahoma"/>
          <w:sz w:val="24"/>
          <w:szCs w:val="22"/>
        </w:rPr>
      </w:pPr>
    </w:p>
    <w:p w14:paraId="28C4D453" w14:textId="77777777" w:rsidR="00144111" w:rsidRDefault="00213E58" w:rsidP="00523F87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Your patient</w:t>
      </w:r>
      <w:r w:rsidR="00144111">
        <w:rPr>
          <w:rFonts w:ascii="Tahoma" w:hAnsi="Tahoma" w:cs="Tahoma"/>
          <w:sz w:val="22"/>
          <w:szCs w:val="22"/>
        </w:rPr>
        <w:t xml:space="preserve"> has been randomised to the &lt;</w:t>
      </w:r>
      <w:r w:rsidR="00144111" w:rsidRPr="00AD055C">
        <w:rPr>
          <w:rFonts w:ascii="Tahoma" w:hAnsi="Tahoma" w:cs="Tahoma"/>
          <w:sz w:val="22"/>
          <w:szCs w:val="22"/>
          <w:highlight w:val="yellow"/>
        </w:rPr>
        <w:t>delete as applicable</w:t>
      </w:r>
      <w:r w:rsidR="00144111">
        <w:rPr>
          <w:rFonts w:ascii="Tahoma" w:hAnsi="Tahoma" w:cs="Tahoma"/>
          <w:sz w:val="22"/>
          <w:szCs w:val="22"/>
        </w:rPr>
        <w:t>&gt;:</w:t>
      </w:r>
    </w:p>
    <w:p w14:paraId="22124394" w14:textId="77777777" w:rsidR="00144111" w:rsidRDefault="00144111" w:rsidP="00523F87">
      <w:pPr>
        <w:jc w:val="both"/>
        <w:rPr>
          <w:rFonts w:ascii="Tahoma" w:hAnsi="Tahoma" w:cs="Tahoma"/>
          <w:sz w:val="22"/>
          <w:szCs w:val="22"/>
        </w:rPr>
      </w:pPr>
    </w:p>
    <w:p w14:paraId="31B74CEC" w14:textId="77777777" w:rsidR="00144111" w:rsidRPr="00213E58" w:rsidRDefault="00144111" w:rsidP="00144111">
      <w:pPr>
        <w:rPr>
          <w:rFonts w:ascii="Tahoma" w:hAnsi="Tahoma" w:cs="Tahoma"/>
          <w:b/>
          <w:sz w:val="22"/>
          <w:szCs w:val="22"/>
        </w:rPr>
      </w:pPr>
      <w:r w:rsidRPr="00213E58">
        <w:rPr>
          <w:rFonts w:ascii="Tahoma" w:hAnsi="Tahoma" w:cs="Tahoma"/>
          <w:b/>
          <w:sz w:val="22"/>
          <w:szCs w:val="22"/>
        </w:rPr>
        <w:t>Control arm: Continue GH therapy</w:t>
      </w:r>
    </w:p>
    <w:p w14:paraId="600ED080" w14:textId="77777777" w:rsidR="00144111" w:rsidRPr="00213E58" w:rsidRDefault="00144111" w:rsidP="00144111">
      <w:pPr>
        <w:jc w:val="both"/>
        <w:rPr>
          <w:rFonts w:ascii="Tahoma" w:hAnsi="Tahoma" w:cs="Tahoma"/>
          <w:sz w:val="22"/>
          <w:szCs w:val="22"/>
        </w:rPr>
      </w:pPr>
      <w:r w:rsidRPr="00213E58">
        <w:rPr>
          <w:rFonts w:ascii="Tahoma" w:hAnsi="Tahoma" w:cs="Tahoma"/>
          <w:sz w:val="22"/>
          <w:szCs w:val="22"/>
        </w:rPr>
        <w:t xml:space="preserve">The patient should continue on their standard care GH therapy.  The normal contraindications and safety precautions for use of this treatment should be adhered to, as per routine care. </w:t>
      </w:r>
    </w:p>
    <w:p w14:paraId="3361A561" w14:textId="77777777" w:rsidR="00215628" w:rsidRPr="00213E58" w:rsidRDefault="00215628" w:rsidP="00144111">
      <w:pPr>
        <w:jc w:val="both"/>
        <w:rPr>
          <w:rFonts w:ascii="Tahoma" w:hAnsi="Tahoma" w:cs="Tahoma"/>
          <w:sz w:val="22"/>
          <w:szCs w:val="22"/>
        </w:rPr>
      </w:pPr>
    </w:p>
    <w:p w14:paraId="44123CC6" w14:textId="77777777" w:rsidR="00215628" w:rsidRPr="00213E58" w:rsidRDefault="00215628" w:rsidP="00144111">
      <w:pPr>
        <w:jc w:val="both"/>
        <w:rPr>
          <w:rFonts w:ascii="Tahoma" w:hAnsi="Tahoma" w:cs="Tahoma"/>
          <w:b/>
          <w:sz w:val="22"/>
          <w:szCs w:val="22"/>
        </w:rPr>
      </w:pPr>
      <w:r w:rsidRPr="00213E58">
        <w:rPr>
          <w:rFonts w:ascii="Tahoma" w:hAnsi="Tahoma" w:cs="Tahoma"/>
          <w:b/>
          <w:sz w:val="22"/>
          <w:szCs w:val="22"/>
        </w:rPr>
        <w:t>Experimental arm: Stop GH therapy</w:t>
      </w:r>
    </w:p>
    <w:p w14:paraId="0AB25D29" w14:textId="77777777" w:rsidR="00215628" w:rsidRPr="00213E58" w:rsidRDefault="00215628" w:rsidP="00144111">
      <w:pPr>
        <w:jc w:val="both"/>
        <w:rPr>
          <w:rFonts w:ascii="Tahoma" w:hAnsi="Tahoma" w:cs="Tahoma"/>
          <w:sz w:val="22"/>
          <w:szCs w:val="22"/>
        </w:rPr>
      </w:pPr>
      <w:r w:rsidRPr="00213E58">
        <w:rPr>
          <w:rFonts w:ascii="Tahoma" w:hAnsi="Tahoma" w:cs="Tahoma"/>
          <w:sz w:val="22"/>
          <w:szCs w:val="22"/>
        </w:rPr>
        <w:t>The patient should stop their GH therapy.</w:t>
      </w:r>
    </w:p>
    <w:p w14:paraId="77ACB094" w14:textId="511AE2A4" w:rsidR="00144111" w:rsidRPr="00144111" w:rsidRDefault="00144111" w:rsidP="00144111">
      <w:pPr>
        <w:rPr>
          <w:rFonts w:ascii="Tahoma" w:hAnsi="Tahoma" w:cs="Tahoma"/>
          <w:sz w:val="22"/>
          <w:szCs w:val="22"/>
        </w:rPr>
      </w:pPr>
    </w:p>
    <w:p w14:paraId="36FF10EE" w14:textId="77777777" w:rsidR="00144111" w:rsidRPr="00144111" w:rsidRDefault="00144111" w:rsidP="00144111">
      <w:pPr>
        <w:pStyle w:val="ListParagraph"/>
        <w:rPr>
          <w:rFonts w:ascii="Tahoma" w:hAnsi="Tahoma" w:cs="Tahoma"/>
          <w:sz w:val="22"/>
          <w:szCs w:val="22"/>
        </w:rPr>
      </w:pPr>
    </w:p>
    <w:p w14:paraId="3EE09670" w14:textId="5D4F4D59" w:rsidR="00AD6F17" w:rsidRDefault="00C2684C" w:rsidP="00215628">
      <w:pPr>
        <w:rPr>
          <w:rFonts w:ascii="Tahoma" w:hAnsi="Tahoma" w:cs="Tahoma"/>
          <w:sz w:val="22"/>
          <w:szCs w:val="22"/>
        </w:rPr>
      </w:pPr>
      <w:r w:rsidRPr="00215628">
        <w:rPr>
          <w:rFonts w:ascii="Tahoma" w:hAnsi="Tahoma" w:cs="Tahoma"/>
          <w:sz w:val="22"/>
          <w:szCs w:val="22"/>
        </w:rPr>
        <w:t>The GHD Reversal Trial</w:t>
      </w:r>
      <w:r w:rsidR="00523F87" w:rsidRPr="00215628">
        <w:rPr>
          <w:rFonts w:ascii="Tahoma" w:hAnsi="Tahoma" w:cs="Tahoma"/>
          <w:sz w:val="22"/>
          <w:szCs w:val="22"/>
        </w:rPr>
        <w:t xml:space="preserve"> is </w:t>
      </w:r>
      <w:r w:rsidR="006F2977" w:rsidRPr="00215628">
        <w:rPr>
          <w:rFonts w:ascii="Tahoma" w:hAnsi="Tahoma" w:cs="Tahoma"/>
          <w:sz w:val="22"/>
          <w:szCs w:val="22"/>
        </w:rPr>
        <w:t xml:space="preserve">sponsored by University College London </w:t>
      </w:r>
      <w:r w:rsidR="006F2977">
        <w:rPr>
          <w:rFonts w:ascii="Tahoma" w:hAnsi="Tahoma" w:cs="Tahoma"/>
          <w:sz w:val="22"/>
          <w:szCs w:val="22"/>
        </w:rPr>
        <w:t xml:space="preserve">and </w:t>
      </w:r>
      <w:r w:rsidR="00523F87" w:rsidRPr="00215628">
        <w:rPr>
          <w:rFonts w:ascii="Tahoma" w:hAnsi="Tahoma" w:cs="Tahoma"/>
          <w:sz w:val="22"/>
          <w:szCs w:val="22"/>
        </w:rPr>
        <w:t>coordinated by the University of Birmingham Clinical Trials Unit (</w:t>
      </w:r>
      <w:r w:rsidR="00AD6F17">
        <w:rPr>
          <w:rFonts w:ascii="Tahoma" w:hAnsi="Tahoma" w:cs="Tahoma"/>
          <w:sz w:val="22"/>
          <w:szCs w:val="22"/>
        </w:rPr>
        <w:t xml:space="preserve">see </w:t>
      </w:r>
      <w:r w:rsidR="00523F87" w:rsidRPr="00215628">
        <w:rPr>
          <w:rFonts w:ascii="Tahoma" w:hAnsi="Tahoma" w:cs="Tahoma"/>
          <w:sz w:val="22"/>
          <w:szCs w:val="22"/>
        </w:rPr>
        <w:t>address below)</w:t>
      </w:r>
    </w:p>
    <w:p w14:paraId="6EA373A4" w14:textId="77777777" w:rsidR="00AD6F17" w:rsidRDefault="00AD6F17" w:rsidP="00215628">
      <w:pPr>
        <w:rPr>
          <w:rFonts w:ascii="Tahoma" w:hAnsi="Tahoma" w:cs="Tahoma"/>
          <w:sz w:val="22"/>
          <w:szCs w:val="22"/>
        </w:rPr>
      </w:pPr>
    </w:p>
    <w:p w14:paraId="035C8EA6" w14:textId="77777777" w:rsidR="00AD6F17" w:rsidRPr="00AD055C" w:rsidRDefault="00AD6F17" w:rsidP="00AD055C">
      <w:pPr>
        <w:jc w:val="center"/>
        <w:rPr>
          <w:rFonts w:ascii="Tahoma" w:hAnsi="Tahoma" w:cs="Tahoma"/>
          <w:sz w:val="22"/>
          <w:szCs w:val="22"/>
        </w:rPr>
      </w:pPr>
      <w:r w:rsidRPr="00AD6F17">
        <w:rPr>
          <w:rFonts w:ascii="Tahoma" w:hAnsi="Tahoma" w:cs="Tahoma"/>
          <w:sz w:val="22"/>
          <w:szCs w:val="22"/>
        </w:rPr>
        <w:t>GHD Reversal Trial Office, The University of Birmingham Clinical Trials Unit, College of Medical &amp; Dental Sciences, Institute of Applied Health Research, University of Birmingham, Edgbaston, Birmingham, B15 2TT.</w:t>
      </w:r>
    </w:p>
    <w:p w14:paraId="10D932A0" w14:textId="77777777" w:rsidR="00AD6F17" w:rsidRPr="00213E58" w:rsidRDefault="00AD6F17" w:rsidP="00AD055C">
      <w:pPr>
        <w:jc w:val="center"/>
        <w:rPr>
          <w:rFonts w:ascii="Tahoma" w:hAnsi="Tahoma" w:cs="Tahoma"/>
          <w:sz w:val="22"/>
          <w:szCs w:val="22"/>
        </w:rPr>
      </w:pPr>
      <w:r w:rsidRPr="00AD055C">
        <w:rPr>
          <w:rFonts w:ascii="Tahoma" w:hAnsi="Tahoma" w:cs="Tahoma"/>
          <w:sz w:val="22"/>
          <w:szCs w:val="22"/>
        </w:rPr>
        <w:t xml:space="preserve">Web address: </w:t>
      </w:r>
      <w:r w:rsidRPr="00213E58">
        <w:rPr>
          <w:rFonts w:ascii="Tahoma" w:hAnsi="Tahoma" w:cs="Tahoma"/>
          <w:sz w:val="22"/>
          <w:szCs w:val="22"/>
        </w:rPr>
        <w:t>www.birmingham.ac.uk/GHD</w:t>
      </w:r>
    </w:p>
    <w:p w14:paraId="5EFA0934" w14:textId="77777777" w:rsidR="00AD6F17" w:rsidRDefault="00AD6F17" w:rsidP="00215628">
      <w:pPr>
        <w:rPr>
          <w:rFonts w:ascii="Tahoma" w:hAnsi="Tahoma" w:cs="Tahoma"/>
          <w:sz w:val="22"/>
          <w:szCs w:val="22"/>
        </w:rPr>
      </w:pPr>
    </w:p>
    <w:p w14:paraId="09662FA1" w14:textId="77777777" w:rsidR="00AD6F17" w:rsidRDefault="00AD6F17" w:rsidP="00215628">
      <w:pPr>
        <w:rPr>
          <w:rFonts w:ascii="Tahoma" w:hAnsi="Tahoma" w:cs="Tahoma"/>
          <w:sz w:val="22"/>
          <w:szCs w:val="22"/>
        </w:rPr>
      </w:pPr>
    </w:p>
    <w:p w14:paraId="72395B57" w14:textId="5552279A" w:rsidR="00523F87" w:rsidRPr="00215628" w:rsidRDefault="00AD6F17" w:rsidP="0021562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The trial</w:t>
      </w:r>
      <w:r w:rsidRPr="00215628">
        <w:rPr>
          <w:rFonts w:ascii="Tahoma" w:hAnsi="Tahoma" w:cs="Tahoma"/>
          <w:sz w:val="22"/>
          <w:szCs w:val="22"/>
        </w:rPr>
        <w:t xml:space="preserve"> </w:t>
      </w:r>
      <w:r w:rsidR="00523F87" w:rsidRPr="00215628">
        <w:rPr>
          <w:rFonts w:ascii="Tahoma" w:hAnsi="Tahoma" w:cs="Tahoma"/>
          <w:sz w:val="22"/>
          <w:szCs w:val="22"/>
        </w:rPr>
        <w:t xml:space="preserve">is funded by the National Institute for Health Research Health Technology Assessment programme (NIHR HTA) Ref: </w:t>
      </w:r>
      <w:r w:rsidR="00C2684C" w:rsidRPr="00215628">
        <w:rPr>
          <w:rFonts w:ascii="Tahoma" w:hAnsi="Tahoma" w:cs="Tahoma"/>
          <w:sz w:val="22"/>
        </w:rPr>
        <w:t>NIHR127468</w:t>
      </w:r>
      <w:r>
        <w:rPr>
          <w:rFonts w:ascii="Tahoma" w:hAnsi="Tahoma" w:cs="Tahoma"/>
          <w:sz w:val="22"/>
          <w:szCs w:val="22"/>
        </w:rPr>
        <w:t xml:space="preserve"> and </w:t>
      </w:r>
      <w:r w:rsidR="00523F87" w:rsidRPr="00215628">
        <w:rPr>
          <w:rFonts w:ascii="Tahoma" w:hAnsi="Tahoma" w:cs="Tahoma"/>
          <w:sz w:val="22"/>
          <w:szCs w:val="22"/>
        </w:rPr>
        <w:t xml:space="preserve">has been approved by </w:t>
      </w:r>
      <w:r w:rsidR="00C2684C" w:rsidRPr="00213E58">
        <w:rPr>
          <w:rFonts w:ascii="Tahoma" w:hAnsi="Tahoma" w:cs="Tahoma"/>
          <w:sz w:val="22"/>
          <w:szCs w:val="22"/>
          <w:highlight w:val="yellow"/>
        </w:rPr>
        <w:t>-------</w:t>
      </w:r>
      <w:r w:rsidR="00523F87" w:rsidRPr="00215628">
        <w:rPr>
          <w:rFonts w:ascii="Tahoma" w:hAnsi="Tahoma" w:cs="Tahoma"/>
          <w:sz w:val="22"/>
          <w:szCs w:val="22"/>
        </w:rPr>
        <w:t xml:space="preserve"> Research Ethics Committee. </w:t>
      </w:r>
    </w:p>
    <w:p w14:paraId="1D72137E" w14:textId="77777777" w:rsidR="00523F87" w:rsidRPr="00215628" w:rsidRDefault="00523F87" w:rsidP="00215628">
      <w:pPr>
        <w:rPr>
          <w:rFonts w:ascii="Tahoma" w:hAnsi="Tahoma" w:cs="Tahoma"/>
          <w:sz w:val="22"/>
          <w:szCs w:val="22"/>
        </w:rPr>
      </w:pPr>
    </w:p>
    <w:p w14:paraId="3C62780E" w14:textId="77777777" w:rsidR="00523F87" w:rsidRPr="00215628" w:rsidRDefault="00523F87" w:rsidP="00215628">
      <w:pPr>
        <w:rPr>
          <w:rFonts w:ascii="Tahoma" w:hAnsi="Tahoma" w:cs="Tahoma"/>
          <w:sz w:val="22"/>
          <w:szCs w:val="22"/>
        </w:rPr>
      </w:pPr>
      <w:r w:rsidRPr="00215628">
        <w:rPr>
          <w:rFonts w:ascii="Tahoma" w:hAnsi="Tahoma" w:cs="Tahoma"/>
          <w:sz w:val="22"/>
          <w:szCs w:val="22"/>
        </w:rPr>
        <w:t xml:space="preserve">If you have cause to see your patient during the course of the </w:t>
      </w:r>
      <w:r w:rsidR="00C2684C" w:rsidRPr="00215628">
        <w:rPr>
          <w:rFonts w:ascii="Tahoma" w:hAnsi="Tahoma" w:cs="Tahoma"/>
          <w:sz w:val="22"/>
          <w:szCs w:val="22"/>
        </w:rPr>
        <w:t>trial</w:t>
      </w:r>
      <w:r w:rsidRPr="00215628">
        <w:rPr>
          <w:rFonts w:ascii="Tahoma" w:hAnsi="Tahoma" w:cs="Tahoma"/>
          <w:sz w:val="22"/>
          <w:szCs w:val="22"/>
        </w:rPr>
        <w:t xml:space="preserve"> and want to discuss any aspect of their management e.g. treatment regimen, contra-indications etc., please do not hesitate to contact me on Tel: </w:t>
      </w:r>
      <w:r w:rsidRPr="00215628">
        <w:rPr>
          <w:rFonts w:ascii="Tahoma" w:hAnsi="Tahoma" w:cs="Tahoma"/>
          <w:i/>
          <w:sz w:val="22"/>
          <w:szCs w:val="22"/>
        </w:rPr>
        <w:t>&lt;</w:t>
      </w:r>
      <w:r w:rsidRPr="00AD055C">
        <w:rPr>
          <w:rFonts w:ascii="Tahoma" w:hAnsi="Tahoma" w:cs="Tahoma"/>
          <w:i/>
          <w:sz w:val="22"/>
          <w:szCs w:val="22"/>
          <w:highlight w:val="yellow"/>
        </w:rPr>
        <w:t>insert responsible clinician telephone number</w:t>
      </w:r>
      <w:r w:rsidRPr="00215628">
        <w:rPr>
          <w:rFonts w:ascii="Tahoma" w:hAnsi="Tahoma" w:cs="Tahoma"/>
          <w:i/>
          <w:sz w:val="22"/>
          <w:szCs w:val="22"/>
        </w:rPr>
        <w:t>&gt;</w:t>
      </w:r>
      <w:r w:rsidRPr="00215628">
        <w:rPr>
          <w:rFonts w:ascii="Tahoma" w:hAnsi="Tahoma" w:cs="Tahoma"/>
          <w:sz w:val="22"/>
          <w:szCs w:val="22"/>
        </w:rPr>
        <w:t>.  It would be particularly helpful if you could inform me of any adverse events your patient reports to you or any therapy changes you make or wish to make.</w:t>
      </w:r>
    </w:p>
    <w:p w14:paraId="28A47C2A" w14:textId="77777777" w:rsidR="00523F87" w:rsidRDefault="00523F87" w:rsidP="00523F87">
      <w:pPr>
        <w:jc w:val="both"/>
        <w:rPr>
          <w:rFonts w:ascii="Arial" w:hAnsi="Arial" w:cs="Arial"/>
          <w:sz w:val="22"/>
          <w:szCs w:val="22"/>
        </w:rPr>
      </w:pPr>
    </w:p>
    <w:p w14:paraId="493C313F" w14:textId="77777777" w:rsidR="00523F87" w:rsidRPr="00C71DEC" w:rsidRDefault="00523F87" w:rsidP="00523F87">
      <w:pPr>
        <w:jc w:val="both"/>
        <w:rPr>
          <w:rFonts w:ascii="Arial" w:hAnsi="Arial" w:cs="Arial"/>
          <w:sz w:val="22"/>
          <w:szCs w:val="22"/>
        </w:rPr>
      </w:pPr>
      <w:r w:rsidRPr="00C71DEC">
        <w:rPr>
          <w:rFonts w:ascii="Arial" w:hAnsi="Arial" w:cs="Arial"/>
          <w:sz w:val="22"/>
          <w:szCs w:val="22"/>
        </w:rPr>
        <w:t>Yours sincerely,</w:t>
      </w:r>
    </w:p>
    <w:p w14:paraId="253A1D7F" w14:textId="77777777" w:rsidR="00523F87" w:rsidRDefault="00523F87" w:rsidP="00523F87">
      <w:pPr>
        <w:jc w:val="both"/>
        <w:rPr>
          <w:rFonts w:ascii="Arial" w:hAnsi="Arial" w:cs="Arial"/>
          <w:sz w:val="22"/>
          <w:szCs w:val="22"/>
        </w:rPr>
      </w:pPr>
    </w:p>
    <w:p w14:paraId="418A6249" w14:textId="77777777" w:rsidR="00523F87" w:rsidRDefault="00523F87" w:rsidP="00523F87">
      <w:pPr>
        <w:jc w:val="both"/>
        <w:rPr>
          <w:rFonts w:ascii="Arial" w:hAnsi="Arial" w:cs="Arial"/>
          <w:sz w:val="22"/>
          <w:szCs w:val="22"/>
        </w:rPr>
      </w:pPr>
    </w:p>
    <w:p w14:paraId="74E9597E" w14:textId="77777777" w:rsidR="00523F87" w:rsidRDefault="00523F87" w:rsidP="00523F87">
      <w:pPr>
        <w:jc w:val="both"/>
        <w:rPr>
          <w:rFonts w:ascii="Arial" w:hAnsi="Arial" w:cs="Arial"/>
          <w:sz w:val="22"/>
          <w:szCs w:val="22"/>
        </w:rPr>
      </w:pPr>
    </w:p>
    <w:p w14:paraId="371B21D9" w14:textId="77777777" w:rsidR="00523F87" w:rsidRPr="00C71DEC" w:rsidRDefault="00523F87" w:rsidP="00523F87">
      <w:pPr>
        <w:jc w:val="both"/>
        <w:rPr>
          <w:rFonts w:ascii="Arial" w:hAnsi="Arial" w:cs="Arial"/>
          <w:sz w:val="22"/>
          <w:szCs w:val="22"/>
        </w:rPr>
      </w:pPr>
    </w:p>
    <w:p w14:paraId="26EE4B0A" w14:textId="77777777" w:rsidR="00523F87" w:rsidRDefault="00523F87" w:rsidP="00523F87">
      <w:pPr>
        <w:jc w:val="both"/>
        <w:rPr>
          <w:rFonts w:ascii="Arial" w:hAnsi="Arial" w:cs="Arial"/>
          <w:i/>
          <w:sz w:val="22"/>
          <w:szCs w:val="22"/>
        </w:rPr>
      </w:pPr>
      <w:r w:rsidRPr="007D4A44">
        <w:rPr>
          <w:rFonts w:ascii="Arial" w:hAnsi="Arial" w:cs="Arial"/>
          <w:i/>
          <w:sz w:val="22"/>
          <w:szCs w:val="22"/>
        </w:rPr>
        <w:t>&lt;</w:t>
      </w:r>
      <w:r w:rsidRPr="00AD055C">
        <w:rPr>
          <w:rFonts w:ascii="Arial" w:hAnsi="Arial" w:cs="Arial"/>
          <w:i/>
          <w:sz w:val="22"/>
          <w:szCs w:val="22"/>
          <w:highlight w:val="yellow"/>
        </w:rPr>
        <w:t>insert responsible clinician name</w:t>
      </w:r>
      <w:r w:rsidRPr="007D4A44">
        <w:rPr>
          <w:rFonts w:ascii="Arial" w:hAnsi="Arial" w:cs="Arial"/>
          <w:i/>
          <w:sz w:val="22"/>
          <w:szCs w:val="22"/>
        </w:rPr>
        <w:t>&gt;</w:t>
      </w:r>
    </w:p>
    <w:p w14:paraId="1EC183DE" w14:textId="77777777" w:rsidR="0034258C" w:rsidRDefault="0034258C"/>
    <w:p w14:paraId="00ECAF33" w14:textId="77777777" w:rsidR="0034258C" w:rsidRPr="0034258C" w:rsidRDefault="0034258C" w:rsidP="0034258C"/>
    <w:p w14:paraId="1309D8F3" w14:textId="77777777" w:rsidR="0034258C" w:rsidRPr="0034258C" w:rsidRDefault="0034258C" w:rsidP="0034258C"/>
    <w:p w14:paraId="0AED908D" w14:textId="77777777" w:rsidR="0034258C" w:rsidRPr="0034258C" w:rsidRDefault="0034258C" w:rsidP="00213E58"/>
    <w:p w14:paraId="56CF315C" w14:textId="77777777" w:rsidR="0034258C" w:rsidRPr="0034258C" w:rsidRDefault="0034258C" w:rsidP="0034258C"/>
    <w:p w14:paraId="65A582D7" w14:textId="77777777" w:rsidR="0034258C" w:rsidRPr="0034258C" w:rsidRDefault="0034258C" w:rsidP="0034258C"/>
    <w:p w14:paraId="19996BF1" w14:textId="77777777" w:rsidR="0034258C" w:rsidRPr="0034258C" w:rsidRDefault="0034258C" w:rsidP="0034258C"/>
    <w:p w14:paraId="0A408DE9" w14:textId="77777777" w:rsidR="005E2AB5" w:rsidRPr="0034258C" w:rsidRDefault="005E2AB5" w:rsidP="00213E58"/>
    <w:sectPr w:rsidR="005E2AB5" w:rsidRPr="0034258C" w:rsidSect="00AD055C">
      <w:footerReference w:type="default" r:id="rId11"/>
      <w:pgSz w:w="11906" w:h="16838"/>
      <w:pgMar w:top="1440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BF7B3" w14:textId="77777777" w:rsidR="00986A6F" w:rsidRDefault="00986A6F" w:rsidP="00523F87">
      <w:r>
        <w:separator/>
      </w:r>
    </w:p>
  </w:endnote>
  <w:endnote w:type="continuationSeparator" w:id="0">
    <w:p w14:paraId="33A68AB0" w14:textId="77777777" w:rsidR="00986A6F" w:rsidRDefault="00986A6F" w:rsidP="0052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1294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98756B" w14:textId="6B8045C7" w:rsidR="00215628" w:rsidRPr="00523F87" w:rsidRDefault="00215628" w:rsidP="0034258C">
            <w:pPr>
              <w:pStyle w:val="Footer"/>
              <w:rPr>
                <w:rFonts w:ascii="Tahoma" w:hAnsi="Tahoma" w:cs="Tahoma"/>
                <w:lang w:val="en-GB"/>
              </w:rPr>
            </w:pPr>
            <w:r w:rsidRPr="00523F87">
              <w:rPr>
                <w:rFonts w:ascii="Tahoma" w:hAnsi="Tahoma" w:cs="Tahoma"/>
                <w:lang w:val="en-GB"/>
              </w:rPr>
              <w:t xml:space="preserve">GHD Reversal Trial Letter to GP, </w:t>
            </w:r>
            <w:r w:rsidR="006219F2">
              <w:rPr>
                <w:rFonts w:ascii="Tahoma" w:hAnsi="Tahoma" w:cs="Tahoma"/>
                <w:lang w:val="en-GB"/>
              </w:rPr>
              <w:t>v1.0</w:t>
            </w:r>
            <w:r w:rsidR="00322858">
              <w:rPr>
                <w:rFonts w:ascii="Tahoma" w:hAnsi="Tahoma" w:cs="Tahoma"/>
                <w:lang w:val="en-GB"/>
              </w:rPr>
              <w:t xml:space="preserve"> 18</w:t>
            </w:r>
            <w:r w:rsidR="006219F2">
              <w:rPr>
                <w:rFonts w:ascii="Tahoma" w:hAnsi="Tahoma" w:cs="Tahoma"/>
                <w:lang w:val="en-GB"/>
              </w:rPr>
              <w:t>-</w:t>
            </w:r>
            <w:r w:rsidR="00322858">
              <w:rPr>
                <w:rFonts w:ascii="Tahoma" w:hAnsi="Tahoma" w:cs="Tahoma"/>
                <w:lang w:val="en-GB"/>
              </w:rPr>
              <w:t>Oct</w:t>
            </w:r>
            <w:r w:rsidR="006219F2">
              <w:rPr>
                <w:rFonts w:ascii="Tahoma" w:hAnsi="Tahoma" w:cs="Tahoma"/>
                <w:lang w:val="en-GB"/>
              </w:rPr>
              <w:t>-2</w:t>
            </w:r>
            <w:r w:rsidRPr="00523F87">
              <w:rPr>
                <w:rFonts w:ascii="Tahoma" w:hAnsi="Tahoma" w:cs="Tahoma"/>
                <w:lang w:val="en-GB"/>
              </w:rPr>
              <w:t>02</w:t>
            </w:r>
            <w:r w:rsidR="006219F2">
              <w:rPr>
                <w:rFonts w:ascii="Tahoma" w:hAnsi="Tahoma" w:cs="Tahoma"/>
                <w:lang w:val="en-GB"/>
              </w:rPr>
              <w:t>1</w:t>
            </w:r>
            <w:r w:rsidRPr="00523F87">
              <w:rPr>
                <w:rFonts w:ascii="Tahoma" w:hAnsi="Tahoma" w:cs="Tahoma"/>
                <w:lang w:val="en-GB"/>
              </w:rPr>
              <w:t xml:space="preserve">                       </w:t>
            </w:r>
          </w:p>
          <w:p w14:paraId="5EDD8AD2" w14:textId="77777777" w:rsidR="00215628" w:rsidRPr="00523F87" w:rsidRDefault="00215628" w:rsidP="0034258C">
            <w:pPr>
              <w:pStyle w:val="Footer"/>
              <w:rPr>
                <w:rFonts w:ascii="Tahoma" w:hAnsi="Tahoma" w:cs="Tahoma"/>
                <w:lang w:val="en-GB"/>
              </w:rPr>
            </w:pPr>
            <w:r w:rsidRPr="00523F87">
              <w:rPr>
                <w:rFonts w:ascii="Tahoma" w:hAnsi="Tahoma" w:cs="Tahoma"/>
                <w:lang w:val="en-GB"/>
              </w:rPr>
              <w:t xml:space="preserve">EudraCT Number: </w:t>
            </w:r>
            <w:r w:rsidRPr="00523F87">
              <w:rPr>
                <w:rFonts w:ascii="Tahoma" w:hAnsi="Tahoma" w:cs="Tahoma"/>
              </w:rPr>
              <w:t>2020-001006-39</w:t>
            </w:r>
          </w:p>
          <w:p w14:paraId="74238B47" w14:textId="4B490E6E" w:rsidR="00215628" w:rsidRPr="0034258C" w:rsidRDefault="00215628">
            <w:pPr>
              <w:pStyle w:val="Footer"/>
              <w:rPr>
                <w:rFonts w:ascii="Tahoma" w:hAnsi="Tahoma" w:cs="Tahoma"/>
              </w:rPr>
            </w:pPr>
            <w:r w:rsidRPr="00523F87">
              <w:rPr>
                <w:rFonts w:ascii="Tahoma" w:hAnsi="Tahoma" w:cs="Tahoma"/>
                <w:lang w:val="en-GB"/>
              </w:rPr>
              <w:t xml:space="preserve">IRAS Number: </w:t>
            </w:r>
            <w:r w:rsidRPr="00523F87">
              <w:rPr>
                <w:rFonts w:ascii="Tahoma" w:hAnsi="Tahoma" w:cs="Tahoma"/>
              </w:rPr>
              <w:t>281209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tab/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625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625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CBD27" w14:textId="77777777" w:rsidR="00986A6F" w:rsidRDefault="00986A6F" w:rsidP="00523F87">
      <w:r>
        <w:separator/>
      </w:r>
    </w:p>
  </w:footnote>
  <w:footnote w:type="continuationSeparator" w:id="0">
    <w:p w14:paraId="6E3E5C24" w14:textId="77777777" w:rsidR="00986A6F" w:rsidRDefault="00986A6F" w:rsidP="00523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0C85"/>
    <w:multiLevelType w:val="hybridMultilevel"/>
    <w:tmpl w:val="F322F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F70CC"/>
    <w:multiLevelType w:val="hybridMultilevel"/>
    <w:tmpl w:val="0D886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F87"/>
    <w:rsid w:val="00050100"/>
    <w:rsid w:val="00144111"/>
    <w:rsid w:val="00170ED1"/>
    <w:rsid w:val="0018773E"/>
    <w:rsid w:val="00213E58"/>
    <w:rsid w:val="00215628"/>
    <w:rsid w:val="003224B0"/>
    <w:rsid w:val="00322858"/>
    <w:rsid w:val="0034258C"/>
    <w:rsid w:val="00497491"/>
    <w:rsid w:val="00523F87"/>
    <w:rsid w:val="005E2AB5"/>
    <w:rsid w:val="006219F2"/>
    <w:rsid w:val="00626559"/>
    <w:rsid w:val="00696253"/>
    <w:rsid w:val="006F2977"/>
    <w:rsid w:val="007F7AB4"/>
    <w:rsid w:val="008B759C"/>
    <w:rsid w:val="00986A6F"/>
    <w:rsid w:val="00AD055C"/>
    <w:rsid w:val="00AD5BFD"/>
    <w:rsid w:val="00AD6F17"/>
    <w:rsid w:val="00BD5616"/>
    <w:rsid w:val="00C2684C"/>
    <w:rsid w:val="00E8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33532B5"/>
  <w15:chartTrackingRefBased/>
  <w15:docId w15:val="{5CAF860C-6D65-418C-B3D2-8DCEE5EF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1">
    <w:name w:val="heading 1"/>
    <w:basedOn w:val="Normal"/>
    <w:next w:val="Normal"/>
    <w:link w:val="Heading1Char"/>
    <w:qFormat/>
    <w:rsid w:val="00523F87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3F87"/>
    <w:rPr>
      <w:rFonts w:ascii="Times New Roman" w:eastAsia="Times New Roman" w:hAnsi="Times New Roman" w:cs="Times New Roman"/>
      <w:b/>
      <w:sz w:val="24"/>
      <w:szCs w:val="20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523F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F8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523F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F8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CommentReference">
    <w:name w:val="annotation reference"/>
    <w:uiPriority w:val="99"/>
    <w:rsid w:val="003425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4258C"/>
    <w:pPr>
      <w:spacing w:before="60" w:after="60"/>
    </w:pPr>
    <w:rPr>
      <w:rFonts w:ascii="Arial" w:hAnsi="Arial" w:cs="Arial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258C"/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5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58C"/>
    <w:rPr>
      <w:rFonts w:ascii="Segoe UI" w:eastAsia="Times New Roman" w:hAnsi="Segoe UI" w:cs="Segoe UI"/>
      <w:sz w:val="18"/>
      <w:szCs w:val="18"/>
      <w:lang w:val="en-US" w:eastAsia="en-GB"/>
    </w:rPr>
  </w:style>
  <w:style w:type="paragraph" w:styleId="ListParagraph">
    <w:name w:val="List Paragraph"/>
    <w:basedOn w:val="Normal"/>
    <w:uiPriority w:val="34"/>
    <w:qFormat/>
    <w:rsid w:val="00C2684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628"/>
    <w:pPr>
      <w:spacing w:before="0" w:after="0"/>
    </w:pPr>
    <w:rPr>
      <w:rFonts w:ascii="Times New Roman" w:hAnsi="Times New Roman" w:cs="Times New Roman"/>
      <w:b/>
      <w:bCs/>
      <w:lang w:val="en-US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628"/>
    <w:rPr>
      <w:rFonts w:ascii="Times New Roman" w:eastAsia="Times New Roman" w:hAnsi="Times New Roman" w:cs="Times New Roman"/>
      <w:b/>
      <w:bCs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8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1F2785E826B64D8763F7E80DE8FD9A" ma:contentTypeVersion="6" ma:contentTypeDescription="Create a new document." ma:contentTypeScope="" ma:versionID="ad3c24f72fd9bed85fd8c5e53c214241">
  <xsd:schema xmlns:xsd="http://www.w3.org/2001/XMLSchema" xmlns:xs="http://www.w3.org/2001/XMLSchema" xmlns:p="http://schemas.microsoft.com/office/2006/metadata/properties" xmlns:ns2="9167cbfd-0e79-46fe-99db-83b99bbd241a" xmlns:ns3="0977e2b1-3324-4251-b33b-b0d4a0b3f6e4" targetNamespace="http://schemas.microsoft.com/office/2006/metadata/properties" ma:root="true" ma:fieldsID="dbb1e510c16cf70c8ba779a481dc8a62" ns2:_="" ns3:_="">
    <xsd:import namespace="9167cbfd-0e79-46fe-99db-83b99bbd241a"/>
    <xsd:import namespace="0977e2b1-3324-4251-b33b-b0d4a0b3f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7cbfd-0e79-46fe-99db-83b99bbd2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7e2b1-3324-4251-b33b-b0d4a0b3f6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FEAE42-CC48-4C17-89F1-B81CCD6A8CC5}"/>
</file>

<file path=customXml/itemProps2.xml><?xml version="1.0" encoding="utf-8"?>
<ds:datastoreItem xmlns:ds="http://schemas.openxmlformats.org/officeDocument/2006/customXml" ds:itemID="{32D8A3DE-4A58-4E62-86D3-A3ECCF07E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2F32C8-0BE4-44B1-B1A2-F760038C6B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Charmaine Hunt (Birmingham Clinical Trials Unit)</dc:creator>
  <cp:keywords/>
  <dc:description/>
  <cp:lastModifiedBy>Adam Khan (Birmingham Clinical Trials Unit)</cp:lastModifiedBy>
  <cp:revision>5</cp:revision>
  <dcterms:created xsi:type="dcterms:W3CDTF">2021-08-25T09:58:00Z</dcterms:created>
  <dcterms:modified xsi:type="dcterms:W3CDTF">2021-12-08T11:10:00Z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0x0101004F1F2785E826B64D8763F7E80DE8FD9A</vt:lpwstr>
  </property>
</Properties>
</file>