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88237" w14:textId="565D278D" w:rsidR="00172851" w:rsidRPr="006E4BA6" w:rsidRDefault="008F6707" w:rsidP="008F6707">
      <w:pPr>
        <w:pStyle w:val="Heading1"/>
        <w:keepNext w:val="0"/>
        <w:numPr>
          <w:ilvl w:val="0"/>
          <w:numId w:val="0"/>
        </w:numPr>
      </w:pPr>
      <w:bookmarkStart w:id="0" w:name="_Toc370537656"/>
      <w:bookmarkStart w:id="1" w:name="_Toc371997095"/>
      <w:bookmarkStart w:id="2" w:name="_Toc381149360"/>
      <w:bookmarkStart w:id="3" w:name="_Toc476718737"/>
      <w:bookmarkStart w:id="4" w:name="_Toc303179234"/>
      <w:bookmarkStart w:id="5" w:name="_Toc376426222"/>
      <w:r>
        <w:t>STOP</w:t>
      </w:r>
      <w:r w:rsidR="007C238F">
        <w:t>-</w:t>
      </w:r>
      <w:r>
        <w:t xml:space="preserve">APE Trial </w:t>
      </w:r>
      <w:r w:rsidR="00172851" w:rsidRPr="006E4BA6">
        <w:t>Summary</w:t>
      </w:r>
      <w:bookmarkEnd w:id="0"/>
      <w:bookmarkEnd w:id="1"/>
      <w:bookmarkEnd w:id="2"/>
      <w:bookmarkEnd w:id="3"/>
      <w:bookmarkEnd w:id="4"/>
      <w:r w:rsidR="00172851" w:rsidRPr="006E4BA6">
        <w:t xml:space="preserve"> &amp; Trial Schema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8"/>
        <w:gridCol w:w="6248"/>
      </w:tblGrid>
      <w:tr w:rsidR="00172851" w:rsidRPr="006E4BA6" w14:paraId="14E96F28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1398381F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b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color w:val="FFFFFF"/>
                <w:szCs w:val="22"/>
                <w:lang w:eastAsia="en-GB"/>
              </w:rPr>
              <w:t>Title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122AF443" w14:textId="41B1070A" w:rsidR="00172851" w:rsidRPr="006E4BA6" w:rsidRDefault="007C238F" w:rsidP="00872A6B">
            <w:pPr>
              <w:spacing w:before="0"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Stopping anticoagulation for isolated</w:t>
            </w:r>
            <w:r w:rsidR="002364F9">
              <w:rPr>
                <w:rFonts w:cs="Arial"/>
                <w:b/>
                <w:bCs/>
                <w:szCs w:val="22"/>
              </w:rPr>
              <w:t xml:space="preserve"> or incidental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subsegmental</w:t>
            </w:r>
            <w:proofErr w:type="spellEnd"/>
            <w:r>
              <w:rPr>
                <w:rFonts w:cs="Arial"/>
                <w:b/>
                <w:bCs/>
                <w:szCs w:val="22"/>
              </w:rPr>
              <w:t xml:space="preserve"> pulmonary embolism </w:t>
            </w:r>
          </w:p>
        </w:tc>
      </w:tr>
      <w:tr w:rsidR="00172851" w:rsidRPr="006E4BA6" w14:paraId="497A30C6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5A5A0994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b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Short title/ Acronym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4B2E4782" w14:textId="47A2E4DB" w:rsidR="00172851" w:rsidRPr="006E4BA6" w:rsidRDefault="003E5621" w:rsidP="00872A6B">
            <w:pPr>
              <w:spacing w:before="0" w:after="0"/>
              <w:rPr>
                <w:rFonts w:cs="Arial"/>
                <w:b/>
                <w:szCs w:val="22"/>
                <w:lang w:eastAsia="en-GB"/>
              </w:rPr>
            </w:pPr>
            <w:r>
              <w:rPr>
                <w:rFonts w:cs="Arial"/>
                <w:b/>
                <w:color w:val="0070C0"/>
                <w:szCs w:val="22"/>
                <w:lang w:eastAsia="en-GB"/>
              </w:rPr>
              <w:t>STOP</w:t>
            </w:r>
            <w:r w:rsidR="007C238F">
              <w:rPr>
                <w:rFonts w:cs="Arial"/>
                <w:b/>
                <w:color w:val="0070C0"/>
                <w:szCs w:val="22"/>
                <w:lang w:eastAsia="en-GB"/>
              </w:rPr>
              <w:t>-</w:t>
            </w:r>
            <w:r>
              <w:rPr>
                <w:rFonts w:cs="Arial"/>
                <w:b/>
                <w:color w:val="0070C0"/>
                <w:szCs w:val="22"/>
                <w:lang w:eastAsia="en-GB"/>
              </w:rPr>
              <w:t>APE</w:t>
            </w:r>
          </w:p>
        </w:tc>
      </w:tr>
      <w:tr w:rsidR="00172851" w:rsidRPr="006E4BA6" w14:paraId="481A0126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6FAE0101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Type of trial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016984D8" w14:textId="77777777" w:rsidR="00172851" w:rsidRPr="00435682" w:rsidRDefault="00172851" w:rsidP="00872A6B">
            <w:pPr>
              <w:spacing w:before="0" w:after="0"/>
              <w:rPr>
                <w:rFonts w:cs="Arial"/>
                <w:szCs w:val="22"/>
                <w:lang w:eastAsia="en-GB"/>
              </w:rPr>
            </w:pPr>
            <w:r w:rsidRPr="00435682">
              <w:rPr>
                <w:rFonts w:cs="Arial"/>
                <w:bCs/>
                <w:szCs w:val="22"/>
              </w:rPr>
              <w:t>Randomised Controlled Trial</w:t>
            </w:r>
          </w:p>
        </w:tc>
      </w:tr>
      <w:tr w:rsidR="00172851" w:rsidRPr="006E4BA6" w14:paraId="006E2891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28AAEEDE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b/>
                <w:bCs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Trial design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409A7458" w14:textId="4AC4069F" w:rsidR="00172851" w:rsidRPr="00102E24" w:rsidRDefault="00102E24" w:rsidP="00102E24">
            <w:pPr>
              <w:keepNext/>
              <w:spacing w:after="0"/>
              <w:rPr>
                <w:bCs/>
              </w:rPr>
            </w:pPr>
            <w:r w:rsidRPr="00105F0D">
              <w:rPr>
                <w:bCs/>
              </w:rPr>
              <w:t>An investigator led</w:t>
            </w:r>
            <w:r w:rsidRPr="00831A69">
              <w:rPr>
                <w:bCs/>
              </w:rPr>
              <w:t xml:space="preserve">, multicentre, prospective, randomised controlled, open-label, pragmatic clinical trial designed to test both the non-inferiority and superiority objectives.  A 12-month internal pilot </w:t>
            </w:r>
            <w:r w:rsidRPr="00132AB1">
              <w:rPr>
                <w:bCs/>
              </w:rPr>
              <w:t>will assess feasibility and acceptability with safety of randomisation based on acute reporting radiologists’ diagnoses assessed as part of a nested</w:t>
            </w:r>
            <w:r w:rsidRPr="0038510F">
              <w:rPr>
                <w:bCs/>
              </w:rPr>
              <w:t xml:space="preserve"> computed tomo</w:t>
            </w:r>
            <w:r w:rsidRPr="00105F0D">
              <w:rPr>
                <w:bCs/>
              </w:rPr>
              <w:t>graphy pulmonary angiogram</w:t>
            </w:r>
            <w:r w:rsidRPr="00831A69">
              <w:rPr>
                <w:bCs/>
              </w:rPr>
              <w:t xml:space="preserve"> (CTPA) study.</w:t>
            </w:r>
          </w:p>
        </w:tc>
      </w:tr>
      <w:tr w:rsidR="00172851" w:rsidRPr="006E4BA6" w14:paraId="09D45604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1D16F8ED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b/>
                <w:bCs/>
                <w:color w:val="FFFFFF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  <w:lang w:eastAsia="en-GB"/>
              </w:rPr>
              <w:t>Trial Treatment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1558630F" w14:textId="3CF8F12E" w:rsidR="00172851" w:rsidRPr="00175981" w:rsidRDefault="00172851" w:rsidP="00872A6B">
            <w:pPr>
              <w:spacing w:before="0" w:after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Control arm</w:t>
            </w:r>
            <w:r w:rsidRPr="00175981">
              <w:rPr>
                <w:rFonts w:cs="Arial"/>
                <w:szCs w:val="22"/>
                <w:lang w:eastAsia="en-GB"/>
              </w:rPr>
              <w:t xml:space="preserve">: </w:t>
            </w:r>
            <w:r w:rsidR="003E5621">
              <w:rPr>
                <w:rFonts w:cs="Arial"/>
                <w:szCs w:val="22"/>
                <w:lang w:eastAsia="en-GB"/>
              </w:rPr>
              <w:t>Usual care of full dose anticoagulation (clinician</w:t>
            </w:r>
            <w:r w:rsidR="00F56C37">
              <w:rPr>
                <w:rFonts w:cs="Arial"/>
                <w:szCs w:val="22"/>
                <w:lang w:eastAsia="en-GB"/>
              </w:rPr>
              <w:t>’s</w:t>
            </w:r>
            <w:r w:rsidR="003E5621">
              <w:rPr>
                <w:rFonts w:cs="Arial"/>
                <w:szCs w:val="22"/>
                <w:lang w:eastAsia="en-GB"/>
              </w:rPr>
              <w:t xml:space="preserve"> usual practice, which can include DOAC, warfarin or daily LMWH injections dependent on clinical context)</w:t>
            </w:r>
            <w:r w:rsidR="00FA2C70">
              <w:rPr>
                <w:rFonts w:cs="Arial"/>
                <w:szCs w:val="22"/>
                <w:lang w:eastAsia="en-GB"/>
              </w:rPr>
              <w:t>.</w:t>
            </w:r>
          </w:p>
          <w:p w14:paraId="7ADCF5F3" w14:textId="5DCB8276" w:rsidR="00172851" w:rsidRPr="006E4BA6" w:rsidRDefault="00172851" w:rsidP="00872A6B">
            <w:pPr>
              <w:spacing w:before="0" w:after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Experimental arm</w:t>
            </w:r>
            <w:r w:rsidRPr="00175981">
              <w:rPr>
                <w:rFonts w:cs="Arial"/>
                <w:szCs w:val="22"/>
                <w:lang w:eastAsia="en-GB"/>
              </w:rPr>
              <w:t xml:space="preserve">: </w:t>
            </w:r>
            <w:r w:rsidR="003E5621">
              <w:rPr>
                <w:rFonts w:cs="Arial"/>
                <w:szCs w:val="22"/>
                <w:lang w:eastAsia="en-GB"/>
              </w:rPr>
              <w:t>No anticoagulation.</w:t>
            </w:r>
          </w:p>
        </w:tc>
      </w:tr>
      <w:tr w:rsidR="00172851" w:rsidRPr="006E4BA6" w14:paraId="0A2E49C0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31F49485" w14:textId="77777777" w:rsidR="00172851" w:rsidRPr="00435682" w:rsidRDefault="00172851" w:rsidP="00872A6B">
            <w:pPr>
              <w:spacing w:before="0" w:after="0"/>
              <w:jc w:val="left"/>
              <w:rPr>
                <w:rFonts w:cs="Arial"/>
                <w:b/>
                <w:bCs/>
                <w:color w:val="FFFFFF"/>
                <w:sz w:val="24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Primary Objective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1A2E6A23" w14:textId="77777777" w:rsidR="00102E24" w:rsidRPr="00132AB1" w:rsidRDefault="00102E24" w:rsidP="00102E24">
            <w:pPr>
              <w:keepNext/>
              <w:spacing w:after="0"/>
              <w:rPr>
                <w:bCs/>
              </w:rPr>
            </w:pPr>
            <w:r w:rsidRPr="00132AB1">
              <w:rPr>
                <w:bCs/>
              </w:rPr>
              <w:t>The joint (multiple) primary outcomes are a composite of;</w:t>
            </w:r>
          </w:p>
          <w:p w14:paraId="01AA73E5" w14:textId="77777777" w:rsidR="00102E24" w:rsidRPr="00132AB1" w:rsidRDefault="00102E24" w:rsidP="00102E24">
            <w:pPr>
              <w:keepNext/>
              <w:spacing w:after="0"/>
              <w:rPr>
                <w:bCs/>
              </w:rPr>
            </w:pPr>
            <w:r w:rsidRPr="0038510F">
              <w:rPr>
                <w:bCs/>
              </w:rPr>
              <w:t xml:space="preserve">Recurrent </w:t>
            </w:r>
            <w:r w:rsidRPr="00831A69">
              <w:rPr>
                <w:bCs/>
              </w:rPr>
              <w:t xml:space="preserve">VTE </w:t>
            </w:r>
          </w:p>
          <w:p w14:paraId="032CCDFE" w14:textId="77777777" w:rsidR="00102E24" w:rsidRPr="00132AB1" w:rsidRDefault="00102E24" w:rsidP="00102E24">
            <w:pPr>
              <w:pStyle w:val="ListParagraph"/>
              <w:keepNext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contextualSpacing/>
              <w:jc w:val="left"/>
              <w:rPr>
                <w:bCs/>
              </w:rPr>
            </w:pPr>
            <w:r w:rsidRPr="00132AB1">
              <w:rPr>
                <w:bCs/>
              </w:rPr>
              <w:t xml:space="preserve">recurrent VTE (non-fatal) </w:t>
            </w:r>
          </w:p>
          <w:p w14:paraId="68E74CC9" w14:textId="77777777" w:rsidR="00102E24" w:rsidRPr="00132AB1" w:rsidRDefault="00102E24" w:rsidP="00102E24">
            <w:pPr>
              <w:pStyle w:val="ListParagraph"/>
              <w:keepNext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contextualSpacing/>
              <w:jc w:val="left"/>
              <w:rPr>
                <w:bCs/>
              </w:rPr>
            </w:pPr>
            <w:r w:rsidRPr="00132AB1">
              <w:rPr>
                <w:bCs/>
              </w:rPr>
              <w:t xml:space="preserve">VTE related death (primary safety outcome) </w:t>
            </w:r>
          </w:p>
          <w:p w14:paraId="0C799EBF" w14:textId="77777777" w:rsidR="00102E24" w:rsidRPr="0038510F" w:rsidRDefault="00102E24" w:rsidP="00102E24">
            <w:pPr>
              <w:keepNext/>
              <w:spacing w:after="0"/>
              <w:rPr>
                <w:bCs/>
              </w:rPr>
            </w:pPr>
            <w:r w:rsidRPr="0038510F">
              <w:rPr>
                <w:bCs/>
              </w:rPr>
              <w:t>Clinically relevant bleeding</w:t>
            </w:r>
          </w:p>
          <w:p w14:paraId="0EF28D95" w14:textId="7EB155D4" w:rsidR="00172851" w:rsidRPr="00102E24" w:rsidRDefault="00102E24" w:rsidP="00102E24">
            <w:pPr>
              <w:pStyle w:val="ListParagraph"/>
              <w:keepNext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contextualSpacing/>
              <w:jc w:val="left"/>
              <w:rPr>
                <w:bCs/>
              </w:rPr>
            </w:pPr>
            <w:r w:rsidRPr="00105F0D">
              <w:rPr>
                <w:bCs/>
              </w:rPr>
              <w:t>composite of major and clinically relevant non-major bleeding (CRNMB)</w:t>
            </w:r>
            <w:r w:rsidRPr="00831A69">
              <w:rPr>
                <w:bCs/>
              </w:rPr>
              <w:t xml:space="preserve"> (primary efficacy outcome). </w:t>
            </w:r>
          </w:p>
        </w:tc>
      </w:tr>
      <w:tr w:rsidR="00172851" w:rsidRPr="006E4BA6" w14:paraId="4A6A4D16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2CCFFC34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Secondary Objectives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5FFDA2C9" w14:textId="0908DA8E" w:rsidR="00172851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Recurrent VTE at 6 and 12 months.</w:t>
            </w:r>
          </w:p>
          <w:p w14:paraId="4802EB1B" w14:textId="5F272960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Clinically relevant bleeding at 6 months and 12 months (as assessed through HES records).</w:t>
            </w:r>
          </w:p>
          <w:p w14:paraId="13FD552A" w14:textId="77777777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Net clinical benefit – composite of clinically relevant bleeding and recurrent VTE at 3 and 6 months.</w:t>
            </w:r>
          </w:p>
          <w:p w14:paraId="0581C4A1" w14:textId="77777777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New diagnosis of pulmonary hypertension or right ventricular dysfunction within 12 months of SSPE, </w:t>
            </w:r>
            <w:r>
              <w:rPr>
                <w:rFonts w:cs="Arial"/>
                <w:szCs w:val="22"/>
              </w:rPr>
              <w:lastRenderedPageBreak/>
              <w:t>defined from HES clinical coding and supported where possible by additional radiological data and echocardiograms undertaken in tertiary pulmonary hypertension centres.</w:t>
            </w:r>
          </w:p>
          <w:p w14:paraId="2CCAFB7C" w14:textId="77777777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All-cause mortality at 3, 6 and 12 months.</w:t>
            </w:r>
          </w:p>
          <w:p w14:paraId="27411562" w14:textId="77777777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VTE related mortality at 3, 6 and 12 months.</w:t>
            </w:r>
          </w:p>
          <w:p w14:paraId="55DC1567" w14:textId="77777777" w:rsid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Cardiovascular mortality at 3, 6 and 12 months defined as cardia deaths (e.g. cardiogenic shock, fatal arrhythmia, cardiac rupture) and vascular deaths (e.g. VTE-related, fatal stroke, ruptured aortic aneurysm, aortic dissection).</w:t>
            </w:r>
          </w:p>
          <w:p w14:paraId="21E0DC25" w14:textId="7EDA2CF5" w:rsidR="007844EE" w:rsidRPr="007844EE" w:rsidRDefault="007844EE" w:rsidP="007844EE"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Reclassification rate from thoracic radiologist review.    </w:t>
            </w:r>
          </w:p>
        </w:tc>
      </w:tr>
      <w:tr w:rsidR="00172851" w:rsidRPr="006E4BA6" w14:paraId="7F6786B9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6B1C1011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b/>
                <w:color w:val="FFFFFF"/>
                <w:szCs w:val="22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lastRenderedPageBreak/>
              <w:t>Accrual period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2EA15C88" w14:textId="4E373D99" w:rsidR="00172851" w:rsidRPr="00435682" w:rsidDel="006E6036" w:rsidRDefault="009839D2" w:rsidP="00872A6B">
            <w:pPr>
              <w:spacing w:before="0"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32</w:t>
            </w:r>
            <w:r w:rsidR="00172851" w:rsidRPr="00435682">
              <w:rPr>
                <w:rFonts w:cs="Arial"/>
                <w:color w:val="000000"/>
                <w:szCs w:val="22"/>
                <w:lang w:eastAsia="en-GB"/>
              </w:rPr>
              <w:t xml:space="preserve"> months</w:t>
            </w:r>
          </w:p>
        </w:tc>
      </w:tr>
      <w:tr w:rsidR="00172851" w:rsidRPr="006E4BA6" w14:paraId="0AF11424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41A865B0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Trial duration per participant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0369BFD6" w14:textId="7DBCA962" w:rsidR="00172851" w:rsidRPr="000246D6" w:rsidRDefault="009839D2" w:rsidP="007844EE">
            <w:pPr>
              <w:spacing w:before="0"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 xml:space="preserve">Overall period 12 months: </w:t>
            </w:r>
            <w:r w:rsidR="007844EE">
              <w:rPr>
                <w:rFonts w:cs="Arial"/>
                <w:color w:val="000000"/>
                <w:szCs w:val="22"/>
                <w:lang w:eastAsia="en-GB"/>
              </w:rPr>
              <w:t>telephone follow up at 4 weeks to collect patient safety data, 12 weeks</w:t>
            </w:r>
            <w:r w:rsidR="00E4293D">
              <w:rPr>
                <w:rFonts w:cs="Arial"/>
                <w:color w:val="000000"/>
                <w:szCs w:val="22"/>
                <w:lang w:eastAsia="en-GB"/>
              </w:rPr>
              <w:t xml:space="preserve"> for telephone follow up</w:t>
            </w:r>
            <w:r w:rsidR="00574646">
              <w:rPr>
                <w:rFonts w:cs="Arial"/>
                <w:color w:val="000000"/>
                <w:szCs w:val="22"/>
                <w:lang w:eastAsia="en-GB"/>
              </w:rPr>
              <w:t xml:space="preserve"> to collect data for the primary outcome.</w:t>
            </w:r>
            <w:r w:rsidR="00E4293D"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574646">
              <w:rPr>
                <w:rFonts w:cs="Arial"/>
                <w:color w:val="000000"/>
                <w:szCs w:val="22"/>
                <w:lang w:eastAsia="en-GB"/>
              </w:rPr>
              <w:t>Further</w:t>
            </w:r>
            <w:r w:rsidR="007844EE">
              <w:rPr>
                <w:rFonts w:cs="Arial"/>
                <w:color w:val="000000"/>
                <w:szCs w:val="22"/>
                <w:lang w:eastAsia="en-GB"/>
              </w:rPr>
              <w:t xml:space="preserve"> telephone follow up at 24 weeks</w:t>
            </w:r>
            <w:r w:rsidR="00574646">
              <w:rPr>
                <w:rFonts w:cs="Arial"/>
                <w:color w:val="000000"/>
                <w:szCs w:val="22"/>
                <w:lang w:eastAsia="en-GB"/>
              </w:rPr>
              <w:t xml:space="preserve"> and </w:t>
            </w:r>
            <w:r w:rsidR="00E4293D">
              <w:rPr>
                <w:rFonts w:cs="Arial"/>
                <w:color w:val="000000"/>
                <w:szCs w:val="22"/>
                <w:lang w:eastAsia="en-GB"/>
              </w:rPr>
              <w:t xml:space="preserve">NHS Digital collection of Hospital Episode Statistics </w:t>
            </w:r>
            <w:r w:rsidR="00574646">
              <w:rPr>
                <w:rFonts w:cs="Arial"/>
                <w:color w:val="000000"/>
                <w:szCs w:val="22"/>
                <w:lang w:eastAsia="en-GB"/>
              </w:rPr>
              <w:t xml:space="preserve">for a minimum of </w:t>
            </w:r>
            <w:r w:rsidR="007844EE">
              <w:rPr>
                <w:rFonts w:cs="Arial"/>
                <w:color w:val="000000"/>
                <w:szCs w:val="22"/>
                <w:lang w:eastAsia="en-GB"/>
              </w:rPr>
              <w:t xml:space="preserve">52 weeks </w:t>
            </w:r>
            <w:r w:rsidR="00574646">
              <w:rPr>
                <w:rFonts w:cs="Arial"/>
                <w:color w:val="000000"/>
                <w:szCs w:val="22"/>
                <w:lang w:eastAsia="en-GB"/>
              </w:rPr>
              <w:t>follow up.</w:t>
            </w:r>
          </w:p>
        </w:tc>
      </w:tr>
      <w:tr w:rsidR="00172851" w:rsidRPr="006E4BA6" w14:paraId="4692CE5A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5D9E60AC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Estimated total trial duration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1FEF9E26" w14:textId="7DF0EFAA" w:rsidR="00172851" w:rsidRPr="00435682" w:rsidRDefault="00E4293D" w:rsidP="00872A6B">
            <w:pPr>
              <w:spacing w:before="0" w:after="0"/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54</w:t>
            </w:r>
            <w:r w:rsidR="00172851" w:rsidRPr="00435682">
              <w:rPr>
                <w:rFonts w:cs="Arial"/>
                <w:color w:val="000000"/>
                <w:szCs w:val="22"/>
                <w:lang w:eastAsia="en-GB"/>
              </w:rPr>
              <w:t xml:space="preserve"> months (6 months set-up, </w:t>
            </w:r>
            <w:r w:rsidR="0061797B">
              <w:rPr>
                <w:rFonts w:cs="Arial"/>
                <w:color w:val="000000"/>
                <w:szCs w:val="22"/>
                <w:lang w:eastAsia="en-GB"/>
              </w:rPr>
              <w:t>32</w:t>
            </w:r>
            <w:r w:rsidR="00172851" w:rsidRPr="00435682">
              <w:rPr>
                <w:rFonts w:cs="Arial"/>
                <w:color w:val="000000"/>
                <w:szCs w:val="22"/>
                <w:lang w:eastAsia="en-GB"/>
              </w:rPr>
              <w:t xml:space="preserve"> months recruitment, </w:t>
            </w:r>
            <w:r>
              <w:rPr>
                <w:rFonts w:cs="Arial"/>
                <w:color w:val="000000"/>
                <w:szCs w:val="22"/>
                <w:lang w:eastAsia="en-GB"/>
              </w:rPr>
              <w:t>12</w:t>
            </w:r>
            <w:r w:rsidR="00172851" w:rsidRPr="00435682">
              <w:rPr>
                <w:rFonts w:cs="Arial"/>
                <w:color w:val="000000"/>
                <w:szCs w:val="22"/>
                <w:lang w:eastAsia="en-GB"/>
              </w:rPr>
              <w:t xml:space="preserve"> months follow-up, </w:t>
            </w:r>
            <w:r w:rsidR="00386390">
              <w:rPr>
                <w:rFonts w:cs="Arial"/>
                <w:color w:val="000000"/>
                <w:szCs w:val="22"/>
                <w:lang w:eastAsia="en-GB"/>
              </w:rPr>
              <w:t>4</w:t>
            </w:r>
            <w:r w:rsidR="00172851" w:rsidRPr="00435682">
              <w:rPr>
                <w:rFonts w:cs="Arial"/>
                <w:color w:val="000000"/>
                <w:szCs w:val="22"/>
                <w:lang w:eastAsia="en-GB"/>
              </w:rPr>
              <w:t xml:space="preserve"> months analysis and write-up)</w:t>
            </w:r>
          </w:p>
        </w:tc>
      </w:tr>
      <w:tr w:rsidR="00172851" w:rsidRPr="006E4BA6" w14:paraId="596C4C52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09033588" w14:textId="50340859" w:rsidR="00172851" w:rsidRPr="006E4BA6" w:rsidRDefault="00017B0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>
              <w:rPr>
                <w:rFonts w:cs="Arial"/>
                <w:b/>
                <w:bCs/>
                <w:color w:val="FFFFFF"/>
                <w:szCs w:val="22"/>
                <w:lang w:eastAsia="en-GB"/>
              </w:rPr>
              <w:t>Setting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5B2945EC" w14:textId="12644854" w:rsidR="00172851" w:rsidRPr="00435682" w:rsidRDefault="00172851" w:rsidP="00872A6B">
            <w:pPr>
              <w:spacing w:before="0" w:after="0"/>
              <w:rPr>
                <w:rFonts w:cs="Arial"/>
                <w:color w:val="000000"/>
                <w:szCs w:val="22"/>
                <w:lang w:eastAsia="en-GB"/>
              </w:rPr>
            </w:pPr>
            <w:r w:rsidRPr="00435682">
              <w:rPr>
                <w:rFonts w:cs="Arial"/>
                <w:color w:val="000000"/>
                <w:szCs w:val="22"/>
                <w:lang w:eastAsia="en-GB"/>
              </w:rPr>
              <w:t>UK multi-site</w:t>
            </w:r>
            <w:r w:rsidR="007C238F">
              <w:rPr>
                <w:rFonts w:cs="Arial"/>
                <w:color w:val="000000"/>
                <w:szCs w:val="22"/>
                <w:lang w:eastAsia="en-GB"/>
              </w:rPr>
              <w:t>, up to 50</w:t>
            </w:r>
            <w:r w:rsidR="00E97D6C">
              <w:rPr>
                <w:rFonts w:cs="Arial"/>
                <w:color w:val="000000"/>
                <w:szCs w:val="22"/>
                <w:lang w:eastAsia="en-GB"/>
              </w:rPr>
              <w:t xml:space="preserve"> hospitals</w:t>
            </w:r>
          </w:p>
        </w:tc>
      </w:tr>
      <w:tr w:rsidR="00172851" w:rsidRPr="006E4BA6" w14:paraId="080E289D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2AB8BA9C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color w:val="FFFFFF"/>
                <w:szCs w:val="22"/>
                <w:lang w:eastAsia="en-GB"/>
              </w:rPr>
              <w:t>Total number of participants planned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0BDBBDD4" w14:textId="7C0607D1" w:rsidR="00172851" w:rsidRPr="00435682" w:rsidRDefault="009839D2" w:rsidP="00872A6B">
            <w:pPr>
              <w:spacing w:before="0" w:after="0"/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1466</w:t>
            </w:r>
            <w:r w:rsidR="00035F19">
              <w:rPr>
                <w:rFonts w:cs="Arial"/>
                <w:szCs w:val="22"/>
                <w:lang w:eastAsia="en-GB"/>
              </w:rPr>
              <w:t xml:space="preserve"> to allow for losses to follow up</w:t>
            </w:r>
          </w:p>
        </w:tc>
      </w:tr>
      <w:tr w:rsidR="00172851" w:rsidRPr="006E4BA6" w14:paraId="2BC6DDAD" w14:textId="77777777" w:rsidTr="00872A6B">
        <w:tc>
          <w:tcPr>
            <w:tcW w:w="2802" w:type="dxa"/>
            <w:shd w:val="clear" w:color="auto" w:fill="548DD4"/>
            <w:tcMar>
              <w:top w:w="57" w:type="dxa"/>
              <w:bottom w:w="57" w:type="dxa"/>
            </w:tcMar>
          </w:tcPr>
          <w:p w14:paraId="2238C429" w14:textId="77777777" w:rsidR="00172851" w:rsidRPr="006E4BA6" w:rsidRDefault="00172851" w:rsidP="00872A6B">
            <w:pPr>
              <w:spacing w:before="0" w:after="0"/>
              <w:jc w:val="left"/>
              <w:rPr>
                <w:rFonts w:cs="Arial"/>
                <w:color w:val="FFFFFF"/>
                <w:szCs w:val="22"/>
                <w:lang w:eastAsia="en-GB"/>
              </w:rPr>
            </w:pPr>
            <w:r w:rsidRPr="006E4BA6">
              <w:rPr>
                <w:rFonts w:cs="Arial"/>
                <w:b/>
                <w:bCs/>
                <w:color w:val="FFFFFF"/>
                <w:szCs w:val="22"/>
                <w:lang w:eastAsia="en-GB"/>
              </w:rPr>
              <w:t>Main inclusion/exclusion criteria</w:t>
            </w:r>
          </w:p>
        </w:tc>
        <w:tc>
          <w:tcPr>
            <w:tcW w:w="6484" w:type="dxa"/>
            <w:tcMar>
              <w:top w:w="57" w:type="dxa"/>
              <w:bottom w:w="57" w:type="dxa"/>
            </w:tcMar>
          </w:tcPr>
          <w:p w14:paraId="76CA2A6A" w14:textId="77777777" w:rsidR="00172851" w:rsidRDefault="00172851" w:rsidP="003D5E7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Cs w:val="22"/>
                <w:lang w:eastAsia="en-GB"/>
              </w:rPr>
            </w:pPr>
            <w:r w:rsidRPr="006E4BA6">
              <w:rPr>
                <w:rFonts w:cs="Arial"/>
                <w:b/>
                <w:szCs w:val="22"/>
                <w:lang w:eastAsia="en-GB"/>
              </w:rPr>
              <w:t>Inclusion criteria</w:t>
            </w:r>
          </w:p>
          <w:p w14:paraId="00278703" w14:textId="77777777" w:rsidR="003D5E70" w:rsidRPr="00132AB1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32AB1">
              <w:rPr>
                <w:iCs/>
              </w:rPr>
              <w:t>Age ≥18 years</w:t>
            </w:r>
          </w:p>
          <w:p w14:paraId="07732A27" w14:textId="77777777" w:rsidR="003D5E70" w:rsidRPr="00132AB1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32AB1">
              <w:rPr>
                <w:iCs/>
              </w:rPr>
              <w:t>SSPE diagnosed by the radiologist at the trial site by CTPA or CT thorax with IV contrast</w:t>
            </w:r>
          </w:p>
          <w:p w14:paraId="6824C626" w14:textId="77777777" w:rsidR="003D5E70" w:rsidRPr="0038510F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32AB1">
              <w:rPr>
                <w:iCs/>
              </w:rPr>
              <w:t>No evidence of proximal</w:t>
            </w:r>
            <w:r w:rsidRPr="0038510F">
              <w:rPr>
                <w:iCs/>
              </w:rPr>
              <w:t xml:space="preserve"> deep vein thrombosis on </w:t>
            </w:r>
            <w:proofErr w:type="spellStart"/>
            <w:r w:rsidRPr="0038510F">
              <w:rPr>
                <w:iCs/>
              </w:rPr>
              <w:t>doppler</w:t>
            </w:r>
            <w:proofErr w:type="spellEnd"/>
            <w:r w:rsidRPr="0038510F">
              <w:rPr>
                <w:iCs/>
              </w:rPr>
              <w:t xml:space="preserve"> ultrasonography or CT / MR venography</w:t>
            </w:r>
          </w:p>
          <w:p w14:paraId="65D29FEC" w14:textId="77777777" w:rsidR="003D5E70" w:rsidRPr="00105F0D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05F0D">
              <w:rPr>
                <w:iCs/>
              </w:rPr>
              <w:t xml:space="preserve">Heart rate (&lt;110bpm) </w:t>
            </w:r>
          </w:p>
          <w:p w14:paraId="5C4E0284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t xml:space="preserve">Systolic blood pressure (≥100 mmHg) </w:t>
            </w:r>
          </w:p>
          <w:p w14:paraId="37C35D5E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t>Oxygen saturation (≥90%)</w:t>
            </w:r>
          </w:p>
          <w:p w14:paraId="5CE1A9B3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lastRenderedPageBreak/>
              <w:t>Written signed informed consent to the trial</w:t>
            </w:r>
          </w:p>
          <w:p w14:paraId="400CD112" w14:textId="77777777" w:rsidR="003D5E70" w:rsidRDefault="003D5E70" w:rsidP="00872A6B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Cs w:val="22"/>
                <w:lang w:eastAsia="en-GB"/>
              </w:rPr>
            </w:pPr>
          </w:p>
          <w:p w14:paraId="102C6942" w14:textId="7FDF9966" w:rsidR="00172851" w:rsidRPr="006E4BA6" w:rsidRDefault="00172851" w:rsidP="003D5E7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Cs w:val="22"/>
                <w:lang w:eastAsia="en-GB"/>
              </w:rPr>
            </w:pPr>
            <w:r w:rsidRPr="006E4BA6">
              <w:rPr>
                <w:rFonts w:cs="Arial"/>
                <w:b/>
                <w:szCs w:val="22"/>
                <w:lang w:eastAsia="en-GB"/>
              </w:rPr>
              <w:t xml:space="preserve">Exclusion criteria </w:t>
            </w:r>
          </w:p>
          <w:p w14:paraId="7FBE35E7" w14:textId="1853C5EE" w:rsidR="003D5E70" w:rsidRPr="00132AB1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jc w:val="left"/>
              <w:rPr>
                <w:iCs/>
              </w:rPr>
            </w:pPr>
            <w:r w:rsidRPr="00831A69">
              <w:rPr>
                <w:iCs/>
              </w:rPr>
              <w:t>In</w:t>
            </w:r>
            <w:r w:rsidR="001F43CD">
              <w:rPr>
                <w:iCs/>
              </w:rPr>
              <w:t>dication for</w:t>
            </w:r>
            <w:r w:rsidRPr="00132AB1">
              <w:rPr>
                <w:iCs/>
              </w:rPr>
              <w:t xml:space="preserve"> hospital admission</w:t>
            </w:r>
          </w:p>
          <w:p w14:paraId="3F26E138" w14:textId="069794CE" w:rsidR="003D5E70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32AB1">
              <w:rPr>
                <w:iCs/>
              </w:rPr>
              <w:t>&gt;7 days empirical anticoagulation treatment immediately prior to randomisation</w:t>
            </w:r>
          </w:p>
          <w:p w14:paraId="00345B90" w14:textId="64EFD488" w:rsidR="001F43CD" w:rsidRDefault="001F43CD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 w:line="240" w:lineRule="auto"/>
              <w:jc w:val="left"/>
              <w:rPr>
                <w:iCs/>
              </w:rPr>
            </w:pPr>
            <w:r>
              <w:rPr>
                <w:iCs/>
              </w:rPr>
              <w:t>&lt;28 days since first symptoms of proven or clinically suspected COVID-19</w:t>
            </w:r>
          </w:p>
          <w:p w14:paraId="5FB94457" w14:textId="77777777" w:rsidR="001F43CD" w:rsidRPr="001F43CD" w:rsidRDefault="001F43CD" w:rsidP="001F43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 w:line="240" w:lineRule="auto"/>
              <w:ind w:left="720"/>
              <w:jc w:val="left"/>
              <w:rPr>
                <w:iCs/>
              </w:rPr>
            </w:pPr>
          </w:p>
          <w:p w14:paraId="519AF663" w14:textId="71B3526B" w:rsidR="003D5E70" w:rsidRPr="0038510F" w:rsidRDefault="008F1E65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>
              <w:rPr>
                <w:iCs/>
              </w:rPr>
              <w:t>Known s</w:t>
            </w:r>
            <w:r w:rsidR="003D5E70" w:rsidRPr="00132AB1">
              <w:rPr>
                <w:iCs/>
              </w:rPr>
              <w:t>tage 5 chronic kidney disease</w:t>
            </w:r>
            <w:r w:rsidR="003D5E70" w:rsidRPr="00132AB1">
              <w:rPr>
                <w:iCs/>
                <w:lang w:val="en-US"/>
              </w:rPr>
              <w:t xml:space="preserve"> </w:t>
            </w:r>
          </w:p>
          <w:p w14:paraId="40EB1406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105F0D">
              <w:rPr>
                <w:iCs/>
                <w:lang w:val="en-US"/>
              </w:rPr>
              <w:t>Patients with active cancer</w:t>
            </w:r>
            <w:r w:rsidRPr="00831A69">
              <w:rPr>
                <w:iCs/>
                <w:lang w:val="en-US"/>
              </w:rPr>
              <w:t xml:space="preserve"> defined as </w:t>
            </w:r>
            <w:r w:rsidRPr="00831A69">
              <w:rPr>
                <w:shd w:val="clear" w:color="auto" w:fill="FFFFFF"/>
              </w:rPr>
              <w:t>cancer diagnosed within the past 6 months, cancer for which anticancer treatment was being given at the time of enrolment or during 6 months before randomisation, or recurrent locally advanced or metastatic cancer</w:t>
            </w:r>
          </w:p>
          <w:p w14:paraId="156BFEC7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  <w:lang w:val="en-US"/>
              </w:rPr>
            </w:pPr>
            <w:r w:rsidRPr="00831A69">
              <w:rPr>
                <w:iCs/>
                <w:lang w:val="en-US"/>
              </w:rPr>
              <w:t>Patients with previous unprovoked PE, thrombophilia or requiring long term anticoagulation for another reason</w:t>
            </w:r>
          </w:p>
          <w:p w14:paraId="6B19CE8A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  <w:lang w:val="en-US"/>
              </w:rPr>
            </w:pPr>
            <w:r w:rsidRPr="00831A69">
              <w:rPr>
                <w:iCs/>
                <w:lang w:val="en-US"/>
              </w:rPr>
              <w:t>Patients with a DVT / thrombus of an unusual site (e.g. upper limbs, associated with a line) that requires anticoagulation</w:t>
            </w:r>
          </w:p>
          <w:p w14:paraId="58157174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  <w:lang w:val="en-US"/>
              </w:rPr>
            </w:pPr>
            <w:r w:rsidRPr="00831A69">
              <w:rPr>
                <w:iCs/>
                <w:lang w:val="en-US"/>
              </w:rPr>
              <w:t>Patients with active bleeding</w:t>
            </w:r>
          </w:p>
          <w:p w14:paraId="49AE4994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  <w:lang w:val="en-US"/>
              </w:rPr>
            </w:pPr>
            <w:r w:rsidRPr="00831A69">
              <w:rPr>
                <w:iCs/>
              </w:rPr>
              <w:t>Any condition which, in the opinion of the investigator, makes the participant unsuitable for trial entry due to prognosis/terminal illness with a projected survival of less than 3 months</w:t>
            </w:r>
          </w:p>
          <w:p w14:paraId="3E4995D2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t xml:space="preserve">Pregnancy confirmed by positive pregnancy test or post-partum period or actively trying to conceive </w:t>
            </w:r>
          </w:p>
          <w:p w14:paraId="28057813" w14:textId="77777777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t>Inability to comply with the trial schedule and follow-up</w:t>
            </w:r>
          </w:p>
          <w:p w14:paraId="74DC421F" w14:textId="24E13515" w:rsidR="003D5E70" w:rsidRPr="00831A69" w:rsidRDefault="003D5E70" w:rsidP="001F43CD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60" w:after="0"/>
              <w:jc w:val="left"/>
              <w:rPr>
                <w:iCs/>
              </w:rPr>
            </w:pPr>
            <w:r w:rsidRPr="00831A69">
              <w:rPr>
                <w:iCs/>
              </w:rPr>
              <w:t>Participation in</w:t>
            </w:r>
            <w:r w:rsidR="003F5662">
              <w:rPr>
                <w:iCs/>
              </w:rPr>
              <w:t xml:space="preserve"> a</w:t>
            </w:r>
            <w:r w:rsidRPr="00831A69">
              <w:rPr>
                <w:iCs/>
              </w:rPr>
              <w:t xml:space="preserve"> CTIMP stud</w:t>
            </w:r>
            <w:r w:rsidR="003F5662">
              <w:rPr>
                <w:iCs/>
              </w:rPr>
              <w:t>y</w:t>
            </w:r>
          </w:p>
          <w:p w14:paraId="6952E277" w14:textId="7346D74A" w:rsidR="00172851" w:rsidRPr="003D5E70" w:rsidRDefault="00172851" w:rsidP="003D5E7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2"/>
                <w:lang w:eastAsia="en-GB"/>
              </w:rPr>
            </w:pPr>
          </w:p>
        </w:tc>
      </w:tr>
    </w:tbl>
    <w:p w14:paraId="073305A6" w14:textId="7E29DAB7" w:rsidR="0073632C" w:rsidRDefault="00685EA1"/>
    <w:p w14:paraId="2C4CD821" w14:textId="3440C4B9" w:rsidR="00626C23" w:rsidRDefault="00626C23">
      <w:pPr>
        <w:rPr>
          <w:b/>
          <w:u w:val="single"/>
        </w:rPr>
        <w:sectPr w:rsidR="00626C23" w:rsidSect="003F10C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1B122F" w14:textId="07BDB197" w:rsidR="00685EA1" w:rsidRDefault="00685EA1">
      <w:pPr>
        <w:rPr>
          <w:b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69F658C" wp14:editId="14B91DC7">
            <wp:simplePos x="0" y="0"/>
            <wp:positionH relativeFrom="margin">
              <wp:posOffset>542260</wp:posOffset>
            </wp:positionH>
            <wp:positionV relativeFrom="paragraph">
              <wp:posOffset>85060</wp:posOffset>
            </wp:positionV>
            <wp:extent cx="8164869" cy="541689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9503" r="15301" b="8253"/>
                    <a:stretch/>
                  </pic:blipFill>
                  <pic:spPr bwMode="auto">
                    <a:xfrm>
                      <a:off x="0" y="0"/>
                      <a:ext cx="8165805" cy="5417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9618" w14:textId="77777777" w:rsidR="00685EA1" w:rsidRDefault="00685EA1">
      <w:pPr>
        <w:spacing w:before="0"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  <w:bookmarkStart w:id="6" w:name="_GoBack"/>
      <w:bookmarkEnd w:id="6"/>
    </w:p>
    <w:p w14:paraId="767BD595" w14:textId="77777777" w:rsidR="00974CB0" w:rsidRDefault="00974CB0">
      <w:pPr>
        <w:rPr>
          <w:b/>
          <w:u w:val="single"/>
        </w:rPr>
      </w:pPr>
    </w:p>
    <w:p w14:paraId="67FDE71C" w14:textId="61DEAA6E" w:rsidR="00FD6338" w:rsidRDefault="00FD6338" w:rsidP="00626C23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Schedule of </w:t>
      </w:r>
      <w:r w:rsidR="00626C23">
        <w:rPr>
          <w:b/>
          <w:u w:val="single"/>
        </w:rPr>
        <w:t>Assessments</w:t>
      </w:r>
    </w:p>
    <w:tbl>
      <w:tblPr>
        <w:tblStyle w:val="TableGrid"/>
        <w:tblpPr w:leftFromText="180" w:rightFromText="180" w:vertAnchor="text" w:horzAnchor="margin" w:tblpY="234"/>
        <w:tblW w:w="13603" w:type="dxa"/>
        <w:tblLayout w:type="fixed"/>
        <w:tblLook w:val="04A0" w:firstRow="1" w:lastRow="0" w:firstColumn="1" w:lastColumn="0" w:noHBand="0" w:noVBand="1"/>
      </w:tblPr>
      <w:tblGrid>
        <w:gridCol w:w="5240"/>
        <w:gridCol w:w="1418"/>
        <w:gridCol w:w="1134"/>
        <w:gridCol w:w="1417"/>
        <w:gridCol w:w="1559"/>
        <w:gridCol w:w="1560"/>
        <w:gridCol w:w="1275"/>
      </w:tblGrid>
      <w:tr w:rsidR="00626C23" w:rsidRPr="001F43CD" w14:paraId="2201D9D9" w14:textId="77777777" w:rsidTr="001F43CD">
        <w:trPr>
          <w:trHeight w:val="233"/>
        </w:trPr>
        <w:tc>
          <w:tcPr>
            <w:tcW w:w="5240" w:type="dxa"/>
            <w:vMerge w:val="restart"/>
          </w:tcPr>
          <w:p w14:paraId="7F4D93D8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</w:tcPr>
          <w:p w14:paraId="5E2DC4B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Screening</w:t>
            </w:r>
          </w:p>
        </w:tc>
        <w:tc>
          <w:tcPr>
            <w:tcW w:w="1134" w:type="dxa"/>
          </w:tcPr>
          <w:p w14:paraId="1CDFCAF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Baseline</w:t>
            </w:r>
          </w:p>
        </w:tc>
        <w:tc>
          <w:tcPr>
            <w:tcW w:w="1417" w:type="dxa"/>
          </w:tcPr>
          <w:p w14:paraId="507B1C1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Telephone Call 1</w:t>
            </w:r>
          </w:p>
        </w:tc>
        <w:tc>
          <w:tcPr>
            <w:tcW w:w="1559" w:type="dxa"/>
          </w:tcPr>
          <w:p w14:paraId="1DF1391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Telephone Call 2</w:t>
            </w:r>
          </w:p>
        </w:tc>
        <w:tc>
          <w:tcPr>
            <w:tcW w:w="1560" w:type="dxa"/>
          </w:tcPr>
          <w:p w14:paraId="4A2894B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Telephone Call 3</w:t>
            </w:r>
          </w:p>
        </w:tc>
        <w:tc>
          <w:tcPr>
            <w:tcW w:w="1275" w:type="dxa"/>
          </w:tcPr>
          <w:p w14:paraId="11DE8E3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b/>
                <w:sz w:val="20"/>
              </w:rPr>
            </w:pPr>
            <w:r w:rsidRPr="001F43CD">
              <w:rPr>
                <w:rFonts w:cs="Arial"/>
                <w:b/>
                <w:sz w:val="20"/>
              </w:rPr>
              <w:t>HES data extraction</w:t>
            </w:r>
          </w:p>
        </w:tc>
      </w:tr>
      <w:tr w:rsidR="00626C23" w:rsidRPr="001F43CD" w14:paraId="35CDD370" w14:textId="77777777" w:rsidTr="001F43CD">
        <w:trPr>
          <w:trHeight w:val="233"/>
        </w:trPr>
        <w:tc>
          <w:tcPr>
            <w:tcW w:w="5240" w:type="dxa"/>
            <w:vMerge/>
          </w:tcPr>
          <w:p w14:paraId="3C0F30D3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14:paraId="2DD0E41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1CA631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0C47B64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4 weeks (± 1 week)</w:t>
            </w:r>
          </w:p>
        </w:tc>
        <w:tc>
          <w:tcPr>
            <w:tcW w:w="1559" w:type="dxa"/>
          </w:tcPr>
          <w:p w14:paraId="3627BA1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12 weeks (± 2 weeks)</w:t>
            </w:r>
          </w:p>
        </w:tc>
        <w:tc>
          <w:tcPr>
            <w:tcW w:w="1560" w:type="dxa"/>
          </w:tcPr>
          <w:p w14:paraId="2D1B2CC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24 weeks (± 2 weeks)</w:t>
            </w:r>
          </w:p>
        </w:tc>
        <w:tc>
          <w:tcPr>
            <w:tcW w:w="1275" w:type="dxa"/>
          </w:tcPr>
          <w:p w14:paraId="06924E2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52 weeks</w:t>
            </w:r>
          </w:p>
        </w:tc>
      </w:tr>
      <w:tr w:rsidR="00626C23" w:rsidRPr="001F43CD" w14:paraId="314A7228" w14:textId="77777777" w:rsidTr="001F43CD">
        <w:trPr>
          <w:trHeight w:val="233"/>
        </w:trPr>
        <w:tc>
          <w:tcPr>
            <w:tcW w:w="5240" w:type="dxa"/>
          </w:tcPr>
          <w:p w14:paraId="34354748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Consent</w:t>
            </w:r>
          </w:p>
        </w:tc>
        <w:tc>
          <w:tcPr>
            <w:tcW w:w="1418" w:type="dxa"/>
          </w:tcPr>
          <w:p w14:paraId="7AFC559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3D6C8A2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07FCBD3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5F449B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07BCBDB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6EC5B1F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07F0C2A6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100A3F60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Eligibility check</w:t>
            </w:r>
          </w:p>
        </w:tc>
        <w:tc>
          <w:tcPr>
            <w:tcW w:w="1418" w:type="dxa"/>
          </w:tcPr>
          <w:p w14:paraId="742E0D5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25C340D7" w14:textId="77777777" w:rsidR="00626C23" w:rsidRPr="001F43CD" w:rsidDel="00EE2DF0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4E9B376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3A9F05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977209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0A29FD8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74AF58CD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3A68052A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Registration</w:t>
            </w:r>
          </w:p>
        </w:tc>
        <w:tc>
          <w:tcPr>
            <w:tcW w:w="1418" w:type="dxa"/>
          </w:tcPr>
          <w:p w14:paraId="439AF23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2A4A757B" w14:textId="77777777" w:rsidR="00626C23" w:rsidRPr="001F43CD" w:rsidDel="00EE2DF0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0589B93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F92478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79CF88E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29C48F0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48944E71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05EEB433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Randomisation</w:t>
            </w:r>
          </w:p>
        </w:tc>
        <w:tc>
          <w:tcPr>
            <w:tcW w:w="1418" w:type="dxa"/>
          </w:tcPr>
          <w:p w14:paraId="3183C89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7B32E4F" w14:textId="77777777" w:rsidR="00626C23" w:rsidRPr="001F43CD" w:rsidDel="00EE2DF0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2004644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38851A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7FB2888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7F2BA63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47EE1F4F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7C922362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CTPA/CT thorax with contract</w:t>
            </w:r>
          </w:p>
        </w:tc>
        <w:tc>
          <w:tcPr>
            <w:tcW w:w="1418" w:type="dxa"/>
          </w:tcPr>
          <w:p w14:paraId="0D645AB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5DF9F37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58FE81F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6CC90C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60DA4CE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31C4048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4BD2C16B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1533EDFF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Medical history</w:t>
            </w:r>
          </w:p>
        </w:tc>
        <w:tc>
          <w:tcPr>
            <w:tcW w:w="1418" w:type="dxa"/>
          </w:tcPr>
          <w:p w14:paraId="043E106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5C070A5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15239E4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27C670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498A6CB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5E78654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37C74641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6F52F12C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Concomitant medications</w:t>
            </w:r>
          </w:p>
        </w:tc>
        <w:tc>
          <w:tcPr>
            <w:tcW w:w="1418" w:type="dxa"/>
          </w:tcPr>
          <w:p w14:paraId="5BFB13E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A3671F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25BFA2D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43D616B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0731A4A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1686430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6E28DCCA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72DF011B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 xml:space="preserve">Ethnicity </w:t>
            </w:r>
          </w:p>
        </w:tc>
        <w:tc>
          <w:tcPr>
            <w:tcW w:w="1418" w:type="dxa"/>
          </w:tcPr>
          <w:p w14:paraId="703A4C5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78E7B4C" w14:textId="77777777" w:rsidR="00626C23" w:rsidRPr="001F43CD" w:rsidDel="00EE2DF0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001CCB2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BAB82D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2DC872B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7DE5A64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5103D52A" w14:textId="77777777" w:rsidTr="001F43CD">
        <w:trPr>
          <w:trHeight w:val="233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30AB19E9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Risk factors for bleeding</w:t>
            </w:r>
          </w:p>
        </w:tc>
        <w:tc>
          <w:tcPr>
            <w:tcW w:w="1418" w:type="dxa"/>
          </w:tcPr>
          <w:p w14:paraId="2F0DC21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DDC641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4AF7CD5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F8D9BC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69D45C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2A8BD1F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719B2EEB" w14:textId="77777777" w:rsidTr="001F43CD">
        <w:trPr>
          <w:trHeight w:val="233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14:paraId="1B158892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VTE symptoms and recurrence risk factors</w:t>
            </w:r>
          </w:p>
        </w:tc>
        <w:tc>
          <w:tcPr>
            <w:tcW w:w="1418" w:type="dxa"/>
          </w:tcPr>
          <w:p w14:paraId="24251A7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E75F1E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4DCDB8C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8369B4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1F0161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428B35C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39490981" w14:textId="77777777" w:rsidTr="001F43CD">
        <w:trPr>
          <w:trHeight w:val="405"/>
        </w:trPr>
        <w:tc>
          <w:tcPr>
            <w:tcW w:w="5240" w:type="dxa"/>
            <w:shd w:val="clear" w:color="auto" w:fill="E2EFD9" w:themeFill="accent6" w:themeFillTint="33"/>
          </w:tcPr>
          <w:p w14:paraId="6963D179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Routine blood tests</w:t>
            </w:r>
          </w:p>
        </w:tc>
        <w:tc>
          <w:tcPr>
            <w:tcW w:w="1418" w:type="dxa"/>
          </w:tcPr>
          <w:p w14:paraId="3568029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2377F4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561B3B6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DC3ED6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077B80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5BDC9B9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38019FB4" w14:textId="77777777" w:rsidTr="001F43CD">
        <w:trPr>
          <w:trHeight w:val="220"/>
        </w:trPr>
        <w:tc>
          <w:tcPr>
            <w:tcW w:w="5240" w:type="dxa"/>
            <w:shd w:val="clear" w:color="auto" w:fill="E2EFD9" w:themeFill="accent6" w:themeFillTint="33"/>
          </w:tcPr>
          <w:p w14:paraId="41FE6F0F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Modified MRC Dyspnoea score</w:t>
            </w:r>
          </w:p>
        </w:tc>
        <w:tc>
          <w:tcPr>
            <w:tcW w:w="1418" w:type="dxa"/>
          </w:tcPr>
          <w:p w14:paraId="58F75A1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447A3F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6B6AB18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772A07C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22790E8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192EEB3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2D4BF2D2" w14:textId="77777777" w:rsidTr="001F43CD">
        <w:trPr>
          <w:trHeight w:val="220"/>
        </w:trPr>
        <w:tc>
          <w:tcPr>
            <w:tcW w:w="5240" w:type="dxa"/>
            <w:shd w:val="clear" w:color="auto" w:fill="E2EFD9" w:themeFill="accent6" w:themeFillTint="33"/>
          </w:tcPr>
          <w:p w14:paraId="31587B42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Pregnancy test</w:t>
            </w:r>
          </w:p>
        </w:tc>
        <w:tc>
          <w:tcPr>
            <w:tcW w:w="1418" w:type="dxa"/>
          </w:tcPr>
          <w:p w14:paraId="2A7D55A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254C279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759679C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28C9D50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61FE476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73054C4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26F044F5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55AF3097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Physical exam</w:t>
            </w:r>
          </w:p>
        </w:tc>
        <w:tc>
          <w:tcPr>
            <w:tcW w:w="1418" w:type="dxa"/>
          </w:tcPr>
          <w:p w14:paraId="3CE7E39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27126CA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08DDF10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45741DD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2A89BF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69741FA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68676631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6A92304F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Vital signs</w:t>
            </w:r>
          </w:p>
        </w:tc>
        <w:tc>
          <w:tcPr>
            <w:tcW w:w="1418" w:type="dxa"/>
          </w:tcPr>
          <w:p w14:paraId="0554479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0D4ABC6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072B7C4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2A4AE7F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6B0B49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140D970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69E7A319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61C85BA9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CTPA/CT Thorax upload to PACS</w:t>
            </w:r>
          </w:p>
        </w:tc>
        <w:tc>
          <w:tcPr>
            <w:tcW w:w="1418" w:type="dxa"/>
          </w:tcPr>
          <w:p w14:paraId="5E7157E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D454BB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2677C5A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BE5E39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1D590ED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7C9B390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4B2C81E4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7668E31A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Leg venous ultrasound</w:t>
            </w:r>
          </w:p>
        </w:tc>
        <w:tc>
          <w:tcPr>
            <w:tcW w:w="1418" w:type="dxa"/>
          </w:tcPr>
          <w:p w14:paraId="30DD414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134" w:type="dxa"/>
          </w:tcPr>
          <w:p w14:paraId="331EED5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44839ED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872349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</w:tcPr>
          <w:p w14:paraId="20594AF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</w:tcPr>
          <w:p w14:paraId="1C9CEC9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5078F49D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057FF467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lastRenderedPageBreak/>
              <w:t>EQ-5D-5L</w:t>
            </w:r>
          </w:p>
        </w:tc>
        <w:tc>
          <w:tcPr>
            <w:tcW w:w="1418" w:type="dxa"/>
          </w:tcPr>
          <w:p w14:paraId="18CFCE7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73063C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417" w:type="dxa"/>
          </w:tcPr>
          <w:p w14:paraId="16718EA2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D79AAB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5F968AA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2D527C5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31CD7B2C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4B4D1129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Anticoagulant medication check</w:t>
            </w:r>
          </w:p>
        </w:tc>
        <w:tc>
          <w:tcPr>
            <w:tcW w:w="1418" w:type="dxa"/>
          </w:tcPr>
          <w:p w14:paraId="669841D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A2296D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1C00B53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</w:tcPr>
          <w:p w14:paraId="6235621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3500D50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7BF99B7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4F4A4CAE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32FB0C25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VTE Recurrence</w:t>
            </w:r>
          </w:p>
        </w:tc>
        <w:tc>
          <w:tcPr>
            <w:tcW w:w="1418" w:type="dxa"/>
          </w:tcPr>
          <w:p w14:paraId="640DB40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BFEFB7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6A5C3FC1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</w:tcPr>
          <w:p w14:paraId="7006CE1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501E2A2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3044825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</w:tr>
      <w:tr w:rsidR="00626C23" w:rsidRPr="001F43CD" w14:paraId="2B1540EF" w14:textId="77777777" w:rsidTr="001F43CD">
        <w:trPr>
          <w:trHeight w:val="220"/>
        </w:trPr>
        <w:tc>
          <w:tcPr>
            <w:tcW w:w="5240" w:type="dxa"/>
            <w:shd w:val="clear" w:color="auto" w:fill="E2EFD9" w:themeFill="accent6" w:themeFillTint="33"/>
          </w:tcPr>
          <w:p w14:paraId="706C84B4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Bleeding events (major bleeding and clinically relevant non major bleeding)</w:t>
            </w:r>
          </w:p>
        </w:tc>
        <w:tc>
          <w:tcPr>
            <w:tcW w:w="1418" w:type="dxa"/>
          </w:tcPr>
          <w:p w14:paraId="0E2BD0E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1F9C36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25CAE51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73C3A1E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3327397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02D47190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</w:tr>
      <w:tr w:rsidR="00626C23" w:rsidRPr="001F43CD" w14:paraId="6533C531" w14:textId="77777777" w:rsidTr="001F43CD">
        <w:trPr>
          <w:trHeight w:val="233"/>
        </w:trPr>
        <w:tc>
          <w:tcPr>
            <w:tcW w:w="5240" w:type="dxa"/>
            <w:shd w:val="clear" w:color="auto" w:fill="E2EFD9" w:themeFill="accent6" w:themeFillTint="33"/>
          </w:tcPr>
          <w:p w14:paraId="6968DD53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NHS usage for VTE related events/bleeding events</w:t>
            </w:r>
          </w:p>
        </w:tc>
        <w:tc>
          <w:tcPr>
            <w:tcW w:w="1418" w:type="dxa"/>
          </w:tcPr>
          <w:p w14:paraId="76FFBB7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BC7261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320DD96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85A77CC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21B2A11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5CDB5409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</w:tr>
      <w:tr w:rsidR="00626C23" w:rsidRPr="001F43CD" w14:paraId="039222D0" w14:textId="77777777" w:rsidTr="001F43CD">
        <w:trPr>
          <w:trHeight w:val="469"/>
        </w:trPr>
        <w:tc>
          <w:tcPr>
            <w:tcW w:w="5240" w:type="dxa"/>
            <w:shd w:val="clear" w:color="auto" w:fill="E2EFD9" w:themeFill="accent6" w:themeFillTint="33"/>
          </w:tcPr>
          <w:p w14:paraId="0E20E689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SAE check</w:t>
            </w:r>
          </w:p>
        </w:tc>
        <w:tc>
          <w:tcPr>
            <w:tcW w:w="1418" w:type="dxa"/>
          </w:tcPr>
          <w:p w14:paraId="1F38C14E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5F5C9544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7DD739E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</w:tcPr>
          <w:p w14:paraId="44D62C56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676FC72A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463893FD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626C23" w:rsidRPr="001F43CD" w14:paraId="0A9ED0D0" w14:textId="77777777" w:rsidTr="001F43CD">
        <w:trPr>
          <w:trHeight w:val="469"/>
        </w:trPr>
        <w:tc>
          <w:tcPr>
            <w:tcW w:w="5240" w:type="dxa"/>
            <w:shd w:val="clear" w:color="auto" w:fill="E2EFD9" w:themeFill="accent6" w:themeFillTint="33"/>
          </w:tcPr>
          <w:p w14:paraId="184E2722" w14:textId="77777777" w:rsidR="00626C23" w:rsidRPr="001F43CD" w:rsidRDefault="00626C23" w:rsidP="001F43CD">
            <w:pPr>
              <w:spacing w:after="0" w:line="240" w:lineRule="auto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Survival check</w:t>
            </w:r>
          </w:p>
        </w:tc>
        <w:tc>
          <w:tcPr>
            <w:tcW w:w="1418" w:type="dxa"/>
          </w:tcPr>
          <w:p w14:paraId="09400538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14DBDB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14:paraId="53434855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59" w:type="dxa"/>
          </w:tcPr>
          <w:p w14:paraId="573AD4B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560" w:type="dxa"/>
          </w:tcPr>
          <w:p w14:paraId="0700847F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  <w:tc>
          <w:tcPr>
            <w:tcW w:w="1275" w:type="dxa"/>
          </w:tcPr>
          <w:p w14:paraId="39E7BF33" w14:textId="77777777" w:rsidR="00626C23" w:rsidRPr="001F43CD" w:rsidRDefault="00626C23" w:rsidP="001F43CD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 w:rsidRPr="001F43CD">
              <w:rPr>
                <w:rFonts w:cs="Arial"/>
                <w:sz w:val="20"/>
              </w:rPr>
              <w:t>X</w:t>
            </w:r>
          </w:p>
        </w:tc>
      </w:tr>
    </w:tbl>
    <w:p w14:paraId="0FCCBF70" w14:textId="3CD8E203" w:rsidR="00FD6338" w:rsidRDefault="00FD6338">
      <w:pPr>
        <w:rPr>
          <w:b/>
          <w:u w:val="single"/>
        </w:rPr>
      </w:pPr>
    </w:p>
    <w:p w14:paraId="67635B03" w14:textId="77777777" w:rsidR="00FD6338" w:rsidRPr="00FD6338" w:rsidRDefault="00FD6338">
      <w:pPr>
        <w:rPr>
          <w:b/>
          <w:u w:val="single"/>
        </w:rPr>
      </w:pPr>
    </w:p>
    <w:sectPr w:rsidR="00FD6338" w:rsidRPr="00FD6338" w:rsidSect="00626C2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2BA9" w14:textId="77777777" w:rsidR="008F6707" w:rsidRDefault="008F6707" w:rsidP="008F6707">
      <w:pPr>
        <w:spacing w:before="0" w:after="0" w:line="240" w:lineRule="auto"/>
      </w:pPr>
      <w:r>
        <w:separator/>
      </w:r>
    </w:p>
  </w:endnote>
  <w:endnote w:type="continuationSeparator" w:id="0">
    <w:p w14:paraId="2B5D6026" w14:textId="77777777" w:rsidR="008F6707" w:rsidRDefault="008F6707" w:rsidP="008F67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62438" w14:textId="0D2C274A" w:rsidR="003F10CE" w:rsidRDefault="003F10CE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3F10CE" w14:paraId="729138A5" w14:textId="77777777" w:rsidTr="003F10CE">
      <w:tc>
        <w:tcPr>
          <w:tcW w:w="9016" w:type="dxa"/>
          <w:shd w:val="clear" w:color="auto" w:fill="auto"/>
        </w:tcPr>
        <w:sdt>
          <w:sdtPr>
            <w:rPr>
              <w:sz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14:paraId="71EC0910" w14:textId="6B3C20C1" w:rsidR="003F10CE" w:rsidRPr="003F10CE" w:rsidRDefault="003F10CE" w:rsidP="003F10CE">
              <w:pPr>
                <w:pStyle w:val="Footer"/>
                <w:jc w:val="center"/>
                <w:rPr>
                  <w:sz w:val="18"/>
                </w:rPr>
              </w:pPr>
              <w:r w:rsidRPr="003F10CE">
                <w:rPr>
                  <w:sz w:val="18"/>
                </w:rPr>
                <w:t xml:space="preserve">Page </w: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begin"/>
              </w:r>
              <w:r w:rsidRPr="003F10CE">
                <w:rPr>
                  <w:b/>
                  <w:bCs/>
                  <w:sz w:val="18"/>
                </w:rPr>
                <w:instrText xml:space="preserve"> PAGE </w:instrTex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separate"/>
              </w:r>
              <w:r w:rsidR="00685EA1">
                <w:rPr>
                  <w:b/>
                  <w:bCs/>
                  <w:noProof/>
                  <w:sz w:val="18"/>
                </w:rPr>
                <w:t>5</w: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end"/>
              </w:r>
              <w:r w:rsidRPr="003F10CE">
                <w:rPr>
                  <w:sz w:val="18"/>
                </w:rPr>
                <w:t xml:space="preserve"> of </w: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begin"/>
              </w:r>
              <w:r w:rsidRPr="003F10CE">
                <w:rPr>
                  <w:b/>
                  <w:bCs/>
                  <w:sz w:val="18"/>
                </w:rPr>
                <w:instrText xml:space="preserve"> NUMPAGES  </w:instrTex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separate"/>
              </w:r>
              <w:r w:rsidR="00685EA1">
                <w:rPr>
                  <w:b/>
                  <w:bCs/>
                  <w:noProof/>
                  <w:sz w:val="18"/>
                </w:rPr>
                <w:t>6</w:t>
              </w:r>
              <w:r w:rsidRPr="003F10CE">
                <w:rPr>
                  <w:b/>
                  <w:bCs/>
                  <w:sz w:val="18"/>
                  <w:szCs w:val="24"/>
                </w:rPr>
                <w:fldChar w:fldCharType="end"/>
              </w:r>
            </w:p>
          </w:sdtContent>
        </w:sdt>
        <w:p w14:paraId="60F6AE7F" w14:textId="77777777" w:rsidR="003F10CE" w:rsidRPr="003F10CE" w:rsidRDefault="003F10CE" w:rsidP="008F6707">
          <w:pPr>
            <w:pStyle w:val="Footer"/>
            <w:jc w:val="right"/>
            <w:rPr>
              <w:sz w:val="18"/>
            </w:rPr>
          </w:pPr>
        </w:p>
      </w:tc>
    </w:tr>
    <w:tr w:rsidR="003F10CE" w14:paraId="7F9E16C7" w14:textId="77777777" w:rsidTr="003F10CE">
      <w:tc>
        <w:tcPr>
          <w:tcW w:w="9016" w:type="dxa"/>
          <w:shd w:val="clear" w:color="auto" w:fill="auto"/>
        </w:tcPr>
        <w:p w14:paraId="4836F692" w14:textId="09A23331" w:rsidR="003F10CE" w:rsidRPr="003F10CE" w:rsidRDefault="003F10CE" w:rsidP="003F5662">
          <w:pPr>
            <w:pStyle w:val="Footer"/>
            <w:jc w:val="right"/>
            <w:rPr>
              <w:sz w:val="18"/>
            </w:rPr>
          </w:pPr>
          <w:r w:rsidRPr="003F10CE">
            <w:rPr>
              <w:sz w:val="18"/>
            </w:rPr>
            <w:t>STOP</w:t>
          </w:r>
          <w:r w:rsidR="008F1E65">
            <w:rPr>
              <w:sz w:val="18"/>
            </w:rPr>
            <w:t>-APE Trial Summary v</w:t>
          </w:r>
          <w:r w:rsidR="003F5662">
            <w:rPr>
              <w:sz w:val="18"/>
            </w:rPr>
            <w:t>4</w:t>
          </w:r>
          <w:r w:rsidRPr="003F10CE">
            <w:rPr>
              <w:sz w:val="18"/>
            </w:rPr>
            <w:t xml:space="preserve">.0, </w:t>
          </w:r>
          <w:r w:rsidR="003F5662">
            <w:rPr>
              <w:sz w:val="18"/>
            </w:rPr>
            <w:t>2</w:t>
          </w:r>
          <w:r w:rsidR="008F1E65">
            <w:rPr>
              <w:sz w:val="18"/>
            </w:rPr>
            <w:t>0-Jul</w:t>
          </w:r>
          <w:r w:rsidR="00102E24">
            <w:rPr>
              <w:sz w:val="18"/>
            </w:rPr>
            <w:t>-2020</w:t>
          </w:r>
        </w:p>
      </w:tc>
    </w:tr>
  </w:tbl>
  <w:p w14:paraId="066E10A3" w14:textId="1E928DC9" w:rsidR="008F6707" w:rsidRDefault="008F6707" w:rsidP="008F670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B1FCE" w14:textId="77777777" w:rsidR="008F6707" w:rsidRDefault="008F6707" w:rsidP="008F6707">
      <w:pPr>
        <w:spacing w:before="0" w:after="0" w:line="240" w:lineRule="auto"/>
      </w:pPr>
      <w:r>
        <w:separator/>
      </w:r>
    </w:p>
  </w:footnote>
  <w:footnote w:type="continuationSeparator" w:id="0">
    <w:p w14:paraId="33BABD48" w14:textId="77777777" w:rsidR="008F6707" w:rsidRDefault="008F6707" w:rsidP="008F67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BBD"/>
    <w:multiLevelType w:val="hybridMultilevel"/>
    <w:tmpl w:val="9DF4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AD2"/>
    <w:multiLevelType w:val="hybridMultilevel"/>
    <w:tmpl w:val="A538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2FB5"/>
    <w:multiLevelType w:val="hybridMultilevel"/>
    <w:tmpl w:val="DCDE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C7BD4"/>
    <w:multiLevelType w:val="hybridMultilevel"/>
    <w:tmpl w:val="A4B662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8D69F7"/>
    <w:multiLevelType w:val="hybridMultilevel"/>
    <w:tmpl w:val="A7AC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331B7"/>
    <w:multiLevelType w:val="multilevel"/>
    <w:tmpl w:val="5D9C91AA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60"/>
        </w:tabs>
        <w:ind w:left="1560" w:hanging="85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30"/>
        </w:tabs>
        <w:ind w:left="1030" w:hanging="85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69A76B9"/>
    <w:multiLevelType w:val="hybridMultilevel"/>
    <w:tmpl w:val="72D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92174"/>
    <w:multiLevelType w:val="hybridMultilevel"/>
    <w:tmpl w:val="0870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1"/>
    <w:rsid w:val="00017B01"/>
    <w:rsid w:val="000246D6"/>
    <w:rsid w:val="00035F19"/>
    <w:rsid w:val="00102E24"/>
    <w:rsid w:val="00150E5C"/>
    <w:rsid w:val="00172851"/>
    <w:rsid w:val="001F43CD"/>
    <w:rsid w:val="002364F9"/>
    <w:rsid w:val="002B63D4"/>
    <w:rsid w:val="003717AE"/>
    <w:rsid w:val="00386390"/>
    <w:rsid w:val="003D5E70"/>
    <w:rsid w:val="003E5621"/>
    <w:rsid w:val="003F10CE"/>
    <w:rsid w:val="003F5662"/>
    <w:rsid w:val="0046301A"/>
    <w:rsid w:val="0049737A"/>
    <w:rsid w:val="004E0E2F"/>
    <w:rsid w:val="005038BD"/>
    <w:rsid w:val="00574646"/>
    <w:rsid w:val="005C3852"/>
    <w:rsid w:val="0061797B"/>
    <w:rsid w:val="00626C23"/>
    <w:rsid w:val="00672FEF"/>
    <w:rsid w:val="00685EA1"/>
    <w:rsid w:val="00692EC8"/>
    <w:rsid w:val="006D35BE"/>
    <w:rsid w:val="006F67A1"/>
    <w:rsid w:val="00750A0D"/>
    <w:rsid w:val="007844EE"/>
    <w:rsid w:val="007C238F"/>
    <w:rsid w:val="007E0A53"/>
    <w:rsid w:val="008E12EB"/>
    <w:rsid w:val="008F1E65"/>
    <w:rsid w:val="008F6707"/>
    <w:rsid w:val="00974CB0"/>
    <w:rsid w:val="009839D2"/>
    <w:rsid w:val="00AD4257"/>
    <w:rsid w:val="00B604AC"/>
    <w:rsid w:val="00B910C9"/>
    <w:rsid w:val="00C256BA"/>
    <w:rsid w:val="00C6085A"/>
    <w:rsid w:val="00C9328F"/>
    <w:rsid w:val="00CA5B58"/>
    <w:rsid w:val="00CF5379"/>
    <w:rsid w:val="00E4293D"/>
    <w:rsid w:val="00E8695E"/>
    <w:rsid w:val="00E97D6C"/>
    <w:rsid w:val="00EB4F6A"/>
    <w:rsid w:val="00EC7515"/>
    <w:rsid w:val="00F56C37"/>
    <w:rsid w:val="00FA2C70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60B7"/>
  <w15:chartTrackingRefBased/>
  <w15:docId w15:val="{7DFA4BCB-8A37-4407-B627-F63515E5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51"/>
    <w:pPr>
      <w:spacing w:before="120" w:after="240" w:line="36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2851"/>
    <w:pPr>
      <w:keepNext/>
      <w:keepLines/>
      <w:numPr>
        <w:numId w:val="1"/>
      </w:numPr>
      <w:spacing w:before="360"/>
      <w:ind w:left="0" w:firstLine="0"/>
      <w:outlineLvl w:val="0"/>
    </w:pPr>
    <w:rPr>
      <w:rFonts w:eastAsia="Calibri"/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72851"/>
    <w:pPr>
      <w:numPr>
        <w:ilvl w:val="1"/>
      </w:numPr>
      <w:tabs>
        <w:tab w:val="clear" w:pos="1560"/>
        <w:tab w:val="num" w:pos="0"/>
      </w:tabs>
      <w:spacing w:before="0" w:after="120"/>
      <w:ind w:left="0" w:firstLine="0"/>
      <w:outlineLvl w:val="1"/>
    </w:pPr>
    <w:rPr>
      <w:rFonts w:cs="Arial"/>
      <w:sz w:val="22"/>
      <w:szCs w:val="22"/>
      <w:lang w:eastAsia="en-GB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72851"/>
    <w:pPr>
      <w:numPr>
        <w:ilvl w:val="2"/>
      </w:numPr>
      <w:tabs>
        <w:tab w:val="num" w:pos="0"/>
      </w:tabs>
      <w:ind w:left="0" w:firstLine="0"/>
      <w:outlineLvl w:val="2"/>
    </w:pPr>
    <w:rPr>
      <w:i/>
      <w:sz w:val="22"/>
      <w:lang w:eastAsia="en-GB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172851"/>
    <w:pPr>
      <w:numPr>
        <w:ilvl w:val="3"/>
      </w:numPr>
      <w:spacing w:before="120" w:line="360" w:lineRule="exact"/>
      <w:outlineLvl w:val="3"/>
    </w:pPr>
    <w:rPr>
      <w:rFonts w:ascii="Times New Roman" w:hAnsi="Times New Roman"/>
      <w:i/>
      <w:sz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2851"/>
    <w:pPr>
      <w:numPr>
        <w:ilvl w:val="4"/>
        <w:numId w:val="1"/>
      </w:numPr>
      <w:spacing w:before="240" w:after="60"/>
      <w:jc w:val="center"/>
      <w:outlineLvl w:val="4"/>
    </w:pPr>
    <w:rPr>
      <w:rFonts w:eastAsia="Calibri"/>
      <w:b/>
      <w:sz w:val="20"/>
      <w:lang w:eastAsia="en-GB"/>
    </w:rPr>
  </w:style>
  <w:style w:type="paragraph" w:styleId="Heading6">
    <w:name w:val="heading 6"/>
    <w:basedOn w:val="Heading1"/>
    <w:next w:val="Normal"/>
    <w:link w:val="Heading6Char"/>
    <w:uiPriority w:val="99"/>
    <w:qFormat/>
    <w:rsid w:val="00172851"/>
    <w:pPr>
      <w:numPr>
        <w:ilvl w:val="5"/>
      </w:numPr>
      <w:spacing w:before="720"/>
      <w:outlineLvl w:val="5"/>
    </w:pPr>
    <w:rPr>
      <w:spacing w:val="10"/>
      <w:sz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2851"/>
    <w:pPr>
      <w:numPr>
        <w:ilvl w:val="6"/>
        <w:numId w:val="1"/>
      </w:numPr>
      <w:spacing w:before="240" w:after="60"/>
      <w:outlineLvl w:val="6"/>
    </w:pPr>
    <w:rPr>
      <w:rFonts w:eastAsia="Calibri"/>
      <w:sz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2851"/>
    <w:pPr>
      <w:numPr>
        <w:ilvl w:val="7"/>
        <w:numId w:val="1"/>
      </w:numPr>
      <w:spacing w:before="240" w:after="60"/>
      <w:outlineLvl w:val="7"/>
    </w:pPr>
    <w:rPr>
      <w:rFonts w:eastAsia="Calibri"/>
      <w:i/>
      <w:sz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2851"/>
    <w:pPr>
      <w:numPr>
        <w:ilvl w:val="8"/>
        <w:numId w:val="1"/>
      </w:numPr>
      <w:jc w:val="center"/>
      <w:outlineLvl w:val="8"/>
    </w:pPr>
    <w:rPr>
      <w:rFonts w:eastAsia="Calibri"/>
      <w:b/>
      <w:caps/>
      <w:spacing w:val="3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72851"/>
    <w:rPr>
      <w:rFonts w:ascii="Arial" w:eastAsia="Calibri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172851"/>
    <w:rPr>
      <w:rFonts w:ascii="Arial" w:eastAsia="Calibri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172851"/>
    <w:rPr>
      <w:rFonts w:ascii="Arial" w:eastAsia="Calibri" w:hAnsi="Arial" w:cs="Times New Roman"/>
      <w:b/>
      <w:i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172851"/>
    <w:rPr>
      <w:rFonts w:ascii="Times New Roman" w:eastAsia="Calibri" w:hAnsi="Times New Roman" w:cs="Times New Roman"/>
      <w:b/>
      <w:i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172851"/>
    <w:rPr>
      <w:rFonts w:ascii="Arial" w:eastAsia="Calibri" w:hAnsi="Arial" w:cs="Times New Roman"/>
      <w:b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172851"/>
    <w:rPr>
      <w:rFonts w:ascii="Arial" w:eastAsia="Calibri" w:hAnsi="Arial" w:cs="Times New Roman"/>
      <w:b/>
      <w:spacing w:val="10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172851"/>
    <w:rPr>
      <w:rFonts w:ascii="Arial" w:eastAsia="Calibri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172851"/>
    <w:rPr>
      <w:rFonts w:ascii="Arial" w:eastAsia="Calibri" w:hAnsi="Arial" w:cs="Times New Roman"/>
      <w:i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172851"/>
    <w:rPr>
      <w:rFonts w:ascii="Arial" w:eastAsia="Calibri" w:hAnsi="Arial" w:cs="Times New Roman"/>
      <w:b/>
      <w:caps/>
      <w:spacing w:val="30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rsid w:val="00172851"/>
    <w:rPr>
      <w:rFonts w:eastAsia="Calibr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851"/>
    <w:rPr>
      <w:rFonts w:ascii="Arial" w:eastAsia="Calibri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7285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C38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852"/>
    <w:pPr>
      <w:spacing w:line="240" w:lineRule="auto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852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52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52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670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07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F670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07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FD633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Watkins (Birmingham Clinical Trials Unit)</dc:creator>
  <cp:keywords/>
  <dc:description/>
  <cp:lastModifiedBy>Pooja Gaddu (Birmingham Clinical Trials Unit)</cp:lastModifiedBy>
  <cp:revision>3</cp:revision>
  <dcterms:created xsi:type="dcterms:W3CDTF">2020-07-20T13:40:00Z</dcterms:created>
  <dcterms:modified xsi:type="dcterms:W3CDTF">2020-07-31T12:59:00Z</dcterms:modified>
</cp:coreProperties>
</file>