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37" w:rsidRDefault="00731337" w:rsidP="00731337">
      <w:pPr>
        <w:pStyle w:val="Heading2"/>
      </w:pPr>
      <w:bookmarkStart w:id="0" w:name="_Toc228069371"/>
      <w:bookmarkStart w:id="1" w:name="_Toc228069520"/>
      <w:bookmarkStart w:id="2" w:name="_Toc228070359"/>
      <w:bookmarkStart w:id="3" w:name="_Toc228078744"/>
      <w:bookmarkStart w:id="4" w:name="_Toc241908525"/>
      <w:bookmarkStart w:id="5" w:name="_Toc241908648"/>
      <w:bookmarkStart w:id="6" w:name="_Toc242096366"/>
      <w:bookmarkStart w:id="7" w:name="_Toc242097225"/>
      <w:bookmarkStart w:id="8" w:name="_Toc243898797"/>
      <w:bookmarkStart w:id="9" w:name="_Toc243899626"/>
      <w:bookmarkStart w:id="10" w:name="_Toc253057992"/>
      <w:bookmarkStart w:id="11" w:name="_Toc253058129"/>
      <w:bookmarkStart w:id="12" w:name="_Toc254769720"/>
      <w:bookmarkStart w:id="13" w:name="_Toc254776527"/>
      <w:bookmarkStart w:id="14" w:name="_Toc266711164"/>
      <w:bookmarkStart w:id="15" w:name="_Toc284787354"/>
      <w:bookmarkStart w:id="16" w:name="_Toc375146174"/>
      <w:bookmarkStart w:id="17" w:name="_GoBack"/>
      <w:bookmarkEnd w:id="17"/>
      <w:r>
        <w:t>Title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ab/>
      </w:r>
    </w:p>
    <w:p w:rsidR="00AC1D60" w:rsidRPr="001E50B1" w:rsidRDefault="00AC1D60" w:rsidP="001E50B1">
      <w:pPr>
        <w:pStyle w:val="Instructions"/>
        <w:spacing w:before="0"/>
        <w:rPr>
          <w:i w:val="0"/>
          <w:color w:val="auto"/>
        </w:rPr>
      </w:pPr>
      <w:r w:rsidRPr="001E50B1">
        <w:rPr>
          <w:i w:val="0"/>
          <w:color w:val="auto"/>
        </w:rPr>
        <w:t>An international randomised controlled trial of chemotherapy for the treatment of recurrent and primary refractory Ewing sarcoma.</w:t>
      </w:r>
    </w:p>
    <w:p w:rsidR="00731337" w:rsidRDefault="00731337" w:rsidP="00731337">
      <w:pPr>
        <w:pStyle w:val="Heading2"/>
      </w:pPr>
      <w:bookmarkStart w:id="18" w:name="_Toc375146175"/>
      <w:r>
        <w:t>Acronym</w:t>
      </w:r>
      <w:bookmarkEnd w:id="18"/>
      <w:r>
        <w:tab/>
      </w:r>
    </w:p>
    <w:p w:rsidR="00731337" w:rsidRPr="00E93C38" w:rsidRDefault="00731337" w:rsidP="00731337">
      <w:r>
        <w:t>rEECur</w:t>
      </w:r>
    </w:p>
    <w:p w:rsidR="00731337" w:rsidRDefault="00731337" w:rsidP="00731337">
      <w:pPr>
        <w:pStyle w:val="Heading2"/>
      </w:pPr>
      <w:bookmarkStart w:id="19" w:name="_Toc228069372"/>
      <w:bookmarkStart w:id="20" w:name="_Toc228069521"/>
      <w:bookmarkStart w:id="21" w:name="_Toc228070360"/>
      <w:bookmarkStart w:id="22" w:name="_Toc228078745"/>
      <w:bookmarkStart w:id="23" w:name="_Toc241908526"/>
      <w:bookmarkStart w:id="24" w:name="_Toc241908649"/>
      <w:bookmarkStart w:id="25" w:name="_Toc242096367"/>
      <w:bookmarkStart w:id="26" w:name="_Toc242097226"/>
      <w:bookmarkStart w:id="27" w:name="_Toc243898798"/>
      <w:bookmarkStart w:id="28" w:name="_Toc243899627"/>
      <w:bookmarkStart w:id="29" w:name="_Toc253057993"/>
      <w:bookmarkStart w:id="30" w:name="_Toc253058130"/>
      <w:bookmarkStart w:id="31" w:name="_Toc254769721"/>
      <w:bookmarkStart w:id="32" w:name="_Toc254776528"/>
      <w:bookmarkStart w:id="33" w:name="_Toc266711165"/>
      <w:bookmarkStart w:id="34" w:name="_Toc284787355"/>
      <w:bookmarkStart w:id="35" w:name="_Toc375146176"/>
      <w:r>
        <w:t>Trial Design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AC1D60" w:rsidRPr="003164BD" w:rsidRDefault="00AC1D60" w:rsidP="00AC1D60">
      <w:pPr>
        <w:pStyle w:val="Instructions"/>
        <w:spacing w:before="0"/>
        <w:rPr>
          <w:color w:val="auto"/>
        </w:rPr>
      </w:pPr>
      <w:r>
        <w:rPr>
          <w:i w:val="0"/>
          <w:color w:val="auto"/>
        </w:rPr>
        <w:t>A</w:t>
      </w:r>
      <w:r w:rsidRPr="003164BD">
        <w:rPr>
          <w:i w:val="0"/>
          <w:color w:val="auto"/>
        </w:rPr>
        <w:t xml:space="preserve"> </w:t>
      </w:r>
      <w:r>
        <w:rPr>
          <w:i w:val="0"/>
          <w:color w:val="auto"/>
        </w:rPr>
        <w:t xml:space="preserve">seamless Multi-Arm, Multi-Stage (MAMS) randomised </w:t>
      </w:r>
      <w:r w:rsidRPr="003164BD">
        <w:rPr>
          <w:i w:val="0"/>
          <w:color w:val="auto"/>
        </w:rPr>
        <w:t xml:space="preserve">phase </w:t>
      </w:r>
      <w:r>
        <w:rPr>
          <w:i w:val="0"/>
          <w:color w:val="auto"/>
        </w:rPr>
        <w:t xml:space="preserve">II/phase </w:t>
      </w:r>
      <w:r w:rsidRPr="003164BD">
        <w:rPr>
          <w:i w:val="0"/>
          <w:color w:val="auto"/>
        </w:rPr>
        <w:t xml:space="preserve">III, </w:t>
      </w:r>
      <w:r>
        <w:rPr>
          <w:i w:val="0"/>
          <w:color w:val="auto"/>
        </w:rPr>
        <w:t>open-label, International tr</w:t>
      </w:r>
      <w:r w:rsidRPr="003164BD">
        <w:rPr>
          <w:i w:val="0"/>
          <w:color w:val="auto"/>
        </w:rPr>
        <w:t>ial</w:t>
      </w:r>
    </w:p>
    <w:p w:rsidR="00731337" w:rsidRDefault="00731337" w:rsidP="00731337">
      <w:pPr>
        <w:pStyle w:val="Heading2"/>
      </w:pPr>
      <w:bookmarkStart w:id="36" w:name="_Toc228069373"/>
      <w:bookmarkStart w:id="37" w:name="_Toc228069522"/>
      <w:bookmarkStart w:id="38" w:name="_Toc228070361"/>
      <w:bookmarkStart w:id="39" w:name="_Toc228078746"/>
      <w:bookmarkStart w:id="40" w:name="_Toc241908527"/>
      <w:bookmarkStart w:id="41" w:name="_Toc241908650"/>
      <w:bookmarkStart w:id="42" w:name="_Toc242096368"/>
      <w:bookmarkStart w:id="43" w:name="_Toc242097227"/>
      <w:bookmarkStart w:id="44" w:name="_Toc243898799"/>
      <w:bookmarkStart w:id="45" w:name="_Toc243899628"/>
      <w:bookmarkStart w:id="46" w:name="_Toc253057994"/>
      <w:bookmarkStart w:id="47" w:name="_Toc253058131"/>
      <w:bookmarkStart w:id="48" w:name="_Toc254769722"/>
      <w:bookmarkStart w:id="49" w:name="_Toc254776529"/>
      <w:bookmarkStart w:id="50" w:name="_Toc266711166"/>
      <w:bookmarkStart w:id="51" w:name="_Toc375146177"/>
      <w:bookmarkStart w:id="52" w:name="_Toc284787356"/>
      <w:r>
        <w:t>Objectives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 xml:space="preserve"> </w:t>
      </w:r>
      <w:bookmarkEnd w:id="52"/>
    </w:p>
    <w:p w:rsidR="00AC1D60" w:rsidRPr="001E50B1" w:rsidRDefault="00AC1D60" w:rsidP="001E50B1">
      <w:pPr>
        <w:pStyle w:val="Instructions"/>
        <w:spacing w:before="0"/>
        <w:rPr>
          <w:i w:val="0"/>
          <w:color w:val="auto"/>
        </w:rPr>
      </w:pPr>
      <w:r w:rsidRPr="001E50B1">
        <w:rPr>
          <w:i w:val="0"/>
          <w:color w:val="auto"/>
        </w:rPr>
        <w:t xml:space="preserve">The objective of rEECur is to identify the optimum systemic anticancer regimen for recurrent and refractory Ewing sarcoma based on the balance between efficacy and toxicity. </w:t>
      </w:r>
    </w:p>
    <w:p w:rsidR="00AC1D60" w:rsidRDefault="00731337" w:rsidP="001E50B1">
      <w:pPr>
        <w:pStyle w:val="Heading2"/>
      </w:pPr>
      <w:bookmarkStart w:id="53" w:name="_Toc228069374"/>
      <w:bookmarkStart w:id="54" w:name="_Toc228069523"/>
      <w:bookmarkStart w:id="55" w:name="_Toc228070362"/>
      <w:bookmarkStart w:id="56" w:name="_Toc228078747"/>
      <w:bookmarkStart w:id="57" w:name="_Toc241908528"/>
      <w:bookmarkStart w:id="58" w:name="_Toc241908651"/>
      <w:bookmarkStart w:id="59" w:name="_Toc242096369"/>
      <w:bookmarkStart w:id="60" w:name="_Toc242097228"/>
      <w:bookmarkStart w:id="61" w:name="_Toc243898800"/>
      <w:bookmarkStart w:id="62" w:name="_Toc243899629"/>
      <w:bookmarkStart w:id="63" w:name="_Toc253057995"/>
      <w:bookmarkStart w:id="64" w:name="_Toc253058132"/>
      <w:bookmarkStart w:id="65" w:name="_Toc254769723"/>
      <w:bookmarkStart w:id="66" w:name="_Toc254776530"/>
      <w:bookmarkStart w:id="67" w:name="_Toc266711167"/>
      <w:bookmarkStart w:id="68" w:name="_Toc284787357"/>
      <w:bookmarkStart w:id="69" w:name="_Toc375146178"/>
      <w:r>
        <w:t>Outcome Measures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731337" w:rsidRDefault="00731337" w:rsidP="001E50B1">
      <w:pPr>
        <w:spacing w:line="360" w:lineRule="auto"/>
        <w:rPr>
          <w:b/>
        </w:rPr>
      </w:pPr>
      <w:r w:rsidRPr="004D47A3">
        <w:rPr>
          <w:b/>
        </w:rPr>
        <w:t>Primary outcome measures</w:t>
      </w:r>
    </w:p>
    <w:p w:rsidR="00AC1D60" w:rsidRDefault="00AC1D60" w:rsidP="00AC1D60">
      <w:pPr>
        <w:rPr>
          <w:rFonts w:cs="Arial"/>
          <w:lang w:eastAsia="en-GB"/>
        </w:rPr>
      </w:pPr>
      <w:r>
        <w:rPr>
          <w:rFonts w:cs="Arial"/>
          <w:lang w:eastAsia="en-GB"/>
        </w:rPr>
        <w:t>Phase II: For the initial four-way and three-way randomisation,</w:t>
      </w:r>
      <w:r w:rsidRPr="00285644">
        <w:rPr>
          <w:rFonts w:cs="Arial"/>
          <w:lang w:eastAsia="en-GB"/>
        </w:rPr>
        <w:t xml:space="preserve"> </w:t>
      </w:r>
      <w:r>
        <w:rPr>
          <w:rFonts w:cs="Arial"/>
          <w:lang w:eastAsia="en-GB"/>
        </w:rPr>
        <w:t>imaging response</w:t>
      </w:r>
      <w:r w:rsidRPr="005860EA">
        <w:rPr>
          <w:rFonts w:cs="Arial"/>
          <w:lang w:eastAsia="en-GB"/>
        </w:rPr>
        <w:t xml:space="preserve"> </w:t>
      </w:r>
      <w:r>
        <w:rPr>
          <w:rFonts w:cs="Arial"/>
          <w:lang w:eastAsia="en-GB"/>
        </w:rPr>
        <w:t>by CT or MRI after 4 cycles of</w:t>
      </w:r>
      <w:r w:rsidRPr="005860EA">
        <w:rPr>
          <w:rFonts w:cs="Arial"/>
          <w:lang w:eastAsia="en-GB"/>
        </w:rPr>
        <w:t xml:space="preserve"> trial treatment</w:t>
      </w:r>
      <w:r>
        <w:t xml:space="preserve"> was the primary outcome measure (see below for the definition)</w:t>
      </w:r>
      <w:r w:rsidRPr="005860EA">
        <w:rPr>
          <w:rFonts w:cs="Arial"/>
          <w:lang w:eastAsia="en-GB"/>
        </w:rPr>
        <w:t>.</w:t>
      </w:r>
    </w:p>
    <w:p w:rsidR="00AC1D60" w:rsidRPr="004E22A6" w:rsidRDefault="00AC1D60" w:rsidP="00AC1D60">
      <w:pPr>
        <w:rPr>
          <w:rFonts w:cs="Arial"/>
          <w:lang w:eastAsia="en-GB"/>
        </w:rPr>
      </w:pPr>
      <w:r>
        <w:rPr>
          <w:rFonts w:cs="Arial"/>
          <w:lang w:eastAsia="en-GB"/>
        </w:rPr>
        <w:t>From protocol version 6</w:t>
      </w:r>
      <w:r w:rsidRPr="005860EA">
        <w:rPr>
          <w:rFonts w:cs="Arial"/>
          <w:lang w:eastAsia="en-GB"/>
        </w:rPr>
        <w:t xml:space="preserve">: </w:t>
      </w:r>
      <w:r>
        <w:rPr>
          <w:rFonts w:cs="Arial"/>
          <w:lang w:eastAsia="en-GB"/>
        </w:rPr>
        <w:t xml:space="preserve"> E</w:t>
      </w:r>
      <w:r w:rsidRPr="005860EA">
        <w:rPr>
          <w:rFonts w:cs="Arial"/>
          <w:lang w:eastAsia="en-GB"/>
        </w:rPr>
        <w:t xml:space="preserve">FS is </w:t>
      </w:r>
      <w:r>
        <w:rPr>
          <w:rFonts w:cs="Arial"/>
          <w:lang w:eastAsia="en-GB"/>
        </w:rPr>
        <w:t xml:space="preserve">the primary outcome measure and is </w:t>
      </w:r>
      <w:r w:rsidRPr="005860EA">
        <w:rPr>
          <w:rFonts w:cs="Arial"/>
          <w:lang w:eastAsia="en-GB"/>
        </w:rPr>
        <w:t>defined as the time from randomisation until first event (progression, recurrence following response</w:t>
      </w:r>
      <w:r>
        <w:rPr>
          <w:rFonts w:cs="Arial"/>
          <w:lang w:eastAsia="en-GB"/>
        </w:rPr>
        <w:t>, s</w:t>
      </w:r>
      <w:r w:rsidRPr="005860EA">
        <w:rPr>
          <w:rFonts w:cs="Arial"/>
          <w:lang w:eastAsia="en-GB"/>
        </w:rPr>
        <w:t xml:space="preserve">econd malignancy or death without progression or recurrence). For those patients who do not experience </w:t>
      </w:r>
      <w:r>
        <w:rPr>
          <w:rFonts w:cs="Arial"/>
          <w:lang w:eastAsia="en-GB"/>
        </w:rPr>
        <w:t xml:space="preserve">an </w:t>
      </w:r>
      <w:r w:rsidRPr="005860EA">
        <w:rPr>
          <w:rFonts w:cs="Arial"/>
          <w:lang w:eastAsia="en-GB"/>
        </w:rPr>
        <w:t xml:space="preserve">event during the course of the trial, </w:t>
      </w:r>
      <w:r>
        <w:rPr>
          <w:rFonts w:cs="Arial"/>
          <w:lang w:eastAsia="en-GB"/>
        </w:rPr>
        <w:t>EFS</w:t>
      </w:r>
      <w:r w:rsidRPr="005860EA">
        <w:rPr>
          <w:rFonts w:cs="Arial"/>
          <w:lang w:eastAsia="en-GB"/>
        </w:rPr>
        <w:t xml:space="preserve"> times will be censored at the date of their last available trial assessment.</w:t>
      </w:r>
    </w:p>
    <w:p w:rsidR="00E71A78" w:rsidRDefault="00E71A78" w:rsidP="00731337"/>
    <w:p w:rsidR="00731337" w:rsidRDefault="00731337" w:rsidP="00731337">
      <w:pPr>
        <w:rPr>
          <w:b/>
        </w:rPr>
      </w:pPr>
      <w:r>
        <w:rPr>
          <w:b/>
        </w:rPr>
        <w:t>Secondary outcome measures</w:t>
      </w:r>
    </w:p>
    <w:p w:rsidR="00AC1D60" w:rsidRPr="00406257" w:rsidRDefault="00AC1D60" w:rsidP="00AC1D60">
      <w:pPr>
        <w:pStyle w:val="ListParagraph"/>
        <w:numPr>
          <w:ilvl w:val="0"/>
          <w:numId w:val="4"/>
        </w:numPr>
        <w:jc w:val="both"/>
        <w:rPr>
          <w:lang w:eastAsia="en-GB"/>
        </w:rPr>
      </w:pPr>
      <w:r w:rsidRPr="00406257">
        <w:rPr>
          <w:lang w:eastAsia="en-GB"/>
        </w:rPr>
        <w:t xml:space="preserve">Imaging response by CT or MRI after 2, 4 </w:t>
      </w:r>
      <w:r>
        <w:rPr>
          <w:lang w:eastAsia="en-GB"/>
        </w:rPr>
        <w:t xml:space="preserve">and </w:t>
      </w:r>
      <w:r w:rsidRPr="00406257">
        <w:rPr>
          <w:lang w:eastAsia="en-GB"/>
        </w:rPr>
        <w:t>6 cycles (not for the IFOS arm) of</w:t>
      </w:r>
      <w:r>
        <w:rPr>
          <w:lang w:eastAsia="en-GB"/>
        </w:rPr>
        <w:t xml:space="preserve"> trial </w:t>
      </w:r>
      <w:r w:rsidRPr="00406257">
        <w:rPr>
          <w:lang w:eastAsia="en-GB"/>
        </w:rPr>
        <w:t xml:space="preserve">treatment and at the end of trial treatment. </w:t>
      </w:r>
      <w:r w:rsidRPr="005860EA">
        <w:rPr>
          <w:lang w:eastAsia="en-GB"/>
        </w:rPr>
        <w:t>Response is measured using the RECIST 1.1 criteria (s</w:t>
      </w:r>
      <w:r>
        <w:rPr>
          <w:lang w:eastAsia="en-GB"/>
        </w:rPr>
        <w:t xml:space="preserve">ee </w:t>
      </w:r>
      <w:r w:rsidRPr="00696612">
        <w:rPr>
          <w:lang w:eastAsia="en-GB"/>
        </w:rPr>
        <w:t>Appendix 1).</w:t>
      </w:r>
      <w:r w:rsidRPr="005860EA">
        <w:rPr>
          <w:lang w:eastAsia="en-GB"/>
        </w:rPr>
        <w:t xml:space="preserve"> Patients who are not assessable for response – e.g. because of early stopping of treatment or death – will be assumed to be non-responders. </w:t>
      </w:r>
      <w:r>
        <w:rPr>
          <w:lang w:eastAsia="en-GB"/>
        </w:rPr>
        <w:t xml:space="preserve">Patients without measurable disease will not contribute to this endpoint.  CR or PR will constitute an OR. For comparisons involving the CE arm, EFS (as defined above) is the primary outcome measure. </w:t>
      </w:r>
    </w:p>
    <w:p w:rsidR="00AC1D60" w:rsidRDefault="00AC1D60" w:rsidP="00AC1D60">
      <w:pPr>
        <w:pStyle w:val="ListParagraph"/>
        <w:numPr>
          <w:ilvl w:val="0"/>
          <w:numId w:val="4"/>
        </w:numPr>
        <w:jc w:val="both"/>
        <w:rPr>
          <w:lang w:eastAsia="en-GB"/>
        </w:rPr>
      </w:pPr>
      <w:r>
        <w:rPr>
          <w:lang w:eastAsia="en-GB"/>
        </w:rPr>
        <w:t>P</w:t>
      </w:r>
      <w:r w:rsidRPr="005860EA">
        <w:rPr>
          <w:lang w:eastAsia="en-GB"/>
        </w:rPr>
        <w:t>FS is defined as the time from randomisation until first event (progression, recurrence following response</w:t>
      </w:r>
      <w:r>
        <w:rPr>
          <w:lang w:eastAsia="en-GB"/>
        </w:rPr>
        <w:t xml:space="preserve"> </w:t>
      </w:r>
      <w:r w:rsidRPr="005860EA">
        <w:rPr>
          <w:lang w:eastAsia="en-GB"/>
        </w:rPr>
        <w:t xml:space="preserve">or death without progression or recurrence). </w:t>
      </w:r>
      <w:r>
        <w:rPr>
          <w:lang w:eastAsia="en-GB"/>
        </w:rPr>
        <w:t xml:space="preserve">Second malignancy is not classified as an event for PFS. </w:t>
      </w:r>
      <w:r w:rsidRPr="005860EA">
        <w:rPr>
          <w:lang w:eastAsia="en-GB"/>
        </w:rPr>
        <w:t xml:space="preserve">For those patients who do not experience </w:t>
      </w:r>
      <w:r>
        <w:rPr>
          <w:lang w:eastAsia="en-GB"/>
        </w:rPr>
        <w:t xml:space="preserve">an </w:t>
      </w:r>
      <w:r w:rsidRPr="005860EA">
        <w:rPr>
          <w:lang w:eastAsia="en-GB"/>
        </w:rPr>
        <w:t xml:space="preserve">event during the course of the trial, </w:t>
      </w:r>
      <w:r>
        <w:rPr>
          <w:lang w:eastAsia="en-GB"/>
        </w:rPr>
        <w:t>PFS</w:t>
      </w:r>
      <w:r w:rsidRPr="005860EA">
        <w:rPr>
          <w:lang w:eastAsia="en-GB"/>
        </w:rPr>
        <w:t xml:space="preserve"> times will be censored at the date of their last available trial assessment.</w:t>
      </w:r>
    </w:p>
    <w:p w:rsidR="00AC1D60" w:rsidRPr="00784CDC" w:rsidRDefault="00AC1D60" w:rsidP="00AC1D60">
      <w:pPr>
        <w:pStyle w:val="ListParagraph"/>
        <w:numPr>
          <w:ilvl w:val="0"/>
          <w:numId w:val="4"/>
        </w:numPr>
        <w:jc w:val="both"/>
      </w:pPr>
      <w:r>
        <w:t xml:space="preserve">OS </w:t>
      </w:r>
      <w:r w:rsidRPr="00DA5409">
        <w:t xml:space="preserve">is defined as the time from randomisation to death, </w:t>
      </w:r>
      <w:r>
        <w:t>irrespective of the</w:t>
      </w:r>
      <w:r w:rsidRPr="00DA5409">
        <w:t xml:space="preserve"> cause. Surviving patients will be censored at their last follow-up date.</w:t>
      </w:r>
    </w:p>
    <w:p w:rsidR="00AC1D60" w:rsidRDefault="00AC1D60" w:rsidP="00AC1D60">
      <w:pPr>
        <w:pStyle w:val="ListParagraph"/>
        <w:numPr>
          <w:ilvl w:val="0"/>
          <w:numId w:val="4"/>
        </w:numPr>
        <w:jc w:val="both"/>
      </w:pPr>
      <w:r>
        <w:t>T</w:t>
      </w:r>
      <w:r w:rsidRPr="009E1E2F">
        <w:t>oxicity, defined by CTCAE v4.0</w:t>
      </w:r>
      <w:r>
        <w:t>.</w:t>
      </w:r>
    </w:p>
    <w:p w:rsidR="00AC1D60" w:rsidRDefault="00AC1D60" w:rsidP="00AC1D60">
      <w:pPr>
        <w:pStyle w:val="ListParagraph"/>
        <w:numPr>
          <w:ilvl w:val="0"/>
          <w:numId w:val="4"/>
        </w:numPr>
        <w:jc w:val="both"/>
      </w:pPr>
      <w:r w:rsidRPr="00AC1D60">
        <w:rPr>
          <w:rFonts w:cs="Arial"/>
          <w:lang w:eastAsia="en-GB"/>
        </w:rPr>
        <w:t>PET-CT response after cycle 4.</w:t>
      </w:r>
    </w:p>
    <w:p w:rsidR="00AC1D60" w:rsidRDefault="00AC1D60" w:rsidP="00AC1D60">
      <w:pPr>
        <w:pStyle w:val="ListParagraph"/>
        <w:numPr>
          <w:ilvl w:val="0"/>
          <w:numId w:val="4"/>
        </w:numPr>
        <w:autoSpaceDE w:val="0"/>
        <w:autoSpaceDN w:val="0"/>
        <w:adjustRightInd w:val="0"/>
        <w:jc w:val="both"/>
      </w:pPr>
      <w:r>
        <w:t>QoL will be assessed at baseline and after 2 and 4 cycles using age-appropriate tools:</w:t>
      </w:r>
    </w:p>
    <w:p w:rsidR="00AC1D60" w:rsidRDefault="00AC1D60" w:rsidP="00AC1D60">
      <w:pPr>
        <w:pStyle w:val="ListParagraph"/>
        <w:numPr>
          <w:ilvl w:val="0"/>
          <w:numId w:val="4"/>
        </w:numPr>
        <w:autoSpaceDE w:val="0"/>
        <w:autoSpaceDN w:val="0"/>
        <w:adjustRightInd w:val="0"/>
        <w:spacing w:before="0" w:after="0"/>
        <w:jc w:val="both"/>
      </w:pPr>
      <w:r w:rsidRPr="00AC1D60">
        <w:rPr>
          <w:rFonts w:cs="Arial"/>
        </w:rPr>
        <w:t>≥</w:t>
      </w:r>
      <w:r>
        <w:t>18 years: EORTC QLQ-C30 and PedQL</w:t>
      </w:r>
      <w:r w:rsidRPr="006719D1">
        <w:t xml:space="preserve">™ Generic Core Scales and </w:t>
      </w:r>
      <w:r>
        <w:t>Cancer Specific Module</w:t>
      </w:r>
    </w:p>
    <w:p w:rsidR="00AC1D60" w:rsidRDefault="00AC1D60" w:rsidP="00AC1D60">
      <w:pPr>
        <w:pStyle w:val="ListParagraph"/>
        <w:numPr>
          <w:ilvl w:val="0"/>
          <w:numId w:val="4"/>
        </w:numPr>
        <w:autoSpaceDE w:val="0"/>
        <w:autoSpaceDN w:val="0"/>
        <w:adjustRightInd w:val="0"/>
        <w:spacing w:before="0" w:after="0"/>
        <w:jc w:val="both"/>
      </w:pPr>
      <w:r>
        <w:t xml:space="preserve">&lt;18 years: </w:t>
      </w:r>
      <w:r w:rsidRPr="006719D1">
        <w:t xml:space="preserve">PedsQL™ Generic Core Scales and </w:t>
      </w:r>
      <w:r>
        <w:t>Cancer Specific Module</w:t>
      </w:r>
    </w:p>
    <w:p w:rsidR="00AC1D60" w:rsidRDefault="00AC1D60" w:rsidP="00AC1D60">
      <w:pPr>
        <w:pStyle w:val="ListParagraph"/>
        <w:numPr>
          <w:ilvl w:val="0"/>
          <w:numId w:val="4"/>
        </w:numPr>
        <w:autoSpaceDE w:val="0"/>
        <w:autoSpaceDN w:val="0"/>
        <w:adjustRightInd w:val="0"/>
        <w:jc w:val="both"/>
      </w:pPr>
      <w:r>
        <w:t>Days spent in hospital while on trial chemotherapy treatment.</w:t>
      </w:r>
    </w:p>
    <w:p w:rsidR="00E71A78" w:rsidRDefault="00E71A78" w:rsidP="00731337"/>
    <w:p w:rsidR="00731337" w:rsidRDefault="00731337" w:rsidP="00731337">
      <w:pPr>
        <w:pStyle w:val="Heading2"/>
      </w:pPr>
      <w:bookmarkStart w:id="70" w:name="_Toc228069375"/>
      <w:bookmarkStart w:id="71" w:name="_Toc228069524"/>
      <w:bookmarkStart w:id="72" w:name="_Toc228070363"/>
      <w:bookmarkStart w:id="73" w:name="_Toc228078748"/>
      <w:bookmarkStart w:id="74" w:name="_Toc241908529"/>
      <w:bookmarkStart w:id="75" w:name="_Toc241908652"/>
      <w:bookmarkStart w:id="76" w:name="_Toc242096370"/>
      <w:bookmarkStart w:id="77" w:name="_Toc242097229"/>
      <w:bookmarkStart w:id="78" w:name="_Toc243898801"/>
      <w:bookmarkStart w:id="79" w:name="_Toc243899630"/>
      <w:bookmarkStart w:id="80" w:name="_Toc253057996"/>
      <w:bookmarkStart w:id="81" w:name="_Toc253058133"/>
      <w:bookmarkStart w:id="82" w:name="_Toc254769724"/>
      <w:bookmarkStart w:id="83" w:name="_Toc254776531"/>
      <w:bookmarkStart w:id="84" w:name="_Toc266711168"/>
      <w:bookmarkStart w:id="85" w:name="_Toc284787358"/>
      <w:bookmarkStart w:id="86" w:name="_Toc375146179"/>
      <w:r>
        <w:t>Patient Population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731337" w:rsidRDefault="00731337" w:rsidP="00731337">
      <w:r>
        <w:t>Patients with recurrent and primary refractory Ewing sarcoma of the bone or soft tissues</w:t>
      </w:r>
    </w:p>
    <w:p w:rsidR="00AC1D60" w:rsidRDefault="00AC1D60" w:rsidP="00731337"/>
    <w:p w:rsidR="00AC1D60" w:rsidRDefault="00AC1D60" w:rsidP="00731337"/>
    <w:p w:rsidR="00AC1D60" w:rsidRDefault="00AC1D60" w:rsidP="00731337"/>
    <w:p w:rsidR="00AC1D60" w:rsidRPr="00473927" w:rsidRDefault="00AC1D60" w:rsidP="00731337"/>
    <w:p w:rsidR="00731337" w:rsidRDefault="00731337" w:rsidP="00731337">
      <w:pPr>
        <w:pStyle w:val="Heading2"/>
      </w:pPr>
      <w:bookmarkStart w:id="87" w:name="_Toc228069377"/>
      <w:bookmarkStart w:id="88" w:name="_Toc228069526"/>
      <w:bookmarkStart w:id="89" w:name="_Toc228070365"/>
      <w:bookmarkStart w:id="90" w:name="_Toc228078750"/>
      <w:bookmarkStart w:id="91" w:name="_Toc241908531"/>
      <w:bookmarkStart w:id="92" w:name="_Toc241908654"/>
      <w:bookmarkStart w:id="93" w:name="_Toc242096372"/>
      <w:bookmarkStart w:id="94" w:name="_Toc242097231"/>
      <w:bookmarkStart w:id="95" w:name="_Toc243898803"/>
      <w:bookmarkStart w:id="96" w:name="_Toc243899632"/>
      <w:bookmarkStart w:id="97" w:name="_Toc253057998"/>
      <w:bookmarkStart w:id="98" w:name="_Toc253058135"/>
      <w:bookmarkStart w:id="99" w:name="_Toc254769726"/>
      <w:bookmarkStart w:id="100" w:name="_Toc254776533"/>
      <w:bookmarkStart w:id="101" w:name="_Toc266711170"/>
      <w:bookmarkStart w:id="102" w:name="_Toc284787360"/>
      <w:bookmarkStart w:id="103" w:name="_Toc375146181"/>
      <w:r>
        <w:lastRenderedPageBreak/>
        <w:t>Main Eligibility Criteria</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31337" w:rsidRDefault="00731337" w:rsidP="00731337">
      <w:pPr>
        <w:rPr>
          <w:b/>
        </w:rPr>
      </w:pPr>
      <w:r>
        <w:rPr>
          <w:b/>
        </w:rPr>
        <w:t>Principal i</w:t>
      </w:r>
      <w:r w:rsidRPr="00473927">
        <w:rPr>
          <w:b/>
        </w:rPr>
        <w:t>nclusion criteria</w:t>
      </w:r>
    </w:p>
    <w:p w:rsidR="00AC1D60" w:rsidRDefault="00AC1D60" w:rsidP="001E50B1">
      <w:pPr>
        <w:pStyle w:val="ListParagraph"/>
        <w:numPr>
          <w:ilvl w:val="0"/>
          <w:numId w:val="4"/>
        </w:numPr>
        <w:jc w:val="both"/>
        <w:rPr>
          <w:lang w:eastAsia="en-GB"/>
        </w:rPr>
      </w:pPr>
      <w:r w:rsidRPr="00473927">
        <w:rPr>
          <w:lang w:eastAsia="en-GB"/>
        </w:rPr>
        <w:t>Histologically proven</w:t>
      </w:r>
      <w:r>
        <w:rPr>
          <w:lang w:eastAsia="en-GB"/>
        </w:rPr>
        <w:t>, Ewing or Ewing-like sarcoma of the bone or soft tissues</w:t>
      </w:r>
    </w:p>
    <w:p w:rsidR="00AC1D60" w:rsidRDefault="00AC1D60" w:rsidP="001E50B1">
      <w:pPr>
        <w:pStyle w:val="ListParagraph"/>
        <w:numPr>
          <w:ilvl w:val="0"/>
          <w:numId w:val="4"/>
        </w:numPr>
        <w:jc w:val="both"/>
        <w:rPr>
          <w:lang w:eastAsia="en-GB"/>
        </w:rPr>
      </w:pPr>
      <w:r>
        <w:rPr>
          <w:lang w:eastAsia="en-GB"/>
        </w:rPr>
        <w:t xml:space="preserve">Radiological evidence of disease </w:t>
      </w:r>
      <w:r w:rsidRPr="002D7EA6">
        <w:rPr>
          <w:lang w:eastAsia="en-GB"/>
        </w:rPr>
        <w:t>progression</w:t>
      </w:r>
      <w:r>
        <w:rPr>
          <w:lang w:eastAsia="en-GB"/>
        </w:rPr>
        <w:t xml:space="preserve"> </w:t>
      </w:r>
      <w:r w:rsidRPr="002D7EA6">
        <w:rPr>
          <w:lang w:eastAsia="en-GB"/>
        </w:rPr>
        <w:t xml:space="preserve">during or after completion of first </w:t>
      </w:r>
      <w:r>
        <w:rPr>
          <w:lang w:eastAsia="en-GB"/>
        </w:rPr>
        <w:t xml:space="preserve">or any subsequent </w:t>
      </w:r>
      <w:r w:rsidRPr="002D7EA6">
        <w:rPr>
          <w:lang w:eastAsia="en-GB"/>
        </w:rPr>
        <w:t>line</w:t>
      </w:r>
      <w:r>
        <w:rPr>
          <w:lang w:eastAsia="en-GB"/>
        </w:rPr>
        <w:t xml:space="preserve"> of</w:t>
      </w:r>
      <w:r w:rsidRPr="002D7EA6">
        <w:rPr>
          <w:lang w:eastAsia="en-GB"/>
        </w:rPr>
        <w:t xml:space="preserve"> treatment</w:t>
      </w:r>
      <w:r>
        <w:rPr>
          <w:lang w:eastAsia="en-GB"/>
        </w:rPr>
        <w:t xml:space="preserve">.  </w:t>
      </w:r>
    </w:p>
    <w:p w:rsidR="00AC1D60" w:rsidRDefault="00AC1D60" w:rsidP="001E50B1">
      <w:pPr>
        <w:pStyle w:val="ListParagraph"/>
        <w:numPr>
          <w:ilvl w:val="0"/>
          <w:numId w:val="4"/>
        </w:numPr>
        <w:jc w:val="both"/>
        <w:rPr>
          <w:lang w:eastAsia="en-GB"/>
        </w:rPr>
      </w:pPr>
      <w:r>
        <w:rPr>
          <w:lang w:eastAsia="en-GB"/>
        </w:rPr>
        <w:t>Medically fit to receive trial treatment</w:t>
      </w:r>
    </w:p>
    <w:p w:rsidR="00AC1D60" w:rsidRPr="00031515" w:rsidRDefault="00AC1D60" w:rsidP="001E50B1">
      <w:pPr>
        <w:pStyle w:val="ListParagraph"/>
        <w:numPr>
          <w:ilvl w:val="0"/>
          <w:numId w:val="4"/>
        </w:numPr>
        <w:jc w:val="both"/>
        <w:rPr>
          <w:lang w:eastAsia="en-GB"/>
        </w:rPr>
      </w:pPr>
      <w:r w:rsidRPr="009E1E2F">
        <w:rPr>
          <w:lang w:eastAsia="en-GB"/>
        </w:rPr>
        <w:t xml:space="preserve">Age </w:t>
      </w:r>
      <w:r w:rsidRPr="00E53DF1">
        <w:rPr>
          <w:lang w:eastAsia="en-GB"/>
        </w:rPr>
        <w:t>≥</w:t>
      </w:r>
      <w:r>
        <w:rPr>
          <w:lang w:eastAsia="en-GB"/>
        </w:rPr>
        <w:t>2</w:t>
      </w:r>
      <w:r w:rsidRPr="00E53DF1">
        <w:rPr>
          <w:lang w:eastAsia="en-GB"/>
        </w:rPr>
        <w:t xml:space="preserve">years </w:t>
      </w:r>
    </w:p>
    <w:p w:rsidR="00CC6E58" w:rsidRDefault="00CC6E58" w:rsidP="00731337">
      <w:pPr>
        <w:spacing w:before="120"/>
        <w:rPr>
          <w:b/>
        </w:rPr>
      </w:pPr>
    </w:p>
    <w:p w:rsidR="00731337" w:rsidRDefault="00731337" w:rsidP="00731337">
      <w:pPr>
        <w:spacing w:before="120"/>
        <w:rPr>
          <w:b/>
        </w:rPr>
      </w:pPr>
      <w:r>
        <w:rPr>
          <w:b/>
        </w:rPr>
        <w:t>Principal exclusion criteria</w:t>
      </w:r>
    </w:p>
    <w:p w:rsidR="00AC1D60" w:rsidRDefault="00AC1D60" w:rsidP="00AC1D60">
      <w:pPr>
        <w:numPr>
          <w:ilvl w:val="0"/>
          <w:numId w:val="3"/>
        </w:numPr>
        <w:spacing w:before="0" w:after="0"/>
        <w:ind w:left="426" w:hanging="426"/>
      </w:pPr>
      <w:r>
        <w:t>Radiotherapy to target lesion within previous six weeks</w:t>
      </w:r>
    </w:p>
    <w:p w:rsidR="00AC1D60" w:rsidRDefault="00AC1D60" w:rsidP="00AC1D60">
      <w:pPr>
        <w:numPr>
          <w:ilvl w:val="0"/>
          <w:numId w:val="3"/>
        </w:numPr>
        <w:spacing w:before="0" w:after="0"/>
        <w:ind w:left="426" w:hanging="426"/>
      </w:pPr>
      <w:r>
        <w:t xml:space="preserve">Cytotoxic chemotherapy or other investigational medicinal product within previous two weeks </w:t>
      </w:r>
    </w:p>
    <w:p w:rsidR="00AC1D60" w:rsidRDefault="00AC1D60" w:rsidP="00AC1D60">
      <w:pPr>
        <w:numPr>
          <w:ilvl w:val="0"/>
          <w:numId w:val="3"/>
        </w:numPr>
        <w:spacing w:before="0" w:after="0"/>
        <w:ind w:left="426" w:hanging="426"/>
      </w:pPr>
      <w:r>
        <w:t>Myeloablative therapy within previous eight weeks</w:t>
      </w:r>
    </w:p>
    <w:p w:rsidR="00AC1D60" w:rsidRDefault="00AC1D60" w:rsidP="00AC1D60">
      <w:pPr>
        <w:numPr>
          <w:ilvl w:val="0"/>
          <w:numId w:val="3"/>
        </w:numPr>
        <w:spacing w:before="0" w:after="0"/>
        <w:ind w:left="426" w:hanging="426"/>
      </w:pPr>
      <w:r>
        <w:t>Previous randomisation in the rEECur trial</w:t>
      </w:r>
    </w:p>
    <w:p w:rsidR="00AC1D60" w:rsidRDefault="00AC1D60" w:rsidP="00AC1D60">
      <w:pPr>
        <w:numPr>
          <w:ilvl w:val="0"/>
          <w:numId w:val="3"/>
        </w:numPr>
        <w:spacing w:before="0" w:after="0"/>
        <w:ind w:left="426" w:hanging="426"/>
      </w:pPr>
      <w:r>
        <w:t xml:space="preserve">Glomerular filtration rate that would preclude use of ifosfamide or carboplatin </w:t>
      </w:r>
    </w:p>
    <w:p w:rsidR="00731337" w:rsidRPr="00CD4AC2" w:rsidRDefault="00731337" w:rsidP="00731337">
      <w:pPr>
        <w:spacing w:before="120"/>
      </w:pPr>
    </w:p>
    <w:p w:rsidR="00731337" w:rsidRDefault="00731337" w:rsidP="00731337">
      <w:pPr>
        <w:pStyle w:val="Heading2"/>
      </w:pPr>
      <w:bookmarkStart w:id="104" w:name="_Toc228069378"/>
      <w:bookmarkStart w:id="105" w:name="_Toc228069527"/>
      <w:bookmarkStart w:id="106" w:name="_Toc228070366"/>
      <w:bookmarkStart w:id="107" w:name="_Toc228078751"/>
      <w:bookmarkStart w:id="108" w:name="_Toc241908532"/>
      <w:bookmarkStart w:id="109" w:name="_Toc241908655"/>
      <w:bookmarkStart w:id="110" w:name="_Toc242096373"/>
      <w:bookmarkStart w:id="111" w:name="_Toc242097232"/>
      <w:bookmarkStart w:id="112" w:name="_Toc243898804"/>
      <w:bookmarkStart w:id="113" w:name="_Toc243899633"/>
      <w:bookmarkStart w:id="114" w:name="_Toc253057999"/>
      <w:bookmarkStart w:id="115" w:name="_Toc253058136"/>
      <w:bookmarkStart w:id="116" w:name="_Toc254769727"/>
      <w:bookmarkStart w:id="117" w:name="_Toc254776534"/>
      <w:bookmarkStart w:id="118" w:name="_Toc266711171"/>
      <w:bookmarkStart w:id="119" w:name="_Toc284787361"/>
      <w:bookmarkStart w:id="120" w:name="_Toc375146182"/>
      <w:r>
        <w:t>Trial Duration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E71A78" w:rsidRDefault="00E71A78" w:rsidP="00E71A78">
      <w:pPr>
        <w:spacing w:before="0"/>
      </w:pPr>
      <w:r>
        <w:t>Anticipated time to complete accrual:</w:t>
      </w:r>
    </w:p>
    <w:p w:rsidR="00AC1D60" w:rsidRDefault="00AC1D60" w:rsidP="00AC1D60">
      <w:pPr>
        <w:numPr>
          <w:ilvl w:val="0"/>
          <w:numId w:val="3"/>
        </w:numPr>
        <w:spacing w:before="0" w:after="0"/>
        <w:ind w:left="426" w:hanging="426"/>
      </w:pPr>
      <w:r>
        <w:t>Phase II – with 3 arms, estimated 1.6 years to accrue 50 patients per arm, 2.4 years to accrue 75 patients per arm</w:t>
      </w:r>
    </w:p>
    <w:p w:rsidR="00AC1D60" w:rsidRDefault="00AC1D60" w:rsidP="00AC1D60">
      <w:pPr>
        <w:numPr>
          <w:ilvl w:val="0"/>
          <w:numId w:val="3"/>
        </w:numPr>
        <w:spacing w:before="0" w:after="0"/>
        <w:ind w:left="426" w:hanging="426"/>
      </w:pPr>
      <w:r>
        <w:t xml:space="preserve">Phase III –to accrue 200 patients per arm, estimated 6.25 years with 3 arms, 4.2 years with 2 arms </w:t>
      </w:r>
    </w:p>
    <w:p w:rsidR="00E71A78" w:rsidRPr="00CD48E7" w:rsidRDefault="00E71A78" w:rsidP="00CD48E7"/>
    <w:p w:rsidR="00393920" w:rsidRPr="009E1E2F" w:rsidRDefault="00E71A78" w:rsidP="00731337">
      <w:pPr>
        <w:spacing w:before="0" w:after="120"/>
        <w:jc w:val="both"/>
      </w:pPr>
      <w:r>
        <w:t xml:space="preserve">Follow-up will be for a minimum of </w:t>
      </w:r>
      <w:r w:rsidRPr="009E1E2F">
        <w:t>5 years, or until death if sooner</w:t>
      </w:r>
      <w:r>
        <w:t>.</w:t>
      </w:r>
    </w:p>
    <w:p w:rsidR="00AC1D60" w:rsidRDefault="00AC1D60" w:rsidP="001E50B1">
      <w:pPr>
        <w:spacing w:before="0" w:after="0"/>
        <w:jc w:val="both"/>
      </w:pPr>
      <w:bookmarkStart w:id="121" w:name="_Toc228069379"/>
      <w:bookmarkStart w:id="122" w:name="_Toc228069528"/>
      <w:bookmarkStart w:id="123" w:name="_Toc228070367"/>
      <w:bookmarkStart w:id="124" w:name="_Toc228078752"/>
      <w:bookmarkStart w:id="125" w:name="_Toc241908534"/>
      <w:bookmarkStart w:id="126" w:name="_Toc241908657"/>
      <w:bookmarkStart w:id="127" w:name="_Toc242096375"/>
      <w:bookmarkStart w:id="128" w:name="_Toc242097234"/>
      <w:bookmarkStart w:id="129" w:name="_Toc243898806"/>
      <w:bookmarkStart w:id="130" w:name="_Toc243899635"/>
      <w:bookmarkStart w:id="131" w:name="_Toc253058001"/>
      <w:bookmarkStart w:id="132" w:name="_Toc253058138"/>
      <w:bookmarkStart w:id="133" w:name="_Toc254769729"/>
      <w:bookmarkStart w:id="134" w:name="_Toc254776536"/>
      <w:bookmarkStart w:id="135" w:name="_Toc266711173"/>
      <w:bookmarkStart w:id="136" w:name="_Toc284787363"/>
      <w:bookmarkStart w:id="137" w:name="_Toc375146183"/>
    </w:p>
    <w:p w:rsidR="00731337" w:rsidRDefault="00731337" w:rsidP="00731337">
      <w:pPr>
        <w:pStyle w:val="Heading2"/>
      </w:pPr>
      <w:r>
        <w:t>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reatment Summary</w:t>
      </w:r>
      <w:bookmarkEnd w:id="137"/>
    </w:p>
    <w:p w:rsidR="00AC1D60" w:rsidRDefault="00AC1D60" w:rsidP="00AC1D60">
      <w:pPr>
        <w:spacing w:before="0"/>
      </w:pPr>
      <w:r>
        <w:t>Patients will be randomised to one of the available chemotherapy regimens:</w:t>
      </w:r>
    </w:p>
    <w:p w:rsidR="00AC1D60" w:rsidRDefault="00AC1D60" w:rsidP="00AC1D60">
      <w:pPr>
        <w:numPr>
          <w:ilvl w:val="0"/>
          <w:numId w:val="3"/>
        </w:numPr>
        <w:spacing w:before="0" w:after="0"/>
        <w:ind w:left="426" w:hanging="426"/>
      </w:pPr>
      <w:r>
        <w:t xml:space="preserve">Topotecan and Cyclophosphamide (TC): 6 cycles, of 21 days, additional cycles at clinician’s discretion </w:t>
      </w:r>
    </w:p>
    <w:p w:rsidR="00AC1D60" w:rsidRDefault="00AC1D60" w:rsidP="00AC1D60">
      <w:pPr>
        <w:numPr>
          <w:ilvl w:val="0"/>
          <w:numId w:val="4"/>
        </w:numPr>
        <w:spacing w:before="0" w:after="0"/>
        <w:ind w:left="426" w:hanging="426"/>
      </w:pPr>
      <w:r>
        <w:t>High dose Ifosfamide (IFOS), 4 cycles, of 21 days, additional cycles at clinician's discretion.</w:t>
      </w:r>
    </w:p>
    <w:p w:rsidR="00AC1D60" w:rsidRDefault="00AC1D60" w:rsidP="001E50B1">
      <w:pPr>
        <w:numPr>
          <w:ilvl w:val="0"/>
          <w:numId w:val="4"/>
        </w:numPr>
        <w:spacing w:after="0"/>
        <w:ind w:left="426" w:hanging="426"/>
      </w:pPr>
      <w:r>
        <w:t>Carboplatin and Etoposide (CE): 6 cycles of 21 days, additional cycles at clinician’s discretion</w:t>
      </w:r>
    </w:p>
    <w:p w:rsidR="00AC1D60" w:rsidRDefault="00AC1D60" w:rsidP="00AC1D60">
      <w:r>
        <w:t>Local disease control measures are encouraged where possible. However, these should be delayed if possible until completion of protocol defined treatment (6 cycles of TC or CE, 4 cycles of IFOS).</w:t>
      </w:r>
    </w:p>
    <w:p w:rsidR="00AC1D60" w:rsidRDefault="00AC1D60" w:rsidP="00AC1D60">
      <w:r>
        <w:t>Stem cell harvesting may be carried out in patients for whom high dose therapy is planned. H</w:t>
      </w:r>
      <w:r w:rsidRPr="00B317FB">
        <w:t xml:space="preserve">owever, </w:t>
      </w:r>
      <w:r>
        <w:t xml:space="preserve">if an alternative chemotherapy regimen is planned for stem cell mobilisation, it </w:t>
      </w:r>
      <w:r w:rsidRPr="00B317FB">
        <w:t xml:space="preserve">should be delayed </w:t>
      </w:r>
      <w:r>
        <w:t xml:space="preserve">if possible </w:t>
      </w:r>
      <w:r w:rsidRPr="00B317FB">
        <w:t>until completion of protocol defined treat</w:t>
      </w:r>
      <w:r>
        <w:t xml:space="preserve">ment, (6 cycles of TC or CE, 4 cycles of IFOS)  or as a minimum must </w:t>
      </w:r>
      <w:r w:rsidRPr="00B317FB">
        <w:t>be delayed until after the response assessment following cycle 4</w:t>
      </w:r>
      <w:r>
        <w:t>..</w:t>
      </w:r>
    </w:p>
    <w:p w:rsidR="00AC1D60" w:rsidRPr="009743B5" w:rsidRDefault="00AC1D60" w:rsidP="00AC1D60">
      <w:r>
        <w:t>Myeloablative therapy may be given at the discretion of the treating physician after 6 cycles of TC or CE, or after 4 cycles of IFOS.</w:t>
      </w:r>
    </w:p>
    <w:p w:rsidR="00AC1D60" w:rsidRDefault="00AC1D60" w:rsidP="001E50B1">
      <w:pPr>
        <w:spacing w:before="0" w:after="200" w:line="276" w:lineRule="auto"/>
        <w:sectPr w:rsidR="00AC1D60">
          <w:headerReference w:type="default" r:id="rId7"/>
          <w:footerReference w:type="default" r:id="rId8"/>
          <w:pgSz w:w="11906" w:h="16838" w:code="9"/>
          <w:pgMar w:top="1418" w:right="1418" w:bottom="1418" w:left="1418" w:header="567" w:footer="340" w:gutter="0"/>
          <w:cols w:space="708"/>
          <w:docGrid w:linePitch="360"/>
        </w:sectPr>
      </w:pPr>
    </w:p>
    <w:p w:rsidR="00731337" w:rsidRDefault="00731337" w:rsidP="00731337">
      <w:pPr>
        <w:pStyle w:val="Heading2"/>
      </w:pPr>
      <w:bookmarkStart w:id="138" w:name="_Toc375146184"/>
      <w:r>
        <w:lastRenderedPageBreak/>
        <w:t>Trial Schema</w:t>
      </w:r>
      <w:bookmarkEnd w:id="138"/>
    </w:p>
    <w:p w:rsidR="00550458" w:rsidRDefault="00AC1D60">
      <w:r>
        <w:rPr>
          <w:noProof/>
          <w:lang w:eastAsia="en-GB"/>
        </w:rPr>
        <w:drawing>
          <wp:anchor distT="0" distB="0" distL="114300" distR="114300" simplePos="0" relativeHeight="251658752" behindDoc="0" locked="0" layoutInCell="1" allowOverlap="1" wp14:anchorId="08D2AEDD" wp14:editId="158B06B7">
            <wp:simplePos x="0" y="0"/>
            <wp:positionH relativeFrom="column">
              <wp:posOffset>0</wp:posOffset>
            </wp:positionH>
            <wp:positionV relativeFrom="paragraph">
              <wp:posOffset>-635</wp:posOffset>
            </wp:positionV>
            <wp:extent cx="7432158" cy="5549932"/>
            <wp:effectExtent l="0" t="0" r="0" b="0"/>
            <wp:wrapNone/>
            <wp:docPr id="69" name="Picture 6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screenshot of a cell phone&#10;&#10;Description automatically generated"/>
                    <pic:cNvPicPr/>
                  </pic:nvPicPr>
                  <pic:blipFill>
                    <a:blip r:embed="rId9"/>
                    <a:stretch>
                      <a:fillRect/>
                    </a:stretch>
                  </pic:blipFill>
                  <pic:spPr>
                    <a:xfrm>
                      <a:off x="0" y="0"/>
                      <a:ext cx="7432158" cy="5549932"/>
                    </a:xfrm>
                    <a:prstGeom prst="rect">
                      <a:avLst/>
                    </a:prstGeom>
                  </pic:spPr>
                </pic:pic>
              </a:graphicData>
            </a:graphic>
            <wp14:sizeRelH relativeFrom="page">
              <wp14:pctWidth>0</wp14:pctWidth>
            </wp14:sizeRelH>
            <wp14:sizeRelV relativeFrom="page">
              <wp14:pctHeight>0</wp14:pctHeight>
            </wp14:sizeRelV>
          </wp:anchor>
        </w:drawing>
      </w:r>
    </w:p>
    <w:sectPr w:rsidR="00550458" w:rsidSect="00731337">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60" w:rsidRDefault="00AC1D60" w:rsidP="00731337">
      <w:pPr>
        <w:spacing w:before="0" w:after="0"/>
      </w:pPr>
      <w:r>
        <w:separator/>
      </w:r>
    </w:p>
  </w:endnote>
  <w:endnote w:type="continuationSeparator" w:id="0">
    <w:p w:rsidR="00AC1D60" w:rsidRDefault="00AC1D60" w:rsidP="007313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D60" w:rsidRPr="00CC6E58" w:rsidRDefault="00AC1D60">
    <w:pPr>
      <w:pStyle w:val="Footer"/>
      <w:rPr>
        <w:color w:val="0000FF"/>
      </w:rPr>
    </w:pPr>
    <w:r w:rsidRPr="00CC6E58">
      <w:rPr>
        <w:color w:val="0000FF"/>
      </w:rPr>
      <w:t>rEECur Trial Synopsis</w:t>
    </w:r>
    <w:r w:rsidRPr="00CC6E58">
      <w:rPr>
        <w:color w:val="0000FF"/>
      </w:rPr>
      <w:tab/>
      <w:t xml:space="preserve">Page </w:t>
    </w:r>
    <w:r w:rsidRPr="00CC6E58">
      <w:rPr>
        <w:color w:val="0000FF"/>
      </w:rPr>
      <w:fldChar w:fldCharType="begin"/>
    </w:r>
    <w:r w:rsidRPr="00CC6E58">
      <w:rPr>
        <w:color w:val="0000FF"/>
      </w:rPr>
      <w:instrText xml:space="preserve"> PAGE   \* MERGEFORMAT </w:instrText>
    </w:r>
    <w:r w:rsidRPr="00CC6E58">
      <w:rPr>
        <w:color w:val="0000FF"/>
      </w:rPr>
      <w:fldChar w:fldCharType="separate"/>
    </w:r>
    <w:r w:rsidR="008F0616">
      <w:rPr>
        <w:noProof/>
        <w:color w:val="0000FF"/>
      </w:rPr>
      <w:t>1</w:t>
    </w:r>
    <w:r w:rsidRPr="00CC6E58">
      <w:rPr>
        <w:noProof/>
        <w:color w:val="0000FF"/>
      </w:rPr>
      <w:fldChar w:fldCharType="end"/>
    </w:r>
    <w:r>
      <w:rPr>
        <w:noProof/>
        <w:color w:val="0000FF"/>
      </w:rPr>
      <w:t xml:space="preserve"> of 3</w:t>
    </w:r>
    <w:r>
      <w:rPr>
        <w:noProof/>
        <w:color w:val="0000FF"/>
      </w:rPr>
      <w:tab/>
      <w:t xml:space="preserve">vn </w:t>
    </w:r>
    <w:r w:rsidR="00E27B87">
      <w:rPr>
        <w:noProof/>
        <w:color w:val="0000FF"/>
      </w:rPr>
      <w:t>3.0</w:t>
    </w:r>
    <w:r w:rsidRPr="00CC6E58">
      <w:rPr>
        <w:noProof/>
        <w:color w:val="0000FF"/>
      </w:rPr>
      <w:t xml:space="preserve">_vd </w:t>
    </w:r>
    <w:r>
      <w:rPr>
        <w:noProof/>
        <w:color w:val="0000FF"/>
      </w:rPr>
      <w:t>27</w:t>
    </w:r>
    <w:r w:rsidRPr="00CC6E58">
      <w:rPr>
        <w:noProof/>
        <w:color w:val="0000FF"/>
      </w:rPr>
      <w:t>-</w:t>
    </w:r>
    <w:r>
      <w:rPr>
        <w:noProof/>
        <w:color w:val="0000FF"/>
      </w:rPr>
      <w:t>Oct</w:t>
    </w:r>
    <w:r w:rsidRPr="00CC6E58">
      <w:rPr>
        <w:noProof/>
        <w:color w:val="0000FF"/>
      </w:rPr>
      <w:t>-20</w:t>
    </w:r>
    <w:r>
      <w:rPr>
        <w:noProof/>
        <w:color w:val="0000FF"/>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D60" w:rsidRPr="00CC6E58" w:rsidRDefault="00AC1D60">
    <w:pPr>
      <w:pStyle w:val="Footer"/>
      <w:rPr>
        <w:color w:val="0000FF"/>
      </w:rPr>
    </w:pPr>
    <w:r w:rsidRPr="00CC6E58">
      <w:rPr>
        <w:color w:val="0000FF"/>
      </w:rPr>
      <w:t>rEECur Trial Synopsis</w:t>
    </w:r>
    <w:r w:rsidRPr="00CC6E58">
      <w:rPr>
        <w:color w:val="0000FF"/>
      </w:rPr>
      <w:tab/>
    </w:r>
    <w:r>
      <w:rPr>
        <w:color w:val="0000FF"/>
      </w:rPr>
      <w:t xml:space="preserve">                                                                                 </w:t>
    </w:r>
    <w:r w:rsidRPr="00CC6E58">
      <w:rPr>
        <w:color w:val="0000FF"/>
      </w:rPr>
      <w:t xml:space="preserve">Page </w:t>
    </w:r>
    <w:r w:rsidRPr="00CC6E58">
      <w:rPr>
        <w:color w:val="0000FF"/>
      </w:rPr>
      <w:fldChar w:fldCharType="begin"/>
    </w:r>
    <w:r w:rsidRPr="00CC6E58">
      <w:rPr>
        <w:color w:val="0000FF"/>
      </w:rPr>
      <w:instrText xml:space="preserve"> PAGE   \* MERGEFORMAT </w:instrText>
    </w:r>
    <w:r w:rsidRPr="00CC6E58">
      <w:rPr>
        <w:color w:val="0000FF"/>
      </w:rPr>
      <w:fldChar w:fldCharType="separate"/>
    </w:r>
    <w:r w:rsidR="001E50B1">
      <w:rPr>
        <w:noProof/>
        <w:color w:val="0000FF"/>
      </w:rPr>
      <w:t>3</w:t>
    </w:r>
    <w:r w:rsidRPr="00CC6E58">
      <w:rPr>
        <w:noProof/>
        <w:color w:val="0000FF"/>
      </w:rPr>
      <w:fldChar w:fldCharType="end"/>
    </w:r>
    <w:r w:rsidRPr="00CC6E58">
      <w:rPr>
        <w:noProof/>
        <w:color w:val="0000FF"/>
      </w:rPr>
      <w:t xml:space="preserve"> of 3</w:t>
    </w:r>
    <w:r w:rsidRPr="00CC6E58">
      <w:rPr>
        <w:noProof/>
        <w:color w:val="0000FF"/>
      </w:rPr>
      <w:tab/>
    </w:r>
    <w:r>
      <w:rPr>
        <w:noProof/>
        <w:color w:val="0000FF"/>
      </w:rPr>
      <w:tab/>
    </w:r>
    <w:r>
      <w:rPr>
        <w:noProof/>
        <w:color w:val="0000FF"/>
      </w:rPr>
      <w:tab/>
    </w:r>
    <w:r>
      <w:rPr>
        <w:noProof/>
        <w:color w:val="0000FF"/>
      </w:rPr>
      <w:tab/>
    </w:r>
    <w:r>
      <w:rPr>
        <w:noProof/>
        <w:color w:val="0000FF"/>
      </w:rPr>
      <w:tab/>
    </w:r>
    <w:r w:rsidRPr="00CC6E58">
      <w:rPr>
        <w:noProof/>
        <w:color w:val="0000FF"/>
      </w:rPr>
      <w:t xml:space="preserve">vn </w:t>
    </w:r>
    <w:r w:rsidR="00E27B87">
      <w:rPr>
        <w:noProof/>
        <w:color w:val="0000FF"/>
      </w:rPr>
      <w:t>3.0</w:t>
    </w:r>
    <w:r w:rsidRPr="00CC6E58">
      <w:rPr>
        <w:noProof/>
        <w:color w:val="0000FF"/>
      </w:rPr>
      <w:t xml:space="preserve">_vd </w:t>
    </w:r>
    <w:r>
      <w:rPr>
        <w:noProof/>
        <w:color w:val="0000FF"/>
      </w:rPr>
      <w:t>2</w:t>
    </w:r>
    <w:r w:rsidR="001E50B1">
      <w:rPr>
        <w:noProof/>
        <w:color w:val="0000FF"/>
      </w:rPr>
      <w:t>7</w:t>
    </w:r>
    <w:r w:rsidRPr="00CC6E58">
      <w:rPr>
        <w:noProof/>
        <w:color w:val="0000FF"/>
      </w:rPr>
      <w:t>-</w:t>
    </w:r>
    <w:r>
      <w:rPr>
        <w:noProof/>
        <w:color w:val="0000FF"/>
      </w:rPr>
      <w:t>Oct</w:t>
    </w:r>
    <w:r w:rsidRPr="00CC6E58">
      <w:rPr>
        <w:noProof/>
        <w:color w:val="0000FF"/>
      </w:rPr>
      <w:t>-20</w:t>
    </w:r>
    <w:r>
      <w:rPr>
        <w:noProof/>
        <w:color w:val="0000FF"/>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60" w:rsidRDefault="00AC1D60" w:rsidP="00731337">
      <w:pPr>
        <w:spacing w:before="0" w:after="0"/>
      </w:pPr>
      <w:r>
        <w:separator/>
      </w:r>
    </w:p>
  </w:footnote>
  <w:footnote w:type="continuationSeparator" w:id="0">
    <w:p w:rsidR="00AC1D60" w:rsidRDefault="00AC1D60" w:rsidP="007313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D60" w:rsidRPr="00731337" w:rsidRDefault="00AC1D60" w:rsidP="00731337">
    <w:pPr>
      <w:rPr>
        <w:b/>
        <w:color w:val="0000FF"/>
        <w:sz w:val="32"/>
        <w:szCs w:val="32"/>
      </w:rPr>
    </w:pPr>
    <w:r w:rsidRPr="00731337">
      <w:rPr>
        <w:b/>
        <w:color w:val="0000FF"/>
        <w:sz w:val="32"/>
        <w:szCs w:val="32"/>
      </w:rPr>
      <w:t>rEECur</w:t>
    </w:r>
    <w:r>
      <w:rPr>
        <w:b/>
        <w:color w:val="0000FF"/>
        <w:sz w:val="32"/>
        <w:szCs w:val="32"/>
      </w:rPr>
      <w:t xml:space="preserve"> </w:t>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t xml:space="preserve">Trial Synopsis </w:t>
    </w:r>
  </w:p>
  <w:p w:rsidR="00AC1D60" w:rsidRDefault="00AC1D60">
    <w:pPr>
      <w:pStyle w:val="Header"/>
    </w:pPr>
    <w:r>
      <w:rPr>
        <w:noProof/>
        <w:lang w:eastAsia="en-GB"/>
      </w:rPr>
      <mc:AlternateContent>
        <mc:Choice Requires="wps">
          <w:drawing>
            <wp:anchor distT="0" distB="0" distL="114300" distR="114300" simplePos="0" relativeHeight="251658240" behindDoc="0" locked="0" layoutInCell="1" allowOverlap="1" wp14:anchorId="1C192CA9" wp14:editId="0CD3166E">
              <wp:simplePos x="0" y="0"/>
              <wp:positionH relativeFrom="column">
                <wp:posOffset>13970</wp:posOffset>
              </wp:positionH>
              <wp:positionV relativeFrom="paragraph">
                <wp:posOffset>53975</wp:posOffset>
              </wp:positionV>
              <wp:extent cx="5572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a:ln w="2540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AC61AE"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4.25pt" to="439.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" strokecolor="blue"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D60" w:rsidRDefault="00AC1D60" w:rsidP="00731337">
    <w:pPr>
      <w:rPr>
        <w:b/>
        <w:color w:val="0000FF"/>
        <w:sz w:val="32"/>
        <w:szCs w:val="32"/>
      </w:rPr>
    </w:pPr>
    <w:r w:rsidRPr="00731337">
      <w:rPr>
        <w:b/>
        <w:color w:val="0000FF"/>
        <w:sz w:val="32"/>
        <w:szCs w:val="32"/>
      </w:rPr>
      <w:t>rEECur</w:t>
    </w:r>
    <w:r>
      <w:rPr>
        <w:b/>
        <w:color w:val="0000FF"/>
        <w:sz w:val="32"/>
        <w:szCs w:val="32"/>
      </w:rPr>
      <w:t xml:space="preserve"> </w:t>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r>
    <w:r>
      <w:rPr>
        <w:b/>
        <w:color w:val="0000FF"/>
        <w:sz w:val="32"/>
        <w:szCs w:val="32"/>
      </w:rPr>
      <w:tab/>
      <w:t xml:space="preserve">Trial Synopsis </w:t>
    </w:r>
  </w:p>
  <w:p w:rsidR="00AC1D60" w:rsidRPr="00731337" w:rsidRDefault="00AC1D60" w:rsidP="00731337">
    <w:pPr>
      <w:rPr>
        <w:b/>
        <w:color w:val="0000FF"/>
        <w:sz w:val="32"/>
        <w:szCs w:val="32"/>
      </w:rPr>
    </w:pPr>
    <w:r>
      <w:rPr>
        <w:b/>
        <w:noProof/>
        <w:color w:val="0000FF"/>
        <w:sz w:val="32"/>
        <w:szCs w:val="32"/>
        <w:lang w:eastAsia="en-GB"/>
      </w:rPr>
      <mc:AlternateContent>
        <mc:Choice Requires="wps">
          <w:drawing>
            <wp:anchor distT="0" distB="0" distL="114300" distR="114300" simplePos="0" relativeHeight="251660288" behindDoc="0" locked="0" layoutInCell="1" allowOverlap="1" wp14:anchorId="0392E6FF" wp14:editId="35B47CD5">
              <wp:simplePos x="0" y="0"/>
              <wp:positionH relativeFrom="column">
                <wp:posOffset>9525</wp:posOffset>
              </wp:positionH>
              <wp:positionV relativeFrom="paragraph">
                <wp:posOffset>107315</wp:posOffset>
              </wp:positionV>
              <wp:extent cx="8763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8763000" cy="9525"/>
                      </a:xfrm>
                      <a:prstGeom prst="line">
                        <a:avLst/>
                      </a:prstGeom>
                      <a:ln w="2540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B004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45pt" to="690.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" strokecolor="blue" strokeweight="2pt"/>
          </w:pict>
        </mc:Fallback>
      </mc:AlternateContent>
    </w:r>
  </w:p>
  <w:p w:rsidR="00AC1D60" w:rsidRDefault="00AC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98BC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50848"/>
    <w:multiLevelType w:val="hybridMultilevel"/>
    <w:tmpl w:val="CDB8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5DBD"/>
    <w:multiLevelType w:val="hybridMultilevel"/>
    <w:tmpl w:val="E3F275A8"/>
    <w:lvl w:ilvl="0" w:tplc="32880B26">
      <w:start w:val="1"/>
      <w:numFmt w:val="bullet"/>
      <w:lvlText w:val=""/>
      <w:lvlJc w:val="left"/>
      <w:pPr>
        <w:ind w:left="2127" w:hanging="21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3006"/>
    <w:multiLevelType w:val="hybridMultilevel"/>
    <w:tmpl w:val="1AC079C8"/>
    <w:lvl w:ilvl="0" w:tplc="32880B26">
      <w:start w:val="1"/>
      <w:numFmt w:val="bullet"/>
      <w:lvlText w:val=""/>
      <w:lvlJc w:val="left"/>
      <w:pPr>
        <w:ind w:left="2127" w:hanging="21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316AD"/>
    <w:multiLevelType w:val="hybridMultilevel"/>
    <w:tmpl w:val="813A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450C3"/>
    <w:multiLevelType w:val="hybridMultilevel"/>
    <w:tmpl w:val="0DAE3D82"/>
    <w:lvl w:ilvl="0" w:tplc="32880B26">
      <w:start w:val="1"/>
      <w:numFmt w:val="bullet"/>
      <w:lvlText w:val=""/>
      <w:lvlJc w:val="left"/>
      <w:pPr>
        <w:ind w:left="2127" w:hanging="21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37"/>
    <w:rsid w:val="000305B1"/>
    <w:rsid w:val="000446BA"/>
    <w:rsid w:val="00045C27"/>
    <w:rsid w:val="001E50B1"/>
    <w:rsid w:val="00393920"/>
    <w:rsid w:val="003E73C5"/>
    <w:rsid w:val="003F595A"/>
    <w:rsid w:val="00550458"/>
    <w:rsid w:val="005F6058"/>
    <w:rsid w:val="00731337"/>
    <w:rsid w:val="00824196"/>
    <w:rsid w:val="008F0616"/>
    <w:rsid w:val="00AC1D60"/>
    <w:rsid w:val="00CC4973"/>
    <w:rsid w:val="00CC6E58"/>
    <w:rsid w:val="00CD48E7"/>
    <w:rsid w:val="00E27B87"/>
    <w:rsid w:val="00E7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D8E953F-6C63-42F2-8F52-09546583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337"/>
    <w:pPr>
      <w:spacing w:before="60" w:after="6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31337"/>
    <w:pPr>
      <w:keepNext/>
      <w:spacing w:before="240"/>
      <w:outlineLvl w:val="0"/>
    </w:pPr>
    <w:rPr>
      <w:b/>
      <w:bCs/>
      <w:caps/>
      <w:color w:val="0000FF"/>
      <w:kern w:val="32"/>
      <w:sz w:val="32"/>
      <w:szCs w:val="32"/>
      <w:lang w:val="x-none"/>
    </w:rPr>
  </w:style>
  <w:style w:type="paragraph" w:styleId="Heading2">
    <w:name w:val="heading 2"/>
    <w:basedOn w:val="Normal"/>
    <w:next w:val="Normal"/>
    <w:link w:val="Heading2Char"/>
    <w:qFormat/>
    <w:rsid w:val="00731337"/>
    <w:pPr>
      <w:keepNext/>
      <w:spacing w:before="240"/>
      <w:outlineLvl w:val="1"/>
    </w:pPr>
    <w:rPr>
      <w:rFonts w:cs="Arial"/>
      <w:b/>
      <w:bCs/>
      <w:iCs/>
      <w:color w:val="0000FF"/>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337"/>
    <w:rPr>
      <w:rFonts w:ascii="Arial" w:eastAsia="Times New Roman" w:hAnsi="Arial" w:cs="Times New Roman"/>
      <w:b/>
      <w:bCs/>
      <w:caps/>
      <w:color w:val="0000FF"/>
      <w:kern w:val="32"/>
      <w:sz w:val="32"/>
      <w:szCs w:val="32"/>
      <w:lang w:val="x-none"/>
    </w:rPr>
  </w:style>
  <w:style w:type="character" w:customStyle="1" w:styleId="Heading2Char">
    <w:name w:val="Heading 2 Char"/>
    <w:basedOn w:val="DefaultParagraphFont"/>
    <w:link w:val="Heading2"/>
    <w:rsid w:val="00731337"/>
    <w:rPr>
      <w:rFonts w:ascii="Arial" w:eastAsia="Times New Roman" w:hAnsi="Arial" w:cs="Arial"/>
      <w:b/>
      <w:bCs/>
      <w:iCs/>
      <w:color w:val="0000FF"/>
      <w:szCs w:val="28"/>
    </w:rPr>
  </w:style>
  <w:style w:type="paragraph" w:customStyle="1" w:styleId="Instructions">
    <w:name w:val="Instructions"/>
    <w:basedOn w:val="Normal"/>
    <w:link w:val="InstructionsChar"/>
    <w:uiPriority w:val="99"/>
    <w:rsid w:val="00731337"/>
    <w:rPr>
      <w:i/>
      <w:iCs/>
      <w:color w:val="FF0000"/>
      <w:lang w:val="x-none"/>
    </w:rPr>
  </w:style>
  <w:style w:type="character" w:customStyle="1" w:styleId="InstructionsChar">
    <w:name w:val="Instructions Char"/>
    <w:link w:val="Instructions"/>
    <w:uiPriority w:val="99"/>
    <w:locked/>
    <w:rsid w:val="00731337"/>
    <w:rPr>
      <w:rFonts w:ascii="Arial" w:eastAsia="Times New Roman" w:hAnsi="Arial" w:cs="Times New Roman"/>
      <w:i/>
      <w:iCs/>
      <w:color w:val="FF0000"/>
      <w:sz w:val="20"/>
      <w:szCs w:val="20"/>
      <w:lang w:val="x-none"/>
    </w:rPr>
  </w:style>
  <w:style w:type="paragraph" w:styleId="Header">
    <w:name w:val="header"/>
    <w:basedOn w:val="Normal"/>
    <w:link w:val="HeaderChar"/>
    <w:uiPriority w:val="99"/>
    <w:unhideWhenUsed/>
    <w:rsid w:val="00731337"/>
    <w:pPr>
      <w:tabs>
        <w:tab w:val="center" w:pos="4513"/>
        <w:tab w:val="right" w:pos="9026"/>
      </w:tabs>
      <w:spacing w:before="0" w:after="0"/>
    </w:pPr>
  </w:style>
  <w:style w:type="character" w:customStyle="1" w:styleId="HeaderChar">
    <w:name w:val="Header Char"/>
    <w:basedOn w:val="DefaultParagraphFont"/>
    <w:link w:val="Header"/>
    <w:uiPriority w:val="99"/>
    <w:rsid w:val="00731337"/>
    <w:rPr>
      <w:rFonts w:ascii="Arial" w:eastAsia="Times New Roman" w:hAnsi="Arial" w:cs="Times New Roman"/>
      <w:sz w:val="20"/>
      <w:szCs w:val="20"/>
    </w:rPr>
  </w:style>
  <w:style w:type="paragraph" w:styleId="Footer">
    <w:name w:val="footer"/>
    <w:basedOn w:val="Normal"/>
    <w:link w:val="FooterChar"/>
    <w:uiPriority w:val="99"/>
    <w:unhideWhenUsed/>
    <w:rsid w:val="00731337"/>
    <w:pPr>
      <w:tabs>
        <w:tab w:val="center" w:pos="4513"/>
        <w:tab w:val="right" w:pos="9026"/>
      </w:tabs>
      <w:spacing w:before="0" w:after="0"/>
    </w:pPr>
  </w:style>
  <w:style w:type="character" w:customStyle="1" w:styleId="FooterChar">
    <w:name w:val="Footer Char"/>
    <w:basedOn w:val="DefaultParagraphFont"/>
    <w:link w:val="Footer"/>
    <w:uiPriority w:val="99"/>
    <w:rsid w:val="00731337"/>
    <w:rPr>
      <w:rFonts w:ascii="Arial" w:eastAsia="Times New Roman" w:hAnsi="Arial" w:cs="Times New Roman"/>
      <w:sz w:val="20"/>
      <w:szCs w:val="20"/>
    </w:rPr>
  </w:style>
  <w:style w:type="paragraph" w:styleId="ListBullet">
    <w:name w:val="List Bullet"/>
    <w:basedOn w:val="Normal"/>
    <w:uiPriority w:val="99"/>
    <w:unhideWhenUsed/>
    <w:rsid w:val="003E73C5"/>
    <w:pPr>
      <w:numPr>
        <w:numId w:val="5"/>
      </w:numPr>
      <w:contextualSpacing/>
    </w:pPr>
  </w:style>
  <w:style w:type="paragraph" w:styleId="BalloonText">
    <w:name w:val="Balloon Text"/>
    <w:basedOn w:val="Normal"/>
    <w:link w:val="BalloonTextChar"/>
    <w:uiPriority w:val="99"/>
    <w:semiHidden/>
    <w:unhideWhenUsed/>
    <w:rsid w:val="003E73C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3C5"/>
    <w:rPr>
      <w:rFonts w:ascii="Tahoma" w:eastAsia="Times New Roman" w:hAnsi="Tahoma" w:cs="Tahoma"/>
      <w:sz w:val="16"/>
      <w:szCs w:val="16"/>
    </w:rPr>
  </w:style>
  <w:style w:type="paragraph" w:styleId="ListParagraph">
    <w:name w:val="List Paragraph"/>
    <w:basedOn w:val="Normal"/>
    <w:uiPriority w:val="99"/>
    <w:qFormat/>
    <w:rsid w:val="00E71A78"/>
    <w:pPr>
      <w:spacing w:before="120" w:after="120"/>
      <w:ind w:left="720"/>
      <w:contextualSpacing/>
    </w:pPr>
  </w:style>
  <w:style w:type="character" w:styleId="CommentReference">
    <w:name w:val="annotation reference"/>
    <w:basedOn w:val="DefaultParagraphFont"/>
    <w:uiPriority w:val="99"/>
    <w:semiHidden/>
    <w:unhideWhenUsed/>
    <w:rsid w:val="00045C27"/>
    <w:rPr>
      <w:sz w:val="16"/>
      <w:szCs w:val="16"/>
    </w:rPr>
  </w:style>
  <w:style w:type="paragraph" w:styleId="CommentText">
    <w:name w:val="annotation text"/>
    <w:basedOn w:val="Normal"/>
    <w:link w:val="CommentTextChar"/>
    <w:uiPriority w:val="99"/>
    <w:semiHidden/>
    <w:unhideWhenUsed/>
    <w:rsid w:val="00045C27"/>
  </w:style>
  <w:style w:type="character" w:customStyle="1" w:styleId="CommentTextChar">
    <w:name w:val="Comment Text Char"/>
    <w:basedOn w:val="DefaultParagraphFont"/>
    <w:link w:val="CommentText"/>
    <w:uiPriority w:val="99"/>
    <w:semiHidden/>
    <w:rsid w:val="00045C2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45C27"/>
    <w:rPr>
      <w:b/>
      <w:bCs/>
    </w:rPr>
  </w:style>
  <w:style w:type="character" w:customStyle="1" w:styleId="CommentSubjectChar">
    <w:name w:val="Comment Subject Char"/>
    <w:basedOn w:val="CommentTextChar"/>
    <w:link w:val="CommentSubject"/>
    <w:uiPriority w:val="99"/>
    <w:semiHidden/>
    <w:rsid w:val="00045C2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 of Cancer Sciences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Brown</dc:creator>
  <cp:lastModifiedBy>Savita Mehmi (Cancer Clinical Trials Unit)</cp:lastModifiedBy>
  <cp:revision>2</cp:revision>
  <dcterms:created xsi:type="dcterms:W3CDTF">2022-10-28T10:57:00Z</dcterms:created>
  <dcterms:modified xsi:type="dcterms:W3CDTF">2022-10-28T10:57:00Z</dcterms:modified>
</cp:coreProperties>
</file>