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1.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bCs/>
          <w:color w:val="auto"/>
          <w:spacing w:val="0"/>
          <w:sz w:val="24"/>
          <w:szCs w:val="20"/>
        </w:rPr>
        <w:id w:val="1239910073"/>
        <w:docPartObj>
          <w:docPartGallery w:val="Cover Pages"/>
          <w:docPartUnique/>
        </w:docPartObj>
      </w:sdtPr>
      <w:sdtEndPr>
        <w:rPr>
          <w:rFonts w:cstheme="minorHAnsi"/>
          <w:b w:val="0"/>
          <w:bCs w:val="0"/>
          <w:color w:val="0070C0"/>
          <w:sz w:val="22"/>
          <w:szCs w:val="24"/>
          <w:lang w:val="en-GB"/>
        </w:rPr>
      </w:sdtEndPr>
      <w:sdtContent>
        <w:p w14:paraId="08875B6F" w14:textId="4BCB683F" w:rsidR="005457C6" w:rsidRPr="00BC42BD" w:rsidRDefault="005457C6" w:rsidP="00BC42BD">
          <w:pPr>
            <w:pStyle w:val="Title"/>
          </w:pPr>
          <w:r w:rsidRPr="00BC42BD">
            <w:t>Financial Inclusion:</w:t>
          </w:r>
        </w:p>
        <w:p w14:paraId="74FED317" w14:textId="2D394135" w:rsidR="00973936" w:rsidRPr="00BC42BD" w:rsidRDefault="005457C6" w:rsidP="00BC42BD">
          <w:pPr>
            <w:pStyle w:val="Title"/>
          </w:pPr>
          <w:r w:rsidRPr="00BC42BD">
            <w:t>Annual Monitoring Report 2020</w:t>
          </w:r>
        </w:p>
        <w:p w14:paraId="5559564E" w14:textId="414D13C1" w:rsidR="00973936" w:rsidRDefault="005457C6" w:rsidP="005457C6">
          <w:pPr>
            <w:rPr>
              <w:rFonts w:cstheme="minorHAnsi"/>
              <w:b/>
              <w:bCs/>
              <w:color w:val="0070C0"/>
              <w:szCs w:val="24"/>
              <w:lang w:val="en-GB"/>
            </w:rPr>
          </w:pPr>
          <w:r>
            <w:rPr>
              <w:rFonts w:cstheme="minorHAnsi"/>
              <w:b/>
              <w:bCs/>
              <w:color w:val="0070C0"/>
              <w:szCs w:val="24"/>
              <w:lang w:val="en-GB"/>
            </w:rPr>
            <w:t xml:space="preserve"> </w:t>
          </w:r>
          <w:r w:rsidR="00973936">
            <w:rPr>
              <w:rFonts w:cstheme="minorHAnsi"/>
              <w:b/>
              <w:bCs/>
              <w:color w:val="0070C0"/>
              <w:szCs w:val="24"/>
              <w:lang w:val="en-GB"/>
            </w:rPr>
            <w:br w:type="page"/>
          </w:r>
        </w:p>
      </w:sdtContent>
    </w:sdt>
    <w:p w14:paraId="7F995D75" w14:textId="77777777" w:rsidR="00D565F4" w:rsidRDefault="00D565F4" w:rsidP="00D86B69">
      <w:pPr>
        <w:spacing w:beforeAutospacing="1" w:after="100" w:afterAutospacing="1" w:line="360" w:lineRule="auto"/>
        <w:jc w:val="center"/>
        <w:rPr>
          <w:rFonts w:cstheme="minorHAnsi"/>
          <w:b/>
          <w:color w:val="000000" w:themeColor="text1"/>
          <w:sz w:val="40"/>
          <w:szCs w:val="40"/>
          <w:lang w:val="en-GB"/>
        </w:rPr>
      </w:pPr>
    </w:p>
    <w:p w14:paraId="7D3FA281" w14:textId="0D4A3B82" w:rsidR="00D565F4" w:rsidRDefault="00D565F4" w:rsidP="00D86B69">
      <w:pPr>
        <w:spacing w:beforeAutospacing="1" w:after="100" w:afterAutospacing="1" w:line="360" w:lineRule="auto"/>
        <w:jc w:val="center"/>
        <w:rPr>
          <w:rFonts w:cstheme="minorHAnsi"/>
          <w:b/>
          <w:color w:val="000000" w:themeColor="text1"/>
          <w:sz w:val="40"/>
          <w:szCs w:val="40"/>
          <w:lang w:val="en-GB"/>
        </w:rPr>
      </w:pPr>
    </w:p>
    <w:p w14:paraId="73D99B74" w14:textId="6AA2BD73" w:rsidR="00D565F4" w:rsidRDefault="00D565F4" w:rsidP="00D86B69">
      <w:pPr>
        <w:spacing w:beforeAutospacing="1" w:after="100" w:afterAutospacing="1" w:line="360" w:lineRule="auto"/>
        <w:jc w:val="center"/>
        <w:rPr>
          <w:rFonts w:cstheme="minorHAnsi"/>
          <w:b/>
          <w:color w:val="000000" w:themeColor="text1"/>
          <w:sz w:val="40"/>
          <w:szCs w:val="40"/>
          <w:lang w:val="en-GB"/>
        </w:rPr>
      </w:pPr>
    </w:p>
    <w:p w14:paraId="362ADA7C" w14:textId="250C8A1C" w:rsidR="00D565F4" w:rsidRDefault="00D565F4" w:rsidP="00D86B69">
      <w:pPr>
        <w:spacing w:beforeAutospacing="1" w:after="100" w:afterAutospacing="1" w:line="360" w:lineRule="auto"/>
        <w:jc w:val="center"/>
        <w:rPr>
          <w:rFonts w:cstheme="minorHAnsi"/>
          <w:b/>
          <w:color w:val="000000" w:themeColor="text1"/>
          <w:sz w:val="40"/>
          <w:szCs w:val="40"/>
          <w:lang w:val="en-GB"/>
        </w:rPr>
      </w:pPr>
    </w:p>
    <w:p w14:paraId="69366C9A" w14:textId="1D1A4707" w:rsidR="00D565F4" w:rsidRDefault="00D565F4" w:rsidP="00D86B69">
      <w:pPr>
        <w:spacing w:beforeAutospacing="1" w:after="100" w:afterAutospacing="1" w:line="360" w:lineRule="auto"/>
        <w:jc w:val="center"/>
        <w:rPr>
          <w:rFonts w:cstheme="minorHAnsi"/>
          <w:b/>
          <w:color w:val="000000" w:themeColor="text1"/>
          <w:sz w:val="40"/>
          <w:szCs w:val="40"/>
          <w:lang w:val="en-GB"/>
        </w:rPr>
      </w:pPr>
    </w:p>
    <w:p w14:paraId="1423AC11" w14:textId="7F10041D" w:rsidR="00EE1671" w:rsidRDefault="00EE1671" w:rsidP="00D86B69">
      <w:pPr>
        <w:spacing w:beforeAutospacing="1" w:after="100" w:afterAutospacing="1" w:line="360" w:lineRule="auto"/>
        <w:jc w:val="center"/>
        <w:rPr>
          <w:rFonts w:cstheme="minorHAnsi"/>
          <w:b/>
          <w:color w:val="000000" w:themeColor="text1"/>
          <w:sz w:val="40"/>
          <w:szCs w:val="40"/>
          <w:lang w:val="en-GB"/>
        </w:rPr>
      </w:pPr>
    </w:p>
    <w:p w14:paraId="247AD282" w14:textId="6D6F2B8A" w:rsidR="00EE1671" w:rsidRDefault="00EE1671" w:rsidP="00D86B69">
      <w:pPr>
        <w:spacing w:beforeAutospacing="1" w:after="100" w:afterAutospacing="1" w:line="360" w:lineRule="auto"/>
        <w:jc w:val="center"/>
        <w:rPr>
          <w:rFonts w:cstheme="minorHAnsi"/>
          <w:b/>
          <w:color w:val="000000" w:themeColor="text1"/>
          <w:sz w:val="40"/>
          <w:szCs w:val="40"/>
          <w:lang w:val="en-GB"/>
        </w:rPr>
      </w:pPr>
    </w:p>
    <w:p w14:paraId="4097AFDA" w14:textId="2E4DF596" w:rsidR="00EE1671" w:rsidRDefault="00EE1671" w:rsidP="00D86B69">
      <w:pPr>
        <w:spacing w:beforeAutospacing="1" w:after="100" w:afterAutospacing="1" w:line="360" w:lineRule="auto"/>
        <w:jc w:val="center"/>
        <w:rPr>
          <w:rFonts w:cstheme="minorHAnsi"/>
          <w:b/>
          <w:color w:val="000000" w:themeColor="text1"/>
          <w:sz w:val="40"/>
          <w:szCs w:val="40"/>
          <w:lang w:val="en-GB"/>
        </w:rPr>
      </w:pPr>
    </w:p>
    <w:p w14:paraId="019962AD" w14:textId="5AD51EEF" w:rsidR="00EE1671" w:rsidRDefault="00EE1671" w:rsidP="00D86B69">
      <w:pPr>
        <w:spacing w:beforeAutospacing="1" w:after="100" w:afterAutospacing="1" w:line="360" w:lineRule="auto"/>
        <w:jc w:val="center"/>
        <w:rPr>
          <w:rFonts w:cstheme="minorHAnsi"/>
          <w:b/>
          <w:color w:val="000000" w:themeColor="text1"/>
          <w:sz w:val="40"/>
          <w:szCs w:val="40"/>
          <w:lang w:val="en-GB"/>
        </w:rPr>
      </w:pPr>
    </w:p>
    <w:p w14:paraId="223C6B4B" w14:textId="44A25FE7" w:rsidR="00D565F4" w:rsidRPr="00D86B69" w:rsidRDefault="00757785" w:rsidP="004344B7">
      <w:pPr>
        <w:spacing w:before="100" w:beforeAutospacing="1" w:after="100" w:afterAutospacing="1" w:line="240" w:lineRule="auto"/>
        <w:jc w:val="center"/>
        <w:rPr>
          <w:rFonts w:cstheme="minorHAnsi"/>
          <w:b/>
          <w:color w:val="000000" w:themeColor="text1"/>
          <w:sz w:val="40"/>
          <w:szCs w:val="40"/>
          <w:lang w:val="en-GB"/>
        </w:rPr>
      </w:pPr>
      <w:r>
        <w:rPr>
          <w:rFonts w:cstheme="minorHAnsi"/>
          <w:b/>
          <w:noProof/>
          <w:color w:val="000000" w:themeColor="text1"/>
          <w:sz w:val="40"/>
          <w:szCs w:val="40"/>
          <w:lang w:val="en-GB" w:eastAsia="en-GB" w:bidi="ar-SA"/>
        </w:rPr>
        <w:drawing>
          <wp:inline distT="0" distB="0" distL="0" distR="0" wp14:anchorId="7B52BC86" wp14:editId="30176AEC">
            <wp:extent cx="5173224" cy="1070648"/>
            <wp:effectExtent l="0" t="0" r="8890" b="0"/>
            <wp:docPr id="17" name="Picture 17" descr="Logos of Friends Provident Foundation and the Barrow Cadbury Trust who part-funded the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nance logos.jpg"/>
                    <pic:cNvPicPr/>
                  </pic:nvPicPr>
                  <pic:blipFill>
                    <a:blip r:embed="rId8">
                      <a:extLst>
                        <a:ext uri="{28A0092B-C50C-407E-A947-70E740481C1C}">
                          <a14:useLocalDpi xmlns:a14="http://schemas.microsoft.com/office/drawing/2010/main" val="0"/>
                        </a:ext>
                      </a:extLst>
                    </a:blip>
                    <a:stretch>
                      <a:fillRect/>
                    </a:stretch>
                  </pic:blipFill>
                  <pic:spPr>
                    <a:xfrm>
                      <a:off x="0" y="0"/>
                      <a:ext cx="5229519" cy="1082299"/>
                    </a:xfrm>
                    <a:prstGeom prst="rect">
                      <a:avLst/>
                    </a:prstGeom>
                  </pic:spPr>
                </pic:pic>
              </a:graphicData>
            </a:graphic>
          </wp:inline>
        </w:drawing>
      </w:r>
    </w:p>
    <w:p w14:paraId="34191F85" w14:textId="53C83327" w:rsidR="00A57E44" w:rsidRDefault="00A57E44" w:rsidP="00A57E44">
      <w:pPr>
        <w:spacing w:before="100" w:beforeAutospacing="1" w:after="100" w:afterAutospacing="1" w:line="240" w:lineRule="auto"/>
        <w:rPr>
          <w:rFonts w:cstheme="minorHAnsi"/>
          <w:b/>
          <w:bCs/>
          <w:color w:val="0070C0"/>
          <w:szCs w:val="24"/>
          <w:lang w:val="en-GB"/>
        </w:rPr>
        <w:sectPr w:rsidR="00A57E44" w:rsidSect="005457C6">
          <w:footerReference w:type="default" r:id="rId9"/>
          <w:pgSz w:w="11906" w:h="16838" w:code="9"/>
          <w:pgMar w:top="1440" w:right="1440" w:bottom="1440" w:left="1701" w:header="709" w:footer="709" w:gutter="0"/>
          <w:pgNumType w:start="1"/>
          <w:cols w:space="708"/>
          <w:vAlign w:val="center"/>
          <w:docGrid w:linePitch="360"/>
        </w:sectPr>
      </w:pPr>
      <w:r>
        <w:rPr>
          <w:rFonts w:cstheme="minorHAnsi"/>
          <w:b/>
          <w:bCs/>
          <w:noProof/>
          <w:color w:val="0070C0"/>
          <w:szCs w:val="24"/>
          <w:lang w:val="en-GB" w:eastAsia="en-GB" w:bidi="ar-SA"/>
        </w:rPr>
        <w:drawing>
          <wp:inline distT="0" distB="0" distL="0" distR="0" wp14:anchorId="425F50E9" wp14:editId="41B200FF">
            <wp:extent cx="5784799" cy="923925"/>
            <wp:effectExtent l="0" t="0" r="0" b="0"/>
            <wp:docPr id="39" name="Picture 39" descr="Logo of the University of Birmingham and CHA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13995 CHASM lock-ups landsca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00856" cy="926489"/>
                    </a:xfrm>
                    <a:prstGeom prst="rect">
                      <a:avLst/>
                    </a:prstGeom>
                  </pic:spPr>
                </pic:pic>
              </a:graphicData>
            </a:graphic>
          </wp:inline>
        </w:drawing>
      </w:r>
    </w:p>
    <w:p w14:paraId="0BEDC38D" w14:textId="117A23B5" w:rsidR="00973936" w:rsidRDefault="00973936" w:rsidP="00952763">
      <w:pPr>
        <w:spacing w:beforeAutospacing="1" w:after="100" w:afterAutospacing="1" w:line="360" w:lineRule="auto"/>
        <w:rPr>
          <w:rFonts w:cstheme="minorHAnsi"/>
          <w:b/>
          <w:bCs/>
          <w:color w:val="0070C0"/>
          <w:szCs w:val="24"/>
          <w:lang w:val="en-GB"/>
        </w:rPr>
      </w:pPr>
    </w:p>
    <w:sdt>
      <w:sdtPr>
        <w:rPr>
          <w:rFonts w:asciiTheme="minorHAnsi" w:eastAsiaTheme="minorEastAsia" w:hAnsiTheme="minorHAnsi" w:cstheme="minorBidi"/>
          <w:b w:val="0"/>
          <w:bCs w:val="0"/>
          <w:caps/>
          <w:color w:val="auto"/>
          <w:sz w:val="20"/>
          <w:szCs w:val="20"/>
        </w:rPr>
        <w:id w:val="1738215151"/>
        <w:docPartObj>
          <w:docPartGallery w:val="Table of Contents"/>
          <w:docPartUnique/>
        </w:docPartObj>
      </w:sdtPr>
      <w:sdtEndPr>
        <w:rPr>
          <w:caps w:val="0"/>
          <w:noProof/>
          <w:sz w:val="22"/>
          <w:szCs w:val="22"/>
        </w:rPr>
      </w:sdtEndPr>
      <w:sdtContent>
        <w:p w14:paraId="6586463F" w14:textId="75E380B9" w:rsidR="00EE1671" w:rsidRPr="00E63732" w:rsidRDefault="00EE1671" w:rsidP="001B32E1">
          <w:pPr>
            <w:pStyle w:val="TOCHeading"/>
            <w:rPr>
              <w:b w:val="0"/>
              <w:bCs w:val="0"/>
            </w:rPr>
          </w:pPr>
          <w:r w:rsidRPr="00E63732">
            <w:t>Contents</w:t>
          </w:r>
        </w:p>
        <w:p w14:paraId="62643768" w14:textId="331FA2CF" w:rsidR="00761D12" w:rsidRDefault="00EE1671">
          <w:pPr>
            <w:pStyle w:val="TOC1"/>
            <w:tabs>
              <w:tab w:val="right" w:leader="dot" w:pos="8755"/>
            </w:tabs>
            <w:rPr>
              <w:noProof/>
              <w:lang w:val="en-GB" w:eastAsia="en-GB" w:bidi="ar-SA"/>
            </w:rPr>
          </w:pPr>
          <w:r>
            <w:fldChar w:fldCharType="begin"/>
          </w:r>
          <w:r>
            <w:instrText xml:space="preserve"> TOC \o "1-3" \h \z \u </w:instrText>
          </w:r>
          <w:r>
            <w:fldChar w:fldCharType="separate"/>
          </w:r>
          <w:hyperlink w:anchor="_Toc54600784" w:history="1">
            <w:r w:rsidR="00761D12" w:rsidRPr="00650090">
              <w:rPr>
                <w:rStyle w:val="Hyperlink"/>
                <w:noProof/>
              </w:rPr>
              <w:t>Executive summary</w:t>
            </w:r>
            <w:r w:rsidR="00761D12">
              <w:rPr>
                <w:noProof/>
                <w:webHidden/>
              </w:rPr>
              <w:tab/>
            </w:r>
            <w:r w:rsidR="00761D12">
              <w:rPr>
                <w:noProof/>
                <w:webHidden/>
              </w:rPr>
              <w:fldChar w:fldCharType="begin"/>
            </w:r>
            <w:r w:rsidR="00761D12">
              <w:rPr>
                <w:noProof/>
                <w:webHidden/>
              </w:rPr>
              <w:instrText xml:space="preserve"> PAGEREF _Toc54600784 \h </w:instrText>
            </w:r>
            <w:r w:rsidR="00761D12">
              <w:rPr>
                <w:noProof/>
                <w:webHidden/>
              </w:rPr>
            </w:r>
            <w:r w:rsidR="00761D12">
              <w:rPr>
                <w:noProof/>
                <w:webHidden/>
              </w:rPr>
              <w:fldChar w:fldCharType="separate"/>
            </w:r>
            <w:r w:rsidR="007D5D83">
              <w:rPr>
                <w:noProof/>
                <w:webHidden/>
              </w:rPr>
              <w:t>iii</w:t>
            </w:r>
            <w:r w:rsidR="00761D12">
              <w:rPr>
                <w:noProof/>
                <w:webHidden/>
              </w:rPr>
              <w:fldChar w:fldCharType="end"/>
            </w:r>
          </w:hyperlink>
        </w:p>
        <w:p w14:paraId="39AE8AEA" w14:textId="6C356787" w:rsidR="00761D12" w:rsidRDefault="004C5F21">
          <w:pPr>
            <w:pStyle w:val="TOC2"/>
            <w:tabs>
              <w:tab w:val="right" w:leader="dot" w:pos="8755"/>
            </w:tabs>
            <w:rPr>
              <w:noProof/>
              <w:lang w:val="en-GB" w:eastAsia="en-GB" w:bidi="ar-SA"/>
            </w:rPr>
          </w:pPr>
          <w:hyperlink w:anchor="_Toc54600785" w:history="1">
            <w:r w:rsidR="00761D12" w:rsidRPr="00650090">
              <w:rPr>
                <w:rStyle w:val="Hyperlink"/>
                <w:rFonts w:cstheme="minorHAnsi"/>
                <w:noProof/>
                <w:lang w:val="en-GB"/>
              </w:rPr>
              <w:t>Key findings</w:t>
            </w:r>
            <w:r w:rsidR="00761D12">
              <w:rPr>
                <w:noProof/>
                <w:webHidden/>
              </w:rPr>
              <w:tab/>
            </w:r>
            <w:r w:rsidR="00761D12">
              <w:rPr>
                <w:noProof/>
                <w:webHidden/>
              </w:rPr>
              <w:fldChar w:fldCharType="begin"/>
            </w:r>
            <w:r w:rsidR="00761D12">
              <w:rPr>
                <w:noProof/>
                <w:webHidden/>
              </w:rPr>
              <w:instrText xml:space="preserve"> PAGEREF _Toc54600785 \h </w:instrText>
            </w:r>
            <w:r w:rsidR="00761D12">
              <w:rPr>
                <w:noProof/>
                <w:webHidden/>
              </w:rPr>
            </w:r>
            <w:r w:rsidR="00761D12">
              <w:rPr>
                <w:noProof/>
                <w:webHidden/>
              </w:rPr>
              <w:fldChar w:fldCharType="separate"/>
            </w:r>
            <w:r w:rsidR="007D5D83">
              <w:rPr>
                <w:noProof/>
                <w:webHidden/>
              </w:rPr>
              <w:t>iii</w:t>
            </w:r>
            <w:r w:rsidR="00761D12">
              <w:rPr>
                <w:noProof/>
                <w:webHidden/>
              </w:rPr>
              <w:fldChar w:fldCharType="end"/>
            </w:r>
          </w:hyperlink>
        </w:p>
        <w:p w14:paraId="78140FB1" w14:textId="1E5FAD9B" w:rsidR="00761D12" w:rsidRDefault="004C5F21">
          <w:pPr>
            <w:pStyle w:val="TOC2"/>
            <w:tabs>
              <w:tab w:val="right" w:leader="dot" w:pos="8755"/>
            </w:tabs>
            <w:rPr>
              <w:noProof/>
              <w:lang w:val="en-GB" w:eastAsia="en-GB" w:bidi="ar-SA"/>
            </w:rPr>
          </w:pPr>
          <w:hyperlink w:anchor="_Toc54600786" w:history="1">
            <w:r w:rsidR="00761D12" w:rsidRPr="00650090">
              <w:rPr>
                <w:rStyle w:val="Hyperlink"/>
                <w:rFonts w:cstheme="minorHAnsi"/>
                <w:noProof/>
                <w:lang w:val="en-GB"/>
              </w:rPr>
              <w:t>The economy</w:t>
            </w:r>
            <w:r w:rsidR="00761D12">
              <w:rPr>
                <w:noProof/>
                <w:webHidden/>
              </w:rPr>
              <w:tab/>
            </w:r>
            <w:r w:rsidR="00761D12">
              <w:rPr>
                <w:noProof/>
                <w:webHidden/>
              </w:rPr>
              <w:fldChar w:fldCharType="begin"/>
            </w:r>
            <w:r w:rsidR="00761D12">
              <w:rPr>
                <w:noProof/>
                <w:webHidden/>
              </w:rPr>
              <w:instrText xml:space="preserve"> PAGEREF _Toc54600786 \h </w:instrText>
            </w:r>
            <w:r w:rsidR="00761D12">
              <w:rPr>
                <w:noProof/>
                <w:webHidden/>
              </w:rPr>
            </w:r>
            <w:r w:rsidR="00761D12">
              <w:rPr>
                <w:noProof/>
                <w:webHidden/>
              </w:rPr>
              <w:fldChar w:fldCharType="separate"/>
            </w:r>
            <w:r w:rsidR="007D5D83">
              <w:rPr>
                <w:noProof/>
                <w:webHidden/>
              </w:rPr>
              <w:t>iv</w:t>
            </w:r>
            <w:r w:rsidR="00761D12">
              <w:rPr>
                <w:noProof/>
                <w:webHidden/>
              </w:rPr>
              <w:fldChar w:fldCharType="end"/>
            </w:r>
          </w:hyperlink>
        </w:p>
        <w:p w14:paraId="34AAED97" w14:textId="5C93EF4D" w:rsidR="00761D12" w:rsidRDefault="004C5F21">
          <w:pPr>
            <w:pStyle w:val="TOC2"/>
            <w:tabs>
              <w:tab w:val="right" w:leader="dot" w:pos="8755"/>
            </w:tabs>
            <w:rPr>
              <w:noProof/>
              <w:lang w:val="en-GB" w:eastAsia="en-GB" w:bidi="ar-SA"/>
            </w:rPr>
          </w:pPr>
          <w:hyperlink w:anchor="_Toc54600787" w:history="1">
            <w:r w:rsidR="00761D12" w:rsidRPr="00650090">
              <w:rPr>
                <w:rStyle w:val="Hyperlink"/>
                <w:noProof/>
              </w:rPr>
              <w:t>The labour market</w:t>
            </w:r>
            <w:r w:rsidR="00761D12">
              <w:rPr>
                <w:noProof/>
                <w:webHidden/>
              </w:rPr>
              <w:tab/>
            </w:r>
            <w:r w:rsidR="00761D12">
              <w:rPr>
                <w:noProof/>
                <w:webHidden/>
              </w:rPr>
              <w:fldChar w:fldCharType="begin"/>
            </w:r>
            <w:r w:rsidR="00761D12">
              <w:rPr>
                <w:noProof/>
                <w:webHidden/>
              </w:rPr>
              <w:instrText xml:space="preserve"> PAGEREF _Toc54600787 \h </w:instrText>
            </w:r>
            <w:r w:rsidR="00761D12">
              <w:rPr>
                <w:noProof/>
                <w:webHidden/>
              </w:rPr>
            </w:r>
            <w:r w:rsidR="00761D12">
              <w:rPr>
                <w:noProof/>
                <w:webHidden/>
              </w:rPr>
              <w:fldChar w:fldCharType="separate"/>
            </w:r>
            <w:r w:rsidR="007D5D83">
              <w:rPr>
                <w:noProof/>
                <w:webHidden/>
              </w:rPr>
              <w:t>iv</w:t>
            </w:r>
            <w:r w:rsidR="00761D12">
              <w:rPr>
                <w:noProof/>
                <w:webHidden/>
              </w:rPr>
              <w:fldChar w:fldCharType="end"/>
            </w:r>
          </w:hyperlink>
        </w:p>
        <w:p w14:paraId="1C69901A" w14:textId="4B816DA8" w:rsidR="00761D12" w:rsidRDefault="004C5F21">
          <w:pPr>
            <w:pStyle w:val="TOC2"/>
            <w:tabs>
              <w:tab w:val="right" w:leader="dot" w:pos="8755"/>
            </w:tabs>
            <w:rPr>
              <w:noProof/>
              <w:lang w:val="en-GB" w:eastAsia="en-GB" w:bidi="ar-SA"/>
            </w:rPr>
          </w:pPr>
          <w:hyperlink w:anchor="_Toc54600788" w:history="1">
            <w:r w:rsidR="00761D12" w:rsidRPr="00650090">
              <w:rPr>
                <w:rStyle w:val="Hyperlink"/>
                <w:rFonts w:cstheme="minorHAnsi"/>
                <w:noProof/>
                <w:lang w:val="en-GB"/>
              </w:rPr>
              <w:t>Incomes</w:t>
            </w:r>
            <w:r w:rsidR="00761D12">
              <w:rPr>
                <w:noProof/>
                <w:webHidden/>
              </w:rPr>
              <w:tab/>
            </w:r>
            <w:r w:rsidR="00761D12">
              <w:rPr>
                <w:noProof/>
                <w:webHidden/>
              </w:rPr>
              <w:fldChar w:fldCharType="begin"/>
            </w:r>
            <w:r w:rsidR="00761D12">
              <w:rPr>
                <w:noProof/>
                <w:webHidden/>
              </w:rPr>
              <w:instrText xml:space="preserve"> PAGEREF _Toc54600788 \h </w:instrText>
            </w:r>
            <w:r w:rsidR="00761D12">
              <w:rPr>
                <w:noProof/>
                <w:webHidden/>
              </w:rPr>
            </w:r>
            <w:r w:rsidR="00761D12">
              <w:rPr>
                <w:noProof/>
                <w:webHidden/>
              </w:rPr>
              <w:fldChar w:fldCharType="separate"/>
            </w:r>
            <w:r w:rsidR="007D5D83">
              <w:rPr>
                <w:noProof/>
                <w:webHidden/>
              </w:rPr>
              <w:t>v</w:t>
            </w:r>
            <w:r w:rsidR="00761D12">
              <w:rPr>
                <w:noProof/>
                <w:webHidden/>
              </w:rPr>
              <w:fldChar w:fldCharType="end"/>
            </w:r>
          </w:hyperlink>
        </w:p>
        <w:p w14:paraId="18C9EB8C" w14:textId="444DB2F4" w:rsidR="00761D12" w:rsidRDefault="004C5F21">
          <w:pPr>
            <w:pStyle w:val="TOC2"/>
            <w:tabs>
              <w:tab w:val="right" w:leader="dot" w:pos="8755"/>
            </w:tabs>
            <w:rPr>
              <w:noProof/>
              <w:lang w:val="en-GB" w:eastAsia="en-GB" w:bidi="ar-SA"/>
            </w:rPr>
          </w:pPr>
          <w:hyperlink w:anchor="_Toc54600789" w:history="1">
            <w:r w:rsidR="00761D12" w:rsidRPr="00650090">
              <w:rPr>
                <w:rStyle w:val="Hyperlink"/>
                <w:rFonts w:cstheme="minorHAnsi"/>
                <w:noProof/>
                <w:lang w:val="en-GB"/>
              </w:rPr>
              <w:t>Subjective financial wellbeing</w:t>
            </w:r>
            <w:r w:rsidR="00761D12">
              <w:rPr>
                <w:noProof/>
                <w:webHidden/>
              </w:rPr>
              <w:tab/>
            </w:r>
            <w:r w:rsidR="00761D12">
              <w:rPr>
                <w:noProof/>
                <w:webHidden/>
              </w:rPr>
              <w:fldChar w:fldCharType="begin"/>
            </w:r>
            <w:r w:rsidR="00761D12">
              <w:rPr>
                <w:noProof/>
                <w:webHidden/>
              </w:rPr>
              <w:instrText xml:space="preserve"> PAGEREF _Toc54600789 \h </w:instrText>
            </w:r>
            <w:r w:rsidR="00761D12">
              <w:rPr>
                <w:noProof/>
                <w:webHidden/>
              </w:rPr>
            </w:r>
            <w:r w:rsidR="00761D12">
              <w:rPr>
                <w:noProof/>
                <w:webHidden/>
              </w:rPr>
              <w:fldChar w:fldCharType="separate"/>
            </w:r>
            <w:r w:rsidR="007D5D83">
              <w:rPr>
                <w:noProof/>
                <w:webHidden/>
              </w:rPr>
              <w:t>vi</w:t>
            </w:r>
            <w:r w:rsidR="00761D12">
              <w:rPr>
                <w:noProof/>
                <w:webHidden/>
              </w:rPr>
              <w:fldChar w:fldCharType="end"/>
            </w:r>
          </w:hyperlink>
        </w:p>
        <w:p w14:paraId="155E12E2" w14:textId="1D30E4BF" w:rsidR="00761D12" w:rsidRDefault="004C5F21">
          <w:pPr>
            <w:pStyle w:val="TOC2"/>
            <w:tabs>
              <w:tab w:val="right" w:leader="dot" w:pos="8755"/>
            </w:tabs>
            <w:rPr>
              <w:noProof/>
              <w:lang w:val="en-GB" w:eastAsia="en-GB" w:bidi="ar-SA"/>
            </w:rPr>
          </w:pPr>
          <w:hyperlink w:anchor="_Toc54600790" w:history="1">
            <w:r w:rsidR="00761D12" w:rsidRPr="00650090">
              <w:rPr>
                <w:rStyle w:val="Hyperlink"/>
                <w:rFonts w:cstheme="minorHAnsi"/>
                <w:noProof/>
                <w:lang w:val="en-GB"/>
              </w:rPr>
              <w:t>Bank accounts</w:t>
            </w:r>
            <w:r w:rsidR="00761D12">
              <w:rPr>
                <w:noProof/>
                <w:webHidden/>
              </w:rPr>
              <w:tab/>
            </w:r>
            <w:r w:rsidR="00761D12">
              <w:rPr>
                <w:noProof/>
                <w:webHidden/>
              </w:rPr>
              <w:fldChar w:fldCharType="begin"/>
            </w:r>
            <w:r w:rsidR="00761D12">
              <w:rPr>
                <w:noProof/>
                <w:webHidden/>
              </w:rPr>
              <w:instrText xml:space="preserve"> PAGEREF _Toc54600790 \h </w:instrText>
            </w:r>
            <w:r w:rsidR="00761D12">
              <w:rPr>
                <w:noProof/>
                <w:webHidden/>
              </w:rPr>
            </w:r>
            <w:r w:rsidR="00761D12">
              <w:rPr>
                <w:noProof/>
                <w:webHidden/>
              </w:rPr>
              <w:fldChar w:fldCharType="separate"/>
            </w:r>
            <w:r w:rsidR="007D5D83">
              <w:rPr>
                <w:noProof/>
                <w:webHidden/>
              </w:rPr>
              <w:t>vi</w:t>
            </w:r>
            <w:r w:rsidR="00761D12">
              <w:rPr>
                <w:noProof/>
                <w:webHidden/>
              </w:rPr>
              <w:fldChar w:fldCharType="end"/>
            </w:r>
          </w:hyperlink>
        </w:p>
        <w:p w14:paraId="55072458" w14:textId="3CDFA944" w:rsidR="00761D12" w:rsidRDefault="004C5F21">
          <w:pPr>
            <w:pStyle w:val="TOC2"/>
            <w:tabs>
              <w:tab w:val="right" w:leader="dot" w:pos="8755"/>
            </w:tabs>
            <w:rPr>
              <w:noProof/>
              <w:lang w:val="en-GB" w:eastAsia="en-GB" w:bidi="ar-SA"/>
            </w:rPr>
          </w:pPr>
          <w:hyperlink w:anchor="_Toc54600791" w:history="1">
            <w:r w:rsidR="00761D12" w:rsidRPr="00650090">
              <w:rPr>
                <w:rStyle w:val="Hyperlink"/>
                <w:rFonts w:cstheme="minorHAnsi"/>
                <w:noProof/>
                <w:lang w:val="en-GB"/>
              </w:rPr>
              <w:t>Savings</w:t>
            </w:r>
            <w:r w:rsidR="00761D12">
              <w:rPr>
                <w:noProof/>
                <w:webHidden/>
              </w:rPr>
              <w:tab/>
            </w:r>
            <w:r w:rsidR="00761D12">
              <w:rPr>
                <w:noProof/>
                <w:webHidden/>
              </w:rPr>
              <w:fldChar w:fldCharType="begin"/>
            </w:r>
            <w:r w:rsidR="00761D12">
              <w:rPr>
                <w:noProof/>
                <w:webHidden/>
              </w:rPr>
              <w:instrText xml:space="preserve"> PAGEREF _Toc54600791 \h </w:instrText>
            </w:r>
            <w:r w:rsidR="00761D12">
              <w:rPr>
                <w:noProof/>
                <w:webHidden/>
              </w:rPr>
            </w:r>
            <w:r w:rsidR="00761D12">
              <w:rPr>
                <w:noProof/>
                <w:webHidden/>
              </w:rPr>
              <w:fldChar w:fldCharType="separate"/>
            </w:r>
            <w:r w:rsidR="007D5D83">
              <w:rPr>
                <w:noProof/>
                <w:webHidden/>
              </w:rPr>
              <w:t>vii</w:t>
            </w:r>
            <w:r w:rsidR="00761D12">
              <w:rPr>
                <w:noProof/>
                <w:webHidden/>
              </w:rPr>
              <w:fldChar w:fldCharType="end"/>
            </w:r>
          </w:hyperlink>
        </w:p>
        <w:p w14:paraId="0E0A1F4F" w14:textId="5F3D8619" w:rsidR="00761D12" w:rsidRDefault="004C5F21">
          <w:pPr>
            <w:pStyle w:val="TOC2"/>
            <w:tabs>
              <w:tab w:val="right" w:leader="dot" w:pos="8755"/>
            </w:tabs>
            <w:rPr>
              <w:noProof/>
              <w:lang w:val="en-GB" w:eastAsia="en-GB" w:bidi="ar-SA"/>
            </w:rPr>
          </w:pPr>
          <w:hyperlink w:anchor="_Toc54600792" w:history="1">
            <w:r w:rsidR="00761D12" w:rsidRPr="00650090">
              <w:rPr>
                <w:rStyle w:val="Hyperlink"/>
                <w:rFonts w:cstheme="minorHAnsi"/>
                <w:noProof/>
                <w:lang w:val="en-GB"/>
              </w:rPr>
              <w:t>Pensions</w:t>
            </w:r>
            <w:r w:rsidR="00761D12">
              <w:rPr>
                <w:noProof/>
                <w:webHidden/>
              </w:rPr>
              <w:tab/>
            </w:r>
            <w:r w:rsidR="00761D12">
              <w:rPr>
                <w:noProof/>
                <w:webHidden/>
              </w:rPr>
              <w:fldChar w:fldCharType="begin"/>
            </w:r>
            <w:r w:rsidR="00761D12">
              <w:rPr>
                <w:noProof/>
                <w:webHidden/>
              </w:rPr>
              <w:instrText xml:space="preserve"> PAGEREF _Toc54600792 \h </w:instrText>
            </w:r>
            <w:r w:rsidR="00761D12">
              <w:rPr>
                <w:noProof/>
                <w:webHidden/>
              </w:rPr>
            </w:r>
            <w:r w:rsidR="00761D12">
              <w:rPr>
                <w:noProof/>
                <w:webHidden/>
              </w:rPr>
              <w:fldChar w:fldCharType="separate"/>
            </w:r>
            <w:r w:rsidR="007D5D83">
              <w:rPr>
                <w:noProof/>
                <w:webHidden/>
              </w:rPr>
              <w:t>vii</w:t>
            </w:r>
            <w:r w:rsidR="00761D12">
              <w:rPr>
                <w:noProof/>
                <w:webHidden/>
              </w:rPr>
              <w:fldChar w:fldCharType="end"/>
            </w:r>
          </w:hyperlink>
        </w:p>
        <w:p w14:paraId="355FDD49" w14:textId="183C6CC8" w:rsidR="00761D12" w:rsidRDefault="004C5F21">
          <w:pPr>
            <w:pStyle w:val="TOC2"/>
            <w:tabs>
              <w:tab w:val="right" w:leader="dot" w:pos="8755"/>
            </w:tabs>
            <w:rPr>
              <w:noProof/>
              <w:lang w:val="en-GB" w:eastAsia="en-GB" w:bidi="ar-SA"/>
            </w:rPr>
          </w:pPr>
          <w:hyperlink w:anchor="_Toc54600793" w:history="1">
            <w:r w:rsidR="00761D12" w:rsidRPr="00650090">
              <w:rPr>
                <w:rStyle w:val="Hyperlink"/>
                <w:rFonts w:cstheme="minorHAnsi"/>
                <w:noProof/>
                <w:lang w:val="en-GB"/>
              </w:rPr>
              <w:t>Borrowing</w:t>
            </w:r>
            <w:r w:rsidR="00761D12">
              <w:rPr>
                <w:noProof/>
                <w:webHidden/>
              </w:rPr>
              <w:tab/>
            </w:r>
            <w:r w:rsidR="00761D12">
              <w:rPr>
                <w:noProof/>
                <w:webHidden/>
              </w:rPr>
              <w:fldChar w:fldCharType="begin"/>
            </w:r>
            <w:r w:rsidR="00761D12">
              <w:rPr>
                <w:noProof/>
                <w:webHidden/>
              </w:rPr>
              <w:instrText xml:space="preserve"> PAGEREF _Toc54600793 \h </w:instrText>
            </w:r>
            <w:r w:rsidR="00761D12">
              <w:rPr>
                <w:noProof/>
                <w:webHidden/>
              </w:rPr>
            </w:r>
            <w:r w:rsidR="00761D12">
              <w:rPr>
                <w:noProof/>
                <w:webHidden/>
              </w:rPr>
              <w:fldChar w:fldCharType="separate"/>
            </w:r>
            <w:r w:rsidR="007D5D83">
              <w:rPr>
                <w:noProof/>
                <w:webHidden/>
              </w:rPr>
              <w:t>vii</w:t>
            </w:r>
            <w:r w:rsidR="00761D12">
              <w:rPr>
                <w:noProof/>
                <w:webHidden/>
              </w:rPr>
              <w:fldChar w:fldCharType="end"/>
            </w:r>
          </w:hyperlink>
        </w:p>
        <w:p w14:paraId="39B90D37" w14:textId="09B6CA74" w:rsidR="00761D12" w:rsidRDefault="004C5F21">
          <w:pPr>
            <w:pStyle w:val="TOC2"/>
            <w:tabs>
              <w:tab w:val="right" w:leader="dot" w:pos="8755"/>
            </w:tabs>
            <w:rPr>
              <w:noProof/>
              <w:lang w:val="en-GB" w:eastAsia="en-GB" w:bidi="ar-SA"/>
            </w:rPr>
          </w:pPr>
          <w:hyperlink w:anchor="_Toc54600794" w:history="1">
            <w:r w:rsidR="00761D12" w:rsidRPr="00650090">
              <w:rPr>
                <w:rStyle w:val="Hyperlink"/>
                <w:rFonts w:cstheme="minorHAnsi"/>
                <w:noProof/>
                <w:lang w:val="en-GB"/>
              </w:rPr>
              <w:t>Problem debt</w:t>
            </w:r>
            <w:r w:rsidR="00761D12">
              <w:rPr>
                <w:noProof/>
                <w:webHidden/>
              </w:rPr>
              <w:tab/>
            </w:r>
            <w:r w:rsidR="00761D12">
              <w:rPr>
                <w:noProof/>
                <w:webHidden/>
              </w:rPr>
              <w:fldChar w:fldCharType="begin"/>
            </w:r>
            <w:r w:rsidR="00761D12">
              <w:rPr>
                <w:noProof/>
                <w:webHidden/>
              </w:rPr>
              <w:instrText xml:space="preserve"> PAGEREF _Toc54600794 \h </w:instrText>
            </w:r>
            <w:r w:rsidR="00761D12">
              <w:rPr>
                <w:noProof/>
                <w:webHidden/>
              </w:rPr>
            </w:r>
            <w:r w:rsidR="00761D12">
              <w:rPr>
                <w:noProof/>
                <w:webHidden/>
              </w:rPr>
              <w:fldChar w:fldCharType="separate"/>
            </w:r>
            <w:r w:rsidR="007D5D83">
              <w:rPr>
                <w:noProof/>
                <w:webHidden/>
              </w:rPr>
              <w:t>viii</w:t>
            </w:r>
            <w:r w:rsidR="00761D12">
              <w:rPr>
                <w:noProof/>
                <w:webHidden/>
              </w:rPr>
              <w:fldChar w:fldCharType="end"/>
            </w:r>
          </w:hyperlink>
        </w:p>
        <w:p w14:paraId="0B3CCCB4" w14:textId="36833250" w:rsidR="00761D12" w:rsidRDefault="004C5F21">
          <w:pPr>
            <w:pStyle w:val="TOC2"/>
            <w:tabs>
              <w:tab w:val="right" w:leader="dot" w:pos="8755"/>
            </w:tabs>
            <w:rPr>
              <w:noProof/>
              <w:lang w:val="en-GB" w:eastAsia="en-GB" w:bidi="ar-SA"/>
            </w:rPr>
          </w:pPr>
          <w:hyperlink w:anchor="_Toc54600795" w:history="1">
            <w:r w:rsidR="00761D12" w:rsidRPr="00650090">
              <w:rPr>
                <w:rStyle w:val="Hyperlink"/>
                <w:rFonts w:cstheme="minorHAnsi"/>
                <w:noProof/>
                <w:lang w:val="en-GB"/>
              </w:rPr>
              <w:t>Insurance</w:t>
            </w:r>
            <w:r w:rsidR="00761D12">
              <w:rPr>
                <w:noProof/>
                <w:webHidden/>
              </w:rPr>
              <w:tab/>
            </w:r>
            <w:r w:rsidR="00761D12">
              <w:rPr>
                <w:noProof/>
                <w:webHidden/>
              </w:rPr>
              <w:fldChar w:fldCharType="begin"/>
            </w:r>
            <w:r w:rsidR="00761D12">
              <w:rPr>
                <w:noProof/>
                <w:webHidden/>
              </w:rPr>
              <w:instrText xml:space="preserve"> PAGEREF _Toc54600795 \h </w:instrText>
            </w:r>
            <w:r w:rsidR="00761D12">
              <w:rPr>
                <w:noProof/>
                <w:webHidden/>
              </w:rPr>
            </w:r>
            <w:r w:rsidR="00761D12">
              <w:rPr>
                <w:noProof/>
                <w:webHidden/>
              </w:rPr>
              <w:fldChar w:fldCharType="separate"/>
            </w:r>
            <w:r w:rsidR="007D5D83">
              <w:rPr>
                <w:noProof/>
                <w:webHidden/>
              </w:rPr>
              <w:t>ix</w:t>
            </w:r>
            <w:r w:rsidR="00761D12">
              <w:rPr>
                <w:noProof/>
                <w:webHidden/>
              </w:rPr>
              <w:fldChar w:fldCharType="end"/>
            </w:r>
          </w:hyperlink>
        </w:p>
        <w:p w14:paraId="3685C113" w14:textId="1744CDDB" w:rsidR="00761D12" w:rsidRDefault="004C5F21">
          <w:pPr>
            <w:pStyle w:val="TOC1"/>
            <w:tabs>
              <w:tab w:val="right" w:leader="dot" w:pos="8755"/>
            </w:tabs>
            <w:rPr>
              <w:noProof/>
              <w:lang w:val="en-GB" w:eastAsia="en-GB" w:bidi="ar-SA"/>
            </w:rPr>
          </w:pPr>
          <w:hyperlink w:anchor="_Toc54600796" w:history="1">
            <w:r w:rsidR="00761D12" w:rsidRPr="00650090">
              <w:rPr>
                <w:rStyle w:val="Hyperlink"/>
                <w:noProof/>
              </w:rPr>
              <w:t>Introduction</w:t>
            </w:r>
            <w:r w:rsidR="00761D12">
              <w:rPr>
                <w:noProof/>
                <w:webHidden/>
              </w:rPr>
              <w:tab/>
            </w:r>
            <w:r w:rsidR="00761D12">
              <w:rPr>
                <w:noProof/>
                <w:webHidden/>
              </w:rPr>
              <w:fldChar w:fldCharType="begin"/>
            </w:r>
            <w:r w:rsidR="00761D12">
              <w:rPr>
                <w:noProof/>
                <w:webHidden/>
              </w:rPr>
              <w:instrText xml:space="preserve"> PAGEREF _Toc54600796 \h </w:instrText>
            </w:r>
            <w:r w:rsidR="00761D12">
              <w:rPr>
                <w:noProof/>
                <w:webHidden/>
              </w:rPr>
            </w:r>
            <w:r w:rsidR="00761D12">
              <w:rPr>
                <w:noProof/>
                <w:webHidden/>
              </w:rPr>
              <w:fldChar w:fldCharType="separate"/>
            </w:r>
            <w:r w:rsidR="007D5D83">
              <w:rPr>
                <w:noProof/>
                <w:webHidden/>
              </w:rPr>
              <w:t>1</w:t>
            </w:r>
            <w:r w:rsidR="00761D12">
              <w:rPr>
                <w:noProof/>
                <w:webHidden/>
              </w:rPr>
              <w:fldChar w:fldCharType="end"/>
            </w:r>
          </w:hyperlink>
        </w:p>
        <w:p w14:paraId="444CCBC5" w14:textId="406B68AA" w:rsidR="00761D12" w:rsidRDefault="004C5F21">
          <w:pPr>
            <w:pStyle w:val="TOC2"/>
            <w:tabs>
              <w:tab w:val="right" w:leader="dot" w:pos="8755"/>
            </w:tabs>
            <w:rPr>
              <w:noProof/>
              <w:lang w:val="en-GB" w:eastAsia="en-GB" w:bidi="ar-SA"/>
            </w:rPr>
          </w:pPr>
          <w:hyperlink w:anchor="_Toc54600797" w:history="1">
            <w:r w:rsidR="00761D12" w:rsidRPr="00650090">
              <w:rPr>
                <w:rStyle w:val="Hyperlink"/>
                <w:rFonts w:cstheme="minorHAnsi"/>
                <w:noProof/>
                <w:lang w:val="en-GB"/>
              </w:rPr>
              <w:t>Towards a financially-inclusive society</w:t>
            </w:r>
            <w:r w:rsidR="00761D12">
              <w:rPr>
                <w:noProof/>
                <w:webHidden/>
              </w:rPr>
              <w:tab/>
            </w:r>
            <w:r w:rsidR="00761D12">
              <w:rPr>
                <w:noProof/>
                <w:webHidden/>
              </w:rPr>
              <w:fldChar w:fldCharType="begin"/>
            </w:r>
            <w:r w:rsidR="00761D12">
              <w:rPr>
                <w:noProof/>
                <w:webHidden/>
              </w:rPr>
              <w:instrText xml:space="preserve"> PAGEREF _Toc54600797 \h </w:instrText>
            </w:r>
            <w:r w:rsidR="00761D12">
              <w:rPr>
                <w:noProof/>
                <w:webHidden/>
              </w:rPr>
            </w:r>
            <w:r w:rsidR="00761D12">
              <w:rPr>
                <w:noProof/>
                <w:webHidden/>
              </w:rPr>
              <w:fldChar w:fldCharType="separate"/>
            </w:r>
            <w:r w:rsidR="007D5D83">
              <w:rPr>
                <w:noProof/>
                <w:webHidden/>
              </w:rPr>
              <w:t>1</w:t>
            </w:r>
            <w:r w:rsidR="00761D12">
              <w:rPr>
                <w:noProof/>
                <w:webHidden/>
              </w:rPr>
              <w:fldChar w:fldCharType="end"/>
            </w:r>
          </w:hyperlink>
        </w:p>
        <w:p w14:paraId="5132248C" w14:textId="212546C1" w:rsidR="00761D12" w:rsidRDefault="004C5F21">
          <w:pPr>
            <w:pStyle w:val="TOC2"/>
            <w:tabs>
              <w:tab w:val="right" w:leader="dot" w:pos="8755"/>
            </w:tabs>
            <w:rPr>
              <w:noProof/>
              <w:lang w:val="en-GB" w:eastAsia="en-GB" w:bidi="ar-SA"/>
            </w:rPr>
          </w:pPr>
          <w:hyperlink w:anchor="_Toc54600798" w:history="1">
            <w:r w:rsidR="00761D12" w:rsidRPr="00650090">
              <w:rPr>
                <w:rStyle w:val="Hyperlink"/>
                <w:rFonts w:cstheme="minorHAnsi"/>
                <w:noProof/>
                <w:lang w:val="en-GB"/>
              </w:rPr>
              <w:t>The policy context</w:t>
            </w:r>
            <w:r w:rsidR="00761D12">
              <w:rPr>
                <w:noProof/>
                <w:webHidden/>
              </w:rPr>
              <w:tab/>
            </w:r>
            <w:r w:rsidR="00761D12">
              <w:rPr>
                <w:noProof/>
                <w:webHidden/>
              </w:rPr>
              <w:fldChar w:fldCharType="begin"/>
            </w:r>
            <w:r w:rsidR="00761D12">
              <w:rPr>
                <w:noProof/>
                <w:webHidden/>
              </w:rPr>
              <w:instrText xml:space="preserve"> PAGEREF _Toc54600798 \h </w:instrText>
            </w:r>
            <w:r w:rsidR="00761D12">
              <w:rPr>
                <w:noProof/>
                <w:webHidden/>
              </w:rPr>
            </w:r>
            <w:r w:rsidR="00761D12">
              <w:rPr>
                <w:noProof/>
                <w:webHidden/>
              </w:rPr>
              <w:fldChar w:fldCharType="separate"/>
            </w:r>
            <w:r w:rsidR="007D5D83">
              <w:rPr>
                <w:noProof/>
                <w:webHidden/>
              </w:rPr>
              <w:t>3</w:t>
            </w:r>
            <w:r w:rsidR="00761D12">
              <w:rPr>
                <w:noProof/>
                <w:webHidden/>
              </w:rPr>
              <w:fldChar w:fldCharType="end"/>
            </w:r>
          </w:hyperlink>
        </w:p>
        <w:p w14:paraId="0BB102DA" w14:textId="70297959" w:rsidR="00761D12" w:rsidRDefault="004C5F21">
          <w:pPr>
            <w:pStyle w:val="TOC1"/>
            <w:tabs>
              <w:tab w:val="right" w:leader="dot" w:pos="8755"/>
            </w:tabs>
            <w:rPr>
              <w:noProof/>
              <w:lang w:val="en-GB" w:eastAsia="en-GB" w:bidi="ar-SA"/>
            </w:rPr>
          </w:pPr>
          <w:hyperlink w:anchor="_Toc54600799" w:history="1">
            <w:r w:rsidR="00761D12" w:rsidRPr="00650090">
              <w:rPr>
                <w:rStyle w:val="Hyperlink"/>
                <w:noProof/>
              </w:rPr>
              <w:t>Detailed findings</w:t>
            </w:r>
            <w:r w:rsidR="00761D12">
              <w:rPr>
                <w:noProof/>
                <w:webHidden/>
              </w:rPr>
              <w:tab/>
            </w:r>
            <w:r w:rsidR="00761D12">
              <w:rPr>
                <w:noProof/>
                <w:webHidden/>
              </w:rPr>
              <w:fldChar w:fldCharType="begin"/>
            </w:r>
            <w:r w:rsidR="00761D12">
              <w:rPr>
                <w:noProof/>
                <w:webHidden/>
              </w:rPr>
              <w:instrText xml:space="preserve"> PAGEREF _Toc54600799 \h </w:instrText>
            </w:r>
            <w:r w:rsidR="00761D12">
              <w:rPr>
                <w:noProof/>
                <w:webHidden/>
              </w:rPr>
            </w:r>
            <w:r w:rsidR="00761D12">
              <w:rPr>
                <w:noProof/>
                <w:webHidden/>
              </w:rPr>
              <w:fldChar w:fldCharType="separate"/>
            </w:r>
            <w:r w:rsidR="007D5D83">
              <w:rPr>
                <w:noProof/>
                <w:webHidden/>
              </w:rPr>
              <w:t>7</w:t>
            </w:r>
            <w:r w:rsidR="00761D12">
              <w:rPr>
                <w:noProof/>
                <w:webHidden/>
              </w:rPr>
              <w:fldChar w:fldCharType="end"/>
            </w:r>
          </w:hyperlink>
        </w:p>
        <w:p w14:paraId="20C71F91" w14:textId="4E62064C" w:rsidR="00761D12" w:rsidRDefault="004C5F21">
          <w:pPr>
            <w:pStyle w:val="TOC2"/>
            <w:tabs>
              <w:tab w:val="left" w:pos="660"/>
              <w:tab w:val="right" w:leader="dot" w:pos="8755"/>
            </w:tabs>
            <w:rPr>
              <w:noProof/>
              <w:lang w:val="en-GB" w:eastAsia="en-GB" w:bidi="ar-SA"/>
            </w:rPr>
          </w:pPr>
          <w:hyperlink w:anchor="_Toc54600800" w:history="1">
            <w:r w:rsidR="00761D12" w:rsidRPr="00650090">
              <w:rPr>
                <w:rStyle w:val="Hyperlink"/>
                <w:rFonts w:cstheme="minorHAnsi"/>
                <w:noProof/>
                <w:lang w:val="en-GB"/>
              </w:rPr>
              <w:t>1.</w:t>
            </w:r>
            <w:r w:rsidR="00761D12">
              <w:rPr>
                <w:noProof/>
                <w:lang w:val="en-GB" w:eastAsia="en-GB" w:bidi="ar-SA"/>
              </w:rPr>
              <w:tab/>
            </w:r>
            <w:r w:rsidR="00761D12" w:rsidRPr="00650090">
              <w:rPr>
                <w:rStyle w:val="Hyperlink"/>
                <w:rFonts w:cstheme="minorHAnsi"/>
                <w:noProof/>
                <w:lang w:val="en-GB"/>
              </w:rPr>
              <w:t>The economy</w:t>
            </w:r>
            <w:r w:rsidR="00761D12">
              <w:rPr>
                <w:noProof/>
                <w:webHidden/>
              </w:rPr>
              <w:tab/>
            </w:r>
            <w:r w:rsidR="00761D12">
              <w:rPr>
                <w:noProof/>
                <w:webHidden/>
              </w:rPr>
              <w:fldChar w:fldCharType="begin"/>
            </w:r>
            <w:r w:rsidR="00761D12">
              <w:rPr>
                <w:noProof/>
                <w:webHidden/>
              </w:rPr>
              <w:instrText xml:space="preserve"> PAGEREF _Toc54600800 \h </w:instrText>
            </w:r>
            <w:r w:rsidR="00761D12">
              <w:rPr>
                <w:noProof/>
                <w:webHidden/>
              </w:rPr>
            </w:r>
            <w:r w:rsidR="00761D12">
              <w:rPr>
                <w:noProof/>
                <w:webHidden/>
              </w:rPr>
              <w:fldChar w:fldCharType="separate"/>
            </w:r>
            <w:r w:rsidR="007D5D83">
              <w:rPr>
                <w:noProof/>
                <w:webHidden/>
              </w:rPr>
              <w:t>7</w:t>
            </w:r>
            <w:r w:rsidR="00761D12">
              <w:rPr>
                <w:noProof/>
                <w:webHidden/>
              </w:rPr>
              <w:fldChar w:fldCharType="end"/>
            </w:r>
          </w:hyperlink>
        </w:p>
        <w:p w14:paraId="1212C443" w14:textId="70815663" w:rsidR="00761D12" w:rsidRDefault="004C5F21">
          <w:pPr>
            <w:pStyle w:val="TOC2"/>
            <w:tabs>
              <w:tab w:val="left" w:pos="660"/>
              <w:tab w:val="right" w:leader="dot" w:pos="8755"/>
            </w:tabs>
            <w:rPr>
              <w:noProof/>
              <w:lang w:val="en-GB" w:eastAsia="en-GB" w:bidi="ar-SA"/>
            </w:rPr>
          </w:pPr>
          <w:hyperlink w:anchor="_Toc54600801" w:history="1">
            <w:r w:rsidR="00761D12" w:rsidRPr="00650090">
              <w:rPr>
                <w:rStyle w:val="Hyperlink"/>
                <w:rFonts w:cstheme="minorHAnsi"/>
                <w:noProof/>
                <w:lang w:val="en-GB"/>
              </w:rPr>
              <w:t>2.</w:t>
            </w:r>
            <w:r w:rsidR="00761D12">
              <w:rPr>
                <w:noProof/>
                <w:lang w:val="en-GB" w:eastAsia="en-GB" w:bidi="ar-SA"/>
              </w:rPr>
              <w:tab/>
            </w:r>
            <w:r w:rsidR="00761D12" w:rsidRPr="00650090">
              <w:rPr>
                <w:rStyle w:val="Hyperlink"/>
                <w:rFonts w:cstheme="minorHAnsi"/>
                <w:noProof/>
                <w:lang w:val="en-GB"/>
              </w:rPr>
              <w:t>The labour market</w:t>
            </w:r>
            <w:r w:rsidR="00761D12">
              <w:rPr>
                <w:noProof/>
                <w:webHidden/>
              </w:rPr>
              <w:tab/>
            </w:r>
            <w:r w:rsidR="00761D12">
              <w:rPr>
                <w:noProof/>
                <w:webHidden/>
              </w:rPr>
              <w:fldChar w:fldCharType="begin"/>
            </w:r>
            <w:r w:rsidR="00761D12">
              <w:rPr>
                <w:noProof/>
                <w:webHidden/>
              </w:rPr>
              <w:instrText xml:space="preserve"> PAGEREF _Toc54600801 \h </w:instrText>
            </w:r>
            <w:r w:rsidR="00761D12">
              <w:rPr>
                <w:noProof/>
                <w:webHidden/>
              </w:rPr>
            </w:r>
            <w:r w:rsidR="00761D12">
              <w:rPr>
                <w:noProof/>
                <w:webHidden/>
              </w:rPr>
              <w:fldChar w:fldCharType="separate"/>
            </w:r>
            <w:r w:rsidR="007D5D83">
              <w:rPr>
                <w:noProof/>
                <w:webHidden/>
              </w:rPr>
              <w:t>12</w:t>
            </w:r>
            <w:r w:rsidR="00761D12">
              <w:rPr>
                <w:noProof/>
                <w:webHidden/>
              </w:rPr>
              <w:fldChar w:fldCharType="end"/>
            </w:r>
          </w:hyperlink>
        </w:p>
        <w:p w14:paraId="74FFF5DC" w14:textId="116ECDD6" w:rsidR="00761D12" w:rsidRDefault="004C5F21">
          <w:pPr>
            <w:pStyle w:val="TOC2"/>
            <w:tabs>
              <w:tab w:val="left" w:pos="660"/>
              <w:tab w:val="right" w:leader="dot" w:pos="8755"/>
            </w:tabs>
            <w:rPr>
              <w:noProof/>
              <w:lang w:val="en-GB" w:eastAsia="en-GB" w:bidi="ar-SA"/>
            </w:rPr>
          </w:pPr>
          <w:hyperlink w:anchor="_Toc54600802" w:history="1">
            <w:r w:rsidR="00761D12" w:rsidRPr="00650090">
              <w:rPr>
                <w:rStyle w:val="Hyperlink"/>
                <w:rFonts w:cstheme="minorHAnsi"/>
                <w:noProof/>
                <w:lang w:val="en-GB"/>
              </w:rPr>
              <w:t>3.</w:t>
            </w:r>
            <w:r w:rsidR="00761D12">
              <w:rPr>
                <w:noProof/>
                <w:lang w:val="en-GB" w:eastAsia="en-GB" w:bidi="ar-SA"/>
              </w:rPr>
              <w:tab/>
            </w:r>
            <w:r w:rsidR="00761D12" w:rsidRPr="00650090">
              <w:rPr>
                <w:rStyle w:val="Hyperlink"/>
                <w:rFonts w:cstheme="minorHAnsi"/>
                <w:noProof/>
                <w:lang w:val="en-GB"/>
              </w:rPr>
              <w:t>Incomes</w:t>
            </w:r>
            <w:r w:rsidR="00761D12">
              <w:rPr>
                <w:noProof/>
                <w:webHidden/>
              </w:rPr>
              <w:tab/>
            </w:r>
            <w:r w:rsidR="00761D12">
              <w:rPr>
                <w:noProof/>
                <w:webHidden/>
              </w:rPr>
              <w:fldChar w:fldCharType="begin"/>
            </w:r>
            <w:r w:rsidR="00761D12">
              <w:rPr>
                <w:noProof/>
                <w:webHidden/>
              </w:rPr>
              <w:instrText xml:space="preserve"> PAGEREF _Toc54600802 \h </w:instrText>
            </w:r>
            <w:r w:rsidR="00761D12">
              <w:rPr>
                <w:noProof/>
                <w:webHidden/>
              </w:rPr>
            </w:r>
            <w:r w:rsidR="00761D12">
              <w:rPr>
                <w:noProof/>
                <w:webHidden/>
              </w:rPr>
              <w:fldChar w:fldCharType="separate"/>
            </w:r>
            <w:r w:rsidR="007D5D83">
              <w:rPr>
                <w:noProof/>
                <w:webHidden/>
              </w:rPr>
              <w:t>22</w:t>
            </w:r>
            <w:r w:rsidR="00761D12">
              <w:rPr>
                <w:noProof/>
                <w:webHidden/>
              </w:rPr>
              <w:fldChar w:fldCharType="end"/>
            </w:r>
          </w:hyperlink>
        </w:p>
        <w:p w14:paraId="1A87E99E" w14:textId="130AF832" w:rsidR="00761D12" w:rsidRDefault="004C5F21">
          <w:pPr>
            <w:pStyle w:val="TOC2"/>
            <w:tabs>
              <w:tab w:val="left" w:pos="660"/>
              <w:tab w:val="right" w:leader="dot" w:pos="8755"/>
            </w:tabs>
            <w:rPr>
              <w:noProof/>
              <w:lang w:val="en-GB" w:eastAsia="en-GB" w:bidi="ar-SA"/>
            </w:rPr>
          </w:pPr>
          <w:hyperlink w:anchor="_Toc54600803" w:history="1">
            <w:r w:rsidR="00761D12" w:rsidRPr="00650090">
              <w:rPr>
                <w:rStyle w:val="Hyperlink"/>
                <w:rFonts w:cstheme="minorHAnsi"/>
                <w:noProof/>
                <w:lang w:val="en-GB"/>
              </w:rPr>
              <w:t>4.</w:t>
            </w:r>
            <w:r w:rsidR="00761D12">
              <w:rPr>
                <w:noProof/>
                <w:lang w:val="en-GB" w:eastAsia="en-GB" w:bidi="ar-SA"/>
              </w:rPr>
              <w:tab/>
            </w:r>
            <w:r w:rsidR="00761D12" w:rsidRPr="00650090">
              <w:rPr>
                <w:rStyle w:val="Hyperlink"/>
                <w:rFonts w:cstheme="minorHAnsi"/>
                <w:noProof/>
                <w:lang w:val="en-GB"/>
              </w:rPr>
              <w:t>Subjective financial wellbeing</w:t>
            </w:r>
            <w:r w:rsidR="00761D12">
              <w:rPr>
                <w:noProof/>
                <w:webHidden/>
              </w:rPr>
              <w:tab/>
            </w:r>
            <w:r w:rsidR="00761D12">
              <w:rPr>
                <w:noProof/>
                <w:webHidden/>
              </w:rPr>
              <w:fldChar w:fldCharType="begin"/>
            </w:r>
            <w:r w:rsidR="00761D12">
              <w:rPr>
                <w:noProof/>
                <w:webHidden/>
              </w:rPr>
              <w:instrText xml:space="preserve"> PAGEREF _Toc54600803 \h </w:instrText>
            </w:r>
            <w:r w:rsidR="00761D12">
              <w:rPr>
                <w:noProof/>
                <w:webHidden/>
              </w:rPr>
            </w:r>
            <w:r w:rsidR="00761D12">
              <w:rPr>
                <w:noProof/>
                <w:webHidden/>
              </w:rPr>
              <w:fldChar w:fldCharType="separate"/>
            </w:r>
            <w:r w:rsidR="007D5D83">
              <w:rPr>
                <w:noProof/>
                <w:webHidden/>
              </w:rPr>
              <w:t>32</w:t>
            </w:r>
            <w:r w:rsidR="00761D12">
              <w:rPr>
                <w:noProof/>
                <w:webHidden/>
              </w:rPr>
              <w:fldChar w:fldCharType="end"/>
            </w:r>
          </w:hyperlink>
        </w:p>
        <w:p w14:paraId="6B1A0D11" w14:textId="06CBFADD" w:rsidR="00761D12" w:rsidRDefault="004C5F21">
          <w:pPr>
            <w:pStyle w:val="TOC2"/>
            <w:tabs>
              <w:tab w:val="left" w:pos="660"/>
              <w:tab w:val="right" w:leader="dot" w:pos="8755"/>
            </w:tabs>
            <w:rPr>
              <w:noProof/>
              <w:lang w:val="en-GB" w:eastAsia="en-GB" w:bidi="ar-SA"/>
            </w:rPr>
          </w:pPr>
          <w:hyperlink w:anchor="_Toc54600804" w:history="1">
            <w:r w:rsidR="00761D12" w:rsidRPr="00650090">
              <w:rPr>
                <w:rStyle w:val="Hyperlink"/>
                <w:rFonts w:cstheme="minorHAnsi"/>
                <w:noProof/>
                <w:lang w:val="en-GB"/>
              </w:rPr>
              <w:t>5.</w:t>
            </w:r>
            <w:r w:rsidR="00761D12">
              <w:rPr>
                <w:noProof/>
                <w:lang w:val="en-GB" w:eastAsia="en-GB" w:bidi="ar-SA"/>
              </w:rPr>
              <w:tab/>
            </w:r>
            <w:r w:rsidR="00761D12" w:rsidRPr="00650090">
              <w:rPr>
                <w:rStyle w:val="Hyperlink"/>
                <w:rFonts w:cstheme="minorHAnsi"/>
                <w:noProof/>
                <w:lang w:val="en-GB"/>
              </w:rPr>
              <w:t>Bank accounts</w:t>
            </w:r>
            <w:r w:rsidR="00761D12">
              <w:rPr>
                <w:noProof/>
                <w:webHidden/>
              </w:rPr>
              <w:tab/>
            </w:r>
            <w:r w:rsidR="00761D12">
              <w:rPr>
                <w:noProof/>
                <w:webHidden/>
              </w:rPr>
              <w:fldChar w:fldCharType="begin"/>
            </w:r>
            <w:r w:rsidR="00761D12">
              <w:rPr>
                <w:noProof/>
                <w:webHidden/>
              </w:rPr>
              <w:instrText xml:space="preserve"> PAGEREF _Toc54600804 \h </w:instrText>
            </w:r>
            <w:r w:rsidR="00761D12">
              <w:rPr>
                <w:noProof/>
                <w:webHidden/>
              </w:rPr>
            </w:r>
            <w:r w:rsidR="00761D12">
              <w:rPr>
                <w:noProof/>
                <w:webHidden/>
              </w:rPr>
              <w:fldChar w:fldCharType="separate"/>
            </w:r>
            <w:r w:rsidR="007D5D83">
              <w:rPr>
                <w:noProof/>
                <w:webHidden/>
              </w:rPr>
              <w:t>37</w:t>
            </w:r>
            <w:r w:rsidR="00761D12">
              <w:rPr>
                <w:noProof/>
                <w:webHidden/>
              </w:rPr>
              <w:fldChar w:fldCharType="end"/>
            </w:r>
          </w:hyperlink>
        </w:p>
        <w:p w14:paraId="617427A1" w14:textId="3CBC13EF" w:rsidR="00761D12" w:rsidRDefault="004C5F21">
          <w:pPr>
            <w:pStyle w:val="TOC2"/>
            <w:tabs>
              <w:tab w:val="left" w:pos="660"/>
              <w:tab w:val="right" w:leader="dot" w:pos="8755"/>
            </w:tabs>
            <w:rPr>
              <w:noProof/>
              <w:lang w:val="en-GB" w:eastAsia="en-GB" w:bidi="ar-SA"/>
            </w:rPr>
          </w:pPr>
          <w:hyperlink w:anchor="_Toc54600805" w:history="1">
            <w:r w:rsidR="00761D12" w:rsidRPr="00650090">
              <w:rPr>
                <w:rStyle w:val="Hyperlink"/>
                <w:rFonts w:cstheme="minorHAnsi"/>
                <w:noProof/>
                <w:lang w:val="en-GB"/>
              </w:rPr>
              <w:t>6.</w:t>
            </w:r>
            <w:r w:rsidR="00761D12">
              <w:rPr>
                <w:noProof/>
                <w:lang w:val="en-GB" w:eastAsia="en-GB" w:bidi="ar-SA"/>
              </w:rPr>
              <w:tab/>
            </w:r>
            <w:r w:rsidR="00761D12" w:rsidRPr="00650090">
              <w:rPr>
                <w:rStyle w:val="Hyperlink"/>
                <w:rFonts w:cstheme="minorHAnsi"/>
                <w:noProof/>
                <w:lang w:val="en-GB"/>
              </w:rPr>
              <w:t>Savings</w:t>
            </w:r>
            <w:r w:rsidR="00761D12">
              <w:rPr>
                <w:noProof/>
                <w:webHidden/>
              </w:rPr>
              <w:tab/>
            </w:r>
            <w:r w:rsidR="00761D12">
              <w:rPr>
                <w:noProof/>
                <w:webHidden/>
              </w:rPr>
              <w:fldChar w:fldCharType="begin"/>
            </w:r>
            <w:r w:rsidR="00761D12">
              <w:rPr>
                <w:noProof/>
                <w:webHidden/>
              </w:rPr>
              <w:instrText xml:space="preserve"> PAGEREF _Toc54600805 \h </w:instrText>
            </w:r>
            <w:r w:rsidR="00761D12">
              <w:rPr>
                <w:noProof/>
                <w:webHidden/>
              </w:rPr>
            </w:r>
            <w:r w:rsidR="00761D12">
              <w:rPr>
                <w:noProof/>
                <w:webHidden/>
              </w:rPr>
              <w:fldChar w:fldCharType="separate"/>
            </w:r>
            <w:r w:rsidR="007D5D83">
              <w:rPr>
                <w:noProof/>
                <w:webHidden/>
              </w:rPr>
              <w:t>42</w:t>
            </w:r>
            <w:r w:rsidR="00761D12">
              <w:rPr>
                <w:noProof/>
                <w:webHidden/>
              </w:rPr>
              <w:fldChar w:fldCharType="end"/>
            </w:r>
          </w:hyperlink>
        </w:p>
        <w:p w14:paraId="40213F67" w14:textId="6A15ABB2" w:rsidR="00761D12" w:rsidRDefault="004C5F21">
          <w:pPr>
            <w:pStyle w:val="TOC2"/>
            <w:tabs>
              <w:tab w:val="left" w:pos="660"/>
              <w:tab w:val="right" w:leader="dot" w:pos="8755"/>
            </w:tabs>
            <w:rPr>
              <w:noProof/>
              <w:lang w:val="en-GB" w:eastAsia="en-GB" w:bidi="ar-SA"/>
            </w:rPr>
          </w:pPr>
          <w:hyperlink w:anchor="_Toc54600806" w:history="1">
            <w:r w:rsidR="00761D12" w:rsidRPr="00650090">
              <w:rPr>
                <w:rStyle w:val="Hyperlink"/>
                <w:rFonts w:cstheme="minorHAnsi"/>
                <w:noProof/>
                <w:lang w:val="en-GB"/>
              </w:rPr>
              <w:t>7.</w:t>
            </w:r>
            <w:r w:rsidR="00761D12">
              <w:rPr>
                <w:noProof/>
                <w:lang w:val="en-GB" w:eastAsia="en-GB" w:bidi="ar-SA"/>
              </w:rPr>
              <w:tab/>
            </w:r>
            <w:r w:rsidR="00761D12" w:rsidRPr="00650090">
              <w:rPr>
                <w:rStyle w:val="Hyperlink"/>
                <w:rFonts w:cstheme="minorHAnsi"/>
                <w:noProof/>
                <w:lang w:val="en-GB"/>
              </w:rPr>
              <w:t>Pensions</w:t>
            </w:r>
            <w:r w:rsidR="00761D12">
              <w:rPr>
                <w:noProof/>
                <w:webHidden/>
              </w:rPr>
              <w:tab/>
            </w:r>
            <w:r w:rsidR="00761D12">
              <w:rPr>
                <w:noProof/>
                <w:webHidden/>
              </w:rPr>
              <w:fldChar w:fldCharType="begin"/>
            </w:r>
            <w:r w:rsidR="00761D12">
              <w:rPr>
                <w:noProof/>
                <w:webHidden/>
              </w:rPr>
              <w:instrText xml:space="preserve"> PAGEREF _Toc54600806 \h </w:instrText>
            </w:r>
            <w:r w:rsidR="00761D12">
              <w:rPr>
                <w:noProof/>
                <w:webHidden/>
              </w:rPr>
            </w:r>
            <w:r w:rsidR="00761D12">
              <w:rPr>
                <w:noProof/>
                <w:webHidden/>
              </w:rPr>
              <w:fldChar w:fldCharType="separate"/>
            </w:r>
            <w:r w:rsidR="007D5D83">
              <w:rPr>
                <w:noProof/>
                <w:webHidden/>
              </w:rPr>
              <w:t>47</w:t>
            </w:r>
            <w:r w:rsidR="00761D12">
              <w:rPr>
                <w:noProof/>
                <w:webHidden/>
              </w:rPr>
              <w:fldChar w:fldCharType="end"/>
            </w:r>
          </w:hyperlink>
        </w:p>
        <w:p w14:paraId="568A2C2E" w14:textId="3B5935B5" w:rsidR="00761D12" w:rsidRDefault="004C5F21">
          <w:pPr>
            <w:pStyle w:val="TOC2"/>
            <w:tabs>
              <w:tab w:val="left" w:pos="660"/>
              <w:tab w:val="right" w:leader="dot" w:pos="8755"/>
            </w:tabs>
            <w:rPr>
              <w:noProof/>
              <w:lang w:val="en-GB" w:eastAsia="en-GB" w:bidi="ar-SA"/>
            </w:rPr>
          </w:pPr>
          <w:hyperlink w:anchor="_Toc54600807" w:history="1">
            <w:r w:rsidR="00761D12" w:rsidRPr="00650090">
              <w:rPr>
                <w:rStyle w:val="Hyperlink"/>
                <w:rFonts w:cstheme="minorHAnsi"/>
                <w:noProof/>
                <w:lang w:val="en-GB"/>
              </w:rPr>
              <w:t>8.</w:t>
            </w:r>
            <w:r w:rsidR="00761D12">
              <w:rPr>
                <w:noProof/>
                <w:lang w:val="en-GB" w:eastAsia="en-GB" w:bidi="ar-SA"/>
              </w:rPr>
              <w:tab/>
            </w:r>
            <w:r w:rsidR="00761D12" w:rsidRPr="00650090">
              <w:rPr>
                <w:rStyle w:val="Hyperlink"/>
                <w:rFonts w:cstheme="minorHAnsi"/>
                <w:noProof/>
                <w:lang w:val="en-GB"/>
              </w:rPr>
              <w:t>Borrowing</w:t>
            </w:r>
            <w:r w:rsidR="00761D12">
              <w:rPr>
                <w:noProof/>
                <w:webHidden/>
              </w:rPr>
              <w:tab/>
            </w:r>
            <w:r w:rsidR="00761D12">
              <w:rPr>
                <w:noProof/>
                <w:webHidden/>
              </w:rPr>
              <w:fldChar w:fldCharType="begin"/>
            </w:r>
            <w:r w:rsidR="00761D12">
              <w:rPr>
                <w:noProof/>
                <w:webHidden/>
              </w:rPr>
              <w:instrText xml:space="preserve"> PAGEREF _Toc54600807 \h </w:instrText>
            </w:r>
            <w:r w:rsidR="00761D12">
              <w:rPr>
                <w:noProof/>
                <w:webHidden/>
              </w:rPr>
            </w:r>
            <w:r w:rsidR="00761D12">
              <w:rPr>
                <w:noProof/>
                <w:webHidden/>
              </w:rPr>
              <w:fldChar w:fldCharType="separate"/>
            </w:r>
            <w:r w:rsidR="007D5D83">
              <w:rPr>
                <w:noProof/>
                <w:webHidden/>
              </w:rPr>
              <w:t>51</w:t>
            </w:r>
            <w:r w:rsidR="00761D12">
              <w:rPr>
                <w:noProof/>
                <w:webHidden/>
              </w:rPr>
              <w:fldChar w:fldCharType="end"/>
            </w:r>
          </w:hyperlink>
        </w:p>
        <w:p w14:paraId="0DCDD1C8" w14:textId="6993B653" w:rsidR="00761D12" w:rsidRDefault="004C5F21">
          <w:pPr>
            <w:pStyle w:val="TOC2"/>
            <w:tabs>
              <w:tab w:val="left" w:pos="660"/>
              <w:tab w:val="right" w:leader="dot" w:pos="8755"/>
            </w:tabs>
            <w:rPr>
              <w:noProof/>
              <w:lang w:val="en-GB" w:eastAsia="en-GB" w:bidi="ar-SA"/>
            </w:rPr>
          </w:pPr>
          <w:hyperlink w:anchor="_Toc54600808" w:history="1">
            <w:r w:rsidR="00761D12" w:rsidRPr="00650090">
              <w:rPr>
                <w:rStyle w:val="Hyperlink"/>
                <w:rFonts w:cstheme="minorHAnsi"/>
                <w:noProof/>
                <w:lang w:val="en-GB"/>
              </w:rPr>
              <w:t>9.</w:t>
            </w:r>
            <w:r w:rsidR="00761D12">
              <w:rPr>
                <w:noProof/>
                <w:lang w:val="en-GB" w:eastAsia="en-GB" w:bidi="ar-SA"/>
              </w:rPr>
              <w:tab/>
            </w:r>
            <w:r w:rsidR="00761D12" w:rsidRPr="00650090">
              <w:rPr>
                <w:rStyle w:val="Hyperlink"/>
                <w:rFonts w:cstheme="minorHAnsi"/>
                <w:noProof/>
                <w:lang w:val="en-GB"/>
              </w:rPr>
              <w:t>Problem debt</w:t>
            </w:r>
            <w:r w:rsidR="00761D12">
              <w:rPr>
                <w:noProof/>
                <w:webHidden/>
              </w:rPr>
              <w:tab/>
            </w:r>
            <w:r w:rsidR="00761D12">
              <w:rPr>
                <w:noProof/>
                <w:webHidden/>
              </w:rPr>
              <w:fldChar w:fldCharType="begin"/>
            </w:r>
            <w:r w:rsidR="00761D12">
              <w:rPr>
                <w:noProof/>
                <w:webHidden/>
              </w:rPr>
              <w:instrText xml:space="preserve"> PAGEREF _Toc54600808 \h </w:instrText>
            </w:r>
            <w:r w:rsidR="00761D12">
              <w:rPr>
                <w:noProof/>
                <w:webHidden/>
              </w:rPr>
            </w:r>
            <w:r w:rsidR="00761D12">
              <w:rPr>
                <w:noProof/>
                <w:webHidden/>
              </w:rPr>
              <w:fldChar w:fldCharType="separate"/>
            </w:r>
            <w:r w:rsidR="007D5D83">
              <w:rPr>
                <w:noProof/>
                <w:webHidden/>
              </w:rPr>
              <w:t>60</w:t>
            </w:r>
            <w:r w:rsidR="00761D12">
              <w:rPr>
                <w:noProof/>
                <w:webHidden/>
              </w:rPr>
              <w:fldChar w:fldCharType="end"/>
            </w:r>
          </w:hyperlink>
        </w:p>
        <w:p w14:paraId="2BF59CCE" w14:textId="75C8F0CE" w:rsidR="00761D12" w:rsidRDefault="004C5F21">
          <w:pPr>
            <w:pStyle w:val="TOC2"/>
            <w:tabs>
              <w:tab w:val="left" w:pos="880"/>
              <w:tab w:val="right" w:leader="dot" w:pos="8755"/>
            </w:tabs>
            <w:rPr>
              <w:noProof/>
              <w:lang w:val="en-GB" w:eastAsia="en-GB" w:bidi="ar-SA"/>
            </w:rPr>
          </w:pPr>
          <w:hyperlink w:anchor="_Toc54600809" w:history="1">
            <w:r w:rsidR="00761D12" w:rsidRPr="00650090">
              <w:rPr>
                <w:rStyle w:val="Hyperlink"/>
                <w:rFonts w:cstheme="minorHAnsi"/>
                <w:noProof/>
                <w:lang w:val="en-GB"/>
              </w:rPr>
              <w:t>10.</w:t>
            </w:r>
            <w:r w:rsidR="00761D12">
              <w:rPr>
                <w:noProof/>
                <w:lang w:val="en-GB" w:eastAsia="en-GB" w:bidi="ar-SA"/>
              </w:rPr>
              <w:tab/>
            </w:r>
            <w:r w:rsidR="00761D12" w:rsidRPr="00650090">
              <w:rPr>
                <w:rStyle w:val="Hyperlink"/>
                <w:rFonts w:cstheme="minorHAnsi"/>
                <w:noProof/>
                <w:lang w:val="en-GB"/>
              </w:rPr>
              <w:t>Insurance</w:t>
            </w:r>
            <w:r w:rsidR="00761D12">
              <w:rPr>
                <w:noProof/>
                <w:webHidden/>
              </w:rPr>
              <w:tab/>
            </w:r>
            <w:r w:rsidR="00761D12">
              <w:rPr>
                <w:noProof/>
                <w:webHidden/>
              </w:rPr>
              <w:fldChar w:fldCharType="begin"/>
            </w:r>
            <w:r w:rsidR="00761D12">
              <w:rPr>
                <w:noProof/>
                <w:webHidden/>
              </w:rPr>
              <w:instrText xml:space="preserve"> PAGEREF _Toc54600809 \h </w:instrText>
            </w:r>
            <w:r w:rsidR="00761D12">
              <w:rPr>
                <w:noProof/>
                <w:webHidden/>
              </w:rPr>
            </w:r>
            <w:r w:rsidR="00761D12">
              <w:rPr>
                <w:noProof/>
                <w:webHidden/>
              </w:rPr>
              <w:fldChar w:fldCharType="separate"/>
            </w:r>
            <w:r w:rsidR="007D5D83">
              <w:rPr>
                <w:noProof/>
                <w:webHidden/>
              </w:rPr>
              <w:t>68</w:t>
            </w:r>
            <w:r w:rsidR="00761D12">
              <w:rPr>
                <w:noProof/>
                <w:webHidden/>
              </w:rPr>
              <w:fldChar w:fldCharType="end"/>
            </w:r>
          </w:hyperlink>
        </w:p>
        <w:p w14:paraId="088D58B1" w14:textId="614361FF" w:rsidR="00761D12" w:rsidRDefault="004C5F21">
          <w:pPr>
            <w:pStyle w:val="TOC1"/>
            <w:tabs>
              <w:tab w:val="right" w:leader="dot" w:pos="8755"/>
            </w:tabs>
            <w:rPr>
              <w:noProof/>
              <w:lang w:val="en-GB" w:eastAsia="en-GB" w:bidi="ar-SA"/>
            </w:rPr>
          </w:pPr>
          <w:hyperlink w:anchor="_Toc54600810" w:history="1">
            <w:r w:rsidR="00761D12" w:rsidRPr="00650090">
              <w:rPr>
                <w:rStyle w:val="Hyperlink"/>
                <w:noProof/>
              </w:rPr>
              <w:t>Conclusions</w:t>
            </w:r>
            <w:r w:rsidR="00761D12">
              <w:rPr>
                <w:noProof/>
                <w:webHidden/>
              </w:rPr>
              <w:tab/>
            </w:r>
            <w:r w:rsidR="00761D12">
              <w:rPr>
                <w:noProof/>
                <w:webHidden/>
              </w:rPr>
              <w:fldChar w:fldCharType="begin"/>
            </w:r>
            <w:r w:rsidR="00761D12">
              <w:rPr>
                <w:noProof/>
                <w:webHidden/>
              </w:rPr>
              <w:instrText xml:space="preserve"> PAGEREF _Toc54600810 \h </w:instrText>
            </w:r>
            <w:r w:rsidR="00761D12">
              <w:rPr>
                <w:noProof/>
                <w:webHidden/>
              </w:rPr>
            </w:r>
            <w:r w:rsidR="00761D12">
              <w:rPr>
                <w:noProof/>
                <w:webHidden/>
              </w:rPr>
              <w:fldChar w:fldCharType="separate"/>
            </w:r>
            <w:r w:rsidR="007D5D83">
              <w:rPr>
                <w:noProof/>
                <w:webHidden/>
              </w:rPr>
              <w:t>69</w:t>
            </w:r>
            <w:r w:rsidR="00761D12">
              <w:rPr>
                <w:noProof/>
                <w:webHidden/>
              </w:rPr>
              <w:fldChar w:fldCharType="end"/>
            </w:r>
          </w:hyperlink>
        </w:p>
        <w:p w14:paraId="31902736" w14:textId="0E591E6F" w:rsidR="00761D12" w:rsidRDefault="004C5F21">
          <w:pPr>
            <w:pStyle w:val="TOC1"/>
            <w:tabs>
              <w:tab w:val="right" w:leader="dot" w:pos="8755"/>
            </w:tabs>
            <w:rPr>
              <w:noProof/>
              <w:lang w:val="en-GB" w:eastAsia="en-GB" w:bidi="ar-SA"/>
            </w:rPr>
          </w:pPr>
          <w:hyperlink w:anchor="_Toc54600811" w:history="1">
            <w:r w:rsidR="00761D12" w:rsidRPr="00650090">
              <w:rPr>
                <w:rStyle w:val="Hyperlink"/>
                <w:noProof/>
              </w:rPr>
              <w:t>Appendix: Data sources and research methods</w:t>
            </w:r>
            <w:r w:rsidR="00761D12">
              <w:rPr>
                <w:noProof/>
                <w:webHidden/>
              </w:rPr>
              <w:tab/>
            </w:r>
            <w:r w:rsidR="00761D12">
              <w:rPr>
                <w:noProof/>
                <w:webHidden/>
              </w:rPr>
              <w:fldChar w:fldCharType="begin"/>
            </w:r>
            <w:r w:rsidR="00761D12">
              <w:rPr>
                <w:noProof/>
                <w:webHidden/>
              </w:rPr>
              <w:instrText xml:space="preserve"> PAGEREF _Toc54600811 \h </w:instrText>
            </w:r>
            <w:r w:rsidR="00761D12">
              <w:rPr>
                <w:noProof/>
                <w:webHidden/>
              </w:rPr>
            </w:r>
            <w:r w:rsidR="00761D12">
              <w:rPr>
                <w:noProof/>
                <w:webHidden/>
              </w:rPr>
              <w:fldChar w:fldCharType="separate"/>
            </w:r>
            <w:r w:rsidR="007D5D83">
              <w:rPr>
                <w:noProof/>
                <w:webHidden/>
              </w:rPr>
              <w:t>71</w:t>
            </w:r>
            <w:r w:rsidR="00761D12">
              <w:rPr>
                <w:noProof/>
                <w:webHidden/>
              </w:rPr>
              <w:fldChar w:fldCharType="end"/>
            </w:r>
          </w:hyperlink>
        </w:p>
        <w:p w14:paraId="023D2334" w14:textId="400BBF18" w:rsidR="00761D12" w:rsidRDefault="004C5F21">
          <w:pPr>
            <w:pStyle w:val="TOC2"/>
            <w:tabs>
              <w:tab w:val="right" w:leader="dot" w:pos="8755"/>
            </w:tabs>
            <w:rPr>
              <w:noProof/>
              <w:lang w:val="en-GB" w:eastAsia="en-GB" w:bidi="ar-SA"/>
            </w:rPr>
          </w:pPr>
          <w:hyperlink w:anchor="_Toc54600812" w:history="1">
            <w:r w:rsidR="00761D12" w:rsidRPr="00650090">
              <w:rPr>
                <w:rStyle w:val="Hyperlink"/>
                <w:rFonts w:cstheme="minorHAnsi"/>
                <w:noProof/>
                <w:lang w:val="en-GB"/>
              </w:rPr>
              <w:t>Stakeholder engagement</w:t>
            </w:r>
            <w:r w:rsidR="00761D12">
              <w:rPr>
                <w:noProof/>
                <w:webHidden/>
              </w:rPr>
              <w:tab/>
            </w:r>
            <w:r w:rsidR="00761D12">
              <w:rPr>
                <w:noProof/>
                <w:webHidden/>
              </w:rPr>
              <w:fldChar w:fldCharType="begin"/>
            </w:r>
            <w:r w:rsidR="00761D12">
              <w:rPr>
                <w:noProof/>
                <w:webHidden/>
              </w:rPr>
              <w:instrText xml:space="preserve"> PAGEREF _Toc54600812 \h </w:instrText>
            </w:r>
            <w:r w:rsidR="00761D12">
              <w:rPr>
                <w:noProof/>
                <w:webHidden/>
              </w:rPr>
            </w:r>
            <w:r w:rsidR="00761D12">
              <w:rPr>
                <w:noProof/>
                <w:webHidden/>
              </w:rPr>
              <w:fldChar w:fldCharType="separate"/>
            </w:r>
            <w:r w:rsidR="007D5D83">
              <w:rPr>
                <w:noProof/>
                <w:webHidden/>
              </w:rPr>
              <w:t>71</w:t>
            </w:r>
            <w:r w:rsidR="00761D12">
              <w:rPr>
                <w:noProof/>
                <w:webHidden/>
              </w:rPr>
              <w:fldChar w:fldCharType="end"/>
            </w:r>
          </w:hyperlink>
        </w:p>
        <w:p w14:paraId="7E7C3A88" w14:textId="56DC2547" w:rsidR="00761D12" w:rsidRDefault="004C5F21">
          <w:pPr>
            <w:pStyle w:val="TOC2"/>
            <w:tabs>
              <w:tab w:val="right" w:leader="dot" w:pos="8755"/>
            </w:tabs>
            <w:rPr>
              <w:noProof/>
              <w:lang w:val="en-GB" w:eastAsia="en-GB" w:bidi="ar-SA"/>
            </w:rPr>
          </w:pPr>
          <w:hyperlink w:anchor="_Toc54600813" w:history="1">
            <w:r w:rsidR="00761D12" w:rsidRPr="00650090">
              <w:rPr>
                <w:rStyle w:val="Hyperlink"/>
                <w:rFonts w:cstheme="minorHAnsi"/>
                <w:noProof/>
                <w:lang w:val="en-GB"/>
              </w:rPr>
              <w:t>Secondary analysis of existing data sources</w:t>
            </w:r>
            <w:r w:rsidR="00761D12">
              <w:rPr>
                <w:noProof/>
                <w:webHidden/>
              </w:rPr>
              <w:tab/>
            </w:r>
            <w:r w:rsidR="00761D12">
              <w:rPr>
                <w:noProof/>
                <w:webHidden/>
              </w:rPr>
              <w:fldChar w:fldCharType="begin"/>
            </w:r>
            <w:r w:rsidR="00761D12">
              <w:rPr>
                <w:noProof/>
                <w:webHidden/>
              </w:rPr>
              <w:instrText xml:space="preserve"> PAGEREF _Toc54600813 \h </w:instrText>
            </w:r>
            <w:r w:rsidR="00761D12">
              <w:rPr>
                <w:noProof/>
                <w:webHidden/>
              </w:rPr>
            </w:r>
            <w:r w:rsidR="00761D12">
              <w:rPr>
                <w:noProof/>
                <w:webHidden/>
              </w:rPr>
              <w:fldChar w:fldCharType="separate"/>
            </w:r>
            <w:r w:rsidR="007D5D83">
              <w:rPr>
                <w:noProof/>
                <w:webHidden/>
              </w:rPr>
              <w:t>71</w:t>
            </w:r>
            <w:r w:rsidR="00761D12">
              <w:rPr>
                <w:noProof/>
                <w:webHidden/>
              </w:rPr>
              <w:fldChar w:fldCharType="end"/>
            </w:r>
          </w:hyperlink>
        </w:p>
        <w:p w14:paraId="7EDE7FE5" w14:textId="4390D818" w:rsidR="00761D12" w:rsidRDefault="004C5F21">
          <w:pPr>
            <w:pStyle w:val="TOC3"/>
            <w:tabs>
              <w:tab w:val="right" w:leader="dot" w:pos="8755"/>
            </w:tabs>
            <w:rPr>
              <w:noProof/>
              <w:lang w:val="en-GB" w:eastAsia="en-GB" w:bidi="ar-SA"/>
            </w:rPr>
          </w:pPr>
          <w:hyperlink w:anchor="_Toc54600814" w:history="1">
            <w:r w:rsidR="00761D12" w:rsidRPr="00650090">
              <w:rPr>
                <w:rStyle w:val="Hyperlink"/>
                <w:rFonts w:cstheme="minorHAnsi"/>
                <w:noProof/>
                <w:lang w:val="en-GB"/>
              </w:rPr>
              <w:t>Administrative data</w:t>
            </w:r>
            <w:r w:rsidR="00761D12">
              <w:rPr>
                <w:noProof/>
                <w:webHidden/>
              </w:rPr>
              <w:tab/>
            </w:r>
            <w:r w:rsidR="00761D12">
              <w:rPr>
                <w:noProof/>
                <w:webHidden/>
              </w:rPr>
              <w:fldChar w:fldCharType="begin"/>
            </w:r>
            <w:r w:rsidR="00761D12">
              <w:rPr>
                <w:noProof/>
                <w:webHidden/>
              </w:rPr>
              <w:instrText xml:space="preserve"> PAGEREF _Toc54600814 \h </w:instrText>
            </w:r>
            <w:r w:rsidR="00761D12">
              <w:rPr>
                <w:noProof/>
                <w:webHidden/>
              </w:rPr>
            </w:r>
            <w:r w:rsidR="00761D12">
              <w:rPr>
                <w:noProof/>
                <w:webHidden/>
              </w:rPr>
              <w:fldChar w:fldCharType="separate"/>
            </w:r>
            <w:r w:rsidR="007D5D83">
              <w:rPr>
                <w:noProof/>
                <w:webHidden/>
              </w:rPr>
              <w:t>71</w:t>
            </w:r>
            <w:r w:rsidR="00761D12">
              <w:rPr>
                <w:noProof/>
                <w:webHidden/>
              </w:rPr>
              <w:fldChar w:fldCharType="end"/>
            </w:r>
          </w:hyperlink>
        </w:p>
        <w:p w14:paraId="38DD7B23" w14:textId="04DD45C3" w:rsidR="00761D12" w:rsidRDefault="004C5F21">
          <w:pPr>
            <w:pStyle w:val="TOC3"/>
            <w:tabs>
              <w:tab w:val="right" w:leader="dot" w:pos="8755"/>
            </w:tabs>
            <w:rPr>
              <w:noProof/>
              <w:lang w:val="en-GB" w:eastAsia="en-GB" w:bidi="ar-SA"/>
            </w:rPr>
          </w:pPr>
          <w:hyperlink w:anchor="_Toc54600815" w:history="1">
            <w:r w:rsidR="00761D12" w:rsidRPr="00650090">
              <w:rPr>
                <w:rStyle w:val="Hyperlink"/>
                <w:rFonts w:cstheme="minorHAnsi"/>
                <w:noProof/>
                <w:lang w:val="en-GB"/>
              </w:rPr>
              <w:t>Survey data</w:t>
            </w:r>
            <w:r w:rsidR="00761D12">
              <w:rPr>
                <w:noProof/>
                <w:webHidden/>
              </w:rPr>
              <w:tab/>
            </w:r>
            <w:r w:rsidR="00761D12">
              <w:rPr>
                <w:noProof/>
                <w:webHidden/>
              </w:rPr>
              <w:fldChar w:fldCharType="begin"/>
            </w:r>
            <w:r w:rsidR="00761D12">
              <w:rPr>
                <w:noProof/>
                <w:webHidden/>
              </w:rPr>
              <w:instrText xml:space="preserve"> PAGEREF _Toc54600815 \h </w:instrText>
            </w:r>
            <w:r w:rsidR="00761D12">
              <w:rPr>
                <w:noProof/>
                <w:webHidden/>
              </w:rPr>
            </w:r>
            <w:r w:rsidR="00761D12">
              <w:rPr>
                <w:noProof/>
                <w:webHidden/>
              </w:rPr>
              <w:fldChar w:fldCharType="separate"/>
            </w:r>
            <w:r w:rsidR="007D5D83">
              <w:rPr>
                <w:noProof/>
                <w:webHidden/>
              </w:rPr>
              <w:t>72</w:t>
            </w:r>
            <w:r w:rsidR="00761D12">
              <w:rPr>
                <w:noProof/>
                <w:webHidden/>
              </w:rPr>
              <w:fldChar w:fldCharType="end"/>
            </w:r>
          </w:hyperlink>
        </w:p>
        <w:p w14:paraId="6B41DEA3" w14:textId="23C9CCCD" w:rsidR="00EE1671" w:rsidRDefault="00EE1671">
          <w:r>
            <w:rPr>
              <w:b/>
              <w:bCs/>
              <w:noProof/>
            </w:rPr>
            <w:fldChar w:fldCharType="end"/>
          </w:r>
        </w:p>
      </w:sdtContent>
    </w:sdt>
    <w:p w14:paraId="5F582628" w14:textId="77777777" w:rsidR="00973936" w:rsidRDefault="00973936" w:rsidP="004B64F5">
      <w:pPr>
        <w:spacing w:beforeAutospacing="1" w:after="100" w:afterAutospacing="1" w:line="360" w:lineRule="auto"/>
        <w:rPr>
          <w:rFonts w:cstheme="minorHAnsi"/>
          <w:b/>
          <w:bCs/>
          <w:color w:val="0070C0"/>
          <w:szCs w:val="24"/>
          <w:lang w:val="en-GB"/>
        </w:rPr>
      </w:pPr>
    </w:p>
    <w:p w14:paraId="50B281A7" w14:textId="3B73AA46" w:rsidR="007E64E2" w:rsidRPr="00BC42BD" w:rsidRDefault="00E641E8" w:rsidP="00D86B69">
      <w:pPr>
        <w:spacing w:beforeAutospacing="1" w:after="100" w:afterAutospacing="1" w:line="360" w:lineRule="auto"/>
        <w:rPr>
          <w:rFonts w:cstheme="minorHAnsi"/>
          <w:b/>
          <w:bCs/>
          <w:szCs w:val="24"/>
          <w:lang w:val="en-GB"/>
        </w:rPr>
      </w:pPr>
      <w:r w:rsidRPr="00BC42BD">
        <w:rPr>
          <w:rFonts w:cstheme="minorHAnsi"/>
          <w:b/>
          <w:bCs/>
          <w:szCs w:val="24"/>
          <w:lang w:val="en-GB"/>
        </w:rPr>
        <w:t>Acknowledgements</w:t>
      </w:r>
    </w:p>
    <w:p w14:paraId="7CBD67EE" w14:textId="3D876E10" w:rsidR="007E64E2" w:rsidRPr="00764F24" w:rsidRDefault="00E641E8" w:rsidP="00D86B69">
      <w:pPr>
        <w:spacing w:beforeAutospacing="1" w:after="100" w:afterAutospacing="1" w:line="360" w:lineRule="auto"/>
        <w:rPr>
          <w:rFonts w:cstheme="minorHAnsi"/>
          <w:szCs w:val="24"/>
          <w:lang w:val="en-GB"/>
        </w:rPr>
      </w:pPr>
      <w:r w:rsidRPr="00764F24">
        <w:rPr>
          <w:rFonts w:cstheme="minorHAnsi"/>
          <w:szCs w:val="24"/>
          <w:lang w:val="en-GB"/>
        </w:rPr>
        <w:t>We would like to thank the Friends Provident Foundation</w:t>
      </w:r>
      <w:r w:rsidR="00751165" w:rsidRPr="00764F24">
        <w:rPr>
          <w:rFonts w:cstheme="minorHAnsi"/>
          <w:szCs w:val="24"/>
          <w:lang w:val="en-GB"/>
        </w:rPr>
        <w:t xml:space="preserve"> </w:t>
      </w:r>
      <w:r w:rsidR="00E31DE9" w:rsidRPr="00764F24">
        <w:rPr>
          <w:rFonts w:cstheme="minorHAnsi"/>
          <w:szCs w:val="24"/>
          <w:lang w:val="en-GB"/>
        </w:rPr>
        <w:t xml:space="preserve">and Barrow Cadbury Trust </w:t>
      </w:r>
      <w:r w:rsidR="00751165" w:rsidRPr="00764F24">
        <w:rPr>
          <w:rFonts w:cstheme="minorHAnsi"/>
          <w:szCs w:val="24"/>
          <w:lang w:val="en-GB"/>
        </w:rPr>
        <w:t xml:space="preserve">for funding this work. </w:t>
      </w:r>
      <w:r w:rsidRPr="00764F24">
        <w:rPr>
          <w:rFonts w:cstheme="minorHAnsi"/>
          <w:szCs w:val="24"/>
          <w:lang w:val="en-GB"/>
        </w:rPr>
        <w:t>Danielle Walker-</w:t>
      </w:r>
      <w:proofErr w:type="spellStart"/>
      <w:r w:rsidRPr="00764F24">
        <w:rPr>
          <w:rFonts w:cstheme="minorHAnsi"/>
          <w:szCs w:val="24"/>
          <w:lang w:val="en-GB"/>
        </w:rPr>
        <w:t>Palmour</w:t>
      </w:r>
      <w:proofErr w:type="spellEnd"/>
      <w:r w:rsidR="00751165" w:rsidRPr="00764F24">
        <w:rPr>
          <w:rFonts w:cstheme="minorHAnsi"/>
          <w:szCs w:val="24"/>
          <w:lang w:val="en-GB"/>
        </w:rPr>
        <w:t xml:space="preserve"> </w:t>
      </w:r>
      <w:r w:rsidR="00E31DE9" w:rsidRPr="00764F24">
        <w:rPr>
          <w:rFonts w:cstheme="minorHAnsi"/>
          <w:szCs w:val="24"/>
          <w:lang w:val="en-GB"/>
        </w:rPr>
        <w:t xml:space="preserve">and Clare Payne </w:t>
      </w:r>
      <w:r w:rsidR="00751165" w:rsidRPr="00764F24">
        <w:rPr>
          <w:rFonts w:cstheme="minorHAnsi"/>
          <w:szCs w:val="24"/>
          <w:lang w:val="en-GB"/>
        </w:rPr>
        <w:t>have been particularly helpful and supportive</w:t>
      </w:r>
      <w:r w:rsidR="0046792C">
        <w:rPr>
          <w:rFonts w:cstheme="minorHAnsi"/>
          <w:szCs w:val="24"/>
          <w:lang w:val="en-GB"/>
        </w:rPr>
        <w:t>, as always</w:t>
      </w:r>
      <w:r w:rsidR="00BF7FBA" w:rsidRPr="00764F24">
        <w:rPr>
          <w:rFonts w:cstheme="minorHAnsi"/>
          <w:szCs w:val="24"/>
          <w:lang w:val="en-GB"/>
        </w:rPr>
        <w:t xml:space="preserve">. </w:t>
      </w:r>
    </w:p>
    <w:p w14:paraId="6E0891A2" w14:textId="77777777" w:rsidR="0046792C" w:rsidRDefault="005B667F" w:rsidP="00D86B69">
      <w:pPr>
        <w:spacing w:beforeAutospacing="1" w:after="100" w:afterAutospacing="1" w:line="360" w:lineRule="auto"/>
        <w:rPr>
          <w:rFonts w:cstheme="minorHAnsi"/>
          <w:szCs w:val="24"/>
          <w:lang w:val="en-GB"/>
        </w:rPr>
      </w:pPr>
      <w:r w:rsidRPr="00764F24">
        <w:rPr>
          <w:rFonts w:cstheme="minorHAnsi"/>
          <w:szCs w:val="24"/>
          <w:lang w:val="en-GB"/>
        </w:rPr>
        <w:t xml:space="preserve">We </w:t>
      </w:r>
      <w:r w:rsidR="0046792C">
        <w:rPr>
          <w:rFonts w:cstheme="minorHAnsi"/>
          <w:szCs w:val="24"/>
          <w:lang w:val="en-GB"/>
        </w:rPr>
        <w:t xml:space="preserve">also </w:t>
      </w:r>
      <w:r w:rsidRPr="00764F24">
        <w:rPr>
          <w:rFonts w:cstheme="minorHAnsi"/>
          <w:szCs w:val="24"/>
          <w:lang w:val="en-GB"/>
        </w:rPr>
        <w:t>wish to thank the UK Data Service for supply</w:t>
      </w:r>
      <w:r w:rsidR="00DB1DE8" w:rsidRPr="00764F24">
        <w:rPr>
          <w:rFonts w:cstheme="minorHAnsi"/>
          <w:szCs w:val="24"/>
          <w:lang w:val="en-GB"/>
        </w:rPr>
        <w:t>ing</w:t>
      </w:r>
      <w:r w:rsidRPr="00764F24">
        <w:rPr>
          <w:rFonts w:cstheme="minorHAnsi"/>
          <w:szCs w:val="24"/>
          <w:lang w:val="en-GB"/>
        </w:rPr>
        <w:t xml:space="preserve"> the datasets used in this research project</w:t>
      </w:r>
      <w:r w:rsidR="0046792C">
        <w:rPr>
          <w:rFonts w:cstheme="minorHAnsi"/>
          <w:szCs w:val="24"/>
          <w:lang w:val="en-GB"/>
        </w:rPr>
        <w:t xml:space="preserve"> – and thank </w:t>
      </w:r>
      <w:r w:rsidRPr="00764F24">
        <w:rPr>
          <w:rFonts w:cstheme="minorHAnsi"/>
          <w:szCs w:val="24"/>
          <w:lang w:val="en-GB"/>
        </w:rPr>
        <w:t>the funders and d</w:t>
      </w:r>
      <w:r w:rsidR="00B651F3" w:rsidRPr="00764F24">
        <w:rPr>
          <w:rFonts w:cstheme="minorHAnsi"/>
          <w:szCs w:val="24"/>
          <w:lang w:val="en-GB"/>
        </w:rPr>
        <w:t>ata collectors of these surveys</w:t>
      </w:r>
      <w:r w:rsidRPr="00764F24">
        <w:rPr>
          <w:rFonts w:cstheme="minorHAnsi"/>
          <w:szCs w:val="24"/>
          <w:lang w:val="en-GB"/>
        </w:rPr>
        <w:t xml:space="preserve">. </w:t>
      </w:r>
    </w:p>
    <w:p w14:paraId="505014DB" w14:textId="20F11C20" w:rsidR="007E64E2" w:rsidRPr="00764F24" w:rsidRDefault="005B667F" w:rsidP="00D86B69">
      <w:pPr>
        <w:spacing w:beforeAutospacing="1" w:after="100" w:afterAutospacing="1" w:line="360" w:lineRule="auto"/>
        <w:rPr>
          <w:rFonts w:cstheme="minorHAnsi"/>
          <w:szCs w:val="24"/>
          <w:lang w:val="en-GB"/>
        </w:rPr>
      </w:pPr>
      <w:r w:rsidRPr="00764F24">
        <w:rPr>
          <w:rFonts w:cstheme="minorHAnsi"/>
          <w:szCs w:val="24"/>
          <w:lang w:val="en-GB"/>
        </w:rPr>
        <w:t xml:space="preserve">Naturally, none of these individuals or organisations </w:t>
      </w:r>
      <w:r w:rsidR="007C144D" w:rsidRPr="00764F24">
        <w:rPr>
          <w:rFonts w:cstheme="minorHAnsi"/>
          <w:szCs w:val="24"/>
          <w:lang w:val="en-GB"/>
        </w:rPr>
        <w:t>has</w:t>
      </w:r>
      <w:r w:rsidRPr="00764F24">
        <w:rPr>
          <w:rFonts w:cstheme="minorHAnsi"/>
          <w:szCs w:val="24"/>
          <w:lang w:val="en-GB"/>
        </w:rPr>
        <w:t xml:space="preserve"> any responsibility for the analysis conducted or conclusions drawn.</w:t>
      </w:r>
    </w:p>
    <w:p w14:paraId="409F9518" w14:textId="0948FE4A" w:rsidR="005B667F" w:rsidRPr="00BC42BD" w:rsidRDefault="005A176A" w:rsidP="00D86B69">
      <w:pPr>
        <w:spacing w:beforeAutospacing="1" w:after="100" w:afterAutospacing="1" w:line="360" w:lineRule="auto"/>
        <w:rPr>
          <w:rFonts w:cstheme="minorHAnsi"/>
          <w:b/>
          <w:bCs/>
          <w:i/>
          <w:iCs/>
          <w:szCs w:val="24"/>
          <w:lang w:val="en-GB"/>
        </w:rPr>
      </w:pPr>
      <w:r w:rsidRPr="00BC42BD">
        <w:rPr>
          <w:rFonts w:cstheme="minorHAnsi"/>
          <w:b/>
          <w:bCs/>
          <w:i/>
          <w:iCs/>
          <w:szCs w:val="24"/>
          <w:lang w:val="en-GB"/>
        </w:rPr>
        <w:t>Authors</w:t>
      </w:r>
    </w:p>
    <w:p w14:paraId="7D202BCB" w14:textId="77777777" w:rsidR="003A0F0F" w:rsidRPr="00764F24" w:rsidRDefault="003A0F0F" w:rsidP="00D86B69">
      <w:pPr>
        <w:spacing w:beforeAutospacing="1" w:after="100" w:afterAutospacing="1" w:line="360" w:lineRule="auto"/>
        <w:rPr>
          <w:rFonts w:cstheme="minorHAnsi"/>
          <w:szCs w:val="24"/>
          <w:lang w:val="en-GB"/>
        </w:rPr>
      </w:pPr>
      <w:r w:rsidRPr="00764F24">
        <w:rPr>
          <w:rFonts w:cstheme="minorHAnsi"/>
          <w:szCs w:val="24"/>
          <w:lang w:val="en-GB"/>
        </w:rPr>
        <w:t>Stephen McKay, Distinguished Professor in Social Research, University of Lincoln.</w:t>
      </w:r>
    </w:p>
    <w:p w14:paraId="5E4B23FA" w14:textId="1B9D58FA" w:rsidR="000E14A5" w:rsidRDefault="00E641E8" w:rsidP="00D86B69">
      <w:pPr>
        <w:spacing w:beforeAutospacing="1" w:after="100" w:afterAutospacing="1" w:line="360" w:lineRule="auto"/>
        <w:rPr>
          <w:rFonts w:cstheme="minorHAnsi"/>
          <w:szCs w:val="24"/>
          <w:lang w:val="en-GB"/>
        </w:rPr>
      </w:pPr>
      <w:r w:rsidRPr="00764F24">
        <w:rPr>
          <w:rFonts w:cstheme="minorHAnsi"/>
          <w:szCs w:val="24"/>
          <w:lang w:val="en-GB"/>
        </w:rPr>
        <w:t>Karen Rowlingson, Professor of Social Policy, University of Birmingham</w:t>
      </w:r>
      <w:r w:rsidR="007C144D" w:rsidRPr="00764F24">
        <w:rPr>
          <w:rFonts w:cstheme="minorHAnsi"/>
          <w:szCs w:val="24"/>
          <w:lang w:val="en-GB"/>
        </w:rPr>
        <w:t>.</w:t>
      </w:r>
      <w:r w:rsidR="007E64E2" w:rsidRPr="00764F24">
        <w:rPr>
          <w:rFonts w:cstheme="minorHAnsi"/>
          <w:szCs w:val="24"/>
          <w:lang w:val="en-GB"/>
        </w:rPr>
        <w:t xml:space="preserve"> </w:t>
      </w:r>
    </w:p>
    <w:p w14:paraId="7E6B2537" w14:textId="52963DD5" w:rsidR="002C00DD" w:rsidRDefault="002C00DD" w:rsidP="00D86B69">
      <w:pPr>
        <w:spacing w:beforeAutospacing="1" w:after="100" w:afterAutospacing="1" w:line="360" w:lineRule="auto"/>
        <w:rPr>
          <w:rFonts w:cstheme="minorHAnsi"/>
          <w:szCs w:val="24"/>
          <w:lang w:val="en-GB"/>
        </w:rPr>
      </w:pPr>
    </w:p>
    <w:p w14:paraId="68CF061E" w14:textId="1B2EC612" w:rsidR="00B9482B" w:rsidRPr="00764F24" w:rsidRDefault="00B9482B" w:rsidP="00D86B69">
      <w:pPr>
        <w:spacing w:beforeAutospacing="1" w:after="100" w:afterAutospacing="1" w:line="360" w:lineRule="auto"/>
        <w:rPr>
          <w:rFonts w:cstheme="minorHAnsi"/>
          <w:szCs w:val="24"/>
          <w:lang w:val="en-GB"/>
        </w:rPr>
      </w:pPr>
      <w:r>
        <w:rPr>
          <w:rFonts w:cstheme="minorHAnsi"/>
          <w:szCs w:val="24"/>
          <w:lang w:val="en-GB"/>
        </w:rPr>
        <w:t>October 2020</w:t>
      </w:r>
      <w:r w:rsidR="00BC42BD">
        <w:rPr>
          <w:rFonts w:cstheme="minorHAnsi"/>
          <w:szCs w:val="24"/>
          <w:lang w:val="en-GB"/>
        </w:rPr>
        <w:t>.</w:t>
      </w:r>
    </w:p>
    <w:p w14:paraId="32EBF6F2" w14:textId="77777777" w:rsidR="005F310A" w:rsidRPr="005F310A" w:rsidRDefault="005F310A" w:rsidP="005F310A">
      <w:pPr>
        <w:jc w:val="center"/>
        <w:rPr>
          <w:rFonts w:eastAsiaTheme="majorEastAsia" w:cstheme="minorHAnsi"/>
          <w:szCs w:val="24"/>
          <w:lang w:val="en-GB"/>
        </w:rPr>
      </w:pPr>
    </w:p>
    <w:p w14:paraId="006DCA13" w14:textId="1B1EE321" w:rsidR="00952763" w:rsidRDefault="00952763" w:rsidP="005F310A">
      <w:pPr>
        <w:rPr>
          <w:rFonts w:eastAsiaTheme="majorEastAsia" w:cstheme="minorHAnsi"/>
          <w:szCs w:val="24"/>
          <w:lang w:val="en-GB"/>
        </w:rPr>
      </w:pPr>
      <w:r>
        <w:rPr>
          <w:rFonts w:eastAsiaTheme="majorEastAsia" w:cstheme="minorHAnsi"/>
          <w:szCs w:val="24"/>
          <w:lang w:val="en-GB"/>
        </w:rPr>
        <w:br w:type="page"/>
      </w:r>
    </w:p>
    <w:p w14:paraId="0AFC1FFD" w14:textId="77777777" w:rsidR="005F310A" w:rsidRPr="005F310A" w:rsidRDefault="005F310A" w:rsidP="005F310A">
      <w:pPr>
        <w:rPr>
          <w:rFonts w:eastAsiaTheme="majorEastAsia" w:cstheme="minorHAnsi"/>
          <w:szCs w:val="24"/>
          <w:lang w:val="en-GB"/>
        </w:rPr>
      </w:pPr>
    </w:p>
    <w:p w14:paraId="70117DFE" w14:textId="69A59CD0" w:rsidR="007E64E2" w:rsidRPr="001B32E1" w:rsidRDefault="003E2740" w:rsidP="001B32E1">
      <w:pPr>
        <w:pStyle w:val="Heading1"/>
      </w:pPr>
      <w:bookmarkStart w:id="0" w:name="_Toc51250042"/>
      <w:bookmarkStart w:id="1" w:name="_Toc54600784"/>
      <w:r w:rsidRPr="001B32E1">
        <w:t>Executive summary</w:t>
      </w:r>
      <w:bookmarkEnd w:id="0"/>
      <w:bookmarkEnd w:id="1"/>
    </w:p>
    <w:p w14:paraId="117DC14A" w14:textId="206CF2AD" w:rsidR="007523AD" w:rsidRPr="00764F24" w:rsidRDefault="007523AD" w:rsidP="00D86B69">
      <w:pPr>
        <w:spacing w:beforeAutospacing="1" w:after="100" w:afterAutospacing="1" w:line="360" w:lineRule="auto"/>
        <w:rPr>
          <w:rFonts w:cstheme="minorHAnsi"/>
          <w:szCs w:val="24"/>
          <w:lang w:val="en-GB"/>
        </w:rPr>
      </w:pPr>
    </w:p>
    <w:p w14:paraId="0CB23D87" w14:textId="24B0A8BC" w:rsidR="007523AD" w:rsidRPr="00764F24" w:rsidRDefault="007523AD" w:rsidP="00D86B69">
      <w:pPr>
        <w:pStyle w:val="Heading2"/>
        <w:spacing w:beforeAutospacing="1" w:after="100" w:afterAutospacing="1" w:line="360" w:lineRule="auto"/>
        <w:rPr>
          <w:rFonts w:cstheme="minorHAnsi"/>
          <w:szCs w:val="24"/>
          <w:lang w:val="en-GB"/>
        </w:rPr>
      </w:pPr>
      <w:bookmarkStart w:id="2" w:name="_Toc51250043"/>
      <w:bookmarkStart w:id="3" w:name="_Toc54600785"/>
      <w:r w:rsidRPr="00764F24">
        <w:rPr>
          <w:rFonts w:cstheme="minorHAnsi"/>
          <w:szCs w:val="24"/>
          <w:lang w:val="en-GB"/>
        </w:rPr>
        <w:t xml:space="preserve">Key </w:t>
      </w:r>
      <w:r w:rsidR="00182172">
        <w:rPr>
          <w:rFonts w:cstheme="minorHAnsi"/>
          <w:szCs w:val="24"/>
          <w:lang w:val="en-GB"/>
        </w:rPr>
        <w:t>f</w:t>
      </w:r>
      <w:r w:rsidRPr="00764F24">
        <w:rPr>
          <w:rFonts w:cstheme="minorHAnsi"/>
          <w:szCs w:val="24"/>
          <w:lang w:val="en-GB"/>
        </w:rPr>
        <w:t>indings</w:t>
      </w:r>
      <w:bookmarkEnd w:id="2"/>
      <w:bookmarkEnd w:id="3"/>
    </w:p>
    <w:p w14:paraId="2CEF2C33" w14:textId="7564FA72" w:rsidR="007523AD" w:rsidRPr="00764F24" w:rsidRDefault="007523AD" w:rsidP="00D86B69">
      <w:pPr>
        <w:pStyle w:val="ListParagraph"/>
        <w:numPr>
          <w:ilvl w:val="0"/>
          <w:numId w:val="19"/>
        </w:numPr>
        <w:spacing w:beforeAutospacing="1" w:after="100" w:afterAutospacing="1" w:line="360" w:lineRule="auto"/>
        <w:rPr>
          <w:rFonts w:cstheme="minorHAnsi"/>
          <w:szCs w:val="24"/>
          <w:lang w:val="en-GB"/>
        </w:rPr>
      </w:pPr>
      <w:r w:rsidRPr="00764F24">
        <w:rPr>
          <w:rFonts w:cstheme="minorHAnsi"/>
          <w:szCs w:val="24"/>
          <w:lang w:val="en-GB"/>
        </w:rPr>
        <w:t xml:space="preserve">COVID-19 has had, and will continue to have, a devastating impact on household finances in the UK and globally. But our report shows that household finances, and the UK’s economy more generally, was already faltering in many ways, prior to the pandemic, possibly as a result of Brexit-related uncertainties during 2019. </w:t>
      </w:r>
    </w:p>
    <w:p w14:paraId="6E7F774B" w14:textId="6247C2EA" w:rsidR="007523AD" w:rsidRPr="00764F24" w:rsidRDefault="0046792C" w:rsidP="00D86B69">
      <w:pPr>
        <w:pStyle w:val="ListParagraph"/>
        <w:numPr>
          <w:ilvl w:val="0"/>
          <w:numId w:val="19"/>
        </w:numPr>
        <w:spacing w:beforeAutospacing="1" w:after="100" w:afterAutospacing="1" w:line="360" w:lineRule="auto"/>
        <w:rPr>
          <w:rFonts w:cstheme="minorHAnsi"/>
          <w:szCs w:val="24"/>
          <w:lang w:val="en-GB"/>
        </w:rPr>
      </w:pPr>
      <w:r>
        <w:rPr>
          <w:rFonts w:cstheme="minorHAnsi"/>
          <w:szCs w:val="24"/>
          <w:lang w:val="en-GB"/>
        </w:rPr>
        <w:t>I</w:t>
      </w:r>
      <w:r w:rsidRPr="00764F24">
        <w:rPr>
          <w:rFonts w:cstheme="minorHAnsi"/>
          <w:szCs w:val="24"/>
          <w:lang w:val="en-GB"/>
        </w:rPr>
        <w:t>n the second quarter of 2019</w:t>
      </w:r>
      <w:r w:rsidR="007523AD" w:rsidRPr="00764F24">
        <w:rPr>
          <w:rFonts w:cstheme="minorHAnsi"/>
          <w:szCs w:val="24"/>
          <w:lang w:val="en-GB"/>
        </w:rPr>
        <w:t>, economic growth was negative and in the fourth quarter</w:t>
      </w:r>
      <w:r w:rsidRPr="0046792C">
        <w:rPr>
          <w:rFonts w:cstheme="minorHAnsi"/>
          <w:szCs w:val="24"/>
          <w:lang w:val="en-GB"/>
        </w:rPr>
        <w:t xml:space="preserve"> </w:t>
      </w:r>
      <w:r>
        <w:rPr>
          <w:rFonts w:cstheme="minorHAnsi"/>
          <w:szCs w:val="24"/>
          <w:lang w:val="en-GB"/>
        </w:rPr>
        <w:t xml:space="preserve">of 2019 it was </w:t>
      </w:r>
      <w:r w:rsidRPr="00764F24">
        <w:rPr>
          <w:rFonts w:cstheme="minorHAnsi"/>
          <w:szCs w:val="24"/>
          <w:lang w:val="en-GB"/>
        </w:rPr>
        <w:t>zero</w:t>
      </w:r>
      <w:r w:rsidR="007523AD" w:rsidRPr="00764F24">
        <w:rPr>
          <w:rFonts w:cstheme="minorHAnsi"/>
          <w:szCs w:val="24"/>
          <w:lang w:val="en-GB"/>
        </w:rPr>
        <w:t xml:space="preserve">. </w:t>
      </w:r>
      <w:r>
        <w:rPr>
          <w:rFonts w:cstheme="minorHAnsi"/>
          <w:szCs w:val="24"/>
          <w:lang w:val="en-GB"/>
        </w:rPr>
        <w:t>Furthermore, u</w:t>
      </w:r>
      <w:r w:rsidR="007523AD" w:rsidRPr="00764F24">
        <w:rPr>
          <w:rFonts w:cstheme="minorHAnsi"/>
          <w:szCs w:val="24"/>
          <w:lang w:val="en-GB"/>
        </w:rPr>
        <w:t>nemployment, under-employment and zero hours contracts had all increased in 2019 while wages had started to fall in real terms towards the end of that year</w:t>
      </w:r>
      <w:r>
        <w:rPr>
          <w:rFonts w:cstheme="minorHAnsi"/>
          <w:szCs w:val="24"/>
          <w:lang w:val="en-GB"/>
        </w:rPr>
        <w:t xml:space="preserve"> and into </w:t>
      </w:r>
      <w:r w:rsidR="007523AD" w:rsidRPr="00764F24">
        <w:rPr>
          <w:rFonts w:cstheme="minorHAnsi"/>
          <w:szCs w:val="24"/>
          <w:lang w:val="en-GB"/>
        </w:rPr>
        <w:t xml:space="preserve">early 2020. </w:t>
      </w:r>
    </w:p>
    <w:p w14:paraId="2B105F20" w14:textId="612DB46D" w:rsidR="007523AD" w:rsidRPr="00764F24" w:rsidRDefault="007523AD" w:rsidP="00D86B69">
      <w:pPr>
        <w:pStyle w:val="ListParagraph"/>
        <w:numPr>
          <w:ilvl w:val="0"/>
          <w:numId w:val="19"/>
        </w:numPr>
        <w:spacing w:beforeAutospacing="1" w:after="100" w:afterAutospacing="1" w:line="360" w:lineRule="auto"/>
        <w:rPr>
          <w:rFonts w:cstheme="minorHAnsi"/>
          <w:szCs w:val="24"/>
          <w:lang w:val="en-GB"/>
        </w:rPr>
      </w:pPr>
      <w:r w:rsidRPr="00764F24">
        <w:rPr>
          <w:rFonts w:cstheme="minorHAnsi"/>
          <w:szCs w:val="24"/>
          <w:lang w:val="en-GB"/>
        </w:rPr>
        <w:t xml:space="preserve">Subjective financial wellbeing was also </w:t>
      </w:r>
      <w:r w:rsidR="0046792C">
        <w:rPr>
          <w:rFonts w:cstheme="minorHAnsi"/>
          <w:szCs w:val="24"/>
          <w:lang w:val="en-GB"/>
        </w:rPr>
        <w:t>in decline</w:t>
      </w:r>
      <w:r w:rsidRPr="00764F24">
        <w:rPr>
          <w:rFonts w:cstheme="minorHAnsi"/>
          <w:szCs w:val="24"/>
          <w:lang w:val="en-GB"/>
        </w:rPr>
        <w:t xml:space="preserve"> prior to COVID-19 with an increase in the proportion of </w:t>
      </w:r>
      <w:r w:rsidR="0046792C">
        <w:rPr>
          <w:rFonts w:cstheme="minorHAnsi"/>
          <w:szCs w:val="24"/>
          <w:lang w:val="en-GB"/>
        </w:rPr>
        <w:t>people</w:t>
      </w:r>
      <w:r w:rsidRPr="00764F24">
        <w:rPr>
          <w:rFonts w:cstheme="minorHAnsi"/>
          <w:szCs w:val="24"/>
          <w:lang w:val="en-GB"/>
        </w:rPr>
        <w:t xml:space="preserve"> saying they were ‘just about getting by’ or ‘finding things difficult’ in 2017/18 – the first time this figure had increased since 2009/10.</w:t>
      </w:r>
    </w:p>
    <w:p w14:paraId="2E1E113D" w14:textId="72BB0A7E" w:rsidR="007523AD" w:rsidRPr="00764F24" w:rsidRDefault="007523AD" w:rsidP="00D86B69">
      <w:pPr>
        <w:pStyle w:val="ListParagraph"/>
        <w:numPr>
          <w:ilvl w:val="0"/>
          <w:numId w:val="19"/>
        </w:numPr>
        <w:spacing w:beforeAutospacing="1" w:after="100" w:afterAutospacing="1" w:line="360" w:lineRule="auto"/>
        <w:rPr>
          <w:rFonts w:cstheme="minorHAnsi"/>
          <w:szCs w:val="24"/>
          <w:lang w:val="en-GB"/>
        </w:rPr>
      </w:pPr>
      <w:r w:rsidRPr="00764F24">
        <w:rPr>
          <w:rFonts w:cstheme="minorHAnsi"/>
          <w:szCs w:val="24"/>
          <w:lang w:val="en-GB"/>
        </w:rPr>
        <w:t xml:space="preserve">So, there were clear signs of actual and potential strains on family budgets during 2019, prior to COVID-19. The impact of the pandemic on top of this situation looks </w:t>
      </w:r>
      <w:r w:rsidR="0046792C">
        <w:rPr>
          <w:rFonts w:cstheme="minorHAnsi"/>
          <w:szCs w:val="24"/>
          <w:lang w:val="en-GB"/>
        </w:rPr>
        <w:t xml:space="preserve">set to be </w:t>
      </w:r>
      <w:r w:rsidRPr="00764F24">
        <w:rPr>
          <w:rFonts w:cstheme="minorHAnsi"/>
          <w:szCs w:val="24"/>
          <w:lang w:val="en-GB"/>
        </w:rPr>
        <w:t>monumental. From just March to May 2020, between one quarter and one third of jobs were furloughed and from March to April that year there were 2 million more claims for Universal Credit than there had been in the same period in 2019. By the end of May 2020, 28 per cent of the population said that COVID-19 had had a direct negative effect on their income.</w:t>
      </w:r>
    </w:p>
    <w:p w14:paraId="528816FE" w14:textId="1389B8E9" w:rsidR="007523AD" w:rsidRPr="00764F24" w:rsidRDefault="007523AD" w:rsidP="00D86B69">
      <w:pPr>
        <w:pStyle w:val="ListParagraph"/>
        <w:numPr>
          <w:ilvl w:val="0"/>
          <w:numId w:val="19"/>
        </w:numPr>
        <w:spacing w:beforeAutospacing="1" w:after="100" w:afterAutospacing="1" w:line="360" w:lineRule="auto"/>
        <w:rPr>
          <w:rFonts w:cstheme="minorHAnsi"/>
          <w:szCs w:val="24"/>
          <w:lang w:val="en-GB"/>
        </w:rPr>
      </w:pPr>
      <w:r w:rsidRPr="00764F24">
        <w:rPr>
          <w:rFonts w:cstheme="minorHAnsi"/>
          <w:szCs w:val="24"/>
          <w:lang w:val="en-GB"/>
        </w:rPr>
        <w:t xml:space="preserve">The Job Retention (furlough) Scheme and the boost to Universal Credit have been incredibly important interventions to support people’s incomes. Those on ‘legacy’ benefits, however, are not seeing the same level of income protection, leading to a two-tier benefit system. And despite all this support, the Trussell Trust </w:t>
      </w:r>
      <w:r w:rsidR="0046792C">
        <w:rPr>
          <w:rFonts w:cstheme="minorHAnsi"/>
          <w:szCs w:val="24"/>
          <w:lang w:val="en-GB"/>
        </w:rPr>
        <w:t>saw</w:t>
      </w:r>
      <w:r w:rsidRPr="00764F24">
        <w:rPr>
          <w:rFonts w:cstheme="minorHAnsi"/>
          <w:szCs w:val="24"/>
          <w:lang w:val="en-GB"/>
        </w:rPr>
        <w:t xml:space="preserve"> a doubling of emergency food parcels going to children in April 2020 compared with April 2019 and other charities report increasing levels of debt and fear of eviction among their clients.</w:t>
      </w:r>
    </w:p>
    <w:p w14:paraId="49E6F334" w14:textId="091F4313" w:rsidR="007523AD" w:rsidRPr="00764F24" w:rsidRDefault="007523AD" w:rsidP="00D86B69">
      <w:pPr>
        <w:pStyle w:val="ListParagraph"/>
        <w:numPr>
          <w:ilvl w:val="0"/>
          <w:numId w:val="19"/>
        </w:numPr>
        <w:spacing w:beforeAutospacing="1" w:after="100" w:afterAutospacing="1" w:line="360" w:lineRule="auto"/>
        <w:rPr>
          <w:rFonts w:cstheme="minorHAnsi"/>
          <w:szCs w:val="24"/>
          <w:lang w:val="en-GB"/>
        </w:rPr>
      </w:pPr>
      <w:r w:rsidRPr="00764F24">
        <w:rPr>
          <w:rFonts w:cstheme="minorHAnsi"/>
          <w:szCs w:val="24"/>
          <w:lang w:val="en-GB"/>
        </w:rPr>
        <w:t>There is slightly more positive news in relation to</w:t>
      </w:r>
      <w:r w:rsidR="0046792C">
        <w:rPr>
          <w:rFonts w:cstheme="minorHAnsi"/>
          <w:szCs w:val="24"/>
          <w:lang w:val="en-GB"/>
        </w:rPr>
        <w:t xml:space="preserve"> financial inclusion with</w:t>
      </w:r>
      <w:r w:rsidRPr="00764F24">
        <w:rPr>
          <w:rFonts w:cstheme="minorHAnsi"/>
          <w:szCs w:val="24"/>
          <w:lang w:val="en-GB"/>
        </w:rPr>
        <w:t xml:space="preserve"> the number of people ‘unbanked’ reach</w:t>
      </w:r>
      <w:r w:rsidR="0046792C">
        <w:rPr>
          <w:rFonts w:cstheme="minorHAnsi"/>
          <w:szCs w:val="24"/>
          <w:lang w:val="en-GB"/>
        </w:rPr>
        <w:t>ing</w:t>
      </w:r>
      <w:r w:rsidRPr="00764F24">
        <w:rPr>
          <w:rFonts w:cstheme="minorHAnsi"/>
          <w:szCs w:val="24"/>
          <w:lang w:val="en-GB"/>
        </w:rPr>
        <w:t xml:space="preserve"> an all-time low in 2018/19. But there is growing concern </w:t>
      </w:r>
      <w:r w:rsidRPr="00764F24">
        <w:rPr>
          <w:rFonts w:cstheme="minorHAnsi"/>
          <w:szCs w:val="24"/>
          <w:lang w:val="en-GB"/>
        </w:rPr>
        <w:lastRenderedPageBreak/>
        <w:t>about access to cash as bank branch closures escalate and free cash machines continue to disappear from local high streets.</w:t>
      </w:r>
    </w:p>
    <w:p w14:paraId="3C0CDF11" w14:textId="6D012C6F" w:rsidR="007523AD" w:rsidRPr="00764F24" w:rsidRDefault="007523AD" w:rsidP="00D86B69">
      <w:pPr>
        <w:pStyle w:val="ListParagraph"/>
        <w:numPr>
          <w:ilvl w:val="0"/>
          <w:numId w:val="19"/>
        </w:numPr>
        <w:spacing w:beforeAutospacing="1" w:after="100" w:afterAutospacing="1" w:line="360" w:lineRule="auto"/>
        <w:rPr>
          <w:rFonts w:cstheme="minorHAnsi"/>
          <w:szCs w:val="24"/>
          <w:lang w:val="en-GB"/>
        </w:rPr>
      </w:pPr>
      <w:r w:rsidRPr="00764F24">
        <w:rPr>
          <w:rFonts w:cstheme="minorHAnsi"/>
          <w:szCs w:val="24"/>
          <w:lang w:val="en-GB"/>
        </w:rPr>
        <w:t>There is also some good news with increasing levels of</w:t>
      </w:r>
      <w:r w:rsidR="0046792C">
        <w:rPr>
          <w:rFonts w:cstheme="minorHAnsi"/>
          <w:szCs w:val="24"/>
          <w:lang w:val="en-GB"/>
        </w:rPr>
        <w:t xml:space="preserve"> occupational</w:t>
      </w:r>
      <w:r w:rsidRPr="00764F24">
        <w:rPr>
          <w:rFonts w:cstheme="minorHAnsi"/>
          <w:szCs w:val="24"/>
          <w:lang w:val="en-GB"/>
        </w:rPr>
        <w:t xml:space="preserve"> pension membership but, here again, there are concerns that </w:t>
      </w:r>
      <w:r w:rsidR="0046792C">
        <w:rPr>
          <w:rFonts w:cstheme="minorHAnsi"/>
          <w:szCs w:val="24"/>
          <w:lang w:val="en-GB"/>
        </w:rPr>
        <w:t>contribution levels are too low to provide</w:t>
      </w:r>
      <w:r w:rsidRPr="00764F24">
        <w:rPr>
          <w:rFonts w:cstheme="minorHAnsi"/>
          <w:szCs w:val="24"/>
          <w:lang w:val="en-GB"/>
        </w:rPr>
        <w:t xml:space="preserve"> a sufficient level of income on retirement.</w:t>
      </w:r>
    </w:p>
    <w:p w14:paraId="54D66C76" w14:textId="0BB2D4B5" w:rsidR="007523AD" w:rsidRPr="00764F24" w:rsidRDefault="007523AD" w:rsidP="00D86B69">
      <w:pPr>
        <w:pStyle w:val="ListParagraph"/>
        <w:numPr>
          <w:ilvl w:val="0"/>
          <w:numId w:val="19"/>
        </w:numPr>
        <w:spacing w:beforeAutospacing="1" w:after="100" w:afterAutospacing="1" w:line="360" w:lineRule="auto"/>
        <w:rPr>
          <w:rFonts w:cstheme="minorHAnsi"/>
          <w:szCs w:val="24"/>
          <w:lang w:val="en-GB"/>
        </w:rPr>
      </w:pPr>
      <w:r w:rsidRPr="00764F24">
        <w:rPr>
          <w:rFonts w:cstheme="minorHAnsi"/>
          <w:szCs w:val="24"/>
          <w:lang w:val="en-GB"/>
        </w:rPr>
        <w:t xml:space="preserve">These are extremely difficult times for the country and many within it. </w:t>
      </w:r>
      <w:r w:rsidR="0046792C">
        <w:rPr>
          <w:rFonts w:cstheme="minorHAnsi"/>
          <w:szCs w:val="24"/>
          <w:lang w:val="en-GB"/>
        </w:rPr>
        <w:t>A</w:t>
      </w:r>
      <w:r w:rsidRPr="00764F24">
        <w:rPr>
          <w:rFonts w:cstheme="minorHAnsi"/>
          <w:szCs w:val="24"/>
          <w:lang w:val="en-GB"/>
        </w:rPr>
        <w:t xml:space="preserve"> significant minority of the population</w:t>
      </w:r>
      <w:r w:rsidR="0046792C">
        <w:rPr>
          <w:rFonts w:cstheme="minorHAnsi"/>
          <w:szCs w:val="24"/>
          <w:lang w:val="en-GB"/>
        </w:rPr>
        <w:t>, however,</w:t>
      </w:r>
      <w:r w:rsidRPr="00764F24">
        <w:rPr>
          <w:rFonts w:cstheme="minorHAnsi"/>
          <w:szCs w:val="24"/>
          <w:lang w:val="en-GB"/>
        </w:rPr>
        <w:t xml:space="preserve"> are unaffected</w:t>
      </w:r>
      <w:r w:rsidR="0046792C">
        <w:rPr>
          <w:rFonts w:cstheme="minorHAnsi"/>
          <w:szCs w:val="24"/>
          <w:lang w:val="en-GB"/>
        </w:rPr>
        <w:t>, financially,</w:t>
      </w:r>
      <w:r w:rsidRPr="00764F24">
        <w:rPr>
          <w:rFonts w:cstheme="minorHAnsi"/>
          <w:szCs w:val="24"/>
          <w:lang w:val="en-GB"/>
        </w:rPr>
        <w:t xml:space="preserve"> by COVID-19 or, indeed, </w:t>
      </w:r>
      <w:r w:rsidR="0046792C">
        <w:rPr>
          <w:rFonts w:cstheme="minorHAnsi"/>
          <w:szCs w:val="24"/>
          <w:lang w:val="en-GB"/>
        </w:rPr>
        <w:t xml:space="preserve">are </w:t>
      </w:r>
      <w:r w:rsidRPr="00764F24">
        <w:rPr>
          <w:rFonts w:cstheme="minorHAnsi"/>
          <w:szCs w:val="24"/>
          <w:lang w:val="en-GB"/>
        </w:rPr>
        <w:t>seeing their savings increase as their income remains the same and their spending has reduced. Thus</w:t>
      </w:r>
      <w:r w:rsidR="0046792C">
        <w:rPr>
          <w:rFonts w:cstheme="minorHAnsi"/>
          <w:szCs w:val="24"/>
          <w:lang w:val="en-GB"/>
        </w:rPr>
        <w:t>,</w:t>
      </w:r>
      <w:r w:rsidRPr="00764F24">
        <w:rPr>
          <w:rFonts w:cstheme="minorHAnsi"/>
          <w:szCs w:val="24"/>
          <w:lang w:val="en-GB"/>
        </w:rPr>
        <w:t xml:space="preserve"> inequality is likely to rise further.</w:t>
      </w:r>
    </w:p>
    <w:p w14:paraId="7FD16DEB" w14:textId="2248AA03" w:rsidR="00931F03" w:rsidRPr="00764F24" w:rsidRDefault="00931F03" w:rsidP="00D86B69">
      <w:pPr>
        <w:pStyle w:val="Heading2"/>
        <w:spacing w:beforeAutospacing="1" w:after="100" w:afterAutospacing="1" w:line="360" w:lineRule="auto"/>
        <w:rPr>
          <w:rFonts w:cstheme="minorHAnsi"/>
          <w:szCs w:val="24"/>
          <w:lang w:val="en-GB"/>
        </w:rPr>
      </w:pPr>
      <w:bookmarkStart w:id="4" w:name="_Toc51250044"/>
      <w:bookmarkStart w:id="5" w:name="_Toc54600786"/>
      <w:r w:rsidRPr="00764F24">
        <w:rPr>
          <w:rFonts w:cstheme="minorHAnsi"/>
          <w:szCs w:val="24"/>
          <w:lang w:val="en-GB"/>
        </w:rPr>
        <w:t xml:space="preserve">The </w:t>
      </w:r>
      <w:r w:rsidR="00182172">
        <w:rPr>
          <w:rFonts w:cstheme="minorHAnsi"/>
          <w:szCs w:val="24"/>
          <w:lang w:val="en-GB"/>
        </w:rPr>
        <w:t>e</w:t>
      </w:r>
      <w:r w:rsidRPr="00764F24">
        <w:rPr>
          <w:rFonts w:cstheme="minorHAnsi"/>
          <w:szCs w:val="24"/>
          <w:lang w:val="en-GB"/>
        </w:rPr>
        <w:t>conomy</w:t>
      </w:r>
      <w:bookmarkEnd w:id="4"/>
      <w:bookmarkEnd w:id="5"/>
    </w:p>
    <w:p w14:paraId="11643E98" w14:textId="3DBDE4DA" w:rsidR="00533C23" w:rsidRPr="00764F24" w:rsidRDefault="0046792C" w:rsidP="00D86B69">
      <w:pPr>
        <w:pStyle w:val="ListParagraph"/>
        <w:numPr>
          <w:ilvl w:val="0"/>
          <w:numId w:val="11"/>
        </w:numPr>
        <w:spacing w:beforeAutospacing="1" w:after="100" w:afterAutospacing="1" w:line="360" w:lineRule="auto"/>
        <w:rPr>
          <w:rFonts w:cstheme="minorHAnsi"/>
          <w:szCs w:val="24"/>
          <w:lang w:val="en-GB"/>
        </w:rPr>
      </w:pPr>
      <w:r>
        <w:rPr>
          <w:rFonts w:cstheme="minorHAnsi"/>
          <w:szCs w:val="24"/>
          <w:lang w:val="en-GB"/>
        </w:rPr>
        <w:t>After</w:t>
      </w:r>
      <w:r w:rsidR="008C2705" w:rsidRPr="00764F24">
        <w:rPr>
          <w:rFonts w:cstheme="minorHAnsi"/>
          <w:szCs w:val="24"/>
          <w:lang w:val="en-GB"/>
        </w:rPr>
        <w:t xml:space="preserve"> 2015, </w:t>
      </w:r>
      <w:r w:rsidR="00533C23" w:rsidRPr="00764F24">
        <w:rPr>
          <w:rFonts w:cstheme="minorHAnsi"/>
          <w:szCs w:val="24"/>
          <w:lang w:val="en-GB"/>
        </w:rPr>
        <w:t xml:space="preserve">GDP </w:t>
      </w:r>
      <w:r w:rsidR="008C2705" w:rsidRPr="00764F24">
        <w:rPr>
          <w:rFonts w:cstheme="minorHAnsi"/>
          <w:szCs w:val="24"/>
          <w:lang w:val="en-GB"/>
        </w:rPr>
        <w:t>s</w:t>
      </w:r>
      <w:r w:rsidR="003E6A58" w:rsidRPr="00764F24">
        <w:rPr>
          <w:rFonts w:cstheme="minorHAnsi"/>
          <w:szCs w:val="24"/>
          <w:lang w:val="en-GB"/>
        </w:rPr>
        <w:t>t</w:t>
      </w:r>
      <w:r w:rsidR="008C2705" w:rsidRPr="00764F24">
        <w:rPr>
          <w:rFonts w:cstheme="minorHAnsi"/>
          <w:szCs w:val="24"/>
          <w:lang w:val="en-GB"/>
        </w:rPr>
        <w:t xml:space="preserve">arted trending downwards </w:t>
      </w:r>
      <w:r w:rsidR="00533C23" w:rsidRPr="00764F24">
        <w:rPr>
          <w:rFonts w:cstheme="minorHAnsi"/>
          <w:szCs w:val="24"/>
          <w:lang w:val="en-GB"/>
        </w:rPr>
        <w:t xml:space="preserve">and, indeed, was recorded as negative in </w:t>
      </w:r>
      <w:r w:rsidR="008C2705" w:rsidRPr="00764F24">
        <w:rPr>
          <w:rFonts w:cstheme="minorHAnsi"/>
          <w:szCs w:val="24"/>
          <w:lang w:val="en-GB"/>
        </w:rPr>
        <w:t>the second quarter of 2019 and zero</w:t>
      </w:r>
      <w:r w:rsidR="00533C23" w:rsidRPr="00764F24">
        <w:rPr>
          <w:rFonts w:cstheme="minorHAnsi"/>
          <w:szCs w:val="24"/>
          <w:lang w:val="en-GB"/>
        </w:rPr>
        <w:t xml:space="preserve"> in the fourth quarter, even before the </w:t>
      </w:r>
      <w:r w:rsidR="00A12E5C" w:rsidRPr="00764F24">
        <w:rPr>
          <w:rFonts w:cstheme="minorHAnsi"/>
          <w:szCs w:val="24"/>
          <w:lang w:val="en-GB"/>
        </w:rPr>
        <w:t>COVID-19</w:t>
      </w:r>
      <w:r w:rsidR="00ED77BC" w:rsidRPr="00764F24">
        <w:rPr>
          <w:rFonts w:cstheme="minorHAnsi"/>
          <w:szCs w:val="24"/>
          <w:lang w:val="en-GB"/>
        </w:rPr>
        <w:t xml:space="preserve"> </w:t>
      </w:r>
      <w:r w:rsidR="00533C23" w:rsidRPr="00764F24">
        <w:rPr>
          <w:rFonts w:cstheme="minorHAnsi"/>
          <w:szCs w:val="24"/>
          <w:lang w:val="en-GB"/>
        </w:rPr>
        <w:t>crisis</w:t>
      </w:r>
      <w:r w:rsidR="00BF7FBA" w:rsidRPr="00764F24">
        <w:rPr>
          <w:rFonts w:cstheme="minorHAnsi"/>
          <w:szCs w:val="24"/>
          <w:lang w:val="en-GB"/>
        </w:rPr>
        <w:t xml:space="preserve">. </w:t>
      </w:r>
      <w:r>
        <w:rPr>
          <w:rFonts w:cstheme="minorHAnsi"/>
          <w:szCs w:val="24"/>
          <w:lang w:val="en-GB"/>
        </w:rPr>
        <w:t>I</w:t>
      </w:r>
      <w:r w:rsidR="008C2705" w:rsidRPr="00764F24">
        <w:rPr>
          <w:rFonts w:cstheme="minorHAnsi"/>
          <w:szCs w:val="24"/>
          <w:lang w:val="en-GB"/>
        </w:rPr>
        <w:t xml:space="preserve">n </w:t>
      </w:r>
      <w:r w:rsidR="00533C23" w:rsidRPr="00764F24">
        <w:rPr>
          <w:rFonts w:cstheme="minorHAnsi"/>
          <w:szCs w:val="24"/>
          <w:lang w:val="en-GB"/>
        </w:rPr>
        <w:t xml:space="preserve">the first </w:t>
      </w:r>
      <w:r w:rsidR="004D6BBC" w:rsidRPr="00764F24">
        <w:rPr>
          <w:rFonts w:cstheme="minorHAnsi"/>
          <w:szCs w:val="24"/>
          <w:lang w:val="en-GB"/>
        </w:rPr>
        <w:t xml:space="preserve">two </w:t>
      </w:r>
      <w:r w:rsidR="00533C23" w:rsidRPr="00764F24">
        <w:rPr>
          <w:rFonts w:cstheme="minorHAnsi"/>
          <w:szCs w:val="24"/>
          <w:lang w:val="en-GB"/>
        </w:rPr>
        <w:t>quarter</w:t>
      </w:r>
      <w:r w:rsidR="004D6BBC" w:rsidRPr="00764F24">
        <w:rPr>
          <w:rFonts w:cstheme="minorHAnsi"/>
          <w:szCs w:val="24"/>
          <w:lang w:val="en-GB"/>
        </w:rPr>
        <w:t>s</w:t>
      </w:r>
      <w:r w:rsidR="00533C23" w:rsidRPr="00764F24">
        <w:rPr>
          <w:rFonts w:cstheme="minorHAnsi"/>
          <w:szCs w:val="24"/>
          <w:lang w:val="en-GB"/>
        </w:rPr>
        <w:t xml:space="preserve"> of 2020</w:t>
      </w:r>
      <w:r>
        <w:rPr>
          <w:rFonts w:cstheme="minorHAnsi"/>
          <w:szCs w:val="24"/>
          <w:lang w:val="en-GB"/>
        </w:rPr>
        <w:t>,</w:t>
      </w:r>
      <w:r w:rsidR="00533C23" w:rsidRPr="00764F24">
        <w:rPr>
          <w:rFonts w:cstheme="minorHAnsi"/>
          <w:szCs w:val="24"/>
          <w:lang w:val="en-GB"/>
        </w:rPr>
        <w:t xml:space="preserve"> GDP was recorded as </w:t>
      </w:r>
      <w:r w:rsidR="004D6BBC" w:rsidRPr="00764F24">
        <w:rPr>
          <w:rFonts w:cstheme="minorHAnsi"/>
          <w:szCs w:val="24"/>
          <w:lang w:val="en-GB"/>
        </w:rPr>
        <w:t>dropping by one-fifth</w:t>
      </w:r>
      <w:r>
        <w:rPr>
          <w:rFonts w:cstheme="minorHAnsi"/>
          <w:szCs w:val="24"/>
          <w:lang w:val="en-GB"/>
        </w:rPr>
        <w:t xml:space="preserve">, an unprecedented </w:t>
      </w:r>
      <w:r w:rsidR="00AC22E2">
        <w:rPr>
          <w:rFonts w:cstheme="minorHAnsi"/>
          <w:szCs w:val="24"/>
          <w:lang w:val="en-GB"/>
        </w:rPr>
        <w:t>reduction</w:t>
      </w:r>
      <w:r w:rsidR="00533C23" w:rsidRPr="00764F24">
        <w:rPr>
          <w:rFonts w:cstheme="minorHAnsi"/>
          <w:szCs w:val="24"/>
          <w:lang w:val="en-GB"/>
        </w:rPr>
        <w:t xml:space="preserve">. </w:t>
      </w:r>
    </w:p>
    <w:p w14:paraId="631E5A8C" w14:textId="42003747" w:rsidR="008531A8" w:rsidRPr="00764F24" w:rsidRDefault="008531A8" w:rsidP="00D86B69">
      <w:pPr>
        <w:pStyle w:val="ListParagraph"/>
        <w:numPr>
          <w:ilvl w:val="0"/>
          <w:numId w:val="11"/>
        </w:numPr>
        <w:spacing w:beforeAutospacing="1" w:after="100" w:afterAutospacing="1" w:line="360" w:lineRule="auto"/>
        <w:rPr>
          <w:rFonts w:cstheme="minorHAnsi"/>
          <w:szCs w:val="24"/>
          <w:lang w:val="en-GB"/>
        </w:rPr>
      </w:pPr>
      <w:r w:rsidRPr="00764F24">
        <w:rPr>
          <w:rFonts w:cstheme="minorHAnsi"/>
          <w:szCs w:val="24"/>
          <w:lang w:val="en-GB"/>
        </w:rPr>
        <w:t>Inflation has been trending down in the last two years from a recent peak of 3.1</w:t>
      </w:r>
      <w:r w:rsidR="00692125" w:rsidRPr="00764F24">
        <w:rPr>
          <w:rFonts w:cstheme="minorHAnsi"/>
          <w:szCs w:val="24"/>
          <w:lang w:val="en-GB"/>
        </w:rPr>
        <w:t xml:space="preserve"> per cent</w:t>
      </w:r>
      <w:r w:rsidRPr="00764F24">
        <w:rPr>
          <w:rFonts w:cstheme="minorHAnsi"/>
          <w:szCs w:val="24"/>
          <w:lang w:val="en-GB"/>
        </w:rPr>
        <w:t xml:space="preserve"> in November 2017 to 0.</w:t>
      </w:r>
      <w:r w:rsidR="00AC22E2">
        <w:rPr>
          <w:rFonts w:cstheme="minorHAnsi"/>
          <w:szCs w:val="24"/>
          <w:lang w:val="en-GB"/>
        </w:rPr>
        <w:t>5</w:t>
      </w:r>
      <w:r w:rsidR="00692125" w:rsidRPr="00764F24">
        <w:rPr>
          <w:rFonts w:cstheme="minorHAnsi"/>
          <w:szCs w:val="24"/>
          <w:lang w:val="en-GB"/>
        </w:rPr>
        <w:t xml:space="preserve"> per cent</w:t>
      </w:r>
      <w:r w:rsidRPr="00764F24">
        <w:rPr>
          <w:rFonts w:cstheme="minorHAnsi"/>
          <w:szCs w:val="24"/>
          <w:lang w:val="en-GB"/>
        </w:rPr>
        <w:t xml:space="preserve"> (C</w:t>
      </w:r>
      <w:r w:rsidR="003E6A58" w:rsidRPr="00764F24">
        <w:rPr>
          <w:rFonts w:cstheme="minorHAnsi"/>
          <w:szCs w:val="24"/>
          <w:lang w:val="en-GB"/>
        </w:rPr>
        <w:t>PIH</w:t>
      </w:r>
      <w:r w:rsidRPr="00764F24">
        <w:rPr>
          <w:rFonts w:cstheme="minorHAnsi"/>
          <w:szCs w:val="24"/>
          <w:lang w:val="en-GB"/>
        </w:rPr>
        <w:t xml:space="preserve">) in </w:t>
      </w:r>
      <w:r w:rsidR="00AC22E2">
        <w:rPr>
          <w:rFonts w:cstheme="minorHAnsi"/>
          <w:szCs w:val="24"/>
          <w:lang w:val="en-GB"/>
        </w:rPr>
        <w:t>August</w:t>
      </w:r>
      <w:r w:rsidRPr="00764F24">
        <w:rPr>
          <w:rFonts w:cstheme="minorHAnsi"/>
          <w:szCs w:val="24"/>
          <w:lang w:val="en-GB"/>
        </w:rPr>
        <w:t xml:space="preserve"> 2020</w:t>
      </w:r>
      <w:r w:rsidR="00BF7FBA" w:rsidRPr="00764F24">
        <w:rPr>
          <w:rFonts w:cstheme="minorHAnsi"/>
          <w:szCs w:val="24"/>
          <w:lang w:val="en-GB"/>
        </w:rPr>
        <w:t xml:space="preserve">. </w:t>
      </w:r>
      <w:r w:rsidRPr="00764F24">
        <w:rPr>
          <w:rFonts w:cstheme="minorHAnsi"/>
          <w:szCs w:val="24"/>
          <w:lang w:val="en-GB"/>
        </w:rPr>
        <w:t xml:space="preserve">The most recent falls in prices </w:t>
      </w:r>
      <w:r w:rsidR="003E6A58" w:rsidRPr="00764F24">
        <w:rPr>
          <w:rFonts w:cstheme="minorHAnsi"/>
          <w:szCs w:val="24"/>
          <w:lang w:val="en-GB"/>
        </w:rPr>
        <w:t>we</w:t>
      </w:r>
      <w:r w:rsidRPr="00764F24">
        <w:rPr>
          <w:rFonts w:cstheme="minorHAnsi"/>
          <w:szCs w:val="24"/>
          <w:lang w:val="en-GB"/>
        </w:rPr>
        <w:t xml:space="preserve">re mainly due to the lower cost of motor fuels (due to a price war between Russia and Saudi Arabia) and to falls in the price of recreational and cultural goods in the wake of the </w:t>
      </w:r>
      <w:r w:rsidR="00A12E5C" w:rsidRPr="00764F24">
        <w:rPr>
          <w:rFonts w:cstheme="minorHAnsi"/>
          <w:szCs w:val="24"/>
          <w:lang w:val="en-GB"/>
        </w:rPr>
        <w:t>COVID-19</w:t>
      </w:r>
      <w:r w:rsidRPr="00764F24">
        <w:rPr>
          <w:rFonts w:cstheme="minorHAnsi"/>
          <w:szCs w:val="24"/>
          <w:lang w:val="en-GB"/>
        </w:rPr>
        <w:t xml:space="preserve"> crisis.</w:t>
      </w:r>
    </w:p>
    <w:p w14:paraId="2CAC2F4E" w14:textId="0B00FD2A" w:rsidR="007E64E2" w:rsidRDefault="00ED77BC" w:rsidP="00D86B69">
      <w:pPr>
        <w:pStyle w:val="ListParagraph"/>
        <w:numPr>
          <w:ilvl w:val="0"/>
          <w:numId w:val="11"/>
        </w:numPr>
        <w:spacing w:beforeAutospacing="1" w:after="100" w:afterAutospacing="1" w:line="360" w:lineRule="auto"/>
        <w:rPr>
          <w:rFonts w:cstheme="minorHAnsi"/>
          <w:szCs w:val="24"/>
          <w:lang w:val="en-GB"/>
        </w:rPr>
      </w:pPr>
      <w:r w:rsidRPr="00764F24">
        <w:rPr>
          <w:rFonts w:cstheme="minorHAnsi"/>
          <w:szCs w:val="24"/>
          <w:lang w:val="en-GB"/>
        </w:rPr>
        <w:t>In an attempt to support borrowing and demand, t</w:t>
      </w:r>
      <w:r w:rsidR="008531A8" w:rsidRPr="00764F24">
        <w:rPr>
          <w:rFonts w:cstheme="minorHAnsi"/>
          <w:szCs w:val="24"/>
          <w:lang w:val="en-GB"/>
        </w:rPr>
        <w:t>he Bank of England Base Interest Rate was reduced in March 2020 to the lowest it has ever been in the Bank of England’s 325</w:t>
      </w:r>
      <w:r w:rsidR="00977DBE">
        <w:rPr>
          <w:rFonts w:cstheme="minorHAnsi"/>
          <w:szCs w:val="24"/>
          <w:lang w:val="en-GB"/>
        </w:rPr>
        <w:t>-</w:t>
      </w:r>
      <w:r w:rsidR="008531A8" w:rsidRPr="00764F24">
        <w:rPr>
          <w:rFonts w:cstheme="minorHAnsi"/>
          <w:szCs w:val="24"/>
          <w:lang w:val="en-GB"/>
        </w:rPr>
        <w:t>year</w:t>
      </w:r>
      <w:r w:rsidR="0046792C">
        <w:rPr>
          <w:rFonts w:cstheme="minorHAnsi"/>
          <w:szCs w:val="24"/>
          <w:lang w:val="en-GB"/>
        </w:rPr>
        <w:t xml:space="preserve"> history</w:t>
      </w:r>
      <w:r w:rsidR="008531A8" w:rsidRPr="0046792C">
        <w:rPr>
          <w:rFonts w:cstheme="minorHAnsi"/>
          <w:b/>
          <w:bCs/>
          <w:i/>
          <w:iCs/>
          <w:szCs w:val="24"/>
          <w:lang w:val="en-GB"/>
        </w:rPr>
        <w:t xml:space="preserve">: </w:t>
      </w:r>
      <w:r w:rsidR="008531A8" w:rsidRPr="0046792C">
        <w:rPr>
          <w:szCs w:val="24"/>
        </w:rPr>
        <w:t>0.1</w:t>
      </w:r>
      <w:r w:rsidR="004D6BBC" w:rsidRPr="0046792C">
        <w:rPr>
          <w:szCs w:val="24"/>
        </w:rPr>
        <w:t xml:space="preserve"> </w:t>
      </w:r>
      <w:r w:rsidR="00692125" w:rsidRPr="0046792C">
        <w:rPr>
          <w:szCs w:val="24"/>
        </w:rPr>
        <w:t>per cent.</w:t>
      </w:r>
      <w:r w:rsidR="008531A8" w:rsidRPr="00764F24">
        <w:rPr>
          <w:rFonts w:cstheme="minorHAnsi"/>
          <w:szCs w:val="24"/>
          <w:lang w:val="en-GB"/>
        </w:rPr>
        <w:t xml:space="preserve"> </w:t>
      </w:r>
    </w:p>
    <w:p w14:paraId="12AA3923" w14:textId="158C1FE2" w:rsidR="00E203F0" w:rsidRDefault="00E203F0" w:rsidP="00E203F0">
      <w:pPr>
        <w:pStyle w:val="ListParagraph"/>
        <w:spacing w:beforeAutospacing="1" w:after="100" w:afterAutospacing="1" w:line="360" w:lineRule="auto"/>
        <w:rPr>
          <w:rFonts w:cstheme="minorHAnsi"/>
          <w:szCs w:val="24"/>
          <w:lang w:val="en-GB"/>
        </w:rPr>
      </w:pPr>
    </w:p>
    <w:p w14:paraId="1AE00801" w14:textId="2C336E07" w:rsidR="00035197" w:rsidRPr="00693CB0" w:rsidRDefault="00693CB0" w:rsidP="00693CB0">
      <w:pPr>
        <w:pStyle w:val="Heading2"/>
        <w:rPr>
          <w:szCs w:val="24"/>
        </w:rPr>
      </w:pPr>
      <w:bookmarkStart w:id="6" w:name="_Toc54600787"/>
      <w:r w:rsidRPr="00693CB0">
        <w:rPr>
          <w:szCs w:val="24"/>
        </w:rPr>
        <w:t xml:space="preserve">The </w:t>
      </w:r>
      <w:proofErr w:type="spellStart"/>
      <w:r w:rsidR="00182172">
        <w:rPr>
          <w:szCs w:val="24"/>
        </w:rPr>
        <w:t>l</w:t>
      </w:r>
      <w:r w:rsidR="005F310A" w:rsidRPr="00693CB0">
        <w:rPr>
          <w:szCs w:val="24"/>
        </w:rPr>
        <w:t>abour</w:t>
      </w:r>
      <w:proofErr w:type="spellEnd"/>
      <w:r w:rsidR="005F310A" w:rsidRPr="00693CB0">
        <w:rPr>
          <w:szCs w:val="24"/>
        </w:rPr>
        <w:t xml:space="preserve"> </w:t>
      </w:r>
      <w:r w:rsidR="00182172">
        <w:rPr>
          <w:szCs w:val="24"/>
        </w:rPr>
        <w:t>m</w:t>
      </w:r>
      <w:r w:rsidR="005F310A" w:rsidRPr="00693CB0">
        <w:rPr>
          <w:szCs w:val="24"/>
        </w:rPr>
        <w:t>arket</w:t>
      </w:r>
      <w:bookmarkEnd w:id="6"/>
    </w:p>
    <w:p w14:paraId="2051013C" w14:textId="6B4AF8C8" w:rsidR="00ED77BC" w:rsidRPr="00977DBE" w:rsidRDefault="00881FE7" w:rsidP="0000347B">
      <w:pPr>
        <w:pStyle w:val="ListParagraph"/>
        <w:numPr>
          <w:ilvl w:val="0"/>
          <w:numId w:val="12"/>
        </w:numPr>
        <w:spacing w:beforeAutospacing="1" w:after="100" w:afterAutospacing="1" w:line="360" w:lineRule="auto"/>
        <w:ind w:left="714" w:hanging="357"/>
        <w:rPr>
          <w:rFonts w:cstheme="minorHAnsi"/>
          <w:szCs w:val="24"/>
          <w:lang w:val="en-GB"/>
        </w:rPr>
      </w:pPr>
      <w:r w:rsidRPr="00977DBE">
        <w:rPr>
          <w:rFonts w:cstheme="minorHAnsi"/>
          <w:szCs w:val="24"/>
          <w:lang w:val="en-GB"/>
        </w:rPr>
        <w:t>Unemployment had started to increase e</w:t>
      </w:r>
      <w:r w:rsidR="00ED77BC" w:rsidRPr="00977DBE">
        <w:rPr>
          <w:rFonts w:cstheme="minorHAnsi"/>
          <w:szCs w:val="24"/>
          <w:lang w:val="en-GB"/>
        </w:rPr>
        <w:t>ven before the</w:t>
      </w:r>
      <w:r w:rsidR="00A12E5C" w:rsidRPr="00977DBE">
        <w:rPr>
          <w:rFonts w:cstheme="minorHAnsi"/>
          <w:szCs w:val="24"/>
          <w:lang w:val="en-GB"/>
        </w:rPr>
        <w:t xml:space="preserve"> COVID-19</w:t>
      </w:r>
      <w:r w:rsidRPr="00977DBE">
        <w:rPr>
          <w:rFonts w:cstheme="minorHAnsi"/>
          <w:szCs w:val="24"/>
          <w:lang w:val="en-GB"/>
        </w:rPr>
        <w:t xml:space="preserve"> crisis</w:t>
      </w:r>
      <w:r w:rsidR="008531A8" w:rsidRPr="00977DBE">
        <w:rPr>
          <w:rFonts w:cstheme="minorHAnsi"/>
          <w:szCs w:val="24"/>
          <w:lang w:val="en-GB"/>
        </w:rPr>
        <w:t xml:space="preserve">, possibly </w:t>
      </w:r>
      <w:r w:rsidR="00977DBE" w:rsidRPr="00977DBE">
        <w:rPr>
          <w:rFonts w:cstheme="minorHAnsi"/>
          <w:szCs w:val="24"/>
          <w:lang w:val="en-GB"/>
        </w:rPr>
        <w:t>due</w:t>
      </w:r>
      <w:r w:rsidRPr="00977DBE">
        <w:rPr>
          <w:rFonts w:cstheme="minorHAnsi"/>
          <w:szCs w:val="24"/>
          <w:lang w:val="en-GB"/>
        </w:rPr>
        <w:t xml:space="preserve"> to</w:t>
      </w:r>
      <w:r w:rsidR="008531A8" w:rsidRPr="00977DBE">
        <w:rPr>
          <w:rFonts w:cstheme="minorHAnsi"/>
          <w:szCs w:val="24"/>
          <w:lang w:val="en-GB"/>
        </w:rPr>
        <w:t xml:space="preserve"> Brexit-related </w:t>
      </w:r>
      <w:r w:rsidR="00977DBE" w:rsidRPr="00977DBE">
        <w:rPr>
          <w:rFonts w:cstheme="minorHAnsi"/>
          <w:szCs w:val="24"/>
          <w:lang w:val="en-GB"/>
        </w:rPr>
        <w:t>uncertainties</w:t>
      </w:r>
      <w:r w:rsidR="00BF7FBA" w:rsidRPr="00977DBE">
        <w:rPr>
          <w:rFonts w:cstheme="minorHAnsi"/>
          <w:szCs w:val="24"/>
          <w:lang w:val="en-GB"/>
        </w:rPr>
        <w:t>.</w:t>
      </w:r>
      <w:r w:rsidR="00977DBE" w:rsidRPr="00977DBE">
        <w:rPr>
          <w:rFonts w:cstheme="minorHAnsi"/>
          <w:szCs w:val="24"/>
          <w:lang w:val="en-GB"/>
        </w:rPr>
        <w:t xml:space="preserve"> </w:t>
      </w:r>
      <w:r w:rsidR="00ED77BC" w:rsidRPr="00977DBE">
        <w:rPr>
          <w:rFonts w:cstheme="minorHAnsi"/>
          <w:szCs w:val="24"/>
          <w:lang w:val="en-GB"/>
        </w:rPr>
        <w:t>Underemployment</w:t>
      </w:r>
      <w:r w:rsidR="00ED77BC" w:rsidRPr="00977DBE">
        <w:rPr>
          <w:rStyle w:val="FootnoteReference"/>
          <w:rFonts w:cstheme="minorHAnsi"/>
          <w:szCs w:val="24"/>
          <w:lang w:val="en-GB"/>
        </w:rPr>
        <w:t xml:space="preserve"> </w:t>
      </w:r>
      <w:r w:rsidR="00ED77BC" w:rsidRPr="00977DBE">
        <w:rPr>
          <w:rFonts w:cstheme="minorHAnsi"/>
          <w:szCs w:val="24"/>
          <w:lang w:val="en-GB"/>
        </w:rPr>
        <w:t>was similarly trending slightly upwards again to 2.5 million in December 2019</w:t>
      </w:r>
      <w:r w:rsidR="00ED77BC" w:rsidRPr="00977DBE">
        <w:rPr>
          <w:rFonts w:eastAsia="Times New Roman" w:cstheme="minorHAnsi"/>
          <w:color w:val="000000"/>
          <w:szCs w:val="24"/>
          <w:lang w:val="en-GB" w:eastAsia="en-GB"/>
        </w:rPr>
        <w:t xml:space="preserve">. </w:t>
      </w:r>
      <w:r w:rsidR="00977DBE" w:rsidRPr="00977DBE">
        <w:rPr>
          <w:rFonts w:eastAsia="Times New Roman" w:cstheme="minorHAnsi"/>
          <w:color w:val="000000"/>
          <w:szCs w:val="24"/>
          <w:lang w:val="en-GB" w:eastAsia="en-GB"/>
        </w:rPr>
        <w:t xml:space="preserve">And the </w:t>
      </w:r>
      <w:r w:rsidR="00ED77BC" w:rsidRPr="00977DBE">
        <w:rPr>
          <w:rFonts w:cstheme="minorHAnsi"/>
          <w:szCs w:val="24"/>
          <w:lang w:val="en-GB"/>
        </w:rPr>
        <w:t xml:space="preserve">number of </w:t>
      </w:r>
      <w:r w:rsidR="008E2B45" w:rsidRPr="00977DBE">
        <w:rPr>
          <w:rFonts w:cstheme="minorHAnsi"/>
          <w:szCs w:val="24"/>
          <w:lang w:val="en-GB"/>
        </w:rPr>
        <w:t>zero-hour</w:t>
      </w:r>
      <w:r w:rsidR="00ED77BC" w:rsidRPr="00977DBE">
        <w:rPr>
          <w:rFonts w:cstheme="minorHAnsi"/>
          <w:szCs w:val="24"/>
          <w:lang w:val="en-GB"/>
        </w:rPr>
        <w:t xml:space="preserve"> contracts also began increasing again in 2019 to a record high of 974,000</w:t>
      </w:r>
      <w:r w:rsidR="00BF7FBA" w:rsidRPr="00977DBE">
        <w:rPr>
          <w:rFonts w:cstheme="minorHAnsi"/>
          <w:szCs w:val="24"/>
          <w:lang w:val="en-GB"/>
        </w:rPr>
        <w:t xml:space="preserve">. </w:t>
      </w:r>
    </w:p>
    <w:p w14:paraId="22B64102" w14:textId="7A3B610B" w:rsidR="00ED77BC" w:rsidRPr="00764F24" w:rsidRDefault="00ED77BC" w:rsidP="00D86B69">
      <w:pPr>
        <w:pStyle w:val="ListParagraph"/>
        <w:numPr>
          <w:ilvl w:val="0"/>
          <w:numId w:val="12"/>
        </w:numPr>
        <w:spacing w:beforeAutospacing="1" w:after="100" w:afterAutospacing="1" w:line="360" w:lineRule="auto"/>
        <w:rPr>
          <w:rFonts w:cstheme="minorHAnsi"/>
          <w:szCs w:val="24"/>
          <w:lang w:val="en-GB"/>
        </w:rPr>
      </w:pPr>
      <w:r w:rsidRPr="00764F24">
        <w:rPr>
          <w:rFonts w:cstheme="minorHAnsi"/>
          <w:szCs w:val="24"/>
          <w:lang w:val="en-GB"/>
        </w:rPr>
        <w:t>Employment levels appeared to stall</w:t>
      </w:r>
      <w:r w:rsidR="00977DBE">
        <w:rPr>
          <w:rFonts w:cstheme="minorHAnsi"/>
          <w:szCs w:val="24"/>
          <w:lang w:val="en-GB"/>
        </w:rPr>
        <w:t xml:space="preserve"> in 2019 and w</w:t>
      </w:r>
      <w:r w:rsidRPr="00764F24">
        <w:rPr>
          <w:rFonts w:cstheme="minorHAnsi"/>
          <w:szCs w:val="24"/>
          <w:lang w:val="en-GB"/>
        </w:rPr>
        <w:t>ages had still not reached their pre-</w:t>
      </w:r>
      <w:r w:rsidR="00CD7138" w:rsidRPr="00764F24">
        <w:rPr>
          <w:rFonts w:cstheme="minorHAnsi"/>
          <w:szCs w:val="24"/>
          <w:lang w:val="en-GB"/>
        </w:rPr>
        <w:t xml:space="preserve">Global Financial Crisis </w:t>
      </w:r>
      <w:r w:rsidRPr="00764F24">
        <w:rPr>
          <w:rFonts w:cstheme="minorHAnsi"/>
          <w:szCs w:val="24"/>
          <w:lang w:val="en-GB"/>
        </w:rPr>
        <w:t xml:space="preserve">levels </w:t>
      </w:r>
      <w:r w:rsidR="00977DBE">
        <w:rPr>
          <w:rFonts w:cstheme="minorHAnsi"/>
          <w:szCs w:val="24"/>
          <w:lang w:val="en-GB"/>
        </w:rPr>
        <w:t xml:space="preserve">by the end of 2019.  Indeed, </w:t>
      </w:r>
      <w:r w:rsidRPr="00764F24">
        <w:rPr>
          <w:rFonts w:cstheme="minorHAnsi"/>
          <w:szCs w:val="24"/>
          <w:lang w:val="en-GB"/>
        </w:rPr>
        <w:t xml:space="preserve">wages started to fall slightly by February 2020, before the </w:t>
      </w:r>
      <w:r w:rsidR="00A12E5C" w:rsidRPr="00764F24">
        <w:rPr>
          <w:rFonts w:cstheme="minorHAnsi"/>
          <w:szCs w:val="24"/>
          <w:lang w:val="en-GB"/>
        </w:rPr>
        <w:t>COVID-19</w:t>
      </w:r>
      <w:r w:rsidRPr="00764F24">
        <w:rPr>
          <w:rFonts w:cstheme="minorHAnsi"/>
          <w:szCs w:val="24"/>
          <w:lang w:val="en-GB"/>
        </w:rPr>
        <w:t xml:space="preserve"> crisis</w:t>
      </w:r>
      <w:r w:rsidR="00BF7FBA" w:rsidRPr="00764F24">
        <w:rPr>
          <w:rFonts w:cstheme="minorHAnsi"/>
          <w:szCs w:val="24"/>
          <w:lang w:val="en-GB"/>
        </w:rPr>
        <w:t xml:space="preserve">. </w:t>
      </w:r>
    </w:p>
    <w:p w14:paraId="7413CAB6" w14:textId="434A1E5C" w:rsidR="00026B5C" w:rsidRPr="00764F24" w:rsidRDefault="003E58D3" w:rsidP="00D86B69">
      <w:pPr>
        <w:pStyle w:val="ListParagraph"/>
        <w:numPr>
          <w:ilvl w:val="0"/>
          <w:numId w:val="12"/>
        </w:numPr>
        <w:spacing w:beforeAutospacing="1" w:after="100" w:afterAutospacing="1" w:line="360" w:lineRule="auto"/>
        <w:rPr>
          <w:rFonts w:eastAsiaTheme="majorEastAsia" w:cstheme="minorHAnsi"/>
          <w:bCs/>
          <w:kern w:val="32"/>
          <w:szCs w:val="24"/>
          <w:lang w:val="en-GB"/>
        </w:rPr>
      </w:pPr>
      <w:r w:rsidRPr="00764F24">
        <w:rPr>
          <w:rFonts w:cstheme="minorHAnsi"/>
          <w:szCs w:val="24"/>
          <w:lang w:val="en-GB"/>
        </w:rPr>
        <w:lastRenderedPageBreak/>
        <w:t xml:space="preserve">The </w:t>
      </w:r>
      <w:r w:rsidR="00A12E5C" w:rsidRPr="00764F24">
        <w:rPr>
          <w:rFonts w:cstheme="minorHAnsi"/>
          <w:szCs w:val="24"/>
          <w:lang w:val="en-GB"/>
        </w:rPr>
        <w:t>COVID-19</w:t>
      </w:r>
      <w:r w:rsidRPr="00764F24">
        <w:rPr>
          <w:rFonts w:cstheme="minorHAnsi"/>
          <w:szCs w:val="24"/>
          <w:lang w:val="en-GB"/>
        </w:rPr>
        <w:t xml:space="preserve"> crisis has led to a considerable increase in unemployment though the Job Retention </w:t>
      </w:r>
      <w:r w:rsidR="0000347B">
        <w:rPr>
          <w:rFonts w:cstheme="minorHAnsi"/>
          <w:szCs w:val="24"/>
          <w:lang w:val="en-GB"/>
        </w:rPr>
        <w:t xml:space="preserve">(furlough) </w:t>
      </w:r>
      <w:r w:rsidRPr="00764F24">
        <w:rPr>
          <w:rFonts w:cstheme="minorHAnsi"/>
          <w:szCs w:val="24"/>
          <w:lang w:val="en-GB"/>
        </w:rPr>
        <w:t>Scheme has prevented it from reaching even higher levels</w:t>
      </w:r>
      <w:r w:rsidR="00BF7FBA" w:rsidRPr="00764F24">
        <w:rPr>
          <w:rFonts w:cstheme="minorHAnsi"/>
          <w:szCs w:val="24"/>
          <w:lang w:val="en-GB"/>
        </w:rPr>
        <w:t xml:space="preserve">. </w:t>
      </w:r>
      <w:r w:rsidR="00026B5C" w:rsidRPr="00764F24">
        <w:rPr>
          <w:rFonts w:eastAsiaTheme="majorEastAsia" w:cstheme="minorHAnsi"/>
          <w:bCs/>
          <w:kern w:val="32"/>
          <w:szCs w:val="24"/>
          <w:lang w:val="en-GB"/>
        </w:rPr>
        <w:t>From March to May 2020, between a quarter and a third of jobs had been furloughed</w:t>
      </w:r>
      <w:r w:rsidR="002957CF" w:rsidRPr="00764F24">
        <w:rPr>
          <w:rFonts w:eastAsiaTheme="majorEastAsia" w:cstheme="minorHAnsi"/>
          <w:bCs/>
          <w:kern w:val="32"/>
          <w:szCs w:val="24"/>
          <w:lang w:val="en-GB"/>
        </w:rPr>
        <w:t>.</w:t>
      </w:r>
      <w:r w:rsidR="0000347B">
        <w:rPr>
          <w:rFonts w:eastAsiaTheme="majorEastAsia" w:cstheme="minorHAnsi"/>
          <w:bCs/>
          <w:kern w:val="32"/>
          <w:szCs w:val="24"/>
          <w:lang w:val="en-GB"/>
        </w:rPr>
        <w:t xml:space="preserve">  The furlough scheme is due to end on 31</w:t>
      </w:r>
      <w:r w:rsidR="0000347B" w:rsidRPr="0000347B">
        <w:rPr>
          <w:rFonts w:eastAsiaTheme="majorEastAsia" w:cstheme="minorHAnsi"/>
          <w:bCs/>
          <w:kern w:val="32"/>
          <w:szCs w:val="24"/>
          <w:vertAlign w:val="superscript"/>
          <w:lang w:val="en-GB"/>
        </w:rPr>
        <w:t>st</w:t>
      </w:r>
      <w:r w:rsidR="0000347B">
        <w:rPr>
          <w:rFonts w:eastAsiaTheme="majorEastAsia" w:cstheme="minorHAnsi"/>
          <w:bCs/>
          <w:kern w:val="32"/>
          <w:szCs w:val="24"/>
          <w:lang w:val="en-GB"/>
        </w:rPr>
        <w:t xml:space="preserve"> October 2020</w:t>
      </w:r>
      <w:r w:rsidR="00AC22E2">
        <w:rPr>
          <w:rFonts w:eastAsiaTheme="majorEastAsia" w:cstheme="minorHAnsi"/>
          <w:bCs/>
          <w:kern w:val="32"/>
          <w:szCs w:val="24"/>
          <w:lang w:val="en-GB"/>
        </w:rPr>
        <w:t>, albeit with new schemes being lined up for some groups</w:t>
      </w:r>
      <w:r w:rsidR="0000347B">
        <w:rPr>
          <w:rFonts w:eastAsiaTheme="majorEastAsia" w:cstheme="minorHAnsi"/>
          <w:bCs/>
          <w:kern w:val="32"/>
          <w:szCs w:val="24"/>
          <w:lang w:val="en-GB"/>
        </w:rPr>
        <w:t>.</w:t>
      </w:r>
    </w:p>
    <w:p w14:paraId="7199C7B5" w14:textId="06D75C5B" w:rsidR="007E64E2" w:rsidRPr="00764F24" w:rsidRDefault="00026B5C" w:rsidP="00D86B69">
      <w:pPr>
        <w:pStyle w:val="ListParagraph"/>
        <w:numPr>
          <w:ilvl w:val="0"/>
          <w:numId w:val="12"/>
        </w:numPr>
        <w:spacing w:beforeAutospacing="1" w:after="100" w:afterAutospacing="1" w:line="360" w:lineRule="auto"/>
        <w:rPr>
          <w:rFonts w:cstheme="minorHAnsi"/>
          <w:szCs w:val="24"/>
          <w:lang w:val="en-GB"/>
        </w:rPr>
      </w:pPr>
      <w:r w:rsidRPr="00764F24">
        <w:rPr>
          <w:rFonts w:cstheme="minorHAnsi"/>
          <w:szCs w:val="24"/>
          <w:lang w:val="en-GB"/>
        </w:rPr>
        <w:t>During March and April 2020 alone, there were nearly 2.5 million claims for University Credit, 2 million more than in the same period in 2019.</w:t>
      </w:r>
      <w:r w:rsidR="003E6A58" w:rsidRPr="00764F24">
        <w:rPr>
          <w:rFonts w:cstheme="minorHAnsi"/>
          <w:szCs w:val="24"/>
          <w:lang w:val="en-GB"/>
        </w:rPr>
        <w:t xml:space="preserve"> </w:t>
      </w:r>
    </w:p>
    <w:p w14:paraId="53779FFA" w14:textId="47570CFB" w:rsidR="00026B5C" w:rsidRPr="00764F24" w:rsidRDefault="00026B5C" w:rsidP="00D86B69">
      <w:pPr>
        <w:pStyle w:val="Heading2"/>
        <w:spacing w:beforeAutospacing="1" w:after="100" w:afterAutospacing="1" w:line="360" w:lineRule="auto"/>
        <w:rPr>
          <w:rFonts w:cstheme="minorHAnsi"/>
          <w:szCs w:val="24"/>
          <w:lang w:val="en-GB"/>
        </w:rPr>
      </w:pPr>
      <w:bookmarkStart w:id="7" w:name="_Toc51250046"/>
      <w:bookmarkStart w:id="8" w:name="_Toc54600788"/>
      <w:r w:rsidRPr="00764F24">
        <w:rPr>
          <w:rFonts w:cstheme="minorHAnsi"/>
          <w:szCs w:val="24"/>
          <w:lang w:val="en-GB"/>
        </w:rPr>
        <w:t>Incomes</w:t>
      </w:r>
      <w:bookmarkEnd w:id="7"/>
      <w:bookmarkEnd w:id="8"/>
    </w:p>
    <w:p w14:paraId="6508E523" w14:textId="6025C581" w:rsidR="00026B5C" w:rsidRPr="00764F24" w:rsidRDefault="00026B5C" w:rsidP="00D86B69">
      <w:pPr>
        <w:pStyle w:val="ListParagraph"/>
        <w:numPr>
          <w:ilvl w:val="0"/>
          <w:numId w:val="13"/>
        </w:numPr>
        <w:spacing w:beforeAutospacing="1" w:after="100" w:afterAutospacing="1" w:line="360" w:lineRule="auto"/>
        <w:rPr>
          <w:rFonts w:cstheme="minorHAnsi"/>
          <w:szCs w:val="24"/>
          <w:lang w:val="en-GB"/>
        </w:rPr>
      </w:pPr>
      <w:r w:rsidRPr="00764F24">
        <w:rPr>
          <w:rFonts w:cstheme="minorHAnsi"/>
          <w:szCs w:val="24"/>
          <w:lang w:val="en-GB"/>
        </w:rPr>
        <w:t>Around 14 million people were living in poverty in the UK (more than one in five of the population) in 2017/18, made up of 8 million working-age adults, 4 million children and 2 million pensioners</w:t>
      </w:r>
      <w:r w:rsidR="00BF7FBA" w:rsidRPr="00764F24">
        <w:rPr>
          <w:rFonts w:cstheme="minorHAnsi"/>
          <w:szCs w:val="24"/>
          <w:lang w:val="en-GB"/>
        </w:rPr>
        <w:t xml:space="preserve">. </w:t>
      </w:r>
    </w:p>
    <w:p w14:paraId="214B589E" w14:textId="49CBF34C" w:rsidR="00026B5C" w:rsidRPr="00764F24" w:rsidRDefault="00026B5C" w:rsidP="00D86B69">
      <w:pPr>
        <w:pStyle w:val="ListParagraph"/>
        <w:numPr>
          <w:ilvl w:val="0"/>
          <w:numId w:val="13"/>
        </w:numPr>
        <w:spacing w:beforeAutospacing="1" w:after="100" w:afterAutospacing="1" w:line="360" w:lineRule="auto"/>
        <w:rPr>
          <w:rFonts w:cstheme="minorHAnsi"/>
          <w:szCs w:val="24"/>
          <w:lang w:val="en-GB"/>
        </w:rPr>
      </w:pPr>
      <w:r w:rsidRPr="00764F24">
        <w:rPr>
          <w:rFonts w:cstheme="minorHAnsi"/>
          <w:szCs w:val="24"/>
          <w:lang w:val="en-GB"/>
        </w:rPr>
        <w:t>Over the last five years, poverty rates have risen for children and pensioners</w:t>
      </w:r>
      <w:r w:rsidR="00BF7FBA" w:rsidRPr="00764F24">
        <w:rPr>
          <w:rFonts w:cstheme="minorHAnsi"/>
          <w:szCs w:val="24"/>
          <w:lang w:val="en-GB"/>
        </w:rPr>
        <w:t xml:space="preserve">. </w:t>
      </w:r>
      <w:r w:rsidRPr="00764F24">
        <w:rPr>
          <w:rFonts w:cstheme="minorHAnsi"/>
          <w:szCs w:val="24"/>
          <w:lang w:val="en-GB"/>
        </w:rPr>
        <w:t>And around 56</w:t>
      </w:r>
      <w:r w:rsidR="00692125" w:rsidRPr="00764F24">
        <w:rPr>
          <w:rFonts w:cstheme="minorHAnsi"/>
          <w:szCs w:val="24"/>
          <w:lang w:val="en-GB"/>
        </w:rPr>
        <w:t xml:space="preserve"> per cent</w:t>
      </w:r>
      <w:r w:rsidRPr="00764F24">
        <w:rPr>
          <w:rFonts w:cstheme="minorHAnsi"/>
          <w:szCs w:val="24"/>
          <w:lang w:val="en-GB"/>
        </w:rPr>
        <w:t xml:space="preserve"> of people in poverty were in a working family, compared with 39</w:t>
      </w:r>
      <w:r w:rsidR="00692125" w:rsidRPr="00764F24">
        <w:rPr>
          <w:rFonts w:cstheme="minorHAnsi"/>
          <w:szCs w:val="24"/>
          <w:lang w:val="en-GB"/>
        </w:rPr>
        <w:t xml:space="preserve"> per cent</w:t>
      </w:r>
      <w:r w:rsidRPr="00764F24">
        <w:rPr>
          <w:rFonts w:cstheme="minorHAnsi"/>
          <w:szCs w:val="24"/>
          <w:lang w:val="en-GB"/>
        </w:rPr>
        <w:t xml:space="preserve"> 20 years ago. Poverty rates were highest in London, the North of England, Midlands and Wales, and lowest in the South (excluding London), Scotland and Northern Ireland. </w:t>
      </w:r>
    </w:p>
    <w:p w14:paraId="62936443" w14:textId="2D341FCF" w:rsidR="00026B5C" w:rsidRPr="00764F24" w:rsidRDefault="00977DBE" w:rsidP="00D86B69">
      <w:pPr>
        <w:pStyle w:val="ListParagraph"/>
        <w:numPr>
          <w:ilvl w:val="0"/>
          <w:numId w:val="13"/>
        </w:numPr>
        <w:spacing w:beforeAutospacing="1" w:after="100" w:afterAutospacing="1" w:line="360" w:lineRule="auto"/>
        <w:rPr>
          <w:rFonts w:cstheme="minorHAnsi"/>
          <w:szCs w:val="24"/>
          <w:lang w:val="en-GB"/>
        </w:rPr>
      </w:pPr>
      <w:r>
        <w:rPr>
          <w:rFonts w:cstheme="minorHAnsi"/>
          <w:szCs w:val="24"/>
          <w:lang w:val="en-GB"/>
        </w:rPr>
        <w:t>B</w:t>
      </w:r>
      <w:r w:rsidR="00026B5C" w:rsidRPr="00764F24">
        <w:rPr>
          <w:rFonts w:cstheme="minorHAnsi"/>
          <w:szCs w:val="24"/>
          <w:lang w:val="en-GB"/>
        </w:rPr>
        <w:t xml:space="preserve">y the end of May 2020, more than </w:t>
      </w:r>
      <w:r w:rsidR="00881FE7" w:rsidRPr="00764F24">
        <w:rPr>
          <w:rFonts w:cstheme="minorHAnsi"/>
          <w:szCs w:val="24"/>
          <w:lang w:val="en-GB"/>
        </w:rPr>
        <w:t>one</w:t>
      </w:r>
      <w:r w:rsidR="00026B5C" w:rsidRPr="00764F24">
        <w:rPr>
          <w:rFonts w:cstheme="minorHAnsi"/>
          <w:szCs w:val="24"/>
          <w:lang w:val="en-GB"/>
        </w:rPr>
        <w:t xml:space="preserve"> quarter, 28</w:t>
      </w:r>
      <w:r w:rsidR="00881FE7" w:rsidRPr="00764F24">
        <w:rPr>
          <w:rFonts w:cstheme="minorHAnsi"/>
          <w:szCs w:val="24"/>
          <w:lang w:val="en-GB"/>
        </w:rPr>
        <w:t xml:space="preserve"> per cent</w:t>
      </w:r>
      <w:r w:rsidR="00026B5C" w:rsidRPr="00764F24">
        <w:rPr>
          <w:rFonts w:cstheme="minorHAnsi"/>
          <w:szCs w:val="24"/>
          <w:lang w:val="en-GB"/>
        </w:rPr>
        <w:t xml:space="preserve"> of adults, or 14 million people, had experienced a direct negative effect on their income due to </w:t>
      </w:r>
      <w:r w:rsidR="00A12E5C" w:rsidRPr="00764F24">
        <w:rPr>
          <w:rFonts w:cstheme="minorHAnsi"/>
          <w:szCs w:val="24"/>
          <w:lang w:val="en-GB"/>
        </w:rPr>
        <w:t xml:space="preserve"> COVID-19</w:t>
      </w:r>
      <w:r w:rsidR="00026B5C" w:rsidRPr="00764F24">
        <w:rPr>
          <w:rFonts w:cstheme="minorHAnsi"/>
          <w:szCs w:val="24"/>
          <w:lang w:val="en-GB"/>
        </w:rPr>
        <w:t>, affecting people throughout the income distribution though affecting those at the bottom and middle most of all</w:t>
      </w:r>
      <w:r w:rsidR="00BF7FBA" w:rsidRPr="00764F24">
        <w:rPr>
          <w:rFonts w:cstheme="minorHAnsi"/>
          <w:szCs w:val="24"/>
          <w:lang w:val="en-GB"/>
        </w:rPr>
        <w:t xml:space="preserve">. </w:t>
      </w:r>
    </w:p>
    <w:p w14:paraId="4B7A4764" w14:textId="159358CB" w:rsidR="00026B5C" w:rsidRPr="00764F24" w:rsidRDefault="00026B5C" w:rsidP="00D86B69">
      <w:pPr>
        <w:pStyle w:val="ListParagraph"/>
        <w:numPr>
          <w:ilvl w:val="0"/>
          <w:numId w:val="13"/>
        </w:numPr>
        <w:spacing w:beforeAutospacing="1" w:after="100" w:afterAutospacing="1" w:line="360" w:lineRule="auto"/>
        <w:rPr>
          <w:rFonts w:cstheme="minorHAnsi"/>
          <w:szCs w:val="24"/>
          <w:lang w:val="en-GB"/>
        </w:rPr>
      </w:pPr>
      <w:r w:rsidRPr="00764F24">
        <w:rPr>
          <w:rFonts w:cstheme="minorHAnsi"/>
          <w:szCs w:val="24"/>
          <w:lang w:val="en-GB"/>
        </w:rPr>
        <w:t>According to the Resolution Foundation, the emergency boost to U</w:t>
      </w:r>
      <w:r w:rsidR="00ED77BC" w:rsidRPr="00764F24">
        <w:rPr>
          <w:rFonts w:cstheme="minorHAnsi"/>
          <w:szCs w:val="24"/>
          <w:lang w:val="en-GB"/>
        </w:rPr>
        <w:t xml:space="preserve">niversal </w:t>
      </w:r>
      <w:r w:rsidRPr="00764F24">
        <w:rPr>
          <w:rFonts w:cstheme="minorHAnsi"/>
          <w:szCs w:val="24"/>
          <w:lang w:val="en-GB"/>
        </w:rPr>
        <w:t>C</w:t>
      </w:r>
      <w:r w:rsidR="00ED77BC" w:rsidRPr="00764F24">
        <w:rPr>
          <w:rFonts w:cstheme="minorHAnsi"/>
          <w:szCs w:val="24"/>
          <w:lang w:val="en-GB"/>
        </w:rPr>
        <w:t>redit</w:t>
      </w:r>
      <w:r w:rsidR="00881FE7" w:rsidRPr="00764F24">
        <w:rPr>
          <w:rFonts w:cstheme="minorHAnsi"/>
          <w:szCs w:val="24"/>
          <w:lang w:val="en-GB"/>
        </w:rPr>
        <w:t xml:space="preserve"> (UC)</w:t>
      </w:r>
      <w:r w:rsidRPr="00764F24">
        <w:rPr>
          <w:rFonts w:cstheme="minorHAnsi"/>
          <w:szCs w:val="24"/>
          <w:lang w:val="en-GB"/>
        </w:rPr>
        <w:t>, tax credits and housing support on 20</w:t>
      </w:r>
      <w:r w:rsidR="00ED77BC" w:rsidRPr="00764F24">
        <w:rPr>
          <w:rFonts w:cstheme="minorHAnsi"/>
          <w:szCs w:val="24"/>
          <w:vertAlign w:val="superscript"/>
          <w:lang w:val="en-GB"/>
        </w:rPr>
        <w:t>th</w:t>
      </w:r>
      <w:r w:rsidR="00ED77BC" w:rsidRPr="00764F24">
        <w:rPr>
          <w:rFonts w:cstheme="minorHAnsi"/>
          <w:szCs w:val="24"/>
          <w:lang w:val="en-GB"/>
        </w:rPr>
        <w:t xml:space="preserve"> </w:t>
      </w:r>
      <w:r w:rsidRPr="00764F24">
        <w:rPr>
          <w:rFonts w:cstheme="minorHAnsi"/>
          <w:szCs w:val="24"/>
          <w:lang w:val="en-GB"/>
        </w:rPr>
        <w:t xml:space="preserve">March increased the incomes of families in the poorest quarter by 5 per cent on average and </w:t>
      </w:r>
      <w:r w:rsidR="00ED77BC" w:rsidRPr="00764F24">
        <w:rPr>
          <w:rFonts w:cstheme="minorHAnsi"/>
          <w:szCs w:val="24"/>
          <w:lang w:val="en-GB"/>
        </w:rPr>
        <w:t xml:space="preserve">so </w:t>
      </w:r>
      <w:r w:rsidRPr="00764F24">
        <w:rPr>
          <w:rFonts w:cstheme="minorHAnsi"/>
          <w:szCs w:val="24"/>
          <w:lang w:val="en-GB"/>
        </w:rPr>
        <w:t>strengthened the safety net</w:t>
      </w:r>
      <w:r w:rsidR="00BF7FBA" w:rsidRPr="00764F24">
        <w:rPr>
          <w:rFonts w:cstheme="minorHAnsi"/>
          <w:szCs w:val="24"/>
          <w:lang w:val="en-GB"/>
        </w:rPr>
        <w:t xml:space="preserve">. </w:t>
      </w:r>
      <w:r w:rsidRPr="00764F24">
        <w:rPr>
          <w:rFonts w:cstheme="minorHAnsi"/>
          <w:szCs w:val="24"/>
          <w:lang w:val="en-GB"/>
        </w:rPr>
        <w:t xml:space="preserve">The Job Retention Scheme (JRS) also provided much greater income protection with </w:t>
      </w:r>
      <w:r w:rsidR="00ED77BC" w:rsidRPr="00764F24">
        <w:rPr>
          <w:rFonts w:cstheme="minorHAnsi"/>
          <w:szCs w:val="24"/>
          <w:lang w:val="en-GB"/>
        </w:rPr>
        <w:t xml:space="preserve">the </w:t>
      </w:r>
      <w:r w:rsidRPr="00764F24">
        <w:rPr>
          <w:rFonts w:cstheme="minorHAnsi"/>
          <w:szCs w:val="24"/>
          <w:lang w:val="en-GB"/>
        </w:rPr>
        <w:t>median fall in disposable income if furloughed being just 9 per cent compared with 47 per cent if people lost their jobs and turn</w:t>
      </w:r>
      <w:r w:rsidR="00881FE7" w:rsidRPr="00764F24">
        <w:rPr>
          <w:rFonts w:cstheme="minorHAnsi"/>
          <w:szCs w:val="24"/>
          <w:lang w:val="en-GB"/>
        </w:rPr>
        <w:t>ed</w:t>
      </w:r>
      <w:r w:rsidRPr="00764F24">
        <w:rPr>
          <w:rFonts w:cstheme="minorHAnsi"/>
          <w:szCs w:val="24"/>
          <w:lang w:val="en-GB"/>
        </w:rPr>
        <w:t xml:space="preserve"> to UC. </w:t>
      </w:r>
    </w:p>
    <w:p w14:paraId="2D119422" w14:textId="667AF491" w:rsidR="00026B5C" w:rsidRPr="00764F24" w:rsidRDefault="00026B5C" w:rsidP="00D86B69">
      <w:pPr>
        <w:pStyle w:val="ListParagraph"/>
        <w:numPr>
          <w:ilvl w:val="0"/>
          <w:numId w:val="13"/>
        </w:numPr>
        <w:spacing w:beforeAutospacing="1" w:after="100" w:afterAutospacing="1" w:line="360" w:lineRule="auto"/>
        <w:rPr>
          <w:rFonts w:cstheme="minorHAnsi"/>
          <w:szCs w:val="24"/>
          <w:lang w:val="en-GB"/>
        </w:rPr>
      </w:pPr>
      <w:r w:rsidRPr="00764F24">
        <w:rPr>
          <w:rFonts w:cstheme="minorHAnsi"/>
          <w:szCs w:val="24"/>
          <w:lang w:val="en-GB"/>
        </w:rPr>
        <w:t>The adequacy of means-tested, out-of-work benefits (of all kinds) ha</w:t>
      </w:r>
      <w:r w:rsidR="00ED77BC" w:rsidRPr="00764F24">
        <w:rPr>
          <w:rFonts w:cstheme="minorHAnsi"/>
          <w:szCs w:val="24"/>
          <w:lang w:val="en-GB"/>
        </w:rPr>
        <w:t>d been</w:t>
      </w:r>
      <w:r w:rsidRPr="00764F24">
        <w:rPr>
          <w:rFonts w:cstheme="minorHAnsi"/>
          <w:szCs w:val="24"/>
          <w:lang w:val="en-GB"/>
        </w:rPr>
        <w:t xml:space="preserve"> d</w:t>
      </w:r>
      <w:r w:rsidR="00977DBE">
        <w:rPr>
          <w:rFonts w:cstheme="minorHAnsi"/>
          <w:szCs w:val="24"/>
          <w:lang w:val="en-GB"/>
        </w:rPr>
        <w:t>eclining</w:t>
      </w:r>
      <w:r w:rsidRPr="00764F24">
        <w:rPr>
          <w:rFonts w:cstheme="minorHAnsi"/>
          <w:szCs w:val="24"/>
          <w:lang w:val="en-GB"/>
        </w:rPr>
        <w:t xml:space="preserve"> over the past few years prior to </w:t>
      </w:r>
      <w:r w:rsidR="00A12E5C" w:rsidRPr="00764F24">
        <w:rPr>
          <w:rFonts w:cstheme="minorHAnsi"/>
          <w:szCs w:val="24"/>
          <w:lang w:val="en-GB"/>
        </w:rPr>
        <w:t xml:space="preserve"> COVID-19</w:t>
      </w:r>
      <w:r w:rsidRPr="00764F24">
        <w:rPr>
          <w:rFonts w:cstheme="minorHAnsi"/>
          <w:szCs w:val="24"/>
          <w:lang w:val="en-GB"/>
        </w:rPr>
        <w:t xml:space="preserve"> and we </w:t>
      </w:r>
      <w:r w:rsidR="00ED77BC" w:rsidRPr="00764F24">
        <w:rPr>
          <w:rFonts w:cstheme="minorHAnsi"/>
          <w:szCs w:val="24"/>
          <w:lang w:val="en-GB"/>
        </w:rPr>
        <w:t xml:space="preserve">now </w:t>
      </w:r>
      <w:r w:rsidRPr="00764F24">
        <w:rPr>
          <w:rFonts w:cstheme="minorHAnsi"/>
          <w:szCs w:val="24"/>
          <w:lang w:val="en-GB"/>
        </w:rPr>
        <w:t>see a difference emerge between those on ‘legacy’ benefits (income support, employment support allowance, jobseeker’s allowance) and those on UC w</w:t>
      </w:r>
      <w:r w:rsidR="00977DBE">
        <w:rPr>
          <w:rFonts w:cstheme="minorHAnsi"/>
          <w:szCs w:val="24"/>
          <w:lang w:val="en-GB"/>
        </w:rPr>
        <w:t>ho are on</w:t>
      </w:r>
      <w:r w:rsidRPr="00764F24">
        <w:rPr>
          <w:rFonts w:cstheme="minorHAnsi"/>
          <w:szCs w:val="24"/>
          <w:lang w:val="en-GB"/>
        </w:rPr>
        <w:t xml:space="preserve"> higher levels of benefit, according to the </w:t>
      </w:r>
      <w:r w:rsidR="00881FE7" w:rsidRPr="00764F24">
        <w:rPr>
          <w:rFonts w:cstheme="minorHAnsi"/>
          <w:szCs w:val="24"/>
          <w:lang w:val="en-GB"/>
        </w:rPr>
        <w:t xml:space="preserve">Loughborough </w:t>
      </w:r>
      <w:r w:rsidRPr="00764F24">
        <w:rPr>
          <w:rFonts w:cstheme="minorHAnsi"/>
          <w:szCs w:val="24"/>
          <w:lang w:val="en-GB"/>
        </w:rPr>
        <w:t>University</w:t>
      </w:r>
      <w:r w:rsidR="00BF7FBA" w:rsidRPr="00764F24">
        <w:rPr>
          <w:rFonts w:cstheme="minorHAnsi"/>
          <w:szCs w:val="24"/>
          <w:lang w:val="en-GB"/>
        </w:rPr>
        <w:t>.</w:t>
      </w:r>
      <w:r w:rsidR="008D2686" w:rsidRPr="00764F24">
        <w:rPr>
          <w:rFonts w:cstheme="minorHAnsi"/>
          <w:szCs w:val="24"/>
          <w:lang w:val="en-GB"/>
        </w:rPr>
        <w:t xml:space="preserve"> </w:t>
      </w:r>
    </w:p>
    <w:p w14:paraId="166C96CC" w14:textId="16F07330" w:rsidR="00026B5C" w:rsidRPr="00764F24" w:rsidRDefault="00026B5C" w:rsidP="00D86B69">
      <w:pPr>
        <w:pStyle w:val="ListParagraph"/>
        <w:numPr>
          <w:ilvl w:val="0"/>
          <w:numId w:val="13"/>
        </w:numPr>
        <w:spacing w:beforeAutospacing="1" w:after="100" w:afterAutospacing="1" w:line="360" w:lineRule="auto"/>
        <w:rPr>
          <w:rFonts w:cstheme="minorHAnsi"/>
          <w:szCs w:val="24"/>
          <w:lang w:val="en-GB"/>
        </w:rPr>
      </w:pPr>
      <w:r w:rsidRPr="00764F24">
        <w:rPr>
          <w:rFonts w:cstheme="minorHAnsi"/>
          <w:szCs w:val="24"/>
          <w:lang w:val="en-GB"/>
        </w:rPr>
        <w:t>Means-tested pensioner benefits (e</w:t>
      </w:r>
      <w:r w:rsidR="00881FE7" w:rsidRPr="00764F24">
        <w:rPr>
          <w:rFonts w:cstheme="minorHAnsi"/>
          <w:szCs w:val="24"/>
          <w:lang w:val="en-GB"/>
        </w:rPr>
        <w:t>.</w:t>
      </w:r>
      <w:r w:rsidRPr="00764F24">
        <w:rPr>
          <w:rFonts w:cstheme="minorHAnsi"/>
          <w:szCs w:val="24"/>
          <w:lang w:val="en-GB"/>
        </w:rPr>
        <w:t>g</w:t>
      </w:r>
      <w:r w:rsidR="00881FE7" w:rsidRPr="00764F24">
        <w:rPr>
          <w:rFonts w:cstheme="minorHAnsi"/>
          <w:szCs w:val="24"/>
          <w:lang w:val="en-GB"/>
        </w:rPr>
        <w:t>.</w:t>
      </w:r>
      <w:r w:rsidRPr="00764F24">
        <w:rPr>
          <w:rFonts w:cstheme="minorHAnsi"/>
          <w:szCs w:val="24"/>
          <w:lang w:val="en-GB"/>
        </w:rPr>
        <w:t xml:space="preserve"> Pension Credit) also dropped massively in adequacy levels between 2009 and 2019 and have only increased marginally in the last </w:t>
      </w:r>
      <w:r w:rsidRPr="00764F24">
        <w:rPr>
          <w:rFonts w:cstheme="minorHAnsi"/>
          <w:szCs w:val="24"/>
          <w:lang w:val="en-GB"/>
        </w:rPr>
        <w:lastRenderedPageBreak/>
        <w:t>year</w:t>
      </w:r>
      <w:r w:rsidR="00BF7FBA" w:rsidRPr="00764F24">
        <w:rPr>
          <w:rFonts w:cstheme="minorHAnsi"/>
          <w:szCs w:val="24"/>
          <w:lang w:val="en-GB"/>
        </w:rPr>
        <w:t xml:space="preserve">. </w:t>
      </w:r>
      <w:r w:rsidRPr="00764F24">
        <w:rPr>
          <w:rFonts w:cstheme="minorHAnsi"/>
          <w:szCs w:val="24"/>
          <w:lang w:val="en-GB"/>
        </w:rPr>
        <w:t>They do, however, c</w:t>
      </w:r>
      <w:r w:rsidR="0077585D" w:rsidRPr="00764F24">
        <w:rPr>
          <w:rFonts w:cstheme="minorHAnsi"/>
          <w:szCs w:val="24"/>
          <w:lang w:val="en-GB"/>
        </w:rPr>
        <w:t xml:space="preserve">ontinue to provide incomes </w:t>
      </w:r>
      <w:r w:rsidRPr="00764F24">
        <w:rPr>
          <w:rFonts w:cstheme="minorHAnsi"/>
          <w:szCs w:val="24"/>
          <w:lang w:val="en-GB"/>
        </w:rPr>
        <w:t>much closer to the Minimum Income Standard level than for other groups</w:t>
      </w:r>
      <w:r w:rsidR="00BF7FBA" w:rsidRPr="00764F24">
        <w:rPr>
          <w:rFonts w:cstheme="minorHAnsi"/>
          <w:szCs w:val="24"/>
          <w:lang w:val="en-GB"/>
        </w:rPr>
        <w:t xml:space="preserve">. </w:t>
      </w:r>
    </w:p>
    <w:p w14:paraId="1C58352C" w14:textId="7ACD6F56" w:rsidR="007E64E2" w:rsidRPr="00764F24" w:rsidRDefault="00977DBE" w:rsidP="00D86B69">
      <w:pPr>
        <w:pStyle w:val="ListParagraph"/>
        <w:numPr>
          <w:ilvl w:val="0"/>
          <w:numId w:val="13"/>
        </w:numPr>
        <w:spacing w:beforeAutospacing="1" w:after="100" w:afterAutospacing="1" w:line="360" w:lineRule="auto"/>
        <w:rPr>
          <w:rFonts w:cstheme="minorHAnsi"/>
          <w:szCs w:val="24"/>
          <w:lang w:val="en-GB"/>
        </w:rPr>
      </w:pPr>
      <w:r>
        <w:rPr>
          <w:rFonts w:cstheme="minorHAnsi"/>
          <w:szCs w:val="24"/>
          <w:lang w:val="en-GB"/>
        </w:rPr>
        <w:t xml:space="preserve">As many as 1.9 million </w:t>
      </w:r>
      <w:r w:rsidRPr="00764F24">
        <w:rPr>
          <w:rFonts w:cstheme="minorHAnsi"/>
          <w:szCs w:val="24"/>
          <w:lang w:val="en-GB"/>
        </w:rPr>
        <w:t xml:space="preserve">emergency food parcels </w:t>
      </w:r>
      <w:r>
        <w:rPr>
          <w:rFonts w:cstheme="minorHAnsi"/>
          <w:szCs w:val="24"/>
          <w:lang w:val="en-GB"/>
        </w:rPr>
        <w:t>given out from 1</w:t>
      </w:r>
      <w:r w:rsidRPr="00977DBE">
        <w:rPr>
          <w:rFonts w:cstheme="minorHAnsi"/>
          <w:szCs w:val="24"/>
          <w:vertAlign w:val="superscript"/>
          <w:lang w:val="en-GB"/>
        </w:rPr>
        <w:t>st</w:t>
      </w:r>
      <w:r>
        <w:rPr>
          <w:rFonts w:cstheme="minorHAnsi"/>
          <w:szCs w:val="24"/>
          <w:lang w:val="en-GB"/>
        </w:rPr>
        <w:t xml:space="preserve"> April 2019 to end of March 2020 (</w:t>
      </w:r>
      <w:proofErr w:type="spellStart"/>
      <w:r>
        <w:rPr>
          <w:rFonts w:cstheme="minorHAnsi"/>
          <w:szCs w:val="24"/>
          <w:lang w:val="en-GB"/>
        </w:rPr>
        <w:t>ie</w:t>
      </w:r>
      <w:proofErr w:type="spellEnd"/>
      <w:r>
        <w:rPr>
          <w:rFonts w:cstheme="minorHAnsi"/>
          <w:szCs w:val="24"/>
          <w:lang w:val="en-GB"/>
        </w:rPr>
        <w:t xml:space="preserve"> pre-COVID-19) by the </w:t>
      </w:r>
      <w:r w:rsidR="00026B5C" w:rsidRPr="00764F24">
        <w:rPr>
          <w:rFonts w:cstheme="minorHAnsi"/>
          <w:szCs w:val="24"/>
          <w:lang w:val="en-GB"/>
        </w:rPr>
        <w:t xml:space="preserve">Trussell Trust </w:t>
      </w:r>
      <w:r>
        <w:rPr>
          <w:rFonts w:cstheme="minorHAnsi"/>
          <w:szCs w:val="24"/>
          <w:lang w:val="en-GB"/>
        </w:rPr>
        <w:t>(up from 1.6 million the previous year)</w:t>
      </w:r>
      <w:r w:rsidR="00BF7FBA" w:rsidRPr="00764F24">
        <w:rPr>
          <w:rFonts w:cstheme="minorHAnsi"/>
          <w:szCs w:val="24"/>
          <w:lang w:val="en-GB"/>
        </w:rPr>
        <w:t xml:space="preserve">. </w:t>
      </w:r>
      <w:r>
        <w:rPr>
          <w:rFonts w:cstheme="minorHAnsi"/>
          <w:szCs w:val="24"/>
          <w:lang w:val="en-GB"/>
        </w:rPr>
        <w:t xml:space="preserve"> And</w:t>
      </w:r>
      <w:r w:rsidR="00026B5C" w:rsidRPr="00764F24">
        <w:rPr>
          <w:rFonts w:cstheme="minorHAnsi"/>
          <w:szCs w:val="24"/>
          <w:lang w:val="en-GB"/>
        </w:rPr>
        <w:t xml:space="preserve"> </w:t>
      </w:r>
      <w:r w:rsidR="00455B39" w:rsidRPr="00764F24">
        <w:rPr>
          <w:rFonts w:cstheme="minorHAnsi"/>
          <w:szCs w:val="24"/>
          <w:lang w:val="en-GB"/>
        </w:rPr>
        <w:t>t</w:t>
      </w:r>
      <w:r w:rsidR="00026B5C" w:rsidRPr="00764F24">
        <w:rPr>
          <w:rFonts w:cstheme="minorHAnsi"/>
          <w:szCs w:val="24"/>
          <w:lang w:val="en-GB"/>
        </w:rPr>
        <w:t xml:space="preserve">he Trust </w:t>
      </w:r>
      <w:r>
        <w:rPr>
          <w:rFonts w:cstheme="minorHAnsi"/>
          <w:szCs w:val="24"/>
          <w:lang w:val="en-GB"/>
        </w:rPr>
        <w:t xml:space="preserve">then </w:t>
      </w:r>
      <w:r w:rsidR="00026B5C" w:rsidRPr="00764F24">
        <w:rPr>
          <w:rFonts w:cstheme="minorHAnsi"/>
          <w:szCs w:val="24"/>
          <w:lang w:val="en-GB"/>
        </w:rPr>
        <w:t>reported an 89</w:t>
      </w:r>
      <w:r w:rsidR="00881FE7" w:rsidRPr="00764F24">
        <w:rPr>
          <w:rFonts w:cstheme="minorHAnsi"/>
          <w:szCs w:val="24"/>
          <w:lang w:val="en-GB"/>
        </w:rPr>
        <w:t xml:space="preserve"> per cent</w:t>
      </w:r>
      <w:r w:rsidR="00026B5C" w:rsidRPr="00764F24">
        <w:rPr>
          <w:rFonts w:cstheme="minorHAnsi"/>
          <w:szCs w:val="24"/>
          <w:lang w:val="en-GB"/>
        </w:rPr>
        <w:t xml:space="preserve"> increase in need for emergency food parcels during April 2020 compared to the same month in 2019, including a 107</w:t>
      </w:r>
      <w:r w:rsidR="00881FE7" w:rsidRPr="00764F24">
        <w:rPr>
          <w:rFonts w:cstheme="minorHAnsi"/>
          <w:szCs w:val="24"/>
          <w:lang w:val="en-GB"/>
        </w:rPr>
        <w:t xml:space="preserve"> per cent</w:t>
      </w:r>
      <w:r w:rsidR="00026B5C" w:rsidRPr="00764F24">
        <w:rPr>
          <w:rFonts w:cstheme="minorHAnsi"/>
          <w:szCs w:val="24"/>
          <w:lang w:val="en-GB"/>
        </w:rPr>
        <w:t> rise in </w:t>
      </w:r>
      <w:r w:rsidR="0077585D" w:rsidRPr="00764F24">
        <w:rPr>
          <w:rFonts w:cstheme="minorHAnsi"/>
          <w:szCs w:val="24"/>
          <w:lang w:val="en-GB"/>
        </w:rPr>
        <w:t xml:space="preserve">food </w:t>
      </w:r>
      <w:r w:rsidR="00026B5C" w:rsidRPr="00764F24">
        <w:rPr>
          <w:rFonts w:cstheme="minorHAnsi"/>
          <w:szCs w:val="24"/>
          <w:lang w:val="en-GB"/>
        </w:rPr>
        <w:t xml:space="preserve">parcels </w:t>
      </w:r>
      <w:r w:rsidR="0077585D" w:rsidRPr="00764F24">
        <w:rPr>
          <w:rFonts w:cstheme="minorHAnsi"/>
          <w:szCs w:val="24"/>
          <w:lang w:val="en-GB"/>
        </w:rPr>
        <w:t>for</w:t>
      </w:r>
      <w:r w:rsidR="00026B5C" w:rsidRPr="00764F24">
        <w:rPr>
          <w:rFonts w:cstheme="minorHAnsi"/>
          <w:szCs w:val="24"/>
          <w:lang w:val="en-GB"/>
        </w:rPr>
        <w:t xml:space="preserve"> children. </w:t>
      </w:r>
    </w:p>
    <w:p w14:paraId="451ECD99" w14:textId="338F5261" w:rsidR="00026B5C" w:rsidRPr="00764F24" w:rsidRDefault="00026B5C" w:rsidP="00D86B69">
      <w:pPr>
        <w:pStyle w:val="Heading2"/>
        <w:spacing w:beforeAutospacing="1" w:after="100" w:afterAutospacing="1" w:line="360" w:lineRule="auto"/>
        <w:rPr>
          <w:rFonts w:cstheme="minorHAnsi"/>
          <w:szCs w:val="24"/>
          <w:lang w:val="en-GB"/>
        </w:rPr>
      </w:pPr>
      <w:bookmarkStart w:id="9" w:name="_Toc51250047"/>
      <w:bookmarkStart w:id="10" w:name="_Toc54600789"/>
      <w:r w:rsidRPr="00764F24">
        <w:rPr>
          <w:rFonts w:cstheme="minorHAnsi"/>
          <w:szCs w:val="24"/>
          <w:lang w:val="en-GB"/>
        </w:rPr>
        <w:t>Subjective financial wellbeing</w:t>
      </w:r>
      <w:bookmarkEnd w:id="9"/>
      <w:bookmarkEnd w:id="10"/>
    </w:p>
    <w:p w14:paraId="49C24418" w14:textId="7D0D2420" w:rsidR="00026B5C" w:rsidRPr="00764F24" w:rsidRDefault="00026B5C" w:rsidP="00D86B69">
      <w:pPr>
        <w:pStyle w:val="ListParagraph"/>
        <w:numPr>
          <w:ilvl w:val="0"/>
          <w:numId w:val="14"/>
        </w:numPr>
        <w:spacing w:beforeAutospacing="1" w:after="100" w:afterAutospacing="1" w:line="360" w:lineRule="auto"/>
        <w:rPr>
          <w:rFonts w:cstheme="minorHAnsi"/>
          <w:szCs w:val="24"/>
          <w:lang w:val="en-GB"/>
        </w:rPr>
      </w:pPr>
      <w:r w:rsidRPr="00764F24">
        <w:rPr>
          <w:rFonts w:cstheme="minorHAnsi"/>
          <w:szCs w:val="24"/>
          <w:lang w:val="en-GB"/>
        </w:rPr>
        <w:t xml:space="preserve">Prior to </w:t>
      </w:r>
      <w:r w:rsidR="00A12E5C" w:rsidRPr="00764F24">
        <w:rPr>
          <w:rFonts w:cstheme="minorHAnsi"/>
          <w:szCs w:val="24"/>
          <w:lang w:val="en-GB"/>
        </w:rPr>
        <w:t>COVID-19</w:t>
      </w:r>
      <w:r w:rsidR="0077585D" w:rsidRPr="00764F24">
        <w:rPr>
          <w:rFonts w:cstheme="minorHAnsi"/>
          <w:szCs w:val="24"/>
          <w:lang w:val="en-GB"/>
        </w:rPr>
        <w:t xml:space="preserve"> there was an increase </w:t>
      </w:r>
      <w:r w:rsidRPr="00764F24">
        <w:rPr>
          <w:rFonts w:cstheme="minorHAnsi"/>
          <w:szCs w:val="24"/>
          <w:lang w:val="en-GB"/>
        </w:rPr>
        <w:t xml:space="preserve">in the number of people reporting that they were ‘just getting by or finding it difficult’ to do so in 2017/18 – and this was the first time there had been an increase </w:t>
      </w:r>
      <w:r w:rsidR="0077585D" w:rsidRPr="00764F24">
        <w:rPr>
          <w:rFonts w:cstheme="minorHAnsi"/>
          <w:szCs w:val="24"/>
          <w:lang w:val="en-GB"/>
        </w:rPr>
        <w:t xml:space="preserve">in this indicator </w:t>
      </w:r>
      <w:r w:rsidRPr="00764F24">
        <w:rPr>
          <w:rFonts w:cstheme="minorHAnsi"/>
          <w:szCs w:val="24"/>
          <w:lang w:val="en-GB"/>
        </w:rPr>
        <w:t>since 2009/10</w:t>
      </w:r>
      <w:r w:rsidR="00BF7FBA" w:rsidRPr="00764F24">
        <w:rPr>
          <w:rFonts w:cstheme="minorHAnsi"/>
          <w:szCs w:val="24"/>
          <w:lang w:val="en-GB"/>
        </w:rPr>
        <w:t xml:space="preserve">. </w:t>
      </w:r>
      <w:r w:rsidR="00AC22E2">
        <w:rPr>
          <w:rFonts w:cstheme="minorHAnsi"/>
          <w:szCs w:val="24"/>
          <w:lang w:val="en-GB"/>
        </w:rPr>
        <w:t>Some minority ethnic groups were the most likely to report his.</w:t>
      </w:r>
    </w:p>
    <w:p w14:paraId="3CBB1A92" w14:textId="6A1BDEF2" w:rsidR="00026B5C" w:rsidRPr="00764F24" w:rsidRDefault="00A12E5C" w:rsidP="00D86B69">
      <w:pPr>
        <w:pStyle w:val="ListParagraph"/>
        <w:numPr>
          <w:ilvl w:val="0"/>
          <w:numId w:val="14"/>
        </w:numPr>
        <w:spacing w:beforeAutospacing="1" w:after="100" w:afterAutospacing="1" w:line="360" w:lineRule="auto"/>
        <w:rPr>
          <w:rFonts w:eastAsiaTheme="majorEastAsia" w:cstheme="minorHAnsi"/>
          <w:bCs/>
          <w:kern w:val="32"/>
          <w:szCs w:val="24"/>
          <w:lang w:val="en-GB"/>
        </w:rPr>
      </w:pPr>
      <w:r w:rsidRPr="00764F24">
        <w:rPr>
          <w:rFonts w:eastAsiaTheme="majorEastAsia" w:cstheme="minorHAnsi"/>
          <w:bCs/>
          <w:kern w:val="32"/>
          <w:szCs w:val="24"/>
          <w:lang w:val="en-GB"/>
        </w:rPr>
        <w:t xml:space="preserve"> COVID-19</w:t>
      </w:r>
      <w:r w:rsidR="00026B5C" w:rsidRPr="00764F24">
        <w:rPr>
          <w:rFonts w:eastAsiaTheme="majorEastAsia" w:cstheme="minorHAnsi"/>
          <w:bCs/>
          <w:kern w:val="32"/>
          <w:szCs w:val="24"/>
          <w:lang w:val="en-GB"/>
        </w:rPr>
        <w:t xml:space="preserve"> has had a massive impact on anxiety levels generally and worries about money in particular</w:t>
      </w:r>
      <w:r w:rsidR="00BF7FBA" w:rsidRPr="00764F24">
        <w:rPr>
          <w:rFonts w:eastAsiaTheme="majorEastAsia" w:cstheme="minorHAnsi"/>
          <w:bCs/>
          <w:kern w:val="32"/>
          <w:szCs w:val="24"/>
          <w:lang w:val="en-GB"/>
        </w:rPr>
        <w:t xml:space="preserve">. </w:t>
      </w:r>
      <w:r w:rsidR="00026B5C" w:rsidRPr="00764F24">
        <w:rPr>
          <w:rFonts w:eastAsiaTheme="majorEastAsia" w:cstheme="minorHAnsi"/>
          <w:bCs/>
          <w:kern w:val="32"/>
          <w:szCs w:val="24"/>
          <w:lang w:val="en-GB"/>
        </w:rPr>
        <w:t>Just under 1 in 4 adults (23</w:t>
      </w:r>
      <w:r w:rsidR="00881FE7" w:rsidRPr="00764F24">
        <w:rPr>
          <w:rFonts w:eastAsiaTheme="majorEastAsia" w:cstheme="minorHAnsi"/>
          <w:bCs/>
          <w:kern w:val="32"/>
          <w:szCs w:val="24"/>
          <w:lang w:val="en-GB"/>
        </w:rPr>
        <w:t xml:space="preserve"> per cent</w:t>
      </w:r>
      <w:r w:rsidR="00026B5C" w:rsidRPr="00764F24">
        <w:rPr>
          <w:rFonts w:eastAsiaTheme="majorEastAsia" w:cstheme="minorHAnsi"/>
          <w:bCs/>
          <w:kern w:val="32"/>
          <w:szCs w:val="24"/>
          <w:lang w:val="en-GB"/>
        </w:rPr>
        <w:t>) said that the pandemic was affecting their household finances in March/April 2020.</w:t>
      </w:r>
    </w:p>
    <w:p w14:paraId="6C26FB00" w14:textId="77DA214C" w:rsidR="007E64E2" w:rsidRPr="00764F24" w:rsidRDefault="00026B5C" w:rsidP="00D86B69">
      <w:pPr>
        <w:pStyle w:val="ListParagraph"/>
        <w:numPr>
          <w:ilvl w:val="0"/>
          <w:numId w:val="14"/>
        </w:numPr>
        <w:spacing w:beforeAutospacing="1" w:after="100" w:afterAutospacing="1" w:line="360" w:lineRule="auto"/>
        <w:rPr>
          <w:rFonts w:cstheme="minorHAnsi"/>
          <w:szCs w:val="24"/>
          <w:lang w:val="en-GB"/>
        </w:rPr>
      </w:pPr>
      <w:r w:rsidRPr="00764F24">
        <w:rPr>
          <w:rFonts w:eastAsiaTheme="majorEastAsia" w:cstheme="minorHAnsi"/>
          <w:bCs/>
          <w:kern w:val="32"/>
          <w:szCs w:val="24"/>
          <w:lang w:val="en-GB"/>
        </w:rPr>
        <w:t>The most common concern among these adults continued to be a reduced income (70</w:t>
      </w:r>
      <w:r w:rsidR="00881FE7" w:rsidRPr="00764F24">
        <w:rPr>
          <w:rFonts w:eastAsiaTheme="majorEastAsia" w:cstheme="minorHAnsi"/>
          <w:bCs/>
          <w:kern w:val="32"/>
          <w:szCs w:val="24"/>
          <w:lang w:val="en-GB"/>
        </w:rPr>
        <w:t xml:space="preserve"> per cent</w:t>
      </w:r>
      <w:r w:rsidRPr="00764F24">
        <w:rPr>
          <w:rFonts w:eastAsiaTheme="majorEastAsia" w:cstheme="minorHAnsi"/>
          <w:bCs/>
          <w:kern w:val="32"/>
          <w:szCs w:val="24"/>
          <w:lang w:val="en-GB"/>
        </w:rPr>
        <w:t>), with increasing proportions, 30</w:t>
      </w:r>
      <w:r w:rsidR="00881FE7" w:rsidRPr="00764F24">
        <w:rPr>
          <w:rFonts w:eastAsiaTheme="majorEastAsia" w:cstheme="minorHAnsi"/>
          <w:bCs/>
          <w:kern w:val="32"/>
          <w:szCs w:val="24"/>
          <w:lang w:val="en-GB"/>
        </w:rPr>
        <w:t xml:space="preserve"> per cent</w:t>
      </w:r>
      <w:r w:rsidRPr="00764F24">
        <w:rPr>
          <w:rFonts w:eastAsiaTheme="majorEastAsia" w:cstheme="minorHAnsi"/>
          <w:bCs/>
          <w:kern w:val="32"/>
          <w:szCs w:val="24"/>
          <w:lang w:val="en-GB"/>
        </w:rPr>
        <w:t>, saying they had needed to use savings to cover living costs, and 16</w:t>
      </w:r>
      <w:r w:rsidR="00881FE7" w:rsidRPr="00764F24">
        <w:rPr>
          <w:rFonts w:eastAsiaTheme="majorEastAsia" w:cstheme="minorHAnsi"/>
          <w:bCs/>
          <w:kern w:val="32"/>
          <w:szCs w:val="24"/>
          <w:lang w:val="en-GB"/>
        </w:rPr>
        <w:t xml:space="preserve"> per cent</w:t>
      </w:r>
      <w:r w:rsidRPr="00764F24">
        <w:rPr>
          <w:rFonts w:eastAsiaTheme="majorEastAsia" w:cstheme="minorHAnsi"/>
          <w:bCs/>
          <w:kern w:val="32"/>
          <w:szCs w:val="24"/>
          <w:lang w:val="en-GB"/>
        </w:rPr>
        <w:t xml:space="preserve"> saying they had to borrow money or use credit</w:t>
      </w:r>
      <w:r w:rsidR="00BF7FBA" w:rsidRPr="00764F24">
        <w:rPr>
          <w:rFonts w:eastAsiaTheme="majorEastAsia" w:cstheme="minorHAnsi"/>
          <w:bCs/>
          <w:kern w:val="32"/>
          <w:szCs w:val="24"/>
          <w:lang w:val="en-GB"/>
        </w:rPr>
        <w:t xml:space="preserve">. </w:t>
      </w:r>
    </w:p>
    <w:p w14:paraId="281F9407" w14:textId="09FB183D" w:rsidR="00026B5C" w:rsidRPr="00764F24" w:rsidRDefault="00026B5C" w:rsidP="00D86B69">
      <w:pPr>
        <w:pStyle w:val="Heading2"/>
        <w:spacing w:beforeAutospacing="1" w:after="100" w:afterAutospacing="1" w:line="360" w:lineRule="auto"/>
        <w:rPr>
          <w:rFonts w:cstheme="minorHAnsi"/>
          <w:szCs w:val="24"/>
          <w:lang w:val="en-GB"/>
        </w:rPr>
      </w:pPr>
      <w:bookmarkStart w:id="11" w:name="_Toc51250048"/>
      <w:bookmarkStart w:id="12" w:name="_Toc54600790"/>
      <w:r w:rsidRPr="00764F24">
        <w:rPr>
          <w:rFonts w:cstheme="minorHAnsi"/>
          <w:szCs w:val="24"/>
          <w:lang w:val="en-GB"/>
        </w:rPr>
        <w:t>Bank accounts</w:t>
      </w:r>
      <w:bookmarkEnd w:id="11"/>
      <w:bookmarkEnd w:id="12"/>
    </w:p>
    <w:p w14:paraId="5E7E9746" w14:textId="7B249000" w:rsidR="00026B5C" w:rsidRPr="00764F24" w:rsidRDefault="00026B5C" w:rsidP="00D86B69">
      <w:pPr>
        <w:pStyle w:val="ListParagraph"/>
        <w:numPr>
          <w:ilvl w:val="0"/>
          <w:numId w:val="15"/>
        </w:numPr>
        <w:spacing w:beforeAutospacing="1" w:after="100" w:afterAutospacing="1" w:line="360" w:lineRule="auto"/>
        <w:rPr>
          <w:rFonts w:cstheme="minorHAnsi"/>
          <w:szCs w:val="24"/>
          <w:lang w:val="en-GB"/>
        </w:rPr>
      </w:pPr>
      <w:r w:rsidRPr="00764F24">
        <w:rPr>
          <w:rFonts w:cstheme="minorHAnsi"/>
          <w:szCs w:val="24"/>
          <w:lang w:val="en-GB"/>
        </w:rPr>
        <w:t>There has been a steady decline in the numbers of unbanked adults from 2.85m in 2005/6 to a record low of just below 1 million in 2018-19</w:t>
      </w:r>
      <w:r w:rsidR="00BF7FBA" w:rsidRPr="00764F24">
        <w:rPr>
          <w:rFonts w:cstheme="minorHAnsi"/>
          <w:szCs w:val="24"/>
          <w:lang w:val="en-GB"/>
        </w:rPr>
        <w:t xml:space="preserve">. </w:t>
      </w:r>
      <w:r w:rsidRPr="00764F24">
        <w:rPr>
          <w:rFonts w:cstheme="minorHAnsi"/>
          <w:szCs w:val="24"/>
          <w:lang w:val="en-GB"/>
        </w:rPr>
        <w:t xml:space="preserve">The number of adults </w:t>
      </w:r>
      <w:r w:rsidRPr="00764F24">
        <w:rPr>
          <w:rFonts w:cstheme="minorHAnsi"/>
          <w:i/>
          <w:szCs w:val="24"/>
          <w:lang w:val="en-GB"/>
        </w:rPr>
        <w:t>living in households</w:t>
      </w:r>
      <w:r w:rsidRPr="00764F24">
        <w:rPr>
          <w:rFonts w:cstheme="minorHAnsi"/>
          <w:szCs w:val="24"/>
          <w:lang w:val="en-GB"/>
        </w:rPr>
        <w:t xml:space="preserve"> without access to a relevant account has also fallen to a record low of just under half a million</w:t>
      </w:r>
      <w:r w:rsidR="00BF7FBA" w:rsidRPr="00764F24">
        <w:rPr>
          <w:rFonts w:cstheme="minorHAnsi"/>
          <w:szCs w:val="24"/>
          <w:lang w:val="en-GB"/>
        </w:rPr>
        <w:t xml:space="preserve">. </w:t>
      </w:r>
    </w:p>
    <w:p w14:paraId="53811205" w14:textId="1EA4EC19" w:rsidR="007E64E2" w:rsidRPr="00764F24" w:rsidRDefault="00026B5C" w:rsidP="00D86B69">
      <w:pPr>
        <w:pStyle w:val="ListParagraph"/>
        <w:numPr>
          <w:ilvl w:val="0"/>
          <w:numId w:val="15"/>
        </w:numPr>
        <w:spacing w:beforeAutospacing="1" w:after="100" w:afterAutospacing="1" w:line="360" w:lineRule="auto"/>
        <w:rPr>
          <w:rFonts w:cstheme="minorHAnsi"/>
          <w:szCs w:val="24"/>
          <w:lang w:val="en-GB"/>
        </w:rPr>
      </w:pPr>
      <w:r w:rsidRPr="00764F24">
        <w:rPr>
          <w:rFonts w:cstheme="minorHAnsi"/>
          <w:szCs w:val="24"/>
          <w:lang w:val="en-GB"/>
        </w:rPr>
        <w:t>While the number of unbanked has continued to fall, access to cash may be increasing as a problem</w:t>
      </w:r>
      <w:r w:rsidR="00BF7FBA" w:rsidRPr="00764F24">
        <w:rPr>
          <w:rFonts w:cstheme="minorHAnsi"/>
          <w:szCs w:val="24"/>
          <w:lang w:val="en-GB"/>
        </w:rPr>
        <w:t xml:space="preserve">. </w:t>
      </w:r>
      <w:r w:rsidRPr="00764F24">
        <w:rPr>
          <w:rFonts w:cstheme="minorHAnsi"/>
          <w:szCs w:val="24"/>
          <w:lang w:val="en-GB"/>
        </w:rPr>
        <w:t>Bank branches and free-to-use cash machines are continuing to be removed as more people do banking online</w:t>
      </w:r>
      <w:r w:rsidR="00BF7FBA" w:rsidRPr="00764F24">
        <w:rPr>
          <w:rFonts w:cstheme="minorHAnsi"/>
          <w:szCs w:val="24"/>
          <w:lang w:val="en-GB"/>
        </w:rPr>
        <w:t xml:space="preserve">. </w:t>
      </w:r>
      <w:r w:rsidRPr="00764F24">
        <w:rPr>
          <w:rFonts w:cstheme="minorHAnsi"/>
          <w:szCs w:val="24"/>
          <w:lang w:val="en-GB"/>
        </w:rPr>
        <w:t>But not everyone is able to use, or confident in using, digital banking</w:t>
      </w:r>
      <w:r w:rsidR="00BF7FBA" w:rsidRPr="00764F24">
        <w:rPr>
          <w:rFonts w:cstheme="minorHAnsi"/>
          <w:szCs w:val="24"/>
          <w:lang w:val="en-GB"/>
        </w:rPr>
        <w:t xml:space="preserve">. </w:t>
      </w:r>
      <w:r w:rsidRPr="00764F24">
        <w:rPr>
          <w:rFonts w:cstheme="minorHAnsi"/>
          <w:szCs w:val="24"/>
          <w:lang w:val="en-GB"/>
        </w:rPr>
        <w:t>Such banking also suffers from security and technical problems</w:t>
      </w:r>
      <w:r w:rsidR="00BF7FBA" w:rsidRPr="00764F24">
        <w:rPr>
          <w:rFonts w:cstheme="minorHAnsi"/>
          <w:szCs w:val="24"/>
          <w:lang w:val="en-GB"/>
        </w:rPr>
        <w:t>.</w:t>
      </w:r>
      <w:r w:rsidR="008D2686" w:rsidRPr="00764F24">
        <w:rPr>
          <w:rFonts w:cstheme="minorHAnsi"/>
          <w:szCs w:val="24"/>
          <w:lang w:val="en-GB"/>
        </w:rPr>
        <w:t xml:space="preserve"> </w:t>
      </w:r>
      <w:r w:rsidR="00C75458" w:rsidRPr="00764F24">
        <w:rPr>
          <w:rFonts w:cstheme="minorHAnsi"/>
          <w:szCs w:val="24"/>
          <w:lang w:val="en-GB"/>
        </w:rPr>
        <w:t>At the March 2020 Budget, the Chancellor announced that the Government will bring forward legislation to protect access to cash</w:t>
      </w:r>
      <w:r w:rsidRPr="00764F24">
        <w:rPr>
          <w:rFonts w:cstheme="minorHAnsi"/>
          <w:szCs w:val="24"/>
          <w:lang w:val="en-GB"/>
        </w:rPr>
        <w:t xml:space="preserve">. </w:t>
      </w:r>
    </w:p>
    <w:p w14:paraId="61853BCF" w14:textId="77777777" w:rsidR="00026B5C" w:rsidRPr="00764F24" w:rsidRDefault="00026B5C" w:rsidP="00D86B69">
      <w:pPr>
        <w:pStyle w:val="Heading2"/>
        <w:spacing w:beforeAutospacing="1" w:after="100" w:afterAutospacing="1" w:line="360" w:lineRule="auto"/>
        <w:rPr>
          <w:rFonts w:cstheme="minorHAnsi"/>
          <w:szCs w:val="24"/>
          <w:lang w:val="en-GB"/>
        </w:rPr>
      </w:pPr>
      <w:bookmarkStart w:id="13" w:name="_Toc51250049"/>
      <w:bookmarkStart w:id="14" w:name="_Toc54600791"/>
      <w:r w:rsidRPr="00764F24">
        <w:rPr>
          <w:rFonts w:cstheme="minorHAnsi"/>
          <w:szCs w:val="24"/>
          <w:lang w:val="en-GB"/>
        </w:rPr>
        <w:lastRenderedPageBreak/>
        <w:t>Savings</w:t>
      </w:r>
      <w:bookmarkEnd w:id="13"/>
      <w:bookmarkEnd w:id="14"/>
    </w:p>
    <w:p w14:paraId="4F544F9C" w14:textId="47A168AC" w:rsidR="00026B5C" w:rsidRPr="00764F24" w:rsidRDefault="007B4226" w:rsidP="00D86B69">
      <w:pPr>
        <w:pStyle w:val="ListParagraph"/>
        <w:numPr>
          <w:ilvl w:val="0"/>
          <w:numId w:val="16"/>
        </w:numPr>
        <w:spacing w:beforeAutospacing="1" w:after="100" w:afterAutospacing="1" w:line="360" w:lineRule="auto"/>
        <w:rPr>
          <w:rFonts w:cstheme="minorHAnsi"/>
          <w:szCs w:val="24"/>
          <w:lang w:val="en-GB"/>
        </w:rPr>
      </w:pPr>
      <w:r>
        <w:rPr>
          <w:rFonts w:ascii="Calibri" w:eastAsia="Times New Roman" w:hAnsi="Calibri" w:cs="Calibri"/>
          <w:color w:val="000000"/>
        </w:rPr>
        <w:t>The household savings ratio spiked at 28% in the second quarter of 2020, the highest it has reached </w:t>
      </w:r>
      <w:bookmarkStart w:id="15" w:name="_GoBack"/>
      <w:bookmarkEnd w:id="15"/>
      <w:r>
        <w:rPr>
          <w:rFonts w:ascii="Calibri" w:eastAsia="Times New Roman" w:hAnsi="Calibri" w:cs="Calibri"/>
          <w:color w:val="000000"/>
        </w:rPr>
        <w:t>by some margin in the last 20 years, no doubt due to some households maintaining their incomes but reducing their spending very significantly during lockdown</w:t>
      </w:r>
      <w:r w:rsidR="00204013" w:rsidRPr="00764F24">
        <w:rPr>
          <w:rFonts w:cstheme="minorHAnsi"/>
          <w:szCs w:val="24"/>
          <w:lang w:val="en-GB"/>
        </w:rPr>
        <w:t>.</w:t>
      </w:r>
    </w:p>
    <w:p w14:paraId="707F0496" w14:textId="21EA8455" w:rsidR="00026B5C" w:rsidRPr="00764F24" w:rsidRDefault="00026B5C" w:rsidP="00D86B69">
      <w:pPr>
        <w:pStyle w:val="ListParagraph"/>
        <w:numPr>
          <w:ilvl w:val="0"/>
          <w:numId w:val="16"/>
        </w:numPr>
        <w:spacing w:beforeAutospacing="1" w:after="100" w:afterAutospacing="1" w:line="360" w:lineRule="auto"/>
        <w:rPr>
          <w:rFonts w:cstheme="minorHAnsi"/>
          <w:szCs w:val="24"/>
          <w:lang w:val="en-GB"/>
        </w:rPr>
      </w:pPr>
      <w:r w:rsidRPr="00764F24">
        <w:rPr>
          <w:rFonts w:cstheme="minorHAnsi"/>
          <w:szCs w:val="24"/>
          <w:lang w:val="en-GB"/>
        </w:rPr>
        <w:t>The latest findings, for 201</w:t>
      </w:r>
      <w:r w:rsidR="00FA68B8" w:rsidRPr="00764F24">
        <w:rPr>
          <w:rFonts w:cstheme="minorHAnsi"/>
          <w:szCs w:val="24"/>
          <w:lang w:val="en-GB"/>
        </w:rPr>
        <w:t>6/1</w:t>
      </w:r>
      <w:r w:rsidRPr="00764F24">
        <w:rPr>
          <w:rFonts w:cstheme="minorHAnsi"/>
          <w:szCs w:val="24"/>
          <w:lang w:val="en-GB"/>
        </w:rPr>
        <w:t>7</w:t>
      </w:r>
      <w:r w:rsidR="0077585D" w:rsidRPr="00764F24">
        <w:rPr>
          <w:rFonts w:cstheme="minorHAnsi"/>
          <w:szCs w:val="24"/>
          <w:lang w:val="en-GB"/>
        </w:rPr>
        <w:t>,</w:t>
      </w:r>
      <w:r w:rsidRPr="00764F24">
        <w:rPr>
          <w:rFonts w:cstheme="minorHAnsi"/>
          <w:szCs w:val="24"/>
          <w:lang w:val="en-GB"/>
        </w:rPr>
        <w:t xml:space="preserve"> show that about two in five (43 per cent) of the population were putting som</w:t>
      </w:r>
      <w:r w:rsidR="00FA68B8" w:rsidRPr="00764F24">
        <w:rPr>
          <w:rFonts w:cstheme="minorHAnsi"/>
          <w:szCs w:val="24"/>
          <w:lang w:val="en-GB"/>
        </w:rPr>
        <w:t>ething away ‘now and then’ with an average of £304 saved per month by savers</w:t>
      </w:r>
      <w:r w:rsidR="00BF7FBA" w:rsidRPr="00764F24">
        <w:rPr>
          <w:rFonts w:cstheme="minorHAnsi"/>
          <w:szCs w:val="24"/>
          <w:lang w:val="en-GB"/>
        </w:rPr>
        <w:t xml:space="preserve">. </w:t>
      </w:r>
      <w:r w:rsidR="00FA68B8" w:rsidRPr="00764F24">
        <w:rPr>
          <w:rFonts w:cstheme="minorHAnsi"/>
          <w:szCs w:val="24"/>
          <w:lang w:val="en-GB"/>
        </w:rPr>
        <w:t>Those with higher earnings were much more likely to save and were saving much higher amounts.</w:t>
      </w:r>
    </w:p>
    <w:p w14:paraId="4E00C824" w14:textId="04B260B2" w:rsidR="007E64E2" w:rsidRDefault="0077585D" w:rsidP="00D86B69">
      <w:pPr>
        <w:pStyle w:val="ListParagraph"/>
        <w:numPr>
          <w:ilvl w:val="0"/>
          <w:numId w:val="16"/>
        </w:numPr>
        <w:spacing w:beforeAutospacing="1" w:after="100" w:afterAutospacing="1" w:line="360" w:lineRule="auto"/>
        <w:rPr>
          <w:rFonts w:cstheme="minorHAnsi"/>
          <w:szCs w:val="24"/>
          <w:lang w:val="en-GB"/>
        </w:rPr>
      </w:pPr>
      <w:r w:rsidRPr="00764F24">
        <w:rPr>
          <w:rFonts w:cstheme="minorHAnsi"/>
          <w:szCs w:val="24"/>
          <w:lang w:val="en-GB"/>
        </w:rPr>
        <w:t>According to the Resolution Foundation, t</w:t>
      </w:r>
      <w:r w:rsidR="00921E08" w:rsidRPr="00764F24">
        <w:rPr>
          <w:rFonts w:cstheme="minorHAnsi"/>
          <w:szCs w:val="24"/>
          <w:lang w:val="en-GB"/>
        </w:rPr>
        <w:t xml:space="preserve">he </w:t>
      </w:r>
      <w:r w:rsidR="00A12E5C" w:rsidRPr="00764F24">
        <w:rPr>
          <w:rFonts w:cstheme="minorHAnsi"/>
          <w:szCs w:val="24"/>
          <w:lang w:val="en-GB"/>
        </w:rPr>
        <w:t xml:space="preserve"> COVID-19</w:t>
      </w:r>
      <w:r w:rsidR="00921E08" w:rsidRPr="00764F24">
        <w:rPr>
          <w:rFonts w:cstheme="minorHAnsi"/>
          <w:szCs w:val="24"/>
          <w:lang w:val="en-GB"/>
        </w:rPr>
        <w:t xml:space="preserve"> crisis has meant that </w:t>
      </w:r>
      <w:r w:rsidR="00FA68B8" w:rsidRPr="00764F24">
        <w:rPr>
          <w:rFonts w:cstheme="minorHAnsi"/>
          <w:szCs w:val="24"/>
          <w:lang w:val="en-GB"/>
        </w:rPr>
        <w:t xml:space="preserve">for </w:t>
      </w:r>
      <w:r w:rsidR="00921E08" w:rsidRPr="00764F24">
        <w:rPr>
          <w:rFonts w:cstheme="minorHAnsi"/>
          <w:szCs w:val="24"/>
          <w:lang w:val="en-GB"/>
        </w:rPr>
        <w:t xml:space="preserve">those on low incomes – and for those who have experienced a drop in </w:t>
      </w:r>
      <w:r w:rsidR="00FA68B8" w:rsidRPr="00764F24">
        <w:rPr>
          <w:rFonts w:cstheme="minorHAnsi"/>
          <w:szCs w:val="24"/>
          <w:lang w:val="en-GB"/>
        </w:rPr>
        <w:t>in</w:t>
      </w:r>
      <w:r w:rsidR="00921E08" w:rsidRPr="00764F24">
        <w:rPr>
          <w:rFonts w:cstheme="minorHAnsi"/>
          <w:szCs w:val="24"/>
          <w:lang w:val="en-GB"/>
        </w:rPr>
        <w:t>come – savings have fallen but some on middle or higher incomes have been able to save more as a result of reduced spending on leisure, holidays, eating out and so on</w:t>
      </w:r>
      <w:r w:rsidR="00977DBE">
        <w:rPr>
          <w:rFonts w:cstheme="minorHAnsi"/>
          <w:szCs w:val="24"/>
          <w:lang w:val="en-GB"/>
        </w:rPr>
        <w:t xml:space="preserve"> leading to greater inequalities of wealth</w:t>
      </w:r>
      <w:r w:rsidR="00921E08" w:rsidRPr="00764F24">
        <w:rPr>
          <w:rFonts w:cstheme="minorHAnsi"/>
          <w:szCs w:val="24"/>
          <w:lang w:val="en-GB"/>
        </w:rPr>
        <w:t>.</w:t>
      </w:r>
    </w:p>
    <w:p w14:paraId="4F4B2634" w14:textId="7EFC9BF7" w:rsidR="00026B5C" w:rsidRPr="00764F24" w:rsidRDefault="00026B5C" w:rsidP="00D86B69">
      <w:pPr>
        <w:pStyle w:val="Heading2"/>
        <w:spacing w:beforeAutospacing="1" w:after="100" w:afterAutospacing="1" w:line="360" w:lineRule="auto"/>
        <w:rPr>
          <w:rFonts w:cstheme="minorHAnsi"/>
          <w:szCs w:val="24"/>
          <w:lang w:val="en-GB"/>
        </w:rPr>
      </w:pPr>
      <w:bookmarkStart w:id="16" w:name="_Toc51250050"/>
      <w:bookmarkStart w:id="17" w:name="_Toc54600792"/>
      <w:r w:rsidRPr="00764F24">
        <w:rPr>
          <w:rFonts w:cstheme="minorHAnsi"/>
          <w:szCs w:val="24"/>
          <w:lang w:val="en-GB"/>
        </w:rPr>
        <w:t>Pensions</w:t>
      </w:r>
      <w:bookmarkEnd w:id="16"/>
      <w:bookmarkEnd w:id="17"/>
    </w:p>
    <w:p w14:paraId="1105755B" w14:textId="5D686FEF" w:rsidR="00026B5C" w:rsidRPr="00764F24" w:rsidRDefault="00026B5C" w:rsidP="00D86B69">
      <w:pPr>
        <w:pStyle w:val="ListParagraph"/>
        <w:numPr>
          <w:ilvl w:val="0"/>
          <w:numId w:val="17"/>
        </w:numPr>
        <w:spacing w:beforeAutospacing="1" w:after="100" w:afterAutospacing="1" w:line="360" w:lineRule="auto"/>
        <w:rPr>
          <w:rFonts w:cstheme="minorHAnsi"/>
          <w:szCs w:val="24"/>
          <w:lang w:val="en-GB"/>
        </w:rPr>
      </w:pPr>
      <w:r w:rsidRPr="00764F24">
        <w:rPr>
          <w:rFonts w:cstheme="minorHAnsi"/>
          <w:szCs w:val="24"/>
          <w:lang w:val="en-GB"/>
        </w:rPr>
        <w:t>Private sector pension schemes had been on the decline since the late 1960s but the mandatory introduction, in 2012, of auto enrolled workplace pensions has seen a massive increase so that, in 2018, 11 million people had such pensions</w:t>
      </w:r>
      <w:r w:rsidR="00BF7FBA" w:rsidRPr="00764F24">
        <w:rPr>
          <w:rFonts w:cstheme="minorHAnsi"/>
          <w:szCs w:val="24"/>
          <w:lang w:val="en-GB"/>
        </w:rPr>
        <w:t xml:space="preserve">. </w:t>
      </w:r>
      <w:r w:rsidRPr="00764F24">
        <w:rPr>
          <w:rFonts w:cstheme="minorHAnsi"/>
          <w:szCs w:val="24"/>
          <w:lang w:val="en-GB"/>
        </w:rPr>
        <w:t xml:space="preserve">This is far higher than the number of people with public sector </w:t>
      </w:r>
      <w:r w:rsidR="008E2B45" w:rsidRPr="00764F24">
        <w:rPr>
          <w:rFonts w:cstheme="minorHAnsi"/>
          <w:szCs w:val="24"/>
          <w:lang w:val="en-GB"/>
        </w:rPr>
        <w:t>pensions,</w:t>
      </w:r>
      <w:r w:rsidRPr="00764F24">
        <w:rPr>
          <w:rFonts w:cstheme="minorHAnsi"/>
          <w:szCs w:val="24"/>
          <w:lang w:val="en-GB"/>
        </w:rPr>
        <w:t xml:space="preserve"> but this figure has also increased since 2012, albeit at a much slower rate to 6.3 million.</w:t>
      </w:r>
    </w:p>
    <w:p w14:paraId="2F63A164" w14:textId="0DCD139B" w:rsidR="007E64E2" w:rsidRPr="00764F24" w:rsidRDefault="00026B5C" w:rsidP="00D86B69">
      <w:pPr>
        <w:pStyle w:val="ListParagraph"/>
        <w:numPr>
          <w:ilvl w:val="0"/>
          <w:numId w:val="17"/>
        </w:numPr>
        <w:spacing w:beforeAutospacing="1" w:after="100" w:afterAutospacing="1" w:line="360" w:lineRule="auto"/>
        <w:rPr>
          <w:rFonts w:cstheme="minorHAnsi"/>
          <w:szCs w:val="24"/>
          <w:lang w:val="en-GB"/>
        </w:rPr>
      </w:pPr>
      <w:r w:rsidRPr="00764F24">
        <w:rPr>
          <w:rFonts w:cstheme="minorHAnsi"/>
          <w:szCs w:val="24"/>
          <w:lang w:val="en-GB"/>
        </w:rPr>
        <w:t>While the numbers with a pension look promising in relation to financial inclusion, there are a couple of important points to bear in mind</w:t>
      </w:r>
      <w:r w:rsidR="00BF7FBA" w:rsidRPr="00764F24">
        <w:rPr>
          <w:rFonts w:cstheme="minorHAnsi"/>
          <w:szCs w:val="24"/>
          <w:lang w:val="en-GB"/>
        </w:rPr>
        <w:t xml:space="preserve">. </w:t>
      </w:r>
      <w:r w:rsidRPr="00764F24">
        <w:rPr>
          <w:rFonts w:cstheme="minorHAnsi"/>
          <w:szCs w:val="24"/>
          <w:lang w:val="en-GB"/>
        </w:rPr>
        <w:t>First of all, figures from NEST (who are a key provider of workplace pensions) show that, as at March 2017, only 60</w:t>
      </w:r>
      <w:r w:rsidR="001C4074" w:rsidRPr="00764F24">
        <w:rPr>
          <w:rFonts w:cstheme="minorHAnsi"/>
          <w:szCs w:val="24"/>
          <w:lang w:val="en-GB"/>
        </w:rPr>
        <w:t xml:space="preserve"> per cent</w:t>
      </w:r>
      <w:r w:rsidRPr="00764F24">
        <w:rPr>
          <w:rFonts w:cstheme="minorHAnsi"/>
          <w:szCs w:val="24"/>
          <w:lang w:val="en-GB"/>
        </w:rPr>
        <w:t xml:space="preserve"> of their workplace pension members were truly ‘active’ (</w:t>
      </w:r>
      <w:r w:rsidR="008E2B45" w:rsidRPr="00764F24">
        <w:rPr>
          <w:rFonts w:cstheme="minorHAnsi"/>
          <w:szCs w:val="24"/>
          <w:lang w:val="en-GB"/>
        </w:rPr>
        <w:t>i.e.</w:t>
      </w:r>
      <w:r w:rsidRPr="00764F24">
        <w:rPr>
          <w:rFonts w:cstheme="minorHAnsi"/>
          <w:szCs w:val="24"/>
          <w:lang w:val="en-GB"/>
        </w:rPr>
        <w:t xml:space="preserve"> paying into their pension)</w:t>
      </w:r>
      <w:r w:rsidR="00BF7FBA" w:rsidRPr="00764F24">
        <w:rPr>
          <w:rFonts w:cstheme="minorHAnsi"/>
          <w:szCs w:val="24"/>
          <w:lang w:val="en-GB"/>
        </w:rPr>
        <w:t xml:space="preserve">. </w:t>
      </w:r>
      <w:r w:rsidRPr="00764F24">
        <w:rPr>
          <w:rFonts w:cstheme="minorHAnsi"/>
          <w:szCs w:val="24"/>
          <w:lang w:val="en-GB"/>
        </w:rPr>
        <w:t xml:space="preserve">And even among those who are actively contributing, the amounts paid into these pensions </w:t>
      </w:r>
      <w:r w:rsidR="00931F03" w:rsidRPr="00764F24">
        <w:rPr>
          <w:rFonts w:cstheme="minorHAnsi"/>
          <w:szCs w:val="24"/>
          <w:lang w:val="en-GB"/>
        </w:rPr>
        <w:t xml:space="preserve">(particularly by employers) </w:t>
      </w:r>
      <w:r w:rsidRPr="00764F24">
        <w:rPr>
          <w:rFonts w:cstheme="minorHAnsi"/>
          <w:szCs w:val="24"/>
          <w:lang w:val="en-GB"/>
        </w:rPr>
        <w:t>may be insufficient to provide a decent standard of living in later life</w:t>
      </w:r>
      <w:r w:rsidR="00BF7FBA" w:rsidRPr="00764F24">
        <w:rPr>
          <w:rFonts w:cstheme="minorHAnsi"/>
          <w:szCs w:val="24"/>
          <w:lang w:val="en-GB"/>
        </w:rPr>
        <w:t xml:space="preserve">. </w:t>
      </w:r>
    </w:p>
    <w:p w14:paraId="347A885A" w14:textId="42CB92F7" w:rsidR="00026B5C" w:rsidRPr="00764F24" w:rsidRDefault="00026B5C" w:rsidP="00D86B69">
      <w:pPr>
        <w:pStyle w:val="Heading2"/>
        <w:spacing w:beforeAutospacing="1" w:after="100" w:afterAutospacing="1" w:line="360" w:lineRule="auto"/>
        <w:rPr>
          <w:rFonts w:cstheme="minorHAnsi"/>
          <w:szCs w:val="24"/>
          <w:lang w:val="en-GB"/>
        </w:rPr>
      </w:pPr>
      <w:bookmarkStart w:id="18" w:name="_Toc51250051"/>
      <w:bookmarkStart w:id="19" w:name="_Toc54600793"/>
      <w:r w:rsidRPr="00764F24">
        <w:rPr>
          <w:rFonts w:cstheme="minorHAnsi"/>
          <w:szCs w:val="24"/>
          <w:lang w:val="en-GB"/>
        </w:rPr>
        <w:t>Borrowing</w:t>
      </w:r>
      <w:bookmarkEnd w:id="18"/>
      <w:bookmarkEnd w:id="19"/>
    </w:p>
    <w:p w14:paraId="5BCDA847" w14:textId="396A82A6" w:rsidR="00026B5C" w:rsidRPr="00764F24" w:rsidRDefault="0077585D" w:rsidP="00D86B69">
      <w:pPr>
        <w:pStyle w:val="ListParagraph"/>
        <w:numPr>
          <w:ilvl w:val="0"/>
          <w:numId w:val="18"/>
        </w:numPr>
        <w:spacing w:beforeAutospacing="1" w:after="100" w:afterAutospacing="1" w:line="360" w:lineRule="auto"/>
        <w:rPr>
          <w:rFonts w:cstheme="minorHAnsi"/>
          <w:szCs w:val="24"/>
          <w:lang w:val="en-GB"/>
        </w:rPr>
      </w:pPr>
      <w:r w:rsidRPr="00764F24">
        <w:rPr>
          <w:rFonts w:cstheme="minorHAnsi"/>
          <w:szCs w:val="24"/>
          <w:lang w:val="en-GB"/>
        </w:rPr>
        <w:t>T</w:t>
      </w:r>
      <w:r w:rsidR="00026B5C" w:rsidRPr="00764F24">
        <w:rPr>
          <w:rFonts w:cstheme="minorHAnsi"/>
          <w:szCs w:val="24"/>
          <w:lang w:val="en-GB"/>
        </w:rPr>
        <w:t xml:space="preserve">he annual rate of growth in </w:t>
      </w:r>
      <w:r w:rsidR="00026B5C" w:rsidRPr="00977DBE">
        <w:rPr>
          <w:rFonts w:cstheme="minorHAnsi"/>
          <w:i/>
          <w:iCs/>
          <w:szCs w:val="24"/>
          <w:lang w:val="en-GB"/>
        </w:rPr>
        <w:t>credit card</w:t>
      </w:r>
      <w:r w:rsidR="00026B5C" w:rsidRPr="00764F24">
        <w:rPr>
          <w:rFonts w:cstheme="minorHAnsi"/>
          <w:szCs w:val="24"/>
          <w:lang w:val="en-GB"/>
        </w:rPr>
        <w:t xml:space="preserve"> lending has fallen since</w:t>
      </w:r>
      <w:r w:rsidR="00977DBE">
        <w:rPr>
          <w:rFonts w:cstheme="minorHAnsi"/>
          <w:szCs w:val="24"/>
          <w:lang w:val="en-GB"/>
        </w:rPr>
        <w:t xml:space="preserve"> 2018</w:t>
      </w:r>
      <w:r w:rsidR="00026B5C" w:rsidRPr="00764F24">
        <w:rPr>
          <w:rFonts w:cstheme="minorHAnsi"/>
          <w:szCs w:val="24"/>
          <w:lang w:val="en-GB"/>
        </w:rPr>
        <w:t xml:space="preserve"> probably due to uncertainty around Brexit and, most recently, the </w:t>
      </w:r>
      <w:r w:rsidR="00D61CF7">
        <w:rPr>
          <w:rFonts w:cstheme="minorHAnsi"/>
          <w:szCs w:val="24"/>
          <w:lang w:val="en-GB"/>
        </w:rPr>
        <w:t>COVID-19</w:t>
      </w:r>
      <w:r w:rsidR="00026B5C" w:rsidRPr="00764F24">
        <w:rPr>
          <w:rFonts w:cstheme="minorHAnsi"/>
          <w:szCs w:val="24"/>
          <w:lang w:val="en-GB"/>
        </w:rPr>
        <w:t xml:space="preserve"> crisis</w:t>
      </w:r>
      <w:r w:rsidR="00BF7FBA" w:rsidRPr="00764F24">
        <w:rPr>
          <w:rFonts w:cstheme="minorHAnsi"/>
          <w:szCs w:val="24"/>
          <w:lang w:val="en-GB"/>
        </w:rPr>
        <w:t xml:space="preserve">. </w:t>
      </w:r>
      <w:r w:rsidR="00026B5C" w:rsidRPr="00764F24">
        <w:rPr>
          <w:rFonts w:cstheme="minorHAnsi"/>
          <w:szCs w:val="24"/>
          <w:lang w:val="en-GB"/>
        </w:rPr>
        <w:t xml:space="preserve">Indeed, during March </w:t>
      </w:r>
      <w:r w:rsidR="00026B5C" w:rsidRPr="00764F24">
        <w:rPr>
          <w:rFonts w:cstheme="minorHAnsi"/>
          <w:szCs w:val="24"/>
          <w:lang w:val="en-GB"/>
        </w:rPr>
        <w:lastRenderedPageBreak/>
        <w:t>2020, the growth rate was actually neg</w:t>
      </w:r>
      <w:r w:rsidR="00EE2F00" w:rsidRPr="00764F24">
        <w:rPr>
          <w:rFonts w:cstheme="minorHAnsi"/>
          <w:szCs w:val="24"/>
          <w:lang w:val="en-GB"/>
        </w:rPr>
        <w:t>ative</w:t>
      </w:r>
      <w:r w:rsidR="00692125" w:rsidRPr="00764F24">
        <w:rPr>
          <w:rFonts w:cstheme="minorHAnsi"/>
          <w:szCs w:val="24"/>
          <w:lang w:val="en-GB"/>
        </w:rPr>
        <w:t xml:space="preserve"> at</w:t>
      </w:r>
      <w:r w:rsidR="00EE2F00" w:rsidRPr="00764F24">
        <w:rPr>
          <w:rFonts w:cstheme="minorHAnsi"/>
          <w:szCs w:val="24"/>
          <w:lang w:val="en-GB"/>
        </w:rPr>
        <w:t xml:space="preserve"> -0.3</w:t>
      </w:r>
      <w:r w:rsidR="00692125" w:rsidRPr="00764F24">
        <w:rPr>
          <w:rFonts w:cstheme="minorHAnsi"/>
          <w:szCs w:val="24"/>
          <w:lang w:val="en-GB"/>
        </w:rPr>
        <w:t xml:space="preserve"> per cent,</w:t>
      </w:r>
      <w:r w:rsidR="00A33ACE">
        <w:rPr>
          <w:rFonts w:cstheme="minorHAnsi"/>
          <w:szCs w:val="24"/>
          <w:lang w:val="en-GB"/>
        </w:rPr>
        <w:t xml:space="preserve"> with changes exceeding -10 per cent</w:t>
      </w:r>
      <w:r w:rsidR="00EE2F00" w:rsidRPr="00764F24">
        <w:rPr>
          <w:rFonts w:cstheme="minorHAnsi"/>
          <w:szCs w:val="24"/>
          <w:lang w:val="en-GB"/>
        </w:rPr>
        <w:t xml:space="preserve"> </w:t>
      </w:r>
      <w:r w:rsidR="00A33ACE">
        <w:rPr>
          <w:rFonts w:cstheme="minorHAnsi"/>
          <w:szCs w:val="24"/>
          <w:lang w:val="en-GB"/>
        </w:rPr>
        <w:t>in the subsequent months (up until August 2020).</w:t>
      </w:r>
      <w:r w:rsidR="00686EF1" w:rsidRPr="00764F24">
        <w:rPr>
          <w:rFonts w:cstheme="minorHAnsi"/>
          <w:szCs w:val="24"/>
          <w:lang w:val="en-GB"/>
        </w:rPr>
        <w:t>.</w:t>
      </w:r>
    </w:p>
    <w:p w14:paraId="7BBDA5D9" w14:textId="240B2579" w:rsidR="00026B5C" w:rsidRPr="00764F24" w:rsidRDefault="00D61CF7" w:rsidP="00D86B69">
      <w:pPr>
        <w:pStyle w:val="ListParagraph"/>
        <w:numPr>
          <w:ilvl w:val="0"/>
          <w:numId w:val="18"/>
        </w:numPr>
        <w:spacing w:beforeAutospacing="1" w:after="100" w:afterAutospacing="1" w:line="360" w:lineRule="auto"/>
        <w:rPr>
          <w:rFonts w:cstheme="minorHAnsi"/>
          <w:szCs w:val="24"/>
          <w:lang w:val="en-GB"/>
        </w:rPr>
      </w:pPr>
      <w:r>
        <w:rPr>
          <w:rFonts w:cstheme="minorHAnsi"/>
          <w:szCs w:val="24"/>
          <w:lang w:val="en-GB"/>
        </w:rPr>
        <w:t>M</w:t>
      </w:r>
      <w:r w:rsidR="00026B5C" w:rsidRPr="00764F24">
        <w:rPr>
          <w:rFonts w:cstheme="minorHAnsi"/>
          <w:szCs w:val="24"/>
          <w:lang w:val="en-GB"/>
        </w:rPr>
        <w:t>ortgage lending plateau</w:t>
      </w:r>
      <w:r w:rsidR="00EE2F00" w:rsidRPr="00764F24">
        <w:rPr>
          <w:rFonts w:cstheme="minorHAnsi"/>
          <w:szCs w:val="24"/>
          <w:lang w:val="en-GB"/>
        </w:rPr>
        <w:t>e</w:t>
      </w:r>
      <w:r w:rsidR="00026B5C" w:rsidRPr="00764F24">
        <w:rPr>
          <w:rFonts w:cstheme="minorHAnsi"/>
          <w:szCs w:val="24"/>
          <w:lang w:val="en-GB"/>
        </w:rPr>
        <w:t xml:space="preserve">d </w:t>
      </w:r>
      <w:r>
        <w:rPr>
          <w:rFonts w:cstheme="minorHAnsi"/>
          <w:szCs w:val="24"/>
          <w:lang w:val="en-GB"/>
        </w:rPr>
        <w:t xml:space="preserve">somewhat </w:t>
      </w:r>
      <w:r w:rsidR="00026B5C" w:rsidRPr="00764F24">
        <w:rPr>
          <w:rFonts w:cstheme="minorHAnsi"/>
          <w:szCs w:val="24"/>
          <w:lang w:val="en-GB"/>
        </w:rPr>
        <w:t>from 2015 to 2019</w:t>
      </w:r>
      <w:r>
        <w:rPr>
          <w:rFonts w:cstheme="minorHAnsi"/>
          <w:szCs w:val="24"/>
          <w:lang w:val="en-GB"/>
        </w:rPr>
        <w:t xml:space="preserve"> but t</w:t>
      </w:r>
      <w:r w:rsidR="00026B5C" w:rsidRPr="00764F24">
        <w:rPr>
          <w:rFonts w:cstheme="minorHAnsi"/>
          <w:szCs w:val="24"/>
          <w:lang w:val="en-GB"/>
        </w:rPr>
        <w:t xml:space="preserve">he global pandemic crisis has, again, </w:t>
      </w:r>
      <w:r w:rsidR="0026412B" w:rsidRPr="00764F24">
        <w:rPr>
          <w:rFonts w:cstheme="minorHAnsi"/>
          <w:szCs w:val="24"/>
          <w:lang w:val="en-GB"/>
        </w:rPr>
        <w:t>s</w:t>
      </w:r>
      <w:r>
        <w:rPr>
          <w:rFonts w:cstheme="minorHAnsi"/>
          <w:szCs w:val="24"/>
          <w:lang w:val="en-GB"/>
        </w:rPr>
        <w:t>een</w:t>
      </w:r>
      <w:r w:rsidR="00026B5C" w:rsidRPr="00764F24">
        <w:rPr>
          <w:rFonts w:cstheme="minorHAnsi"/>
          <w:szCs w:val="24"/>
          <w:lang w:val="en-GB"/>
        </w:rPr>
        <w:t xml:space="preserve"> an abrupt fall in </w:t>
      </w:r>
      <w:r>
        <w:rPr>
          <w:rFonts w:cstheme="minorHAnsi"/>
          <w:szCs w:val="24"/>
          <w:lang w:val="en-GB"/>
        </w:rPr>
        <w:t>such</w:t>
      </w:r>
      <w:r w:rsidR="00026B5C" w:rsidRPr="00764F24">
        <w:rPr>
          <w:rFonts w:cstheme="minorHAnsi"/>
          <w:szCs w:val="24"/>
          <w:lang w:val="en-GB"/>
        </w:rPr>
        <w:t xml:space="preserve"> lending in March 2020</w:t>
      </w:r>
      <w:r w:rsidR="00A33ACE">
        <w:rPr>
          <w:rFonts w:cstheme="minorHAnsi"/>
          <w:szCs w:val="24"/>
          <w:lang w:val="en-GB"/>
        </w:rPr>
        <w:t xml:space="preserve"> – albeit now mostly back in line with past trends</w:t>
      </w:r>
      <w:r w:rsidR="002C00DD">
        <w:rPr>
          <w:rFonts w:cstheme="minorHAnsi"/>
          <w:szCs w:val="24"/>
          <w:lang w:val="en-GB"/>
        </w:rPr>
        <w:t xml:space="preserve"> </w:t>
      </w:r>
    </w:p>
    <w:p w14:paraId="359071EA" w14:textId="2038F4EB" w:rsidR="00026B5C" w:rsidRPr="00764F24" w:rsidRDefault="00026B5C" w:rsidP="00D86B69">
      <w:pPr>
        <w:pStyle w:val="ListParagraph"/>
        <w:numPr>
          <w:ilvl w:val="0"/>
          <w:numId w:val="18"/>
        </w:numPr>
        <w:spacing w:beforeAutospacing="1" w:after="100" w:afterAutospacing="1" w:line="360" w:lineRule="auto"/>
        <w:rPr>
          <w:rFonts w:cstheme="minorHAnsi"/>
          <w:szCs w:val="24"/>
          <w:lang w:val="en-GB"/>
        </w:rPr>
      </w:pPr>
      <w:r w:rsidRPr="00764F24">
        <w:rPr>
          <w:rFonts w:cstheme="minorHAnsi"/>
          <w:szCs w:val="24"/>
          <w:lang w:val="en-GB"/>
        </w:rPr>
        <w:t>The value of outstanding student loans at the end of March 2019 reached £121 billion</w:t>
      </w:r>
      <w:r w:rsidR="00BF7FBA" w:rsidRPr="00764F24">
        <w:rPr>
          <w:rFonts w:cstheme="minorHAnsi"/>
          <w:szCs w:val="24"/>
          <w:lang w:val="en-GB"/>
        </w:rPr>
        <w:t xml:space="preserve">. </w:t>
      </w:r>
      <w:r w:rsidRPr="00764F24">
        <w:rPr>
          <w:rFonts w:cstheme="minorHAnsi"/>
          <w:szCs w:val="24"/>
          <w:lang w:val="en-GB"/>
        </w:rPr>
        <w:t>The Government forecasts the value of outstanding loans to reach around £450 billion (2018-19 prices) by the middle of this century.</w:t>
      </w:r>
    </w:p>
    <w:p w14:paraId="75A345F7" w14:textId="16297DAF" w:rsidR="007E64E2" w:rsidRPr="00764F24" w:rsidRDefault="00026B5C" w:rsidP="00D86B69">
      <w:pPr>
        <w:pStyle w:val="ListParagraph"/>
        <w:numPr>
          <w:ilvl w:val="0"/>
          <w:numId w:val="18"/>
        </w:numPr>
        <w:spacing w:beforeAutospacing="1" w:after="100" w:afterAutospacing="1" w:line="360" w:lineRule="auto"/>
        <w:rPr>
          <w:rFonts w:cstheme="minorHAnsi"/>
          <w:szCs w:val="24"/>
          <w:lang w:val="en-GB"/>
        </w:rPr>
      </w:pPr>
      <w:r w:rsidRPr="00764F24">
        <w:rPr>
          <w:rFonts w:cstheme="minorHAnsi"/>
          <w:szCs w:val="24"/>
          <w:lang w:val="en-GB"/>
        </w:rPr>
        <w:t>Over 2.1 million people (including young people) were members of credit unions in the UK with the vast majority (1.9 million) being adults</w:t>
      </w:r>
      <w:r w:rsidR="00BF7FBA" w:rsidRPr="00764F24">
        <w:rPr>
          <w:rFonts w:cstheme="minorHAnsi"/>
          <w:szCs w:val="24"/>
          <w:lang w:val="en-GB"/>
        </w:rPr>
        <w:t xml:space="preserve">. </w:t>
      </w:r>
      <w:r w:rsidRPr="00764F24">
        <w:rPr>
          <w:rFonts w:cstheme="minorHAnsi"/>
          <w:szCs w:val="24"/>
          <w:lang w:val="en-GB"/>
        </w:rPr>
        <w:t>This represents a 4.5</w:t>
      </w:r>
      <w:r w:rsidR="00692125" w:rsidRPr="00764F24">
        <w:rPr>
          <w:rFonts w:cstheme="minorHAnsi"/>
          <w:szCs w:val="24"/>
          <w:lang w:val="en-GB"/>
        </w:rPr>
        <w:t xml:space="preserve"> per cent</w:t>
      </w:r>
      <w:r w:rsidRPr="00764F24">
        <w:rPr>
          <w:rFonts w:cstheme="minorHAnsi"/>
          <w:szCs w:val="24"/>
          <w:lang w:val="en-GB"/>
        </w:rPr>
        <w:t xml:space="preserve"> increase in adult members over the previous year but a drop of 2.3</w:t>
      </w:r>
      <w:r w:rsidR="00692125" w:rsidRPr="00764F24">
        <w:rPr>
          <w:rFonts w:cstheme="minorHAnsi"/>
          <w:szCs w:val="24"/>
          <w:lang w:val="en-GB"/>
        </w:rPr>
        <w:t xml:space="preserve"> per cent</w:t>
      </w:r>
      <w:r w:rsidRPr="00764F24">
        <w:rPr>
          <w:rFonts w:cstheme="minorHAnsi"/>
          <w:szCs w:val="24"/>
          <w:lang w:val="en-GB"/>
        </w:rPr>
        <w:t xml:space="preserve"> of young members</w:t>
      </w:r>
      <w:r w:rsidR="001C4074" w:rsidRPr="00764F24">
        <w:rPr>
          <w:rFonts w:cstheme="minorHAnsi"/>
          <w:szCs w:val="24"/>
          <w:lang w:val="en-GB"/>
        </w:rPr>
        <w:t xml:space="preserve"> (those aged under 16)</w:t>
      </w:r>
      <w:r w:rsidR="00BF7FBA" w:rsidRPr="00764F24">
        <w:rPr>
          <w:rFonts w:cstheme="minorHAnsi"/>
          <w:szCs w:val="24"/>
          <w:lang w:val="en-GB"/>
        </w:rPr>
        <w:t xml:space="preserve">. </w:t>
      </w:r>
    </w:p>
    <w:p w14:paraId="3E3C56A0" w14:textId="0D1B044F" w:rsidR="00026B5C" w:rsidRPr="00764F24" w:rsidRDefault="00026B5C" w:rsidP="00D86B69">
      <w:pPr>
        <w:pStyle w:val="Heading2"/>
        <w:spacing w:beforeAutospacing="1" w:after="100" w:afterAutospacing="1" w:line="360" w:lineRule="auto"/>
        <w:rPr>
          <w:rFonts w:cstheme="minorHAnsi"/>
          <w:szCs w:val="24"/>
          <w:lang w:val="en-GB"/>
        </w:rPr>
      </w:pPr>
      <w:bookmarkStart w:id="20" w:name="_Toc51250052"/>
      <w:bookmarkStart w:id="21" w:name="_Toc54600794"/>
      <w:r w:rsidRPr="00764F24">
        <w:rPr>
          <w:rFonts w:cstheme="minorHAnsi"/>
          <w:szCs w:val="24"/>
          <w:lang w:val="en-GB"/>
        </w:rPr>
        <w:t>Problem debt</w:t>
      </w:r>
      <w:bookmarkEnd w:id="20"/>
      <w:bookmarkEnd w:id="21"/>
    </w:p>
    <w:p w14:paraId="2BD41141" w14:textId="0D3BB5B3" w:rsidR="00026B5C" w:rsidRPr="00764F24" w:rsidRDefault="0077585D" w:rsidP="00D86B69">
      <w:pPr>
        <w:pStyle w:val="ListParagraph"/>
        <w:numPr>
          <w:ilvl w:val="0"/>
          <w:numId w:val="19"/>
        </w:numPr>
        <w:spacing w:beforeAutospacing="1" w:after="100" w:afterAutospacing="1" w:line="360" w:lineRule="auto"/>
        <w:rPr>
          <w:rFonts w:cstheme="minorHAnsi"/>
          <w:szCs w:val="24"/>
          <w:lang w:val="en-GB"/>
        </w:rPr>
      </w:pPr>
      <w:r w:rsidRPr="00764F24">
        <w:rPr>
          <w:rFonts w:cstheme="minorHAnsi"/>
          <w:szCs w:val="24"/>
          <w:lang w:val="en-GB"/>
        </w:rPr>
        <w:t>Prior to the</w:t>
      </w:r>
      <w:r w:rsidR="00A12E5C" w:rsidRPr="00764F24">
        <w:rPr>
          <w:rFonts w:cstheme="minorHAnsi"/>
          <w:szCs w:val="24"/>
          <w:lang w:val="en-GB"/>
        </w:rPr>
        <w:t xml:space="preserve"> COVID-19</w:t>
      </w:r>
      <w:r w:rsidRPr="00764F24">
        <w:rPr>
          <w:rFonts w:cstheme="minorHAnsi"/>
          <w:szCs w:val="24"/>
          <w:lang w:val="en-GB"/>
        </w:rPr>
        <w:t xml:space="preserve"> crisis, n</w:t>
      </w:r>
      <w:r w:rsidR="00953CB9" w:rsidRPr="00764F24">
        <w:rPr>
          <w:rFonts w:cstheme="minorHAnsi"/>
          <w:szCs w:val="24"/>
          <w:lang w:val="en-GB"/>
        </w:rPr>
        <w:t>early 2 million families (6 per cent)</w:t>
      </w:r>
      <w:r w:rsidR="00026B5C" w:rsidRPr="00764F24">
        <w:rPr>
          <w:rFonts w:cstheme="minorHAnsi"/>
          <w:szCs w:val="24"/>
          <w:lang w:val="en-GB"/>
        </w:rPr>
        <w:t xml:space="preserve"> said that they could not keep up with bills and regular debt payments </w:t>
      </w:r>
      <w:r w:rsidR="00953CB9" w:rsidRPr="00764F24">
        <w:rPr>
          <w:rFonts w:cstheme="minorHAnsi"/>
          <w:szCs w:val="24"/>
          <w:lang w:val="en-GB"/>
        </w:rPr>
        <w:t>according to</w:t>
      </w:r>
      <w:r w:rsidR="00026B5C" w:rsidRPr="00764F24">
        <w:rPr>
          <w:rFonts w:cstheme="minorHAnsi"/>
          <w:szCs w:val="24"/>
          <w:lang w:val="en-GB"/>
        </w:rPr>
        <w:t xml:space="preserve"> 2018/19 data</w:t>
      </w:r>
      <w:r w:rsidR="00BF7FBA" w:rsidRPr="00764F24">
        <w:rPr>
          <w:rFonts w:cstheme="minorHAnsi"/>
          <w:szCs w:val="24"/>
          <w:lang w:val="en-GB"/>
        </w:rPr>
        <w:t xml:space="preserve">. </w:t>
      </w:r>
      <w:r w:rsidR="00953CB9" w:rsidRPr="00764F24">
        <w:rPr>
          <w:rFonts w:cstheme="minorHAnsi"/>
          <w:szCs w:val="24"/>
          <w:lang w:val="en-GB"/>
        </w:rPr>
        <w:t>Levels of problem debt were highest among renters, particularly council and housing association renters.</w:t>
      </w:r>
    </w:p>
    <w:p w14:paraId="1DD0F25A" w14:textId="77777777" w:rsidR="0077585D" w:rsidRPr="00764F24" w:rsidRDefault="0077585D" w:rsidP="00D86B69">
      <w:pPr>
        <w:pStyle w:val="ListParagraph"/>
        <w:numPr>
          <w:ilvl w:val="0"/>
          <w:numId w:val="19"/>
        </w:numPr>
        <w:spacing w:beforeAutospacing="1" w:after="100" w:afterAutospacing="1" w:line="360" w:lineRule="auto"/>
        <w:rPr>
          <w:rFonts w:cstheme="minorHAnsi"/>
          <w:szCs w:val="24"/>
          <w:lang w:val="en-GB"/>
        </w:rPr>
      </w:pPr>
      <w:r w:rsidRPr="00764F24">
        <w:rPr>
          <w:rFonts w:cstheme="minorHAnsi"/>
          <w:szCs w:val="24"/>
          <w:lang w:val="en-GB"/>
        </w:rPr>
        <w:t>Council tax debt was the most common type of debt in 2018/19, followed by water rates (or rates in Northern Ireland) then electricity and then rent.</w:t>
      </w:r>
    </w:p>
    <w:p w14:paraId="058D9ADA" w14:textId="2C681CE6" w:rsidR="0077585D" w:rsidRPr="00764F24" w:rsidRDefault="002C00DD" w:rsidP="00D86B69">
      <w:pPr>
        <w:pStyle w:val="ListParagraph"/>
        <w:numPr>
          <w:ilvl w:val="0"/>
          <w:numId w:val="19"/>
        </w:numPr>
        <w:spacing w:beforeAutospacing="1" w:after="100" w:afterAutospacing="1" w:line="360" w:lineRule="auto"/>
        <w:rPr>
          <w:rFonts w:cstheme="minorHAnsi"/>
          <w:szCs w:val="24"/>
          <w:lang w:val="en-GB"/>
        </w:rPr>
      </w:pPr>
      <w:r>
        <w:rPr>
          <w:rFonts w:cstheme="minorHAnsi"/>
          <w:szCs w:val="24"/>
          <w:lang w:val="en-GB"/>
        </w:rPr>
        <w:t>D</w:t>
      </w:r>
      <w:r w:rsidR="001C4074" w:rsidRPr="00764F24">
        <w:rPr>
          <w:rFonts w:cstheme="minorHAnsi"/>
          <w:szCs w:val="24"/>
          <w:lang w:val="en-GB"/>
        </w:rPr>
        <w:t>ata from the Insolvency Service</w:t>
      </w:r>
      <w:r w:rsidR="008D2686" w:rsidRPr="00764F24">
        <w:rPr>
          <w:rStyle w:val="FootnoteReference"/>
          <w:rFonts w:cstheme="minorHAnsi"/>
          <w:szCs w:val="24"/>
          <w:lang w:val="en-GB"/>
        </w:rPr>
        <w:t xml:space="preserve"> </w:t>
      </w:r>
      <w:r w:rsidR="001C4074" w:rsidRPr="00764F24">
        <w:rPr>
          <w:rFonts w:cstheme="minorHAnsi"/>
          <w:szCs w:val="24"/>
          <w:lang w:val="en-GB"/>
        </w:rPr>
        <w:t>shows that the total number of insolvencies peaked at the end of 2018 before falling in 2019</w:t>
      </w:r>
      <w:r w:rsidR="00992343" w:rsidRPr="00764F24">
        <w:rPr>
          <w:rFonts w:cstheme="minorHAnsi"/>
          <w:szCs w:val="24"/>
          <w:lang w:val="en-GB"/>
        </w:rPr>
        <w:t>,</w:t>
      </w:r>
      <w:r w:rsidR="001C4074" w:rsidRPr="00764F24">
        <w:rPr>
          <w:rFonts w:cstheme="minorHAnsi"/>
          <w:szCs w:val="24"/>
          <w:lang w:val="en-GB"/>
        </w:rPr>
        <w:t xml:space="preserve"> but in that year nearly 122,000 insolvencies were still recorded</w:t>
      </w:r>
      <w:r w:rsidR="00BF7FBA" w:rsidRPr="00764F24">
        <w:rPr>
          <w:rFonts w:cstheme="minorHAnsi"/>
          <w:szCs w:val="24"/>
          <w:lang w:val="en-GB"/>
        </w:rPr>
        <w:t xml:space="preserve">. </w:t>
      </w:r>
      <w:r w:rsidR="0077585D" w:rsidRPr="00764F24">
        <w:rPr>
          <w:rFonts w:cstheme="minorHAnsi"/>
          <w:szCs w:val="24"/>
          <w:lang w:val="en-GB"/>
        </w:rPr>
        <w:t>Quarter 1 of 2020 recorded nearly 29,000.</w:t>
      </w:r>
    </w:p>
    <w:p w14:paraId="247A61C2" w14:textId="735A46CF" w:rsidR="0077585D" w:rsidRPr="00764F24" w:rsidRDefault="0077585D" w:rsidP="00D86B69">
      <w:pPr>
        <w:pStyle w:val="ListParagraph"/>
        <w:numPr>
          <w:ilvl w:val="0"/>
          <w:numId w:val="19"/>
        </w:numPr>
        <w:spacing w:beforeAutospacing="1" w:after="100" w:afterAutospacing="1" w:line="360" w:lineRule="auto"/>
        <w:rPr>
          <w:rFonts w:cstheme="minorHAnsi"/>
          <w:szCs w:val="24"/>
          <w:lang w:val="en-GB"/>
        </w:rPr>
      </w:pPr>
      <w:r w:rsidRPr="00764F24">
        <w:rPr>
          <w:rFonts w:cstheme="minorHAnsi"/>
          <w:szCs w:val="24"/>
          <w:lang w:val="en-GB"/>
        </w:rPr>
        <w:t>There has been an increase in the last year from 1,590 mortgage possessions in the third quarter of 2018 to 2,130 in the third quarter of 2019</w:t>
      </w:r>
      <w:r w:rsidR="00BF7FBA" w:rsidRPr="00764F24">
        <w:rPr>
          <w:rFonts w:cstheme="minorHAnsi"/>
          <w:szCs w:val="24"/>
          <w:lang w:val="en-GB"/>
        </w:rPr>
        <w:t xml:space="preserve">. </w:t>
      </w:r>
      <w:r w:rsidRPr="00764F24">
        <w:rPr>
          <w:rFonts w:cstheme="minorHAnsi"/>
          <w:szCs w:val="24"/>
          <w:lang w:val="en-GB"/>
        </w:rPr>
        <w:t>In terms of evictions from rented properties, there were 3,374 evictions in the third quarter of 2019, suggesting that there would have been a further fall in the numbers of evictions in 2019 as a whole compared with 2018</w:t>
      </w:r>
      <w:r w:rsidR="00BF7FBA" w:rsidRPr="00764F24">
        <w:rPr>
          <w:rFonts w:cstheme="minorHAnsi"/>
          <w:szCs w:val="24"/>
          <w:lang w:val="en-GB"/>
        </w:rPr>
        <w:t xml:space="preserve">. </w:t>
      </w:r>
    </w:p>
    <w:p w14:paraId="7344A4E8" w14:textId="46B654EA" w:rsidR="00026B5C" w:rsidRPr="00764F24" w:rsidRDefault="00A12E5C" w:rsidP="00D86B69">
      <w:pPr>
        <w:pStyle w:val="ListParagraph"/>
        <w:numPr>
          <w:ilvl w:val="0"/>
          <w:numId w:val="19"/>
        </w:numPr>
        <w:autoSpaceDE w:val="0"/>
        <w:autoSpaceDN w:val="0"/>
        <w:adjustRightInd w:val="0"/>
        <w:spacing w:beforeAutospacing="1" w:after="100" w:afterAutospacing="1" w:line="360" w:lineRule="auto"/>
        <w:rPr>
          <w:rFonts w:cstheme="minorHAnsi"/>
          <w:color w:val="000000"/>
          <w:szCs w:val="24"/>
          <w:lang w:val="en-GB"/>
        </w:rPr>
      </w:pPr>
      <w:r w:rsidRPr="00764F24">
        <w:rPr>
          <w:rFonts w:cstheme="minorHAnsi"/>
          <w:color w:val="000000"/>
          <w:szCs w:val="24"/>
          <w:lang w:val="en-GB"/>
        </w:rPr>
        <w:t>COVID-19</w:t>
      </w:r>
      <w:r w:rsidR="00026B5C" w:rsidRPr="00764F24">
        <w:rPr>
          <w:rFonts w:cstheme="minorHAnsi"/>
          <w:color w:val="000000"/>
          <w:szCs w:val="24"/>
          <w:lang w:val="en-GB"/>
        </w:rPr>
        <w:t xml:space="preserve"> ha</w:t>
      </w:r>
      <w:r w:rsidR="003334EC" w:rsidRPr="00764F24">
        <w:rPr>
          <w:rFonts w:cstheme="minorHAnsi"/>
          <w:color w:val="000000"/>
          <w:szCs w:val="24"/>
          <w:lang w:val="en-GB"/>
        </w:rPr>
        <w:t>s</w:t>
      </w:r>
      <w:r w:rsidR="00026B5C" w:rsidRPr="00764F24">
        <w:rPr>
          <w:rFonts w:cstheme="minorHAnsi"/>
          <w:color w:val="000000"/>
          <w:szCs w:val="24"/>
          <w:lang w:val="en-GB"/>
        </w:rPr>
        <w:t xml:space="preserve"> increased debt problems still further</w:t>
      </w:r>
      <w:r w:rsidR="00BF7FBA" w:rsidRPr="00764F24">
        <w:rPr>
          <w:rFonts w:cstheme="minorHAnsi"/>
          <w:color w:val="000000"/>
          <w:szCs w:val="24"/>
          <w:lang w:val="en-GB"/>
        </w:rPr>
        <w:t xml:space="preserve">. </w:t>
      </w:r>
      <w:r w:rsidR="00026B5C" w:rsidRPr="00764F24">
        <w:rPr>
          <w:rFonts w:cstheme="minorHAnsi"/>
          <w:color w:val="000000"/>
          <w:szCs w:val="24"/>
          <w:lang w:val="en-GB"/>
        </w:rPr>
        <w:t xml:space="preserve">Research by </w:t>
      </w:r>
      <w:proofErr w:type="spellStart"/>
      <w:r w:rsidR="00026B5C" w:rsidRPr="00764F24">
        <w:rPr>
          <w:rFonts w:cstheme="minorHAnsi"/>
          <w:color w:val="000000"/>
          <w:szCs w:val="24"/>
          <w:lang w:val="en-GB"/>
        </w:rPr>
        <w:t>Stepchange</w:t>
      </w:r>
      <w:proofErr w:type="spellEnd"/>
      <w:r w:rsidR="00026B5C" w:rsidRPr="00764F24">
        <w:rPr>
          <w:rFonts w:cstheme="minorHAnsi"/>
          <w:color w:val="000000"/>
          <w:szCs w:val="24"/>
          <w:lang w:val="en-GB"/>
        </w:rPr>
        <w:t xml:space="preserve"> Debt Charity reported that, at the end of May 2020, 4.6 million people had accumulated £6.1 billion of arrears and debt, averaging £1,076 in arrears and £997 in debt per adult affected</w:t>
      </w:r>
      <w:r w:rsidR="00BF7FBA" w:rsidRPr="00764F24">
        <w:rPr>
          <w:rFonts w:cstheme="minorHAnsi"/>
          <w:color w:val="000000"/>
          <w:szCs w:val="24"/>
          <w:lang w:val="en-GB"/>
        </w:rPr>
        <w:t xml:space="preserve">. </w:t>
      </w:r>
      <w:r w:rsidR="00026B5C" w:rsidRPr="00764F24">
        <w:rPr>
          <w:rFonts w:cstheme="minorHAnsi"/>
          <w:color w:val="000000"/>
          <w:szCs w:val="24"/>
          <w:lang w:val="en-GB"/>
        </w:rPr>
        <w:t>The report also found that, as of late May, 2.7 million people had accessed payment holidays on mortgage and credit products.</w:t>
      </w:r>
    </w:p>
    <w:p w14:paraId="4ACD681F" w14:textId="61BD86E4" w:rsidR="007E64E2" w:rsidRPr="00764F24" w:rsidRDefault="00026B5C" w:rsidP="00D86B69">
      <w:pPr>
        <w:pStyle w:val="ListParagraph"/>
        <w:numPr>
          <w:ilvl w:val="0"/>
          <w:numId w:val="19"/>
        </w:numPr>
        <w:autoSpaceDE w:val="0"/>
        <w:autoSpaceDN w:val="0"/>
        <w:adjustRightInd w:val="0"/>
        <w:spacing w:beforeAutospacing="1" w:after="100" w:afterAutospacing="1" w:line="360" w:lineRule="auto"/>
        <w:rPr>
          <w:rFonts w:cstheme="minorHAnsi"/>
          <w:szCs w:val="24"/>
          <w:lang w:val="en-GB"/>
        </w:rPr>
      </w:pPr>
      <w:r w:rsidRPr="00764F24">
        <w:rPr>
          <w:rFonts w:cstheme="minorHAnsi"/>
          <w:szCs w:val="24"/>
          <w:lang w:val="en-GB"/>
        </w:rPr>
        <w:lastRenderedPageBreak/>
        <w:t xml:space="preserve">The position for </w:t>
      </w:r>
      <w:r w:rsidR="008E7AFD" w:rsidRPr="00764F24">
        <w:rPr>
          <w:rFonts w:cstheme="minorHAnsi"/>
          <w:szCs w:val="24"/>
          <w:lang w:val="en-GB"/>
        </w:rPr>
        <w:t xml:space="preserve">many in </w:t>
      </w:r>
      <w:r w:rsidRPr="00764F24">
        <w:rPr>
          <w:rFonts w:cstheme="minorHAnsi"/>
          <w:szCs w:val="24"/>
          <w:lang w:val="en-GB"/>
        </w:rPr>
        <w:t>2020 looks bleak.</w:t>
      </w:r>
      <w:r w:rsidR="00EE2F00" w:rsidRPr="00764F24">
        <w:rPr>
          <w:rFonts w:cstheme="minorHAnsi"/>
          <w:szCs w:val="24"/>
          <w:lang w:val="en-GB"/>
        </w:rPr>
        <w:t xml:space="preserve"> </w:t>
      </w:r>
      <w:r w:rsidR="00EE2F00" w:rsidRPr="00764F24">
        <w:rPr>
          <w:rFonts w:cstheme="minorHAnsi"/>
          <w:color w:val="000000"/>
          <w:szCs w:val="24"/>
          <w:lang w:val="en-GB"/>
        </w:rPr>
        <w:t>Research by Shelter, published in July 2020, estimated that 227,000 adult private renters (</w:t>
      </w:r>
      <w:r w:rsidR="00992343" w:rsidRPr="00764F24">
        <w:rPr>
          <w:rFonts w:cstheme="minorHAnsi"/>
          <w:color w:val="000000"/>
          <w:szCs w:val="24"/>
          <w:lang w:val="en-GB"/>
        </w:rPr>
        <w:t>three per cent</w:t>
      </w:r>
      <w:r w:rsidR="00EE2F00" w:rsidRPr="00764F24">
        <w:rPr>
          <w:rFonts w:cstheme="minorHAnsi"/>
          <w:color w:val="000000"/>
          <w:szCs w:val="24"/>
          <w:lang w:val="en-GB"/>
        </w:rPr>
        <w:t xml:space="preserve">) had fallen into arrears since the start of the pandemic, meaning they could lose their homes when the evictions ban ends </w:t>
      </w:r>
      <w:r w:rsidR="004D6BBC" w:rsidRPr="00764F24">
        <w:rPr>
          <w:rFonts w:cstheme="minorHAnsi"/>
          <w:color w:val="000000"/>
          <w:szCs w:val="24"/>
          <w:lang w:val="en-GB"/>
        </w:rPr>
        <w:t xml:space="preserve">(originally </w:t>
      </w:r>
      <w:r w:rsidR="00EE2F00" w:rsidRPr="00764F24">
        <w:rPr>
          <w:rFonts w:cstheme="minorHAnsi"/>
          <w:color w:val="000000"/>
          <w:szCs w:val="24"/>
          <w:lang w:val="en-GB"/>
        </w:rPr>
        <w:t>23 August</w:t>
      </w:r>
      <w:r w:rsidR="004D6BBC" w:rsidRPr="00764F24">
        <w:rPr>
          <w:rFonts w:cstheme="minorHAnsi"/>
          <w:color w:val="000000"/>
          <w:szCs w:val="24"/>
          <w:lang w:val="en-GB"/>
        </w:rPr>
        <w:t>, extended to 20 September</w:t>
      </w:r>
      <w:r w:rsidR="004A2CAB">
        <w:rPr>
          <w:rFonts w:cstheme="minorHAnsi"/>
          <w:color w:val="000000"/>
          <w:szCs w:val="24"/>
          <w:lang w:val="en-GB"/>
        </w:rPr>
        <w:t>, and longer for commercial tenants</w:t>
      </w:r>
      <w:r w:rsidR="004D6BBC" w:rsidRPr="00764F24">
        <w:rPr>
          <w:rFonts w:cstheme="minorHAnsi"/>
          <w:color w:val="000000"/>
          <w:szCs w:val="24"/>
          <w:lang w:val="en-GB"/>
        </w:rPr>
        <w:t>)</w:t>
      </w:r>
      <w:r w:rsidR="00EE2F00" w:rsidRPr="00764F24">
        <w:rPr>
          <w:rFonts w:cstheme="minorHAnsi"/>
          <w:color w:val="000000"/>
          <w:szCs w:val="24"/>
          <w:lang w:val="en-GB"/>
        </w:rPr>
        <w:t xml:space="preserve"> in addition to those already in arrears</w:t>
      </w:r>
      <w:r w:rsidR="00BF7FBA" w:rsidRPr="00764F24">
        <w:rPr>
          <w:rFonts w:cstheme="minorHAnsi"/>
          <w:color w:val="000000"/>
          <w:szCs w:val="24"/>
          <w:lang w:val="en-GB"/>
        </w:rPr>
        <w:t>.</w:t>
      </w:r>
      <w:r w:rsidR="008D2686" w:rsidRPr="00764F24">
        <w:rPr>
          <w:rFonts w:cstheme="minorHAnsi"/>
          <w:color w:val="000000"/>
          <w:szCs w:val="24"/>
          <w:lang w:val="en-GB"/>
        </w:rPr>
        <w:t xml:space="preserve"> </w:t>
      </w:r>
    </w:p>
    <w:p w14:paraId="6962BF75" w14:textId="5252D71C" w:rsidR="00026B5C" w:rsidRPr="00764F24" w:rsidRDefault="00026B5C" w:rsidP="006C09E6">
      <w:pPr>
        <w:pStyle w:val="Heading2"/>
        <w:spacing w:beforeAutospacing="1" w:after="100" w:afterAutospacing="1" w:line="360" w:lineRule="auto"/>
        <w:rPr>
          <w:rFonts w:cstheme="minorHAnsi"/>
          <w:szCs w:val="24"/>
          <w:lang w:val="en-GB"/>
        </w:rPr>
      </w:pPr>
      <w:bookmarkStart w:id="22" w:name="_Toc51250053"/>
      <w:bookmarkStart w:id="23" w:name="_Toc54600795"/>
      <w:r w:rsidRPr="00764F24">
        <w:rPr>
          <w:rFonts w:cstheme="minorHAnsi"/>
          <w:szCs w:val="24"/>
          <w:lang w:val="en-GB"/>
        </w:rPr>
        <w:t>Insurance</w:t>
      </w:r>
      <w:bookmarkEnd w:id="22"/>
      <w:bookmarkEnd w:id="23"/>
    </w:p>
    <w:p w14:paraId="04F803BB" w14:textId="0C394D5A" w:rsidR="007E64E2" w:rsidRPr="00764F24" w:rsidRDefault="00026B5C" w:rsidP="006C09E6">
      <w:pPr>
        <w:pStyle w:val="ListParagraph"/>
        <w:keepNext/>
        <w:numPr>
          <w:ilvl w:val="0"/>
          <w:numId w:val="19"/>
        </w:numPr>
        <w:spacing w:beforeAutospacing="1" w:after="100" w:afterAutospacing="1" w:line="360" w:lineRule="auto"/>
        <w:rPr>
          <w:rFonts w:cstheme="minorHAnsi"/>
          <w:szCs w:val="24"/>
          <w:lang w:val="en-GB"/>
        </w:rPr>
      </w:pPr>
      <w:r w:rsidRPr="00764F24">
        <w:rPr>
          <w:rFonts w:cstheme="minorHAnsi"/>
          <w:szCs w:val="24"/>
          <w:lang w:val="en-GB"/>
        </w:rPr>
        <w:t xml:space="preserve">The proportion of working adults who had home contents insurance </w:t>
      </w:r>
      <w:r w:rsidR="00C35440" w:rsidRPr="00764F24">
        <w:rPr>
          <w:rFonts w:cstheme="minorHAnsi"/>
          <w:szCs w:val="24"/>
          <w:lang w:val="en-GB"/>
        </w:rPr>
        <w:t xml:space="preserve">dropped from 65 per cent in </w:t>
      </w:r>
      <w:r w:rsidRPr="00764F24">
        <w:rPr>
          <w:rFonts w:cstheme="minorHAnsi"/>
          <w:szCs w:val="24"/>
          <w:lang w:val="en-GB"/>
        </w:rPr>
        <w:t xml:space="preserve">2008/9 </w:t>
      </w:r>
      <w:r w:rsidR="00C35440" w:rsidRPr="00764F24">
        <w:rPr>
          <w:rFonts w:cstheme="minorHAnsi"/>
          <w:szCs w:val="24"/>
          <w:lang w:val="en-GB"/>
        </w:rPr>
        <w:t>to 60 per cent in</w:t>
      </w:r>
      <w:r w:rsidRPr="00764F24">
        <w:rPr>
          <w:rFonts w:cstheme="minorHAnsi"/>
          <w:szCs w:val="24"/>
          <w:lang w:val="en-GB"/>
        </w:rPr>
        <w:t xml:space="preserve"> 2018/19</w:t>
      </w:r>
      <w:r w:rsidR="0077585D" w:rsidRPr="00764F24">
        <w:rPr>
          <w:rFonts w:cstheme="minorHAnsi"/>
          <w:szCs w:val="24"/>
          <w:lang w:val="en-GB"/>
        </w:rPr>
        <w:t>.</w:t>
      </w:r>
    </w:p>
    <w:p w14:paraId="6581322B" w14:textId="77777777" w:rsidR="00952763" w:rsidRDefault="00952763" w:rsidP="00952763">
      <w:pPr>
        <w:spacing w:beforeAutospacing="1" w:after="100" w:afterAutospacing="1" w:line="360" w:lineRule="auto"/>
        <w:rPr>
          <w:rFonts w:eastAsiaTheme="majorEastAsia" w:cstheme="minorHAnsi"/>
          <w:szCs w:val="24"/>
          <w:lang w:val="en-GB"/>
        </w:rPr>
        <w:sectPr w:rsidR="00952763" w:rsidSect="00952763">
          <w:headerReference w:type="default" r:id="rId11"/>
          <w:footerReference w:type="default" r:id="rId12"/>
          <w:pgSz w:w="11906" w:h="16838"/>
          <w:pgMar w:top="1440" w:right="1440" w:bottom="1440" w:left="1701" w:header="709" w:footer="709" w:gutter="0"/>
          <w:pgNumType w:fmt="lowerRoman" w:start="1"/>
          <w:cols w:space="708"/>
          <w:docGrid w:linePitch="360"/>
        </w:sectPr>
      </w:pPr>
    </w:p>
    <w:p w14:paraId="086646F3" w14:textId="76B6D58C" w:rsidR="007E64E2" w:rsidRDefault="00E641E8" w:rsidP="001B32E1">
      <w:pPr>
        <w:pStyle w:val="Heading1"/>
      </w:pPr>
      <w:bookmarkStart w:id="24" w:name="_Toc51250054"/>
      <w:bookmarkStart w:id="25" w:name="_Toc54600796"/>
      <w:r w:rsidRPr="001B32E1">
        <w:lastRenderedPageBreak/>
        <w:t>Introduction</w:t>
      </w:r>
      <w:bookmarkEnd w:id="24"/>
      <w:bookmarkEnd w:id="25"/>
    </w:p>
    <w:p w14:paraId="5F2B4FB2" w14:textId="77777777" w:rsidR="002C00DD" w:rsidRPr="002C00DD" w:rsidRDefault="002C00DD" w:rsidP="002C00DD">
      <w:pPr>
        <w:rPr>
          <w:lang w:val="en-GB"/>
        </w:rPr>
      </w:pPr>
    </w:p>
    <w:p w14:paraId="58FB985F" w14:textId="2D9A02B3" w:rsidR="00C0784A" w:rsidRPr="00764F24" w:rsidRDefault="00C0784A" w:rsidP="00D86B69">
      <w:pPr>
        <w:pStyle w:val="Heading2"/>
        <w:spacing w:beforeAutospacing="1" w:after="100" w:afterAutospacing="1" w:line="360" w:lineRule="auto"/>
        <w:rPr>
          <w:rFonts w:cstheme="minorHAnsi"/>
          <w:szCs w:val="24"/>
          <w:lang w:val="en-GB"/>
        </w:rPr>
      </w:pPr>
      <w:bookmarkStart w:id="26" w:name="_Toc51250055"/>
      <w:bookmarkStart w:id="27" w:name="_Toc54600797"/>
      <w:r w:rsidRPr="00764F24">
        <w:rPr>
          <w:rFonts w:cstheme="minorHAnsi"/>
          <w:szCs w:val="24"/>
          <w:lang w:val="en-GB"/>
        </w:rPr>
        <w:t>Towards a financially-inclusive society</w:t>
      </w:r>
      <w:bookmarkEnd w:id="26"/>
      <w:bookmarkEnd w:id="27"/>
    </w:p>
    <w:p w14:paraId="5B247A47" w14:textId="014B05B5" w:rsidR="007E64E2" w:rsidRPr="00764F24" w:rsidRDefault="00E641E8" w:rsidP="00D86B69">
      <w:pPr>
        <w:spacing w:beforeAutospacing="1" w:after="100" w:afterAutospacing="1" w:line="360" w:lineRule="auto"/>
        <w:rPr>
          <w:rFonts w:cstheme="minorHAnsi"/>
          <w:szCs w:val="24"/>
          <w:lang w:val="en-GB"/>
        </w:rPr>
      </w:pPr>
      <w:r w:rsidRPr="00764F24">
        <w:rPr>
          <w:rFonts w:cstheme="minorHAnsi"/>
          <w:szCs w:val="24"/>
          <w:lang w:val="en-GB"/>
        </w:rPr>
        <w:t xml:space="preserve">This report is the </w:t>
      </w:r>
      <w:r w:rsidR="00E31DE9" w:rsidRPr="00764F24">
        <w:rPr>
          <w:rFonts w:cstheme="minorHAnsi"/>
          <w:szCs w:val="24"/>
          <w:lang w:val="en-GB"/>
        </w:rPr>
        <w:t>eight</w:t>
      </w:r>
      <w:r w:rsidR="005176A8" w:rsidRPr="00764F24">
        <w:rPr>
          <w:rFonts w:cstheme="minorHAnsi"/>
          <w:szCs w:val="24"/>
          <w:lang w:val="en-GB"/>
        </w:rPr>
        <w:t>h</w:t>
      </w:r>
      <w:r w:rsidRPr="00764F24">
        <w:rPr>
          <w:rFonts w:cstheme="minorHAnsi"/>
          <w:szCs w:val="24"/>
          <w:lang w:val="en-GB"/>
        </w:rPr>
        <w:t xml:space="preserve"> in a series of </w:t>
      </w:r>
      <w:r w:rsidR="00E31DE9" w:rsidRPr="00764F24">
        <w:rPr>
          <w:rFonts w:cstheme="minorHAnsi"/>
          <w:szCs w:val="24"/>
          <w:lang w:val="en-GB"/>
        </w:rPr>
        <w:t>ten</w:t>
      </w:r>
      <w:r w:rsidR="001E0C53" w:rsidRPr="00764F24">
        <w:rPr>
          <w:rFonts w:cstheme="minorHAnsi"/>
          <w:szCs w:val="24"/>
          <w:lang w:val="en-GB"/>
        </w:rPr>
        <w:t xml:space="preserve"> planned</w:t>
      </w:r>
      <w:r w:rsidRPr="00764F24">
        <w:rPr>
          <w:rFonts w:cstheme="minorHAnsi"/>
          <w:szCs w:val="24"/>
          <w:lang w:val="en-GB"/>
        </w:rPr>
        <w:t xml:space="preserve"> annual monitoring reports commissioned by the Friends Provident Foundation </w:t>
      </w:r>
      <w:r w:rsidR="00E31DE9" w:rsidRPr="00764F24">
        <w:rPr>
          <w:rFonts w:cstheme="minorHAnsi"/>
          <w:szCs w:val="24"/>
          <w:lang w:val="en-GB"/>
        </w:rPr>
        <w:t xml:space="preserve">and Barrow Cadbury Trust </w:t>
      </w:r>
      <w:r w:rsidRPr="00764F24">
        <w:rPr>
          <w:rFonts w:cstheme="minorHAnsi"/>
          <w:szCs w:val="24"/>
          <w:lang w:val="en-GB"/>
        </w:rPr>
        <w:t xml:space="preserve">to </w:t>
      </w:r>
      <w:r w:rsidR="005176A8" w:rsidRPr="00764F24">
        <w:rPr>
          <w:rFonts w:cstheme="minorHAnsi"/>
          <w:szCs w:val="24"/>
          <w:lang w:val="en-GB"/>
        </w:rPr>
        <w:t xml:space="preserve">monitor progress towards, </w:t>
      </w:r>
      <w:r w:rsidR="00733606" w:rsidRPr="00764F24">
        <w:rPr>
          <w:rFonts w:cstheme="minorHAnsi"/>
          <w:szCs w:val="24"/>
          <w:lang w:val="en-GB"/>
        </w:rPr>
        <w:t>or</w:t>
      </w:r>
      <w:r w:rsidR="005176A8" w:rsidRPr="00764F24">
        <w:rPr>
          <w:rFonts w:cstheme="minorHAnsi"/>
          <w:szCs w:val="24"/>
          <w:lang w:val="en-GB"/>
        </w:rPr>
        <w:t xml:space="preserve"> indeed,</w:t>
      </w:r>
      <w:r w:rsidR="00733606" w:rsidRPr="00764F24">
        <w:rPr>
          <w:rFonts w:cstheme="minorHAnsi"/>
          <w:szCs w:val="24"/>
          <w:lang w:val="en-GB"/>
        </w:rPr>
        <w:t xml:space="preserve"> away from </w:t>
      </w:r>
      <w:r w:rsidRPr="00764F24">
        <w:rPr>
          <w:rFonts w:cstheme="minorHAnsi"/>
          <w:szCs w:val="24"/>
          <w:lang w:val="en-GB"/>
        </w:rPr>
        <w:t>financial inclusio</w:t>
      </w:r>
      <w:r w:rsidR="00E32DAC" w:rsidRPr="00764F24">
        <w:rPr>
          <w:rFonts w:cstheme="minorHAnsi"/>
          <w:szCs w:val="24"/>
          <w:lang w:val="en-GB"/>
        </w:rPr>
        <w:t>n in Britain</w:t>
      </w:r>
      <w:r w:rsidR="00BF7FBA" w:rsidRPr="00764F24">
        <w:rPr>
          <w:rFonts w:cstheme="minorHAnsi"/>
          <w:szCs w:val="24"/>
          <w:lang w:val="en-GB"/>
        </w:rPr>
        <w:t xml:space="preserve">. </w:t>
      </w:r>
      <w:r w:rsidR="00FC18F2" w:rsidRPr="00764F24">
        <w:rPr>
          <w:rFonts w:cstheme="minorHAnsi"/>
          <w:szCs w:val="24"/>
          <w:lang w:val="en-GB"/>
        </w:rPr>
        <w:t xml:space="preserve">In order to provide a comprehensive picture, this report takes </w:t>
      </w:r>
      <w:r w:rsidR="004C190C" w:rsidRPr="00764F24">
        <w:rPr>
          <w:rFonts w:cstheme="minorHAnsi"/>
          <w:szCs w:val="24"/>
          <w:lang w:val="en-GB"/>
        </w:rPr>
        <w:t xml:space="preserve">the same framework as the previous </w:t>
      </w:r>
      <w:r w:rsidR="00FC18F2" w:rsidRPr="00764F24">
        <w:rPr>
          <w:rFonts w:cstheme="minorHAnsi"/>
          <w:szCs w:val="24"/>
          <w:lang w:val="en-GB"/>
        </w:rPr>
        <w:t>report</w:t>
      </w:r>
      <w:r w:rsidR="004C190C" w:rsidRPr="00764F24">
        <w:rPr>
          <w:rFonts w:cstheme="minorHAnsi"/>
          <w:szCs w:val="24"/>
          <w:lang w:val="en-GB"/>
        </w:rPr>
        <w:t>s</w:t>
      </w:r>
      <w:r w:rsidR="00FC18F2" w:rsidRPr="00764F24">
        <w:rPr>
          <w:rFonts w:cstheme="minorHAnsi"/>
          <w:szCs w:val="24"/>
          <w:lang w:val="en-GB"/>
        </w:rPr>
        <w:t xml:space="preserve"> and updates figures, where available, to give the most recent data and trends</w:t>
      </w:r>
      <w:r w:rsidR="00BF7FBA" w:rsidRPr="00764F24">
        <w:rPr>
          <w:rFonts w:cstheme="minorHAnsi"/>
          <w:szCs w:val="24"/>
          <w:lang w:val="en-GB"/>
        </w:rPr>
        <w:t xml:space="preserve">. </w:t>
      </w:r>
    </w:p>
    <w:p w14:paraId="5CE7AE72" w14:textId="0CA61947" w:rsidR="00E641E8" w:rsidRPr="00764F24" w:rsidRDefault="00E641E8" w:rsidP="00D86B69">
      <w:pPr>
        <w:spacing w:beforeAutospacing="1" w:after="100" w:afterAutospacing="1" w:line="360" w:lineRule="auto"/>
        <w:rPr>
          <w:rFonts w:cstheme="minorHAnsi"/>
          <w:szCs w:val="24"/>
          <w:lang w:val="en-GB"/>
        </w:rPr>
      </w:pPr>
      <w:r w:rsidRPr="00764F24">
        <w:rPr>
          <w:rFonts w:cstheme="minorHAnsi"/>
          <w:szCs w:val="24"/>
          <w:lang w:val="en-GB"/>
        </w:rPr>
        <w:t>According to Kempson and Collard</w:t>
      </w:r>
      <w:r w:rsidRPr="00764F24">
        <w:rPr>
          <w:rStyle w:val="FootnoteReference"/>
          <w:rFonts w:cstheme="minorHAnsi"/>
          <w:szCs w:val="24"/>
          <w:lang w:val="en-GB"/>
        </w:rPr>
        <w:footnoteReference w:id="1"/>
      </w:r>
      <w:r w:rsidRPr="00764F24">
        <w:rPr>
          <w:rFonts w:cstheme="minorHAnsi"/>
          <w:szCs w:val="24"/>
          <w:lang w:val="en-GB"/>
        </w:rPr>
        <w:t>, a financially inclusive society would be one in which everyone had the ability to:</w:t>
      </w:r>
    </w:p>
    <w:p w14:paraId="3F1C2ACC" w14:textId="77777777" w:rsidR="00E641E8" w:rsidRPr="00764F24" w:rsidRDefault="00E641E8" w:rsidP="00D86B69">
      <w:pPr>
        <w:pStyle w:val="ListParagraph"/>
        <w:numPr>
          <w:ilvl w:val="0"/>
          <w:numId w:val="2"/>
        </w:numPr>
        <w:spacing w:beforeAutospacing="1" w:after="100" w:afterAutospacing="1" w:line="360" w:lineRule="auto"/>
        <w:ind w:left="714" w:hanging="357"/>
        <w:rPr>
          <w:rFonts w:cstheme="minorHAnsi"/>
          <w:szCs w:val="24"/>
          <w:lang w:val="en-GB"/>
        </w:rPr>
      </w:pPr>
      <w:r w:rsidRPr="00764F24">
        <w:rPr>
          <w:rFonts w:cstheme="minorHAnsi"/>
          <w:szCs w:val="24"/>
          <w:lang w:val="en-GB"/>
        </w:rPr>
        <w:t>manage day-to-day financial transactions (e</w:t>
      </w:r>
      <w:r w:rsidR="008E7177" w:rsidRPr="00764F24">
        <w:rPr>
          <w:rFonts w:cstheme="minorHAnsi"/>
          <w:szCs w:val="24"/>
          <w:lang w:val="en-GB"/>
        </w:rPr>
        <w:t>.</w:t>
      </w:r>
      <w:r w:rsidRPr="00764F24">
        <w:rPr>
          <w:rFonts w:cstheme="minorHAnsi"/>
          <w:szCs w:val="24"/>
          <w:lang w:val="en-GB"/>
        </w:rPr>
        <w:t>g</w:t>
      </w:r>
      <w:r w:rsidR="008E7177" w:rsidRPr="00764F24">
        <w:rPr>
          <w:rFonts w:cstheme="minorHAnsi"/>
          <w:szCs w:val="24"/>
          <w:lang w:val="en-GB"/>
        </w:rPr>
        <w:t>.</w:t>
      </w:r>
      <w:r w:rsidRPr="00764F24">
        <w:rPr>
          <w:rFonts w:cstheme="minorHAnsi"/>
          <w:szCs w:val="24"/>
          <w:lang w:val="en-GB"/>
        </w:rPr>
        <w:t xml:space="preserve"> through appropriate bank accounts)</w:t>
      </w:r>
    </w:p>
    <w:p w14:paraId="36A2B6B7" w14:textId="77777777" w:rsidR="00E641E8" w:rsidRPr="00764F24" w:rsidRDefault="00E641E8" w:rsidP="00D86B69">
      <w:pPr>
        <w:pStyle w:val="ListParagraph"/>
        <w:numPr>
          <w:ilvl w:val="0"/>
          <w:numId w:val="2"/>
        </w:numPr>
        <w:spacing w:beforeAutospacing="1" w:after="100" w:afterAutospacing="1" w:line="360" w:lineRule="auto"/>
        <w:ind w:left="714" w:hanging="357"/>
        <w:rPr>
          <w:rFonts w:cstheme="minorHAnsi"/>
          <w:szCs w:val="24"/>
          <w:lang w:val="en-GB"/>
        </w:rPr>
      </w:pPr>
      <w:r w:rsidRPr="00764F24">
        <w:rPr>
          <w:rFonts w:cstheme="minorHAnsi"/>
          <w:szCs w:val="24"/>
          <w:lang w:val="en-GB"/>
        </w:rPr>
        <w:t>meet one-off expenses (both predictable expenses through savings, and unpredictable expenses also through savings and/or appropriate credit and insurance products)</w:t>
      </w:r>
    </w:p>
    <w:p w14:paraId="1B4865D2" w14:textId="77777777" w:rsidR="00E641E8" w:rsidRPr="00764F24" w:rsidRDefault="00E641E8" w:rsidP="00D86B69">
      <w:pPr>
        <w:pStyle w:val="ListParagraph"/>
        <w:numPr>
          <w:ilvl w:val="0"/>
          <w:numId w:val="2"/>
        </w:numPr>
        <w:spacing w:beforeAutospacing="1" w:after="100" w:afterAutospacing="1" w:line="360" w:lineRule="auto"/>
        <w:ind w:left="714" w:hanging="357"/>
        <w:rPr>
          <w:rFonts w:cstheme="minorHAnsi"/>
          <w:szCs w:val="24"/>
          <w:lang w:val="en-GB"/>
        </w:rPr>
      </w:pPr>
      <w:r w:rsidRPr="00764F24">
        <w:rPr>
          <w:rFonts w:cstheme="minorHAnsi"/>
          <w:szCs w:val="24"/>
          <w:lang w:val="en-GB"/>
        </w:rPr>
        <w:t>manage a loss of earned income (</w:t>
      </w:r>
      <w:r w:rsidR="008E7177" w:rsidRPr="00764F24">
        <w:rPr>
          <w:rFonts w:cstheme="minorHAnsi"/>
          <w:szCs w:val="24"/>
          <w:lang w:val="en-GB"/>
        </w:rPr>
        <w:t xml:space="preserve">e.g. </w:t>
      </w:r>
      <w:r w:rsidRPr="00764F24">
        <w:rPr>
          <w:rFonts w:cstheme="minorHAnsi"/>
          <w:szCs w:val="24"/>
          <w:lang w:val="en-GB"/>
        </w:rPr>
        <w:t>through savings</w:t>
      </w:r>
      <w:r w:rsidR="00B22989" w:rsidRPr="00764F24">
        <w:rPr>
          <w:rFonts w:cstheme="minorHAnsi"/>
          <w:szCs w:val="24"/>
          <w:lang w:val="en-GB"/>
        </w:rPr>
        <w:t>,</w:t>
      </w:r>
      <w:r w:rsidRPr="00764F24">
        <w:rPr>
          <w:rFonts w:cstheme="minorHAnsi"/>
          <w:szCs w:val="24"/>
          <w:lang w:val="en-GB"/>
        </w:rPr>
        <w:t xml:space="preserve"> including pension savings)</w:t>
      </w:r>
    </w:p>
    <w:p w14:paraId="7746D99A" w14:textId="77777777" w:rsidR="007E64E2" w:rsidRPr="00764F24" w:rsidRDefault="00E641E8" w:rsidP="00D86B69">
      <w:pPr>
        <w:pStyle w:val="ListParagraph"/>
        <w:numPr>
          <w:ilvl w:val="0"/>
          <w:numId w:val="2"/>
        </w:numPr>
        <w:spacing w:beforeAutospacing="1" w:after="100" w:afterAutospacing="1" w:line="360" w:lineRule="auto"/>
        <w:ind w:left="714" w:hanging="357"/>
        <w:rPr>
          <w:rFonts w:cstheme="minorHAnsi"/>
          <w:szCs w:val="24"/>
          <w:lang w:val="en-GB"/>
        </w:rPr>
      </w:pPr>
      <w:r w:rsidRPr="00764F24">
        <w:rPr>
          <w:rFonts w:cstheme="minorHAnsi"/>
          <w:szCs w:val="24"/>
          <w:lang w:val="en-GB"/>
        </w:rPr>
        <w:t>avoid/reduce problem debt</w:t>
      </w:r>
    </w:p>
    <w:p w14:paraId="36838542" w14:textId="2173EC8E" w:rsidR="00455BF6" w:rsidRPr="00764F24" w:rsidRDefault="004C190C" w:rsidP="00D86B69">
      <w:pPr>
        <w:spacing w:beforeAutospacing="1" w:after="100" w:afterAutospacing="1" w:line="360" w:lineRule="auto"/>
        <w:rPr>
          <w:rFonts w:cstheme="minorHAnsi"/>
          <w:szCs w:val="24"/>
          <w:lang w:val="en-GB"/>
        </w:rPr>
      </w:pPr>
      <w:r w:rsidRPr="00764F24">
        <w:rPr>
          <w:rFonts w:cstheme="minorHAnsi"/>
          <w:szCs w:val="24"/>
          <w:lang w:val="en-GB"/>
        </w:rPr>
        <w:t xml:space="preserve">In this series of reports, we argue that </w:t>
      </w:r>
      <w:r w:rsidR="00E3654C" w:rsidRPr="00764F24">
        <w:rPr>
          <w:rFonts w:cstheme="minorHAnsi"/>
          <w:szCs w:val="24"/>
          <w:lang w:val="en-GB"/>
        </w:rPr>
        <w:t xml:space="preserve">people need three </w:t>
      </w:r>
      <w:r w:rsidR="00E641E8" w:rsidRPr="00764F24">
        <w:rPr>
          <w:rFonts w:cstheme="minorHAnsi"/>
          <w:szCs w:val="24"/>
          <w:lang w:val="en-GB"/>
        </w:rPr>
        <w:t xml:space="preserve">key components </w:t>
      </w:r>
      <w:r w:rsidR="00E3654C" w:rsidRPr="00764F24">
        <w:rPr>
          <w:rFonts w:cstheme="minorHAnsi"/>
          <w:szCs w:val="24"/>
          <w:lang w:val="en-GB"/>
        </w:rPr>
        <w:t xml:space="preserve">in order </w:t>
      </w:r>
      <w:r w:rsidR="00E641E8" w:rsidRPr="00764F24">
        <w:rPr>
          <w:rFonts w:cstheme="minorHAnsi"/>
          <w:szCs w:val="24"/>
          <w:lang w:val="en-GB"/>
        </w:rPr>
        <w:t>to achiev</w:t>
      </w:r>
      <w:r w:rsidR="00E3654C" w:rsidRPr="00764F24">
        <w:rPr>
          <w:rFonts w:cstheme="minorHAnsi"/>
          <w:szCs w:val="24"/>
          <w:lang w:val="en-GB"/>
        </w:rPr>
        <w:t>e</w:t>
      </w:r>
      <w:r w:rsidR="00E641E8" w:rsidRPr="00764F24">
        <w:rPr>
          <w:rFonts w:cstheme="minorHAnsi"/>
          <w:szCs w:val="24"/>
          <w:lang w:val="en-GB"/>
        </w:rPr>
        <w:t xml:space="preserve"> financial inclusion</w:t>
      </w:r>
      <w:r w:rsidR="00455BF6" w:rsidRPr="00764F24">
        <w:rPr>
          <w:rFonts w:cstheme="minorHAnsi"/>
          <w:szCs w:val="24"/>
          <w:lang w:val="en-GB"/>
        </w:rPr>
        <w:t xml:space="preserve"> as follows:</w:t>
      </w:r>
    </w:p>
    <w:p w14:paraId="6E9C0705" w14:textId="25C80857" w:rsidR="00E3654C" w:rsidRPr="00764F24" w:rsidRDefault="00E3654C" w:rsidP="00D86B69">
      <w:pPr>
        <w:pStyle w:val="ListParagraph"/>
        <w:numPr>
          <w:ilvl w:val="0"/>
          <w:numId w:val="9"/>
        </w:numPr>
        <w:spacing w:beforeAutospacing="1" w:after="100" w:afterAutospacing="1" w:line="360" w:lineRule="auto"/>
        <w:ind w:left="714" w:hanging="357"/>
        <w:rPr>
          <w:rFonts w:cstheme="minorHAnsi"/>
          <w:szCs w:val="24"/>
          <w:lang w:val="en-GB"/>
        </w:rPr>
      </w:pPr>
      <w:r w:rsidRPr="00764F24">
        <w:rPr>
          <w:rFonts w:cstheme="minorHAnsi"/>
          <w:szCs w:val="24"/>
          <w:lang w:val="en-GB"/>
        </w:rPr>
        <w:t>A</w:t>
      </w:r>
      <w:r w:rsidR="00E641E8" w:rsidRPr="00764F24">
        <w:rPr>
          <w:rFonts w:cstheme="minorHAnsi"/>
          <w:szCs w:val="24"/>
          <w:lang w:val="en-GB"/>
        </w:rPr>
        <w:t xml:space="preserve"> secure income which meets a minimum standard</w:t>
      </w:r>
      <w:r w:rsidR="00BF7FBA" w:rsidRPr="00764F24">
        <w:rPr>
          <w:rFonts w:cstheme="minorHAnsi"/>
          <w:szCs w:val="24"/>
          <w:lang w:val="en-GB"/>
        </w:rPr>
        <w:t xml:space="preserve">. </w:t>
      </w:r>
      <w:r w:rsidR="00E641E8" w:rsidRPr="00764F24">
        <w:rPr>
          <w:rFonts w:cstheme="minorHAnsi"/>
          <w:szCs w:val="24"/>
          <w:lang w:val="en-GB"/>
        </w:rPr>
        <w:t>The Minimum Income Standards Team</w:t>
      </w:r>
      <w:r w:rsidR="00E641E8" w:rsidRPr="00764F24">
        <w:rPr>
          <w:rStyle w:val="FootnoteReference"/>
          <w:rFonts w:cstheme="minorHAnsi"/>
          <w:szCs w:val="24"/>
          <w:lang w:val="en-GB"/>
        </w:rPr>
        <w:footnoteReference w:id="2"/>
      </w:r>
      <w:r w:rsidR="00E641E8" w:rsidRPr="00764F24">
        <w:rPr>
          <w:rFonts w:cstheme="minorHAnsi"/>
          <w:szCs w:val="24"/>
          <w:lang w:val="en-GB"/>
        </w:rPr>
        <w:t xml:space="preserve"> define a minimum income standard as covering ‘</w:t>
      </w:r>
      <w:r w:rsidR="00471FC3" w:rsidRPr="00764F24">
        <w:rPr>
          <w:rFonts w:cstheme="minorHAnsi"/>
          <w:i/>
          <w:szCs w:val="24"/>
          <w:lang w:val="en-GB"/>
        </w:rPr>
        <w:t xml:space="preserve">more than just </w:t>
      </w:r>
      <w:r w:rsidR="00E641E8" w:rsidRPr="00764F24">
        <w:rPr>
          <w:rFonts w:cstheme="minorHAnsi"/>
          <w:i/>
          <w:szCs w:val="24"/>
          <w:lang w:val="en-GB"/>
        </w:rPr>
        <w:t>food, clothes and shelter. It is about having what you need in order to have the opportunities and choices necessary to participate in society.’</w:t>
      </w:r>
      <w:r w:rsidR="008D2686" w:rsidRPr="00764F24">
        <w:rPr>
          <w:rFonts w:cstheme="minorHAnsi"/>
          <w:szCs w:val="24"/>
          <w:lang w:val="en-GB"/>
        </w:rPr>
        <w:t xml:space="preserve"> </w:t>
      </w:r>
    </w:p>
    <w:p w14:paraId="72C6470B" w14:textId="44C695C7" w:rsidR="00E3654C" w:rsidRPr="00764F24" w:rsidRDefault="00E3654C" w:rsidP="00D86B69">
      <w:pPr>
        <w:pStyle w:val="ListParagraph"/>
        <w:numPr>
          <w:ilvl w:val="0"/>
          <w:numId w:val="9"/>
        </w:numPr>
        <w:spacing w:beforeAutospacing="1" w:after="100" w:afterAutospacing="1" w:line="360" w:lineRule="auto"/>
        <w:ind w:left="714" w:hanging="357"/>
        <w:rPr>
          <w:rFonts w:cstheme="minorHAnsi"/>
          <w:szCs w:val="24"/>
          <w:lang w:val="en-GB"/>
        </w:rPr>
      </w:pPr>
      <w:r w:rsidRPr="00764F24">
        <w:rPr>
          <w:rFonts w:cstheme="minorHAnsi"/>
          <w:szCs w:val="24"/>
          <w:lang w:val="en-GB"/>
        </w:rPr>
        <w:t xml:space="preserve">Access to </w:t>
      </w:r>
      <w:r w:rsidR="00E641E8" w:rsidRPr="00764F24">
        <w:rPr>
          <w:rFonts w:cstheme="minorHAnsi"/>
          <w:i/>
          <w:szCs w:val="24"/>
          <w:lang w:val="en-GB"/>
        </w:rPr>
        <w:t>appropriate</w:t>
      </w:r>
      <w:r w:rsidR="00E641E8" w:rsidRPr="00764F24">
        <w:rPr>
          <w:rFonts w:cstheme="minorHAnsi"/>
          <w:szCs w:val="24"/>
          <w:lang w:val="en-GB"/>
        </w:rPr>
        <w:t xml:space="preserve"> and well-regulated financial services, particularly transactional bank accounts, savings accounts, affordable credit</w:t>
      </w:r>
      <w:r w:rsidRPr="00764F24">
        <w:rPr>
          <w:rFonts w:cstheme="minorHAnsi"/>
          <w:szCs w:val="24"/>
          <w:lang w:val="en-GB"/>
        </w:rPr>
        <w:t>, pensions</w:t>
      </w:r>
      <w:r w:rsidR="00E641E8" w:rsidRPr="00764F24">
        <w:rPr>
          <w:rFonts w:cstheme="minorHAnsi"/>
          <w:szCs w:val="24"/>
          <w:lang w:val="en-GB"/>
        </w:rPr>
        <w:t xml:space="preserve"> and insurance products</w:t>
      </w:r>
      <w:r w:rsidR="00BF7FBA" w:rsidRPr="00764F24">
        <w:rPr>
          <w:rFonts w:cstheme="minorHAnsi"/>
          <w:szCs w:val="24"/>
          <w:lang w:val="en-GB"/>
        </w:rPr>
        <w:t xml:space="preserve">. </w:t>
      </w:r>
    </w:p>
    <w:p w14:paraId="2B3DC81C" w14:textId="150C4E47" w:rsidR="007E64E2" w:rsidRPr="00764F24" w:rsidRDefault="00E3654C" w:rsidP="00D86B69">
      <w:pPr>
        <w:pStyle w:val="ListParagraph"/>
        <w:numPr>
          <w:ilvl w:val="0"/>
          <w:numId w:val="9"/>
        </w:numPr>
        <w:spacing w:beforeAutospacing="1" w:after="100" w:afterAutospacing="1" w:line="360" w:lineRule="auto"/>
        <w:ind w:left="714" w:hanging="357"/>
        <w:rPr>
          <w:rFonts w:cstheme="minorHAnsi"/>
          <w:szCs w:val="24"/>
          <w:lang w:val="en-GB"/>
        </w:rPr>
      </w:pPr>
      <w:r w:rsidRPr="00764F24">
        <w:rPr>
          <w:rFonts w:cstheme="minorHAnsi"/>
          <w:szCs w:val="24"/>
          <w:lang w:val="en-GB"/>
        </w:rPr>
        <w:lastRenderedPageBreak/>
        <w:t>A</w:t>
      </w:r>
      <w:r w:rsidR="00E641E8" w:rsidRPr="00764F24">
        <w:rPr>
          <w:rFonts w:cstheme="minorHAnsi"/>
          <w:szCs w:val="24"/>
          <w:lang w:val="en-GB"/>
        </w:rPr>
        <w:t>ccess to free and appropriate advice and education, particularly for those with debt problems</w:t>
      </w:r>
      <w:r w:rsidR="00BF7FBA" w:rsidRPr="00764F24">
        <w:rPr>
          <w:rFonts w:cstheme="minorHAnsi"/>
          <w:szCs w:val="24"/>
          <w:lang w:val="en-GB"/>
        </w:rPr>
        <w:t xml:space="preserve">. </w:t>
      </w:r>
    </w:p>
    <w:p w14:paraId="3CA451A1" w14:textId="15A765B8" w:rsidR="007E64E2" w:rsidRPr="00764F24" w:rsidRDefault="00496ADA" w:rsidP="00D86B69">
      <w:pPr>
        <w:spacing w:beforeAutospacing="1" w:after="100" w:afterAutospacing="1" w:line="360" w:lineRule="auto"/>
        <w:rPr>
          <w:rFonts w:cstheme="minorHAnsi"/>
          <w:szCs w:val="24"/>
          <w:lang w:val="en-GB"/>
        </w:rPr>
      </w:pPr>
      <w:r w:rsidRPr="00764F24">
        <w:rPr>
          <w:rFonts w:cstheme="minorHAnsi"/>
          <w:szCs w:val="24"/>
          <w:lang w:val="en-GB"/>
        </w:rPr>
        <w:t>Much of the official focus on financial inclusion surrounds the second of these – access to financial services and i</w:t>
      </w:r>
      <w:r w:rsidR="005176A8" w:rsidRPr="00764F24">
        <w:rPr>
          <w:rFonts w:cstheme="minorHAnsi"/>
          <w:szCs w:val="24"/>
          <w:lang w:val="en-GB"/>
        </w:rPr>
        <w:t xml:space="preserve">n </w:t>
      </w:r>
      <w:r w:rsidRPr="00764F24">
        <w:rPr>
          <w:rFonts w:cstheme="minorHAnsi"/>
          <w:szCs w:val="24"/>
          <w:lang w:val="en-GB"/>
        </w:rPr>
        <w:t xml:space="preserve">their </w:t>
      </w:r>
      <w:r w:rsidR="005176A8" w:rsidRPr="00764F24">
        <w:rPr>
          <w:rFonts w:cstheme="minorHAnsi"/>
          <w:i/>
          <w:szCs w:val="24"/>
          <w:lang w:val="en-GB"/>
        </w:rPr>
        <w:t>Financial Inclusion Report 2018/19</w:t>
      </w:r>
      <w:r w:rsidR="005176A8" w:rsidRPr="00764F24">
        <w:rPr>
          <w:rFonts w:cstheme="minorHAnsi"/>
          <w:szCs w:val="24"/>
          <w:lang w:val="en-GB"/>
        </w:rPr>
        <w:t xml:space="preserve">, HM Treasury and the Department for Work and Pensions stated that </w:t>
      </w:r>
      <w:r w:rsidR="005176A8" w:rsidRPr="00764F24">
        <w:rPr>
          <w:rFonts w:cstheme="minorHAnsi"/>
          <w:i/>
          <w:szCs w:val="24"/>
          <w:lang w:val="en-GB"/>
        </w:rPr>
        <w:t>‘‘Financial inclusion’ means that individuals, regardless of their background or income, have access to useful and affordable financial products and services.</w:t>
      </w:r>
      <w:r w:rsidR="005176A8" w:rsidRPr="00764F24">
        <w:rPr>
          <w:rFonts w:cstheme="minorHAnsi"/>
          <w:szCs w:val="24"/>
          <w:lang w:val="en-GB"/>
        </w:rPr>
        <w:t>’</w:t>
      </w:r>
      <w:r w:rsidR="008D2686" w:rsidRPr="00764F24">
        <w:rPr>
          <w:rFonts w:cstheme="minorHAnsi"/>
          <w:szCs w:val="24"/>
          <w:lang w:val="en-GB"/>
        </w:rPr>
        <w:t xml:space="preserve"> </w:t>
      </w:r>
      <w:r w:rsidRPr="00764F24">
        <w:rPr>
          <w:rFonts w:cstheme="minorHAnsi"/>
          <w:szCs w:val="24"/>
          <w:lang w:val="en-GB"/>
        </w:rPr>
        <w:t xml:space="preserve"> This begs the question of which products and services are ‘useful’ rather than ‘harmful’ and which are ‘affordable’ rather than ‘unaffordable’</w:t>
      </w:r>
      <w:r w:rsidR="00BF7FBA" w:rsidRPr="00764F24">
        <w:rPr>
          <w:rFonts w:cstheme="minorHAnsi"/>
          <w:szCs w:val="24"/>
          <w:lang w:val="en-GB"/>
        </w:rPr>
        <w:t xml:space="preserve">. </w:t>
      </w:r>
      <w:r w:rsidRPr="00764F24">
        <w:rPr>
          <w:rFonts w:cstheme="minorHAnsi"/>
          <w:szCs w:val="24"/>
          <w:lang w:val="en-GB"/>
        </w:rPr>
        <w:t xml:space="preserve">It also begs the question of barriers to access which </w:t>
      </w:r>
      <w:r w:rsidR="000C2D17" w:rsidRPr="00764F24">
        <w:rPr>
          <w:rFonts w:cstheme="minorHAnsi"/>
          <w:szCs w:val="24"/>
          <w:lang w:val="en-GB"/>
        </w:rPr>
        <w:t>the FCA in 2016</w:t>
      </w:r>
      <w:r w:rsidR="000C2D17" w:rsidRPr="00764F24">
        <w:rPr>
          <w:rStyle w:val="FootnoteReference"/>
          <w:rFonts w:cstheme="minorHAnsi"/>
          <w:szCs w:val="24"/>
          <w:lang w:val="en-GB"/>
        </w:rPr>
        <w:footnoteReference w:id="3"/>
      </w:r>
      <w:r w:rsidR="00B048A0" w:rsidRPr="00764F24">
        <w:rPr>
          <w:rFonts w:cstheme="minorHAnsi"/>
          <w:szCs w:val="24"/>
          <w:lang w:val="en-GB"/>
        </w:rPr>
        <w:t xml:space="preserve"> u</w:t>
      </w:r>
      <w:r w:rsidRPr="00764F24">
        <w:rPr>
          <w:rFonts w:cstheme="minorHAnsi"/>
          <w:szCs w:val="24"/>
          <w:lang w:val="en-GB"/>
        </w:rPr>
        <w:t>sed three metaphors to describe</w:t>
      </w:r>
      <w:r w:rsidR="00B048A0" w:rsidRPr="00764F24">
        <w:rPr>
          <w:rFonts w:cstheme="minorHAnsi"/>
          <w:szCs w:val="24"/>
          <w:lang w:val="en-GB"/>
        </w:rPr>
        <w:t>: the void - physical and digital barriers to access; the maze - complex bureaucratic procedures; and the fog - lack of transparent and simple information which hampered understanding</w:t>
      </w:r>
      <w:r w:rsidR="00BF7FBA" w:rsidRPr="00764F24">
        <w:rPr>
          <w:rFonts w:cstheme="minorHAnsi"/>
          <w:szCs w:val="24"/>
          <w:lang w:val="en-GB"/>
        </w:rPr>
        <w:t xml:space="preserve">. </w:t>
      </w:r>
    </w:p>
    <w:p w14:paraId="5018D753" w14:textId="564E30EA" w:rsidR="007E64E2" w:rsidRPr="00764F24" w:rsidRDefault="00F701D0" w:rsidP="00D86B69">
      <w:pPr>
        <w:spacing w:beforeAutospacing="1" w:after="100" w:afterAutospacing="1" w:line="360" w:lineRule="auto"/>
        <w:rPr>
          <w:rFonts w:cstheme="minorHAnsi"/>
          <w:szCs w:val="24"/>
          <w:lang w:val="en-GB"/>
        </w:rPr>
      </w:pPr>
      <w:r w:rsidRPr="00764F24">
        <w:rPr>
          <w:rFonts w:cstheme="minorHAnsi"/>
          <w:szCs w:val="24"/>
          <w:lang w:val="en-GB"/>
        </w:rPr>
        <w:t>Alongside</w:t>
      </w:r>
      <w:r w:rsidR="00B048A0" w:rsidRPr="00764F24">
        <w:rPr>
          <w:rFonts w:cstheme="minorHAnsi"/>
          <w:szCs w:val="24"/>
          <w:lang w:val="en-GB"/>
        </w:rPr>
        <w:t xml:space="preserve"> much</w:t>
      </w:r>
      <w:r w:rsidRPr="00764F24">
        <w:rPr>
          <w:rFonts w:cstheme="minorHAnsi"/>
          <w:szCs w:val="24"/>
          <w:lang w:val="en-GB"/>
        </w:rPr>
        <w:t xml:space="preserve"> empirical and policy-focused research on financial inclusion there is also </w:t>
      </w:r>
      <w:r w:rsidR="004C190C" w:rsidRPr="00764F24">
        <w:rPr>
          <w:rFonts w:cstheme="minorHAnsi"/>
          <w:szCs w:val="24"/>
          <w:lang w:val="en-GB"/>
        </w:rPr>
        <w:t xml:space="preserve">an increasingly lively debate, in academic circles, about the nature of financial inclusion and whether it serves as a progressive </w:t>
      </w:r>
      <w:r w:rsidR="004C190C" w:rsidRPr="00764F24">
        <w:rPr>
          <w:rFonts w:cstheme="minorHAnsi"/>
          <w:i/>
          <w:szCs w:val="24"/>
          <w:lang w:val="en-GB"/>
        </w:rPr>
        <w:t>response</w:t>
      </w:r>
      <w:r w:rsidR="004C190C" w:rsidRPr="00764F24">
        <w:rPr>
          <w:rFonts w:cstheme="minorHAnsi"/>
          <w:szCs w:val="24"/>
          <w:lang w:val="en-GB"/>
        </w:rPr>
        <w:t xml:space="preserve"> to financialisation or serves to </w:t>
      </w:r>
      <w:r w:rsidR="004C190C" w:rsidRPr="00764F24">
        <w:rPr>
          <w:rFonts w:cstheme="minorHAnsi"/>
          <w:i/>
          <w:szCs w:val="24"/>
          <w:lang w:val="en-GB"/>
        </w:rPr>
        <w:t>advance</w:t>
      </w:r>
      <w:r w:rsidR="004C190C" w:rsidRPr="00764F24">
        <w:rPr>
          <w:rFonts w:cstheme="minorHAnsi"/>
          <w:szCs w:val="24"/>
          <w:lang w:val="en-GB"/>
        </w:rPr>
        <w:t xml:space="preserve"> </w:t>
      </w:r>
      <w:r w:rsidR="007E32DA" w:rsidRPr="00764F24">
        <w:rPr>
          <w:rFonts w:cstheme="minorHAnsi"/>
          <w:szCs w:val="24"/>
          <w:lang w:val="en-GB"/>
        </w:rPr>
        <w:t>the process of financialisation</w:t>
      </w:r>
      <w:r w:rsidR="004C190C" w:rsidRPr="00764F24">
        <w:rPr>
          <w:rStyle w:val="FootnoteReference"/>
          <w:rFonts w:cstheme="minorHAnsi"/>
          <w:szCs w:val="24"/>
          <w:lang w:val="en-GB"/>
        </w:rPr>
        <w:footnoteReference w:id="4"/>
      </w:r>
      <w:r w:rsidR="00BF7FBA" w:rsidRPr="00764F24">
        <w:rPr>
          <w:rFonts w:cstheme="minorHAnsi"/>
          <w:szCs w:val="24"/>
          <w:lang w:val="en-GB"/>
        </w:rPr>
        <w:t xml:space="preserve">. </w:t>
      </w:r>
      <w:r w:rsidR="004C190C" w:rsidRPr="00764F24">
        <w:rPr>
          <w:rFonts w:cstheme="minorHAnsi"/>
          <w:szCs w:val="24"/>
          <w:lang w:val="en-GB"/>
        </w:rPr>
        <w:t>In these debates, financialisation is seen as the increasing role and power of the financial sector in both the economy in general and peopl</w:t>
      </w:r>
      <w:r w:rsidR="007E32DA" w:rsidRPr="00764F24">
        <w:rPr>
          <w:rFonts w:cstheme="minorHAnsi"/>
          <w:szCs w:val="24"/>
          <w:lang w:val="en-GB"/>
        </w:rPr>
        <w:t>e’s lives in particular</w:t>
      </w:r>
      <w:r w:rsidR="00BF7FBA" w:rsidRPr="00764F24">
        <w:rPr>
          <w:rFonts w:cstheme="minorHAnsi"/>
          <w:szCs w:val="24"/>
          <w:lang w:val="en-GB"/>
        </w:rPr>
        <w:t xml:space="preserve">. </w:t>
      </w:r>
      <w:r w:rsidR="007E32DA" w:rsidRPr="00764F24">
        <w:rPr>
          <w:rFonts w:cstheme="minorHAnsi"/>
          <w:szCs w:val="24"/>
          <w:lang w:val="en-GB"/>
        </w:rPr>
        <w:t>Financialisation</w:t>
      </w:r>
      <w:r w:rsidR="004C190C" w:rsidRPr="00764F24">
        <w:rPr>
          <w:rFonts w:cstheme="minorHAnsi"/>
          <w:szCs w:val="24"/>
          <w:lang w:val="en-GB"/>
        </w:rPr>
        <w:t xml:space="preserve"> is</w:t>
      </w:r>
      <w:r w:rsidR="007E32DA" w:rsidRPr="00764F24">
        <w:rPr>
          <w:rFonts w:cstheme="minorHAnsi"/>
          <w:szCs w:val="24"/>
          <w:lang w:val="en-GB"/>
        </w:rPr>
        <w:t xml:space="preserve"> also</w:t>
      </w:r>
      <w:r w:rsidR="004C190C" w:rsidRPr="00764F24">
        <w:rPr>
          <w:rFonts w:cstheme="minorHAnsi"/>
          <w:szCs w:val="24"/>
          <w:lang w:val="en-GB"/>
        </w:rPr>
        <w:t xml:space="preserve"> generally seen as part of the shift in responsibility from the (welfare) state to the individual.</w:t>
      </w:r>
    </w:p>
    <w:p w14:paraId="59E6D9C0" w14:textId="61487502" w:rsidR="007E64E2" w:rsidRPr="00764F24" w:rsidRDefault="00496ADA" w:rsidP="00D86B69">
      <w:pPr>
        <w:spacing w:beforeAutospacing="1" w:after="100" w:afterAutospacing="1" w:line="360" w:lineRule="auto"/>
        <w:rPr>
          <w:rFonts w:cstheme="minorHAnsi"/>
          <w:szCs w:val="24"/>
          <w:lang w:val="en-GB"/>
        </w:rPr>
      </w:pPr>
      <w:r w:rsidRPr="00764F24">
        <w:rPr>
          <w:rFonts w:cstheme="minorHAnsi"/>
          <w:szCs w:val="24"/>
          <w:lang w:val="en-GB"/>
        </w:rPr>
        <w:t xml:space="preserve">We </w:t>
      </w:r>
      <w:r w:rsidR="00E641E8" w:rsidRPr="00764F24">
        <w:rPr>
          <w:rFonts w:cstheme="minorHAnsi"/>
          <w:szCs w:val="24"/>
          <w:lang w:val="en-GB"/>
        </w:rPr>
        <w:t>briefly review the policy context to financial inclusion</w:t>
      </w:r>
      <w:r w:rsidRPr="00764F24">
        <w:rPr>
          <w:rFonts w:cstheme="minorHAnsi"/>
          <w:szCs w:val="24"/>
          <w:lang w:val="en-GB"/>
        </w:rPr>
        <w:t xml:space="preserve"> in this chapter</w:t>
      </w:r>
      <w:r w:rsidR="00BF7FBA" w:rsidRPr="00764F24">
        <w:rPr>
          <w:rFonts w:cstheme="minorHAnsi"/>
          <w:szCs w:val="24"/>
          <w:lang w:val="en-GB"/>
        </w:rPr>
        <w:t xml:space="preserve">. </w:t>
      </w:r>
      <w:r w:rsidR="00E641E8" w:rsidRPr="00764F24">
        <w:rPr>
          <w:rFonts w:cstheme="minorHAnsi"/>
          <w:szCs w:val="24"/>
          <w:lang w:val="en-GB"/>
        </w:rPr>
        <w:t xml:space="preserve">The remainder of the report presents data on a range of indicators from a number of sources (see </w:t>
      </w:r>
      <w:r w:rsidR="00B22989" w:rsidRPr="00764F24">
        <w:rPr>
          <w:rFonts w:cstheme="minorHAnsi"/>
          <w:szCs w:val="24"/>
          <w:lang w:val="en-GB"/>
        </w:rPr>
        <w:t xml:space="preserve">the </w:t>
      </w:r>
      <w:r w:rsidR="00E641E8" w:rsidRPr="00764F24">
        <w:rPr>
          <w:rFonts w:cstheme="minorHAnsi"/>
          <w:szCs w:val="24"/>
          <w:lang w:val="en-GB"/>
        </w:rPr>
        <w:t>Appendix for further details)</w:t>
      </w:r>
      <w:r w:rsidR="00BF7FBA" w:rsidRPr="00764F24">
        <w:rPr>
          <w:rFonts w:cstheme="minorHAnsi"/>
          <w:szCs w:val="24"/>
          <w:lang w:val="en-GB"/>
        </w:rPr>
        <w:t xml:space="preserve">. </w:t>
      </w:r>
      <w:r w:rsidR="00E641E8" w:rsidRPr="00764F24">
        <w:rPr>
          <w:rFonts w:cstheme="minorHAnsi"/>
          <w:szCs w:val="24"/>
          <w:lang w:val="en-GB"/>
        </w:rPr>
        <w:t>The choice of indicators relates to Kempson and Collard’s framework and the three key components to achieving financial inclusion outlined above</w:t>
      </w:r>
      <w:r w:rsidR="00BF7FBA" w:rsidRPr="00764F24">
        <w:rPr>
          <w:rFonts w:cstheme="minorHAnsi"/>
          <w:szCs w:val="24"/>
          <w:lang w:val="en-GB"/>
        </w:rPr>
        <w:t xml:space="preserve">. </w:t>
      </w:r>
      <w:r w:rsidR="00E641E8" w:rsidRPr="00764F24">
        <w:rPr>
          <w:rFonts w:cstheme="minorHAnsi"/>
          <w:szCs w:val="24"/>
          <w:lang w:val="en-GB"/>
        </w:rPr>
        <w:t>Where possible, we have shown data from previous years to consider trends in these indicators</w:t>
      </w:r>
      <w:r w:rsidR="00BF7FBA" w:rsidRPr="00764F24">
        <w:rPr>
          <w:rFonts w:cstheme="minorHAnsi"/>
          <w:szCs w:val="24"/>
          <w:lang w:val="en-GB"/>
        </w:rPr>
        <w:t xml:space="preserve">. </w:t>
      </w:r>
    </w:p>
    <w:p w14:paraId="52D9E7CE" w14:textId="77777777" w:rsidR="00B9482B" w:rsidRDefault="00B9482B">
      <w:pPr>
        <w:rPr>
          <w:rFonts w:cstheme="minorHAnsi"/>
          <w:caps/>
          <w:spacing w:val="15"/>
          <w:szCs w:val="24"/>
          <w:lang w:val="en-GB"/>
        </w:rPr>
      </w:pPr>
      <w:bookmarkStart w:id="28" w:name="_Toc51250056"/>
      <w:r>
        <w:rPr>
          <w:rFonts w:cstheme="minorHAnsi"/>
          <w:szCs w:val="24"/>
          <w:lang w:val="en-GB"/>
        </w:rPr>
        <w:br w:type="page"/>
      </w:r>
    </w:p>
    <w:p w14:paraId="37288CA3" w14:textId="539694DE" w:rsidR="008F3BBB" w:rsidRPr="00764F24" w:rsidRDefault="00794E7F" w:rsidP="00D86B69">
      <w:pPr>
        <w:pStyle w:val="Heading2"/>
        <w:spacing w:beforeAutospacing="1" w:after="100" w:afterAutospacing="1" w:line="360" w:lineRule="auto"/>
        <w:rPr>
          <w:rFonts w:cstheme="minorHAnsi"/>
          <w:szCs w:val="24"/>
          <w:lang w:val="en-GB"/>
        </w:rPr>
      </w:pPr>
      <w:bookmarkStart w:id="29" w:name="_Toc54600798"/>
      <w:r w:rsidRPr="00764F24">
        <w:rPr>
          <w:rFonts w:cstheme="minorHAnsi"/>
          <w:szCs w:val="24"/>
          <w:lang w:val="en-GB"/>
        </w:rPr>
        <w:lastRenderedPageBreak/>
        <w:t>The policy context</w:t>
      </w:r>
      <w:bookmarkEnd w:id="28"/>
      <w:bookmarkEnd w:id="29"/>
    </w:p>
    <w:p w14:paraId="31F6C607" w14:textId="10059E01" w:rsidR="00577333" w:rsidRPr="00764F24" w:rsidRDefault="00577333" w:rsidP="00D86B69">
      <w:pPr>
        <w:spacing w:beforeAutospacing="1" w:after="100" w:afterAutospacing="1" w:line="360" w:lineRule="auto"/>
        <w:rPr>
          <w:rFonts w:cstheme="minorHAnsi"/>
          <w:szCs w:val="24"/>
          <w:lang w:val="en-GB"/>
        </w:rPr>
      </w:pPr>
      <w:r w:rsidRPr="00764F24">
        <w:rPr>
          <w:rFonts w:cstheme="minorHAnsi"/>
          <w:szCs w:val="24"/>
          <w:lang w:val="en-GB"/>
        </w:rPr>
        <w:t>Fin</w:t>
      </w:r>
      <w:r w:rsidR="003D5236" w:rsidRPr="00764F24">
        <w:rPr>
          <w:rFonts w:cstheme="minorHAnsi"/>
          <w:szCs w:val="24"/>
          <w:lang w:val="en-GB"/>
        </w:rPr>
        <w:t>ancial inclusion first emerged o</w:t>
      </w:r>
      <w:r w:rsidRPr="00764F24">
        <w:rPr>
          <w:rFonts w:cstheme="minorHAnsi"/>
          <w:szCs w:val="24"/>
          <w:lang w:val="en-GB"/>
        </w:rPr>
        <w:t xml:space="preserve">n </w:t>
      </w:r>
      <w:r w:rsidR="003D5236" w:rsidRPr="00764F24">
        <w:rPr>
          <w:rFonts w:cstheme="minorHAnsi"/>
          <w:szCs w:val="24"/>
          <w:lang w:val="en-GB"/>
        </w:rPr>
        <w:t xml:space="preserve">the </w:t>
      </w:r>
      <w:r w:rsidRPr="00764F24">
        <w:rPr>
          <w:rFonts w:cstheme="minorHAnsi"/>
          <w:szCs w:val="24"/>
          <w:lang w:val="en-GB"/>
        </w:rPr>
        <w:t xml:space="preserve">policy </w:t>
      </w:r>
      <w:r w:rsidR="003D5236" w:rsidRPr="00764F24">
        <w:rPr>
          <w:rFonts w:cstheme="minorHAnsi"/>
          <w:szCs w:val="24"/>
          <w:lang w:val="en-GB"/>
        </w:rPr>
        <w:t>scene</w:t>
      </w:r>
      <w:r w:rsidRPr="00764F24">
        <w:rPr>
          <w:rFonts w:cstheme="minorHAnsi"/>
          <w:szCs w:val="24"/>
          <w:lang w:val="en-GB"/>
        </w:rPr>
        <w:t xml:space="preserve"> </w:t>
      </w:r>
      <w:r w:rsidR="00496ADA" w:rsidRPr="00764F24">
        <w:rPr>
          <w:rFonts w:cstheme="minorHAnsi"/>
          <w:szCs w:val="24"/>
          <w:lang w:val="en-GB"/>
        </w:rPr>
        <w:t xml:space="preserve">in the UK </w:t>
      </w:r>
      <w:r w:rsidRPr="00764F24">
        <w:rPr>
          <w:rFonts w:cstheme="minorHAnsi"/>
          <w:szCs w:val="24"/>
          <w:lang w:val="en-GB"/>
        </w:rPr>
        <w:t>under the New Labour government from 1997 onwards</w:t>
      </w:r>
      <w:r w:rsidR="00BF7FBA" w:rsidRPr="00764F24">
        <w:rPr>
          <w:rFonts w:cstheme="minorHAnsi"/>
          <w:szCs w:val="24"/>
          <w:lang w:val="en-GB"/>
        </w:rPr>
        <w:t xml:space="preserve">. </w:t>
      </w:r>
      <w:r w:rsidRPr="00764F24">
        <w:rPr>
          <w:rFonts w:cstheme="minorHAnsi"/>
          <w:szCs w:val="24"/>
          <w:lang w:val="en-GB"/>
        </w:rPr>
        <w:t>Key policy milestones</w:t>
      </w:r>
      <w:r w:rsidR="007E32DA" w:rsidRPr="00764F24">
        <w:rPr>
          <w:rFonts w:cstheme="minorHAnsi"/>
          <w:szCs w:val="24"/>
          <w:lang w:val="en-GB"/>
        </w:rPr>
        <w:t xml:space="preserve"> under New Labour</w:t>
      </w:r>
      <w:r w:rsidRPr="00764F24">
        <w:rPr>
          <w:rFonts w:cstheme="minorHAnsi"/>
          <w:szCs w:val="24"/>
          <w:lang w:val="en-GB"/>
        </w:rPr>
        <w:t xml:space="preserve"> include</w:t>
      </w:r>
      <w:r w:rsidR="007E32DA" w:rsidRPr="00764F24">
        <w:rPr>
          <w:rFonts w:cstheme="minorHAnsi"/>
          <w:szCs w:val="24"/>
          <w:lang w:val="en-GB"/>
        </w:rPr>
        <w:t>d</w:t>
      </w:r>
      <w:r w:rsidRPr="00764F24">
        <w:rPr>
          <w:rFonts w:cstheme="minorHAnsi"/>
          <w:szCs w:val="24"/>
          <w:lang w:val="en-GB"/>
        </w:rPr>
        <w:t>:</w:t>
      </w:r>
    </w:p>
    <w:p w14:paraId="6317C279" w14:textId="1A5E3555" w:rsidR="00577333" w:rsidRPr="00764F24" w:rsidRDefault="00577333" w:rsidP="00D86B69">
      <w:pPr>
        <w:pStyle w:val="ListParagraph"/>
        <w:numPr>
          <w:ilvl w:val="0"/>
          <w:numId w:val="3"/>
        </w:numPr>
        <w:spacing w:beforeAutospacing="1" w:after="100" w:afterAutospacing="1" w:line="360" w:lineRule="auto"/>
        <w:ind w:left="714" w:hanging="357"/>
        <w:rPr>
          <w:rFonts w:cstheme="minorHAnsi"/>
          <w:szCs w:val="24"/>
          <w:lang w:val="en-GB"/>
        </w:rPr>
      </w:pPr>
      <w:r w:rsidRPr="00764F24">
        <w:rPr>
          <w:rFonts w:cstheme="minorHAnsi"/>
          <w:szCs w:val="24"/>
          <w:lang w:val="en-GB"/>
        </w:rPr>
        <w:t>1999</w:t>
      </w:r>
      <w:r w:rsidR="00A861EF">
        <w:rPr>
          <w:rFonts w:cstheme="minorHAnsi"/>
          <w:szCs w:val="24"/>
          <w:lang w:val="en-GB"/>
        </w:rPr>
        <w:t xml:space="preserve">: </w:t>
      </w:r>
      <w:r w:rsidRPr="00764F24">
        <w:rPr>
          <w:rFonts w:cstheme="minorHAnsi"/>
          <w:szCs w:val="24"/>
          <w:lang w:val="en-GB"/>
        </w:rPr>
        <w:t>the Social Exclusion Unit set up Policy Action Team 14 to look at financial exclusion</w:t>
      </w:r>
      <w:r w:rsidR="00BF7FBA" w:rsidRPr="00764F24">
        <w:rPr>
          <w:rFonts w:cstheme="minorHAnsi"/>
          <w:szCs w:val="24"/>
          <w:lang w:val="en-GB"/>
        </w:rPr>
        <w:t xml:space="preserve">. </w:t>
      </w:r>
    </w:p>
    <w:p w14:paraId="218C842F" w14:textId="605255C5" w:rsidR="00577333" w:rsidRPr="00764F24" w:rsidRDefault="00577333" w:rsidP="00D86B69">
      <w:pPr>
        <w:pStyle w:val="ListParagraph"/>
        <w:numPr>
          <w:ilvl w:val="0"/>
          <w:numId w:val="3"/>
        </w:numPr>
        <w:spacing w:beforeAutospacing="1" w:after="100" w:afterAutospacing="1" w:line="360" w:lineRule="auto"/>
        <w:ind w:left="714" w:hanging="357"/>
        <w:rPr>
          <w:rFonts w:cstheme="minorHAnsi"/>
          <w:szCs w:val="24"/>
          <w:lang w:val="en-GB"/>
        </w:rPr>
      </w:pPr>
      <w:r w:rsidRPr="00764F24">
        <w:rPr>
          <w:rFonts w:cstheme="minorHAnsi"/>
          <w:szCs w:val="24"/>
          <w:lang w:val="en-GB"/>
        </w:rPr>
        <w:t>2003</w:t>
      </w:r>
      <w:r w:rsidR="00A861EF">
        <w:rPr>
          <w:rFonts w:cstheme="minorHAnsi"/>
          <w:szCs w:val="24"/>
          <w:lang w:val="en-GB"/>
        </w:rPr>
        <w:t xml:space="preserve">: </w:t>
      </w:r>
      <w:r w:rsidRPr="00764F24">
        <w:rPr>
          <w:rFonts w:cstheme="minorHAnsi"/>
          <w:szCs w:val="24"/>
          <w:lang w:val="en-GB"/>
        </w:rPr>
        <w:t>Basic Bank Accounts were introduced</w:t>
      </w:r>
      <w:r w:rsidR="008E7177" w:rsidRPr="00764F24">
        <w:rPr>
          <w:rFonts w:cstheme="minorHAnsi"/>
          <w:szCs w:val="24"/>
          <w:lang w:val="en-GB"/>
        </w:rPr>
        <w:t>.</w:t>
      </w:r>
    </w:p>
    <w:p w14:paraId="26B7CBF4" w14:textId="01544332" w:rsidR="00577333" w:rsidRPr="00764F24" w:rsidRDefault="00577333" w:rsidP="00D86B69">
      <w:pPr>
        <w:pStyle w:val="ListParagraph"/>
        <w:numPr>
          <w:ilvl w:val="0"/>
          <w:numId w:val="3"/>
        </w:numPr>
        <w:spacing w:beforeAutospacing="1" w:after="100" w:afterAutospacing="1" w:line="360" w:lineRule="auto"/>
        <w:ind w:left="714" w:hanging="357"/>
        <w:rPr>
          <w:rFonts w:cstheme="minorHAnsi"/>
          <w:szCs w:val="24"/>
          <w:lang w:val="en-GB"/>
        </w:rPr>
      </w:pPr>
      <w:r w:rsidRPr="00764F24">
        <w:rPr>
          <w:rFonts w:cstheme="minorHAnsi"/>
          <w:szCs w:val="24"/>
          <w:lang w:val="en-GB"/>
        </w:rPr>
        <w:t>2004</w:t>
      </w:r>
      <w:r w:rsidR="00A861EF">
        <w:rPr>
          <w:rFonts w:cstheme="minorHAnsi"/>
          <w:szCs w:val="24"/>
          <w:lang w:val="en-GB"/>
        </w:rPr>
        <w:t xml:space="preserve">: </w:t>
      </w:r>
      <w:r w:rsidRPr="00764F24">
        <w:rPr>
          <w:rFonts w:cstheme="minorHAnsi"/>
          <w:szCs w:val="24"/>
          <w:lang w:val="en-GB"/>
        </w:rPr>
        <w:t>HM Treasury published ‘</w:t>
      </w:r>
      <w:r w:rsidRPr="00764F24">
        <w:rPr>
          <w:rFonts w:cstheme="minorHAnsi"/>
          <w:i/>
          <w:szCs w:val="24"/>
          <w:lang w:val="en-GB"/>
        </w:rPr>
        <w:t>Promoting Financial Inclusion’</w:t>
      </w:r>
      <w:r w:rsidR="008E7177" w:rsidRPr="00764F24">
        <w:rPr>
          <w:rFonts w:cstheme="minorHAnsi"/>
          <w:szCs w:val="24"/>
          <w:lang w:val="en-GB"/>
        </w:rPr>
        <w:t>.</w:t>
      </w:r>
    </w:p>
    <w:p w14:paraId="19CDF853" w14:textId="07B856C6" w:rsidR="007E64E2" w:rsidRPr="00764F24" w:rsidRDefault="00577333" w:rsidP="00D86B69">
      <w:pPr>
        <w:pStyle w:val="ListParagraph"/>
        <w:numPr>
          <w:ilvl w:val="0"/>
          <w:numId w:val="3"/>
        </w:numPr>
        <w:spacing w:beforeAutospacing="1" w:after="100" w:afterAutospacing="1" w:line="360" w:lineRule="auto"/>
        <w:ind w:left="714" w:hanging="357"/>
        <w:rPr>
          <w:rFonts w:cstheme="minorHAnsi"/>
          <w:szCs w:val="24"/>
          <w:lang w:val="en-GB"/>
        </w:rPr>
      </w:pPr>
      <w:r w:rsidRPr="00764F24">
        <w:rPr>
          <w:rFonts w:cstheme="minorHAnsi"/>
          <w:szCs w:val="24"/>
          <w:lang w:val="en-GB"/>
        </w:rPr>
        <w:t>2005</w:t>
      </w:r>
      <w:r w:rsidR="00A861EF">
        <w:rPr>
          <w:rFonts w:cstheme="minorHAnsi"/>
          <w:szCs w:val="24"/>
          <w:lang w:val="en-GB"/>
        </w:rPr>
        <w:t xml:space="preserve">: </w:t>
      </w:r>
      <w:r w:rsidRPr="00764F24">
        <w:rPr>
          <w:rFonts w:cstheme="minorHAnsi"/>
          <w:szCs w:val="24"/>
          <w:lang w:val="en-GB"/>
        </w:rPr>
        <w:t>the Financial Inclusion Taskforce was established</w:t>
      </w:r>
      <w:r w:rsidR="008E7177" w:rsidRPr="00764F24">
        <w:rPr>
          <w:rFonts w:cstheme="minorHAnsi"/>
          <w:szCs w:val="24"/>
          <w:lang w:val="en-GB"/>
        </w:rPr>
        <w:t>.</w:t>
      </w:r>
    </w:p>
    <w:p w14:paraId="092302D8" w14:textId="77777777" w:rsidR="007E64E2" w:rsidRPr="00764F24" w:rsidRDefault="009259CC" w:rsidP="00D86B69">
      <w:pPr>
        <w:spacing w:beforeAutospacing="1" w:after="100" w:afterAutospacing="1" w:line="360" w:lineRule="auto"/>
        <w:rPr>
          <w:rFonts w:cstheme="minorHAnsi"/>
          <w:szCs w:val="24"/>
          <w:lang w:val="en-GB"/>
        </w:rPr>
      </w:pPr>
      <w:r w:rsidRPr="00764F24">
        <w:rPr>
          <w:rFonts w:cstheme="minorHAnsi"/>
          <w:szCs w:val="24"/>
          <w:lang w:val="en-GB"/>
        </w:rPr>
        <w:t xml:space="preserve">The Financial Inclusion Taskforce </w:t>
      </w:r>
      <w:r w:rsidR="00E641E8" w:rsidRPr="00764F24">
        <w:rPr>
          <w:rFonts w:cstheme="minorHAnsi"/>
          <w:szCs w:val="24"/>
          <w:lang w:val="en-GB"/>
        </w:rPr>
        <w:t>was s</w:t>
      </w:r>
      <w:r w:rsidR="00577333" w:rsidRPr="00764F24">
        <w:rPr>
          <w:rFonts w:cstheme="minorHAnsi"/>
          <w:szCs w:val="24"/>
          <w:lang w:val="en-GB"/>
        </w:rPr>
        <w:t xml:space="preserve">et up </w:t>
      </w:r>
      <w:r w:rsidR="008C0CFA" w:rsidRPr="00764F24">
        <w:rPr>
          <w:rFonts w:cstheme="minorHAnsi"/>
          <w:szCs w:val="24"/>
          <w:lang w:val="en-GB"/>
        </w:rPr>
        <w:t>to advise HM Treasury</w:t>
      </w:r>
      <w:r w:rsidRPr="00764F24">
        <w:rPr>
          <w:rFonts w:cstheme="minorHAnsi"/>
          <w:szCs w:val="24"/>
          <w:lang w:val="en-GB"/>
        </w:rPr>
        <w:t xml:space="preserve"> </w:t>
      </w:r>
      <w:r w:rsidR="00E641E8" w:rsidRPr="00764F24">
        <w:rPr>
          <w:rFonts w:cstheme="minorHAnsi"/>
          <w:szCs w:val="24"/>
          <w:lang w:val="en-GB"/>
        </w:rPr>
        <w:t xml:space="preserve">with a mission </w:t>
      </w:r>
      <w:r w:rsidR="00577333" w:rsidRPr="00764F24">
        <w:rPr>
          <w:rFonts w:cstheme="minorHAnsi"/>
          <w:szCs w:val="24"/>
          <w:lang w:val="en-GB"/>
        </w:rPr>
        <w:t>to:</w:t>
      </w:r>
      <w:r w:rsidR="007E32DA" w:rsidRPr="00764F24">
        <w:rPr>
          <w:rFonts w:cstheme="minorHAnsi"/>
          <w:szCs w:val="24"/>
          <w:lang w:val="en-GB"/>
        </w:rPr>
        <w:t xml:space="preserve"> i</w:t>
      </w:r>
      <w:r w:rsidRPr="00764F24">
        <w:rPr>
          <w:rFonts w:cstheme="minorHAnsi"/>
          <w:szCs w:val="24"/>
          <w:lang w:val="en-GB"/>
        </w:rPr>
        <w:t>ncrease access to banking</w:t>
      </w:r>
      <w:r w:rsidR="007E32DA" w:rsidRPr="00764F24">
        <w:rPr>
          <w:rFonts w:cstheme="minorHAnsi"/>
          <w:szCs w:val="24"/>
          <w:lang w:val="en-GB"/>
        </w:rPr>
        <w:t>; i</w:t>
      </w:r>
      <w:r w:rsidRPr="00764F24">
        <w:rPr>
          <w:rFonts w:cstheme="minorHAnsi"/>
          <w:szCs w:val="24"/>
          <w:lang w:val="en-GB"/>
        </w:rPr>
        <w:t>mprove access to affordable credit, savings and insurance</w:t>
      </w:r>
      <w:r w:rsidR="007E32DA" w:rsidRPr="00764F24">
        <w:rPr>
          <w:rFonts w:cstheme="minorHAnsi"/>
          <w:szCs w:val="24"/>
          <w:lang w:val="en-GB"/>
        </w:rPr>
        <w:t>; and i</w:t>
      </w:r>
      <w:r w:rsidRPr="00764F24">
        <w:rPr>
          <w:rFonts w:cstheme="minorHAnsi"/>
          <w:szCs w:val="24"/>
          <w:lang w:val="en-GB"/>
        </w:rPr>
        <w:t>mprove access to appropriate money advice</w:t>
      </w:r>
      <w:r w:rsidR="007E32DA" w:rsidRPr="00764F24">
        <w:rPr>
          <w:rStyle w:val="FootnoteReference"/>
          <w:rFonts w:cstheme="minorHAnsi"/>
          <w:szCs w:val="24"/>
          <w:lang w:val="en-GB"/>
        </w:rPr>
        <w:footnoteReference w:id="5"/>
      </w:r>
      <w:r w:rsidR="007E32DA" w:rsidRPr="00764F24">
        <w:rPr>
          <w:rFonts w:cstheme="minorHAnsi"/>
          <w:szCs w:val="24"/>
          <w:lang w:val="en-GB"/>
        </w:rPr>
        <w:t xml:space="preserve"> </w:t>
      </w:r>
    </w:p>
    <w:p w14:paraId="30431B1C" w14:textId="13147BA4" w:rsidR="007E64E2" w:rsidRPr="00764F24" w:rsidRDefault="002561B1" w:rsidP="00D86B69">
      <w:pPr>
        <w:spacing w:beforeAutospacing="1" w:after="100" w:afterAutospacing="1" w:line="360" w:lineRule="auto"/>
        <w:rPr>
          <w:rFonts w:cstheme="minorHAnsi"/>
          <w:szCs w:val="24"/>
          <w:lang w:val="en-GB"/>
        </w:rPr>
      </w:pPr>
      <w:r w:rsidRPr="00764F24">
        <w:rPr>
          <w:rFonts w:cstheme="minorHAnsi"/>
          <w:szCs w:val="24"/>
          <w:lang w:val="en-GB"/>
        </w:rPr>
        <w:t xml:space="preserve">The </w:t>
      </w:r>
      <w:r w:rsidR="00794E7F" w:rsidRPr="00764F24">
        <w:rPr>
          <w:rFonts w:cstheme="minorHAnsi"/>
          <w:szCs w:val="24"/>
          <w:lang w:val="en-GB"/>
        </w:rPr>
        <w:t xml:space="preserve">Coalition </w:t>
      </w:r>
      <w:r w:rsidR="00057924" w:rsidRPr="00764F24">
        <w:rPr>
          <w:rFonts w:cstheme="minorHAnsi"/>
          <w:szCs w:val="24"/>
          <w:lang w:val="en-GB"/>
        </w:rPr>
        <w:t>G</w:t>
      </w:r>
      <w:r w:rsidR="00794E7F" w:rsidRPr="00764F24">
        <w:rPr>
          <w:rFonts w:cstheme="minorHAnsi"/>
          <w:szCs w:val="24"/>
          <w:lang w:val="en-GB"/>
        </w:rPr>
        <w:t xml:space="preserve">overnment </w:t>
      </w:r>
      <w:r w:rsidR="00F93984" w:rsidRPr="00764F24">
        <w:rPr>
          <w:rFonts w:cstheme="minorHAnsi"/>
          <w:szCs w:val="24"/>
          <w:lang w:val="en-GB"/>
        </w:rPr>
        <w:t xml:space="preserve">(2010-2015) </w:t>
      </w:r>
      <w:r w:rsidR="00794E7F" w:rsidRPr="00764F24">
        <w:rPr>
          <w:rFonts w:cstheme="minorHAnsi"/>
          <w:szCs w:val="24"/>
          <w:lang w:val="en-GB"/>
        </w:rPr>
        <w:t>retain</w:t>
      </w:r>
      <w:r w:rsidR="007E32DA" w:rsidRPr="00764F24">
        <w:rPr>
          <w:rFonts w:cstheme="minorHAnsi"/>
          <w:szCs w:val="24"/>
          <w:lang w:val="en-GB"/>
        </w:rPr>
        <w:t>ed</w:t>
      </w:r>
      <w:r w:rsidR="00794E7F" w:rsidRPr="00764F24">
        <w:rPr>
          <w:rFonts w:cstheme="minorHAnsi"/>
          <w:szCs w:val="24"/>
          <w:lang w:val="en-GB"/>
        </w:rPr>
        <w:t xml:space="preserve"> an interest </w:t>
      </w:r>
      <w:r w:rsidR="003D5236" w:rsidRPr="00764F24">
        <w:rPr>
          <w:rFonts w:cstheme="minorHAnsi"/>
          <w:szCs w:val="24"/>
          <w:lang w:val="en-GB"/>
        </w:rPr>
        <w:t xml:space="preserve">in this issue </w:t>
      </w:r>
      <w:r w:rsidR="00794E7F" w:rsidRPr="00764F24">
        <w:rPr>
          <w:rFonts w:cstheme="minorHAnsi"/>
          <w:szCs w:val="24"/>
          <w:lang w:val="en-GB"/>
        </w:rPr>
        <w:t>but ha</w:t>
      </w:r>
      <w:r w:rsidR="007E32DA" w:rsidRPr="00764F24">
        <w:rPr>
          <w:rFonts w:cstheme="minorHAnsi"/>
          <w:szCs w:val="24"/>
          <w:lang w:val="en-GB"/>
        </w:rPr>
        <w:t>d</w:t>
      </w:r>
      <w:r w:rsidR="00794E7F" w:rsidRPr="00764F24">
        <w:rPr>
          <w:rFonts w:cstheme="minorHAnsi"/>
          <w:szCs w:val="24"/>
          <w:lang w:val="en-GB"/>
        </w:rPr>
        <w:t xml:space="preserve"> no overall strategy</w:t>
      </w:r>
      <w:r w:rsidR="00E3654C" w:rsidRPr="00764F24">
        <w:rPr>
          <w:rStyle w:val="FootnoteReference"/>
          <w:rFonts w:cstheme="minorHAnsi"/>
          <w:szCs w:val="24"/>
          <w:lang w:val="en-GB"/>
        </w:rPr>
        <w:footnoteReference w:id="6"/>
      </w:r>
      <w:r w:rsidR="00BF7FBA" w:rsidRPr="00764F24">
        <w:rPr>
          <w:rFonts w:cstheme="minorHAnsi"/>
          <w:szCs w:val="24"/>
          <w:lang w:val="en-GB"/>
        </w:rPr>
        <w:t xml:space="preserve">. </w:t>
      </w:r>
      <w:r w:rsidR="007E32DA" w:rsidRPr="00764F24">
        <w:rPr>
          <w:rFonts w:cstheme="minorHAnsi"/>
          <w:szCs w:val="24"/>
          <w:lang w:val="en-GB"/>
        </w:rPr>
        <w:t xml:space="preserve">The </w:t>
      </w:r>
      <w:r w:rsidR="00213D87" w:rsidRPr="00764F24">
        <w:rPr>
          <w:rFonts w:cstheme="minorHAnsi"/>
          <w:szCs w:val="24"/>
          <w:lang w:val="en-GB"/>
        </w:rPr>
        <w:t xml:space="preserve">Financial Inclusion </w:t>
      </w:r>
      <w:r w:rsidR="007E32DA" w:rsidRPr="00764F24">
        <w:rPr>
          <w:rFonts w:cstheme="minorHAnsi"/>
          <w:szCs w:val="24"/>
          <w:lang w:val="en-GB"/>
        </w:rPr>
        <w:t>Taskforce was formally wound up, as originally planned, in March 2011</w:t>
      </w:r>
      <w:r w:rsidR="00213D87" w:rsidRPr="00764F24">
        <w:rPr>
          <w:rFonts w:cstheme="minorHAnsi"/>
          <w:szCs w:val="24"/>
          <w:lang w:val="en-GB"/>
        </w:rPr>
        <w:t xml:space="preserve"> and the term ‘financial inclusion’ was rarely mentioned in government policy despite some relevant reforms in this area</w:t>
      </w:r>
      <w:r w:rsidR="00AB0794" w:rsidRPr="00764F24">
        <w:rPr>
          <w:rFonts w:cstheme="minorHAnsi"/>
          <w:szCs w:val="24"/>
          <w:lang w:val="en-GB"/>
        </w:rPr>
        <w:t xml:space="preserve"> (f</w:t>
      </w:r>
      <w:r w:rsidR="001E2025" w:rsidRPr="00764F24">
        <w:rPr>
          <w:rFonts w:cstheme="minorHAnsi"/>
          <w:szCs w:val="24"/>
          <w:lang w:val="en-GB"/>
        </w:rPr>
        <w:t xml:space="preserve">or example, </w:t>
      </w:r>
      <w:r w:rsidR="00AB0794" w:rsidRPr="00764F24">
        <w:rPr>
          <w:rFonts w:cstheme="minorHAnsi"/>
          <w:szCs w:val="24"/>
          <w:lang w:val="en-GB"/>
        </w:rPr>
        <w:t xml:space="preserve">in relation to </w:t>
      </w:r>
      <w:r w:rsidR="002305E6" w:rsidRPr="00764F24">
        <w:rPr>
          <w:rFonts w:cstheme="minorHAnsi"/>
          <w:szCs w:val="24"/>
          <w:lang w:val="en-GB"/>
        </w:rPr>
        <w:t xml:space="preserve">Credit Unions and </w:t>
      </w:r>
      <w:r w:rsidR="00E3654C" w:rsidRPr="00764F24">
        <w:rPr>
          <w:rFonts w:cstheme="minorHAnsi"/>
          <w:szCs w:val="24"/>
          <w:lang w:val="en-GB"/>
        </w:rPr>
        <w:t xml:space="preserve">reform </w:t>
      </w:r>
      <w:r w:rsidR="00AB0794" w:rsidRPr="00764F24">
        <w:rPr>
          <w:rFonts w:cstheme="minorHAnsi"/>
          <w:szCs w:val="24"/>
          <w:lang w:val="en-GB"/>
        </w:rPr>
        <w:t xml:space="preserve">of </w:t>
      </w:r>
      <w:r w:rsidR="00E3654C" w:rsidRPr="00764F24">
        <w:rPr>
          <w:rFonts w:cstheme="minorHAnsi"/>
          <w:szCs w:val="24"/>
          <w:lang w:val="en-GB"/>
        </w:rPr>
        <w:t xml:space="preserve">the regulation of high-cost, short-term credit </w:t>
      </w:r>
      <w:r w:rsidR="002305E6" w:rsidRPr="00764F24">
        <w:rPr>
          <w:rFonts w:cstheme="minorHAnsi"/>
          <w:szCs w:val="24"/>
          <w:lang w:val="en-GB"/>
        </w:rPr>
        <w:t>via</w:t>
      </w:r>
      <w:r w:rsidR="00E3654C" w:rsidRPr="00764F24">
        <w:rPr>
          <w:rFonts w:cstheme="minorHAnsi"/>
          <w:szCs w:val="24"/>
          <w:lang w:val="en-GB"/>
        </w:rPr>
        <w:t xml:space="preserve"> th</w:t>
      </w:r>
      <w:r w:rsidR="007D65A8" w:rsidRPr="00764F24">
        <w:rPr>
          <w:rFonts w:cstheme="minorHAnsi"/>
          <w:szCs w:val="24"/>
          <w:lang w:val="en-GB"/>
        </w:rPr>
        <w:t xml:space="preserve">e Financial Conduct Authority </w:t>
      </w:r>
      <w:r w:rsidR="00E3654C" w:rsidRPr="00764F24">
        <w:rPr>
          <w:rFonts w:cstheme="minorHAnsi"/>
          <w:szCs w:val="24"/>
          <w:lang w:val="en-GB"/>
        </w:rPr>
        <w:t>(FCA</w:t>
      </w:r>
      <w:r w:rsidR="00733606" w:rsidRPr="00764F24">
        <w:rPr>
          <w:rFonts w:cstheme="minorHAnsi"/>
          <w:szCs w:val="24"/>
          <w:lang w:val="en-GB"/>
        </w:rPr>
        <w:t>)</w:t>
      </w:r>
      <w:r w:rsidR="00E3654C" w:rsidRPr="00764F24">
        <w:rPr>
          <w:rFonts w:cstheme="minorHAnsi"/>
          <w:szCs w:val="24"/>
          <w:lang w:val="en-GB"/>
        </w:rPr>
        <w:t>)</w:t>
      </w:r>
      <w:r w:rsidR="00213D87" w:rsidRPr="00764F24">
        <w:rPr>
          <w:rStyle w:val="FootnoteReference"/>
          <w:rFonts w:cstheme="minorHAnsi"/>
          <w:szCs w:val="24"/>
          <w:lang w:val="en-GB"/>
        </w:rPr>
        <w:footnoteReference w:id="7"/>
      </w:r>
      <w:r w:rsidR="00BF7FBA" w:rsidRPr="00764F24">
        <w:rPr>
          <w:rFonts w:cstheme="minorHAnsi"/>
          <w:szCs w:val="24"/>
          <w:lang w:val="en-GB"/>
        </w:rPr>
        <w:t xml:space="preserve">. </w:t>
      </w:r>
      <w:r w:rsidR="007D65A8" w:rsidRPr="00764F24">
        <w:rPr>
          <w:rFonts w:cstheme="minorHAnsi"/>
          <w:szCs w:val="24"/>
          <w:lang w:val="en-GB"/>
        </w:rPr>
        <w:t>Mortgage lenders also ha</w:t>
      </w:r>
      <w:r w:rsidR="00213D87" w:rsidRPr="00764F24">
        <w:rPr>
          <w:rFonts w:cstheme="minorHAnsi"/>
          <w:szCs w:val="24"/>
          <w:lang w:val="en-GB"/>
        </w:rPr>
        <w:t>d</w:t>
      </w:r>
      <w:r w:rsidR="007D65A8" w:rsidRPr="00764F24">
        <w:rPr>
          <w:rFonts w:cstheme="minorHAnsi"/>
          <w:szCs w:val="24"/>
          <w:lang w:val="en-GB"/>
        </w:rPr>
        <w:t xml:space="preserve"> to change their practices to conform to tighter regulation of affordability checks</w:t>
      </w:r>
      <w:r w:rsidR="00496ADA" w:rsidRPr="00764F24">
        <w:rPr>
          <w:rFonts w:cstheme="minorHAnsi"/>
          <w:szCs w:val="24"/>
          <w:lang w:val="en-GB"/>
        </w:rPr>
        <w:t xml:space="preserve"> in the wake of the financial crash</w:t>
      </w:r>
      <w:r w:rsidR="00BF7FBA" w:rsidRPr="00764F24">
        <w:rPr>
          <w:rFonts w:cstheme="minorHAnsi"/>
          <w:szCs w:val="24"/>
          <w:lang w:val="en-GB"/>
        </w:rPr>
        <w:t xml:space="preserve">. </w:t>
      </w:r>
      <w:r w:rsidR="002305E6" w:rsidRPr="00764F24">
        <w:rPr>
          <w:rFonts w:cstheme="minorHAnsi"/>
          <w:szCs w:val="24"/>
          <w:lang w:val="en-GB"/>
        </w:rPr>
        <w:t>The government also made</w:t>
      </w:r>
      <w:r w:rsidR="002E3A30" w:rsidRPr="00764F24">
        <w:rPr>
          <w:rFonts w:cstheme="minorHAnsi"/>
          <w:szCs w:val="24"/>
          <w:lang w:val="en-GB"/>
        </w:rPr>
        <w:t xml:space="preserve"> change</w:t>
      </w:r>
      <w:r w:rsidR="007D65A8" w:rsidRPr="00764F24">
        <w:rPr>
          <w:rFonts w:cstheme="minorHAnsi"/>
          <w:szCs w:val="24"/>
          <w:lang w:val="en-GB"/>
        </w:rPr>
        <w:t>s</w:t>
      </w:r>
      <w:r w:rsidR="002E3A30" w:rsidRPr="00764F24">
        <w:rPr>
          <w:rFonts w:cstheme="minorHAnsi"/>
          <w:szCs w:val="24"/>
          <w:lang w:val="en-GB"/>
        </w:rPr>
        <w:t xml:space="preserve"> </w:t>
      </w:r>
      <w:r w:rsidR="00496ADA" w:rsidRPr="00764F24">
        <w:rPr>
          <w:rFonts w:cstheme="minorHAnsi"/>
          <w:szCs w:val="24"/>
          <w:lang w:val="en-GB"/>
        </w:rPr>
        <w:t>to</w:t>
      </w:r>
      <w:r w:rsidR="002E3A30" w:rsidRPr="00764F24">
        <w:rPr>
          <w:rFonts w:cstheme="minorHAnsi"/>
          <w:szCs w:val="24"/>
          <w:lang w:val="en-GB"/>
        </w:rPr>
        <w:t xml:space="preserve"> ISA</w:t>
      </w:r>
      <w:r w:rsidR="00496ADA" w:rsidRPr="00764F24">
        <w:rPr>
          <w:rFonts w:cstheme="minorHAnsi"/>
          <w:szCs w:val="24"/>
          <w:lang w:val="en-GB"/>
        </w:rPr>
        <w:t>s</w:t>
      </w:r>
      <w:r w:rsidR="007D65A8" w:rsidRPr="00764F24">
        <w:rPr>
          <w:rFonts w:cstheme="minorHAnsi"/>
          <w:szCs w:val="24"/>
          <w:lang w:val="en-GB"/>
        </w:rPr>
        <w:t>, allowing people to save more in such tax-free accounts</w:t>
      </w:r>
      <w:r w:rsidR="00BF7FBA" w:rsidRPr="00764F24">
        <w:rPr>
          <w:rFonts w:cstheme="minorHAnsi"/>
          <w:szCs w:val="24"/>
          <w:lang w:val="en-GB"/>
        </w:rPr>
        <w:t xml:space="preserve">. </w:t>
      </w:r>
      <w:r w:rsidR="007D65A8" w:rsidRPr="00764F24">
        <w:rPr>
          <w:rFonts w:cstheme="minorHAnsi"/>
          <w:szCs w:val="24"/>
          <w:lang w:val="en-GB"/>
        </w:rPr>
        <w:t xml:space="preserve">And the </w:t>
      </w:r>
      <w:r w:rsidR="002305E6" w:rsidRPr="00764F24">
        <w:rPr>
          <w:rFonts w:cstheme="minorHAnsi"/>
          <w:szCs w:val="24"/>
          <w:lang w:val="en-GB"/>
        </w:rPr>
        <w:t>introduction of auto enrolment in workplace pensions was a significant change in pensions policy alongside the extra</w:t>
      </w:r>
      <w:r w:rsidR="007D65A8" w:rsidRPr="00764F24">
        <w:rPr>
          <w:rFonts w:cstheme="minorHAnsi"/>
          <w:szCs w:val="24"/>
          <w:lang w:val="en-GB"/>
        </w:rPr>
        <w:t xml:space="preserve"> freedom </w:t>
      </w:r>
      <w:r w:rsidR="002305E6" w:rsidRPr="00764F24">
        <w:rPr>
          <w:rFonts w:cstheme="minorHAnsi"/>
          <w:szCs w:val="24"/>
          <w:lang w:val="en-GB"/>
        </w:rPr>
        <w:t>given to people to access the whole of their Defined Contribution pe</w:t>
      </w:r>
      <w:r w:rsidR="007D65A8" w:rsidRPr="00764F24">
        <w:rPr>
          <w:rFonts w:cstheme="minorHAnsi"/>
          <w:szCs w:val="24"/>
          <w:lang w:val="en-GB"/>
        </w:rPr>
        <w:t>nsion pot on retirement</w:t>
      </w:r>
      <w:r w:rsidR="00BF7FBA" w:rsidRPr="00764F24">
        <w:rPr>
          <w:rFonts w:cstheme="minorHAnsi"/>
          <w:szCs w:val="24"/>
          <w:lang w:val="en-GB"/>
        </w:rPr>
        <w:t xml:space="preserve">. </w:t>
      </w:r>
    </w:p>
    <w:p w14:paraId="0BA5FF46" w14:textId="36C97BC2" w:rsidR="007E64E2" w:rsidRPr="00764F24" w:rsidRDefault="00496ADA" w:rsidP="00D86B69">
      <w:pPr>
        <w:spacing w:beforeAutospacing="1" w:after="100" w:afterAutospacing="1" w:line="360" w:lineRule="auto"/>
        <w:rPr>
          <w:rFonts w:cstheme="minorHAnsi"/>
          <w:szCs w:val="24"/>
          <w:lang w:val="en-GB"/>
        </w:rPr>
      </w:pPr>
      <w:r w:rsidRPr="00764F24">
        <w:rPr>
          <w:rFonts w:cstheme="minorHAnsi"/>
          <w:szCs w:val="24"/>
          <w:lang w:val="en-GB"/>
        </w:rPr>
        <w:t>Alongside</w:t>
      </w:r>
      <w:r w:rsidR="002305E6" w:rsidRPr="00764F24">
        <w:rPr>
          <w:rFonts w:cstheme="minorHAnsi"/>
          <w:szCs w:val="24"/>
          <w:lang w:val="en-GB"/>
        </w:rPr>
        <w:t xml:space="preserve"> these reforms, the government also made considerable cuts to benefits which made it more difficult for people (both in and out of work) to make ends meet</w:t>
      </w:r>
      <w:r w:rsidR="00BF7FBA" w:rsidRPr="00764F24">
        <w:rPr>
          <w:rFonts w:cstheme="minorHAnsi"/>
          <w:szCs w:val="24"/>
          <w:lang w:val="en-GB"/>
        </w:rPr>
        <w:t xml:space="preserve">. </w:t>
      </w:r>
      <w:r w:rsidR="002305E6" w:rsidRPr="00764F24">
        <w:rPr>
          <w:rFonts w:cstheme="minorHAnsi"/>
          <w:szCs w:val="24"/>
          <w:lang w:val="en-GB"/>
        </w:rPr>
        <w:t>The Social Fund was also reformed and cut, reducing alternatives to high cost lenders</w:t>
      </w:r>
      <w:r w:rsidR="00BF7FBA" w:rsidRPr="00764F24">
        <w:rPr>
          <w:rFonts w:cstheme="minorHAnsi"/>
          <w:szCs w:val="24"/>
          <w:lang w:val="en-GB"/>
        </w:rPr>
        <w:t xml:space="preserve">. </w:t>
      </w:r>
      <w:r w:rsidR="002305E6" w:rsidRPr="00764F24">
        <w:rPr>
          <w:rFonts w:cstheme="minorHAnsi"/>
          <w:szCs w:val="24"/>
          <w:lang w:val="en-GB"/>
        </w:rPr>
        <w:t xml:space="preserve">And while the government certainly </w:t>
      </w:r>
      <w:r w:rsidR="002305E6" w:rsidRPr="00764F24">
        <w:rPr>
          <w:rFonts w:cstheme="minorHAnsi"/>
          <w:szCs w:val="24"/>
          <w:lang w:val="en-GB"/>
        </w:rPr>
        <w:lastRenderedPageBreak/>
        <w:t>supported the principle of encouraging savings and self-reliance, one of its first acts was to abandon the introduction of the Saving Gateway, a policy specifically designed to help those on low incomes to save</w:t>
      </w:r>
      <w:r w:rsidR="00BF7FBA" w:rsidRPr="00764F24">
        <w:rPr>
          <w:rFonts w:cstheme="minorHAnsi"/>
          <w:szCs w:val="24"/>
          <w:lang w:val="en-GB"/>
        </w:rPr>
        <w:t xml:space="preserve">. </w:t>
      </w:r>
    </w:p>
    <w:p w14:paraId="5A7BF89C" w14:textId="6A47E9A5" w:rsidR="007E64E2" w:rsidRPr="00764F24" w:rsidRDefault="002305E6" w:rsidP="00D86B69">
      <w:pPr>
        <w:spacing w:beforeAutospacing="1" w:after="100" w:afterAutospacing="1" w:line="360" w:lineRule="auto"/>
        <w:rPr>
          <w:rFonts w:cstheme="minorHAnsi"/>
          <w:szCs w:val="24"/>
          <w:lang w:val="en-GB"/>
        </w:rPr>
      </w:pPr>
      <w:r w:rsidRPr="00764F24">
        <w:rPr>
          <w:rFonts w:cstheme="minorHAnsi"/>
          <w:szCs w:val="24"/>
          <w:lang w:val="en-GB"/>
        </w:rPr>
        <w:t>While the Coalition government rarely used t</w:t>
      </w:r>
      <w:r w:rsidR="00213D87" w:rsidRPr="00764F24">
        <w:rPr>
          <w:rFonts w:cstheme="minorHAnsi"/>
          <w:szCs w:val="24"/>
          <w:lang w:val="en-GB"/>
        </w:rPr>
        <w:t>he term ‘financial inclusion’</w:t>
      </w:r>
      <w:r w:rsidRPr="00764F24">
        <w:rPr>
          <w:rFonts w:cstheme="minorHAnsi"/>
          <w:szCs w:val="24"/>
          <w:lang w:val="en-GB"/>
        </w:rPr>
        <w:t xml:space="preserve">, it </w:t>
      </w:r>
      <w:r w:rsidR="00E3654C" w:rsidRPr="00764F24">
        <w:rPr>
          <w:rFonts w:cstheme="minorHAnsi"/>
          <w:szCs w:val="24"/>
          <w:lang w:val="en-GB"/>
        </w:rPr>
        <w:t>was</w:t>
      </w:r>
      <w:r w:rsidRPr="00764F24">
        <w:rPr>
          <w:rFonts w:cstheme="minorHAnsi"/>
          <w:szCs w:val="24"/>
          <w:lang w:val="en-GB"/>
        </w:rPr>
        <w:t xml:space="preserve"> nevertheless</w:t>
      </w:r>
      <w:r w:rsidR="00E3654C" w:rsidRPr="00764F24">
        <w:rPr>
          <w:rFonts w:cstheme="minorHAnsi"/>
          <w:szCs w:val="24"/>
          <w:lang w:val="en-GB"/>
        </w:rPr>
        <w:t xml:space="preserve"> </w:t>
      </w:r>
      <w:r w:rsidR="00D26782" w:rsidRPr="00764F24">
        <w:rPr>
          <w:rFonts w:cstheme="minorHAnsi"/>
          <w:szCs w:val="24"/>
          <w:lang w:val="en-GB"/>
        </w:rPr>
        <w:t>re</w:t>
      </w:r>
      <w:r w:rsidR="00E3654C" w:rsidRPr="00764F24">
        <w:rPr>
          <w:rFonts w:cstheme="minorHAnsi"/>
          <w:szCs w:val="24"/>
          <w:lang w:val="en-GB"/>
        </w:rPr>
        <w:t>vived</w:t>
      </w:r>
      <w:r w:rsidR="00D26782" w:rsidRPr="00764F24">
        <w:rPr>
          <w:rFonts w:cstheme="minorHAnsi"/>
          <w:szCs w:val="24"/>
          <w:lang w:val="en-GB"/>
        </w:rPr>
        <w:t xml:space="preserve"> </w:t>
      </w:r>
      <w:r w:rsidR="001E2025" w:rsidRPr="00764F24">
        <w:rPr>
          <w:rFonts w:cstheme="minorHAnsi"/>
          <w:szCs w:val="24"/>
          <w:lang w:val="en-GB"/>
        </w:rPr>
        <w:t>in 2015</w:t>
      </w:r>
      <w:r w:rsidR="00D26782" w:rsidRPr="00764F24">
        <w:rPr>
          <w:rFonts w:cstheme="minorHAnsi"/>
          <w:szCs w:val="24"/>
          <w:lang w:val="en-GB"/>
        </w:rPr>
        <w:t xml:space="preserve"> through two key </w:t>
      </w:r>
      <w:r w:rsidR="00E3654C" w:rsidRPr="00764F24">
        <w:rPr>
          <w:rFonts w:cstheme="minorHAnsi"/>
          <w:szCs w:val="24"/>
          <w:lang w:val="en-GB"/>
        </w:rPr>
        <w:t xml:space="preserve">(non-government) </w:t>
      </w:r>
      <w:r w:rsidR="00D26782" w:rsidRPr="00764F24">
        <w:rPr>
          <w:rFonts w:cstheme="minorHAnsi"/>
          <w:szCs w:val="24"/>
          <w:lang w:val="en-GB"/>
        </w:rPr>
        <w:t>initiatives</w:t>
      </w:r>
      <w:r w:rsidR="00BF7FBA" w:rsidRPr="00764F24">
        <w:rPr>
          <w:rFonts w:cstheme="minorHAnsi"/>
          <w:szCs w:val="24"/>
          <w:lang w:val="en-GB"/>
        </w:rPr>
        <w:t xml:space="preserve">. </w:t>
      </w:r>
      <w:r w:rsidR="00D26782" w:rsidRPr="00764F24">
        <w:rPr>
          <w:rFonts w:cstheme="minorHAnsi"/>
          <w:szCs w:val="24"/>
          <w:lang w:val="en-GB"/>
        </w:rPr>
        <w:t>The first was a major conference held in January 2015 in London, sponsored b</w:t>
      </w:r>
      <w:r w:rsidR="002C3376" w:rsidRPr="00764F24">
        <w:rPr>
          <w:rFonts w:cstheme="minorHAnsi"/>
          <w:szCs w:val="24"/>
          <w:lang w:val="en-GB"/>
        </w:rPr>
        <w:t>y HSBC and Lloyds Banking Group</w:t>
      </w:r>
      <w:r w:rsidR="00BF7FBA" w:rsidRPr="00764F24">
        <w:rPr>
          <w:rFonts w:cstheme="minorHAnsi"/>
          <w:szCs w:val="24"/>
          <w:lang w:val="en-GB"/>
        </w:rPr>
        <w:t xml:space="preserve">. </w:t>
      </w:r>
      <w:r w:rsidR="00D26782" w:rsidRPr="00764F24">
        <w:rPr>
          <w:rFonts w:cstheme="minorHAnsi"/>
          <w:szCs w:val="24"/>
          <w:lang w:val="en-GB"/>
        </w:rPr>
        <w:t>The second key initiative was the formation of a Financial Inclusion Commission, a non-partisan, cross-party commission supported by Mastercard but independent, chaired by Sir Sherard Cowper-Coles</w:t>
      </w:r>
      <w:r w:rsidR="00BF7FBA" w:rsidRPr="00764F24">
        <w:rPr>
          <w:rFonts w:cstheme="minorHAnsi"/>
          <w:szCs w:val="24"/>
          <w:lang w:val="en-GB"/>
        </w:rPr>
        <w:t xml:space="preserve">. </w:t>
      </w:r>
      <w:r w:rsidR="00D26782" w:rsidRPr="00764F24">
        <w:rPr>
          <w:rFonts w:cstheme="minorHAnsi"/>
          <w:szCs w:val="24"/>
          <w:lang w:val="en-GB"/>
        </w:rPr>
        <w:t>The Commission produced a report in March 2015</w:t>
      </w:r>
      <w:r w:rsidR="00D26782" w:rsidRPr="00764F24">
        <w:rPr>
          <w:rStyle w:val="FootnoteReference"/>
          <w:rFonts w:cstheme="minorHAnsi"/>
          <w:szCs w:val="24"/>
          <w:lang w:val="en-GB"/>
        </w:rPr>
        <w:footnoteReference w:id="8"/>
      </w:r>
      <w:r w:rsidR="00D26782" w:rsidRPr="00764F24">
        <w:rPr>
          <w:rFonts w:cstheme="minorHAnsi"/>
          <w:szCs w:val="24"/>
          <w:lang w:val="en-GB"/>
        </w:rPr>
        <w:t xml:space="preserve"> which argued, among other things, for a senior minister in government on financial inclusion and capability, with the title of ‘Minister for Financial Health’.</w:t>
      </w:r>
    </w:p>
    <w:p w14:paraId="75F387FA" w14:textId="63322110" w:rsidR="007E64E2" w:rsidRPr="00764F24" w:rsidRDefault="00D26782" w:rsidP="00D86B69">
      <w:pPr>
        <w:spacing w:beforeAutospacing="1" w:after="100" w:afterAutospacing="1" w:line="360" w:lineRule="auto"/>
        <w:rPr>
          <w:rFonts w:cstheme="minorHAnsi"/>
          <w:szCs w:val="24"/>
          <w:lang w:val="en-GB"/>
        </w:rPr>
      </w:pPr>
      <w:r w:rsidRPr="00764F24">
        <w:rPr>
          <w:rFonts w:cstheme="minorHAnsi"/>
          <w:szCs w:val="24"/>
          <w:lang w:val="en-GB"/>
        </w:rPr>
        <w:t xml:space="preserve">These two </w:t>
      </w:r>
      <w:r w:rsidR="00483373" w:rsidRPr="00764F24">
        <w:rPr>
          <w:rFonts w:cstheme="minorHAnsi"/>
          <w:szCs w:val="24"/>
          <w:lang w:val="en-GB"/>
        </w:rPr>
        <w:t xml:space="preserve">initiatives placed financial inclusion back on the public agenda </w:t>
      </w:r>
      <w:r w:rsidR="002C3376" w:rsidRPr="00764F24">
        <w:rPr>
          <w:rFonts w:cstheme="minorHAnsi"/>
          <w:szCs w:val="24"/>
          <w:lang w:val="en-GB"/>
        </w:rPr>
        <w:t xml:space="preserve">but the election of a Conservative government in </w:t>
      </w:r>
      <w:r w:rsidR="00483373" w:rsidRPr="00764F24">
        <w:rPr>
          <w:rFonts w:cstheme="minorHAnsi"/>
          <w:szCs w:val="24"/>
          <w:lang w:val="en-GB"/>
        </w:rPr>
        <w:t xml:space="preserve">May 2015 </w:t>
      </w:r>
      <w:r w:rsidR="00B12E68" w:rsidRPr="00764F24">
        <w:rPr>
          <w:rFonts w:cstheme="minorHAnsi"/>
          <w:szCs w:val="24"/>
          <w:lang w:val="en-GB"/>
        </w:rPr>
        <w:t xml:space="preserve">did not </w:t>
      </w:r>
      <w:r w:rsidR="00496ADA" w:rsidRPr="00764F24">
        <w:rPr>
          <w:rFonts w:cstheme="minorHAnsi"/>
          <w:szCs w:val="24"/>
          <w:lang w:val="en-GB"/>
        </w:rPr>
        <w:t xml:space="preserve">initially </w:t>
      </w:r>
      <w:r w:rsidR="00B12E68" w:rsidRPr="00764F24">
        <w:rPr>
          <w:rFonts w:cstheme="minorHAnsi"/>
          <w:szCs w:val="24"/>
          <w:lang w:val="en-GB"/>
        </w:rPr>
        <w:t>see</w:t>
      </w:r>
      <w:r w:rsidR="002C3376" w:rsidRPr="00764F24">
        <w:rPr>
          <w:rFonts w:cstheme="minorHAnsi"/>
          <w:szCs w:val="24"/>
          <w:lang w:val="en-GB"/>
        </w:rPr>
        <w:t xml:space="preserve"> a particular policy focus on financial inclusion</w:t>
      </w:r>
      <w:r w:rsidR="00BF7FBA" w:rsidRPr="00764F24">
        <w:rPr>
          <w:rFonts w:cstheme="minorHAnsi"/>
          <w:szCs w:val="24"/>
          <w:lang w:val="en-GB"/>
        </w:rPr>
        <w:t>.</w:t>
      </w:r>
      <w:r w:rsidR="008D2686" w:rsidRPr="00764F24">
        <w:rPr>
          <w:rFonts w:cstheme="minorHAnsi"/>
          <w:szCs w:val="24"/>
          <w:lang w:val="en-GB"/>
        </w:rPr>
        <w:t xml:space="preserve"> </w:t>
      </w:r>
      <w:r w:rsidR="00496ADA" w:rsidRPr="00764F24">
        <w:rPr>
          <w:rFonts w:cstheme="minorHAnsi"/>
          <w:szCs w:val="24"/>
          <w:lang w:val="en-GB"/>
        </w:rPr>
        <w:t xml:space="preserve">Austerity </w:t>
      </w:r>
      <w:r w:rsidR="001E2025" w:rsidRPr="00764F24">
        <w:rPr>
          <w:rFonts w:cstheme="minorHAnsi"/>
          <w:szCs w:val="24"/>
          <w:lang w:val="en-GB"/>
        </w:rPr>
        <w:t xml:space="preserve">policies </w:t>
      </w:r>
      <w:r w:rsidR="00496ADA" w:rsidRPr="00764F24">
        <w:rPr>
          <w:rFonts w:cstheme="minorHAnsi"/>
          <w:szCs w:val="24"/>
          <w:lang w:val="en-GB"/>
        </w:rPr>
        <w:t xml:space="preserve">remained in terms of </w:t>
      </w:r>
      <w:r w:rsidR="001E2025" w:rsidRPr="00764F24">
        <w:rPr>
          <w:rFonts w:cstheme="minorHAnsi"/>
          <w:szCs w:val="24"/>
          <w:lang w:val="en-GB"/>
        </w:rPr>
        <w:t>further cuts to benefits and tax credits causing hardship for some</w:t>
      </w:r>
      <w:r w:rsidR="001E2025" w:rsidRPr="00764F24">
        <w:rPr>
          <w:rStyle w:val="FootnoteReference"/>
          <w:rFonts w:cstheme="minorHAnsi"/>
          <w:szCs w:val="24"/>
          <w:lang w:val="en-GB"/>
        </w:rPr>
        <w:footnoteReference w:id="9"/>
      </w:r>
      <w:r w:rsidR="00BF7FBA" w:rsidRPr="00764F24">
        <w:rPr>
          <w:rFonts w:cstheme="minorHAnsi"/>
          <w:szCs w:val="24"/>
          <w:lang w:val="en-GB"/>
        </w:rPr>
        <w:t xml:space="preserve">. </w:t>
      </w:r>
      <w:r w:rsidR="001E2025" w:rsidRPr="00764F24">
        <w:rPr>
          <w:rFonts w:cstheme="minorHAnsi"/>
          <w:szCs w:val="24"/>
          <w:lang w:val="en-GB"/>
        </w:rPr>
        <w:t xml:space="preserve">Government policy </w:t>
      </w:r>
      <w:r w:rsidR="00496ADA" w:rsidRPr="00764F24">
        <w:rPr>
          <w:rFonts w:cstheme="minorHAnsi"/>
          <w:szCs w:val="24"/>
          <w:lang w:val="en-GB"/>
        </w:rPr>
        <w:t xml:space="preserve">was </w:t>
      </w:r>
      <w:r w:rsidR="001E2025" w:rsidRPr="00764F24">
        <w:rPr>
          <w:rFonts w:cstheme="minorHAnsi"/>
          <w:szCs w:val="24"/>
          <w:lang w:val="en-GB"/>
        </w:rPr>
        <w:t>also active in other fields, not least: basic bank accounts; workplace pensions; new savings schemes; and local welfare assistance</w:t>
      </w:r>
      <w:r w:rsidR="00BF7FBA" w:rsidRPr="00764F24">
        <w:rPr>
          <w:rFonts w:cstheme="minorHAnsi"/>
          <w:szCs w:val="24"/>
          <w:lang w:val="en-GB"/>
        </w:rPr>
        <w:t xml:space="preserve">. </w:t>
      </w:r>
    </w:p>
    <w:p w14:paraId="186043C7" w14:textId="69ADB09E" w:rsidR="007E64E2" w:rsidRPr="00764F24" w:rsidRDefault="00F701D0" w:rsidP="00D86B69">
      <w:pPr>
        <w:spacing w:beforeAutospacing="1" w:after="100" w:afterAutospacing="1" w:line="360" w:lineRule="auto"/>
        <w:rPr>
          <w:rFonts w:cstheme="minorHAnsi"/>
          <w:szCs w:val="24"/>
          <w:lang w:val="en-GB"/>
        </w:rPr>
      </w:pPr>
      <w:r w:rsidRPr="00764F24">
        <w:rPr>
          <w:rFonts w:cstheme="minorHAnsi"/>
          <w:szCs w:val="24"/>
          <w:lang w:val="en-GB"/>
        </w:rPr>
        <w:t xml:space="preserve">In a report </w:t>
      </w:r>
      <w:r w:rsidR="0074321C" w:rsidRPr="00764F24">
        <w:rPr>
          <w:rFonts w:cstheme="minorHAnsi"/>
          <w:szCs w:val="24"/>
          <w:lang w:val="en-GB"/>
        </w:rPr>
        <w:t xml:space="preserve">published </w:t>
      </w:r>
      <w:r w:rsidR="000C2D17" w:rsidRPr="00764F24">
        <w:rPr>
          <w:rFonts w:cstheme="minorHAnsi"/>
          <w:szCs w:val="24"/>
          <w:lang w:val="en-GB"/>
        </w:rPr>
        <w:t xml:space="preserve">by </w:t>
      </w:r>
      <w:r w:rsidRPr="00764F24">
        <w:rPr>
          <w:rFonts w:cstheme="minorHAnsi"/>
          <w:szCs w:val="24"/>
          <w:lang w:val="en-GB"/>
        </w:rPr>
        <w:t>the FCA</w:t>
      </w:r>
      <w:r w:rsidR="000C2D17" w:rsidRPr="00764F24">
        <w:rPr>
          <w:rStyle w:val="FootnoteReference"/>
          <w:rFonts w:cstheme="minorHAnsi"/>
          <w:szCs w:val="24"/>
          <w:lang w:val="en-GB"/>
        </w:rPr>
        <w:footnoteReference w:id="10"/>
      </w:r>
      <w:r w:rsidRPr="00764F24">
        <w:rPr>
          <w:rFonts w:cstheme="minorHAnsi"/>
          <w:szCs w:val="24"/>
          <w:lang w:val="en-GB"/>
        </w:rPr>
        <w:t xml:space="preserve"> </w:t>
      </w:r>
      <w:r w:rsidR="000C2D17" w:rsidRPr="00764F24">
        <w:rPr>
          <w:rFonts w:cstheme="minorHAnsi"/>
          <w:szCs w:val="24"/>
          <w:lang w:val="en-GB"/>
        </w:rPr>
        <w:t xml:space="preserve">(2016: 18) </w:t>
      </w:r>
      <w:r w:rsidRPr="00764F24">
        <w:rPr>
          <w:rFonts w:cstheme="minorHAnsi"/>
          <w:szCs w:val="24"/>
          <w:lang w:val="en-GB"/>
        </w:rPr>
        <w:t>on access to financial services</w:t>
      </w:r>
      <w:r w:rsidR="000C2D17" w:rsidRPr="00764F24">
        <w:rPr>
          <w:rFonts w:cstheme="minorHAnsi"/>
          <w:szCs w:val="24"/>
          <w:lang w:val="en-GB"/>
        </w:rPr>
        <w:t xml:space="preserve">, the authors echoed the Financial Inclusion Commission's call for a stronger </w:t>
      </w:r>
      <w:r w:rsidR="0052044F" w:rsidRPr="00764F24">
        <w:rPr>
          <w:rFonts w:cstheme="minorHAnsi"/>
          <w:szCs w:val="24"/>
          <w:lang w:val="en-GB"/>
        </w:rPr>
        <w:t>strategic lead from government and more joined-up action on this issue</w:t>
      </w:r>
      <w:r w:rsidR="00BF7FBA" w:rsidRPr="00764F24">
        <w:rPr>
          <w:rFonts w:cstheme="minorHAnsi"/>
          <w:szCs w:val="24"/>
          <w:lang w:val="en-GB"/>
        </w:rPr>
        <w:t xml:space="preserve">. </w:t>
      </w:r>
      <w:r w:rsidR="00496ADA" w:rsidRPr="00764F24">
        <w:rPr>
          <w:rFonts w:cstheme="minorHAnsi"/>
          <w:szCs w:val="24"/>
          <w:lang w:val="en-GB"/>
        </w:rPr>
        <w:t xml:space="preserve">This call was reinforced in </w:t>
      </w:r>
      <w:r w:rsidR="00E577A2" w:rsidRPr="00764F24">
        <w:rPr>
          <w:rFonts w:cstheme="minorHAnsi"/>
          <w:szCs w:val="24"/>
          <w:lang w:val="en-GB"/>
        </w:rPr>
        <w:t xml:space="preserve">the </w:t>
      </w:r>
      <w:r w:rsidR="00496ADA" w:rsidRPr="00764F24">
        <w:rPr>
          <w:rFonts w:cstheme="minorHAnsi"/>
          <w:szCs w:val="24"/>
          <w:lang w:val="en-GB"/>
        </w:rPr>
        <w:t xml:space="preserve">recommendations </w:t>
      </w:r>
      <w:r w:rsidR="00E577A2" w:rsidRPr="00764F24">
        <w:rPr>
          <w:rFonts w:cstheme="minorHAnsi"/>
          <w:szCs w:val="24"/>
          <w:lang w:val="en-GB"/>
        </w:rPr>
        <w:t xml:space="preserve">of the report from </w:t>
      </w:r>
      <w:r w:rsidR="00833B7B" w:rsidRPr="00764F24">
        <w:rPr>
          <w:rFonts w:cstheme="minorHAnsi"/>
          <w:szCs w:val="24"/>
          <w:lang w:val="en-GB"/>
        </w:rPr>
        <w:t xml:space="preserve">the </w:t>
      </w:r>
      <w:r w:rsidR="00AB0794" w:rsidRPr="00764F24">
        <w:rPr>
          <w:rFonts w:cstheme="minorHAnsi"/>
          <w:szCs w:val="24"/>
          <w:lang w:val="en-GB"/>
        </w:rPr>
        <w:t xml:space="preserve">House of Lords </w:t>
      </w:r>
      <w:r w:rsidR="00083A17" w:rsidRPr="00764F24">
        <w:rPr>
          <w:rFonts w:cstheme="minorHAnsi"/>
          <w:szCs w:val="24"/>
          <w:lang w:val="en-GB"/>
        </w:rPr>
        <w:t>Select Comm</w:t>
      </w:r>
      <w:r w:rsidR="00833B7B" w:rsidRPr="00764F24">
        <w:rPr>
          <w:rFonts w:cstheme="minorHAnsi"/>
          <w:szCs w:val="24"/>
          <w:lang w:val="en-GB"/>
        </w:rPr>
        <w:t>ittee on Financial Exclusion</w:t>
      </w:r>
      <w:r w:rsidR="00496ADA" w:rsidRPr="00764F24">
        <w:rPr>
          <w:rFonts w:cstheme="minorHAnsi"/>
          <w:szCs w:val="24"/>
          <w:lang w:val="en-GB"/>
        </w:rPr>
        <w:t xml:space="preserve"> in 2017</w:t>
      </w:r>
      <w:r w:rsidR="00AB0794" w:rsidRPr="00764F24">
        <w:rPr>
          <w:rStyle w:val="FootnoteReference"/>
          <w:rFonts w:cstheme="minorHAnsi"/>
          <w:szCs w:val="24"/>
          <w:lang w:val="en-GB"/>
        </w:rPr>
        <w:footnoteReference w:id="11"/>
      </w:r>
      <w:r w:rsidR="00BF7FBA" w:rsidRPr="00764F24">
        <w:rPr>
          <w:rFonts w:cstheme="minorHAnsi"/>
          <w:szCs w:val="24"/>
          <w:lang w:val="en-GB"/>
        </w:rPr>
        <w:t xml:space="preserve">. </w:t>
      </w:r>
      <w:r w:rsidR="00496ADA" w:rsidRPr="00764F24">
        <w:rPr>
          <w:rFonts w:cstheme="minorHAnsi"/>
          <w:szCs w:val="24"/>
          <w:lang w:val="en-GB"/>
        </w:rPr>
        <w:t>And f</w:t>
      </w:r>
      <w:r w:rsidR="00E577A2" w:rsidRPr="00764F24">
        <w:rPr>
          <w:rFonts w:cstheme="minorHAnsi"/>
          <w:szCs w:val="24"/>
          <w:lang w:val="en-GB"/>
        </w:rPr>
        <w:t>ollowing on from this, i</w:t>
      </w:r>
      <w:r w:rsidR="0002004C" w:rsidRPr="00764F24">
        <w:rPr>
          <w:rFonts w:cstheme="minorHAnsi"/>
          <w:szCs w:val="24"/>
          <w:lang w:val="en-GB"/>
        </w:rPr>
        <w:t>n June 2017</w:t>
      </w:r>
      <w:r w:rsidR="00E577A2" w:rsidRPr="00764F24">
        <w:rPr>
          <w:rFonts w:cstheme="minorHAnsi"/>
          <w:szCs w:val="24"/>
          <w:lang w:val="en-GB"/>
        </w:rPr>
        <w:t>,</w:t>
      </w:r>
      <w:r w:rsidR="0002004C" w:rsidRPr="00764F24">
        <w:rPr>
          <w:rFonts w:cstheme="minorHAnsi"/>
          <w:szCs w:val="24"/>
          <w:lang w:val="en-GB"/>
        </w:rPr>
        <w:t xml:space="preserve"> </w:t>
      </w:r>
      <w:r w:rsidR="00FE0D81" w:rsidRPr="00764F24">
        <w:rPr>
          <w:rFonts w:cstheme="minorHAnsi"/>
          <w:szCs w:val="24"/>
          <w:lang w:val="en-GB"/>
        </w:rPr>
        <w:t xml:space="preserve">the government established two ministerial roles with responsibility for financial inclusion: the </w:t>
      </w:r>
      <w:r w:rsidR="0002004C" w:rsidRPr="00764F24">
        <w:rPr>
          <w:rFonts w:cstheme="minorHAnsi"/>
          <w:szCs w:val="24"/>
          <w:lang w:val="en-GB"/>
        </w:rPr>
        <w:t xml:space="preserve">Parliamentary Under Secretary of State </w:t>
      </w:r>
      <w:r w:rsidR="00FE0D81" w:rsidRPr="00764F24">
        <w:rPr>
          <w:rFonts w:cstheme="minorHAnsi"/>
          <w:szCs w:val="24"/>
          <w:lang w:val="en-GB"/>
        </w:rPr>
        <w:t xml:space="preserve">(Minister </w:t>
      </w:r>
      <w:r w:rsidR="0002004C" w:rsidRPr="00764F24">
        <w:rPr>
          <w:rFonts w:cstheme="minorHAnsi"/>
          <w:szCs w:val="24"/>
          <w:lang w:val="en-GB"/>
        </w:rPr>
        <w:t>for Pensions and Financial Inclusion</w:t>
      </w:r>
      <w:r w:rsidR="00FE0D81" w:rsidRPr="00764F24">
        <w:rPr>
          <w:rFonts w:cstheme="minorHAnsi"/>
          <w:szCs w:val="24"/>
          <w:lang w:val="en-GB"/>
        </w:rPr>
        <w:t>)</w:t>
      </w:r>
      <w:r w:rsidR="0002004C" w:rsidRPr="00764F24">
        <w:rPr>
          <w:rFonts w:cstheme="minorHAnsi"/>
          <w:szCs w:val="24"/>
          <w:lang w:val="en-GB"/>
        </w:rPr>
        <w:t xml:space="preserve"> in the Department for Work and Pensions and </w:t>
      </w:r>
      <w:r w:rsidR="00FE0D81" w:rsidRPr="00764F24">
        <w:rPr>
          <w:rFonts w:cstheme="minorHAnsi"/>
          <w:szCs w:val="24"/>
          <w:lang w:val="en-GB"/>
        </w:rPr>
        <w:t>the Economic Secretary to the Treasury</w:t>
      </w:r>
      <w:r w:rsidR="00496ADA" w:rsidRPr="00764F24">
        <w:rPr>
          <w:rFonts w:cstheme="minorHAnsi"/>
          <w:szCs w:val="24"/>
          <w:lang w:val="en-GB"/>
        </w:rPr>
        <w:t xml:space="preserve">, </w:t>
      </w:r>
      <w:r w:rsidR="00496ADA" w:rsidRPr="00764F24">
        <w:rPr>
          <w:rFonts w:cstheme="minorHAnsi"/>
          <w:szCs w:val="24"/>
          <w:lang w:val="en-GB"/>
        </w:rPr>
        <w:lastRenderedPageBreak/>
        <w:t>with the two departments producing the first of what was intended to be an annual report on financial inclusion in 2019</w:t>
      </w:r>
      <w:r w:rsidR="00BF7FBA" w:rsidRPr="00764F24">
        <w:rPr>
          <w:rFonts w:cstheme="minorHAnsi"/>
          <w:szCs w:val="24"/>
          <w:lang w:val="en-GB"/>
        </w:rPr>
        <w:t xml:space="preserve">. </w:t>
      </w:r>
      <w:r w:rsidR="00FE0D81" w:rsidRPr="00764F24">
        <w:rPr>
          <w:rFonts w:cstheme="minorHAnsi"/>
          <w:szCs w:val="24"/>
          <w:lang w:val="en-GB"/>
        </w:rPr>
        <w:t>They also established the Financial Inclusion Policy Forum</w:t>
      </w:r>
      <w:r w:rsidR="00BF7FBA" w:rsidRPr="00764F24">
        <w:rPr>
          <w:rFonts w:cstheme="minorHAnsi"/>
          <w:szCs w:val="24"/>
          <w:lang w:val="en-GB"/>
        </w:rPr>
        <w:t xml:space="preserve">. </w:t>
      </w:r>
      <w:r w:rsidR="00FE0D81" w:rsidRPr="00764F24">
        <w:rPr>
          <w:rFonts w:cstheme="minorHAnsi"/>
          <w:szCs w:val="24"/>
          <w:lang w:val="en-GB"/>
        </w:rPr>
        <w:t>A series of other reforms and changes in regulation have taken place since then</w:t>
      </w:r>
      <w:r w:rsidR="00BF7FBA" w:rsidRPr="00764F24">
        <w:rPr>
          <w:rFonts w:cstheme="minorHAnsi"/>
          <w:szCs w:val="24"/>
          <w:lang w:val="en-GB"/>
        </w:rPr>
        <w:t xml:space="preserve">. </w:t>
      </w:r>
    </w:p>
    <w:p w14:paraId="7B5DA39F" w14:textId="6A7FF0A1" w:rsidR="007E64E2" w:rsidRPr="00764F24" w:rsidRDefault="00FE0D81" w:rsidP="00D86B69">
      <w:pPr>
        <w:spacing w:beforeAutospacing="1" w:after="100" w:afterAutospacing="1" w:line="360" w:lineRule="auto"/>
        <w:rPr>
          <w:rFonts w:cstheme="minorHAnsi"/>
          <w:szCs w:val="24"/>
          <w:lang w:val="en-GB"/>
        </w:rPr>
      </w:pPr>
      <w:r w:rsidRPr="00764F24">
        <w:rPr>
          <w:rFonts w:cstheme="minorHAnsi"/>
          <w:szCs w:val="24"/>
          <w:lang w:val="en-GB"/>
        </w:rPr>
        <w:t xml:space="preserve">For example, </w:t>
      </w:r>
      <w:r w:rsidR="00E00025" w:rsidRPr="00764F24">
        <w:rPr>
          <w:rFonts w:cstheme="minorHAnsi"/>
          <w:szCs w:val="24"/>
          <w:lang w:val="en-GB"/>
        </w:rPr>
        <w:t xml:space="preserve">the FCA introduced a </w:t>
      </w:r>
      <w:r w:rsidRPr="00764F24">
        <w:rPr>
          <w:rFonts w:cstheme="minorHAnsi"/>
          <w:szCs w:val="24"/>
          <w:lang w:val="en-GB"/>
        </w:rPr>
        <w:t>cap on the cost of rent-to-own products</w:t>
      </w:r>
      <w:r w:rsidR="006A42EE" w:rsidRPr="00764F24">
        <w:rPr>
          <w:rFonts w:cstheme="minorHAnsi"/>
          <w:szCs w:val="24"/>
          <w:lang w:val="en-GB"/>
        </w:rPr>
        <w:t xml:space="preserve"> from July 2019</w:t>
      </w:r>
      <w:r w:rsidRPr="00764F24">
        <w:rPr>
          <w:rFonts w:cstheme="minorHAnsi"/>
          <w:szCs w:val="24"/>
          <w:lang w:val="en-GB"/>
        </w:rPr>
        <w:t xml:space="preserve"> and a </w:t>
      </w:r>
      <w:r w:rsidR="00E00025" w:rsidRPr="00764F24">
        <w:rPr>
          <w:rFonts w:cstheme="minorHAnsi"/>
          <w:szCs w:val="24"/>
          <w:lang w:val="en-GB"/>
        </w:rPr>
        <w:t xml:space="preserve">package of reforms </w:t>
      </w:r>
      <w:r w:rsidRPr="00764F24">
        <w:rPr>
          <w:rFonts w:cstheme="minorHAnsi"/>
          <w:szCs w:val="24"/>
          <w:lang w:val="en-GB"/>
        </w:rPr>
        <w:t>relating to overdrafts</w:t>
      </w:r>
      <w:r w:rsidR="006A42EE" w:rsidRPr="00764F24">
        <w:rPr>
          <w:rFonts w:cstheme="minorHAnsi"/>
          <w:szCs w:val="24"/>
          <w:lang w:val="en-GB"/>
        </w:rPr>
        <w:t xml:space="preserve"> culminating in a change from April 2020 such that banks could only charge a simple annual interest rate for overdraft users – without additional fees and charges</w:t>
      </w:r>
      <w:r w:rsidRPr="00764F24">
        <w:rPr>
          <w:rFonts w:cstheme="minorHAnsi"/>
          <w:szCs w:val="24"/>
          <w:lang w:val="en-GB"/>
        </w:rPr>
        <w:t xml:space="preserve">. </w:t>
      </w:r>
      <w:r w:rsidR="00E00025" w:rsidRPr="00764F24">
        <w:rPr>
          <w:rFonts w:cstheme="minorHAnsi"/>
          <w:szCs w:val="24"/>
          <w:lang w:val="en-GB"/>
        </w:rPr>
        <w:t xml:space="preserve">The FCA have also acted in relation to a </w:t>
      </w:r>
      <w:r w:rsidR="006A42EE" w:rsidRPr="00764F24">
        <w:rPr>
          <w:rFonts w:cstheme="minorHAnsi"/>
          <w:szCs w:val="24"/>
          <w:lang w:val="en-GB"/>
        </w:rPr>
        <w:t xml:space="preserve">growing </w:t>
      </w:r>
      <w:r w:rsidR="00E00025" w:rsidRPr="00764F24">
        <w:rPr>
          <w:rFonts w:cstheme="minorHAnsi"/>
          <w:szCs w:val="24"/>
          <w:lang w:val="en-GB"/>
        </w:rPr>
        <w:t>form of high-cost credit, Buy Now Pay Later (BNPL) offers</w:t>
      </w:r>
      <w:r w:rsidR="00BF7FBA" w:rsidRPr="00764F24">
        <w:rPr>
          <w:rFonts w:cstheme="minorHAnsi"/>
          <w:szCs w:val="24"/>
          <w:lang w:val="en-GB"/>
        </w:rPr>
        <w:t xml:space="preserve">. </w:t>
      </w:r>
      <w:r w:rsidR="006A42EE" w:rsidRPr="00764F24">
        <w:rPr>
          <w:rFonts w:cstheme="minorHAnsi"/>
          <w:szCs w:val="24"/>
          <w:lang w:val="en-GB"/>
        </w:rPr>
        <w:t>F</w:t>
      </w:r>
      <w:r w:rsidR="00E00025" w:rsidRPr="00764F24">
        <w:rPr>
          <w:rFonts w:cstheme="minorHAnsi"/>
          <w:szCs w:val="24"/>
          <w:lang w:val="en-GB"/>
        </w:rPr>
        <w:t>rom the end of 2019</w:t>
      </w:r>
      <w:r w:rsidR="006A42EE" w:rsidRPr="00764F24">
        <w:rPr>
          <w:rFonts w:cstheme="minorHAnsi"/>
          <w:szCs w:val="24"/>
          <w:lang w:val="en-GB"/>
        </w:rPr>
        <w:t>, providers were obliged</w:t>
      </w:r>
      <w:r w:rsidR="00E00025" w:rsidRPr="00764F24">
        <w:rPr>
          <w:rFonts w:cstheme="minorHAnsi"/>
          <w:szCs w:val="24"/>
          <w:lang w:val="en-GB"/>
        </w:rPr>
        <w:t xml:space="preserve"> to </w:t>
      </w:r>
      <w:r w:rsidR="006A42EE" w:rsidRPr="00764F24">
        <w:rPr>
          <w:rFonts w:cstheme="minorHAnsi"/>
          <w:szCs w:val="24"/>
          <w:lang w:val="en-GB"/>
        </w:rPr>
        <w:t>give clearer</w:t>
      </w:r>
      <w:r w:rsidR="00E00025" w:rsidRPr="00764F24">
        <w:rPr>
          <w:rFonts w:cstheme="minorHAnsi"/>
          <w:szCs w:val="24"/>
          <w:lang w:val="en-GB"/>
        </w:rPr>
        <w:t xml:space="preserve"> information to customers and to prevent interest payments being backdated.</w:t>
      </w:r>
    </w:p>
    <w:p w14:paraId="0B8982FE" w14:textId="5C4E4E5D" w:rsidR="007E64E2" w:rsidRPr="00764F24" w:rsidRDefault="00C25B9C" w:rsidP="00D86B69">
      <w:pPr>
        <w:spacing w:beforeAutospacing="1" w:after="100" w:afterAutospacing="1" w:line="360" w:lineRule="auto"/>
        <w:rPr>
          <w:rFonts w:cstheme="minorHAnsi"/>
          <w:szCs w:val="24"/>
          <w:lang w:val="en-GB"/>
        </w:rPr>
      </w:pPr>
      <w:r w:rsidRPr="00764F24">
        <w:rPr>
          <w:rFonts w:cstheme="minorHAnsi"/>
          <w:szCs w:val="24"/>
          <w:lang w:val="en-GB"/>
        </w:rPr>
        <w:t>HM</w:t>
      </w:r>
      <w:r w:rsidR="006A42EE" w:rsidRPr="00764F24">
        <w:rPr>
          <w:rFonts w:cstheme="minorHAnsi"/>
          <w:szCs w:val="24"/>
          <w:lang w:val="en-GB"/>
        </w:rPr>
        <w:t xml:space="preserve"> Treasury</w:t>
      </w:r>
      <w:r w:rsidRPr="00764F24">
        <w:rPr>
          <w:rStyle w:val="FootnoteReference"/>
          <w:rFonts w:cstheme="minorHAnsi"/>
          <w:szCs w:val="24"/>
          <w:lang w:val="en-GB"/>
        </w:rPr>
        <w:footnoteReference w:id="12"/>
      </w:r>
      <w:r w:rsidR="006A42EE" w:rsidRPr="00764F24">
        <w:rPr>
          <w:rFonts w:cstheme="minorHAnsi"/>
          <w:szCs w:val="24"/>
          <w:lang w:val="en-GB"/>
        </w:rPr>
        <w:t xml:space="preserve"> has also been active in this space, with </w:t>
      </w:r>
      <w:r w:rsidR="00E00025" w:rsidRPr="00764F24">
        <w:rPr>
          <w:rFonts w:cstheme="minorHAnsi"/>
          <w:szCs w:val="24"/>
          <w:lang w:val="en-GB"/>
        </w:rPr>
        <w:t>the Help to Save scheme</w:t>
      </w:r>
      <w:r w:rsidR="006A42EE" w:rsidRPr="00764F24">
        <w:rPr>
          <w:rFonts w:cstheme="minorHAnsi"/>
          <w:szCs w:val="24"/>
          <w:lang w:val="en-GB"/>
        </w:rPr>
        <w:t xml:space="preserve"> </w:t>
      </w:r>
      <w:r w:rsidR="00E00025" w:rsidRPr="00764F24">
        <w:rPr>
          <w:rFonts w:cstheme="minorHAnsi"/>
          <w:szCs w:val="24"/>
          <w:lang w:val="en-GB"/>
        </w:rPr>
        <w:t xml:space="preserve">launched </w:t>
      </w:r>
      <w:r w:rsidR="006A42EE" w:rsidRPr="00764F24">
        <w:rPr>
          <w:rFonts w:cstheme="minorHAnsi"/>
          <w:szCs w:val="24"/>
          <w:lang w:val="en-GB"/>
        </w:rPr>
        <w:t xml:space="preserve">in </w:t>
      </w:r>
      <w:r w:rsidR="00E00025" w:rsidRPr="00764F24">
        <w:rPr>
          <w:rFonts w:cstheme="minorHAnsi"/>
          <w:szCs w:val="24"/>
          <w:lang w:val="en-GB"/>
        </w:rPr>
        <w:t>September 2018, to support people on low incomes to build up a savings buffe</w:t>
      </w:r>
      <w:r w:rsidR="00686EF1" w:rsidRPr="00764F24">
        <w:rPr>
          <w:rFonts w:cstheme="minorHAnsi"/>
          <w:szCs w:val="24"/>
          <w:lang w:val="en-GB"/>
        </w:rPr>
        <w:t xml:space="preserve">r. A pilot of a new </w:t>
      </w:r>
      <w:r w:rsidR="006A42EE" w:rsidRPr="00764F24">
        <w:rPr>
          <w:rFonts w:cstheme="minorHAnsi"/>
          <w:szCs w:val="24"/>
          <w:lang w:val="en-GB"/>
        </w:rPr>
        <w:t xml:space="preserve">Prize-linked Savings Scheme </w:t>
      </w:r>
      <w:r w:rsidR="00686EF1" w:rsidRPr="00764F24">
        <w:rPr>
          <w:rFonts w:cstheme="minorHAnsi"/>
          <w:szCs w:val="24"/>
          <w:lang w:val="en-GB"/>
        </w:rPr>
        <w:t>is planned. HM Treasury released a feasibility study on a No Interest Loans Scheme, with London Economics, in March 2020.</w:t>
      </w:r>
      <w:r w:rsidR="00686EF1" w:rsidRPr="00764F24">
        <w:rPr>
          <w:rStyle w:val="FootnoteReference"/>
          <w:rFonts w:cstheme="minorHAnsi"/>
          <w:szCs w:val="24"/>
          <w:lang w:val="en-GB"/>
        </w:rPr>
        <w:footnoteReference w:id="13"/>
      </w:r>
      <w:r w:rsidR="00BF7FBA" w:rsidRPr="00764F24">
        <w:rPr>
          <w:rFonts w:cstheme="minorHAnsi"/>
          <w:szCs w:val="24"/>
          <w:lang w:val="en-GB"/>
        </w:rPr>
        <w:t xml:space="preserve"> </w:t>
      </w:r>
      <w:r w:rsidR="00E00025" w:rsidRPr="00764F24">
        <w:rPr>
          <w:rFonts w:cstheme="minorHAnsi"/>
          <w:szCs w:val="24"/>
          <w:lang w:val="en-GB"/>
        </w:rPr>
        <w:t>In terms of access to affordable credit</w:t>
      </w:r>
      <w:r w:rsidR="00E803AD" w:rsidRPr="00764F24">
        <w:rPr>
          <w:rFonts w:cstheme="minorHAnsi"/>
          <w:szCs w:val="24"/>
          <w:lang w:val="en-GB"/>
        </w:rPr>
        <w:t>, Fair4All Finance is the independent body set up to distribute dormant assets towards financial inclusion</w:t>
      </w:r>
      <w:r w:rsidR="00BF7FBA" w:rsidRPr="00764F24">
        <w:rPr>
          <w:rFonts w:cstheme="minorHAnsi"/>
          <w:szCs w:val="24"/>
          <w:lang w:val="en-GB"/>
        </w:rPr>
        <w:t>.</w:t>
      </w:r>
      <w:r w:rsidR="008D2686" w:rsidRPr="00764F24">
        <w:rPr>
          <w:rFonts w:cstheme="minorHAnsi"/>
          <w:szCs w:val="24"/>
          <w:lang w:val="en-GB"/>
        </w:rPr>
        <w:t xml:space="preserve"> </w:t>
      </w:r>
    </w:p>
    <w:p w14:paraId="190D0E73" w14:textId="4CC9FC9A" w:rsidR="007E64E2" w:rsidRPr="00764F24" w:rsidRDefault="006A42EE" w:rsidP="00D86B69">
      <w:pPr>
        <w:spacing w:beforeAutospacing="1" w:after="100" w:afterAutospacing="1" w:line="360" w:lineRule="auto"/>
        <w:rPr>
          <w:rFonts w:cstheme="minorHAnsi"/>
          <w:szCs w:val="24"/>
          <w:lang w:val="en-GB"/>
        </w:rPr>
      </w:pPr>
      <w:r w:rsidRPr="00764F24">
        <w:rPr>
          <w:rFonts w:cstheme="minorHAnsi"/>
          <w:szCs w:val="24"/>
          <w:lang w:val="en-GB"/>
        </w:rPr>
        <w:t xml:space="preserve">Despite all this activity on the policy and regulatory fronts, the last year or so has been dominated by Brexit-related politics </w:t>
      </w:r>
      <w:r w:rsidR="00E577A2" w:rsidRPr="00764F24">
        <w:rPr>
          <w:rFonts w:cstheme="minorHAnsi"/>
          <w:szCs w:val="24"/>
          <w:lang w:val="en-GB"/>
        </w:rPr>
        <w:t>culminating in</w:t>
      </w:r>
      <w:r w:rsidRPr="00764F24">
        <w:rPr>
          <w:rFonts w:cstheme="minorHAnsi"/>
          <w:szCs w:val="24"/>
          <w:lang w:val="en-GB"/>
        </w:rPr>
        <w:t xml:space="preserve"> the </w:t>
      </w:r>
      <w:r w:rsidR="00D533A1" w:rsidRPr="00764F24">
        <w:rPr>
          <w:rFonts w:cstheme="minorHAnsi"/>
          <w:szCs w:val="24"/>
          <w:lang w:val="en-GB"/>
        </w:rPr>
        <w:t xml:space="preserve">December 2019 </w:t>
      </w:r>
      <w:r w:rsidR="00C25B9C" w:rsidRPr="00764F24">
        <w:rPr>
          <w:rFonts w:cstheme="minorHAnsi"/>
          <w:szCs w:val="24"/>
          <w:lang w:val="en-GB"/>
        </w:rPr>
        <w:t xml:space="preserve">General </w:t>
      </w:r>
      <w:r w:rsidR="00D533A1" w:rsidRPr="00764F24">
        <w:rPr>
          <w:rFonts w:cstheme="minorHAnsi"/>
          <w:szCs w:val="24"/>
          <w:lang w:val="en-GB"/>
        </w:rPr>
        <w:t>Election</w:t>
      </w:r>
      <w:r w:rsidR="00BF7FBA" w:rsidRPr="00764F24">
        <w:rPr>
          <w:rFonts w:cstheme="minorHAnsi"/>
          <w:szCs w:val="24"/>
          <w:lang w:val="en-GB"/>
        </w:rPr>
        <w:t xml:space="preserve">. </w:t>
      </w:r>
      <w:r w:rsidR="00E577A2" w:rsidRPr="00764F24">
        <w:rPr>
          <w:rFonts w:cstheme="minorHAnsi"/>
          <w:szCs w:val="24"/>
          <w:lang w:val="en-GB"/>
        </w:rPr>
        <w:t xml:space="preserve">And in 2020, of course, the response to the </w:t>
      </w:r>
      <w:r w:rsidR="00A12E5C" w:rsidRPr="00764F24">
        <w:rPr>
          <w:rFonts w:cstheme="minorHAnsi"/>
          <w:szCs w:val="24"/>
          <w:lang w:val="en-GB"/>
        </w:rPr>
        <w:t xml:space="preserve"> COVID-19</w:t>
      </w:r>
      <w:r w:rsidR="00E577A2" w:rsidRPr="00764F24">
        <w:rPr>
          <w:rFonts w:cstheme="minorHAnsi"/>
          <w:szCs w:val="24"/>
          <w:lang w:val="en-GB"/>
        </w:rPr>
        <w:t xml:space="preserve"> crisis has come to the forefront, with major impacts for people’s finances, as we shall see in this report.</w:t>
      </w:r>
    </w:p>
    <w:p w14:paraId="7FB5BB64" w14:textId="1E093E18" w:rsidR="008A3CC4" w:rsidRPr="00764F24" w:rsidRDefault="008A3CC4" w:rsidP="00D86B69">
      <w:pPr>
        <w:spacing w:beforeAutospacing="1" w:after="100" w:afterAutospacing="1" w:line="360" w:lineRule="auto"/>
        <w:rPr>
          <w:rFonts w:cstheme="minorHAnsi"/>
          <w:szCs w:val="24"/>
          <w:lang w:val="en-GB"/>
        </w:rPr>
      </w:pPr>
      <w:r w:rsidRPr="00764F24">
        <w:rPr>
          <w:rFonts w:cstheme="minorHAnsi"/>
          <w:szCs w:val="24"/>
          <w:lang w:val="en-GB"/>
        </w:rPr>
        <w:t>Relevant policies to financial inclusion</w:t>
      </w:r>
      <w:r w:rsidR="008E2B45" w:rsidRPr="00764F24">
        <w:rPr>
          <w:rFonts w:cstheme="minorHAnsi"/>
          <w:szCs w:val="24"/>
          <w:lang w:val="en-GB"/>
        </w:rPr>
        <w:t>,</w:t>
      </w:r>
      <w:r w:rsidRPr="00764F24">
        <w:rPr>
          <w:rFonts w:cstheme="minorHAnsi"/>
          <w:szCs w:val="24"/>
          <w:lang w:val="en-GB"/>
        </w:rPr>
        <w:t xml:space="preserve"> </w:t>
      </w:r>
      <w:r w:rsidR="00234F6F" w:rsidRPr="00764F24">
        <w:rPr>
          <w:rFonts w:cstheme="minorHAnsi"/>
          <w:szCs w:val="24"/>
          <w:lang w:val="en-GB"/>
        </w:rPr>
        <w:t xml:space="preserve">since the </w:t>
      </w:r>
      <w:r w:rsidR="00A12E5C" w:rsidRPr="00764F24">
        <w:rPr>
          <w:rFonts w:cstheme="minorHAnsi"/>
          <w:szCs w:val="24"/>
          <w:lang w:val="en-GB"/>
        </w:rPr>
        <w:t xml:space="preserve"> COVID-19</w:t>
      </w:r>
      <w:r w:rsidR="00234F6F" w:rsidRPr="00764F24">
        <w:rPr>
          <w:rFonts w:cstheme="minorHAnsi"/>
          <w:szCs w:val="24"/>
          <w:lang w:val="en-GB"/>
        </w:rPr>
        <w:t xml:space="preserve"> crisis began</w:t>
      </w:r>
      <w:r w:rsidR="008E2B45" w:rsidRPr="00764F24">
        <w:rPr>
          <w:rFonts w:cstheme="minorHAnsi"/>
          <w:szCs w:val="24"/>
          <w:lang w:val="en-GB"/>
        </w:rPr>
        <w:t>,</w:t>
      </w:r>
      <w:r w:rsidR="00234F6F" w:rsidRPr="00764F24">
        <w:rPr>
          <w:rFonts w:cstheme="minorHAnsi"/>
          <w:szCs w:val="24"/>
          <w:lang w:val="en-GB"/>
        </w:rPr>
        <w:t xml:space="preserve"> </w:t>
      </w:r>
      <w:r w:rsidRPr="00764F24">
        <w:rPr>
          <w:rFonts w:cstheme="minorHAnsi"/>
          <w:szCs w:val="24"/>
          <w:lang w:val="en-GB"/>
        </w:rPr>
        <w:t xml:space="preserve">include asking lenders to </w:t>
      </w:r>
      <w:r w:rsidR="00C25B9C" w:rsidRPr="00764F24">
        <w:rPr>
          <w:rFonts w:cstheme="minorHAnsi"/>
          <w:szCs w:val="24"/>
          <w:lang w:val="en-GB"/>
        </w:rPr>
        <w:t xml:space="preserve">provide </w:t>
      </w:r>
      <w:r w:rsidRPr="00764F24">
        <w:rPr>
          <w:rFonts w:cstheme="minorHAnsi"/>
          <w:szCs w:val="24"/>
          <w:lang w:val="en-GB"/>
        </w:rPr>
        <w:t xml:space="preserve">mortgages </w:t>
      </w:r>
      <w:r w:rsidR="00C25B9C" w:rsidRPr="00764F24">
        <w:rPr>
          <w:rFonts w:cstheme="minorHAnsi"/>
          <w:szCs w:val="24"/>
          <w:lang w:val="en-GB"/>
        </w:rPr>
        <w:t>payment holidays and similar holidays for other</w:t>
      </w:r>
      <w:r w:rsidRPr="00764F24">
        <w:rPr>
          <w:rFonts w:cstheme="minorHAnsi"/>
          <w:szCs w:val="24"/>
          <w:lang w:val="en-GB"/>
        </w:rPr>
        <w:t xml:space="preserve"> loans</w:t>
      </w:r>
      <w:r w:rsidR="00C25B9C" w:rsidRPr="00764F24">
        <w:rPr>
          <w:rFonts w:cstheme="minorHAnsi"/>
          <w:szCs w:val="24"/>
          <w:lang w:val="en-GB"/>
        </w:rPr>
        <w:t xml:space="preserve"> where borrowers</w:t>
      </w:r>
      <w:r w:rsidR="007B18FF" w:rsidRPr="00764F24">
        <w:rPr>
          <w:rFonts w:cstheme="minorHAnsi"/>
          <w:szCs w:val="24"/>
          <w:lang w:val="en-GB"/>
        </w:rPr>
        <w:t xml:space="preserve"> are struggling to make payment</w:t>
      </w:r>
      <w:r w:rsidR="00C25B9C" w:rsidRPr="00764F24">
        <w:rPr>
          <w:rFonts w:cstheme="minorHAnsi"/>
          <w:szCs w:val="24"/>
          <w:lang w:val="en-GB"/>
        </w:rPr>
        <w:t>s</w:t>
      </w:r>
      <w:r w:rsidR="00BF7FBA" w:rsidRPr="00764F24">
        <w:rPr>
          <w:rFonts w:cstheme="minorHAnsi"/>
          <w:szCs w:val="24"/>
          <w:lang w:val="en-GB"/>
        </w:rPr>
        <w:t xml:space="preserve">. </w:t>
      </w:r>
      <w:r w:rsidR="007B18FF" w:rsidRPr="00764F24">
        <w:rPr>
          <w:rFonts w:cstheme="minorHAnsi"/>
          <w:szCs w:val="24"/>
          <w:lang w:val="en-GB"/>
        </w:rPr>
        <w:t>Renters have received some temporary protection from eviction but there are no holidays from rent payments</w:t>
      </w:r>
      <w:r w:rsidR="00BF7FBA" w:rsidRPr="00764F24">
        <w:rPr>
          <w:rFonts w:cstheme="minorHAnsi"/>
          <w:szCs w:val="24"/>
          <w:lang w:val="en-GB"/>
        </w:rPr>
        <w:t xml:space="preserve">. </w:t>
      </w:r>
      <w:r w:rsidRPr="00764F24">
        <w:rPr>
          <w:rFonts w:cstheme="minorHAnsi"/>
          <w:szCs w:val="24"/>
          <w:lang w:val="en-GB"/>
        </w:rPr>
        <w:t xml:space="preserve">There has </w:t>
      </w:r>
      <w:r w:rsidR="00234F6F" w:rsidRPr="00764F24">
        <w:rPr>
          <w:rFonts w:cstheme="minorHAnsi"/>
          <w:szCs w:val="24"/>
          <w:lang w:val="en-GB"/>
        </w:rPr>
        <w:t xml:space="preserve">also </w:t>
      </w:r>
      <w:r w:rsidRPr="00764F24">
        <w:rPr>
          <w:rFonts w:cstheme="minorHAnsi"/>
          <w:szCs w:val="24"/>
          <w:lang w:val="en-GB"/>
        </w:rPr>
        <w:t>been an unprecedented response to supporting those in and out or work e</w:t>
      </w:r>
      <w:r w:rsidR="00122693" w:rsidRPr="00764F24">
        <w:rPr>
          <w:rFonts w:cstheme="minorHAnsi"/>
          <w:szCs w:val="24"/>
          <w:lang w:val="en-GB"/>
        </w:rPr>
        <w:t>.</w:t>
      </w:r>
      <w:r w:rsidRPr="00764F24">
        <w:rPr>
          <w:rFonts w:cstheme="minorHAnsi"/>
          <w:szCs w:val="24"/>
          <w:lang w:val="en-GB"/>
        </w:rPr>
        <w:t>g</w:t>
      </w:r>
      <w:r w:rsidR="00122693" w:rsidRPr="00764F24">
        <w:rPr>
          <w:rFonts w:cstheme="minorHAnsi"/>
          <w:szCs w:val="24"/>
          <w:lang w:val="en-GB"/>
        </w:rPr>
        <w:t>.</w:t>
      </w:r>
      <w:r w:rsidRPr="00764F24">
        <w:rPr>
          <w:rFonts w:cstheme="minorHAnsi"/>
          <w:szCs w:val="24"/>
          <w:lang w:val="en-GB"/>
        </w:rPr>
        <w:t xml:space="preserve"> </w:t>
      </w:r>
      <w:r w:rsidR="00C25B9C" w:rsidRPr="00764F24">
        <w:rPr>
          <w:rFonts w:cstheme="minorHAnsi"/>
          <w:szCs w:val="24"/>
          <w:lang w:val="en-GB"/>
        </w:rPr>
        <w:t>the Job Retention scheme which has f</w:t>
      </w:r>
      <w:r w:rsidRPr="00764F24">
        <w:rPr>
          <w:rFonts w:cstheme="minorHAnsi"/>
          <w:szCs w:val="24"/>
          <w:lang w:val="en-GB"/>
        </w:rPr>
        <w:t>urlough</w:t>
      </w:r>
      <w:r w:rsidR="00C25B9C" w:rsidRPr="00764F24">
        <w:rPr>
          <w:rFonts w:cstheme="minorHAnsi"/>
          <w:szCs w:val="24"/>
          <w:lang w:val="en-GB"/>
        </w:rPr>
        <w:t>ed around 6 million workers, enabling them to keep their jobs and the majority, if not all, of their income</w:t>
      </w:r>
      <w:r w:rsidR="00BF7FBA" w:rsidRPr="00764F24">
        <w:rPr>
          <w:rFonts w:cstheme="minorHAnsi"/>
          <w:szCs w:val="24"/>
          <w:lang w:val="en-GB"/>
        </w:rPr>
        <w:t xml:space="preserve">. </w:t>
      </w:r>
      <w:r w:rsidR="00C25B9C" w:rsidRPr="00764F24">
        <w:rPr>
          <w:rFonts w:cstheme="minorHAnsi"/>
          <w:szCs w:val="24"/>
          <w:lang w:val="en-GB"/>
        </w:rPr>
        <w:t xml:space="preserve">There has also been </w:t>
      </w:r>
      <w:r w:rsidRPr="00764F24">
        <w:rPr>
          <w:rFonts w:cstheme="minorHAnsi"/>
          <w:szCs w:val="24"/>
          <w:lang w:val="en-GB"/>
        </w:rPr>
        <w:t xml:space="preserve">support for the self-employed </w:t>
      </w:r>
      <w:r w:rsidR="00C25B9C" w:rsidRPr="00764F24">
        <w:rPr>
          <w:rFonts w:cstheme="minorHAnsi"/>
          <w:szCs w:val="24"/>
          <w:lang w:val="en-GB"/>
        </w:rPr>
        <w:t xml:space="preserve">and small businesses which has been </w:t>
      </w:r>
      <w:r w:rsidR="00C25B9C" w:rsidRPr="00764F24">
        <w:rPr>
          <w:rFonts w:cstheme="minorHAnsi"/>
          <w:szCs w:val="24"/>
          <w:lang w:val="en-GB"/>
        </w:rPr>
        <w:lastRenderedPageBreak/>
        <w:t>very g</w:t>
      </w:r>
      <w:r w:rsidRPr="00764F24">
        <w:rPr>
          <w:rFonts w:cstheme="minorHAnsi"/>
          <w:szCs w:val="24"/>
          <w:lang w:val="en-GB"/>
        </w:rPr>
        <w:t xml:space="preserve">enerous </w:t>
      </w:r>
      <w:r w:rsidR="00C25B9C" w:rsidRPr="00764F24">
        <w:rPr>
          <w:rFonts w:cstheme="minorHAnsi"/>
          <w:szCs w:val="24"/>
          <w:lang w:val="en-GB"/>
        </w:rPr>
        <w:t xml:space="preserve">for some </w:t>
      </w:r>
      <w:r w:rsidRPr="00764F24">
        <w:rPr>
          <w:rFonts w:cstheme="minorHAnsi"/>
          <w:szCs w:val="24"/>
          <w:lang w:val="en-GB"/>
        </w:rPr>
        <w:t xml:space="preserve">but </w:t>
      </w:r>
      <w:r w:rsidR="00C25B9C" w:rsidRPr="00764F24">
        <w:rPr>
          <w:rFonts w:cstheme="minorHAnsi"/>
          <w:szCs w:val="24"/>
          <w:lang w:val="en-GB"/>
        </w:rPr>
        <w:t xml:space="preserve">with </w:t>
      </w:r>
      <w:r w:rsidRPr="00764F24">
        <w:rPr>
          <w:rFonts w:cstheme="minorHAnsi"/>
          <w:szCs w:val="24"/>
          <w:lang w:val="en-GB"/>
        </w:rPr>
        <w:t xml:space="preserve">many left out: </w:t>
      </w:r>
      <w:r w:rsidR="00C25B9C" w:rsidRPr="00764F24">
        <w:rPr>
          <w:rFonts w:cstheme="minorHAnsi"/>
          <w:szCs w:val="24"/>
          <w:lang w:val="en-GB"/>
        </w:rPr>
        <w:t xml:space="preserve">including the </w:t>
      </w:r>
      <w:r w:rsidRPr="00764F24">
        <w:rPr>
          <w:rFonts w:cstheme="minorHAnsi"/>
          <w:szCs w:val="24"/>
          <w:lang w:val="en-GB"/>
        </w:rPr>
        <w:t>newly self-employed, those with less than 50</w:t>
      </w:r>
      <w:r w:rsidR="00692125" w:rsidRPr="00764F24">
        <w:rPr>
          <w:rFonts w:cstheme="minorHAnsi"/>
          <w:szCs w:val="24"/>
          <w:lang w:val="en-GB"/>
        </w:rPr>
        <w:t xml:space="preserve"> per cent</w:t>
      </w:r>
      <w:r w:rsidRPr="00764F24">
        <w:rPr>
          <w:rFonts w:cstheme="minorHAnsi"/>
          <w:szCs w:val="24"/>
          <w:lang w:val="en-GB"/>
        </w:rPr>
        <w:t xml:space="preserve"> of </w:t>
      </w:r>
      <w:r w:rsidR="00C25B9C" w:rsidRPr="00764F24">
        <w:rPr>
          <w:rFonts w:cstheme="minorHAnsi"/>
          <w:szCs w:val="24"/>
          <w:lang w:val="en-GB"/>
        </w:rPr>
        <w:t xml:space="preserve">their earnings from self-employment and </w:t>
      </w:r>
      <w:r w:rsidRPr="00764F24">
        <w:rPr>
          <w:rFonts w:cstheme="minorHAnsi"/>
          <w:szCs w:val="24"/>
          <w:lang w:val="en-GB"/>
        </w:rPr>
        <w:t xml:space="preserve">those earning </w:t>
      </w:r>
      <w:r w:rsidR="00C25B9C" w:rsidRPr="00764F24">
        <w:rPr>
          <w:rFonts w:cstheme="minorHAnsi"/>
          <w:szCs w:val="24"/>
          <w:lang w:val="en-GB"/>
        </w:rPr>
        <w:t xml:space="preserve">more than </w:t>
      </w:r>
      <w:r w:rsidRPr="00764F24">
        <w:rPr>
          <w:rFonts w:cstheme="minorHAnsi"/>
          <w:szCs w:val="24"/>
          <w:lang w:val="en-GB"/>
        </w:rPr>
        <w:t>£50</w:t>
      </w:r>
      <w:r w:rsidR="00C25B9C" w:rsidRPr="00764F24">
        <w:rPr>
          <w:rFonts w:cstheme="minorHAnsi"/>
          <w:szCs w:val="24"/>
          <w:lang w:val="en-GB"/>
        </w:rPr>
        <w:t>,000</w:t>
      </w:r>
      <w:r w:rsidR="00BF7FBA" w:rsidRPr="00764F24">
        <w:rPr>
          <w:rFonts w:cstheme="minorHAnsi"/>
          <w:szCs w:val="24"/>
          <w:lang w:val="en-GB"/>
        </w:rPr>
        <w:t xml:space="preserve">. </w:t>
      </w:r>
      <w:r w:rsidRPr="00764F24">
        <w:rPr>
          <w:rFonts w:cstheme="minorHAnsi"/>
          <w:szCs w:val="24"/>
          <w:lang w:val="en-GB"/>
        </w:rPr>
        <w:t>Adjustments to the social security safety net have also been made including a £1,000 p</w:t>
      </w:r>
      <w:r w:rsidR="006C3C14" w:rsidRPr="00764F24">
        <w:rPr>
          <w:rFonts w:cstheme="minorHAnsi"/>
          <w:szCs w:val="24"/>
          <w:lang w:val="en-GB"/>
        </w:rPr>
        <w:t xml:space="preserve">er </w:t>
      </w:r>
      <w:r w:rsidRPr="00764F24">
        <w:rPr>
          <w:rFonts w:cstheme="minorHAnsi"/>
          <w:szCs w:val="24"/>
          <w:lang w:val="en-GB"/>
        </w:rPr>
        <w:t>a</w:t>
      </w:r>
      <w:r w:rsidR="006C3C14" w:rsidRPr="00764F24">
        <w:rPr>
          <w:rFonts w:cstheme="minorHAnsi"/>
          <w:szCs w:val="24"/>
          <w:lang w:val="en-GB"/>
        </w:rPr>
        <w:t>nnum</w:t>
      </w:r>
      <w:r w:rsidRPr="00764F24">
        <w:rPr>
          <w:rFonts w:cstheme="minorHAnsi"/>
          <w:szCs w:val="24"/>
          <w:lang w:val="en-GB"/>
        </w:rPr>
        <w:t xml:space="preserve"> Universal Credit supplement, </w:t>
      </w:r>
      <w:r w:rsidR="007B18FF" w:rsidRPr="00764F24">
        <w:rPr>
          <w:rFonts w:cstheme="minorHAnsi"/>
          <w:szCs w:val="24"/>
          <w:lang w:val="en-GB"/>
        </w:rPr>
        <w:t xml:space="preserve">a </w:t>
      </w:r>
      <w:r w:rsidRPr="00764F24">
        <w:rPr>
          <w:rFonts w:cstheme="minorHAnsi"/>
          <w:szCs w:val="24"/>
          <w:lang w:val="en-GB"/>
        </w:rPr>
        <w:t>re-alignment of H</w:t>
      </w:r>
      <w:r w:rsidR="00C25B9C" w:rsidRPr="00764F24">
        <w:rPr>
          <w:rFonts w:cstheme="minorHAnsi"/>
          <w:szCs w:val="24"/>
          <w:lang w:val="en-GB"/>
        </w:rPr>
        <w:t xml:space="preserve">ousing </w:t>
      </w:r>
      <w:r w:rsidRPr="00764F24">
        <w:rPr>
          <w:rFonts w:cstheme="minorHAnsi"/>
          <w:szCs w:val="24"/>
          <w:lang w:val="en-GB"/>
        </w:rPr>
        <w:t>B</w:t>
      </w:r>
      <w:r w:rsidR="00C25B9C" w:rsidRPr="00764F24">
        <w:rPr>
          <w:rFonts w:cstheme="minorHAnsi"/>
          <w:szCs w:val="24"/>
          <w:lang w:val="en-GB"/>
        </w:rPr>
        <w:t>enefit</w:t>
      </w:r>
      <w:r w:rsidRPr="00764F24">
        <w:rPr>
          <w:rFonts w:cstheme="minorHAnsi"/>
          <w:szCs w:val="24"/>
          <w:lang w:val="en-GB"/>
        </w:rPr>
        <w:t xml:space="preserve"> with 30th percentile local rents</w:t>
      </w:r>
      <w:r w:rsidR="007B18FF" w:rsidRPr="00764F24">
        <w:rPr>
          <w:rFonts w:cstheme="minorHAnsi"/>
          <w:szCs w:val="24"/>
          <w:lang w:val="en-GB"/>
        </w:rPr>
        <w:t xml:space="preserve"> to increase support for rent payments</w:t>
      </w:r>
      <w:r w:rsidRPr="00764F24">
        <w:rPr>
          <w:rFonts w:cstheme="minorHAnsi"/>
          <w:szCs w:val="24"/>
          <w:lang w:val="en-GB"/>
        </w:rPr>
        <w:t>,</w:t>
      </w:r>
      <w:r w:rsidR="00C25B9C" w:rsidRPr="00764F24">
        <w:rPr>
          <w:rFonts w:cstheme="minorHAnsi"/>
          <w:szCs w:val="24"/>
          <w:lang w:val="en-GB"/>
        </w:rPr>
        <w:t xml:space="preserve"> and a relaxation of the </w:t>
      </w:r>
      <w:r w:rsidRPr="00764F24">
        <w:rPr>
          <w:rFonts w:cstheme="minorHAnsi"/>
          <w:szCs w:val="24"/>
          <w:lang w:val="en-GB"/>
        </w:rPr>
        <w:t>sick pay rules</w:t>
      </w:r>
      <w:r w:rsidR="00BF7FBA" w:rsidRPr="00764F24">
        <w:rPr>
          <w:rFonts w:cstheme="minorHAnsi"/>
          <w:szCs w:val="24"/>
          <w:lang w:val="en-GB"/>
        </w:rPr>
        <w:t>.</w:t>
      </w:r>
      <w:r w:rsidR="008D2686" w:rsidRPr="00764F24">
        <w:rPr>
          <w:rFonts w:cstheme="minorHAnsi"/>
          <w:szCs w:val="24"/>
          <w:lang w:val="en-GB"/>
        </w:rPr>
        <w:t xml:space="preserve"> </w:t>
      </w:r>
    </w:p>
    <w:p w14:paraId="6B735644" w14:textId="172F6722" w:rsidR="00CD7138" w:rsidRPr="00764F24" w:rsidRDefault="00CD7138" w:rsidP="00D86B69">
      <w:pPr>
        <w:spacing w:beforeAutospacing="1" w:after="100" w:afterAutospacing="1" w:line="360" w:lineRule="auto"/>
        <w:rPr>
          <w:rFonts w:cstheme="minorHAnsi"/>
          <w:szCs w:val="24"/>
          <w:lang w:val="en-GB"/>
        </w:rPr>
      </w:pPr>
      <w:r w:rsidRPr="00764F24">
        <w:rPr>
          <w:rFonts w:cstheme="minorHAnsi"/>
          <w:szCs w:val="24"/>
          <w:lang w:val="en-GB"/>
        </w:rPr>
        <w:t xml:space="preserve">While this report focuses on updating our usual statistics on financial inclusion we have </w:t>
      </w:r>
      <w:r w:rsidR="00764F24">
        <w:rPr>
          <w:rFonts w:cstheme="minorHAnsi"/>
          <w:szCs w:val="24"/>
          <w:lang w:val="en-GB"/>
        </w:rPr>
        <w:t>a</w:t>
      </w:r>
      <w:r w:rsidRPr="00764F24">
        <w:rPr>
          <w:rFonts w:cstheme="minorHAnsi"/>
          <w:szCs w:val="24"/>
          <w:lang w:val="en-GB"/>
        </w:rPr>
        <w:t xml:space="preserve">lso highlighted data relating to the current </w:t>
      </w:r>
      <w:r w:rsidR="00A12E5C" w:rsidRPr="00764F24">
        <w:rPr>
          <w:rFonts w:cstheme="minorHAnsi"/>
          <w:szCs w:val="24"/>
          <w:lang w:val="en-GB"/>
        </w:rPr>
        <w:t>Coronavirus disease 2019 (COVID-19)</w:t>
      </w:r>
      <w:r w:rsidRPr="00764F24">
        <w:rPr>
          <w:rFonts w:cstheme="minorHAnsi"/>
          <w:szCs w:val="24"/>
          <w:lang w:val="en-GB"/>
        </w:rPr>
        <w:t xml:space="preserve"> crisis.</w:t>
      </w:r>
    </w:p>
    <w:p w14:paraId="6F39397B" w14:textId="24F0076E" w:rsidR="00833B7B" w:rsidRPr="00764F24" w:rsidRDefault="00833B7B" w:rsidP="00D86B69">
      <w:pPr>
        <w:spacing w:beforeAutospacing="1" w:after="100" w:afterAutospacing="1" w:line="360" w:lineRule="auto"/>
        <w:rPr>
          <w:rFonts w:eastAsiaTheme="majorEastAsia" w:cstheme="minorHAnsi"/>
          <w:b/>
          <w:bCs/>
          <w:kern w:val="32"/>
          <w:szCs w:val="24"/>
          <w:lang w:val="en-GB"/>
        </w:rPr>
      </w:pPr>
      <w:r w:rsidRPr="00764F24">
        <w:rPr>
          <w:rFonts w:cstheme="minorHAnsi"/>
          <w:szCs w:val="24"/>
          <w:lang w:val="en-GB"/>
        </w:rPr>
        <w:br w:type="page"/>
      </w:r>
    </w:p>
    <w:p w14:paraId="533033C0" w14:textId="58FBE1E3" w:rsidR="007E64E2" w:rsidRDefault="007523AD" w:rsidP="001B32E1">
      <w:pPr>
        <w:pStyle w:val="Heading1"/>
      </w:pPr>
      <w:bookmarkStart w:id="30" w:name="_Toc51250057"/>
      <w:bookmarkStart w:id="31" w:name="_Toc54600799"/>
      <w:r w:rsidRPr="00764F24">
        <w:lastRenderedPageBreak/>
        <w:t>Detailed</w:t>
      </w:r>
      <w:r w:rsidR="00C0784A" w:rsidRPr="00764F24">
        <w:t xml:space="preserve"> findings</w:t>
      </w:r>
      <w:bookmarkEnd w:id="30"/>
      <w:bookmarkEnd w:id="31"/>
    </w:p>
    <w:p w14:paraId="5215B694" w14:textId="77777777" w:rsidR="00B9482B" w:rsidRPr="00B9482B" w:rsidRDefault="00B9482B" w:rsidP="00B9482B">
      <w:pPr>
        <w:rPr>
          <w:lang w:val="en-GB"/>
        </w:rPr>
      </w:pPr>
    </w:p>
    <w:p w14:paraId="015F20E5" w14:textId="1D0C76A8" w:rsidR="008F3BBB" w:rsidRPr="00B9482B" w:rsidRDefault="00836BCC" w:rsidP="00B9482B">
      <w:pPr>
        <w:pStyle w:val="Heading2"/>
        <w:numPr>
          <w:ilvl w:val="0"/>
          <w:numId w:val="10"/>
        </w:numPr>
        <w:spacing w:beforeAutospacing="1" w:after="100" w:afterAutospacing="1" w:line="360" w:lineRule="auto"/>
        <w:rPr>
          <w:rFonts w:cstheme="minorHAnsi"/>
          <w:szCs w:val="24"/>
          <w:lang w:val="en-GB"/>
        </w:rPr>
      </w:pPr>
      <w:bookmarkStart w:id="32" w:name="_Toc51250058"/>
      <w:bookmarkStart w:id="33" w:name="_Toc54600800"/>
      <w:r w:rsidRPr="00B9482B">
        <w:rPr>
          <w:rFonts w:cstheme="minorHAnsi"/>
          <w:szCs w:val="24"/>
          <w:lang w:val="en-GB"/>
        </w:rPr>
        <w:t xml:space="preserve">The </w:t>
      </w:r>
      <w:r w:rsidR="004D1C27">
        <w:rPr>
          <w:rFonts w:cstheme="minorHAnsi"/>
          <w:szCs w:val="24"/>
          <w:lang w:val="en-GB"/>
        </w:rPr>
        <w:t>e</w:t>
      </w:r>
      <w:r w:rsidRPr="00B9482B">
        <w:rPr>
          <w:rFonts w:cstheme="minorHAnsi"/>
          <w:szCs w:val="24"/>
          <w:lang w:val="en-GB"/>
        </w:rPr>
        <w:t>conomy</w:t>
      </w:r>
      <w:bookmarkEnd w:id="32"/>
      <w:bookmarkEnd w:id="33"/>
    </w:p>
    <w:p w14:paraId="451F0850" w14:textId="3A6A6170" w:rsidR="007E64E2" w:rsidRPr="00764F24" w:rsidRDefault="00563396" w:rsidP="00D86B69">
      <w:pPr>
        <w:spacing w:beforeAutospacing="1" w:after="100" w:afterAutospacing="1" w:line="360" w:lineRule="auto"/>
        <w:rPr>
          <w:rFonts w:cstheme="minorHAnsi"/>
          <w:szCs w:val="24"/>
          <w:lang w:val="en-GB"/>
        </w:rPr>
      </w:pPr>
      <w:r w:rsidRPr="00764F24">
        <w:rPr>
          <w:rFonts w:cstheme="minorHAnsi"/>
          <w:szCs w:val="24"/>
          <w:lang w:val="en-GB"/>
        </w:rPr>
        <w:t>As highlighted in our previous monitoring reports, t</w:t>
      </w:r>
      <w:r w:rsidR="007E2F48" w:rsidRPr="00764F24">
        <w:rPr>
          <w:rFonts w:cstheme="minorHAnsi"/>
          <w:szCs w:val="24"/>
          <w:lang w:val="en-GB"/>
        </w:rPr>
        <w:t>he fundamental cornerstone of f</w:t>
      </w:r>
      <w:r w:rsidR="00BE6394" w:rsidRPr="00764F24">
        <w:rPr>
          <w:rFonts w:cstheme="minorHAnsi"/>
          <w:szCs w:val="24"/>
          <w:lang w:val="en-GB"/>
        </w:rPr>
        <w:t>inancial inclusion</w:t>
      </w:r>
      <w:r w:rsidR="007E2F48" w:rsidRPr="00764F24">
        <w:rPr>
          <w:rFonts w:cstheme="minorHAnsi"/>
          <w:szCs w:val="24"/>
          <w:lang w:val="en-GB"/>
        </w:rPr>
        <w:t xml:space="preserve"> is for people to have a sufficient level of income to meet basic needs</w:t>
      </w:r>
      <w:r w:rsidR="00BF7FBA" w:rsidRPr="00764F24">
        <w:rPr>
          <w:rFonts w:cstheme="minorHAnsi"/>
          <w:szCs w:val="24"/>
          <w:lang w:val="en-GB"/>
        </w:rPr>
        <w:t xml:space="preserve">. </w:t>
      </w:r>
      <w:r w:rsidR="00BE6394" w:rsidRPr="00764F24">
        <w:rPr>
          <w:rFonts w:cstheme="minorHAnsi"/>
          <w:szCs w:val="24"/>
          <w:lang w:val="en-GB"/>
        </w:rPr>
        <w:t xml:space="preserve">The source of income is also important as those in </w:t>
      </w:r>
      <w:r w:rsidR="00811902" w:rsidRPr="00764F24">
        <w:rPr>
          <w:rFonts w:cstheme="minorHAnsi"/>
          <w:szCs w:val="24"/>
          <w:lang w:val="en-GB"/>
        </w:rPr>
        <w:t xml:space="preserve">stable </w:t>
      </w:r>
      <w:r w:rsidR="00BE6394" w:rsidRPr="00764F24">
        <w:rPr>
          <w:rFonts w:cstheme="minorHAnsi"/>
          <w:szCs w:val="24"/>
          <w:lang w:val="en-GB"/>
        </w:rPr>
        <w:t xml:space="preserve">employment generally have better access to </w:t>
      </w:r>
      <w:r w:rsidR="00232A97" w:rsidRPr="00764F24">
        <w:rPr>
          <w:rFonts w:cstheme="minorHAnsi"/>
          <w:szCs w:val="24"/>
          <w:lang w:val="en-GB"/>
        </w:rPr>
        <w:t xml:space="preserve">appropriate financial products, such as </w:t>
      </w:r>
      <w:r w:rsidR="00BE6394" w:rsidRPr="00764F24">
        <w:rPr>
          <w:rFonts w:cstheme="minorHAnsi"/>
          <w:szCs w:val="24"/>
          <w:lang w:val="en-GB"/>
        </w:rPr>
        <w:t>affordable credit</w:t>
      </w:r>
      <w:r w:rsidR="00232A97" w:rsidRPr="00764F24">
        <w:rPr>
          <w:rFonts w:cstheme="minorHAnsi"/>
          <w:szCs w:val="24"/>
          <w:lang w:val="en-GB"/>
        </w:rPr>
        <w:t>,</w:t>
      </w:r>
      <w:r w:rsidR="003D5236" w:rsidRPr="00764F24">
        <w:rPr>
          <w:rFonts w:cstheme="minorHAnsi"/>
          <w:szCs w:val="24"/>
          <w:lang w:val="en-GB"/>
        </w:rPr>
        <w:t xml:space="preserve"> than those out of work</w:t>
      </w:r>
      <w:r w:rsidR="001977B2" w:rsidRPr="00764F24">
        <w:rPr>
          <w:rFonts w:cstheme="minorHAnsi"/>
          <w:szCs w:val="24"/>
          <w:lang w:val="en-GB"/>
        </w:rPr>
        <w:t xml:space="preserve"> or in insecure jobs</w:t>
      </w:r>
      <w:r w:rsidR="00BF7FBA" w:rsidRPr="00764F24">
        <w:rPr>
          <w:rFonts w:cstheme="minorHAnsi"/>
          <w:szCs w:val="24"/>
          <w:lang w:val="en-GB"/>
        </w:rPr>
        <w:t>.</w:t>
      </w:r>
      <w:r w:rsidR="008D2686" w:rsidRPr="00764F24">
        <w:rPr>
          <w:rFonts w:cstheme="minorHAnsi"/>
          <w:szCs w:val="24"/>
          <w:lang w:val="en-GB"/>
        </w:rPr>
        <w:t xml:space="preserve"> </w:t>
      </w:r>
    </w:p>
    <w:p w14:paraId="4B46BE2E" w14:textId="67D0FD59" w:rsidR="007E64E2" w:rsidRPr="00764F24" w:rsidRDefault="002C75FA" w:rsidP="00D86B69">
      <w:pPr>
        <w:spacing w:beforeAutospacing="1" w:after="100" w:afterAutospacing="1" w:line="360" w:lineRule="auto"/>
        <w:rPr>
          <w:rFonts w:cstheme="minorHAnsi"/>
          <w:szCs w:val="24"/>
          <w:lang w:val="en-GB"/>
        </w:rPr>
      </w:pPr>
      <w:r w:rsidRPr="00764F24">
        <w:rPr>
          <w:rFonts w:cstheme="minorHAnsi"/>
          <w:szCs w:val="24"/>
          <w:lang w:val="en-GB"/>
        </w:rPr>
        <w:t>A key indicator of the state of an economy is GDP (Gross Domestic Product) which is the amount an economy produces each year</w:t>
      </w:r>
      <w:r w:rsidR="00BF7FBA" w:rsidRPr="00764F24">
        <w:rPr>
          <w:rFonts w:cstheme="minorHAnsi"/>
          <w:szCs w:val="24"/>
          <w:lang w:val="en-GB"/>
        </w:rPr>
        <w:t xml:space="preserve">. </w:t>
      </w:r>
      <w:r w:rsidRPr="00764F24">
        <w:rPr>
          <w:rFonts w:cstheme="minorHAnsi"/>
          <w:szCs w:val="24"/>
          <w:lang w:val="en-GB"/>
        </w:rPr>
        <w:t>Figure 1</w:t>
      </w:r>
      <w:r w:rsidR="00852957" w:rsidRPr="00764F24">
        <w:rPr>
          <w:rFonts w:cstheme="minorHAnsi"/>
          <w:szCs w:val="24"/>
          <w:lang w:val="en-GB"/>
        </w:rPr>
        <w:t>.1 starts in 2006</w:t>
      </w:r>
      <w:r w:rsidRPr="00764F24">
        <w:rPr>
          <w:rFonts w:cstheme="minorHAnsi"/>
          <w:szCs w:val="24"/>
          <w:lang w:val="en-GB"/>
        </w:rPr>
        <w:t xml:space="preserve"> and shows that over the course of 2008-9, </w:t>
      </w:r>
      <w:r w:rsidR="00852957" w:rsidRPr="00764F24">
        <w:rPr>
          <w:rFonts w:cstheme="minorHAnsi"/>
          <w:szCs w:val="24"/>
          <w:lang w:val="en-GB"/>
        </w:rPr>
        <w:t>GDP</w:t>
      </w:r>
      <w:r w:rsidRPr="00764F24">
        <w:rPr>
          <w:rFonts w:cstheme="minorHAnsi"/>
          <w:szCs w:val="24"/>
          <w:lang w:val="en-GB"/>
        </w:rPr>
        <w:t xml:space="preserve"> fell </w:t>
      </w:r>
      <w:r w:rsidR="00DF2DBE" w:rsidRPr="00764F24">
        <w:rPr>
          <w:rFonts w:cstheme="minorHAnsi"/>
          <w:szCs w:val="24"/>
          <w:lang w:val="en-GB"/>
        </w:rPr>
        <w:t>massively</w:t>
      </w:r>
      <w:r w:rsidR="00246C60" w:rsidRPr="00764F24">
        <w:rPr>
          <w:rFonts w:cstheme="minorHAnsi"/>
          <w:szCs w:val="24"/>
          <w:lang w:val="en-GB"/>
        </w:rPr>
        <w:t xml:space="preserve"> (as it seemed at the time, p</w:t>
      </w:r>
      <w:r w:rsidR="004D6BBC" w:rsidRPr="00764F24">
        <w:rPr>
          <w:rFonts w:cstheme="minorHAnsi"/>
          <w:szCs w:val="24"/>
          <w:lang w:val="en-GB"/>
        </w:rPr>
        <w:t>re</w:t>
      </w:r>
      <w:r w:rsidR="00246C60" w:rsidRPr="00764F24">
        <w:rPr>
          <w:rFonts w:cstheme="minorHAnsi"/>
          <w:szCs w:val="24"/>
          <w:lang w:val="en-GB"/>
        </w:rPr>
        <w:t>-COVID)</w:t>
      </w:r>
      <w:r w:rsidR="00DF2DBE" w:rsidRPr="00764F24">
        <w:rPr>
          <w:rFonts w:cstheme="minorHAnsi"/>
          <w:szCs w:val="24"/>
          <w:lang w:val="en-GB"/>
        </w:rPr>
        <w:t xml:space="preserve"> as a result of the Global Financial Crisis </w:t>
      </w:r>
      <w:r w:rsidRPr="00764F24">
        <w:rPr>
          <w:rFonts w:cstheme="minorHAnsi"/>
          <w:szCs w:val="24"/>
          <w:lang w:val="en-GB"/>
        </w:rPr>
        <w:t>by 7 percentage points</w:t>
      </w:r>
      <w:r w:rsidR="006D0BDA" w:rsidRPr="00764F24">
        <w:rPr>
          <w:rFonts w:cstheme="minorHAnsi"/>
          <w:szCs w:val="24"/>
          <w:lang w:val="en-GB"/>
        </w:rPr>
        <w:t xml:space="preserve"> in total</w:t>
      </w:r>
      <w:r w:rsidR="00BF7FBA" w:rsidRPr="00764F24">
        <w:rPr>
          <w:rFonts w:cstheme="minorHAnsi"/>
          <w:szCs w:val="24"/>
          <w:lang w:val="en-GB"/>
        </w:rPr>
        <w:t xml:space="preserve">. </w:t>
      </w:r>
      <w:r w:rsidRPr="00764F24">
        <w:rPr>
          <w:rFonts w:cstheme="minorHAnsi"/>
          <w:szCs w:val="24"/>
          <w:lang w:val="en-GB"/>
        </w:rPr>
        <w:t xml:space="preserve">From then until 2012, there was a slow recovery, and from 2012, GDP has grown more steadily </w:t>
      </w:r>
      <w:r w:rsidR="00811902" w:rsidRPr="00764F24">
        <w:rPr>
          <w:rFonts w:cstheme="minorHAnsi"/>
          <w:szCs w:val="24"/>
          <w:lang w:val="en-GB"/>
        </w:rPr>
        <w:t xml:space="preserve">and in 2015 </w:t>
      </w:r>
      <w:r w:rsidRPr="00764F24">
        <w:rPr>
          <w:rFonts w:cstheme="minorHAnsi"/>
          <w:szCs w:val="24"/>
          <w:lang w:val="en-GB"/>
        </w:rPr>
        <w:t xml:space="preserve">reached </w:t>
      </w:r>
      <w:r w:rsidR="00961A63" w:rsidRPr="00764F24">
        <w:rPr>
          <w:rFonts w:cstheme="minorHAnsi"/>
          <w:szCs w:val="24"/>
          <w:lang w:val="en-GB"/>
        </w:rPr>
        <w:t xml:space="preserve">above </w:t>
      </w:r>
      <w:r w:rsidR="00852957" w:rsidRPr="00764F24">
        <w:rPr>
          <w:rFonts w:cstheme="minorHAnsi"/>
          <w:szCs w:val="24"/>
          <w:lang w:val="en-GB"/>
        </w:rPr>
        <w:t>the pre-crash level of 2008 (</w:t>
      </w:r>
      <w:r w:rsidRPr="00764F24">
        <w:rPr>
          <w:rFonts w:cstheme="minorHAnsi"/>
          <w:szCs w:val="24"/>
          <w:lang w:val="en-GB"/>
        </w:rPr>
        <w:t>typically experiencing 2 per cent rise in GDP per year</w:t>
      </w:r>
      <w:r w:rsidR="00852957" w:rsidRPr="00764F24">
        <w:rPr>
          <w:rFonts w:cstheme="minorHAnsi"/>
          <w:szCs w:val="24"/>
          <w:lang w:val="en-GB"/>
        </w:rPr>
        <w:t>)</w:t>
      </w:r>
      <w:r w:rsidR="00BF7FBA" w:rsidRPr="00764F24">
        <w:rPr>
          <w:rFonts w:cstheme="minorHAnsi"/>
          <w:szCs w:val="24"/>
          <w:lang w:val="en-GB"/>
        </w:rPr>
        <w:t xml:space="preserve">. </w:t>
      </w:r>
      <w:r w:rsidR="00852957" w:rsidRPr="00764F24">
        <w:rPr>
          <w:rFonts w:cstheme="minorHAnsi"/>
          <w:szCs w:val="24"/>
          <w:lang w:val="en-GB"/>
        </w:rPr>
        <w:t>However, since 2015, GDP has been trending downwards</w:t>
      </w:r>
      <w:r w:rsidR="00D533A1" w:rsidRPr="00764F24">
        <w:rPr>
          <w:rFonts w:cstheme="minorHAnsi"/>
          <w:szCs w:val="24"/>
          <w:lang w:val="en-GB"/>
        </w:rPr>
        <w:t xml:space="preserve"> and, indeed, was recorded as negative in the </w:t>
      </w:r>
      <w:r w:rsidR="00DF2DBE" w:rsidRPr="00764F24">
        <w:rPr>
          <w:rFonts w:cstheme="minorHAnsi"/>
          <w:szCs w:val="24"/>
          <w:lang w:val="en-GB"/>
        </w:rPr>
        <w:t>second</w:t>
      </w:r>
      <w:r w:rsidR="00D533A1" w:rsidRPr="00764F24">
        <w:rPr>
          <w:rFonts w:cstheme="minorHAnsi"/>
          <w:szCs w:val="24"/>
          <w:lang w:val="en-GB"/>
        </w:rPr>
        <w:t xml:space="preserve"> quarter of 2019</w:t>
      </w:r>
      <w:r w:rsidR="00DF2DBE" w:rsidRPr="00764F24">
        <w:rPr>
          <w:rFonts w:cstheme="minorHAnsi"/>
          <w:szCs w:val="24"/>
          <w:lang w:val="en-GB"/>
        </w:rPr>
        <w:t xml:space="preserve"> and 0 in the fourth quarter, even before the global pandemic crisis</w:t>
      </w:r>
      <w:r w:rsidR="00BF7FBA" w:rsidRPr="00764F24">
        <w:rPr>
          <w:rFonts w:cstheme="minorHAnsi"/>
          <w:szCs w:val="24"/>
          <w:lang w:val="en-GB"/>
        </w:rPr>
        <w:t xml:space="preserve">. </w:t>
      </w:r>
      <w:r w:rsidR="006D0BDA" w:rsidRPr="00764F24">
        <w:rPr>
          <w:rFonts w:cstheme="minorHAnsi"/>
          <w:szCs w:val="24"/>
          <w:lang w:val="en-GB"/>
        </w:rPr>
        <w:t>First signs of the impact of the crisis can be seen in the figure for the first quarter of 2020 (January to March) when GDP</w:t>
      </w:r>
      <w:r w:rsidR="00246C60" w:rsidRPr="00764F24">
        <w:rPr>
          <w:rFonts w:cstheme="minorHAnsi"/>
          <w:szCs w:val="24"/>
          <w:lang w:val="en-GB"/>
        </w:rPr>
        <w:t xml:space="preserve"> fell by 2.</w:t>
      </w:r>
      <w:r w:rsidR="00AB3B75">
        <w:rPr>
          <w:rFonts w:cstheme="minorHAnsi"/>
          <w:szCs w:val="24"/>
          <w:lang w:val="en-GB"/>
        </w:rPr>
        <w:t>5</w:t>
      </w:r>
      <w:r w:rsidR="00246C60" w:rsidRPr="00764F24">
        <w:rPr>
          <w:rFonts w:cstheme="minorHAnsi"/>
          <w:szCs w:val="24"/>
          <w:lang w:val="en-GB"/>
        </w:rPr>
        <w:t xml:space="preserve"> </w:t>
      </w:r>
      <w:r w:rsidR="00692125" w:rsidRPr="00764F24">
        <w:rPr>
          <w:rFonts w:cstheme="minorHAnsi"/>
          <w:szCs w:val="24"/>
          <w:lang w:val="en-GB"/>
        </w:rPr>
        <w:t>per cent.</w:t>
      </w:r>
      <w:r w:rsidR="00BF7FBA" w:rsidRPr="00764F24">
        <w:rPr>
          <w:rFonts w:cstheme="minorHAnsi"/>
          <w:szCs w:val="24"/>
          <w:lang w:val="en-GB"/>
        </w:rPr>
        <w:t xml:space="preserve"> </w:t>
      </w:r>
      <w:r w:rsidR="006D0BDA" w:rsidRPr="00764F24">
        <w:rPr>
          <w:rFonts w:cstheme="minorHAnsi"/>
          <w:szCs w:val="24"/>
          <w:lang w:val="en-GB"/>
        </w:rPr>
        <w:t>This was</w:t>
      </w:r>
      <w:r w:rsidR="00246C60" w:rsidRPr="00764F24">
        <w:rPr>
          <w:rFonts w:cstheme="minorHAnsi"/>
          <w:szCs w:val="24"/>
          <w:lang w:val="en-GB"/>
        </w:rPr>
        <w:t xml:space="preserve">, however, dwarfed by the </w:t>
      </w:r>
      <w:r w:rsidR="00AB3B75">
        <w:rPr>
          <w:rFonts w:cstheme="minorHAnsi"/>
          <w:szCs w:val="24"/>
          <w:lang w:val="en-GB"/>
        </w:rPr>
        <w:t>19.8</w:t>
      </w:r>
      <w:r w:rsidR="00246C60" w:rsidRPr="00764F24">
        <w:rPr>
          <w:rFonts w:cstheme="minorHAnsi"/>
          <w:szCs w:val="24"/>
          <w:lang w:val="en-GB"/>
        </w:rPr>
        <w:t xml:space="preserve"> per cent drop in the following quarter</w:t>
      </w:r>
      <w:r w:rsidR="00B9482B">
        <w:rPr>
          <w:rFonts w:cstheme="minorHAnsi"/>
          <w:szCs w:val="24"/>
          <w:lang w:val="en-GB"/>
        </w:rPr>
        <w:t xml:space="preserve"> (April to June)</w:t>
      </w:r>
      <w:r w:rsidR="00246C60" w:rsidRPr="00764F24">
        <w:rPr>
          <w:rFonts w:cstheme="minorHAnsi"/>
          <w:szCs w:val="24"/>
          <w:lang w:val="en-GB"/>
        </w:rPr>
        <w:t xml:space="preserve">, a reduction unprecedented in </w:t>
      </w:r>
      <w:r w:rsidR="004D6BBC" w:rsidRPr="00764F24">
        <w:rPr>
          <w:rFonts w:cstheme="minorHAnsi"/>
          <w:szCs w:val="24"/>
          <w:lang w:val="en-GB"/>
        </w:rPr>
        <w:t>modern</w:t>
      </w:r>
      <w:r w:rsidR="00246C60" w:rsidRPr="00764F24">
        <w:rPr>
          <w:rFonts w:cstheme="minorHAnsi"/>
          <w:szCs w:val="24"/>
          <w:lang w:val="en-GB"/>
        </w:rPr>
        <w:t xml:space="preserve"> times.</w:t>
      </w:r>
    </w:p>
    <w:p w14:paraId="6EE1288B" w14:textId="528ECC76" w:rsidR="00DF2DBE" w:rsidRPr="00764F24" w:rsidRDefault="00DF2DBE" w:rsidP="00D86B69">
      <w:pPr>
        <w:spacing w:beforeAutospacing="1" w:after="100" w:afterAutospacing="1" w:line="360" w:lineRule="auto"/>
        <w:rPr>
          <w:rFonts w:cstheme="minorHAnsi"/>
          <w:szCs w:val="24"/>
          <w:lang w:val="en-GB"/>
        </w:rPr>
      </w:pPr>
      <w:r w:rsidRPr="00764F24">
        <w:rPr>
          <w:rFonts w:cstheme="minorHAnsi"/>
          <w:szCs w:val="24"/>
          <w:lang w:val="en-GB"/>
        </w:rPr>
        <w:br w:type="page"/>
      </w:r>
    </w:p>
    <w:p w14:paraId="644E6CED" w14:textId="4B24C956" w:rsidR="002C75FA" w:rsidRPr="00764F24" w:rsidRDefault="00961A63"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1</w:t>
      </w:r>
      <w:r w:rsidR="00DF2DBE" w:rsidRPr="00764F24">
        <w:rPr>
          <w:rFonts w:cstheme="minorHAnsi"/>
          <w:sz w:val="24"/>
          <w:szCs w:val="24"/>
          <w:lang w:val="en-GB"/>
        </w:rPr>
        <w:t>.1</w:t>
      </w:r>
      <w:r w:rsidR="001E0C53" w:rsidRPr="00764F24">
        <w:rPr>
          <w:rFonts w:cstheme="minorHAnsi"/>
          <w:sz w:val="24"/>
          <w:szCs w:val="24"/>
          <w:lang w:val="en-GB"/>
        </w:rPr>
        <w:t>.</w:t>
      </w:r>
      <w:r w:rsidRPr="00764F24">
        <w:rPr>
          <w:rFonts w:cstheme="minorHAnsi"/>
          <w:sz w:val="24"/>
          <w:szCs w:val="24"/>
          <w:lang w:val="en-GB"/>
        </w:rPr>
        <w:t xml:space="preserve"> </w:t>
      </w:r>
      <w:r w:rsidR="00852957" w:rsidRPr="00764F24">
        <w:rPr>
          <w:rFonts w:cstheme="minorHAnsi"/>
          <w:sz w:val="24"/>
          <w:szCs w:val="24"/>
          <w:lang w:val="en-GB"/>
        </w:rPr>
        <w:t>Gross Domestic Product: Quarter on Quarter growth</w:t>
      </w:r>
      <w:r w:rsidR="001E0C53" w:rsidRPr="00764F24">
        <w:rPr>
          <w:rFonts w:cstheme="minorHAnsi"/>
          <w:sz w:val="24"/>
          <w:szCs w:val="24"/>
          <w:lang w:val="en-GB"/>
        </w:rPr>
        <w:t>.</w:t>
      </w:r>
      <w:r w:rsidR="00852957" w:rsidRPr="00764F24">
        <w:rPr>
          <w:rFonts w:cstheme="minorHAnsi"/>
          <w:sz w:val="24"/>
          <w:szCs w:val="24"/>
          <w:lang w:val="en-GB"/>
        </w:rPr>
        <w:t xml:space="preserve"> Source: ONS</w:t>
      </w:r>
      <w:r w:rsidR="00852957" w:rsidRPr="00764F24">
        <w:rPr>
          <w:rStyle w:val="FootnoteReference"/>
          <w:rFonts w:cstheme="minorHAnsi"/>
          <w:sz w:val="24"/>
          <w:szCs w:val="24"/>
          <w:lang w:val="en-GB"/>
        </w:rPr>
        <w:footnoteReference w:id="14"/>
      </w:r>
    </w:p>
    <w:p w14:paraId="797522CF" w14:textId="393E0273" w:rsidR="007E64E2" w:rsidRPr="00764F24" w:rsidRDefault="00AB3B75" w:rsidP="00A861EF">
      <w:pPr>
        <w:spacing w:beforeAutospacing="1" w:after="0" w:line="240" w:lineRule="auto"/>
        <w:rPr>
          <w:rFonts w:cstheme="minorHAnsi"/>
          <w:szCs w:val="24"/>
          <w:lang w:val="en-GB"/>
        </w:rPr>
      </w:pPr>
      <w:r>
        <w:rPr>
          <w:rFonts w:cstheme="minorHAnsi"/>
          <w:noProof/>
          <w:szCs w:val="24"/>
          <w:lang w:val="en-GB" w:eastAsia="en-GB" w:bidi="ar-SA"/>
        </w:rPr>
        <w:drawing>
          <wp:inline distT="0" distB="0" distL="0" distR="0" wp14:anchorId="452B4B90" wp14:editId="68B4CA5C">
            <wp:extent cx="5261610" cy="3413760"/>
            <wp:effectExtent l="0" t="0" r="0" b="0"/>
            <wp:docPr id="54" name="Picture 54" descr="GDP dropped by almost one fifth in the last quarter, April to June 2020. The 2008 recession never saw drops abov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1610" cy="3413760"/>
                    </a:xfrm>
                    <a:prstGeom prst="rect">
                      <a:avLst/>
                    </a:prstGeom>
                    <a:noFill/>
                  </pic:spPr>
                </pic:pic>
              </a:graphicData>
            </a:graphic>
          </wp:inline>
        </w:drawing>
      </w:r>
    </w:p>
    <w:p w14:paraId="12398E76" w14:textId="264B5D21" w:rsidR="00A861EF" w:rsidRPr="007169B9" w:rsidRDefault="007E614D" w:rsidP="00A861EF">
      <w:pPr>
        <w:spacing w:beforeAutospacing="1" w:after="100" w:afterAutospacing="1" w:line="240" w:lineRule="auto"/>
        <w:rPr>
          <w:rFonts w:cstheme="minorHAnsi"/>
          <w:sz w:val="20"/>
          <w:lang w:val="en-GB"/>
        </w:rPr>
      </w:pPr>
      <w:r>
        <w:rPr>
          <w:rFonts w:cstheme="minorHAnsi"/>
          <w:sz w:val="20"/>
          <w:lang w:val="en-GB"/>
        </w:rPr>
        <w:t>Last u</w:t>
      </w:r>
      <w:r w:rsidR="00A861EF" w:rsidRPr="007169B9">
        <w:rPr>
          <w:rFonts w:cstheme="minorHAnsi"/>
          <w:sz w:val="20"/>
          <w:lang w:val="en-GB"/>
        </w:rPr>
        <w:t>pdated 30 September 2020.</w:t>
      </w:r>
    </w:p>
    <w:p w14:paraId="08F94F2A" w14:textId="77777777" w:rsidR="00B13D8C" w:rsidRDefault="00B13D8C" w:rsidP="00D86B69">
      <w:pPr>
        <w:spacing w:beforeAutospacing="1" w:after="100" w:afterAutospacing="1" w:line="360" w:lineRule="auto"/>
        <w:rPr>
          <w:rFonts w:cstheme="minorHAnsi"/>
          <w:szCs w:val="24"/>
          <w:lang w:val="en-GB"/>
        </w:rPr>
      </w:pPr>
    </w:p>
    <w:p w14:paraId="3631DF97" w14:textId="6C82573C" w:rsidR="00A861EF" w:rsidRDefault="00B13D8C" w:rsidP="00D86B69">
      <w:pPr>
        <w:spacing w:beforeAutospacing="1" w:after="100" w:afterAutospacing="1" w:line="360" w:lineRule="auto"/>
        <w:rPr>
          <w:rFonts w:cstheme="minorHAnsi"/>
          <w:szCs w:val="24"/>
          <w:lang w:val="en-GB"/>
        </w:rPr>
      </w:pPr>
      <w:r>
        <w:rPr>
          <w:rFonts w:cstheme="minorHAnsi"/>
          <w:szCs w:val="24"/>
          <w:lang w:val="en-GB"/>
        </w:rPr>
        <w:t>ONS also produces a monthly series for the level of GDP, and this enables a finer-grained view of the effect of the pandemic and lockdown on economic activity. As we show in figure 1.2, monthly GDP saw a huge fall between February and May 2020.</w:t>
      </w:r>
    </w:p>
    <w:p w14:paraId="129B1DA3" w14:textId="0761CD85" w:rsidR="00EB5D7D" w:rsidRPr="00EB5D7D" w:rsidRDefault="00EB5D7D" w:rsidP="00DB1D55">
      <w:pPr>
        <w:pStyle w:val="Caption"/>
        <w:keepNext/>
        <w:rPr>
          <w:sz w:val="24"/>
          <w:szCs w:val="24"/>
          <w:lang w:val="en-GB"/>
        </w:rPr>
      </w:pPr>
      <w:r w:rsidRPr="00EB5D7D">
        <w:rPr>
          <w:sz w:val="24"/>
          <w:szCs w:val="24"/>
          <w:lang w:val="en-GB"/>
        </w:rPr>
        <w:lastRenderedPageBreak/>
        <w:t>Figure 1.</w:t>
      </w:r>
      <w:r>
        <w:rPr>
          <w:sz w:val="24"/>
          <w:szCs w:val="24"/>
          <w:lang w:val="en-GB"/>
        </w:rPr>
        <w:t>2</w:t>
      </w:r>
      <w:r w:rsidRPr="00EB5D7D">
        <w:rPr>
          <w:sz w:val="24"/>
          <w:szCs w:val="24"/>
          <w:lang w:val="en-GB"/>
        </w:rPr>
        <w:t xml:space="preserve">. Gross Domestic Product: </w:t>
      </w:r>
      <w:r w:rsidR="00F1719B">
        <w:rPr>
          <w:sz w:val="24"/>
          <w:szCs w:val="24"/>
          <w:lang w:val="en-GB"/>
        </w:rPr>
        <w:t>Monthly Series</w:t>
      </w:r>
      <w:r w:rsidRPr="00EB5D7D">
        <w:rPr>
          <w:sz w:val="24"/>
          <w:szCs w:val="24"/>
          <w:lang w:val="en-GB"/>
        </w:rPr>
        <w:t>. Source: ONS</w:t>
      </w:r>
      <w:r w:rsidR="004526B9">
        <w:rPr>
          <w:rStyle w:val="FootnoteReference"/>
          <w:sz w:val="24"/>
          <w:szCs w:val="24"/>
          <w:lang w:val="en-GB"/>
        </w:rPr>
        <w:footnoteReference w:id="15"/>
      </w:r>
    </w:p>
    <w:p w14:paraId="6126FC92" w14:textId="4FD41679" w:rsidR="00EB5D7D" w:rsidRDefault="00B301A9" w:rsidP="00DB1D55">
      <w:pPr>
        <w:keepNext/>
        <w:spacing w:after="100" w:afterAutospacing="1" w:line="240" w:lineRule="auto"/>
        <w:rPr>
          <w:rFonts w:cstheme="minorHAnsi"/>
          <w:szCs w:val="24"/>
          <w:lang w:val="en-GB"/>
        </w:rPr>
      </w:pPr>
      <w:r>
        <w:rPr>
          <w:rFonts w:cstheme="minorHAnsi"/>
          <w:noProof/>
          <w:szCs w:val="24"/>
          <w:lang w:val="en-GB" w:eastAsia="en-GB" w:bidi="ar-SA"/>
        </w:rPr>
        <w:drawing>
          <wp:inline distT="0" distB="0" distL="0" distR="0" wp14:anchorId="3EF34B78" wp14:editId="5D8C3114">
            <wp:extent cx="5529580" cy="3469005"/>
            <wp:effectExtent l="0" t="0" r="0" b="0"/>
            <wp:docPr id="34" name="Picture 34" descr="GDP fell 20+ percent during the pandemic, but has recovered much of t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9580" cy="3469005"/>
                    </a:xfrm>
                    <a:prstGeom prst="rect">
                      <a:avLst/>
                    </a:prstGeom>
                    <a:noFill/>
                  </pic:spPr>
                </pic:pic>
              </a:graphicData>
            </a:graphic>
          </wp:inline>
        </w:drawing>
      </w:r>
    </w:p>
    <w:p w14:paraId="41340DBD" w14:textId="52D79177" w:rsidR="00F1719B" w:rsidRPr="007169B9" w:rsidRDefault="00F1719B" w:rsidP="00DB1D55">
      <w:pPr>
        <w:keepNext/>
        <w:spacing w:after="100" w:afterAutospacing="1" w:line="240" w:lineRule="auto"/>
        <w:rPr>
          <w:rFonts w:cstheme="minorHAnsi"/>
          <w:sz w:val="20"/>
          <w:lang w:val="en-GB"/>
        </w:rPr>
      </w:pPr>
      <w:r>
        <w:rPr>
          <w:rFonts w:cstheme="minorHAnsi"/>
          <w:sz w:val="20"/>
          <w:lang w:val="en-GB"/>
        </w:rPr>
        <w:t>Last u</w:t>
      </w:r>
      <w:r w:rsidRPr="007169B9">
        <w:rPr>
          <w:rFonts w:cstheme="minorHAnsi"/>
          <w:sz w:val="20"/>
          <w:lang w:val="en-GB"/>
        </w:rPr>
        <w:t xml:space="preserve">pdated </w:t>
      </w:r>
      <w:r>
        <w:rPr>
          <w:rFonts w:cstheme="minorHAnsi"/>
          <w:sz w:val="20"/>
          <w:lang w:val="en-GB"/>
        </w:rPr>
        <w:t>11</w:t>
      </w:r>
      <w:r w:rsidRPr="007169B9">
        <w:rPr>
          <w:rFonts w:cstheme="minorHAnsi"/>
          <w:sz w:val="20"/>
          <w:lang w:val="en-GB"/>
        </w:rPr>
        <w:t xml:space="preserve"> September 2020.</w:t>
      </w:r>
    </w:p>
    <w:p w14:paraId="437559CA" w14:textId="77777777" w:rsidR="004526B9" w:rsidRDefault="004526B9" w:rsidP="00F52793">
      <w:pPr>
        <w:spacing w:after="0" w:line="360" w:lineRule="auto"/>
        <w:rPr>
          <w:rFonts w:cstheme="minorHAnsi"/>
          <w:szCs w:val="24"/>
          <w:lang w:val="en-GB"/>
        </w:rPr>
      </w:pPr>
    </w:p>
    <w:p w14:paraId="380682DF" w14:textId="47952775" w:rsidR="007E64E2" w:rsidRPr="00764F24" w:rsidRDefault="00D533A1" w:rsidP="00D86B69">
      <w:pPr>
        <w:spacing w:beforeAutospacing="1" w:after="100" w:afterAutospacing="1" w:line="360" w:lineRule="auto"/>
        <w:rPr>
          <w:rFonts w:cstheme="minorHAnsi"/>
          <w:szCs w:val="24"/>
          <w:lang w:val="en-GB"/>
        </w:rPr>
      </w:pPr>
      <w:r w:rsidRPr="00764F24">
        <w:rPr>
          <w:rFonts w:cstheme="minorHAnsi"/>
          <w:szCs w:val="24"/>
          <w:lang w:val="en-GB"/>
        </w:rPr>
        <w:t xml:space="preserve">Inflation </w:t>
      </w:r>
      <w:r w:rsidR="00DF2DBE" w:rsidRPr="00764F24">
        <w:rPr>
          <w:rFonts w:cstheme="minorHAnsi"/>
          <w:szCs w:val="24"/>
          <w:lang w:val="en-GB"/>
        </w:rPr>
        <w:t xml:space="preserve">is another useful economic indicator to monitor in relation to financial inclusion. When inflation is high, people face higher costs and so </w:t>
      </w:r>
      <w:r w:rsidR="00533C23" w:rsidRPr="00764F24">
        <w:rPr>
          <w:rFonts w:cstheme="minorHAnsi"/>
          <w:szCs w:val="24"/>
          <w:lang w:val="en-GB"/>
        </w:rPr>
        <w:t>m</w:t>
      </w:r>
      <w:r w:rsidR="00DF2DBE" w:rsidRPr="00764F24">
        <w:rPr>
          <w:rFonts w:cstheme="minorHAnsi"/>
          <w:szCs w:val="24"/>
          <w:lang w:val="en-GB"/>
        </w:rPr>
        <w:t>ay struggle to manage money unless their incomes also rise</w:t>
      </w:r>
      <w:r w:rsidR="00BF7FBA" w:rsidRPr="00764F24">
        <w:rPr>
          <w:rFonts w:cstheme="minorHAnsi"/>
          <w:szCs w:val="24"/>
          <w:lang w:val="en-GB"/>
        </w:rPr>
        <w:t xml:space="preserve">. </w:t>
      </w:r>
      <w:r w:rsidR="00DF2DBE" w:rsidRPr="00764F24">
        <w:rPr>
          <w:rFonts w:cstheme="minorHAnsi"/>
          <w:szCs w:val="24"/>
          <w:lang w:val="en-GB"/>
        </w:rPr>
        <w:t>As we see in figure 1.</w:t>
      </w:r>
      <w:r w:rsidR="00EB5D7D">
        <w:rPr>
          <w:rFonts w:cstheme="minorHAnsi"/>
          <w:szCs w:val="24"/>
          <w:lang w:val="en-GB"/>
        </w:rPr>
        <w:t>3</w:t>
      </w:r>
      <w:r w:rsidR="00DF2DBE" w:rsidRPr="00764F24">
        <w:rPr>
          <w:rFonts w:cstheme="minorHAnsi"/>
          <w:szCs w:val="24"/>
          <w:lang w:val="en-GB"/>
        </w:rPr>
        <w:t xml:space="preserve">, inflation </w:t>
      </w:r>
      <w:r w:rsidRPr="00764F24">
        <w:rPr>
          <w:rFonts w:cstheme="minorHAnsi"/>
          <w:szCs w:val="24"/>
          <w:lang w:val="en-GB"/>
        </w:rPr>
        <w:t>has been trending down in the last two years from a recent peak of 3.1</w:t>
      </w:r>
      <w:r w:rsidR="00692125" w:rsidRPr="00764F24">
        <w:rPr>
          <w:rFonts w:cstheme="minorHAnsi"/>
          <w:szCs w:val="24"/>
          <w:lang w:val="en-GB"/>
        </w:rPr>
        <w:t xml:space="preserve"> per cent</w:t>
      </w:r>
      <w:r w:rsidRPr="00764F24">
        <w:rPr>
          <w:rFonts w:cstheme="minorHAnsi"/>
          <w:szCs w:val="24"/>
          <w:lang w:val="en-GB"/>
        </w:rPr>
        <w:t xml:space="preserve"> in November 2017 to 1.</w:t>
      </w:r>
      <w:r w:rsidR="007169B9">
        <w:rPr>
          <w:rFonts w:cstheme="minorHAnsi"/>
          <w:szCs w:val="24"/>
          <w:lang w:val="en-GB"/>
        </w:rPr>
        <w:t>0</w:t>
      </w:r>
      <w:r w:rsidR="00692125" w:rsidRPr="00764F24">
        <w:rPr>
          <w:rFonts w:cstheme="minorHAnsi"/>
          <w:szCs w:val="24"/>
          <w:lang w:val="en-GB"/>
        </w:rPr>
        <w:t xml:space="preserve"> per cent</w:t>
      </w:r>
      <w:r w:rsidRPr="00764F24">
        <w:rPr>
          <w:rFonts w:cstheme="minorHAnsi"/>
          <w:szCs w:val="24"/>
          <w:lang w:val="en-GB"/>
        </w:rPr>
        <w:t xml:space="preserve"> </w:t>
      </w:r>
      <w:r w:rsidR="00A756F1" w:rsidRPr="00764F24">
        <w:rPr>
          <w:rFonts w:cstheme="minorHAnsi"/>
          <w:szCs w:val="24"/>
          <w:lang w:val="en-GB"/>
        </w:rPr>
        <w:t>(</w:t>
      </w:r>
      <w:r w:rsidRPr="00764F24">
        <w:rPr>
          <w:rFonts w:cstheme="minorHAnsi"/>
          <w:szCs w:val="24"/>
          <w:lang w:val="en-GB"/>
        </w:rPr>
        <w:t>C</w:t>
      </w:r>
      <w:r w:rsidR="00A756F1" w:rsidRPr="00764F24">
        <w:rPr>
          <w:rFonts w:cstheme="minorHAnsi"/>
          <w:szCs w:val="24"/>
          <w:lang w:val="en-GB"/>
        </w:rPr>
        <w:t xml:space="preserve">onsumer </w:t>
      </w:r>
      <w:r w:rsidRPr="00764F24">
        <w:rPr>
          <w:rFonts w:cstheme="minorHAnsi"/>
          <w:szCs w:val="24"/>
          <w:lang w:val="en-GB"/>
        </w:rPr>
        <w:t>P</w:t>
      </w:r>
      <w:r w:rsidR="00A756F1" w:rsidRPr="00764F24">
        <w:rPr>
          <w:rFonts w:cstheme="minorHAnsi"/>
          <w:szCs w:val="24"/>
          <w:lang w:val="en-GB"/>
        </w:rPr>
        <w:t xml:space="preserve">rice </w:t>
      </w:r>
      <w:r w:rsidRPr="00764F24">
        <w:rPr>
          <w:rFonts w:cstheme="minorHAnsi"/>
          <w:szCs w:val="24"/>
          <w:lang w:val="en-GB"/>
        </w:rPr>
        <w:t>I</w:t>
      </w:r>
      <w:r w:rsidR="00A756F1" w:rsidRPr="00764F24">
        <w:rPr>
          <w:rFonts w:cstheme="minorHAnsi"/>
          <w:szCs w:val="24"/>
          <w:lang w:val="en-GB"/>
        </w:rPr>
        <w:t xml:space="preserve">ndex including </w:t>
      </w:r>
      <w:r w:rsidRPr="00764F24">
        <w:rPr>
          <w:rFonts w:cstheme="minorHAnsi"/>
          <w:szCs w:val="24"/>
          <w:lang w:val="en-GB"/>
        </w:rPr>
        <w:t>H</w:t>
      </w:r>
      <w:r w:rsidR="00A756F1" w:rsidRPr="00764F24">
        <w:rPr>
          <w:rFonts w:cstheme="minorHAnsi"/>
          <w:szCs w:val="24"/>
          <w:lang w:val="en-GB"/>
        </w:rPr>
        <w:t>ousing costs of owner-occupiers)</w:t>
      </w:r>
      <w:r w:rsidRPr="00764F24">
        <w:rPr>
          <w:rFonts w:cstheme="minorHAnsi"/>
          <w:szCs w:val="24"/>
          <w:lang w:val="en-GB"/>
        </w:rPr>
        <w:t xml:space="preserve"> in </w:t>
      </w:r>
      <w:r w:rsidR="007169B9">
        <w:rPr>
          <w:rFonts w:cstheme="minorHAnsi"/>
          <w:szCs w:val="24"/>
          <w:lang w:val="en-GB"/>
        </w:rPr>
        <w:t>August</w:t>
      </w:r>
      <w:r w:rsidRPr="00764F24">
        <w:rPr>
          <w:rFonts w:cstheme="minorHAnsi"/>
          <w:szCs w:val="24"/>
          <w:lang w:val="en-GB"/>
        </w:rPr>
        <w:t xml:space="preserve"> 2020 (see figure 1.</w:t>
      </w:r>
      <w:r w:rsidR="00EB5D7D">
        <w:rPr>
          <w:rFonts w:cstheme="minorHAnsi"/>
          <w:szCs w:val="24"/>
          <w:lang w:val="en-GB"/>
        </w:rPr>
        <w:t>3</w:t>
      </w:r>
      <w:r w:rsidRPr="00764F24">
        <w:rPr>
          <w:rFonts w:cstheme="minorHAnsi"/>
          <w:szCs w:val="24"/>
          <w:lang w:val="en-GB"/>
        </w:rPr>
        <w:t>).</w:t>
      </w:r>
    </w:p>
    <w:p w14:paraId="0D242653" w14:textId="62F5165F" w:rsidR="00852957" w:rsidRPr="00764F24" w:rsidRDefault="00D533A1"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1.</w:t>
      </w:r>
      <w:r w:rsidR="00EB5D7D">
        <w:rPr>
          <w:rFonts w:cstheme="minorHAnsi"/>
          <w:sz w:val="24"/>
          <w:szCs w:val="24"/>
          <w:lang w:val="en-GB"/>
        </w:rPr>
        <w:t>3</w:t>
      </w:r>
      <w:r w:rsidR="001E0C53" w:rsidRPr="00764F24">
        <w:rPr>
          <w:rFonts w:cstheme="minorHAnsi"/>
          <w:sz w:val="24"/>
          <w:szCs w:val="24"/>
          <w:lang w:val="en-GB"/>
        </w:rPr>
        <w:t>.</w:t>
      </w:r>
      <w:r w:rsidRPr="00764F24">
        <w:rPr>
          <w:rFonts w:cstheme="minorHAnsi"/>
          <w:sz w:val="24"/>
          <w:szCs w:val="24"/>
          <w:lang w:val="en-GB"/>
        </w:rPr>
        <w:t xml:space="preserve"> </w:t>
      </w:r>
      <w:r w:rsidR="00852957" w:rsidRPr="00764F24">
        <w:rPr>
          <w:rFonts w:cstheme="minorHAnsi"/>
          <w:sz w:val="24"/>
          <w:szCs w:val="24"/>
          <w:lang w:val="en-GB"/>
        </w:rPr>
        <w:t>Consumer Price Inflation (CPI) and CPIH (including owner occupiers’ housing costs</w:t>
      </w:r>
      <w:r w:rsidRPr="00764F24">
        <w:rPr>
          <w:rFonts w:cstheme="minorHAnsi"/>
          <w:sz w:val="24"/>
          <w:szCs w:val="24"/>
          <w:lang w:val="en-GB"/>
        </w:rPr>
        <w:t>)</w:t>
      </w:r>
      <w:r w:rsidR="001E0C53" w:rsidRPr="00764F24">
        <w:rPr>
          <w:rFonts w:cstheme="minorHAnsi"/>
          <w:sz w:val="24"/>
          <w:szCs w:val="24"/>
          <w:lang w:val="en-GB"/>
        </w:rPr>
        <w:t>.</w:t>
      </w:r>
      <w:r w:rsidR="00852957" w:rsidRPr="00764F24">
        <w:rPr>
          <w:rFonts w:cstheme="minorHAnsi"/>
          <w:sz w:val="24"/>
          <w:szCs w:val="24"/>
          <w:lang w:val="en-GB"/>
        </w:rPr>
        <w:t xml:space="preserve"> Source: ONS</w:t>
      </w:r>
      <w:r w:rsidR="00852957" w:rsidRPr="00764F24">
        <w:rPr>
          <w:rStyle w:val="FootnoteReference"/>
          <w:rFonts w:cstheme="minorHAnsi"/>
          <w:sz w:val="24"/>
          <w:szCs w:val="24"/>
          <w:lang w:val="en-GB"/>
        </w:rPr>
        <w:footnoteReference w:id="16"/>
      </w:r>
    </w:p>
    <w:p w14:paraId="22B71C88" w14:textId="2AA7730B" w:rsidR="007E64E2" w:rsidRPr="00764F24" w:rsidRDefault="007169B9" w:rsidP="007169B9">
      <w:pPr>
        <w:keepNext/>
        <w:spacing w:beforeAutospacing="1" w:after="0" w:line="240" w:lineRule="auto"/>
        <w:rPr>
          <w:rFonts w:cstheme="minorHAnsi"/>
          <w:szCs w:val="24"/>
          <w:lang w:val="en-GB"/>
        </w:rPr>
      </w:pPr>
      <w:r>
        <w:rPr>
          <w:rFonts w:cstheme="minorHAnsi"/>
          <w:noProof/>
          <w:szCs w:val="24"/>
          <w:lang w:val="en-GB" w:eastAsia="en-GB" w:bidi="ar-SA"/>
        </w:rPr>
        <w:drawing>
          <wp:inline distT="0" distB="0" distL="0" distR="0" wp14:anchorId="7D8B383D" wp14:editId="7D698066">
            <wp:extent cx="6120765" cy="3706495"/>
            <wp:effectExtent l="0" t="0" r="0" b="8255"/>
            <wp:docPr id="9" name="Picture 9" descr="Inflation has been dropping since 2017 and is now very low, around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706495"/>
                    </a:xfrm>
                    <a:prstGeom prst="rect">
                      <a:avLst/>
                    </a:prstGeom>
                    <a:noFill/>
                  </pic:spPr>
                </pic:pic>
              </a:graphicData>
            </a:graphic>
          </wp:inline>
        </w:drawing>
      </w:r>
    </w:p>
    <w:p w14:paraId="7C8F40BE" w14:textId="10FC0E5C" w:rsidR="007169B9" w:rsidRPr="007169B9" w:rsidRDefault="007E614D" w:rsidP="007169B9">
      <w:pPr>
        <w:spacing w:beforeAutospacing="1" w:after="100" w:afterAutospacing="1" w:line="240" w:lineRule="auto"/>
        <w:rPr>
          <w:rFonts w:cstheme="minorHAnsi"/>
          <w:sz w:val="20"/>
          <w:lang w:val="en-GB"/>
        </w:rPr>
      </w:pPr>
      <w:r>
        <w:rPr>
          <w:rFonts w:cstheme="minorHAnsi"/>
          <w:sz w:val="20"/>
          <w:lang w:val="en-GB"/>
        </w:rPr>
        <w:t>Last u</w:t>
      </w:r>
      <w:r w:rsidR="007169B9" w:rsidRPr="007169B9">
        <w:rPr>
          <w:rFonts w:cstheme="minorHAnsi"/>
          <w:sz w:val="20"/>
          <w:lang w:val="en-GB"/>
        </w:rPr>
        <w:t xml:space="preserve">pdated </w:t>
      </w:r>
      <w:r w:rsidR="007169B9">
        <w:rPr>
          <w:rFonts w:cstheme="minorHAnsi"/>
          <w:sz w:val="20"/>
          <w:lang w:val="en-GB"/>
        </w:rPr>
        <w:t>16</w:t>
      </w:r>
      <w:r w:rsidR="007169B9" w:rsidRPr="007169B9">
        <w:rPr>
          <w:rFonts w:cstheme="minorHAnsi"/>
          <w:sz w:val="20"/>
          <w:lang w:val="en-GB"/>
        </w:rPr>
        <w:t xml:space="preserve"> September 2020.</w:t>
      </w:r>
    </w:p>
    <w:p w14:paraId="33B1F027" w14:textId="77777777" w:rsidR="007E64E2" w:rsidRPr="00764F24" w:rsidRDefault="007E64E2" w:rsidP="00D86B69">
      <w:pPr>
        <w:spacing w:beforeAutospacing="1" w:after="100" w:afterAutospacing="1" w:line="360" w:lineRule="auto"/>
        <w:rPr>
          <w:rFonts w:cstheme="minorHAnsi"/>
          <w:szCs w:val="24"/>
          <w:lang w:val="en-GB"/>
        </w:rPr>
      </w:pPr>
    </w:p>
    <w:p w14:paraId="38C93FAA" w14:textId="0E3EA537" w:rsidR="007E64E2" w:rsidRPr="00764F24" w:rsidRDefault="00A756F1" w:rsidP="00D86B69">
      <w:pPr>
        <w:spacing w:beforeAutospacing="1" w:after="100" w:afterAutospacing="1" w:line="360" w:lineRule="auto"/>
        <w:rPr>
          <w:rFonts w:cstheme="minorHAnsi"/>
          <w:szCs w:val="24"/>
          <w:lang w:val="en-GB"/>
        </w:rPr>
      </w:pPr>
      <w:r w:rsidRPr="00764F24">
        <w:rPr>
          <w:rFonts w:cstheme="minorHAnsi"/>
          <w:szCs w:val="24"/>
          <w:lang w:val="en-GB"/>
        </w:rPr>
        <w:t>The third economic indicator considered here is the Bank of England Base Interest Rate which affects the cost of borrowing</w:t>
      </w:r>
      <w:r w:rsidR="00BF7FBA" w:rsidRPr="00764F24">
        <w:rPr>
          <w:rFonts w:cstheme="minorHAnsi"/>
          <w:szCs w:val="24"/>
          <w:lang w:val="en-GB"/>
        </w:rPr>
        <w:t xml:space="preserve">. </w:t>
      </w:r>
      <w:r w:rsidR="00D533A1" w:rsidRPr="00764F24">
        <w:rPr>
          <w:rFonts w:cstheme="minorHAnsi"/>
          <w:szCs w:val="24"/>
          <w:lang w:val="en-GB"/>
        </w:rPr>
        <w:t>Interest rates have been at historic lows since the Global Financial Crisis of 2008/9 (at 0.5</w:t>
      </w:r>
      <w:r w:rsidR="00A7794E" w:rsidRPr="00764F24">
        <w:rPr>
          <w:rFonts w:cstheme="minorHAnsi"/>
          <w:szCs w:val="24"/>
          <w:lang w:val="en-GB"/>
        </w:rPr>
        <w:t xml:space="preserve"> </w:t>
      </w:r>
      <w:r w:rsidR="00692125" w:rsidRPr="00764F24">
        <w:rPr>
          <w:rFonts w:cstheme="minorHAnsi"/>
          <w:szCs w:val="24"/>
          <w:lang w:val="en-GB"/>
        </w:rPr>
        <w:t>per cent)</w:t>
      </w:r>
      <w:r w:rsidR="00BF7FBA" w:rsidRPr="00764F24">
        <w:rPr>
          <w:rFonts w:cstheme="minorHAnsi"/>
          <w:szCs w:val="24"/>
          <w:lang w:val="en-GB"/>
        </w:rPr>
        <w:t xml:space="preserve">. </w:t>
      </w:r>
      <w:r w:rsidRPr="00764F24">
        <w:rPr>
          <w:rFonts w:cstheme="minorHAnsi"/>
          <w:szCs w:val="24"/>
          <w:lang w:val="en-GB"/>
        </w:rPr>
        <w:t>But i</w:t>
      </w:r>
      <w:r w:rsidR="00D533A1" w:rsidRPr="00764F24">
        <w:rPr>
          <w:rFonts w:cstheme="minorHAnsi"/>
          <w:szCs w:val="24"/>
          <w:lang w:val="en-GB"/>
        </w:rPr>
        <w:t>n 2017, the Bank of England Base Rate rose, albeit very slightly</w:t>
      </w:r>
      <w:r w:rsidRPr="00764F24">
        <w:rPr>
          <w:rFonts w:cstheme="minorHAnsi"/>
          <w:szCs w:val="24"/>
          <w:lang w:val="en-GB"/>
        </w:rPr>
        <w:t>,</w:t>
      </w:r>
      <w:r w:rsidR="00D533A1" w:rsidRPr="00764F24">
        <w:rPr>
          <w:rFonts w:cstheme="minorHAnsi"/>
          <w:szCs w:val="24"/>
          <w:lang w:val="en-GB"/>
        </w:rPr>
        <w:t xml:space="preserve"> for the first time in nearly a decade</w:t>
      </w:r>
      <w:r w:rsidR="00BF7FBA" w:rsidRPr="00764F24">
        <w:rPr>
          <w:rFonts w:cstheme="minorHAnsi"/>
          <w:szCs w:val="24"/>
          <w:lang w:val="en-GB"/>
        </w:rPr>
        <w:t xml:space="preserve">. </w:t>
      </w:r>
      <w:r w:rsidR="00D533A1" w:rsidRPr="00764F24">
        <w:rPr>
          <w:rFonts w:cstheme="minorHAnsi"/>
          <w:szCs w:val="24"/>
          <w:lang w:val="en-GB"/>
        </w:rPr>
        <w:t>A further slight increase took place in 2018 and the Base Rate reached 0.75</w:t>
      </w:r>
      <w:r w:rsidR="00A7794E" w:rsidRPr="00764F24">
        <w:rPr>
          <w:rFonts w:cstheme="minorHAnsi"/>
          <w:szCs w:val="24"/>
          <w:lang w:val="en-GB"/>
        </w:rPr>
        <w:t xml:space="preserve"> </w:t>
      </w:r>
      <w:r w:rsidR="00692125" w:rsidRPr="00764F24">
        <w:rPr>
          <w:rFonts w:cstheme="minorHAnsi"/>
          <w:szCs w:val="24"/>
          <w:lang w:val="en-GB"/>
        </w:rPr>
        <w:t>per cent.</w:t>
      </w:r>
      <w:r w:rsidR="00BF7FBA" w:rsidRPr="00764F24">
        <w:rPr>
          <w:rFonts w:cstheme="minorHAnsi"/>
          <w:szCs w:val="24"/>
          <w:lang w:val="en-GB"/>
        </w:rPr>
        <w:t xml:space="preserve"> </w:t>
      </w:r>
      <w:r w:rsidR="00D533A1" w:rsidRPr="00764F24">
        <w:rPr>
          <w:rFonts w:cstheme="minorHAnsi"/>
          <w:szCs w:val="24"/>
          <w:lang w:val="en-GB"/>
        </w:rPr>
        <w:t xml:space="preserve">But, in response to the global pandemic, the rate </w:t>
      </w:r>
      <w:r w:rsidRPr="00764F24">
        <w:rPr>
          <w:rFonts w:cstheme="minorHAnsi"/>
          <w:szCs w:val="24"/>
          <w:lang w:val="en-GB"/>
        </w:rPr>
        <w:t>was</w:t>
      </w:r>
      <w:r w:rsidR="00D533A1" w:rsidRPr="00764F24">
        <w:rPr>
          <w:rFonts w:cstheme="minorHAnsi"/>
          <w:szCs w:val="24"/>
          <w:lang w:val="en-GB"/>
        </w:rPr>
        <w:t xml:space="preserve"> reduced </w:t>
      </w:r>
      <w:r w:rsidRPr="00764F24">
        <w:rPr>
          <w:rFonts w:cstheme="minorHAnsi"/>
          <w:szCs w:val="24"/>
          <w:lang w:val="en-GB"/>
        </w:rPr>
        <w:t xml:space="preserve">again </w:t>
      </w:r>
      <w:r w:rsidR="00D533A1" w:rsidRPr="00764F24">
        <w:rPr>
          <w:rFonts w:cstheme="minorHAnsi"/>
          <w:szCs w:val="24"/>
          <w:lang w:val="en-GB"/>
        </w:rPr>
        <w:t>in March 2020 to</w:t>
      </w:r>
      <w:r w:rsidRPr="00764F24">
        <w:rPr>
          <w:rFonts w:cstheme="minorHAnsi"/>
          <w:szCs w:val="24"/>
          <w:lang w:val="en-GB"/>
        </w:rPr>
        <w:t xml:space="preserve"> the lowest it has ever been in the Bank of England’s 325 years</w:t>
      </w:r>
      <w:r w:rsidR="00533C23" w:rsidRPr="00764F24">
        <w:rPr>
          <w:rFonts w:cstheme="minorHAnsi"/>
          <w:szCs w:val="24"/>
          <w:lang w:val="en-GB"/>
        </w:rPr>
        <w:t>:</w:t>
      </w:r>
      <w:r w:rsidR="00D533A1" w:rsidRPr="00764F24">
        <w:rPr>
          <w:rFonts w:cstheme="minorHAnsi"/>
          <w:szCs w:val="24"/>
          <w:lang w:val="en-GB"/>
        </w:rPr>
        <w:t xml:space="preserve"> 0.1</w:t>
      </w:r>
      <w:r w:rsidR="00A7794E" w:rsidRPr="00764F24">
        <w:rPr>
          <w:rFonts w:cstheme="minorHAnsi"/>
          <w:szCs w:val="24"/>
          <w:lang w:val="en-GB"/>
        </w:rPr>
        <w:t xml:space="preserve"> </w:t>
      </w:r>
      <w:r w:rsidR="00692125" w:rsidRPr="00764F24">
        <w:rPr>
          <w:rFonts w:cstheme="minorHAnsi"/>
          <w:szCs w:val="24"/>
          <w:lang w:val="en-GB"/>
        </w:rPr>
        <w:t>per cent.</w:t>
      </w:r>
      <w:r w:rsidR="00D533A1" w:rsidRPr="00764F24">
        <w:rPr>
          <w:rFonts w:cstheme="minorHAnsi"/>
          <w:szCs w:val="24"/>
          <w:lang w:val="en-GB"/>
        </w:rPr>
        <w:t xml:space="preserve"> </w:t>
      </w:r>
    </w:p>
    <w:p w14:paraId="0C27755C" w14:textId="096E1504" w:rsidR="00852957" w:rsidRPr="00764F24" w:rsidRDefault="00D533A1"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1.</w:t>
      </w:r>
      <w:r w:rsidR="00EB5D7D">
        <w:rPr>
          <w:rFonts w:cstheme="minorHAnsi"/>
          <w:sz w:val="24"/>
          <w:szCs w:val="24"/>
          <w:lang w:val="en-GB"/>
        </w:rPr>
        <w:t>4</w:t>
      </w:r>
      <w:r w:rsidR="001E0C53" w:rsidRPr="00764F24">
        <w:rPr>
          <w:rFonts w:cstheme="minorHAnsi"/>
          <w:sz w:val="24"/>
          <w:szCs w:val="24"/>
          <w:lang w:val="en-GB"/>
        </w:rPr>
        <w:t>.</w:t>
      </w:r>
      <w:r w:rsidRPr="00764F24">
        <w:rPr>
          <w:rFonts w:cstheme="minorHAnsi"/>
          <w:sz w:val="24"/>
          <w:szCs w:val="24"/>
          <w:lang w:val="en-GB"/>
        </w:rPr>
        <w:t xml:space="preserve"> Bank of England Base Rate</w:t>
      </w:r>
      <w:r w:rsidR="001E0C53" w:rsidRPr="00764F24">
        <w:rPr>
          <w:rFonts w:cstheme="minorHAnsi"/>
          <w:sz w:val="24"/>
          <w:szCs w:val="24"/>
          <w:lang w:val="en-GB"/>
        </w:rPr>
        <w:t>.</w:t>
      </w:r>
      <w:r w:rsidR="00852957" w:rsidRPr="00764F24">
        <w:rPr>
          <w:rFonts w:cstheme="minorHAnsi"/>
          <w:sz w:val="24"/>
          <w:szCs w:val="24"/>
          <w:lang w:val="en-GB"/>
        </w:rPr>
        <w:t xml:space="preserve"> Source: Bank of England</w:t>
      </w:r>
      <w:r w:rsidR="00852957" w:rsidRPr="00764F24">
        <w:rPr>
          <w:rStyle w:val="FootnoteReference"/>
          <w:rFonts w:cstheme="minorHAnsi"/>
          <w:sz w:val="24"/>
          <w:szCs w:val="24"/>
          <w:lang w:val="en-GB"/>
        </w:rPr>
        <w:footnoteReference w:id="17"/>
      </w:r>
    </w:p>
    <w:p w14:paraId="530F9B71" w14:textId="7DCBE036" w:rsidR="007E64E2" w:rsidRPr="00764F24" w:rsidRDefault="007169B9" w:rsidP="007169B9">
      <w:pPr>
        <w:keepNext/>
        <w:spacing w:beforeAutospacing="1" w:after="0" w:line="240" w:lineRule="auto"/>
        <w:rPr>
          <w:rFonts w:cstheme="minorHAnsi"/>
          <w:szCs w:val="24"/>
          <w:lang w:val="en-GB"/>
        </w:rPr>
      </w:pPr>
      <w:r>
        <w:rPr>
          <w:rFonts w:cstheme="minorHAnsi"/>
          <w:noProof/>
          <w:szCs w:val="24"/>
          <w:lang w:val="en-GB" w:eastAsia="en-GB" w:bidi="ar-SA"/>
        </w:rPr>
        <w:drawing>
          <wp:inline distT="0" distB="0" distL="0" distR="0" wp14:anchorId="3F57C807" wp14:editId="727F05AA">
            <wp:extent cx="5102860" cy="3200400"/>
            <wp:effectExtent l="0" t="0" r="2540" b="0"/>
            <wp:docPr id="12" name="Picture 12" descr="Bank of England interest rates remain at their lowest ever -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2860" cy="3200400"/>
                    </a:xfrm>
                    <a:prstGeom prst="rect">
                      <a:avLst/>
                    </a:prstGeom>
                    <a:noFill/>
                  </pic:spPr>
                </pic:pic>
              </a:graphicData>
            </a:graphic>
          </wp:inline>
        </w:drawing>
      </w:r>
    </w:p>
    <w:p w14:paraId="28EA5CFF" w14:textId="5F28DECB" w:rsidR="007169B9" w:rsidRDefault="007169B9" w:rsidP="007169B9">
      <w:pPr>
        <w:spacing w:beforeAutospacing="1" w:after="0" w:line="240" w:lineRule="auto"/>
        <w:rPr>
          <w:rFonts w:cstheme="minorHAnsi"/>
          <w:sz w:val="20"/>
          <w:lang w:val="en-GB"/>
        </w:rPr>
      </w:pPr>
      <w:r w:rsidRPr="007169B9">
        <w:rPr>
          <w:rFonts w:cstheme="minorHAnsi"/>
          <w:sz w:val="20"/>
          <w:lang w:val="en-GB"/>
        </w:rPr>
        <w:t xml:space="preserve">Updated </w:t>
      </w:r>
      <w:r>
        <w:rPr>
          <w:rFonts w:cstheme="minorHAnsi"/>
          <w:sz w:val="20"/>
          <w:lang w:val="en-GB"/>
        </w:rPr>
        <w:t>30</w:t>
      </w:r>
      <w:r w:rsidRPr="007169B9">
        <w:rPr>
          <w:rFonts w:cstheme="minorHAnsi"/>
          <w:sz w:val="20"/>
          <w:lang w:val="en-GB"/>
        </w:rPr>
        <w:t xml:space="preserve"> September 2020.</w:t>
      </w:r>
    </w:p>
    <w:p w14:paraId="3DF7EF42" w14:textId="77777777" w:rsidR="00EB5D7D" w:rsidRPr="00EB5D7D" w:rsidRDefault="00EB5D7D" w:rsidP="007169B9">
      <w:pPr>
        <w:spacing w:beforeAutospacing="1" w:after="0" w:line="240" w:lineRule="auto"/>
        <w:rPr>
          <w:rFonts w:cstheme="minorHAnsi"/>
          <w:szCs w:val="24"/>
          <w:lang w:val="en-GB"/>
        </w:rPr>
      </w:pPr>
    </w:p>
    <w:p w14:paraId="53A65464" w14:textId="3D9B4B34" w:rsidR="00EF6D56" w:rsidRPr="00764F24" w:rsidRDefault="00EF6D56" w:rsidP="00D86B69">
      <w:pPr>
        <w:spacing w:beforeAutospacing="1" w:after="100" w:afterAutospacing="1" w:line="360" w:lineRule="auto"/>
        <w:rPr>
          <w:rFonts w:cstheme="minorHAnsi"/>
          <w:szCs w:val="24"/>
          <w:lang w:val="en-GB"/>
        </w:rPr>
      </w:pPr>
      <w:r w:rsidRPr="00764F24">
        <w:rPr>
          <w:rFonts w:cstheme="minorHAnsi"/>
          <w:szCs w:val="24"/>
          <w:lang w:val="en-GB"/>
        </w:rPr>
        <w:br w:type="page"/>
      </w:r>
    </w:p>
    <w:p w14:paraId="2F005273" w14:textId="7E63E6BF" w:rsidR="00733606" w:rsidRPr="00764F24" w:rsidRDefault="0011727D" w:rsidP="00D86B69">
      <w:pPr>
        <w:pStyle w:val="Heading2"/>
        <w:numPr>
          <w:ilvl w:val="0"/>
          <w:numId w:val="10"/>
        </w:numPr>
        <w:spacing w:beforeAutospacing="1" w:after="100" w:afterAutospacing="1" w:line="360" w:lineRule="auto"/>
        <w:rPr>
          <w:rFonts w:cstheme="minorHAnsi"/>
          <w:szCs w:val="24"/>
          <w:lang w:val="en-GB"/>
        </w:rPr>
      </w:pPr>
      <w:bookmarkStart w:id="34" w:name="_Toc54600801"/>
      <w:r>
        <w:rPr>
          <w:rFonts w:cstheme="minorHAnsi"/>
          <w:szCs w:val="24"/>
          <w:lang w:val="en-GB"/>
        </w:rPr>
        <w:lastRenderedPageBreak/>
        <w:t>THE LABOUR MARKET</w:t>
      </w:r>
      <w:bookmarkEnd w:id="34"/>
    </w:p>
    <w:p w14:paraId="4A7AFD77" w14:textId="77777777" w:rsidR="00EF6D56" w:rsidRPr="00764F24" w:rsidRDefault="00EF6D56" w:rsidP="00D86B69">
      <w:pPr>
        <w:spacing w:beforeAutospacing="1" w:after="100" w:afterAutospacing="1" w:line="360" w:lineRule="auto"/>
        <w:rPr>
          <w:rFonts w:cstheme="minorHAnsi"/>
          <w:szCs w:val="24"/>
          <w:lang w:val="en-GB"/>
        </w:rPr>
      </w:pPr>
    </w:p>
    <w:p w14:paraId="4529376D" w14:textId="43FD4C9B" w:rsidR="007E64E2" w:rsidRPr="00764F24" w:rsidRDefault="004B6545" w:rsidP="00D86B69">
      <w:pPr>
        <w:spacing w:beforeAutospacing="1" w:after="100" w:afterAutospacing="1" w:line="360" w:lineRule="auto"/>
        <w:rPr>
          <w:rFonts w:cstheme="minorHAnsi"/>
          <w:szCs w:val="24"/>
          <w:lang w:val="en-GB"/>
        </w:rPr>
      </w:pPr>
      <w:r w:rsidRPr="00764F24">
        <w:rPr>
          <w:rFonts w:cstheme="minorHAnsi"/>
          <w:szCs w:val="24"/>
          <w:lang w:val="en-GB"/>
        </w:rPr>
        <w:t xml:space="preserve">As we have </w:t>
      </w:r>
      <w:r w:rsidR="00563396" w:rsidRPr="00764F24">
        <w:rPr>
          <w:rFonts w:cstheme="minorHAnsi"/>
          <w:szCs w:val="24"/>
          <w:lang w:val="en-GB"/>
        </w:rPr>
        <w:t xml:space="preserve">also </w:t>
      </w:r>
      <w:r w:rsidRPr="00764F24">
        <w:rPr>
          <w:rFonts w:cstheme="minorHAnsi"/>
          <w:szCs w:val="24"/>
          <w:lang w:val="en-GB"/>
        </w:rPr>
        <w:t>seen in previous reports, t</w:t>
      </w:r>
      <w:r w:rsidR="003D5236" w:rsidRPr="00764F24">
        <w:rPr>
          <w:rFonts w:cstheme="minorHAnsi"/>
          <w:szCs w:val="24"/>
          <w:lang w:val="en-GB"/>
        </w:rPr>
        <w:t xml:space="preserve">he </w:t>
      </w:r>
      <w:r w:rsidR="00EF6D56" w:rsidRPr="00764F24">
        <w:rPr>
          <w:rFonts w:cstheme="minorHAnsi"/>
          <w:szCs w:val="24"/>
          <w:lang w:val="en-GB"/>
        </w:rPr>
        <w:t xml:space="preserve">Global Financial Crisis and ensuing </w:t>
      </w:r>
      <w:r w:rsidR="003D5236" w:rsidRPr="00764F24">
        <w:rPr>
          <w:rFonts w:cstheme="minorHAnsi"/>
          <w:szCs w:val="24"/>
          <w:lang w:val="en-GB"/>
        </w:rPr>
        <w:t>recession</w:t>
      </w:r>
      <w:r w:rsidR="00751165" w:rsidRPr="00764F24">
        <w:rPr>
          <w:rFonts w:cstheme="minorHAnsi"/>
          <w:szCs w:val="24"/>
          <w:lang w:val="en-GB"/>
        </w:rPr>
        <w:t xml:space="preserve"> of 2008/9</w:t>
      </w:r>
      <w:r w:rsidR="00483373" w:rsidRPr="00764F24">
        <w:rPr>
          <w:rFonts w:cstheme="minorHAnsi"/>
          <w:szCs w:val="24"/>
          <w:lang w:val="en-GB"/>
        </w:rPr>
        <w:t xml:space="preserve"> </w:t>
      </w:r>
      <w:r w:rsidR="003D5236" w:rsidRPr="00764F24">
        <w:rPr>
          <w:rFonts w:cstheme="minorHAnsi"/>
          <w:szCs w:val="24"/>
          <w:lang w:val="en-GB"/>
        </w:rPr>
        <w:t xml:space="preserve">had a major impact on </w:t>
      </w:r>
      <w:r w:rsidR="00B9482B">
        <w:rPr>
          <w:rFonts w:cstheme="minorHAnsi"/>
          <w:szCs w:val="24"/>
          <w:lang w:val="en-GB"/>
        </w:rPr>
        <w:t>the labour market</w:t>
      </w:r>
      <w:r w:rsidR="00BF7FBA" w:rsidRPr="00764F24">
        <w:rPr>
          <w:rFonts w:cstheme="minorHAnsi"/>
          <w:szCs w:val="24"/>
          <w:lang w:val="en-GB"/>
        </w:rPr>
        <w:t xml:space="preserve">. </w:t>
      </w:r>
      <w:r w:rsidRPr="00764F24">
        <w:rPr>
          <w:rFonts w:cstheme="minorHAnsi"/>
          <w:szCs w:val="24"/>
          <w:lang w:val="en-GB"/>
        </w:rPr>
        <w:t>Most recent</w:t>
      </w:r>
      <w:r w:rsidR="005E00E7" w:rsidRPr="00764F24">
        <w:rPr>
          <w:rFonts w:cstheme="minorHAnsi"/>
          <w:szCs w:val="24"/>
          <w:lang w:val="en-GB"/>
        </w:rPr>
        <w:t xml:space="preserve"> data, for December </w:t>
      </w:r>
      <w:r w:rsidR="00533C23" w:rsidRPr="00764F24">
        <w:rPr>
          <w:rFonts w:cstheme="minorHAnsi"/>
          <w:szCs w:val="24"/>
          <w:lang w:val="en-GB"/>
        </w:rPr>
        <w:t xml:space="preserve">2019 </w:t>
      </w:r>
      <w:r w:rsidR="005E00E7" w:rsidRPr="00764F24">
        <w:rPr>
          <w:rFonts w:cstheme="minorHAnsi"/>
          <w:szCs w:val="24"/>
          <w:lang w:val="en-GB"/>
        </w:rPr>
        <w:t>to February 2020,</w:t>
      </w:r>
      <w:r w:rsidRPr="00764F24">
        <w:rPr>
          <w:rFonts w:cstheme="minorHAnsi"/>
          <w:szCs w:val="24"/>
          <w:lang w:val="en-GB"/>
        </w:rPr>
        <w:t xml:space="preserve"> shows that</w:t>
      </w:r>
      <w:r w:rsidR="00C74FD8" w:rsidRPr="00764F24">
        <w:rPr>
          <w:rFonts w:cstheme="minorHAnsi"/>
          <w:szCs w:val="24"/>
          <w:lang w:val="en-GB"/>
        </w:rPr>
        <w:t xml:space="preserve"> </w:t>
      </w:r>
      <w:r w:rsidR="004E2969" w:rsidRPr="00764F24">
        <w:rPr>
          <w:rFonts w:cstheme="minorHAnsi"/>
          <w:szCs w:val="24"/>
          <w:lang w:val="en-GB"/>
        </w:rPr>
        <w:t>unemployment</w:t>
      </w:r>
      <w:r w:rsidR="00C74FD8" w:rsidRPr="00764F24">
        <w:rPr>
          <w:rFonts w:cstheme="minorHAnsi"/>
          <w:szCs w:val="24"/>
          <w:lang w:val="en-GB"/>
        </w:rPr>
        <w:t xml:space="preserve"> </w:t>
      </w:r>
      <w:r w:rsidR="00EF6D56" w:rsidRPr="00764F24">
        <w:rPr>
          <w:rFonts w:cstheme="minorHAnsi"/>
          <w:szCs w:val="24"/>
          <w:lang w:val="en-GB"/>
        </w:rPr>
        <w:t>wa</w:t>
      </w:r>
      <w:r w:rsidR="005E00E7" w:rsidRPr="00764F24">
        <w:rPr>
          <w:rFonts w:cstheme="minorHAnsi"/>
          <w:szCs w:val="24"/>
          <w:lang w:val="en-GB"/>
        </w:rPr>
        <w:t>s at</w:t>
      </w:r>
      <w:r w:rsidR="00C74FD8" w:rsidRPr="00764F24">
        <w:rPr>
          <w:rFonts w:cstheme="minorHAnsi"/>
          <w:szCs w:val="24"/>
          <w:lang w:val="en-GB"/>
        </w:rPr>
        <w:t xml:space="preserve"> </w:t>
      </w:r>
      <w:r w:rsidR="00483373" w:rsidRPr="00764F24">
        <w:rPr>
          <w:rFonts w:cstheme="minorHAnsi"/>
          <w:szCs w:val="24"/>
          <w:lang w:val="en-GB"/>
        </w:rPr>
        <w:t>1.</w:t>
      </w:r>
      <w:r w:rsidR="00C93D4A" w:rsidRPr="00764F24">
        <w:rPr>
          <w:rFonts w:cstheme="minorHAnsi"/>
          <w:szCs w:val="24"/>
          <w:lang w:val="en-GB"/>
        </w:rPr>
        <w:t>36</w:t>
      </w:r>
      <w:r w:rsidR="00C74FD8" w:rsidRPr="00764F24">
        <w:rPr>
          <w:rFonts w:cstheme="minorHAnsi"/>
          <w:szCs w:val="24"/>
          <w:lang w:val="en-GB"/>
        </w:rPr>
        <w:t xml:space="preserve"> million </w:t>
      </w:r>
      <w:r w:rsidR="00EF6D56" w:rsidRPr="00764F24">
        <w:rPr>
          <w:rFonts w:cstheme="minorHAnsi"/>
          <w:szCs w:val="24"/>
          <w:lang w:val="en-GB"/>
        </w:rPr>
        <w:t xml:space="preserve">on the eve of the COVID-19 pandemic </w:t>
      </w:r>
      <w:r w:rsidR="003D5236" w:rsidRPr="00764F24">
        <w:rPr>
          <w:rFonts w:cstheme="minorHAnsi"/>
          <w:szCs w:val="24"/>
          <w:lang w:val="en-GB"/>
        </w:rPr>
        <w:t xml:space="preserve">(see figure </w:t>
      </w:r>
      <w:r w:rsidR="00811902" w:rsidRPr="00764F24">
        <w:rPr>
          <w:rFonts w:cstheme="minorHAnsi"/>
          <w:szCs w:val="24"/>
          <w:lang w:val="en-GB"/>
        </w:rPr>
        <w:t>2</w:t>
      </w:r>
      <w:r w:rsidR="00C93D4A" w:rsidRPr="00764F24">
        <w:rPr>
          <w:rFonts w:cstheme="minorHAnsi"/>
          <w:szCs w:val="24"/>
          <w:lang w:val="en-GB"/>
        </w:rPr>
        <w:t>.1</w:t>
      </w:r>
      <w:r w:rsidR="003D5236" w:rsidRPr="00764F24">
        <w:rPr>
          <w:rFonts w:cstheme="minorHAnsi"/>
          <w:szCs w:val="24"/>
          <w:lang w:val="en-GB"/>
        </w:rPr>
        <w:t>)</w:t>
      </w:r>
      <w:r w:rsidR="00BF7FBA" w:rsidRPr="00764F24">
        <w:rPr>
          <w:rFonts w:cstheme="minorHAnsi"/>
          <w:szCs w:val="24"/>
          <w:lang w:val="en-GB"/>
        </w:rPr>
        <w:t>.</w:t>
      </w:r>
      <w:r w:rsidR="008D2686" w:rsidRPr="00764F24">
        <w:rPr>
          <w:rFonts w:cstheme="minorHAnsi"/>
          <w:szCs w:val="24"/>
          <w:lang w:val="en-GB"/>
        </w:rPr>
        <w:t xml:space="preserve"> </w:t>
      </w:r>
      <w:r w:rsidR="00751165" w:rsidRPr="00764F24">
        <w:rPr>
          <w:rFonts w:cstheme="minorHAnsi"/>
          <w:szCs w:val="24"/>
          <w:lang w:val="en-GB"/>
        </w:rPr>
        <w:t xml:space="preserve"> </w:t>
      </w:r>
      <w:r w:rsidR="00142D2E" w:rsidRPr="00764F24">
        <w:rPr>
          <w:rFonts w:cstheme="minorHAnsi"/>
          <w:szCs w:val="24"/>
          <w:lang w:val="en-GB"/>
        </w:rPr>
        <w:t>This is far lower than at the height of the Global Financial Crisis when it reached 2.5 million</w:t>
      </w:r>
      <w:r w:rsidR="00BF7FBA" w:rsidRPr="00764F24">
        <w:rPr>
          <w:rFonts w:cstheme="minorHAnsi"/>
          <w:szCs w:val="24"/>
          <w:lang w:val="en-GB"/>
        </w:rPr>
        <w:t xml:space="preserve">. </w:t>
      </w:r>
      <w:r w:rsidR="00142D2E" w:rsidRPr="00764F24">
        <w:rPr>
          <w:rFonts w:cstheme="minorHAnsi"/>
          <w:szCs w:val="24"/>
          <w:lang w:val="en-GB"/>
        </w:rPr>
        <w:t>However, the previous six months ha</w:t>
      </w:r>
      <w:r w:rsidR="00533C23" w:rsidRPr="00764F24">
        <w:rPr>
          <w:rFonts w:cstheme="minorHAnsi"/>
          <w:szCs w:val="24"/>
          <w:lang w:val="en-GB"/>
        </w:rPr>
        <w:t>d</w:t>
      </w:r>
      <w:r w:rsidR="00142D2E" w:rsidRPr="00764F24">
        <w:rPr>
          <w:rFonts w:cstheme="minorHAnsi"/>
          <w:szCs w:val="24"/>
          <w:lang w:val="en-GB"/>
        </w:rPr>
        <w:t xml:space="preserve"> seen the first increase in unemployment since the </w:t>
      </w:r>
      <w:r w:rsidR="00CD7138" w:rsidRPr="00764F24">
        <w:rPr>
          <w:rFonts w:cstheme="minorHAnsi"/>
          <w:szCs w:val="24"/>
          <w:lang w:val="en-GB"/>
        </w:rPr>
        <w:t>Global Financial Crisis</w:t>
      </w:r>
      <w:r w:rsidR="00142D2E" w:rsidRPr="00764F24">
        <w:rPr>
          <w:rFonts w:cstheme="minorHAnsi"/>
          <w:szCs w:val="24"/>
          <w:lang w:val="en-GB"/>
        </w:rPr>
        <w:t xml:space="preserve"> from the low of </w:t>
      </w:r>
      <w:r w:rsidR="00C93D4A" w:rsidRPr="00764F24">
        <w:rPr>
          <w:rFonts w:cstheme="minorHAnsi"/>
          <w:szCs w:val="24"/>
          <w:lang w:val="en-GB"/>
        </w:rPr>
        <w:t>1.</w:t>
      </w:r>
      <w:r w:rsidR="005E00E7" w:rsidRPr="00764F24">
        <w:rPr>
          <w:rFonts w:cstheme="minorHAnsi"/>
          <w:szCs w:val="24"/>
          <w:lang w:val="en-GB"/>
        </w:rPr>
        <w:t>28</w:t>
      </w:r>
      <w:r w:rsidR="00C93D4A" w:rsidRPr="00764F24">
        <w:rPr>
          <w:rFonts w:cstheme="minorHAnsi"/>
          <w:szCs w:val="24"/>
          <w:lang w:val="en-GB"/>
        </w:rPr>
        <w:t xml:space="preserve"> million </w:t>
      </w:r>
      <w:r w:rsidR="004E2969" w:rsidRPr="00764F24">
        <w:rPr>
          <w:rFonts w:cstheme="minorHAnsi"/>
          <w:szCs w:val="24"/>
          <w:lang w:val="en-GB"/>
        </w:rPr>
        <w:t xml:space="preserve">unemployed </w:t>
      </w:r>
      <w:r w:rsidR="00C93D4A" w:rsidRPr="00764F24">
        <w:rPr>
          <w:rFonts w:cstheme="minorHAnsi"/>
          <w:szCs w:val="24"/>
          <w:lang w:val="en-GB"/>
        </w:rPr>
        <w:t>in August 2019</w:t>
      </w:r>
      <w:r w:rsidR="00BF7FBA" w:rsidRPr="00764F24">
        <w:rPr>
          <w:rFonts w:cstheme="minorHAnsi"/>
          <w:szCs w:val="24"/>
          <w:lang w:val="en-GB"/>
        </w:rPr>
        <w:t xml:space="preserve">. </w:t>
      </w:r>
      <w:r w:rsidR="004E2969" w:rsidRPr="00764F24">
        <w:rPr>
          <w:rFonts w:cstheme="minorHAnsi"/>
          <w:szCs w:val="24"/>
          <w:lang w:val="en-GB"/>
        </w:rPr>
        <w:t>So there a</w:t>
      </w:r>
      <w:r w:rsidR="00C93D4A" w:rsidRPr="00764F24">
        <w:rPr>
          <w:rFonts w:cstheme="minorHAnsi"/>
          <w:szCs w:val="24"/>
          <w:lang w:val="en-GB"/>
        </w:rPr>
        <w:t>re signs that unemployment may have been starting to increase</w:t>
      </w:r>
      <w:r w:rsidR="00142D2E" w:rsidRPr="00764F24">
        <w:rPr>
          <w:rFonts w:cstheme="minorHAnsi"/>
          <w:szCs w:val="24"/>
          <w:lang w:val="en-GB"/>
        </w:rPr>
        <w:t xml:space="preserve"> before the</w:t>
      </w:r>
      <w:r w:rsidR="00A12E5C" w:rsidRPr="00764F24">
        <w:rPr>
          <w:rFonts w:cstheme="minorHAnsi"/>
          <w:szCs w:val="24"/>
          <w:lang w:val="en-GB"/>
        </w:rPr>
        <w:t xml:space="preserve"> COVID-19</w:t>
      </w:r>
      <w:r w:rsidR="00142D2E" w:rsidRPr="00764F24">
        <w:rPr>
          <w:rFonts w:cstheme="minorHAnsi"/>
          <w:szCs w:val="24"/>
          <w:lang w:val="en-GB"/>
        </w:rPr>
        <w:t xml:space="preserve"> crisis</w:t>
      </w:r>
      <w:r w:rsidR="00C93D4A" w:rsidRPr="00764F24">
        <w:rPr>
          <w:rFonts w:cstheme="minorHAnsi"/>
          <w:szCs w:val="24"/>
          <w:lang w:val="en-GB"/>
        </w:rPr>
        <w:t>, possibly in response to Brexit-related developments</w:t>
      </w:r>
      <w:r w:rsidR="00BF7FBA" w:rsidRPr="00764F24">
        <w:rPr>
          <w:rFonts w:cstheme="minorHAnsi"/>
          <w:szCs w:val="24"/>
          <w:lang w:val="en-GB"/>
        </w:rPr>
        <w:t xml:space="preserve">. </w:t>
      </w:r>
      <w:r w:rsidR="0045126E" w:rsidRPr="00764F24">
        <w:rPr>
          <w:rFonts w:cstheme="minorHAnsi"/>
          <w:szCs w:val="24"/>
          <w:lang w:val="en-GB"/>
        </w:rPr>
        <w:t>By the end of 201</w:t>
      </w:r>
      <w:r w:rsidR="00C93D4A" w:rsidRPr="00764F24">
        <w:rPr>
          <w:rFonts w:cstheme="minorHAnsi"/>
          <w:szCs w:val="24"/>
          <w:lang w:val="en-GB"/>
        </w:rPr>
        <w:t>9</w:t>
      </w:r>
      <w:r w:rsidR="0045126E" w:rsidRPr="00764F24">
        <w:rPr>
          <w:rFonts w:cstheme="minorHAnsi"/>
          <w:szCs w:val="24"/>
          <w:lang w:val="en-GB"/>
        </w:rPr>
        <w:t xml:space="preserve">, </w:t>
      </w:r>
      <w:r w:rsidR="004E2969" w:rsidRPr="00764F24">
        <w:rPr>
          <w:rFonts w:cstheme="minorHAnsi"/>
          <w:szCs w:val="24"/>
          <w:lang w:val="en-GB"/>
        </w:rPr>
        <w:t>long-term unemployment</w:t>
      </w:r>
      <w:r w:rsidR="0045126E" w:rsidRPr="00764F24">
        <w:rPr>
          <w:rFonts w:cstheme="minorHAnsi"/>
          <w:szCs w:val="24"/>
          <w:lang w:val="en-GB"/>
        </w:rPr>
        <w:t xml:space="preserve"> had also dropped </w:t>
      </w:r>
      <w:r w:rsidR="004E2969" w:rsidRPr="00764F24">
        <w:rPr>
          <w:rFonts w:cstheme="minorHAnsi"/>
          <w:szCs w:val="24"/>
          <w:lang w:val="en-GB"/>
        </w:rPr>
        <w:t xml:space="preserve">on previous years </w:t>
      </w:r>
      <w:r w:rsidR="0045126E" w:rsidRPr="00764F24">
        <w:rPr>
          <w:rFonts w:cstheme="minorHAnsi"/>
          <w:szCs w:val="24"/>
          <w:lang w:val="en-GB"/>
        </w:rPr>
        <w:t xml:space="preserve">- to just </w:t>
      </w:r>
      <w:r w:rsidR="00F50E63" w:rsidRPr="00764F24">
        <w:rPr>
          <w:rFonts w:cstheme="minorHAnsi"/>
          <w:szCs w:val="24"/>
          <w:lang w:val="en-GB"/>
        </w:rPr>
        <w:t xml:space="preserve">under </w:t>
      </w:r>
      <w:r w:rsidR="0045126E" w:rsidRPr="00764F24">
        <w:rPr>
          <w:rFonts w:cstheme="minorHAnsi"/>
          <w:szCs w:val="24"/>
          <w:lang w:val="en-GB"/>
        </w:rPr>
        <w:t>0.</w:t>
      </w:r>
      <w:r w:rsidR="00C93D4A" w:rsidRPr="00764F24">
        <w:rPr>
          <w:rFonts w:cstheme="minorHAnsi"/>
          <w:szCs w:val="24"/>
          <w:lang w:val="en-GB"/>
        </w:rPr>
        <w:t>3</w:t>
      </w:r>
      <w:r w:rsidR="0045126E" w:rsidRPr="00764F24">
        <w:rPr>
          <w:rFonts w:cstheme="minorHAnsi"/>
          <w:szCs w:val="24"/>
          <w:lang w:val="en-GB"/>
        </w:rPr>
        <w:t xml:space="preserve"> million</w:t>
      </w:r>
      <w:r w:rsidR="00F37E2D" w:rsidRPr="00764F24">
        <w:rPr>
          <w:rFonts w:cstheme="minorHAnsi"/>
          <w:szCs w:val="24"/>
          <w:lang w:val="en-GB"/>
        </w:rPr>
        <w:t>, back again to pre-</w:t>
      </w:r>
      <w:r w:rsidR="00CD7138" w:rsidRPr="00764F24">
        <w:rPr>
          <w:rFonts w:cstheme="minorHAnsi"/>
          <w:szCs w:val="24"/>
          <w:lang w:val="en-GB"/>
        </w:rPr>
        <w:t>2008</w:t>
      </w:r>
      <w:r w:rsidR="00F37E2D" w:rsidRPr="00764F24">
        <w:rPr>
          <w:rFonts w:cstheme="minorHAnsi"/>
          <w:szCs w:val="24"/>
          <w:lang w:val="en-GB"/>
        </w:rPr>
        <w:t xml:space="preserve"> levels</w:t>
      </w:r>
      <w:r w:rsidR="00BF7FBA" w:rsidRPr="00764F24">
        <w:rPr>
          <w:rFonts w:cstheme="minorHAnsi"/>
          <w:szCs w:val="24"/>
          <w:lang w:val="en-GB"/>
        </w:rPr>
        <w:t xml:space="preserve">. </w:t>
      </w:r>
      <w:r w:rsidR="00F37E2D" w:rsidRPr="00764F24">
        <w:rPr>
          <w:rFonts w:cstheme="minorHAnsi"/>
          <w:szCs w:val="24"/>
          <w:lang w:val="en-GB"/>
        </w:rPr>
        <w:t xml:space="preserve">There is still, however, a </w:t>
      </w:r>
      <w:r w:rsidR="00C93D4A" w:rsidRPr="00764F24">
        <w:rPr>
          <w:rFonts w:cstheme="minorHAnsi"/>
          <w:szCs w:val="24"/>
          <w:lang w:val="en-GB"/>
        </w:rPr>
        <w:t xml:space="preserve">slightly </w:t>
      </w:r>
      <w:r w:rsidR="00F37E2D" w:rsidRPr="00764F24">
        <w:rPr>
          <w:rFonts w:cstheme="minorHAnsi"/>
          <w:szCs w:val="24"/>
          <w:lang w:val="en-GB"/>
        </w:rPr>
        <w:t>higher rate of unemployment for those who have been out of work for more than 2 years</w:t>
      </w:r>
      <w:r w:rsidR="00811902" w:rsidRPr="00764F24">
        <w:rPr>
          <w:rFonts w:cstheme="minorHAnsi"/>
          <w:szCs w:val="24"/>
          <w:lang w:val="en-GB"/>
        </w:rPr>
        <w:t xml:space="preserve">, compared to the rate before the </w:t>
      </w:r>
      <w:r w:rsidR="00CD7138" w:rsidRPr="00764F24">
        <w:rPr>
          <w:rFonts w:cstheme="minorHAnsi"/>
          <w:szCs w:val="24"/>
          <w:lang w:val="en-GB"/>
        </w:rPr>
        <w:t>Global Financial Crisis</w:t>
      </w:r>
      <w:r w:rsidR="00F37E2D" w:rsidRPr="00764F24">
        <w:rPr>
          <w:rFonts w:cstheme="minorHAnsi"/>
          <w:szCs w:val="24"/>
          <w:lang w:val="en-GB"/>
        </w:rPr>
        <w:t>.</w:t>
      </w:r>
      <w:r w:rsidR="001814CE" w:rsidRPr="00764F24">
        <w:rPr>
          <w:rFonts w:cstheme="minorHAnsi"/>
          <w:szCs w:val="24"/>
          <w:lang w:val="en-GB"/>
        </w:rPr>
        <w:t xml:space="preserve"> </w:t>
      </w:r>
    </w:p>
    <w:p w14:paraId="68BDD800" w14:textId="77777777" w:rsidR="00B9482B" w:rsidRDefault="00B9482B">
      <w:pPr>
        <w:rPr>
          <w:rFonts w:cstheme="minorHAnsi"/>
          <w:b/>
          <w:bCs/>
          <w:color w:val="374C80" w:themeColor="accent1" w:themeShade="BF"/>
          <w:szCs w:val="24"/>
          <w:lang w:val="en-GB"/>
        </w:rPr>
      </w:pPr>
      <w:r>
        <w:rPr>
          <w:rFonts w:cstheme="minorHAnsi"/>
          <w:szCs w:val="24"/>
          <w:lang w:val="en-GB"/>
        </w:rPr>
        <w:br w:type="page"/>
      </w:r>
    </w:p>
    <w:p w14:paraId="095D518F" w14:textId="6770AD86" w:rsidR="00B716CC" w:rsidRPr="00764F24" w:rsidRDefault="00811902"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2</w:t>
      </w:r>
      <w:r w:rsidR="00C93D4A" w:rsidRPr="00764F24">
        <w:rPr>
          <w:rFonts w:cstheme="minorHAnsi"/>
          <w:sz w:val="24"/>
          <w:szCs w:val="24"/>
          <w:lang w:val="en-GB"/>
        </w:rPr>
        <w:t>.1</w:t>
      </w:r>
      <w:r w:rsidR="001E0C53" w:rsidRPr="00764F24">
        <w:rPr>
          <w:rFonts w:cstheme="minorHAnsi"/>
          <w:sz w:val="24"/>
          <w:szCs w:val="24"/>
          <w:lang w:val="en-GB"/>
        </w:rPr>
        <w:t xml:space="preserve">. </w:t>
      </w:r>
      <w:r w:rsidR="00C74FD8" w:rsidRPr="00764F24">
        <w:rPr>
          <w:rFonts w:cstheme="minorHAnsi"/>
          <w:sz w:val="24"/>
          <w:szCs w:val="24"/>
          <w:lang w:val="en-GB"/>
        </w:rPr>
        <w:t>U</w:t>
      </w:r>
      <w:r w:rsidR="00F25F36" w:rsidRPr="00764F24">
        <w:rPr>
          <w:rFonts w:cstheme="minorHAnsi"/>
          <w:sz w:val="24"/>
          <w:szCs w:val="24"/>
          <w:lang w:val="en-GB"/>
        </w:rPr>
        <w:t>nemploy</w:t>
      </w:r>
      <w:r w:rsidR="00C74FD8" w:rsidRPr="00764F24">
        <w:rPr>
          <w:rFonts w:cstheme="minorHAnsi"/>
          <w:sz w:val="24"/>
          <w:szCs w:val="24"/>
          <w:lang w:val="en-GB"/>
        </w:rPr>
        <w:t xml:space="preserve">ment </w:t>
      </w:r>
      <w:r w:rsidR="007C46D1" w:rsidRPr="00764F24">
        <w:rPr>
          <w:rFonts w:cstheme="minorHAnsi"/>
          <w:sz w:val="24"/>
          <w:szCs w:val="24"/>
          <w:lang w:val="en-GB"/>
        </w:rPr>
        <w:t>levels</w:t>
      </w:r>
      <w:r w:rsidR="00142D2E" w:rsidRPr="00764F24">
        <w:rPr>
          <w:rFonts w:cstheme="minorHAnsi"/>
          <w:sz w:val="24"/>
          <w:szCs w:val="24"/>
          <w:lang w:val="en-GB"/>
        </w:rPr>
        <w:t xml:space="preserve"> start</w:t>
      </w:r>
      <w:r w:rsidR="00702945" w:rsidRPr="00764F24">
        <w:rPr>
          <w:rFonts w:cstheme="minorHAnsi"/>
          <w:sz w:val="24"/>
          <w:szCs w:val="24"/>
          <w:lang w:val="en-GB"/>
        </w:rPr>
        <w:t>ed</w:t>
      </w:r>
      <w:r w:rsidR="00142D2E" w:rsidRPr="00764F24">
        <w:rPr>
          <w:rFonts w:cstheme="minorHAnsi"/>
          <w:sz w:val="24"/>
          <w:szCs w:val="24"/>
          <w:lang w:val="en-GB"/>
        </w:rPr>
        <w:t xml:space="preserve"> to increase slightly even before the </w:t>
      </w:r>
      <w:r w:rsidR="00A12E5C" w:rsidRPr="00764F24">
        <w:rPr>
          <w:rFonts w:cstheme="minorHAnsi"/>
          <w:sz w:val="24"/>
          <w:szCs w:val="24"/>
          <w:lang w:val="en-GB"/>
        </w:rPr>
        <w:t xml:space="preserve"> COVID-19</w:t>
      </w:r>
      <w:r w:rsidR="00142D2E" w:rsidRPr="00764F24">
        <w:rPr>
          <w:rFonts w:cstheme="minorHAnsi"/>
          <w:sz w:val="24"/>
          <w:szCs w:val="24"/>
          <w:lang w:val="en-GB"/>
        </w:rPr>
        <w:t xml:space="preserve"> crisis</w:t>
      </w:r>
      <w:r w:rsidR="001E0C53" w:rsidRPr="00764F24">
        <w:rPr>
          <w:rFonts w:cstheme="minorHAnsi"/>
          <w:sz w:val="24"/>
          <w:szCs w:val="24"/>
          <w:lang w:val="en-GB"/>
        </w:rPr>
        <w:t>.</w:t>
      </w:r>
      <w:r w:rsidR="001977B2" w:rsidRPr="00764F24">
        <w:rPr>
          <w:rFonts w:cstheme="minorHAnsi"/>
          <w:sz w:val="24"/>
          <w:szCs w:val="24"/>
          <w:lang w:val="en-GB"/>
        </w:rPr>
        <w:t xml:space="preserve"> Source: </w:t>
      </w:r>
      <w:r w:rsidR="00C93D4A" w:rsidRPr="00764F24">
        <w:rPr>
          <w:rFonts w:cstheme="minorHAnsi"/>
          <w:sz w:val="24"/>
          <w:szCs w:val="24"/>
          <w:lang w:val="en-GB"/>
        </w:rPr>
        <w:t xml:space="preserve">ONS </w:t>
      </w:r>
      <w:r w:rsidR="001977B2" w:rsidRPr="00764F24">
        <w:rPr>
          <w:rFonts w:cstheme="minorHAnsi"/>
          <w:sz w:val="24"/>
          <w:szCs w:val="24"/>
          <w:lang w:val="en-GB"/>
        </w:rPr>
        <w:t>Labour Force Survey</w:t>
      </w:r>
      <w:r w:rsidR="00C93D4A" w:rsidRPr="00764F24">
        <w:rPr>
          <w:rStyle w:val="FootnoteReference"/>
          <w:rFonts w:cstheme="minorHAnsi"/>
          <w:b w:val="0"/>
          <w:sz w:val="24"/>
          <w:szCs w:val="24"/>
          <w:lang w:val="en-GB"/>
        </w:rPr>
        <w:footnoteReference w:id="18"/>
      </w:r>
    </w:p>
    <w:p w14:paraId="0FA88558" w14:textId="550009F2" w:rsidR="007E64E2" w:rsidRPr="00764F24" w:rsidRDefault="00D533A1" w:rsidP="00D86B69">
      <w:pPr>
        <w:spacing w:beforeAutospacing="1" w:after="100" w:afterAutospacing="1" w:line="360" w:lineRule="auto"/>
        <w:rPr>
          <w:rFonts w:cstheme="minorHAnsi"/>
          <w:b/>
          <w:szCs w:val="24"/>
          <w:lang w:val="en-GB"/>
        </w:rPr>
      </w:pPr>
      <w:r w:rsidRPr="00764F24">
        <w:rPr>
          <w:rFonts w:cstheme="minorHAnsi"/>
          <w:noProof/>
          <w:szCs w:val="24"/>
          <w:lang w:val="en-GB" w:eastAsia="en-GB" w:bidi="ar-SA"/>
        </w:rPr>
        <w:drawing>
          <wp:inline distT="0" distB="0" distL="0" distR="0" wp14:anchorId="0F756D16" wp14:editId="07D9E58F">
            <wp:extent cx="4936026" cy="3050889"/>
            <wp:effectExtent l="0" t="0" r="17145" b="16510"/>
            <wp:docPr id="13" name="Chart 13" descr="Slight increase in unemployment prior to the COVID-19 shutdown.">
              <a:extLst xmlns:a="http://schemas.openxmlformats.org/drawingml/2006/main">
                <a:ext uri="{FF2B5EF4-FFF2-40B4-BE49-F238E27FC236}">
                  <a16:creationId xmlns:a16="http://schemas.microsoft.com/office/drawing/2014/main" id="{0EB50A14-5DDB-423E-827B-DB9DBF91D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9F9C3D" w14:textId="083827B2" w:rsidR="00EF6D56" w:rsidRPr="00764F24" w:rsidRDefault="00EF6D56" w:rsidP="00D86B69">
      <w:pPr>
        <w:spacing w:beforeAutospacing="1" w:after="100" w:afterAutospacing="1" w:line="360" w:lineRule="auto"/>
        <w:rPr>
          <w:rFonts w:eastAsia="Times New Roman" w:cstheme="minorHAnsi"/>
          <w:color w:val="000000"/>
          <w:szCs w:val="24"/>
          <w:lang w:val="en-GB" w:eastAsia="en-GB"/>
        </w:rPr>
      </w:pPr>
      <w:r w:rsidRPr="00764F24">
        <w:rPr>
          <w:rFonts w:cstheme="minorHAnsi"/>
          <w:szCs w:val="24"/>
          <w:lang w:val="en-GB"/>
        </w:rPr>
        <w:t>Underemployment</w:t>
      </w:r>
      <w:r w:rsidRPr="00764F24">
        <w:rPr>
          <w:rStyle w:val="FootnoteReference"/>
          <w:rFonts w:cstheme="minorHAnsi"/>
          <w:szCs w:val="24"/>
          <w:lang w:val="en-GB"/>
        </w:rPr>
        <w:footnoteReference w:id="19"/>
      </w:r>
      <w:r w:rsidRPr="00764F24">
        <w:rPr>
          <w:rFonts w:cstheme="minorHAnsi"/>
          <w:szCs w:val="24"/>
          <w:lang w:val="en-GB"/>
        </w:rPr>
        <w:t xml:space="preserve"> also dropped between 2014 and 2018 from 3.1 million to 2.4 million workers ‘underemployed’ (see figure 2.</w:t>
      </w:r>
      <w:r w:rsidR="00B9482B">
        <w:rPr>
          <w:rFonts w:cstheme="minorHAnsi"/>
          <w:szCs w:val="24"/>
          <w:lang w:val="en-GB"/>
        </w:rPr>
        <w:t>2</w:t>
      </w:r>
      <w:r w:rsidRPr="00764F24">
        <w:rPr>
          <w:rFonts w:cstheme="minorHAnsi"/>
          <w:szCs w:val="24"/>
          <w:lang w:val="en-GB"/>
        </w:rPr>
        <w:t xml:space="preserve">). But </w:t>
      </w:r>
      <w:r w:rsidR="00B9482B">
        <w:rPr>
          <w:rFonts w:cstheme="minorHAnsi"/>
          <w:szCs w:val="24"/>
          <w:lang w:val="en-GB"/>
        </w:rPr>
        <w:t>this</w:t>
      </w:r>
      <w:r w:rsidRPr="00764F24">
        <w:rPr>
          <w:rFonts w:cstheme="minorHAnsi"/>
          <w:szCs w:val="24"/>
          <w:lang w:val="en-GB"/>
        </w:rPr>
        <w:t xml:space="preserve"> was still more than the 1.9 million underemployed before the </w:t>
      </w:r>
      <w:r w:rsidR="00B9482B">
        <w:rPr>
          <w:rFonts w:cstheme="minorHAnsi"/>
          <w:szCs w:val="24"/>
          <w:lang w:val="en-GB"/>
        </w:rPr>
        <w:t xml:space="preserve">2008/9 </w:t>
      </w:r>
      <w:r w:rsidRPr="00764F24">
        <w:rPr>
          <w:rFonts w:cstheme="minorHAnsi"/>
          <w:szCs w:val="24"/>
          <w:lang w:val="en-GB"/>
        </w:rPr>
        <w:t xml:space="preserve">recession and </w:t>
      </w:r>
      <w:r w:rsidR="00B9482B">
        <w:rPr>
          <w:rFonts w:cstheme="minorHAnsi"/>
          <w:szCs w:val="24"/>
          <w:lang w:val="en-GB"/>
        </w:rPr>
        <w:t>the figures were</w:t>
      </w:r>
      <w:r w:rsidRPr="00764F24">
        <w:rPr>
          <w:rFonts w:cstheme="minorHAnsi"/>
          <w:szCs w:val="24"/>
          <w:lang w:val="en-GB"/>
        </w:rPr>
        <w:t xml:space="preserve"> trending slightly upwards again to 2.5 million </w:t>
      </w:r>
      <w:r w:rsidR="00B9482B">
        <w:rPr>
          <w:rFonts w:cstheme="minorHAnsi"/>
          <w:szCs w:val="24"/>
          <w:lang w:val="en-GB"/>
        </w:rPr>
        <w:t>by</w:t>
      </w:r>
      <w:r w:rsidRPr="00764F24">
        <w:rPr>
          <w:rFonts w:cstheme="minorHAnsi"/>
          <w:szCs w:val="24"/>
          <w:lang w:val="en-GB"/>
        </w:rPr>
        <w:t xml:space="preserve"> December 2019</w:t>
      </w:r>
      <w:r w:rsidRPr="00764F24">
        <w:rPr>
          <w:rFonts w:eastAsia="Times New Roman" w:cstheme="minorHAnsi"/>
          <w:color w:val="000000"/>
          <w:szCs w:val="24"/>
          <w:lang w:val="en-GB" w:eastAsia="en-GB"/>
        </w:rPr>
        <w:t>. Nevertheless, more workers considered themselves ‘overemployed’ (in other words they want</w:t>
      </w:r>
      <w:r w:rsidR="00B9482B">
        <w:rPr>
          <w:rFonts w:eastAsia="Times New Roman" w:cstheme="minorHAnsi"/>
          <w:color w:val="000000"/>
          <w:szCs w:val="24"/>
          <w:lang w:val="en-GB" w:eastAsia="en-GB"/>
        </w:rPr>
        <w:t>ed</w:t>
      </w:r>
      <w:r w:rsidRPr="00764F24">
        <w:rPr>
          <w:rFonts w:eastAsia="Times New Roman" w:cstheme="minorHAnsi"/>
          <w:color w:val="000000"/>
          <w:szCs w:val="24"/>
          <w:lang w:val="en-GB" w:eastAsia="en-GB"/>
        </w:rPr>
        <w:t xml:space="preserve"> to work fewer hours and would be willing to take a commensurate cut in pay) – nearly 3.5 million - at the end of 2019. </w:t>
      </w:r>
    </w:p>
    <w:p w14:paraId="1E39D1DD" w14:textId="503FEFBE" w:rsidR="00EF6D56" w:rsidRPr="00764F24" w:rsidRDefault="00EF6D56" w:rsidP="00D86B69">
      <w:pPr>
        <w:pStyle w:val="Caption"/>
        <w:keepNext/>
        <w:spacing w:beforeAutospacing="1" w:after="100" w:afterAutospacing="1" w:line="360" w:lineRule="auto"/>
        <w:rPr>
          <w:rFonts w:eastAsia="Times New Roman" w:cstheme="minorHAnsi"/>
          <w:sz w:val="24"/>
          <w:szCs w:val="24"/>
          <w:lang w:val="en-GB" w:eastAsia="en-GB"/>
        </w:rPr>
      </w:pPr>
      <w:r w:rsidRPr="00764F24">
        <w:rPr>
          <w:rFonts w:eastAsia="Times New Roman" w:cstheme="minorHAnsi"/>
          <w:sz w:val="24"/>
          <w:szCs w:val="24"/>
          <w:lang w:val="en-GB" w:eastAsia="en-GB"/>
        </w:rPr>
        <w:lastRenderedPageBreak/>
        <w:t>Figure 2.</w:t>
      </w:r>
      <w:r w:rsidR="00B9482B">
        <w:rPr>
          <w:rFonts w:eastAsia="Times New Roman" w:cstheme="minorHAnsi"/>
          <w:sz w:val="24"/>
          <w:szCs w:val="24"/>
          <w:lang w:val="en-GB" w:eastAsia="en-GB"/>
        </w:rPr>
        <w:t>2</w:t>
      </w:r>
      <w:r w:rsidRPr="00764F24">
        <w:rPr>
          <w:rFonts w:eastAsia="Times New Roman" w:cstheme="minorHAnsi"/>
          <w:sz w:val="24"/>
          <w:szCs w:val="24"/>
          <w:lang w:val="en-GB" w:eastAsia="en-GB"/>
        </w:rPr>
        <w:t>. Underemployment began to increase slightly at the end of 2019. Source: Labour Force Survey</w:t>
      </w:r>
      <w:r w:rsidRPr="00764F24">
        <w:rPr>
          <w:rStyle w:val="FootnoteReference"/>
          <w:rFonts w:eastAsia="Times New Roman" w:cstheme="minorHAnsi"/>
          <w:b w:val="0"/>
          <w:color w:val="000000"/>
          <w:sz w:val="24"/>
          <w:szCs w:val="24"/>
          <w:lang w:val="en-GB" w:eastAsia="en-GB"/>
        </w:rPr>
        <w:footnoteReference w:id="20"/>
      </w:r>
    </w:p>
    <w:p w14:paraId="2B34CEF2" w14:textId="77777777" w:rsidR="00EF6D56" w:rsidRPr="00764F24" w:rsidRDefault="00EF6D56" w:rsidP="00D86B69">
      <w:pPr>
        <w:keepNext/>
        <w:spacing w:beforeAutospacing="1" w:after="100" w:afterAutospacing="1" w:line="360" w:lineRule="auto"/>
        <w:rPr>
          <w:rFonts w:eastAsia="Times New Roman" w:cstheme="minorHAnsi"/>
          <w:b/>
          <w:color w:val="000000"/>
          <w:szCs w:val="24"/>
          <w:lang w:val="en-GB" w:eastAsia="en-GB"/>
        </w:rPr>
      </w:pPr>
      <w:r w:rsidRPr="00764F24">
        <w:rPr>
          <w:rFonts w:cstheme="minorHAnsi"/>
          <w:noProof/>
          <w:szCs w:val="24"/>
          <w:lang w:val="en-GB" w:eastAsia="en-GB" w:bidi="ar-SA"/>
        </w:rPr>
        <w:drawing>
          <wp:inline distT="0" distB="0" distL="0" distR="0" wp14:anchorId="60FAA35C" wp14:editId="15B5FB31">
            <wp:extent cx="4838700" cy="2730500"/>
            <wp:effectExtent l="0" t="0" r="0" b="12700"/>
            <wp:docPr id="4" name="Chart 4" descr="Underemployment began to increase slightly at the end of 2019">
              <a:extLst xmlns:a="http://schemas.openxmlformats.org/drawingml/2006/main">
                <a:ext uri="{FF2B5EF4-FFF2-40B4-BE49-F238E27FC236}">
                  <a16:creationId xmlns:a16="http://schemas.microsoft.com/office/drawing/2014/main" id="{709FF4CB-F163-47E6-ADDC-CAC991AEB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F3F494" w14:textId="61907CDD" w:rsidR="00EF6D56" w:rsidRPr="00764F24" w:rsidRDefault="00EF6D56" w:rsidP="00D86B69">
      <w:pPr>
        <w:spacing w:beforeAutospacing="1" w:after="100" w:afterAutospacing="1" w:line="360" w:lineRule="auto"/>
        <w:rPr>
          <w:rFonts w:cstheme="minorHAnsi"/>
          <w:szCs w:val="24"/>
          <w:lang w:val="en-GB"/>
        </w:rPr>
      </w:pPr>
      <w:r w:rsidRPr="00764F24">
        <w:rPr>
          <w:rFonts w:cstheme="minorHAnsi"/>
          <w:szCs w:val="24"/>
          <w:lang w:val="en-GB"/>
        </w:rPr>
        <w:t>Underemployment is linked to part-time jobs and self-employment, both of which grew steadily from 2008 onwards while full-time employment dropped dramatically. Figure 2.</w:t>
      </w:r>
      <w:r w:rsidR="00B9482B">
        <w:rPr>
          <w:rFonts w:cstheme="minorHAnsi"/>
          <w:szCs w:val="24"/>
          <w:lang w:val="en-GB"/>
        </w:rPr>
        <w:t>3</w:t>
      </w:r>
      <w:r w:rsidRPr="00764F24">
        <w:rPr>
          <w:rFonts w:cstheme="minorHAnsi"/>
          <w:szCs w:val="24"/>
          <w:lang w:val="en-GB"/>
        </w:rPr>
        <w:t xml:space="preserve"> shows the increase in part-time employment and self-employment (both full and part-time) from 2007 onwards. But it also shows that the level of full-time employment has increased even more dramatically since 2012 and </w:t>
      </w:r>
      <w:r w:rsidR="000D4706">
        <w:rPr>
          <w:rFonts w:cstheme="minorHAnsi"/>
          <w:szCs w:val="24"/>
          <w:lang w:val="en-GB"/>
        </w:rPr>
        <w:t>wa</w:t>
      </w:r>
      <w:r w:rsidRPr="00764F24">
        <w:rPr>
          <w:rFonts w:cstheme="minorHAnsi"/>
          <w:szCs w:val="24"/>
          <w:lang w:val="en-GB"/>
        </w:rPr>
        <w:t>s still increasing in 2019 though perhaps at a slower rate than before. These trends help explain some of the trends in underemployment.</w:t>
      </w:r>
    </w:p>
    <w:p w14:paraId="10B48F78" w14:textId="5551298D" w:rsidR="004B6E5E" w:rsidRPr="00764F24" w:rsidRDefault="004B6E5E"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 xml:space="preserve">Figure </w:t>
      </w:r>
      <w:r w:rsidR="00C93D4A" w:rsidRPr="00764F24">
        <w:rPr>
          <w:rFonts w:cstheme="minorHAnsi"/>
          <w:sz w:val="24"/>
          <w:szCs w:val="24"/>
          <w:lang w:val="en-GB"/>
        </w:rPr>
        <w:t>2.</w:t>
      </w:r>
      <w:r w:rsidR="00B9482B">
        <w:rPr>
          <w:rFonts w:cstheme="minorHAnsi"/>
          <w:sz w:val="24"/>
          <w:szCs w:val="24"/>
          <w:lang w:val="en-GB"/>
        </w:rPr>
        <w:t>3</w:t>
      </w:r>
      <w:r w:rsidR="001E0C53" w:rsidRPr="00764F24">
        <w:rPr>
          <w:rFonts w:cstheme="minorHAnsi"/>
          <w:sz w:val="24"/>
          <w:szCs w:val="24"/>
          <w:lang w:val="en-GB"/>
        </w:rPr>
        <w:t xml:space="preserve">. </w:t>
      </w:r>
      <w:r w:rsidR="00142D2E" w:rsidRPr="00764F24">
        <w:rPr>
          <w:rFonts w:cstheme="minorHAnsi"/>
          <w:sz w:val="24"/>
          <w:szCs w:val="24"/>
          <w:lang w:val="en-GB"/>
        </w:rPr>
        <w:t xml:space="preserve">Full-time </w:t>
      </w:r>
      <w:r w:rsidRPr="00764F24">
        <w:rPr>
          <w:rFonts w:cstheme="minorHAnsi"/>
          <w:sz w:val="24"/>
          <w:szCs w:val="24"/>
          <w:lang w:val="en-GB"/>
        </w:rPr>
        <w:t xml:space="preserve">employment </w:t>
      </w:r>
      <w:r w:rsidR="00142D2E" w:rsidRPr="00764F24">
        <w:rPr>
          <w:rFonts w:cstheme="minorHAnsi"/>
          <w:sz w:val="24"/>
          <w:szCs w:val="24"/>
          <w:lang w:val="en-GB"/>
        </w:rPr>
        <w:t>continue</w:t>
      </w:r>
      <w:r w:rsidR="00FF7E7B">
        <w:rPr>
          <w:rFonts w:cstheme="minorHAnsi"/>
          <w:sz w:val="24"/>
          <w:szCs w:val="24"/>
          <w:lang w:val="en-GB"/>
        </w:rPr>
        <w:t>d</w:t>
      </w:r>
      <w:r w:rsidR="00142D2E" w:rsidRPr="00764F24">
        <w:rPr>
          <w:rFonts w:cstheme="minorHAnsi"/>
          <w:sz w:val="24"/>
          <w:szCs w:val="24"/>
          <w:lang w:val="en-GB"/>
        </w:rPr>
        <w:t xml:space="preserve"> to grow </w:t>
      </w:r>
      <w:r w:rsidR="00577A19" w:rsidRPr="00764F24">
        <w:rPr>
          <w:rFonts w:cstheme="minorHAnsi"/>
          <w:sz w:val="24"/>
          <w:szCs w:val="24"/>
          <w:lang w:val="en-GB"/>
        </w:rPr>
        <w:t>(taking 200</w:t>
      </w:r>
      <w:r w:rsidR="00C93D4A" w:rsidRPr="00764F24">
        <w:rPr>
          <w:rFonts w:cstheme="minorHAnsi"/>
          <w:sz w:val="24"/>
          <w:szCs w:val="24"/>
          <w:lang w:val="en-GB"/>
        </w:rPr>
        <w:t>6</w:t>
      </w:r>
      <w:r w:rsidR="00577A19" w:rsidRPr="00764F24">
        <w:rPr>
          <w:rFonts w:cstheme="minorHAnsi"/>
          <w:sz w:val="24"/>
          <w:szCs w:val="24"/>
          <w:lang w:val="en-GB"/>
        </w:rPr>
        <w:t xml:space="preserve"> as a baseline</w:t>
      </w:r>
      <w:r w:rsidR="00C93D4A" w:rsidRPr="00764F24">
        <w:rPr>
          <w:rFonts w:cstheme="minorHAnsi"/>
          <w:sz w:val="24"/>
          <w:szCs w:val="24"/>
          <w:lang w:val="en-GB"/>
        </w:rPr>
        <w:t>)</w:t>
      </w:r>
      <w:r w:rsidR="001E0C53" w:rsidRPr="00764F24">
        <w:rPr>
          <w:rFonts w:cstheme="minorHAnsi"/>
          <w:sz w:val="24"/>
          <w:szCs w:val="24"/>
          <w:lang w:val="en-GB"/>
        </w:rPr>
        <w:t>.</w:t>
      </w:r>
      <w:r w:rsidR="007E64E2" w:rsidRPr="00764F24">
        <w:rPr>
          <w:rFonts w:cstheme="minorHAnsi"/>
          <w:sz w:val="24"/>
          <w:szCs w:val="24"/>
          <w:lang w:val="en-GB"/>
        </w:rPr>
        <w:t xml:space="preserve"> </w:t>
      </w:r>
      <w:r w:rsidR="00C93D4A" w:rsidRPr="00764F24">
        <w:rPr>
          <w:rFonts w:cstheme="minorHAnsi"/>
          <w:sz w:val="24"/>
          <w:szCs w:val="24"/>
          <w:lang w:val="en-GB"/>
        </w:rPr>
        <w:t>Source ONS</w:t>
      </w:r>
      <w:r w:rsidR="004B6545" w:rsidRPr="00764F24">
        <w:rPr>
          <w:rFonts w:cstheme="minorHAnsi"/>
          <w:sz w:val="24"/>
          <w:szCs w:val="24"/>
          <w:lang w:val="en-GB"/>
        </w:rPr>
        <w:t xml:space="preserve"> Labour Force Survey</w:t>
      </w:r>
      <w:r w:rsidR="00C93D4A" w:rsidRPr="00764F24">
        <w:rPr>
          <w:rStyle w:val="FootnoteReference"/>
          <w:rFonts w:cstheme="minorHAnsi"/>
          <w:b w:val="0"/>
          <w:sz w:val="24"/>
          <w:szCs w:val="24"/>
          <w:lang w:val="en-GB"/>
        </w:rPr>
        <w:footnoteReference w:id="21"/>
      </w:r>
    </w:p>
    <w:p w14:paraId="2A470020" w14:textId="77777777" w:rsidR="007E64E2" w:rsidRPr="00764F24" w:rsidRDefault="00C93D4A" w:rsidP="00D86B69">
      <w:pPr>
        <w:keepNext/>
        <w:spacing w:beforeAutospacing="1" w:after="100" w:afterAutospacing="1" w:line="360" w:lineRule="auto"/>
        <w:rPr>
          <w:rFonts w:cstheme="minorHAnsi"/>
          <w:szCs w:val="24"/>
          <w:lang w:val="en-GB"/>
        </w:rPr>
      </w:pPr>
      <w:r w:rsidRPr="00764F24">
        <w:rPr>
          <w:rFonts w:cstheme="minorHAnsi"/>
          <w:noProof/>
          <w:szCs w:val="24"/>
          <w:lang w:val="en-GB" w:eastAsia="en-GB" w:bidi="ar-SA"/>
        </w:rPr>
        <w:drawing>
          <wp:inline distT="0" distB="0" distL="0" distR="0" wp14:anchorId="0502AFEB" wp14:editId="5B96ECC4">
            <wp:extent cx="4838700" cy="2695575"/>
            <wp:effectExtent l="0" t="0" r="0" b="9525"/>
            <wp:docPr id="14" name="Chart 14" descr="Full-time employment continues to grow, but figures do not yet take account of the response to covid.">
              <a:extLst xmlns:a="http://schemas.openxmlformats.org/drawingml/2006/main">
                <a:ext uri="{FF2B5EF4-FFF2-40B4-BE49-F238E27FC236}">
                  <a16:creationId xmlns:a16="http://schemas.microsoft.com/office/drawing/2014/main" id="{4683970B-7438-44B8-A26E-171668EF9C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8BF40A" w14:textId="10CEF7F0" w:rsidR="007E64E2" w:rsidRPr="00764F24" w:rsidRDefault="00E6470F" w:rsidP="00D86B69">
      <w:pPr>
        <w:spacing w:beforeAutospacing="1" w:after="100" w:afterAutospacing="1" w:line="360" w:lineRule="auto"/>
        <w:rPr>
          <w:rFonts w:cstheme="minorHAnsi"/>
          <w:szCs w:val="24"/>
          <w:lang w:val="en-GB"/>
        </w:rPr>
      </w:pPr>
      <w:r w:rsidRPr="00764F24">
        <w:rPr>
          <w:rFonts w:cstheme="minorHAnsi"/>
          <w:szCs w:val="24"/>
          <w:lang w:val="en-GB"/>
        </w:rPr>
        <w:t xml:space="preserve">Alongside ‘underemployment’ </w:t>
      </w:r>
      <w:r w:rsidR="0029401D" w:rsidRPr="00764F24">
        <w:rPr>
          <w:rFonts w:cstheme="minorHAnsi"/>
          <w:szCs w:val="24"/>
          <w:lang w:val="en-GB"/>
        </w:rPr>
        <w:t xml:space="preserve">and the growth in part-time and self-employment, </w:t>
      </w:r>
      <w:r w:rsidRPr="00764F24">
        <w:rPr>
          <w:rFonts w:cstheme="minorHAnsi"/>
          <w:szCs w:val="24"/>
          <w:lang w:val="en-GB"/>
        </w:rPr>
        <w:t>we have also seen a growth in zero hours contracts</w:t>
      </w:r>
      <w:r w:rsidR="00BF7FBA" w:rsidRPr="00764F24">
        <w:rPr>
          <w:rFonts w:cstheme="minorHAnsi"/>
          <w:szCs w:val="24"/>
          <w:lang w:val="en-GB"/>
        </w:rPr>
        <w:t xml:space="preserve">. </w:t>
      </w:r>
      <w:r w:rsidR="0029401D" w:rsidRPr="00764F24">
        <w:rPr>
          <w:rFonts w:cstheme="minorHAnsi"/>
          <w:szCs w:val="24"/>
          <w:lang w:val="en-GB"/>
        </w:rPr>
        <w:t>Once again, definitions and measurements of such contracts (also referred to as ‘contracts with no guaranteed minimum number of hours</w:t>
      </w:r>
      <w:r w:rsidR="004E2969" w:rsidRPr="00764F24">
        <w:rPr>
          <w:rFonts w:cstheme="minorHAnsi"/>
          <w:szCs w:val="24"/>
          <w:lang w:val="en-GB"/>
        </w:rPr>
        <w:t>’</w:t>
      </w:r>
      <w:r w:rsidR="0029401D" w:rsidRPr="00764F24">
        <w:rPr>
          <w:rFonts w:cstheme="minorHAnsi"/>
          <w:szCs w:val="24"/>
          <w:lang w:val="en-GB"/>
        </w:rPr>
        <w:t xml:space="preserve"> – NGCHs) varies over time but t</w:t>
      </w:r>
      <w:r w:rsidRPr="00764F24">
        <w:rPr>
          <w:rFonts w:cstheme="minorHAnsi"/>
          <w:szCs w:val="24"/>
          <w:lang w:val="en-GB"/>
        </w:rPr>
        <w:t xml:space="preserve">he Office for National Statistics </w:t>
      </w:r>
      <w:r w:rsidR="00783EA1" w:rsidRPr="00764F24">
        <w:rPr>
          <w:rFonts w:cstheme="minorHAnsi"/>
          <w:szCs w:val="24"/>
          <w:lang w:val="en-GB"/>
        </w:rPr>
        <w:t xml:space="preserve">(ONS) </w:t>
      </w:r>
      <w:r w:rsidR="0029401D" w:rsidRPr="00764F24">
        <w:rPr>
          <w:rFonts w:cstheme="minorHAnsi"/>
          <w:szCs w:val="24"/>
          <w:lang w:val="en-GB"/>
        </w:rPr>
        <w:t xml:space="preserve">has </w:t>
      </w:r>
      <w:r w:rsidR="00783EA1" w:rsidRPr="00764F24">
        <w:rPr>
          <w:rFonts w:cstheme="minorHAnsi"/>
          <w:szCs w:val="24"/>
          <w:lang w:val="en-GB"/>
        </w:rPr>
        <w:t>estimated, from a survey of individuals (the Labour Forc</w:t>
      </w:r>
      <w:r w:rsidR="00200BE5" w:rsidRPr="00764F24">
        <w:rPr>
          <w:rFonts w:cstheme="minorHAnsi"/>
          <w:szCs w:val="24"/>
          <w:lang w:val="en-GB"/>
        </w:rPr>
        <w:t xml:space="preserve">e Survey), that the number of </w:t>
      </w:r>
      <w:r w:rsidR="00783EA1" w:rsidRPr="00764F24">
        <w:rPr>
          <w:rFonts w:cstheme="minorHAnsi"/>
          <w:szCs w:val="24"/>
          <w:lang w:val="en-GB"/>
        </w:rPr>
        <w:t xml:space="preserve">people </w:t>
      </w:r>
      <w:r w:rsidR="00200BE5" w:rsidRPr="00764F24">
        <w:rPr>
          <w:rFonts w:cstheme="minorHAnsi"/>
          <w:szCs w:val="24"/>
          <w:lang w:val="en-GB"/>
        </w:rPr>
        <w:t xml:space="preserve">with a </w:t>
      </w:r>
      <w:r w:rsidR="00783EA1" w:rsidRPr="00764F24">
        <w:rPr>
          <w:rFonts w:cstheme="minorHAnsi"/>
          <w:szCs w:val="24"/>
          <w:lang w:val="en-GB"/>
        </w:rPr>
        <w:t xml:space="preserve">zero hours contracts </w:t>
      </w:r>
      <w:r w:rsidR="00142D2E" w:rsidRPr="00764F24">
        <w:rPr>
          <w:rFonts w:cstheme="minorHAnsi"/>
          <w:szCs w:val="24"/>
          <w:lang w:val="en-GB"/>
        </w:rPr>
        <w:t xml:space="preserve">rose to 907,000 or 2.8 per cent of workers </w:t>
      </w:r>
      <w:r w:rsidR="00783EA1" w:rsidRPr="00764F24">
        <w:rPr>
          <w:rFonts w:cstheme="minorHAnsi"/>
          <w:szCs w:val="24"/>
          <w:lang w:val="en-GB"/>
        </w:rPr>
        <w:t>at the end of 201</w:t>
      </w:r>
      <w:r w:rsidR="00935CB1" w:rsidRPr="00764F24">
        <w:rPr>
          <w:rFonts w:cstheme="minorHAnsi"/>
          <w:szCs w:val="24"/>
          <w:lang w:val="en-GB"/>
        </w:rPr>
        <w:t>6</w:t>
      </w:r>
      <w:r w:rsidR="004E3227" w:rsidRPr="00764F24">
        <w:rPr>
          <w:rFonts w:cstheme="minorHAnsi"/>
          <w:szCs w:val="24"/>
          <w:lang w:val="en-GB"/>
        </w:rPr>
        <w:t xml:space="preserve"> </w:t>
      </w:r>
      <w:r w:rsidR="002D0E3C" w:rsidRPr="00764F24">
        <w:rPr>
          <w:rFonts w:cstheme="minorHAnsi"/>
          <w:szCs w:val="24"/>
          <w:lang w:val="en-GB"/>
        </w:rPr>
        <w:t xml:space="preserve">– see figure </w:t>
      </w:r>
      <w:r w:rsidR="00200BE5" w:rsidRPr="00764F24">
        <w:rPr>
          <w:rFonts w:cstheme="minorHAnsi"/>
          <w:szCs w:val="24"/>
          <w:lang w:val="en-GB"/>
        </w:rPr>
        <w:t>2.</w:t>
      </w:r>
      <w:r w:rsidR="000D4706">
        <w:rPr>
          <w:rFonts w:cstheme="minorHAnsi"/>
          <w:szCs w:val="24"/>
          <w:lang w:val="en-GB"/>
        </w:rPr>
        <w:t>4</w:t>
      </w:r>
      <w:r w:rsidR="00BF7FBA" w:rsidRPr="00764F24">
        <w:rPr>
          <w:rFonts w:cstheme="minorHAnsi"/>
          <w:szCs w:val="24"/>
          <w:lang w:val="en-GB"/>
        </w:rPr>
        <w:t xml:space="preserve">. </w:t>
      </w:r>
      <w:r w:rsidR="00C713BF" w:rsidRPr="00764F24">
        <w:rPr>
          <w:rFonts w:cstheme="minorHAnsi"/>
          <w:szCs w:val="24"/>
          <w:lang w:val="en-GB"/>
        </w:rPr>
        <w:t>The numbers then fell by</w:t>
      </w:r>
      <w:r w:rsidR="00200BE5" w:rsidRPr="00764F24">
        <w:rPr>
          <w:rFonts w:cstheme="minorHAnsi"/>
          <w:szCs w:val="24"/>
          <w:lang w:val="en-GB"/>
        </w:rPr>
        <w:t xml:space="preserve"> 20</w:t>
      </w:r>
      <w:r w:rsidR="00A02C27" w:rsidRPr="00764F24">
        <w:rPr>
          <w:rFonts w:cstheme="minorHAnsi"/>
          <w:szCs w:val="24"/>
          <w:lang w:val="en-GB"/>
        </w:rPr>
        <w:t xml:space="preserve">18 </w:t>
      </w:r>
      <w:r w:rsidR="00142D2E" w:rsidRPr="00764F24">
        <w:rPr>
          <w:rFonts w:cstheme="minorHAnsi"/>
          <w:szCs w:val="24"/>
          <w:lang w:val="en-GB"/>
        </w:rPr>
        <w:t xml:space="preserve">to 781,000 or 2.4 per cent of the labour force </w:t>
      </w:r>
      <w:r w:rsidR="00A02C27" w:rsidRPr="00764F24">
        <w:rPr>
          <w:rFonts w:cstheme="minorHAnsi"/>
          <w:szCs w:val="24"/>
          <w:lang w:val="en-GB"/>
        </w:rPr>
        <w:t>before picking up again in 2019</w:t>
      </w:r>
      <w:r w:rsidR="00142D2E" w:rsidRPr="00764F24">
        <w:rPr>
          <w:rFonts w:cstheme="minorHAnsi"/>
          <w:szCs w:val="24"/>
          <w:lang w:val="en-GB"/>
        </w:rPr>
        <w:t xml:space="preserve"> to a record high of 974,000 or 3 per cent</w:t>
      </w:r>
      <w:r w:rsidR="00BF7FBA" w:rsidRPr="00764F24">
        <w:rPr>
          <w:rFonts w:cstheme="minorHAnsi"/>
          <w:szCs w:val="24"/>
          <w:lang w:val="en-GB"/>
        </w:rPr>
        <w:t xml:space="preserve">. </w:t>
      </w:r>
      <w:r w:rsidR="00A02C27" w:rsidRPr="00764F24">
        <w:rPr>
          <w:rFonts w:cstheme="minorHAnsi"/>
          <w:szCs w:val="24"/>
          <w:lang w:val="en-GB"/>
        </w:rPr>
        <w:t xml:space="preserve">It is worth noting that these numbers are lower than those estimates based on </w:t>
      </w:r>
      <w:r w:rsidR="00935CB1" w:rsidRPr="00764F24">
        <w:rPr>
          <w:rFonts w:cstheme="minorHAnsi"/>
          <w:szCs w:val="24"/>
          <w:lang w:val="en-GB"/>
        </w:rPr>
        <w:t>data o</w:t>
      </w:r>
      <w:r w:rsidR="00A02C27" w:rsidRPr="00764F24">
        <w:rPr>
          <w:rFonts w:cstheme="minorHAnsi"/>
          <w:szCs w:val="24"/>
          <w:lang w:val="en-GB"/>
        </w:rPr>
        <w:t>f</w:t>
      </w:r>
      <w:r w:rsidR="00935CB1" w:rsidRPr="00764F24">
        <w:rPr>
          <w:rFonts w:cstheme="minorHAnsi"/>
          <w:szCs w:val="24"/>
          <w:lang w:val="en-GB"/>
        </w:rPr>
        <w:t xml:space="preserve"> the number of </w:t>
      </w:r>
      <w:r w:rsidR="00A02C27" w:rsidRPr="00764F24">
        <w:rPr>
          <w:rFonts w:cstheme="minorHAnsi"/>
          <w:szCs w:val="24"/>
          <w:lang w:val="en-GB"/>
        </w:rPr>
        <w:t>‘</w:t>
      </w:r>
      <w:r w:rsidR="002D0E3C" w:rsidRPr="00764F24">
        <w:rPr>
          <w:rFonts w:cstheme="minorHAnsi"/>
          <w:szCs w:val="24"/>
          <w:lang w:val="en-GB"/>
        </w:rPr>
        <w:t>actual</w:t>
      </w:r>
      <w:r w:rsidR="00A02C27" w:rsidRPr="00764F24">
        <w:rPr>
          <w:rFonts w:cstheme="minorHAnsi"/>
          <w:szCs w:val="24"/>
          <w:lang w:val="en-GB"/>
        </w:rPr>
        <w:t>’</w:t>
      </w:r>
      <w:r w:rsidR="002D0E3C" w:rsidRPr="00764F24">
        <w:rPr>
          <w:rFonts w:cstheme="minorHAnsi"/>
          <w:szCs w:val="24"/>
          <w:lang w:val="en-GB"/>
        </w:rPr>
        <w:t xml:space="preserve"> </w:t>
      </w:r>
      <w:r w:rsidR="00935CB1" w:rsidRPr="00764F24">
        <w:rPr>
          <w:rFonts w:cstheme="minorHAnsi"/>
          <w:szCs w:val="24"/>
          <w:lang w:val="en-GB"/>
        </w:rPr>
        <w:t xml:space="preserve">zero hours contracts </w:t>
      </w:r>
      <w:r w:rsidR="00783EA1" w:rsidRPr="00764F24">
        <w:rPr>
          <w:rFonts w:cstheme="minorHAnsi"/>
          <w:szCs w:val="24"/>
          <w:lang w:val="en-GB"/>
        </w:rPr>
        <w:t>due to people not necessarily being aware that they have a ‘zero hours’ contract when asked about it in the survey</w:t>
      </w:r>
      <w:r w:rsidR="00BF7FBA" w:rsidRPr="00764F24">
        <w:rPr>
          <w:rFonts w:cstheme="minorHAnsi"/>
          <w:szCs w:val="24"/>
          <w:lang w:val="en-GB"/>
        </w:rPr>
        <w:t xml:space="preserve">. </w:t>
      </w:r>
      <w:r w:rsidR="00783EA1" w:rsidRPr="00764F24">
        <w:rPr>
          <w:rFonts w:cstheme="minorHAnsi"/>
          <w:szCs w:val="24"/>
          <w:lang w:val="en-GB"/>
        </w:rPr>
        <w:t xml:space="preserve">Also, it is </w:t>
      </w:r>
      <w:r w:rsidR="00352A2D" w:rsidRPr="00764F24">
        <w:rPr>
          <w:rFonts w:cstheme="minorHAnsi"/>
          <w:szCs w:val="24"/>
          <w:lang w:val="en-GB"/>
        </w:rPr>
        <w:t xml:space="preserve">quite </w:t>
      </w:r>
      <w:r w:rsidR="00783EA1" w:rsidRPr="00764F24">
        <w:rPr>
          <w:rFonts w:cstheme="minorHAnsi"/>
          <w:szCs w:val="24"/>
          <w:lang w:val="en-GB"/>
        </w:rPr>
        <w:t>possible that some people have more than one zero hours contract</w:t>
      </w:r>
      <w:r w:rsidR="00BF7FBA" w:rsidRPr="00764F24">
        <w:rPr>
          <w:rFonts w:cstheme="minorHAnsi"/>
          <w:szCs w:val="24"/>
          <w:lang w:val="en-GB"/>
        </w:rPr>
        <w:t xml:space="preserve">. </w:t>
      </w:r>
      <w:r w:rsidR="0082538B" w:rsidRPr="00764F24">
        <w:rPr>
          <w:rFonts w:cstheme="minorHAnsi"/>
          <w:szCs w:val="24"/>
          <w:lang w:val="en-GB"/>
        </w:rPr>
        <w:t xml:space="preserve">Crucially, we </w:t>
      </w:r>
      <w:r w:rsidR="0029401D" w:rsidRPr="00764F24">
        <w:rPr>
          <w:rFonts w:cstheme="minorHAnsi"/>
          <w:szCs w:val="24"/>
          <w:lang w:val="en-GB"/>
        </w:rPr>
        <w:t xml:space="preserve">still </w:t>
      </w:r>
      <w:r w:rsidR="0082538B" w:rsidRPr="00764F24">
        <w:rPr>
          <w:rFonts w:cstheme="minorHAnsi"/>
          <w:szCs w:val="24"/>
          <w:lang w:val="en-GB"/>
        </w:rPr>
        <w:t>seem to have little data on how the hours worked on zero hours contracts actually var</w:t>
      </w:r>
      <w:r w:rsidR="004B6545" w:rsidRPr="00764F24">
        <w:rPr>
          <w:rFonts w:cstheme="minorHAnsi"/>
          <w:szCs w:val="24"/>
          <w:lang w:val="en-GB"/>
        </w:rPr>
        <w:t>y</w:t>
      </w:r>
      <w:r w:rsidR="0082538B" w:rsidRPr="00764F24">
        <w:rPr>
          <w:rFonts w:cstheme="minorHAnsi"/>
          <w:szCs w:val="24"/>
          <w:lang w:val="en-GB"/>
        </w:rPr>
        <w:t xml:space="preserve"> from week to week.</w:t>
      </w:r>
    </w:p>
    <w:p w14:paraId="67EA7121" w14:textId="0325F6F4" w:rsidR="00577A19" w:rsidRPr="00764F24" w:rsidRDefault="002D0E3C"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 xml:space="preserve">Figure </w:t>
      </w:r>
      <w:r w:rsidR="00200BE5" w:rsidRPr="00764F24">
        <w:rPr>
          <w:rFonts w:cstheme="minorHAnsi"/>
          <w:sz w:val="24"/>
          <w:szCs w:val="24"/>
          <w:lang w:val="en-GB"/>
        </w:rPr>
        <w:t>2.</w:t>
      </w:r>
      <w:r w:rsidR="000D4706">
        <w:rPr>
          <w:rFonts w:cstheme="minorHAnsi"/>
          <w:sz w:val="24"/>
          <w:szCs w:val="24"/>
          <w:lang w:val="en-GB"/>
        </w:rPr>
        <w:t>4</w:t>
      </w:r>
      <w:r w:rsidR="001E0C53" w:rsidRPr="00764F24">
        <w:rPr>
          <w:rFonts w:cstheme="minorHAnsi"/>
          <w:sz w:val="24"/>
          <w:szCs w:val="24"/>
          <w:lang w:val="en-GB"/>
        </w:rPr>
        <w:t xml:space="preserve">. </w:t>
      </w:r>
      <w:r w:rsidR="00200BE5" w:rsidRPr="00764F24">
        <w:rPr>
          <w:rFonts w:cstheme="minorHAnsi"/>
          <w:sz w:val="24"/>
          <w:szCs w:val="24"/>
          <w:lang w:val="en-GB"/>
        </w:rPr>
        <w:t xml:space="preserve">Percentage </w:t>
      </w:r>
      <w:r w:rsidR="00142D2E" w:rsidRPr="00764F24">
        <w:rPr>
          <w:rFonts w:cstheme="minorHAnsi"/>
          <w:sz w:val="24"/>
          <w:szCs w:val="24"/>
          <w:lang w:val="en-GB"/>
        </w:rPr>
        <w:t xml:space="preserve">and number of workers on </w:t>
      </w:r>
      <w:r w:rsidR="00577A19" w:rsidRPr="00764F24">
        <w:rPr>
          <w:rFonts w:cstheme="minorHAnsi"/>
          <w:sz w:val="24"/>
          <w:szCs w:val="24"/>
          <w:lang w:val="en-GB"/>
        </w:rPr>
        <w:t>"zero hours contracts"</w:t>
      </w:r>
      <w:r w:rsidR="00142D2E" w:rsidRPr="00764F24">
        <w:rPr>
          <w:rFonts w:cstheme="minorHAnsi"/>
          <w:sz w:val="24"/>
          <w:szCs w:val="24"/>
          <w:lang w:val="en-GB"/>
        </w:rPr>
        <w:t xml:space="preserve"> </w:t>
      </w:r>
      <w:r w:rsidR="00C713BF" w:rsidRPr="00764F24">
        <w:rPr>
          <w:rFonts w:cstheme="minorHAnsi"/>
          <w:sz w:val="24"/>
          <w:szCs w:val="24"/>
          <w:lang w:val="en-GB"/>
        </w:rPr>
        <w:t>reached record high at the end of 20</w:t>
      </w:r>
      <w:r w:rsidR="00142D2E" w:rsidRPr="00764F24">
        <w:rPr>
          <w:rFonts w:cstheme="minorHAnsi"/>
          <w:sz w:val="24"/>
          <w:szCs w:val="24"/>
          <w:lang w:val="en-GB"/>
        </w:rPr>
        <w:t>19</w:t>
      </w:r>
      <w:r w:rsidR="001E0C53" w:rsidRPr="00764F24">
        <w:rPr>
          <w:rFonts w:cstheme="minorHAnsi"/>
          <w:sz w:val="24"/>
          <w:szCs w:val="24"/>
          <w:lang w:val="en-GB"/>
        </w:rPr>
        <w:t>. Source:</w:t>
      </w:r>
      <w:r w:rsidR="00577A19" w:rsidRPr="00764F24">
        <w:rPr>
          <w:rFonts w:cstheme="minorHAnsi"/>
          <w:sz w:val="24"/>
          <w:szCs w:val="24"/>
          <w:lang w:val="en-GB"/>
        </w:rPr>
        <w:t xml:space="preserve"> </w:t>
      </w:r>
      <w:r w:rsidR="00200BE5" w:rsidRPr="00764F24">
        <w:rPr>
          <w:rFonts w:cstheme="minorHAnsi"/>
          <w:sz w:val="24"/>
          <w:szCs w:val="24"/>
          <w:lang w:val="en-GB"/>
        </w:rPr>
        <w:t>ONS</w:t>
      </w:r>
      <w:r w:rsidR="00200BE5" w:rsidRPr="00764F24">
        <w:rPr>
          <w:rStyle w:val="FootnoteReference"/>
          <w:rFonts w:cstheme="minorHAnsi"/>
          <w:b w:val="0"/>
          <w:sz w:val="24"/>
          <w:szCs w:val="24"/>
          <w:lang w:val="en-GB"/>
        </w:rPr>
        <w:footnoteReference w:id="22"/>
      </w:r>
    </w:p>
    <w:p w14:paraId="3338CC24" w14:textId="77777777" w:rsidR="007E64E2" w:rsidRPr="00764F24" w:rsidRDefault="005E00E7" w:rsidP="00D86B69">
      <w:pPr>
        <w:spacing w:beforeAutospacing="1" w:after="100" w:afterAutospacing="1" w:line="360" w:lineRule="auto"/>
        <w:ind w:left="1440" w:hanging="1440"/>
        <w:rPr>
          <w:rFonts w:cstheme="minorHAnsi"/>
          <w:b/>
          <w:szCs w:val="24"/>
          <w:lang w:val="en-GB"/>
        </w:rPr>
      </w:pPr>
      <w:r w:rsidRPr="00764F24">
        <w:rPr>
          <w:rFonts w:cstheme="minorHAnsi"/>
          <w:noProof/>
          <w:szCs w:val="24"/>
          <w:lang w:val="en-GB" w:eastAsia="en-GB" w:bidi="ar-SA"/>
        </w:rPr>
        <w:drawing>
          <wp:inline distT="0" distB="0" distL="0" distR="0" wp14:anchorId="27180AC1" wp14:editId="57699454">
            <wp:extent cx="4876800" cy="2720975"/>
            <wp:effectExtent l="0" t="0" r="0" b="3175"/>
            <wp:docPr id="2" name="Chart 2" descr="Percentage and number of workers on &quot;zero hours contracts&quot; reached record high at the end of 2019">
              <a:extLst xmlns:a="http://schemas.openxmlformats.org/drawingml/2006/main">
                <a:ext uri="{FF2B5EF4-FFF2-40B4-BE49-F238E27FC236}">
                  <a16:creationId xmlns:a16="http://schemas.microsoft.com/office/drawing/2014/main" id="{ED329433-4097-4955-81C5-EEFD064210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80EED4" w14:textId="001E3793" w:rsidR="007E64E2" w:rsidRPr="00764F24" w:rsidRDefault="00A02C27" w:rsidP="00D86B69">
      <w:pPr>
        <w:spacing w:beforeAutospacing="1" w:after="100" w:afterAutospacing="1" w:line="360" w:lineRule="auto"/>
        <w:rPr>
          <w:rFonts w:cstheme="minorHAnsi"/>
          <w:szCs w:val="24"/>
          <w:lang w:val="en-GB"/>
        </w:rPr>
      </w:pPr>
      <w:r w:rsidRPr="00764F24">
        <w:rPr>
          <w:rFonts w:cstheme="minorHAnsi"/>
          <w:szCs w:val="24"/>
          <w:lang w:val="en-GB"/>
        </w:rPr>
        <w:t>It is often assumed that zero hours contracts are most commonly taken by younger people and it is indeed true that workers aged 16-24 are more likely to have a zero hours contract than any other age group (9.1 per cent) but the second age group most likely to have such a contract are those aged 65 or more (5.7 per cent)</w:t>
      </w:r>
      <w:r w:rsidR="00ED1FA3" w:rsidRPr="00764F24">
        <w:rPr>
          <w:rFonts w:cstheme="minorHAnsi"/>
          <w:szCs w:val="24"/>
          <w:lang w:val="en-GB"/>
        </w:rPr>
        <w:t>. However, that represents only 74,000 people aged 65+ compared with 350,000 people aged 16-24</w:t>
      </w:r>
      <w:r w:rsidR="00BF7FBA" w:rsidRPr="00764F24">
        <w:rPr>
          <w:rFonts w:cstheme="minorHAnsi"/>
          <w:szCs w:val="24"/>
          <w:lang w:val="en-GB"/>
        </w:rPr>
        <w:t xml:space="preserve">. </w:t>
      </w:r>
      <w:r w:rsidRPr="00764F24">
        <w:rPr>
          <w:rFonts w:cstheme="minorHAnsi"/>
          <w:szCs w:val="24"/>
          <w:lang w:val="en-GB"/>
        </w:rPr>
        <w:t>Women are slightly more likely than men to have such contracts (3.6 versus 2.4 per cent) – see figure 2.</w:t>
      </w:r>
      <w:r w:rsidR="000D4706">
        <w:rPr>
          <w:rFonts w:cstheme="minorHAnsi"/>
          <w:szCs w:val="24"/>
          <w:lang w:val="en-GB"/>
        </w:rPr>
        <w:t>5</w:t>
      </w:r>
      <w:r w:rsidR="00BF7FBA" w:rsidRPr="00764F24">
        <w:rPr>
          <w:rFonts w:cstheme="minorHAnsi"/>
          <w:szCs w:val="24"/>
          <w:lang w:val="en-GB"/>
        </w:rPr>
        <w:t xml:space="preserve">. </w:t>
      </w:r>
      <w:r w:rsidRPr="00764F24">
        <w:rPr>
          <w:rFonts w:cstheme="minorHAnsi"/>
          <w:szCs w:val="24"/>
          <w:lang w:val="en-GB"/>
        </w:rPr>
        <w:t>These patterns may partly reflect the groups most likely to find the flexibility of “zero-hours contracts” an advantage, for example, young people who combine flexible working with their studies, and those who have retired from their main occupation but are continuing with some work.</w:t>
      </w:r>
    </w:p>
    <w:p w14:paraId="369317B7" w14:textId="0FE43196" w:rsidR="00A02C27" w:rsidRPr="00764F24" w:rsidRDefault="00A02C27"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t>Figure 2.</w:t>
      </w:r>
      <w:r w:rsidR="000D4706">
        <w:rPr>
          <w:rFonts w:cstheme="minorHAnsi"/>
          <w:sz w:val="24"/>
          <w:szCs w:val="24"/>
          <w:lang w:val="en-GB"/>
        </w:rPr>
        <w:t>5</w:t>
      </w:r>
      <w:r w:rsidR="001E0C53" w:rsidRPr="00764F24">
        <w:rPr>
          <w:rFonts w:cstheme="minorHAnsi"/>
          <w:sz w:val="24"/>
          <w:szCs w:val="24"/>
          <w:lang w:val="en-GB"/>
        </w:rPr>
        <w:t xml:space="preserve">. </w:t>
      </w:r>
      <w:r w:rsidR="00C713BF" w:rsidRPr="00764F24">
        <w:rPr>
          <w:rFonts w:cstheme="minorHAnsi"/>
          <w:sz w:val="24"/>
          <w:szCs w:val="24"/>
          <w:lang w:val="en-GB"/>
        </w:rPr>
        <w:t>Z</w:t>
      </w:r>
      <w:r w:rsidRPr="00764F24">
        <w:rPr>
          <w:rFonts w:cstheme="minorHAnsi"/>
          <w:sz w:val="24"/>
          <w:szCs w:val="24"/>
          <w:lang w:val="en-GB"/>
        </w:rPr>
        <w:t xml:space="preserve">ero hours contracts </w:t>
      </w:r>
      <w:r w:rsidR="00C713BF" w:rsidRPr="00764F24">
        <w:rPr>
          <w:rFonts w:cstheme="minorHAnsi"/>
          <w:sz w:val="24"/>
          <w:szCs w:val="24"/>
          <w:lang w:val="en-GB"/>
        </w:rPr>
        <w:t>are most common among 16-24 year olds and those aged 65 and over</w:t>
      </w:r>
      <w:r w:rsidRPr="00764F24">
        <w:rPr>
          <w:rFonts w:cstheme="minorHAnsi"/>
          <w:sz w:val="24"/>
          <w:szCs w:val="24"/>
          <w:lang w:val="en-GB"/>
        </w:rPr>
        <w:t>, October-December 2019</w:t>
      </w:r>
      <w:r w:rsidR="001E0C53" w:rsidRPr="00764F24">
        <w:rPr>
          <w:rFonts w:cstheme="minorHAnsi"/>
          <w:sz w:val="24"/>
          <w:szCs w:val="24"/>
          <w:lang w:val="en-GB"/>
        </w:rPr>
        <w:t>.</w:t>
      </w:r>
      <w:r w:rsidRPr="00764F24">
        <w:rPr>
          <w:rFonts w:cstheme="minorHAnsi"/>
          <w:sz w:val="24"/>
          <w:szCs w:val="24"/>
          <w:lang w:val="en-GB"/>
        </w:rPr>
        <w:t xml:space="preserve"> Source: ONS Labour Force Survey</w:t>
      </w:r>
      <w:r w:rsidRPr="00764F24">
        <w:rPr>
          <w:rStyle w:val="FootnoteReference"/>
          <w:rFonts w:cstheme="minorHAnsi"/>
          <w:b w:val="0"/>
          <w:sz w:val="24"/>
          <w:szCs w:val="24"/>
          <w:lang w:val="en-GB"/>
        </w:rPr>
        <w:footnoteReference w:id="23"/>
      </w:r>
    </w:p>
    <w:p w14:paraId="3137AB2B" w14:textId="77777777" w:rsidR="007E64E2" w:rsidRPr="00764F24" w:rsidRDefault="00200BE5" w:rsidP="00D86B69">
      <w:pPr>
        <w:spacing w:beforeAutospacing="1" w:after="100" w:afterAutospacing="1" w:line="360" w:lineRule="auto"/>
        <w:rPr>
          <w:rFonts w:cstheme="minorHAnsi"/>
          <w:szCs w:val="24"/>
          <w:lang w:val="en-GB"/>
        </w:rPr>
      </w:pPr>
      <w:r w:rsidRPr="00764F24">
        <w:rPr>
          <w:rFonts w:cstheme="minorHAnsi"/>
          <w:noProof/>
          <w:szCs w:val="24"/>
          <w:lang w:val="en-GB" w:eastAsia="en-GB" w:bidi="ar-SA"/>
        </w:rPr>
        <w:lastRenderedPageBreak/>
        <w:drawing>
          <wp:inline distT="0" distB="0" distL="0" distR="0" wp14:anchorId="1D477D6A" wp14:editId="303034F0">
            <wp:extent cx="4838700" cy="2695575"/>
            <wp:effectExtent l="0" t="0" r="0" b="9525"/>
            <wp:docPr id="18" name="Chart 18" descr="Zero hours contracts are most common among 16-24 year olds and those aged 65 and over">
              <a:extLst xmlns:a="http://schemas.openxmlformats.org/drawingml/2006/main">
                <a:ext uri="{FF2B5EF4-FFF2-40B4-BE49-F238E27FC236}">
                  <a16:creationId xmlns:a16="http://schemas.microsoft.com/office/drawing/2014/main" id="{B5187DC2-23C4-4379-B28F-5F10FDD1E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660F76" w14:textId="57AFE425" w:rsidR="000D4706" w:rsidRPr="00764F24" w:rsidRDefault="000D4706" w:rsidP="000D4706">
      <w:pPr>
        <w:spacing w:beforeAutospacing="1" w:after="100" w:afterAutospacing="1" w:line="360" w:lineRule="auto"/>
        <w:rPr>
          <w:rFonts w:eastAsiaTheme="majorEastAsia" w:cstheme="minorHAnsi"/>
          <w:bCs/>
          <w:kern w:val="32"/>
          <w:szCs w:val="24"/>
          <w:lang w:val="en-GB"/>
        </w:rPr>
      </w:pPr>
      <w:r>
        <w:rPr>
          <w:rFonts w:eastAsiaTheme="majorEastAsia" w:cstheme="minorHAnsi"/>
          <w:bCs/>
          <w:kern w:val="32"/>
          <w:szCs w:val="24"/>
          <w:lang w:val="en-GB"/>
        </w:rPr>
        <w:t xml:space="preserve">In terms of the particular impact of COVID-19 on the labour market, </w:t>
      </w:r>
      <w:r w:rsidRPr="00764F24">
        <w:rPr>
          <w:rFonts w:eastAsiaTheme="majorEastAsia" w:cstheme="minorHAnsi"/>
          <w:bCs/>
          <w:kern w:val="32"/>
          <w:szCs w:val="24"/>
          <w:lang w:val="en-GB"/>
        </w:rPr>
        <w:t xml:space="preserve">ONS data </w:t>
      </w:r>
      <w:r>
        <w:rPr>
          <w:rFonts w:eastAsiaTheme="majorEastAsia" w:cstheme="minorHAnsi"/>
          <w:bCs/>
          <w:kern w:val="32"/>
          <w:szCs w:val="24"/>
          <w:lang w:val="en-GB"/>
        </w:rPr>
        <w:t xml:space="preserve">has </w:t>
      </w:r>
      <w:r w:rsidRPr="00764F24">
        <w:rPr>
          <w:rFonts w:eastAsiaTheme="majorEastAsia" w:cstheme="minorHAnsi"/>
          <w:bCs/>
          <w:kern w:val="32"/>
          <w:szCs w:val="24"/>
          <w:lang w:val="en-GB"/>
        </w:rPr>
        <w:t>reveal</w:t>
      </w:r>
      <w:r>
        <w:rPr>
          <w:rFonts w:eastAsiaTheme="majorEastAsia" w:cstheme="minorHAnsi"/>
          <w:bCs/>
          <w:kern w:val="32"/>
          <w:szCs w:val="24"/>
          <w:lang w:val="en-GB"/>
        </w:rPr>
        <w:t>ed</w:t>
      </w:r>
      <w:r w:rsidRPr="00764F24">
        <w:rPr>
          <w:rFonts w:eastAsiaTheme="majorEastAsia" w:cstheme="minorHAnsi"/>
          <w:bCs/>
          <w:kern w:val="32"/>
          <w:szCs w:val="24"/>
          <w:lang w:val="en-GB"/>
        </w:rPr>
        <w:t xml:space="preserve"> that, from 23 March to 5 April 2020, 27 per cent of the workforce had been furloughed across 6,150 businesses that responded to the Business Impact of Coronavirus (COVID-19) Survey (BICS) and were still trading or had temporarily paused trading</w:t>
      </w:r>
      <w:r w:rsidRPr="00764F24">
        <w:rPr>
          <w:rStyle w:val="FootnoteReference"/>
          <w:rFonts w:eastAsiaTheme="majorEastAsia" w:cstheme="minorHAnsi"/>
          <w:bCs/>
          <w:kern w:val="32"/>
          <w:szCs w:val="24"/>
          <w:lang w:val="en-GB"/>
        </w:rPr>
        <w:footnoteReference w:id="24"/>
      </w:r>
      <w:r w:rsidRPr="00764F24">
        <w:rPr>
          <w:rFonts w:eastAsiaTheme="majorEastAsia" w:cstheme="minorHAnsi"/>
          <w:bCs/>
          <w:kern w:val="32"/>
          <w:szCs w:val="24"/>
          <w:lang w:val="en-GB"/>
        </w:rPr>
        <w:t>. According to the Resolution Foundation, at the end of May, 8.4 million jobs had been furloughed</w:t>
      </w:r>
      <w:r w:rsidRPr="00764F24">
        <w:rPr>
          <w:rStyle w:val="FootnoteReference"/>
          <w:rFonts w:eastAsiaTheme="majorEastAsia" w:cstheme="minorHAnsi"/>
          <w:bCs/>
          <w:kern w:val="32"/>
          <w:szCs w:val="24"/>
          <w:lang w:val="en-GB"/>
        </w:rPr>
        <w:footnoteReference w:id="25"/>
      </w:r>
      <w:r w:rsidRPr="00764F24">
        <w:rPr>
          <w:rFonts w:eastAsiaTheme="majorEastAsia" w:cstheme="minorHAnsi"/>
          <w:bCs/>
          <w:kern w:val="32"/>
          <w:szCs w:val="24"/>
          <w:lang w:val="en-GB"/>
        </w:rPr>
        <w:t xml:space="preserve"> – one-third of all private sector employees</w:t>
      </w:r>
      <w:r>
        <w:rPr>
          <w:rFonts w:eastAsiaTheme="majorEastAsia" w:cstheme="minorHAnsi"/>
          <w:bCs/>
          <w:kern w:val="32"/>
          <w:szCs w:val="24"/>
          <w:lang w:val="en-GB"/>
        </w:rPr>
        <w:t>.</w:t>
      </w:r>
    </w:p>
    <w:p w14:paraId="74349AAE" w14:textId="2DECBE7B" w:rsidR="00EF6D56" w:rsidRDefault="000D4706" w:rsidP="00D86B69">
      <w:pPr>
        <w:spacing w:beforeAutospacing="1" w:after="100" w:afterAutospacing="1" w:line="360" w:lineRule="auto"/>
        <w:rPr>
          <w:rFonts w:cstheme="minorHAnsi"/>
          <w:szCs w:val="24"/>
          <w:lang w:val="en-GB"/>
        </w:rPr>
      </w:pPr>
      <w:r>
        <w:rPr>
          <w:rFonts w:cstheme="minorHAnsi"/>
          <w:szCs w:val="24"/>
          <w:lang w:val="en-GB"/>
        </w:rPr>
        <w:t>Further d</w:t>
      </w:r>
      <w:r w:rsidR="00EF6D56" w:rsidRPr="00764F24">
        <w:rPr>
          <w:rFonts w:cstheme="minorHAnsi"/>
          <w:szCs w:val="24"/>
          <w:lang w:val="en-GB"/>
        </w:rPr>
        <w:t>ata</w:t>
      </w:r>
      <w:r>
        <w:rPr>
          <w:rFonts w:cstheme="minorHAnsi"/>
          <w:szCs w:val="24"/>
          <w:lang w:val="en-GB"/>
        </w:rPr>
        <w:t>,</w:t>
      </w:r>
      <w:r w:rsidR="00EF6D56" w:rsidRPr="00764F24">
        <w:rPr>
          <w:rFonts w:cstheme="minorHAnsi"/>
          <w:szCs w:val="24"/>
          <w:lang w:val="en-GB"/>
        </w:rPr>
        <w:t xml:space="preserve"> released by the Office for National Statistics in September 2020</w:t>
      </w:r>
      <w:r w:rsidR="00EF6D56" w:rsidRPr="00764F24">
        <w:rPr>
          <w:rStyle w:val="FootnoteReference"/>
          <w:rFonts w:cstheme="minorHAnsi"/>
          <w:szCs w:val="24"/>
          <w:lang w:val="en-GB"/>
        </w:rPr>
        <w:footnoteReference w:id="26"/>
      </w:r>
      <w:r>
        <w:rPr>
          <w:rFonts w:cstheme="minorHAnsi"/>
          <w:szCs w:val="24"/>
          <w:lang w:val="en-GB"/>
        </w:rPr>
        <w:t>,</w:t>
      </w:r>
      <w:r w:rsidR="00EF6D56" w:rsidRPr="00764F24">
        <w:rPr>
          <w:rFonts w:cstheme="minorHAnsi"/>
          <w:szCs w:val="24"/>
          <w:lang w:val="en-GB"/>
        </w:rPr>
        <w:t xml:space="preserve"> showed that the number of people who were estimated to be temporarily away from work (including furloughed workers) had fallen, but it was still more than 5 million in July 2020, with over 2.5 million of these being away for three months or more.  And the unemployment rate as measured by the ‘Claimant Count’ reached 2.7 million in August 2020, an increase of 120.8% since March 2020.</w:t>
      </w:r>
      <w:r w:rsidR="0000347B">
        <w:rPr>
          <w:rFonts w:cstheme="minorHAnsi"/>
          <w:szCs w:val="24"/>
          <w:lang w:val="en-GB"/>
        </w:rPr>
        <w:t xml:space="preserve">  The furlough scheme is due to end on 31</w:t>
      </w:r>
      <w:r w:rsidR="0000347B" w:rsidRPr="0000347B">
        <w:rPr>
          <w:rFonts w:cstheme="minorHAnsi"/>
          <w:szCs w:val="24"/>
          <w:vertAlign w:val="superscript"/>
          <w:lang w:val="en-GB"/>
        </w:rPr>
        <w:t>st</w:t>
      </w:r>
      <w:r w:rsidR="0000347B">
        <w:rPr>
          <w:rFonts w:cstheme="minorHAnsi"/>
          <w:szCs w:val="24"/>
          <w:lang w:val="en-GB"/>
        </w:rPr>
        <w:t xml:space="preserve"> October 2020.</w:t>
      </w:r>
    </w:p>
    <w:p w14:paraId="22ACBD40" w14:textId="72AB49BC" w:rsidR="00B9482B" w:rsidRPr="006C29AC" w:rsidRDefault="00B9482B" w:rsidP="00B9482B">
      <w:pPr>
        <w:spacing w:beforeAutospacing="1" w:after="100" w:afterAutospacing="1" w:line="360" w:lineRule="auto"/>
        <w:rPr>
          <w:rFonts w:cstheme="minorHAnsi"/>
          <w:szCs w:val="24"/>
          <w:lang w:val="en-GB"/>
        </w:rPr>
      </w:pPr>
      <w:r w:rsidRPr="00764F24">
        <w:rPr>
          <w:rFonts w:cstheme="minorHAnsi"/>
          <w:szCs w:val="24"/>
          <w:lang w:val="en-GB"/>
        </w:rPr>
        <w:lastRenderedPageBreak/>
        <w:t>The COVID-19 pandemic, and the resulting lockdown has</w:t>
      </w:r>
      <w:r w:rsidR="000D4706">
        <w:rPr>
          <w:rFonts w:cstheme="minorHAnsi"/>
          <w:szCs w:val="24"/>
          <w:lang w:val="en-GB"/>
        </w:rPr>
        <w:t>, very clearly,</w:t>
      </w:r>
      <w:r w:rsidRPr="00764F24">
        <w:rPr>
          <w:rFonts w:cstheme="minorHAnsi"/>
          <w:szCs w:val="24"/>
          <w:lang w:val="en-GB"/>
        </w:rPr>
        <w:t xml:space="preserve"> severely disrupted work patterns leading to an extraordinary increase in new claims for Universal Credit </w:t>
      </w:r>
      <w:r w:rsidR="0000347B">
        <w:rPr>
          <w:rFonts w:cstheme="minorHAnsi"/>
          <w:szCs w:val="24"/>
          <w:lang w:val="en-GB"/>
        </w:rPr>
        <w:t xml:space="preserve">from people whose incomes had dropped </w:t>
      </w:r>
      <w:r w:rsidRPr="00764F24">
        <w:rPr>
          <w:rFonts w:cstheme="minorHAnsi"/>
          <w:szCs w:val="24"/>
          <w:lang w:val="en-GB"/>
        </w:rPr>
        <w:t>(see figures 2.</w:t>
      </w:r>
      <w:r w:rsidR="000D4706">
        <w:rPr>
          <w:rFonts w:cstheme="minorHAnsi"/>
          <w:szCs w:val="24"/>
          <w:lang w:val="en-GB"/>
        </w:rPr>
        <w:t>6</w:t>
      </w:r>
      <w:r w:rsidRPr="00764F24">
        <w:rPr>
          <w:rFonts w:cstheme="minorHAnsi"/>
          <w:szCs w:val="24"/>
          <w:lang w:val="en-GB"/>
        </w:rPr>
        <w:t xml:space="preserve"> and 2.</w:t>
      </w:r>
      <w:r w:rsidR="000D4706">
        <w:rPr>
          <w:rFonts w:cstheme="minorHAnsi"/>
          <w:szCs w:val="24"/>
          <w:lang w:val="en-GB"/>
        </w:rPr>
        <w:t>7</w:t>
      </w:r>
      <w:r w:rsidRPr="00764F24">
        <w:rPr>
          <w:rFonts w:cstheme="minorHAnsi"/>
          <w:szCs w:val="24"/>
          <w:lang w:val="en-GB"/>
        </w:rPr>
        <w:t>). During March and April 2020 alone, there were nearly 2.5 million claims for University Credit, 2 million more than in the same period in 2019.</w:t>
      </w:r>
      <w:r w:rsidR="006C29AC">
        <w:rPr>
          <w:rFonts w:cstheme="minorHAnsi"/>
          <w:szCs w:val="24"/>
          <w:lang w:val="en-GB"/>
        </w:rPr>
        <w:t xml:space="preserve"> At its peak, in late March to early April</w:t>
      </w:r>
      <w:r w:rsidR="00BC203A">
        <w:rPr>
          <w:rFonts w:cstheme="minorHAnsi"/>
          <w:szCs w:val="24"/>
          <w:lang w:val="en-GB"/>
        </w:rPr>
        <w:t xml:space="preserve"> 2020</w:t>
      </w:r>
      <w:r w:rsidR="006C29AC">
        <w:rPr>
          <w:rFonts w:cstheme="minorHAnsi"/>
          <w:szCs w:val="24"/>
          <w:lang w:val="en-GB"/>
        </w:rPr>
        <w:t xml:space="preserve">, more than half a million Universal Credit applications were made </w:t>
      </w:r>
      <w:r w:rsidR="006C29AC">
        <w:rPr>
          <w:rFonts w:cstheme="minorHAnsi"/>
          <w:b/>
          <w:bCs/>
          <w:i/>
          <w:iCs/>
          <w:szCs w:val="24"/>
          <w:lang w:val="en-GB"/>
        </w:rPr>
        <w:t>each week</w:t>
      </w:r>
      <w:r w:rsidR="00BC203A">
        <w:rPr>
          <w:rFonts w:cstheme="minorHAnsi"/>
          <w:szCs w:val="24"/>
          <w:lang w:val="en-GB"/>
        </w:rPr>
        <w:t>, almost ten times the level of the previous year.</w:t>
      </w:r>
    </w:p>
    <w:p w14:paraId="27C79BAC" w14:textId="1F09144E" w:rsidR="000D4706" w:rsidRPr="00764F24" w:rsidRDefault="00BC203A" w:rsidP="000D4706">
      <w:pPr>
        <w:spacing w:beforeAutospacing="1" w:after="100" w:afterAutospacing="1" w:line="360" w:lineRule="auto"/>
        <w:rPr>
          <w:rFonts w:cstheme="minorHAnsi"/>
          <w:szCs w:val="24"/>
          <w:lang w:val="en-GB"/>
        </w:rPr>
      </w:pPr>
      <w:r>
        <w:rPr>
          <w:rFonts w:cstheme="minorHAnsi"/>
          <w:szCs w:val="24"/>
          <w:lang w:val="en-GB"/>
        </w:rPr>
        <w:t xml:space="preserve">It is a testament to DWP that it was able to handle this volume of claims and keep the systems running. Indeed </w:t>
      </w:r>
      <w:r w:rsidR="000D4706">
        <w:rPr>
          <w:rFonts w:cstheme="minorHAnsi"/>
          <w:szCs w:val="24"/>
          <w:lang w:val="en-GB"/>
        </w:rPr>
        <w:t>a</w:t>
      </w:r>
      <w:r w:rsidR="000D4706" w:rsidRPr="00764F24">
        <w:rPr>
          <w:rFonts w:cstheme="minorHAnsi"/>
          <w:szCs w:val="24"/>
          <w:lang w:val="en-GB"/>
        </w:rPr>
        <w:t xml:space="preserve"> study by the Resolution Foundation</w:t>
      </w:r>
      <w:r w:rsidR="000D4706" w:rsidRPr="00764F24">
        <w:rPr>
          <w:rStyle w:val="FootnoteReference"/>
          <w:rFonts w:cstheme="minorHAnsi"/>
          <w:szCs w:val="24"/>
          <w:lang w:val="en-GB"/>
        </w:rPr>
        <w:footnoteReference w:id="27"/>
      </w:r>
      <w:r w:rsidR="000D4706">
        <w:rPr>
          <w:rFonts w:cstheme="minorHAnsi"/>
          <w:szCs w:val="24"/>
          <w:lang w:val="en-GB"/>
        </w:rPr>
        <w:t xml:space="preserve"> found that</w:t>
      </w:r>
      <w:r w:rsidR="000D4706" w:rsidRPr="00764F24">
        <w:rPr>
          <w:rFonts w:cstheme="minorHAnsi"/>
          <w:szCs w:val="24"/>
          <w:lang w:val="en-GB"/>
        </w:rPr>
        <w:t xml:space="preserve"> most </w:t>
      </w:r>
      <w:r w:rsidR="000D4706">
        <w:rPr>
          <w:rFonts w:cstheme="minorHAnsi"/>
          <w:szCs w:val="24"/>
          <w:lang w:val="en-GB"/>
        </w:rPr>
        <w:t xml:space="preserve">UC </w:t>
      </w:r>
      <w:r w:rsidR="000D4706" w:rsidRPr="00764F24">
        <w:rPr>
          <w:rFonts w:cstheme="minorHAnsi"/>
          <w:szCs w:val="24"/>
          <w:lang w:val="en-GB"/>
        </w:rPr>
        <w:t>payments were paid in full and on time with 74 per cent of new UC claimants reporting that they were satisfied with the way DWP handled their claim. UC is now supporting those in work and on low earnings, as well as the newly unemployed, and self-employed people awaiting grants</w:t>
      </w:r>
      <w:r>
        <w:rPr>
          <w:rFonts w:cstheme="minorHAnsi"/>
          <w:szCs w:val="24"/>
          <w:lang w:val="en-GB"/>
        </w:rPr>
        <w:t xml:space="preserve"> or on reduced earnings.</w:t>
      </w:r>
    </w:p>
    <w:p w14:paraId="2FABDB05" w14:textId="3647D612" w:rsidR="000D4706" w:rsidRPr="00764F24" w:rsidRDefault="000D4706" w:rsidP="000D4706">
      <w:pPr>
        <w:spacing w:beforeAutospacing="1" w:after="100" w:afterAutospacing="1" w:line="360" w:lineRule="auto"/>
        <w:rPr>
          <w:rFonts w:cstheme="minorHAnsi"/>
          <w:szCs w:val="24"/>
          <w:lang w:val="en-GB"/>
        </w:rPr>
      </w:pPr>
      <w:r>
        <w:rPr>
          <w:rFonts w:cstheme="minorHAnsi"/>
          <w:szCs w:val="24"/>
          <w:lang w:val="en-GB"/>
        </w:rPr>
        <w:t xml:space="preserve">These figures are for the population as a whole but, of course, some groups will be more affected than others.  </w:t>
      </w:r>
      <w:r w:rsidRPr="00764F24">
        <w:rPr>
          <w:rFonts w:cstheme="minorHAnsi"/>
          <w:szCs w:val="24"/>
          <w:lang w:val="en-GB"/>
        </w:rPr>
        <w:t>Research by the Centre for Economic Performance at the LSE</w:t>
      </w:r>
      <w:r w:rsidRPr="00764F24">
        <w:rPr>
          <w:rStyle w:val="FootnoteReference"/>
          <w:rFonts w:cstheme="minorHAnsi"/>
          <w:szCs w:val="24"/>
          <w:lang w:val="en-GB"/>
        </w:rPr>
        <w:footnoteReference w:id="28"/>
      </w:r>
      <w:r w:rsidRPr="00764F24">
        <w:rPr>
          <w:rFonts w:cstheme="minorHAnsi"/>
          <w:szCs w:val="24"/>
          <w:lang w:val="en-GB"/>
        </w:rPr>
        <w:t xml:space="preserve"> </w:t>
      </w:r>
      <w:r>
        <w:rPr>
          <w:rFonts w:cstheme="minorHAnsi"/>
          <w:szCs w:val="24"/>
          <w:lang w:val="en-GB"/>
        </w:rPr>
        <w:t xml:space="preserve">has </w:t>
      </w:r>
      <w:r w:rsidRPr="00764F24">
        <w:rPr>
          <w:rFonts w:cstheme="minorHAnsi"/>
          <w:szCs w:val="24"/>
          <w:lang w:val="en-GB"/>
        </w:rPr>
        <w:t xml:space="preserve">found that </w:t>
      </w:r>
      <w:r>
        <w:rPr>
          <w:rFonts w:cstheme="minorHAnsi"/>
          <w:szCs w:val="24"/>
          <w:lang w:val="en-GB"/>
        </w:rPr>
        <w:t xml:space="preserve">the </w:t>
      </w:r>
      <w:r w:rsidRPr="00764F24">
        <w:rPr>
          <w:rFonts w:cstheme="minorHAnsi"/>
          <w:szCs w:val="24"/>
          <w:lang w:val="en-GB"/>
        </w:rPr>
        <w:t xml:space="preserve">people </w:t>
      </w:r>
      <w:r>
        <w:rPr>
          <w:rFonts w:cstheme="minorHAnsi"/>
          <w:szCs w:val="24"/>
          <w:lang w:val="en-GB"/>
        </w:rPr>
        <w:t>most</w:t>
      </w:r>
      <w:r w:rsidRPr="00764F24">
        <w:rPr>
          <w:rFonts w:cstheme="minorHAnsi"/>
          <w:szCs w:val="24"/>
          <w:lang w:val="en-GB"/>
        </w:rPr>
        <w:t xml:space="preserve"> likely to be negatively affected by the current recession were: young, low-paid, Black, in self-employment, with low education levels and living in large families.</w:t>
      </w:r>
    </w:p>
    <w:p w14:paraId="7B300E18" w14:textId="77777777" w:rsidR="00020F4F" w:rsidRDefault="00020F4F">
      <w:pPr>
        <w:rPr>
          <w:rFonts w:cstheme="minorHAnsi"/>
          <w:b/>
          <w:bCs/>
          <w:color w:val="4A66AC" w:themeColor="accent1"/>
          <w:sz w:val="24"/>
          <w:szCs w:val="24"/>
          <w:lang w:val="en-GB"/>
        </w:rPr>
      </w:pPr>
      <w:r>
        <w:rPr>
          <w:rFonts w:cstheme="minorHAnsi"/>
          <w:sz w:val="24"/>
          <w:szCs w:val="24"/>
          <w:lang w:val="en-GB"/>
        </w:rPr>
        <w:br w:type="page"/>
      </w:r>
    </w:p>
    <w:p w14:paraId="57E500E9" w14:textId="7D6DDFCF" w:rsidR="00B9482B" w:rsidRPr="00764F24" w:rsidRDefault="00B9482B" w:rsidP="006C29AC">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2.</w:t>
      </w:r>
      <w:r w:rsidR="00D523CE">
        <w:rPr>
          <w:rFonts w:cstheme="minorHAnsi"/>
          <w:sz w:val="24"/>
          <w:szCs w:val="24"/>
          <w:lang w:val="en-GB"/>
        </w:rPr>
        <w:t>6</w:t>
      </w:r>
      <w:r w:rsidRPr="00764F24">
        <w:rPr>
          <w:rFonts w:cstheme="minorHAnsi"/>
          <w:sz w:val="24"/>
          <w:szCs w:val="24"/>
          <w:lang w:val="en-GB"/>
        </w:rPr>
        <w:t xml:space="preserve">. Applications for Universal Credit each </w:t>
      </w:r>
      <w:r w:rsidR="006C29AC">
        <w:rPr>
          <w:rFonts w:cstheme="minorHAnsi"/>
          <w:sz w:val="24"/>
          <w:szCs w:val="24"/>
          <w:lang w:val="en-GB"/>
        </w:rPr>
        <w:t>week</w:t>
      </w:r>
      <w:r w:rsidRPr="00764F24">
        <w:rPr>
          <w:rFonts w:cstheme="minorHAnsi"/>
          <w:sz w:val="24"/>
          <w:szCs w:val="24"/>
          <w:lang w:val="en-GB"/>
        </w:rPr>
        <w:t xml:space="preserve"> from March to </w:t>
      </w:r>
      <w:r w:rsidR="006C29AC">
        <w:rPr>
          <w:rFonts w:cstheme="minorHAnsi"/>
          <w:sz w:val="24"/>
          <w:szCs w:val="24"/>
          <w:lang w:val="en-GB"/>
        </w:rPr>
        <w:t xml:space="preserve">early July </w:t>
      </w:r>
      <w:r w:rsidRPr="00764F24">
        <w:rPr>
          <w:rFonts w:cstheme="minorHAnsi"/>
          <w:sz w:val="24"/>
          <w:szCs w:val="24"/>
          <w:lang w:val="en-GB"/>
        </w:rPr>
        <w:t>2020 compared with the same figures in 2019. Source: Government Statistics</w:t>
      </w:r>
      <w:r w:rsidRPr="00764F24">
        <w:rPr>
          <w:rStyle w:val="FootnoteReference"/>
          <w:rFonts w:cstheme="minorHAnsi"/>
          <w:b w:val="0"/>
          <w:sz w:val="24"/>
          <w:szCs w:val="24"/>
          <w:lang w:val="en-GB"/>
        </w:rPr>
        <w:footnoteReference w:id="29"/>
      </w:r>
    </w:p>
    <w:p w14:paraId="0760E17C" w14:textId="3D209095" w:rsidR="00B9482B" w:rsidRPr="00764F24" w:rsidRDefault="00B301A9" w:rsidP="006C29AC">
      <w:pPr>
        <w:spacing w:beforeAutospacing="1" w:after="100" w:afterAutospacing="1" w:line="360" w:lineRule="auto"/>
        <w:rPr>
          <w:rFonts w:cstheme="minorHAnsi"/>
          <w:szCs w:val="24"/>
          <w:lang w:val="en-GB"/>
        </w:rPr>
      </w:pPr>
      <w:r>
        <w:rPr>
          <w:rFonts w:cstheme="minorHAnsi"/>
          <w:noProof/>
          <w:szCs w:val="24"/>
          <w:lang w:val="en-GB" w:eastAsia="en-GB" w:bidi="ar-SA"/>
        </w:rPr>
        <w:drawing>
          <wp:inline distT="0" distB="0" distL="0" distR="0" wp14:anchorId="71A3EF44" wp14:editId="21EF5E53">
            <wp:extent cx="4431297" cy="2663687"/>
            <wp:effectExtent l="0" t="0" r="7620" b="3810"/>
            <wp:docPr id="35" name="Picture 35" descr="Huge rise in claims for Universal Credit in 2020, peaking at over half a million per week in Ap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9542" cy="2686676"/>
                    </a:xfrm>
                    <a:prstGeom prst="rect">
                      <a:avLst/>
                    </a:prstGeom>
                    <a:noFill/>
                  </pic:spPr>
                </pic:pic>
              </a:graphicData>
            </a:graphic>
          </wp:inline>
        </w:drawing>
      </w:r>
    </w:p>
    <w:p w14:paraId="2AB708AC" w14:textId="30549376" w:rsidR="00B9482B" w:rsidRPr="00764F24" w:rsidRDefault="00B9482B" w:rsidP="00B9482B">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t>Figure 2.</w:t>
      </w:r>
      <w:r w:rsidR="00D523CE">
        <w:rPr>
          <w:rFonts w:cstheme="minorHAnsi"/>
          <w:sz w:val="24"/>
          <w:szCs w:val="24"/>
          <w:lang w:val="en-GB"/>
        </w:rPr>
        <w:t>7</w:t>
      </w:r>
      <w:r w:rsidRPr="00764F24">
        <w:rPr>
          <w:rFonts w:cstheme="minorHAnsi"/>
          <w:sz w:val="24"/>
          <w:szCs w:val="24"/>
          <w:lang w:val="en-GB"/>
        </w:rPr>
        <w:t xml:space="preserve">. Applications for Universal Credit each </w:t>
      </w:r>
      <w:r w:rsidR="006C29AC">
        <w:rPr>
          <w:rFonts w:cstheme="minorHAnsi"/>
          <w:sz w:val="24"/>
          <w:szCs w:val="24"/>
          <w:lang w:val="en-GB"/>
        </w:rPr>
        <w:t>week</w:t>
      </w:r>
      <w:r w:rsidRPr="00764F24">
        <w:rPr>
          <w:rFonts w:cstheme="minorHAnsi"/>
          <w:sz w:val="24"/>
          <w:szCs w:val="24"/>
          <w:lang w:val="en-GB"/>
        </w:rPr>
        <w:t xml:space="preserve"> from March to </w:t>
      </w:r>
      <w:r w:rsidR="006C29AC">
        <w:rPr>
          <w:rFonts w:cstheme="minorHAnsi"/>
          <w:sz w:val="24"/>
          <w:szCs w:val="24"/>
          <w:lang w:val="en-GB"/>
        </w:rPr>
        <w:t xml:space="preserve">early July </w:t>
      </w:r>
      <w:r w:rsidRPr="00764F24">
        <w:rPr>
          <w:rFonts w:cstheme="minorHAnsi"/>
          <w:sz w:val="24"/>
          <w:szCs w:val="24"/>
          <w:lang w:val="en-GB"/>
        </w:rPr>
        <w:t>2020, compared with the same figures for 2019. Source: Government Statistics</w:t>
      </w:r>
      <w:r w:rsidRPr="00764F24">
        <w:rPr>
          <w:rStyle w:val="FootnoteReference"/>
          <w:rFonts w:cstheme="minorHAnsi"/>
          <w:b w:val="0"/>
          <w:sz w:val="24"/>
          <w:szCs w:val="24"/>
          <w:lang w:val="en-GB"/>
        </w:rPr>
        <w:footnoteReference w:id="30"/>
      </w:r>
    </w:p>
    <w:p w14:paraId="4AD471EB" w14:textId="121CA439" w:rsidR="00B9482B" w:rsidRDefault="00B301A9" w:rsidP="00B9482B">
      <w:pPr>
        <w:keepNext/>
        <w:spacing w:beforeAutospacing="1" w:after="100" w:afterAutospacing="1" w:line="360" w:lineRule="auto"/>
        <w:rPr>
          <w:rFonts w:cstheme="minorHAnsi"/>
          <w:szCs w:val="24"/>
          <w:lang w:val="en-GB"/>
        </w:rPr>
      </w:pPr>
      <w:r>
        <w:rPr>
          <w:rFonts w:cstheme="minorHAnsi"/>
          <w:noProof/>
          <w:szCs w:val="24"/>
          <w:lang w:val="en-GB" w:eastAsia="en-GB" w:bidi="ar-SA"/>
        </w:rPr>
        <w:drawing>
          <wp:inline distT="0" distB="0" distL="0" distR="0" wp14:anchorId="4325BFD6" wp14:editId="61FD31EF">
            <wp:extent cx="4444521" cy="2671638"/>
            <wp:effectExtent l="0" t="0" r="0" b="0"/>
            <wp:docPr id="37" name="Picture 37" descr="Over 3 millions claims for Universal Credit in 2020, compared with around 1 million in the same period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5010" cy="2689965"/>
                    </a:xfrm>
                    <a:prstGeom prst="rect">
                      <a:avLst/>
                    </a:prstGeom>
                    <a:noFill/>
                  </pic:spPr>
                </pic:pic>
              </a:graphicData>
            </a:graphic>
          </wp:inline>
        </w:drawing>
      </w:r>
    </w:p>
    <w:p w14:paraId="4E239145" w14:textId="77777777" w:rsidR="00020F4F" w:rsidRDefault="00020F4F">
      <w:pPr>
        <w:rPr>
          <w:lang w:val="en-GB"/>
        </w:rPr>
      </w:pPr>
      <w:r>
        <w:rPr>
          <w:lang w:val="en-GB"/>
        </w:rPr>
        <w:br w:type="page"/>
      </w:r>
    </w:p>
    <w:p w14:paraId="6393BAD6" w14:textId="157BEC43" w:rsidR="00B16B35" w:rsidRDefault="00B16B35" w:rsidP="00B16B35">
      <w:pPr>
        <w:rPr>
          <w:lang w:val="en-GB"/>
        </w:rPr>
      </w:pPr>
      <w:r>
        <w:rPr>
          <w:lang w:val="en-GB"/>
        </w:rPr>
        <w:lastRenderedPageBreak/>
        <w:t xml:space="preserve">The Government acted to retain jobs, and much of people’s incomes, through various schemes. This included the ‘furloughing’ of employment. At its peak the </w:t>
      </w:r>
      <w:r w:rsidRPr="00B16B35">
        <w:rPr>
          <w:lang w:val="en-GB"/>
        </w:rPr>
        <w:t>Coronavirus Job Retention Scheme</w:t>
      </w:r>
      <w:r>
        <w:rPr>
          <w:lang w:val="en-GB"/>
        </w:rPr>
        <w:t xml:space="preserve"> was supporting close to nine million employments – see figure 2.8.</w:t>
      </w:r>
    </w:p>
    <w:p w14:paraId="25193BE1" w14:textId="529CA6AE" w:rsidR="00B16B35" w:rsidRDefault="00B16B35" w:rsidP="00B16B35">
      <w:pPr>
        <w:pStyle w:val="Caption"/>
        <w:keepNext/>
        <w:widowControl w:val="0"/>
        <w:spacing w:after="100" w:afterAutospacing="1"/>
        <w:rPr>
          <w:rFonts w:cstheme="minorHAnsi"/>
          <w:sz w:val="24"/>
          <w:szCs w:val="24"/>
          <w:lang w:val="en-GB"/>
        </w:rPr>
      </w:pPr>
      <w:r w:rsidRPr="00764F24">
        <w:rPr>
          <w:rFonts w:cstheme="minorHAnsi"/>
          <w:sz w:val="24"/>
          <w:szCs w:val="24"/>
          <w:lang w:val="en-GB"/>
        </w:rPr>
        <w:t>Figure 2.</w:t>
      </w:r>
      <w:r>
        <w:rPr>
          <w:rFonts w:cstheme="minorHAnsi"/>
          <w:sz w:val="24"/>
          <w:szCs w:val="24"/>
          <w:lang w:val="en-GB"/>
        </w:rPr>
        <w:t>8</w:t>
      </w:r>
      <w:r w:rsidRPr="00764F24">
        <w:rPr>
          <w:rFonts w:cstheme="minorHAnsi"/>
          <w:sz w:val="24"/>
          <w:szCs w:val="24"/>
          <w:lang w:val="en-GB"/>
        </w:rPr>
        <w:t>.</w:t>
      </w:r>
      <w:r>
        <w:rPr>
          <w:rFonts w:cstheme="minorHAnsi"/>
          <w:sz w:val="24"/>
          <w:szCs w:val="24"/>
          <w:lang w:val="en-GB"/>
        </w:rPr>
        <w:t xml:space="preserve"> Employments furloughed</w:t>
      </w:r>
      <w:r w:rsidR="00B301A9">
        <w:rPr>
          <w:rFonts w:cstheme="minorHAnsi"/>
          <w:sz w:val="24"/>
          <w:szCs w:val="24"/>
          <w:lang w:val="en-GB"/>
        </w:rPr>
        <w:t xml:space="preserve"> (number)</w:t>
      </w:r>
      <w:r w:rsidRPr="00764F24">
        <w:rPr>
          <w:rFonts w:cstheme="minorHAnsi"/>
          <w:sz w:val="24"/>
          <w:szCs w:val="24"/>
          <w:lang w:val="en-GB"/>
        </w:rPr>
        <w:t>. Source: Government Statistics</w:t>
      </w:r>
      <w:r>
        <w:rPr>
          <w:rStyle w:val="FootnoteReference"/>
          <w:rFonts w:cstheme="minorHAnsi"/>
          <w:sz w:val="24"/>
          <w:szCs w:val="24"/>
          <w:lang w:val="en-GB"/>
        </w:rPr>
        <w:footnoteReference w:id="31"/>
      </w:r>
    </w:p>
    <w:p w14:paraId="291E224F" w14:textId="38194B08" w:rsidR="00B16B35" w:rsidRPr="00B16B35" w:rsidRDefault="00B301A9" w:rsidP="00B16B35">
      <w:pPr>
        <w:keepNext/>
        <w:widowControl w:val="0"/>
        <w:spacing w:line="240" w:lineRule="auto"/>
        <w:rPr>
          <w:lang w:val="en-GB"/>
        </w:rPr>
      </w:pPr>
      <w:r>
        <w:rPr>
          <w:noProof/>
          <w:lang w:val="en-GB" w:eastAsia="en-GB" w:bidi="ar-SA"/>
        </w:rPr>
        <w:drawing>
          <wp:inline distT="0" distB="0" distL="0" distR="0" wp14:anchorId="551CA963" wp14:editId="1404AE53">
            <wp:extent cx="4584700" cy="2755900"/>
            <wp:effectExtent l="0" t="0" r="6350" b="6350"/>
            <wp:docPr id="42" name="Picture 42" descr="Close to 9 million employments were furloughed during Ma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BC885DF" w14:textId="3C1C7EBD" w:rsidR="00B16B35" w:rsidRPr="00B16B35" w:rsidRDefault="00B16B35" w:rsidP="00B16B35">
      <w:pPr>
        <w:keepNext/>
        <w:widowControl w:val="0"/>
        <w:spacing w:line="240" w:lineRule="auto"/>
        <w:rPr>
          <w:sz w:val="20"/>
          <w:szCs w:val="16"/>
          <w:lang w:val="en-GB"/>
        </w:rPr>
      </w:pPr>
      <w:r w:rsidRPr="00B16B35">
        <w:rPr>
          <w:sz w:val="20"/>
          <w:szCs w:val="16"/>
          <w:lang w:val="en-GB"/>
        </w:rPr>
        <w:t>Last updated 18 September 2020.</w:t>
      </w:r>
    </w:p>
    <w:p w14:paraId="0FF42AC3" w14:textId="6B9A7DE1" w:rsidR="00B16B35" w:rsidRDefault="00B16B35" w:rsidP="00FF7E31">
      <w:pPr>
        <w:rPr>
          <w:lang w:val="en-GB"/>
        </w:rPr>
      </w:pPr>
    </w:p>
    <w:p w14:paraId="20DC0213" w14:textId="771CE158" w:rsidR="00FF7E31" w:rsidRPr="00FF7E31" w:rsidRDefault="00FF7E31" w:rsidP="00FF7E31">
      <w:pPr>
        <w:rPr>
          <w:lang w:val="en-GB"/>
        </w:rPr>
      </w:pPr>
      <w:r>
        <w:rPr>
          <w:lang w:val="en-GB"/>
        </w:rPr>
        <w:t xml:space="preserve">The proportion of employees being moved on to furlough was not evenly distributed throughout the land. As shown in figure 2.9, younger people were particularly likely to have been on furlough, including a </w:t>
      </w:r>
      <w:r>
        <w:rPr>
          <w:b/>
          <w:bCs/>
          <w:i/>
          <w:iCs/>
          <w:lang w:val="en-GB"/>
        </w:rPr>
        <w:t>majority</w:t>
      </w:r>
      <w:r>
        <w:rPr>
          <w:lang w:val="en-GB"/>
        </w:rPr>
        <w:t xml:space="preserve"> of teenaged employees.</w:t>
      </w:r>
      <w:r w:rsidR="00EC0772">
        <w:rPr>
          <w:lang w:val="en-GB"/>
        </w:rPr>
        <w:t xml:space="preserve"> Older workers also had a higher than average chance of being put on furlough.</w:t>
      </w:r>
    </w:p>
    <w:p w14:paraId="61711FBB" w14:textId="457BDD06" w:rsidR="00FF7E31" w:rsidRDefault="00FF7E31" w:rsidP="00FF7E31">
      <w:pPr>
        <w:rPr>
          <w:lang w:val="en-GB"/>
        </w:rPr>
      </w:pPr>
    </w:p>
    <w:p w14:paraId="5FC19649" w14:textId="5C19A06A" w:rsidR="00FF7E31" w:rsidRDefault="00FF7E31" w:rsidP="00FF7E31">
      <w:pPr>
        <w:pStyle w:val="Caption"/>
        <w:keepNext/>
        <w:widowControl w:val="0"/>
        <w:spacing w:after="100" w:afterAutospacing="1"/>
        <w:rPr>
          <w:rFonts w:cstheme="minorHAnsi"/>
          <w:sz w:val="24"/>
          <w:szCs w:val="24"/>
          <w:lang w:val="en-GB"/>
        </w:rPr>
      </w:pPr>
      <w:r w:rsidRPr="00764F24">
        <w:rPr>
          <w:rFonts w:cstheme="minorHAnsi"/>
          <w:sz w:val="24"/>
          <w:szCs w:val="24"/>
          <w:lang w:val="en-GB"/>
        </w:rPr>
        <w:lastRenderedPageBreak/>
        <w:t>Figure 2.</w:t>
      </w:r>
      <w:r>
        <w:rPr>
          <w:rFonts w:cstheme="minorHAnsi"/>
          <w:sz w:val="24"/>
          <w:szCs w:val="24"/>
          <w:lang w:val="en-GB"/>
        </w:rPr>
        <w:t>9</w:t>
      </w:r>
      <w:r w:rsidRPr="00764F24">
        <w:rPr>
          <w:rFonts w:cstheme="minorHAnsi"/>
          <w:sz w:val="24"/>
          <w:szCs w:val="24"/>
          <w:lang w:val="en-GB"/>
        </w:rPr>
        <w:t>.</w:t>
      </w:r>
      <w:r>
        <w:rPr>
          <w:rFonts w:cstheme="minorHAnsi"/>
          <w:sz w:val="24"/>
          <w:szCs w:val="24"/>
          <w:lang w:val="en-GB"/>
        </w:rPr>
        <w:t xml:space="preserve"> Employments furloughed</w:t>
      </w:r>
      <w:r w:rsidRPr="00764F24">
        <w:rPr>
          <w:rFonts w:cstheme="minorHAnsi"/>
          <w:sz w:val="24"/>
          <w:szCs w:val="24"/>
          <w:lang w:val="en-GB"/>
        </w:rPr>
        <w:t>. Source: Government Statistics</w:t>
      </w:r>
      <w:r>
        <w:rPr>
          <w:rStyle w:val="FootnoteReference"/>
          <w:rFonts w:cstheme="minorHAnsi"/>
          <w:sz w:val="24"/>
          <w:szCs w:val="24"/>
          <w:lang w:val="en-GB"/>
        </w:rPr>
        <w:footnoteReference w:id="32"/>
      </w:r>
    </w:p>
    <w:p w14:paraId="34752DB3" w14:textId="176EB8A4" w:rsidR="00FF7E31" w:rsidRDefault="00B301A9" w:rsidP="00FF7E31">
      <w:pPr>
        <w:rPr>
          <w:lang w:val="en-GB"/>
        </w:rPr>
      </w:pPr>
      <w:r>
        <w:rPr>
          <w:noProof/>
          <w:lang w:val="en-GB" w:eastAsia="en-GB" w:bidi="ar-SA"/>
        </w:rPr>
        <w:drawing>
          <wp:inline distT="0" distB="0" distL="0" distR="0" wp14:anchorId="48639ED1" wp14:editId="4B0EAEC8">
            <wp:extent cx="4584700" cy="2755900"/>
            <wp:effectExtent l="0" t="0" r="6350" b="6350"/>
            <wp:docPr id="43" name="Picture 43" descr="Younger men and women, and to a lesser extent older workers, were the most likely to have their jobs furloug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EE5CB0D" w14:textId="39534994" w:rsidR="00FF7E31" w:rsidRPr="00FF7E31" w:rsidRDefault="00FF7E31" w:rsidP="00FF7E31">
      <w:pPr>
        <w:rPr>
          <w:sz w:val="20"/>
          <w:szCs w:val="16"/>
          <w:lang w:val="en-GB"/>
        </w:rPr>
      </w:pPr>
      <w:r w:rsidRPr="00FF7E31">
        <w:rPr>
          <w:sz w:val="20"/>
          <w:szCs w:val="16"/>
          <w:lang w:val="en-GB"/>
        </w:rPr>
        <w:t>Taken from July 2020 data.</w:t>
      </w:r>
    </w:p>
    <w:p w14:paraId="4B3A8AA8" w14:textId="77777777" w:rsidR="00FF7E31" w:rsidRPr="00764F24" w:rsidRDefault="00FF7E31" w:rsidP="00FF7E31">
      <w:pPr>
        <w:rPr>
          <w:lang w:val="en-GB"/>
        </w:rPr>
      </w:pPr>
    </w:p>
    <w:p w14:paraId="0F6EA496" w14:textId="2C36E0E4" w:rsidR="00B16B35" w:rsidRDefault="00B16B35">
      <w:pPr>
        <w:rPr>
          <w:rFonts w:cstheme="minorHAnsi"/>
          <w:szCs w:val="24"/>
          <w:lang w:val="en-GB"/>
        </w:rPr>
      </w:pPr>
      <w:r>
        <w:rPr>
          <w:rFonts w:cstheme="minorHAnsi"/>
          <w:szCs w:val="24"/>
          <w:lang w:val="en-GB"/>
        </w:rPr>
        <w:br w:type="page"/>
      </w:r>
    </w:p>
    <w:p w14:paraId="505E6890" w14:textId="77777777" w:rsidR="00B9482B" w:rsidRPr="00764F24" w:rsidRDefault="00B9482B" w:rsidP="00D86B69">
      <w:pPr>
        <w:spacing w:beforeAutospacing="1" w:after="100" w:afterAutospacing="1" w:line="360" w:lineRule="auto"/>
        <w:rPr>
          <w:rFonts w:cstheme="minorHAnsi"/>
          <w:szCs w:val="24"/>
          <w:lang w:val="en-GB"/>
        </w:rPr>
      </w:pPr>
    </w:p>
    <w:p w14:paraId="2A6BC64B" w14:textId="49EB7D88" w:rsidR="00733606" w:rsidRPr="00764F24" w:rsidRDefault="00733606" w:rsidP="00D86B69">
      <w:pPr>
        <w:pStyle w:val="Heading2"/>
        <w:numPr>
          <w:ilvl w:val="0"/>
          <w:numId w:val="10"/>
        </w:numPr>
        <w:spacing w:beforeAutospacing="1" w:after="100" w:afterAutospacing="1" w:line="360" w:lineRule="auto"/>
        <w:rPr>
          <w:rFonts w:cstheme="minorHAnsi"/>
          <w:szCs w:val="24"/>
          <w:lang w:val="en-GB"/>
        </w:rPr>
      </w:pPr>
      <w:bookmarkStart w:id="35" w:name="_Toc51250060"/>
      <w:bookmarkStart w:id="36" w:name="_Toc54600802"/>
      <w:r w:rsidRPr="00764F24">
        <w:rPr>
          <w:rFonts w:cstheme="minorHAnsi"/>
          <w:szCs w:val="24"/>
          <w:lang w:val="en-GB"/>
        </w:rPr>
        <w:t>Incomes</w:t>
      </w:r>
      <w:bookmarkEnd w:id="35"/>
      <w:bookmarkEnd w:id="36"/>
    </w:p>
    <w:p w14:paraId="0938C895" w14:textId="77777777" w:rsidR="00EF6D56" w:rsidRPr="00764F24" w:rsidRDefault="00EF6D56" w:rsidP="00D86B69">
      <w:pPr>
        <w:spacing w:beforeAutospacing="1" w:after="100" w:afterAutospacing="1" w:line="360" w:lineRule="auto"/>
        <w:rPr>
          <w:rFonts w:cstheme="minorHAnsi"/>
          <w:szCs w:val="24"/>
          <w:lang w:val="en-GB"/>
        </w:rPr>
      </w:pPr>
    </w:p>
    <w:p w14:paraId="1F5CB7E1" w14:textId="1F3E07AE" w:rsidR="007E64E2" w:rsidRPr="00764F24" w:rsidRDefault="002D0E3C" w:rsidP="00D86B69">
      <w:pPr>
        <w:spacing w:beforeAutospacing="1" w:after="100" w:afterAutospacing="1" w:line="360" w:lineRule="auto"/>
        <w:rPr>
          <w:rFonts w:cstheme="minorHAnsi"/>
          <w:szCs w:val="24"/>
          <w:lang w:val="en-GB"/>
        </w:rPr>
      </w:pPr>
      <w:r w:rsidRPr="00764F24">
        <w:rPr>
          <w:rFonts w:cstheme="minorHAnsi"/>
          <w:szCs w:val="24"/>
          <w:lang w:val="en-GB"/>
        </w:rPr>
        <w:t>T</w:t>
      </w:r>
      <w:r w:rsidR="00151FFC" w:rsidRPr="00764F24">
        <w:rPr>
          <w:rFonts w:cstheme="minorHAnsi"/>
          <w:szCs w:val="24"/>
          <w:lang w:val="en-GB"/>
        </w:rPr>
        <w:t xml:space="preserve">rends </w:t>
      </w:r>
      <w:r w:rsidRPr="00764F24">
        <w:rPr>
          <w:rFonts w:cstheme="minorHAnsi"/>
          <w:szCs w:val="24"/>
          <w:lang w:val="en-GB"/>
        </w:rPr>
        <w:t xml:space="preserve">in relation to employment </w:t>
      </w:r>
      <w:r w:rsidR="00151FFC" w:rsidRPr="00764F24">
        <w:rPr>
          <w:rFonts w:cstheme="minorHAnsi"/>
          <w:szCs w:val="24"/>
          <w:lang w:val="en-GB"/>
        </w:rPr>
        <w:t xml:space="preserve">were </w:t>
      </w:r>
      <w:r w:rsidR="004E2969" w:rsidRPr="00764F24">
        <w:rPr>
          <w:rFonts w:cstheme="minorHAnsi"/>
          <w:szCs w:val="24"/>
          <w:lang w:val="en-GB"/>
        </w:rPr>
        <w:t xml:space="preserve">broadly </w:t>
      </w:r>
      <w:r w:rsidRPr="00764F24">
        <w:rPr>
          <w:rFonts w:cstheme="minorHAnsi"/>
          <w:szCs w:val="24"/>
          <w:lang w:val="en-GB"/>
        </w:rPr>
        <w:t xml:space="preserve">positive </w:t>
      </w:r>
      <w:r w:rsidR="00151FFC" w:rsidRPr="00764F24">
        <w:rPr>
          <w:rFonts w:cstheme="minorHAnsi"/>
          <w:szCs w:val="24"/>
          <w:lang w:val="en-GB"/>
        </w:rPr>
        <w:t xml:space="preserve">after 2008 </w:t>
      </w:r>
      <w:r w:rsidR="004E2969" w:rsidRPr="00764F24">
        <w:rPr>
          <w:rFonts w:cstheme="minorHAnsi"/>
          <w:szCs w:val="24"/>
          <w:lang w:val="en-GB"/>
        </w:rPr>
        <w:t xml:space="preserve">though progress </w:t>
      </w:r>
      <w:r w:rsidR="00151FFC" w:rsidRPr="00764F24">
        <w:rPr>
          <w:rFonts w:cstheme="minorHAnsi"/>
          <w:szCs w:val="24"/>
          <w:lang w:val="en-GB"/>
        </w:rPr>
        <w:t xml:space="preserve">appeared to be stalling </w:t>
      </w:r>
      <w:r w:rsidR="004E2969" w:rsidRPr="00764F24">
        <w:rPr>
          <w:rFonts w:cstheme="minorHAnsi"/>
          <w:szCs w:val="24"/>
          <w:lang w:val="en-GB"/>
        </w:rPr>
        <w:t>in 2019</w:t>
      </w:r>
      <w:r w:rsidR="00151FFC" w:rsidRPr="00764F24">
        <w:rPr>
          <w:rFonts w:cstheme="minorHAnsi"/>
          <w:szCs w:val="24"/>
          <w:lang w:val="en-GB"/>
        </w:rPr>
        <w:t xml:space="preserve"> and then crashing in 2020 due to</w:t>
      </w:r>
      <w:r w:rsidR="00A12E5C" w:rsidRPr="00764F24">
        <w:rPr>
          <w:rFonts w:cstheme="minorHAnsi"/>
          <w:szCs w:val="24"/>
          <w:lang w:val="en-GB"/>
        </w:rPr>
        <w:t xml:space="preserve"> COVID-19</w:t>
      </w:r>
      <w:r w:rsidR="00BF7FBA" w:rsidRPr="00764F24">
        <w:rPr>
          <w:rFonts w:cstheme="minorHAnsi"/>
          <w:szCs w:val="24"/>
          <w:lang w:val="en-GB"/>
        </w:rPr>
        <w:t xml:space="preserve">. </w:t>
      </w:r>
      <w:r w:rsidRPr="00764F24">
        <w:rPr>
          <w:rFonts w:cstheme="minorHAnsi"/>
          <w:szCs w:val="24"/>
          <w:lang w:val="en-GB"/>
        </w:rPr>
        <w:t>The situation in relation to pay</w:t>
      </w:r>
      <w:r w:rsidR="001977B2" w:rsidRPr="00764F24">
        <w:rPr>
          <w:rFonts w:cstheme="minorHAnsi"/>
          <w:szCs w:val="24"/>
          <w:lang w:val="en-GB"/>
        </w:rPr>
        <w:t>, however,</w:t>
      </w:r>
      <w:r w:rsidRPr="00764F24">
        <w:rPr>
          <w:rFonts w:cstheme="minorHAnsi"/>
          <w:szCs w:val="24"/>
          <w:lang w:val="en-GB"/>
        </w:rPr>
        <w:t xml:space="preserve"> </w:t>
      </w:r>
      <w:r w:rsidR="004E2969" w:rsidRPr="00764F24">
        <w:rPr>
          <w:rFonts w:cstheme="minorHAnsi"/>
          <w:szCs w:val="24"/>
          <w:lang w:val="en-GB"/>
        </w:rPr>
        <w:t>ha</w:t>
      </w:r>
      <w:r w:rsidR="00151FFC" w:rsidRPr="00764F24">
        <w:rPr>
          <w:rFonts w:cstheme="minorHAnsi"/>
          <w:szCs w:val="24"/>
          <w:lang w:val="en-GB"/>
        </w:rPr>
        <w:t>d</w:t>
      </w:r>
      <w:r w:rsidRPr="00764F24">
        <w:rPr>
          <w:rFonts w:cstheme="minorHAnsi"/>
          <w:szCs w:val="24"/>
          <w:lang w:val="en-GB"/>
        </w:rPr>
        <w:t xml:space="preserve"> not </w:t>
      </w:r>
      <w:r w:rsidR="004E2969" w:rsidRPr="00764F24">
        <w:rPr>
          <w:rFonts w:cstheme="minorHAnsi"/>
          <w:szCs w:val="24"/>
          <w:lang w:val="en-GB"/>
        </w:rPr>
        <w:t xml:space="preserve">been </w:t>
      </w:r>
      <w:r w:rsidRPr="00764F24">
        <w:rPr>
          <w:rFonts w:cstheme="minorHAnsi"/>
          <w:szCs w:val="24"/>
          <w:lang w:val="en-GB"/>
        </w:rPr>
        <w:t>so positive</w:t>
      </w:r>
      <w:r w:rsidR="00151FFC" w:rsidRPr="00764F24">
        <w:rPr>
          <w:rFonts w:cstheme="minorHAnsi"/>
          <w:szCs w:val="24"/>
          <w:lang w:val="en-GB"/>
        </w:rPr>
        <w:t xml:space="preserve"> prior to</w:t>
      </w:r>
      <w:r w:rsidR="00A12E5C" w:rsidRPr="00764F24">
        <w:rPr>
          <w:rFonts w:cstheme="minorHAnsi"/>
          <w:szCs w:val="24"/>
          <w:lang w:val="en-GB"/>
        </w:rPr>
        <w:t xml:space="preserve"> COVID-19</w:t>
      </w:r>
      <w:r w:rsidR="00BF7FBA" w:rsidRPr="00764F24">
        <w:rPr>
          <w:rFonts w:cstheme="minorHAnsi"/>
          <w:szCs w:val="24"/>
          <w:lang w:val="en-GB"/>
        </w:rPr>
        <w:t xml:space="preserve">. </w:t>
      </w:r>
      <w:r w:rsidR="0082538B" w:rsidRPr="00764F24">
        <w:rPr>
          <w:rFonts w:cstheme="minorHAnsi"/>
          <w:szCs w:val="24"/>
          <w:lang w:val="en-GB"/>
        </w:rPr>
        <w:t xml:space="preserve">Average </w:t>
      </w:r>
      <w:r w:rsidR="006918CF" w:rsidRPr="00764F24">
        <w:rPr>
          <w:rFonts w:cstheme="minorHAnsi"/>
          <w:szCs w:val="24"/>
          <w:lang w:val="en-GB"/>
        </w:rPr>
        <w:t>real weekly</w:t>
      </w:r>
      <w:r w:rsidR="0082538B" w:rsidRPr="00764F24">
        <w:rPr>
          <w:rFonts w:cstheme="minorHAnsi"/>
          <w:szCs w:val="24"/>
          <w:lang w:val="en-GB"/>
        </w:rPr>
        <w:t xml:space="preserve"> wages </w:t>
      </w:r>
      <w:r w:rsidR="006918CF" w:rsidRPr="00764F24">
        <w:rPr>
          <w:rFonts w:cstheme="minorHAnsi"/>
          <w:szCs w:val="24"/>
          <w:lang w:val="en-GB"/>
        </w:rPr>
        <w:t>ha</w:t>
      </w:r>
      <w:r w:rsidR="00935CB1" w:rsidRPr="00764F24">
        <w:rPr>
          <w:rFonts w:cstheme="minorHAnsi"/>
          <w:szCs w:val="24"/>
          <w:lang w:val="en-GB"/>
        </w:rPr>
        <w:t>d started to</w:t>
      </w:r>
      <w:r w:rsidR="006918CF" w:rsidRPr="00764F24">
        <w:rPr>
          <w:rFonts w:cstheme="minorHAnsi"/>
          <w:szCs w:val="24"/>
          <w:lang w:val="en-GB"/>
        </w:rPr>
        <w:t xml:space="preserve"> increase</w:t>
      </w:r>
      <w:r w:rsidR="00935CB1" w:rsidRPr="00764F24">
        <w:rPr>
          <w:rFonts w:cstheme="minorHAnsi"/>
          <w:szCs w:val="24"/>
          <w:lang w:val="en-GB"/>
        </w:rPr>
        <w:t xml:space="preserve"> in 2014-2015 </w:t>
      </w:r>
      <w:r w:rsidR="006918CF" w:rsidRPr="00764F24">
        <w:rPr>
          <w:rFonts w:cstheme="minorHAnsi"/>
          <w:szCs w:val="24"/>
          <w:lang w:val="en-GB"/>
        </w:rPr>
        <w:t xml:space="preserve">but </w:t>
      </w:r>
      <w:r w:rsidR="00935CB1" w:rsidRPr="00764F24">
        <w:rPr>
          <w:rFonts w:cstheme="minorHAnsi"/>
          <w:szCs w:val="24"/>
          <w:lang w:val="en-GB"/>
        </w:rPr>
        <w:t>we</w:t>
      </w:r>
      <w:r w:rsidR="0082538B" w:rsidRPr="00764F24">
        <w:rPr>
          <w:rFonts w:cstheme="minorHAnsi"/>
          <w:szCs w:val="24"/>
          <w:lang w:val="en-GB"/>
        </w:rPr>
        <w:t xml:space="preserve">re </w:t>
      </w:r>
      <w:r w:rsidR="006918CF" w:rsidRPr="00764F24">
        <w:rPr>
          <w:rFonts w:cstheme="minorHAnsi"/>
          <w:szCs w:val="24"/>
          <w:lang w:val="en-GB"/>
        </w:rPr>
        <w:t xml:space="preserve">still </w:t>
      </w:r>
      <w:r w:rsidR="0082538B" w:rsidRPr="00764F24">
        <w:rPr>
          <w:rFonts w:cstheme="minorHAnsi"/>
          <w:szCs w:val="24"/>
          <w:lang w:val="en-GB"/>
        </w:rPr>
        <w:t xml:space="preserve">lower than prior to the </w:t>
      </w:r>
      <w:r w:rsidR="0000347B">
        <w:rPr>
          <w:rFonts w:cstheme="minorHAnsi"/>
          <w:szCs w:val="24"/>
          <w:lang w:val="en-GB"/>
        </w:rPr>
        <w:t xml:space="preserve">2008/9 </w:t>
      </w:r>
      <w:r w:rsidR="0082538B" w:rsidRPr="00764F24">
        <w:rPr>
          <w:rFonts w:cstheme="minorHAnsi"/>
          <w:szCs w:val="24"/>
          <w:lang w:val="en-GB"/>
        </w:rPr>
        <w:t>recession</w:t>
      </w:r>
      <w:r w:rsidR="00BF7FBA" w:rsidRPr="00764F24">
        <w:rPr>
          <w:rFonts w:cstheme="minorHAnsi"/>
          <w:szCs w:val="24"/>
          <w:lang w:val="en-GB"/>
        </w:rPr>
        <w:t xml:space="preserve">. </w:t>
      </w:r>
      <w:r w:rsidR="00935CB1" w:rsidRPr="00764F24">
        <w:rPr>
          <w:rFonts w:cstheme="minorHAnsi"/>
          <w:szCs w:val="24"/>
          <w:lang w:val="en-GB"/>
        </w:rPr>
        <w:t>Rising inflation as a result of the Brexit vote’s impact on the value of the pound has further reduced levels of real pay at the end of 2016/early 2017</w:t>
      </w:r>
      <w:r w:rsidR="00B12B8B" w:rsidRPr="00764F24">
        <w:rPr>
          <w:rFonts w:cstheme="minorHAnsi"/>
          <w:szCs w:val="24"/>
          <w:lang w:val="en-GB"/>
        </w:rPr>
        <w:t xml:space="preserve"> and this is reflected in the fact that the annual rate of change at the end of 2016 plummeted</w:t>
      </w:r>
      <w:r w:rsidR="00F03548" w:rsidRPr="00764F24">
        <w:rPr>
          <w:rFonts w:cstheme="minorHAnsi"/>
          <w:szCs w:val="24"/>
          <w:lang w:val="en-GB"/>
        </w:rPr>
        <w:t xml:space="preserve"> with a further drop in real wages in</w:t>
      </w:r>
      <w:r w:rsidR="00B12B8B" w:rsidRPr="00764F24">
        <w:rPr>
          <w:rFonts w:cstheme="minorHAnsi"/>
          <w:szCs w:val="24"/>
          <w:lang w:val="en-GB"/>
        </w:rPr>
        <w:t xml:space="preserve"> 2017</w:t>
      </w:r>
      <w:r w:rsidR="00BF7FBA" w:rsidRPr="00764F24">
        <w:rPr>
          <w:rFonts w:cstheme="minorHAnsi"/>
          <w:szCs w:val="24"/>
          <w:lang w:val="en-GB"/>
        </w:rPr>
        <w:t xml:space="preserve">. </w:t>
      </w:r>
      <w:r w:rsidR="00F03548" w:rsidRPr="00764F24">
        <w:rPr>
          <w:rFonts w:cstheme="minorHAnsi"/>
          <w:szCs w:val="24"/>
          <w:lang w:val="en-GB"/>
        </w:rPr>
        <w:t>The following year</w:t>
      </w:r>
      <w:r w:rsidR="004E2969" w:rsidRPr="00764F24">
        <w:rPr>
          <w:rFonts w:cstheme="minorHAnsi"/>
          <w:szCs w:val="24"/>
          <w:lang w:val="en-GB"/>
        </w:rPr>
        <w:t>, 2018,</w:t>
      </w:r>
      <w:r w:rsidR="00F03548" w:rsidRPr="00764F24">
        <w:rPr>
          <w:rFonts w:cstheme="minorHAnsi"/>
          <w:szCs w:val="24"/>
          <w:lang w:val="en-GB"/>
        </w:rPr>
        <w:t xml:space="preserve"> saw a recovery </w:t>
      </w:r>
      <w:r w:rsidR="00C713BF" w:rsidRPr="00764F24">
        <w:rPr>
          <w:rFonts w:cstheme="minorHAnsi"/>
          <w:szCs w:val="24"/>
          <w:lang w:val="en-GB"/>
        </w:rPr>
        <w:t>which continued for 2019</w:t>
      </w:r>
      <w:r w:rsidR="00BF7FBA" w:rsidRPr="00764F24">
        <w:rPr>
          <w:rFonts w:cstheme="minorHAnsi"/>
          <w:szCs w:val="24"/>
          <w:lang w:val="en-GB"/>
        </w:rPr>
        <w:t xml:space="preserve">. </w:t>
      </w:r>
      <w:r w:rsidR="00C713BF" w:rsidRPr="00764F24">
        <w:rPr>
          <w:rFonts w:cstheme="minorHAnsi"/>
          <w:szCs w:val="24"/>
          <w:lang w:val="en-GB"/>
        </w:rPr>
        <w:t>But at the end of 2019</w:t>
      </w:r>
      <w:r w:rsidR="00F03548" w:rsidRPr="00764F24">
        <w:rPr>
          <w:rFonts w:cstheme="minorHAnsi"/>
          <w:szCs w:val="24"/>
          <w:lang w:val="en-GB"/>
        </w:rPr>
        <w:t xml:space="preserve"> real wages had still not reached their pre-</w:t>
      </w:r>
      <w:r w:rsidR="00CD7138" w:rsidRPr="00764F24">
        <w:rPr>
          <w:rFonts w:cstheme="minorHAnsi"/>
          <w:szCs w:val="24"/>
          <w:lang w:val="en-GB"/>
        </w:rPr>
        <w:t xml:space="preserve">Global Financial Crisis </w:t>
      </w:r>
      <w:r w:rsidR="00F03548" w:rsidRPr="00764F24">
        <w:rPr>
          <w:rFonts w:cstheme="minorHAnsi"/>
          <w:szCs w:val="24"/>
          <w:lang w:val="en-GB"/>
        </w:rPr>
        <w:t>lev</w:t>
      </w:r>
      <w:r w:rsidR="00C713BF" w:rsidRPr="00764F24">
        <w:rPr>
          <w:rFonts w:cstheme="minorHAnsi"/>
          <w:szCs w:val="24"/>
          <w:lang w:val="en-GB"/>
        </w:rPr>
        <w:t>els and wages started to fall slightly by February</w:t>
      </w:r>
      <w:r w:rsidR="00F03548" w:rsidRPr="00764F24">
        <w:rPr>
          <w:rFonts w:cstheme="minorHAnsi"/>
          <w:szCs w:val="24"/>
          <w:lang w:val="en-GB"/>
        </w:rPr>
        <w:t xml:space="preserve"> 2020</w:t>
      </w:r>
      <w:r w:rsidR="00C713BF" w:rsidRPr="00764F24">
        <w:rPr>
          <w:rFonts w:cstheme="minorHAnsi"/>
          <w:szCs w:val="24"/>
          <w:lang w:val="en-GB"/>
        </w:rPr>
        <w:t xml:space="preserve">, </w:t>
      </w:r>
      <w:r w:rsidR="0000347B">
        <w:rPr>
          <w:rFonts w:cstheme="minorHAnsi"/>
          <w:szCs w:val="24"/>
          <w:lang w:val="en-GB"/>
        </w:rPr>
        <w:t xml:space="preserve">even </w:t>
      </w:r>
      <w:r w:rsidR="00C713BF" w:rsidRPr="00764F24">
        <w:rPr>
          <w:rFonts w:cstheme="minorHAnsi"/>
          <w:szCs w:val="24"/>
          <w:lang w:val="en-GB"/>
        </w:rPr>
        <w:t>before the</w:t>
      </w:r>
      <w:r w:rsidR="00A12E5C" w:rsidRPr="00764F24">
        <w:rPr>
          <w:rFonts w:cstheme="minorHAnsi"/>
          <w:szCs w:val="24"/>
          <w:lang w:val="en-GB"/>
        </w:rPr>
        <w:t xml:space="preserve"> COVID-19</w:t>
      </w:r>
      <w:r w:rsidR="00C713BF" w:rsidRPr="00764F24">
        <w:rPr>
          <w:rFonts w:cstheme="minorHAnsi"/>
          <w:szCs w:val="24"/>
          <w:lang w:val="en-GB"/>
        </w:rPr>
        <w:t xml:space="preserve"> crisis</w:t>
      </w:r>
      <w:r w:rsidR="00BF7FBA" w:rsidRPr="00764F24">
        <w:rPr>
          <w:rFonts w:cstheme="minorHAnsi"/>
          <w:szCs w:val="24"/>
          <w:lang w:val="en-GB"/>
        </w:rPr>
        <w:t xml:space="preserve">. </w:t>
      </w:r>
    </w:p>
    <w:p w14:paraId="538628AA" w14:textId="0FBA3978" w:rsidR="0019738F" w:rsidRPr="00764F24" w:rsidRDefault="0019738F" w:rsidP="00C434EA">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 xml:space="preserve">Figure </w:t>
      </w:r>
      <w:r w:rsidR="00F03548" w:rsidRPr="00764F24">
        <w:rPr>
          <w:rFonts w:cstheme="minorHAnsi"/>
          <w:sz w:val="24"/>
          <w:szCs w:val="24"/>
          <w:lang w:val="en-GB"/>
        </w:rPr>
        <w:t>3.1</w:t>
      </w:r>
      <w:r w:rsidR="001E0C53" w:rsidRPr="00764F24">
        <w:rPr>
          <w:rFonts w:cstheme="minorHAnsi"/>
          <w:sz w:val="24"/>
          <w:szCs w:val="24"/>
          <w:lang w:val="en-GB"/>
        </w:rPr>
        <w:t xml:space="preserve">. </w:t>
      </w:r>
      <w:r w:rsidRPr="00764F24">
        <w:rPr>
          <w:rFonts w:cstheme="minorHAnsi"/>
          <w:sz w:val="24"/>
          <w:szCs w:val="24"/>
          <w:lang w:val="en-GB"/>
        </w:rPr>
        <w:t xml:space="preserve">Levels of real pay </w:t>
      </w:r>
      <w:r w:rsidR="00C713BF" w:rsidRPr="00764F24">
        <w:rPr>
          <w:rFonts w:cstheme="minorHAnsi"/>
          <w:sz w:val="24"/>
          <w:szCs w:val="24"/>
          <w:lang w:val="en-GB"/>
        </w:rPr>
        <w:t>r</w:t>
      </w:r>
      <w:r w:rsidR="00CD7138" w:rsidRPr="00764F24">
        <w:rPr>
          <w:rFonts w:cstheme="minorHAnsi"/>
          <w:sz w:val="24"/>
          <w:szCs w:val="24"/>
          <w:lang w:val="en-GB"/>
        </w:rPr>
        <w:t>o</w:t>
      </w:r>
      <w:r w:rsidR="00C713BF" w:rsidRPr="00764F24">
        <w:rPr>
          <w:rFonts w:cstheme="minorHAnsi"/>
          <w:sz w:val="24"/>
          <w:szCs w:val="24"/>
          <w:lang w:val="en-GB"/>
        </w:rPr>
        <w:t>se in 2018 and 2019 but f</w:t>
      </w:r>
      <w:r w:rsidR="00CD7138" w:rsidRPr="00764F24">
        <w:rPr>
          <w:rFonts w:cstheme="minorHAnsi"/>
          <w:sz w:val="24"/>
          <w:szCs w:val="24"/>
          <w:lang w:val="en-GB"/>
        </w:rPr>
        <w:t>e</w:t>
      </w:r>
      <w:r w:rsidR="00C713BF" w:rsidRPr="00764F24">
        <w:rPr>
          <w:rFonts w:cstheme="minorHAnsi"/>
          <w:sz w:val="24"/>
          <w:szCs w:val="24"/>
          <w:lang w:val="en-GB"/>
        </w:rPr>
        <w:t xml:space="preserve">ll slightly by February 2020 </w:t>
      </w:r>
      <w:r w:rsidRPr="00764F24">
        <w:rPr>
          <w:rFonts w:cstheme="minorHAnsi"/>
          <w:sz w:val="24"/>
          <w:szCs w:val="24"/>
          <w:lang w:val="en-GB"/>
        </w:rPr>
        <w:t xml:space="preserve">(adjusted by </w:t>
      </w:r>
      <w:r w:rsidR="00AE6BDE" w:rsidRPr="00764F24">
        <w:rPr>
          <w:rFonts w:cstheme="minorHAnsi"/>
          <w:sz w:val="24"/>
          <w:szCs w:val="24"/>
          <w:lang w:val="en-GB"/>
        </w:rPr>
        <w:t xml:space="preserve">inflation – </w:t>
      </w:r>
      <w:r w:rsidRPr="00764F24">
        <w:rPr>
          <w:rFonts w:cstheme="minorHAnsi"/>
          <w:sz w:val="24"/>
          <w:szCs w:val="24"/>
          <w:lang w:val="en-GB"/>
        </w:rPr>
        <w:t>C</w:t>
      </w:r>
      <w:r w:rsidR="00AE6BDE" w:rsidRPr="00764F24">
        <w:rPr>
          <w:rFonts w:cstheme="minorHAnsi"/>
          <w:sz w:val="24"/>
          <w:szCs w:val="24"/>
          <w:lang w:val="en-GB"/>
        </w:rPr>
        <w:t xml:space="preserve">onsumer </w:t>
      </w:r>
      <w:r w:rsidRPr="00764F24">
        <w:rPr>
          <w:rFonts w:cstheme="minorHAnsi"/>
          <w:sz w:val="24"/>
          <w:szCs w:val="24"/>
          <w:lang w:val="en-GB"/>
        </w:rPr>
        <w:t>P</w:t>
      </w:r>
      <w:r w:rsidR="00AE6BDE" w:rsidRPr="00764F24">
        <w:rPr>
          <w:rFonts w:cstheme="minorHAnsi"/>
          <w:sz w:val="24"/>
          <w:szCs w:val="24"/>
          <w:lang w:val="en-GB"/>
        </w:rPr>
        <w:t xml:space="preserve">rices </w:t>
      </w:r>
      <w:r w:rsidRPr="00764F24">
        <w:rPr>
          <w:rFonts w:cstheme="minorHAnsi"/>
          <w:sz w:val="24"/>
          <w:szCs w:val="24"/>
          <w:lang w:val="en-GB"/>
        </w:rPr>
        <w:t>I</w:t>
      </w:r>
      <w:r w:rsidR="00AE6BDE" w:rsidRPr="00764F24">
        <w:rPr>
          <w:rFonts w:cstheme="minorHAnsi"/>
          <w:sz w:val="24"/>
          <w:szCs w:val="24"/>
          <w:lang w:val="en-GB"/>
        </w:rPr>
        <w:t>ndex</w:t>
      </w:r>
      <w:r w:rsidRPr="00764F24">
        <w:rPr>
          <w:rFonts w:cstheme="minorHAnsi"/>
          <w:sz w:val="24"/>
          <w:szCs w:val="24"/>
          <w:lang w:val="en-GB"/>
        </w:rPr>
        <w:t>)</w:t>
      </w:r>
      <w:r w:rsidR="001E0C53" w:rsidRPr="00764F24">
        <w:rPr>
          <w:rFonts w:cstheme="minorHAnsi"/>
          <w:sz w:val="24"/>
          <w:szCs w:val="24"/>
          <w:lang w:val="en-GB"/>
        </w:rPr>
        <w:t>.</w:t>
      </w:r>
      <w:r w:rsidR="00F03548" w:rsidRPr="00764F24">
        <w:rPr>
          <w:rFonts w:cstheme="minorHAnsi"/>
          <w:sz w:val="24"/>
          <w:szCs w:val="24"/>
          <w:lang w:val="en-GB"/>
        </w:rPr>
        <w:t xml:space="preserve"> Source: ONS</w:t>
      </w:r>
      <w:r w:rsidR="00F03548" w:rsidRPr="00764F24">
        <w:rPr>
          <w:rStyle w:val="FootnoteReference"/>
          <w:rFonts w:cstheme="minorHAnsi"/>
          <w:b w:val="0"/>
          <w:sz w:val="24"/>
          <w:szCs w:val="24"/>
          <w:lang w:val="en-GB"/>
        </w:rPr>
        <w:footnoteReference w:id="33"/>
      </w:r>
    </w:p>
    <w:p w14:paraId="7ED3CE72" w14:textId="77777777" w:rsidR="007E64E2" w:rsidRPr="00764F24" w:rsidRDefault="00F03548" w:rsidP="00C434EA">
      <w:pPr>
        <w:keepNext/>
        <w:spacing w:beforeAutospacing="1" w:after="100" w:afterAutospacing="1" w:line="360" w:lineRule="auto"/>
        <w:rPr>
          <w:rFonts w:cstheme="minorHAnsi"/>
          <w:szCs w:val="24"/>
          <w:lang w:val="en-GB"/>
        </w:rPr>
      </w:pPr>
      <w:r w:rsidRPr="00764F24">
        <w:rPr>
          <w:rFonts w:cstheme="minorHAnsi"/>
          <w:noProof/>
          <w:szCs w:val="24"/>
          <w:lang w:val="en-GB" w:eastAsia="en-GB" w:bidi="ar-SA"/>
        </w:rPr>
        <w:drawing>
          <wp:inline distT="0" distB="0" distL="0" distR="0" wp14:anchorId="13D6204B" wp14:editId="06E35F07">
            <wp:extent cx="5430741" cy="2250219"/>
            <wp:effectExtent l="0" t="0" r="17780" b="17145"/>
            <wp:docPr id="21" name="Chart 21" descr="Levels of real pay rose in 2018 and 2019 but fell slightly by February 2020.">
              <a:extLst xmlns:a="http://schemas.openxmlformats.org/drawingml/2006/main">
                <a:ext uri="{FF2B5EF4-FFF2-40B4-BE49-F238E27FC236}">
                  <a16:creationId xmlns:a16="http://schemas.microsoft.com/office/drawing/2014/main" id="{8E6D960D-B5E1-4A07-930E-0277A5AD59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04E0CD6" w14:textId="29B96372" w:rsidR="007E64E2" w:rsidRPr="00764F24" w:rsidRDefault="004E2969" w:rsidP="00D86B69">
      <w:pPr>
        <w:spacing w:beforeAutospacing="1" w:after="100" w:afterAutospacing="1" w:line="360" w:lineRule="auto"/>
        <w:rPr>
          <w:rFonts w:cstheme="minorHAnsi"/>
          <w:szCs w:val="24"/>
          <w:lang w:val="en-GB"/>
        </w:rPr>
      </w:pPr>
      <w:r w:rsidRPr="00764F24">
        <w:rPr>
          <w:rFonts w:cstheme="minorHAnsi"/>
          <w:szCs w:val="24"/>
          <w:lang w:val="en-GB"/>
        </w:rPr>
        <w:t xml:space="preserve">As figure 3.2 shows, there </w:t>
      </w:r>
      <w:r w:rsidR="00C713BF" w:rsidRPr="00764F24">
        <w:rPr>
          <w:rFonts w:cstheme="minorHAnsi"/>
          <w:szCs w:val="24"/>
          <w:lang w:val="en-GB"/>
        </w:rPr>
        <w:t>was a rise in poverty levels from 2010/11 to 2015/16 but there has</w:t>
      </w:r>
      <w:r w:rsidRPr="00764F24">
        <w:rPr>
          <w:rFonts w:cstheme="minorHAnsi"/>
          <w:szCs w:val="24"/>
          <w:lang w:val="en-GB"/>
        </w:rPr>
        <w:t xml:space="preserve"> been relatively little change </w:t>
      </w:r>
      <w:r w:rsidR="00C713BF" w:rsidRPr="00764F24">
        <w:rPr>
          <w:rFonts w:cstheme="minorHAnsi"/>
          <w:szCs w:val="24"/>
          <w:lang w:val="en-GB"/>
        </w:rPr>
        <w:t>since then</w:t>
      </w:r>
      <w:r w:rsidR="00BF7FBA" w:rsidRPr="00764F24">
        <w:rPr>
          <w:rFonts w:cstheme="minorHAnsi"/>
          <w:szCs w:val="24"/>
          <w:lang w:val="en-GB"/>
        </w:rPr>
        <w:t xml:space="preserve">. </w:t>
      </w:r>
      <w:r w:rsidRPr="00764F24">
        <w:rPr>
          <w:rFonts w:cstheme="minorHAnsi"/>
          <w:szCs w:val="24"/>
          <w:lang w:val="en-GB"/>
        </w:rPr>
        <w:t>According to the Joseph Rowntree Foundation</w:t>
      </w:r>
      <w:r w:rsidR="0000347B">
        <w:rPr>
          <w:rFonts w:cstheme="minorHAnsi"/>
          <w:szCs w:val="24"/>
          <w:lang w:val="en-GB"/>
        </w:rPr>
        <w:t>,</w:t>
      </w:r>
      <w:r w:rsidR="00BC24C6" w:rsidRPr="00764F24">
        <w:rPr>
          <w:rFonts w:cstheme="minorHAnsi"/>
          <w:szCs w:val="24"/>
          <w:lang w:val="en-GB"/>
        </w:rPr>
        <w:t xml:space="preserve"> p</w:t>
      </w:r>
      <w:r w:rsidRPr="00764F24">
        <w:rPr>
          <w:rFonts w:cstheme="minorHAnsi"/>
          <w:szCs w:val="24"/>
          <w:lang w:val="en-GB"/>
        </w:rPr>
        <w:t xml:space="preserve">overty (after housing costs) </w:t>
      </w:r>
      <w:r w:rsidR="00BC24C6" w:rsidRPr="00764F24">
        <w:rPr>
          <w:rFonts w:cstheme="minorHAnsi"/>
          <w:szCs w:val="24"/>
          <w:lang w:val="en-GB"/>
        </w:rPr>
        <w:t xml:space="preserve">has fallen slightly in the last year </w:t>
      </w:r>
      <w:r w:rsidRPr="00764F24">
        <w:rPr>
          <w:rFonts w:cstheme="minorHAnsi"/>
          <w:szCs w:val="24"/>
          <w:lang w:val="en-GB"/>
        </w:rPr>
        <w:t xml:space="preserve">because of three housing-related factors: social sector rents in England were reduced by </w:t>
      </w:r>
      <w:r w:rsidR="00A7794E" w:rsidRPr="00764F24">
        <w:rPr>
          <w:rFonts w:cstheme="minorHAnsi"/>
          <w:szCs w:val="24"/>
          <w:lang w:val="en-GB"/>
        </w:rPr>
        <w:t>one</w:t>
      </w:r>
      <w:r w:rsidR="00A7794E" w:rsidRPr="00764F24">
        <w:rPr>
          <w:rFonts w:eastAsiaTheme="majorEastAsia" w:cstheme="minorHAnsi"/>
          <w:bCs/>
          <w:kern w:val="32"/>
          <w:szCs w:val="24"/>
          <w:lang w:val="en-GB"/>
        </w:rPr>
        <w:t xml:space="preserve"> per cent</w:t>
      </w:r>
      <w:r w:rsidRPr="00764F24">
        <w:rPr>
          <w:rFonts w:cstheme="minorHAnsi"/>
          <w:szCs w:val="24"/>
          <w:lang w:val="en-GB"/>
        </w:rPr>
        <w:t>; the proportion of homes being bought with a mortgage (which often have lower housing costs than renting) increased slightly, while the proportion being privately rented fell; and actual private rents fell in some areas</w:t>
      </w:r>
      <w:r w:rsidRPr="00764F24">
        <w:rPr>
          <w:rStyle w:val="FootnoteReference"/>
          <w:rFonts w:cstheme="minorHAnsi"/>
          <w:szCs w:val="24"/>
          <w:lang w:val="en-GB"/>
        </w:rPr>
        <w:footnoteReference w:id="34"/>
      </w:r>
      <w:r w:rsidRPr="00764F24">
        <w:rPr>
          <w:rFonts w:cstheme="minorHAnsi"/>
          <w:szCs w:val="24"/>
          <w:lang w:val="en-GB"/>
        </w:rPr>
        <w:t>.</w:t>
      </w:r>
    </w:p>
    <w:p w14:paraId="5D7EFC3F" w14:textId="19FB603F" w:rsidR="00F03548" w:rsidRPr="00764F24" w:rsidRDefault="00F03548"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3.2</w:t>
      </w:r>
      <w:r w:rsidR="001E0C53" w:rsidRPr="00764F24">
        <w:rPr>
          <w:rFonts w:cstheme="minorHAnsi"/>
          <w:sz w:val="24"/>
          <w:szCs w:val="24"/>
          <w:lang w:val="en-GB"/>
        </w:rPr>
        <w:t>.</w:t>
      </w:r>
      <w:r w:rsidR="0000347B">
        <w:rPr>
          <w:rFonts w:cstheme="minorHAnsi"/>
          <w:sz w:val="24"/>
          <w:szCs w:val="24"/>
          <w:lang w:val="en-GB"/>
        </w:rPr>
        <w:t xml:space="preserve"> </w:t>
      </w:r>
      <w:r w:rsidR="00C713BF" w:rsidRPr="00764F24">
        <w:rPr>
          <w:rFonts w:cstheme="minorHAnsi"/>
          <w:sz w:val="24"/>
          <w:szCs w:val="24"/>
          <w:lang w:val="en-GB"/>
        </w:rPr>
        <w:t>Relative p</w:t>
      </w:r>
      <w:r w:rsidR="009B70EF" w:rsidRPr="00764F24">
        <w:rPr>
          <w:rFonts w:cstheme="minorHAnsi"/>
          <w:sz w:val="24"/>
          <w:szCs w:val="24"/>
          <w:lang w:val="en-GB"/>
        </w:rPr>
        <w:t xml:space="preserve">overty levels </w:t>
      </w:r>
      <w:r w:rsidR="00C713BF" w:rsidRPr="00764F24">
        <w:rPr>
          <w:rFonts w:cstheme="minorHAnsi"/>
          <w:sz w:val="24"/>
          <w:szCs w:val="24"/>
          <w:lang w:val="en-GB"/>
        </w:rPr>
        <w:t>change</w:t>
      </w:r>
      <w:r w:rsidR="00C434EA">
        <w:rPr>
          <w:rFonts w:cstheme="minorHAnsi"/>
          <w:sz w:val="24"/>
          <w:szCs w:val="24"/>
          <w:lang w:val="en-GB"/>
        </w:rPr>
        <w:t>d</w:t>
      </w:r>
      <w:r w:rsidR="00C713BF" w:rsidRPr="00764F24">
        <w:rPr>
          <w:rFonts w:cstheme="minorHAnsi"/>
          <w:sz w:val="24"/>
          <w:szCs w:val="24"/>
          <w:lang w:val="en-GB"/>
        </w:rPr>
        <w:t xml:space="preserve"> little since 2015/16 after rising from 2010/11 </w:t>
      </w:r>
      <w:r w:rsidR="009B70EF" w:rsidRPr="00764F24">
        <w:rPr>
          <w:rFonts w:cstheme="minorHAnsi"/>
          <w:sz w:val="24"/>
          <w:szCs w:val="24"/>
          <w:lang w:val="en-GB"/>
        </w:rPr>
        <w:t>(incomes below 60</w:t>
      </w:r>
      <w:r w:rsidR="00125F43" w:rsidRPr="00764F24">
        <w:rPr>
          <w:rFonts w:cstheme="minorHAnsi"/>
          <w:sz w:val="24"/>
          <w:szCs w:val="24"/>
          <w:lang w:val="en-GB"/>
        </w:rPr>
        <w:t xml:space="preserve"> per cent</w:t>
      </w:r>
      <w:r w:rsidR="009B70EF" w:rsidRPr="00764F24">
        <w:rPr>
          <w:rFonts w:cstheme="minorHAnsi"/>
          <w:sz w:val="24"/>
          <w:szCs w:val="24"/>
          <w:lang w:val="en-GB"/>
        </w:rPr>
        <w:t xml:space="preserve"> median </w:t>
      </w:r>
      <w:r w:rsidRPr="00764F24">
        <w:rPr>
          <w:rFonts w:cstheme="minorHAnsi"/>
          <w:sz w:val="24"/>
          <w:szCs w:val="24"/>
          <w:lang w:val="en-GB"/>
        </w:rPr>
        <w:t>AHC)</w:t>
      </w:r>
      <w:r w:rsidR="001E0C53" w:rsidRPr="00764F24">
        <w:rPr>
          <w:rFonts w:cstheme="minorHAnsi"/>
          <w:sz w:val="24"/>
          <w:szCs w:val="24"/>
          <w:lang w:val="en-GB"/>
        </w:rPr>
        <w:t>.</w:t>
      </w:r>
      <w:r w:rsidR="009B70EF" w:rsidRPr="00764F24">
        <w:rPr>
          <w:rFonts w:cstheme="minorHAnsi"/>
          <w:sz w:val="24"/>
          <w:szCs w:val="24"/>
          <w:lang w:val="en-GB"/>
        </w:rPr>
        <w:t xml:space="preserve"> Source: IFS</w:t>
      </w:r>
      <w:r w:rsidR="009B70EF" w:rsidRPr="00764F24">
        <w:rPr>
          <w:rStyle w:val="FootnoteReference"/>
          <w:rFonts w:cstheme="minorHAnsi"/>
          <w:b w:val="0"/>
          <w:sz w:val="24"/>
          <w:szCs w:val="24"/>
          <w:lang w:val="en-GB"/>
        </w:rPr>
        <w:footnoteReference w:id="35"/>
      </w:r>
    </w:p>
    <w:p w14:paraId="028BB28F" w14:textId="77777777" w:rsidR="007E64E2" w:rsidRPr="00764F24" w:rsidRDefault="00F03548" w:rsidP="00D86B69">
      <w:pPr>
        <w:keepNext/>
        <w:spacing w:beforeAutospacing="1" w:after="100" w:afterAutospacing="1" w:line="360" w:lineRule="auto"/>
        <w:rPr>
          <w:rFonts w:cstheme="minorHAnsi"/>
          <w:szCs w:val="24"/>
          <w:lang w:val="en-GB"/>
        </w:rPr>
      </w:pPr>
      <w:r w:rsidRPr="00764F24">
        <w:rPr>
          <w:rFonts w:cstheme="minorHAnsi"/>
          <w:noProof/>
          <w:szCs w:val="24"/>
          <w:lang w:val="en-GB" w:eastAsia="en-GB" w:bidi="ar-SA"/>
        </w:rPr>
        <w:drawing>
          <wp:inline distT="0" distB="0" distL="0" distR="0" wp14:anchorId="58F21AC3" wp14:editId="3ED1CF59">
            <wp:extent cx="4838700" cy="2609850"/>
            <wp:effectExtent l="0" t="0" r="0" b="0"/>
            <wp:docPr id="24" name="Chart 24" descr="Relative poverty levels changed little since 2015/16 after rising from 2010/11.">
              <a:extLst xmlns:a="http://schemas.openxmlformats.org/drawingml/2006/main">
                <a:ext uri="{FF2B5EF4-FFF2-40B4-BE49-F238E27FC236}">
                  <a16:creationId xmlns:a16="http://schemas.microsoft.com/office/drawing/2014/main" id="{DA156FCB-95F3-443C-8C69-BB03A21262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7A74496" w14:textId="3FAFF18A" w:rsidR="007E64E2" w:rsidRPr="00764F24" w:rsidRDefault="00BC24C6" w:rsidP="00D86B69">
      <w:pPr>
        <w:spacing w:beforeAutospacing="1" w:after="100" w:afterAutospacing="1" w:line="360" w:lineRule="auto"/>
        <w:rPr>
          <w:rFonts w:cstheme="minorHAnsi"/>
          <w:szCs w:val="24"/>
          <w:lang w:val="en-GB"/>
        </w:rPr>
      </w:pPr>
      <w:r w:rsidRPr="00764F24">
        <w:rPr>
          <w:rFonts w:cstheme="minorHAnsi"/>
          <w:szCs w:val="24"/>
          <w:lang w:val="en-GB"/>
        </w:rPr>
        <w:t xml:space="preserve">The trends </w:t>
      </w:r>
      <w:r w:rsidR="0000347B">
        <w:rPr>
          <w:rFonts w:cstheme="minorHAnsi"/>
          <w:szCs w:val="24"/>
          <w:lang w:val="en-GB"/>
        </w:rPr>
        <w:t xml:space="preserve">therefore </w:t>
      </w:r>
      <w:r w:rsidRPr="00764F24">
        <w:rPr>
          <w:rFonts w:cstheme="minorHAnsi"/>
          <w:szCs w:val="24"/>
          <w:lang w:val="en-GB"/>
        </w:rPr>
        <w:t xml:space="preserve">show little change in the proportion of people experiencing poverty </w:t>
      </w:r>
      <w:r w:rsidR="0000347B">
        <w:rPr>
          <w:rFonts w:cstheme="minorHAnsi"/>
          <w:szCs w:val="24"/>
          <w:lang w:val="en-GB"/>
        </w:rPr>
        <w:t xml:space="preserve">between 2017/18 and 2018/19 </w:t>
      </w:r>
      <w:r w:rsidRPr="00764F24">
        <w:rPr>
          <w:rFonts w:cstheme="minorHAnsi"/>
          <w:szCs w:val="24"/>
          <w:lang w:val="en-GB"/>
        </w:rPr>
        <w:t>but the absolute numbers are still stark</w:t>
      </w:r>
      <w:r w:rsidR="00BF7FBA" w:rsidRPr="00764F24">
        <w:rPr>
          <w:rFonts w:cstheme="minorHAnsi"/>
          <w:szCs w:val="24"/>
          <w:lang w:val="en-GB"/>
        </w:rPr>
        <w:t xml:space="preserve">. </w:t>
      </w:r>
      <w:r w:rsidR="003740EE" w:rsidRPr="00764F24">
        <w:rPr>
          <w:rFonts w:cstheme="minorHAnsi"/>
          <w:szCs w:val="24"/>
          <w:lang w:val="en-GB"/>
        </w:rPr>
        <w:t>According to the Joseph Rowntree Foundation</w:t>
      </w:r>
      <w:r w:rsidR="00151FFC" w:rsidRPr="00764F24">
        <w:rPr>
          <w:rFonts w:cstheme="minorHAnsi"/>
          <w:szCs w:val="24"/>
          <w:lang w:val="en-GB"/>
        </w:rPr>
        <w:t xml:space="preserve">, </w:t>
      </w:r>
      <w:r w:rsidR="003740EE" w:rsidRPr="00764F24">
        <w:rPr>
          <w:rFonts w:cstheme="minorHAnsi"/>
          <w:szCs w:val="24"/>
          <w:lang w:val="en-GB"/>
        </w:rPr>
        <w:t>a</w:t>
      </w:r>
      <w:r w:rsidR="00151FFC" w:rsidRPr="00764F24">
        <w:rPr>
          <w:rFonts w:cstheme="minorHAnsi"/>
          <w:szCs w:val="24"/>
          <w:lang w:val="en-GB"/>
        </w:rPr>
        <w:t>round 14 million people we</w:t>
      </w:r>
      <w:r w:rsidR="003740EE" w:rsidRPr="00764F24">
        <w:rPr>
          <w:rFonts w:cstheme="minorHAnsi"/>
          <w:szCs w:val="24"/>
          <w:lang w:val="en-GB"/>
        </w:rPr>
        <w:t xml:space="preserve">re in poverty in the UK (more than one in five of the population) </w:t>
      </w:r>
      <w:r w:rsidR="0000347B">
        <w:rPr>
          <w:rFonts w:cstheme="minorHAnsi"/>
          <w:szCs w:val="24"/>
          <w:lang w:val="en-GB"/>
        </w:rPr>
        <w:t>in</w:t>
      </w:r>
      <w:r w:rsidR="0000347B" w:rsidRPr="00764F24">
        <w:rPr>
          <w:rFonts w:cstheme="minorHAnsi"/>
          <w:szCs w:val="24"/>
          <w:lang w:val="en-GB"/>
        </w:rPr>
        <w:t xml:space="preserve"> 2017/18</w:t>
      </w:r>
      <w:r w:rsidR="0000347B" w:rsidRPr="00764F24">
        <w:rPr>
          <w:rStyle w:val="FootnoteReference"/>
          <w:rFonts w:cstheme="minorHAnsi"/>
          <w:szCs w:val="24"/>
          <w:lang w:val="en-GB"/>
        </w:rPr>
        <w:footnoteReference w:id="36"/>
      </w:r>
      <w:r w:rsidR="0000347B" w:rsidRPr="00764F24">
        <w:rPr>
          <w:rFonts w:cstheme="minorHAnsi"/>
          <w:szCs w:val="24"/>
          <w:lang w:val="en-GB"/>
        </w:rPr>
        <w:t xml:space="preserve">, </w:t>
      </w:r>
      <w:r w:rsidR="003740EE" w:rsidRPr="00764F24">
        <w:rPr>
          <w:rFonts w:cstheme="minorHAnsi"/>
          <w:szCs w:val="24"/>
          <w:lang w:val="en-GB"/>
        </w:rPr>
        <w:t>made up of 8 million working-age adults, 4 million children and 2 million pensioners</w:t>
      </w:r>
      <w:r w:rsidR="00BF7FBA" w:rsidRPr="00764F24">
        <w:rPr>
          <w:rFonts w:cstheme="minorHAnsi"/>
          <w:szCs w:val="24"/>
          <w:lang w:val="en-GB"/>
        </w:rPr>
        <w:t xml:space="preserve">. </w:t>
      </w:r>
      <w:r w:rsidRPr="00764F24">
        <w:rPr>
          <w:rFonts w:cstheme="minorHAnsi"/>
          <w:szCs w:val="24"/>
          <w:lang w:val="en-GB"/>
        </w:rPr>
        <w:t>O</w:t>
      </w:r>
      <w:r w:rsidR="003740EE" w:rsidRPr="00764F24">
        <w:rPr>
          <w:rFonts w:cstheme="minorHAnsi"/>
          <w:szCs w:val="24"/>
          <w:lang w:val="en-GB"/>
        </w:rPr>
        <w:t>ver the last five years, poverty rates have risen for children and pensioners</w:t>
      </w:r>
      <w:r w:rsidR="00BF7FBA" w:rsidRPr="00764F24">
        <w:rPr>
          <w:rFonts w:cstheme="minorHAnsi"/>
          <w:szCs w:val="24"/>
          <w:lang w:val="en-GB"/>
        </w:rPr>
        <w:t xml:space="preserve">. </w:t>
      </w:r>
      <w:r w:rsidR="003740EE" w:rsidRPr="00764F24">
        <w:rPr>
          <w:rFonts w:cstheme="minorHAnsi"/>
          <w:szCs w:val="24"/>
          <w:lang w:val="en-GB"/>
        </w:rPr>
        <w:t>In-work poverty has also risen, because workers’ pay, hours, or both, are not enough to avoid poverty. A</w:t>
      </w:r>
      <w:r w:rsidR="00151FFC" w:rsidRPr="00764F24">
        <w:rPr>
          <w:rFonts w:cstheme="minorHAnsi"/>
          <w:szCs w:val="24"/>
          <w:lang w:val="en-GB"/>
        </w:rPr>
        <w:t>round 56</w:t>
      </w:r>
      <w:r w:rsidR="00125F43" w:rsidRPr="00764F24">
        <w:rPr>
          <w:rFonts w:eastAsiaTheme="majorEastAsia" w:cstheme="minorHAnsi"/>
          <w:bCs/>
          <w:kern w:val="32"/>
          <w:szCs w:val="24"/>
          <w:lang w:val="en-GB"/>
        </w:rPr>
        <w:t xml:space="preserve"> per cent</w:t>
      </w:r>
      <w:r w:rsidR="00151FFC" w:rsidRPr="00764F24">
        <w:rPr>
          <w:rFonts w:cstheme="minorHAnsi"/>
          <w:szCs w:val="24"/>
          <w:lang w:val="en-GB"/>
        </w:rPr>
        <w:t xml:space="preserve"> of people in poverty we</w:t>
      </w:r>
      <w:r w:rsidR="003740EE" w:rsidRPr="00764F24">
        <w:rPr>
          <w:rFonts w:cstheme="minorHAnsi"/>
          <w:szCs w:val="24"/>
          <w:lang w:val="en-GB"/>
        </w:rPr>
        <w:t>re in a working family, compared with 39</w:t>
      </w:r>
      <w:r w:rsidR="00125F43" w:rsidRPr="00764F24">
        <w:rPr>
          <w:rFonts w:eastAsiaTheme="majorEastAsia" w:cstheme="minorHAnsi"/>
          <w:bCs/>
          <w:kern w:val="32"/>
          <w:szCs w:val="24"/>
          <w:lang w:val="en-GB"/>
        </w:rPr>
        <w:t xml:space="preserve"> per cent</w:t>
      </w:r>
      <w:r w:rsidR="003740EE" w:rsidRPr="00764F24">
        <w:rPr>
          <w:rFonts w:cstheme="minorHAnsi"/>
          <w:szCs w:val="24"/>
          <w:lang w:val="en-GB"/>
        </w:rPr>
        <w:t xml:space="preserve"> 20 years ago. Poverty rat</w:t>
      </w:r>
      <w:r w:rsidR="00151FFC" w:rsidRPr="00764F24">
        <w:rPr>
          <w:rFonts w:cstheme="minorHAnsi"/>
          <w:szCs w:val="24"/>
          <w:lang w:val="en-GB"/>
        </w:rPr>
        <w:t>es we</w:t>
      </w:r>
      <w:r w:rsidR="003740EE" w:rsidRPr="00764F24">
        <w:rPr>
          <w:rFonts w:cstheme="minorHAnsi"/>
          <w:szCs w:val="24"/>
          <w:lang w:val="en-GB"/>
        </w:rPr>
        <w:t xml:space="preserve">re highest in London, the North of England, Midlands and Wales, and lowest in the South (excluding London), Scotland and Northern Ireland. </w:t>
      </w:r>
    </w:p>
    <w:p w14:paraId="67C8E7BC" w14:textId="1B8A528F" w:rsidR="007E64E2" w:rsidRPr="00764F24" w:rsidRDefault="003F7DA3" w:rsidP="00D86B69">
      <w:pPr>
        <w:spacing w:beforeAutospacing="1" w:after="100" w:afterAutospacing="1" w:line="360" w:lineRule="auto"/>
        <w:rPr>
          <w:rFonts w:cstheme="minorHAnsi"/>
          <w:szCs w:val="24"/>
          <w:lang w:val="en-GB"/>
        </w:rPr>
      </w:pPr>
      <w:r w:rsidRPr="00764F24">
        <w:rPr>
          <w:rFonts w:cstheme="minorHAnsi"/>
          <w:szCs w:val="24"/>
          <w:lang w:val="en-GB"/>
        </w:rPr>
        <w:t>Th</w:t>
      </w:r>
      <w:r w:rsidR="00BF7FBA" w:rsidRPr="00764F24">
        <w:rPr>
          <w:rFonts w:cstheme="minorHAnsi"/>
          <w:szCs w:val="24"/>
          <w:lang w:val="en-GB"/>
        </w:rPr>
        <w:t>is</w:t>
      </w:r>
      <w:r w:rsidR="00151FFC" w:rsidRPr="00764F24">
        <w:rPr>
          <w:rFonts w:cstheme="minorHAnsi"/>
          <w:szCs w:val="24"/>
          <w:lang w:val="en-GB"/>
        </w:rPr>
        <w:t xml:space="preserve"> data predate</w:t>
      </w:r>
      <w:r w:rsidR="00BF7FBA" w:rsidRPr="00764F24">
        <w:rPr>
          <w:rFonts w:cstheme="minorHAnsi"/>
          <w:szCs w:val="24"/>
          <w:lang w:val="en-GB"/>
        </w:rPr>
        <w:t>s</w:t>
      </w:r>
      <w:r w:rsidR="00A12E5C" w:rsidRPr="00764F24">
        <w:rPr>
          <w:rFonts w:cstheme="minorHAnsi"/>
          <w:szCs w:val="24"/>
          <w:lang w:val="en-GB"/>
        </w:rPr>
        <w:t xml:space="preserve"> COVID-19</w:t>
      </w:r>
      <w:r w:rsidR="00151FFC" w:rsidRPr="00764F24">
        <w:rPr>
          <w:rFonts w:cstheme="minorHAnsi"/>
          <w:szCs w:val="24"/>
          <w:lang w:val="en-GB"/>
        </w:rPr>
        <w:t xml:space="preserve"> by two years so cannot tell us about poverty levels now</w:t>
      </w:r>
      <w:r w:rsidR="00BF7FBA" w:rsidRPr="00764F24">
        <w:rPr>
          <w:rFonts w:cstheme="minorHAnsi"/>
          <w:szCs w:val="24"/>
          <w:lang w:val="en-GB"/>
        </w:rPr>
        <w:t xml:space="preserve">. </w:t>
      </w:r>
      <w:r w:rsidR="00151FFC" w:rsidRPr="00764F24">
        <w:rPr>
          <w:rFonts w:cstheme="minorHAnsi"/>
          <w:szCs w:val="24"/>
          <w:lang w:val="en-GB"/>
        </w:rPr>
        <w:t>However, the</w:t>
      </w:r>
      <w:r w:rsidRPr="00764F24">
        <w:rPr>
          <w:rFonts w:cstheme="minorHAnsi"/>
          <w:szCs w:val="24"/>
          <w:lang w:val="en-GB"/>
        </w:rPr>
        <w:t xml:space="preserve"> government’s lockdown policy has </w:t>
      </w:r>
      <w:r w:rsidR="00151FFC" w:rsidRPr="00764F24">
        <w:rPr>
          <w:rFonts w:cstheme="minorHAnsi"/>
          <w:szCs w:val="24"/>
          <w:lang w:val="en-GB"/>
        </w:rPr>
        <w:t xml:space="preserve">clearly </w:t>
      </w:r>
      <w:r w:rsidRPr="00764F24">
        <w:rPr>
          <w:rFonts w:cstheme="minorHAnsi"/>
          <w:szCs w:val="24"/>
          <w:lang w:val="en-GB"/>
        </w:rPr>
        <w:t>had a major impact on the e</w:t>
      </w:r>
      <w:r w:rsidR="00151FFC" w:rsidRPr="00764F24">
        <w:rPr>
          <w:rFonts w:cstheme="minorHAnsi"/>
          <w:szCs w:val="24"/>
          <w:lang w:val="en-GB"/>
        </w:rPr>
        <w:t>conomy and household finances. At the same time, the government</w:t>
      </w:r>
      <w:r w:rsidRPr="00764F24">
        <w:rPr>
          <w:rFonts w:cstheme="minorHAnsi"/>
          <w:szCs w:val="24"/>
          <w:lang w:val="en-GB"/>
        </w:rPr>
        <w:t xml:space="preserve"> has also introduced a series of unprecedented measures to protect incomes and businesses. However, these schemes have not protected all households against economic shock and many households are now facing a very challenging financial situation. </w:t>
      </w:r>
    </w:p>
    <w:p w14:paraId="3BD752D7" w14:textId="0EC174C0" w:rsidR="007E64E2" w:rsidRPr="00764F24" w:rsidRDefault="003F7DA3" w:rsidP="00D86B69">
      <w:pPr>
        <w:spacing w:beforeAutospacing="1" w:after="100" w:afterAutospacing="1" w:line="360" w:lineRule="auto"/>
        <w:rPr>
          <w:rFonts w:cstheme="minorHAnsi"/>
          <w:szCs w:val="24"/>
          <w:lang w:val="en-GB"/>
        </w:rPr>
      </w:pPr>
      <w:r w:rsidRPr="00764F24">
        <w:rPr>
          <w:rFonts w:cstheme="minorHAnsi"/>
          <w:szCs w:val="24"/>
          <w:lang w:val="en-GB"/>
        </w:rPr>
        <w:lastRenderedPageBreak/>
        <w:t xml:space="preserve">According to a national survey by StepChange </w:t>
      </w:r>
      <w:r w:rsidR="00151FFC" w:rsidRPr="00764F24">
        <w:rPr>
          <w:rFonts w:cstheme="minorHAnsi"/>
          <w:szCs w:val="24"/>
          <w:lang w:val="en-GB"/>
        </w:rPr>
        <w:t xml:space="preserve">Debt Charity </w:t>
      </w:r>
      <w:r w:rsidRPr="00764F24">
        <w:rPr>
          <w:rFonts w:cstheme="minorHAnsi"/>
          <w:szCs w:val="24"/>
          <w:lang w:val="en-GB"/>
        </w:rPr>
        <w:t>carried out at the end of May</w:t>
      </w:r>
      <w:r w:rsidR="0000347B">
        <w:rPr>
          <w:rFonts w:cstheme="minorHAnsi"/>
          <w:szCs w:val="24"/>
          <w:lang w:val="en-GB"/>
        </w:rPr>
        <w:t xml:space="preserve"> 2020</w:t>
      </w:r>
      <w:r w:rsidRPr="00764F24">
        <w:rPr>
          <w:rStyle w:val="FootnoteReference"/>
          <w:rFonts w:cstheme="minorHAnsi"/>
          <w:szCs w:val="24"/>
          <w:lang w:val="en-GB"/>
        </w:rPr>
        <w:footnoteReference w:id="37"/>
      </w:r>
      <w:r w:rsidRPr="00764F24">
        <w:rPr>
          <w:rFonts w:cstheme="minorHAnsi"/>
          <w:szCs w:val="24"/>
          <w:lang w:val="en-GB"/>
        </w:rPr>
        <w:t>, two months after the lockdown period began, 28</w:t>
      </w:r>
      <w:r w:rsidR="00125F43" w:rsidRPr="00764F24">
        <w:rPr>
          <w:rFonts w:eastAsiaTheme="majorEastAsia" w:cstheme="minorHAnsi"/>
          <w:bCs/>
          <w:kern w:val="32"/>
          <w:szCs w:val="24"/>
          <w:lang w:val="en-GB"/>
        </w:rPr>
        <w:t xml:space="preserve"> per cent</w:t>
      </w:r>
      <w:r w:rsidRPr="00764F24">
        <w:rPr>
          <w:rFonts w:cstheme="minorHAnsi"/>
          <w:szCs w:val="24"/>
          <w:lang w:val="en-GB"/>
        </w:rPr>
        <w:t xml:space="preserve"> of adults, or 14 million people, had experienced a direct negative effect on their income</w:t>
      </w:r>
      <w:r w:rsidR="00BF7FBA" w:rsidRPr="00764F24">
        <w:rPr>
          <w:rFonts w:cstheme="minorHAnsi"/>
          <w:szCs w:val="24"/>
          <w:lang w:val="en-GB"/>
        </w:rPr>
        <w:t xml:space="preserve">. </w:t>
      </w:r>
      <w:r w:rsidRPr="00764F24">
        <w:rPr>
          <w:rFonts w:cstheme="minorHAnsi"/>
          <w:szCs w:val="24"/>
          <w:lang w:val="en-GB"/>
        </w:rPr>
        <w:t>We might expect that the vast majority of these people would be in the lowest income groups but the Resolution Foundation’s research</w:t>
      </w:r>
      <w:r w:rsidRPr="00764F24">
        <w:rPr>
          <w:rStyle w:val="FootnoteReference"/>
          <w:rFonts w:cstheme="minorHAnsi"/>
          <w:szCs w:val="24"/>
          <w:lang w:val="en-GB"/>
        </w:rPr>
        <w:footnoteReference w:id="38"/>
      </w:r>
      <w:r w:rsidRPr="00764F24">
        <w:rPr>
          <w:rFonts w:cstheme="minorHAnsi"/>
          <w:szCs w:val="24"/>
          <w:lang w:val="en-GB"/>
        </w:rPr>
        <w:t xml:space="preserve"> has found that </w:t>
      </w:r>
      <w:r w:rsidR="0000347B">
        <w:rPr>
          <w:rFonts w:cstheme="minorHAnsi"/>
          <w:szCs w:val="24"/>
          <w:lang w:val="en-GB"/>
        </w:rPr>
        <w:t>people</w:t>
      </w:r>
      <w:r w:rsidRPr="00764F24">
        <w:rPr>
          <w:rFonts w:cstheme="minorHAnsi"/>
          <w:szCs w:val="24"/>
          <w:lang w:val="en-GB"/>
        </w:rPr>
        <w:t xml:space="preserve"> have </w:t>
      </w:r>
      <w:r w:rsidR="0000347B">
        <w:rPr>
          <w:rFonts w:cstheme="minorHAnsi"/>
          <w:szCs w:val="24"/>
          <w:lang w:val="en-GB"/>
        </w:rPr>
        <w:t>been</w:t>
      </w:r>
      <w:r w:rsidRPr="00764F24">
        <w:rPr>
          <w:rFonts w:cstheme="minorHAnsi"/>
          <w:szCs w:val="24"/>
          <w:lang w:val="en-GB"/>
        </w:rPr>
        <w:t xml:space="preserve"> affected throughout the income distribution by relatively similar amounts</w:t>
      </w:r>
      <w:r w:rsidR="00BF7FBA" w:rsidRPr="00764F24">
        <w:rPr>
          <w:rFonts w:cstheme="minorHAnsi"/>
          <w:szCs w:val="24"/>
          <w:lang w:val="en-GB"/>
        </w:rPr>
        <w:t xml:space="preserve">. </w:t>
      </w:r>
      <w:r w:rsidRPr="00764F24">
        <w:rPr>
          <w:rFonts w:cstheme="minorHAnsi"/>
          <w:szCs w:val="24"/>
          <w:lang w:val="en-GB"/>
        </w:rPr>
        <w:t>For example, 37 per cent of adults in the bottom 40 per cent of working-age incomes reported income falls since the outbreak began, compared to 35 per cent of adults in the top 40 per cent of incomes</w:t>
      </w:r>
      <w:r w:rsidR="00BF7FBA" w:rsidRPr="00764F24">
        <w:rPr>
          <w:rFonts w:cstheme="minorHAnsi"/>
          <w:szCs w:val="24"/>
          <w:lang w:val="en-GB"/>
        </w:rPr>
        <w:t xml:space="preserve">. </w:t>
      </w:r>
    </w:p>
    <w:p w14:paraId="4AA75BFE" w14:textId="375854BA" w:rsidR="007E64E2" w:rsidRPr="00764F24" w:rsidRDefault="003F7DA3" w:rsidP="00D86B69">
      <w:pPr>
        <w:spacing w:beforeAutospacing="1" w:after="100" w:afterAutospacing="1" w:line="360" w:lineRule="auto"/>
        <w:rPr>
          <w:rFonts w:cstheme="minorHAnsi"/>
          <w:szCs w:val="24"/>
          <w:lang w:val="en-GB"/>
        </w:rPr>
      </w:pPr>
      <w:r w:rsidRPr="00764F24">
        <w:rPr>
          <w:rFonts w:cstheme="minorHAnsi"/>
          <w:szCs w:val="24"/>
          <w:lang w:val="en-GB"/>
        </w:rPr>
        <w:t>The fact that the difference between these two groups is not as large as we might expect could be explained by the fact that lower earning individuals are actually quite spread across household income quintiles (as low-earners may be living with higher earners); that many on the lowest incomes were not actually in work when the crisis began and so not exposed to the labour market shock; and that the social security system has played an important role in cushioning job loss and earnings falls at the bottom</w:t>
      </w:r>
      <w:r w:rsidR="00BF7FBA" w:rsidRPr="00764F24">
        <w:rPr>
          <w:rFonts w:cstheme="minorHAnsi"/>
          <w:szCs w:val="24"/>
          <w:lang w:val="en-GB"/>
        </w:rPr>
        <w:t xml:space="preserve">. </w:t>
      </w:r>
      <w:r w:rsidR="0000347B">
        <w:rPr>
          <w:rFonts w:cstheme="minorHAnsi"/>
          <w:szCs w:val="24"/>
          <w:lang w:val="en-GB"/>
        </w:rPr>
        <w:t>And while there has been an impact across the incomes distribution, t</w:t>
      </w:r>
      <w:r w:rsidRPr="00764F24">
        <w:rPr>
          <w:rFonts w:cstheme="minorHAnsi"/>
          <w:szCs w:val="24"/>
          <w:lang w:val="en-GB"/>
        </w:rPr>
        <w:t>hose on lower incomes have less to lose, of course so a drop in income for this group may be much harder to manage than for those on higher household incomes.</w:t>
      </w:r>
    </w:p>
    <w:p w14:paraId="1E5CE2A1" w14:textId="7E1BF9AE" w:rsidR="007E64E2" w:rsidRPr="00764F24" w:rsidRDefault="003F7DA3" w:rsidP="00D86B69">
      <w:pPr>
        <w:spacing w:beforeAutospacing="1" w:after="100" w:afterAutospacing="1" w:line="360" w:lineRule="auto"/>
        <w:rPr>
          <w:rFonts w:cstheme="minorHAnsi"/>
          <w:szCs w:val="24"/>
          <w:lang w:val="en-GB"/>
        </w:rPr>
      </w:pPr>
      <w:r w:rsidRPr="00764F24">
        <w:rPr>
          <w:rFonts w:cstheme="minorHAnsi"/>
          <w:szCs w:val="24"/>
          <w:lang w:val="en-GB"/>
        </w:rPr>
        <w:t>While the picture in terms of income is perhaps a little unexpected, changes in spending</w:t>
      </w:r>
      <w:r w:rsidR="00F26D7D" w:rsidRPr="00764F24">
        <w:rPr>
          <w:rFonts w:cstheme="minorHAnsi"/>
          <w:szCs w:val="24"/>
          <w:lang w:val="en-GB"/>
        </w:rPr>
        <w:t xml:space="preserve"> reflect a much </w:t>
      </w:r>
      <w:r w:rsidRPr="00764F24">
        <w:rPr>
          <w:rFonts w:cstheme="minorHAnsi"/>
          <w:szCs w:val="24"/>
          <w:lang w:val="en-GB"/>
        </w:rPr>
        <w:t>stronger distributional gradient</w:t>
      </w:r>
      <w:r w:rsidR="00F26D7D" w:rsidRPr="00764F24">
        <w:rPr>
          <w:rStyle w:val="FootnoteReference"/>
          <w:rFonts w:cstheme="minorHAnsi"/>
          <w:szCs w:val="24"/>
          <w:lang w:val="en-GB"/>
        </w:rPr>
        <w:footnoteReference w:id="39"/>
      </w:r>
      <w:r w:rsidRPr="00764F24">
        <w:rPr>
          <w:rFonts w:cstheme="minorHAnsi"/>
          <w:szCs w:val="24"/>
          <w:lang w:val="en-GB"/>
        </w:rPr>
        <w:t xml:space="preserve">. </w:t>
      </w:r>
      <w:r w:rsidR="00F26D7D" w:rsidRPr="00764F24">
        <w:rPr>
          <w:rFonts w:cstheme="minorHAnsi"/>
          <w:szCs w:val="24"/>
          <w:lang w:val="en-GB"/>
        </w:rPr>
        <w:t xml:space="preserve">For example, </w:t>
      </w:r>
      <w:r w:rsidRPr="00764F24">
        <w:rPr>
          <w:rFonts w:cstheme="minorHAnsi"/>
          <w:szCs w:val="24"/>
          <w:lang w:val="en-GB"/>
        </w:rPr>
        <w:t xml:space="preserve">57 per cent of adults in the top quintile of working-age family incomes have experienced falling outgoings, compared with 30 per cent in the bottom quintile. This is likely to </w:t>
      </w:r>
      <w:r w:rsidR="00F26D7D" w:rsidRPr="00764F24">
        <w:rPr>
          <w:rFonts w:cstheme="minorHAnsi"/>
          <w:szCs w:val="24"/>
          <w:lang w:val="en-GB"/>
        </w:rPr>
        <w:t xml:space="preserve">mean that those at the top will be able to save </w:t>
      </w:r>
      <w:r w:rsidRPr="00764F24">
        <w:rPr>
          <w:rFonts w:cstheme="minorHAnsi"/>
          <w:szCs w:val="24"/>
          <w:lang w:val="en-GB"/>
        </w:rPr>
        <w:t>as a result of lockdown restrictions on non-essential spending</w:t>
      </w:r>
      <w:r w:rsidR="00BF7FBA" w:rsidRPr="00764F24">
        <w:rPr>
          <w:rFonts w:cstheme="minorHAnsi"/>
          <w:szCs w:val="24"/>
          <w:lang w:val="en-GB"/>
        </w:rPr>
        <w:t xml:space="preserve">. </w:t>
      </w:r>
      <w:r w:rsidR="00F26D7D" w:rsidRPr="00764F24">
        <w:rPr>
          <w:rFonts w:cstheme="minorHAnsi"/>
          <w:szCs w:val="24"/>
          <w:lang w:val="en-GB"/>
        </w:rPr>
        <w:t xml:space="preserve">And the Resolution Foundation </w:t>
      </w:r>
      <w:r w:rsidR="0000347B">
        <w:rPr>
          <w:rFonts w:cstheme="minorHAnsi"/>
          <w:szCs w:val="24"/>
          <w:lang w:val="en-GB"/>
        </w:rPr>
        <w:t xml:space="preserve">indeed </w:t>
      </w:r>
      <w:r w:rsidR="00F26D7D" w:rsidRPr="00764F24">
        <w:rPr>
          <w:rFonts w:cstheme="minorHAnsi"/>
          <w:szCs w:val="24"/>
          <w:lang w:val="en-GB"/>
        </w:rPr>
        <w:t>report</w:t>
      </w:r>
      <w:r w:rsidR="0000347B">
        <w:rPr>
          <w:rFonts w:cstheme="minorHAnsi"/>
          <w:szCs w:val="24"/>
          <w:lang w:val="en-GB"/>
        </w:rPr>
        <w:t>ed</w:t>
      </w:r>
      <w:r w:rsidR="00F26D7D" w:rsidRPr="00764F24">
        <w:rPr>
          <w:rFonts w:cstheme="minorHAnsi"/>
          <w:szCs w:val="24"/>
          <w:lang w:val="en-GB"/>
        </w:rPr>
        <w:t xml:space="preserve"> that </w:t>
      </w:r>
      <w:r w:rsidRPr="00764F24">
        <w:rPr>
          <w:rFonts w:cstheme="minorHAnsi"/>
          <w:szCs w:val="24"/>
          <w:lang w:val="en-GB"/>
        </w:rPr>
        <w:t>respondents in the top quintile were as likely to say that their personal financial situation has improved as worsened (23 per cent compared to 22 per cent)</w:t>
      </w:r>
      <w:r w:rsidR="00BF7FBA" w:rsidRPr="00764F24">
        <w:rPr>
          <w:rFonts w:cstheme="minorHAnsi"/>
          <w:szCs w:val="24"/>
          <w:lang w:val="en-GB"/>
        </w:rPr>
        <w:t xml:space="preserve">. </w:t>
      </w:r>
      <w:r w:rsidRPr="00764F24">
        <w:rPr>
          <w:rFonts w:cstheme="minorHAnsi"/>
          <w:szCs w:val="24"/>
          <w:lang w:val="en-GB"/>
        </w:rPr>
        <w:t xml:space="preserve">Those in the bottom quintile much more likely to say </w:t>
      </w:r>
      <w:r w:rsidR="00F26D7D" w:rsidRPr="00764F24">
        <w:rPr>
          <w:rFonts w:cstheme="minorHAnsi"/>
          <w:szCs w:val="24"/>
          <w:lang w:val="en-GB"/>
        </w:rPr>
        <w:t xml:space="preserve">their </w:t>
      </w:r>
      <w:r w:rsidRPr="00764F24">
        <w:rPr>
          <w:rFonts w:cstheme="minorHAnsi"/>
          <w:szCs w:val="24"/>
          <w:lang w:val="en-GB"/>
        </w:rPr>
        <w:t>financial situation has worsened (36 per cent) than improved (10 per cent)</w:t>
      </w:r>
    </w:p>
    <w:p w14:paraId="7818FDFA" w14:textId="4367A976" w:rsidR="007E64E2" w:rsidRPr="00764F24" w:rsidRDefault="00F26D7D" w:rsidP="00D86B69">
      <w:pPr>
        <w:spacing w:beforeAutospacing="1" w:after="100" w:afterAutospacing="1" w:line="360" w:lineRule="auto"/>
        <w:rPr>
          <w:rFonts w:cstheme="minorHAnsi"/>
          <w:szCs w:val="24"/>
          <w:lang w:val="en-GB"/>
        </w:rPr>
      </w:pPr>
      <w:r w:rsidRPr="00764F24">
        <w:rPr>
          <w:rFonts w:cstheme="minorHAnsi"/>
          <w:szCs w:val="24"/>
          <w:lang w:val="en-GB"/>
        </w:rPr>
        <w:lastRenderedPageBreak/>
        <w:t xml:space="preserve">Another study by the </w:t>
      </w:r>
      <w:r w:rsidR="003F7DA3" w:rsidRPr="00764F24">
        <w:rPr>
          <w:rFonts w:cstheme="minorHAnsi"/>
          <w:szCs w:val="24"/>
          <w:lang w:val="en-GB"/>
        </w:rPr>
        <w:t>Resolution Foundation</w:t>
      </w:r>
      <w:r w:rsidRPr="00764F24">
        <w:rPr>
          <w:rStyle w:val="FootnoteReference"/>
          <w:rFonts w:cstheme="minorHAnsi"/>
          <w:szCs w:val="24"/>
          <w:lang w:val="en-GB"/>
        </w:rPr>
        <w:footnoteReference w:id="40"/>
      </w:r>
      <w:r w:rsidR="003F7DA3" w:rsidRPr="00764F24">
        <w:rPr>
          <w:rFonts w:cstheme="minorHAnsi"/>
          <w:szCs w:val="24"/>
          <w:lang w:val="en-GB"/>
        </w:rPr>
        <w:t xml:space="preserve"> </w:t>
      </w:r>
      <w:r w:rsidR="00026720" w:rsidRPr="00764F24">
        <w:rPr>
          <w:rFonts w:cstheme="minorHAnsi"/>
          <w:szCs w:val="24"/>
          <w:lang w:val="en-GB"/>
        </w:rPr>
        <w:t xml:space="preserve">on housing costs </w:t>
      </w:r>
      <w:r w:rsidR="003F7DA3" w:rsidRPr="00764F24">
        <w:rPr>
          <w:rFonts w:cstheme="minorHAnsi"/>
          <w:szCs w:val="24"/>
          <w:lang w:val="en-GB"/>
        </w:rPr>
        <w:t>f</w:t>
      </w:r>
      <w:r w:rsidRPr="00764F24">
        <w:rPr>
          <w:rFonts w:cstheme="minorHAnsi"/>
          <w:szCs w:val="24"/>
          <w:lang w:val="en-GB"/>
        </w:rPr>
        <w:t>ou</w:t>
      </w:r>
      <w:r w:rsidR="003F7DA3" w:rsidRPr="00764F24">
        <w:rPr>
          <w:rFonts w:cstheme="minorHAnsi"/>
          <w:szCs w:val="24"/>
          <w:lang w:val="en-GB"/>
        </w:rPr>
        <w:t xml:space="preserve">nd that while </w:t>
      </w:r>
      <w:r w:rsidR="00026720" w:rsidRPr="00764F24">
        <w:rPr>
          <w:rFonts w:cstheme="minorHAnsi"/>
          <w:szCs w:val="24"/>
          <w:lang w:val="en-GB"/>
        </w:rPr>
        <w:t xml:space="preserve">all </w:t>
      </w:r>
      <w:r w:rsidR="003F7DA3" w:rsidRPr="00764F24">
        <w:rPr>
          <w:rFonts w:cstheme="minorHAnsi"/>
          <w:szCs w:val="24"/>
          <w:lang w:val="en-GB"/>
        </w:rPr>
        <w:t>tenure groups</w:t>
      </w:r>
      <w:r w:rsidR="00026720" w:rsidRPr="00764F24">
        <w:rPr>
          <w:rFonts w:cstheme="minorHAnsi"/>
          <w:szCs w:val="24"/>
          <w:lang w:val="en-GB"/>
        </w:rPr>
        <w:t xml:space="preserve"> had seen similar falls in earnings, renters we</w:t>
      </w:r>
      <w:r w:rsidR="003F7DA3" w:rsidRPr="00764F24">
        <w:rPr>
          <w:rFonts w:cstheme="minorHAnsi"/>
          <w:szCs w:val="24"/>
          <w:lang w:val="en-GB"/>
        </w:rPr>
        <w:t xml:space="preserve">re more likely </w:t>
      </w:r>
      <w:r w:rsidR="00026720" w:rsidRPr="00764F24">
        <w:rPr>
          <w:rFonts w:cstheme="minorHAnsi"/>
          <w:szCs w:val="24"/>
          <w:lang w:val="en-GB"/>
        </w:rPr>
        <w:t xml:space="preserve">than owner-occupiers </w:t>
      </w:r>
      <w:r w:rsidR="003F7DA3" w:rsidRPr="00764F24">
        <w:rPr>
          <w:rFonts w:cstheme="minorHAnsi"/>
          <w:szCs w:val="24"/>
          <w:lang w:val="en-GB"/>
        </w:rPr>
        <w:t xml:space="preserve">to have fallen behind with their housing payments. </w:t>
      </w:r>
      <w:r w:rsidR="00026720" w:rsidRPr="00764F24">
        <w:rPr>
          <w:rFonts w:cstheme="minorHAnsi"/>
          <w:szCs w:val="24"/>
          <w:lang w:val="en-GB"/>
        </w:rPr>
        <w:t>This is probably because o</w:t>
      </w:r>
      <w:r w:rsidR="003F7DA3" w:rsidRPr="00764F24">
        <w:rPr>
          <w:rFonts w:cstheme="minorHAnsi"/>
          <w:szCs w:val="24"/>
          <w:lang w:val="en-GB"/>
        </w:rPr>
        <w:t>wner</w:t>
      </w:r>
      <w:r w:rsidR="00026720" w:rsidRPr="00764F24">
        <w:rPr>
          <w:rFonts w:cstheme="minorHAnsi"/>
          <w:szCs w:val="24"/>
          <w:lang w:val="en-GB"/>
        </w:rPr>
        <w:t>-occupier</w:t>
      </w:r>
      <w:r w:rsidR="003F7DA3" w:rsidRPr="00764F24">
        <w:rPr>
          <w:rFonts w:cstheme="minorHAnsi"/>
          <w:szCs w:val="24"/>
          <w:lang w:val="en-GB"/>
        </w:rPr>
        <w:t xml:space="preserve">s entered the crisis with lower average housing costs and </w:t>
      </w:r>
      <w:r w:rsidR="00026720" w:rsidRPr="00764F24">
        <w:rPr>
          <w:rFonts w:cstheme="minorHAnsi"/>
          <w:szCs w:val="24"/>
          <w:lang w:val="en-GB"/>
        </w:rPr>
        <w:t>more disposable income/savings than renters</w:t>
      </w:r>
      <w:r w:rsidR="00BF7FBA" w:rsidRPr="00764F24">
        <w:rPr>
          <w:rFonts w:cstheme="minorHAnsi"/>
          <w:szCs w:val="24"/>
          <w:lang w:val="en-GB"/>
        </w:rPr>
        <w:t xml:space="preserve">. </w:t>
      </w:r>
      <w:r w:rsidR="00026720" w:rsidRPr="00764F24">
        <w:rPr>
          <w:rFonts w:cstheme="minorHAnsi"/>
          <w:szCs w:val="24"/>
          <w:lang w:val="en-GB"/>
        </w:rPr>
        <w:t xml:space="preserve">Families have tended to manage housing costs by </w:t>
      </w:r>
      <w:r w:rsidR="003F7DA3" w:rsidRPr="00764F24">
        <w:rPr>
          <w:rFonts w:cstheme="minorHAnsi"/>
          <w:szCs w:val="24"/>
          <w:lang w:val="en-GB"/>
        </w:rPr>
        <w:t>cutting back spending on other items</w:t>
      </w:r>
      <w:r w:rsidR="00026720" w:rsidRPr="00764F24">
        <w:rPr>
          <w:rFonts w:cstheme="minorHAnsi"/>
          <w:szCs w:val="24"/>
          <w:lang w:val="en-GB"/>
        </w:rPr>
        <w:t xml:space="preserve"> but</w:t>
      </w:r>
      <w:r w:rsidR="003F7DA3" w:rsidRPr="00764F24">
        <w:rPr>
          <w:rFonts w:cstheme="minorHAnsi"/>
          <w:szCs w:val="24"/>
          <w:lang w:val="en-GB"/>
        </w:rPr>
        <w:t xml:space="preserve"> a majority of renters who have done so are also at risk of material deprivation. </w:t>
      </w:r>
      <w:r w:rsidR="00026720" w:rsidRPr="00764F24">
        <w:rPr>
          <w:rFonts w:cstheme="minorHAnsi"/>
          <w:szCs w:val="24"/>
          <w:lang w:val="en-GB"/>
        </w:rPr>
        <w:t xml:space="preserve">The study also shows that </w:t>
      </w:r>
      <w:r w:rsidR="003F7DA3" w:rsidRPr="00764F24">
        <w:rPr>
          <w:rFonts w:cstheme="minorHAnsi"/>
          <w:szCs w:val="24"/>
          <w:lang w:val="en-GB"/>
        </w:rPr>
        <w:t>a small group of (especially younger) people ha</w:t>
      </w:r>
      <w:r w:rsidR="00026720" w:rsidRPr="00764F24">
        <w:rPr>
          <w:rFonts w:cstheme="minorHAnsi"/>
          <w:szCs w:val="24"/>
          <w:lang w:val="en-GB"/>
        </w:rPr>
        <w:t>d</w:t>
      </w:r>
      <w:r w:rsidR="003F7DA3" w:rsidRPr="00764F24">
        <w:rPr>
          <w:rFonts w:cstheme="minorHAnsi"/>
          <w:szCs w:val="24"/>
          <w:lang w:val="en-GB"/>
        </w:rPr>
        <w:t xml:space="preserve"> moved to another home, </w:t>
      </w:r>
      <w:r w:rsidR="00026720" w:rsidRPr="00764F24">
        <w:rPr>
          <w:rFonts w:cstheme="minorHAnsi"/>
          <w:szCs w:val="24"/>
          <w:lang w:val="en-GB"/>
        </w:rPr>
        <w:t xml:space="preserve">presumably their parents, and this is likely to be more of an option where </w:t>
      </w:r>
      <w:r w:rsidR="003F7DA3" w:rsidRPr="00764F24">
        <w:rPr>
          <w:rFonts w:cstheme="minorHAnsi"/>
          <w:szCs w:val="24"/>
          <w:lang w:val="en-GB"/>
        </w:rPr>
        <w:t xml:space="preserve">parents </w:t>
      </w:r>
      <w:r w:rsidR="00026720" w:rsidRPr="00764F24">
        <w:rPr>
          <w:rFonts w:cstheme="minorHAnsi"/>
          <w:szCs w:val="24"/>
          <w:lang w:val="en-GB"/>
        </w:rPr>
        <w:t xml:space="preserve">are both </w:t>
      </w:r>
      <w:r w:rsidR="003F7DA3" w:rsidRPr="00764F24">
        <w:rPr>
          <w:rFonts w:cstheme="minorHAnsi"/>
          <w:szCs w:val="24"/>
          <w:lang w:val="en-GB"/>
        </w:rPr>
        <w:t>willing and able to provide accommodation</w:t>
      </w:r>
      <w:r w:rsidR="00BF7FBA" w:rsidRPr="00764F24">
        <w:rPr>
          <w:rFonts w:cstheme="minorHAnsi"/>
          <w:szCs w:val="24"/>
          <w:lang w:val="en-GB"/>
        </w:rPr>
        <w:t xml:space="preserve">. </w:t>
      </w:r>
      <w:r w:rsidR="00026720" w:rsidRPr="00764F24">
        <w:rPr>
          <w:rFonts w:cstheme="minorHAnsi"/>
          <w:szCs w:val="24"/>
          <w:lang w:val="en-GB"/>
        </w:rPr>
        <w:t xml:space="preserve">The broad conclusion from the study was that </w:t>
      </w:r>
      <w:r w:rsidR="003F7DA3" w:rsidRPr="00764F24">
        <w:rPr>
          <w:rFonts w:cstheme="minorHAnsi"/>
          <w:szCs w:val="24"/>
          <w:lang w:val="en-GB"/>
        </w:rPr>
        <w:t xml:space="preserve">housing is usually a family’s largest single </w:t>
      </w:r>
      <w:r w:rsidR="00026720" w:rsidRPr="00764F24">
        <w:rPr>
          <w:rFonts w:cstheme="minorHAnsi"/>
          <w:szCs w:val="24"/>
          <w:lang w:val="en-GB"/>
        </w:rPr>
        <w:t xml:space="preserve">regular cost which is </w:t>
      </w:r>
      <w:r w:rsidR="003F7DA3" w:rsidRPr="00764F24">
        <w:rPr>
          <w:rFonts w:cstheme="minorHAnsi"/>
          <w:szCs w:val="24"/>
          <w:lang w:val="en-GB"/>
        </w:rPr>
        <w:t xml:space="preserve">difficult to flex with ease; and </w:t>
      </w:r>
      <w:r w:rsidR="00026720" w:rsidRPr="00764F24">
        <w:rPr>
          <w:rFonts w:cstheme="minorHAnsi"/>
          <w:szCs w:val="24"/>
          <w:lang w:val="en-GB"/>
        </w:rPr>
        <w:t>can lead to</w:t>
      </w:r>
      <w:r w:rsidR="003F7DA3" w:rsidRPr="00764F24">
        <w:rPr>
          <w:rFonts w:cstheme="minorHAnsi"/>
          <w:szCs w:val="24"/>
          <w:lang w:val="en-GB"/>
        </w:rPr>
        <w:t xml:space="preserve"> serious consequences if families cannot keep up with payments.</w:t>
      </w:r>
    </w:p>
    <w:p w14:paraId="77B4831E" w14:textId="58D91869" w:rsidR="007E64E2" w:rsidRPr="00764F24" w:rsidRDefault="00026720" w:rsidP="00D86B69">
      <w:pPr>
        <w:spacing w:beforeAutospacing="1" w:after="100" w:afterAutospacing="1" w:line="360" w:lineRule="auto"/>
        <w:rPr>
          <w:rFonts w:cstheme="minorHAnsi"/>
          <w:szCs w:val="24"/>
          <w:lang w:val="en-GB"/>
        </w:rPr>
      </w:pPr>
      <w:r w:rsidRPr="00764F24">
        <w:rPr>
          <w:rFonts w:cstheme="minorHAnsi"/>
          <w:szCs w:val="24"/>
          <w:lang w:val="en-GB"/>
        </w:rPr>
        <w:t xml:space="preserve">And a third study by the </w:t>
      </w:r>
      <w:r w:rsidR="003F7DA3" w:rsidRPr="00764F24">
        <w:rPr>
          <w:rFonts w:cstheme="minorHAnsi"/>
          <w:szCs w:val="24"/>
          <w:lang w:val="en-GB"/>
        </w:rPr>
        <w:t>Resolution Foundation</w:t>
      </w:r>
      <w:r w:rsidRPr="00764F24">
        <w:rPr>
          <w:rStyle w:val="FootnoteReference"/>
          <w:rFonts w:cstheme="minorHAnsi"/>
          <w:szCs w:val="24"/>
          <w:lang w:val="en-GB"/>
        </w:rPr>
        <w:footnoteReference w:id="41"/>
      </w:r>
      <w:r w:rsidRPr="00764F24">
        <w:rPr>
          <w:rFonts w:cstheme="minorHAnsi"/>
          <w:szCs w:val="24"/>
          <w:lang w:val="en-GB"/>
        </w:rPr>
        <w:t xml:space="preserve"> on Universal Credit</w:t>
      </w:r>
      <w:r w:rsidR="007F0D86" w:rsidRPr="00764F24">
        <w:rPr>
          <w:rFonts w:cstheme="minorHAnsi"/>
          <w:szCs w:val="24"/>
          <w:lang w:val="en-GB"/>
        </w:rPr>
        <w:t xml:space="preserve"> made the point that</w:t>
      </w:r>
      <w:r w:rsidR="0000347B">
        <w:rPr>
          <w:rFonts w:cstheme="minorHAnsi"/>
          <w:szCs w:val="24"/>
          <w:lang w:val="en-GB"/>
        </w:rPr>
        <w:t xml:space="preserve"> t</w:t>
      </w:r>
      <w:r w:rsidR="003F7DA3" w:rsidRPr="00764F24">
        <w:rPr>
          <w:rFonts w:cstheme="minorHAnsi"/>
          <w:szCs w:val="24"/>
          <w:lang w:val="en-GB"/>
        </w:rPr>
        <w:t>he emergency boost to UC, tax credits and housing support on 20 March boosted the incomes of families in the poorest quarter by 5 per cent on average and strengthened the safety net, increasing the median replacement rate from 50 to 53 per cent</w:t>
      </w:r>
      <w:r w:rsidR="00BF7FBA" w:rsidRPr="00764F24">
        <w:rPr>
          <w:rFonts w:cstheme="minorHAnsi"/>
          <w:szCs w:val="24"/>
          <w:lang w:val="en-GB"/>
        </w:rPr>
        <w:t xml:space="preserve">. </w:t>
      </w:r>
      <w:r w:rsidR="003F7DA3" w:rsidRPr="00764F24">
        <w:rPr>
          <w:rFonts w:cstheme="minorHAnsi"/>
          <w:szCs w:val="24"/>
          <w:lang w:val="en-GB"/>
        </w:rPr>
        <w:t xml:space="preserve">The amount of income protection provided under the Job Retention </w:t>
      </w:r>
      <w:r w:rsidR="0000347B">
        <w:rPr>
          <w:rFonts w:cstheme="minorHAnsi"/>
          <w:szCs w:val="24"/>
          <w:lang w:val="en-GB"/>
        </w:rPr>
        <w:t xml:space="preserve">(furlough) </w:t>
      </w:r>
      <w:r w:rsidR="003F7DA3" w:rsidRPr="00764F24">
        <w:rPr>
          <w:rFonts w:cstheme="minorHAnsi"/>
          <w:szCs w:val="24"/>
          <w:lang w:val="en-GB"/>
        </w:rPr>
        <w:t>Scheme (JRS)</w:t>
      </w:r>
      <w:r w:rsidR="0000347B">
        <w:rPr>
          <w:rFonts w:cstheme="minorHAnsi"/>
          <w:szCs w:val="24"/>
          <w:lang w:val="en-GB"/>
        </w:rPr>
        <w:t>, was however,</w:t>
      </w:r>
      <w:r w:rsidR="003F7DA3" w:rsidRPr="00764F24">
        <w:rPr>
          <w:rFonts w:cstheme="minorHAnsi"/>
          <w:szCs w:val="24"/>
          <w:lang w:val="en-GB"/>
        </w:rPr>
        <w:t xml:space="preserve"> far greater than that provided under social security benefits. The median fall in d</w:t>
      </w:r>
      <w:r w:rsidRPr="00764F24">
        <w:rPr>
          <w:rFonts w:cstheme="minorHAnsi"/>
          <w:szCs w:val="24"/>
          <w:lang w:val="en-GB"/>
        </w:rPr>
        <w:t>isposable income if furloughed wa</w:t>
      </w:r>
      <w:r w:rsidR="003F7DA3" w:rsidRPr="00764F24">
        <w:rPr>
          <w:rFonts w:cstheme="minorHAnsi"/>
          <w:szCs w:val="24"/>
          <w:lang w:val="en-GB"/>
        </w:rPr>
        <w:t>s ju</w:t>
      </w:r>
      <w:r w:rsidRPr="00764F24">
        <w:rPr>
          <w:rFonts w:cstheme="minorHAnsi"/>
          <w:szCs w:val="24"/>
          <w:lang w:val="en-GB"/>
        </w:rPr>
        <w:t>st 9 per cent, but that figure wa</w:t>
      </w:r>
      <w:r w:rsidR="003F7DA3" w:rsidRPr="00764F24">
        <w:rPr>
          <w:rFonts w:cstheme="minorHAnsi"/>
          <w:szCs w:val="24"/>
          <w:lang w:val="en-GB"/>
        </w:rPr>
        <w:t>s 47 per cent if people lose their jobs and turn to UC. This means that workers who are made redundant as the JRS phases out may face large falls in income</w:t>
      </w:r>
      <w:r w:rsidR="0000347B">
        <w:rPr>
          <w:rFonts w:cstheme="minorHAnsi"/>
          <w:szCs w:val="24"/>
          <w:lang w:val="en-GB"/>
        </w:rPr>
        <w:t xml:space="preserve"> (the scheme is due to end on 31</w:t>
      </w:r>
      <w:r w:rsidR="0000347B" w:rsidRPr="0000347B">
        <w:rPr>
          <w:rFonts w:cstheme="minorHAnsi"/>
          <w:szCs w:val="24"/>
          <w:vertAlign w:val="superscript"/>
          <w:lang w:val="en-GB"/>
        </w:rPr>
        <w:t>st</w:t>
      </w:r>
      <w:r w:rsidR="0000347B">
        <w:rPr>
          <w:rFonts w:cstheme="minorHAnsi"/>
          <w:szCs w:val="24"/>
          <w:lang w:val="en-GB"/>
        </w:rPr>
        <w:t xml:space="preserve"> October 2020)</w:t>
      </w:r>
      <w:r w:rsidR="003F7DA3" w:rsidRPr="00764F24">
        <w:rPr>
          <w:rFonts w:cstheme="minorHAnsi"/>
          <w:szCs w:val="24"/>
          <w:lang w:val="en-GB"/>
        </w:rPr>
        <w:t>. It also highlights the role that UC will play in supporting family finances during the long road back to normal times.</w:t>
      </w:r>
    </w:p>
    <w:p w14:paraId="080271D5" w14:textId="60950E94" w:rsidR="007E64E2" w:rsidRPr="00764F24" w:rsidRDefault="00563396" w:rsidP="00D86B69">
      <w:pPr>
        <w:spacing w:beforeAutospacing="1" w:after="100" w:afterAutospacing="1" w:line="360" w:lineRule="auto"/>
        <w:rPr>
          <w:rFonts w:cstheme="minorHAnsi"/>
          <w:szCs w:val="24"/>
          <w:lang w:val="en-GB"/>
        </w:rPr>
      </w:pPr>
      <w:r w:rsidRPr="00764F24">
        <w:rPr>
          <w:rFonts w:cstheme="minorHAnsi"/>
          <w:szCs w:val="24"/>
          <w:lang w:val="en-GB"/>
        </w:rPr>
        <w:t>A</w:t>
      </w:r>
      <w:r w:rsidR="00B12B8B" w:rsidRPr="00764F24">
        <w:rPr>
          <w:rFonts w:cstheme="minorHAnsi"/>
          <w:szCs w:val="24"/>
          <w:lang w:val="en-GB"/>
        </w:rPr>
        <w:t>s mentioned above, a</w:t>
      </w:r>
      <w:r w:rsidRPr="00764F24">
        <w:rPr>
          <w:rFonts w:cstheme="minorHAnsi"/>
          <w:szCs w:val="24"/>
          <w:lang w:val="en-GB"/>
        </w:rPr>
        <w:t xml:space="preserve"> vital source of income for many people out of work </w:t>
      </w:r>
      <w:r w:rsidR="00B12B8B" w:rsidRPr="00764F24">
        <w:rPr>
          <w:rFonts w:cstheme="minorHAnsi"/>
          <w:szCs w:val="24"/>
          <w:lang w:val="en-GB"/>
        </w:rPr>
        <w:t xml:space="preserve">(as well as in work) </w:t>
      </w:r>
      <w:r w:rsidRPr="00764F24">
        <w:rPr>
          <w:rFonts w:cstheme="minorHAnsi"/>
          <w:szCs w:val="24"/>
          <w:lang w:val="en-GB"/>
        </w:rPr>
        <w:t>is the social security system</w:t>
      </w:r>
      <w:r w:rsidR="00BF7FBA" w:rsidRPr="00764F24">
        <w:rPr>
          <w:rFonts w:cstheme="minorHAnsi"/>
          <w:szCs w:val="24"/>
          <w:lang w:val="en-GB"/>
        </w:rPr>
        <w:t xml:space="preserve">. </w:t>
      </w:r>
      <w:r w:rsidR="003D5236" w:rsidRPr="00764F24">
        <w:rPr>
          <w:rFonts w:cstheme="minorHAnsi"/>
          <w:szCs w:val="24"/>
          <w:lang w:val="en-GB"/>
        </w:rPr>
        <w:t xml:space="preserve">Figure </w:t>
      </w:r>
      <w:r w:rsidR="00BC24C6" w:rsidRPr="00764F24">
        <w:rPr>
          <w:rFonts w:cstheme="minorHAnsi"/>
          <w:szCs w:val="24"/>
          <w:lang w:val="en-GB"/>
        </w:rPr>
        <w:t xml:space="preserve">3.3 </w:t>
      </w:r>
      <w:r w:rsidR="00111AD7" w:rsidRPr="00764F24">
        <w:rPr>
          <w:rFonts w:cstheme="minorHAnsi"/>
          <w:szCs w:val="24"/>
          <w:lang w:val="en-GB"/>
        </w:rPr>
        <w:t xml:space="preserve">focuses on people of working-age and shows that, in the decade from 2009 to 2019, there was a massive drop in the adequacy of means-tested benefits to </w:t>
      </w:r>
      <w:r w:rsidR="00111AD7" w:rsidRPr="00764F24">
        <w:rPr>
          <w:rFonts w:cstheme="minorHAnsi"/>
          <w:szCs w:val="24"/>
          <w:lang w:val="en-GB"/>
        </w:rPr>
        <w:lastRenderedPageBreak/>
        <w:t>provide a minimum income.</w:t>
      </w:r>
      <w:r w:rsidR="00FC18F2" w:rsidRPr="00764F24">
        <w:rPr>
          <w:rStyle w:val="FootnoteReference"/>
          <w:rFonts w:cstheme="minorHAnsi"/>
          <w:szCs w:val="24"/>
          <w:lang w:val="en-GB"/>
        </w:rPr>
        <w:footnoteReference w:id="42"/>
      </w:r>
      <w:r w:rsidR="003D5236" w:rsidRPr="00764F24">
        <w:rPr>
          <w:rFonts w:cstheme="minorHAnsi"/>
          <w:szCs w:val="24"/>
          <w:lang w:val="en-GB"/>
        </w:rPr>
        <w:t xml:space="preserve"> </w:t>
      </w:r>
      <w:r w:rsidR="00111AD7" w:rsidRPr="00764F24">
        <w:rPr>
          <w:rFonts w:cstheme="minorHAnsi"/>
          <w:szCs w:val="24"/>
          <w:lang w:val="en-GB"/>
        </w:rPr>
        <w:t>For example, a single person of working age only had 42 per cent of a minimum income standard in 2009 but this dropped still further to 32 per cent in 2019</w:t>
      </w:r>
      <w:r w:rsidR="00BF7FBA" w:rsidRPr="00764F24">
        <w:rPr>
          <w:rFonts w:cstheme="minorHAnsi"/>
          <w:szCs w:val="24"/>
          <w:lang w:val="en-GB"/>
        </w:rPr>
        <w:t xml:space="preserve">. </w:t>
      </w:r>
      <w:r w:rsidR="00111AD7" w:rsidRPr="00764F24">
        <w:rPr>
          <w:rFonts w:cstheme="minorHAnsi"/>
          <w:szCs w:val="24"/>
          <w:lang w:val="en-GB"/>
        </w:rPr>
        <w:t>Other working-age families saw similar drops in adequacy levels over this period though from different initial points (see figure 3.3)</w:t>
      </w:r>
      <w:r w:rsidR="00BF7FBA" w:rsidRPr="00764F24">
        <w:rPr>
          <w:rFonts w:cstheme="minorHAnsi"/>
          <w:szCs w:val="24"/>
          <w:lang w:val="en-GB"/>
        </w:rPr>
        <w:t xml:space="preserve">. </w:t>
      </w:r>
      <w:r w:rsidR="00111AD7" w:rsidRPr="00764F24">
        <w:rPr>
          <w:rFonts w:cstheme="minorHAnsi"/>
          <w:szCs w:val="24"/>
          <w:lang w:val="en-GB"/>
        </w:rPr>
        <w:t xml:space="preserve">For 2020, the picture becomes more complex because of policy changes linked to </w:t>
      </w:r>
      <w:r w:rsidR="00A12E5C" w:rsidRPr="00764F24">
        <w:rPr>
          <w:rFonts w:cstheme="minorHAnsi"/>
          <w:szCs w:val="24"/>
          <w:lang w:val="en-GB"/>
        </w:rPr>
        <w:t xml:space="preserve"> COVID-19</w:t>
      </w:r>
      <w:r w:rsidR="00BF7FBA" w:rsidRPr="00764F24">
        <w:rPr>
          <w:rFonts w:cstheme="minorHAnsi"/>
          <w:szCs w:val="24"/>
          <w:lang w:val="en-GB"/>
        </w:rPr>
        <w:t xml:space="preserve">. </w:t>
      </w:r>
      <w:r w:rsidR="00111AD7" w:rsidRPr="00764F24">
        <w:rPr>
          <w:rFonts w:cstheme="minorHAnsi"/>
          <w:szCs w:val="24"/>
          <w:lang w:val="en-GB"/>
        </w:rPr>
        <w:t xml:space="preserve">For example, if we take the level of all means-tested, out-of-work benefits in 2020 prior to </w:t>
      </w:r>
      <w:r w:rsidR="00A12E5C" w:rsidRPr="00764F24">
        <w:rPr>
          <w:rFonts w:cstheme="minorHAnsi"/>
          <w:szCs w:val="24"/>
          <w:lang w:val="en-GB"/>
        </w:rPr>
        <w:t xml:space="preserve"> COVID-19</w:t>
      </w:r>
      <w:r w:rsidR="00111AD7" w:rsidRPr="00764F24">
        <w:rPr>
          <w:rFonts w:cstheme="minorHAnsi"/>
          <w:szCs w:val="24"/>
          <w:lang w:val="en-GB"/>
        </w:rPr>
        <w:t xml:space="preserve"> we can see in figure 3.3 that the adequacy of means-tested, out-of-work</w:t>
      </w:r>
      <w:r w:rsidR="00FE5193" w:rsidRPr="00764F24">
        <w:rPr>
          <w:rFonts w:cstheme="minorHAnsi"/>
          <w:szCs w:val="24"/>
          <w:lang w:val="en-GB"/>
        </w:rPr>
        <w:t xml:space="preserve"> benefits </w:t>
      </w:r>
      <w:r w:rsidR="002B4050" w:rsidRPr="00764F24">
        <w:rPr>
          <w:rFonts w:cstheme="minorHAnsi"/>
          <w:szCs w:val="24"/>
          <w:lang w:val="en-GB"/>
        </w:rPr>
        <w:t xml:space="preserve">(of all kinds) </w:t>
      </w:r>
      <w:r w:rsidR="00FE5193" w:rsidRPr="00764F24">
        <w:rPr>
          <w:rFonts w:cstheme="minorHAnsi"/>
          <w:szCs w:val="24"/>
          <w:lang w:val="en-GB"/>
        </w:rPr>
        <w:t>dropped still further for single people of working age (to 31 per cent)</w:t>
      </w:r>
      <w:r w:rsidR="00BF7FBA" w:rsidRPr="00764F24">
        <w:rPr>
          <w:rFonts w:cstheme="minorHAnsi"/>
          <w:szCs w:val="24"/>
          <w:lang w:val="en-GB"/>
        </w:rPr>
        <w:t xml:space="preserve">. </w:t>
      </w:r>
      <w:r w:rsidR="00FE5193" w:rsidRPr="00764F24">
        <w:rPr>
          <w:rFonts w:cstheme="minorHAnsi"/>
          <w:szCs w:val="24"/>
          <w:lang w:val="en-GB"/>
        </w:rPr>
        <w:t>Couples of working age without children saw no change (remaining at 30 per cent adequacy)</w:t>
      </w:r>
      <w:r w:rsidR="00BF7FBA" w:rsidRPr="00764F24">
        <w:rPr>
          <w:rFonts w:cstheme="minorHAnsi"/>
          <w:szCs w:val="24"/>
          <w:lang w:val="en-GB"/>
        </w:rPr>
        <w:t xml:space="preserve">. </w:t>
      </w:r>
      <w:r w:rsidR="00FE5193" w:rsidRPr="00764F24">
        <w:rPr>
          <w:rFonts w:cstheme="minorHAnsi"/>
          <w:szCs w:val="24"/>
          <w:lang w:val="en-GB"/>
        </w:rPr>
        <w:t>Lone parents with two children saw a slight increase in adequacy levels from 58 to 60 per cent and couples with two children also saw a very slight increase in adequacy levels from 56 to 57 per cent</w:t>
      </w:r>
      <w:r w:rsidR="00BF7FBA" w:rsidRPr="00764F24">
        <w:rPr>
          <w:rFonts w:cstheme="minorHAnsi"/>
          <w:szCs w:val="24"/>
          <w:lang w:val="en-GB"/>
        </w:rPr>
        <w:t xml:space="preserve">. </w:t>
      </w:r>
    </w:p>
    <w:p w14:paraId="5C36E1CC" w14:textId="12E1D182" w:rsidR="00836BCC" w:rsidRPr="00764F24" w:rsidRDefault="00FE5193" w:rsidP="00D86B69">
      <w:pPr>
        <w:spacing w:beforeAutospacing="1" w:after="100" w:afterAutospacing="1" w:line="360" w:lineRule="auto"/>
        <w:rPr>
          <w:rFonts w:cstheme="minorHAnsi"/>
          <w:szCs w:val="24"/>
          <w:lang w:val="en-GB"/>
        </w:rPr>
      </w:pPr>
      <w:r w:rsidRPr="00764F24">
        <w:rPr>
          <w:rFonts w:cstheme="minorHAnsi"/>
          <w:szCs w:val="24"/>
          <w:lang w:val="en-GB"/>
        </w:rPr>
        <w:t xml:space="preserve">The final two bars for each family type in figure 3.3 illustrate the changes to adequacy levels as a result of the </w:t>
      </w:r>
      <w:r w:rsidR="00A12E5C" w:rsidRPr="00764F24">
        <w:rPr>
          <w:rFonts w:cstheme="minorHAnsi"/>
          <w:szCs w:val="24"/>
          <w:lang w:val="en-GB"/>
        </w:rPr>
        <w:t xml:space="preserve"> COVID-19</w:t>
      </w:r>
      <w:r w:rsidRPr="00764F24">
        <w:rPr>
          <w:rFonts w:cstheme="minorHAnsi"/>
          <w:szCs w:val="24"/>
          <w:lang w:val="en-GB"/>
        </w:rPr>
        <w:t xml:space="preserve"> benefit reforms</w:t>
      </w:r>
      <w:r w:rsidR="00BF7FBA" w:rsidRPr="00764F24">
        <w:rPr>
          <w:rFonts w:cstheme="minorHAnsi"/>
          <w:szCs w:val="24"/>
          <w:lang w:val="en-GB"/>
        </w:rPr>
        <w:t xml:space="preserve">. </w:t>
      </w:r>
      <w:r w:rsidR="002B4050" w:rsidRPr="00764F24">
        <w:rPr>
          <w:rFonts w:cstheme="minorHAnsi"/>
          <w:szCs w:val="24"/>
          <w:lang w:val="en-GB"/>
        </w:rPr>
        <w:t xml:space="preserve">Here, we see a difference emerge between those </w:t>
      </w:r>
      <w:r w:rsidRPr="00764F24">
        <w:rPr>
          <w:rFonts w:cstheme="minorHAnsi"/>
          <w:szCs w:val="24"/>
          <w:lang w:val="en-GB"/>
        </w:rPr>
        <w:t xml:space="preserve">on ‘legacy’ benefits (income support, employment support allowance, jobseeker’s allowance) </w:t>
      </w:r>
      <w:r w:rsidR="002B4050" w:rsidRPr="00764F24">
        <w:rPr>
          <w:rFonts w:cstheme="minorHAnsi"/>
          <w:szCs w:val="24"/>
          <w:lang w:val="en-GB"/>
        </w:rPr>
        <w:t>and those on Universal Credit</w:t>
      </w:r>
      <w:r w:rsidR="00BF7FBA" w:rsidRPr="00764F24">
        <w:rPr>
          <w:rFonts w:cstheme="minorHAnsi"/>
          <w:szCs w:val="24"/>
          <w:lang w:val="en-GB"/>
        </w:rPr>
        <w:t xml:space="preserve">. </w:t>
      </w:r>
      <w:r w:rsidR="002B4050" w:rsidRPr="00764F24">
        <w:rPr>
          <w:rFonts w:cstheme="minorHAnsi"/>
          <w:szCs w:val="24"/>
          <w:lang w:val="en-GB"/>
        </w:rPr>
        <w:t xml:space="preserve">For example, those without children on legacy benefits </w:t>
      </w:r>
      <w:r w:rsidRPr="00764F24">
        <w:rPr>
          <w:rFonts w:cstheme="minorHAnsi"/>
          <w:szCs w:val="24"/>
          <w:lang w:val="en-GB"/>
        </w:rPr>
        <w:t>have seen a small increase in adequacy levels</w:t>
      </w:r>
      <w:r w:rsidR="00BF7FBA" w:rsidRPr="00764F24">
        <w:rPr>
          <w:rFonts w:cstheme="minorHAnsi"/>
          <w:szCs w:val="24"/>
          <w:lang w:val="en-GB"/>
        </w:rPr>
        <w:t xml:space="preserve">. </w:t>
      </w:r>
      <w:r w:rsidRPr="00764F24">
        <w:rPr>
          <w:rFonts w:cstheme="minorHAnsi"/>
          <w:szCs w:val="24"/>
          <w:lang w:val="en-GB"/>
        </w:rPr>
        <w:t>Those with children on these benefits have seen no change</w:t>
      </w:r>
      <w:r w:rsidR="00BF7FBA" w:rsidRPr="00764F24">
        <w:rPr>
          <w:rFonts w:cstheme="minorHAnsi"/>
          <w:szCs w:val="24"/>
          <w:lang w:val="en-GB"/>
        </w:rPr>
        <w:t xml:space="preserve">. </w:t>
      </w:r>
      <w:r w:rsidRPr="00764F24">
        <w:rPr>
          <w:rFonts w:cstheme="minorHAnsi"/>
          <w:szCs w:val="24"/>
          <w:lang w:val="en-GB"/>
        </w:rPr>
        <w:t>But the big difference is for all groups on Universal Credit where single working-age people return to adequacy levels last seen in 2009 (though still very far from providing a minimum income standard)</w:t>
      </w:r>
      <w:r w:rsidR="002B4050" w:rsidRPr="00764F24">
        <w:rPr>
          <w:rFonts w:cstheme="minorHAnsi"/>
          <w:szCs w:val="24"/>
          <w:lang w:val="en-GB"/>
        </w:rPr>
        <w:t xml:space="preserve"> at 43 per cent</w:t>
      </w:r>
      <w:r w:rsidR="00BF7FBA" w:rsidRPr="00764F24">
        <w:rPr>
          <w:rFonts w:cstheme="minorHAnsi"/>
          <w:szCs w:val="24"/>
          <w:lang w:val="en-GB"/>
        </w:rPr>
        <w:t xml:space="preserve">. </w:t>
      </w:r>
      <w:r w:rsidR="002B4050" w:rsidRPr="00764F24">
        <w:rPr>
          <w:rFonts w:cstheme="minorHAnsi"/>
          <w:szCs w:val="24"/>
          <w:lang w:val="en-GB"/>
        </w:rPr>
        <w:t xml:space="preserve">Families with children on universal credit have also seen a significant increase in adequacy of benefits though, again, still only reaching 65 per cent of lone parents with two children and 61 per cent for couples with two children. </w:t>
      </w:r>
    </w:p>
    <w:p w14:paraId="4CA02B50" w14:textId="17D87A24" w:rsidR="003D5236" w:rsidRPr="00764F24" w:rsidRDefault="003D5236"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w:t>
      </w:r>
      <w:r w:rsidR="00614D9F" w:rsidRPr="00764F24">
        <w:rPr>
          <w:rFonts w:cstheme="minorHAnsi"/>
          <w:sz w:val="24"/>
          <w:szCs w:val="24"/>
          <w:lang w:val="en-GB"/>
        </w:rPr>
        <w:t xml:space="preserve"> 3.3</w:t>
      </w:r>
      <w:r w:rsidR="001E0C53" w:rsidRPr="00764F24">
        <w:rPr>
          <w:rFonts w:cstheme="minorHAnsi"/>
          <w:sz w:val="24"/>
          <w:szCs w:val="24"/>
          <w:lang w:val="en-GB"/>
        </w:rPr>
        <w:t xml:space="preserve">. </w:t>
      </w:r>
      <w:r w:rsidR="008C0CFA" w:rsidRPr="00764F24">
        <w:rPr>
          <w:rFonts w:cstheme="minorHAnsi"/>
          <w:sz w:val="24"/>
          <w:szCs w:val="24"/>
          <w:lang w:val="en-GB"/>
        </w:rPr>
        <w:t>Means-tested, out-of-work</w:t>
      </w:r>
      <w:r w:rsidRPr="00764F24">
        <w:rPr>
          <w:rFonts w:cstheme="minorHAnsi"/>
          <w:sz w:val="24"/>
          <w:szCs w:val="24"/>
          <w:lang w:val="en-GB"/>
        </w:rPr>
        <w:t xml:space="preserve"> benefit</w:t>
      </w:r>
      <w:r w:rsidR="00111AD7" w:rsidRPr="00764F24">
        <w:rPr>
          <w:rFonts w:cstheme="minorHAnsi"/>
          <w:sz w:val="24"/>
          <w:szCs w:val="24"/>
          <w:lang w:val="en-GB"/>
        </w:rPr>
        <w:t xml:space="preserve">s </w:t>
      </w:r>
      <w:r w:rsidRPr="00764F24">
        <w:rPr>
          <w:rFonts w:cstheme="minorHAnsi"/>
          <w:sz w:val="24"/>
          <w:szCs w:val="24"/>
          <w:lang w:val="en-GB"/>
        </w:rPr>
        <w:t>as a percentage of Minimum Income Standards</w:t>
      </w:r>
      <w:r w:rsidR="001E0C53" w:rsidRPr="00764F24">
        <w:rPr>
          <w:rFonts w:cstheme="minorHAnsi"/>
          <w:sz w:val="24"/>
          <w:szCs w:val="24"/>
          <w:lang w:val="en-GB"/>
        </w:rPr>
        <w:t>.</w:t>
      </w:r>
      <w:r w:rsidR="002B4050" w:rsidRPr="00764F24">
        <w:rPr>
          <w:rFonts w:cstheme="minorHAnsi"/>
          <w:sz w:val="24"/>
          <w:szCs w:val="24"/>
          <w:lang w:val="en-GB"/>
        </w:rPr>
        <w:t xml:space="preserve"> Source: CRSP, Loughborough University</w:t>
      </w:r>
      <w:r w:rsidRPr="00764F24">
        <w:rPr>
          <w:rStyle w:val="FootnoteReference"/>
          <w:rFonts w:cstheme="minorHAnsi"/>
          <w:b w:val="0"/>
          <w:bCs w:val="0"/>
          <w:color w:val="000000"/>
          <w:sz w:val="24"/>
          <w:szCs w:val="24"/>
          <w:lang w:val="en-GB"/>
        </w:rPr>
        <w:footnoteReference w:id="43"/>
      </w:r>
    </w:p>
    <w:p w14:paraId="0EA62604" w14:textId="77777777" w:rsidR="007E64E2" w:rsidRPr="00764F24" w:rsidRDefault="00111AD7" w:rsidP="00D86B69">
      <w:pPr>
        <w:keepNext/>
        <w:spacing w:beforeAutospacing="1" w:after="100" w:afterAutospacing="1" w:line="360" w:lineRule="auto"/>
        <w:rPr>
          <w:rFonts w:cstheme="minorHAnsi"/>
          <w:szCs w:val="24"/>
          <w:lang w:val="en-GB" w:bidi="ar-SA"/>
        </w:rPr>
      </w:pPr>
      <w:r w:rsidRPr="00764F24">
        <w:rPr>
          <w:rFonts w:cstheme="minorHAnsi"/>
          <w:noProof/>
          <w:szCs w:val="24"/>
          <w:lang w:val="en-GB" w:eastAsia="en-GB" w:bidi="ar-SA"/>
        </w:rPr>
        <w:drawing>
          <wp:inline distT="0" distB="0" distL="0" distR="0" wp14:anchorId="48C45A89" wp14:editId="0DE663E6">
            <wp:extent cx="5132567" cy="3283889"/>
            <wp:effectExtent l="0" t="0" r="11430" b="12065"/>
            <wp:docPr id="6" name="Chart 6" descr="Means tested benefits remain below what is needed for an inclusive lifestyle among those of working 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FC5CBFD" w14:textId="52E43650" w:rsidR="007E64E2" w:rsidRPr="00764F24" w:rsidRDefault="009945E5" w:rsidP="00D86B69">
      <w:pPr>
        <w:spacing w:beforeAutospacing="1" w:after="100" w:afterAutospacing="1" w:line="360" w:lineRule="auto"/>
        <w:rPr>
          <w:rFonts w:cstheme="minorHAnsi"/>
          <w:szCs w:val="24"/>
          <w:lang w:val="en-GB"/>
        </w:rPr>
      </w:pPr>
      <w:r w:rsidRPr="00764F24">
        <w:rPr>
          <w:rFonts w:cstheme="minorHAnsi"/>
          <w:szCs w:val="24"/>
          <w:lang w:val="en-GB"/>
        </w:rPr>
        <w:t xml:space="preserve">As </w:t>
      </w:r>
      <w:r w:rsidR="002B4050" w:rsidRPr="00764F24">
        <w:rPr>
          <w:rFonts w:cstheme="minorHAnsi"/>
          <w:szCs w:val="24"/>
          <w:lang w:val="en-GB"/>
        </w:rPr>
        <w:t xml:space="preserve">far as pensioners go, </w:t>
      </w:r>
      <w:r w:rsidRPr="00764F24">
        <w:rPr>
          <w:rFonts w:cstheme="minorHAnsi"/>
          <w:szCs w:val="24"/>
          <w:lang w:val="en-GB"/>
        </w:rPr>
        <w:t xml:space="preserve">we </w:t>
      </w:r>
      <w:r w:rsidR="002B4050" w:rsidRPr="00764F24">
        <w:rPr>
          <w:rFonts w:cstheme="minorHAnsi"/>
          <w:szCs w:val="24"/>
          <w:lang w:val="en-GB"/>
        </w:rPr>
        <w:t xml:space="preserve">can </w:t>
      </w:r>
      <w:r w:rsidRPr="00764F24">
        <w:rPr>
          <w:rFonts w:cstheme="minorHAnsi"/>
          <w:szCs w:val="24"/>
          <w:lang w:val="en-GB"/>
        </w:rPr>
        <w:t xml:space="preserve">see in figure </w:t>
      </w:r>
      <w:r w:rsidR="00BC24C6" w:rsidRPr="00764F24">
        <w:rPr>
          <w:rFonts w:cstheme="minorHAnsi"/>
          <w:szCs w:val="24"/>
          <w:lang w:val="en-GB"/>
        </w:rPr>
        <w:t>3.</w:t>
      </w:r>
      <w:r w:rsidR="002B4050" w:rsidRPr="00764F24">
        <w:rPr>
          <w:rFonts w:cstheme="minorHAnsi"/>
          <w:szCs w:val="24"/>
          <w:lang w:val="en-GB"/>
        </w:rPr>
        <w:t xml:space="preserve">4 that </w:t>
      </w:r>
      <w:r w:rsidR="00614D9F" w:rsidRPr="00764F24">
        <w:rPr>
          <w:rFonts w:cstheme="minorHAnsi"/>
          <w:szCs w:val="24"/>
          <w:lang w:val="en-GB"/>
        </w:rPr>
        <w:t xml:space="preserve">means-tested </w:t>
      </w:r>
      <w:r w:rsidRPr="00764F24">
        <w:rPr>
          <w:rFonts w:cstheme="minorHAnsi"/>
          <w:szCs w:val="24"/>
          <w:lang w:val="en-GB"/>
        </w:rPr>
        <w:t>p</w:t>
      </w:r>
      <w:r w:rsidR="00B04056" w:rsidRPr="00764F24">
        <w:rPr>
          <w:rFonts w:cstheme="minorHAnsi"/>
          <w:szCs w:val="24"/>
          <w:lang w:val="en-GB"/>
        </w:rPr>
        <w:t xml:space="preserve">ensioner benefits </w:t>
      </w:r>
      <w:r w:rsidR="00614D9F" w:rsidRPr="00764F24">
        <w:rPr>
          <w:rFonts w:cstheme="minorHAnsi"/>
          <w:szCs w:val="24"/>
          <w:lang w:val="en-GB"/>
        </w:rPr>
        <w:t>(e</w:t>
      </w:r>
      <w:r w:rsidR="00122693" w:rsidRPr="00764F24">
        <w:rPr>
          <w:rFonts w:cstheme="minorHAnsi"/>
          <w:szCs w:val="24"/>
          <w:lang w:val="en-GB"/>
        </w:rPr>
        <w:t>.</w:t>
      </w:r>
      <w:r w:rsidR="00614D9F" w:rsidRPr="00764F24">
        <w:rPr>
          <w:rFonts w:cstheme="minorHAnsi"/>
          <w:szCs w:val="24"/>
          <w:lang w:val="en-GB"/>
        </w:rPr>
        <w:t>g</w:t>
      </w:r>
      <w:r w:rsidR="00122693" w:rsidRPr="00764F24">
        <w:rPr>
          <w:rFonts w:cstheme="minorHAnsi"/>
          <w:szCs w:val="24"/>
          <w:lang w:val="en-GB"/>
        </w:rPr>
        <w:t>.</w:t>
      </w:r>
      <w:r w:rsidR="00614D9F" w:rsidRPr="00764F24">
        <w:rPr>
          <w:rFonts w:cstheme="minorHAnsi"/>
          <w:szCs w:val="24"/>
          <w:lang w:val="en-GB"/>
        </w:rPr>
        <w:t xml:space="preserve"> Pension Credit) also dropped massively in adequacy levels between 2009 and 2019 and have only increased marginally in the last year</w:t>
      </w:r>
      <w:r w:rsidR="00BF7FBA" w:rsidRPr="00764F24">
        <w:rPr>
          <w:rFonts w:cstheme="minorHAnsi"/>
          <w:szCs w:val="24"/>
          <w:lang w:val="en-GB"/>
        </w:rPr>
        <w:t xml:space="preserve">. </w:t>
      </w:r>
      <w:r w:rsidR="00614D9F" w:rsidRPr="00764F24">
        <w:rPr>
          <w:rFonts w:cstheme="minorHAnsi"/>
          <w:szCs w:val="24"/>
          <w:lang w:val="en-GB"/>
        </w:rPr>
        <w:t xml:space="preserve">They do, however, </w:t>
      </w:r>
      <w:r w:rsidR="00B04056" w:rsidRPr="00764F24">
        <w:rPr>
          <w:rFonts w:cstheme="minorHAnsi"/>
          <w:szCs w:val="24"/>
          <w:lang w:val="en-GB"/>
        </w:rPr>
        <w:t xml:space="preserve">continue to provide incomes </w:t>
      </w:r>
      <w:r w:rsidR="00614D9F" w:rsidRPr="00764F24">
        <w:rPr>
          <w:rFonts w:cstheme="minorHAnsi"/>
          <w:szCs w:val="24"/>
          <w:lang w:val="en-GB"/>
        </w:rPr>
        <w:t xml:space="preserve">much closer </w:t>
      </w:r>
      <w:r w:rsidR="00B04056" w:rsidRPr="00764F24">
        <w:rPr>
          <w:rFonts w:cstheme="minorHAnsi"/>
          <w:szCs w:val="24"/>
          <w:lang w:val="en-GB"/>
        </w:rPr>
        <w:t>to the M</w:t>
      </w:r>
      <w:r w:rsidR="00614D9F" w:rsidRPr="00764F24">
        <w:rPr>
          <w:rFonts w:cstheme="minorHAnsi"/>
          <w:szCs w:val="24"/>
          <w:lang w:val="en-GB"/>
        </w:rPr>
        <w:t xml:space="preserve">inimum </w:t>
      </w:r>
      <w:r w:rsidR="00B04056" w:rsidRPr="00764F24">
        <w:rPr>
          <w:rFonts w:cstheme="minorHAnsi"/>
          <w:szCs w:val="24"/>
          <w:lang w:val="en-GB"/>
        </w:rPr>
        <w:t>I</w:t>
      </w:r>
      <w:r w:rsidR="00614D9F" w:rsidRPr="00764F24">
        <w:rPr>
          <w:rFonts w:cstheme="minorHAnsi"/>
          <w:szCs w:val="24"/>
          <w:lang w:val="en-GB"/>
        </w:rPr>
        <w:t xml:space="preserve">ncome </w:t>
      </w:r>
      <w:r w:rsidR="00B04056" w:rsidRPr="00764F24">
        <w:rPr>
          <w:rFonts w:cstheme="minorHAnsi"/>
          <w:szCs w:val="24"/>
          <w:lang w:val="en-GB"/>
        </w:rPr>
        <w:t>S</w:t>
      </w:r>
      <w:r w:rsidR="00614D9F" w:rsidRPr="00764F24">
        <w:rPr>
          <w:rFonts w:cstheme="minorHAnsi"/>
          <w:szCs w:val="24"/>
          <w:lang w:val="en-GB"/>
        </w:rPr>
        <w:t>tandard</w:t>
      </w:r>
      <w:r w:rsidR="00B04056" w:rsidRPr="00764F24">
        <w:rPr>
          <w:rFonts w:cstheme="minorHAnsi"/>
          <w:szCs w:val="24"/>
          <w:lang w:val="en-GB"/>
        </w:rPr>
        <w:t xml:space="preserve"> level</w:t>
      </w:r>
      <w:r w:rsidRPr="00764F24">
        <w:rPr>
          <w:rFonts w:cstheme="minorHAnsi"/>
          <w:szCs w:val="24"/>
          <w:lang w:val="en-GB"/>
        </w:rPr>
        <w:t xml:space="preserve"> </w:t>
      </w:r>
      <w:r w:rsidR="00BC24C6" w:rsidRPr="00764F24">
        <w:rPr>
          <w:rFonts w:cstheme="minorHAnsi"/>
          <w:szCs w:val="24"/>
          <w:lang w:val="en-GB"/>
        </w:rPr>
        <w:t>than for other groups</w:t>
      </w:r>
      <w:r w:rsidR="00BF7FBA" w:rsidRPr="00764F24">
        <w:rPr>
          <w:rFonts w:cstheme="minorHAnsi"/>
          <w:szCs w:val="24"/>
          <w:lang w:val="en-GB"/>
        </w:rPr>
        <w:t xml:space="preserve">. </w:t>
      </w:r>
      <w:r w:rsidR="00614D9F" w:rsidRPr="00764F24">
        <w:rPr>
          <w:rFonts w:cstheme="minorHAnsi"/>
          <w:szCs w:val="24"/>
          <w:lang w:val="en-GB"/>
        </w:rPr>
        <w:t>For example, single pensioners, if claiming all they are entitled to, will reach 94 per cent of the level they need for a minimum income standard and pensioner couples reach 92 per cent in 2020</w:t>
      </w:r>
      <w:r w:rsidR="00BF7FBA" w:rsidRPr="00764F24">
        <w:rPr>
          <w:rFonts w:cstheme="minorHAnsi"/>
          <w:szCs w:val="24"/>
          <w:lang w:val="en-GB"/>
        </w:rPr>
        <w:t xml:space="preserve">. </w:t>
      </w:r>
    </w:p>
    <w:p w14:paraId="1E439F91" w14:textId="170D2EB6" w:rsidR="002B4050" w:rsidRPr="00764F24" w:rsidRDefault="002B4050"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3.4</w:t>
      </w:r>
      <w:r w:rsidR="00643E1B" w:rsidRPr="00764F24">
        <w:rPr>
          <w:rFonts w:cstheme="minorHAnsi"/>
          <w:sz w:val="24"/>
          <w:szCs w:val="24"/>
          <w:lang w:val="en-GB"/>
        </w:rPr>
        <w:t xml:space="preserve">. </w:t>
      </w:r>
      <w:r w:rsidRPr="00764F24">
        <w:rPr>
          <w:rFonts w:cstheme="minorHAnsi"/>
          <w:sz w:val="24"/>
          <w:szCs w:val="24"/>
          <w:lang w:val="en-GB"/>
        </w:rPr>
        <w:t>Means-tested</w:t>
      </w:r>
      <w:r w:rsidR="00614D9F" w:rsidRPr="00764F24">
        <w:rPr>
          <w:rFonts w:cstheme="minorHAnsi"/>
          <w:sz w:val="24"/>
          <w:szCs w:val="24"/>
          <w:lang w:val="en-GB"/>
        </w:rPr>
        <w:t xml:space="preserve"> benefits for pensioners</w:t>
      </w:r>
      <w:r w:rsidRPr="00764F24">
        <w:rPr>
          <w:rFonts w:cstheme="minorHAnsi"/>
          <w:sz w:val="24"/>
          <w:szCs w:val="24"/>
          <w:lang w:val="en-GB"/>
        </w:rPr>
        <w:t xml:space="preserve"> as a percentage of Minimum Income Standards</w:t>
      </w:r>
      <w:r w:rsidRPr="00764F24">
        <w:rPr>
          <w:rStyle w:val="FootnoteReference"/>
          <w:rFonts w:cstheme="minorHAnsi"/>
          <w:b w:val="0"/>
          <w:bCs w:val="0"/>
          <w:color w:val="000000"/>
          <w:sz w:val="24"/>
          <w:szCs w:val="24"/>
          <w:lang w:val="en-GB"/>
        </w:rPr>
        <w:footnoteReference w:id="44"/>
      </w:r>
    </w:p>
    <w:p w14:paraId="475567DB" w14:textId="30380805" w:rsidR="007E64E2" w:rsidRPr="00764F24" w:rsidRDefault="00A90B1A" w:rsidP="00D86B69">
      <w:pPr>
        <w:keepNext/>
        <w:spacing w:beforeAutospacing="1" w:after="100" w:afterAutospacing="1" w:line="360" w:lineRule="auto"/>
        <w:rPr>
          <w:rFonts w:cstheme="minorHAnsi"/>
          <w:szCs w:val="24"/>
          <w:lang w:val="en-GB"/>
        </w:rPr>
      </w:pPr>
      <w:r>
        <w:rPr>
          <w:rFonts w:cstheme="minorHAnsi"/>
          <w:noProof/>
          <w:szCs w:val="24"/>
          <w:lang w:val="en-GB" w:eastAsia="en-GB" w:bidi="ar-SA"/>
        </w:rPr>
        <w:drawing>
          <wp:inline distT="0" distB="0" distL="0" distR="0" wp14:anchorId="104F39EC" wp14:editId="7D53C377">
            <wp:extent cx="4316095" cy="2987040"/>
            <wp:effectExtent l="0" t="0" r="8255" b="3810"/>
            <wp:docPr id="26" name="Picture 26" descr="Benefits for older people are about 5-10% below that needed for an inclusive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16095" cy="2987040"/>
                    </a:xfrm>
                    <a:prstGeom prst="rect">
                      <a:avLst/>
                    </a:prstGeom>
                    <a:noFill/>
                  </pic:spPr>
                </pic:pic>
              </a:graphicData>
            </a:graphic>
          </wp:inline>
        </w:drawing>
      </w:r>
    </w:p>
    <w:p w14:paraId="1D97C092" w14:textId="2B540877" w:rsidR="0064257B" w:rsidRPr="00764F24" w:rsidRDefault="00BC24C6" w:rsidP="00D86B69">
      <w:pPr>
        <w:spacing w:beforeAutospacing="1" w:after="100" w:afterAutospacing="1" w:line="360" w:lineRule="auto"/>
        <w:rPr>
          <w:rFonts w:cstheme="minorHAnsi"/>
          <w:b/>
          <w:szCs w:val="24"/>
          <w:lang w:val="en-GB"/>
        </w:rPr>
      </w:pPr>
      <w:r w:rsidRPr="00764F24">
        <w:rPr>
          <w:rFonts w:cstheme="minorHAnsi"/>
          <w:szCs w:val="24"/>
          <w:lang w:val="en-GB"/>
        </w:rPr>
        <w:t>Levels of poverty have remained relatively stable over the past few years as measured in relation to average (median) incomes</w:t>
      </w:r>
      <w:r w:rsidR="00BF7FBA" w:rsidRPr="00764F24">
        <w:rPr>
          <w:rFonts w:cstheme="minorHAnsi"/>
          <w:szCs w:val="24"/>
          <w:lang w:val="en-GB"/>
        </w:rPr>
        <w:t xml:space="preserve">. </w:t>
      </w:r>
      <w:r w:rsidRPr="00764F24">
        <w:rPr>
          <w:rFonts w:cstheme="minorHAnsi"/>
          <w:szCs w:val="24"/>
          <w:lang w:val="en-GB"/>
        </w:rPr>
        <w:t>But it is clear that some groups are suffering particularly severe levels of poverty and thus turning to emergency sources of help, such as foodbanks</w:t>
      </w:r>
      <w:r w:rsidR="00BF7FBA" w:rsidRPr="00764F24">
        <w:rPr>
          <w:rFonts w:cstheme="minorHAnsi"/>
          <w:szCs w:val="24"/>
          <w:lang w:val="en-GB"/>
        </w:rPr>
        <w:t xml:space="preserve">. </w:t>
      </w:r>
      <w:r w:rsidR="00E83FA7" w:rsidRPr="00764F24">
        <w:rPr>
          <w:rFonts w:cstheme="minorHAnsi"/>
          <w:szCs w:val="24"/>
          <w:lang w:val="en-GB"/>
        </w:rPr>
        <w:t>Figures from the Trussell Trust</w:t>
      </w:r>
      <w:r w:rsidRPr="00764F24">
        <w:rPr>
          <w:rFonts w:cstheme="minorHAnsi"/>
          <w:szCs w:val="24"/>
          <w:lang w:val="en-GB"/>
        </w:rPr>
        <w:t>, for example,</w:t>
      </w:r>
      <w:r w:rsidR="00E83FA7" w:rsidRPr="00764F24">
        <w:rPr>
          <w:rFonts w:cstheme="minorHAnsi"/>
          <w:szCs w:val="24"/>
          <w:lang w:val="en-GB"/>
        </w:rPr>
        <w:t xml:space="preserve"> show a dramatic increase in the number of 3-days emergency food parcels given out over the past few years with an increase from just over 61,000 in 2010/11 to </w:t>
      </w:r>
      <w:r w:rsidR="00836BCC" w:rsidRPr="00764F24">
        <w:rPr>
          <w:rFonts w:cstheme="minorHAnsi"/>
          <w:szCs w:val="24"/>
          <w:lang w:val="en-GB"/>
        </w:rPr>
        <w:t xml:space="preserve">nearly </w:t>
      </w:r>
      <w:r w:rsidR="00E83FA7" w:rsidRPr="00764F24">
        <w:rPr>
          <w:rFonts w:cstheme="minorHAnsi"/>
          <w:szCs w:val="24"/>
          <w:lang w:val="en-GB"/>
        </w:rPr>
        <w:t>1.</w:t>
      </w:r>
      <w:r w:rsidR="00D86B69">
        <w:rPr>
          <w:rFonts w:cstheme="minorHAnsi"/>
          <w:szCs w:val="24"/>
          <w:lang w:val="en-GB"/>
        </w:rPr>
        <w:t>9</w:t>
      </w:r>
      <w:r w:rsidR="00E83FA7" w:rsidRPr="00764F24">
        <w:rPr>
          <w:rFonts w:cstheme="minorHAnsi"/>
          <w:szCs w:val="24"/>
          <w:lang w:val="en-GB"/>
        </w:rPr>
        <w:t xml:space="preserve"> million </w:t>
      </w:r>
      <w:r w:rsidR="00D86B69">
        <w:rPr>
          <w:rFonts w:cstheme="minorHAnsi"/>
          <w:szCs w:val="24"/>
          <w:lang w:val="en-GB"/>
        </w:rPr>
        <w:t>from 1</w:t>
      </w:r>
      <w:r w:rsidR="00D86B69" w:rsidRPr="00D86B69">
        <w:rPr>
          <w:rFonts w:cstheme="minorHAnsi"/>
          <w:szCs w:val="24"/>
          <w:vertAlign w:val="superscript"/>
          <w:lang w:val="en-GB"/>
        </w:rPr>
        <w:t>st</w:t>
      </w:r>
      <w:r w:rsidR="00D86B69">
        <w:rPr>
          <w:rFonts w:cstheme="minorHAnsi"/>
          <w:szCs w:val="24"/>
          <w:lang w:val="en-GB"/>
        </w:rPr>
        <w:t xml:space="preserve"> April 2019 to end of March 2020, that is, largely before the COVID-19 lockdown</w:t>
      </w:r>
      <w:r w:rsidR="00EA4C0A" w:rsidRPr="00764F24">
        <w:rPr>
          <w:rFonts w:cstheme="minorHAnsi"/>
          <w:szCs w:val="24"/>
          <w:lang w:val="en-GB"/>
        </w:rPr>
        <w:t xml:space="preserve"> (see figure </w:t>
      </w:r>
      <w:r w:rsidR="0038483B" w:rsidRPr="00764F24">
        <w:rPr>
          <w:rFonts w:cstheme="minorHAnsi"/>
          <w:szCs w:val="24"/>
          <w:lang w:val="en-GB"/>
        </w:rPr>
        <w:t>3.</w:t>
      </w:r>
      <w:r w:rsidR="0000347B">
        <w:rPr>
          <w:rFonts w:cstheme="minorHAnsi"/>
          <w:szCs w:val="24"/>
          <w:lang w:val="en-GB"/>
        </w:rPr>
        <w:t>5</w:t>
      </w:r>
      <w:r w:rsidR="00E83FA7" w:rsidRPr="00764F24">
        <w:rPr>
          <w:rFonts w:cstheme="minorHAnsi"/>
          <w:szCs w:val="24"/>
          <w:lang w:val="en-GB"/>
        </w:rPr>
        <w:t>)</w:t>
      </w:r>
      <w:r w:rsidR="00BF7FBA" w:rsidRPr="00764F24">
        <w:rPr>
          <w:rFonts w:cstheme="minorHAnsi"/>
          <w:szCs w:val="24"/>
          <w:lang w:val="en-GB"/>
        </w:rPr>
        <w:t xml:space="preserve">. </w:t>
      </w:r>
      <w:r w:rsidR="00B61640" w:rsidRPr="00764F24">
        <w:rPr>
          <w:rFonts w:cstheme="minorHAnsi"/>
          <w:szCs w:val="24"/>
          <w:lang w:val="en-GB"/>
        </w:rPr>
        <w:t>The primary reason for use of food banks was, according to the Trussell Trust</w:t>
      </w:r>
      <w:r w:rsidR="00AE6BDE" w:rsidRPr="00764F24">
        <w:rPr>
          <w:rFonts w:cstheme="minorHAnsi"/>
          <w:szCs w:val="24"/>
          <w:lang w:val="en-GB"/>
        </w:rPr>
        <w:t xml:space="preserve">: </w:t>
      </w:r>
      <w:r w:rsidR="00B61640" w:rsidRPr="00764F24">
        <w:rPr>
          <w:rFonts w:cstheme="minorHAnsi"/>
          <w:szCs w:val="24"/>
          <w:lang w:val="en-GB"/>
        </w:rPr>
        <w:t>low income</w:t>
      </w:r>
      <w:r w:rsidR="00AE6BDE" w:rsidRPr="00764F24">
        <w:rPr>
          <w:rFonts w:cstheme="minorHAnsi"/>
          <w:szCs w:val="24"/>
          <w:lang w:val="en-GB"/>
        </w:rPr>
        <w:t>;</w:t>
      </w:r>
      <w:r w:rsidR="00B61640" w:rsidRPr="00764F24">
        <w:rPr>
          <w:rFonts w:cstheme="minorHAnsi"/>
          <w:szCs w:val="24"/>
          <w:lang w:val="en-GB"/>
        </w:rPr>
        <w:t xml:space="preserve"> </w:t>
      </w:r>
      <w:r w:rsidR="00836BCC" w:rsidRPr="00764F24">
        <w:rPr>
          <w:rFonts w:cstheme="minorHAnsi"/>
          <w:szCs w:val="24"/>
          <w:lang w:val="en-GB"/>
        </w:rPr>
        <w:t xml:space="preserve">benefit delays; </w:t>
      </w:r>
      <w:r w:rsidR="00B61640" w:rsidRPr="00764F24">
        <w:rPr>
          <w:rFonts w:cstheme="minorHAnsi"/>
          <w:szCs w:val="24"/>
          <w:lang w:val="en-GB"/>
        </w:rPr>
        <w:t xml:space="preserve">and benefit </w:t>
      </w:r>
      <w:r w:rsidR="002C75FA" w:rsidRPr="00764F24">
        <w:rPr>
          <w:rFonts w:cstheme="minorHAnsi"/>
          <w:szCs w:val="24"/>
          <w:lang w:val="en-GB"/>
        </w:rPr>
        <w:t xml:space="preserve">changes (including </w:t>
      </w:r>
      <w:r w:rsidR="00B61640" w:rsidRPr="00764F24">
        <w:rPr>
          <w:rFonts w:cstheme="minorHAnsi"/>
          <w:szCs w:val="24"/>
          <w:lang w:val="en-GB"/>
        </w:rPr>
        <w:t>sanctions</w:t>
      </w:r>
      <w:r w:rsidR="002C75FA" w:rsidRPr="00764F24">
        <w:rPr>
          <w:rFonts w:cstheme="minorHAnsi"/>
          <w:szCs w:val="24"/>
          <w:lang w:val="en-GB"/>
        </w:rPr>
        <w:t>)</w:t>
      </w:r>
      <w:r w:rsidR="00B61640" w:rsidRPr="00764F24">
        <w:rPr>
          <w:rFonts w:cstheme="minorHAnsi"/>
          <w:szCs w:val="24"/>
          <w:lang w:val="en-GB"/>
        </w:rPr>
        <w:t>.</w:t>
      </w:r>
    </w:p>
    <w:p w14:paraId="27C41489" w14:textId="7CA0F49D" w:rsidR="007E64E2" w:rsidRPr="00764F24" w:rsidRDefault="007E64E2" w:rsidP="00D86B69">
      <w:pPr>
        <w:spacing w:beforeAutospacing="1" w:after="100" w:afterAutospacing="1" w:line="360" w:lineRule="auto"/>
        <w:rPr>
          <w:rFonts w:cstheme="minorHAnsi"/>
          <w:szCs w:val="24"/>
          <w:lang w:val="en-GB"/>
        </w:rPr>
      </w:pPr>
    </w:p>
    <w:p w14:paraId="61C35D0E" w14:textId="27B103D1" w:rsidR="00975267" w:rsidRPr="00764F24" w:rsidRDefault="00975267"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 xml:space="preserve">Figure </w:t>
      </w:r>
      <w:r w:rsidR="00836BCC" w:rsidRPr="00764F24">
        <w:rPr>
          <w:rFonts w:cstheme="minorHAnsi"/>
          <w:sz w:val="24"/>
          <w:szCs w:val="24"/>
          <w:lang w:val="en-GB"/>
        </w:rPr>
        <w:t>3.</w:t>
      </w:r>
      <w:r w:rsidR="0000347B">
        <w:rPr>
          <w:rFonts w:cstheme="minorHAnsi"/>
          <w:sz w:val="24"/>
          <w:szCs w:val="24"/>
          <w:lang w:val="en-GB"/>
        </w:rPr>
        <w:t>5</w:t>
      </w:r>
      <w:r w:rsidR="00643E1B" w:rsidRPr="00764F24">
        <w:rPr>
          <w:rFonts w:cstheme="minorHAnsi"/>
          <w:sz w:val="24"/>
          <w:szCs w:val="24"/>
          <w:lang w:val="en-GB"/>
        </w:rPr>
        <w:t xml:space="preserve">. </w:t>
      </w:r>
      <w:r w:rsidRPr="00764F24">
        <w:rPr>
          <w:rFonts w:cstheme="minorHAnsi"/>
          <w:sz w:val="24"/>
          <w:szCs w:val="24"/>
          <w:lang w:val="en-GB"/>
        </w:rPr>
        <w:t>Number of people given 3-days emergency food and support by the Trussell Trust</w:t>
      </w:r>
      <w:r w:rsidR="003C0D39" w:rsidRPr="00764F24">
        <w:rPr>
          <w:rFonts w:cstheme="minorHAnsi"/>
          <w:sz w:val="24"/>
          <w:szCs w:val="24"/>
          <w:lang w:val="en-GB"/>
        </w:rPr>
        <w:t xml:space="preserve"> increases to 1.</w:t>
      </w:r>
      <w:r w:rsidR="00B14EE2">
        <w:rPr>
          <w:rFonts w:cstheme="minorHAnsi"/>
          <w:sz w:val="24"/>
          <w:szCs w:val="24"/>
          <w:lang w:val="en-GB"/>
        </w:rPr>
        <w:t>9</w:t>
      </w:r>
      <w:r w:rsidR="003C0D39" w:rsidRPr="00764F24">
        <w:rPr>
          <w:rFonts w:cstheme="minorHAnsi"/>
          <w:sz w:val="24"/>
          <w:szCs w:val="24"/>
          <w:lang w:val="en-GB"/>
        </w:rPr>
        <w:t xml:space="preserve"> million</w:t>
      </w:r>
      <w:r w:rsidR="003C0D39" w:rsidRPr="00764F24">
        <w:rPr>
          <w:rStyle w:val="FootnoteReference"/>
          <w:rFonts w:cstheme="minorHAnsi"/>
          <w:b w:val="0"/>
          <w:sz w:val="24"/>
          <w:szCs w:val="24"/>
          <w:lang w:val="en-GB"/>
        </w:rPr>
        <w:footnoteReference w:id="45"/>
      </w:r>
    </w:p>
    <w:p w14:paraId="4D1DFFFF" w14:textId="15954D4A" w:rsidR="007E64E2" w:rsidRPr="00764F24" w:rsidRDefault="00B301A9" w:rsidP="00D86B69">
      <w:pPr>
        <w:keepNext/>
        <w:spacing w:beforeAutospacing="1" w:after="100" w:afterAutospacing="1" w:line="360" w:lineRule="auto"/>
        <w:rPr>
          <w:rFonts w:cstheme="minorHAnsi"/>
          <w:b/>
          <w:szCs w:val="24"/>
          <w:lang w:val="en-GB"/>
        </w:rPr>
      </w:pPr>
      <w:r>
        <w:rPr>
          <w:rFonts w:cstheme="minorHAnsi"/>
          <w:b/>
          <w:noProof/>
          <w:szCs w:val="24"/>
          <w:lang w:val="en-GB" w:eastAsia="en-GB" w:bidi="ar-SA"/>
        </w:rPr>
        <w:drawing>
          <wp:inline distT="0" distB="0" distL="0" distR="0" wp14:anchorId="4E8F4686" wp14:editId="06798F71">
            <wp:extent cx="5114925" cy="3944620"/>
            <wp:effectExtent l="0" t="0" r="9525" b="0"/>
            <wp:docPr id="50" name="Picture 50" descr="Food parcels from Trussell Trust reached close to 2 million in 2019-20, up from 1.6 million a year 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14925" cy="3944620"/>
                    </a:xfrm>
                    <a:prstGeom prst="rect">
                      <a:avLst/>
                    </a:prstGeom>
                    <a:noFill/>
                  </pic:spPr>
                </pic:pic>
              </a:graphicData>
            </a:graphic>
          </wp:inline>
        </w:drawing>
      </w:r>
    </w:p>
    <w:p w14:paraId="605E74E6" w14:textId="0A61DB98" w:rsidR="00F87452" w:rsidRPr="00764F24" w:rsidRDefault="00D86B69" w:rsidP="00D86B69">
      <w:pPr>
        <w:spacing w:beforeAutospacing="1" w:after="100" w:afterAutospacing="1" w:line="360" w:lineRule="auto"/>
        <w:rPr>
          <w:rFonts w:cstheme="minorHAnsi"/>
          <w:szCs w:val="24"/>
          <w:lang w:val="en-GB"/>
        </w:rPr>
      </w:pPr>
      <w:r>
        <w:rPr>
          <w:rFonts w:cstheme="minorHAnsi"/>
          <w:szCs w:val="24"/>
          <w:lang w:val="en-GB"/>
        </w:rPr>
        <w:t>Following lockdown, i</w:t>
      </w:r>
      <w:r w:rsidR="00F87452" w:rsidRPr="00764F24">
        <w:rPr>
          <w:rFonts w:cstheme="minorHAnsi"/>
          <w:szCs w:val="24"/>
          <w:lang w:val="en-GB"/>
        </w:rPr>
        <w:t>n June 2020, The Trussell Trust reported</w:t>
      </w:r>
      <w:r w:rsidR="00F87452" w:rsidRPr="00764F24">
        <w:rPr>
          <w:rStyle w:val="FootnoteReference"/>
          <w:rFonts w:cstheme="minorHAnsi"/>
          <w:szCs w:val="24"/>
          <w:lang w:val="en-GB"/>
        </w:rPr>
        <w:footnoteReference w:id="46"/>
      </w:r>
      <w:r w:rsidR="00F87452" w:rsidRPr="00764F24">
        <w:rPr>
          <w:rFonts w:cstheme="minorHAnsi"/>
          <w:szCs w:val="24"/>
          <w:lang w:val="en-GB"/>
        </w:rPr>
        <w:t xml:space="preserve"> an 89</w:t>
      </w:r>
      <w:r w:rsidR="00125F43" w:rsidRPr="00764F24">
        <w:rPr>
          <w:rFonts w:eastAsiaTheme="majorEastAsia" w:cstheme="minorHAnsi"/>
          <w:bCs/>
          <w:kern w:val="32"/>
          <w:szCs w:val="24"/>
          <w:lang w:val="en-GB"/>
        </w:rPr>
        <w:t xml:space="preserve"> per cent</w:t>
      </w:r>
      <w:r w:rsidR="00F87452" w:rsidRPr="00764F24">
        <w:rPr>
          <w:rFonts w:cstheme="minorHAnsi"/>
          <w:szCs w:val="24"/>
          <w:lang w:val="en-GB"/>
        </w:rPr>
        <w:t xml:space="preserve"> increase in need for emergency food parcels during April 2020 compared to the same month in the 2019, including a 107</w:t>
      </w:r>
      <w:r w:rsidR="00125F43" w:rsidRPr="00764F24">
        <w:rPr>
          <w:rFonts w:eastAsiaTheme="majorEastAsia" w:cstheme="minorHAnsi"/>
          <w:bCs/>
          <w:kern w:val="32"/>
          <w:szCs w:val="24"/>
          <w:lang w:val="en-GB"/>
        </w:rPr>
        <w:t xml:space="preserve"> per cent</w:t>
      </w:r>
      <w:r w:rsidR="00125F43" w:rsidRPr="00764F24">
        <w:rPr>
          <w:rFonts w:cstheme="minorHAnsi"/>
          <w:szCs w:val="24"/>
          <w:lang w:val="en-GB"/>
        </w:rPr>
        <w:t xml:space="preserve"> </w:t>
      </w:r>
      <w:r w:rsidR="00F87452" w:rsidRPr="00764F24">
        <w:rPr>
          <w:rFonts w:cstheme="minorHAnsi"/>
          <w:szCs w:val="24"/>
          <w:lang w:val="en-GB"/>
        </w:rPr>
        <w:t>rise in parcels given to children. The number of families with children receiving parcels had almost doubled compared to the same period in 2019</w:t>
      </w:r>
      <w:r w:rsidR="00BF7FBA" w:rsidRPr="00764F24">
        <w:rPr>
          <w:rFonts w:cstheme="minorHAnsi"/>
          <w:szCs w:val="24"/>
          <w:lang w:val="en-GB"/>
        </w:rPr>
        <w:t xml:space="preserve">. </w:t>
      </w:r>
      <w:r w:rsidR="00F87452" w:rsidRPr="00764F24">
        <w:rPr>
          <w:rFonts w:cstheme="minorHAnsi"/>
          <w:szCs w:val="24"/>
          <w:lang w:val="en-GB"/>
        </w:rPr>
        <w:t>The Trust also reported that food banks in the Independent Food Aid Network (IFAN) had seen a 175</w:t>
      </w:r>
      <w:r w:rsidR="00125F43" w:rsidRPr="00764F24">
        <w:rPr>
          <w:rFonts w:eastAsiaTheme="majorEastAsia" w:cstheme="minorHAnsi"/>
          <w:bCs/>
          <w:kern w:val="32"/>
          <w:szCs w:val="24"/>
          <w:lang w:val="en-GB"/>
        </w:rPr>
        <w:t xml:space="preserve"> per cent</w:t>
      </w:r>
      <w:r w:rsidR="00F87452" w:rsidRPr="00764F24">
        <w:rPr>
          <w:rFonts w:cstheme="minorHAnsi"/>
          <w:szCs w:val="24"/>
          <w:lang w:val="en-GB"/>
        </w:rPr>
        <w:t xml:space="preserve"> increase in need for the same period.</w:t>
      </w:r>
    </w:p>
    <w:p w14:paraId="394AAB26" w14:textId="0807A3D3" w:rsidR="002C1913" w:rsidRPr="00764F24" w:rsidRDefault="002C1913" w:rsidP="00D86B69">
      <w:pPr>
        <w:spacing w:beforeAutospacing="1" w:after="100" w:afterAutospacing="1" w:line="360" w:lineRule="auto"/>
        <w:rPr>
          <w:rFonts w:cstheme="minorHAnsi"/>
          <w:szCs w:val="24"/>
          <w:lang w:val="en-GB"/>
        </w:rPr>
      </w:pPr>
      <w:r w:rsidRPr="00764F24">
        <w:rPr>
          <w:rFonts w:cstheme="minorHAnsi"/>
          <w:szCs w:val="24"/>
          <w:lang w:val="en-GB"/>
        </w:rPr>
        <w:t>According to a YouGov survey for the Standard Life Foundation’s Coronavirus financial tracker</w:t>
      </w:r>
      <w:r w:rsidRPr="00764F24">
        <w:rPr>
          <w:rStyle w:val="FootnoteReference"/>
          <w:rFonts w:cstheme="minorHAnsi"/>
          <w:szCs w:val="24"/>
          <w:lang w:val="en-GB"/>
        </w:rPr>
        <w:footnoteReference w:id="47"/>
      </w:r>
      <w:r w:rsidRPr="00764F24">
        <w:rPr>
          <w:rFonts w:cstheme="minorHAnsi"/>
          <w:szCs w:val="24"/>
          <w:lang w:val="en-GB"/>
        </w:rPr>
        <w:t xml:space="preserve">, by the end of July 2020, a third (34 per cent) of households reported a fall in income as a direct </w:t>
      </w:r>
      <w:r w:rsidRPr="00764F24">
        <w:rPr>
          <w:rFonts w:cstheme="minorHAnsi"/>
          <w:szCs w:val="24"/>
          <w:lang w:val="en-GB"/>
        </w:rPr>
        <w:lastRenderedPageBreak/>
        <w:t xml:space="preserve">consequence of the pandemic – that is a total of 9.7 million households across the UK. The effects of the lockdown on household finances were therefore still widespread even though about a third of those furloughed had returned to work, the. </w:t>
      </w:r>
    </w:p>
    <w:p w14:paraId="05FB688E" w14:textId="77777777" w:rsidR="007E64E2" w:rsidRPr="00764F24" w:rsidRDefault="00643E1B" w:rsidP="00D86B69">
      <w:pPr>
        <w:spacing w:beforeAutospacing="1" w:after="100" w:afterAutospacing="1" w:line="360" w:lineRule="auto"/>
        <w:rPr>
          <w:rFonts w:eastAsiaTheme="majorEastAsia" w:cstheme="minorHAnsi"/>
          <w:szCs w:val="24"/>
          <w:lang w:val="en-GB"/>
        </w:rPr>
      </w:pPr>
      <w:r w:rsidRPr="00764F24">
        <w:rPr>
          <w:rFonts w:eastAsiaTheme="majorEastAsia" w:cstheme="minorHAnsi"/>
          <w:szCs w:val="24"/>
          <w:lang w:val="en-GB"/>
        </w:rPr>
        <w:br w:type="page"/>
      </w:r>
    </w:p>
    <w:p w14:paraId="4C41BFAB" w14:textId="77777777" w:rsidR="007E64E2" w:rsidRPr="00764F24" w:rsidRDefault="00C0784A" w:rsidP="00D86B69">
      <w:pPr>
        <w:pStyle w:val="Heading2"/>
        <w:numPr>
          <w:ilvl w:val="0"/>
          <w:numId w:val="10"/>
        </w:numPr>
        <w:spacing w:beforeAutospacing="1" w:after="100" w:afterAutospacing="1" w:line="360" w:lineRule="auto"/>
        <w:rPr>
          <w:rFonts w:cstheme="minorHAnsi"/>
          <w:szCs w:val="24"/>
          <w:lang w:val="en-GB"/>
        </w:rPr>
      </w:pPr>
      <w:bookmarkStart w:id="37" w:name="_Toc51250061"/>
      <w:bookmarkStart w:id="38" w:name="_Toc54600803"/>
      <w:r w:rsidRPr="00764F24">
        <w:rPr>
          <w:rFonts w:cstheme="minorHAnsi"/>
          <w:szCs w:val="24"/>
          <w:lang w:val="en-GB"/>
        </w:rPr>
        <w:lastRenderedPageBreak/>
        <w:t>Subjective f</w:t>
      </w:r>
      <w:r w:rsidR="00035197" w:rsidRPr="00764F24">
        <w:rPr>
          <w:rFonts w:cstheme="minorHAnsi"/>
          <w:szCs w:val="24"/>
          <w:lang w:val="en-GB"/>
        </w:rPr>
        <w:t>inancial wellbeing</w:t>
      </w:r>
      <w:bookmarkEnd w:id="37"/>
      <w:bookmarkEnd w:id="38"/>
    </w:p>
    <w:p w14:paraId="1B198024" w14:textId="3E330BA3" w:rsidR="007E64E2" w:rsidRPr="00764F24" w:rsidRDefault="00E43F60" w:rsidP="00D86B69">
      <w:pPr>
        <w:spacing w:beforeAutospacing="1" w:after="100" w:afterAutospacing="1" w:line="360" w:lineRule="auto"/>
        <w:rPr>
          <w:rFonts w:cstheme="minorHAnsi"/>
          <w:szCs w:val="24"/>
          <w:lang w:val="en-GB"/>
        </w:rPr>
      </w:pPr>
      <w:r w:rsidRPr="00764F24">
        <w:rPr>
          <w:rFonts w:cstheme="minorHAnsi"/>
          <w:szCs w:val="24"/>
          <w:lang w:val="en-GB"/>
        </w:rPr>
        <w:t>So far in this report we have looked at objective measures of income and employment and shown increasing pressures on families to manage their finances</w:t>
      </w:r>
      <w:r w:rsidR="00BF7FBA" w:rsidRPr="00764F24">
        <w:rPr>
          <w:rFonts w:cstheme="minorHAnsi"/>
          <w:szCs w:val="24"/>
          <w:lang w:val="en-GB"/>
        </w:rPr>
        <w:t xml:space="preserve">. </w:t>
      </w:r>
      <w:r w:rsidR="000F6149" w:rsidRPr="00764F24">
        <w:rPr>
          <w:rFonts w:cstheme="minorHAnsi"/>
          <w:szCs w:val="24"/>
          <w:lang w:val="en-GB"/>
        </w:rPr>
        <w:t>But</w:t>
      </w:r>
      <w:r w:rsidRPr="00764F24">
        <w:rPr>
          <w:rFonts w:cstheme="minorHAnsi"/>
          <w:szCs w:val="24"/>
          <w:lang w:val="en-GB"/>
        </w:rPr>
        <w:t xml:space="preserve"> how are they feeling about all of this?</w:t>
      </w:r>
      <w:r w:rsidR="008D2686" w:rsidRPr="00764F24">
        <w:rPr>
          <w:rFonts w:cstheme="minorHAnsi"/>
          <w:szCs w:val="24"/>
          <w:lang w:val="en-GB"/>
        </w:rPr>
        <w:t xml:space="preserve"> </w:t>
      </w:r>
      <w:r w:rsidR="00250D2A" w:rsidRPr="00764F24">
        <w:rPr>
          <w:rFonts w:cstheme="minorHAnsi"/>
          <w:szCs w:val="24"/>
          <w:lang w:val="en-GB"/>
        </w:rPr>
        <w:t xml:space="preserve">The Understanding Society </w:t>
      </w:r>
      <w:r w:rsidR="005D763C" w:rsidRPr="00764F24">
        <w:rPr>
          <w:rFonts w:cstheme="minorHAnsi"/>
          <w:szCs w:val="24"/>
          <w:lang w:val="en-GB"/>
        </w:rPr>
        <w:t xml:space="preserve">survey </w:t>
      </w:r>
      <w:r w:rsidR="00250D2A" w:rsidRPr="00764F24">
        <w:rPr>
          <w:rFonts w:cstheme="minorHAnsi"/>
          <w:szCs w:val="24"/>
          <w:lang w:val="en-GB"/>
        </w:rPr>
        <w:t>asks people about how they are managing, financially, and a</w:t>
      </w:r>
      <w:r w:rsidR="00374C28" w:rsidRPr="00764F24">
        <w:rPr>
          <w:rFonts w:cstheme="minorHAnsi"/>
          <w:szCs w:val="24"/>
          <w:lang w:val="en-GB"/>
        </w:rPr>
        <w:t xml:space="preserve">ccording to our most up-to-date figures, </w:t>
      </w:r>
      <w:r w:rsidR="00961A63" w:rsidRPr="00764F24">
        <w:rPr>
          <w:rFonts w:cstheme="minorHAnsi"/>
          <w:szCs w:val="24"/>
          <w:lang w:val="en-GB"/>
        </w:rPr>
        <w:t>7</w:t>
      </w:r>
      <w:r w:rsidR="0038483B" w:rsidRPr="00764F24">
        <w:rPr>
          <w:rFonts w:cstheme="minorHAnsi"/>
          <w:szCs w:val="24"/>
          <w:lang w:val="en-GB"/>
        </w:rPr>
        <w:t>.5</w:t>
      </w:r>
      <w:r w:rsidRPr="00764F24">
        <w:rPr>
          <w:rFonts w:cstheme="minorHAnsi"/>
          <w:szCs w:val="24"/>
          <w:lang w:val="en-GB"/>
        </w:rPr>
        <w:t xml:space="preserve"> per cent of households</w:t>
      </w:r>
      <w:r w:rsidR="00BF27AC" w:rsidRPr="00764F24">
        <w:rPr>
          <w:rFonts w:cstheme="minorHAnsi"/>
          <w:szCs w:val="24"/>
          <w:lang w:val="en-GB"/>
        </w:rPr>
        <w:t xml:space="preserve"> </w:t>
      </w:r>
      <w:r w:rsidR="00961A63" w:rsidRPr="00764F24">
        <w:rPr>
          <w:rFonts w:cstheme="minorHAnsi"/>
          <w:szCs w:val="24"/>
          <w:lang w:val="en-GB"/>
        </w:rPr>
        <w:t>in 201</w:t>
      </w:r>
      <w:r w:rsidR="0038483B" w:rsidRPr="00764F24">
        <w:rPr>
          <w:rFonts w:cstheme="minorHAnsi"/>
          <w:szCs w:val="24"/>
          <w:lang w:val="en-GB"/>
        </w:rPr>
        <w:t>7/18</w:t>
      </w:r>
      <w:r w:rsidR="00374C28" w:rsidRPr="00764F24">
        <w:rPr>
          <w:rFonts w:cstheme="minorHAnsi"/>
          <w:szCs w:val="24"/>
          <w:lang w:val="en-GB"/>
        </w:rPr>
        <w:t xml:space="preserve"> </w:t>
      </w:r>
      <w:r w:rsidR="00BF27AC" w:rsidRPr="00764F24">
        <w:rPr>
          <w:rFonts w:cstheme="minorHAnsi"/>
          <w:szCs w:val="24"/>
          <w:lang w:val="en-GB"/>
        </w:rPr>
        <w:t xml:space="preserve">were finding it either very or quite difficult </w:t>
      </w:r>
      <w:r w:rsidR="00715498" w:rsidRPr="00764F24">
        <w:rPr>
          <w:rFonts w:cstheme="minorHAnsi"/>
          <w:szCs w:val="24"/>
          <w:lang w:val="en-GB"/>
        </w:rPr>
        <w:t xml:space="preserve">to manage financially </w:t>
      </w:r>
      <w:r w:rsidR="00BF27AC" w:rsidRPr="00764F24">
        <w:rPr>
          <w:rFonts w:cstheme="minorHAnsi"/>
          <w:szCs w:val="24"/>
          <w:lang w:val="en-GB"/>
        </w:rPr>
        <w:t>and a further 2</w:t>
      </w:r>
      <w:r w:rsidR="00E47F03" w:rsidRPr="00764F24">
        <w:rPr>
          <w:rFonts w:cstheme="minorHAnsi"/>
          <w:szCs w:val="24"/>
          <w:lang w:val="en-GB"/>
        </w:rPr>
        <w:t>1</w:t>
      </w:r>
      <w:r w:rsidR="00BF27AC" w:rsidRPr="00764F24">
        <w:rPr>
          <w:rFonts w:cstheme="minorHAnsi"/>
          <w:szCs w:val="24"/>
          <w:lang w:val="en-GB"/>
        </w:rPr>
        <w:t xml:space="preserve"> per cent were ‘just about getting by’ </w:t>
      </w:r>
      <w:r w:rsidR="006049E7" w:rsidRPr="00764F24">
        <w:rPr>
          <w:rFonts w:cstheme="minorHAnsi"/>
          <w:szCs w:val="24"/>
          <w:lang w:val="en-GB"/>
        </w:rPr>
        <w:t xml:space="preserve">– a combined total of </w:t>
      </w:r>
      <w:r w:rsidR="00E47F03" w:rsidRPr="00764F24">
        <w:rPr>
          <w:rFonts w:cstheme="minorHAnsi"/>
          <w:szCs w:val="24"/>
          <w:lang w:val="en-GB"/>
        </w:rPr>
        <w:t>28</w:t>
      </w:r>
      <w:r w:rsidR="0038483B" w:rsidRPr="00764F24">
        <w:rPr>
          <w:rFonts w:cstheme="minorHAnsi"/>
          <w:szCs w:val="24"/>
          <w:lang w:val="en-GB"/>
        </w:rPr>
        <w:t>.5</w:t>
      </w:r>
      <w:r w:rsidR="006049E7" w:rsidRPr="00764F24">
        <w:rPr>
          <w:rFonts w:cstheme="minorHAnsi"/>
          <w:szCs w:val="24"/>
          <w:lang w:val="en-GB"/>
        </w:rPr>
        <w:t xml:space="preserve"> per cent </w:t>
      </w:r>
      <w:r w:rsidR="00BF27AC" w:rsidRPr="00764F24">
        <w:rPr>
          <w:rFonts w:cstheme="minorHAnsi"/>
          <w:szCs w:val="24"/>
          <w:lang w:val="en-GB"/>
        </w:rPr>
        <w:t xml:space="preserve">(see figure </w:t>
      </w:r>
      <w:r w:rsidR="0038483B" w:rsidRPr="00764F24">
        <w:rPr>
          <w:rFonts w:cstheme="minorHAnsi"/>
          <w:szCs w:val="24"/>
          <w:lang w:val="en-GB"/>
        </w:rPr>
        <w:t>4.1</w:t>
      </w:r>
      <w:r w:rsidR="00BF27AC" w:rsidRPr="00764F24">
        <w:rPr>
          <w:rFonts w:cstheme="minorHAnsi"/>
          <w:szCs w:val="24"/>
          <w:lang w:val="en-GB"/>
        </w:rPr>
        <w:t>)</w:t>
      </w:r>
      <w:r w:rsidR="00BF7FBA" w:rsidRPr="00764F24">
        <w:rPr>
          <w:rFonts w:cstheme="minorHAnsi"/>
          <w:szCs w:val="24"/>
          <w:lang w:val="en-GB"/>
        </w:rPr>
        <w:t xml:space="preserve">. </w:t>
      </w:r>
    </w:p>
    <w:p w14:paraId="4E52C067" w14:textId="7ECEE1E1" w:rsidR="00F163F0" w:rsidRPr="00764F24" w:rsidRDefault="00E43F60" w:rsidP="00D86B69">
      <w:pPr>
        <w:pStyle w:val="Caption"/>
        <w:spacing w:beforeAutospacing="1" w:after="100" w:afterAutospacing="1" w:line="360" w:lineRule="auto"/>
        <w:rPr>
          <w:rFonts w:eastAsia="Times New Roman" w:cstheme="minorHAnsi"/>
          <w:sz w:val="24"/>
          <w:szCs w:val="24"/>
          <w:lang w:val="en-GB" w:eastAsia="en-GB"/>
        </w:rPr>
      </w:pPr>
      <w:r w:rsidRPr="00764F24">
        <w:rPr>
          <w:rFonts w:eastAsia="Times New Roman" w:cstheme="minorHAnsi"/>
          <w:sz w:val="24"/>
          <w:szCs w:val="24"/>
          <w:lang w:val="en-GB" w:eastAsia="en-GB"/>
        </w:rPr>
        <w:t xml:space="preserve">Figure </w:t>
      </w:r>
      <w:r w:rsidR="00836BCC" w:rsidRPr="00764F24">
        <w:rPr>
          <w:rFonts w:eastAsia="Times New Roman" w:cstheme="minorHAnsi"/>
          <w:sz w:val="24"/>
          <w:szCs w:val="24"/>
          <w:lang w:val="en-GB" w:eastAsia="en-GB"/>
        </w:rPr>
        <w:t>4.1</w:t>
      </w:r>
      <w:r w:rsidR="00643E1B" w:rsidRPr="00764F24">
        <w:rPr>
          <w:rFonts w:eastAsia="Times New Roman" w:cstheme="minorHAnsi"/>
          <w:sz w:val="24"/>
          <w:szCs w:val="24"/>
          <w:lang w:val="en-GB" w:eastAsia="en-GB"/>
        </w:rPr>
        <w:t xml:space="preserve">. </w:t>
      </w:r>
      <w:r w:rsidR="00157A1A" w:rsidRPr="00157A1A">
        <w:rPr>
          <w:rFonts w:eastAsia="Times New Roman" w:cstheme="minorHAnsi"/>
          <w:sz w:val="24"/>
          <w:szCs w:val="24"/>
          <w:lang w:val="en-GB" w:eastAsia="en-GB"/>
        </w:rPr>
        <w:t>Means tested benefits remain below what is needed for an inclusive lifestyle among those of working age.</w:t>
      </w:r>
      <w:r w:rsidR="00643E1B" w:rsidRPr="00764F24">
        <w:rPr>
          <w:rFonts w:eastAsia="Times New Roman" w:cstheme="minorHAnsi"/>
          <w:sz w:val="24"/>
          <w:szCs w:val="24"/>
          <w:lang w:val="en-GB" w:eastAsia="en-GB"/>
        </w:rPr>
        <w:t>. Source:</w:t>
      </w:r>
      <w:r w:rsidRPr="00764F24">
        <w:rPr>
          <w:rFonts w:eastAsia="Times New Roman" w:cstheme="minorHAnsi"/>
          <w:sz w:val="24"/>
          <w:szCs w:val="24"/>
          <w:lang w:val="en-GB" w:eastAsia="en-GB"/>
        </w:rPr>
        <w:t xml:space="preserve"> </w:t>
      </w:r>
      <w:r w:rsidR="00BF27AC" w:rsidRPr="00764F24">
        <w:rPr>
          <w:rFonts w:eastAsia="Times New Roman" w:cstheme="minorHAnsi"/>
          <w:sz w:val="24"/>
          <w:szCs w:val="24"/>
          <w:lang w:val="en-GB" w:eastAsia="en-GB"/>
        </w:rPr>
        <w:t>Understanding Society</w:t>
      </w:r>
      <w:r w:rsidR="00836BCC" w:rsidRPr="00764F24">
        <w:rPr>
          <w:rStyle w:val="FootnoteReference"/>
          <w:rFonts w:eastAsia="Times New Roman" w:cstheme="minorHAnsi"/>
          <w:b w:val="0"/>
          <w:color w:val="000000"/>
          <w:sz w:val="24"/>
          <w:szCs w:val="24"/>
          <w:lang w:val="en-GB" w:eastAsia="en-GB"/>
        </w:rPr>
        <w:footnoteReference w:id="48"/>
      </w:r>
    </w:p>
    <w:p w14:paraId="3E7EE695" w14:textId="77777777" w:rsidR="007E64E2" w:rsidRPr="00764F24" w:rsidRDefault="00035197" w:rsidP="00D86B69">
      <w:pPr>
        <w:spacing w:beforeAutospacing="1" w:after="100" w:afterAutospacing="1" w:line="360" w:lineRule="auto"/>
        <w:ind w:left="1440" w:hanging="1440"/>
        <w:rPr>
          <w:rFonts w:eastAsia="Times New Roman" w:cstheme="minorHAnsi"/>
          <w:b/>
          <w:color w:val="000000"/>
          <w:szCs w:val="24"/>
          <w:lang w:val="en-GB" w:eastAsia="en-GB"/>
        </w:rPr>
      </w:pPr>
      <w:r w:rsidRPr="00764F24">
        <w:rPr>
          <w:rFonts w:cstheme="minorHAnsi"/>
          <w:noProof/>
          <w:szCs w:val="24"/>
          <w:lang w:val="en-GB" w:eastAsia="en-GB" w:bidi="ar-SA"/>
        </w:rPr>
        <w:drawing>
          <wp:inline distT="0" distB="0" distL="0" distR="0" wp14:anchorId="3F312070" wp14:editId="1291F953">
            <wp:extent cx="4838700" cy="3333750"/>
            <wp:effectExtent l="0" t="0" r="0" b="0"/>
            <wp:docPr id="30" name="Chart 30" descr="Means tested benefits remain below what is needed for an inclusive lifestyle among those of working age.">
              <a:extLst xmlns:a="http://schemas.openxmlformats.org/drawingml/2006/main">
                <a:ext uri="{FF2B5EF4-FFF2-40B4-BE49-F238E27FC236}">
                  <a16:creationId xmlns:a16="http://schemas.microsoft.com/office/drawing/2014/main" id="{9023B532-A150-4FBB-974A-CE8ACDEC1E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7ABFFE4" w14:textId="3C55B148" w:rsidR="006F429D" w:rsidRPr="00764F24" w:rsidRDefault="006F429D" w:rsidP="00D86B69">
      <w:pPr>
        <w:spacing w:beforeAutospacing="1" w:after="100" w:afterAutospacing="1" w:line="360" w:lineRule="auto"/>
        <w:rPr>
          <w:rFonts w:cstheme="minorHAnsi"/>
          <w:szCs w:val="24"/>
          <w:lang w:val="en-GB"/>
        </w:rPr>
      </w:pPr>
    </w:p>
    <w:p w14:paraId="0871894A" w14:textId="51647F95" w:rsidR="007E64E2" w:rsidRPr="00764F24" w:rsidRDefault="0038483B" w:rsidP="00D86B69">
      <w:pPr>
        <w:spacing w:beforeAutospacing="1" w:after="100" w:afterAutospacing="1" w:line="360" w:lineRule="auto"/>
        <w:rPr>
          <w:rFonts w:cstheme="minorHAnsi"/>
          <w:szCs w:val="24"/>
          <w:lang w:val="en-GB"/>
        </w:rPr>
      </w:pPr>
      <w:r w:rsidRPr="00764F24">
        <w:rPr>
          <w:rFonts w:cstheme="minorHAnsi"/>
          <w:szCs w:val="24"/>
          <w:lang w:val="en-GB"/>
        </w:rPr>
        <w:t>If we look at trends over time with these figures, we see, in figure 4.2, that from 2007/8 to 2009/10 there was a major increase in the number of people just getting by or finding it difficult to do so</w:t>
      </w:r>
      <w:r w:rsidR="00BF7FBA" w:rsidRPr="00764F24">
        <w:rPr>
          <w:rFonts w:cstheme="minorHAnsi"/>
          <w:szCs w:val="24"/>
          <w:lang w:val="en-GB"/>
        </w:rPr>
        <w:t xml:space="preserve">. </w:t>
      </w:r>
      <w:r w:rsidRPr="00764F24">
        <w:rPr>
          <w:rFonts w:cstheme="minorHAnsi"/>
          <w:szCs w:val="24"/>
          <w:lang w:val="en-GB"/>
        </w:rPr>
        <w:t xml:space="preserve">The following 7 years saw a decline in these figures but in the last year for which we have data (2017/18) we have seen a reversal of the trend here, with more people now saying that </w:t>
      </w:r>
      <w:r w:rsidRPr="00764F24">
        <w:rPr>
          <w:rFonts w:cstheme="minorHAnsi"/>
          <w:szCs w:val="24"/>
          <w:lang w:val="en-GB"/>
        </w:rPr>
        <w:lastRenderedPageBreak/>
        <w:t>they are just getting by or finding it difficult to do so compared with the previous year (see figure 4.2).</w:t>
      </w:r>
    </w:p>
    <w:p w14:paraId="11BF5D1D" w14:textId="2560AA49" w:rsidR="0038483B" w:rsidRPr="00764F24" w:rsidRDefault="0038483B"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t>Figure 4.</w:t>
      </w:r>
      <w:r w:rsidR="00643E1B" w:rsidRPr="00764F24">
        <w:rPr>
          <w:rFonts w:cstheme="minorHAnsi"/>
          <w:sz w:val="24"/>
          <w:szCs w:val="24"/>
          <w:lang w:val="en-GB"/>
        </w:rPr>
        <w:t>2.</w:t>
      </w:r>
      <w:r w:rsidRPr="00764F24">
        <w:rPr>
          <w:rFonts w:cstheme="minorHAnsi"/>
          <w:sz w:val="24"/>
          <w:szCs w:val="24"/>
          <w:lang w:val="en-GB"/>
        </w:rPr>
        <w:t xml:space="preserve"> Trends in subjective financial </w:t>
      </w:r>
      <w:r w:rsidRPr="00241558">
        <w:rPr>
          <w:rFonts w:cstheme="minorHAnsi"/>
          <w:sz w:val="24"/>
          <w:szCs w:val="24"/>
          <w:lang w:val="en-GB"/>
        </w:rPr>
        <w:t>wellbeing</w:t>
      </w:r>
      <w:r w:rsidRPr="00241558">
        <w:rPr>
          <w:rFonts w:eastAsia="Times New Roman" w:cstheme="minorHAnsi"/>
          <w:sz w:val="24"/>
          <w:szCs w:val="24"/>
          <w:lang w:val="en-GB" w:eastAsia="en-GB"/>
        </w:rPr>
        <w:t>, Understanding Society</w:t>
      </w:r>
      <w:r w:rsidRPr="00764F24">
        <w:rPr>
          <w:rStyle w:val="FootnoteReference"/>
          <w:rFonts w:eastAsia="Times New Roman" w:cstheme="minorHAnsi"/>
          <w:b w:val="0"/>
          <w:color w:val="000000"/>
          <w:sz w:val="24"/>
          <w:szCs w:val="24"/>
          <w:lang w:val="en-GB" w:eastAsia="en-GB"/>
        </w:rPr>
        <w:footnoteReference w:id="49"/>
      </w:r>
    </w:p>
    <w:p w14:paraId="26F8B798" w14:textId="77777777" w:rsidR="007E64E2" w:rsidRPr="00764F24" w:rsidRDefault="00035197" w:rsidP="00D86B69">
      <w:pPr>
        <w:spacing w:beforeAutospacing="1" w:after="100" w:afterAutospacing="1" w:line="360" w:lineRule="auto"/>
        <w:rPr>
          <w:rFonts w:cstheme="minorHAnsi"/>
          <w:szCs w:val="24"/>
          <w:lang w:val="en-GB"/>
        </w:rPr>
      </w:pPr>
      <w:r w:rsidRPr="00764F24">
        <w:rPr>
          <w:rFonts w:cstheme="minorHAnsi"/>
          <w:noProof/>
          <w:szCs w:val="24"/>
          <w:lang w:val="en-GB" w:eastAsia="en-GB" w:bidi="ar-SA"/>
        </w:rPr>
        <w:drawing>
          <wp:inline distT="0" distB="0" distL="0" distR="0" wp14:anchorId="3E268FB2" wp14:editId="41B4C66E">
            <wp:extent cx="5205413" cy="3762375"/>
            <wp:effectExtent l="0" t="0" r="14605" b="9525"/>
            <wp:docPr id="31" name="Chart 31" descr="Whilst generally falling from 2009/10 onwards, in the last couple of years more people are feeling that their finances are under pressure.">
              <a:extLst xmlns:a="http://schemas.openxmlformats.org/drawingml/2006/main">
                <a:ext uri="{FF2B5EF4-FFF2-40B4-BE49-F238E27FC236}">
                  <a16:creationId xmlns:a16="http://schemas.microsoft.com/office/drawing/2014/main" id="{17D9F397-7DC3-43DA-A07F-0E1874BB10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E3E6BAD" w14:textId="77777777" w:rsidR="007E64E2" w:rsidRPr="00764F24" w:rsidRDefault="00035197" w:rsidP="00D86B69">
      <w:pPr>
        <w:spacing w:beforeAutospacing="1" w:after="100" w:afterAutospacing="1" w:line="360" w:lineRule="auto"/>
        <w:rPr>
          <w:rFonts w:eastAsia="Times New Roman" w:cstheme="minorHAnsi"/>
          <w:color w:val="000000"/>
          <w:szCs w:val="24"/>
          <w:lang w:val="en-GB" w:eastAsia="en-GB"/>
        </w:rPr>
      </w:pPr>
      <w:r w:rsidRPr="00764F24">
        <w:rPr>
          <w:rFonts w:eastAsia="Times New Roman" w:cstheme="minorHAnsi"/>
          <w:color w:val="000000"/>
          <w:szCs w:val="24"/>
          <w:lang w:val="en-GB" w:eastAsia="en-GB"/>
        </w:rPr>
        <w:t xml:space="preserve">Of course, </w:t>
      </w:r>
      <w:r w:rsidR="0038483B" w:rsidRPr="00764F24">
        <w:rPr>
          <w:rFonts w:eastAsia="Times New Roman" w:cstheme="minorHAnsi"/>
          <w:color w:val="000000"/>
          <w:szCs w:val="24"/>
          <w:lang w:val="en-GB" w:eastAsia="en-GB"/>
        </w:rPr>
        <w:t>some groups are struggling more than others and we see in figure 4.4 that around 45 per cent of those on the lowest incomes (those in the bottom</w:t>
      </w:r>
      <w:r w:rsidR="00490CD5" w:rsidRPr="00764F24">
        <w:rPr>
          <w:rFonts w:eastAsia="Times New Roman" w:cstheme="minorHAnsi"/>
          <w:color w:val="000000"/>
          <w:szCs w:val="24"/>
          <w:lang w:val="en-GB" w:eastAsia="en-GB"/>
        </w:rPr>
        <w:t xml:space="preserve"> </w:t>
      </w:r>
      <w:r w:rsidR="0038483B" w:rsidRPr="00764F24">
        <w:rPr>
          <w:rFonts w:eastAsia="Times New Roman" w:cstheme="minorHAnsi"/>
          <w:color w:val="000000"/>
          <w:szCs w:val="24"/>
          <w:lang w:val="en-GB" w:eastAsia="en-GB"/>
        </w:rPr>
        <w:t xml:space="preserve">20 per cent of the income distribution) </w:t>
      </w:r>
      <w:r w:rsidRPr="00764F24">
        <w:rPr>
          <w:rFonts w:eastAsia="Times New Roman" w:cstheme="minorHAnsi"/>
          <w:color w:val="000000"/>
          <w:szCs w:val="24"/>
          <w:lang w:val="en-GB" w:eastAsia="en-GB"/>
        </w:rPr>
        <w:t xml:space="preserve">were finding it </w:t>
      </w:r>
      <w:r w:rsidR="0038483B" w:rsidRPr="00764F24">
        <w:rPr>
          <w:rFonts w:eastAsia="Times New Roman" w:cstheme="minorHAnsi"/>
          <w:color w:val="000000"/>
          <w:szCs w:val="24"/>
          <w:lang w:val="en-GB" w:eastAsia="en-GB"/>
        </w:rPr>
        <w:t xml:space="preserve">very or quite </w:t>
      </w:r>
      <w:r w:rsidRPr="00764F24">
        <w:rPr>
          <w:rFonts w:eastAsia="Times New Roman" w:cstheme="minorHAnsi"/>
          <w:color w:val="000000"/>
          <w:szCs w:val="24"/>
          <w:lang w:val="en-GB" w:eastAsia="en-GB"/>
        </w:rPr>
        <w:t xml:space="preserve">difficult to manage, financially, or were just about getting by in 2017/18. </w:t>
      </w:r>
    </w:p>
    <w:p w14:paraId="40D93D56" w14:textId="2EA80116" w:rsidR="0038483B" w:rsidRPr="00764F24" w:rsidRDefault="0038483B" w:rsidP="00D86B69">
      <w:pPr>
        <w:pStyle w:val="Caption"/>
        <w:keepNext/>
        <w:spacing w:beforeAutospacing="1" w:after="100" w:afterAutospacing="1" w:line="360" w:lineRule="auto"/>
        <w:rPr>
          <w:rFonts w:cstheme="minorHAnsi"/>
          <w:color w:val="auto"/>
          <w:sz w:val="24"/>
          <w:szCs w:val="24"/>
          <w:lang w:val="en-GB"/>
        </w:rPr>
      </w:pPr>
      <w:r w:rsidRPr="00764F24">
        <w:rPr>
          <w:rFonts w:cstheme="minorHAnsi"/>
          <w:sz w:val="24"/>
          <w:szCs w:val="24"/>
          <w:lang w:val="en-GB"/>
        </w:rPr>
        <w:lastRenderedPageBreak/>
        <w:t>Figure 4.3</w:t>
      </w:r>
      <w:r w:rsidR="00643E1B" w:rsidRPr="00764F24">
        <w:rPr>
          <w:rFonts w:cstheme="minorHAnsi"/>
          <w:sz w:val="24"/>
          <w:szCs w:val="24"/>
          <w:lang w:val="en-GB"/>
        </w:rPr>
        <w:t>.</w:t>
      </w:r>
      <w:r w:rsidRPr="00764F24">
        <w:rPr>
          <w:rFonts w:cstheme="minorHAnsi"/>
          <w:sz w:val="24"/>
          <w:szCs w:val="24"/>
          <w:lang w:val="en-GB"/>
        </w:rPr>
        <w:t xml:space="preserve"> </w:t>
      </w:r>
      <w:r w:rsidRPr="000A52AF">
        <w:rPr>
          <w:rFonts w:cstheme="minorHAnsi"/>
          <w:sz w:val="24"/>
          <w:szCs w:val="24"/>
          <w:lang w:val="en-GB"/>
        </w:rPr>
        <w:t xml:space="preserve">Subjective </w:t>
      </w:r>
      <w:r w:rsidRPr="00764F24">
        <w:rPr>
          <w:rFonts w:cstheme="minorHAnsi"/>
          <w:sz w:val="24"/>
          <w:szCs w:val="24"/>
          <w:lang w:val="en-GB"/>
        </w:rPr>
        <w:t xml:space="preserve">financial wellbeing </w:t>
      </w:r>
      <w:r w:rsidRPr="00241558">
        <w:rPr>
          <w:rFonts w:cstheme="minorHAnsi"/>
          <w:sz w:val="24"/>
          <w:szCs w:val="24"/>
          <w:lang w:val="en-GB"/>
        </w:rPr>
        <w:t>by income quintile</w:t>
      </w:r>
      <w:r w:rsidRPr="00241558">
        <w:rPr>
          <w:rFonts w:eastAsia="Times New Roman" w:cstheme="minorHAnsi"/>
          <w:sz w:val="24"/>
          <w:szCs w:val="24"/>
          <w:lang w:val="en-GB" w:eastAsia="en-GB"/>
        </w:rPr>
        <w:t>, Understanding Society</w:t>
      </w:r>
      <w:r w:rsidRPr="00764F24">
        <w:rPr>
          <w:rStyle w:val="FootnoteReference"/>
          <w:rFonts w:eastAsia="Times New Roman" w:cstheme="minorHAnsi"/>
          <w:b w:val="0"/>
          <w:color w:val="000000"/>
          <w:sz w:val="24"/>
          <w:szCs w:val="24"/>
          <w:lang w:val="en-GB" w:eastAsia="en-GB"/>
        </w:rPr>
        <w:footnoteReference w:id="50"/>
      </w:r>
    </w:p>
    <w:p w14:paraId="466DB6F9" w14:textId="77777777" w:rsidR="007E64E2" w:rsidRPr="00764F24" w:rsidRDefault="00035197" w:rsidP="00D86B69">
      <w:pPr>
        <w:keepNext/>
        <w:spacing w:beforeAutospacing="1" w:after="100" w:afterAutospacing="1" w:line="360" w:lineRule="auto"/>
        <w:rPr>
          <w:rFonts w:eastAsia="Times New Roman" w:cstheme="minorHAnsi"/>
          <w:color w:val="000000"/>
          <w:szCs w:val="24"/>
          <w:lang w:val="en-GB" w:eastAsia="en-GB"/>
        </w:rPr>
      </w:pPr>
      <w:r w:rsidRPr="00764F24">
        <w:rPr>
          <w:rFonts w:cstheme="minorHAnsi"/>
          <w:noProof/>
          <w:szCs w:val="24"/>
          <w:lang w:val="en-GB" w:eastAsia="en-GB" w:bidi="ar-SA"/>
        </w:rPr>
        <w:drawing>
          <wp:inline distT="0" distB="0" distL="0" distR="0" wp14:anchorId="31C899FD" wp14:editId="7AAE1F76">
            <wp:extent cx="4838700" cy="2606675"/>
            <wp:effectExtent l="0" t="0" r="0" b="3175"/>
            <wp:docPr id="32" name="Chart 32" descr="Subjective financial wellbeing is strongly associated with people's level of income.">
              <a:extLst xmlns:a="http://schemas.openxmlformats.org/drawingml/2006/main">
                <a:ext uri="{FF2B5EF4-FFF2-40B4-BE49-F238E27FC236}">
                  <a16:creationId xmlns:a16="http://schemas.microsoft.com/office/drawing/2014/main" id="{1DFD2BEE-FBA3-4728-A377-3BFB9E970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72DE9AD" w14:textId="674D079B" w:rsidR="00EB5C0D" w:rsidRDefault="00A02B2F" w:rsidP="005E7D3C">
      <w:pPr>
        <w:rPr>
          <w:rFonts w:eastAsiaTheme="majorEastAsia"/>
          <w:lang w:val="en-GB"/>
        </w:rPr>
      </w:pPr>
      <w:r>
        <w:rPr>
          <w:rFonts w:eastAsiaTheme="majorEastAsia"/>
          <w:lang w:val="en-GB"/>
        </w:rPr>
        <w:t>Those who identified as ‘British’ (or identities naming their country within the UK) tended to report lower levels of difficulties than those with other identities (see figure 4.4). Levels of difficulty were particularly high for those describing themselves as ‘African’, ‘Caribbean’ or ‘Arab’, from the list of options with which they were presented. Similarly, respondents who identified as ’Pakistani’ or ‘Bangladeshi’ also had rather high levels of deprivation.</w:t>
      </w:r>
    </w:p>
    <w:p w14:paraId="489C23A7" w14:textId="4323D06B" w:rsidR="005E7D3C" w:rsidRPr="000A52AF" w:rsidRDefault="005E7D3C" w:rsidP="005E7D3C">
      <w:pPr>
        <w:pStyle w:val="Caption"/>
        <w:keepNext/>
        <w:spacing w:beforeAutospacing="1" w:after="100" w:afterAutospacing="1" w:line="360" w:lineRule="auto"/>
        <w:rPr>
          <w:rFonts w:cstheme="minorHAnsi"/>
          <w:sz w:val="24"/>
          <w:szCs w:val="24"/>
          <w:lang w:val="en-GB"/>
        </w:rPr>
      </w:pPr>
      <w:r w:rsidRPr="000A52AF">
        <w:rPr>
          <w:rFonts w:cstheme="minorHAnsi"/>
          <w:sz w:val="24"/>
          <w:szCs w:val="24"/>
          <w:lang w:val="en-GB"/>
        </w:rPr>
        <w:t>Figure 4.</w:t>
      </w:r>
      <w:r w:rsidR="000A52AF">
        <w:rPr>
          <w:rFonts w:cstheme="minorHAnsi"/>
          <w:sz w:val="24"/>
          <w:szCs w:val="24"/>
          <w:lang w:val="en-GB"/>
        </w:rPr>
        <w:t>4</w:t>
      </w:r>
      <w:r w:rsidRPr="000A52AF">
        <w:rPr>
          <w:rFonts w:cstheme="minorHAnsi"/>
          <w:sz w:val="24"/>
          <w:szCs w:val="24"/>
          <w:lang w:val="en-GB"/>
        </w:rPr>
        <w:t xml:space="preserve">. Subjective financial wellbeing by ‘ethnic group’: </w:t>
      </w:r>
      <w:r w:rsidRPr="000A52AF">
        <w:rPr>
          <w:rFonts w:eastAsia="Times New Roman" w:cstheme="minorHAnsi"/>
          <w:sz w:val="24"/>
          <w:szCs w:val="24"/>
          <w:lang w:val="en-GB" w:eastAsia="en-GB"/>
        </w:rPr>
        <w:t>Understanding Society</w:t>
      </w:r>
    </w:p>
    <w:p w14:paraId="6B989BA3" w14:textId="060ED3E1" w:rsidR="00EB5C0D" w:rsidRDefault="00B301A9" w:rsidP="00ED34C6">
      <w:pPr>
        <w:keepNext/>
        <w:spacing w:after="0" w:line="240" w:lineRule="auto"/>
        <w:rPr>
          <w:rFonts w:eastAsiaTheme="majorEastAsia" w:cstheme="minorHAnsi"/>
          <w:bCs/>
          <w:kern w:val="32"/>
          <w:szCs w:val="24"/>
          <w:lang w:val="en-GB"/>
        </w:rPr>
      </w:pPr>
      <w:r>
        <w:rPr>
          <w:rFonts w:eastAsiaTheme="majorEastAsia" w:cstheme="minorHAnsi"/>
          <w:bCs/>
          <w:noProof/>
          <w:kern w:val="32"/>
          <w:szCs w:val="24"/>
          <w:lang w:val="en-GB" w:eastAsia="en-GB" w:bidi="ar-SA"/>
        </w:rPr>
        <w:drawing>
          <wp:inline distT="0" distB="0" distL="0" distR="0" wp14:anchorId="75549F8D" wp14:editId="2093D046">
            <wp:extent cx="4968875" cy="2920365"/>
            <wp:effectExtent l="0" t="0" r="3175" b="0"/>
            <wp:docPr id="51" name="Picture 51" descr="Certain BAME groups more likely to be finding life financially diffic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68875" cy="2920365"/>
                    </a:xfrm>
                    <a:prstGeom prst="rect">
                      <a:avLst/>
                    </a:prstGeom>
                    <a:noFill/>
                  </pic:spPr>
                </pic:pic>
              </a:graphicData>
            </a:graphic>
          </wp:inline>
        </w:drawing>
      </w:r>
    </w:p>
    <w:p w14:paraId="157635DC" w14:textId="0F42202D" w:rsidR="00EB5C0D" w:rsidRPr="00ED34C6" w:rsidRDefault="00ED34C6" w:rsidP="00ED34C6">
      <w:pPr>
        <w:spacing w:after="0" w:line="240" w:lineRule="auto"/>
        <w:rPr>
          <w:rFonts w:eastAsiaTheme="majorEastAsia" w:cstheme="minorHAnsi"/>
          <w:bCs/>
          <w:kern w:val="32"/>
          <w:sz w:val="20"/>
          <w:lang w:val="en-GB"/>
        </w:rPr>
      </w:pPr>
      <w:r w:rsidRPr="00ED34C6">
        <w:rPr>
          <w:rFonts w:eastAsiaTheme="majorEastAsia" w:cstheme="minorHAnsi"/>
          <w:bCs/>
          <w:kern w:val="32"/>
          <w:sz w:val="20"/>
          <w:lang w:val="en-GB"/>
        </w:rPr>
        <w:t>Note: groups with &lt;50 cases are excluded.</w:t>
      </w:r>
    </w:p>
    <w:p w14:paraId="48C66F4E" w14:textId="77777777" w:rsidR="004F1659" w:rsidRDefault="004F1659" w:rsidP="00D86B69">
      <w:pPr>
        <w:spacing w:beforeAutospacing="1" w:after="100" w:afterAutospacing="1" w:line="360" w:lineRule="auto"/>
        <w:rPr>
          <w:rFonts w:eastAsiaTheme="majorEastAsia" w:cstheme="minorHAnsi"/>
          <w:bCs/>
          <w:kern w:val="32"/>
          <w:szCs w:val="24"/>
          <w:lang w:val="en-GB"/>
        </w:rPr>
      </w:pPr>
    </w:p>
    <w:p w14:paraId="03434678" w14:textId="01A5980A" w:rsidR="007E64E2" w:rsidRPr="00764F24" w:rsidRDefault="00A56B08" w:rsidP="00D86B69">
      <w:pPr>
        <w:spacing w:beforeAutospacing="1" w:after="100" w:afterAutospacing="1" w:line="360" w:lineRule="auto"/>
        <w:rPr>
          <w:rFonts w:eastAsiaTheme="majorEastAsia" w:cstheme="minorHAnsi"/>
          <w:bCs/>
          <w:kern w:val="32"/>
          <w:szCs w:val="24"/>
          <w:lang w:val="en-GB"/>
        </w:rPr>
      </w:pPr>
      <w:r w:rsidRPr="00764F24">
        <w:rPr>
          <w:rFonts w:eastAsiaTheme="majorEastAsia" w:cstheme="minorHAnsi"/>
          <w:bCs/>
          <w:kern w:val="32"/>
          <w:szCs w:val="24"/>
          <w:lang w:val="en-GB"/>
        </w:rPr>
        <w:t>These statistics are from 2017/18 and so cannot tell us about financial wellbeing during the current</w:t>
      </w:r>
      <w:r w:rsidR="00A12E5C" w:rsidRPr="00764F24">
        <w:rPr>
          <w:rFonts w:eastAsiaTheme="majorEastAsia" w:cstheme="minorHAnsi"/>
          <w:bCs/>
          <w:kern w:val="32"/>
          <w:szCs w:val="24"/>
          <w:lang w:val="en-GB"/>
        </w:rPr>
        <w:t xml:space="preserve"> COVID-19</w:t>
      </w:r>
      <w:r w:rsidRPr="00764F24">
        <w:rPr>
          <w:rFonts w:eastAsiaTheme="majorEastAsia" w:cstheme="minorHAnsi"/>
          <w:bCs/>
          <w:kern w:val="32"/>
          <w:szCs w:val="24"/>
          <w:lang w:val="en-GB"/>
        </w:rPr>
        <w:t xml:space="preserve"> crisis</w:t>
      </w:r>
      <w:r w:rsidR="00BF7FBA" w:rsidRPr="00764F24">
        <w:rPr>
          <w:rFonts w:eastAsiaTheme="majorEastAsia" w:cstheme="minorHAnsi"/>
          <w:bCs/>
          <w:kern w:val="32"/>
          <w:szCs w:val="24"/>
          <w:lang w:val="en-GB"/>
        </w:rPr>
        <w:t xml:space="preserve">. </w:t>
      </w:r>
      <w:r w:rsidRPr="00764F24">
        <w:rPr>
          <w:rFonts w:eastAsiaTheme="majorEastAsia" w:cstheme="minorHAnsi"/>
          <w:bCs/>
          <w:kern w:val="32"/>
          <w:szCs w:val="24"/>
          <w:lang w:val="en-GB"/>
        </w:rPr>
        <w:t>Given the great need to know about the situation now, the Office for National Statistics have run various surveys to measure public reactions to the pandemic</w:t>
      </w:r>
      <w:r w:rsidR="00BF7FBA" w:rsidRPr="00764F24">
        <w:rPr>
          <w:rFonts w:eastAsiaTheme="majorEastAsia" w:cstheme="minorHAnsi"/>
          <w:bCs/>
          <w:kern w:val="32"/>
          <w:szCs w:val="24"/>
          <w:lang w:val="en-GB"/>
        </w:rPr>
        <w:t xml:space="preserve">. </w:t>
      </w:r>
      <w:r w:rsidRPr="00764F24">
        <w:rPr>
          <w:rFonts w:eastAsiaTheme="majorEastAsia" w:cstheme="minorHAnsi"/>
          <w:bCs/>
          <w:kern w:val="32"/>
          <w:szCs w:val="24"/>
          <w:lang w:val="en-GB"/>
        </w:rPr>
        <w:t>They have found that almost half (49.6</w:t>
      </w:r>
      <w:r w:rsidR="00A7794E" w:rsidRPr="00764F24">
        <w:rPr>
          <w:rFonts w:eastAsiaTheme="majorEastAsia" w:cstheme="minorHAnsi"/>
          <w:bCs/>
          <w:kern w:val="32"/>
          <w:szCs w:val="24"/>
          <w:lang w:val="en-GB"/>
        </w:rPr>
        <w:t xml:space="preserve"> </w:t>
      </w:r>
      <w:r w:rsidR="00692125" w:rsidRPr="00764F24">
        <w:rPr>
          <w:rFonts w:eastAsiaTheme="majorEastAsia" w:cstheme="minorHAnsi"/>
          <w:bCs/>
          <w:kern w:val="32"/>
          <w:szCs w:val="24"/>
          <w:lang w:val="en-GB"/>
        </w:rPr>
        <w:t>per cent)</w:t>
      </w:r>
      <w:r w:rsidRPr="00764F24">
        <w:rPr>
          <w:rFonts w:eastAsiaTheme="majorEastAsia" w:cstheme="minorHAnsi"/>
          <w:bCs/>
          <w:kern w:val="32"/>
          <w:szCs w:val="24"/>
          <w:lang w:val="en-GB"/>
        </w:rPr>
        <w:t xml:space="preserve"> of people reported high anxiety (rating it between 6 and 10 out of 10) during the period 20 to 30 March</w:t>
      </w:r>
      <w:r w:rsidRPr="00764F24">
        <w:rPr>
          <w:rStyle w:val="FootnoteReference"/>
          <w:rFonts w:eastAsiaTheme="majorEastAsia" w:cstheme="minorHAnsi"/>
          <w:bCs/>
          <w:kern w:val="32"/>
          <w:szCs w:val="24"/>
          <w:lang w:val="en-GB"/>
        </w:rPr>
        <w:footnoteReference w:id="51"/>
      </w:r>
      <w:r w:rsidRPr="00764F24">
        <w:rPr>
          <w:rFonts w:eastAsiaTheme="majorEastAsia" w:cstheme="minorHAnsi"/>
          <w:bCs/>
          <w:kern w:val="32"/>
          <w:szCs w:val="24"/>
          <w:lang w:val="en-GB"/>
        </w:rPr>
        <w:t xml:space="preserve"> (lockdown was announced on 23rd March)</w:t>
      </w:r>
      <w:r w:rsidR="00BF7FBA" w:rsidRPr="00764F24">
        <w:rPr>
          <w:rFonts w:eastAsiaTheme="majorEastAsia" w:cstheme="minorHAnsi"/>
          <w:bCs/>
          <w:kern w:val="32"/>
          <w:szCs w:val="24"/>
          <w:lang w:val="en-GB"/>
        </w:rPr>
        <w:t>.</w:t>
      </w:r>
      <w:r w:rsidR="008D2686" w:rsidRPr="00764F24">
        <w:rPr>
          <w:rFonts w:eastAsiaTheme="majorEastAsia" w:cstheme="minorHAnsi"/>
          <w:bCs/>
          <w:kern w:val="32"/>
          <w:szCs w:val="24"/>
          <w:lang w:val="en-GB"/>
        </w:rPr>
        <w:t xml:space="preserve"> </w:t>
      </w:r>
      <w:r w:rsidRPr="00764F24">
        <w:rPr>
          <w:rFonts w:eastAsiaTheme="majorEastAsia" w:cstheme="minorHAnsi"/>
          <w:bCs/>
          <w:kern w:val="32"/>
          <w:szCs w:val="24"/>
          <w:lang w:val="en-GB"/>
        </w:rPr>
        <w:t>Average anxiety levels were 5.18 out of 10 and remained broadly at this level for the next couple of weeks. For reference, the average anxiety level was 2.97 out of 10 between October and December 2019.</w:t>
      </w:r>
    </w:p>
    <w:p w14:paraId="05E59341" w14:textId="77777777" w:rsidR="00020F4F" w:rsidRDefault="00402E6B" w:rsidP="00D86B69">
      <w:pPr>
        <w:spacing w:beforeAutospacing="1" w:after="100" w:afterAutospacing="1" w:line="360" w:lineRule="auto"/>
        <w:rPr>
          <w:rFonts w:eastAsiaTheme="majorEastAsia" w:cstheme="minorHAnsi"/>
          <w:bCs/>
          <w:kern w:val="32"/>
          <w:szCs w:val="24"/>
          <w:lang w:val="en-GB"/>
        </w:rPr>
      </w:pPr>
      <w:r>
        <w:rPr>
          <w:rFonts w:eastAsiaTheme="majorEastAsia" w:cstheme="minorHAnsi"/>
          <w:bCs/>
          <w:kern w:val="32"/>
          <w:szCs w:val="24"/>
          <w:lang w:val="en-GB"/>
        </w:rPr>
        <w:t>In May 2020, p</w:t>
      </w:r>
      <w:r w:rsidR="00A56B08" w:rsidRPr="00764F24">
        <w:rPr>
          <w:rFonts w:eastAsiaTheme="majorEastAsia" w:cstheme="minorHAnsi"/>
          <w:bCs/>
          <w:kern w:val="32"/>
          <w:szCs w:val="24"/>
          <w:lang w:val="en-GB"/>
        </w:rPr>
        <w:t>eople's most common concerns related to their well-being, their work, and their finances; those who th</w:t>
      </w:r>
      <w:r>
        <w:rPr>
          <w:rFonts w:eastAsiaTheme="majorEastAsia" w:cstheme="minorHAnsi"/>
          <w:bCs/>
          <w:kern w:val="32"/>
          <w:szCs w:val="24"/>
          <w:lang w:val="en-GB"/>
        </w:rPr>
        <w:t>ought</w:t>
      </w:r>
      <w:r w:rsidR="00A56B08" w:rsidRPr="00764F24">
        <w:rPr>
          <w:rFonts w:eastAsiaTheme="majorEastAsia" w:cstheme="minorHAnsi"/>
          <w:bCs/>
          <w:kern w:val="32"/>
          <w:szCs w:val="24"/>
          <w:lang w:val="en-GB"/>
        </w:rPr>
        <w:t xml:space="preserve"> they w</w:t>
      </w:r>
      <w:r>
        <w:rPr>
          <w:rFonts w:eastAsiaTheme="majorEastAsia" w:cstheme="minorHAnsi"/>
          <w:bCs/>
          <w:kern w:val="32"/>
          <w:szCs w:val="24"/>
          <w:lang w:val="en-GB"/>
        </w:rPr>
        <w:t>ould</w:t>
      </w:r>
      <w:r w:rsidR="00A56B08" w:rsidRPr="00764F24">
        <w:rPr>
          <w:rFonts w:eastAsiaTheme="majorEastAsia" w:cstheme="minorHAnsi"/>
          <w:bCs/>
          <w:kern w:val="32"/>
          <w:szCs w:val="24"/>
          <w:lang w:val="en-GB"/>
        </w:rPr>
        <w:t xml:space="preserve"> not be able to save money in the next year reported anxiety 33</w:t>
      </w:r>
      <w:r w:rsidR="00125F43" w:rsidRPr="00764F24">
        <w:rPr>
          <w:rFonts w:eastAsiaTheme="majorEastAsia" w:cstheme="minorHAnsi"/>
          <w:bCs/>
          <w:kern w:val="32"/>
          <w:szCs w:val="24"/>
          <w:lang w:val="en-GB"/>
        </w:rPr>
        <w:t xml:space="preserve"> per cent</w:t>
      </w:r>
      <w:r w:rsidR="00A56B08" w:rsidRPr="00764F24">
        <w:rPr>
          <w:rFonts w:eastAsiaTheme="majorEastAsia" w:cstheme="minorHAnsi"/>
          <w:bCs/>
          <w:kern w:val="32"/>
          <w:szCs w:val="24"/>
          <w:lang w:val="en-GB"/>
        </w:rPr>
        <w:t xml:space="preserve"> higher on average compared with those who th</w:t>
      </w:r>
      <w:r>
        <w:rPr>
          <w:rFonts w:eastAsiaTheme="majorEastAsia" w:cstheme="minorHAnsi"/>
          <w:bCs/>
          <w:kern w:val="32"/>
          <w:szCs w:val="24"/>
          <w:lang w:val="en-GB"/>
        </w:rPr>
        <w:t>ought</w:t>
      </w:r>
      <w:r w:rsidR="00A56B08" w:rsidRPr="00764F24">
        <w:rPr>
          <w:rFonts w:eastAsiaTheme="majorEastAsia" w:cstheme="minorHAnsi"/>
          <w:bCs/>
          <w:kern w:val="32"/>
          <w:szCs w:val="24"/>
          <w:lang w:val="en-GB"/>
        </w:rPr>
        <w:t xml:space="preserve"> they w</w:t>
      </w:r>
      <w:r>
        <w:rPr>
          <w:rFonts w:eastAsiaTheme="majorEastAsia" w:cstheme="minorHAnsi"/>
          <w:bCs/>
          <w:kern w:val="32"/>
          <w:szCs w:val="24"/>
          <w:lang w:val="en-GB"/>
        </w:rPr>
        <w:t>ould</w:t>
      </w:r>
      <w:r w:rsidR="00A56B08" w:rsidRPr="00764F24">
        <w:rPr>
          <w:rStyle w:val="FootnoteReference"/>
          <w:rFonts w:eastAsiaTheme="majorEastAsia" w:cstheme="minorHAnsi"/>
          <w:bCs/>
          <w:kern w:val="32"/>
          <w:szCs w:val="24"/>
          <w:lang w:val="en-GB"/>
        </w:rPr>
        <w:footnoteReference w:id="52"/>
      </w:r>
      <w:r w:rsidR="00BF7FBA" w:rsidRPr="00764F24">
        <w:rPr>
          <w:rFonts w:eastAsiaTheme="majorEastAsia" w:cstheme="minorHAnsi"/>
          <w:bCs/>
          <w:kern w:val="32"/>
          <w:szCs w:val="24"/>
          <w:lang w:val="en-GB"/>
        </w:rPr>
        <w:t xml:space="preserve">. </w:t>
      </w:r>
      <w:r w:rsidR="00A56B08" w:rsidRPr="00764F24">
        <w:rPr>
          <w:rFonts w:eastAsiaTheme="majorEastAsia" w:cstheme="minorHAnsi"/>
          <w:bCs/>
          <w:kern w:val="32"/>
          <w:szCs w:val="24"/>
          <w:lang w:val="en-GB"/>
        </w:rPr>
        <w:t>People who had already been impacted financially were also reporting lower well-being;</w:t>
      </w:r>
      <w:r>
        <w:rPr>
          <w:rFonts w:eastAsiaTheme="majorEastAsia" w:cstheme="minorHAnsi"/>
          <w:bCs/>
          <w:kern w:val="32"/>
          <w:szCs w:val="24"/>
          <w:lang w:val="en-GB"/>
        </w:rPr>
        <w:t xml:space="preserve"> and</w:t>
      </w:r>
      <w:r w:rsidR="00A56B08" w:rsidRPr="00764F24">
        <w:rPr>
          <w:rFonts w:eastAsiaTheme="majorEastAsia" w:cstheme="minorHAnsi"/>
          <w:bCs/>
          <w:kern w:val="32"/>
          <w:szCs w:val="24"/>
          <w:lang w:val="en-GB"/>
        </w:rPr>
        <w:t xml:space="preserve"> people who had experienced a reduction in household finances because of </w:t>
      </w:r>
      <w:r w:rsidR="00A12E5C" w:rsidRPr="00764F24">
        <w:rPr>
          <w:rFonts w:eastAsiaTheme="majorEastAsia" w:cstheme="minorHAnsi"/>
          <w:bCs/>
          <w:kern w:val="32"/>
          <w:szCs w:val="24"/>
          <w:lang w:val="en-GB"/>
        </w:rPr>
        <w:t>COVID-19</w:t>
      </w:r>
      <w:r w:rsidR="00A56B08" w:rsidRPr="00764F24">
        <w:rPr>
          <w:rFonts w:eastAsiaTheme="majorEastAsia" w:cstheme="minorHAnsi"/>
          <w:bCs/>
          <w:kern w:val="32"/>
          <w:szCs w:val="24"/>
          <w:lang w:val="en-GB"/>
        </w:rPr>
        <w:t xml:space="preserve"> reported 16</w:t>
      </w:r>
      <w:r w:rsidR="00125F43" w:rsidRPr="00764F24">
        <w:rPr>
          <w:rFonts w:eastAsiaTheme="majorEastAsia" w:cstheme="minorHAnsi"/>
          <w:bCs/>
          <w:kern w:val="32"/>
          <w:szCs w:val="24"/>
          <w:lang w:val="en-GB"/>
        </w:rPr>
        <w:t xml:space="preserve"> per cent</w:t>
      </w:r>
      <w:r w:rsidR="00A56B08" w:rsidRPr="00764F24">
        <w:rPr>
          <w:rFonts w:eastAsiaTheme="majorEastAsia" w:cstheme="minorHAnsi"/>
          <w:bCs/>
          <w:kern w:val="32"/>
          <w:szCs w:val="24"/>
          <w:lang w:val="en-GB"/>
        </w:rPr>
        <w:t xml:space="preserve"> higher anxiety on average.</w:t>
      </w:r>
      <w:r>
        <w:rPr>
          <w:rFonts w:eastAsiaTheme="majorEastAsia" w:cstheme="minorHAnsi"/>
          <w:bCs/>
          <w:kern w:val="32"/>
          <w:szCs w:val="24"/>
          <w:lang w:val="en-GB"/>
        </w:rPr>
        <w:t xml:space="preserve">  In the same May 2020 survey, p</w:t>
      </w:r>
      <w:r w:rsidR="00A56B08" w:rsidRPr="00764F24">
        <w:rPr>
          <w:rFonts w:eastAsiaTheme="majorEastAsia" w:cstheme="minorHAnsi"/>
          <w:bCs/>
          <w:kern w:val="32"/>
          <w:szCs w:val="24"/>
          <w:lang w:val="en-GB"/>
        </w:rPr>
        <w:t xml:space="preserve">eople who </w:t>
      </w:r>
      <w:r>
        <w:rPr>
          <w:rFonts w:eastAsiaTheme="majorEastAsia" w:cstheme="minorHAnsi"/>
          <w:bCs/>
          <w:kern w:val="32"/>
          <w:szCs w:val="24"/>
          <w:lang w:val="en-GB"/>
        </w:rPr>
        <w:t xml:space="preserve">were </w:t>
      </w:r>
      <w:r w:rsidR="00A56B08" w:rsidRPr="00764F24">
        <w:rPr>
          <w:rFonts w:eastAsiaTheme="majorEastAsia" w:cstheme="minorHAnsi"/>
          <w:bCs/>
          <w:kern w:val="32"/>
          <w:szCs w:val="24"/>
          <w:lang w:val="en-GB"/>
        </w:rPr>
        <w:t>rent</w:t>
      </w:r>
      <w:r>
        <w:rPr>
          <w:rFonts w:eastAsiaTheme="majorEastAsia" w:cstheme="minorHAnsi"/>
          <w:bCs/>
          <w:kern w:val="32"/>
          <w:szCs w:val="24"/>
          <w:lang w:val="en-GB"/>
        </w:rPr>
        <w:t>ing</w:t>
      </w:r>
      <w:r w:rsidR="00A56B08" w:rsidRPr="00764F24">
        <w:rPr>
          <w:rFonts w:eastAsiaTheme="majorEastAsia" w:cstheme="minorHAnsi"/>
          <w:bCs/>
          <w:kern w:val="32"/>
          <w:szCs w:val="24"/>
          <w:lang w:val="en-GB"/>
        </w:rPr>
        <w:t xml:space="preserve"> and the self-employed were more likely to have had their household finances and their jobs negatively impacted due to</w:t>
      </w:r>
      <w:r w:rsidR="007F0D86" w:rsidRPr="00764F24">
        <w:rPr>
          <w:rFonts w:eastAsiaTheme="majorEastAsia" w:cstheme="minorHAnsi"/>
          <w:bCs/>
          <w:kern w:val="32"/>
          <w:szCs w:val="24"/>
          <w:lang w:val="en-GB"/>
        </w:rPr>
        <w:t xml:space="preserve"> </w:t>
      </w:r>
      <w:r w:rsidR="00A12E5C" w:rsidRPr="00764F24">
        <w:rPr>
          <w:rFonts w:eastAsiaTheme="majorEastAsia" w:cstheme="minorHAnsi"/>
          <w:bCs/>
          <w:kern w:val="32"/>
          <w:szCs w:val="24"/>
          <w:lang w:val="en-GB"/>
        </w:rPr>
        <w:t>COVID-19</w:t>
      </w:r>
      <w:r w:rsidR="00A56B08" w:rsidRPr="00764F24">
        <w:rPr>
          <w:rFonts w:eastAsiaTheme="majorEastAsia" w:cstheme="minorHAnsi"/>
          <w:bCs/>
          <w:kern w:val="32"/>
          <w:szCs w:val="24"/>
          <w:lang w:val="en-GB"/>
        </w:rPr>
        <w:t>, through reduced income, using savings to cover living costs, reduced working hours, and the inability to save for the future</w:t>
      </w:r>
      <w:r w:rsidR="00BF7FBA" w:rsidRPr="00764F24">
        <w:rPr>
          <w:rFonts w:eastAsiaTheme="majorEastAsia" w:cstheme="minorHAnsi"/>
          <w:bCs/>
          <w:kern w:val="32"/>
          <w:szCs w:val="24"/>
          <w:lang w:val="en-GB"/>
        </w:rPr>
        <w:t xml:space="preserve">. </w:t>
      </w:r>
      <w:r w:rsidR="007F0D86" w:rsidRPr="00764F24">
        <w:rPr>
          <w:rFonts w:eastAsiaTheme="majorEastAsia" w:cstheme="minorHAnsi"/>
          <w:bCs/>
          <w:kern w:val="32"/>
          <w:szCs w:val="24"/>
          <w:lang w:val="en-GB"/>
        </w:rPr>
        <w:t>And j</w:t>
      </w:r>
      <w:r w:rsidR="00A56B08" w:rsidRPr="00764F24">
        <w:rPr>
          <w:rFonts w:eastAsiaTheme="majorEastAsia" w:cstheme="minorHAnsi"/>
          <w:bCs/>
          <w:kern w:val="32"/>
          <w:szCs w:val="24"/>
          <w:lang w:val="en-GB"/>
        </w:rPr>
        <w:t>ust under 1 in 4 adults (23</w:t>
      </w:r>
      <w:r w:rsidR="00A7794E" w:rsidRPr="00764F24">
        <w:rPr>
          <w:rFonts w:eastAsiaTheme="majorEastAsia" w:cstheme="minorHAnsi"/>
          <w:bCs/>
          <w:kern w:val="32"/>
          <w:szCs w:val="24"/>
          <w:lang w:val="en-GB"/>
        </w:rPr>
        <w:t xml:space="preserve"> </w:t>
      </w:r>
      <w:r w:rsidR="00692125" w:rsidRPr="00764F24">
        <w:rPr>
          <w:rFonts w:eastAsiaTheme="majorEastAsia" w:cstheme="minorHAnsi"/>
          <w:bCs/>
          <w:kern w:val="32"/>
          <w:szCs w:val="24"/>
          <w:lang w:val="en-GB"/>
        </w:rPr>
        <w:t>per cent)</w:t>
      </w:r>
      <w:r w:rsidR="00A56B08" w:rsidRPr="00764F24">
        <w:rPr>
          <w:rFonts w:eastAsiaTheme="majorEastAsia" w:cstheme="minorHAnsi"/>
          <w:bCs/>
          <w:kern w:val="32"/>
          <w:szCs w:val="24"/>
          <w:lang w:val="en-GB"/>
        </w:rPr>
        <w:t xml:space="preserve"> said the </w:t>
      </w:r>
      <w:r w:rsidR="007F0D86" w:rsidRPr="00764F24">
        <w:rPr>
          <w:rFonts w:eastAsiaTheme="majorEastAsia" w:cstheme="minorHAnsi"/>
          <w:bCs/>
          <w:kern w:val="32"/>
          <w:szCs w:val="24"/>
          <w:lang w:val="en-GB"/>
        </w:rPr>
        <w:t>pandemic</w:t>
      </w:r>
      <w:r w:rsidR="00A56B08" w:rsidRPr="00764F24">
        <w:rPr>
          <w:rFonts w:eastAsiaTheme="majorEastAsia" w:cstheme="minorHAnsi"/>
          <w:bCs/>
          <w:kern w:val="32"/>
          <w:szCs w:val="24"/>
          <w:lang w:val="en-GB"/>
        </w:rPr>
        <w:t xml:space="preserve"> was affecting their household finances, similar to the previous week (24</w:t>
      </w:r>
      <w:r w:rsidR="00A7794E" w:rsidRPr="00764F24">
        <w:rPr>
          <w:rFonts w:eastAsiaTheme="majorEastAsia" w:cstheme="minorHAnsi"/>
          <w:bCs/>
          <w:kern w:val="32"/>
          <w:szCs w:val="24"/>
          <w:lang w:val="en-GB"/>
        </w:rPr>
        <w:t xml:space="preserve"> </w:t>
      </w:r>
      <w:r w:rsidR="00692125" w:rsidRPr="00764F24">
        <w:rPr>
          <w:rFonts w:eastAsiaTheme="majorEastAsia" w:cstheme="minorHAnsi"/>
          <w:bCs/>
          <w:kern w:val="32"/>
          <w:szCs w:val="24"/>
          <w:lang w:val="en-GB"/>
        </w:rPr>
        <w:t>per cent)</w:t>
      </w:r>
      <w:r w:rsidR="00A56B08" w:rsidRPr="00764F24">
        <w:rPr>
          <w:rFonts w:eastAsiaTheme="majorEastAsia" w:cstheme="minorHAnsi"/>
          <w:bCs/>
          <w:kern w:val="32"/>
          <w:szCs w:val="24"/>
          <w:lang w:val="en-GB"/>
        </w:rPr>
        <w:t>.</w:t>
      </w:r>
      <w:r>
        <w:rPr>
          <w:rFonts w:eastAsiaTheme="majorEastAsia" w:cstheme="minorHAnsi"/>
          <w:bCs/>
          <w:kern w:val="32"/>
          <w:szCs w:val="24"/>
          <w:lang w:val="en-GB"/>
        </w:rPr>
        <w:t xml:space="preserve">  </w:t>
      </w:r>
      <w:r w:rsidR="00A56B08" w:rsidRPr="00764F24">
        <w:rPr>
          <w:rFonts w:eastAsiaTheme="majorEastAsia" w:cstheme="minorHAnsi"/>
          <w:bCs/>
          <w:kern w:val="32"/>
          <w:szCs w:val="24"/>
          <w:lang w:val="en-GB"/>
        </w:rPr>
        <w:t>The most common concern among these adults continued to be a reduced income (70</w:t>
      </w:r>
      <w:r w:rsidR="00A7794E" w:rsidRPr="00764F24">
        <w:rPr>
          <w:rFonts w:eastAsiaTheme="majorEastAsia" w:cstheme="minorHAnsi"/>
          <w:bCs/>
          <w:kern w:val="32"/>
          <w:szCs w:val="24"/>
          <w:lang w:val="en-GB"/>
        </w:rPr>
        <w:t xml:space="preserve"> </w:t>
      </w:r>
      <w:r w:rsidR="00692125" w:rsidRPr="00764F24">
        <w:rPr>
          <w:rFonts w:eastAsiaTheme="majorEastAsia" w:cstheme="minorHAnsi"/>
          <w:bCs/>
          <w:kern w:val="32"/>
          <w:szCs w:val="24"/>
          <w:lang w:val="en-GB"/>
        </w:rPr>
        <w:t>per cent)</w:t>
      </w:r>
      <w:r w:rsidR="00A56B08" w:rsidRPr="00764F24">
        <w:rPr>
          <w:rFonts w:eastAsiaTheme="majorEastAsia" w:cstheme="minorHAnsi"/>
          <w:bCs/>
          <w:kern w:val="32"/>
          <w:szCs w:val="24"/>
          <w:lang w:val="en-GB"/>
        </w:rPr>
        <w:t>, with increasing proportions, 30</w:t>
      </w:r>
      <w:r w:rsidR="00A7794E" w:rsidRPr="00764F24">
        <w:rPr>
          <w:rFonts w:eastAsiaTheme="majorEastAsia" w:cstheme="minorHAnsi"/>
          <w:bCs/>
          <w:kern w:val="32"/>
          <w:szCs w:val="24"/>
          <w:lang w:val="en-GB"/>
        </w:rPr>
        <w:t xml:space="preserve"> </w:t>
      </w:r>
      <w:r w:rsidR="00692125" w:rsidRPr="00764F24">
        <w:rPr>
          <w:rFonts w:eastAsiaTheme="majorEastAsia" w:cstheme="minorHAnsi"/>
          <w:bCs/>
          <w:kern w:val="32"/>
          <w:szCs w:val="24"/>
          <w:lang w:val="en-GB"/>
        </w:rPr>
        <w:t>per cent,</w:t>
      </w:r>
      <w:r w:rsidR="00A56B08" w:rsidRPr="00764F24">
        <w:rPr>
          <w:rFonts w:eastAsiaTheme="majorEastAsia" w:cstheme="minorHAnsi"/>
          <w:bCs/>
          <w:kern w:val="32"/>
          <w:szCs w:val="24"/>
          <w:lang w:val="en-GB"/>
        </w:rPr>
        <w:t xml:space="preserve"> saying they had needed to use savings to cover living costs, and 16</w:t>
      </w:r>
      <w:r w:rsidR="00A7794E" w:rsidRPr="00764F24">
        <w:rPr>
          <w:rFonts w:eastAsiaTheme="majorEastAsia" w:cstheme="minorHAnsi"/>
          <w:bCs/>
          <w:kern w:val="32"/>
          <w:szCs w:val="24"/>
          <w:lang w:val="en-GB"/>
        </w:rPr>
        <w:t xml:space="preserve"> per cent</w:t>
      </w:r>
      <w:r w:rsidR="00A56B08" w:rsidRPr="00764F24">
        <w:rPr>
          <w:rFonts w:eastAsiaTheme="majorEastAsia" w:cstheme="minorHAnsi"/>
          <w:bCs/>
          <w:kern w:val="32"/>
          <w:szCs w:val="24"/>
          <w:lang w:val="en-GB"/>
        </w:rPr>
        <w:t xml:space="preserve"> saying they had to borrow money or use credit</w:t>
      </w:r>
      <w:r w:rsidR="00BF7FBA" w:rsidRPr="00764F24">
        <w:rPr>
          <w:rFonts w:eastAsiaTheme="majorEastAsia" w:cstheme="minorHAnsi"/>
          <w:bCs/>
          <w:kern w:val="32"/>
          <w:szCs w:val="24"/>
          <w:lang w:val="en-GB"/>
        </w:rPr>
        <w:t xml:space="preserve">. </w:t>
      </w:r>
    </w:p>
    <w:p w14:paraId="5B54B2E6" w14:textId="22B49C86" w:rsidR="002C1913" w:rsidRPr="00764F24" w:rsidRDefault="002C1913" w:rsidP="00D86B69">
      <w:pPr>
        <w:spacing w:beforeAutospacing="1" w:after="100" w:afterAutospacing="1" w:line="360" w:lineRule="auto"/>
        <w:rPr>
          <w:rFonts w:eastAsiaTheme="majorEastAsia" w:cstheme="minorHAnsi"/>
          <w:bCs/>
          <w:kern w:val="32"/>
          <w:szCs w:val="24"/>
          <w:lang w:val="en-GB"/>
        </w:rPr>
      </w:pPr>
      <w:r w:rsidRPr="00764F24">
        <w:rPr>
          <w:rFonts w:eastAsiaTheme="majorEastAsia" w:cstheme="minorHAnsi"/>
          <w:bCs/>
          <w:kern w:val="32"/>
          <w:szCs w:val="24"/>
          <w:lang w:val="en-GB"/>
        </w:rPr>
        <w:lastRenderedPageBreak/>
        <w:t>According to the Standard Life Foundation’s July 2020 Coronavirus finances tracker</w:t>
      </w:r>
      <w:r w:rsidR="00053374" w:rsidRPr="00764F24">
        <w:rPr>
          <w:rFonts w:eastAsiaTheme="majorEastAsia" w:cstheme="minorHAnsi"/>
          <w:bCs/>
          <w:kern w:val="32"/>
          <w:szCs w:val="24"/>
          <w:lang w:val="en-GB"/>
        </w:rPr>
        <w:t>,</w:t>
      </w:r>
      <w:r w:rsidR="00053374" w:rsidRPr="00764F24">
        <w:rPr>
          <w:rStyle w:val="FootnoteReference"/>
          <w:rFonts w:eastAsiaTheme="majorEastAsia" w:cstheme="minorHAnsi"/>
          <w:bCs/>
          <w:kern w:val="32"/>
          <w:szCs w:val="24"/>
          <w:lang w:val="en-GB"/>
        </w:rPr>
        <w:footnoteReference w:id="53"/>
      </w:r>
      <w:r w:rsidR="00053374" w:rsidRPr="00764F24">
        <w:rPr>
          <w:rFonts w:eastAsiaTheme="majorEastAsia" w:cstheme="minorHAnsi"/>
          <w:bCs/>
          <w:kern w:val="32"/>
          <w:szCs w:val="24"/>
          <w:lang w:val="en-GB"/>
        </w:rPr>
        <w:t xml:space="preserve"> </w:t>
      </w:r>
      <w:r w:rsidR="00402E6B">
        <w:rPr>
          <w:rFonts w:eastAsiaTheme="majorEastAsia" w:cstheme="minorHAnsi"/>
          <w:bCs/>
          <w:kern w:val="32"/>
          <w:szCs w:val="24"/>
          <w:lang w:val="en-GB"/>
        </w:rPr>
        <w:t>47</w:t>
      </w:r>
      <w:r w:rsidR="00053374" w:rsidRPr="00764F24">
        <w:rPr>
          <w:rFonts w:cstheme="minorHAnsi"/>
          <w:szCs w:val="24"/>
          <w:lang w:val="en-GB"/>
        </w:rPr>
        <w:t xml:space="preserve"> per cent of households</w:t>
      </w:r>
      <w:r w:rsidR="00402E6B">
        <w:rPr>
          <w:rFonts w:cstheme="minorHAnsi"/>
          <w:szCs w:val="24"/>
          <w:lang w:val="en-GB"/>
        </w:rPr>
        <w:t xml:space="preserve"> said</w:t>
      </w:r>
      <w:r w:rsidR="00053374" w:rsidRPr="00764F24">
        <w:rPr>
          <w:rFonts w:cstheme="minorHAnsi"/>
          <w:szCs w:val="24"/>
          <w:lang w:val="en-GB"/>
        </w:rPr>
        <w:t xml:space="preserve"> </w:t>
      </w:r>
      <w:r w:rsidR="00402E6B">
        <w:rPr>
          <w:rFonts w:cstheme="minorHAnsi"/>
          <w:szCs w:val="24"/>
          <w:lang w:val="en-GB"/>
        </w:rPr>
        <w:t>‘t</w:t>
      </w:r>
      <w:r w:rsidR="00402E6B" w:rsidRPr="00402E6B">
        <w:rPr>
          <w:rFonts w:cstheme="minorHAnsi"/>
          <w:szCs w:val="24"/>
          <w:lang w:val="en-GB"/>
        </w:rPr>
        <w:t>hinking about my financial situation makes me anxious</w:t>
      </w:r>
      <w:r w:rsidR="00402E6B">
        <w:rPr>
          <w:rFonts w:cstheme="minorHAnsi"/>
          <w:szCs w:val="24"/>
          <w:lang w:val="en-GB"/>
        </w:rPr>
        <w:t>’</w:t>
      </w:r>
      <w:r w:rsidR="00053374" w:rsidRPr="00764F24">
        <w:rPr>
          <w:rFonts w:cstheme="minorHAnsi"/>
          <w:szCs w:val="24"/>
          <w:lang w:val="en-GB"/>
        </w:rPr>
        <w:t xml:space="preserve">. </w:t>
      </w:r>
    </w:p>
    <w:p w14:paraId="0BF166BB" w14:textId="77777777" w:rsidR="002C1913" w:rsidRPr="00764F24" w:rsidRDefault="002C1913" w:rsidP="00D86B69">
      <w:pPr>
        <w:spacing w:beforeAutospacing="1" w:after="100" w:afterAutospacing="1" w:line="360" w:lineRule="auto"/>
        <w:rPr>
          <w:rFonts w:eastAsiaTheme="majorEastAsia" w:cstheme="minorHAnsi"/>
          <w:b/>
          <w:bCs/>
          <w:i/>
          <w:iCs/>
          <w:color w:val="0070C0"/>
          <w:szCs w:val="24"/>
          <w:lang w:val="en-GB"/>
        </w:rPr>
      </w:pPr>
      <w:r w:rsidRPr="00764F24">
        <w:rPr>
          <w:rFonts w:cstheme="minorHAnsi"/>
          <w:szCs w:val="24"/>
          <w:lang w:val="en-GB"/>
        </w:rPr>
        <w:br w:type="page"/>
      </w:r>
    </w:p>
    <w:p w14:paraId="416A1B6B" w14:textId="5B5FF972" w:rsidR="00F163F0" w:rsidRPr="00764F24" w:rsidRDefault="005E2FD8" w:rsidP="00D86B69">
      <w:pPr>
        <w:pStyle w:val="Heading2"/>
        <w:numPr>
          <w:ilvl w:val="0"/>
          <w:numId w:val="10"/>
        </w:numPr>
        <w:spacing w:beforeAutospacing="1" w:after="100" w:afterAutospacing="1" w:line="360" w:lineRule="auto"/>
        <w:rPr>
          <w:rFonts w:cstheme="minorHAnsi"/>
          <w:szCs w:val="24"/>
          <w:lang w:val="en-GB"/>
        </w:rPr>
      </w:pPr>
      <w:bookmarkStart w:id="39" w:name="_Toc51250062"/>
      <w:bookmarkStart w:id="40" w:name="_Toc54600804"/>
      <w:r w:rsidRPr="00764F24">
        <w:rPr>
          <w:rFonts w:cstheme="minorHAnsi"/>
          <w:szCs w:val="24"/>
          <w:lang w:val="en-GB"/>
        </w:rPr>
        <w:lastRenderedPageBreak/>
        <w:t>B</w:t>
      </w:r>
      <w:r w:rsidR="00F163F0" w:rsidRPr="00764F24">
        <w:rPr>
          <w:rFonts w:cstheme="minorHAnsi"/>
          <w:szCs w:val="24"/>
          <w:lang w:val="en-GB"/>
        </w:rPr>
        <w:t>ank accounts</w:t>
      </w:r>
      <w:bookmarkEnd w:id="39"/>
      <w:bookmarkEnd w:id="40"/>
    </w:p>
    <w:p w14:paraId="13BE5852" w14:textId="77777777" w:rsidR="00177D83" w:rsidRPr="00764F24" w:rsidRDefault="000675AA" w:rsidP="00D86B69">
      <w:pPr>
        <w:spacing w:beforeAutospacing="1" w:after="100" w:afterAutospacing="1" w:line="360" w:lineRule="auto"/>
        <w:rPr>
          <w:rFonts w:cstheme="minorHAnsi"/>
          <w:szCs w:val="24"/>
          <w:lang w:val="en-GB"/>
        </w:rPr>
      </w:pPr>
      <w:r w:rsidRPr="00764F24">
        <w:rPr>
          <w:rFonts w:cstheme="minorHAnsi"/>
          <w:szCs w:val="24"/>
          <w:lang w:val="en-GB"/>
        </w:rPr>
        <w:t xml:space="preserve">Access to a bank account is a core part of financial inclusion as it </w:t>
      </w:r>
      <w:r w:rsidR="009F72AD" w:rsidRPr="00764F24">
        <w:rPr>
          <w:rFonts w:cstheme="minorHAnsi"/>
          <w:szCs w:val="24"/>
          <w:lang w:val="en-GB"/>
        </w:rPr>
        <w:t xml:space="preserve">enables people to </w:t>
      </w:r>
      <w:r w:rsidR="005E2FD8" w:rsidRPr="00764F24">
        <w:rPr>
          <w:rFonts w:cstheme="minorHAnsi"/>
          <w:szCs w:val="24"/>
          <w:lang w:val="en-GB"/>
        </w:rPr>
        <w:t xml:space="preserve">manage day-to-day financial transactions and this means having access to </w:t>
      </w:r>
      <w:r w:rsidR="000E4B3A" w:rsidRPr="00764F24">
        <w:rPr>
          <w:rFonts w:cstheme="minorHAnsi"/>
          <w:szCs w:val="24"/>
          <w:lang w:val="en-GB"/>
        </w:rPr>
        <w:t>an appropriate:</w:t>
      </w:r>
    </w:p>
    <w:p w14:paraId="084EFD49" w14:textId="77777777" w:rsidR="00177D83" w:rsidRPr="00764F24" w:rsidRDefault="00177D83" w:rsidP="00D86B69">
      <w:pPr>
        <w:pStyle w:val="ListParagraph"/>
        <w:numPr>
          <w:ilvl w:val="0"/>
          <w:numId w:val="1"/>
        </w:numPr>
        <w:spacing w:beforeAutospacing="1" w:after="100" w:afterAutospacing="1" w:line="360" w:lineRule="auto"/>
        <w:rPr>
          <w:rFonts w:cstheme="minorHAnsi"/>
          <w:szCs w:val="24"/>
          <w:lang w:val="en-GB"/>
        </w:rPr>
      </w:pPr>
      <w:r w:rsidRPr="00764F24">
        <w:rPr>
          <w:rFonts w:cstheme="minorHAnsi"/>
          <w:szCs w:val="24"/>
          <w:lang w:val="en-GB"/>
        </w:rPr>
        <w:t>account or equivalent product into which income can be paid, held securely and accessed easily</w:t>
      </w:r>
      <w:r w:rsidR="0018563D" w:rsidRPr="00764F24">
        <w:rPr>
          <w:rFonts w:cstheme="minorHAnsi"/>
          <w:szCs w:val="24"/>
          <w:lang w:val="en-GB"/>
        </w:rPr>
        <w:t>;</w:t>
      </w:r>
    </w:p>
    <w:p w14:paraId="59579589" w14:textId="77777777" w:rsidR="00177D83" w:rsidRPr="00764F24" w:rsidRDefault="00177D83" w:rsidP="00D86B69">
      <w:pPr>
        <w:pStyle w:val="ListParagraph"/>
        <w:numPr>
          <w:ilvl w:val="0"/>
          <w:numId w:val="1"/>
        </w:numPr>
        <w:spacing w:beforeAutospacing="1" w:after="100" w:afterAutospacing="1" w:line="360" w:lineRule="auto"/>
        <w:rPr>
          <w:rFonts w:cstheme="minorHAnsi"/>
          <w:szCs w:val="24"/>
          <w:lang w:val="en-GB"/>
        </w:rPr>
      </w:pPr>
      <w:r w:rsidRPr="00764F24">
        <w:rPr>
          <w:rFonts w:cstheme="minorHAnsi"/>
          <w:szCs w:val="24"/>
          <w:lang w:val="en-GB"/>
        </w:rPr>
        <w:t>method of paying and spreading the cost of household bills and regular commitments</w:t>
      </w:r>
      <w:r w:rsidR="0018563D" w:rsidRPr="00764F24">
        <w:rPr>
          <w:rFonts w:cstheme="minorHAnsi"/>
          <w:szCs w:val="24"/>
          <w:lang w:val="en-GB"/>
        </w:rPr>
        <w:t>;</w:t>
      </w:r>
    </w:p>
    <w:p w14:paraId="7DF2028D" w14:textId="77777777" w:rsidR="007E64E2" w:rsidRPr="00764F24" w:rsidRDefault="00177D83" w:rsidP="00D86B69">
      <w:pPr>
        <w:pStyle w:val="ListParagraph"/>
        <w:numPr>
          <w:ilvl w:val="0"/>
          <w:numId w:val="1"/>
        </w:numPr>
        <w:spacing w:beforeAutospacing="1" w:after="100" w:afterAutospacing="1" w:line="360" w:lineRule="auto"/>
        <w:rPr>
          <w:rFonts w:cstheme="minorHAnsi"/>
          <w:szCs w:val="24"/>
          <w:lang w:val="en-GB"/>
        </w:rPr>
      </w:pPr>
      <w:r w:rsidRPr="00764F24">
        <w:rPr>
          <w:rFonts w:cstheme="minorHAnsi"/>
          <w:szCs w:val="24"/>
          <w:lang w:val="en-GB"/>
        </w:rPr>
        <w:t>method of paying for goods and services, including making remote purchases by telephone and on the internet</w:t>
      </w:r>
      <w:r w:rsidR="0018563D" w:rsidRPr="00764F24">
        <w:rPr>
          <w:rFonts w:cstheme="minorHAnsi"/>
          <w:szCs w:val="24"/>
          <w:lang w:val="en-GB"/>
        </w:rPr>
        <w:t>.</w:t>
      </w:r>
      <w:r w:rsidR="000E4B3A" w:rsidRPr="00764F24">
        <w:rPr>
          <w:rStyle w:val="FootnoteReference"/>
          <w:rFonts w:cstheme="minorHAnsi"/>
          <w:szCs w:val="24"/>
          <w:lang w:val="en-GB"/>
        </w:rPr>
        <w:footnoteReference w:id="54"/>
      </w:r>
    </w:p>
    <w:p w14:paraId="119970EF" w14:textId="60C1AB5A" w:rsidR="007E64E2" w:rsidRPr="00764F24" w:rsidRDefault="0018563D" w:rsidP="00D86B69">
      <w:pPr>
        <w:spacing w:beforeAutospacing="1" w:after="100" w:afterAutospacing="1" w:line="360" w:lineRule="auto"/>
        <w:rPr>
          <w:rFonts w:cstheme="minorHAnsi"/>
          <w:szCs w:val="24"/>
          <w:lang w:val="en-GB"/>
        </w:rPr>
      </w:pPr>
      <w:r w:rsidRPr="00764F24">
        <w:rPr>
          <w:rFonts w:cstheme="minorHAnsi"/>
          <w:szCs w:val="24"/>
          <w:lang w:val="en-GB"/>
        </w:rPr>
        <w:t>T</w:t>
      </w:r>
      <w:r w:rsidR="00A6223D" w:rsidRPr="00764F24">
        <w:rPr>
          <w:rFonts w:cstheme="minorHAnsi"/>
          <w:szCs w:val="24"/>
          <w:lang w:val="en-GB"/>
        </w:rPr>
        <w:t>he number of adults without access to an account of any kind is relatively small</w:t>
      </w:r>
      <w:r w:rsidRPr="00764F24">
        <w:rPr>
          <w:rFonts w:cstheme="minorHAnsi"/>
          <w:szCs w:val="24"/>
          <w:lang w:val="en-GB"/>
        </w:rPr>
        <w:t xml:space="preserve"> as a proportion of the population</w:t>
      </w:r>
      <w:r w:rsidR="00A6223D" w:rsidRPr="00764F24">
        <w:rPr>
          <w:rFonts w:cstheme="minorHAnsi"/>
          <w:szCs w:val="24"/>
          <w:lang w:val="en-GB"/>
        </w:rPr>
        <w:t xml:space="preserve">. The Family Resources Survey collects a great deal of detail about accounts, but the opening question seeks to identify whether any accounts are either currently held, or have been held in the last 12 months. In Table </w:t>
      </w:r>
      <w:r w:rsidR="00666600" w:rsidRPr="00764F24">
        <w:rPr>
          <w:rFonts w:cstheme="minorHAnsi"/>
          <w:szCs w:val="24"/>
          <w:lang w:val="en-GB"/>
        </w:rPr>
        <w:t>5.1</w:t>
      </w:r>
      <w:r w:rsidR="00A6223D" w:rsidRPr="00764F24">
        <w:rPr>
          <w:rFonts w:cstheme="minorHAnsi"/>
          <w:szCs w:val="24"/>
          <w:lang w:val="en-GB"/>
        </w:rPr>
        <w:t xml:space="preserve"> we extend the series of estimates of the unbanked previously produced by the </w:t>
      </w:r>
      <w:r w:rsidR="009E0315" w:rsidRPr="00764F24">
        <w:rPr>
          <w:rFonts w:cstheme="minorHAnsi"/>
          <w:szCs w:val="24"/>
          <w:lang w:val="en-GB"/>
        </w:rPr>
        <w:t>Financial Inclusion Taskforce (set up by HM Treasury)</w:t>
      </w:r>
      <w:r w:rsidR="009E0315" w:rsidRPr="00764F24">
        <w:rPr>
          <w:rStyle w:val="FootnoteReference"/>
          <w:rFonts w:cstheme="minorHAnsi"/>
          <w:szCs w:val="24"/>
          <w:lang w:val="en-GB"/>
        </w:rPr>
        <w:footnoteReference w:id="55"/>
      </w:r>
      <w:r w:rsidR="00490CD5" w:rsidRPr="00764F24">
        <w:rPr>
          <w:rFonts w:cstheme="minorHAnsi"/>
          <w:szCs w:val="24"/>
          <w:lang w:val="en-GB"/>
        </w:rPr>
        <w:t xml:space="preserve"> to the latest data for 2018/19</w:t>
      </w:r>
      <w:r w:rsidR="00A6223D" w:rsidRPr="00764F24">
        <w:rPr>
          <w:rFonts w:cstheme="minorHAnsi"/>
          <w:szCs w:val="24"/>
          <w:lang w:val="en-GB"/>
        </w:rPr>
        <w:t xml:space="preserve">. </w:t>
      </w:r>
    </w:p>
    <w:p w14:paraId="5A9E46F1" w14:textId="7119F4DF" w:rsidR="007E64E2" w:rsidRPr="00764F24" w:rsidRDefault="003C0830" w:rsidP="00D86B69">
      <w:pPr>
        <w:spacing w:beforeAutospacing="1" w:after="100" w:afterAutospacing="1" w:line="360" w:lineRule="auto"/>
        <w:rPr>
          <w:rFonts w:cstheme="minorHAnsi"/>
          <w:szCs w:val="24"/>
          <w:lang w:val="en-GB"/>
        </w:rPr>
      </w:pPr>
      <w:r w:rsidRPr="00764F24">
        <w:rPr>
          <w:rFonts w:cstheme="minorHAnsi"/>
          <w:szCs w:val="24"/>
          <w:lang w:val="en-GB"/>
        </w:rPr>
        <w:t>The first column shows the number of adults without a current or basic bank account</w:t>
      </w:r>
      <w:r w:rsidR="00BF7FBA" w:rsidRPr="00764F24">
        <w:rPr>
          <w:rFonts w:cstheme="minorHAnsi"/>
          <w:szCs w:val="24"/>
          <w:lang w:val="en-GB"/>
        </w:rPr>
        <w:t xml:space="preserve">. </w:t>
      </w:r>
      <w:r w:rsidRPr="00764F24">
        <w:rPr>
          <w:rFonts w:cstheme="minorHAnsi"/>
          <w:szCs w:val="24"/>
          <w:lang w:val="en-GB"/>
        </w:rPr>
        <w:t>This figure also includes people who ‘did not state’ whether they had an account or not</w:t>
      </w:r>
      <w:r w:rsidR="00BF7FBA" w:rsidRPr="00764F24">
        <w:rPr>
          <w:rFonts w:cstheme="minorHAnsi"/>
          <w:szCs w:val="24"/>
          <w:lang w:val="en-GB"/>
        </w:rPr>
        <w:t xml:space="preserve">. </w:t>
      </w:r>
      <w:r w:rsidRPr="00764F24">
        <w:rPr>
          <w:rFonts w:cstheme="minorHAnsi"/>
          <w:szCs w:val="24"/>
          <w:lang w:val="en-GB"/>
        </w:rPr>
        <w:t>Previous research suggests these are more likely to be without an account but some of these people will have one</w:t>
      </w:r>
      <w:r w:rsidR="00BF7FBA" w:rsidRPr="00764F24">
        <w:rPr>
          <w:rFonts w:cstheme="minorHAnsi"/>
          <w:szCs w:val="24"/>
          <w:lang w:val="en-GB"/>
        </w:rPr>
        <w:t xml:space="preserve">. </w:t>
      </w:r>
      <w:r w:rsidRPr="00764F24">
        <w:rPr>
          <w:rFonts w:cstheme="minorHAnsi"/>
          <w:szCs w:val="24"/>
          <w:lang w:val="en-GB"/>
        </w:rPr>
        <w:t>The f</w:t>
      </w:r>
      <w:r w:rsidR="00666600" w:rsidRPr="00764F24">
        <w:rPr>
          <w:rFonts w:cstheme="minorHAnsi"/>
          <w:szCs w:val="24"/>
          <w:lang w:val="en-GB"/>
        </w:rPr>
        <w:t>igures in table 5.1 (see also figure 5.1</w:t>
      </w:r>
      <w:r w:rsidRPr="00764F24">
        <w:rPr>
          <w:rFonts w:cstheme="minorHAnsi"/>
          <w:szCs w:val="24"/>
          <w:lang w:val="en-GB"/>
        </w:rPr>
        <w:t xml:space="preserve">) show that there has been a steady decline in the numbers of unbanked adults according to this measure from </w:t>
      </w:r>
      <w:r w:rsidR="00DC5BE8" w:rsidRPr="00764F24">
        <w:rPr>
          <w:rFonts w:cstheme="minorHAnsi"/>
          <w:szCs w:val="24"/>
          <w:lang w:val="en-GB"/>
        </w:rPr>
        <w:t>2.85</w:t>
      </w:r>
      <w:r w:rsidRPr="00764F24">
        <w:rPr>
          <w:rFonts w:cstheme="minorHAnsi"/>
          <w:szCs w:val="24"/>
          <w:lang w:val="en-GB"/>
        </w:rPr>
        <w:t>m in 200</w:t>
      </w:r>
      <w:r w:rsidR="00DC5BE8" w:rsidRPr="00764F24">
        <w:rPr>
          <w:rFonts w:cstheme="minorHAnsi"/>
          <w:szCs w:val="24"/>
          <w:lang w:val="en-GB"/>
        </w:rPr>
        <w:t>5/6</w:t>
      </w:r>
      <w:r w:rsidRPr="00764F24">
        <w:rPr>
          <w:rFonts w:cstheme="minorHAnsi"/>
          <w:szCs w:val="24"/>
          <w:lang w:val="en-GB"/>
        </w:rPr>
        <w:t xml:space="preserve"> to a low of 1.5m in 2012-13</w:t>
      </w:r>
      <w:r w:rsidR="00BF7FBA" w:rsidRPr="00764F24">
        <w:rPr>
          <w:rFonts w:cstheme="minorHAnsi"/>
          <w:szCs w:val="24"/>
          <w:lang w:val="en-GB"/>
        </w:rPr>
        <w:t xml:space="preserve">. </w:t>
      </w:r>
      <w:r w:rsidRPr="00764F24">
        <w:rPr>
          <w:rFonts w:cstheme="minorHAnsi"/>
          <w:szCs w:val="24"/>
          <w:lang w:val="en-GB"/>
        </w:rPr>
        <w:t xml:space="preserve">However, the figure then increased </w:t>
      </w:r>
      <w:r w:rsidR="00DC5BE8" w:rsidRPr="00764F24">
        <w:rPr>
          <w:rFonts w:cstheme="minorHAnsi"/>
          <w:szCs w:val="24"/>
          <w:lang w:val="en-GB"/>
        </w:rPr>
        <w:t xml:space="preserve">before falling the last few years to fall just below 1 million </w:t>
      </w:r>
      <w:r w:rsidR="00FF7E7B">
        <w:rPr>
          <w:rFonts w:cstheme="minorHAnsi"/>
          <w:szCs w:val="24"/>
          <w:lang w:val="en-GB"/>
        </w:rPr>
        <w:t xml:space="preserve">(996,000) </w:t>
      </w:r>
      <w:r w:rsidR="00DC5BE8" w:rsidRPr="00764F24">
        <w:rPr>
          <w:rFonts w:cstheme="minorHAnsi"/>
          <w:szCs w:val="24"/>
          <w:lang w:val="en-GB"/>
        </w:rPr>
        <w:t>in 2018-19 (higher of the two lines in figure 5.1).</w:t>
      </w:r>
    </w:p>
    <w:p w14:paraId="7D373FD4" w14:textId="5C3379AE" w:rsidR="007E64E2" w:rsidRPr="00764F24" w:rsidRDefault="003C0830" w:rsidP="00D86B69">
      <w:pPr>
        <w:spacing w:beforeAutospacing="1" w:after="100" w:afterAutospacing="1" w:line="360" w:lineRule="auto"/>
        <w:rPr>
          <w:rFonts w:cstheme="minorHAnsi"/>
          <w:szCs w:val="24"/>
          <w:lang w:val="en-GB"/>
        </w:rPr>
      </w:pPr>
      <w:r w:rsidRPr="00764F24">
        <w:rPr>
          <w:rFonts w:cstheme="minorHAnsi"/>
          <w:szCs w:val="24"/>
          <w:lang w:val="en-GB"/>
        </w:rPr>
        <w:t>Some adults may not have a bank account themselves but they may live in a household where someone else has an account</w:t>
      </w:r>
      <w:r w:rsidR="008E2B45" w:rsidRPr="00764F24">
        <w:rPr>
          <w:rFonts w:cstheme="minorHAnsi"/>
          <w:szCs w:val="24"/>
          <w:lang w:val="en-GB"/>
        </w:rPr>
        <w:t>. A</w:t>
      </w:r>
      <w:r w:rsidRPr="00764F24">
        <w:rPr>
          <w:rFonts w:cstheme="minorHAnsi"/>
          <w:szCs w:val="24"/>
          <w:lang w:val="en-GB"/>
        </w:rPr>
        <w:t>nd if that person (partner, parent, adult child) shares the benefits of doing so with them, the lack of an account may be less of a concern</w:t>
      </w:r>
      <w:r w:rsidR="00BF7FBA" w:rsidRPr="00764F24">
        <w:rPr>
          <w:rFonts w:cstheme="minorHAnsi"/>
          <w:szCs w:val="24"/>
          <w:lang w:val="en-GB"/>
        </w:rPr>
        <w:t xml:space="preserve">. </w:t>
      </w:r>
      <w:r w:rsidR="00A6223D" w:rsidRPr="00764F24">
        <w:rPr>
          <w:rFonts w:cstheme="minorHAnsi"/>
          <w:szCs w:val="24"/>
          <w:lang w:val="en-GB"/>
        </w:rPr>
        <w:t>The final column</w:t>
      </w:r>
      <w:r w:rsidRPr="00764F24">
        <w:rPr>
          <w:rFonts w:cstheme="minorHAnsi"/>
          <w:szCs w:val="24"/>
          <w:lang w:val="en-GB"/>
        </w:rPr>
        <w:t xml:space="preserve"> of table </w:t>
      </w:r>
      <w:r w:rsidR="00DC5BE8" w:rsidRPr="00764F24">
        <w:rPr>
          <w:rFonts w:cstheme="minorHAnsi"/>
          <w:szCs w:val="24"/>
          <w:lang w:val="en-GB"/>
        </w:rPr>
        <w:t>5.</w:t>
      </w:r>
      <w:r w:rsidR="00B93891" w:rsidRPr="00764F24">
        <w:rPr>
          <w:rFonts w:cstheme="minorHAnsi"/>
          <w:szCs w:val="24"/>
          <w:lang w:val="en-GB"/>
        </w:rPr>
        <w:t>1</w:t>
      </w:r>
      <w:r w:rsidRPr="00764F24">
        <w:rPr>
          <w:rFonts w:cstheme="minorHAnsi"/>
          <w:szCs w:val="24"/>
          <w:lang w:val="en-GB"/>
        </w:rPr>
        <w:t xml:space="preserve"> </w:t>
      </w:r>
      <w:r w:rsidR="00DC5BE8" w:rsidRPr="00764F24">
        <w:rPr>
          <w:rFonts w:cstheme="minorHAnsi"/>
          <w:szCs w:val="24"/>
          <w:lang w:val="en-GB"/>
        </w:rPr>
        <w:t xml:space="preserve">(and the lower line figure 5.1) </w:t>
      </w:r>
      <w:r w:rsidRPr="00764F24">
        <w:rPr>
          <w:rFonts w:cstheme="minorHAnsi"/>
          <w:szCs w:val="24"/>
          <w:lang w:val="en-GB"/>
        </w:rPr>
        <w:t>therefore</w:t>
      </w:r>
      <w:r w:rsidR="00A6223D" w:rsidRPr="00764F24">
        <w:rPr>
          <w:rFonts w:cstheme="minorHAnsi"/>
          <w:szCs w:val="24"/>
          <w:lang w:val="en-GB"/>
        </w:rPr>
        <w:t xml:space="preserve"> shows the number of adults </w:t>
      </w:r>
      <w:r w:rsidR="00A6223D" w:rsidRPr="00764F24">
        <w:rPr>
          <w:rFonts w:cstheme="minorHAnsi"/>
          <w:i/>
          <w:szCs w:val="24"/>
          <w:lang w:val="en-GB"/>
        </w:rPr>
        <w:t>living in households</w:t>
      </w:r>
      <w:r w:rsidR="00A6223D" w:rsidRPr="00764F24">
        <w:rPr>
          <w:rFonts w:cstheme="minorHAnsi"/>
          <w:szCs w:val="24"/>
          <w:lang w:val="en-GB"/>
        </w:rPr>
        <w:t xml:space="preserve"> without access to a relevant account. </w:t>
      </w:r>
      <w:r w:rsidRPr="00764F24">
        <w:rPr>
          <w:rFonts w:cstheme="minorHAnsi"/>
          <w:szCs w:val="24"/>
          <w:lang w:val="en-GB"/>
        </w:rPr>
        <w:t xml:space="preserve">It also excludes those who ‘did not state’ whether or not </w:t>
      </w:r>
      <w:r w:rsidRPr="00764F24">
        <w:rPr>
          <w:rFonts w:cstheme="minorHAnsi"/>
          <w:szCs w:val="24"/>
          <w:lang w:val="en-GB"/>
        </w:rPr>
        <w:lastRenderedPageBreak/>
        <w:t>they have an account, focusing only on those who positively stated that they did not have an account</w:t>
      </w:r>
      <w:r w:rsidR="00BF7FBA" w:rsidRPr="00764F24">
        <w:rPr>
          <w:rFonts w:cstheme="minorHAnsi"/>
          <w:szCs w:val="24"/>
          <w:lang w:val="en-GB"/>
        </w:rPr>
        <w:t xml:space="preserve">. </w:t>
      </w:r>
      <w:r w:rsidRPr="00764F24">
        <w:rPr>
          <w:rFonts w:cstheme="minorHAnsi"/>
          <w:szCs w:val="24"/>
          <w:lang w:val="en-GB"/>
        </w:rPr>
        <w:t>This group is the most severely excluded</w:t>
      </w:r>
      <w:r w:rsidR="00BF7FBA" w:rsidRPr="00764F24">
        <w:rPr>
          <w:rFonts w:cstheme="minorHAnsi"/>
          <w:szCs w:val="24"/>
          <w:lang w:val="en-GB"/>
        </w:rPr>
        <w:t xml:space="preserve">. </w:t>
      </w:r>
      <w:r w:rsidR="00DC5BE8" w:rsidRPr="00764F24">
        <w:rPr>
          <w:rFonts w:cstheme="minorHAnsi"/>
          <w:szCs w:val="24"/>
          <w:lang w:val="en-GB"/>
        </w:rPr>
        <w:t>The trend for this group has also been downward over the period of study f</w:t>
      </w:r>
      <w:r w:rsidR="00DB5355" w:rsidRPr="00764F24">
        <w:rPr>
          <w:rFonts w:cstheme="minorHAnsi"/>
          <w:szCs w:val="24"/>
          <w:lang w:val="en-GB"/>
        </w:rPr>
        <w:t>rom 200</w:t>
      </w:r>
      <w:r w:rsidR="00DD66BE" w:rsidRPr="00764F24">
        <w:rPr>
          <w:rFonts w:cstheme="minorHAnsi"/>
          <w:szCs w:val="24"/>
          <w:lang w:val="en-GB"/>
        </w:rPr>
        <w:t>5/6</w:t>
      </w:r>
      <w:r w:rsidR="00DB5355" w:rsidRPr="00764F24">
        <w:rPr>
          <w:rFonts w:cstheme="minorHAnsi"/>
          <w:szCs w:val="24"/>
          <w:lang w:val="en-GB"/>
        </w:rPr>
        <w:t xml:space="preserve"> to 201</w:t>
      </w:r>
      <w:r w:rsidR="00DC5BE8" w:rsidRPr="00764F24">
        <w:rPr>
          <w:rFonts w:cstheme="minorHAnsi"/>
          <w:szCs w:val="24"/>
          <w:lang w:val="en-GB"/>
        </w:rPr>
        <w:t>8/19 but not at the same rate and there are still half a million adults living in households who positively state that they do not have access to a transactional form of banking</w:t>
      </w:r>
      <w:r w:rsidR="00BF7FBA" w:rsidRPr="00764F24">
        <w:rPr>
          <w:rFonts w:cstheme="minorHAnsi"/>
          <w:szCs w:val="24"/>
          <w:lang w:val="en-GB"/>
        </w:rPr>
        <w:t xml:space="preserve">. </w:t>
      </w:r>
    </w:p>
    <w:p w14:paraId="0BC8BC5D" w14:textId="782CF1C4" w:rsidR="00754135" w:rsidRPr="00764F24" w:rsidRDefault="00754135"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t>Figure</w:t>
      </w:r>
      <w:r w:rsidR="00DC5BE8" w:rsidRPr="00764F24">
        <w:rPr>
          <w:rFonts w:cstheme="minorHAnsi"/>
          <w:sz w:val="24"/>
          <w:szCs w:val="24"/>
          <w:lang w:val="en-GB"/>
        </w:rPr>
        <w:t xml:space="preserve"> 5.1</w:t>
      </w:r>
      <w:r w:rsidR="00643E1B" w:rsidRPr="00764F24">
        <w:rPr>
          <w:rFonts w:cstheme="minorHAnsi"/>
          <w:sz w:val="24"/>
          <w:szCs w:val="24"/>
          <w:lang w:val="en-GB"/>
        </w:rPr>
        <w:t>.</w:t>
      </w:r>
      <w:r w:rsidR="00DC5BE8" w:rsidRPr="00764F24">
        <w:rPr>
          <w:rFonts w:cstheme="minorHAnsi"/>
          <w:sz w:val="24"/>
          <w:szCs w:val="24"/>
          <w:lang w:val="en-GB"/>
        </w:rPr>
        <w:t xml:space="preserve"> Trends in numbers of people without bank accounts</w:t>
      </w:r>
      <w:r w:rsidR="00013E9C">
        <w:rPr>
          <w:rFonts w:cstheme="minorHAnsi"/>
          <w:sz w:val="24"/>
          <w:szCs w:val="24"/>
          <w:lang w:val="en-GB"/>
        </w:rPr>
        <w:t xml:space="preserve"> (million people)</w:t>
      </w:r>
    </w:p>
    <w:p w14:paraId="150BD4E4" w14:textId="32FE8DDD" w:rsidR="00490CD5" w:rsidRPr="00764F24" w:rsidRDefault="00DC5BE8" w:rsidP="00D86B69">
      <w:pPr>
        <w:keepNext/>
        <w:spacing w:beforeAutospacing="1" w:after="100" w:afterAutospacing="1" w:line="360" w:lineRule="auto"/>
        <w:rPr>
          <w:rFonts w:cstheme="minorHAnsi"/>
          <w:szCs w:val="24"/>
          <w:lang w:val="en-GB"/>
        </w:rPr>
      </w:pPr>
      <w:r w:rsidRPr="00764F24">
        <w:rPr>
          <w:rFonts w:cstheme="minorHAnsi"/>
          <w:noProof/>
          <w:szCs w:val="24"/>
          <w:lang w:val="en-GB" w:eastAsia="en-GB" w:bidi="ar-SA"/>
        </w:rPr>
        <w:drawing>
          <wp:inline distT="0" distB="0" distL="0" distR="0" wp14:anchorId="6A9538B1" wp14:editId="43557C7B">
            <wp:extent cx="5565775" cy="3743325"/>
            <wp:effectExtent l="0" t="0" r="15875" b="9525"/>
            <wp:docPr id="27" name="Chart 27" descr="Continued reductions in the number of people without bank accou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E2A136F" w14:textId="43EBE9B2" w:rsidR="003C0830" w:rsidRPr="00764F24" w:rsidRDefault="003C0830" w:rsidP="00D86B69">
      <w:pPr>
        <w:spacing w:beforeAutospacing="1" w:after="100" w:afterAutospacing="1" w:line="360" w:lineRule="auto"/>
        <w:rPr>
          <w:rFonts w:cstheme="minorHAnsi"/>
          <w:b/>
          <w:szCs w:val="24"/>
          <w:lang w:val="en-GB"/>
        </w:rPr>
      </w:pPr>
    </w:p>
    <w:p w14:paraId="4573B948" w14:textId="77777777" w:rsidR="00020F4F" w:rsidRDefault="00020F4F">
      <w:pPr>
        <w:rPr>
          <w:rFonts w:cstheme="minorHAnsi"/>
          <w:b/>
          <w:bCs/>
          <w:color w:val="4A66AC" w:themeColor="accent1"/>
          <w:sz w:val="24"/>
          <w:szCs w:val="24"/>
        </w:rPr>
      </w:pPr>
      <w:r>
        <w:rPr>
          <w:rFonts w:cstheme="minorHAnsi"/>
          <w:sz w:val="24"/>
          <w:szCs w:val="24"/>
        </w:rPr>
        <w:br w:type="page"/>
      </w:r>
    </w:p>
    <w:p w14:paraId="5BC6D22B" w14:textId="687AAE0B" w:rsidR="000F060E" w:rsidRPr="00764F24" w:rsidRDefault="000F060E" w:rsidP="000F060E">
      <w:pPr>
        <w:pStyle w:val="Caption"/>
        <w:keepNext/>
        <w:rPr>
          <w:rFonts w:cstheme="minorHAnsi"/>
          <w:sz w:val="24"/>
          <w:szCs w:val="24"/>
        </w:rPr>
      </w:pPr>
      <w:r w:rsidRPr="00764F24">
        <w:rPr>
          <w:rFonts w:cstheme="minorHAnsi"/>
          <w:sz w:val="24"/>
          <w:szCs w:val="24"/>
        </w:rPr>
        <w:lastRenderedPageBreak/>
        <w:t xml:space="preserve">Table 5.1: </w:t>
      </w:r>
      <w:r w:rsidRPr="00764F24">
        <w:rPr>
          <w:rFonts w:cstheme="minorHAnsi"/>
          <w:sz w:val="24"/>
          <w:szCs w:val="24"/>
        </w:rPr>
        <w:tab/>
        <w:t>Households and adults without access to a current or basic bank account, or savings account, Family Resources Survey</w:t>
      </w:r>
      <w:r w:rsidRPr="00764F24">
        <w:rPr>
          <w:rStyle w:val="FootnoteReference"/>
          <w:rFonts w:cstheme="minorHAnsi"/>
          <w:b w:val="0"/>
          <w:sz w:val="24"/>
          <w:szCs w:val="24"/>
        </w:rPr>
        <w:footnoteReference w:id="56"/>
      </w:r>
      <w:r w:rsidRPr="00764F24">
        <w:rPr>
          <w:rFonts w:cstheme="minorHAnsi"/>
          <w:sz w:val="24"/>
          <w:szCs w:val="24"/>
        </w:rPr>
        <w:t xml:space="preserve">, </w:t>
      </w:r>
      <w:r w:rsidRPr="00764F24">
        <w:rPr>
          <w:rStyle w:val="FootnoteReference"/>
          <w:rFonts w:cstheme="minorHAnsi"/>
          <w:b w:val="0"/>
          <w:sz w:val="24"/>
          <w:szCs w:val="24"/>
        </w:rPr>
        <w:footnoteReference w:id="57"/>
      </w:r>
    </w:p>
    <w:tbl>
      <w:tblPr>
        <w:tblW w:w="9120" w:type="dxa"/>
        <w:tblLook w:val="04A0" w:firstRow="1" w:lastRow="0" w:firstColumn="1" w:lastColumn="0" w:noHBand="0" w:noVBand="1"/>
      </w:tblPr>
      <w:tblGrid>
        <w:gridCol w:w="2280"/>
        <w:gridCol w:w="2280"/>
        <w:gridCol w:w="2280"/>
        <w:gridCol w:w="2280"/>
      </w:tblGrid>
      <w:tr w:rsidR="000F060E" w:rsidRPr="000F060E" w14:paraId="4245A428" w14:textId="77777777" w:rsidTr="000A6914">
        <w:trPr>
          <w:trHeight w:hRule="exact" w:val="113"/>
        </w:trPr>
        <w:tc>
          <w:tcPr>
            <w:tcW w:w="2280" w:type="dxa"/>
            <w:tcBorders>
              <w:top w:val="single" w:sz="4" w:space="0" w:color="auto"/>
            </w:tcBorders>
          </w:tcPr>
          <w:p w14:paraId="144A7DF6" w14:textId="77777777" w:rsidR="000F060E" w:rsidRPr="000F060E" w:rsidRDefault="000F060E" w:rsidP="000F060E">
            <w:pPr>
              <w:spacing w:after="0" w:line="240" w:lineRule="auto"/>
              <w:rPr>
                <w:rFonts w:ascii="Calibri" w:eastAsia="Times New Roman" w:hAnsi="Calibri" w:cs="Calibri"/>
                <w:b/>
                <w:bCs/>
                <w:szCs w:val="24"/>
                <w:lang w:val="en-GB" w:eastAsia="en-GB" w:bidi="ar-SA"/>
              </w:rPr>
            </w:pPr>
          </w:p>
        </w:tc>
        <w:tc>
          <w:tcPr>
            <w:tcW w:w="2280" w:type="dxa"/>
            <w:tcBorders>
              <w:top w:val="single" w:sz="4" w:space="0" w:color="auto"/>
            </w:tcBorders>
          </w:tcPr>
          <w:p w14:paraId="08CF0862" w14:textId="77777777" w:rsidR="000F060E" w:rsidRPr="000F060E" w:rsidRDefault="000F060E" w:rsidP="000F060E">
            <w:pPr>
              <w:spacing w:after="0" w:line="240" w:lineRule="auto"/>
              <w:jc w:val="center"/>
              <w:rPr>
                <w:rFonts w:ascii="Calibri" w:eastAsia="Times New Roman" w:hAnsi="Calibri" w:cs="Calibri"/>
                <w:b/>
                <w:bCs/>
                <w:szCs w:val="24"/>
                <w:lang w:val="en-GB" w:eastAsia="en-GB" w:bidi="ar-SA"/>
              </w:rPr>
            </w:pPr>
          </w:p>
        </w:tc>
        <w:tc>
          <w:tcPr>
            <w:tcW w:w="2280" w:type="dxa"/>
            <w:tcBorders>
              <w:top w:val="single" w:sz="4" w:space="0" w:color="auto"/>
            </w:tcBorders>
          </w:tcPr>
          <w:p w14:paraId="09814C0E" w14:textId="77777777" w:rsidR="000F060E" w:rsidRPr="000F060E" w:rsidRDefault="000F060E" w:rsidP="000F060E">
            <w:pPr>
              <w:spacing w:after="0" w:line="240" w:lineRule="auto"/>
              <w:jc w:val="center"/>
              <w:rPr>
                <w:rFonts w:ascii="Calibri" w:eastAsia="Times New Roman" w:hAnsi="Calibri" w:cs="Calibri"/>
                <w:b/>
                <w:bCs/>
                <w:szCs w:val="24"/>
                <w:lang w:val="en-GB" w:eastAsia="en-GB" w:bidi="ar-SA"/>
              </w:rPr>
            </w:pPr>
          </w:p>
        </w:tc>
        <w:tc>
          <w:tcPr>
            <w:tcW w:w="2280" w:type="dxa"/>
            <w:tcBorders>
              <w:top w:val="single" w:sz="4" w:space="0" w:color="auto"/>
            </w:tcBorders>
          </w:tcPr>
          <w:p w14:paraId="404F6E42" w14:textId="77777777" w:rsidR="000F060E" w:rsidRPr="000F060E" w:rsidRDefault="000F060E" w:rsidP="000F060E">
            <w:pPr>
              <w:spacing w:after="0" w:line="240" w:lineRule="auto"/>
              <w:jc w:val="center"/>
              <w:rPr>
                <w:rFonts w:ascii="Calibri" w:eastAsia="Times New Roman" w:hAnsi="Calibri" w:cs="Calibri"/>
                <w:b/>
                <w:bCs/>
                <w:szCs w:val="24"/>
                <w:lang w:val="en-GB" w:eastAsia="en-GB" w:bidi="ar-SA"/>
              </w:rPr>
            </w:pPr>
          </w:p>
        </w:tc>
      </w:tr>
      <w:tr w:rsidR="000F060E" w:rsidRPr="000F060E" w14:paraId="4666BAB4" w14:textId="77777777" w:rsidTr="000A6914">
        <w:tc>
          <w:tcPr>
            <w:tcW w:w="2280" w:type="dxa"/>
            <w:hideMark/>
          </w:tcPr>
          <w:p w14:paraId="0B1F562E" w14:textId="77777777" w:rsidR="000F060E" w:rsidRPr="000F060E" w:rsidRDefault="000F060E" w:rsidP="000F060E">
            <w:pPr>
              <w:spacing w:after="0" w:line="240" w:lineRule="auto"/>
              <w:rPr>
                <w:rFonts w:ascii="Calibri" w:eastAsia="Times New Roman" w:hAnsi="Calibri" w:cs="Calibri"/>
                <w:b/>
                <w:bCs/>
                <w:color w:val="000000"/>
                <w:szCs w:val="24"/>
                <w:lang w:val="en-GB" w:eastAsia="en-GB" w:bidi="ar-SA"/>
              </w:rPr>
            </w:pPr>
            <w:r w:rsidRPr="000F060E">
              <w:rPr>
                <w:rFonts w:ascii="Calibri" w:eastAsia="Times New Roman" w:hAnsi="Calibri" w:cs="Calibri"/>
                <w:b/>
                <w:bCs/>
                <w:color w:val="000000"/>
                <w:szCs w:val="24"/>
                <w:lang w:val="en-GB" w:eastAsia="en-GB" w:bidi="ar-SA"/>
              </w:rPr>
              <w:t xml:space="preserve">Year </w:t>
            </w:r>
          </w:p>
        </w:tc>
        <w:tc>
          <w:tcPr>
            <w:tcW w:w="2280" w:type="dxa"/>
            <w:hideMark/>
          </w:tcPr>
          <w:p w14:paraId="4C39CA6C" w14:textId="77777777" w:rsidR="000F060E" w:rsidRPr="000F060E" w:rsidRDefault="000F060E" w:rsidP="000F060E">
            <w:pPr>
              <w:spacing w:after="0" w:line="240" w:lineRule="auto"/>
              <w:jc w:val="center"/>
              <w:rPr>
                <w:rFonts w:ascii="Calibri" w:eastAsia="Times New Roman" w:hAnsi="Calibri" w:cs="Calibri"/>
                <w:b/>
                <w:bCs/>
                <w:color w:val="000000"/>
                <w:szCs w:val="24"/>
                <w:lang w:val="en-GB" w:eastAsia="en-GB" w:bidi="ar-SA"/>
              </w:rPr>
            </w:pPr>
            <w:r w:rsidRPr="000F060E">
              <w:rPr>
                <w:rFonts w:ascii="Calibri" w:eastAsia="Times New Roman" w:hAnsi="Calibri" w:cs="Calibri"/>
                <w:b/>
                <w:bCs/>
                <w:color w:val="000000"/>
                <w:szCs w:val="24"/>
                <w:lang w:val="en-GB" w:eastAsia="en-GB" w:bidi="ar-SA"/>
              </w:rPr>
              <w:t>Adults without current or basic bank account (including 'did not state')</w:t>
            </w:r>
          </w:p>
        </w:tc>
        <w:tc>
          <w:tcPr>
            <w:tcW w:w="2280" w:type="dxa"/>
            <w:hideMark/>
          </w:tcPr>
          <w:p w14:paraId="60177569" w14:textId="1CECB97F" w:rsidR="000F060E" w:rsidRPr="000F060E" w:rsidRDefault="000F060E" w:rsidP="000F060E">
            <w:pPr>
              <w:spacing w:after="0" w:line="240" w:lineRule="auto"/>
              <w:jc w:val="center"/>
              <w:rPr>
                <w:rFonts w:ascii="Calibri" w:eastAsia="Times New Roman" w:hAnsi="Calibri" w:cs="Calibri"/>
                <w:b/>
                <w:bCs/>
                <w:color w:val="000000"/>
                <w:szCs w:val="24"/>
                <w:lang w:val="en-GB" w:eastAsia="en-GB" w:bidi="ar-SA"/>
              </w:rPr>
            </w:pPr>
            <w:r w:rsidRPr="000F060E">
              <w:rPr>
                <w:rFonts w:ascii="Calibri" w:eastAsia="Times New Roman" w:hAnsi="Calibri" w:cs="Calibri"/>
                <w:b/>
                <w:bCs/>
                <w:color w:val="000000"/>
                <w:szCs w:val="24"/>
                <w:lang w:val="en-GB" w:eastAsia="en-GB" w:bidi="ar-SA"/>
              </w:rPr>
              <w:t>Adults living in households without access to a current or basic bank account, or savings account (including 'did not state')</w:t>
            </w:r>
          </w:p>
        </w:tc>
        <w:tc>
          <w:tcPr>
            <w:tcW w:w="2280" w:type="dxa"/>
            <w:hideMark/>
          </w:tcPr>
          <w:p w14:paraId="7F0037B9" w14:textId="77777777" w:rsidR="000F060E" w:rsidRPr="000F060E" w:rsidRDefault="000F060E" w:rsidP="000F060E">
            <w:pPr>
              <w:spacing w:after="0" w:line="240" w:lineRule="auto"/>
              <w:jc w:val="center"/>
              <w:rPr>
                <w:rFonts w:ascii="Calibri" w:eastAsia="Times New Roman" w:hAnsi="Calibri" w:cs="Calibri"/>
                <w:b/>
                <w:bCs/>
                <w:color w:val="000000"/>
                <w:szCs w:val="24"/>
                <w:lang w:val="en-GB" w:eastAsia="en-GB" w:bidi="ar-SA"/>
              </w:rPr>
            </w:pPr>
            <w:r w:rsidRPr="000F060E">
              <w:rPr>
                <w:rFonts w:ascii="Calibri" w:eastAsia="Times New Roman" w:hAnsi="Calibri" w:cs="Calibri"/>
                <w:b/>
                <w:bCs/>
                <w:color w:val="000000"/>
                <w:szCs w:val="24"/>
                <w:lang w:val="en-GB" w:eastAsia="en-GB" w:bidi="ar-SA"/>
              </w:rPr>
              <w:t>Adults living in households without access to a current or basic bank account, or savings account – Positively affirmed no account</w:t>
            </w:r>
          </w:p>
        </w:tc>
      </w:tr>
      <w:tr w:rsidR="000F060E" w:rsidRPr="000F060E" w14:paraId="6407B580" w14:textId="77777777" w:rsidTr="000A6914">
        <w:trPr>
          <w:trHeight w:hRule="exact" w:val="113"/>
        </w:trPr>
        <w:tc>
          <w:tcPr>
            <w:tcW w:w="2280" w:type="dxa"/>
            <w:tcBorders>
              <w:bottom w:val="single" w:sz="4" w:space="0" w:color="auto"/>
            </w:tcBorders>
            <w:hideMark/>
          </w:tcPr>
          <w:p w14:paraId="6E156707"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 </w:t>
            </w:r>
          </w:p>
        </w:tc>
        <w:tc>
          <w:tcPr>
            <w:tcW w:w="2280" w:type="dxa"/>
            <w:tcBorders>
              <w:bottom w:val="single" w:sz="4" w:space="0" w:color="auto"/>
            </w:tcBorders>
            <w:hideMark/>
          </w:tcPr>
          <w:p w14:paraId="461E5700"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 </w:t>
            </w:r>
          </w:p>
        </w:tc>
        <w:tc>
          <w:tcPr>
            <w:tcW w:w="2280" w:type="dxa"/>
            <w:tcBorders>
              <w:bottom w:val="single" w:sz="4" w:space="0" w:color="auto"/>
            </w:tcBorders>
            <w:hideMark/>
          </w:tcPr>
          <w:p w14:paraId="14FC84BA"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 </w:t>
            </w:r>
          </w:p>
        </w:tc>
        <w:tc>
          <w:tcPr>
            <w:tcW w:w="2280" w:type="dxa"/>
            <w:tcBorders>
              <w:bottom w:val="single" w:sz="4" w:space="0" w:color="auto"/>
            </w:tcBorders>
            <w:hideMark/>
          </w:tcPr>
          <w:p w14:paraId="367C925C"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 </w:t>
            </w:r>
          </w:p>
        </w:tc>
      </w:tr>
      <w:tr w:rsidR="000F060E" w:rsidRPr="000F060E" w14:paraId="7E2F5B3D" w14:textId="77777777" w:rsidTr="000A6914">
        <w:trPr>
          <w:trHeight w:hRule="exact" w:val="113"/>
        </w:trPr>
        <w:tc>
          <w:tcPr>
            <w:tcW w:w="2280" w:type="dxa"/>
            <w:tcBorders>
              <w:top w:val="single" w:sz="4" w:space="0" w:color="auto"/>
            </w:tcBorders>
            <w:hideMark/>
          </w:tcPr>
          <w:p w14:paraId="16CAE6CA"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p>
        </w:tc>
        <w:tc>
          <w:tcPr>
            <w:tcW w:w="2280" w:type="dxa"/>
            <w:tcBorders>
              <w:top w:val="single" w:sz="4" w:space="0" w:color="auto"/>
            </w:tcBorders>
            <w:hideMark/>
          </w:tcPr>
          <w:p w14:paraId="01048D75" w14:textId="77777777" w:rsidR="000F060E" w:rsidRPr="000F060E" w:rsidRDefault="000F060E" w:rsidP="000F060E">
            <w:pPr>
              <w:spacing w:after="0" w:line="240" w:lineRule="auto"/>
              <w:rPr>
                <w:rFonts w:ascii="Times New Roman" w:eastAsia="Times New Roman" w:hAnsi="Times New Roman" w:cs="Times New Roman"/>
                <w:sz w:val="20"/>
                <w:lang w:val="en-GB" w:eastAsia="en-GB" w:bidi="ar-SA"/>
              </w:rPr>
            </w:pPr>
          </w:p>
        </w:tc>
        <w:tc>
          <w:tcPr>
            <w:tcW w:w="2280" w:type="dxa"/>
            <w:tcBorders>
              <w:top w:val="single" w:sz="4" w:space="0" w:color="auto"/>
            </w:tcBorders>
            <w:hideMark/>
          </w:tcPr>
          <w:p w14:paraId="26B36C37" w14:textId="77777777" w:rsidR="000F060E" w:rsidRPr="000F060E" w:rsidRDefault="000F060E" w:rsidP="000F060E">
            <w:pPr>
              <w:spacing w:after="0" w:line="240" w:lineRule="auto"/>
              <w:jc w:val="center"/>
              <w:rPr>
                <w:rFonts w:ascii="Times New Roman" w:eastAsia="Times New Roman" w:hAnsi="Times New Roman" w:cs="Times New Roman"/>
                <w:sz w:val="20"/>
                <w:lang w:val="en-GB" w:eastAsia="en-GB" w:bidi="ar-SA"/>
              </w:rPr>
            </w:pPr>
          </w:p>
        </w:tc>
        <w:tc>
          <w:tcPr>
            <w:tcW w:w="2280" w:type="dxa"/>
            <w:tcBorders>
              <w:top w:val="single" w:sz="4" w:space="0" w:color="auto"/>
            </w:tcBorders>
            <w:hideMark/>
          </w:tcPr>
          <w:p w14:paraId="4C4B41FD" w14:textId="77777777" w:rsidR="000F060E" w:rsidRPr="000F060E" w:rsidRDefault="000F060E" w:rsidP="000F060E">
            <w:pPr>
              <w:spacing w:after="0" w:line="240" w:lineRule="auto"/>
              <w:jc w:val="center"/>
              <w:rPr>
                <w:rFonts w:ascii="Times New Roman" w:eastAsia="Times New Roman" w:hAnsi="Times New Roman" w:cs="Times New Roman"/>
                <w:sz w:val="20"/>
                <w:lang w:val="en-GB" w:eastAsia="en-GB" w:bidi="ar-SA"/>
              </w:rPr>
            </w:pPr>
          </w:p>
        </w:tc>
      </w:tr>
      <w:tr w:rsidR="000F060E" w:rsidRPr="000F060E" w14:paraId="24F7EFBF" w14:textId="77777777" w:rsidTr="000A6914">
        <w:trPr>
          <w:trHeight w:val="310"/>
        </w:trPr>
        <w:tc>
          <w:tcPr>
            <w:tcW w:w="2280" w:type="dxa"/>
            <w:hideMark/>
          </w:tcPr>
          <w:p w14:paraId="79CC30E3"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2018-19</w:t>
            </w:r>
          </w:p>
        </w:tc>
        <w:tc>
          <w:tcPr>
            <w:tcW w:w="2280" w:type="dxa"/>
            <w:hideMark/>
          </w:tcPr>
          <w:p w14:paraId="297C6CE0"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0.996m</w:t>
            </w:r>
          </w:p>
        </w:tc>
        <w:tc>
          <w:tcPr>
            <w:tcW w:w="2280" w:type="dxa"/>
            <w:hideMark/>
          </w:tcPr>
          <w:p w14:paraId="2569A352"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0.68m</w:t>
            </w:r>
          </w:p>
        </w:tc>
        <w:tc>
          <w:tcPr>
            <w:tcW w:w="2280" w:type="dxa"/>
            <w:hideMark/>
          </w:tcPr>
          <w:p w14:paraId="60AB4160"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0.48m</w:t>
            </w:r>
          </w:p>
        </w:tc>
      </w:tr>
      <w:tr w:rsidR="000F060E" w:rsidRPr="000F060E" w14:paraId="318B7DA9" w14:textId="77777777" w:rsidTr="000A6914">
        <w:trPr>
          <w:trHeight w:val="310"/>
        </w:trPr>
        <w:tc>
          <w:tcPr>
            <w:tcW w:w="2280" w:type="dxa"/>
            <w:hideMark/>
          </w:tcPr>
          <w:p w14:paraId="56B52D21"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2017-18</w:t>
            </w:r>
          </w:p>
        </w:tc>
        <w:tc>
          <w:tcPr>
            <w:tcW w:w="2280" w:type="dxa"/>
            <w:hideMark/>
          </w:tcPr>
          <w:p w14:paraId="7F913469"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1.03m</w:t>
            </w:r>
          </w:p>
        </w:tc>
        <w:tc>
          <w:tcPr>
            <w:tcW w:w="2280" w:type="dxa"/>
            <w:hideMark/>
          </w:tcPr>
          <w:p w14:paraId="00948FCB"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0.77m</w:t>
            </w:r>
          </w:p>
        </w:tc>
        <w:tc>
          <w:tcPr>
            <w:tcW w:w="2280" w:type="dxa"/>
            <w:hideMark/>
          </w:tcPr>
          <w:p w14:paraId="5E5D04BC"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0.57m</w:t>
            </w:r>
          </w:p>
        </w:tc>
      </w:tr>
      <w:tr w:rsidR="000F060E" w:rsidRPr="000F060E" w14:paraId="50DEBB77" w14:textId="77777777" w:rsidTr="000A6914">
        <w:trPr>
          <w:trHeight w:val="310"/>
        </w:trPr>
        <w:tc>
          <w:tcPr>
            <w:tcW w:w="2280" w:type="dxa"/>
            <w:hideMark/>
          </w:tcPr>
          <w:p w14:paraId="4F6087C6"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2016-17</w:t>
            </w:r>
          </w:p>
        </w:tc>
        <w:tc>
          <w:tcPr>
            <w:tcW w:w="2280" w:type="dxa"/>
            <w:hideMark/>
          </w:tcPr>
          <w:p w14:paraId="4545866E"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1.23m</w:t>
            </w:r>
          </w:p>
        </w:tc>
        <w:tc>
          <w:tcPr>
            <w:tcW w:w="2280" w:type="dxa"/>
            <w:hideMark/>
          </w:tcPr>
          <w:p w14:paraId="1742F917"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0.87m</w:t>
            </w:r>
          </w:p>
        </w:tc>
        <w:tc>
          <w:tcPr>
            <w:tcW w:w="2280" w:type="dxa"/>
            <w:hideMark/>
          </w:tcPr>
          <w:p w14:paraId="7F5A93A2"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0.68m</w:t>
            </w:r>
          </w:p>
        </w:tc>
      </w:tr>
      <w:tr w:rsidR="000F060E" w:rsidRPr="000F060E" w14:paraId="4B9EB6D4" w14:textId="77777777" w:rsidTr="000A6914">
        <w:trPr>
          <w:trHeight w:val="310"/>
        </w:trPr>
        <w:tc>
          <w:tcPr>
            <w:tcW w:w="2280" w:type="dxa"/>
            <w:hideMark/>
          </w:tcPr>
          <w:p w14:paraId="0BCAA9C3"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2015-16</w:t>
            </w:r>
          </w:p>
        </w:tc>
        <w:tc>
          <w:tcPr>
            <w:tcW w:w="2280" w:type="dxa"/>
            <w:hideMark/>
          </w:tcPr>
          <w:p w14:paraId="78DF5608"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1.52m</w:t>
            </w:r>
          </w:p>
        </w:tc>
        <w:tc>
          <w:tcPr>
            <w:tcW w:w="2280" w:type="dxa"/>
            <w:hideMark/>
          </w:tcPr>
          <w:p w14:paraId="2AF479F4"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0.88m</w:t>
            </w:r>
          </w:p>
        </w:tc>
        <w:tc>
          <w:tcPr>
            <w:tcW w:w="2280" w:type="dxa"/>
            <w:hideMark/>
          </w:tcPr>
          <w:p w14:paraId="7FF741A8"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0.71m</w:t>
            </w:r>
          </w:p>
        </w:tc>
      </w:tr>
      <w:tr w:rsidR="000F060E" w:rsidRPr="000F060E" w14:paraId="6D366DA7" w14:textId="77777777" w:rsidTr="000A6914">
        <w:trPr>
          <w:trHeight w:val="310"/>
        </w:trPr>
        <w:tc>
          <w:tcPr>
            <w:tcW w:w="2280" w:type="dxa"/>
            <w:hideMark/>
          </w:tcPr>
          <w:p w14:paraId="22D8B2F7"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2014-15</w:t>
            </w:r>
          </w:p>
        </w:tc>
        <w:tc>
          <w:tcPr>
            <w:tcW w:w="2280" w:type="dxa"/>
            <w:hideMark/>
          </w:tcPr>
          <w:p w14:paraId="6E56804D"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1.64m</w:t>
            </w:r>
          </w:p>
        </w:tc>
        <w:tc>
          <w:tcPr>
            <w:tcW w:w="2280" w:type="dxa"/>
            <w:hideMark/>
          </w:tcPr>
          <w:p w14:paraId="0784EA42"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0.89m</w:t>
            </w:r>
          </w:p>
        </w:tc>
        <w:tc>
          <w:tcPr>
            <w:tcW w:w="2280" w:type="dxa"/>
            <w:hideMark/>
          </w:tcPr>
          <w:p w14:paraId="111BA931"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0.64m</w:t>
            </w:r>
          </w:p>
        </w:tc>
      </w:tr>
      <w:tr w:rsidR="000F060E" w:rsidRPr="000F060E" w14:paraId="67C93549" w14:textId="77777777" w:rsidTr="000A6914">
        <w:trPr>
          <w:trHeight w:val="310"/>
        </w:trPr>
        <w:tc>
          <w:tcPr>
            <w:tcW w:w="2280" w:type="dxa"/>
            <w:hideMark/>
          </w:tcPr>
          <w:p w14:paraId="5C1989FD"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2013-14</w:t>
            </w:r>
          </w:p>
        </w:tc>
        <w:tc>
          <w:tcPr>
            <w:tcW w:w="2280" w:type="dxa"/>
            <w:hideMark/>
          </w:tcPr>
          <w:p w14:paraId="5ACFA585"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1.71m</w:t>
            </w:r>
          </w:p>
        </w:tc>
        <w:tc>
          <w:tcPr>
            <w:tcW w:w="2280" w:type="dxa"/>
            <w:hideMark/>
          </w:tcPr>
          <w:p w14:paraId="6B0DCDC2"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1.02m</w:t>
            </w:r>
          </w:p>
        </w:tc>
        <w:tc>
          <w:tcPr>
            <w:tcW w:w="2280" w:type="dxa"/>
            <w:hideMark/>
          </w:tcPr>
          <w:p w14:paraId="0B9B81A4"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0.73m</w:t>
            </w:r>
          </w:p>
        </w:tc>
      </w:tr>
      <w:tr w:rsidR="000F060E" w:rsidRPr="000F060E" w14:paraId="4470BA72" w14:textId="77777777" w:rsidTr="000A6914">
        <w:trPr>
          <w:trHeight w:val="310"/>
        </w:trPr>
        <w:tc>
          <w:tcPr>
            <w:tcW w:w="2280" w:type="dxa"/>
            <w:hideMark/>
          </w:tcPr>
          <w:p w14:paraId="2D0E2104"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2012-13</w:t>
            </w:r>
          </w:p>
        </w:tc>
        <w:tc>
          <w:tcPr>
            <w:tcW w:w="2280" w:type="dxa"/>
            <w:hideMark/>
          </w:tcPr>
          <w:p w14:paraId="121554B9"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1.50m</w:t>
            </w:r>
          </w:p>
        </w:tc>
        <w:tc>
          <w:tcPr>
            <w:tcW w:w="2280" w:type="dxa"/>
            <w:hideMark/>
          </w:tcPr>
          <w:p w14:paraId="575FEE82"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1.00m</w:t>
            </w:r>
          </w:p>
        </w:tc>
        <w:tc>
          <w:tcPr>
            <w:tcW w:w="2280" w:type="dxa"/>
            <w:hideMark/>
          </w:tcPr>
          <w:p w14:paraId="164DDF00"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0.66m</w:t>
            </w:r>
          </w:p>
        </w:tc>
      </w:tr>
      <w:tr w:rsidR="000F060E" w:rsidRPr="000F060E" w14:paraId="7DCE55FD" w14:textId="77777777" w:rsidTr="000A6914">
        <w:trPr>
          <w:trHeight w:val="310"/>
        </w:trPr>
        <w:tc>
          <w:tcPr>
            <w:tcW w:w="2280" w:type="dxa"/>
            <w:hideMark/>
          </w:tcPr>
          <w:p w14:paraId="33AD9124"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2011-12</w:t>
            </w:r>
          </w:p>
        </w:tc>
        <w:tc>
          <w:tcPr>
            <w:tcW w:w="2280" w:type="dxa"/>
            <w:hideMark/>
          </w:tcPr>
          <w:p w14:paraId="24A5D0DF"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1.87m</w:t>
            </w:r>
          </w:p>
        </w:tc>
        <w:tc>
          <w:tcPr>
            <w:tcW w:w="2280" w:type="dxa"/>
            <w:hideMark/>
          </w:tcPr>
          <w:p w14:paraId="084AB6BC"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1.37m</w:t>
            </w:r>
          </w:p>
        </w:tc>
        <w:tc>
          <w:tcPr>
            <w:tcW w:w="2280" w:type="dxa"/>
            <w:hideMark/>
          </w:tcPr>
          <w:p w14:paraId="3550F4DB"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0.70m</w:t>
            </w:r>
          </w:p>
        </w:tc>
      </w:tr>
      <w:tr w:rsidR="000F060E" w:rsidRPr="000F060E" w14:paraId="0D046880" w14:textId="77777777" w:rsidTr="000A6914">
        <w:trPr>
          <w:trHeight w:val="310"/>
        </w:trPr>
        <w:tc>
          <w:tcPr>
            <w:tcW w:w="2280" w:type="dxa"/>
            <w:hideMark/>
          </w:tcPr>
          <w:p w14:paraId="6FC5C258"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2010-11</w:t>
            </w:r>
          </w:p>
        </w:tc>
        <w:tc>
          <w:tcPr>
            <w:tcW w:w="2280" w:type="dxa"/>
            <w:hideMark/>
          </w:tcPr>
          <w:p w14:paraId="10BD987E"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1.97m</w:t>
            </w:r>
          </w:p>
        </w:tc>
        <w:tc>
          <w:tcPr>
            <w:tcW w:w="2280" w:type="dxa"/>
            <w:hideMark/>
          </w:tcPr>
          <w:p w14:paraId="548FCA40"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1.51m</w:t>
            </w:r>
          </w:p>
        </w:tc>
        <w:tc>
          <w:tcPr>
            <w:tcW w:w="2280" w:type="dxa"/>
            <w:hideMark/>
          </w:tcPr>
          <w:p w14:paraId="2B4EE719"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0.78m</w:t>
            </w:r>
          </w:p>
        </w:tc>
      </w:tr>
      <w:tr w:rsidR="000F060E" w:rsidRPr="000F060E" w14:paraId="3DE6289F" w14:textId="77777777" w:rsidTr="000A6914">
        <w:trPr>
          <w:trHeight w:val="310"/>
        </w:trPr>
        <w:tc>
          <w:tcPr>
            <w:tcW w:w="2280" w:type="dxa"/>
            <w:hideMark/>
          </w:tcPr>
          <w:p w14:paraId="7D29B5BC"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2009-10</w:t>
            </w:r>
          </w:p>
        </w:tc>
        <w:tc>
          <w:tcPr>
            <w:tcW w:w="2280" w:type="dxa"/>
            <w:hideMark/>
          </w:tcPr>
          <w:p w14:paraId="442DF930"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2.36m</w:t>
            </w:r>
          </w:p>
        </w:tc>
        <w:tc>
          <w:tcPr>
            <w:tcW w:w="2280" w:type="dxa"/>
            <w:hideMark/>
          </w:tcPr>
          <w:p w14:paraId="32BD8513"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1.78m</w:t>
            </w:r>
          </w:p>
        </w:tc>
        <w:tc>
          <w:tcPr>
            <w:tcW w:w="2280" w:type="dxa"/>
            <w:hideMark/>
          </w:tcPr>
          <w:p w14:paraId="2BA6ED31"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0.87m</w:t>
            </w:r>
          </w:p>
        </w:tc>
      </w:tr>
      <w:tr w:rsidR="000F060E" w:rsidRPr="000F060E" w14:paraId="447CD74F" w14:textId="77777777" w:rsidTr="000A6914">
        <w:trPr>
          <w:trHeight w:val="310"/>
        </w:trPr>
        <w:tc>
          <w:tcPr>
            <w:tcW w:w="2280" w:type="dxa"/>
            <w:hideMark/>
          </w:tcPr>
          <w:p w14:paraId="41B141F7"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2008-09</w:t>
            </w:r>
          </w:p>
        </w:tc>
        <w:tc>
          <w:tcPr>
            <w:tcW w:w="2280" w:type="dxa"/>
            <w:hideMark/>
          </w:tcPr>
          <w:p w14:paraId="483C7147"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2.54m</w:t>
            </w:r>
          </w:p>
        </w:tc>
        <w:tc>
          <w:tcPr>
            <w:tcW w:w="2280" w:type="dxa"/>
            <w:hideMark/>
          </w:tcPr>
          <w:p w14:paraId="51D294BF"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1.85m</w:t>
            </w:r>
          </w:p>
        </w:tc>
        <w:tc>
          <w:tcPr>
            <w:tcW w:w="2280" w:type="dxa"/>
            <w:hideMark/>
          </w:tcPr>
          <w:p w14:paraId="16A14911"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0.87m</w:t>
            </w:r>
          </w:p>
        </w:tc>
      </w:tr>
      <w:tr w:rsidR="000F060E" w:rsidRPr="000F060E" w14:paraId="61449B2F" w14:textId="77777777" w:rsidTr="000A6914">
        <w:trPr>
          <w:trHeight w:val="310"/>
        </w:trPr>
        <w:tc>
          <w:tcPr>
            <w:tcW w:w="2280" w:type="dxa"/>
            <w:hideMark/>
          </w:tcPr>
          <w:p w14:paraId="045CCC24"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2007/08</w:t>
            </w:r>
          </w:p>
        </w:tc>
        <w:tc>
          <w:tcPr>
            <w:tcW w:w="2280" w:type="dxa"/>
            <w:hideMark/>
          </w:tcPr>
          <w:p w14:paraId="77103DC4"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2.71m</w:t>
            </w:r>
          </w:p>
        </w:tc>
        <w:tc>
          <w:tcPr>
            <w:tcW w:w="2280" w:type="dxa"/>
            <w:hideMark/>
          </w:tcPr>
          <w:p w14:paraId="451E8D5A"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1.85m</w:t>
            </w:r>
          </w:p>
        </w:tc>
        <w:tc>
          <w:tcPr>
            <w:tcW w:w="2280" w:type="dxa"/>
            <w:hideMark/>
          </w:tcPr>
          <w:p w14:paraId="402186FE"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0.89m</w:t>
            </w:r>
          </w:p>
        </w:tc>
      </w:tr>
      <w:tr w:rsidR="000F060E" w:rsidRPr="000F060E" w14:paraId="22A8CB05" w14:textId="77777777" w:rsidTr="000A6914">
        <w:trPr>
          <w:trHeight w:val="310"/>
        </w:trPr>
        <w:tc>
          <w:tcPr>
            <w:tcW w:w="2280" w:type="dxa"/>
            <w:hideMark/>
          </w:tcPr>
          <w:p w14:paraId="20023CE8"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2006/07</w:t>
            </w:r>
          </w:p>
        </w:tc>
        <w:tc>
          <w:tcPr>
            <w:tcW w:w="2280" w:type="dxa"/>
            <w:hideMark/>
          </w:tcPr>
          <w:p w14:paraId="10E75A2A"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3.00m</w:t>
            </w:r>
          </w:p>
        </w:tc>
        <w:tc>
          <w:tcPr>
            <w:tcW w:w="2280" w:type="dxa"/>
            <w:hideMark/>
          </w:tcPr>
          <w:p w14:paraId="167AB47C"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2.09m</w:t>
            </w:r>
          </w:p>
        </w:tc>
        <w:tc>
          <w:tcPr>
            <w:tcW w:w="2280" w:type="dxa"/>
            <w:hideMark/>
          </w:tcPr>
          <w:p w14:paraId="7C6AA780"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1.01m</w:t>
            </w:r>
          </w:p>
        </w:tc>
      </w:tr>
      <w:tr w:rsidR="000F060E" w:rsidRPr="000F060E" w14:paraId="383B4E5A" w14:textId="77777777" w:rsidTr="000A6914">
        <w:trPr>
          <w:trHeight w:val="310"/>
        </w:trPr>
        <w:tc>
          <w:tcPr>
            <w:tcW w:w="2280" w:type="dxa"/>
            <w:hideMark/>
          </w:tcPr>
          <w:p w14:paraId="4081397C"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2005/06</w:t>
            </w:r>
          </w:p>
        </w:tc>
        <w:tc>
          <w:tcPr>
            <w:tcW w:w="2280" w:type="dxa"/>
            <w:hideMark/>
          </w:tcPr>
          <w:p w14:paraId="38872C81"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2.85m</w:t>
            </w:r>
          </w:p>
        </w:tc>
        <w:tc>
          <w:tcPr>
            <w:tcW w:w="2280" w:type="dxa"/>
            <w:hideMark/>
          </w:tcPr>
          <w:p w14:paraId="34C31E44"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1.97m</w:t>
            </w:r>
          </w:p>
        </w:tc>
        <w:tc>
          <w:tcPr>
            <w:tcW w:w="2280" w:type="dxa"/>
            <w:hideMark/>
          </w:tcPr>
          <w:p w14:paraId="3C6CE288"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1.00m</w:t>
            </w:r>
          </w:p>
        </w:tc>
      </w:tr>
      <w:tr w:rsidR="000F060E" w:rsidRPr="000F060E" w14:paraId="69F618EF" w14:textId="77777777" w:rsidTr="000A6914">
        <w:trPr>
          <w:trHeight w:val="310"/>
        </w:trPr>
        <w:tc>
          <w:tcPr>
            <w:tcW w:w="2280" w:type="dxa"/>
            <w:hideMark/>
          </w:tcPr>
          <w:p w14:paraId="5639AF75"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2002-03</w:t>
            </w:r>
          </w:p>
        </w:tc>
        <w:tc>
          <w:tcPr>
            <w:tcW w:w="2280" w:type="dxa"/>
            <w:hideMark/>
          </w:tcPr>
          <w:p w14:paraId="7E0CF065"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4.38m</w:t>
            </w:r>
          </w:p>
        </w:tc>
        <w:tc>
          <w:tcPr>
            <w:tcW w:w="2280" w:type="dxa"/>
            <w:hideMark/>
          </w:tcPr>
          <w:p w14:paraId="516F4B2D"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2.83m</w:t>
            </w:r>
          </w:p>
        </w:tc>
        <w:tc>
          <w:tcPr>
            <w:tcW w:w="2280" w:type="dxa"/>
            <w:hideMark/>
          </w:tcPr>
          <w:p w14:paraId="35A3DA2F"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r w:rsidRPr="000F060E">
              <w:rPr>
                <w:rFonts w:ascii="Calibri" w:eastAsia="Times New Roman" w:hAnsi="Calibri" w:cs="Calibri"/>
                <w:color w:val="000000"/>
                <w:szCs w:val="24"/>
                <w:lang w:val="en-GB" w:eastAsia="en-GB" w:bidi="ar-SA"/>
              </w:rPr>
              <w:t>2.02m</w:t>
            </w:r>
          </w:p>
        </w:tc>
      </w:tr>
      <w:tr w:rsidR="000F060E" w:rsidRPr="000F060E" w14:paraId="46344A5E" w14:textId="77777777" w:rsidTr="000A6914">
        <w:trPr>
          <w:trHeight w:hRule="exact" w:val="113"/>
        </w:trPr>
        <w:tc>
          <w:tcPr>
            <w:tcW w:w="2280" w:type="dxa"/>
            <w:tcBorders>
              <w:bottom w:val="single" w:sz="4" w:space="0" w:color="auto"/>
            </w:tcBorders>
          </w:tcPr>
          <w:p w14:paraId="15824A0D" w14:textId="77777777" w:rsidR="000F060E" w:rsidRPr="000F060E" w:rsidRDefault="000F060E" w:rsidP="000F060E">
            <w:pPr>
              <w:spacing w:after="0" w:line="240" w:lineRule="auto"/>
              <w:rPr>
                <w:rFonts w:ascii="Calibri" w:eastAsia="Times New Roman" w:hAnsi="Calibri" w:cs="Calibri"/>
                <w:color w:val="000000"/>
                <w:szCs w:val="24"/>
                <w:lang w:val="en-GB" w:eastAsia="en-GB" w:bidi="ar-SA"/>
              </w:rPr>
            </w:pPr>
          </w:p>
        </w:tc>
        <w:tc>
          <w:tcPr>
            <w:tcW w:w="2280" w:type="dxa"/>
            <w:tcBorders>
              <w:bottom w:val="single" w:sz="4" w:space="0" w:color="auto"/>
            </w:tcBorders>
          </w:tcPr>
          <w:p w14:paraId="425F8760"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p>
        </w:tc>
        <w:tc>
          <w:tcPr>
            <w:tcW w:w="2280" w:type="dxa"/>
            <w:tcBorders>
              <w:bottom w:val="single" w:sz="4" w:space="0" w:color="auto"/>
            </w:tcBorders>
          </w:tcPr>
          <w:p w14:paraId="65D93F9F"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p>
        </w:tc>
        <w:tc>
          <w:tcPr>
            <w:tcW w:w="2280" w:type="dxa"/>
            <w:tcBorders>
              <w:bottom w:val="single" w:sz="4" w:space="0" w:color="auto"/>
            </w:tcBorders>
          </w:tcPr>
          <w:p w14:paraId="5A6A971E" w14:textId="77777777" w:rsidR="000F060E" w:rsidRPr="000F060E" w:rsidRDefault="000F060E" w:rsidP="000F060E">
            <w:pPr>
              <w:spacing w:after="0" w:line="240" w:lineRule="auto"/>
              <w:jc w:val="center"/>
              <w:rPr>
                <w:rFonts w:ascii="Calibri" w:eastAsia="Times New Roman" w:hAnsi="Calibri" w:cs="Calibri"/>
                <w:color w:val="000000"/>
                <w:szCs w:val="24"/>
                <w:lang w:val="en-GB" w:eastAsia="en-GB" w:bidi="ar-SA"/>
              </w:rPr>
            </w:pPr>
          </w:p>
        </w:tc>
      </w:tr>
    </w:tbl>
    <w:p w14:paraId="5A011CAA" w14:textId="77777777" w:rsidR="000F060E" w:rsidRPr="00FF7E7B" w:rsidRDefault="000F060E" w:rsidP="000F060E">
      <w:pPr>
        <w:spacing w:beforeAutospacing="1" w:after="100" w:afterAutospacing="1" w:line="240" w:lineRule="auto"/>
        <w:rPr>
          <w:rFonts w:cstheme="minorHAnsi"/>
          <w:sz w:val="20"/>
          <w:lang w:val="en-GB"/>
        </w:rPr>
      </w:pPr>
      <w:r w:rsidRPr="00FF7E7B">
        <w:rPr>
          <w:rFonts w:cstheme="minorHAnsi"/>
          <w:sz w:val="20"/>
          <w:lang w:val="en-GB"/>
        </w:rPr>
        <w:t>Figures are not available for 2003/04 and 2004/05. In those years the FRS did not distinguish between basic bank accounts and post office card accounts (which have generally not been counted as a relevant account in past monitoring figures).</w:t>
      </w:r>
    </w:p>
    <w:p w14:paraId="76B6D101" w14:textId="77777777" w:rsidR="007E64E2" w:rsidRPr="00764F24" w:rsidRDefault="007E64E2" w:rsidP="00D86B69">
      <w:pPr>
        <w:spacing w:beforeAutospacing="1" w:after="100" w:afterAutospacing="1" w:line="360" w:lineRule="auto"/>
        <w:rPr>
          <w:rFonts w:cstheme="minorHAnsi"/>
          <w:szCs w:val="24"/>
          <w:lang w:val="en-GB"/>
        </w:rPr>
      </w:pPr>
    </w:p>
    <w:p w14:paraId="7F47B4B6" w14:textId="5429422C" w:rsidR="007E64E2" w:rsidRPr="00764F24" w:rsidRDefault="002001B1" w:rsidP="00D86B69">
      <w:pPr>
        <w:spacing w:beforeAutospacing="1" w:after="100" w:afterAutospacing="1" w:line="360" w:lineRule="auto"/>
        <w:rPr>
          <w:rFonts w:cstheme="minorHAnsi"/>
          <w:szCs w:val="24"/>
          <w:lang w:val="en-GB"/>
        </w:rPr>
      </w:pPr>
      <w:r w:rsidRPr="00764F24">
        <w:rPr>
          <w:rFonts w:cstheme="minorHAnsi"/>
          <w:szCs w:val="24"/>
          <w:lang w:val="en-GB"/>
        </w:rPr>
        <w:t xml:space="preserve">Another issue in relation to access to bank accounts is branch closures which have been increasing dramatically over the last few years – over 1,000 branches closed between 2015-2016, </w:t>
      </w:r>
      <w:r w:rsidRPr="00764F24">
        <w:rPr>
          <w:rFonts w:cstheme="minorHAnsi"/>
          <w:szCs w:val="24"/>
          <w:lang w:val="en-GB"/>
        </w:rPr>
        <w:lastRenderedPageBreak/>
        <w:t>just over 10 per cent of the network</w:t>
      </w:r>
      <w:r w:rsidRPr="00764F24">
        <w:rPr>
          <w:rStyle w:val="FootnoteReference"/>
          <w:rFonts w:cstheme="minorHAnsi"/>
          <w:szCs w:val="24"/>
          <w:lang w:val="en-GB"/>
        </w:rPr>
        <w:footnoteReference w:id="58"/>
      </w:r>
      <w:r w:rsidR="00BF7FBA" w:rsidRPr="00764F24">
        <w:rPr>
          <w:rFonts w:cstheme="minorHAnsi"/>
          <w:szCs w:val="24"/>
          <w:lang w:val="en-GB"/>
        </w:rPr>
        <w:t xml:space="preserve">. </w:t>
      </w:r>
      <w:r w:rsidRPr="00764F24">
        <w:rPr>
          <w:rFonts w:cstheme="minorHAnsi"/>
          <w:szCs w:val="24"/>
          <w:lang w:val="en-GB"/>
        </w:rPr>
        <w:t>While the banks claim, quite rightly, that online banking has increased and so fewer branches are needed, digital exclusion remains a problem and so branch closures are adversely affecting those customers who cannot (easily) access online banking.</w:t>
      </w:r>
    </w:p>
    <w:p w14:paraId="1FB62D4C" w14:textId="015633F6" w:rsidR="007E64E2" w:rsidRPr="00764F24" w:rsidRDefault="006D7D76" w:rsidP="00D86B69">
      <w:pPr>
        <w:spacing w:beforeAutospacing="1" w:after="100" w:afterAutospacing="1" w:line="360" w:lineRule="auto"/>
        <w:rPr>
          <w:rFonts w:cstheme="minorHAnsi"/>
          <w:szCs w:val="24"/>
          <w:lang w:val="en-GB"/>
        </w:rPr>
      </w:pPr>
      <w:r w:rsidRPr="00764F24">
        <w:rPr>
          <w:rFonts w:cstheme="minorHAnsi"/>
          <w:szCs w:val="24"/>
          <w:lang w:val="en-GB"/>
        </w:rPr>
        <w:t>The importance of maintaining access to cash was stressed in Access to Cash Review</w:t>
      </w:r>
      <w:r w:rsidRPr="00764F24">
        <w:rPr>
          <w:rStyle w:val="FootnoteReference"/>
          <w:rFonts w:cstheme="minorHAnsi"/>
          <w:szCs w:val="24"/>
          <w:lang w:val="en-GB"/>
        </w:rPr>
        <w:footnoteReference w:id="59"/>
      </w:r>
      <w:r w:rsidRPr="00764F24">
        <w:rPr>
          <w:rFonts w:cstheme="minorHAnsi"/>
          <w:szCs w:val="24"/>
          <w:lang w:val="en-GB"/>
        </w:rPr>
        <w:t xml:space="preserve"> </w:t>
      </w:r>
      <w:r w:rsidR="00402E6B">
        <w:rPr>
          <w:rFonts w:cstheme="minorHAnsi"/>
          <w:szCs w:val="24"/>
          <w:lang w:val="en-GB"/>
        </w:rPr>
        <w:t xml:space="preserve">which </w:t>
      </w:r>
      <w:r w:rsidRPr="00764F24">
        <w:rPr>
          <w:rFonts w:cstheme="minorHAnsi"/>
          <w:szCs w:val="24"/>
          <w:lang w:val="en-GB"/>
        </w:rPr>
        <w:t xml:space="preserve">reported that cash is used to make three in 10 transactions, down from six in 10 a decade ago. </w:t>
      </w:r>
      <w:r w:rsidR="00C75458" w:rsidRPr="00764F24">
        <w:rPr>
          <w:rFonts w:cstheme="minorHAnsi"/>
          <w:szCs w:val="24"/>
          <w:lang w:val="en-GB"/>
        </w:rPr>
        <w:t>This has since been updated by UK Finance’s latest Payments Market Review, which puts the figure at 23 per cent</w:t>
      </w:r>
      <w:r w:rsidR="00C75458" w:rsidRPr="00764F24">
        <w:rPr>
          <w:rStyle w:val="FootnoteReference"/>
          <w:rFonts w:cstheme="minorHAnsi"/>
          <w:szCs w:val="24"/>
          <w:lang w:val="en-GB"/>
        </w:rPr>
        <w:footnoteReference w:id="60"/>
      </w:r>
      <w:r w:rsidR="00C75458" w:rsidRPr="00764F24">
        <w:rPr>
          <w:rFonts w:cstheme="minorHAnsi"/>
          <w:szCs w:val="24"/>
          <w:lang w:val="en-GB"/>
        </w:rPr>
        <w:t xml:space="preserve">. </w:t>
      </w:r>
      <w:r w:rsidRPr="00764F24">
        <w:rPr>
          <w:rFonts w:cstheme="minorHAnsi"/>
          <w:szCs w:val="24"/>
          <w:lang w:val="en-GB"/>
        </w:rPr>
        <w:t xml:space="preserve">But it could fall as low as one in 10 in the coming two decades. At the same time, around 8 million adults have reported that they would be </w:t>
      </w:r>
      <w:r w:rsidR="00456BD2" w:rsidRPr="00764F24">
        <w:rPr>
          <w:rFonts w:cstheme="minorHAnsi"/>
          <w:szCs w:val="24"/>
          <w:lang w:val="en-GB"/>
        </w:rPr>
        <w:t>un</w:t>
      </w:r>
      <w:r w:rsidRPr="00764F24">
        <w:rPr>
          <w:rFonts w:cstheme="minorHAnsi"/>
          <w:szCs w:val="24"/>
          <w:lang w:val="en-GB"/>
        </w:rPr>
        <w:t>able to manage in a cashless society.</w:t>
      </w:r>
      <w:r w:rsidR="00456BD2" w:rsidRPr="00764F24">
        <w:rPr>
          <w:rFonts w:cstheme="minorHAnsi"/>
          <w:szCs w:val="24"/>
          <w:lang w:val="en-GB"/>
        </w:rPr>
        <w:t xml:space="preserve"> Moreover, </w:t>
      </w:r>
      <w:r w:rsidR="00456BD2" w:rsidRPr="00764F24">
        <w:rPr>
          <w:rFonts w:cstheme="minorHAnsi"/>
          <w:i/>
          <w:iCs/>
          <w:szCs w:val="24"/>
          <w:lang w:val="en-GB"/>
        </w:rPr>
        <w:t>Positive Money</w:t>
      </w:r>
      <w:r w:rsidR="00456BD2" w:rsidRPr="00764F24">
        <w:rPr>
          <w:rFonts w:cstheme="minorHAnsi"/>
          <w:szCs w:val="24"/>
        </w:rPr>
        <w:t xml:space="preserve"> found that 77 per cent of people regarded cash as essential to their daily lives</w:t>
      </w:r>
      <w:r w:rsidR="00456BD2" w:rsidRPr="00764F24">
        <w:rPr>
          <w:rStyle w:val="FootnoteReference"/>
          <w:rFonts w:cstheme="minorHAnsi"/>
          <w:szCs w:val="24"/>
        </w:rPr>
        <w:footnoteReference w:id="61"/>
      </w:r>
      <w:r w:rsidR="00456BD2" w:rsidRPr="00764F24">
        <w:rPr>
          <w:rFonts w:cstheme="minorHAnsi"/>
          <w:szCs w:val="24"/>
        </w:rPr>
        <w:t>.</w:t>
      </w:r>
    </w:p>
    <w:p w14:paraId="254FDD2D" w14:textId="6DFCD390" w:rsidR="00DC5BE8" w:rsidRPr="00764F24" w:rsidRDefault="00DC5BE8" w:rsidP="00D86B69">
      <w:pPr>
        <w:spacing w:beforeAutospacing="1" w:after="100" w:afterAutospacing="1" w:line="360" w:lineRule="auto"/>
        <w:rPr>
          <w:rFonts w:cstheme="minorHAnsi"/>
          <w:szCs w:val="24"/>
          <w:lang w:val="en-GB"/>
        </w:rPr>
      </w:pPr>
      <w:r w:rsidRPr="00764F24">
        <w:rPr>
          <w:rFonts w:cstheme="minorHAnsi"/>
          <w:szCs w:val="24"/>
          <w:lang w:val="en-GB"/>
        </w:rPr>
        <w:t xml:space="preserve">More recently, </w:t>
      </w:r>
      <w:r w:rsidRPr="00764F24">
        <w:rPr>
          <w:rFonts w:cstheme="minorHAnsi"/>
          <w:i/>
          <w:iCs/>
          <w:szCs w:val="24"/>
          <w:lang w:val="en-GB"/>
        </w:rPr>
        <w:t>Which?</w:t>
      </w:r>
      <w:r w:rsidRPr="00764F24">
        <w:rPr>
          <w:rFonts w:cstheme="minorHAnsi"/>
          <w:szCs w:val="24"/>
          <w:lang w:val="en-GB"/>
        </w:rPr>
        <w:t xml:space="preserve"> research</w:t>
      </w:r>
      <w:r w:rsidR="00271A90" w:rsidRPr="00764F24">
        <w:rPr>
          <w:rFonts w:cstheme="minorHAnsi"/>
          <w:szCs w:val="24"/>
          <w:lang w:val="en-GB"/>
        </w:rPr>
        <w:t xml:space="preserve"> published in November 2019</w:t>
      </w:r>
      <w:r w:rsidR="00271A90" w:rsidRPr="00764F24">
        <w:rPr>
          <w:rStyle w:val="FootnoteReference"/>
          <w:rFonts w:cstheme="minorHAnsi"/>
          <w:szCs w:val="24"/>
          <w:lang w:val="en-GB"/>
        </w:rPr>
        <w:footnoteReference w:id="62"/>
      </w:r>
      <w:r w:rsidRPr="00764F24">
        <w:rPr>
          <w:rFonts w:cstheme="minorHAnsi"/>
          <w:szCs w:val="24"/>
          <w:lang w:val="en-GB"/>
        </w:rPr>
        <w:t xml:space="preserve"> found that more than a third of bank and building society branches have closed in less than five years</w:t>
      </w:r>
      <w:r w:rsidR="00BF7FBA" w:rsidRPr="00764F24">
        <w:rPr>
          <w:rFonts w:cstheme="minorHAnsi"/>
          <w:szCs w:val="24"/>
          <w:lang w:val="en-GB"/>
        </w:rPr>
        <w:t xml:space="preserve">. </w:t>
      </w:r>
      <w:r w:rsidR="00271A90" w:rsidRPr="00764F24">
        <w:rPr>
          <w:rFonts w:cstheme="minorHAnsi"/>
          <w:szCs w:val="24"/>
          <w:lang w:val="en-GB"/>
        </w:rPr>
        <w:t>While this may not be a problem for the most digital savvy consumers, a survey by Which? found that a fifth of the public – equivalent to 11 million adults – would not even be confident checking their balance online via a website or app</w:t>
      </w:r>
      <w:r w:rsidR="00BF7FBA" w:rsidRPr="00764F24">
        <w:rPr>
          <w:rFonts w:cstheme="minorHAnsi"/>
          <w:szCs w:val="24"/>
          <w:lang w:val="en-GB"/>
        </w:rPr>
        <w:t xml:space="preserve">. </w:t>
      </w:r>
      <w:r w:rsidR="00271A90" w:rsidRPr="00764F24">
        <w:rPr>
          <w:rFonts w:cstheme="minorHAnsi"/>
          <w:szCs w:val="24"/>
          <w:lang w:val="en-GB"/>
        </w:rPr>
        <w:t>Previous Which? research had also revealed that some 5,334 free machines were either closed or converted to fee-paying between January 2018 and May 2019</w:t>
      </w:r>
      <w:r w:rsidR="00BF7FBA" w:rsidRPr="00764F24">
        <w:rPr>
          <w:rFonts w:cstheme="minorHAnsi"/>
          <w:szCs w:val="24"/>
          <w:lang w:val="en-GB"/>
        </w:rPr>
        <w:t xml:space="preserve">. </w:t>
      </w:r>
      <w:r w:rsidR="00271A90" w:rsidRPr="00764F24">
        <w:rPr>
          <w:rFonts w:cstheme="minorHAnsi"/>
          <w:szCs w:val="24"/>
          <w:lang w:val="en-GB"/>
        </w:rPr>
        <w:t>And in their survey, nine out of 10 people said that cash was an important backup which is important given that figures from the FCA reported that banks had experienced 265 IT glitches in the last year. These included 133 incidents involving internet banking and 111 mobile banking failures</w:t>
      </w:r>
      <w:r w:rsidR="00271A90" w:rsidRPr="00764F24">
        <w:rPr>
          <w:rStyle w:val="FootnoteReference"/>
          <w:rFonts w:cstheme="minorHAnsi"/>
          <w:szCs w:val="24"/>
          <w:lang w:val="en-GB"/>
        </w:rPr>
        <w:footnoteReference w:id="63"/>
      </w:r>
      <w:r w:rsidR="00271A90" w:rsidRPr="00764F24">
        <w:rPr>
          <w:rFonts w:cstheme="minorHAnsi"/>
          <w:szCs w:val="24"/>
          <w:lang w:val="en-GB"/>
        </w:rPr>
        <w:t>.</w:t>
      </w:r>
      <w:r w:rsidRPr="00764F24">
        <w:rPr>
          <w:rFonts w:cstheme="minorHAnsi"/>
          <w:szCs w:val="24"/>
          <w:lang w:val="en-GB"/>
        </w:rPr>
        <w:t xml:space="preserve"> </w:t>
      </w:r>
    </w:p>
    <w:p w14:paraId="01B8A86C" w14:textId="3A51CF80" w:rsidR="007E64E2" w:rsidRPr="00764F24" w:rsidRDefault="006D7D76" w:rsidP="00D86B69">
      <w:pPr>
        <w:spacing w:beforeAutospacing="1" w:after="100" w:afterAutospacing="1" w:line="360" w:lineRule="auto"/>
        <w:rPr>
          <w:rFonts w:cstheme="minorHAnsi"/>
          <w:szCs w:val="24"/>
          <w:lang w:val="en-GB"/>
        </w:rPr>
      </w:pPr>
      <w:r w:rsidRPr="00764F24">
        <w:rPr>
          <w:rFonts w:cstheme="minorHAnsi"/>
          <w:szCs w:val="24"/>
          <w:lang w:val="en-GB"/>
        </w:rPr>
        <w:t>In the budget in March 2020, the government announced that it would introduce new laws to protect access to cash</w:t>
      </w:r>
      <w:r w:rsidR="00BF7FBA" w:rsidRPr="00764F24">
        <w:rPr>
          <w:rFonts w:cstheme="minorHAnsi"/>
          <w:szCs w:val="24"/>
          <w:lang w:val="en-GB"/>
        </w:rPr>
        <w:t xml:space="preserve">. </w:t>
      </w:r>
      <w:r w:rsidR="00402E6B">
        <w:rPr>
          <w:rFonts w:cstheme="minorHAnsi"/>
          <w:szCs w:val="24"/>
          <w:lang w:val="en-GB"/>
        </w:rPr>
        <w:t xml:space="preserve">And </w:t>
      </w:r>
      <w:r w:rsidR="00A707F3" w:rsidRPr="00764F24">
        <w:rPr>
          <w:rFonts w:cstheme="minorHAnsi"/>
          <w:szCs w:val="24"/>
          <w:lang w:val="en-GB"/>
        </w:rPr>
        <w:t xml:space="preserve">HM Treasury is engaging closely with stakeholders including the Bank </w:t>
      </w:r>
      <w:r w:rsidR="00A707F3" w:rsidRPr="00764F24">
        <w:rPr>
          <w:rFonts w:cstheme="minorHAnsi"/>
          <w:szCs w:val="24"/>
          <w:lang w:val="en-GB"/>
        </w:rPr>
        <w:lastRenderedPageBreak/>
        <w:t>of England, the Financial Conduct Authority (FCA) and Payment Systems Regulator (PSR) to ensure that regulators have the right responsibilities and powers so that industry continues to meet the needs of cash users across the UK.</w:t>
      </w:r>
      <w:r w:rsidRPr="00764F24">
        <w:rPr>
          <w:rFonts w:cstheme="minorHAnsi"/>
          <w:szCs w:val="24"/>
          <w:lang w:val="en-GB"/>
        </w:rPr>
        <w:t xml:space="preserve"> The role of the Post Office may also be important here</w:t>
      </w:r>
      <w:r w:rsidR="00BF7FBA" w:rsidRPr="00764F24">
        <w:rPr>
          <w:rFonts w:cstheme="minorHAnsi"/>
          <w:szCs w:val="24"/>
          <w:lang w:val="en-GB"/>
        </w:rPr>
        <w:t xml:space="preserve">. </w:t>
      </w:r>
    </w:p>
    <w:p w14:paraId="2D8BBA15" w14:textId="77777777" w:rsidR="00053374" w:rsidRPr="00764F24" w:rsidRDefault="00053374" w:rsidP="00D86B69">
      <w:pPr>
        <w:spacing w:beforeAutospacing="1" w:after="100" w:afterAutospacing="1" w:line="360" w:lineRule="auto"/>
        <w:rPr>
          <w:rFonts w:eastAsiaTheme="majorEastAsia" w:cstheme="minorHAnsi"/>
          <w:b/>
          <w:bCs/>
          <w:i/>
          <w:iCs/>
          <w:color w:val="0070C0"/>
          <w:szCs w:val="24"/>
          <w:lang w:val="en-GB"/>
        </w:rPr>
      </w:pPr>
      <w:r w:rsidRPr="00764F24">
        <w:rPr>
          <w:rFonts w:cstheme="minorHAnsi"/>
          <w:szCs w:val="24"/>
          <w:lang w:val="en-GB"/>
        </w:rPr>
        <w:br w:type="page"/>
      </w:r>
    </w:p>
    <w:p w14:paraId="1D5B7B79" w14:textId="646E730C" w:rsidR="00794E7F" w:rsidRPr="00764F24" w:rsidRDefault="00794E7F" w:rsidP="00D86B69">
      <w:pPr>
        <w:pStyle w:val="Heading2"/>
        <w:numPr>
          <w:ilvl w:val="0"/>
          <w:numId w:val="10"/>
        </w:numPr>
        <w:spacing w:beforeAutospacing="1" w:after="100" w:afterAutospacing="1" w:line="360" w:lineRule="auto"/>
        <w:rPr>
          <w:rFonts w:cstheme="minorHAnsi"/>
          <w:szCs w:val="24"/>
          <w:lang w:val="en-GB"/>
        </w:rPr>
      </w:pPr>
      <w:bookmarkStart w:id="41" w:name="_Toc51250063"/>
      <w:bookmarkStart w:id="42" w:name="_Toc54600805"/>
      <w:r w:rsidRPr="00764F24">
        <w:rPr>
          <w:rFonts w:cstheme="minorHAnsi"/>
          <w:szCs w:val="24"/>
          <w:lang w:val="en-GB"/>
        </w:rPr>
        <w:lastRenderedPageBreak/>
        <w:t>Savings</w:t>
      </w:r>
      <w:bookmarkEnd w:id="41"/>
      <w:bookmarkEnd w:id="42"/>
    </w:p>
    <w:p w14:paraId="7C406EC5" w14:textId="77777777" w:rsidR="00053374" w:rsidRPr="00764F24" w:rsidRDefault="00053374" w:rsidP="00D86B69">
      <w:pPr>
        <w:spacing w:beforeAutospacing="1" w:after="100" w:afterAutospacing="1" w:line="360" w:lineRule="auto"/>
        <w:rPr>
          <w:rFonts w:cstheme="minorHAnsi"/>
          <w:szCs w:val="24"/>
          <w:lang w:val="en-GB"/>
        </w:rPr>
      </w:pPr>
    </w:p>
    <w:p w14:paraId="7621D043" w14:textId="7B0B018D" w:rsidR="007E64E2" w:rsidRPr="00764F24" w:rsidRDefault="009A0F66" w:rsidP="00D86B69">
      <w:pPr>
        <w:spacing w:beforeAutospacing="1" w:after="100" w:afterAutospacing="1" w:line="360" w:lineRule="auto"/>
        <w:rPr>
          <w:rFonts w:cstheme="minorHAnsi"/>
          <w:szCs w:val="24"/>
          <w:lang w:val="en-GB"/>
        </w:rPr>
      </w:pPr>
      <w:r w:rsidRPr="00764F24">
        <w:rPr>
          <w:rFonts w:cstheme="minorHAnsi"/>
          <w:szCs w:val="24"/>
          <w:lang w:val="en-GB"/>
        </w:rPr>
        <w:t>S</w:t>
      </w:r>
      <w:r w:rsidR="00CF6CFF" w:rsidRPr="00764F24">
        <w:rPr>
          <w:rFonts w:cstheme="minorHAnsi"/>
          <w:szCs w:val="24"/>
          <w:lang w:val="en-GB"/>
        </w:rPr>
        <w:t xml:space="preserve">avings </w:t>
      </w:r>
      <w:r w:rsidR="00666600" w:rsidRPr="00764F24">
        <w:rPr>
          <w:rFonts w:cstheme="minorHAnsi"/>
          <w:szCs w:val="24"/>
          <w:lang w:val="en-GB"/>
        </w:rPr>
        <w:t xml:space="preserve">are important in relation to financial inclusion because they can help people </w:t>
      </w:r>
      <w:r w:rsidR="00CF6CFF" w:rsidRPr="00764F24">
        <w:rPr>
          <w:rFonts w:cstheme="minorHAnsi"/>
          <w:szCs w:val="24"/>
          <w:lang w:val="en-GB"/>
        </w:rPr>
        <w:t>m</w:t>
      </w:r>
      <w:r w:rsidR="00177D83" w:rsidRPr="00764F24">
        <w:rPr>
          <w:rFonts w:cstheme="minorHAnsi"/>
          <w:szCs w:val="24"/>
          <w:lang w:val="en-GB"/>
        </w:rPr>
        <w:t>eet one-off expenses</w:t>
      </w:r>
      <w:r w:rsidR="00B12C27" w:rsidRPr="00764F24">
        <w:rPr>
          <w:rFonts w:cstheme="minorHAnsi"/>
          <w:szCs w:val="24"/>
          <w:lang w:val="en-GB"/>
        </w:rPr>
        <w:t xml:space="preserve"> (both </w:t>
      </w:r>
      <w:r w:rsidR="00177D83" w:rsidRPr="00764F24">
        <w:rPr>
          <w:rFonts w:cstheme="minorHAnsi"/>
          <w:szCs w:val="24"/>
          <w:lang w:val="en-GB"/>
        </w:rPr>
        <w:t>anticipated</w:t>
      </w:r>
      <w:r w:rsidR="00B12C27" w:rsidRPr="00764F24">
        <w:rPr>
          <w:rFonts w:cstheme="minorHAnsi"/>
          <w:szCs w:val="24"/>
          <w:lang w:val="en-GB"/>
        </w:rPr>
        <w:t xml:space="preserve"> and unanticipated expenses)</w:t>
      </w:r>
      <w:r w:rsidR="00BF7FBA" w:rsidRPr="00764F24">
        <w:rPr>
          <w:rFonts w:cstheme="minorHAnsi"/>
          <w:szCs w:val="24"/>
          <w:lang w:val="en-GB"/>
        </w:rPr>
        <w:t xml:space="preserve">. </w:t>
      </w:r>
      <w:r w:rsidR="00CF6CFF" w:rsidRPr="00764F24">
        <w:rPr>
          <w:rFonts w:cstheme="minorHAnsi"/>
          <w:szCs w:val="24"/>
          <w:lang w:val="en-GB"/>
        </w:rPr>
        <w:t xml:space="preserve">They </w:t>
      </w:r>
      <w:r w:rsidR="008237D2" w:rsidRPr="00764F24">
        <w:rPr>
          <w:rFonts w:cstheme="minorHAnsi"/>
          <w:szCs w:val="24"/>
          <w:lang w:val="en-GB"/>
        </w:rPr>
        <w:t xml:space="preserve">can </w:t>
      </w:r>
      <w:r w:rsidR="00CF6CFF" w:rsidRPr="00764F24">
        <w:rPr>
          <w:rFonts w:cstheme="minorHAnsi"/>
          <w:szCs w:val="24"/>
          <w:lang w:val="en-GB"/>
        </w:rPr>
        <w:t xml:space="preserve">also help people to manage a drop in income and avoid </w:t>
      </w:r>
      <w:r w:rsidR="00666600" w:rsidRPr="00764F24">
        <w:rPr>
          <w:rFonts w:cstheme="minorHAnsi"/>
          <w:szCs w:val="24"/>
          <w:lang w:val="en-GB"/>
        </w:rPr>
        <w:t xml:space="preserve">taking out high-cost credit and/or experiencing </w:t>
      </w:r>
      <w:r w:rsidR="00CF6CFF" w:rsidRPr="00764F24">
        <w:rPr>
          <w:rFonts w:cstheme="minorHAnsi"/>
          <w:szCs w:val="24"/>
          <w:lang w:val="en-GB"/>
        </w:rPr>
        <w:t>problem debt</w:t>
      </w:r>
      <w:r w:rsidR="00BF7FBA" w:rsidRPr="00764F24">
        <w:rPr>
          <w:rFonts w:cstheme="minorHAnsi"/>
          <w:szCs w:val="24"/>
          <w:lang w:val="en-GB"/>
        </w:rPr>
        <w:t xml:space="preserve">. </w:t>
      </w:r>
      <w:r w:rsidR="00666600" w:rsidRPr="00764F24">
        <w:rPr>
          <w:rFonts w:cstheme="minorHAnsi"/>
          <w:szCs w:val="24"/>
          <w:lang w:val="en-GB"/>
        </w:rPr>
        <w:t xml:space="preserve">However, </w:t>
      </w:r>
      <w:r w:rsidR="008237D2" w:rsidRPr="00764F24">
        <w:rPr>
          <w:rFonts w:cstheme="minorHAnsi"/>
          <w:szCs w:val="24"/>
          <w:lang w:val="en-GB"/>
        </w:rPr>
        <w:t>as we shall see,</w:t>
      </w:r>
      <w:r w:rsidR="00CF6CFF" w:rsidRPr="00764F24">
        <w:rPr>
          <w:rFonts w:cstheme="minorHAnsi"/>
          <w:szCs w:val="24"/>
          <w:lang w:val="en-GB"/>
        </w:rPr>
        <w:t xml:space="preserve"> levels of saving are low in Britain, particularly among </w:t>
      </w:r>
      <w:r w:rsidR="002B12CD" w:rsidRPr="00764F24">
        <w:rPr>
          <w:rFonts w:cstheme="minorHAnsi"/>
          <w:szCs w:val="24"/>
          <w:lang w:val="en-GB"/>
        </w:rPr>
        <w:t>people</w:t>
      </w:r>
      <w:r w:rsidR="00CF6CFF" w:rsidRPr="00764F24">
        <w:rPr>
          <w:rFonts w:cstheme="minorHAnsi"/>
          <w:szCs w:val="24"/>
          <w:lang w:val="en-GB"/>
        </w:rPr>
        <w:t xml:space="preserve"> on low incomes who need them most</w:t>
      </w:r>
      <w:r w:rsidR="00BF7FBA" w:rsidRPr="00764F24">
        <w:rPr>
          <w:rFonts w:cstheme="minorHAnsi"/>
          <w:szCs w:val="24"/>
          <w:lang w:val="en-GB"/>
        </w:rPr>
        <w:t xml:space="preserve">. </w:t>
      </w:r>
      <w:r w:rsidR="009211BC" w:rsidRPr="00764F24">
        <w:rPr>
          <w:rFonts w:cstheme="minorHAnsi"/>
          <w:szCs w:val="24"/>
          <w:lang w:val="en-GB"/>
        </w:rPr>
        <w:t>This is largely due to a lack of income to sa</w:t>
      </w:r>
      <w:r w:rsidR="004C2FCC" w:rsidRPr="00764F24">
        <w:rPr>
          <w:rFonts w:cstheme="minorHAnsi"/>
          <w:szCs w:val="24"/>
          <w:lang w:val="en-GB"/>
        </w:rPr>
        <w:t>ve (see earlier in this report)</w:t>
      </w:r>
      <w:r w:rsidR="00CE1FAA" w:rsidRPr="00764F24">
        <w:rPr>
          <w:rFonts w:cstheme="minorHAnsi"/>
          <w:szCs w:val="24"/>
          <w:lang w:val="en-GB"/>
        </w:rPr>
        <w:t xml:space="preserve"> but attitudes to spending and saving are also important</w:t>
      </w:r>
      <w:r w:rsidR="00BF7FBA" w:rsidRPr="00764F24">
        <w:rPr>
          <w:rFonts w:cstheme="minorHAnsi"/>
          <w:szCs w:val="24"/>
          <w:lang w:val="en-GB"/>
        </w:rPr>
        <w:t xml:space="preserve">. </w:t>
      </w:r>
      <w:r w:rsidR="00CE1FAA" w:rsidRPr="00764F24">
        <w:rPr>
          <w:rFonts w:cstheme="minorHAnsi"/>
          <w:szCs w:val="24"/>
          <w:lang w:val="en-GB"/>
        </w:rPr>
        <w:t>'Incentives' to save are also important and this links to interest rates and other potential ways to encourage people to save</w:t>
      </w:r>
      <w:r w:rsidR="00BF7FBA" w:rsidRPr="00764F24">
        <w:rPr>
          <w:rFonts w:cstheme="minorHAnsi"/>
          <w:szCs w:val="24"/>
          <w:lang w:val="en-GB"/>
        </w:rPr>
        <w:t xml:space="preserve">. </w:t>
      </w:r>
    </w:p>
    <w:p w14:paraId="422D39DE" w14:textId="4BFA9126" w:rsidR="007E64E2" w:rsidRPr="00764F24" w:rsidRDefault="004C2FCC" w:rsidP="00D86B69">
      <w:pPr>
        <w:spacing w:beforeAutospacing="1" w:after="100" w:afterAutospacing="1" w:line="360" w:lineRule="auto"/>
        <w:rPr>
          <w:rFonts w:cstheme="minorHAnsi"/>
          <w:szCs w:val="24"/>
          <w:lang w:val="en-GB"/>
        </w:rPr>
      </w:pPr>
      <w:r w:rsidRPr="00764F24">
        <w:rPr>
          <w:rFonts w:cstheme="minorHAnsi"/>
          <w:szCs w:val="24"/>
          <w:lang w:val="en-GB"/>
        </w:rPr>
        <w:t>The</w:t>
      </w:r>
      <w:r w:rsidR="00CE1FAA" w:rsidRPr="00764F24">
        <w:rPr>
          <w:rFonts w:cstheme="minorHAnsi"/>
          <w:szCs w:val="24"/>
          <w:lang w:val="en-GB"/>
        </w:rPr>
        <w:t>re are many ways to measure actual and potential saving</w:t>
      </w:r>
      <w:r w:rsidR="00BF7FBA" w:rsidRPr="00764F24">
        <w:rPr>
          <w:rFonts w:cstheme="minorHAnsi"/>
          <w:szCs w:val="24"/>
          <w:lang w:val="en-GB"/>
        </w:rPr>
        <w:t xml:space="preserve">. </w:t>
      </w:r>
      <w:r w:rsidR="00CE1FAA" w:rsidRPr="00764F24">
        <w:rPr>
          <w:rFonts w:cstheme="minorHAnsi"/>
          <w:szCs w:val="24"/>
          <w:lang w:val="en-GB"/>
        </w:rPr>
        <w:t xml:space="preserve">One </w:t>
      </w:r>
      <w:r w:rsidR="00402E6B">
        <w:rPr>
          <w:rFonts w:cstheme="minorHAnsi"/>
          <w:szCs w:val="24"/>
          <w:lang w:val="en-GB"/>
        </w:rPr>
        <w:t>approach</w:t>
      </w:r>
      <w:r w:rsidR="00CE1FAA" w:rsidRPr="00764F24">
        <w:rPr>
          <w:rFonts w:cstheme="minorHAnsi"/>
          <w:szCs w:val="24"/>
          <w:lang w:val="en-GB"/>
        </w:rPr>
        <w:t xml:space="preserve"> is the</w:t>
      </w:r>
      <w:r w:rsidRPr="00764F24">
        <w:rPr>
          <w:rFonts w:cstheme="minorHAnsi"/>
          <w:szCs w:val="24"/>
          <w:lang w:val="en-GB"/>
        </w:rPr>
        <w:t xml:space="preserve"> household saving ratio </w:t>
      </w:r>
      <w:r w:rsidR="00CE1FAA" w:rsidRPr="00764F24">
        <w:rPr>
          <w:rFonts w:cstheme="minorHAnsi"/>
          <w:szCs w:val="24"/>
          <w:lang w:val="en-GB"/>
        </w:rPr>
        <w:t>a</w:t>
      </w:r>
      <w:r w:rsidR="00C00CED" w:rsidRPr="00764F24">
        <w:rPr>
          <w:rFonts w:cstheme="minorHAnsi"/>
          <w:szCs w:val="24"/>
          <w:lang w:val="en-GB"/>
        </w:rPr>
        <w:t xml:space="preserve">s </w:t>
      </w:r>
      <w:r w:rsidRPr="00764F24">
        <w:rPr>
          <w:rFonts w:cstheme="minorHAnsi"/>
          <w:szCs w:val="24"/>
          <w:lang w:val="en-GB"/>
        </w:rPr>
        <w:t>measured in the National Accounts</w:t>
      </w:r>
      <w:r w:rsidR="00C00CED" w:rsidRPr="00764F24">
        <w:rPr>
          <w:rStyle w:val="FootnoteReference"/>
          <w:rFonts w:cstheme="minorHAnsi"/>
          <w:szCs w:val="24"/>
          <w:lang w:val="en-GB"/>
        </w:rPr>
        <w:footnoteReference w:id="64"/>
      </w:r>
      <w:r w:rsidR="00C00CED" w:rsidRPr="00764F24">
        <w:rPr>
          <w:rFonts w:cstheme="minorHAnsi"/>
          <w:szCs w:val="24"/>
          <w:lang w:val="en-GB"/>
        </w:rPr>
        <w:t xml:space="preserve"> by subtracting h</w:t>
      </w:r>
      <w:r w:rsidRPr="00764F24">
        <w:rPr>
          <w:rFonts w:cstheme="minorHAnsi"/>
          <w:szCs w:val="24"/>
          <w:lang w:val="en-GB"/>
        </w:rPr>
        <w:t>ousehold spending – on goods and services, housing and financial services –</w:t>
      </w:r>
      <w:r w:rsidR="00C00CED" w:rsidRPr="00764F24">
        <w:rPr>
          <w:rFonts w:cstheme="minorHAnsi"/>
          <w:szCs w:val="24"/>
          <w:lang w:val="en-GB"/>
        </w:rPr>
        <w:t xml:space="preserve"> </w:t>
      </w:r>
      <w:r w:rsidRPr="00764F24">
        <w:rPr>
          <w:rFonts w:cstheme="minorHAnsi"/>
          <w:szCs w:val="24"/>
          <w:lang w:val="en-GB"/>
        </w:rPr>
        <w:t>from household income, which includes post-tax earnings from employment, benefits and net interest received, as well as imputed sources of income</w:t>
      </w:r>
      <w:r w:rsidR="00BF7FBA" w:rsidRPr="00764F24">
        <w:rPr>
          <w:rFonts w:cstheme="minorHAnsi"/>
          <w:szCs w:val="24"/>
          <w:lang w:val="en-GB"/>
        </w:rPr>
        <w:t xml:space="preserve">. </w:t>
      </w:r>
      <w:r w:rsidRPr="00764F24">
        <w:rPr>
          <w:rFonts w:cstheme="minorHAnsi"/>
          <w:szCs w:val="24"/>
          <w:lang w:val="en-GB"/>
        </w:rPr>
        <w:t>A lower saving ratio may arise either because of a fall in households’ income, a rise in their expenditure or a combination of the two</w:t>
      </w:r>
      <w:r w:rsidR="00BF7FBA" w:rsidRPr="00764F24">
        <w:rPr>
          <w:rFonts w:cstheme="minorHAnsi"/>
          <w:szCs w:val="24"/>
          <w:lang w:val="en-GB"/>
        </w:rPr>
        <w:t>.</w:t>
      </w:r>
      <w:r w:rsidR="008D2686" w:rsidRPr="00764F24">
        <w:rPr>
          <w:rFonts w:cstheme="minorHAnsi"/>
          <w:szCs w:val="24"/>
          <w:lang w:val="en-GB"/>
        </w:rPr>
        <w:t xml:space="preserve"> </w:t>
      </w:r>
      <w:r w:rsidR="00C00CED" w:rsidRPr="00764F24">
        <w:rPr>
          <w:rFonts w:cstheme="minorHAnsi"/>
          <w:szCs w:val="24"/>
          <w:lang w:val="en-GB"/>
        </w:rPr>
        <w:t xml:space="preserve">As shown in figure </w:t>
      </w:r>
      <w:r w:rsidR="009A0F66" w:rsidRPr="00764F24">
        <w:rPr>
          <w:rFonts w:cstheme="minorHAnsi"/>
          <w:szCs w:val="24"/>
          <w:lang w:val="en-GB"/>
        </w:rPr>
        <w:t>6.1,</w:t>
      </w:r>
      <w:r w:rsidR="00C00CED" w:rsidRPr="00764F24">
        <w:rPr>
          <w:rFonts w:cstheme="minorHAnsi"/>
          <w:szCs w:val="24"/>
          <w:lang w:val="en-GB"/>
        </w:rPr>
        <w:t xml:space="preserve"> the saving ratio was 13.2</w:t>
      </w:r>
      <w:r w:rsidR="00A7794E" w:rsidRPr="00764F24">
        <w:rPr>
          <w:rFonts w:cstheme="minorHAnsi"/>
          <w:szCs w:val="24"/>
          <w:lang w:val="en-GB"/>
        </w:rPr>
        <w:t xml:space="preserve"> </w:t>
      </w:r>
      <w:r w:rsidR="00692125" w:rsidRPr="00764F24">
        <w:rPr>
          <w:rFonts w:cstheme="minorHAnsi"/>
          <w:szCs w:val="24"/>
          <w:lang w:val="en-GB"/>
        </w:rPr>
        <w:t>per cent,</w:t>
      </w:r>
      <w:r w:rsidR="00C00CED" w:rsidRPr="00764F24">
        <w:rPr>
          <w:rFonts w:cstheme="minorHAnsi"/>
          <w:szCs w:val="24"/>
          <w:lang w:val="en-GB"/>
        </w:rPr>
        <w:t xml:space="preserve"> at the beginning of 1997 and this fell to a low of 4.8</w:t>
      </w:r>
      <w:r w:rsidR="00A7794E" w:rsidRPr="00764F24">
        <w:rPr>
          <w:rFonts w:cstheme="minorHAnsi"/>
          <w:szCs w:val="24"/>
          <w:lang w:val="en-GB"/>
        </w:rPr>
        <w:t xml:space="preserve"> per cent</w:t>
      </w:r>
      <w:r w:rsidR="00C00CED" w:rsidRPr="00764F24">
        <w:rPr>
          <w:rFonts w:cstheme="minorHAnsi"/>
          <w:szCs w:val="24"/>
          <w:lang w:val="en-GB"/>
        </w:rPr>
        <w:t xml:space="preserve"> just before the economic crash. The fall in the savings ratio</w:t>
      </w:r>
      <w:r w:rsidR="00CE1FAA" w:rsidRPr="00764F24">
        <w:rPr>
          <w:rFonts w:cstheme="minorHAnsi"/>
          <w:szCs w:val="24"/>
          <w:lang w:val="en-GB"/>
        </w:rPr>
        <w:t xml:space="preserve"> over this period</w:t>
      </w:r>
      <w:r w:rsidR="00C00CED" w:rsidRPr="00764F24">
        <w:rPr>
          <w:rFonts w:cstheme="minorHAnsi"/>
          <w:szCs w:val="24"/>
          <w:lang w:val="en-GB"/>
        </w:rPr>
        <w:t xml:space="preserve"> was due to strong consumer confidence and the rise in house prices which led many households to increase their spending and take on more debt</w:t>
      </w:r>
      <w:r w:rsidR="00BF7FBA" w:rsidRPr="00764F24">
        <w:rPr>
          <w:rFonts w:cstheme="minorHAnsi"/>
          <w:szCs w:val="24"/>
          <w:lang w:val="en-GB"/>
        </w:rPr>
        <w:t xml:space="preserve">. </w:t>
      </w:r>
      <w:r w:rsidR="00CE1FAA" w:rsidRPr="00764F24">
        <w:rPr>
          <w:rFonts w:cstheme="minorHAnsi"/>
          <w:szCs w:val="24"/>
          <w:lang w:val="en-GB"/>
        </w:rPr>
        <w:t>T</w:t>
      </w:r>
      <w:r w:rsidR="004852DB" w:rsidRPr="00764F24">
        <w:rPr>
          <w:rFonts w:cstheme="minorHAnsi"/>
          <w:szCs w:val="24"/>
          <w:lang w:val="en-GB"/>
        </w:rPr>
        <w:t>he savings ratio</w:t>
      </w:r>
      <w:r w:rsidR="00C00CED" w:rsidRPr="00764F24">
        <w:rPr>
          <w:rFonts w:cstheme="minorHAnsi"/>
          <w:szCs w:val="24"/>
          <w:lang w:val="en-GB"/>
        </w:rPr>
        <w:t xml:space="preserve"> </w:t>
      </w:r>
      <w:r w:rsidR="00CE1FAA" w:rsidRPr="00764F24">
        <w:rPr>
          <w:rFonts w:cstheme="minorHAnsi"/>
          <w:szCs w:val="24"/>
          <w:lang w:val="en-GB"/>
        </w:rPr>
        <w:t xml:space="preserve">then </w:t>
      </w:r>
      <w:r w:rsidR="00C00CED" w:rsidRPr="00764F24">
        <w:rPr>
          <w:rFonts w:cstheme="minorHAnsi"/>
          <w:szCs w:val="24"/>
          <w:lang w:val="en-GB"/>
        </w:rPr>
        <w:t xml:space="preserve">grew sharply </w:t>
      </w:r>
      <w:r w:rsidR="004852DB" w:rsidRPr="00764F24">
        <w:rPr>
          <w:rFonts w:cstheme="minorHAnsi"/>
          <w:szCs w:val="24"/>
          <w:lang w:val="en-GB"/>
        </w:rPr>
        <w:t xml:space="preserve">as a result of </w:t>
      </w:r>
      <w:r w:rsidR="00C00CED" w:rsidRPr="00764F24">
        <w:rPr>
          <w:rFonts w:cstheme="minorHAnsi"/>
          <w:szCs w:val="24"/>
          <w:lang w:val="en-GB"/>
        </w:rPr>
        <w:t xml:space="preserve">the </w:t>
      </w:r>
      <w:r w:rsidR="00CD7138" w:rsidRPr="00764F24">
        <w:rPr>
          <w:rFonts w:cstheme="minorHAnsi"/>
          <w:szCs w:val="24"/>
          <w:lang w:val="en-GB"/>
        </w:rPr>
        <w:t>Global Financial Crisis</w:t>
      </w:r>
      <w:r w:rsidR="004852DB" w:rsidRPr="00764F24">
        <w:rPr>
          <w:rFonts w:cstheme="minorHAnsi"/>
          <w:szCs w:val="24"/>
          <w:lang w:val="en-GB"/>
        </w:rPr>
        <w:t xml:space="preserve"> as</w:t>
      </w:r>
      <w:r w:rsidR="00C00CED" w:rsidRPr="00764F24">
        <w:rPr>
          <w:rFonts w:cstheme="minorHAnsi"/>
          <w:szCs w:val="24"/>
          <w:lang w:val="en-GB"/>
        </w:rPr>
        <w:t xml:space="preserve"> households </w:t>
      </w:r>
      <w:r w:rsidR="004852DB" w:rsidRPr="00764F24">
        <w:rPr>
          <w:rFonts w:cstheme="minorHAnsi"/>
          <w:szCs w:val="24"/>
          <w:lang w:val="en-GB"/>
        </w:rPr>
        <w:t xml:space="preserve">became more cautious and </w:t>
      </w:r>
      <w:r w:rsidR="00C00CED" w:rsidRPr="00764F24">
        <w:rPr>
          <w:rFonts w:cstheme="minorHAnsi"/>
          <w:szCs w:val="24"/>
          <w:lang w:val="en-GB"/>
        </w:rPr>
        <w:t xml:space="preserve">tended to </w:t>
      </w:r>
      <w:r w:rsidR="004852DB" w:rsidRPr="00764F24">
        <w:rPr>
          <w:rFonts w:cstheme="minorHAnsi"/>
          <w:szCs w:val="24"/>
          <w:lang w:val="en-GB"/>
        </w:rPr>
        <w:t xml:space="preserve">pay off their debts and </w:t>
      </w:r>
      <w:r w:rsidR="00CE1FAA" w:rsidRPr="00764F24">
        <w:rPr>
          <w:rFonts w:cstheme="minorHAnsi"/>
          <w:szCs w:val="24"/>
          <w:lang w:val="en-GB"/>
        </w:rPr>
        <w:t>cut back on spending</w:t>
      </w:r>
      <w:r w:rsidR="00BF7FBA" w:rsidRPr="00764F24">
        <w:rPr>
          <w:rFonts w:cstheme="minorHAnsi"/>
          <w:szCs w:val="24"/>
          <w:lang w:val="en-GB"/>
        </w:rPr>
        <w:t xml:space="preserve">. </w:t>
      </w:r>
      <w:r w:rsidR="004852DB" w:rsidRPr="00764F24">
        <w:rPr>
          <w:rFonts w:cstheme="minorHAnsi"/>
          <w:szCs w:val="24"/>
          <w:lang w:val="en-GB"/>
        </w:rPr>
        <w:t xml:space="preserve">Unemployment and lower incomes would also have reduced </w:t>
      </w:r>
      <w:r w:rsidR="00C00CED" w:rsidRPr="00764F24">
        <w:rPr>
          <w:rFonts w:cstheme="minorHAnsi"/>
          <w:szCs w:val="24"/>
          <w:lang w:val="en-GB"/>
        </w:rPr>
        <w:t>discretionary spending</w:t>
      </w:r>
      <w:r w:rsidR="00BF7FBA" w:rsidRPr="00764F24">
        <w:rPr>
          <w:rFonts w:cstheme="minorHAnsi"/>
          <w:szCs w:val="24"/>
          <w:lang w:val="en-GB"/>
        </w:rPr>
        <w:t>.</w:t>
      </w:r>
      <w:r w:rsidR="008D2686" w:rsidRPr="00764F24">
        <w:rPr>
          <w:rFonts w:cstheme="minorHAnsi"/>
          <w:szCs w:val="24"/>
          <w:lang w:val="en-GB"/>
        </w:rPr>
        <w:t xml:space="preserve"> </w:t>
      </w:r>
      <w:r w:rsidR="00C73498" w:rsidRPr="00764F24">
        <w:rPr>
          <w:rFonts w:cstheme="minorHAnsi"/>
          <w:szCs w:val="24"/>
          <w:lang w:val="en-GB"/>
        </w:rPr>
        <w:t xml:space="preserve">The savings ratio </w:t>
      </w:r>
      <w:r w:rsidR="009A0F66" w:rsidRPr="00764F24">
        <w:rPr>
          <w:rFonts w:cstheme="minorHAnsi"/>
          <w:szCs w:val="24"/>
          <w:lang w:val="en-GB"/>
        </w:rPr>
        <w:t xml:space="preserve">reached </w:t>
      </w:r>
      <w:r w:rsidR="00C73498" w:rsidRPr="00764F24">
        <w:rPr>
          <w:rFonts w:cstheme="minorHAnsi"/>
          <w:szCs w:val="24"/>
          <w:lang w:val="en-GB"/>
        </w:rPr>
        <w:t>its lowes</w:t>
      </w:r>
      <w:r w:rsidR="009A0F66" w:rsidRPr="00764F24">
        <w:rPr>
          <w:rFonts w:cstheme="minorHAnsi"/>
          <w:szCs w:val="24"/>
          <w:lang w:val="en-GB"/>
        </w:rPr>
        <w:t>t since the turn of the century at 4.0 in Q1 of 2017</w:t>
      </w:r>
      <w:r w:rsidR="00BF7FBA" w:rsidRPr="00764F24">
        <w:rPr>
          <w:rFonts w:cstheme="minorHAnsi"/>
          <w:szCs w:val="24"/>
          <w:lang w:val="en-GB"/>
        </w:rPr>
        <w:t xml:space="preserve">. </w:t>
      </w:r>
      <w:r w:rsidR="009A0F66" w:rsidRPr="00764F24">
        <w:rPr>
          <w:rFonts w:cstheme="minorHAnsi"/>
          <w:szCs w:val="24"/>
          <w:lang w:val="en-GB"/>
        </w:rPr>
        <w:t xml:space="preserve">Since then, it has recovered slightly </w:t>
      </w:r>
      <w:r w:rsidR="00042F6F" w:rsidRPr="00764F24">
        <w:rPr>
          <w:rFonts w:cstheme="minorHAnsi"/>
          <w:szCs w:val="24"/>
          <w:lang w:val="en-GB"/>
        </w:rPr>
        <w:t xml:space="preserve">to </w:t>
      </w:r>
      <w:r w:rsidR="00204013" w:rsidRPr="00764F24">
        <w:rPr>
          <w:rFonts w:cstheme="minorHAnsi"/>
          <w:szCs w:val="24"/>
          <w:lang w:val="en-GB"/>
        </w:rPr>
        <w:t>8.4</w:t>
      </w:r>
      <w:r w:rsidR="00042F6F" w:rsidRPr="00764F24">
        <w:rPr>
          <w:rFonts w:cstheme="minorHAnsi"/>
          <w:szCs w:val="24"/>
          <w:lang w:val="en-GB"/>
        </w:rPr>
        <w:t xml:space="preserve"> in Q</w:t>
      </w:r>
      <w:r w:rsidR="00204013" w:rsidRPr="00764F24">
        <w:rPr>
          <w:rFonts w:cstheme="minorHAnsi"/>
          <w:szCs w:val="24"/>
          <w:lang w:val="en-GB"/>
        </w:rPr>
        <w:t>1</w:t>
      </w:r>
      <w:r w:rsidR="00042F6F" w:rsidRPr="00764F24">
        <w:rPr>
          <w:rFonts w:cstheme="minorHAnsi"/>
          <w:szCs w:val="24"/>
          <w:lang w:val="en-GB"/>
        </w:rPr>
        <w:t xml:space="preserve"> of 20</w:t>
      </w:r>
      <w:r w:rsidR="00204013" w:rsidRPr="00764F24">
        <w:rPr>
          <w:rFonts w:cstheme="minorHAnsi"/>
          <w:szCs w:val="24"/>
          <w:lang w:val="en-GB"/>
        </w:rPr>
        <w:t>20</w:t>
      </w:r>
      <w:r w:rsidR="00D516EB">
        <w:rPr>
          <w:rFonts w:cstheme="minorHAnsi"/>
          <w:szCs w:val="24"/>
          <w:lang w:val="en-GB"/>
        </w:rPr>
        <w:t>, with a huge spike (which may well be temporary) during Q2 of 2020</w:t>
      </w:r>
      <w:r w:rsidR="003319BB">
        <w:rPr>
          <w:rFonts w:cstheme="minorHAnsi"/>
          <w:szCs w:val="24"/>
          <w:lang w:val="en-GB"/>
        </w:rPr>
        <w:t>, when opportunities for spending were rather curtailed</w:t>
      </w:r>
      <w:r w:rsidR="009A0F66" w:rsidRPr="00764F24">
        <w:rPr>
          <w:rFonts w:cstheme="minorHAnsi"/>
          <w:szCs w:val="24"/>
          <w:lang w:val="en-GB"/>
        </w:rPr>
        <w:t>.</w:t>
      </w:r>
    </w:p>
    <w:p w14:paraId="3E76F605" w14:textId="09C9CD1E" w:rsidR="004852DB" w:rsidRPr="00764F24" w:rsidRDefault="004852DB"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 xml:space="preserve">Figure </w:t>
      </w:r>
      <w:r w:rsidR="009A0F66" w:rsidRPr="00764F24">
        <w:rPr>
          <w:rFonts w:cstheme="minorHAnsi"/>
          <w:sz w:val="24"/>
          <w:szCs w:val="24"/>
          <w:lang w:val="en-GB"/>
        </w:rPr>
        <w:t>6.1</w:t>
      </w:r>
      <w:r w:rsidR="00F62012" w:rsidRPr="00764F24">
        <w:rPr>
          <w:rFonts w:cstheme="minorHAnsi"/>
          <w:sz w:val="24"/>
          <w:szCs w:val="24"/>
          <w:lang w:val="en-GB"/>
        </w:rPr>
        <w:t xml:space="preserve">. </w:t>
      </w:r>
      <w:r w:rsidR="00042F6F" w:rsidRPr="00764F24">
        <w:rPr>
          <w:rFonts w:cstheme="minorHAnsi"/>
          <w:sz w:val="24"/>
          <w:szCs w:val="24"/>
          <w:lang w:val="en-GB"/>
        </w:rPr>
        <w:t xml:space="preserve">The </w:t>
      </w:r>
      <w:r w:rsidRPr="00764F24">
        <w:rPr>
          <w:rFonts w:cstheme="minorHAnsi"/>
          <w:sz w:val="24"/>
          <w:szCs w:val="24"/>
          <w:lang w:val="en-GB"/>
        </w:rPr>
        <w:t>Household Savings Ratio</w:t>
      </w:r>
      <w:r w:rsidR="007C4165" w:rsidRPr="00764F24">
        <w:rPr>
          <w:rFonts w:cstheme="minorHAnsi"/>
          <w:sz w:val="24"/>
          <w:szCs w:val="24"/>
          <w:lang w:val="en-GB"/>
        </w:rPr>
        <w:t xml:space="preserve"> has increased </w:t>
      </w:r>
      <w:r w:rsidR="00042F6F" w:rsidRPr="00764F24">
        <w:rPr>
          <w:rFonts w:cstheme="minorHAnsi"/>
          <w:sz w:val="24"/>
          <w:szCs w:val="24"/>
          <w:lang w:val="en-GB"/>
        </w:rPr>
        <w:t>since</w:t>
      </w:r>
      <w:r w:rsidR="007C4165" w:rsidRPr="00764F24">
        <w:rPr>
          <w:rFonts w:cstheme="minorHAnsi"/>
          <w:sz w:val="24"/>
          <w:szCs w:val="24"/>
          <w:lang w:val="en-GB"/>
        </w:rPr>
        <w:t xml:space="preserve"> the</w:t>
      </w:r>
      <w:r w:rsidR="00042F6F" w:rsidRPr="00764F24">
        <w:rPr>
          <w:rFonts w:cstheme="minorHAnsi"/>
          <w:sz w:val="24"/>
          <w:szCs w:val="24"/>
          <w:lang w:val="en-GB"/>
        </w:rPr>
        <w:t xml:space="preserve"> recent low of 2017</w:t>
      </w:r>
      <w:r w:rsidR="00D516EB">
        <w:rPr>
          <w:rFonts w:cstheme="minorHAnsi"/>
          <w:sz w:val="24"/>
          <w:szCs w:val="24"/>
          <w:lang w:val="en-GB"/>
        </w:rPr>
        <w:t>, with a lockdown spike</w:t>
      </w:r>
      <w:r w:rsidR="00F62012" w:rsidRPr="00764F24">
        <w:rPr>
          <w:rFonts w:cstheme="minorHAnsi"/>
          <w:sz w:val="24"/>
          <w:szCs w:val="24"/>
          <w:lang w:val="en-GB"/>
        </w:rPr>
        <w:t>. Source:</w:t>
      </w:r>
      <w:r w:rsidRPr="00764F24">
        <w:rPr>
          <w:rFonts w:cstheme="minorHAnsi"/>
          <w:sz w:val="24"/>
          <w:szCs w:val="24"/>
          <w:lang w:val="en-GB"/>
        </w:rPr>
        <w:t xml:space="preserve"> Office for National Statistics</w:t>
      </w:r>
      <w:r w:rsidR="009A0F66" w:rsidRPr="00764F24">
        <w:rPr>
          <w:rStyle w:val="FootnoteReference"/>
          <w:rFonts w:cstheme="minorHAnsi"/>
          <w:b w:val="0"/>
          <w:sz w:val="24"/>
          <w:szCs w:val="24"/>
          <w:lang w:val="en-GB"/>
        </w:rPr>
        <w:footnoteReference w:id="65"/>
      </w:r>
    </w:p>
    <w:p w14:paraId="337DCD7D" w14:textId="45D1544D" w:rsidR="007E64E2" w:rsidRDefault="00D516EB" w:rsidP="00C17C11">
      <w:pPr>
        <w:spacing w:after="0" w:line="240" w:lineRule="auto"/>
        <w:ind w:left="1440" w:hanging="1440"/>
        <w:rPr>
          <w:rFonts w:cstheme="minorHAnsi"/>
          <w:b/>
          <w:szCs w:val="24"/>
          <w:lang w:val="en-GB"/>
        </w:rPr>
      </w:pPr>
      <w:r>
        <w:rPr>
          <w:rFonts w:cstheme="minorHAnsi"/>
          <w:b/>
          <w:noProof/>
          <w:szCs w:val="24"/>
          <w:lang w:val="en-GB" w:eastAsia="en-GB" w:bidi="ar-SA"/>
        </w:rPr>
        <w:drawing>
          <wp:inline distT="0" distB="0" distL="0" distR="0" wp14:anchorId="703FB04A" wp14:editId="241DDF6E">
            <wp:extent cx="5421246" cy="2723321"/>
            <wp:effectExtent l="0" t="0" r="8255" b="1270"/>
            <wp:docPr id="52" name="Picture 52" descr="Saving ratio spiked in the last data, but has been falling sinc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51073" cy="2738304"/>
                    </a:xfrm>
                    <a:prstGeom prst="rect">
                      <a:avLst/>
                    </a:prstGeom>
                    <a:noFill/>
                  </pic:spPr>
                </pic:pic>
              </a:graphicData>
            </a:graphic>
          </wp:inline>
        </w:drawing>
      </w:r>
    </w:p>
    <w:p w14:paraId="436C853C" w14:textId="3D69B249" w:rsidR="00C17C11" w:rsidRDefault="00C17C11" w:rsidP="00C17C11">
      <w:pPr>
        <w:spacing w:after="0" w:line="240" w:lineRule="auto"/>
        <w:ind w:left="1440" w:hanging="1440"/>
        <w:rPr>
          <w:rFonts w:cstheme="minorHAnsi"/>
          <w:bCs/>
          <w:sz w:val="20"/>
          <w:lang w:val="en-GB"/>
        </w:rPr>
      </w:pPr>
      <w:r w:rsidRPr="00C17C11">
        <w:rPr>
          <w:rFonts w:cstheme="minorHAnsi"/>
          <w:bCs/>
          <w:sz w:val="20"/>
          <w:lang w:val="en-GB"/>
        </w:rPr>
        <w:t xml:space="preserve">Last updated 30 </w:t>
      </w:r>
      <w:r w:rsidR="00D516EB">
        <w:rPr>
          <w:rFonts w:cstheme="minorHAnsi"/>
          <w:bCs/>
          <w:sz w:val="20"/>
          <w:lang w:val="en-GB"/>
        </w:rPr>
        <w:t>September</w:t>
      </w:r>
      <w:r w:rsidRPr="00C17C11">
        <w:rPr>
          <w:rFonts w:cstheme="minorHAnsi"/>
          <w:bCs/>
          <w:sz w:val="20"/>
          <w:lang w:val="en-GB"/>
        </w:rPr>
        <w:t xml:space="preserve"> 2020.</w:t>
      </w:r>
    </w:p>
    <w:p w14:paraId="492E7857" w14:textId="77777777" w:rsidR="00C17C11" w:rsidRPr="00C17C11" w:rsidRDefault="00C17C11" w:rsidP="00C17C11">
      <w:pPr>
        <w:spacing w:after="0" w:line="240" w:lineRule="auto"/>
        <w:ind w:left="1440" w:hanging="1440"/>
        <w:rPr>
          <w:rFonts w:cstheme="minorHAnsi"/>
          <w:bCs/>
          <w:sz w:val="20"/>
          <w:lang w:val="en-GB"/>
        </w:rPr>
      </w:pPr>
    </w:p>
    <w:p w14:paraId="63FAFF61" w14:textId="0E732A24" w:rsidR="007E64E2" w:rsidRPr="00764F24" w:rsidRDefault="00AB4F98" w:rsidP="00D86B69">
      <w:pPr>
        <w:spacing w:beforeAutospacing="1" w:after="100" w:afterAutospacing="1" w:line="360" w:lineRule="auto"/>
        <w:rPr>
          <w:rFonts w:cstheme="minorHAnsi"/>
          <w:szCs w:val="24"/>
          <w:lang w:val="en-GB"/>
        </w:rPr>
      </w:pPr>
      <w:r w:rsidRPr="00764F24">
        <w:rPr>
          <w:rFonts w:cstheme="minorHAnsi"/>
          <w:szCs w:val="24"/>
          <w:lang w:val="en-GB"/>
        </w:rPr>
        <w:t>Every few years the British Household Panel Survey/Understanding Society survey asks people about their saving behaviour</w:t>
      </w:r>
      <w:r w:rsidR="00832922" w:rsidRPr="00764F24">
        <w:rPr>
          <w:rFonts w:cstheme="minorHAnsi"/>
          <w:szCs w:val="24"/>
          <w:lang w:val="en-GB"/>
        </w:rPr>
        <w:t xml:space="preserve"> – both whether they save ‘now and then’ and, if so, how much</w:t>
      </w:r>
      <w:r w:rsidR="00BF7FBA" w:rsidRPr="00764F24">
        <w:rPr>
          <w:rFonts w:cstheme="minorHAnsi"/>
          <w:szCs w:val="24"/>
          <w:lang w:val="en-GB"/>
        </w:rPr>
        <w:t>.</w:t>
      </w:r>
      <w:r w:rsidR="008D2686" w:rsidRPr="00764F24">
        <w:rPr>
          <w:rFonts w:cstheme="minorHAnsi"/>
          <w:szCs w:val="24"/>
          <w:lang w:val="en-GB"/>
        </w:rPr>
        <w:t xml:space="preserve"> </w:t>
      </w:r>
      <w:r w:rsidRPr="00764F24">
        <w:rPr>
          <w:rFonts w:cstheme="minorHAnsi"/>
          <w:szCs w:val="24"/>
          <w:lang w:val="en-GB"/>
        </w:rPr>
        <w:t>The latest findings, for 2016/</w:t>
      </w:r>
      <w:r w:rsidR="00832922" w:rsidRPr="00764F24">
        <w:rPr>
          <w:rFonts w:cstheme="minorHAnsi"/>
          <w:szCs w:val="24"/>
          <w:lang w:val="en-GB"/>
        </w:rPr>
        <w:t>17 show that 43 per cent of the population say they save something but this varies considerably by earnings level</w:t>
      </w:r>
      <w:r w:rsidR="00BF7FBA" w:rsidRPr="00764F24">
        <w:rPr>
          <w:rFonts w:cstheme="minorHAnsi"/>
          <w:szCs w:val="24"/>
          <w:lang w:val="en-GB"/>
        </w:rPr>
        <w:t xml:space="preserve">. </w:t>
      </w:r>
      <w:r w:rsidR="00832922" w:rsidRPr="00764F24">
        <w:rPr>
          <w:rFonts w:cstheme="minorHAnsi"/>
          <w:szCs w:val="24"/>
          <w:lang w:val="en-GB"/>
        </w:rPr>
        <w:t>Those with earnings in the top fifth of the distribution are twice as likely to save compared with those who have no earnings (65 per cent compared with 31 per cent)</w:t>
      </w:r>
      <w:r w:rsidR="00BF7FBA" w:rsidRPr="00764F24">
        <w:rPr>
          <w:rFonts w:cstheme="minorHAnsi"/>
          <w:szCs w:val="24"/>
          <w:lang w:val="en-GB"/>
        </w:rPr>
        <w:t xml:space="preserve">. </w:t>
      </w:r>
      <w:r w:rsidR="00832922" w:rsidRPr="00764F24">
        <w:rPr>
          <w:rFonts w:cstheme="minorHAnsi"/>
          <w:szCs w:val="24"/>
          <w:lang w:val="en-GB"/>
        </w:rPr>
        <w:t>Nevertheless, it is interesting to see that almost one third of those without earnings still save something.</w:t>
      </w:r>
    </w:p>
    <w:p w14:paraId="74C8EFB6" w14:textId="7C40FB70" w:rsidR="00FF23C8" w:rsidRPr="00764F24" w:rsidRDefault="00AB4F98"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6.2</w:t>
      </w:r>
      <w:r w:rsidR="00F62012" w:rsidRPr="00764F24">
        <w:rPr>
          <w:rFonts w:cstheme="minorHAnsi"/>
          <w:sz w:val="24"/>
          <w:szCs w:val="24"/>
          <w:lang w:val="en-GB"/>
        </w:rPr>
        <w:t xml:space="preserve">. </w:t>
      </w:r>
      <w:r w:rsidRPr="00764F24">
        <w:rPr>
          <w:rFonts w:cstheme="minorHAnsi"/>
          <w:sz w:val="24"/>
          <w:szCs w:val="24"/>
          <w:lang w:val="en-GB"/>
        </w:rPr>
        <w:t>Levels of Saving in 2016/17 are highest for those on the highest earnings</w:t>
      </w:r>
      <w:r w:rsidR="00F62012" w:rsidRPr="00764F24">
        <w:rPr>
          <w:rFonts w:cstheme="minorHAnsi"/>
          <w:sz w:val="24"/>
          <w:szCs w:val="24"/>
          <w:lang w:val="en-GB"/>
        </w:rPr>
        <w:t>.</w:t>
      </w:r>
      <w:r w:rsidRPr="00764F24">
        <w:rPr>
          <w:rFonts w:cstheme="minorHAnsi"/>
          <w:sz w:val="24"/>
          <w:szCs w:val="24"/>
          <w:lang w:val="en-GB"/>
        </w:rPr>
        <w:t xml:space="preserve"> Source: Understanding Society</w:t>
      </w:r>
    </w:p>
    <w:p w14:paraId="1984BFD4" w14:textId="77777777" w:rsidR="007E64E2" w:rsidRPr="00764F24" w:rsidRDefault="00204013" w:rsidP="00D86B69">
      <w:pPr>
        <w:keepNext/>
        <w:spacing w:beforeAutospacing="1" w:after="100" w:afterAutospacing="1" w:line="360" w:lineRule="auto"/>
        <w:rPr>
          <w:rFonts w:cstheme="minorHAnsi"/>
          <w:szCs w:val="24"/>
          <w:lang w:val="en-GB"/>
        </w:rPr>
      </w:pPr>
      <w:r w:rsidRPr="00764F24">
        <w:rPr>
          <w:rFonts w:cstheme="minorHAnsi"/>
          <w:noProof/>
          <w:szCs w:val="24"/>
          <w:lang w:val="en-GB" w:eastAsia="en-GB" w:bidi="ar-SA"/>
        </w:rPr>
        <w:drawing>
          <wp:inline distT="0" distB="0" distL="0" distR="0" wp14:anchorId="6737D5F7" wp14:editId="7D2B4849">
            <wp:extent cx="5495925" cy="3633470"/>
            <wp:effectExtent l="0" t="0" r="9525" b="5080"/>
            <wp:docPr id="19" name="Chart 19" descr="Whether people save is strongly correlated with earnings.">
              <a:extLst xmlns:a="http://schemas.openxmlformats.org/drawingml/2006/main">
                <a:ext uri="{FF2B5EF4-FFF2-40B4-BE49-F238E27FC236}">
                  <a16:creationId xmlns:a16="http://schemas.microsoft.com/office/drawing/2014/main" id="{CEA37C8B-5E1A-41CE-81F0-97B950DDE7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764F24">
        <w:rPr>
          <w:rFonts w:cstheme="minorHAnsi"/>
          <w:szCs w:val="24"/>
          <w:lang w:val="en-GB"/>
        </w:rPr>
        <w:t xml:space="preserve"> </w:t>
      </w:r>
    </w:p>
    <w:p w14:paraId="2295DCF1" w14:textId="165A60BC" w:rsidR="007E64E2" w:rsidRPr="00764F24" w:rsidRDefault="00832922" w:rsidP="00D86B69">
      <w:pPr>
        <w:spacing w:beforeAutospacing="1" w:after="100" w:afterAutospacing="1" w:line="360" w:lineRule="auto"/>
        <w:rPr>
          <w:rFonts w:cstheme="minorHAnsi"/>
          <w:szCs w:val="24"/>
          <w:lang w:val="en-GB"/>
        </w:rPr>
      </w:pPr>
      <w:r w:rsidRPr="00764F24">
        <w:rPr>
          <w:rFonts w:cstheme="minorHAnsi"/>
          <w:szCs w:val="24"/>
          <w:lang w:val="en-GB"/>
        </w:rPr>
        <w:t xml:space="preserve">Figure 6.3 is based on those who do save something ‘now and then’ and it shows that </w:t>
      </w:r>
      <w:r w:rsidR="00ED0226" w:rsidRPr="00764F24">
        <w:rPr>
          <w:rFonts w:cstheme="minorHAnsi"/>
          <w:szCs w:val="24"/>
          <w:lang w:val="en-GB"/>
        </w:rPr>
        <w:t>the average (mean) amount saved per month by savers was £304 in 2016/17</w:t>
      </w:r>
      <w:r w:rsidR="00BF7FBA" w:rsidRPr="00764F24">
        <w:rPr>
          <w:rFonts w:cstheme="minorHAnsi"/>
          <w:szCs w:val="24"/>
          <w:lang w:val="en-GB"/>
        </w:rPr>
        <w:t xml:space="preserve">. </w:t>
      </w:r>
      <w:r w:rsidR="00ED0226" w:rsidRPr="00764F24">
        <w:rPr>
          <w:rFonts w:cstheme="minorHAnsi"/>
          <w:szCs w:val="24"/>
          <w:lang w:val="en-GB"/>
        </w:rPr>
        <w:t>But s</w:t>
      </w:r>
      <w:r w:rsidRPr="00764F24">
        <w:rPr>
          <w:rFonts w:cstheme="minorHAnsi"/>
          <w:szCs w:val="24"/>
          <w:lang w:val="en-GB"/>
        </w:rPr>
        <w:t xml:space="preserve">avers in the top </w:t>
      </w:r>
      <w:r w:rsidR="00ED0226" w:rsidRPr="00764F24">
        <w:rPr>
          <w:rFonts w:cstheme="minorHAnsi"/>
          <w:szCs w:val="24"/>
          <w:lang w:val="en-GB"/>
        </w:rPr>
        <w:t xml:space="preserve">fifth </w:t>
      </w:r>
      <w:r w:rsidRPr="00764F24">
        <w:rPr>
          <w:rFonts w:cstheme="minorHAnsi"/>
          <w:szCs w:val="24"/>
          <w:lang w:val="en-GB"/>
        </w:rPr>
        <w:t xml:space="preserve">of the earnings distribution </w:t>
      </w:r>
      <w:r w:rsidR="00ED0226" w:rsidRPr="00764F24">
        <w:rPr>
          <w:rFonts w:cstheme="minorHAnsi"/>
          <w:szCs w:val="24"/>
          <w:lang w:val="en-GB"/>
        </w:rPr>
        <w:t>were saving</w:t>
      </w:r>
      <w:r w:rsidRPr="00764F24">
        <w:rPr>
          <w:rFonts w:cstheme="minorHAnsi"/>
          <w:szCs w:val="24"/>
          <w:lang w:val="en-GB"/>
        </w:rPr>
        <w:t xml:space="preserve"> three times as much as those </w:t>
      </w:r>
      <w:r w:rsidR="00C82ABC" w:rsidRPr="00764F24">
        <w:rPr>
          <w:rFonts w:cstheme="minorHAnsi"/>
          <w:szCs w:val="24"/>
          <w:lang w:val="en-GB"/>
        </w:rPr>
        <w:t>in</w:t>
      </w:r>
      <w:r w:rsidR="00ED0226" w:rsidRPr="00764F24">
        <w:rPr>
          <w:rFonts w:cstheme="minorHAnsi"/>
          <w:szCs w:val="24"/>
          <w:lang w:val="en-GB"/>
        </w:rPr>
        <w:t xml:space="preserve"> the b</w:t>
      </w:r>
      <w:r w:rsidRPr="00764F24">
        <w:rPr>
          <w:rFonts w:cstheme="minorHAnsi"/>
          <w:szCs w:val="24"/>
          <w:lang w:val="en-GB"/>
        </w:rPr>
        <w:t>ottom</w:t>
      </w:r>
      <w:r w:rsidR="00ED0226" w:rsidRPr="00764F24">
        <w:rPr>
          <w:rFonts w:cstheme="minorHAnsi"/>
          <w:szCs w:val="24"/>
          <w:lang w:val="en-GB"/>
        </w:rPr>
        <w:t xml:space="preserve"> fifth</w:t>
      </w:r>
      <w:r w:rsidRPr="00764F24">
        <w:rPr>
          <w:rFonts w:cstheme="minorHAnsi"/>
          <w:szCs w:val="24"/>
          <w:lang w:val="en-GB"/>
        </w:rPr>
        <w:t xml:space="preserve"> (£586 compared with £194).</w:t>
      </w:r>
    </w:p>
    <w:p w14:paraId="15CF98E6" w14:textId="14BFF139" w:rsidR="00832922" w:rsidRPr="00764F24" w:rsidRDefault="00832922"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6.3</w:t>
      </w:r>
      <w:r w:rsidR="00F62012" w:rsidRPr="00764F24">
        <w:rPr>
          <w:rFonts w:cstheme="minorHAnsi"/>
          <w:sz w:val="24"/>
          <w:szCs w:val="24"/>
          <w:lang w:val="en-GB"/>
        </w:rPr>
        <w:t xml:space="preserve">. </w:t>
      </w:r>
      <w:r w:rsidRPr="00764F24">
        <w:rPr>
          <w:rFonts w:cstheme="minorHAnsi"/>
          <w:sz w:val="24"/>
          <w:szCs w:val="24"/>
          <w:lang w:val="en-GB"/>
        </w:rPr>
        <w:t>Amount saved per month (mean) among those who save something ‘now and then’ are highest for those on the highest earnings</w:t>
      </w:r>
      <w:r w:rsidR="00F62012" w:rsidRPr="00764F24">
        <w:rPr>
          <w:rFonts w:cstheme="minorHAnsi"/>
          <w:sz w:val="24"/>
          <w:szCs w:val="24"/>
          <w:lang w:val="en-GB"/>
        </w:rPr>
        <w:t>.</w:t>
      </w:r>
      <w:r w:rsidRPr="00764F24">
        <w:rPr>
          <w:rFonts w:cstheme="minorHAnsi"/>
          <w:sz w:val="24"/>
          <w:szCs w:val="24"/>
          <w:lang w:val="en-GB"/>
        </w:rPr>
        <w:t xml:space="preserve"> Source: Understanding Society</w:t>
      </w:r>
    </w:p>
    <w:p w14:paraId="2EB3CFDD" w14:textId="77777777" w:rsidR="007E64E2" w:rsidRPr="00764F24" w:rsidRDefault="00832922" w:rsidP="00D86B69">
      <w:pPr>
        <w:keepNext/>
        <w:spacing w:beforeAutospacing="1" w:after="100" w:afterAutospacing="1" w:line="360" w:lineRule="auto"/>
        <w:rPr>
          <w:rFonts w:cstheme="minorHAnsi"/>
          <w:szCs w:val="24"/>
          <w:lang w:val="en-GB"/>
        </w:rPr>
      </w:pPr>
      <w:r w:rsidRPr="00764F24">
        <w:rPr>
          <w:rFonts w:cstheme="minorHAnsi"/>
          <w:noProof/>
          <w:szCs w:val="24"/>
          <w:lang w:val="en-GB" w:eastAsia="en-GB" w:bidi="ar-SA"/>
        </w:rPr>
        <w:drawing>
          <wp:inline distT="0" distB="0" distL="0" distR="0" wp14:anchorId="78BD9C5B" wp14:editId="6F6C3007">
            <wp:extent cx="5324475" cy="2986088"/>
            <wp:effectExtent l="0" t="0" r="9525" b="5080"/>
            <wp:docPr id="22" name="Chart 22" descr="Amounts of regular savings are strongly correlated with earnings, particularly at the higher levels of earnings.">
              <a:extLst xmlns:a="http://schemas.openxmlformats.org/drawingml/2006/main">
                <a:ext uri="{FF2B5EF4-FFF2-40B4-BE49-F238E27FC236}">
                  <a16:creationId xmlns:a16="http://schemas.microsoft.com/office/drawing/2014/main" id="{A30916A9-8F3E-4480-9D20-7BE567219E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9A67B86" w14:textId="7F447ED8" w:rsidR="007E64E2" w:rsidRPr="00764F24" w:rsidRDefault="007C4165" w:rsidP="00D86B69">
      <w:pPr>
        <w:spacing w:beforeAutospacing="1" w:after="100" w:afterAutospacing="1" w:line="360" w:lineRule="auto"/>
        <w:rPr>
          <w:rFonts w:cstheme="minorHAnsi"/>
          <w:szCs w:val="24"/>
          <w:lang w:val="en-GB"/>
        </w:rPr>
      </w:pPr>
      <w:r w:rsidRPr="00764F24">
        <w:rPr>
          <w:rFonts w:cstheme="minorHAnsi"/>
          <w:szCs w:val="24"/>
          <w:lang w:val="en-GB"/>
        </w:rPr>
        <w:t>Levels of saving are not just related to level of disposable income, of course, but also to attitudes to spending/saving which can be influenced by a range of factors, not least the 'incentives' to save, including those related to the interest rate on savings</w:t>
      </w:r>
      <w:r w:rsidR="00BF7FBA" w:rsidRPr="00764F24">
        <w:rPr>
          <w:rFonts w:cstheme="minorHAnsi"/>
          <w:szCs w:val="24"/>
          <w:lang w:val="en-GB"/>
        </w:rPr>
        <w:t xml:space="preserve">. </w:t>
      </w:r>
      <w:r w:rsidRPr="00764F24">
        <w:rPr>
          <w:rFonts w:cstheme="minorHAnsi"/>
          <w:szCs w:val="24"/>
          <w:lang w:val="en-GB"/>
        </w:rPr>
        <w:t xml:space="preserve">But, in this regard, there has been very little incentive to save in recent years given that interest rates have been negligible since 2009 (see </w:t>
      </w:r>
      <w:r w:rsidR="00F62012" w:rsidRPr="00764F24">
        <w:rPr>
          <w:rFonts w:cstheme="minorHAnsi"/>
          <w:szCs w:val="24"/>
          <w:lang w:val="en-GB"/>
        </w:rPr>
        <w:t>F</w:t>
      </w:r>
      <w:r w:rsidRPr="00764F24">
        <w:rPr>
          <w:rFonts w:cstheme="minorHAnsi"/>
          <w:szCs w:val="24"/>
          <w:lang w:val="en-GB"/>
        </w:rPr>
        <w:t>igure 1.3 above).</w:t>
      </w:r>
    </w:p>
    <w:p w14:paraId="4E62D2C8" w14:textId="2727A6A8" w:rsidR="00AA0467" w:rsidRPr="00764F24" w:rsidRDefault="007C4165" w:rsidP="00D86B69">
      <w:pPr>
        <w:spacing w:beforeAutospacing="1" w:after="100" w:afterAutospacing="1" w:line="360" w:lineRule="auto"/>
        <w:rPr>
          <w:rFonts w:cstheme="minorHAnsi"/>
          <w:szCs w:val="24"/>
          <w:lang w:val="en-GB"/>
        </w:rPr>
      </w:pPr>
      <w:r w:rsidRPr="00764F24">
        <w:rPr>
          <w:rFonts w:cstheme="minorHAnsi"/>
          <w:szCs w:val="24"/>
          <w:lang w:val="en-GB"/>
        </w:rPr>
        <w:t>In 2018, the government introduced Help to Save accounts to encourage and reward saving among those entitled to Working Tax Credit or receiving Universal Credit</w:t>
      </w:r>
      <w:r w:rsidR="00BF7FBA" w:rsidRPr="00764F24">
        <w:rPr>
          <w:rFonts w:cstheme="minorHAnsi"/>
          <w:szCs w:val="24"/>
          <w:lang w:val="en-GB"/>
        </w:rPr>
        <w:t xml:space="preserve">. </w:t>
      </w:r>
      <w:r w:rsidRPr="00764F24">
        <w:rPr>
          <w:rFonts w:cstheme="minorHAnsi"/>
          <w:szCs w:val="24"/>
          <w:lang w:val="en-GB"/>
        </w:rPr>
        <w:t>These savers receive</w:t>
      </w:r>
      <w:r w:rsidR="00AA0467" w:rsidRPr="00764F24">
        <w:rPr>
          <w:rFonts w:cstheme="minorHAnsi"/>
          <w:szCs w:val="24"/>
          <w:lang w:val="en-GB"/>
        </w:rPr>
        <w:t>, in general terms,</w:t>
      </w:r>
      <w:r w:rsidRPr="00764F24">
        <w:rPr>
          <w:rFonts w:cstheme="minorHAnsi"/>
          <w:szCs w:val="24"/>
          <w:lang w:val="en-GB"/>
        </w:rPr>
        <w:t xml:space="preserve"> a bonus of 50p for every £1 they save over 4 years</w:t>
      </w:r>
      <w:r w:rsidR="00AA0467" w:rsidRPr="00764F24">
        <w:rPr>
          <w:rStyle w:val="FootnoteReference"/>
          <w:rFonts w:cstheme="minorHAnsi"/>
          <w:szCs w:val="24"/>
          <w:lang w:val="en-GB"/>
        </w:rPr>
        <w:footnoteReference w:id="66"/>
      </w:r>
      <w:r w:rsidR="00BF7FBA" w:rsidRPr="00764F24">
        <w:rPr>
          <w:rFonts w:cstheme="minorHAnsi"/>
          <w:szCs w:val="24"/>
          <w:lang w:val="en-GB"/>
        </w:rPr>
        <w:t xml:space="preserve">. </w:t>
      </w:r>
      <w:r w:rsidRPr="00764F24">
        <w:rPr>
          <w:rFonts w:cstheme="minorHAnsi"/>
          <w:szCs w:val="24"/>
          <w:lang w:val="en-GB"/>
        </w:rPr>
        <w:t xml:space="preserve">Under the scheme, individuals can save up to £50 per month with </w:t>
      </w:r>
      <w:r w:rsidR="00AA0467" w:rsidRPr="00764F24">
        <w:rPr>
          <w:rFonts w:cstheme="minorHAnsi"/>
          <w:szCs w:val="24"/>
          <w:lang w:val="en-GB"/>
        </w:rPr>
        <w:t xml:space="preserve">the </w:t>
      </w:r>
      <w:r w:rsidRPr="00764F24">
        <w:rPr>
          <w:rFonts w:cstheme="minorHAnsi"/>
          <w:szCs w:val="24"/>
          <w:lang w:val="en-GB"/>
        </w:rPr>
        <w:t>50</w:t>
      </w:r>
      <w:r w:rsidR="00125F43" w:rsidRPr="00764F24">
        <w:rPr>
          <w:rFonts w:eastAsiaTheme="majorEastAsia" w:cstheme="minorHAnsi"/>
          <w:bCs/>
          <w:kern w:val="32"/>
          <w:szCs w:val="24"/>
          <w:lang w:val="en-GB"/>
        </w:rPr>
        <w:t xml:space="preserve"> per cent</w:t>
      </w:r>
      <w:r w:rsidRPr="00764F24">
        <w:rPr>
          <w:rFonts w:cstheme="minorHAnsi"/>
          <w:szCs w:val="24"/>
          <w:lang w:val="en-GB"/>
        </w:rPr>
        <w:t xml:space="preserve"> bonus payable at the end of the second and fourth years</w:t>
      </w:r>
      <w:r w:rsidR="00BF7FBA" w:rsidRPr="00764F24">
        <w:rPr>
          <w:rFonts w:cstheme="minorHAnsi"/>
          <w:szCs w:val="24"/>
          <w:lang w:val="en-GB"/>
        </w:rPr>
        <w:t xml:space="preserve">. </w:t>
      </w:r>
    </w:p>
    <w:p w14:paraId="372AF471" w14:textId="7AF572C3" w:rsidR="007E64E2" w:rsidRPr="00764F24" w:rsidRDefault="007C4165" w:rsidP="00D86B69">
      <w:pPr>
        <w:spacing w:beforeAutospacing="1" w:after="100" w:afterAutospacing="1" w:line="360" w:lineRule="auto"/>
        <w:rPr>
          <w:rFonts w:cstheme="minorHAnsi"/>
          <w:szCs w:val="24"/>
          <w:lang w:val="en-GB"/>
        </w:rPr>
      </w:pPr>
      <w:r w:rsidRPr="00764F24">
        <w:rPr>
          <w:rFonts w:cstheme="minorHAnsi"/>
          <w:szCs w:val="24"/>
          <w:lang w:val="en-GB"/>
        </w:rPr>
        <w:lastRenderedPageBreak/>
        <w:t>According to data from HM Treasury</w:t>
      </w:r>
      <w:r w:rsidR="00B2094C">
        <w:rPr>
          <w:rStyle w:val="FootnoteReference"/>
          <w:rFonts w:cstheme="minorHAnsi"/>
          <w:szCs w:val="24"/>
          <w:lang w:val="en-GB"/>
        </w:rPr>
        <w:footnoteReference w:id="67"/>
      </w:r>
      <w:r w:rsidRPr="00764F24">
        <w:rPr>
          <w:rFonts w:cstheme="minorHAnsi"/>
          <w:szCs w:val="24"/>
          <w:lang w:val="en-GB"/>
        </w:rPr>
        <w:t xml:space="preserve">, the total number of accounts in </w:t>
      </w:r>
      <w:r w:rsidR="00D03D11" w:rsidRPr="00764F24">
        <w:rPr>
          <w:rFonts w:cstheme="minorHAnsi"/>
          <w:szCs w:val="24"/>
          <w:lang w:val="en-GB"/>
        </w:rPr>
        <w:t>J</w:t>
      </w:r>
      <w:r w:rsidR="00B2094C">
        <w:rPr>
          <w:rFonts w:cstheme="minorHAnsi"/>
          <w:szCs w:val="24"/>
          <w:lang w:val="en-GB"/>
        </w:rPr>
        <w:t>uly</w:t>
      </w:r>
      <w:r w:rsidRPr="00764F24">
        <w:rPr>
          <w:rFonts w:cstheme="minorHAnsi"/>
          <w:szCs w:val="24"/>
          <w:lang w:val="en-GB"/>
        </w:rPr>
        <w:t xml:space="preserve"> 2020 was </w:t>
      </w:r>
      <w:r w:rsidR="00B2094C">
        <w:rPr>
          <w:rFonts w:cstheme="minorHAnsi"/>
          <w:szCs w:val="24"/>
          <w:lang w:val="en-GB"/>
        </w:rPr>
        <w:t>222</w:t>
      </w:r>
      <w:r w:rsidRPr="00764F24">
        <w:rPr>
          <w:rFonts w:cstheme="minorHAnsi"/>
          <w:szCs w:val="24"/>
          <w:lang w:val="en-GB"/>
        </w:rPr>
        <w:t>,000</w:t>
      </w:r>
      <w:r w:rsidR="002B5906">
        <w:rPr>
          <w:rFonts w:cstheme="minorHAnsi"/>
          <w:szCs w:val="24"/>
          <w:lang w:val="en-GB"/>
        </w:rPr>
        <w:t xml:space="preserve"> and</w:t>
      </w:r>
      <w:r w:rsidRPr="00764F24">
        <w:rPr>
          <w:rFonts w:cstheme="minorHAnsi"/>
          <w:szCs w:val="24"/>
          <w:lang w:val="en-GB"/>
        </w:rPr>
        <w:t xml:space="preserve"> around 1</w:t>
      </w:r>
      <w:r w:rsidR="00B2094C">
        <w:rPr>
          <w:rFonts w:cstheme="minorHAnsi"/>
          <w:szCs w:val="24"/>
          <w:lang w:val="en-GB"/>
        </w:rPr>
        <w:t>62</w:t>
      </w:r>
      <w:r w:rsidRPr="00764F24">
        <w:rPr>
          <w:rFonts w:cstheme="minorHAnsi"/>
          <w:szCs w:val="24"/>
          <w:lang w:val="en-GB"/>
        </w:rPr>
        <w:t xml:space="preserve">,000 individuals had made a deposit </w:t>
      </w:r>
      <w:r w:rsidR="00D03D11" w:rsidRPr="00764F24">
        <w:rPr>
          <w:rFonts w:cstheme="minorHAnsi"/>
          <w:szCs w:val="24"/>
          <w:lang w:val="en-GB"/>
        </w:rPr>
        <w:t>in</w:t>
      </w:r>
      <w:r w:rsidRPr="00764F24">
        <w:rPr>
          <w:rFonts w:cstheme="minorHAnsi"/>
          <w:szCs w:val="24"/>
          <w:lang w:val="en-GB"/>
        </w:rPr>
        <w:t>to their Help to Save account</w:t>
      </w:r>
      <w:r w:rsidR="002B5906">
        <w:rPr>
          <w:rFonts w:cstheme="minorHAnsi"/>
          <w:szCs w:val="24"/>
          <w:lang w:val="en-GB"/>
        </w:rPr>
        <w:t>.  F</w:t>
      </w:r>
      <w:r w:rsidRPr="00764F24">
        <w:rPr>
          <w:rFonts w:cstheme="minorHAnsi"/>
          <w:szCs w:val="24"/>
          <w:lang w:val="en-GB"/>
        </w:rPr>
        <w:t>or those individuals making deposits, the average deposit per person per month was</w:t>
      </w:r>
      <w:r w:rsidR="00D03D11" w:rsidRPr="00764F24">
        <w:rPr>
          <w:rFonts w:cstheme="minorHAnsi"/>
          <w:szCs w:val="24"/>
          <w:lang w:val="en-GB"/>
        </w:rPr>
        <w:t xml:space="preserve"> £4</w:t>
      </w:r>
      <w:r w:rsidR="00B2094C">
        <w:rPr>
          <w:rFonts w:cstheme="minorHAnsi"/>
          <w:szCs w:val="24"/>
          <w:lang w:val="en-GB"/>
        </w:rPr>
        <w:t>8</w:t>
      </w:r>
      <w:r w:rsidR="00D03D11" w:rsidRPr="00764F24">
        <w:rPr>
          <w:rFonts w:cstheme="minorHAnsi"/>
          <w:szCs w:val="24"/>
          <w:lang w:val="en-GB"/>
        </w:rPr>
        <w:t>. However, there we</w:t>
      </w:r>
      <w:r w:rsidRPr="00764F24">
        <w:rPr>
          <w:rFonts w:cstheme="minorHAnsi"/>
          <w:szCs w:val="24"/>
          <w:lang w:val="en-GB"/>
        </w:rPr>
        <w:t xml:space="preserve">re </w:t>
      </w:r>
      <w:r w:rsidR="00B2094C">
        <w:rPr>
          <w:rFonts w:cstheme="minorHAnsi"/>
          <w:szCs w:val="24"/>
          <w:lang w:val="en-GB"/>
        </w:rPr>
        <w:t>60,5</w:t>
      </w:r>
      <w:r w:rsidR="00D03D11" w:rsidRPr="00764F24">
        <w:rPr>
          <w:rFonts w:cstheme="minorHAnsi"/>
          <w:szCs w:val="24"/>
          <w:lang w:val="en-GB"/>
        </w:rPr>
        <w:t xml:space="preserve">00 accounts that </w:t>
      </w:r>
      <w:r w:rsidR="002B5906">
        <w:rPr>
          <w:rFonts w:cstheme="minorHAnsi"/>
          <w:szCs w:val="24"/>
          <w:lang w:val="en-GB"/>
        </w:rPr>
        <w:t xml:space="preserve">had not </w:t>
      </w:r>
      <w:r w:rsidRPr="00764F24">
        <w:rPr>
          <w:rFonts w:cstheme="minorHAnsi"/>
          <w:szCs w:val="24"/>
          <w:lang w:val="en-GB"/>
        </w:rPr>
        <w:t>received a</w:t>
      </w:r>
      <w:r w:rsidR="002B5906">
        <w:rPr>
          <w:rFonts w:cstheme="minorHAnsi"/>
          <w:szCs w:val="24"/>
          <w:lang w:val="en-GB"/>
        </w:rPr>
        <w:t>ny</w:t>
      </w:r>
      <w:r w:rsidRPr="00764F24">
        <w:rPr>
          <w:rFonts w:cstheme="minorHAnsi"/>
          <w:szCs w:val="24"/>
          <w:lang w:val="en-GB"/>
        </w:rPr>
        <w:t xml:space="preserve"> deposit at all</w:t>
      </w:r>
      <w:r w:rsidR="002B5906">
        <w:rPr>
          <w:rFonts w:cstheme="minorHAnsi"/>
          <w:szCs w:val="24"/>
          <w:lang w:val="en-GB"/>
        </w:rPr>
        <w:t xml:space="preserve"> so far</w:t>
      </w:r>
      <w:r w:rsidR="00BF7FBA" w:rsidRPr="00764F24">
        <w:rPr>
          <w:rFonts w:cstheme="minorHAnsi"/>
          <w:szCs w:val="24"/>
          <w:lang w:val="en-GB"/>
        </w:rPr>
        <w:t>.</w:t>
      </w:r>
      <w:r w:rsidR="00B2094C">
        <w:rPr>
          <w:rFonts w:cstheme="minorHAnsi"/>
          <w:szCs w:val="24"/>
          <w:lang w:val="en-GB"/>
        </w:rPr>
        <w:t xml:space="preserve">  In total</w:t>
      </w:r>
      <w:r w:rsidR="00B2094C" w:rsidRPr="00B2094C">
        <w:rPr>
          <w:rFonts w:cstheme="minorHAnsi"/>
          <w:szCs w:val="24"/>
          <w:lang w:val="en-GB"/>
        </w:rPr>
        <w:t xml:space="preserve">, more than £70m </w:t>
      </w:r>
      <w:r w:rsidR="00B2094C">
        <w:rPr>
          <w:rFonts w:cstheme="minorHAnsi"/>
          <w:szCs w:val="24"/>
          <w:lang w:val="en-GB"/>
        </w:rPr>
        <w:t xml:space="preserve">had been </w:t>
      </w:r>
      <w:r w:rsidR="00B2094C" w:rsidRPr="00B2094C">
        <w:rPr>
          <w:rFonts w:cstheme="minorHAnsi"/>
          <w:szCs w:val="24"/>
          <w:lang w:val="en-GB"/>
        </w:rPr>
        <w:t xml:space="preserve">saved by people on low incomes </w:t>
      </w:r>
      <w:r w:rsidR="00B2094C">
        <w:rPr>
          <w:rFonts w:cstheme="minorHAnsi"/>
          <w:szCs w:val="24"/>
          <w:lang w:val="en-GB"/>
        </w:rPr>
        <w:t>but t</w:t>
      </w:r>
      <w:r w:rsidR="00D03D11" w:rsidRPr="00764F24">
        <w:rPr>
          <w:rFonts w:cstheme="minorHAnsi"/>
          <w:szCs w:val="24"/>
          <w:lang w:val="en-GB"/>
        </w:rPr>
        <w:t xml:space="preserve">ake-up of Help to Save </w:t>
      </w:r>
      <w:r w:rsidR="00514911" w:rsidRPr="00764F24">
        <w:rPr>
          <w:rFonts w:cstheme="minorHAnsi"/>
          <w:szCs w:val="24"/>
          <w:lang w:val="en-GB"/>
        </w:rPr>
        <w:t>is estimated to be well below</w:t>
      </w:r>
      <w:r w:rsidR="00D03D11" w:rsidRPr="00764F24">
        <w:rPr>
          <w:rFonts w:cstheme="minorHAnsi"/>
          <w:szCs w:val="24"/>
          <w:lang w:val="en-GB"/>
        </w:rPr>
        <w:t xml:space="preserve"> 10 per cent </w:t>
      </w:r>
      <w:r w:rsidR="00514911" w:rsidRPr="00764F24">
        <w:rPr>
          <w:rFonts w:cstheme="minorHAnsi"/>
          <w:szCs w:val="24"/>
          <w:lang w:val="en-GB"/>
        </w:rPr>
        <w:t xml:space="preserve">as there are around 3 million people </w:t>
      </w:r>
      <w:r w:rsidR="00D03D11" w:rsidRPr="00764F24">
        <w:rPr>
          <w:rFonts w:cstheme="minorHAnsi"/>
          <w:szCs w:val="24"/>
          <w:lang w:val="en-GB"/>
        </w:rPr>
        <w:t>eligible</w:t>
      </w:r>
      <w:r w:rsidR="00D03D11" w:rsidRPr="00764F24">
        <w:rPr>
          <w:rStyle w:val="FootnoteReference"/>
          <w:rFonts w:cstheme="minorHAnsi"/>
          <w:szCs w:val="24"/>
          <w:lang w:val="en-GB"/>
        </w:rPr>
        <w:footnoteReference w:id="68"/>
      </w:r>
      <w:r w:rsidR="00D03D11" w:rsidRPr="00764F24">
        <w:rPr>
          <w:rFonts w:cstheme="minorHAnsi"/>
          <w:szCs w:val="24"/>
          <w:lang w:val="en-GB"/>
        </w:rPr>
        <w:t>.</w:t>
      </w:r>
    </w:p>
    <w:p w14:paraId="740CB2CF" w14:textId="23B6A41E" w:rsidR="007E64E2" w:rsidRPr="00764F24" w:rsidRDefault="00921E08" w:rsidP="00D86B69">
      <w:pPr>
        <w:spacing w:beforeAutospacing="1" w:after="100" w:afterAutospacing="1" w:line="360" w:lineRule="auto"/>
        <w:rPr>
          <w:rFonts w:cstheme="minorHAnsi"/>
          <w:szCs w:val="24"/>
          <w:lang w:val="en-GB"/>
        </w:rPr>
      </w:pPr>
      <w:r w:rsidRPr="00764F24">
        <w:rPr>
          <w:rFonts w:cstheme="minorHAnsi"/>
          <w:szCs w:val="24"/>
          <w:lang w:val="en-GB"/>
        </w:rPr>
        <w:t xml:space="preserve">For those whose incomes have been affected by the impact of </w:t>
      </w:r>
      <w:r w:rsidR="00A12E5C" w:rsidRPr="00764F24">
        <w:rPr>
          <w:rFonts w:cstheme="minorHAnsi"/>
          <w:szCs w:val="24"/>
          <w:lang w:val="en-GB"/>
        </w:rPr>
        <w:t xml:space="preserve"> COVID-19</w:t>
      </w:r>
      <w:r w:rsidRPr="00764F24">
        <w:rPr>
          <w:rFonts w:cstheme="minorHAnsi"/>
          <w:szCs w:val="24"/>
          <w:lang w:val="en-GB"/>
        </w:rPr>
        <w:t>, any savings are likely to be drawn on quite quickly and the Resolution Foundation</w:t>
      </w:r>
      <w:r w:rsidRPr="00764F24">
        <w:rPr>
          <w:rStyle w:val="FootnoteReference"/>
          <w:rFonts w:cstheme="minorHAnsi"/>
          <w:szCs w:val="24"/>
          <w:lang w:val="en-GB"/>
        </w:rPr>
        <w:footnoteReference w:id="69"/>
      </w:r>
      <w:r w:rsidRPr="00764F24">
        <w:rPr>
          <w:rFonts w:cstheme="minorHAnsi"/>
          <w:szCs w:val="24"/>
          <w:lang w:val="en-GB"/>
        </w:rPr>
        <w:t xml:space="preserve"> have estimated that one-third of those in the second income quintile have reduced the amount they save (and 22 per cent </w:t>
      </w:r>
      <w:r w:rsidR="002B5906">
        <w:rPr>
          <w:rFonts w:cstheme="minorHAnsi"/>
          <w:szCs w:val="24"/>
          <w:lang w:val="en-GB"/>
        </w:rPr>
        <w:t xml:space="preserve">have </w:t>
      </w:r>
      <w:r w:rsidRPr="00764F24">
        <w:rPr>
          <w:rFonts w:cstheme="minorHAnsi"/>
          <w:szCs w:val="24"/>
          <w:lang w:val="en-GB"/>
        </w:rPr>
        <w:t>cut their saving by more than 10 per cent) as a result of the crisis</w:t>
      </w:r>
      <w:r w:rsidR="00BF7FBA" w:rsidRPr="00764F24">
        <w:rPr>
          <w:rFonts w:cstheme="minorHAnsi"/>
          <w:szCs w:val="24"/>
          <w:lang w:val="en-GB"/>
        </w:rPr>
        <w:t xml:space="preserve">. </w:t>
      </w:r>
      <w:r w:rsidRPr="00764F24">
        <w:rPr>
          <w:rFonts w:cstheme="minorHAnsi"/>
          <w:szCs w:val="24"/>
          <w:lang w:val="en-GB"/>
        </w:rPr>
        <w:t xml:space="preserve">But </w:t>
      </w:r>
      <w:r w:rsidR="002B5906">
        <w:rPr>
          <w:rFonts w:cstheme="minorHAnsi"/>
          <w:szCs w:val="24"/>
          <w:lang w:val="en-GB"/>
        </w:rPr>
        <w:t xml:space="preserve">they </w:t>
      </w:r>
      <w:r w:rsidRPr="00764F24">
        <w:rPr>
          <w:rFonts w:cstheme="minorHAnsi"/>
          <w:szCs w:val="24"/>
          <w:lang w:val="en-GB"/>
        </w:rPr>
        <w:t xml:space="preserve">have also estimated that over one-third of the richest fifth of the population have seen their savings increase in the first months of the crisis. </w:t>
      </w:r>
    </w:p>
    <w:p w14:paraId="1BA3F9AA" w14:textId="77777777" w:rsidR="00053374" w:rsidRPr="00764F24" w:rsidRDefault="00053374" w:rsidP="00D86B69">
      <w:pPr>
        <w:spacing w:beforeAutospacing="1" w:after="100" w:afterAutospacing="1" w:line="360" w:lineRule="auto"/>
        <w:rPr>
          <w:rFonts w:eastAsiaTheme="majorEastAsia" w:cstheme="minorHAnsi"/>
          <w:b/>
          <w:bCs/>
          <w:i/>
          <w:iCs/>
          <w:color w:val="0070C0"/>
          <w:szCs w:val="24"/>
          <w:lang w:val="en-GB"/>
        </w:rPr>
      </w:pPr>
      <w:r w:rsidRPr="00764F24">
        <w:rPr>
          <w:rFonts w:cstheme="minorHAnsi"/>
          <w:szCs w:val="24"/>
          <w:lang w:val="en-GB"/>
        </w:rPr>
        <w:br w:type="page"/>
      </w:r>
    </w:p>
    <w:p w14:paraId="5D587864" w14:textId="54920E33" w:rsidR="00CD0793" w:rsidRPr="00764F24" w:rsidRDefault="00CD0793" w:rsidP="00D86B69">
      <w:pPr>
        <w:pStyle w:val="Heading2"/>
        <w:numPr>
          <w:ilvl w:val="0"/>
          <w:numId w:val="10"/>
        </w:numPr>
        <w:spacing w:beforeAutospacing="1" w:after="100" w:afterAutospacing="1" w:line="360" w:lineRule="auto"/>
        <w:rPr>
          <w:rFonts w:cstheme="minorHAnsi"/>
          <w:szCs w:val="24"/>
          <w:lang w:val="en-GB"/>
        </w:rPr>
      </w:pPr>
      <w:bookmarkStart w:id="43" w:name="_Toc51250064"/>
      <w:bookmarkStart w:id="44" w:name="_Toc54600806"/>
      <w:r w:rsidRPr="00764F24">
        <w:rPr>
          <w:rFonts w:cstheme="minorHAnsi"/>
          <w:szCs w:val="24"/>
          <w:lang w:val="en-GB"/>
        </w:rPr>
        <w:lastRenderedPageBreak/>
        <w:t>Pensions</w:t>
      </w:r>
      <w:bookmarkEnd w:id="43"/>
      <w:bookmarkEnd w:id="44"/>
    </w:p>
    <w:p w14:paraId="023790C6" w14:textId="77777777" w:rsidR="00053374" w:rsidRPr="00764F24" w:rsidRDefault="00053374" w:rsidP="00D86B69">
      <w:pPr>
        <w:spacing w:beforeAutospacing="1" w:after="100" w:afterAutospacing="1" w:line="360" w:lineRule="auto"/>
        <w:rPr>
          <w:rFonts w:cstheme="minorHAnsi"/>
          <w:szCs w:val="24"/>
          <w:lang w:val="en-GB"/>
        </w:rPr>
      </w:pPr>
    </w:p>
    <w:p w14:paraId="0C6174AB" w14:textId="6DFA34DD" w:rsidR="007E64E2" w:rsidRPr="00764F24" w:rsidRDefault="00B977D5" w:rsidP="00D86B69">
      <w:pPr>
        <w:spacing w:beforeAutospacing="1" w:after="100" w:afterAutospacing="1" w:line="360" w:lineRule="auto"/>
        <w:rPr>
          <w:rFonts w:cstheme="minorHAnsi"/>
          <w:szCs w:val="24"/>
          <w:lang w:val="en-GB"/>
        </w:rPr>
      </w:pPr>
      <w:r w:rsidRPr="00764F24">
        <w:rPr>
          <w:rFonts w:cstheme="minorHAnsi"/>
          <w:szCs w:val="24"/>
          <w:lang w:val="en-GB"/>
        </w:rPr>
        <w:t xml:space="preserve">Pensions are rarely included in discussions about financial </w:t>
      </w:r>
      <w:r w:rsidR="008E2B45" w:rsidRPr="00764F24">
        <w:rPr>
          <w:rFonts w:cstheme="minorHAnsi"/>
          <w:szCs w:val="24"/>
          <w:lang w:val="en-GB"/>
        </w:rPr>
        <w:t>inclusion,</w:t>
      </w:r>
      <w:r w:rsidRPr="00764F24">
        <w:rPr>
          <w:rFonts w:cstheme="minorHAnsi"/>
          <w:szCs w:val="24"/>
          <w:lang w:val="en-GB"/>
        </w:rPr>
        <w:t xml:space="preserve"> but they are clearly important in relation to </w:t>
      </w:r>
      <w:r w:rsidR="002B5906">
        <w:rPr>
          <w:rFonts w:cstheme="minorHAnsi"/>
          <w:szCs w:val="24"/>
          <w:lang w:val="en-GB"/>
        </w:rPr>
        <w:t xml:space="preserve">financial </w:t>
      </w:r>
      <w:r w:rsidRPr="00764F24">
        <w:rPr>
          <w:rFonts w:cstheme="minorHAnsi"/>
          <w:szCs w:val="24"/>
          <w:lang w:val="en-GB"/>
        </w:rPr>
        <w:t>security and inclusion in later life</w:t>
      </w:r>
      <w:r w:rsidR="00BF7FBA" w:rsidRPr="00764F24">
        <w:rPr>
          <w:rFonts w:cstheme="minorHAnsi"/>
          <w:szCs w:val="24"/>
          <w:lang w:val="en-GB"/>
        </w:rPr>
        <w:t>.</w:t>
      </w:r>
      <w:r w:rsidR="008D2686" w:rsidRPr="00764F24">
        <w:rPr>
          <w:rFonts w:cstheme="minorHAnsi"/>
          <w:szCs w:val="24"/>
          <w:lang w:val="en-GB"/>
        </w:rPr>
        <w:t xml:space="preserve"> </w:t>
      </w:r>
      <w:r w:rsidR="00666600" w:rsidRPr="00764F24">
        <w:rPr>
          <w:rFonts w:cstheme="minorHAnsi"/>
          <w:szCs w:val="24"/>
          <w:lang w:val="en-GB"/>
        </w:rPr>
        <w:t>Figure 7.1 provides data on the number of active members of occupational pension schemes</w:t>
      </w:r>
      <w:r w:rsidR="009F6269" w:rsidRPr="00764F24">
        <w:rPr>
          <w:rStyle w:val="FootnoteReference"/>
          <w:rFonts w:cstheme="minorHAnsi"/>
          <w:szCs w:val="24"/>
          <w:lang w:val="en-GB"/>
        </w:rPr>
        <w:footnoteReference w:id="70"/>
      </w:r>
      <w:r w:rsidR="00666600" w:rsidRPr="00764F24">
        <w:rPr>
          <w:rFonts w:cstheme="minorHAnsi"/>
          <w:szCs w:val="24"/>
          <w:lang w:val="en-GB"/>
        </w:rPr>
        <w:t xml:space="preserve"> </w:t>
      </w:r>
      <w:r w:rsidR="00D13C2B" w:rsidRPr="00764F24">
        <w:rPr>
          <w:rFonts w:cstheme="minorHAnsi"/>
          <w:szCs w:val="24"/>
          <w:lang w:val="en-GB"/>
        </w:rPr>
        <w:t>– with separate figures for those in the private sector and those in the public sector</w:t>
      </w:r>
      <w:r w:rsidR="00BF7FBA" w:rsidRPr="00764F24">
        <w:rPr>
          <w:rFonts w:cstheme="minorHAnsi"/>
          <w:szCs w:val="24"/>
          <w:lang w:val="en-GB"/>
        </w:rPr>
        <w:t xml:space="preserve">. </w:t>
      </w:r>
      <w:r w:rsidR="00D13C2B" w:rsidRPr="00764F24">
        <w:rPr>
          <w:rFonts w:cstheme="minorHAnsi"/>
          <w:szCs w:val="24"/>
          <w:lang w:val="en-GB"/>
        </w:rPr>
        <w:t>Private sector schemes had been on the decline since the late 1960s but the mandatory introduction, in 2012, of auto enrolled workplace pensions has seen a massive increase so that, in 2018, 11 million people had such pensions</w:t>
      </w:r>
      <w:r w:rsidR="00BF7FBA" w:rsidRPr="00764F24">
        <w:rPr>
          <w:rFonts w:cstheme="minorHAnsi"/>
          <w:szCs w:val="24"/>
          <w:lang w:val="en-GB"/>
        </w:rPr>
        <w:t xml:space="preserve">. </w:t>
      </w:r>
      <w:r w:rsidR="00D13C2B" w:rsidRPr="00764F24">
        <w:rPr>
          <w:rFonts w:cstheme="minorHAnsi"/>
          <w:szCs w:val="24"/>
          <w:lang w:val="en-GB"/>
        </w:rPr>
        <w:t>This is far higher than the number of people with public sector pensions</w:t>
      </w:r>
      <w:r w:rsidR="00C82ABC" w:rsidRPr="00764F24">
        <w:rPr>
          <w:rFonts w:cstheme="minorHAnsi"/>
          <w:szCs w:val="24"/>
          <w:lang w:val="en-GB"/>
        </w:rPr>
        <w:t>,</w:t>
      </w:r>
      <w:r w:rsidR="00D13C2B" w:rsidRPr="00764F24">
        <w:rPr>
          <w:rFonts w:cstheme="minorHAnsi"/>
          <w:szCs w:val="24"/>
          <w:lang w:val="en-GB"/>
        </w:rPr>
        <w:t xml:space="preserve"> but this figure has also increased since 2012, albeit at a much slower rate to 6.3 million (see figure 7.1).</w:t>
      </w:r>
    </w:p>
    <w:p w14:paraId="471AC38F" w14:textId="1393138B" w:rsidR="00CD0793" w:rsidRPr="00764F24" w:rsidRDefault="0051442C"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 xml:space="preserve">Figure </w:t>
      </w:r>
      <w:r w:rsidR="00FF7268" w:rsidRPr="00764F24">
        <w:rPr>
          <w:rFonts w:cstheme="minorHAnsi"/>
          <w:sz w:val="24"/>
          <w:szCs w:val="24"/>
          <w:lang w:val="en-GB"/>
        </w:rPr>
        <w:t>7.1</w:t>
      </w:r>
      <w:r w:rsidR="00F62012" w:rsidRPr="00764F24">
        <w:rPr>
          <w:rFonts w:cstheme="minorHAnsi"/>
          <w:sz w:val="24"/>
          <w:szCs w:val="24"/>
          <w:lang w:val="en-GB"/>
        </w:rPr>
        <w:t xml:space="preserve">. </w:t>
      </w:r>
      <w:r w:rsidR="00FF7268" w:rsidRPr="00764F24">
        <w:rPr>
          <w:rFonts w:cstheme="minorHAnsi"/>
          <w:sz w:val="24"/>
          <w:szCs w:val="24"/>
          <w:lang w:val="en-GB"/>
        </w:rPr>
        <w:t>Active membership of occupational pension schemes by sector</w:t>
      </w:r>
      <w:r w:rsidR="00042F6F" w:rsidRPr="00764F24">
        <w:rPr>
          <w:rFonts w:cstheme="minorHAnsi"/>
          <w:sz w:val="24"/>
          <w:szCs w:val="24"/>
          <w:lang w:val="en-GB"/>
        </w:rPr>
        <w:t xml:space="preserve"> increases dramatically from 2012 to </w:t>
      </w:r>
      <w:r w:rsidR="00FF7268" w:rsidRPr="00764F24">
        <w:rPr>
          <w:rFonts w:cstheme="minorHAnsi"/>
          <w:sz w:val="24"/>
          <w:szCs w:val="24"/>
          <w:lang w:val="en-GB"/>
        </w:rPr>
        <w:t>2018</w:t>
      </w:r>
      <w:r w:rsidR="00042F6F" w:rsidRPr="00764F24">
        <w:rPr>
          <w:rFonts w:cstheme="minorHAnsi"/>
          <w:sz w:val="24"/>
          <w:szCs w:val="24"/>
          <w:lang w:val="en-GB"/>
        </w:rPr>
        <w:t xml:space="preserve"> after long decline</w:t>
      </w:r>
      <w:r w:rsidR="00F62012" w:rsidRPr="00764F24">
        <w:rPr>
          <w:rFonts w:cstheme="minorHAnsi"/>
          <w:sz w:val="24"/>
          <w:szCs w:val="24"/>
          <w:lang w:val="en-GB"/>
        </w:rPr>
        <w:t>.</w:t>
      </w:r>
      <w:r w:rsidR="00FF7268" w:rsidRPr="00764F24">
        <w:rPr>
          <w:rFonts w:cstheme="minorHAnsi"/>
          <w:sz w:val="24"/>
          <w:szCs w:val="24"/>
          <w:lang w:val="en-GB"/>
        </w:rPr>
        <w:t xml:space="preserve"> Source: Office for National Statistics Occupational Pension Schemes Survey</w:t>
      </w:r>
      <w:r w:rsidR="00D13C2B" w:rsidRPr="00764F24">
        <w:rPr>
          <w:rStyle w:val="FootnoteReference"/>
          <w:rFonts w:cstheme="minorHAnsi"/>
          <w:b w:val="0"/>
          <w:sz w:val="24"/>
          <w:szCs w:val="24"/>
          <w:lang w:val="en-GB"/>
        </w:rPr>
        <w:footnoteReference w:id="71"/>
      </w:r>
      <w:r w:rsidR="00FF7268" w:rsidRPr="00764F24">
        <w:rPr>
          <w:rFonts w:cstheme="minorHAnsi"/>
          <w:sz w:val="24"/>
          <w:szCs w:val="24"/>
          <w:lang w:val="en-GB"/>
        </w:rPr>
        <w:t xml:space="preserve"> </w:t>
      </w:r>
    </w:p>
    <w:p w14:paraId="62F0F311" w14:textId="77777777" w:rsidR="007E64E2" w:rsidRPr="00764F24" w:rsidRDefault="005E058A" w:rsidP="00D86B69">
      <w:pPr>
        <w:keepNext/>
        <w:spacing w:beforeAutospacing="1" w:after="100" w:afterAutospacing="1" w:line="360" w:lineRule="auto"/>
        <w:rPr>
          <w:rFonts w:cstheme="minorHAnsi"/>
          <w:b/>
          <w:szCs w:val="24"/>
          <w:lang w:val="en-GB"/>
        </w:rPr>
      </w:pPr>
      <w:r w:rsidRPr="00764F24">
        <w:rPr>
          <w:rFonts w:cstheme="minorHAnsi"/>
          <w:noProof/>
          <w:szCs w:val="24"/>
          <w:lang w:val="en-GB" w:eastAsia="en-GB" w:bidi="ar-SA"/>
        </w:rPr>
        <w:drawing>
          <wp:inline distT="0" distB="0" distL="0" distR="0" wp14:anchorId="1B576DF2" wp14:editId="49EF39BB">
            <wp:extent cx="5565775" cy="3281045"/>
            <wp:effectExtent l="0" t="0" r="15875" b="14605"/>
            <wp:docPr id="38" name="Chart 38" descr="Private sector membership of workplace pensions is growing rapidly; public sector membership remains strong.">
              <a:extLst xmlns:a="http://schemas.openxmlformats.org/drawingml/2006/main">
                <a:ext uri="{FF2B5EF4-FFF2-40B4-BE49-F238E27FC236}">
                  <a16:creationId xmlns:a16="http://schemas.microsoft.com/office/drawing/2014/main" id="{866BEC50-5F1C-4EBF-9343-3AC48936E0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AE60707" w14:textId="50C97CB5" w:rsidR="007E64E2" w:rsidRPr="00764F24" w:rsidRDefault="00B31A9E" w:rsidP="00D86B69">
      <w:pPr>
        <w:spacing w:beforeAutospacing="1" w:after="100" w:afterAutospacing="1" w:line="360" w:lineRule="auto"/>
        <w:rPr>
          <w:rFonts w:cstheme="minorHAnsi"/>
          <w:szCs w:val="24"/>
          <w:lang w:val="en-GB"/>
        </w:rPr>
      </w:pPr>
      <w:r w:rsidRPr="00764F24">
        <w:rPr>
          <w:rFonts w:cstheme="minorHAnsi"/>
          <w:szCs w:val="24"/>
          <w:lang w:val="en-GB"/>
        </w:rPr>
        <w:t xml:space="preserve">The </w:t>
      </w:r>
      <w:r w:rsidR="00D13C2B" w:rsidRPr="00764F24">
        <w:rPr>
          <w:rFonts w:cstheme="minorHAnsi"/>
          <w:szCs w:val="24"/>
          <w:lang w:val="en-GB"/>
        </w:rPr>
        <w:t>newly-introduced workplace pensions from 2012 onwards are almost certainly all defined contribution (DC) schemes – hence the increase in such schemes shown in figure 7.2</w:t>
      </w:r>
      <w:r w:rsidR="00BF7FBA" w:rsidRPr="00764F24">
        <w:rPr>
          <w:rFonts w:cstheme="minorHAnsi"/>
          <w:szCs w:val="24"/>
          <w:lang w:val="en-GB"/>
        </w:rPr>
        <w:t xml:space="preserve">. </w:t>
      </w:r>
      <w:r w:rsidR="00D13C2B" w:rsidRPr="00764F24">
        <w:rPr>
          <w:rFonts w:cstheme="minorHAnsi"/>
          <w:szCs w:val="24"/>
          <w:lang w:val="en-GB"/>
        </w:rPr>
        <w:t>DC schemes are typically much less secure and generous than defined benefit (DB) schemes</w:t>
      </w:r>
      <w:r w:rsidR="00BF7FBA" w:rsidRPr="00764F24">
        <w:rPr>
          <w:rFonts w:cstheme="minorHAnsi"/>
          <w:szCs w:val="24"/>
          <w:lang w:val="en-GB"/>
        </w:rPr>
        <w:t xml:space="preserve">. </w:t>
      </w:r>
      <w:r w:rsidR="00D13C2B" w:rsidRPr="00764F24">
        <w:rPr>
          <w:rFonts w:cstheme="minorHAnsi"/>
          <w:szCs w:val="24"/>
          <w:lang w:val="en-GB"/>
        </w:rPr>
        <w:t>With DC schemes, the contributions paid in by the member and their employer are invested</w:t>
      </w:r>
      <w:r w:rsidR="00AE3BF0" w:rsidRPr="00764F24">
        <w:rPr>
          <w:rFonts w:cstheme="minorHAnsi"/>
          <w:szCs w:val="24"/>
          <w:lang w:val="en-GB"/>
        </w:rPr>
        <w:t>. From age 55 the member can then access the proceeds in one of four ways: to take a lump sum for the full amount of the pot, to purchase a drawdown product and access their money over several years, to purchase an annuity (regular income for life), or to take an uncrystallised pension fund lump sum (UFPLS) for a proportion of their pot and leave the remainder invested</w:t>
      </w:r>
      <w:r w:rsidR="00BF7FBA" w:rsidRPr="00764F24">
        <w:rPr>
          <w:rFonts w:cstheme="minorHAnsi"/>
          <w:szCs w:val="24"/>
          <w:lang w:val="en-GB"/>
        </w:rPr>
        <w:t xml:space="preserve">. </w:t>
      </w:r>
      <w:r w:rsidR="00D13C2B" w:rsidRPr="00764F24">
        <w:rPr>
          <w:rFonts w:cstheme="minorHAnsi"/>
          <w:szCs w:val="24"/>
          <w:lang w:val="en-GB"/>
        </w:rPr>
        <w:t>The amount that will be available is very uncertain compared to DB schemes where the employer is obliged to pay a set amount (e</w:t>
      </w:r>
      <w:r w:rsidR="00122693" w:rsidRPr="00764F24">
        <w:rPr>
          <w:rFonts w:cstheme="minorHAnsi"/>
          <w:szCs w:val="24"/>
          <w:lang w:val="en-GB"/>
        </w:rPr>
        <w:t>.</w:t>
      </w:r>
      <w:r w:rsidR="00D13C2B" w:rsidRPr="00764F24">
        <w:rPr>
          <w:rFonts w:cstheme="minorHAnsi"/>
          <w:szCs w:val="24"/>
          <w:lang w:val="en-GB"/>
        </w:rPr>
        <w:t>g</w:t>
      </w:r>
      <w:r w:rsidR="00122693" w:rsidRPr="00764F24">
        <w:rPr>
          <w:rFonts w:cstheme="minorHAnsi"/>
          <w:szCs w:val="24"/>
          <w:lang w:val="en-GB"/>
        </w:rPr>
        <w:t>.</w:t>
      </w:r>
      <w:r w:rsidR="00D13C2B" w:rsidRPr="00764F24">
        <w:rPr>
          <w:rFonts w:cstheme="minorHAnsi"/>
          <w:szCs w:val="24"/>
          <w:lang w:val="en-GB"/>
        </w:rPr>
        <w:t xml:space="preserve"> half the final salary or career average if someone contributes for 40 years)</w:t>
      </w:r>
      <w:r w:rsidR="00BF7FBA" w:rsidRPr="00764F24">
        <w:rPr>
          <w:rFonts w:cstheme="minorHAnsi"/>
          <w:szCs w:val="24"/>
          <w:lang w:val="en-GB"/>
        </w:rPr>
        <w:t xml:space="preserve">. </w:t>
      </w:r>
    </w:p>
    <w:p w14:paraId="556D4983" w14:textId="50A9BDDF" w:rsidR="00B31A9E" w:rsidRPr="00764F24" w:rsidRDefault="00B31A9E"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 xml:space="preserve">Figure </w:t>
      </w:r>
      <w:r w:rsidR="00FF7268" w:rsidRPr="00764F24">
        <w:rPr>
          <w:rFonts w:cstheme="minorHAnsi"/>
          <w:sz w:val="24"/>
          <w:szCs w:val="24"/>
          <w:lang w:val="en-GB"/>
        </w:rPr>
        <w:t>7.</w:t>
      </w:r>
      <w:r w:rsidR="00374C28" w:rsidRPr="00764F24">
        <w:rPr>
          <w:rFonts w:cstheme="minorHAnsi"/>
          <w:sz w:val="24"/>
          <w:szCs w:val="24"/>
          <w:lang w:val="en-GB"/>
        </w:rPr>
        <w:t>2</w:t>
      </w:r>
      <w:r w:rsidR="00F62012" w:rsidRPr="00764F24">
        <w:rPr>
          <w:rFonts w:cstheme="minorHAnsi"/>
          <w:sz w:val="24"/>
          <w:szCs w:val="24"/>
          <w:lang w:val="en-GB"/>
        </w:rPr>
        <w:t xml:space="preserve">. </w:t>
      </w:r>
      <w:r w:rsidRPr="00764F24">
        <w:rPr>
          <w:rFonts w:cstheme="minorHAnsi"/>
          <w:sz w:val="24"/>
          <w:szCs w:val="24"/>
          <w:lang w:val="en-GB"/>
        </w:rPr>
        <w:t xml:space="preserve">Active membership of </w:t>
      </w:r>
      <w:r w:rsidR="00042F6F" w:rsidRPr="00764F24">
        <w:rPr>
          <w:rFonts w:cstheme="minorHAnsi"/>
          <w:sz w:val="24"/>
          <w:szCs w:val="24"/>
          <w:lang w:val="en-GB"/>
        </w:rPr>
        <w:t xml:space="preserve">defined contribution </w:t>
      </w:r>
      <w:r w:rsidRPr="00764F24">
        <w:rPr>
          <w:rFonts w:cstheme="minorHAnsi"/>
          <w:sz w:val="24"/>
          <w:szCs w:val="24"/>
          <w:lang w:val="en-GB"/>
        </w:rPr>
        <w:t>occupational pension</w:t>
      </w:r>
      <w:r w:rsidR="00042F6F" w:rsidRPr="00764F24">
        <w:rPr>
          <w:rFonts w:cstheme="minorHAnsi"/>
          <w:sz w:val="24"/>
          <w:szCs w:val="24"/>
          <w:lang w:val="en-GB"/>
        </w:rPr>
        <w:t xml:space="preserve">s now exceeds the numbers for defined benefit </w:t>
      </w:r>
      <w:r w:rsidRPr="00764F24">
        <w:rPr>
          <w:rFonts w:cstheme="minorHAnsi"/>
          <w:sz w:val="24"/>
          <w:szCs w:val="24"/>
          <w:lang w:val="en-GB"/>
        </w:rPr>
        <w:t>schemes (</w:t>
      </w:r>
      <w:r w:rsidR="00FF7268" w:rsidRPr="00764F24">
        <w:rPr>
          <w:rFonts w:cstheme="minorHAnsi"/>
          <w:sz w:val="24"/>
          <w:szCs w:val="24"/>
          <w:lang w:val="en-GB"/>
        </w:rPr>
        <w:t>percentage of employees with workplace pension</w:t>
      </w:r>
      <w:r w:rsidRPr="00764F24">
        <w:rPr>
          <w:rFonts w:cstheme="minorHAnsi"/>
          <w:sz w:val="24"/>
          <w:szCs w:val="24"/>
          <w:lang w:val="en-GB"/>
        </w:rPr>
        <w:t>)</w:t>
      </w:r>
      <w:r w:rsidR="00F62012" w:rsidRPr="00764F24">
        <w:rPr>
          <w:rFonts w:cstheme="minorHAnsi"/>
          <w:sz w:val="24"/>
          <w:szCs w:val="24"/>
          <w:lang w:val="en-GB"/>
        </w:rPr>
        <w:t>.</w:t>
      </w:r>
      <w:r w:rsidRPr="00764F24">
        <w:rPr>
          <w:rFonts w:cstheme="minorHAnsi"/>
          <w:sz w:val="24"/>
          <w:szCs w:val="24"/>
          <w:lang w:val="en-GB"/>
        </w:rPr>
        <w:t xml:space="preserve"> Source: Office for National Statistics Occupational Pension Schemes Survey</w:t>
      </w:r>
    </w:p>
    <w:p w14:paraId="29073A4D" w14:textId="77777777" w:rsidR="007E64E2" w:rsidRPr="00764F24" w:rsidRDefault="00FF7268" w:rsidP="00D86B69">
      <w:pPr>
        <w:keepNext/>
        <w:spacing w:beforeAutospacing="1" w:after="100" w:afterAutospacing="1" w:line="360" w:lineRule="auto"/>
        <w:rPr>
          <w:rFonts w:cstheme="minorHAnsi"/>
          <w:b/>
          <w:szCs w:val="24"/>
          <w:lang w:val="en-GB"/>
        </w:rPr>
      </w:pPr>
      <w:r w:rsidRPr="00764F24">
        <w:rPr>
          <w:rFonts w:cstheme="minorHAnsi"/>
          <w:noProof/>
          <w:szCs w:val="24"/>
          <w:lang w:val="en-GB" w:eastAsia="en-GB" w:bidi="ar-SA"/>
        </w:rPr>
        <w:drawing>
          <wp:inline distT="0" distB="0" distL="0" distR="0" wp14:anchorId="06CA3941" wp14:editId="1F634912">
            <wp:extent cx="4876800" cy="2695575"/>
            <wp:effectExtent l="0" t="0" r="0" b="9525"/>
            <wp:docPr id="41" name="Chart 41" descr="Defined benefit pensions continue to decline, as defined contribution pensions continue to increase.">
              <a:extLst xmlns:a="http://schemas.openxmlformats.org/drawingml/2006/main">
                <a:ext uri="{FF2B5EF4-FFF2-40B4-BE49-F238E27FC236}">
                  <a16:creationId xmlns:a16="http://schemas.microsoft.com/office/drawing/2014/main" id="{886CDD05-6562-4452-9F51-7D63AB0A9A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418DFA8" w14:textId="0BA10226" w:rsidR="007E64E2" w:rsidRPr="00764F24" w:rsidRDefault="00301B04" w:rsidP="00D86B69">
      <w:pPr>
        <w:spacing w:beforeAutospacing="1" w:after="100" w:afterAutospacing="1" w:line="360" w:lineRule="auto"/>
        <w:rPr>
          <w:rFonts w:cstheme="minorHAnsi"/>
          <w:szCs w:val="24"/>
          <w:lang w:val="en-GB"/>
        </w:rPr>
      </w:pPr>
      <w:r w:rsidRPr="00764F24">
        <w:rPr>
          <w:rFonts w:cstheme="minorHAnsi"/>
          <w:szCs w:val="24"/>
          <w:lang w:val="en-GB"/>
        </w:rPr>
        <w:t>While the numbers with an active pension look promising in relation to financial inclusion, there are a couple of important points to bear in mind</w:t>
      </w:r>
      <w:r w:rsidR="00BF7FBA" w:rsidRPr="00764F24">
        <w:rPr>
          <w:rFonts w:cstheme="minorHAnsi"/>
          <w:szCs w:val="24"/>
          <w:lang w:val="en-GB"/>
        </w:rPr>
        <w:t xml:space="preserve">. </w:t>
      </w:r>
      <w:r w:rsidRPr="00764F24">
        <w:rPr>
          <w:rFonts w:cstheme="minorHAnsi"/>
          <w:szCs w:val="24"/>
          <w:lang w:val="en-GB"/>
        </w:rPr>
        <w:t>First of all, figures from NEST (who are a key provider of workplace pensions</w:t>
      </w:r>
      <w:r w:rsidR="00931F03" w:rsidRPr="00764F24">
        <w:rPr>
          <w:rFonts w:cstheme="minorHAnsi"/>
          <w:szCs w:val="24"/>
          <w:lang w:val="en-GB"/>
        </w:rPr>
        <w:t xml:space="preserve">, </w:t>
      </w:r>
      <w:r w:rsidRPr="00764F24">
        <w:rPr>
          <w:rFonts w:cstheme="minorHAnsi"/>
          <w:szCs w:val="24"/>
          <w:lang w:val="en-GB"/>
        </w:rPr>
        <w:t>show that, as at March 2017, only 60</w:t>
      </w:r>
      <w:r w:rsidR="00125F43" w:rsidRPr="00764F24">
        <w:rPr>
          <w:rFonts w:eastAsiaTheme="majorEastAsia" w:cstheme="minorHAnsi"/>
          <w:bCs/>
          <w:kern w:val="32"/>
          <w:szCs w:val="24"/>
          <w:lang w:val="en-GB"/>
        </w:rPr>
        <w:t xml:space="preserve"> per cent</w:t>
      </w:r>
      <w:r w:rsidRPr="00764F24">
        <w:rPr>
          <w:rFonts w:cstheme="minorHAnsi"/>
          <w:szCs w:val="24"/>
          <w:lang w:val="en-GB"/>
        </w:rPr>
        <w:t xml:space="preserve"> of their workplace pension members were truly ‘active’</w:t>
      </w:r>
      <w:r w:rsidRPr="00764F24">
        <w:rPr>
          <w:rStyle w:val="FootnoteReference"/>
          <w:rFonts w:cstheme="minorHAnsi"/>
          <w:szCs w:val="24"/>
          <w:lang w:val="en-GB"/>
        </w:rPr>
        <w:footnoteReference w:id="72"/>
      </w:r>
      <w:r w:rsidR="00BF7FBA" w:rsidRPr="00764F24">
        <w:rPr>
          <w:rFonts w:cstheme="minorHAnsi"/>
          <w:szCs w:val="24"/>
          <w:lang w:val="en-GB"/>
        </w:rPr>
        <w:t xml:space="preserve">. </w:t>
      </w:r>
      <w:r w:rsidRPr="00764F24">
        <w:rPr>
          <w:rFonts w:cstheme="minorHAnsi"/>
          <w:szCs w:val="24"/>
          <w:lang w:val="en-GB"/>
        </w:rPr>
        <w:t xml:space="preserve">And even among those who </w:t>
      </w:r>
      <w:r w:rsidR="002B5906">
        <w:rPr>
          <w:rFonts w:cstheme="minorHAnsi"/>
          <w:szCs w:val="24"/>
          <w:lang w:val="en-GB"/>
        </w:rPr>
        <w:t>we</w:t>
      </w:r>
      <w:r w:rsidRPr="00764F24">
        <w:rPr>
          <w:rFonts w:cstheme="minorHAnsi"/>
          <w:szCs w:val="24"/>
          <w:lang w:val="en-GB"/>
        </w:rPr>
        <w:t>re actively contributing, the amounts paid into these pensions may also be insufficient</w:t>
      </w:r>
      <w:r w:rsidR="00931F03" w:rsidRPr="00764F24">
        <w:rPr>
          <w:rFonts w:cstheme="minorHAnsi"/>
          <w:szCs w:val="24"/>
          <w:lang w:val="en-GB"/>
        </w:rPr>
        <w:t xml:space="preserve"> (at around five per cent of earnings, in recent data)</w:t>
      </w:r>
      <w:r w:rsidRPr="00764F24">
        <w:rPr>
          <w:rFonts w:cstheme="minorHAnsi"/>
          <w:szCs w:val="24"/>
          <w:lang w:val="en-GB"/>
        </w:rPr>
        <w:t xml:space="preserve"> to provide a decent standard of living in later life</w:t>
      </w:r>
      <w:r w:rsidR="00BF7FBA" w:rsidRPr="00764F24">
        <w:rPr>
          <w:rFonts w:cstheme="minorHAnsi"/>
          <w:szCs w:val="24"/>
          <w:lang w:val="en-GB"/>
        </w:rPr>
        <w:t xml:space="preserve">. </w:t>
      </w:r>
      <w:r w:rsidRPr="00764F24">
        <w:rPr>
          <w:rFonts w:cstheme="minorHAnsi"/>
          <w:szCs w:val="24"/>
          <w:lang w:val="en-GB"/>
        </w:rPr>
        <w:t>Employers also seem to be paying much less into DC schemes compared with DB scheme</w:t>
      </w:r>
      <w:r w:rsidR="00C82ABC" w:rsidRPr="00764F24">
        <w:rPr>
          <w:rFonts w:cstheme="minorHAnsi"/>
          <w:szCs w:val="24"/>
          <w:lang w:val="en-GB"/>
        </w:rPr>
        <w:t>s</w:t>
      </w:r>
      <w:r w:rsidRPr="00764F24">
        <w:rPr>
          <w:rFonts w:cstheme="minorHAnsi"/>
          <w:szCs w:val="24"/>
          <w:lang w:val="en-GB"/>
        </w:rPr>
        <w:t xml:space="preserve"> (see figure 7.3)</w:t>
      </w:r>
      <w:r w:rsidR="00BF7FBA" w:rsidRPr="00764F24">
        <w:rPr>
          <w:rFonts w:cstheme="minorHAnsi"/>
          <w:szCs w:val="24"/>
          <w:lang w:val="en-GB"/>
        </w:rPr>
        <w:t xml:space="preserve">. </w:t>
      </w:r>
      <w:r w:rsidRPr="00764F24">
        <w:rPr>
          <w:rFonts w:cstheme="minorHAnsi"/>
          <w:szCs w:val="24"/>
          <w:lang w:val="en-GB"/>
        </w:rPr>
        <w:t>The difference between the contributions of employers to the different schemes also reflects differences in the public/private sector split with DB schemes much more likely to be within the public sector where employers are more generous.</w:t>
      </w:r>
    </w:p>
    <w:p w14:paraId="26131BFF" w14:textId="155474FE" w:rsidR="00FF7268" w:rsidRPr="00764F24" w:rsidRDefault="00FF7268"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7</w:t>
      </w:r>
      <w:r w:rsidR="00D13C2B" w:rsidRPr="00764F24">
        <w:rPr>
          <w:rFonts w:cstheme="minorHAnsi"/>
          <w:sz w:val="24"/>
          <w:szCs w:val="24"/>
          <w:lang w:val="en-GB"/>
        </w:rPr>
        <w:t>.3</w:t>
      </w:r>
      <w:r w:rsidR="00F62012" w:rsidRPr="00764F24">
        <w:rPr>
          <w:rFonts w:cstheme="minorHAnsi"/>
          <w:sz w:val="24"/>
          <w:szCs w:val="24"/>
          <w:lang w:val="en-GB"/>
        </w:rPr>
        <w:t xml:space="preserve">. </w:t>
      </w:r>
      <w:r w:rsidRPr="00764F24">
        <w:rPr>
          <w:rFonts w:cstheme="minorHAnsi"/>
          <w:sz w:val="24"/>
          <w:szCs w:val="24"/>
          <w:lang w:val="en-GB"/>
        </w:rPr>
        <w:t xml:space="preserve">Member and employer average contribution rates in defined contribution schemes </w:t>
      </w:r>
      <w:r w:rsidR="00042F6F" w:rsidRPr="00764F24">
        <w:rPr>
          <w:rFonts w:cstheme="minorHAnsi"/>
          <w:sz w:val="24"/>
          <w:szCs w:val="24"/>
          <w:lang w:val="en-GB"/>
        </w:rPr>
        <w:t xml:space="preserve">now </w:t>
      </w:r>
      <w:r w:rsidRPr="00764F24">
        <w:rPr>
          <w:rFonts w:cstheme="minorHAnsi"/>
          <w:sz w:val="24"/>
          <w:szCs w:val="24"/>
          <w:lang w:val="en-GB"/>
        </w:rPr>
        <w:t>lower than those in defined benefit schemes</w:t>
      </w:r>
    </w:p>
    <w:p w14:paraId="7306966E" w14:textId="77777777" w:rsidR="007E64E2" w:rsidRPr="00764F24" w:rsidRDefault="00FF7268" w:rsidP="00D86B69">
      <w:pPr>
        <w:keepNext/>
        <w:spacing w:beforeAutospacing="1" w:after="100" w:afterAutospacing="1" w:line="360" w:lineRule="auto"/>
        <w:rPr>
          <w:rFonts w:cstheme="minorHAnsi"/>
          <w:b/>
          <w:szCs w:val="24"/>
          <w:lang w:val="en-GB"/>
        </w:rPr>
      </w:pPr>
      <w:r w:rsidRPr="00764F24">
        <w:rPr>
          <w:rFonts w:cstheme="minorHAnsi"/>
          <w:noProof/>
          <w:szCs w:val="24"/>
          <w:lang w:val="en-GB" w:eastAsia="en-GB" w:bidi="ar-SA"/>
        </w:rPr>
        <w:drawing>
          <wp:inline distT="0" distB="0" distL="0" distR="0" wp14:anchorId="032ACD3A" wp14:editId="0F6DEE02">
            <wp:extent cx="5372099" cy="2720975"/>
            <wp:effectExtent l="0" t="0" r="635" b="3175"/>
            <wp:docPr id="44" name="Chart 44" descr="Contributions to defined benefit pensions are much higher than for defined contribution pensions, and particularly from employers.">
              <a:extLst xmlns:a="http://schemas.openxmlformats.org/drawingml/2006/main">
                <a:ext uri="{FF2B5EF4-FFF2-40B4-BE49-F238E27FC236}">
                  <a16:creationId xmlns:a16="http://schemas.microsoft.com/office/drawing/2014/main" id="{0B87EC9F-902C-4C4D-8611-730838C03B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CF0A8D3" w14:textId="77777777" w:rsidR="00053374" w:rsidRPr="00764F24" w:rsidRDefault="00053374" w:rsidP="00D86B69">
      <w:pPr>
        <w:spacing w:beforeAutospacing="1" w:after="100" w:afterAutospacing="1" w:line="360" w:lineRule="auto"/>
        <w:rPr>
          <w:rFonts w:eastAsiaTheme="majorEastAsia" w:cstheme="minorHAnsi"/>
          <w:b/>
          <w:bCs/>
          <w:i/>
          <w:iCs/>
          <w:color w:val="0070C0"/>
          <w:szCs w:val="24"/>
          <w:lang w:val="en-GB"/>
        </w:rPr>
      </w:pPr>
      <w:r w:rsidRPr="00764F24">
        <w:rPr>
          <w:rFonts w:cstheme="minorHAnsi"/>
          <w:szCs w:val="24"/>
          <w:lang w:val="en-GB"/>
        </w:rPr>
        <w:br w:type="page"/>
      </w:r>
    </w:p>
    <w:p w14:paraId="623806D7" w14:textId="57897626" w:rsidR="00F163F0" w:rsidRPr="00764F24" w:rsidRDefault="00F163F0" w:rsidP="00D86B69">
      <w:pPr>
        <w:pStyle w:val="Heading2"/>
        <w:numPr>
          <w:ilvl w:val="0"/>
          <w:numId w:val="10"/>
        </w:numPr>
        <w:spacing w:beforeAutospacing="1" w:after="100" w:afterAutospacing="1" w:line="360" w:lineRule="auto"/>
        <w:rPr>
          <w:rFonts w:cstheme="minorHAnsi"/>
          <w:szCs w:val="24"/>
          <w:lang w:val="en-GB"/>
        </w:rPr>
      </w:pPr>
      <w:bookmarkStart w:id="45" w:name="_Toc51250065"/>
      <w:bookmarkStart w:id="46" w:name="_Toc54600807"/>
      <w:r w:rsidRPr="00764F24">
        <w:rPr>
          <w:rFonts w:cstheme="minorHAnsi"/>
          <w:szCs w:val="24"/>
          <w:lang w:val="en-GB"/>
        </w:rPr>
        <w:lastRenderedPageBreak/>
        <w:t>Borrowing</w:t>
      </w:r>
      <w:bookmarkEnd w:id="45"/>
      <w:bookmarkEnd w:id="46"/>
    </w:p>
    <w:p w14:paraId="4F86854B" w14:textId="77777777" w:rsidR="00053374" w:rsidRPr="00764F24" w:rsidRDefault="00053374" w:rsidP="00D86B69">
      <w:pPr>
        <w:spacing w:beforeAutospacing="1" w:after="100" w:afterAutospacing="1" w:line="360" w:lineRule="auto"/>
        <w:rPr>
          <w:rFonts w:cstheme="minorHAnsi"/>
          <w:szCs w:val="24"/>
          <w:lang w:val="en-GB"/>
        </w:rPr>
      </w:pPr>
    </w:p>
    <w:p w14:paraId="23AA6DAC" w14:textId="08177027" w:rsidR="007E64E2" w:rsidRPr="00764F24" w:rsidRDefault="00EF29CE" w:rsidP="00D86B69">
      <w:pPr>
        <w:spacing w:beforeAutospacing="1" w:after="100" w:afterAutospacing="1" w:line="360" w:lineRule="auto"/>
        <w:rPr>
          <w:rFonts w:cstheme="minorHAnsi"/>
          <w:szCs w:val="24"/>
          <w:lang w:val="en-GB"/>
        </w:rPr>
      </w:pPr>
      <w:r w:rsidRPr="00764F24">
        <w:rPr>
          <w:rFonts w:cstheme="minorHAnsi"/>
          <w:szCs w:val="24"/>
          <w:lang w:val="en-GB"/>
        </w:rPr>
        <w:t>As we have stressed in previous reports, s</w:t>
      </w:r>
      <w:r w:rsidR="00C31C15" w:rsidRPr="00764F24">
        <w:rPr>
          <w:rFonts w:cstheme="minorHAnsi"/>
          <w:szCs w:val="24"/>
          <w:lang w:val="en-GB"/>
        </w:rPr>
        <w:t>ome forms of borrowing</w:t>
      </w:r>
      <w:r w:rsidR="00AF1048" w:rsidRPr="00764F24">
        <w:rPr>
          <w:rFonts w:cstheme="minorHAnsi"/>
          <w:szCs w:val="24"/>
          <w:lang w:val="en-GB"/>
        </w:rPr>
        <w:t>/</w:t>
      </w:r>
      <w:r w:rsidR="00C31C15" w:rsidRPr="00764F24">
        <w:rPr>
          <w:rFonts w:cstheme="minorHAnsi"/>
          <w:szCs w:val="24"/>
          <w:lang w:val="en-GB"/>
        </w:rPr>
        <w:t>debt may be very positive</w:t>
      </w:r>
      <w:r w:rsidR="009C38F4">
        <w:rPr>
          <w:rFonts w:cstheme="minorHAnsi"/>
          <w:szCs w:val="24"/>
          <w:lang w:val="en-GB"/>
        </w:rPr>
        <w:t xml:space="preserve"> in some circumstances</w:t>
      </w:r>
      <w:r w:rsidR="00A66EEF" w:rsidRPr="00764F24">
        <w:rPr>
          <w:rFonts w:cstheme="minorHAnsi"/>
          <w:szCs w:val="24"/>
          <w:lang w:val="en-GB"/>
        </w:rPr>
        <w:t>, for example,</w:t>
      </w:r>
      <w:r w:rsidR="00C31C15" w:rsidRPr="00764F24">
        <w:rPr>
          <w:rFonts w:cstheme="minorHAnsi"/>
          <w:szCs w:val="24"/>
          <w:lang w:val="en-GB"/>
        </w:rPr>
        <w:t xml:space="preserve"> in enabling people to buy a home or invest in education</w:t>
      </w:r>
      <w:r w:rsidR="00BF7FBA" w:rsidRPr="00764F24">
        <w:rPr>
          <w:rFonts w:cstheme="minorHAnsi"/>
          <w:szCs w:val="24"/>
          <w:lang w:val="en-GB"/>
        </w:rPr>
        <w:t xml:space="preserve">. </w:t>
      </w:r>
      <w:r w:rsidR="00C31C15" w:rsidRPr="00764F24">
        <w:rPr>
          <w:rFonts w:cstheme="minorHAnsi"/>
          <w:szCs w:val="24"/>
          <w:lang w:val="en-GB"/>
        </w:rPr>
        <w:t>Borrowing can also help people to smooth income and expenditure and meet one-off expenses where they do not have savings</w:t>
      </w:r>
      <w:r w:rsidR="008237D2" w:rsidRPr="00764F24">
        <w:rPr>
          <w:rFonts w:cstheme="minorHAnsi"/>
          <w:szCs w:val="24"/>
          <w:lang w:val="en-GB"/>
        </w:rPr>
        <w:t xml:space="preserve"> (see above)</w:t>
      </w:r>
      <w:r w:rsidR="00BF7FBA" w:rsidRPr="00764F24">
        <w:rPr>
          <w:rFonts w:cstheme="minorHAnsi"/>
          <w:szCs w:val="24"/>
          <w:lang w:val="en-GB"/>
        </w:rPr>
        <w:t xml:space="preserve">. </w:t>
      </w:r>
      <w:r w:rsidR="00C31C15" w:rsidRPr="00764F24">
        <w:rPr>
          <w:rFonts w:cstheme="minorHAnsi"/>
          <w:szCs w:val="24"/>
          <w:lang w:val="en-GB"/>
        </w:rPr>
        <w:t>However, those on the lowest incomes are often charged the highest rates for borrowing and may also be borrowing to pay for essentials due to low income</w:t>
      </w:r>
      <w:r w:rsidR="00BF7FBA" w:rsidRPr="00764F24">
        <w:rPr>
          <w:rFonts w:cstheme="minorHAnsi"/>
          <w:szCs w:val="24"/>
          <w:lang w:val="en-GB"/>
        </w:rPr>
        <w:t xml:space="preserve">. </w:t>
      </w:r>
      <w:r w:rsidR="00C31C15" w:rsidRPr="00764F24">
        <w:rPr>
          <w:rFonts w:cstheme="minorHAnsi"/>
          <w:szCs w:val="24"/>
          <w:lang w:val="en-GB"/>
        </w:rPr>
        <w:t xml:space="preserve">This section </w:t>
      </w:r>
      <w:r w:rsidR="008237D2" w:rsidRPr="00764F24">
        <w:rPr>
          <w:rFonts w:cstheme="minorHAnsi"/>
          <w:szCs w:val="24"/>
          <w:lang w:val="en-GB"/>
        </w:rPr>
        <w:t>highlights key</w:t>
      </w:r>
      <w:r w:rsidR="004D6CC5" w:rsidRPr="00764F24">
        <w:rPr>
          <w:rFonts w:cstheme="minorHAnsi"/>
          <w:szCs w:val="24"/>
          <w:lang w:val="en-GB"/>
        </w:rPr>
        <w:t xml:space="preserve"> data on borrowing</w:t>
      </w:r>
      <w:r w:rsidR="00BF7FBA" w:rsidRPr="00764F24">
        <w:rPr>
          <w:rFonts w:cstheme="minorHAnsi"/>
          <w:szCs w:val="24"/>
          <w:lang w:val="en-GB"/>
        </w:rPr>
        <w:t xml:space="preserve">. </w:t>
      </w:r>
    </w:p>
    <w:p w14:paraId="564483B3" w14:textId="1D469CBA" w:rsidR="007E64E2" w:rsidRPr="00764F24" w:rsidRDefault="008237D2" w:rsidP="00D86B69">
      <w:pPr>
        <w:spacing w:beforeAutospacing="1" w:after="100" w:afterAutospacing="1" w:line="360" w:lineRule="auto"/>
        <w:rPr>
          <w:rFonts w:cstheme="minorHAnsi"/>
          <w:szCs w:val="24"/>
          <w:lang w:val="en-GB"/>
        </w:rPr>
      </w:pPr>
      <w:r w:rsidRPr="00764F24">
        <w:rPr>
          <w:rFonts w:cstheme="minorHAnsi"/>
          <w:szCs w:val="24"/>
          <w:lang w:val="en-GB"/>
        </w:rPr>
        <w:t>Before doing so, however, it is</w:t>
      </w:r>
      <w:r w:rsidR="00EF29CE" w:rsidRPr="00764F24">
        <w:rPr>
          <w:rFonts w:cstheme="minorHAnsi"/>
          <w:szCs w:val="24"/>
          <w:lang w:val="en-GB"/>
        </w:rPr>
        <w:t xml:space="preserve"> again</w:t>
      </w:r>
      <w:r w:rsidRPr="00764F24">
        <w:rPr>
          <w:rFonts w:cstheme="minorHAnsi"/>
          <w:szCs w:val="24"/>
          <w:lang w:val="en-GB"/>
        </w:rPr>
        <w:t xml:space="preserve"> important to note that different terms and definitions </w:t>
      </w:r>
      <w:r w:rsidR="00E60283" w:rsidRPr="00764F24">
        <w:rPr>
          <w:rFonts w:cstheme="minorHAnsi"/>
          <w:szCs w:val="24"/>
          <w:lang w:val="en-GB"/>
        </w:rPr>
        <w:t xml:space="preserve">are </w:t>
      </w:r>
      <w:r w:rsidRPr="00764F24">
        <w:rPr>
          <w:rFonts w:cstheme="minorHAnsi"/>
          <w:szCs w:val="24"/>
          <w:lang w:val="en-GB"/>
        </w:rPr>
        <w:t>used here</w:t>
      </w:r>
      <w:r w:rsidR="00BF7FBA" w:rsidRPr="00764F24">
        <w:rPr>
          <w:rFonts w:cstheme="minorHAnsi"/>
          <w:szCs w:val="24"/>
          <w:lang w:val="en-GB"/>
        </w:rPr>
        <w:t xml:space="preserve">. </w:t>
      </w:r>
      <w:r w:rsidRPr="00764F24">
        <w:rPr>
          <w:rFonts w:cstheme="minorHAnsi"/>
          <w:szCs w:val="24"/>
          <w:lang w:val="en-GB"/>
        </w:rPr>
        <w:t xml:space="preserve">Some data sources refer to all ‘borrowing’ as ‘debt’ while others refer to </w:t>
      </w:r>
      <w:r w:rsidR="007133DA" w:rsidRPr="00764F24">
        <w:rPr>
          <w:rFonts w:cstheme="minorHAnsi"/>
          <w:szCs w:val="24"/>
          <w:lang w:val="en-GB"/>
        </w:rPr>
        <w:t>‘</w:t>
      </w:r>
      <w:r w:rsidRPr="00764F24">
        <w:rPr>
          <w:rFonts w:cstheme="minorHAnsi"/>
          <w:szCs w:val="24"/>
          <w:lang w:val="en-GB"/>
        </w:rPr>
        <w:t>credit</w:t>
      </w:r>
      <w:r w:rsidR="007133DA" w:rsidRPr="00764F24">
        <w:rPr>
          <w:rFonts w:cstheme="minorHAnsi"/>
          <w:szCs w:val="24"/>
          <w:lang w:val="en-GB"/>
        </w:rPr>
        <w:t>’</w:t>
      </w:r>
      <w:r w:rsidRPr="00764F24">
        <w:rPr>
          <w:rFonts w:cstheme="minorHAnsi"/>
          <w:szCs w:val="24"/>
          <w:lang w:val="en-GB"/>
        </w:rPr>
        <w:t xml:space="preserve"> and still others to ‘indebtedness’</w:t>
      </w:r>
      <w:r w:rsidR="00BF7FBA" w:rsidRPr="00764F24">
        <w:rPr>
          <w:rFonts w:cstheme="minorHAnsi"/>
          <w:szCs w:val="24"/>
          <w:lang w:val="en-GB"/>
        </w:rPr>
        <w:t xml:space="preserve">. </w:t>
      </w:r>
      <w:r w:rsidRPr="00764F24">
        <w:rPr>
          <w:rFonts w:cstheme="minorHAnsi"/>
          <w:szCs w:val="24"/>
          <w:lang w:val="en-GB"/>
        </w:rPr>
        <w:t xml:space="preserve">Furthermore, how different activities are </w:t>
      </w:r>
      <w:r w:rsidR="005A45DD" w:rsidRPr="00764F24">
        <w:rPr>
          <w:rFonts w:cstheme="minorHAnsi"/>
          <w:szCs w:val="24"/>
          <w:lang w:val="en-GB"/>
        </w:rPr>
        <w:t>labelled</w:t>
      </w:r>
      <w:r w:rsidRPr="00764F24">
        <w:rPr>
          <w:rFonts w:cstheme="minorHAnsi"/>
          <w:szCs w:val="24"/>
          <w:lang w:val="en-GB"/>
        </w:rPr>
        <w:t xml:space="preserve"> is open to question</w:t>
      </w:r>
      <w:r w:rsidR="00BF7FBA" w:rsidRPr="00764F24">
        <w:rPr>
          <w:rFonts w:cstheme="minorHAnsi"/>
          <w:szCs w:val="24"/>
          <w:lang w:val="en-GB"/>
        </w:rPr>
        <w:t xml:space="preserve">. </w:t>
      </w:r>
      <w:r w:rsidRPr="00764F24">
        <w:rPr>
          <w:rFonts w:cstheme="minorHAnsi"/>
          <w:szCs w:val="24"/>
          <w:lang w:val="en-GB"/>
        </w:rPr>
        <w:t>For example, someone may have a credit card but never use it or just use it as a payment mechanism, clearing the full balance every month</w:t>
      </w:r>
      <w:r w:rsidR="00BF7FBA" w:rsidRPr="00764F24">
        <w:rPr>
          <w:rFonts w:cstheme="minorHAnsi"/>
          <w:szCs w:val="24"/>
          <w:lang w:val="en-GB"/>
        </w:rPr>
        <w:t xml:space="preserve">. </w:t>
      </w:r>
      <w:r w:rsidRPr="00764F24">
        <w:rPr>
          <w:rFonts w:cstheme="minorHAnsi"/>
          <w:szCs w:val="24"/>
          <w:lang w:val="en-GB"/>
        </w:rPr>
        <w:t>Should this count as ‘borrowing’ or not?</w:t>
      </w:r>
      <w:r w:rsidR="008D2686" w:rsidRPr="00764F24">
        <w:rPr>
          <w:rFonts w:cstheme="minorHAnsi"/>
          <w:szCs w:val="24"/>
          <w:lang w:val="en-GB"/>
        </w:rPr>
        <w:t xml:space="preserve"> </w:t>
      </w:r>
      <w:r w:rsidRPr="00764F24">
        <w:rPr>
          <w:rFonts w:cstheme="minorHAnsi"/>
          <w:szCs w:val="24"/>
          <w:lang w:val="en-GB"/>
        </w:rPr>
        <w:t>And there are also different datasets which ask questions of different samples in different ways leading to different answers</w:t>
      </w:r>
      <w:r w:rsidR="00BF7FBA" w:rsidRPr="00764F24">
        <w:rPr>
          <w:rFonts w:cstheme="minorHAnsi"/>
          <w:szCs w:val="24"/>
          <w:lang w:val="en-GB"/>
        </w:rPr>
        <w:t xml:space="preserve">. </w:t>
      </w:r>
      <w:r w:rsidRPr="00764F24">
        <w:rPr>
          <w:rFonts w:cstheme="minorHAnsi"/>
          <w:szCs w:val="24"/>
          <w:lang w:val="en-GB"/>
        </w:rPr>
        <w:t>It is therefore important to bear all of this in mind when interpreting the data.</w:t>
      </w:r>
    </w:p>
    <w:p w14:paraId="6B257BDC" w14:textId="4E838078" w:rsidR="007E64E2" w:rsidRPr="00764F24" w:rsidRDefault="005610F4" w:rsidP="00D86B69">
      <w:pPr>
        <w:spacing w:beforeAutospacing="1" w:after="100" w:afterAutospacing="1" w:line="360" w:lineRule="auto"/>
        <w:rPr>
          <w:rFonts w:cstheme="minorHAnsi"/>
          <w:szCs w:val="24"/>
          <w:lang w:val="en-GB"/>
        </w:rPr>
      </w:pPr>
      <w:r w:rsidRPr="00764F24">
        <w:rPr>
          <w:rFonts w:cstheme="minorHAnsi"/>
          <w:szCs w:val="24"/>
          <w:lang w:val="en-GB"/>
        </w:rPr>
        <w:t>O</w:t>
      </w:r>
      <w:r w:rsidR="004D6CC5" w:rsidRPr="00764F24">
        <w:rPr>
          <w:rFonts w:cstheme="minorHAnsi"/>
          <w:szCs w:val="24"/>
          <w:lang w:val="en-GB"/>
        </w:rPr>
        <w:t>ur data on borrowing comes from different sources, using different definitions and methods of data collection</w:t>
      </w:r>
      <w:r w:rsidR="00BF7FBA" w:rsidRPr="00764F24">
        <w:rPr>
          <w:rFonts w:cstheme="minorHAnsi"/>
          <w:szCs w:val="24"/>
          <w:lang w:val="en-GB"/>
        </w:rPr>
        <w:t xml:space="preserve">. </w:t>
      </w:r>
      <w:r w:rsidR="004D6CC5" w:rsidRPr="00764F24">
        <w:rPr>
          <w:rFonts w:cstheme="minorHAnsi"/>
          <w:szCs w:val="24"/>
          <w:lang w:val="en-GB"/>
        </w:rPr>
        <w:t>It is therefore difficult to get a consistent picture of trends over time and some of the most useful data sets have not been updated since 2008/9 and so cannot show the impact of the recession</w:t>
      </w:r>
      <w:r w:rsidRPr="00764F24">
        <w:rPr>
          <w:rFonts w:cstheme="minorHAnsi"/>
          <w:szCs w:val="24"/>
          <w:lang w:val="en-GB"/>
        </w:rPr>
        <w:t>/recovery</w:t>
      </w:r>
      <w:r w:rsidR="004D6CC5" w:rsidRPr="00764F24">
        <w:rPr>
          <w:rFonts w:cstheme="minorHAnsi"/>
          <w:szCs w:val="24"/>
          <w:lang w:val="en-GB"/>
        </w:rPr>
        <w:t xml:space="preserve"> on borrowing</w:t>
      </w:r>
      <w:r w:rsidR="00BF7FBA" w:rsidRPr="00764F24">
        <w:rPr>
          <w:rFonts w:cstheme="minorHAnsi"/>
          <w:szCs w:val="24"/>
          <w:lang w:val="en-GB"/>
        </w:rPr>
        <w:t xml:space="preserve">. </w:t>
      </w:r>
      <w:r w:rsidR="004D6CC5" w:rsidRPr="00764F24">
        <w:rPr>
          <w:rFonts w:cstheme="minorHAnsi"/>
          <w:szCs w:val="24"/>
          <w:lang w:val="en-GB"/>
        </w:rPr>
        <w:t>A new national survey of ‘credit and debt’ is urgently needed.</w:t>
      </w:r>
    </w:p>
    <w:p w14:paraId="5BDD4A4F" w14:textId="0182324B" w:rsidR="007E64E2" w:rsidRPr="00764F24" w:rsidRDefault="00480F2C" w:rsidP="00D86B69">
      <w:pPr>
        <w:spacing w:beforeAutospacing="1" w:after="100" w:afterAutospacing="1" w:line="360" w:lineRule="auto"/>
        <w:rPr>
          <w:rFonts w:cstheme="minorHAnsi"/>
          <w:szCs w:val="24"/>
          <w:lang w:val="en-GB"/>
        </w:rPr>
      </w:pPr>
      <w:r w:rsidRPr="00764F24">
        <w:rPr>
          <w:rFonts w:cstheme="minorHAnsi"/>
          <w:szCs w:val="24"/>
          <w:lang w:val="en-GB"/>
        </w:rPr>
        <w:t>The Resolution Foundation</w:t>
      </w:r>
      <w:r w:rsidR="00401341" w:rsidRPr="00764F24">
        <w:rPr>
          <w:rStyle w:val="FootnoteReference"/>
          <w:rFonts w:cstheme="minorHAnsi"/>
          <w:szCs w:val="24"/>
          <w:lang w:val="en-GB"/>
        </w:rPr>
        <w:footnoteReference w:id="73"/>
      </w:r>
      <w:r w:rsidRPr="00764F24">
        <w:rPr>
          <w:rFonts w:cstheme="minorHAnsi"/>
          <w:szCs w:val="24"/>
          <w:lang w:val="en-GB"/>
        </w:rPr>
        <w:t>, drawing on data from the Bank of England, report that the total stock of secured debt (mostly mortgages) rose from £363bn in 1997 to £1.4tn in 2018, while the stock of consumer (mostly unsecured) debt rose from £58bn to £203bn over the same period</w:t>
      </w:r>
      <w:r w:rsidR="00BF7FBA" w:rsidRPr="00764F24">
        <w:rPr>
          <w:rFonts w:cstheme="minorHAnsi"/>
          <w:szCs w:val="24"/>
          <w:lang w:val="en-GB"/>
        </w:rPr>
        <w:t xml:space="preserve">. </w:t>
      </w:r>
      <w:r w:rsidRPr="00764F24">
        <w:rPr>
          <w:rFonts w:cstheme="minorHAnsi"/>
          <w:szCs w:val="24"/>
          <w:lang w:val="en-GB"/>
        </w:rPr>
        <w:t>These figures are striking but they also report</w:t>
      </w:r>
      <w:r w:rsidR="008D2686" w:rsidRPr="00764F24">
        <w:rPr>
          <w:rFonts w:cstheme="minorHAnsi"/>
          <w:szCs w:val="24"/>
          <w:lang w:val="en-GB"/>
        </w:rPr>
        <w:t xml:space="preserve"> </w:t>
      </w:r>
      <w:r w:rsidRPr="00764F24">
        <w:rPr>
          <w:rFonts w:cstheme="minorHAnsi"/>
          <w:szCs w:val="24"/>
          <w:lang w:val="en-GB"/>
        </w:rPr>
        <w:t xml:space="preserve">that </w:t>
      </w:r>
      <w:r w:rsidR="00401341" w:rsidRPr="00764F24">
        <w:rPr>
          <w:rFonts w:cstheme="minorHAnsi"/>
          <w:szCs w:val="24"/>
          <w:lang w:val="en-GB"/>
        </w:rPr>
        <w:t>while t</w:t>
      </w:r>
      <w:r w:rsidRPr="00764F24">
        <w:rPr>
          <w:rFonts w:cstheme="minorHAnsi"/>
          <w:szCs w:val="24"/>
          <w:lang w:val="en-GB"/>
        </w:rPr>
        <w:t>he total value of household secured debt relative</w:t>
      </w:r>
      <w:r w:rsidR="00401341" w:rsidRPr="00764F24">
        <w:rPr>
          <w:rFonts w:cstheme="minorHAnsi"/>
          <w:szCs w:val="24"/>
          <w:lang w:val="en-GB"/>
        </w:rPr>
        <w:t xml:space="preserve"> </w:t>
      </w:r>
      <w:r w:rsidRPr="00764F24">
        <w:rPr>
          <w:rFonts w:cstheme="minorHAnsi"/>
          <w:szCs w:val="24"/>
          <w:lang w:val="en-GB"/>
        </w:rPr>
        <w:t xml:space="preserve">to disposable income today (97 per cent) is higher than in 1994 (62 per cent) </w:t>
      </w:r>
      <w:r w:rsidR="00401341" w:rsidRPr="00764F24">
        <w:rPr>
          <w:rFonts w:cstheme="minorHAnsi"/>
          <w:szCs w:val="24"/>
          <w:lang w:val="en-GB"/>
        </w:rPr>
        <w:t xml:space="preserve">it is </w:t>
      </w:r>
      <w:r w:rsidRPr="00764F24">
        <w:rPr>
          <w:rFonts w:cstheme="minorHAnsi"/>
          <w:szCs w:val="24"/>
          <w:lang w:val="en-GB"/>
        </w:rPr>
        <w:t>below levels reached during the financial crisis (110 per cent)</w:t>
      </w:r>
      <w:r w:rsidR="00BF7FBA" w:rsidRPr="00764F24">
        <w:rPr>
          <w:rFonts w:cstheme="minorHAnsi"/>
          <w:szCs w:val="24"/>
          <w:lang w:val="en-GB"/>
        </w:rPr>
        <w:t xml:space="preserve">. </w:t>
      </w:r>
      <w:r w:rsidR="00401341" w:rsidRPr="00764F24">
        <w:rPr>
          <w:rFonts w:cstheme="minorHAnsi"/>
          <w:szCs w:val="24"/>
          <w:lang w:val="en-GB"/>
        </w:rPr>
        <w:t>Furthermore, t</w:t>
      </w:r>
      <w:r w:rsidRPr="00764F24">
        <w:rPr>
          <w:rFonts w:cstheme="minorHAnsi"/>
          <w:szCs w:val="24"/>
          <w:lang w:val="en-GB"/>
        </w:rPr>
        <w:t>he value of unsecured (mostly consumer</w:t>
      </w:r>
      <w:r w:rsidR="00401341" w:rsidRPr="00764F24">
        <w:rPr>
          <w:rFonts w:cstheme="minorHAnsi"/>
          <w:szCs w:val="24"/>
          <w:lang w:val="en-GB"/>
        </w:rPr>
        <w:t xml:space="preserve"> and excluding student loan</w:t>
      </w:r>
      <w:r w:rsidRPr="00764F24">
        <w:rPr>
          <w:rFonts w:cstheme="minorHAnsi"/>
          <w:szCs w:val="24"/>
          <w:lang w:val="en-GB"/>
        </w:rPr>
        <w:t>) debt is, at 15 per cent of income</w:t>
      </w:r>
      <w:r w:rsidR="00401341" w:rsidRPr="00764F24">
        <w:rPr>
          <w:rFonts w:cstheme="minorHAnsi"/>
          <w:szCs w:val="24"/>
          <w:lang w:val="en-GB"/>
        </w:rPr>
        <w:t xml:space="preserve">, </w:t>
      </w:r>
      <w:r w:rsidRPr="00764F24">
        <w:rPr>
          <w:rFonts w:cstheme="minorHAnsi"/>
          <w:szCs w:val="24"/>
          <w:lang w:val="en-GB"/>
        </w:rPr>
        <w:t xml:space="preserve">4 </w:t>
      </w:r>
      <w:r w:rsidRPr="00764F24">
        <w:rPr>
          <w:rFonts w:cstheme="minorHAnsi"/>
          <w:szCs w:val="24"/>
          <w:lang w:val="en-GB"/>
        </w:rPr>
        <w:lastRenderedPageBreak/>
        <w:t>percentage points lower than levels reached</w:t>
      </w:r>
      <w:r w:rsidR="00401341" w:rsidRPr="00764F24">
        <w:rPr>
          <w:rFonts w:cstheme="minorHAnsi"/>
          <w:szCs w:val="24"/>
          <w:lang w:val="en-GB"/>
        </w:rPr>
        <w:t xml:space="preserve"> </w:t>
      </w:r>
      <w:r w:rsidRPr="00764F24">
        <w:rPr>
          <w:rFonts w:cstheme="minorHAnsi"/>
          <w:szCs w:val="24"/>
          <w:lang w:val="en-GB"/>
        </w:rPr>
        <w:t>immediately before the financial crisis. In other words, household debt remains below</w:t>
      </w:r>
      <w:r w:rsidR="00401341" w:rsidRPr="00764F24">
        <w:rPr>
          <w:rFonts w:cstheme="minorHAnsi"/>
          <w:szCs w:val="24"/>
          <w:lang w:val="en-GB"/>
        </w:rPr>
        <w:t xml:space="preserve"> </w:t>
      </w:r>
      <w:r w:rsidR="00CD7138" w:rsidRPr="00764F24">
        <w:rPr>
          <w:rFonts w:cstheme="minorHAnsi"/>
          <w:szCs w:val="24"/>
          <w:lang w:val="en-GB"/>
        </w:rPr>
        <w:t xml:space="preserve">Global Financial Crisis </w:t>
      </w:r>
      <w:r w:rsidRPr="00764F24">
        <w:rPr>
          <w:rFonts w:cstheme="minorHAnsi"/>
          <w:szCs w:val="24"/>
          <w:lang w:val="en-GB"/>
        </w:rPr>
        <w:t>levels</w:t>
      </w:r>
      <w:r w:rsidR="00BF7FBA" w:rsidRPr="00764F24">
        <w:rPr>
          <w:rFonts w:cstheme="minorHAnsi"/>
          <w:szCs w:val="24"/>
          <w:lang w:val="en-GB"/>
        </w:rPr>
        <w:t xml:space="preserve">. </w:t>
      </w:r>
    </w:p>
    <w:p w14:paraId="54FC19E6" w14:textId="023FC5F1" w:rsidR="007E64E2" w:rsidRPr="00764F24" w:rsidRDefault="001A0109" w:rsidP="00D86B69">
      <w:pPr>
        <w:spacing w:beforeAutospacing="1" w:after="100" w:afterAutospacing="1" w:line="360" w:lineRule="auto"/>
        <w:rPr>
          <w:rFonts w:cstheme="minorHAnsi"/>
          <w:szCs w:val="24"/>
          <w:lang w:val="en-GB"/>
        </w:rPr>
      </w:pPr>
      <w:r w:rsidRPr="00764F24">
        <w:rPr>
          <w:rFonts w:cstheme="minorHAnsi"/>
          <w:szCs w:val="24"/>
          <w:lang w:val="en-GB"/>
        </w:rPr>
        <w:t>Our analysis similarly shows that t</w:t>
      </w:r>
      <w:r w:rsidR="00BB3A20" w:rsidRPr="00764F24">
        <w:rPr>
          <w:rFonts w:cstheme="minorHAnsi"/>
          <w:szCs w:val="24"/>
          <w:lang w:val="en-GB"/>
        </w:rPr>
        <w:t xml:space="preserve">he annual rate of growth in </w:t>
      </w:r>
      <w:r w:rsidR="007133DA" w:rsidRPr="00764F24">
        <w:rPr>
          <w:rFonts w:cstheme="minorHAnsi"/>
          <w:szCs w:val="24"/>
          <w:lang w:val="en-GB"/>
        </w:rPr>
        <w:t xml:space="preserve">credit card lending reached a particular low in 2012/13 but </w:t>
      </w:r>
      <w:r w:rsidR="00E14C65" w:rsidRPr="00764F24">
        <w:rPr>
          <w:rFonts w:cstheme="minorHAnsi"/>
          <w:szCs w:val="24"/>
          <w:lang w:val="en-GB"/>
        </w:rPr>
        <w:t xml:space="preserve">then increased to a peak in June 2018 </w:t>
      </w:r>
      <w:r w:rsidR="00BB3A20" w:rsidRPr="00764F24">
        <w:rPr>
          <w:rFonts w:cstheme="minorHAnsi"/>
          <w:szCs w:val="24"/>
          <w:lang w:val="en-GB"/>
        </w:rPr>
        <w:t>(</w:t>
      </w:r>
      <w:r w:rsidR="00133197" w:rsidRPr="00764F24">
        <w:rPr>
          <w:rFonts w:cstheme="minorHAnsi"/>
          <w:szCs w:val="24"/>
          <w:lang w:val="en-GB"/>
        </w:rPr>
        <w:t xml:space="preserve">see figure </w:t>
      </w:r>
      <w:r w:rsidR="00E14C65" w:rsidRPr="00764F24">
        <w:rPr>
          <w:rFonts w:cstheme="minorHAnsi"/>
          <w:szCs w:val="24"/>
          <w:lang w:val="en-GB"/>
        </w:rPr>
        <w:t>8.1</w:t>
      </w:r>
      <w:r w:rsidR="00BB3A20" w:rsidRPr="00764F24">
        <w:rPr>
          <w:rFonts w:cstheme="minorHAnsi"/>
          <w:szCs w:val="24"/>
          <w:lang w:val="en-GB"/>
        </w:rPr>
        <w:t>)</w:t>
      </w:r>
      <w:r w:rsidR="00E14C65" w:rsidRPr="00764F24">
        <w:rPr>
          <w:rFonts w:cstheme="minorHAnsi"/>
          <w:szCs w:val="24"/>
          <w:lang w:val="en-GB"/>
        </w:rPr>
        <w:t xml:space="preserve"> no doubt due to </w:t>
      </w:r>
      <w:r w:rsidR="00450716" w:rsidRPr="00764F24">
        <w:rPr>
          <w:rFonts w:cstheme="minorHAnsi"/>
          <w:szCs w:val="24"/>
          <w:lang w:val="en-GB"/>
        </w:rPr>
        <w:t>an increase in loan limits as banks have been given ‘funding for lending’ to stimulate borrowing and spending</w:t>
      </w:r>
      <w:r w:rsidR="00BF7FBA" w:rsidRPr="00764F24">
        <w:rPr>
          <w:rFonts w:cstheme="minorHAnsi"/>
          <w:szCs w:val="24"/>
          <w:lang w:val="en-GB"/>
        </w:rPr>
        <w:t xml:space="preserve">. </w:t>
      </w:r>
      <w:r w:rsidR="00E14C65" w:rsidRPr="00764F24">
        <w:rPr>
          <w:rFonts w:cstheme="minorHAnsi"/>
          <w:szCs w:val="24"/>
          <w:lang w:val="en-GB"/>
        </w:rPr>
        <w:t>The rate of growth has fallen since then, however, probably due to uncertainty around Brexit and, most recently, the global pandemic crisis</w:t>
      </w:r>
      <w:r w:rsidR="00BF7FBA" w:rsidRPr="00764F24">
        <w:rPr>
          <w:rFonts w:cstheme="minorHAnsi"/>
          <w:szCs w:val="24"/>
          <w:lang w:val="en-GB"/>
        </w:rPr>
        <w:t xml:space="preserve">. </w:t>
      </w:r>
      <w:r w:rsidR="00E14C65" w:rsidRPr="00764F24">
        <w:rPr>
          <w:rFonts w:cstheme="minorHAnsi"/>
          <w:szCs w:val="24"/>
          <w:lang w:val="en-GB"/>
        </w:rPr>
        <w:t xml:space="preserve">Indeed, </w:t>
      </w:r>
      <w:r w:rsidR="007B45BC">
        <w:rPr>
          <w:rFonts w:cstheme="minorHAnsi"/>
          <w:szCs w:val="24"/>
          <w:lang w:val="en-GB"/>
        </w:rPr>
        <w:t>from</w:t>
      </w:r>
      <w:r w:rsidR="00E14C65" w:rsidRPr="00764F24">
        <w:rPr>
          <w:rFonts w:cstheme="minorHAnsi"/>
          <w:szCs w:val="24"/>
          <w:lang w:val="en-GB"/>
        </w:rPr>
        <w:t xml:space="preserve"> March 2020, the growth rate </w:t>
      </w:r>
      <w:r w:rsidR="007B45BC">
        <w:rPr>
          <w:rFonts w:cstheme="minorHAnsi"/>
          <w:szCs w:val="24"/>
          <w:lang w:val="en-GB"/>
        </w:rPr>
        <w:t>has been</w:t>
      </w:r>
      <w:r w:rsidR="00E14C65" w:rsidRPr="00764F24">
        <w:rPr>
          <w:rFonts w:cstheme="minorHAnsi"/>
          <w:szCs w:val="24"/>
          <w:lang w:val="en-GB"/>
        </w:rPr>
        <w:t xml:space="preserve"> actually negative</w:t>
      </w:r>
      <w:r w:rsidR="007B45BC">
        <w:rPr>
          <w:rFonts w:cstheme="minorHAnsi"/>
          <w:szCs w:val="24"/>
          <w:lang w:val="en-GB"/>
        </w:rPr>
        <w:t>. In May, June, July and August of 2020, credit card lending was more than 10 percentage points lower than the same point last year</w:t>
      </w:r>
      <w:r w:rsidR="00E14C65" w:rsidRPr="00764F24">
        <w:rPr>
          <w:rFonts w:cstheme="minorHAnsi"/>
          <w:szCs w:val="24"/>
          <w:lang w:val="en-GB"/>
        </w:rPr>
        <w:t>.</w:t>
      </w:r>
    </w:p>
    <w:p w14:paraId="02E0B530" w14:textId="742AD2F7" w:rsidR="00552A91" w:rsidRPr="00764F24" w:rsidRDefault="00133197"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t>Fi</w:t>
      </w:r>
      <w:r w:rsidR="000C1442" w:rsidRPr="00764F24">
        <w:rPr>
          <w:rFonts w:cstheme="minorHAnsi"/>
          <w:sz w:val="24"/>
          <w:szCs w:val="24"/>
          <w:lang w:val="en-GB"/>
        </w:rPr>
        <w:t xml:space="preserve">gure </w:t>
      </w:r>
      <w:r w:rsidR="00E14C65" w:rsidRPr="00764F24">
        <w:rPr>
          <w:rFonts w:cstheme="minorHAnsi"/>
          <w:sz w:val="24"/>
          <w:szCs w:val="24"/>
          <w:lang w:val="en-GB"/>
        </w:rPr>
        <w:t>8.1</w:t>
      </w:r>
      <w:r w:rsidR="00F62012" w:rsidRPr="00764F24">
        <w:rPr>
          <w:rFonts w:cstheme="minorHAnsi"/>
          <w:sz w:val="24"/>
          <w:szCs w:val="24"/>
          <w:lang w:val="en-GB"/>
        </w:rPr>
        <w:t xml:space="preserve">. </w:t>
      </w:r>
      <w:r w:rsidR="00552A91" w:rsidRPr="00764F24">
        <w:rPr>
          <w:rFonts w:cstheme="minorHAnsi"/>
          <w:sz w:val="24"/>
          <w:szCs w:val="24"/>
          <w:lang w:val="en-GB"/>
        </w:rPr>
        <w:t>Monthly 12</w:t>
      </w:r>
      <w:r w:rsidR="00B65C8E">
        <w:rPr>
          <w:rFonts w:cstheme="minorHAnsi"/>
          <w:sz w:val="24"/>
          <w:szCs w:val="24"/>
          <w:lang w:val="en-GB"/>
        </w:rPr>
        <w:t>-</w:t>
      </w:r>
      <w:r w:rsidR="00552A91" w:rsidRPr="00764F24">
        <w:rPr>
          <w:rFonts w:cstheme="minorHAnsi"/>
          <w:sz w:val="24"/>
          <w:szCs w:val="24"/>
          <w:lang w:val="en-GB"/>
        </w:rPr>
        <w:t xml:space="preserve">month growth rate of total sterling net credit card lending to individuals </w:t>
      </w:r>
      <w:r w:rsidR="0089700F" w:rsidRPr="00764F24">
        <w:rPr>
          <w:rFonts w:cstheme="minorHAnsi"/>
          <w:sz w:val="24"/>
          <w:szCs w:val="24"/>
          <w:lang w:val="en-GB"/>
        </w:rPr>
        <w:t>f</w:t>
      </w:r>
      <w:r w:rsidR="00FF7E7B">
        <w:rPr>
          <w:rFonts w:cstheme="minorHAnsi"/>
          <w:sz w:val="24"/>
          <w:szCs w:val="24"/>
          <w:lang w:val="en-GB"/>
        </w:rPr>
        <w:t>e</w:t>
      </w:r>
      <w:r w:rsidR="0089700F" w:rsidRPr="00764F24">
        <w:rPr>
          <w:rFonts w:cstheme="minorHAnsi"/>
          <w:sz w:val="24"/>
          <w:szCs w:val="24"/>
          <w:lang w:val="en-GB"/>
        </w:rPr>
        <w:t xml:space="preserve">lls dramatically </w:t>
      </w:r>
      <w:r w:rsidR="007B45BC">
        <w:rPr>
          <w:rFonts w:cstheme="minorHAnsi"/>
          <w:sz w:val="24"/>
          <w:szCs w:val="24"/>
          <w:lang w:val="en-GB"/>
        </w:rPr>
        <w:t>from</w:t>
      </w:r>
      <w:r w:rsidR="0089700F" w:rsidRPr="00764F24">
        <w:rPr>
          <w:rFonts w:cstheme="minorHAnsi"/>
          <w:sz w:val="24"/>
          <w:szCs w:val="24"/>
          <w:lang w:val="en-GB"/>
        </w:rPr>
        <w:t xml:space="preserve"> March 2020 </w:t>
      </w:r>
      <w:r w:rsidR="007B45BC">
        <w:rPr>
          <w:rFonts w:cstheme="minorHAnsi"/>
          <w:sz w:val="24"/>
          <w:szCs w:val="24"/>
          <w:lang w:val="en-GB"/>
        </w:rPr>
        <w:t>onwards</w:t>
      </w:r>
      <w:r w:rsidR="00692125" w:rsidRPr="00764F24">
        <w:rPr>
          <w:rFonts w:cstheme="minorHAnsi"/>
          <w:sz w:val="24"/>
          <w:szCs w:val="24"/>
          <w:lang w:val="en-GB"/>
        </w:rPr>
        <w:t>.</w:t>
      </w:r>
      <w:r w:rsidR="00E14C65" w:rsidRPr="00764F24">
        <w:rPr>
          <w:rFonts w:cstheme="minorHAnsi"/>
          <w:sz w:val="24"/>
          <w:szCs w:val="24"/>
          <w:lang w:val="en-GB"/>
        </w:rPr>
        <w:t xml:space="preserve"> Source: Bank of England</w:t>
      </w:r>
    </w:p>
    <w:p w14:paraId="7F6C713B" w14:textId="3DDC7430" w:rsidR="007E64E2" w:rsidRDefault="007B45BC" w:rsidP="00D86B69">
      <w:pPr>
        <w:keepNext/>
        <w:spacing w:beforeAutospacing="1" w:after="100" w:afterAutospacing="1" w:line="360" w:lineRule="auto"/>
        <w:rPr>
          <w:rFonts w:cstheme="minorHAnsi"/>
          <w:szCs w:val="24"/>
          <w:lang w:val="en-GB"/>
        </w:rPr>
      </w:pPr>
      <w:r>
        <w:rPr>
          <w:rFonts w:cstheme="minorHAnsi"/>
          <w:noProof/>
          <w:szCs w:val="24"/>
          <w:lang w:val="en-GB" w:eastAsia="en-GB" w:bidi="ar-SA"/>
        </w:rPr>
        <w:drawing>
          <wp:inline distT="0" distB="0" distL="0" distR="0" wp14:anchorId="67DC3653" wp14:editId="53C34E36">
            <wp:extent cx="4584700" cy="2755900"/>
            <wp:effectExtent l="0" t="0" r="6350" b="6350"/>
            <wp:docPr id="40" name="Picture 40" descr="In the last few quarters, credit card lending has fallen dramatic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2DC7741" w14:textId="0B8265D2" w:rsidR="00E01618" w:rsidRPr="00764F24" w:rsidRDefault="001B0AEF" w:rsidP="00D86B69">
      <w:pPr>
        <w:keepNext/>
        <w:spacing w:beforeAutospacing="1" w:after="100" w:afterAutospacing="1" w:line="360" w:lineRule="auto"/>
        <w:rPr>
          <w:rFonts w:cstheme="minorHAnsi"/>
          <w:szCs w:val="24"/>
          <w:lang w:val="en-GB"/>
        </w:rPr>
      </w:pPr>
      <w:r>
        <w:rPr>
          <w:rFonts w:cstheme="minorHAnsi"/>
          <w:szCs w:val="24"/>
        </w:rPr>
        <w:t>The reduction is clearer, d</w:t>
      </w:r>
      <w:r w:rsidR="00B65C8E">
        <w:rPr>
          <w:rFonts w:cstheme="minorHAnsi"/>
          <w:szCs w:val="24"/>
        </w:rPr>
        <w:t>uring</w:t>
      </w:r>
      <w:r>
        <w:rPr>
          <w:rFonts w:cstheme="minorHAnsi"/>
          <w:szCs w:val="24"/>
        </w:rPr>
        <w:t xml:space="preserve"> the lockdown, if we just look at the period from </w:t>
      </w:r>
      <w:r w:rsidR="00B65C8E">
        <w:rPr>
          <w:rFonts w:cstheme="minorHAnsi"/>
          <w:szCs w:val="24"/>
        </w:rPr>
        <w:t>January to</w:t>
      </w:r>
      <w:r>
        <w:rPr>
          <w:rFonts w:cstheme="minorHAnsi"/>
          <w:szCs w:val="24"/>
        </w:rPr>
        <w:t xml:space="preserve"> August 2020. </w:t>
      </w:r>
      <w:r w:rsidR="00B65C8E">
        <w:rPr>
          <w:rFonts w:cstheme="minorHAnsi"/>
          <w:szCs w:val="24"/>
        </w:rPr>
        <w:t>Lending dived from a 5% growth rate at the end of January to a negative growth rate of -10% by the end of April.  It stayed roughly at this level into July, indicating that lending was 10% lower in July 2020 than it had been in July 2019</w:t>
      </w:r>
      <w:r>
        <w:rPr>
          <w:rFonts w:cstheme="minorHAnsi"/>
          <w:szCs w:val="24"/>
        </w:rPr>
        <w:t>.</w:t>
      </w:r>
    </w:p>
    <w:p w14:paraId="1C871C68" w14:textId="2ADCEE55" w:rsidR="007E64E2" w:rsidRPr="00764F24" w:rsidRDefault="007133DA" w:rsidP="00D86B69">
      <w:pPr>
        <w:spacing w:beforeAutospacing="1" w:after="100" w:afterAutospacing="1" w:line="360" w:lineRule="auto"/>
        <w:rPr>
          <w:rFonts w:cstheme="minorHAnsi"/>
          <w:szCs w:val="24"/>
          <w:lang w:val="en-GB"/>
        </w:rPr>
      </w:pPr>
      <w:r w:rsidRPr="00764F24">
        <w:rPr>
          <w:rFonts w:cstheme="minorHAnsi"/>
          <w:szCs w:val="24"/>
          <w:lang w:val="en-GB"/>
        </w:rPr>
        <w:t>If we look at similar figures for consumer credit which exclude credit cards (and student loans), we also see a massive increase in lending since 2010</w:t>
      </w:r>
      <w:r w:rsidR="00BF7FBA" w:rsidRPr="00764F24">
        <w:rPr>
          <w:rFonts w:cstheme="minorHAnsi"/>
          <w:szCs w:val="24"/>
          <w:lang w:val="en-GB"/>
        </w:rPr>
        <w:t xml:space="preserve">. </w:t>
      </w:r>
      <w:r w:rsidRPr="00764F24">
        <w:rPr>
          <w:rFonts w:cstheme="minorHAnsi"/>
          <w:szCs w:val="24"/>
          <w:lang w:val="en-GB"/>
        </w:rPr>
        <w:t>Much of this increase is probably accounted for by car finance</w:t>
      </w:r>
      <w:r w:rsidR="00BF7FBA" w:rsidRPr="00764F24">
        <w:rPr>
          <w:rFonts w:cstheme="minorHAnsi"/>
          <w:szCs w:val="24"/>
          <w:lang w:val="en-GB"/>
        </w:rPr>
        <w:t>.</w:t>
      </w:r>
      <w:r w:rsidR="008D2686" w:rsidRPr="00764F24">
        <w:rPr>
          <w:rFonts w:cstheme="minorHAnsi"/>
          <w:szCs w:val="24"/>
          <w:lang w:val="en-GB"/>
        </w:rPr>
        <w:t xml:space="preserve"> </w:t>
      </w:r>
      <w:r w:rsidR="00E14C65" w:rsidRPr="00764F24">
        <w:rPr>
          <w:rFonts w:cstheme="minorHAnsi"/>
          <w:szCs w:val="24"/>
          <w:lang w:val="en-GB"/>
        </w:rPr>
        <w:t>But the trend has also been downward since 2017 and, indeed, t</w:t>
      </w:r>
      <w:r w:rsidR="00450716" w:rsidRPr="00764F24">
        <w:rPr>
          <w:rFonts w:cstheme="minorHAnsi"/>
          <w:szCs w:val="24"/>
          <w:lang w:val="en-GB"/>
        </w:rPr>
        <w:t xml:space="preserve">he very latest </w:t>
      </w:r>
      <w:r w:rsidR="00450716" w:rsidRPr="00764F24">
        <w:rPr>
          <w:rFonts w:cstheme="minorHAnsi"/>
          <w:szCs w:val="24"/>
          <w:lang w:val="en-GB"/>
        </w:rPr>
        <w:lastRenderedPageBreak/>
        <w:t>figures for 20</w:t>
      </w:r>
      <w:r w:rsidR="00E14C65" w:rsidRPr="00764F24">
        <w:rPr>
          <w:rFonts w:cstheme="minorHAnsi"/>
          <w:szCs w:val="24"/>
          <w:lang w:val="en-GB"/>
        </w:rPr>
        <w:t>20</w:t>
      </w:r>
      <w:r w:rsidR="0089700F" w:rsidRPr="00764F24">
        <w:rPr>
          <w:rFonts w:cstheme="minorHAnsi"/>
          <w:szCs w:val="24"/>
          <w:lang w:val="en-GB"/>
        </w:rPr>
        <w:t xml:space="preserve"> suggest</w:t>
      </w:r>
      <w:r w:rsidR="00E14C65" w:rsidRPr="00764F24">
        <w:rPr>
          <w:rFonts w:cstheme="minorHAnsi"/>
          <w:szCs w:val="24"/>
          <w:lang w:val="en-GB"/>
        </w:rPr>
        <w:t xml:space="preserve"> </w:t>
      </w:r>
      <w:r w:rsidR="00450716" w:rsidRPr="00764F24">
        <w:rPr>
          <w:rFonts w:cstheme="minorHAnsi"/>
          <w:szCs w:val="24"/>
          <w:lang w:val="en-GB"/>
        </w:rPr>
        <w:t xml:space="preserve">that this growth in lending is now </w:t>
      </w:r>
      <w:r w:rsidR="00E14C65" w:rsidRPr="00764F24">
        <w:rPr>
          <w:rFonts w:cstheme="minorHAnsi"/>
          <w:szCs w:val="24"/>
          <w:lang w:val="en-GB"/>
        </w:rPr>
        <w:t>falling rapidly</w:t>
      </w:r>
      <w:r w:rsidR="00133197" w:rsidRPr="00764F24">
        <w:rPr>
          <w:rFonts w:cstheme="minorHAnsi"/>
          <w:szCs w:val="24"/>
          <w:lang w:val="en-GB"/>
        </w:rPr>
        <w:t xml:space="preserve"> (see figure </w:t>
      </w:r>
      <w:r w:rsidR="00E14C65" w:rsidRPr="00764F24">
        <w:rPr>
          <w:rFonts w:cstheme="minorHAnsi"/>
          <w:szCs w:val="24"/>
          <w:lang w:val="en-GB"/>
        </w:rPr>
        <w:t>8.2</w:t>
      </w:r>
      <w:r w:rsidR="00133197" w:rsidRPr="00764F24">
        <w:rPr>
          <w:rFonts w:cstheme="minorHAnsi"/>
          <w:szCs w:val="24"/>
          <w:lang w:val="en-GB"/>
        </w:rPr>
        <w:t>)</w:t>
      </w:r>
      <w:r w:rsidR="00C60565">
        <w:rPr>
          <w:rFonts w:cstheme="minorHAnsi"/>
          <w:szCs w:val="24"/>
          <w:lang w:val="en-GB"/>
        </w:rPr>
        <w:t>, with actual falls in June, July and August 2020.</w:t>
      </w:r>
    </w:p>
    <w:p w14:paraId="358DE78F" w14:textId="46C20F02" w:rsidR="00552A91" w:rsidRPr="00764F24" w:rsidRDefault="00133197"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t xml:space="preserve">Figure </w:t>
      </w:r>
      <w:r w:rsidR="00E14C65" w:rsidRPr="00764F24">
        <w:rPr>
          <w:rFonts w:cstheme="minorHAnsi"/>
          <w:sz w:val="24"/>
          <w:szCs w:val="24"/>
          <w:lang w:val="en-GB"/>
        </w:rPr>
        <w:t>8.2</w:t>
      </w:r>
      <w:r w:rsidR="00F62012" w:rsidRPr="00764F24">
        <w:rPr>
          <w:rFonts w:cstheme="minorHAnsi"/>
          <w:sz w:val="24"/>
          <w:szCs w:val="24"/>
          <w:lang w:val="en-GB"/>
        </w:rPr>
        <w:t xml:space="preserve">. </w:t>
      </w:r>
      <w:r w:rsidR="00552A91" w:rsidRPr="00764F24">
        <w:rPr>
          <w:rFonts w:cstheme="minorHAnsi"/>
          <w:sz w:val="24"/>
          <w:szCs w:val="24"/>
          <w:lang w:val="en-GB"/>
        </w:rPr>
        <w:t>Monthly 12</w:t>
      </w:r>
      <w:r w:rsidR="00B65C8E">
        <w:rPr>
          <w:rFonts w:cstheme="minorHAnsi"/>
          <w:sz w:val="24"/>
          <w:szCs w:val="24"/>
          <w:lang w:val="en-GB"/>
        </w:rPr>
        <w:t>-</w:t>
      </w:r>
      <w:r w:rsidR="00552A91" w:rsidRPr="00764F24">
        <w:rPr>
          <w:rFonts w:cstheme="minorHAnsi"/>
          <w:sz w:val="24"/>
          <w:szCs w:val="24"/>
          <w:lang w:val="en-GB"/>
        </w:rPr>
        <w:t>month growth rate of total (excluding the Student Loans Company</w:t>
      </w:r>
      <w:r w:rsidR="0089700F" w:rsidRPr="00764F24">
        <w:rPr>
          <w:rFonts w:cstheme="minorHAnsi"/>
          <w:sz w:val="24"/>
          <w:szCs w:val="24"/>
          <w:lang w:val="en-GB"/>
        </w:rPr>
        <w:t xml:space="preserve"> and credit card</w:t>
      </w:r>
      <w:r w:rsidR="00552A91" w:rsidRPr="00764F24">
        <w:rPr>
          <w:rFonts w:cstheme="minorHAnsi"/>
          <w:sz w:val="24"/>
          <w:szCs w:val="24"/>
          <w:lang w:val="en-GB"/>
        </w:rPr>
        <w:t>) sterling net consumer credit lending to individuals (in percent)</w:t>
      </w:r>
      <w:r w:rsidR="0089700F" w:rsidRPr="00764F24">
        <w:rPr>
          <w:rFonts w:cstheme="minorHAnsi"/>
          <w:sz w:val="24"/>
          <w:szCs w:val="24"/>
          <w:lang w:val="en-GB"/>
        </w:rPr>
        <w:t xml:space="preserve"> falls </w:t>
      </w:r>
      <w:r w:rsidR="00C60565">
        <w:rPr>
          <w:rFonts w:cstheme="minorHAnsi"/>
          <w:sz w:val="24"/>
          <w:szCs w:val="24"/>
          <w:lang w:val="en-GB"/>
        </w:rPr>
        <w:t>from</w:t>
      </w:r>
      <w:r w:rsidR="0089700F" w:rsidRPr="00764F24">
        <w:rPr>
          <w:rFonts w:cstheme="minorHAnsi"/>
          <w:sz w:val="24"/>
          <w:szCs w:val="24"/>
          <w:lang w:val="en-GB"/>
        </w:rPr>
        <w:t xml:space="preserve"> March 2020</w:t>
      </w:r>
      <w:r w:rsidR="00F62012" w:rsidRPr="00764F24">
        <w:rPr>
          <w:rFonts w:cstheme="minorHAnsi"/>
          <w:sz w:val="24"/>
          <w:szCs w:val="24"/>
          <w:lang w:val="en-GB"/>
        </w:rPr>
        <w:t>.</w:t>
      </w:r>
      <w:r w:rsidR="00E14C65" w:rsidRPr="00764F24">
        <w:rPr>
          <w:rFonts w:cstheme="minorHAnsi"/>
          <w:sz w:val="24"/>
          <w:szCs w:val="24"/>
          <w:lang w:val="en-GB"/>
        </w:rPr>
        <w:t xml:space="preserve"> Source: Bank of England</w:t>
      </w:r>
    </w:p>
    <w:p w14:paraId="342491EC" w14:textId="3F05EA34" w:rsidR="007E64E2" w:rsidRPr="00764F24" w:rsidRDefault="00C60565" w:rsidP="00D86B69">
      <w:pPr>
        <w:keepNext/>
        <w:spacing w:beforeAutospacing="1" w:after="100" w:afterAutospacing="1" w:line="360" w:lineRule="auto"/>
        <w:rPr>
          <w:rFonts w:cstheme="minorHAnsi"/>
          <w:szCs w:val="24"/>
          <w:lang w:val="en-GB"/>
        </w:rPr>
      </w:pPr>
      <w:r>
        <w:rPr>
          <w:rFonts w:cstheme="minorHAnsi"/>
          <w:noProof/>
          <w:szCs w:val="24"/>
          <w:lang w:val="en-GB" w:eastAsia="en-GB" w:bidi="ar-SA"/>
        </w:rPr>
        <w:drawing>
          <wp:inline distT="0" distB="0" distL="0" distR="0" wp14:anchorId="5DB510BE" wp14:editId="45B61CAC">
            <wp:extent cx="4584700" cy="2755900"/>
            <wp:effectExtent l="0" t="0" r="6350" b="6350"/>
            <wp:docPr id="47" name="Picture 47" descr="Overall consumer credit lending has recently become negative, year on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F970F7A" w14:textId="23DE06C9" w:rsidR="007E64E2" w:rsidRPr="00764F24" w:rsidRDefault="00E14C65" w:rsidP="00D86B69">
      <w:pPr>
        <w:spacing w:beforeAutospacing="1" w:after="100" w:afterAutospacing="1" w:line="360" w:lineRule="auto"/>
        <w:rPr>
          <w:rFonts w:cstheme="minorHAnsi"/>
          <w:szCs w:val="24"/>
          <w:lang w:val="en-GB"/>
        </w:rPr>
      </w:pPr>
      <w:r w:rsidRPr="00764F24">
        <w:rPr>
          <w:rFonts w:cstheme="minorHAnsi"/>
          <w:szCs w:val="24"/>
          <w:lang w:val="en-GB"/>
        </w:rPr>
        <w:t xml:space="preserve">Turning now to </w:t>
      </w:r>
      <w:r w:rsidR="002641A3" w:rsidRPr="00764F24">
        <w:rPr>
          <w:rFonts w:cstheme="minorHAnsi"/>
          <w:szCs w:val="24"/>
          <w:lang w:val="en-GB"/>
        </w:rPr>
        <w:t xml:space="preserve">mortgage lending, figure 8.3 shows the massive drop in mortgage lending in 2007/8 followed by a slow but steady increase which </w:t>
      </w:r>
      <w:r w:rsidR="008E2B45" w:rsidRPr="00764F24">
        <w:rPr>
          <w:rFonts w:cstheme="minorHAnsi"/>
          <w:szCs w:val="24"/>
          <w:lang w:val="en-GB"/>
        </w:rPr>
        <w:t>plateaued</w:t>
      </w:r>
      <w:r w:rsidR="002641A3" w:rsidRPr="00764F24">
        <w:rPr>
          <w:rFonts w:cstheme="minorHAnsi"/>
          <w:szCs w:val="24"/>
          <w:lang w:val="en-GB"/>
        </w:rPr>
        <w:t xml:space="preserve"> from 2015 to 2019</w:t>
      </w:r>
      <w:r w:rsidR="00BF7FBA" w:rsidRPr="00764F24">
        <w:rPr>
          <w:rFonts w:cstheme="minorHAnsi"/>
          <w:szCs w:val="24"/>
          <w:lang w:val="en-GB"/>
        </w:rPr>
        <w:t xml:space="preserve">. </w:t>
      </w:r>
      <w:r w:rsidR="002641A3" w:rsidRPr="00764F24">
        <w:rPr>
          <w:rFonts w:cstheme="minorHAnsi"/>
          <w:szCs w:val="24"/>
          <w:lang w:val="en-GB"/>
        </w:rPr>
        <w:t>The global pandemic crisis, again, s</w:t>
      </w:r>
      <w:r w:rsidR="00E63DD9">
        <w:rPr>
          <w:rFonts w:cstheme="minorHAnsi"/>
          <w:szCs w:val="24"/>
          <w:lang w:val="en-GB"/>
        </w:rPr>
        <w:t>aw</w:t>
      </w:r>
      <w:r w:rsidR="002641A3" w:rsidRPr="00764F24">
        <w:rPr>
          <w:rFonts w:cstheme="minorHAnsi"/>
          <w:szCs w:val="24"/>
          <w:lang w:val="en-GB"/>
        </w:rPr>
        <w:t xml:space="preserve"> an abrupt fall in mortgage lending in </w:t>
      </w:r>
      <w:r w:rsidR="0089700F" w:rsidRPr="00764F24">
        <w:rPr>
          <w:rFonts w:cstheme="minorHAnsi"/>
          <w:szCs w:val="24"/>
          <w:lang w:val="en-GB"/>
        </w:rPr>
        <w:t>March</w:t>
      </w:r>
      <w:r w:rsidR="002641A3" w:rsidRPr="00764F24">
        <w:rPr>
          <w:rFonts w:cstheme="minorHAnsi"/>
          <w:szCs w:val="24"/>
          <w:lang w:val="en-GB"/>
        </w:rPr>
        <w:t xml:space="preserve"> 2020</w:t>
      </w:r>
      <w:r w:rsidR="00E63DD9">
        <w:rPr>
          <w:rFonts w:cstheme="minorHAnsi"/>
          <w:szCs w:val="24"/>
          <w:lang w:val="en-GB"/>
        </w:rPr>
        <w:t>, but this has now fully recovered to pre-lockdown levels.</w:t>
      </w:r>
    </w:p>
    <w:p w14:paraId="005AAAB6" w14:textId="79FED0A4" w:rsidR="00920748" w:rsidRPr="00764F24" w:rsidRDefault="00E14C65"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8.3</w:t>
      </w:r>
      <w:r w:rsidR="00F62012" w:rsidRPr="00764F24">
        <w:rPr>
          <w:rFonts w:cstheme="minorHAnsi"/>
          <w:sz w:val="24"/>
          <w:szCs w:val="24"/>
          <w:lang w:val="en-GB"/>
        </w:rPr>
        <w:t xml:space="preserve">. </w:t>
      </w:r>
      <w:r w:rsidRPr="00764F24">
        <w:rPr>
          <w:rFonts w:cstheme="minorHAnsi"/>
          <w:sz w:val="24"/>
          <w:szCs w:val="24"/>
          <w:lang w:val="en-GB"/>
        </w:rPr>
        <w:t>Monthly number of total sterling approvals for house purchase to individuals seasonally adjusted, Source: Bank of England</w:t>
      </w:r>
    </w:p>
    <w:p w14:paraId="36983489" w14:textId="1A1D3BA3" w:rsidR="007E64E2" w:rsidRPr="00764F24" w:rsidRDefault="006E5636" w:rsidP="00D86B69">
      <w:pPr>
        <w:keepNext/>
        <w:spacing w:beforeAutospacing="1" w:after="100" w:afterAutospacing="1" w:line="360" w:lineRule="auto"/>
        <w:rPr>
          <w:rFonts w:cstheme="minorHAnsi"/>
          <w:szCs w:val="24"/>
          <w:lang w:val="en-GB"/>
        </w:rPr>
      </w:pPr>
      <w:r>
        <w:rPr>
          <w:rFonts w:cstheme="minorHAnsi"/>
          <w:noProof/>
          <w:szCs w:val="24"/>
          <w:lang w:val="en-GB" w:eastAsia="en-GB" w:bidi="ar-SA"/>
        </w:rPr>
        <w:drawing>
          <wp:inline distT="0" distB="0" distL="0" distR="0" wp14:anchorId="00958F71" wp14:editId="7B750C10">
            <wp:extent cx="4584700" cy="2853055"/>
            <wp:effectExtent l="0" t="0" r="6350" b="4445"/>
            <wp:docPr id="48" name="Picture 48" descr="Numbers of approvals for house purchases dropped precipitously during the lockdown, but numbers have largely recovered since t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84700" cy="2853055"/>
                    </a:xfrm>
                    <a:prstGeom prst="rect">
                      <a:avLst/>
                    </a:prstGeom>
                    <a:noFill/>
                  </pic:spPr>
                </pic:pic>
              </a:graphicData>
            </a:graphic>
          </wp:inline>
        </w:drawing>
      </w:r>
    </w:p>
    <w:p w14:paraId="646A612C" w14:textId="3325F921" w:rsidR="00AF1837" w:rsidRDefault="00AF1837" w:rsidP="00D86B69">
      <w:pPr>
        <w:spacing w:beforeAutospacing="1" w:after="100" w:afterAutospacing="1" w:line="360" w:lineRule="auto"/>
        <w:rPr>
          <w:rFonts w:cstheme="minorHAnsi"/>
          <w:szCs w:val="24"/>
          <w:lang w:val="en-GB"/>
        </w:rPr>
      </w:pPr>
      <w:r>
        <w:rPr>
          <w:rFonts w:cstheme="minorHAnsi"/>
          <w:szCs w:val="24"/>
        </w:rPr>
        <w:t>The recovery is very clear if we focus on the last year, from September 2019 until August 2020. Numbers in April-June were well down on trend, but there seems to be a return to pre-lockdown levels in July and August. Indeed, numbers are higher, which may represent some catching up of lost business</w:t>
      </w:r>
      <w:r w:rsidR="00B65C8E">
        <w:rPr>
          <w:rFonts w:cstheme="minorHAnsi"/>
          <w:szCs w:val="24"/>
        </w:rPr>
        <w:t>.</w:t>
      </w:r>
    </w:p>
    <w:p w14:paraId="72D9FFFA" w14:textId="33DDF0C4" w:rsidR="007E64E2" w:rsidRPr="00764F24" w:rsidRDefault="00920748" w:rsidP="00D86B69">
      <w:pPr>
        <w:spacing w:beforeAutospacing="1" w:after="100" w:afterAutospacing="1" w:line="360" w:lineRule="auto"/>
        <w:rPr>
          <w:rFonts w:cstheme="minorHAnsi"/>
          <w:szCs w:val="24"/>
          <w:lang w:val="en-GB"/>
        </w:rPr>
      </w:pPr>
      <w:r w:rsidRPr="00764F24">
        <w:rPr>
          <w:rFonts w:cstheme="minorHAnsi"/>
          <w:szCs w:val="24"/>
          <w:lang w:val="en-GB"/>
        </w:rPr>
        <w:t>The</w:t>
      </w:r>
      <w:r w:rsidR="002641A3" w:rsidRPr="00764F24">
        <w:rPr>
          <w:rFonts w:cstheme="minorHAnsi"/>
          <w:szCs w:val="24"/>
          <w:lang w:val="en-GB"/>
        </w:rPr>
        <w:t xml:space="preserve"> latest figures from </w:t>
      </w:r>
      <w:r w:rsidRPr="00764F24">
        <w:rPr>
          <w:rFonts w:cstheme="minorHAnsi"/>
          <w:szCs w:val="24"/>
          <w:lang w:val="en-GB"/>
        </w:rPr>
        <w:t xml:space="preserve">the Wealth and Assets Survey </w:t>
      </w:r>
      <w:r w:rsidR="002641A3" w:rsidRPr="00764F24">
        <w:rPr>
          <w:rFonts w:cstheme="minorHAnsi"/>
          <w:szCs w:val="24"/>
          <w:lang w:val="en-GB"/>
        </w:rPr>
        <w:t>are from 2016/2018 and so do not provide information about the current situation but they do allow us to break down the figures by different groups</w:t>
      </w:r>
      <w:r w:rsidR="00BF7FBA" w:rsidRPr="00764F24">
        <w:rPr>
          <w:rFonts w:cstheme="minorHAnsi"/>
          <w:szCs w:val="24"/>
          <w:lang w:val="en-GB"/>
        </w:rPr>
        <w:t xml:space="preserve">. </w:t>
      </w:r>
      <w:r w:rsidR="002641A3" w:rsidRPr="00764F24">
        <w:rPr>
          <w:rFonts w:cstheme="minorHAnsi"/>
          <w:szCs w:val="24"/>
          <w:lang w:val="en-GB"/>
        </w:rPr>
        <w:t>Figure 8.4 therefore shows that those with the least wealth (bottom 10</w:t>
      </w:r>
      <w:r w:rsidR="00A7794E" w:rsidRPr="00764F24">
        <w:rPr>
          <w:rFonts w:cstheme="minorHAnsi"/>
          <w:szCs w:val="24"/>
          <w:lang w:val="en-GB"/>
        </w:rPr>
        <w:t xml:space="preserve"> </w:t>
      </w:r>
      <w:r w:rsidR="00692125" w:rsidRPr="00764F24">
        <w:rPr>
          <w:rFonts w:cstheme="minorHAnsi"/>
          <w:szCs w:val="24"/>
          <w:lang w:val="en-GB"/>
        </w:rPr>
        <w:t>per cent)</w:t>
      </w:r>
      <w:r w:rsidR="002641A3" w:rsidRPr="00764F24">
        <w:rPr>
          <w:rFonts w:cstheme="minorHAnsi"/>
          <w:szCs w:val="24"/>
          <w:lang w:val="en-GB"/>
        </w:rPr>
        <w:t xml:space="preserve"> </w:t>
      </w:r>
      <w:r w:rsidR="009C38F4">
        <w:rPr>
          <w:rFonts w:cstheme="minorHAnsi"/>
          <w:szCs w:val="24"/>
          <w:lang w:val="en-GB"/>
        </w:rPr>
        <w:t>we</w:t>
      </w:r>
      <w:r w:rsidR="002641A3" w:rsidRPr="00764F24">
        <w:rPr>
          <w:rFonts w:cstheme="minorHAnsi"/>
          <w:szCs w:val="24"/>
          <w:lang w:val="en-GB"/>
        </w:rPr>
        <w:t>re most likely to have taken out unsecured (mon-mortgage) credit with 61 per cent of households having done so</w:t>
      </w:r>
      <w:r w:rsidR="009C38F4">
        <w:rPr>
          <w:rFonts w:cstheme="minorHAnsi"/>
          <w:szCs w:val="24"/>
          <w:lang w:val="en-GB"/>
        </w:rPr>
        <w:t xml:space="preserve"> in 2016/18</w:t>
      </w:r>
      <w:r w:rsidR="002641A3" w:rsidRPr="00764F24">
        <w:rPr>
          <w:rFonts w:cstheme="minorHAnsi"/>
          <w:szCs w:val="24"/>
          <w:lang w:val="en-GB"/>
        </w:rPr>
        <w:t xml:space="preserve"> compared with 33 per cent of those in the highest wealth households (top 10</w:t>
      </w:r>
      <w:r w:rsidR="00A7794E" w:rsidRPr="00764F24">
        <w:rPr>
          <w:rFonts w:cstheme="minorHAnsi"/>
          <w:szCs w:val="24"/>
          <w:lang w:val="en-GB"/>
        </w:rPr>
        <w:t xml:space="preserve"> </w:t>
      </w:r>
      <w:r w:rsidR="00692125" w:rsidRPr="00764F24">
        <w:rPr>
          <w:rFonts w:cstheme="minorHAnsi"/>
          <w:szCs w:val="24"/>
          <w:lang w:val="en-GB"/>
        </w:rPr>
        <w:t>per cent)</w:t>
      </w:r>
      <w:r w:rsidR="00BF7FBA" w:rsidRPr="00764F24">
        <w:rPr>
          <w:rFonts w:cstheme="minorHAnsi"/>
          <w:szCs w:val="24"/>
          <w:lang w:val="en-GB"/>
        </w:rPr>
        <w:t xml:space="preserve">. </w:t>
      </w:r>
      <w:r w:rsidR="002641A3" w:rsidRPr="00764F24">
        <w:rPr>
          <w:rFonts w:cstheme="minorHAnsi"/>
          <w:szCs w:val="24"/>
          <w:lang w:val="en-GB"/>
        </w:rPr>
        <w:t xml:space="preserve">But those in the lowest wealth households </w:t>
      </w:r>
      <w:r w:rsidR="009C38F4">
        <w:rPr>
          <w:rFonts w:cstheme="minorHAnsi"/>
          <w:szCs w:val="24"/>
          <w:lang w:val="en-GB"/>
        </w:rPr>
        <w:t>we</w:t>
      </w:r>
      <w:r w:rsidR="002641A3" w:rsidRPr="00764F24">
        <w:rPr>
          <w:rFonts w:cstheme="minorHAnsi"/>
          <w:szCs w:val="24"/>
          <w:lang w:val="en-GB"/>
        </w:rPr>
        <w:t>re least likely to have taken out borrowing linked to a property (mortgage borrowing)</w:t>
      </w:r>
      <w:r w:rsidR="008D2686" w:rsidRPr="00764F24">
        <w:rPr>
          <w:rFonts w:cstheme="minorHAnsi"/>
          <w:szCs w:val="24"/>
          <w:lang w:val="en-GB"/>
        </w:rPr>
        <w:t xml:space="preserve"> </w:t>
      </w:r>
      <w:r w:rsidR="002641A3" w:rsidRPr="00764F24">
        <w:rPr>
          <w:rFonts w:cstheme="minorHAnsi"/>
          <w:szCs w:val="24"/>
          <w:lang w:val="en-GB"/>
        </w:rPr>
        <w:t xml:space="preserve">This </w:t>
      </w:r>
      <w:r w:rsidR="009C38F4">
        <w:rPr>
          <w:rFonts w:cstheme="minorHAnsi"/>
          <w:szCs w:val="24"/>
          <w:lang w:val="en-GB"/>
        </w:rPr>
        <w:t>wa</w:t>
      </w:r>
      <w:r w:rsidR="002641A3" w:rsidRPr="00764F24">
        <w:rPr>
          <w:rFonts w:cstheme="minorHAnsi"/>
          <w:szCs w:val="24"/>
          <w:lang w:val="en-GB"/>
        </w:rPr>
        <w:t>s highest among those with average amounts of wealth, presumably because the wealthiest households ha</w:t>
      </w:r>
      <w:r w:rsidR="009C38F4">
        <w:rPr>
          <w:rFonts w:cstheme="minorHAnsi"/>
          <w:szCs w:val="24"/>
          <w:lang w:val="en-GB"/>
        </w:rPr>
        <w:t>d</w:t>
      </w:r>
      <w:r w:rsidR="002641A3" w:rsidRPr="00764F24">
        <w:rPr>
          <w:rFonts w:cstheme="minorHAnsi"/>
          <w:szCs w:val="24"/>
          <w:lang w:val="en-GB"/>
        </w:rPr>
        <w:t xml:space="preserve"> already paid off their mortgages and so their high level of wealth </w:t>
      </w:r>
      <w:r w:rsidR="009C38F4">
        <w:rPr>
          <w:rFonts w:cstheme="minorHAnsi"/>
          <w:szCs w:val="24"/>
          <w:lang w:val="en-GB"/>
        </w:rPr>
        <w:t>wa</w:t>
      </w:r>
      <w:r w:rsidR="002641A3" w:rsidRPr="00764F24">
        <w:rPr>
          <w:rFonts w:cstheme="minorHAnsi"/>
          <w:szCs w:val="24"/>
          <w:lang w:val="en-GB"/>
        </w:rPr>
        <w:t>s partly linked to being outright home owners.</w:t>
      </w:r>
    </w:p>
    <w:p w14:paraId="0007E3C2" w14:textId="29C394EF" w:rsidR="002641A3" w:rsidRPr="00764F24" w:rsidRDefault="002641A3"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8.4</w:t>
      </w:r>
      <w:r w:rsidR="00F62012" w:rsidRPr="00764F24">
        <w:rPr>
          <w:rFonts w:cstheme="minorHAnsi"/>
          <w:sz w:val="24"/>
          <w:szCs w:val="24"/>
          <w:lang w:val="en-GB"/>
        </w:rPr>
        <w:t xml:space="preserve">. </w:t>
      </w:r>
      <w:r w:rsidR="0089700F" w:rsidRPr="00764F24">
        <w:rPr>
          <w:rFonts w:cstheme="minorHAnsi"/>
          <w:sz w:val="24"/>
          <w:szCs w:val="24"/>
          <w:lang w:val="en-GB"/>
        </w:rPr>
        <w:t>Non-mortgage b</w:t>
      </w:r>
      <w:r w:rsidRPr="00764F24">
        <w:rPr>
          <w:rFonts w:cstheme="minorHAnsi"/>
          <w:sz w:val="24"/>
          <w:szCs w:val="24"/>
          <w:lang w:val="en-GB"/>
        </w:rPr>
        <w:t xml:space="preserve">orrowing </w:t>
      </w:r>
      <w:r w:rsidR="0089700F" w:rsidRPr="00764F24">
        <w:rPr>
          <w:rFonts w:cstheme="minorHAnsi"/>
          <w:sz w:val="24"/>
          <w:szCs w:val="24"/>
          <w:lang w:val="en-GB"/>
        </w:rPr>
        <w:t>is most common among those on the lowest 10</w:t>
      </w:r>
      <w:r w:rsidR="00125F43" w:rsidRPr="00764F24">
        <w:rPr>
          <w:rFonts w:cstheme="minorHAnsi"/>
          <w:sz w:val="24"/>
          <w:szCs w:val="24"/>
          <w:lang w:val="en-GB"/>
        </w:rPr>
        <w:t xml:space="preserve"> per cent</w:t>
      </w:r>
      <w:r w:rsidR="0089700F" w:rsidRPr="00764F24">
        <w:rPr>
          <w:rFonts w:cstheme="minorHAnsi"/>
          <w:sz w:val="24"/>
          <w:szCs w:val="24"/>
          <w:lang w:val="en-GB"/>
        </w:rPr>
        <w:t xml:space="preserve"> of incomes</w:t>
      </w:r>
      <w:r w:rsidRPr="00764F24">
        <w:rPr>
          <w:rFonts w:cstheme="minorHAnsi"/>
          <w:sz w:val="24"/>
          <w:szCs w:val="24"/>
          <w:lang w:val="en-GB"/>
        </w:rPr>
        <w:t>, Source: Wealth and Assets Survey 2016/18</w:t>
      </w:r>
      <w:r w:rsidRPr="00764F24">
        <w:rPr>
          <w:rStyle w:val="FootnoteReference"/>
          <w:rFonts w:cstheme="minorHAnsi"/>
          <w:b w:val="0"/>
          <w:sz w:val="24"/>
          <w:szCs w:val="24"/>
          <w:lang w:val="en-GB"/>
        </w:rPr>
        <w:footnoteReference w:id="74"/>
      </w:r>
    </w:p>
    <w:p w14:paraId="5A989CFE" w14:textId="77777777" w:rsidR="007E64E2" w:rsidRPr="00764F24" w:rsidRDefault="002641A3" w:rsidP="00D86B69">
      <w:pPr>
        <w:keepNext/>
        <w:spacing w:beforeAutospacing="1" w:after="100" w:afterAutospacing="1" w:line="360" w:lineRule="auto"/>
        <w:rPr>
          <w:rFonts w:cstheme="minorHAnsi"/>
          <w:szCs w:val="24"/>
          <w:lang w:val="en-GB"/>
        </w:rPr>
      </w:pPr>
      <w:r w:rsidRPr="00764F24">
        <w:rPr>
          <w:rFonts w:cstheme="minorHAnsi"/>
          <w:noProof/>
          <w:szCs w:val="24"/>
          <w:lang w:val="en-GB" w:eastAsia="en-GB" w:bidi="ar-SA"/>
        </w:rPr>
        <w:drawing>
          <wp:inline distT="0" distB="0" distL="0" distR="0" wp14:anchorId="72EFBACD" wp14:editId="7D601D81">
            <wp:extent cx="5064125" cy="2695575"/>
            <wp:effectExtent l="0" t="0" r="3175" b="9525"/>
            <wp:docPr id="64" name="Chart 64" descr="Non-mortgage borrowing is most common among those on the lowest 10 per cent of incomes.">
              <a:extLst xmlns:a="http://schemas.openxmlformats.org/drawingml/2006/main">
                <a:ext uri="{FF2B5EF4-FFF2-40B4-BE49-F238E27FC236}">
                  <a16:creationId xmlns:a16="http://schemas.microsoft.com/office/drawing/2014/main" id="{4A38B4D1-0634-44F7-B71F-88DCA9C3A3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7237C73" w14:textId="55CC4A53" w:rsidR="00C82ABC" w:rsidRPr="00764F24" w:rsidRDefault="002641A3" w:rsidP="00D86B69">
      <w:pPr>
        <w:spacing w:beforeAutospacing="1" w:after="100" w:afterAutospacing="1" w:line="360" w:lineRule="auto"/>
        <w:rPr>
          <w:rFonts w:cstheme="minorHAnsi"/>
          <w:szCs w:val="24"/>
          <w:lang w:val="en-GB"/>
        </w:rPr>
      </w:pPr>
      <w:r w:rsidRPr="00764F24">
        <w:rPr>
          <w:rFonts w:cstheme="minorHAnsi"/>
          <w:szCs w:val="24"/>
          <w:lang w:val="en-GB"/>
        </w:rPr>
        <w:t>Figures from the Wealth and Assets Survey also show that total non-mortgage borrowing (also referred to as financial debt) ha</w:t>
      </w:r>
      <w:r w:rsidR="009C38F4">
        <w:rPr>
          <w:rFonts w:cstheme="minorHAnsi"/>
          <w:szCs w:val="24"/>
          <w:lang w:val="en-GB"/>
        </w:rPr>
        <w:t>d</w:t>
      </w:r>
      <w:r w:rsidRPr="00764F24">
        <w:rPr>
          <w:rFonts w:cstheme="minorHAnsi"/>
          <w:szCs w:val="24"/>
          <w:lang w:val="en-GB"/>
        </w:rPr>
        <w:t xml:space="preserve"> also risen, from £107 billion in 2014/16 to £119 billion in </w:t>
      </w:r>
      <w:r w:rsidR="009C38F4">
        <w:rPr>
          <w:rFonts w:cstheme="minorHAnsi"/>
          <w:szCs w:val="24"/>
          <w:lang w:val="en-GB"/>
        </w:rPr>
        <w:t>2016/18</w:t>
      </w:r>
      <w:r w:rsidRPr="00764F24">
        <w:rPr>
          <w:rFonts w:cstheme="minorHAnsi"/>
          <w:szCs w:val="24"/>
          <w:lang w:val="en-GB"/>
        </w:rPr>
        <w:t>, an increase of £12 billion (11</w:t>
      </w:r>
      <w:r w:rsidR="00A7794E" w:rsidRPr="00764F24">
        <w:rPr>
          <w:rFonts w:cstheme="minorHAnsi"/>
          <w:szCs w:val="24"/>
          <w:lang w:val="en-GB"/>
        </w:rPr>
        <w:t xml:space="preserve"> </w:t>
      </w:r>
      <w:r w:rsidR="00692125" w:rsidRPr="00764F24">
        <w:rPr>
          <w:rFonts w:cstheme="minorHAnsi"/>
          <w:szCs w:val="24"/>
          <w:lang w:val="en-GB"/>
        </w:rPr>
        <w:t>per cent)</w:t>
      </w:r>
      <w:r w:rsidRPr="00764F24">
        <w:rPr>
          <w:rFonts w:cstheme="minorHAnsi"/>
          <w:szCs w:val="24"/>
          <w:lang w:val="en-GB"/>
        </w:rPr>
        <w:t>. As with property debt, the increase in total household financial debt in the latest period was driven by a combination of both an increase in the number of households with financial debt and increasing levels of financial debt. The number of households with financial debt increased over this period from 12.4 million to 12.7 million</w:t>
      </w:r>
      <w:r w:rsidR="00BF7FBA" w:rsidRPr="00764F24">
        <w:rPr>
          <w:rFonts w:cstheme="minorHAnsi"/>
          <w:szCs w:val="24"/>
          <w:lang w:val="en-GB"/>
        </w:rPr>
        <w:t>.</w:t>
      </w:r>
      <w:r w:rsidR="008D2686" w:rsidRPr="00764F24">
        <w:rPr>
          <w:rFonts w:cstheme="minorHAnsi"/>
          <w:szCs w:val="24"/>
          <w:lang w:val="en-GB"/>
        </w:rPr>
        <w:t xml:space="preserve"> </w:t>
      </w:r>
      <w:r w:rsidR="00947305" w:rsidRPr="00764F24">
        <w:rPr>
          <w:rFonts w:cstheme="minorHAnsi"/>
          <w:szCs w:val="24"/>
          <w:lang w:val="en-GB"/>
        </w:rPr>
        <w:t>Median household financial debt (for households with financial debt) was £4,000 in2014/16, after adjusting for inflation</w:t>
      </w:r>
      <w:r w:rsidR="009C38F4">
        <w:rPr>
          <w:rFonts w:cstheme="minorHAnsi"/>
          <w:szCs w:val="24"/>
          <w:lang w:val="en-GB"/>
        </w:rPr>
        <w:t xml:space="preserve"> and t</w:t>
      </w:r>
      <w:r w:rsidR="00947305" w:rsidRPr="00764F24">
        <w:rPr>
          <w:rFonts w:cstheme="minorHAnsi"/>
          <w:szCs w:val="24"/>
          <w:lang w:val="en-GB"/>
        </w:rPr>
        <w:t>his rose to £4,500 in the latest period, 2016/18, an increase of 12</w:t>
      </w:r>
      <w:r w:rsidR="00A7794E" w:rsidRPr="00764F24">
        <w:rPr>
          <w:rFonts w:cstheme="minorHAnsi"/>
          <w:szCs w:val="24"/>
          <w:lang w:val="en-GB"/>
        </w:rPr>
        <w:t xml:space="preserve"> </w:t>
      </w:r>
      <w:r w:rsidR="00692125" w:rsidRPr="00764F24">
        <w:rPr>
          <w:rFonts w:cstheme="minorHAnsi"/>
          <w:szCs w:val="24"/>
          <w:lang w:val="en-GB"/>
        </w:rPr>
        <w:t>per cent.</w:t>
      </w:r>
      <w:r w:rsidR="00C82ABC" w:rsidRPr="00764F24">
        <w:rPr>
          <w:rFonts w:cstheme="minorHAnsi"/>
          <w:szCs w:val="24"/>
          <w:lang w:val="en-GB"/>
        </w:rPr>
        <w:t xml:space="preserve"> In time, we will see just how many more both households with financial debt, and with increasingly levels of debt, have </w:t>
      </w:r>
      <w:r w:rsidR="009C38F4">
        <w:rPr>
          <w:rFonts w:cstheme="minorHAnsi"/>
          <w:szCs w:val="24"/>
          <w:lang w:val="en-GB"/>
        </w:rPr>
        <w:t xml:space="preserve">been </w:t>
      </w:r>
      <w:r w:rsidR="00C82ABC" w:rsidRPr="00764F24">
        <w:rPr>
          <w:rFonts w:cstheme="minorHAnsi"/>
          <w:szCs w:val="24"/>
          <w:lang w:val="en-GB"/>
        </w:rPr>
        <w:t>generated by the policy responses to the coronavirus crisis, despite payment holidays.</w:t>
      </w:r>
    </w:p>
    <w:p w14:paraId="269D6E93" w14:textId="5ED9DDEB" w:rsidR="007E64E2" w:rsidRPr="00764F24" w:rsidRDefault="00450716" w:rsidP="00D86B69">
      <w:pPr>
        <w:spacing w:beforeAutospacing="1" w:after="100" w:afterAutospacing="1" w:line="360" w:lineRule="auto"/>
        <w:rPr>
          <w:rFonts w:cstheme="minorHAnsi"/>
          <w:szCs w:val="24"/>
          <w:lang w:val="en-GB"/>
        </w:rPr>
      </w:pPr>
      <w:r w:rsidRPr="00764F24">
        <w:rPr>
          <w:rFonts w:cstheme="minorHAnsi"/>
          <w:szCs w:val="24"/>
          <w:lang w:val="en-GB"/>
        </w:rPr>
        <w:t>A rather different form of borrowing is s</w:t>
      </w:r>
      <w:r w:rsidR="00552A91" w:rsidRPr="00764F24">
        <w:rPr>
          <w:rFonts w:cstheme="minorHAnsi"/>
          <w:szCs w:val="24"/>
          <w:lang w:val="en-GB"/>
        </w:rPr>
        <w:t>tudent loans</w:t>
      </w:r>
      <w:r w:rsidR="00BF7FBA" w:rsidRPr="00764F24">
        <w:rPr>
          <w:rFonts w:cstheme="minorHAnsi"/>
          <w:szCs w:val="24"/>
          <w:lang w:val="en-GB"/>
        </w:rPr>
        <w:t xml:space="preserve">. </w:t>
      </w:r>
      <w:r w:rsidRPr="00764F24">
        <w:rPr>
          <w:rFonts w:cstheme="minorHAnsi"/>
          <w:szCs w:val="24"/>
          <w:lang w:val="en-GB"/>
        </w:rPr>
        <w:t>These are only</w:t>
      </w:r>
      <w:r w:rsidR="00EA4C0A" w:rsidRPr="00764F24">
        <w:rPr>
          <w:rFonts w:cstheme="minorHAnsi"/>
          <w:szCs w:val="24"/>
          <w:lang w:val="en-GB"/>
        </w:rPr>
        <w:t xml:space="preserve"> </w:t>
      </w:r>
      <w:r w:rsidRPr="00764F24">
        <w:rPr>
          <w:rFonts w:cstheme="minorHAnsi"/>
          <w:szCs w:val="24"/>
          <w:lang w:val="en-GB"/>
        </w:rPr>
        <w:t>paid back once the borrower earns over a certain threshold</w:t>
      </w:r>
      <w:r w:rsidR="00BF7FBA" w:rsidRPr="00764F24">
        <w:rPr>
          <w:rFonts w:cstheme="minorHAnsi"/>
          <w:szCs w:val="24"/>
          <w:lang w:val="en-GB"/>
        </w:rPr>
        <w:t xml:space="preserve">. </w:t>
      </w:r>
      <w:r w:rsidRPr="00764F24">
        <w:rPr>
          <w:rFonts w:cstheme="minorHAnsi"/>
          <w:szCs w:val="24"/>
          <w:lang w:val="en-GB"/>
        </w:rPr>
        <w:t>Nevertheless, it is worth reflecting on the amount borrowed</w:t>
      </w:r>
      <w:r w:rsidR="00BF7FBA" w:rsidRPr="00764F24">
        <w:rPr>
          <w:rFonts w:cstheme="minorHAnsi"/>
          <w:szCs w:val="24"/>
          <w:lang w:val="en-GB"/>
        </w:rPr>
        <w:t xml:space="preserve">. </w:t>
      </w:r>
      <w:r w:rsidR="00B87417" w:rsidRPr="00764F24">
        <w:rPr>
          <w:rFonts w:cstheme="minorHAnsi"/>
          <w:szCs w:val="24"/>
          <w:lang w:val="en-GB"/>
        </w:rPr>
        <w:lastRenderedPageBreak/>
        <w:t>According to a House of Commons Briefing Paper in 2019</w:t>
      </w:r>
      <w:r w:rsidR="00B87417" w:rsidRPr="00764F24">
        <w:rPr>
          <w:rStyle w:val="FootnoteReference"/>
          <w:rFonts w:cstheme="minorHAnsi"/>
          <w:szCs w:val="24"/>
          <w:lang w:val="en-GB"/>
        </w:rPr>
        <w:footnoteReference w:id="75"/>
      </w:r>
      <w:r w:rsidR="00552A91" w:rsidRPr="00764F24">
        <w:rPr>
          <w:rFonts w:cstheme="minorHAnsi"/>
          <w:szCs w:val="24"/>
          <w:lang w:val="en-GB"/>
        </w:rPr>
        <w:t xml:space="preserve"> </w:t>
      </w:r>
      <w:r w:rsidR="00B87417" w:rsidRPr="00764F24">
        <w:rPr>
          <w:rFonts w:cstheme="minorHAnsi"/>
          <w:szCs w:val="24"/>
          <w:lang w:val="en-GB"/>
        </w:rPr>
        <w:t>there was currently more than £17 billion loaned to around 1.3 million higher education students in England each year. The value of outstanding loans at the end of March 2019 reached £121 billion</w:t>
      </w:r>
      <w:r w:rsidR="001123CF" w:rsidRPr="00764F24">
        <w:rPr>
          <w:rFonts w:cstheme="minorHAnsi"/>
          <w:szCs w:val="24"/>
          <w:lang w:val="en-GB"/>
        </w:rPr>
        <w:t xml:space="preserve"> (see figure 8.5)</w:t>
      </w:r>
      <w:r w:rsidR="00B87417" w:rsidRPr="00764F24">
        <w:rPr>
          <w:rFonts w:cstheme="minorHAnsi"/>
          <w:szCs w:val="24"/>
          <w:lang w:val="en-GB"/>
        </w:rPr>
        <w:t xml:space="preserve">. The Government forecasts the value of outstanding loans to reach around £450 billion (2018-19 prices) by the middle of this century. </w:t>
      </w:r>
    </w:p>
    <w:p w14:paraId="32E3B486" w14:textId="6D6068B2" w:rsidR="00552A91" w:rsidRPr="00764F24" w:rsidRDefault="00133197"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t xml:space="preserve">Figure </w:t>
      </w:r>
      <w:r w:rsidR="001123CF" w:rsidRPr="00764F24">
        <w:rPr>
          <w:rFonts w:cstheme="minorHAnsi"/>
          <w:sz w:val="24"/>
          <w:szCs w:val="24"/>
          <w:lang w:val="en-GB"/>
        </w:rPr>
        <w:t>8.5</w:t>
      </w:r>
      <w:r w:rsidR="00F62012" w:rsidRPr="00764F24">
        <w:rPr>
          <w:rFonts w:cstheme="minorHAnsi"/>
          <w:sz w:val="24"/>
          <w:szCs w:val="24"/>
          <w:lang w:val="en-GB"/>
        </w:rPr>
        <w:t xml:space="preserve">. </w:t>
      </w:r>
      <w:r w:rsidR="00552A91" w:rsidRPr="00764F24">
        <w:rPr>
          <w:rFonts w:cstheme="minorHAnsi"/>
          <w:sz w:val="24"/>
          <w:szCs w:val="24"/>
          <w:lang w:val="en-GB"/>
        </w:rPr>
        <w:t xml:space="preserve">Total amount outstanding at the end of the financial year, including loans </w:t>
      </w:r>
      <w:r w:rsidRPr="00764F24">
        <w:rPr>
          <w:rFonts w:cstheme="minorHAnsi"/>
          <w:sz w:val="24"/>
          <w:szCs w:val="24"/>
          <w:lang w:val="en-GB"/>
        </w:rPr>
        <w:t>not yet due for repayment</w:t>
      </w:r>
      <w:r w:rsidR="00F62012" w:rsidRPr="00764F24">
        <w:rPr>
          <w:rFonts w:cstheme="minorHAnsi"/>
          <w:sz w:val="24"/>
          <w:szCs w:val="24"/>
          <w:lang w:val="en-GB"/>
        </w:rPr>
        <w:t>.</w:t>
      </w:r>
      <w:r w:rsidRPr="00764F24">
        <w:rPr>
          <w:rFonts w:cstheme="minorHAnsi"/>
          <w:sz w:val="24"/>
          <w:szCs w:val="24"/>
          <w:lang w:val="en-GB"/>
        </w:rPr>
        <w:t xml:space="preserve"> </w:t>
      </w:r>
      <w:r w:rsidR="00947305" w:rsidRPr="00764F24">
        <w:rPr>
          <w:rFonts w:cstheme="minorHAnsi"/>
          <w:sz w:val="24"/>
          <w:szCs w:val="24"/>
          <w:lang w:val="en-GB"/>
        </w:rPr>
        <w:t xml:space="preserve">Source: </w:t>
      </w:r>
      <w:r w:rsidRPr="00764F24">
        <w:rPr>
          <w:rFonts w:cstheme="minorHAnsi"/>
          <w:sz w:val="24"/>
          <w:szCs w:val="24"/>
          <w:lang w:val="en-GB"/>
        </w:rPr>
        <w:t>Student Loans Company</w:t>
      </w:r>
      <w:r w:rsidR="001123CF" w:rsidRPr="00764F24">
        <w:rPr>
          <w:rFonts w:cstheme="minorHAnsi"/>
          <w:sz w:val="24"/>
          <w:szCs w:val="24"/>
          <w:lang w:val="en-GB"/>
        </w:rPr>
        <w:t xml:space="preserve"> and House of Commons</w:t>
      </w:r>
      <w:r w:rsidR="00947305" w:rsidRPr="00764F24">
        <w:rPr>
          <w:rStyle w:val="FootnoteReference"/>
          <w:rFonts w:cstheme="minorHAnsi"/>
          <w:b w:val="0"/>
          <w:sz w:val="24"/>
          <w:szCs w:val="24"/>
          <w:lang w:val="en-GB"/>
        </w:rPr>
        <w:footnoteReference w:id="76"/>
      </w:r>
    </w:p>
    <w:p w14:paraId="3F47563C" w14:textId="77777777" w:rsidR="007E64E2" w:rsidRPr="00764F24" w:rsidRDefault="001123CF" w:rsidP="00D86B69">
      <w:pPr>
        <w:spacing w:beforeAutospacing="1" w:after="100" w:afterAutospacing="1" w:line="360" w:lineRule="auto"/>
        <w:rPr>
          <w:rFonts w:cstheme="minorHAnsi"/>
          <w:b/>
          <w:szCs w:val="24"/>
          <w:lang w:val="en-GB"/>
        </w:rPr>
      </w:pPr>
      <w:r w:rsidRPr="00764F24">
        <w:rPr>
          <w:rFonts w:cstheme="minorHAnsi"/>
          <w:noProof/>
          <w:szCs w:val="24"/>
          <w:lang w:val="en-GB" w:eastAsia="en-GB" w:bidi="ar-SA"/>
        </w:rPr>
        <w:drawing>
          <wp:inline distT="0" distB="0" distL="0" distR="0" wp14:anchorId="064AA800" wp14:editId="5AD78EFE">
            <wp:extent cx="5124450" cy="2603500"/>
            <wp:effectExtent l="0" t="0" r="0" b="6350"/>
            <wp:docPr id="7" name="Chart 7" descr="Outstanding student loans are now valued at over £120 billion.">
              <a:extLst xmlns:a="http://schemas.openxmlformats.org/drawingml/2006/main">
                <a:ext uri="{FF2B5EF4-FFF2-40B4-BE49-F238E27FC236}">
                  <a16:creationId xmlns:a16="http://schemas.microsoft.com/office/drawing/2014/main" id="{6C20B3B6-ED8A-42B6-BC28-2108FD2C82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22BBA9D" w14:textId="3134CFC6" w:rsidR="007E64E2" w:rsidRPr="00764F24" w:rsidRDefault="00133197" w:rsidP="00D86B69">
      <w:pPr>
        <w:spacing w:beforeAutospacing="1" w:after="100" w:afterAutospacing="1" w:line="360" w:lineRule="auto"/>
        <w:rPr>
          <w:rFonts w:cstheme="minorHAnsi"/>
          <w:szCs w:val="24"/>
          <w:lang w:val="en-GB"/>
        </w:rPr>
      </w:pPr>
      <w:r w:rsidRPr="00764F24">
        <w:rPr>
          <w:rFonts w:cstheme="minorHAnsi"/>
          <w:szCs w:val="24"/>
          <w:lang w:val="en-GB"/>
        </w:rPr>
        <w:t>The average Loan Balance for th</w:t>
      </w:r>
      <w:r w:rsidR="001123CF" w:rsidRPr="00764F24">
        <w:rPr>
          <w:rFonts w:cstheme="minorHAnsi"/>
          <w:szCs w:val="24"/>
          <w:lang w:val="en-GB"/>
        </w:rPr>
        <w:t>ose who finished their courses in</w:t>
      </w:r>
      <w:r w:rsidRPr="00764F24">
        <w:rPr>
          <w:rFonts w:cstheme="minorHAnsi"/>
          <w:szCs w:val="24"/>
          <w:lang w:val="en-GB"/>
        </w:rPr>
        <w:t xml:space="preserve"> 201</w:t>
      </w:r>
      <w:r w:rsidR="001123CF" w:rsidRPr="00764F24">
        <w:rPr>
          <w:rFonts w:cstheme="minorHAnsi"/>
          <w:szCs w:val="24"/>
          <w:lang w:val="en-GB"/>
        </w:rPr>
        <w:t>8</w:t>
      </w:r>
      <w:r w:rsidRPr="00764F24">
        <w:rPr>
          <w:rFonts w:cstheme="minorHAnsi"/>
          <w:szCs w:val="24"/>
          <w:lang w:val="en-GB"/>
        </w:rPr>
        <w:t xml:space="preserve"> </w:t>
      </w:r>
      <w:r w:rsidR="000A678F" w:rsidRPr="00764F24">
        <w:rPr>
          <w:rFonts w:cstheme="minorHAnsi"/>
          <w:szCs w:val="24"/>
          <w:lang w:val="en-GB"/>
        </w:rPr>
        <w:t>was £</w:t>
      </w:r>
      <w:r w:rsidR="001123CF" w:rsidRPr="00764F24">
        <w:rPr>
          <w:rFonts w:cstheme="minorHAnsi"/>
          <w:szCs w:val="24"/>
          <w:lang w:val="en-GB"/>
        </w:rPr>
        <w:t xml:space="preserve">34,800 </w:t>
      </w:r>
      <w:r w:rsidR="000A678F" w:rsidRPr="00764F24">
        <w:rPr>
          <w:rFonts w:cstheme="minorHAnsi"/>
          <w:szCs w:val="24"/>
          <w:lang w:val="en-GB"/>
        </w:rPr>
        <w:t xml:space="preserve">(see figure </w:t>
      </w:r>
      <w:r w:rsidR="001123CF" w:rsidRPr="00764F24">
        <w:rPr>
          <w:rFonts w:cstheme="minorHAnsi"/>
          <w:szCs w:val="24"/>
          <w:lang w:val="en-GB"/>
        </w:rPr>
        <w:t>8.6</w:t>
      </w:r>
      <w:r w:rsidRPr="00764F24">
        <w:rPr>
          <w:rFonts w:cstheme="minorHAnsi"/>
          <w:szCs w:val="24"/>
          <w:lang w:val="en-GB"/>
        </w:rPr>
        <w:t>)</w:t>
      </w:r>
      <w:r w:rsidR="00BF7FBA" w:rsidRPr="00764F24">
        <w:rPr>
          <w:rFonts w:cstheme="minorHAnsi"/>
          <w:szCs w:val="24"/>
          <w:lang w:val="en-GB"/>
        </w:rPr>
        <w:t xml:space="preserve">. </w:t>
      </w:r>
      <w:r w:rsidR="001123CF" w:rsidRPr="00764F24">
        <w:rPr>
          <w:rFonts w:cstheme="minorHAnsi"/>
          <w:szCs w:val="24"/>
          <w:lang w:val="en-GB"/>
        </w:rPr>
        <w:t>But the Government expects that (only) 30</w:t>
      </w:r>
      <w:r w:rsidR="00125F43" w:rsidRPr="00764F24">
        <w:rPr>
          <w:rFonts w:eastAsiaTheme="majorEastAsia" w:cstheme="minorHAnsi"/>
          <w:bCs/>
          <w:kern w:val="32"/>
          <w:szCs w:val="24"/>
          <w:lang w:val="en-GB"/>
        </w:rPr>
        <w:t xml:space="preserve"> per cent</w:t>
      </w:r>
      <w:r w:rsidR="001123CF" w:rsidRPr="00764F24">
        <w:rPr>
          <w:rFonts w:cstheme="minorHAnsi"/>
          <w:szCs w:val="24"/>
          <w:lang w:val="en-GB"/>
        </w:rPr>
        <w:t xml:space="preserve"> of current full-time undergraduates who take out loans will repay them in full</w:t>
      </w:r>
      <w:r w:rsidR="001123CF" w:rsidRPr="00764F24">
        <w:rPr>
          <w:rStyle w:val="FootnoteReference"/>
          <w:rFonts w:cstheme="minorHAnsi"/>
          <w:szCs w:val="24"/>
          <w:lang w:val="en-GB"/>
        </w:rPr>
        <w:footnoteReference w:id="77"/>
      </w:r>
      <w:r w:rsidR="001123CF" w:rsidRPr="00764F24">
        <w:rPr>
          <w:rFonts w:cstheme="minorHAnsi"/>
          <w:szCs w:val="24"/>
          <w:lang w:val="en-GB"/>
        </w:rPr>
        <w:t xml:space="preserve">. </w:t>
      </w:r>
      <w:r w:rsidRPr="00764F24">
        <w:rPr>
          <w:rFonts w:cstheme="minorHAnsi"/>
          <w:szCs w:val="24"/>
          <w:lang w:val="en-GB"/>
        </w:rPr>
        <w:t>Full time students entering HE in 2012/13 who completed three years of study are included in this average, but the average balance is diluted by other borrower types in the same repayment cohort</w:t>
      </w:r>
      <w:r w:rsidR="001123CF" w:rsidRPr="00764F24">
        <w:rPr>
          <w:rFonts w:cstheme="minorHAnsi"/>
          <w:szCs w:val="24"/>
          <w:lang w:val="en-GB"/>
        </w:rPr>
        <w:t>.</w:t>
      </w:r>
    </w:p>
    <w:p w14:paraId="23FDFAFA" w14:textId="2EC40CCC" w:rsidR="00133197" w:rsidRPr="00764F24" w:rsidRDefault="000A678F"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 xml:space="preserve">Figure </w:t>
      </w:r>
      <w:r w:rsidR="001123CF" w:rsidRPr="00764F24">
        <w:rPr>
          <w:rFonts w:cstheme="minorHAnsi"/>
          <w:sz w:val="24"/>
          <w:szCs w:val="24"/>
          <w:lang w:val="en-GB"/>
        </w:rPr>
        <w:t>8.6</w:t>
      </w:r>
      <w:r w:rsidR="00344182" w:rsidRPr="00764F24">
        <w:rPr>
          <w:rFonts w:cstheme="minorHAnsi"/>
          <w:sz w:val="24"/>
          <w:szCs w:val="24"/>
          <w:lang w:val="en-GB"/>
        </w:rPr>
        <w:t xml:space="preserve">. </w:t>
      </w:r>
      <w:r w:rsidR="00133197" w:rsidRPr="00764F24">
        <w:rPr>
          <w:rFonts w:cstheme="minorHAnsi"/>
          <w:sz w:val="24"/>
          <w:szCs w:val="24"/>
          <w:lang w:val="en-GB"/>
        </w:rPr>
        <w:t>The average Loan Balance for those entering into repayment</w:t>
      </w:r>
      <w:r w:rsidR="00F62012" w:rsidRPr="00764F24">
        <w:rPr>
          <w:rFonts w:cstheme="minorHAnsi"/>
          <w:sz w:val="24"/>
          <w:szCs w:val="24"/>
          <w:lang w:val="en-GB"/>
        </w:rPr>
        <w:t>.</w:t>
      </w:r>
      <w:r w:rsidR="00133197" w:rsidRPr="00764F24">
        <w:rPr>
          <w:rFonts w:cstheme="minorHAnsi"/>
          <w:sz w:val="24"/>
          <w:szCs w:val="24"/>
          <w:lang w:val="en-GB"/>
        </w:rPr>
        <w:t xml:space="preserve"> </w:t>
      </w:r>
      <w:r w:rsidR="00947305" w:rsidRPr="00764F24">
        <w:rPr>
          <w:rFonts w:cstheme="minorHAnsi"/>
          <w:sz w:val="24"/>
          <w:szCs w:val="24"/>
          <w:lang w:val="en-GB"/>
        </w:rPr>
        <w:t>Source: Student Loans Company</w:t>
      </w:r>
      <w:r w:rsidR="00947305" w:rsidRPr="00764F24">
        <w:rPr>
          <w:rStyle w:val="FootnoteReference"/>
          <w:rFonts w:cstheme="minorHAnsi"/>
          <w:b w:val="0"/>
          <w:sz w:val="24"/>
          <w:szCs w:val="24"/>
          <w:lang w:val="en-GB"/>
        </w:rPr>
        <w:footnoteReference w:id="78"/>
      </w:r>
      <w:r w:rsidR="00947305" w:rsidRPr="00764F24">
        <w:rPr>
          <w:rFonts w:cstheme="minorHAnsi"/>
          <w:sz w:val="24"/>
          <w:szCs w:val="24"/>
          <w:lang w:val="en-GB"/>
        </w:rPr>
        <w:t xml:space="preserve"> </w:t>
      </w:r>
    </w:p>
    <w:p w14:paraId="4D2A5121" w14:textId="77777777" w:rsidR="007E64E2" w:rsidRPr="00764F24" w:rsidRDefault="00947305" w:rsidP="00D86B69">
      <w:pPr>
        <w:keepNext/>
        <w:spacing w:beforeAutospacing="1" w:after="100" w:afterAutospacing="1" w:line="360" w:lineRule="auto"/>
        <w:rPr>
          <w:rFonts w:cstheme="minorHAnsi"/>
          <w:b/>
          <w:szCs w:val="24"/>
          <w:lang w:val="en-GB"/>
        </w:rPr>
      </w:pPr>
      <w:r w:rsidRPr="00764F24">
        <w:rPr>
          <w:rFonts w:cstheme="minorHAnsi"/>
          <w:noProof/>
          <w:szCs w:val="24"/>
          <w:lang w:val="en-GB" w:eastAsia="en-GB" w:bidi="ar-SA"/>
        </w:rPr>
        <w:drawing>
          <wp:inline distT="0" distB="0" distL="0" distR="0" wp14:anchorId="7A356B98" wp14:editId="31EAC521">
            <wp:extent cx="5124450" cy="2603500"/>
            <wp:effectExtent l="0" t="0" r="0" b="6350"/>
            <wp:docPr id="3" name="Chart 3" descr="Outstanding student loans now average almost £35,000 for those entering repayment in 2018.">
              <a:extLst xmlns:a="http://schemas.openxmlformats.org/drawingml/2006/main">
                <a:ext uri="{FF2B5EF4-FFF2-40B4-BE49-F238E27FC236}">
                  <a16:creationId xmlns:a16="http://schemas.microsoft.com/office/drawing/2014/main" id="{6C20B3B6-ED8A-42B6-BC28-2108FD2C82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78F9167" w14:textId="32A7568A" w:rsidR="007E64E2" w:rsidRPr="00764F24" w:rsidRDefault="00BE2F4B" w:rsidP="00D86B69">
      <w:pPr>
        <w:spacing w:beforeAutospacing="1" w:after="100" w:afterAutospacing="1" w:line="360" w:lineRule="auto"/>
        <w:rPr>
          <w:rFonts w:eastAsia="Calibri" w:cstheme="minorHAnsi"/>
          <w:szCs w:val="24"/>
          <w:lang w:val="en-GB" w:bidi="ar-SA"/>
        </w:rPr>
      </w:pPr>
      <w:r w:rsidRPr="00764F24">
        <w:rPr>
          <w:rFonts w:eastAsia="Calibri" w:cstheme="minorHAnsi"/>
          <w:szCs w:val="24"/>
          <w:lang w:val="en-GB" w:bidi="ar-SA"/>
        </w:rPr>
        <w:t xml:space="preserve">High-cost credit is a particular concern in relation to financial inclusion </w:t>
      </w:r>
      <w:r w:rsidR="00C50AA2" w:rsidRPr="00764F24">
        <w:rPr>
          <w:rFonts w:eastAsia="Calibri" w:cstheme="minorHAnsi"/>
          <w:szCs w:val="24"/>
          <w:lang w:val="en-GB" w:bidi="ar-SA"/>
        </w:rPr>
        <w:t>as the poorest tend to pay the most to borrow money</w:t>
      </w:r>
      <w:r w:rsidR="009C38F4">
        <w:rPr>
          <w:rFonts w:eastAsia="Calibri" w:cstheme="minorHAnsi"/>
          <w:szCs w:val="24"/>
          <w:lang w:val="en-GB" w:bidi="ar-SA"/>
        </w:rPr>
        <w:t xml:space="preserve"> - sometimes</w:t>
      </w:r>
      <w:r w:rsidR="00C50AA2" w:rsidRPr="00764F24">
        <w:rPr>
          <w:rFonts w:eastAsia="Calibri" w:cstheme="minorHAnsi"/>
          <w:szCs w:val="24"/>
          <w:lang w:val="en-GB" w:bidi="ar-SA"/>
        </w:rPr>
        <w:t xml:space="preserve"> for necessities</w:t>
      </w:r>
      <w:r w:rsidR="00BF7FBA" w:rsidRPr="00764F24">
        <w:rPr>
          <w:rFonts w:eastAsia="Calibri" w:cstheme="minorHAnsi"/>
          <w:szCs w:val="24"/>
          <w:lang w:val="en-GB" w:bidi="ar-SA"/>
        </w:rPr>
        <w:t xml:space="preserve">. </w:t>
      </w:r>
      <w:r w:rsidR="00C50AA2" w:rsidRPr="00764F24">
        <w:rPr>
          <w:rFonts w:eastAsia="Calibri" w:cstheme="minorHAnsi"/>
          <w:szCs w:val="24"/>
          <w:lang w:val="en-GB" w:bidi="ar-SA"/>
        </w:rPr>
        <w:t>B</w:t>
      </w:r>
      <w:r w:rsidRPr="00764F24">
        <w:rPr>
          <w:rFonts w:eastAsia="Calibri" w:cstheme="minorHAnsi"/>
          <w:szCs w:val="24"/>
          <w:lang w:val="en-GB" w:bidi="ar-SA"/>
        </w:rPr>
        <w:t>ut reliable and timely data on this is difficult to find</w:t>
      </w:r>
      <w:r w:rsidR="00BF7FBA" w:rsidRPr="00764F24">
        <w:rPr>
          <w:rFonts w:eastAsia="Calibri" w:cstheme="minorHAnsi"/>
          <w:szCs w:val="24"/>
          <w:lang w:val="en-GB" w:bidi="ar-SA"/>
        </w:rPr>
        <w:t xml:space="preserve">. </w:t>
      </w:r>
      <w:r w:rsidRPr="00764F24">
        <w:rPr>
          <w:rFonts w:eastAsia="Calibri" w:cstheme="minorHAnsi"/>
          <w:szCs w:val="24"/>
          <w:lang w:val="en-GB" w:bidi="ar-SA"/>
        </w:rPr>
        <w:t>According to the FCA’s 2017 Financial Lives Survey</w:t>
      </w:r>
      <w:r w:rsidRPr="00764F24">
        <w:rPr>
          <w:rFonts w:eastAsia="Calibri" w:cstheme="minorHAnsi"/>
          <w:szCs w:val="24"/>
          <w:vertAlign w:val="superscript"/>
          <w:lang w:val="en-GB" w:bidi="ar-SA"/>
        </w:rPr>
        <w:footnoteReference w:id="79"/>
      </w:r>
      <w:r w:rsidRPr="00764F24">
        <w:rPr>
          <w:rFonts w:eastAsia="Calibri" w:cstheme="minorHAnsi"/>
          <w:szCs w:val="24"/>
          <w:lang w:val="en-GB" w:bidi="ar-SA"/>
        </w:rPr>
        <w:t xml:space="preserve"> a third of the 52 million personal current account users in the UK used arranged overdrafts, and a quarter used unarranged overdrafts, while more than 3m consumers used the other forms</w:t>
      </w:r>
      <w:r w:rsidRPr="00764F24">
        <w:rPr>
          <w:rFonts w:eastAsia="Calibri" w:cstheme="minorHAnsi"/>
          <w:szCs w:val="24"/>
          <w:vertAlign w:val="superscript"/>
          <w:lang w:val="en-GB" w:bidi="ar-SA"/>
        </w:rPr>
        <w:footnoteReference w:id="80"/>
      </w:r>
      <w:r w:rsidRPr="00764F24">
        <w:rPr>
          <w:rFonts w:eastAsia="Calibri" w:cstheme="minorHAnsi"/>
          <w:szCs w:val="24"/>
          <w:lang w:val="en-GB" w:bidi="ar-SA"/>
        </w:rPr>
        <w:t xml:space="preserve"> of high-cost credit (equivalent to one in twenty – or 6</w:t>
      </w:r>
      <w:r w:rsidR="00125F43" w:rsidRPr="00764F24">
        <w:rPr>
          <w:rFonts w:eastAsiaTheme="majorEastAsia" w:cstheme="minorHAnsi"/>
          <w:bCs/>
          <w:kern w:val="32"/>
          <w:szCs w:val="24"/>
          <w:lang w:val="en-GB"/>
        </w:rPr>
        <w:t xml:space="preserve"> per cent</w:t>
      </w:r>
      <w:r w:rsidRPr="00764F24">
        <w:rPr>
          <w:rFonts w:eastAsia="Calibri" w:cstheme="minorHAnsi"/>
          <w:szCs w:val="24"/>
          <w:lang w:val="en-GB" w:bidi="ar-SA"/>
        </w:rPr>
        <w:t xml:space="preserve"> UK adults)</w:t>
      </w:r>
      <w:r w:rsidR="00BF7FBA" w:rsidRPr="00764F24">
        <w:rPr>
          <w:rFonts w:eastAsia="Calibri" w:cstheme="minorHAnsi"/>
          <w:szCs w:val="24"/>
          <w:lang w:val="en-GB" w:bidi="ar-SA"/>
        </w:rPr>
        <w:t>.</w:t>
      </w:r>
      <w:r w:rsidR="00AA0467" w:rsidRPr="00764F24">
        <w:rPr>
          <w:rFonts w:eastAsia="Calibri" w:cstheme="minorHAnsi"/>
          <w:szCs w:val="24"/>
          <w:lang w:val="en-GB" w:bidi="ar-SA"/>
        </w:rPr>
        <w:t xml:space="preserve"> </w:t>
      </w:r>
      <w:r w:rsidRPr="00764F24">
        <w:rPr>
          <w:rFonts w:eastAsia="Calibri" w:cstheme="minorHAnsi"/>
          <w:szCs w:val="24"/>
          <w:lang w:val="en-GB" w:bidi="ar-SA"/>
        </w:rPr>
        <w:t>Some groups were more likely to use particular types of high-cost credit than others</w:t>
      </w:r>
      <w:r w:rsidR="00BF7FBA" w:rsidRPr="00764F24">
        <w:rPr>
          <w:rFonts w:eastAsia="Calibri" w:cstheme="minorHAnsi"/>
          <w:szCs w:val="24"/>
          <w:lang w:val="en-GB" w:bidi="ar-SA"/>
        </w:rPr>
        <w:t xml:space="preserve">. </w:t>
      </w:r>
      <w:r w:rsidRPr="00764F24">
        <w:rPr>
          <w:rFonts w:eastAsia="Calibri" w:cstheme="minorHAnsi"/>
          <w:szCs w:val="24"/>
          <w:lang w:val="en-GB" w:bidi="ar-SA"/>
        </w:rPr>
        <w:t>For example, payday loans, short</w:t>
      </w:r>
      <w:r w:rsidRPr="00764F24">
        <w:rPr>
          <w:rFonts w:ascii="Cambria Math" w:eastAsia="Calibri" w:hAnsi="Cambria Math" w:cs="Cambria Math"/>
          <w:szCs w:val="24"/>
          <w:lang w:val="en-GB" w:bidi="ar-SA"/>
        </w:rPr>
        <w:t>‑</w:t>
      </w:r>
      <w:r w:rsidRPr="00764F24">
        <w:rPr>
          <w:rFonts w:eastAsia="Calibri" w:cstheme="minorHAnsi"/>
          <w:szCs w:val="24"/>
          <w:lang w:val="en-GB" w:bidi="ar-SA"/>
        </w:rPr>
        <w:t>term instalment loans and pawnbroking were more likely to be used by younger adults (18</w:t>
      </w:r>
      <w:r w:rsidRPr="00764F24">
        <w:rPr>
          <w:rFonts w:ascii="Cambria Math" w:eastAsia="Calibri" w:hAnsi="Cambria Math" w:cs="Cambria Math"/>
          <w:szCs w:val="24"/>
          <w:lang w:val="en-GB" w:bidi="ar-SA"/>
        </w:rPr>
        <w:t>‑</w:t>
      </w:r>
      <w:r w:rsidRPr="00764F24">
        <w:rPr>
          <w:rFonts w:eastAsia="Calibri" w:cstheme="minorHAnsi"/>
          <w:szCs w:val="24"/>
          <w:lang w:val="en-GB" w:bidi="ar-SA"/>
        </w:rPr>
        <w:t>34 year olds) and single people. Hire purchase and logbook loans were more commonly used by older adults and couples. Women were more likely than men to be customers of home collected credit while men were more likely than women to use payday loans.</w:t>
      </w:r>
    </w:p>
    <w:p w14:paraId="1563435B" w14:textId="4DFA21BB" w:rsidR="007E64E2" w:rsidRPr="00764F24" w:rsidRDefault="00BE2F4B" w:rsidP="00D86B69">
      <w:pPr>
        <w:spacing w:beforeAutospacing="1" w:after="100" w:afterAutospacing="1" w:line="360" w:lineRule="auto"/>
        <w:rPr>
          <w:rFonts w:eastAsia="Calibri" w:cstheme="minorHAnsi"/>
          <w:szCs w:val="24"/>
          <w:lang w:val="en-GB" w:bidi="ar-SA"/>
        </w:rPr>
      </w:pPr>
      <w:r w:rsidRPr="00764F24">
        <w:rPr>
          <w:rFonts w:eastAsia="Calibri" w:cstheme="minorHAnsi"/>
          <w:szCs w:val="24"/>
          <w:lang w:val="en-GB" w:bidi="ar-SA"/>
        </w:rPr>
        <w:t xml:space="preserve">In terms of overdraft use, the Financial Lives survey </w:t>
      </w:r>
      <w:r w:rsidR="00C50AA2" w:rsidRPr="00764F24">
        <w:rPr>
          <w:rFonts w:eastAsia="Calibri" w:cstheme="minorHAnsi"/>
          <w:szCs w:val="24"/>
          <w:lang w:val="en-GB" w:bidi="ar-SA"/>
        </w:rPr>
        <w:t xml:space="preserve">also </w:t>
      </w:r>
      <w:r w:rsidRPr="00764F24">
        <w:rPr>
          <w:rFonts w:eastAsia="Calibri" w:cstheme="minorHAnsi"/>
          <w:szCs w:val="24"/>
          <w:lang w:val="en-GB" w:bidi="ar-SA"/>
        </w:rPr>
        <w:t>found that, in 2017, 12.9 million people, or a quarter (25</w:t>
      </w:r>
      <w:r w:rsidR="00C74C38" w:rsidRPr="00764F24">
        <w:rPr>
          <w:rFonts w:eastAsia="Calibri" w:cstheme="minorHAnsi"/>
          <w:szCs w:val="24"/>
          <w:lang w:val="en-GB" w:bidi="ar-SA"/>
        </w:rPr>
        <w:t xml:space="preserve"> </w:t>
      </w:r>
      <w:r w:rsidR="00692125" w:rsidRPr="00764F24">
        <w:rPr>
          <w:rFonts w:eastAsia="Calibri" w:cstheme="minorHAnsi"/>
          <w:szCs w:val="24"/>
          <w:lang w:val="en-GB" w:bidi="ar-SA"/>
        </w:rPr>
        <w:t>per cent)</w:t>
      </w:r>
      <w:r w:rsidRPr="00764F24">
        <w:rPr>
          <w:rFonts w:eastAsia="Calibri" w:cstheme="minorHAnsi"/>
          <w:szCs w:val="24"/>
          <w:lang w:val="en-GB" w:bidi="ar-SA"/>
        </w:rPr>
        <w:t xml:space="preserve"> of all UK adults, had been overdrawn at some point in the last 12 </w:t>
      </w:r>
      <w:r w:rsidRPr="00764F24">
        <w:rPr>
          <w:rFonts w:eastAsia="Calibri" w:cstheme="minorHAnsi"/>
          <w:szCs w:val="24"/>
          <w:lang w:val="en-GB" w:bidi="ar-SA"/>
        </w:rPr>
        <w:lastRenderedPageBreak/>
        <w:t>months</w:t>
      </w:r>
      <w:r w:rsidR="00BF7FBA" w:rsidRPr="00764F24">
        <w:rPr>
          <w:rFonts w:eastAsia="Calibri" w:cstheme="minorHAnsi"/>
          <w:szCs w:val="24"/>
          <w:lang w:val="en-GB" w:bidi="ar-SA"/>
        </w:rPr>
        <w:t xml:space="preserve">. </w:t>
      </w:r>
      <w:r w:rsidRPr="00764F24">
        <w:rPr>
          <w:rFonts w:eastAsia="Calibri" w:cstheme="minorHAnsi"/>
          <w:szCs w:val="24"/>
          <w:lang w:val="en-GB" w:bidi="ar-SA"/>
        </w:rPr>
        <w:t>One in ten (9</w:t>
      </w:r>
      <w:r w:rsidR="00C74C38" w:rsidRPr="00764F24">
        <w:rPr>
          <w:rFonts w:eastAsia="Calibri" w:cstheme="minorHAnsi"/>
          <w:szCs w:val="24"/>
          <w:lang w:val="en-GB" w:bidi="ar-SA"/>
        </w:rPr>
        <w:t xml:space="preserve"> </w:t>
      </w:r>
      <w:r w:rsidR="00692125" w:rsidRPr="00764F24">
        <w:rPr>
          <w:rFonts w:eastAsia="Calibri" w:cstheme="minorHAnsi"/>
          <w:szCs w:val="24"/>
          <w:lang w:val="en-GB" w:bidi="ar-SA"/>
        </w:rPr>
        <w:t>per cent)</w:t>
      </w:r>
      <w:r w:rsidRPr="00764F24">
        <w:rPr>
          <w:rFonts w:eastAsia="Calibri" w:cstheme="minorHAnsi"/>
          <w:szCs w:val="24"/>
          <w:lang w:val="en-GB" w:bidi="ar-SA"/>
        </w:rPr>
        <w:t xml:space="preserve"> UK adults were overdrawn at the time of the survey in 2017. Credit cards, however, were the most widely held credit product with three fifths (62</w:t>
      </w:r>
      <w:r w:rsidR="00C74C38" w:rsidRPr="00764F24">
        <w:rPr>
          <w:rFonts w:eastAsia="Calibri" w:cstheme="minorHAnsi"/>
          <w:szCs w:val="24"/>
          <w:lang w:val="en-GB" w:bidi="ar-SA"/>
        </w:rPr>
        <w:t xml:space="preserve"> </w:t>
      </w:r>
      <w:r w:rsidR="00692125" w:rsidRPr="00764F24">
        <w:rPr>
          <w:rFonts w:eastAsia="Calibri" w:cstheme="minorHAnsi"/>
          <w:szCs w:val="24"/>
          <w:lang w:val="en-GB" w:bidi="ar-SA"/>
        </w:rPr>
        <w:t>per cent)</w:t>
      </w:r>
      <w:r w:rsidRPr="00764F24">
        <w:rPr>
          <w:rFonts w:eastAsia="Calibri" w:cstheme="minorHAnsi"/>
          <w:szCs w:val="24"/>
          <w:lang w:val="en-GB" w:bidi="ar-SA"/>
        </w:rPr>
        <w:t xml:space="preserve"> of all UK adults, or 31.6 million people, having a credit card, but only one fifth (19</w:t>
      </w:r>
      <w:r w:rsidR="00C74C38" w:rsidRPr="00764F24">
        <w:rPr>
          <w:rFonts w:eastAsia="Calibri" w:cstheme="minorHAnsi"/>
          <w:szCs w:val="24"/>
          <w:lang w:val="en-GB" w:bidi="ar-SA"/>
        </w:rPr>
        <w:t xml:space="preserve"> </w:t>
      </w:r>
      <w:r w:rsidR="00692125" w:rsidRPr="00764F24">
        <w:rPr>
          <w:rFonts w:eastAsia="Calibri" w:cstheme="minorHAnsi"/>
          <w:szCs w:val="24"/>
          <w:lang w:val="en-GB" w:bidi="ar-SA"/>
        </w:rPr>
        <w:t>per cent)</w:t>
      </w:r>
      <w:r w:rsidRPr="00764F24">
        <w:rPr>
          <w:rFonts w:eastAsia="Calibri" w:cstheme="minorHAnsi"/>
          <w:szCs w:val="24"/>
          <w:lang w:val="en-GB" w:bidi="ar-SA"/>
        </w:rPr>
        <w:t>, or 9.6 million people, using the card for credit purposes, that is, revolving a balance. Most credit card holders paid their bill off in full every month if they used their card at all.</w:t>
      </w:r>
    </w:p>
    <w:p w14:paraId="6F78146F" w14:textId="358EF41C" w:rsidR="007E64E2" w:rsidRPr="00764F24" w:rsidRDefault="00C50AA2" w:rsidP="00D86B69">
      <w:pPr>
        <w:spacing w:beforeAutospacing="1" w:after="100" w:afterAutospacing="1" w:line="360" w:lineRule="auto"/>
        <w:rPr>
          <w:rFonts w:cstheme="minorHAnsi"/>
          <w:szCs w:val="24"/>
          <w:lang w:val="en-GB"/>
        </w:rPr>
      </w:pPr>
      <w:r w:rsidRPr="00764F24">
        <w:rPr>
          <w:rFonts w:cstheme="minorHAnsi"/>
          <w:szCs w:val="24"/>
          <w:lang w:val="en-GB"/>
        </w:rPr>
        <w:t xml:space="preserve">Financial inclusion policies </w:t>
      </w:r>
      <w:r w:rsidR="009C38F4">
        <w:rPr>
          <w:rFonts w:cstheme="minorHAnsi"/>
          <w:szCs w:val="24"/>
          <w:lang w:val="en-GB"/>
        </w:rPr>
        <w:t xml:space="preserve">generally </w:t>
      </w:r>
      <w:r w:rsidRPr="00764F24">
        <w:rPr>
          <w:rFonts w:cstheme="minorHAnsi"/>
          <w:szCs w:val="24"/>
          <w:lang w:val="en-GB"/>
        </w:rPr>
        <w:t>aim to increase access to affordable credit, including credit unions and o</w:t>
      </w:r>
      <w:r w:rsidR="00EE04CB" w:rsidRPr="00764F24">
        <w:rPr>
          <w:rFonts w:cstheme="minorHAnsi"/>
          <w:szCs w:val="24"/>
          <w:lang w:val="en-GB"/>
        </w:rPr>
        <w:t>ver</w:t>
      </w:r>
      <w:r w:rsidR="002F74F7" w:rsidRPr="00764F24">
        <w:rPr>
          <w:rFonts w:cstheme="minorHAnsi"/>
          <w:szCs w:val="24"/>
          <w:lang w:val="en-GB"/>
        </w:rPr>
        <w:t xml:space="preserve"> </w:t>
      </w:r>
      <w:r w:rsidR="00314DD4" w:rsidRPr="00764F24">
        <w:rPr>
          <w:rFonts w:cstheme="minorHAnsi"/>
          <w:szCs w:val="24"/>
          <w:lang w:val="en-GB"/>
        </w:rPr>
        <w:t>2.1</w:t>
      </w:r>
      <w:r w:rsidR="009605AE" w:rsidRPr="00764F24">
        <w:rPr>
          <w:rFonts w:cstheme="minorHAnsi"/>
          <w:szCs w:val="24"/>
          <w:lang w:val="en-GB"/>
        </w:rPr>
        <w:t xml:space="preserve"> million people (including young people) were members of credit unions </w:t>
      </w:r>
      <w:r w:rsidR="00314DD4" w:rsidRPr="00764F24">
        <w:rPr>
          <w:rFonts w:cstheme="minorHAnsi"/>
          <w:szCs w:val="24"/>
          <w:lang w:val="en-GB"/>
        </w:rPr>
        <w:t>in the UK with the vast majority (1.9 million) being adults</w:t>
      </w:r>
      <w:r w:rsidR="00BF7FBA" w:rsidRPr="00764F24">
        <w:rPr>
          <w:rFonts w:cstheme="minorHAnsi"/>
          <w:szCs w:val="24"/>
          <w:lang w:val="en-GB"/>
        </w:rPr>
        <w:t xml:space="preserve">. </w:t>
      </w:r>
      <w:r w:rsidR="00314DD4" w:rsidRPr="00764F24">
        <w:rPr>
          <w:rFonts w:cstheme="minorHAnsi"/>
          <w:szCs w:val="24"/>
          <w:lang w:val="en-GB"/>
        </w:rPr>
        <w:t>There has been a 4.5</w:t>
      </w:r>
      <w:r w:rsidR="00C74C38" w:rsidRPr="00764F24">
        <w:rPr>
          <w:rFonts w:cstheme="minorHAnsi"/>
          <w:szCs w:val="24"/>
          <w:lang w:val="en-GB"/>
        </w:rPr>
        <w:t xml:space="preserve"> per cent</w:t>
      </w:r>
      <w:r w:rsidR="00314DD4" w:rsidRPr="00764F24">
        <w:rPr>
          <w:rFonts w:cstheme="minorHAnsi"/>
          <w:szCs w:val="24"/>
          <w:lang w:val="en-GB"/>
        </w:rPr>
        <w:t xml:space="preserve"> increase in adult members over the previous year but a drop of 2.3</w:t>
      </w:r>
      <w:r w:rsidR="00125F43" w:rsidRPr="00764F24">
        <w:rPr>
          <w:rFonts w:eastAsiaTheme="majorEastAsia" w:cstheme="minorHAnsi"/>
          <w:bCs/>
          <w:kern w:val="32"/>
          <w:szCs w:val="24"/>
          <w:lang w:val="en-GB"/>
        </w:rPr>
        <w:t xml:space="preserve"> per cent</w:t>
      </w:r>
      <w:r w:rsidR="00314DD4" w:rsidRPr="00764F24">
        <w:rPr>
          <w:rFonts w:cstheme="minorHAnsi"/>
          <w:szCs w:val="24"/>
          <w:lang w:val="en-GB"/>
        </w:rPr>
        <w:t xml:space="preserve"> of young members</w:t>
      </w:r>
      <w:r w:rsidR="009C38F4">
        <w:rPr>
          <w:rFonts w:cstheme="minorHAnsi"/>
          <w:szCs w:val="24"/>
          <w:lang w:val="en-GB"/>
        </w:rPr>
        <w:t xml:space="preserve"> (under 16)</w:t>
      </w:r>
      <w:r w:rsidR="00BF7FBA" w:rsidRPr="00764F24">
        <w:rPr>
          <w:rFonts w:cstheme="minorHAnsi"/>
          <w:szCs w:val="24"/>
          <w:lang w:val="en-GB"/>
        </w:rPr>
        <w:t xml:space="preserve">. </w:t>
      </w:r>
      <w:r w:rsidR="00314DD4" w:rsidRPr="00764F24">
        <w:rPr>
          <w:rFonts w:cstheme="minorHAnsi"/>
          <w:szCs w:val="24"/>
          <w:lang w:val="en-GB"/>
        </w:rPr>
        <w:t>While most members are based in England (see figure 8.7) the percentage of the English population who are credit union members is actually very small (about 2</w:t>
      </w:r>
      <w:r w:rsidR="00A7794E" w:rsidRPr="00764F24">
        <w:rPr>
          <w:rFonts w:cstheme="minorHAnsi"/>
          <w:szCs w:val="24"/>
          <w:lang w:val="en-GB"/>
        </w:rPr>
        <w:t xml:space="preserve"> </w:t>
      </w:r>
      <w:r w:rsidR="00692125" w:rsidRPr="00764F24">
        <w:rPr>
          <w:rFonts w:cstheme="minorHAnsi"/>
          <w:szCs w:val="24"/>
          <w:lang w:val="en-GB"/>
        </w:rPr>
        <w:t>per cent)</w:t>
      </w:r>
      <w:r w:rsidR="00BF7FBA" w:rsidRPr="00764F24">
        <w:rPr>
          <w:rFonts w:cstheme="minorHAnsi"/>
          <w:szCs w:val="24"/>
          <w:lang w:val="en-GB"/>
        </w:rPr>
        <w:t xml:space="preserve">. </w:t>
      </w:r>
      <w:r w:rsidR="00314DD4" w:rsidRPr="00764F24">
        <w:rPr>
          <w:rFonts w:cstheme="minorHAnsi"/>
          <w:szCs w:val="24"/>
          <w:lang w:val="en-GB"/>
        </w:rPr>
        <w:t>The percentage of Northern Irish population who are members is much greater at about one in three (32 per cent) see figure 8.8.</w:t>
      </w:r>
    </w:p>
    <w:p w14:paraId="1C45B493" w14:textId="77777777" w:rsidR="009C38F4" w:rsidRDefault="009C38F4">
      <w:pPr>
        <w:rPr>
          <w:rFonts w:cstheme="minorHAnsi"/>
          <w:b/>
          <w:bCs/>
          <w:color w:val="374C80" w:themeColor="accent1" w:themeShade="BF"/>
          <w:szCs w:val="24"/>
          <w:lang w:val="en-GB"/>
        </w:rPr>
      </w:pPr>
      <w:r>
        <w:rPr>
          <w:rFonts w:cstheme="minorHAnsi"/>
          <w:szCs w:val="24"/>
          <w:lang w:val="en-GB"/>
        </w:rPr>
        <w:br w:type="page"/>
      </w:r>
    </w:p>
    <w:p w14:paraId="28B5921F" w14:textId="47BB96F0" w:rsidR="000A3F9B" w:rsidRPr="00764F24" w:rsidRDefault="000A3F9B"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 xml:space="preserve">Figure </w:t>
      </w:r>
      <w:r w:rsidR="00F514C8" w:rsidRPr="00764F24">
        <w:rPr>
          <w:rFonts w:cstheme="minorHAnsi"/>
          <w:sz w:val="24"/>
          <w:szCs w:val="24"/>
          <w:lang w:val="en-GB"/>
        </w:rPr>
        <w:t>8.7</w:t>
      </w:r>
      <w:r w:rsidR="00F62012" w:rsidRPr="00764F24">
        <w:rPr>
          <w:rFonts w:cstheme="minorHAnsi"/>
          <w:sz w:val="24"/>
          <w:szCs w:val="24"/>
          <w:lang w:val="en-GB"/>
        </w:rPr>
        <w:t>.</w:t>
      </w:r>
      <w:r w:rsidR="00FD788B">
        <w:rPr>
          <w:rFonts w:cstheme="minorHAnsi"/>
          <w:sz w:val="24"/>
          <w:szCs w:val="24"/>
          <w:lang w:val="en-GB"/>
        </w:rPr>
        <w:t xml:space="preserve"> </w:t>
      </w:r>
      <w:r w:rsidRPr="00764F24">
        <w:rPr>
          <w:rFonts w:cstheme="minorHAnsi"/>
          <w:sz w:val="24"/>
          <w:szCs w:val="24"/>
          <w:lang w:val="en-GB"/>
        </w:rPr>
        <w:t xml:space="preserve">Total number of members of credit unions in </w:t>
      </w:r>
      <w:r w:rsidR="00F514C8" w:rsidRPr="00764F24">
        <w:rPr>
          <w:rFonts w:cstheme="minorHAnsi"/>
          <w:sz w:val="24"/>
          <w:szCs w:val="24"/>
          <w:lang w:val="en-GB"/>
        </w:rPr>
        <w:t>the UK</w:t>
      </w:r>
      <w:r w:rsidR="00314DD4" w:rsidRPr="00764F24">
        <w:rPr>
          <w:rFonts w:cstheme="minorHAnsi"/>
          <w:sz w:val="24"/>
          <w:szCs w:val="24"/>
          <w:lang w:val="en-GB"/>
        </w:rPr>
        <w:t xml:space="preserve"> </w:t>
      </w:r>
      <w:r w:rsidRPr="00764F24">
        <w:rPr>
          <w:rFonts w:cstheme="minorHAnsi"/>
          <w:sz w:val="24"/>
          <w:szCs w:val="24"/>
          <w:lang w:val="en-GB"/>
        </w:rPr>
        <w:t>(including 'Juvenile Depositors')</w:t>
      </w:r>
      <w:r w:rsidR="00314DD4" w:rsidRPr="00764F24">
        <w:rPr>
          <w:rFonts w:cstheme="minorHAnsi"/>
          <w:sz w:val="24"/>
          <w:szCs w:val="24"/>
          <w:lang w:val="en-GB"/>
        </w:rPr>
        <w:t xml:space="preserve"> in 2019</w:t>
      </w:r>
      <w:r w:rsidR="00F62012" w:rsidRPr="00764F24">
        <w:rPr>
          <w:rFonts w:cstheme="minorHAnsi"/>
          <w:sz w:val="24"/>
          <w:szCs w:val="24"/>
          <w:lang w:val="en-GB"/>
        </w:rPr>
        <w:t>. Source:</w:t>
      </w:r>
      <w:r w:rsidRPr="00764F24">
        <w:rPr>
          <w:rFonts w:cstheme="minorHAnsi"/>
          <w:sz w:val="24"/>
          <w:szCs w:val="24"/>
          <w:lang w:val="en-GB"/>
        </w:rPr>
        <w:t xml:space="preserve"> Bank of England Data</w:t>
      </w:r>
      <w:r w:rsidR="00314DD4" w:rsidRPr="00764F24">
        <w:rPr>
          <w:rStyle w:val="FootnoteReference"/>
          <w:rFonts w:cstheme="minorHAnsi"/>
          <w:b w:val="0"/>
          <w:sz w:val="24"/>
          <w:szCs w:val="24"/>
          <w:lang w:val="en-GB"/>
        </w:rPr>
        <w:footnoteReference w:id="81"/>
      </w:r>
    </w:p>
    <w:p w14:paraId="735E5664" w14:textId="77777777" w:rsidR="007E64E2" w:rsidRPr="00764F24" w:rsidRDefault="00314DD4" w:rsidP="00D86B69">
      <w:pPr>
        <w:spacing w:beforeAutospacing="1" w:after="100" w:afterAutospacing="1" w:line="360" w:lineRule="auto"/>
        <w:rPr>
          <w:rFonts w:cstheme="minorHAnsi"/>
          <w:b/>
          <w:szCs w:val="24"/>
          <w:lang w:val="en-GB"/>
        </w:rPr>
      </w:pPr>
      <w:r w:rsidRPr="00764F24">
        <w:rPr>
          <w:rFonts w:cstheme="minorHAnsi"/>
          <w:noProof/>
          <w:szCs w:val="24"/>
          <w:lang w:val="en-GB" w:eastAsia="en-GB" w:bidi="ar-SA"/>
        </w:rPr>
        <w:drawing>
          <wp:inline distT="0" distB="0" distL="0" distR="0" wp14:anchorId="3C19647F" wp14:editId="33D2A7CB">
            <wp:extent cx="4572000" cy="2743200"/>
            <wp:effectExtent l="0" t="0" r="0" b="0"/>
            <wp:docPr id="10" name="Chart 10" descr="Total number of members of credit unions in the UK."/>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8B383B4" w14:textId="6CB4E912" w:rsidR="002527C9" w:rsidRPr="00764F24" w:rsidRDefault="00314DD4"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t>Figure 8.8</w:t>
      </w:r>
      <w:r w:rsidR="00F62012" w:rsidRPr="00764F24">
        <w:rPr>
          <w:rFonts w:cstheme="minorHAnsi"/>
          <w:sz w:val="24"/>
          <w:szCs w:val="24"/>
          <w:lang w:val="en-GB"/>
        </w:rPr>
        <w:t xml:space="preserve">. </w:t>
      </w:r>
      <w:r w:rsidRPr="00764F24">
        <w:rPr>
          <w:rFonts w:cstheme="minorHAnsi"/>
          <w:sz w:val="24"/>
          <w:szCs w:val="24"/>
          <w:lang w:val="en-GB"/>
        </w:rPr>
        <w:t>Percentage of population in country who are members of credit unions in the UK (including 'Juvenile Depositors') in 2019</w:t>
      </w:r>
      <w:r w:rsidR="00F62012" w:rsidRPr="00764F24">
        <w:rPr>
          <w:rFonts w:cstheme="minorHAnsi"/>
          <w:sz w:val="24"/>
          <w:szCs w:val="24"/>
          <w:lang w:val="en-GB"/>
        </w:rPr>
        <w:t>. Source:</w:t>
      </w:r>
      <w:r w:rsidRPr="00764F24">
        <w:rPr>
          <w:rFonts w:cstheme="minorHAnsi"/>
          <w:sz w:val="24"/>
          <w:szCs w:val="24"/>
          <w:lang w:val="en-GB"/>
        </w:rPr>
        <w:t xml:space="preserve"> Bank of England Data</w:t>
      </w:r>
      <w:r w:rsidRPr="00764F24">
        <w:rPr>
          <w:rStyle w:val="FootnoteReference"/>
          <w:rFonts w:cstheme="minorHAnsi"/>
          <w:b w:val="0"/>
          <w:sz w:val="24"/>
          <w:szCs w:val="24"/>
          <w:lang w:val="en-GB"/>
        </w:rPr>
        <w:footnoteReference w:id="82"/>
      </w:r>
    </w:p>
    <w:p w14:paraId="7D8024F7" w14:textId="77777777" w:rsidR="007E64E2" w:rsidRPr="00764F24" w:rsidRDefault="00314DD4" w:rsidP="00D86B69">
      <w:pPr>
        <w:spacing w:beforeAutospacing="1" w:after="100" w:afterAutospacing="1" w:line="360" w:lineRule="auto"/>
        <w:rPr>
          <w:rFonts w:cstheme="minorHAnsi"/>
          <w:b/>
          <w:szCs w:val="24"/>
          <w:lang w:val="en-GB"/>
        </w:rPr>
      </w:pPr>
      <w:r w:rsidRPr="00764F24">
        <w:rPr>
          <w:rFonts w:cstheme="minorHAnsi"/>
          <w:noProof/>
          <w:szCs w:val="24"/>
          <w:lang w:val="en-GB" w:eastAsia="en-GB" w:bidi="ar-SA"/>
        </w:rPr>
        <w:drawing>
          <wp:inline distT="0" distB="0" distL="0" distR="0" wp14:anchorId="0CCF915D" wp14:editId="2F17BEAB">
            <wp:extent cx="4572000" cy="2743200"/>
            <wp:effectExtent l="0" t="0" r="0" b="0"/>
            <wp:docPr id="11" name="Chart 11" descr="32% of those in Northern Ireland have a credit union account, compared with 7% in Scotland, and 2% in England or Wal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62BD903" w14:textId="75BEAED7" w:rsidR="00D32434" w:rsidRPr="00764F24" w:rsidRDefault="00D32434" w:rsidP="00D86B69">
      <w:pPr>
        <w:pStyle w:val="Heading2"/>
        <w:numPr>
          <w:ilvl w:val="0"/>
          <w:numId w:val="10"/>
        </w:numPr>
        <w:spacing w:beforeAutospacing="1" w:after="100" w:afterAutospacing="1" w:line="360" w:lineRule="auto"/>
        <w:rPr>
          <w:rFonts w:cstheme="minorHAnsi"/>
          <w:szCs w:val="24"/>
          <w:lang w:val="en-GB"/>
        </w:rPr>
      </w:pPr>
      <w:bookmarkStart w:id="47" w:name="_Toc51250066"/>
      <w:bookmarkStart w:id="48" w:name="_Toc54600808"/>
      <w:r w:rsidRPr="00764F24">
        <w:rPr>
          <w:rFonts w:cstheme="minorHAnsi"/>
          <w:szCs w:val="24"/>
          <w:lang w:val="en-GB"/>
        </w:rPr>
        <w:lastRenderedPageBreak/>
        <w:t>Problem debt</w:t>
      </w:r>
      <w:bookmarkEnd w:id="47"/>
      <w:bookmarkEnd w:id="48"/>
    </w:p>
    <w:p w14:paraId="2F466578" w14:textId="77777777" w:rsidR="00053374" w:rsidRPr="00764F24" w:rsidRDefault="00053374" w:rsidP="00D86B69">
      <w:pPr>
        <w:spacing w:beforeAutospacing="1" w:after="100" w:afterAutospacing="1" w:line="360" w:lineRule="auto"/>
        <w:rPr>
          <w:rFonts w:cstheme="minorHAnsi"/>
          <w:szCs w:val="24"/>
          <w:lang w:val="en-GB"/>
        </w:rPr>
      </w:pPr>
    </w:p>
    <w:p w14:paraId="55FD2616" w14:textId="650F2DFA" w:rsidR="00E172AC" w:rsidRPr="00764F24" w:rsidRDefault="0089700F" w:rsidP="00D86B69">
      <w:pPr>
        <w:spacing w:beforeAutospacing="1" w:after="100" w:afterAutospacing="1" w:line="360" w:lineRule="auto"/>
        <w:rPr>
          <w:rFonts w:cstheme="minorHAnsi"/>
          <w:szCs w:val="24"/>
          <w:lang w:val="en-GB"/>
        </w:rPr>
      </w:pPr>
      <w:r w:rsidRPr="00764F24">
        <w:rPr>
          <w:rFonts w:cstheme="minorHAnsi"/>
          <w:szCs w:val="24"/>
          <w:lang w:val="en-GB"/>
        </w:rPr>
        <w:t>We saw, in the previous section, levels of borrowing</w:t>
      </w:r>
      <w:r w:rsidR="00BF7FBA" w:rsidRPr="00764F24">
        <w:rPr>
          <w:rFonts w:cstheme="minorHAnsi"/>
          <w:szCs w:val="24"/>
          <w:lang w:val="en-GB"/>
        </w:rPr>
        <w:t xml:space="preserve">. </w:t>
      </w:r>
      <w:r w:rsidR="00CE47D1" w:rsidRPr="00764F24">
        <w:rPr>
          <w:rFonts w:cstheme="minorHAnsi"/>
          <w:szCs w:val="24"/>
          <w:lang w:val="en-GB"/>
        </w:rPr>
        <w:t>This chapter reviews data on the difficulties people may have in repaying this debt</w:t>
      </w:r>
      <w:r w:rsidR="00BF7FBA" w:rsidRPr="00764F24">
        <w:rPr>
          <w:rFonts w:cstheme="minorHAnsi"/>
          <w:szCs w:val="24"/>
          <w:lang w:val="en-GB"/>
        </w:rPr>
        <w:t xml:space="preserve">. </w:t>
      </w:r>
      <w:r w:rsidR="00CE47D1" w:rsidRPr="00764F24">
        <w:rPr>
          <w:rFonts w:cstheme="minorHAnsi"/>
          <w:szCs w:val="24"/>
          <w:lang w:val="en-GB"/>
        </w:rPr>
        <w:t>It also reviews difficulties paying utility and other bills</w:t>
      </w:r>
      <w:r w:rsidR="00BF7FBA" w:rsidRPr="00764F24">
        <w:rPr>
          <w:rFonts w:cstheme="minorHAnsi"/>
          <w:szCs w:val="24"/>
          <w:lang w:val="en-GB"/>
        </w:rPr>
        <w:t xml:space="preserve">. </w:t>
      </w:r>
      <w:r w:rsidR="00D32434" w:rsidRPr="00764F24">
        <w:rPr>
          <w:rFonts w:cstheme="minorHAnsi"/>
          <w:szCs w:val="24"/>
          <w:lang w:val="en-GB"/>
        </w:rPr>
        <w:t xml:space="preserve">As is the case with data on </w:t>
      </w:r>
      <w:r w:rsidR="008B5CD2" w:rsidRPr="00764F24">
        <w:rPr>
          <w:rFonts w:cstheme="minorHAnsi"/>
          <w:szCs w:val="24"/>
          <w:lang w:val="en-GB"/>
        </w:rPr>
        <w:t>‘</w:t>
      </w:r>
      <w:r w:rsidR="00D32434" w:rsidRPr="00764F24">
        <w:rPr>
          <w:rFonts w:cstheme="minorHAnsi"/>
          <w:szCs w:val="24"/>
          <w:lang w:val="en-GB"/>
        </w:rPr>
        <w:t>borrowing</w:t>
      </w:r>
      <w:r w:rsidR="008B5CD2" w:rsidRPr="00764F24">
        <w:rPr>
          <w:rFonts w:cstheme="minorHAnsi"/>
          <w:szCs w:val="24"/>
          <w:lang w:val="en-GB"/>
        </w:rPr>
        <w:t>’</w:t>
      </w:r>
      <w:r w:rsidR="00D32434" w:rsidRPr="00764F24">
        <w:rPr>
          <w:rFonts w:cstheme="minorHAnsi"/>
          <w:szCs w:val="24"/>
          <w:lang w:val="en-GB"/>
        </w:rPr>
        <w:t xml:space="preserve">, there are also issues in relation to data on </w:t>
      </w:r>
      <w:r w:rsidR="008B5CD2" w:rsidRPr="00764F24">
        <w:rPr>
          <w:rFonts w:cstheme="minorHAnsi"/>
          <w:szCs w:val="24"/>
          <w:lang w:val="en-GB"/>
        </w:rPr>
        <w:t>‘</w:t>
      </w:r>
      <w:r w:rsidR="00D32434" w:rsidRPr="00764F24">
        <w:rPr>
          <w:rFonts w:cstheme="minorHAnsi"/>
          <w:szCs w:val="24"/>
          <w:lang w:val="en-GB"/>
        </w:rPr>
        <w:t>problem debt</w:t>
      </w:r>
      <w:r w:rsidR="008B5CD2" w:rsidRPr="00764F24">
        <w:rPr>
          <w:rFonts w:cstheme="minorHAnsi"/>
          <w:szCs w:val="24"/>
          <w:lang w:val="en-GB"/>
        </w:rPr>
        <w:t>’</w:t>
      </w:r>
      <w:r w:rsidR="00BF7FBA" w:rsidRPr="00764F24">
        <w:rPr>
          <w:rFonts w:cstheme="minorHAnsi"/>
          <w:szCs w:val="24"/>
          <w:lang w:val="en-GB"/>
        </w:rPr>
        <w:t xml:space="preserve">. </w:t>
      </w:r>
      <w:r w:rsidR="00D32434" w:rsidRPr="00764F24">
        <w:rPr>
          <w:rFonts w:cstheme="minorHAnsi"/>
          <w:szCs w:val="24"/>
          <w:lang w:val="en-GB"/>
        </w:rPr>
        <w:t xml:space="preserve">Once again, definitions </w:t>
      </w:r>
      <w:r w:rsidR="008E2B45" w:rsidRPr="00764F24">
        <w:rPr>
          <w:rFonts w:cstheme="minorHAnsi"/>
          <w:szCs w:val="24"/>
          <w:lang w:val="en-GB"/>
        </w:rPr>
        <w:t>vary,</w:t>
      </w:r>
      <w:r w:rsidR="00D32434" w:rsidRPr="00764F24">
        <w:rPr>
          <w:rFonts w:cstheme="minorHAnsi"/>
          <w:szCs w:val="24"/>
          <w:lang w:val="en-GB"/>
        </w:rPr>
        <w:t xml:space="preserve"> and the way data is collected over time also varies</w:t>
      </w:r>
      <w:r w:rsidR="00BF7FBA" w:rsidRPr="00764F24">
        <w:rPr>
          <w:rFonts w:cstheme="minorHAnsi"/>
          <w:szCs w:val="24"/>
          <w:lang w:val="en-GB"/>
        </w:rPr>
        <w:t xml:space="preserve">. </w:t>
      </w:r>
      <w:r w:rsidR="00D32434" w:rsidRPr="00764F24">
        <w:rPr>
          <w:rFonts w:cstheme="minorHAnsi"/>
          <w:szCs w:val="24"/>
          <w:lang w:val="en-GB"/>
        </w:rPr>
        <w:t>Also, while data on debts is collected on some routine surveys (such as the Wealth and Assets Survey and Family Resources Survey) the detail provided by these datasets is limited and it takes several years for the data to become openly available</w:t>
      </w:r>
      <w:r w:rsidR="00BF7FBA" w:rsidRPr="00764F24">
        <w:rPr>
          <w:rFonts w:cstheme="minorHAnsi"/>
          <w:szCs w:val="24"/>
          <w:lang w:val="en-GB"/>
        </w:rPr>
        <w:t xml:space="preserve">. </w:t>
      </w:r>
      <w:r w:rsidR="00D32434" w:rsidRPr="00764F24">
        <w:rPr>
          <w:rFonts w:cstheme="minorHAnsi"/>
          <w:szCs w:val="24"/>
          <w:lang w:val="en-GB"/>
        </w:rPr>
        <w:t>The Bank of England/NMG data provides some additional data which is released more quickly but we still lack a comprehensive picture of problem debt and the last time that we had such a survey was in 2008/9 when the Department for Trade and Industry/Business Innovation and Skills carried out a series of surveys</w:t>
      </w:r>
      <w:r w:rsidR="00BF7FBA" w:rsidRPr="00764F24">
        <w:rPr>
          <w:rFonts w:cstheme="minorHAnsi"/>
          <w:szCs w:val="24"/>
          <w:lang w:val="en-GB"/>
        </w:rPr>
        <w:t xml:space="preserve">. </w:t>
      </w:r>
      <w:r w:rsidR="00E172AC" w:rsidRPr="00764F24">
        <w:rPr>
          <w:rFonts w:cstheme="minorHAnsi"/>
          <w:szCs w:val="24"/>
          <w:lang w:val="en-GB"/>
        </w:rPr>
        <w:t>We therefore suggest, again this year, that the government should take action to ensure the collection of better evidence on problem debt.</w:t>
      </w:r>
    </w:p>
    <w:p w14:paraId="409D7DCF" w14:textId="3BB092AD" w:rsidR="007E64E2" w:rsidRPr="00764F24" w:rsidRDefault="00506820" w:rsidP="00D86B69">
      <w:pPr>
        <w:spacing w:beforeAutospacing="1" w:after="100" w:afterAutospacing="1" w:line="360" w:lineRule="auto"/>
        <w:rPr>
          <w:rFonts w:cstheme="minorHAnsi"/>
          <w:szCs w:val="24"/>
          <w:lang w:val="en-GB"/>
        </w:rPr>
      </w:pPr>
      <w:r w:rsidRPr="00764F24">
        <w:rPr>
          <w:rFonts w:cstheme="minorHAnsi"/>
          <w:szCs w:val="24"/>
          <w:lang w:val="en-GB"/>
        </w:rPr>
        <w:t>In the Family Resources Survey</w:t>
      </w:r>
      <w:r w:rsidR="00D50E2B" w:rsidRPr="00764F24">
        <w:rPr>
          <w:rFonts w:cstheme="minorHAnsi"/>
          <w:szCs w:val="24"/>
          <w:lang w:val="en-GB"/>
        </w:rPr>
        <w:t xml:space="preserve"> 2018/19</w:t>
      </w:r>
      <w:r w:rsidRPr="00764F24">
        <w:rPr>
          <w:rFonts w:cstheme="minorHAnsi"/>
          <w:szCs w:val="24"/>
          <w:lang w:val="en-GB"/>
        </w:rPr>
        <w:t xml:space="preserve">, we see that </w:t>
      </w:r>
      <w:r w:rsidR="00D50E2B" w:rsidRPr="00764F24">
        <w:rPr>
          <w:rFonts w:cstheme="minorHAnsi"/>
          <w:szCs w:val="24"/>
          <w:lang w:val="en-GB"/>
        </w:rPr>
        <w:t>six</w:t>
      </w:r>
      <w:r w:rsidRPr="00764F24">
        <w:rPr>
          <w:rFonts w:cstheme="minorHAnsi"/>
          <w:szCs w:val="24"/>
          <w:lang w:val="en-GB"/>
        </w:rPr>
        <w:t xml:space="preserve"> per cent of the population said that they could not keep up with bills and regular debt payments</w:t>
      </w:r>
      <w:r w:rsidR="00D50E2B" w:rsidRPr="00764F24">
        <w:rPr>
          <w:rFonts w:cstheme="minorHAnsi"/>
          <w:szCs w:val="24"/>
          <w:lang w:val="en-GB"/>
        </w:rPr>
        <w:t xml:space="preserve">. </w:t>
      </w:r>
      <w:r w:rsidR="00CE47D1" w:rsidRPr="00764F24">
        <w:rPr>
          <w:rFonts w:cstheme="minorHAnsi"/>
          <w:szCs w:val="24"/>
          <w:lang w:val="en-GB"/>
        </w:rPr>
        <w:t>Figure 9.1 breaks these figures down in relation to different types of problem debt, with council tax debt being the most common type, followed by water rates (or rates in Northern Ireland) then electricity and then rent.</w:t>
      </w:r>
      <w:r w:rsidR="00227442" w:rsidRPr="00764F24">
        <w:rPr>
          <w:rFonts w:cstheme="minorHAnsi"/>
          <w:szCs w:val="24"/>
          <w:lang w:val="en-GB"/>
        </w:rPr>
        <w:t xml:space="preserve"> Arrears on Council Tax were also the largest in 2017/18.</w:t>
      </w:r>
    </w:p>
    <w:p w14:paraId="4EB3D270" w14:textId="77777777" w:rsidR="00FD5A68" w:rsidRDefault="00FD5A68" w:rsidP="00D86B69">
      <w:pPr>
        <w:pStyle w:val="Caption"/>
        <w:spacing w:beforeAutospacing="1" w:after="100" w:afterAutospacing="1" w:line="360" w:lineRule="auto"/>
        <w:rPr>
          <w:rFonts w:cstheme="minorHAnsi"/>
          <w:sz w:val="24"/>
          <w:szCs w:val="24"/>
          <w:lang w:val="en-GB"/>
        </w:rPr>
      </w:pPr>
    </w:p>
    <w:p w14:paraId="14BDB924" w14:textId="77777777" w:rsidR="00FD5A68" w:rsidRDefault="00FD5A68" w:rsidP="00D86B69">
      <w:pPr>
        <w:pStyle w:val="Caption"/>
        <w:spacing w:beforeAutospacing="1" w:after="100" w:afterAutospacing="1" w:line="360" w:lineRule="auto"/>
        <w:rPr>
          <w:rFonts w:cstheme="minorHAnsi"/>
          <w:sz w:val="24"/>
          <w:szCs w:val="24"/>
          <w:lang w:val="en-GB"/>
        </w:rPr>
      </w:pPr>
    </w:p>
    <w:p w14:paraId="0570887D" w14:textId="77777777" w:rsidR="00FD5A68" w:rsidRDefault="00FD5A68" w:rsidP="00D86B69">
      <w:pPr>
        <w:pStyle w:val="Caption"/>
        <w:spacing w:beforeAutospacing="1" w:after="100" w:afterAutospacing="1" w:line="360" w:lineRule="auto"/>
        <w:rPr>
          <w:rFonts w:cstheme="minorHAnsi"/>
          <w:sz w:val="24"/>
          <w:szCs w:val="24"/>
          <w:lang w:val="en-GB"/>
        </w:rPr>
      </w:pPr>
    </w:p>
    <w:p w14:paraId="735CE0DD" w14:textId="77777777" w:rsidR="00FD5A68" w:rsidRDefault="00FD5A68" w:rsidP="00D86B69">
      <w:pPr>
        <w:pStyle w:val="Caption"/>
        <w:spacing w:beforeAutospacing="1" w:after="100" w:afterAutospacing="1" w:line="360" w:lineRule="auto"/>
        <w:rPr>
          <w:rFonts w:cstheme="minorHAnsi"/>
          <w:sz w:val="24"/>
          <w:szCs w:val="24"/>
          <w:lang w:val="en-GB"/>
        </w:rPr>
      </w:pPr>
    </w:p>
    <w:p w14:paraId="5E61A063" w14:textId="77777777" w:rsidR="00E23133" w:rsidRDefault="00E23133">
      <w:pPr>
        <w:rPr>
          <w:rFonts w:cstheme="minorHAnsi"/>
          <w:b/>
          <w:bCs/>
          <w:color w:val="374C80" w:themeColor="accent1" w:themeShade="BF"/>
          <w:szCs w:val="24"/>
          <w:lang w:val="en-GB"/>
        </w:rPr>
      </w:pPr>
      <w:r>
        <w:rPr>
          <w:rFonts w:cstheme="minorHAnsi"/>
          <w:szCs w:val="24"/>
          <w:lang w:val="en-GB"/>
        </w:rPr>
        <w:br w:type="page"/>
      </w:r>
    </w:p>
    <w:p w14:paraId="0EA2F33B" w14:textId="7FF7BEDA" w:rsidR="00CE47D1" w:rsidRPr="00764F24" w:rsidRDefault="00CE47D1"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9.1</w:t>
      </w:r>
      <w:r w:rsidR="00F62012" w:rsidRPr="00764F24">
        <w:rPr>
          <w:rFonts w:cstheme="minorHAnsi"/>
          <w:sz w:val="24"/>
          <w:szCs w:val="24"/>
          <w:lang w:val="en-GB"/>
        </w:rPr>
        <w:t>.</w:t>
      </w:r>
      <w:r w:rsidRPr="00764F24">
        <w:rPr>
          <w:rFonts w:cstheme="minorHAnsi"/>
          <w:sz w:val="24"/>
          <w:szCs w:val="24"/>
          <w:lang w:val="en-GB"/>
        </w:rPr>
        <w:t xml:space="preserve"> Problem debt in 2018/19</w:t>
      </w:r>
    </w:p>
    <w:p w14:paraId="3E7BF6A9" w14:textId="77777777" w:rsidR="007E64E2" w:rsidRPr="00764F24" w:rsidRDefault="00AE16B9" w:rsidP="00D86B69">
      <w:pPr>
        <w:spacing w:beforeAutospacing="1" w:after="100" w:afterAutospacing="1" w:line="360" w:lineRule="auto"/>
        <w:rPr>
          <w:rFonts w:cstheme="minorHAnsi"/>
          <w:szCs w:val="24"/>
          <w:lang w:val="en-GB"/>
        </w:rPr>
      </w:pPr>
      <w:r w:rsidRPr="00764F24">
        <w:rPr>
          <w:rFonts w:cstheme="minorHAnsi"/>
          <w:noProof/>
          <w:szCs w:val="24"/>
          <w:lang w:val="en-GB" w:eastAsia="en-GB" w:bidi="ar-SA"/>
        </w:rPr>
        <w:drawing>
          <wp:inline distT="0" distB="0" distL="0" distR="0" wp14:anchorId="76FAC038" wp14:editId="28C11E54">
            <wp:extent cx="5216525" cy="2949575"/>
            <wp:effectExtent l="0" t="0" r="3175" b="3175"/>
            <wp:docPr id="20" name="Chart 20" descr="The most common arrears are for Council Tax and Water rates.">
              <a:extLst xmlns:a="http://schemas.openxmlformats.org/drawingml/2006/main">
                <a:ext uri="{FF2B5EF4-FFF2-40B4-BE49-F238E27FC236}">
                  <a16:creationId xmlns:a16="http://schemas.microsoft.com/office/drawing/2014/main" id="{3B2C7E8D-6C28-4BF7-AEBD-6865AB479B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2BC35A3" w14:textId="6EFE5507" w:rsidR="007E64E2" w:rsidRPr="00764F24" w:rsidRDefault="00CE47D1" w:rsidP="00D86B69">
      <w:pPr>
        <w:spacing w:beforeAutospacing="1" w:after="100" w:afterAutospacing="1" w:line="360" w:lineRule="auto"/>
        <w:rPr>
          <w:rFonts w:cstheme="minorHAnsi"/>
          <w:szCs w:val="24"/>
          <w:lang w:val="en-GB"/>
        </w:rPr>
      </w:pPr>
      <w:r w:rsidRPr="00764F24">
        <w:rPr>
          <w:rFonts w:cstheme="minorHAnsi"/>
          <w:szCs w:val="24"/>
          <w:lang w:val="en-GB"/>
        </w:rPr>
        <w:t>Another sign of potential problem debt is where people are paying a large percentage of their income on consumer credit repayments</w:t>
      </w:r>
      <w:r w:rsidR="00BF7FBA" w:rsidRPr="00764F24">
        <w:rPr>
          <w:rFonts w:cstheme="minorHAnsi"/>
          <w:szCs w:val="24"/>
          <w:lang w:val="en-GB"/>
        </w:rPr>
        <w:t xml:space="preserve">. </w:t>
      </w:r>
      <w:r w:rsidR="004D1175" w:rsidRPr="00764F24">
        <w:rPr>
          <w:rFonts w:cstheme="minorHAnsi"/>
          <w:szCs w:val="24"/>
          <w:lang w:val="en-GB"/>
        </w:rPr>
        <w:t>The IFS</w:t>
      </w:r>
      <w:r w:rsidR="004D1175" w:rsidRPr="00764F24">
        <w:rPr>
          <w:rStyle w:val="FootnoteReference"/>
          <w:rFonts w:cstheme="minorHAnsi"/>
          <w:szCs w:val="24"/>
          <w:lang w:val="en-GB"/>
        </w:rPr>
        <w:footnoteReference w:id="83"/>
      </w:r>
      <w:r w:rsidR="004D1175" w:rsidRPr="00764F24">
        <w:rPr>
          <w:rFonts w:cstheme="minorHAnsi"/>
          <w:szCs w:val="24"/>
          <w:lang w:val="en-GB"/>
        </w:rPr>
        <w:t xml:space="preserve"> has f</w:t>
      </w:r>
      <w:r w:rsidR="007B18FF" w:rsidRPr="00764F24">
        <w:rPr>
          <w:rFonts w:cstheme="minorHAnsi"/>
          <w:szCs w:val="24"/>
          <w:lang w:val="en-GB"/>
        </w:rPr>
        <w:t>ound</w:t>
      </w:r>
      <w:r w:rsidR="004D1175" w:rsidRPr="00764F24">
        <w:rPr>
          <w:rFonts w:cstheme="minorHAnsi"/>
          <w:szCs w:val="24"/>
          <w:lang w:val="en-GB"/>
        </w:rPr>
        <w:t xml:space="preserve"> that</w:t>
      </w:r>
      <w:r w:rsidRPr="00764F24">
        <w:rPr>
          <w:rFonts w:cstheme="minorHAnsi"/>
          <w:szCs w:val="24"/>
          <w:lang w:val="en-GB"/>
        </w:rPr>
        <w:t>, in 2016-18,</w:t>
      </w:r>
      <w:r w:rsidR="004D1175" w:rsidRPr="00764F24">
        <w:rPr>
          <w:rFonts w:cstheme="minorHAnsi"/>
          <w:szCs w:val="24"/>
          <w:lang w:val="en-GB"/>
        </w:rPr>
        <w:t xml:space="preserve"> </w:t>
      </w:r>
      <w:r w:rsidRPr="00764F24">
        <w:rPr>
          <w:rFonts w:cstheme="minorHAnsi"/>
          <w:szCs w:val="24"/>
          <w:lang w:val="en-GB"/>
        </w:rPr>
        <w:t xml:space="preserve">well before the </w:t>
      </w:r>
      <w:r w:rsidR="00A12E5C" w:rsidRPr="00764F24">
        <w:rPr>
          <w:rFonts w:cstheme="minorHAnsi"/>
          <w:szCs w:val="24"/>
          <w:lang w:val="en-GB"/>
        </w:rPr>
        <w:t>COVID-19</w:t>
      </w:r>
      <w:r w:rsidRPr="00764F24">
        <w:rPr>
          <w:rFonts w:cstheme="minorHAnsi"/>
          <w:szCs w:val="24"/>
          <w:lang w:val="en-GB"/>
        </w:rPr>
        <w:t xml:space="preserve"> pandemic, </w:t>
      </w:r>
      <w:r w:rsidR="007B18FF" w:rsidRPr="00764F24">
        <w:rPr>
          <w:rFonts w:cstheme="minorHAnsi"/>
          <w:szCs w:val="24"/>
          <w:lang w:val="en-GB"/>
        </w:rPr>
        <w:t xml:space="preserve">more than one </w:t>
      </w:r>
      <w:r w:rsidR="004D1175" w:rsidRPr="00764F24">
        <w:rPr>
          <w:rFonts w:cstheme="minorHAnsi"/>
          <w:szCs w:val="24"/>
          <w:lang w:val="en-GB"/>
        </w:rPr>
        <w:t>in</w:t>
      </w:r>
      <w:r w:rsidR="007B18FF" w:rsidRPr="00764F24">
        <w:rPr>
          <w:rFonts w:cstheme="minorHAnsi"/>
          <w:szCs w:val="24"/>
          <w:lang w:val="en-GB"/>
        </w:rPr>
        <w:t xml:space="preserve"> </w:t>
      </w:r>
      <w:r w:rsidR="004D1175" w:rsidRPr="00764F24">
        <w:rPr>
          <w:rFonts w:cstheme="minorHAnsi"/>
          <w:szCs w:val="24"/>
          <w:lang w:val="en-GB"/>
        </w:rPr>
        <w:t>five individuals live</w:t>
      </w:r>
      <w:r w:rsidRPr="00764F24">
        <w:rPr>
          <w:rFonts w:cstheme="minorHAnsi"/>
          <w:szCs w:val="24"/>
          <w:lang w:val="en-GB"/>
        </w:rPr>
        <w:t>d</w:t>
      </w:r>
      <w:r w:rsidR="004D1175" w:rsidRPr="00764F24">
        <w:rPr>
          <w:rFonts w:cstheme="minorHAnsi"/>
          <w:szCs w:val="24"/>
          <w:lang w:val="en-GB"/>
        </w:rPr>
        <w:t xml:space="preserve"> in a household where more than 10</w:t>
      </w:r>
      <w:r w:rsidR="00125F43" w:rsidRPr="00764F24">
        <w:rPr>
          <w:rFonts w:eastAsiaTheme="majorEastAsia" w:cstheme="minorHAnsi"/>
          <w:bCs/>
          <w:kern w:val="32"/>
          <w:szCs w:val="24"/>
          <w:lang w:val="en-GB"/>
        </w:rPr>
        <w:t xml:space="preserve"> per cent</w:t>
      </w:r>
      <w:r w:rsidR="004D1175" w:rsidRPr="00764F24">
        <w:rPr>
          <w:rFonts w:cstheme="minorHAnsi"/>
          <w:szCs w:val="24"/>
          <w:lang w:val="en-GB"/>
        </w:rPr>
        <w:t xml:space="preserve"> of </w:t>
      </w:r>
      <w:r w:rsidR="007B18FF" w:rsidRPr="00764F24">
        <w:rPr>
          <w:rFonts w:cstheme="minorHAnsi"/>
          <w:szCs w:val="24"/>
          <w:lang w:val="en-GB"/>
        </w:rPr>
        <w:t>the</w:t>
      </w:r>
      <w:r w:rsidR="00E23133">
        <w:rPr>
          <w:rFonts w:cstheme="minorHAnsi"/>
          <w:szCs w:val="24"/>
          <w:lang w:val="en-GB"/>
        </w:rPr>
        <w:t>ir</w:t>
      </w:r>
      <w:r w:rsidR="007B18FF" w:rsidRPr="00764F24">
        <w:rPr>
          <w:rFonts w:cstheme="minorHAnsi"/>
          <w:szCs w:val="24"/>
          <w:lang w:val="en-GB"/>
        </w:rPr>
        <w:t xml:space="preserve"> </w:t>
      </w:r>
      <w:r w:rsidR="004D1175" w:rsidRPr="00764F24">
        <w:rPr>
          <w:rFonts w:cstheme="minorHAnsi"/>
          <w:szCs w:val="24"/>
          <w:lang w:val="en-GB"/>
        </w:rPr>
        <w:t xml:space="preserve">income </w:t>
      </w:r>
      <w:r w:rsidR="00E23133">
        <w:rPr>
          <w:rFonts w:cstheme="minorHAnsi"/>
          <w:szCs w:val="24"/>
          <w:lang w:val="en-GB"/>
        </w:rPr>
        <w:t>wa</w:t>
      </w:r>
      <w:r w:rsidR="004D1175" w:rsidRPr="00764F24">
        <w:rPr>
          <w:rFonts w:cstheme="minorHAnsi"/>
          <w:szCs w:val="24"/>
          <w:lang w:val="en-GB"/>
        </w:rPr>
        <w:t>s spent on unsecured debt repayments</w:t>
      </w:r>
      <w:r w:rsidR="00BF7FBA" w:rsidRPr="00764F24">
        <w:rPr>
          <w:rFonts w:cstheme="minorHAnsi"/>
          <w:szCs w:val="24"/>
          <w:lang w:val="en-GB"/>
        </w:rPr>
        <w:t xml:space="preserve">. </w:t>
      </w:r>
      <w:r w:rsidR="007B18FF" w:rsidRPr="00764F24">
        <w:rPr>
          <w:rFonts w:cstheme="minorHAnsi"/>
          <w:szCs w:val="24"/>
          <w:lang w:val="en-GB"/>
        </w:rPr>
        <w:t xml:space="preserve">A further one in </w:t>
      </w:r>
      <w:r w:rsidR="004D1175" w:rsidRPr="00764F24">
        <w:rPr>
          <w:rFonts w:cstheme="minorHAnsi"/>
          <w:szCs w:val="24"/>
          <w:lang w:val="en-GB"/>
        </w:rPr>
        <w:t xml:space="preserve">ten </w:t>
      </w:r>
      <w:r w:rsidR="007B18FF" w:rsidRPr="00764F24">
        <w:rPr>
          <w:rFonts w:cstheme="minorHAnsi"/>
          <w:szCs w:val="24"/>
          <w:lang w:val="en-GB"/>
        </w:rPr>
        <w:t>live</w:t>
      </w:r>
      <w:r w:rsidRPr="00764F24">
        <w:rPr>
          <w:rFonts w:cstheme="minorHAnsi"/>
          <w:szCs w:val="24"/>
          <w:lang w:val="en-GB"/>
        </w:rPr>
        <w:t>d</w:t>
      </w:r>
      <w:r w:rsidR="004D1175" w:rsidRPr="00764F24">
        <w:rPr>
          <w:rFonts w:cstheme="minorHAnsi"/>
          <w:szCs w:val="24"/>
          <w:lang w:val="en-GB"/>
        </w:rPr>
        <w:t xml:space="preserve"> in households that spen</w:t>
      </w:r>
      <w:r w:rsidR="00E23133">
        <w:rPr>
          <w:rFonts w:cstheme="minorHAnsi"/>
          <w:szCs w:val="24"/>
          <w:lang w:val="en-GB"/>
        </w:rPr>
        <w:t>t</w:t>
      </w:r>
      <w:r w:rsidR="004D1175" w:rsidRPr="00764F24">
        <w:rPr>
          <w:rFonts w:cstheme="minorHAnsi"/>
          <w:szCs w:val="24"/>
          <w:lang w:val="en-GB"/>
        </w:rPr>
        <w:t xml:space="preserve"> over 20</w:t>
      </w:r>
      <w:r w:rsidR="00125F43" w:rsidRPr="00764F24">
        <w:rPr>
          <w:rFonts w:eastAsiaTheme="majorEastAsia" w:cstheme="minorHAnsi"/>
          <w:bCs/>
          <w:kern w:val="32"/>
          <w:szCs w:val="24"/>
          <w:lang w:val="en-GB"/>
        </w:rPr>
        <w:t xml:space="preserve"> per cent</w:t>
      </w:r>
      <w:r w:rsidR="004D1175" w:rsidRPr="00764F24">
        <w:rPr>
          <w:rFonts w:cstheme="minorHAnsi"/>
          <w:szCs w:val="24"/>
          <w:lang w:val="en-GB"/>
        </w:rPr>
        <w:t xml:space="preserve"> of income on debt repayments and </w:t>
      </w:r>
      <w:r w:rsidR="007B18FF" w:rsidRPr="00764F24">
        <w:rPr>
          <w:rFonts w:cstheme="minorHAnsi"/>
          <w:szCs w:val="24"/>
          <w:lang w:val="en-GB"/>
        </w:rPr>
        <w:t xml:space="preserve">a further one </w:t>
      </w:r>
      <w:r w:rsidR="004D1175" w:rsidRPr="00764F24">
        <w:rPr>
          <w:rFonts w:cstheme="minorHAnsi"/>
          <w:szCs w:val="24"/>
          <w:lang w:val="en-GB"/>
        </w:rPr>
        <w:t>in</w:t>
      </w:r>
      <w:r w:rsidR="007B18FF" w:rsidRPr="00764F24">
        <w:rPr>
          <w:rFonts w:cstheme="minorHAnsi"/>
          <w:szCs w:val="24"/>
          <w:lang w:val="en-GB"/>
        </w:rPr>
        <w:t xml:space="preserve"> </w:t>
      </w:r>
      <w:r w:rsidR="004D1175" w:rsidRPr="00764F24">
        <w:rPr>
          <w:rFonts w:cstheme="minorHAnsi"/>
          <w:szCs w:val="24"/>
          <w:lang w:val="en-GB"/>
        </w:rPr>
        <w:t xml:space="preserve">twenty </w:t>
      </w:r>
      <w:r w:rsidR="007B18FF" w:rsidRPr="00764F24">
        <w:rPr>
          <w:rFonts w:cstheme="minorHAnsi"/>
          <w:szCs w:val="24"/>
          <w:lang w:val="en-GB"/>
        </w:rPr>
        <w:t>live</w:t>
      </w:r>
      <w:r w:rsidR="00E23133">
        <w:rPr>
          <w:rFonts w:cstheme="minorHAnsi"/>
          <w:szCs w:val="24"/>
          <w:lang w:val="en-GB"/>
        </w:rPr>
        <w:t>d</w:t>
      </w:r>
      <w:r w:rsidR="004D1175" w:rsidRPr="00764F24">
        <w:rPr>
          <w:rFonts w:cstheme="minorHAnsi"/>
          <w:szCs w:val="24"/>
          <w:lang w:val="en-GB"/>
        </w:rPr>
        <w:t xml:space="preserve"> in households that spen</w:t>
      </w:r>
      <w:r w:rsidR="00E23133">
        <w:rPr>
          <w:rFonts w:cstheme="minorHAnsi"/>
          <w:szCs w:val="24"/>
          <w:lang w:val="en-GB"/>
        </w:rPr>
        <w:t>t</w:t>
      </w:r>
      <w:r w:rsidR="004D1175" w:rsidRPr="00764F24">
        <w:rPr>
          <w:rFonts w:cstheme="minorHAnsi"/>
          <w:szCs w:val="24"/>
          <w:lang w:val="en-GB"/>
        </w:rPr>
        <w:t xml:space="preserve"> over 30</w:t>
      </w:r>
      <w:r w:rsidR="00125F43" w:rsidRPr="00764F24">
        <w:rPr>
          <w:rFonts w:eastAsiaTheme="majorEastAsia" w:cstheme="minorHAnsi"/>
          <w:bCs/>
          <w:kern w:val="32"/>
          <w:szCs w:val="24"/>
          <w:lang w:val="en-GB"/>
        </w:rPr>
        <w:t xml:space="preserve"> per cent</w:t>
      </w:r>
      <w:r w:rsidR="00125F43" w:rsidRPr="00764F24">
        <w:rPr>
          <w:rFonts w:cstheme="minorHAnsi"/>
          <w:szCs w:val="24"/>
          <w:lang w:val="en-GB"/>
        </w:rPr>
        <w:t xml:space="preserve"> </w:t>
      </w:r>
      <w:r w:rsidR="004D1175" w:rsidRPr="00764F24">
        <w:rPr>
          <w:rFonts w:cstheme="minorHAnsi"/>
          <w:szCs w:val="24"/>
          <w:lang w:val="en-GB"/>
        </w:rPr>
        <w:t>of income on debt repayments. Figure 9.</w:t>
      </w:r>
      <w:r w:rsidRPr="00764F24">
        <w:rPr>
          <w:rFonts w:cstheme="minorHAnsi"/>
          <w:szCs w:val="24"/>
          <w:lang w:val="en-GB"/>
        </w:rPr>
        <w:t>2</w:t>
      </w:r>
      <w:r w:rsidR="004D1175" w:rsidRPr="00764F24">
        <w:rPr>
          <w:rFonts w:cstheme="minorHAnsi"/>
          <w:szCs w:val="24"/>
          <w:lang w:val="en-GB"/>
        </w:rPr>
        <w:t xml:space="preserve"> shows that those on</w:t>
      </w:r>
      <w:r w:rsidR="007B18FF" w:rsidRPr="00764F24">
        <w:rPr>
          <w:rFonts w:cstheme="minorHAnsi"/>
          <w:szCs w:val="24"/>
          <w:lang w:val="en-GB"/>
        </w:rPr>
        <w:t xml:space="preserve"> middle </w:t>
      </w:r>
      <w:r w:rsidR="004D1175" w:rsidRPr="00764F24">
        <w:rPr>
          <w:rFonts w:cstheme="minorHAnsi"/>
          <w:szCs w:val="24"/>
          <w:lang w:val="en-GB"/>
        </w:rPr>
        <w:t xml:space="preserve">incomes – who have the potential to see significant income falls as a result of the crisis – </w:t>
      </w:r>
      <w:r w:rsidR="00E23133">
        <w:rPr>
          <w:rFonts w:cstheme="minorHAnsi"/>
          <w:szCs w:val="24"/>
          <w:lang w:val="en-GB"/>
        </w:rPr>
        <w:t>we</w:t>
      </w:r>
      <w:r w:rsidR="004D1175" w:rsidRPr="00764F24">
        <w:rPr>
          <w:rFonts w:cstheme="minorHAnsi"/>
          <w:szCs w:val="24"/>
          <w:lang w:val="en-GB"/>
        </w:rPr>
        <w:t>re most likely to have significant levels of debt repayments: almost one</w:t>
      </w:r>
      <w:r w:rsidR="00E23133">
        <w:rPr>
          <w:rFonts w:cstheme="minorHAnsi"/>
          <w:szCs w:val="24"/>
          <w:lang w:val="en-GB"/>
        </w:rPr>
        <w:t xml:space="preserve"> </w:t>
      </w:r>
      <w:r w:rsidR="004D1175" w:rsidRPr="00764F24">
        <w:rPr>
          <w:rFonts w:cstheme="minorHAnsi"/>
          <w:szCs w:val="24"/>
          <w:lang w:val="en-GB"/>
        </w:rPr>
        <w:t>in</w:t>
      </w:r>
      <w:r w:rsidR="00E23133">
        <w:rPr>
          <w:rFonts w:cstheme="minorHAnsi"/>
          <w:szCs w:val="24"/>
          <w:lang w:val="en-GB"/>
        </w:rPr>
        <w:t xml:space="preserve"> </w:t>
      </w:r>
      <w:r w:rsidR="004D1175" w:rsidRPr="00764F24">
        <w:rPr>
          <w:rFonts w:cstheme="minorHAnsi"/>
          <w:szCs w:val="24"/>
          <w:lang w:val="en-GB"/>
        </w:rPr>
        <w:t>four of those in the 7th income decile spen</w:t>
      </w:r>
      <w:r w:rsidR="00E23133">
        <w:rPr>
          <w:rFonts w:cstheme="minorHAnsi"/>
          <w:szCs w:val="24"/>
          <w:lang w:val="en-GB"/>
        </w:rPr>
        <w:t>t</w:t>
      </w:r>
      <w:r w:rsidR="004D1175" w:rsidRPr="00764F24">
        <w:rPr>
          <w:rFonts w:cstheme="minorHAnsi"/>
          <w:szCs w:val="24"/>
          <w:lang w:val="en-GB"/>
        </w:rPr>
        <w:t xml:space="preserve"> more than 10</w:t>
      </w:r>
      <w:r w:rsidR="00125F43" w:rsidRPr="00764F24">
        <w:rPr>
          <w:rFonts w:eastAsiaTheme="majorEastAsia" w:cstheme="minorHAnsi"/>
          <w:bCs/>
          <w:kern w:val="32"/>
          <w:szCs w:val="24"/>
          <w:lang w:val="en-GB"/>
        </w:rPr>
        <w:t xml:space="preserve"> per cent</w:t>
      </w:r>
      <w:r w:rsidR="004D1175" w:rsidRPr="00764F24">
        <w:rPr>
          <w:rFonts w:cstheme="minorHAnsi"/>
          <w:szCs w:val="24"/>
          <w:lang w:val="en-GB"/>
        </w:rPr>
        <w:t xml:space="preserve"> of their income on debt repayments, and 12</w:t>
      </w:r>
      <w:r w:rsidR="00125F43" w:rsidRPr="00764F24">
        <w:rPr>
          <w:rFonts w:eastAsiaTheme="majorEastAsia" w:cstheme="minorHAnsi"/>
          <w:bCs/>
          <w:kern w:val="32"/>
          <w:szCs w:val="24"/>
          <w:lang w:val="en-GB"/>
        </w:rPr>
        <w:t xml:space="preserve"> per cent</w:t>
      </w:r>
      <w:r w:rsidR="004D1175" w:rsidRPr="00764F24">
        <w:rPr>
          <w:rFonts w:cstheme="minorHAnsi"/>
          <w:szCs w:val="24"/>
          <w:lang w:val="en-GB"/>
        </w:rPr>
        <w:t xml:space="preserve"> of those in the 4th income decile spend over 20</w:t>
      </w:r>
      <w:r w:rsidR="00125F43" w:rsidRPr="00764F24">
        <w:rPr>
          <w:rFonts w:eastAsiaTheme="majorEastAsia" w:cstheme="minorHAnsi"/>
          <w:bCs/>
          <w:kern w:val="32"/>
          <w:szCs w:val="24"/>
          <w:lang w:val="en-GB"/>
        </w:rPr>
        <w:t xml:space="preserve"> per cent</w:t>
      </w:r>
      <w:r w:rsidR="004D1175" w:rsidRPr="00764F24">
        <w:rPr>
          <w:rFonts w:cstheme="minorHAnsi"/>
          <w:szCs w:val="24"/>
          <w:lang w:val="en-GB"/>
        </w:rPr>
        <w:t xml:space="preserve"> of their income on debt repayments. As Figure 9.</w:t>
      </w:r>
      <w:r w:rsidRPr="00764F24">
        <w:rPr>
          <w:rFonts w:cstheme="minorHAnsi"/>
          <w:szCs w:val="24"/>
          <w:lang w:val="en-GB"/>
        </w:rPr>
        <w:t>2</w:t>
      </w:r>
      <w:r w:rsidR="004D1175" w:rsidRPr="00764F24">
        <w:rPr>
          <w:rFonts w:cstheme="minorHAnsi"/>
          <w:szCs w:val="24"/>
          <w:lang w:val="en-GB"/>
        </w:rPr>
        <w:t xml:space="preserve"> also shows, debt repayments </w:t>
      </w:r>
      <w:r w:rsidR="00E23133">
        <w:rPr>
          <w:rFonts w:cstheme="minorHAnsi"/>
          <w:szCs w:val="24"/>
          <w:lang w:val="en-GB"/>
        </w:rPr>
        <w:t>we</w:t>
      </w:r>
      <w:r w:rsidR="004D1175" w:rsidRPr="00764F24">
        <w:rPr>
          <w:rFonts w:cstheme="minorHAnsi"/>
          <w:szCs w:val="24"/>
          <w:lang w:val="en-GB"/>
        </w:rPr>
        <w:t xml:space="preserve">re most likely to </w:t>
      </w:r>
      <w:r w:rsidR="007B18FF" w:rsidRPr="00764F24">
        <w:rPr>
          <w:rFonts w:cstheme="minorHAnsi"/>
          <w:szCs w:val="24"/>
          <w:lang w:val="en-GB"/>
        </w:rPr>
        <w:t>take up</w:t>
      </w:r>
      <w:r w:rsidR="004D1175" w:rsidRPr="00764F24">
        <w:rPr>
          <w:rFonts w:cstheme="minorHAnsi"/>
          <w:szCs w:val="24"/>
          <w:lang w:val="en-GB"/>
        </w:rPr>
        <w:t xml:space="preserve"> very high shares of income (of over 30</w:t>
      </w:r>
      <w:r w:rsidR="00A7794E" w:rsidRPr="00764F24">
        <w:rPr>
          <w:rFonts w:cstheme="minorHAnsi"/>
          <w:szCs w:val="24"/>
          <w:lang w:val="en-GB"/>
        </w:rPr>
        <w:t xml:space="preserve"> </w:t>
      </w:r>
      <w:r w:rsidR="00692125" w:rsidRPr="00764F24">
        <w:rPr>
          <w:rFonts w:cstheme="minorHAnsi"/>
          <w:szCs w:val="24"/>
          <w:lang w:val="en-GB"/>
        </w:rPr>
        <w:t>per cent)</w:t>
      </w:r>
      <w:r w:rsidR="004D1175" w:rsidRPr="00764F24">
        <w:rPr>
          <w:rFonts w:cstheme="minorHAnsi"/>
          <w:szCs w:val="24"/>
          <w:lang w:val="en-GB"/>
        </w:rPr>
        <w:t xml:space="preserve"> at the very bottom of the income dis</w:t>
      </w:r>
      <w:r w:rsidR="007B18FF" w:rsidRPr="00764F24">
        <w:rPr>
          <w:rFonts w:cstheme="minorHAnsi"/>
          <w:szCs w:val="24"/>
          <w:lang w:val="en-GB"/>
        </w:rPr>
        <w:t>tribution</w:t>
      </w:r>
      <w:r w:rsidR="004D1175" w:rsidRPr="00764F24">
        <w:rPr>
          <w:rFonts w:cstheme="minorHAnsi"/>
          <w:szCs w:val="24"/>
          <w:lang w:val="en-GB"/>
        </w:rPr>
        <w:t>.</w:t>
      </w:r>
    </w:p>
    <w:p w14:paraId="196603B3" w14:textId="77777777" w:rsidR="00020F4F" w:rsidRDefault="00020F4F">
      <w:pPr>
        <w:rPr>
          <w:rFonts w:cstheme="minorHAnsi"/>
          <w:b/>
          <w:bCs/>
          <w:color w:val="4A66AC" w:themeColor="accent1"/>
          <w:sz w:val="24"/>
          <w:szCs w:val="24"/>
          <w:lang w:val="en-GB"/>
        </w:rPr>
      </w:pPr>
      <w:r>
        <w:rPr>
          <w:rFonts w:cstheme="minorHAnsi"/>
          <w:sz w:val="24"/>
          <w:szCs w:val="24"/>
          <w:lang w:val="en-GB"/>
        </w:rPr>
        <w:br w:type="page"/>
      </w:r>
    </w:p>
    <w:p w14:paraId="22BBFB7C" w14:textId="291157E7" w:rsidR="004D1175" w:rsidRPr="00764F24" w:rsidRDefault="004D1175"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Figure 9.</w:t>
      </w:r>
      <w:r w:rsidR="00581CF6" w:rsidRPr="00764F24">
        <w:rPr>
          <w:rFonts w:cstheme="minorHAnsi"/>
          <w:sz w:val="24"/>
          <w:szCs w:val="24"/>
          <w:lang w:val="en-GB"/>
        </w:rPr>
        <w:t>2</w:t>
      </w:r>
      <w:r w:rsidR="00F62012" w:rsidRPr="00764F24">
        <w:rPr>
          <w:rFonts w:cstheme="minorHAnsi"/>
          <w:sz w:val="24"/>
          <w:szCs w:val="24"/>
          <w:lang w:val="en-GB"/>
        </w:rPr>
        <w:t xml:space="preserve">. </w:t>
      </w:r>
      <w:r w:rsidRPr="00764F24">
        <w:rPr>
          <w:rFonts w:cstheme="minorHAnsi"/>
          <w:sz w:val="24"/>
          <w:szCs w:val="24"/>
          <w:lang w:val="en-GB"/>
        </w:rPr>
        <w:t>Percentage of income spent on unsecured debt repayments by income decile</w:t>
      </w:r>
      <w:r w:rsidR="00F62012" w:rsidRPr="00764F24">
        <w:rPr>
          <w:rFonts w:cstheme="minorHAnsi"/>
          <w:sz w:val="24"/>
          <w:szCs w:val="24"/>
          <w:lang w:val="en-GB"/>
        </w:rPr>
        <w:t>.</w:t>
      </w:r>
      <w:r w:rsidRPr="00764F24">
        <w:rPr>
          <w:rFonts w:cstheme="minorHAnsi"/>
          <w:sz w:val="24"/>
          <w:szCs w:val="24"/>
          <w:lang w:val="en-GB"/>
        </w:rPr>
        <w:t xml:space="preserve"> Source IFS using 2016/18 Wealth and Assets Survey</w:t>
      </w:r>
      <w:r w:rsidRPr="00764F24">
        <w:rPr>
          <w:rStyle w:val="FootnoteReference"/>
          <w:rFonts w:cstheme="minorHAnsi"/>
          <w:b w:val="0"/>
          <w:sz w:val="24"/>
          <w:szCs w:val="24"/>
          <w:lang w:val="en-GB"/>
        </w:rPr>
        <w:footnoteReference w:id="84"/>
      </w:r>
    </w:p>
    <w:p w14:paraId="6620FAB3" w14:textId="77777777" w:rsidR="007E64E2" w:rsidRPr="00764F24" w:rsidRDefault="004D1175" w:rsidP="00D86B69">
      <w:pPr>
        <w:spacing w:beforeAutospacing="1" w:after="100" w:afterAutospacing="1" w:line="360" w:lineRule="auto"/>
        <w:rPr>
          <w:rFonts w:cstheme="minorHAnsi"/>
          <w:szCs w:val="24"/>
          <w:lang w:val="en-GB"/>
        </w:rPr>
      </w:pPr>
      <w:r w:rsidRPr="00764F24">
        <w:rPr>
          <w:rFonts w:cstheme="minorHAnsi"/>
          <w:noProof/>
          <w:szCs w:val="24"/>
          <w:lang w:val="en-GB" w:eastAsia="en-GB" w:bidi="ar-SA"/>
        </w:rPr>
        <w:drawing>
          <wp:inline distT="0" distB="0" distL="0" distR="0" wp14:anchorId="1FD5991E" wp14:editId="0845903C">
            <wp:extent cx="4572000" cy="2743200"/>
            <wp:effectExtent l="0" t="0" r="0" b="0"/>
            <wp:docPr id="1" name="Chart 1" descr="The amount spent repaying unsecured debts is higher for lower and some middle income groups."/>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AA65158" w14:textId="498B602E" w:rsidR="00E23133" w:rsidRDefault="007349EE" w:rsidP="00D86B69">
      <w:pPr>
        <w:autoSpaceDE w:val="0"/>
        <w:autoSpaceDN w:val="0"/>
        <w:adjustRightInd w:val="0"/>
        <w:spacing w:beforeAutospacing="1" w:after="100" w:afterAutospacing="1" w:line="360" w:lineRule="auto"/>
        <w:rPr>
          <w:rFonts w:cstheme="minorHAnsi"/>
          <w:color w:val="000000"/>
          <w:szCs w:val="24"/>
          <w:lang w:val="en-GB"/>
        </w:rPr>
      </w:pPr>
      <w:r w:rsidRPr="00764F24">
        <w:rPr>
          <w:rFonts w:cstheme="minorHAnsi"/>
          <w:color w:val="000000"/>
          <w:szCs w:val="24"/>
          <w:lang w:val="en-GB"/>
        </w:rPr>
        <w:t xml:space="preserve">Research by </w:t>
      </w:r>
      <w:r w:rsidR="008E2B45" w:rsidRPr="00764F24">
        <w:rPr>
          <w:rFonts w:cstheme="minorHAnsi"/>
          <w:color w:val="000000"/>
          <w:szCs w:val="24"/>
          <w:lang w:val="en-GB"/>
        </w:rPr>
        <w:t>StepChange</w:t>
      </w:r>
      <w:r w:rsidRPr="00764F24">
        <w:rPr>
          <w:rFonts w:cstheme="minorHAnsi"/>
          <w:color w:val="000000"/>
          <w:szCs w:val="24"/>
          <w:lang w:val="en-GB"/>
        </w:rPr>
        <w:t xml:space="preserve"> Debt Charity published in June 2020</w:t>
      </w:r>
      <w:r w:rsidRPr="00764F24">
        <w:rPr>
          <w:rStyle w:val="FootnoteReference"/>
          <w:rFonts w:cstheme="minorHAnsi"/>
          <w:color w:val="000000"/>
          <w:szCs w:val="24"/>
          <w:lang w:val="en-GB"/>
        </w:rPr>
        <w:footnoteReference w:id="85"/>
      </w:r>
      <w:r w:rsidRPr="00764F24">
        <w:rPr>
          <w:rFonts w:cstheme="minorHAnsi"/>
          <w:color w:val="000000"/>
          <w:szCs w:val="24"/>
          <w:lang w:val="en-GB"/>
        </w:rPr>
        <w:t xml:space="preserve"> reported that, </w:t>
      </w:r>
      <w:r w:rsidR="00EF4F7D" w:rsidRPr="00764F24">
        <w:rPr>
          <w:rFonts w:cstheme="minorHAnsi"/>
          <w:color w:val="000000"/>
          <w:szCs w:val="24"/>
          <w:lang w:val="en-GB"/>
        </w:rPr>
        <w:t>at the end of May</w:t>
      </w:r>
      <w:r w:rsidRPr="00764F24">
        <w:rPr>
          <w:rFonts w:cstheme="minorHAnsi"/>
          <w:color w:val="000000"/>
          <w:szCs w:val="24"/>
          <w:lang w:val="en-GB"/>
        </w:rPr>
        <w:t xml:space="preserve"> 2020</w:t>
      </w:r>
      <w:r w:rsidR="00EF4F7D" w:rsidRPr="00764F24">
        <w:rPr>
          <w:rFonts w:cstheme="minorHAnsi"/>
          <w:color w:val="000000"/>
          <w:szCs w:val="24"/>
          <w:lang w:val="en-GB"/>
        </w:rPr>
        <w:t xml:space="preserve">, two months after lockdown began, </w:t>
      </w:r>
      <w:r w:rsidR="00A56B08" w:rsidRPr="00764F24">
        <w:rPr>
          <w:rFonts w:cstheme="minorHAnsi"/>
          <w:color w:val="000000"/>
          <w:szCs w:val="24"/>
          <w:lang w:val="en-GB"/>
        </w:rPr>
        <w:t>almost half (</w:t>
      </w:r>
      <w:r w:rsidR="00EF4F7D" w:rsidRPr="00764F24">
        <w:rPr>
          <w:rFonts w:cstheme="minorHAnsi"/>
          <w:color w:val="000000"/>
          <w:szCs w:val="24"/>
          <w:lang w:val="en-GB"/>
        </w:rPr>
        <w:t>45</w:t>
      </w:r>
      <w:r w:rsidR="00A7794E" w:rsidRPr="00764F24">
        <w:rPr>
          <w:rFonts w:cstheme="minorHAnsi"/>
          <w:color w:val="000000"/>
          <w:szCs w:val="24"/>
          <w:lang w:val="en-GB"/>
        </w:rPr>
        <w:t xml:space="preserve"> </w:t>
      </w:r>
      <w:r w:rsidR="00692125" w:rsidRPr="00764F24">
        <w:rPr>
          <w:rFonts w:cstheme="minorHAnsi"/>
          <w:color w:val="000000"/>
          <w:szCs w:val="24"/>
          <w:lang w:val="en-GB"/>
        </w:rPr>
        <w:t>per cent)</w:t>
      </w:r>
      <w:r w:rsidR="00EF4F7D" w:rsidRPr="00764F24">
        <w:rPr>
          <w:rFonts w:cstheme="minorHAnsi"/>
          <w:color w:val="000000"/>
          <w:szCs w:val="24"/>
          <w:lang w:val="en-GB"/>
        </w:rPr>
        <w:t xml:space="preserve"> </w:t>
      </w:r>
      <w:r w:rsidRPr="00764F24">
        <w:rPr>
          <w:rFonts w:cstheme="minorHAnsi"/>
          <w:color w:val="000000"/>
          <w:szCs w:val="24"/>
          <w:lang w:val="en-GB"/>
        </w:rPr>
        <w:t xml:space="preserve">of those in severe problem debt before the outbreak </w:t>
      </w:r>
      <w:r w:rsidR="00EF4F7D" w:rsidRPr="00764F24">
        <w:rPr>
          <w:rFonts w:cstheme="minorHAnsi"/>
          <w:color w:val="000000"/>
          <w:szCs w:val="24"/>
          <w:lang w:val="en-GB"/>
        </w:rPr>
        <w:t>ha</w:t>
      </w:r>
      <w:r w:rsidRPr="00764F24">
        <w:rPr>
          <w:rFonts w:cstheme="minorHAnsi"/>
          <w:color w:val="000000"/>
          <w:szCs w:val="24"/>
          <w:lang w:val="en-GB"/>
        </w:rPr>
        <w:t>d</w:t>
      </w:r>
      <w:r w:rsidR="00EF4F7D" w:rsidRPr="00764F24">
        <w:rPr>
          <w:rFonts w:cstheme="minorHAnsi"/>
          <w:color w:val="000000"/>
          <w:szCs w:val="24"/>
          <w:lang w:val="en-GB"/>
        </w:rPr>
        <w:t xml:space="preserve"> been negatively affected financially by </w:t>
      </w:r>
      <w:r w:rsidR="00A56B08" w:rsidRPr="00764F24">
        <w:rPr>
          <w:rFonts w:cstheme="minorHAnsi"/>
          <w:color w:val="000000"/>
          <w:szCs w:val="24"/>
          <w:lang w:val="en-GB"/>
        </w:rPr>
        <w:t>the pandemic</w:t>
      </w:r>
      <w:r w:rsidR="00EF4F7D" w:rsidRPr="00764F24">
        <w:rPr>
          <w:rFonts w:cstheme="minorHAnsi"/>
          <w:color w:val="000000"/>
          <w:szCs w:val="24"/>
          <w:lang w:val="en-GB"/>
        </w:rPr>
        <w:t xml:space="preserve"> compared to 25</w:t>
      </w:r>
      <w:r w:rsidR="00125F43" w:rsidRPr="00764F24">
        <w:rPr>
          <w:rFonts w:eastAsiaTheme="majorEastAsia" w:cstheme="minorHAnsi"/>
          <w:bCs/>
          <w:kern w:val="32"/>
          <w:szCs w:val="24"/>
          <w:lang w:val="en-GB"/>
        </w:rPr>
        <w:t xml:space="preserve"> per cent</w:t>
      </w:r>
      <w:r w:rsidR="00EF4F7D" w:rsidRPr="00764F24">
        <w:rPr>
          <w:rFonts w:cstheme="minorHAnsi"/>
          <w:color w:val="000000"/>
          <w:szCs w:val="24"/>
          <w:lang w:val="en-GB"/>
        </w:rPr>
        <w:t xml:space="preserve"> of those not in financial difficulty. </w:t>
      </w:r>
      <w:r w:rsidRPr="00764F24">
        <w:rPr>
          <w:rFonts w:cstheme="minorHAnsi"/>
          <w:color w:val="000000"/>
          <w:szCs w:val="24"/>
          <w:lang w:val="en-GB"/>
        </w:rPr>
        <w:t xml:space="preserve">They </w:t>
      </w:r>
      <w:r w:rsidR="00EF4F7D" w:rsidRPr="00764F24">
        <w:rPr>
          <w:rFonts w:cstheme="minorHAnsi"/>
          <w:color w:val="000000"/>
          <w:szCs w:val="24"/>
          <w:lang w:val="en-GB"/>
        </w:rPr>
        <w:t>estimate</w:t>
      </w:r>
      <w:r w:rsidRPr="00764F24">
        <w:rPr>
          <w:rFonts w:cstheme="minorHAnsi"/>
          <w:color w:val="000000"/>
          <w:szCs w:val="24"/>
          <w:lang w:val="en-GB"/>
        </w:rPr>
        <w:t>d</w:t>
      </w:r>
      <w:r w:rsidR="00EF4F7D" w:rsidRPr="00764F24">
        <w:rPr>
          <w:rFonts w:cstheme="minorHAnsi"/>
          <w:color w:val="000000"/>
          <w:szCs w:val="24"/>
          <w:lang w:val="en-GB"/>
        </w:rPr>
        <w:t xml:space="preserve"> that </w:t>
      </w:r>
      <w:r w:rsidR="00E23133">
        <w:rPr>
          <w:rFonts w:cstheme="minorHAnsi"/>
          <w:color w:val="000000"/>
          <w:szCs w:val="24"/>
          <w:lang w:val="en-GB"/>
        </w:rPr>
        <w:t xml:space="preserve">the </w:t>
      </w:r>
      <w:r w:rsidR="00EF4F7D" w:rsidRPr="00764F24">
        <w:rPr>
          <w:rFonts w:cstheme="minorHAnsi"/>
          <w:color w:val="000000"/>
          <w:szCs w:val="24"/>
          <w:lang w:val="en-GB"/>
        </w:rPr>
        <w:t>4.6 million people negatively affected ha</w:t>
      </w:r>
      <w:r w:rsidRPr="00764F24">
        <w:rPr>
          <w:rFonts w:cstheme="minorHAnsi"/>
          <w:color w:val="000000"/>
          <w:szCs w:val="24"/>
          <w:lang w:val="en-GB"/>
        </w:rPr>
        <w:t>d</w:t>
      </w:r>
      <w:r w:rsidR="00EF4F7D" w:rsidRPr="00764F24">
        <w:rPr>
          <w:rFonts w:cstheme="minorHAnsi"/>
          <w:color w:val="000000"/>
          <w:szCs w:val="24"/>
          <w:lang w:val="en-GB"/>
        </w:rPr>
        <w:t xml:space="preserve"> accumulated £6.1 billion of arrears and debt, averaging £1,076 in arrears and £997 in debt per adult affected</w:t>
      </w:r>
      <w:r w:rsidR="00BF7FBA" w:rsidRPr="00764F24">
        <w:rPr>
          <w:rFonts w:cstheme="minorHAnsi"/>
          <w:color w:val="000000"/>
          <w:szCs w:val="24"/>
          <w:lang w:val="en-GB"/>
        </w:rPr>
        <w:t xml:space="preserve">. </w:t>
      </w:r>
      <w:r w:rsidRPr="00764F24">
        <w:rPr>
          <w:rFonts w:cstheme="minorHAnsi"/>
          <w:color w:val="000000"/>
          <w:szCs w:val="24"/>
          <w:lang w:val="en-GB"/>
        </w:rPr>
        <w:t>Furthermore, from March to May 2020</w:t>
      </w:r>
      <w:r w:rsidR="00EF4F7D" w:rsidRPr="00764F24">
        <w:rPr>
          <w:rFonts w:cstheme="minorHAnsi"/>
          <w:color w:val="000000"/>
          <w:szCs w:val="24"/>
          <w:lang w:val="en-GB"/>
        </w:rPr>
        <w:t>, 2.8 million people ha</w:t>
      </w:r>
      <w:r w:rsidRPr="00764F24">
        <w:rPr>
          <w:rFonts w:cstheme="minorHAnsi"/>
          <w:color w:val="000000"/>
          <w:szCs w:val="24"/>
          <w:lang w:val="en-GB"/>
        </w:rPr>
        <w:t>d</w:t>
      </w:r>
      <w:r w:rsidR="00EF4F7D" w:rsidRPr="00764F24">
        <w:rPr>
          <w:rFonts w:cstheme="minorHAnsi"/>
          <w:color w:val="000000"/>
          <w:szCs w:val="24"/>
          <w:lang w:val="en-GB"/>
        </w:rPr>
        <w:t xml:space="preserve"> fallen into arrears: most frequently utilities (1.2 million people), council tax (820,000 people) and rent (590,000 people)</w:t>
      </w:r>
      <w:r w:rsidR="00BF7FBA" w:rsidRPr="00764F24">
        <w:rPr>
          <w:rFonts w:cstheme="minorHAnsi"/>
          <w:color w:val="000000"/>
          <w:szCs w:val="24"/>
          <w:lang w:val="en-GB"/>
        </w:rPr>
        <w:t xml:space="preserve">. </w:t>
      </w:r>
      <w:r w:rsidRPr="00764F24">
        <w:rPr>
          <w:rFonts w:cstheme="minorHAnsi"/>
          <w:color w:val="000000"/>
          <w:szCs w:val="24"/>
          <w:lang w:val="en-GB"/>
        </w:rPr>
        <w:t>Some people (4.2 million in total) were using credit to make ends meet, mo</w:t>
      </w:r>
      <w:r w:rsidR="00EF4F7D" w:rsidRPr="00764F24">
        <w:rPr>
          <w:rFonts w:cstheme="minorHAnsi"/>
          <w:color w:val="000000"/>
          <w:szCs w:val="24"/>
          <w:lang w:val="en-GB"/>
        </w:rPr>
        <w:t>st often using a credit card (1.7 million), an overdraft (1.6 million) or a high cost credit product</w:t>
      </w:r>
      <w:r w:rsidR="00E23133">
        <w:rPr>
          <w:rFonts w:cstheme="minorHAnsi"/>
          <w:color w:val="000000"/>
          <w:szCs w:val="24"/>
          <w:lang w:val="en-GB"/>
        </w:rPr>
        <w:t>.</w:t>
      </w:r>
    </w:p>
    <w:p w14:paraId="02E1A0AD" w14:textId="3E8E1411" w:rsidR="00E23133" w:rsidRPr="00E23133" w:rsidRDefault="00E23133" w:rsidP="00350EB7">
      <w:pPr>
        <w:autoSpaceDE w:val="0"/>
        <w:autoSpaceDN w:val="0"/>
        <w:adjustRightInd w:val="0"/>
        <w:spacing w:beforeAutospacing="1" w:after="100" w:afterAutospacing="1" w:line="360" w:lineRule="auto"/>
        <w:rPr>
          <w:rFonts w:cstheme="minorHAnsi"/>
          <w:color w:val="000000"/>
          <w:szCs w:val="24"/>
          <w:lang w:val="en-GB"/>
        </w:rPr>
      </w:pPr>
      <w:r>
        <w:rPr>
          <w:rFonts w:cstheme="minorHAnsi"/>
          <w:color w:val="000000"/>
          <w:szCs w:val="24"/>
          <w:lang w:val="en-GB"/>
        </w:rPr>
        <w:lastRenderedPageBreak/>
        <w:t>According to the Standard Life Foundation’s Coronavirus financial tracker</w:t>
      </w:r>
      <w:r w:rsidR="00350EB7">
        <w:rPr>
          <w:rStyle w:val="FootnoteReference"/>
          <w:rFonts w:cstheme="minorHAnsi"/>
          <w:color w:val="000000"/>
          <w:szCs w:val="24"/>
          <w:lang w:val="en-GB"/>
        </w:rPr>
        <w:footnoteReference w:id="86"/>
      </w:r>
      <w:r>
        <w:rPr>
          <w:rFonts w:cstheme="minorHAnsi"/>
          <w:color w:val="000000"/>
          <w:szCs w:val="24"/>
          <w:lang w:val="en-GB"/>
        </w:rPr>
        <w:t>, b</w:t>
      </w:r>
      <w:r w:rsidRPr="00E23133">
        <w:rPr>
          <w:rFonts w:cstheme="minorHAnsi"/>
          <w:color w:val="000000"/>
          <w:szCs w:val="24"/>
          <w:lang w:val="en-GB"/>
        </w:rPr>
        <w:t>etween May and July 2020</w:t>
      </w:r>
      <w:r>
        <w:rPr>
          <w:rFonts w:cstheme="minorHAnsi"/>
          <w:color w:val="000000"/>
          <w:szCs w:val="24"/>
          <w:lang w:val="en-GB"/>
        </w:rPr>
        <w:t>,</w:t>
      </w:r>
      <w:r w:rsidRPr="00E23133">
        <w:rPr>
          <w:rFonts w:cstheme="minorHAnsi"/>
          <w:color w:val="000000"/>
          <w:szCs w:val="24"/>
          <w:lang w:val="en-GB"/>
        </w:rPr>
        <w:t xml:space="preserve"> the proportion of households that currently owed money in missed</w:t>
      </w:r>
      <w:r>
        <w:rPr>
          <w:rFonts w:cstheme="minorHAnsi"/>
          <w:color w:val="000000"/>
          <w:szCs w:val="24"/>
          <w:lang w:val="en-GB"/>
        </w:rPr>
        <w:t xml:space="preserve"> </w:t>
      </w:r>
      <w:r w:rsidRPr="00E23133">
        <w:rPr>
          <w:rFonts w:cstheme="minorHAnsi"/>
          <w:color w:val="000000"/>
          <w:szCs w:val="24"/>
          <w:lang w:val="en-GB"/>
        </w:rPr>
        <w:t xml:space="preserve">payments (including agreed ‘payment holidays’) had increased from 16 to 18 per cent. </w:t>
      </w:r>
      <w:r w:rsidR="00350EB7">
        <w:rPr>
          <w:rFonts w:cstheme="minorHAnsi"/>
          <w:color w:val="000000"/>
          <w:szCs w:val="24"/>
          <w:lang w:val="en-GB"/>
        </w:rPr>
        <w:t xml:space="preserve"> And among the 16 per cent of households who were</w:t>
      </w:r>
      <w:r w:rsidRPr="00E23133">
        <w:rPr>
          <w:rFonts w:cstheme="minorHAnsi"/>
          <w:color w:val="000000"/>
          <w:szCs w:val="24"/>
          <w:lang w:val="en-GB"/>
        </w:rPr>
        <w:t xml:space="preserve"> struggling to make ends meet</w:t>
      </w:r>
      <w:r w:rsidR="00350EB7">
        <w:rPr>
          <w:rFonts w:cstheme="minorHAnsi"/>
          <w:color w:val="000000"/>
          <w:szCs w:val="24"/>
          <w:lang w:val="en-GB"/>
        </w:rPr>
        <w:t>, the figure was much higher, with 37 per cent</w:t>
      </w:r>
      <w:r w:rsidRPr="00E23133">
        <w:rPr>
          <w:rFonts w:cstheme="minorHAnsi"/>
          <w:color w:val="000000"/>
          <w:szCs w:val="24"/>
          <w:lang w:val="en-GB"/>
        </w:rPr>
        <w:t xml:space="preserve"> </w:t>
      </w:r>
      <w:r w:rsidR="00350EB7">
        <w:rPr>
          <w:rFonts w:cstheme="minorHAnsi"/>
          <w:color w:val="000000"/>
          <w:szCs w:val="24"/>
          <w:lang w:val="en-GB"/>
        </w:rPr>
        <w:t xml:space="preserve">having </w:t>
      </w:r>
      <w:r w:rsidRPr="00E23133">
        <w:rPr>
          <w:rFonts w:cstheme="minorHAnsi"/>
          <w:color w:val="000000"/>
          <w:szCs w:val="24"/>
          <w:lang w:val="en-GB"/>
        </w:rPr>
        <w:t>missed</w:t>
      </w:r>
      <w:r w:rsidR="00350EB7">
        <w:rPr>
          <w:rFonts w:cstheme="minorHAnsi"/>
          <w:color w:val="000000"/>
          <w:szCs w:val="24"/>
          <w:lang w:val="en-GB"/>
        </w:rPr>
        <w:t xml:space="preserve"> </w:t>
      </w:r>
      <w:r w:rsidRPr="00E23133">
        <w:rPr>
          <w:rFonts w:cstheme="minorHAnsi"/>
          <w:color w:val="000000"/>
          <w:szCs w:val="24"/>
          <w:lang w:val="en-GB"/>
        </w:rPr>
        <w:t>payments on</w:t>
      </w:r>
      <w:r w:rsidR="00350EB7">
        <w:rPr>
          <w:rFonts w:cstheme="minorHAnsi"/>
          <w:color w:val="000000"/>
          <w:szCs w:val="24"/>
          <w:lang w:val="en-GB"/>
        </w:rPr>
        <w:t xml:space="preserve"> one or more</w:t>
      </w:r>
      <w:r w:rsidRPr="00E23133">
        <w:rPr>
          <w:rFonts w:cstheme="minorHAnsi"/>
          <w:color w:val="000000"/>
          <w:szCs w:val="24"/>
          <w:lang w:val="en-GB"/>
        </w:rPr>
        <w:t xml:space="preserve"> of their commitments (including payment holidays)</w:t>
      </w:r>
      <w:r w:rsidR="00350EB7">
        <w:rPr>
          <w:rFonts w:cstheme="minorHAnsi"/>
          <w:color w:val="000000"/>
          <w:szCs w:val="24"/>
          <w:lang w:val="en-GB"/>
        </w:rPr>
        <w:t>.</w:t>
      </w:r>
      <w:r w:rsidRPr="00E23133">
        <w:rPr>
          <w:rFonts w:cstheme="minorHAnsi"/>
          <w:color w:val="000000"/>
          <w:szCs w:val="24"/>
          <w:lang w:val="en-GB"/>
        </w:rPr>
        <w:t xml:space="preserve"> </w:t>
      </w:r>
    </w:p>
    <w:p w14:paraId="75806863" w14:textId="19B6A0D6" w:rsidR="00D32434" w:rsidRPr="00764F24" w:rsidRDefault="00506820" w:rsidP="00D86B69">
      <w:pPr>
        <w:autoSpaceDE w:val="0"/>
        <w:autoSpaceDN w:val="0"/>
        <w:adjustRightInd w:val="0"/>
        <w:spacing w:beforeAutospacing="1" w:after="100" w:afterAutospacing="1" w:line="360" w:lineRule="auto"/>
        <w:rPr>
          <w:rFonts w:cstheme="minorHAnsi"/>
          <w:color w:val="000000"/>
          <w:szCs w:val="24"/>
          <w:lang w:val="en-GB"/>
        </w:rPr>
      </w:pPr>
      <w:r w:rsidRPr="00764F24">
        <w:rPr>
          <w:rFonts w:cstheme="minorHAnsi"/>
          <w:color w:val="000000"/>
          <w:szCs w:val="24"/>
          <w:lang w:val="en-GB"/>
        </w:rPr>
        <w:t>If people are not able to keep on top of their debts there can, of course be serious consequences</w:t>
      </w:r>
      <w:r w:rsidR="00BF7FBA" w:rsidRPr="00764F24">
        <w:rPr>
          <w:rFonts w:cstheme="minorHAnsi"/>
          <w:color w:val="000000"/>
          <w:szCs w:val="24"/>
          <w:lang w:val="en-GB"/>
        </w:rPr>
        <w:t xml:space="preserve">. </w:t>
      </w:r>
      <w:r w:rsidRPr="00764F24">
        <w:rPr>
          <w:rFonts w:cstheme="minorHAnsi"/>
          <w:color w:val="000000"/>
          <w:szCs w:val="24"/>
          <w:lang w:val="en-GB"/>
        </w:rPr>
        <w:t>Linked to this, a</w:t>
      </w:r>
      <w:r w:rsidR="00D32434" w:rsidRPr="00764F24">
        <w:rPr>
          <w:rFonts w:cstheme="minorHAnsi"/>
          <w:color w:val="000000"/>
          <w:szCs w:val="24"/>
          <w:lang w:val="en-GB"/>
        </w:rPr>
        <w:t xml:space="preserve">nother indicator of </w:t>
      </w:r>
      <w:r w:rsidRPr="00764F24">
        <w:rPr>
          <w:rFonts w:cstheme="minorHAnsi"/>
          <w:color w:val="000000"/>
          <w:szCs w:val="24"/>
          <w:lang w:val="en-GB"/>
        </w:rPr>
        <w:t xml:space="preserve">serious </w:t>
      </w:r>
      <w:r w:rsidR="00D32434" w:rsidRPr="00764F24">
        <w:rPr>
          <w:rFonts w:cstheme="minorHAnsi"/>
          <w:color w:val="000000"/>
          <w:szCs w:val="24"/>
          <w:lang w:val="en-GB"/>
        </w:rPr>
        <w:t>problem debt is the rate of insolvency</w:t>
      </w:r>
      <w:r w:rsidR="00D32434" w:rsidRPr="00764F24">
        <w:rPr>
          <w:rStyle w:val="FootnoteReference"/>
          <w:rFonts w:cstheme="minorHAnsi"/>
          <w:color w:val="000000"/>
          <w:szCs w:val="24"/>
          <w:lang w:val="en-GB"/>
        </w:rPr>
        <w:footnoteReference w:id="87"/>
      </w:r>
      <w:r w:rsidR="00BF7FBA" w:rsidRPr="00764F24">
        <w:rPr>
          <w:rFonts w:cstheme="minorHAnsi"/>
          <w:color w:val="000000"/>
          <w:szCs w:val="24"/>
          <w:lang w:val="en-GB"/>
        </w:rPr>
        <w:t xml:space="preserve">. </w:t>
      </w:r>
      <w:r w:rsidR="00D32434" w:rsidRPr="00764F24">
        <w:rPr>
          <w:rFonts w:cstheme="minorHAnsi"/>
          <w:color w:val="000000"/>
          <w:szCs w:val="24"/>
          <w:lang w:val="en-GB"/>
        </w:rPr>
        <w:t>Individual insolvency procedures include bankruptcy, debt relief orders (with effect from 6 April 2009) and individual voluntary arrangements:</w:t>
      </w:r>
    </w:p>
    <w:p w14:paraId="5A319ACB" w14:textId="77777777" w:rsidR="00D32434" w:rsidRPr="00764F24" w:rsidRDefault="00D32434" w:rsidP="00D86B69">
      <w:pPr>
        <w:pStyle w:val="ListParagraph"/>
        <w:numPr>
          <w:ilvl w:val="0"/>
          <w:numId w:val="4"/>
        </w:numPr>
        <w:autoSpaceDE w:val="0"/>
        <w:autoSpaceDN w:val="0"/>
        <w:adjustRightInd w:val="0"/>
        <w:spacing w:beforeAutospacing="1" w:after="100" w:afterAutospacing="1" w:line="360" w:lineRule="auto"/>
        <w:rPr>
          <w:rFonts w:cstheme="minorHAnsi"/>
          <w:color w:val="000000"/>
          <w:szCs w:val="24"/>
          <w:lang w:val="en-GB"/>
        </w:rPr>
      </w:pPr>
      <w:r w:rsidRPr="00764F24">
        <w:rPr>
          <w:rFonts w:cstheme="minorHAnsi"/>
          <w:color w:val="000000"/>
          <w:szCs w:val="24"/>
          <w:lang w:val="en-GB"/>
        </w:rPr>
        <w:t>Bankruptcy: a form of debt relief available for anyone who is unable to pay the debts they owe. Any assets owned will vest in a trustee in bankruptcy who will sell them and distribute the proceeds to creditors in accordance with the order laid down by statute.</w:t>
      </w:r>
    </w:p>
    <w:p w14:paraId="3C0C4F43" w14:textId="77777777" w:rsidR="00D32434" w:rsidRPr="00764F24" w:rsidRDefault="00D32434" w:rsidP="00D86B69">
      <w:pPr>
        <w:pStyle w:val="ListParagraph"/>
        <w:numPr>
          <w:ilvl w:val="0"/>
          <w:numId w:val="4"/>
        </w:numPr>
        <w:autoSpaceDE w:val="0"/>
        <w:autoSpaceDN w:val="0"/>
        <w:adjustRightInd w:val="0"/>
        <w:spacing w:beforeAutospacing="1" w:after="100" w:afterAutospacing="1" w:line="360" w:lineRule="auto"/>
        <w:rPr>
          <w:rFonts w:cstheme="minorHAnsi"/>
          <w:color w:val="000000"/>
          <w:szCs w:val="24"/>
          <w:lang w:val="en-GB"/>
        </w:rPr>
      </w:pPr>
      <w:r w:rsidRPr="00764F24">
        <w:rPr>
          <w:rFonts w:cstheme="minorHAnsi"/>
          <w:color w:val="000000"/>
          <w:szCs w:val="24"/>
          <w:lang w:val="en-GB"/>
        </w:rPr>
        <w:t>Debt relief order: a form of debt relief available to those who owe £15,000 or less and have little by way of assets or income. There is no distribution to creditors, and discharge from debts takes place 12 months after the DRO is granted.</w:t>
      </w:r>
    </w:p>
    <w:p w14:paraId="4B4ECEA3" w14:textId="77777777" w:rsidR="007E64E2" w:rsidRPr="00764F24" w:rsidRDefault="00D32434" w:rsidP="00D86B69">
      <w:pPr>
        <w:pStyle w:val="ListParagraph"/>
        <w:numPr>
          <w:ilvl w:val="0"/>
          <w:numId w:val="4"/>
        </w:numPr>
        <w:autoSpaceDE w:val="0"/>
        <w:autoSpaceDN w:val="0"/>
        <w:adjustRightInd w:val="0"/>
        <w:spacing w:beforeAutospacing="1" w:after="100" w:afterAutospacing="1" w:line="360" w:lineRule="auto"/>
        <w:rPr>
          <w:rFonts w:cstheme="minorHAnsi"/>
          <w:color w:val="000000"/>
          <w:szCs w:val="24"/>
          <w:lang w:val="en-GB"/>
        </w:rPr>
      </w:pPr>
      <w:r w:rsidRPr="00764F24">
        <w:rPr>
          <w:rFonts w:cstheme="minorHAnsi"/>
          <w:color w:val="000000"/>
          <w:szCs w:val="24"/>
          <w:lang w:val="en-GB"/>
        </w:rPr>
        <w:t>Individual Voluntary Arrangements – a voluntary means of repaying creditors some or all of what they are owed. Once approved by the majority of creditors, the arrangement is binding on all. Such arrangements are supervised by a licensed Insolvency Practitioner.</w:t>
      </w:r>
    </w:p>
    <w:p w14:paraId="03ABB625" w14:textId="7C308B52" w:rsidR="007E64E2" w:rsidRPr="00764F24" w:rsidRDefault="004D1175" w:rsidP="00D86B69">
      <w:pPr>
        <w:spacing w:beforeAutospacing="1" w:after="100" w:afterAutospacing="1" w:line="360" w:lineRule="auto"/>
        <w:rPr>
          <w:rFonts w:cstheme="minorHAnsi"/>
          <w:szCs w:val="24"/>
          <w:lang w:val="en-GB"/>
        </w:rPr>
      </w:pPr>
      <w:r w:rsidRPr="00764F24">
        <w:rPr>
          <w:rFonts w:cstheme="minorHAnsi"/>
          <w:szCs w:val="24"/>
          <w:lang w:val="en-GB"/>
        </w:rPr>
        <w:t>Quarterly d</w:t>
      </w:r>
      <w:r w:rsidR="00D32434" w:rsidRPr="00764F24">
        <w:rPr>
          <w:rFonts w:cstheme="minorHAnsi"/>
          <w:szCs w:val="24"/>
          <w:lang w:val="en-GB"/>
        </w:rPr>
        <w:t>ata from the Insolvency Service</w:t>
      </w:r>
      <w:r w:rsidR="008D2686" w:rsidRPr="00764F24">
        <w:rPr>
          <w:rStyle w:val="FootnoteReference"/>
          <w:rFonts w:cstheme="minorHAnsi"/>
          <w:szCs w:val="24"/>
          <w:lang w:val="en-GB"/>
        </w:rPr>
        <w:t xml:space="preserve"> </w:t>
      </w:r>
      <w:r w:rsidR="00D32434" w:rsidRPr="00764F24">
        <w:rPr>
          <w:rFonts w:cstheme="minorHAnsi"/>
          <w:szCs w:val="24"/>
          <w:lang w:val="en-GB"/>
        </w:rPr>
        <w:t xml:space="preserve">shows that the total </w:t>
      </w:r>
      <w:r w:rsidR="00262F1F" w:rsidRPr="00764F24">
        <w:rPr>
          <w:rFonts w:cstheme="minorHAnsi"/>
          <w:szCs w:val="24"/>
          <w:lang w:val="en-GB"/>
        </w:rPr>
        <w:t xml:space="preserve">numbers of </w:t>
      </w:r>
      <w:r w:rsidR="00D32434" w:rsidRPr="00764F24">
        <w:rPr>
          <w:rFonts w:cstheme="minorHAnsi"/>
          <w:szCs w:val="24"/>
          <w:lang w:val="en-GB"/>
        </w:rPr>
        <w:t xml:space="preserve">individual </w:t>
      </w:r>
      <w:r w:rsidRPr="00764F24">
        <w:rPr>
          <w:rFonts w:cstheme="minorHAnsi"/>
          <w:szCs w:val="24"/>
          <w:lang w:val="en-GB"/>
        </w:rPr>
        <w:t xml:space="preserve">insolvencies fell to </w:t>
      </w:r>
      <w:r w:rsidR="00C643C3" w:rsidRPr="00764F24">
        <w:rPr>
          <w:rFonts w:cstheme="minorHAnsi"/>
          <w:szCs w:val="24"/>
          <w:lang w:val="en-GB"/>
        </w:rPr>
        <w:t xml:space="preserve">around </w:t>
      </w:r>
      <w:r w:rsidR="00916AA7" w:rsidRPr="00764F24">
        <w:rPr>
          <w:rFonts w:cstheme="minorHAnsi"/>
          <w:szCs w:val="24"/>
          <w:lang w:val="en-GB"/>
        </w:rPr>
        <w:t>1</w:t>
      </w:r>
      <w:r w:rsidR="00C643C3" w:rsidRPr="00764F24">
        <w:rPr>
          <w:rFonts w:cstheme="minorHAnsi"/>
          <w:szCs w:val="24"/>
          <w:lang w:val="en-GB"/>
        </w:rPr>
        <w:t>9</w:t>
      </w:r>
      <w:r w:rsidR="00916AA7" w:rsidRPr="00764F24">
        <w:rPr>
          <w:rFonts w:cstheme="minorHAnsi"/>
          <w:szCs w:val="24"/>
          <w:lang w:val="en-GB"/>
        </w:rPr>
        <w:t xml:space="preserve">,000 in the </w:t>
      </w:r>
      <w:r w:rsidR="00C643C3" w:rsidRPr="00764F24">
        <w:rPr>
          <w:rFonts w:cstheme="minorHAnsi"/>
          <w:szCs w:val="24"/>
          <w:lang w:val="en-GB"/>
        </w:rPr>
        <w:t xml:space="preserve">second quarter (April to June) </w:t>
      </w:r>
      <w:r w:rsidR="00916AA7" w:rsidRPr="00764F24">
        <w:rPr>
          <w:rFonts w:cstheme="minorHAnsi"/>
          <w:szCs w:val="24"/>
          <w:lang w:val="en-GB"/>
        </w:rPr>
        <w:t xml:space="preserve">2015 but </w:t>
      </w:r>
      <w:r w:rsidR="00C643C3" w:rsidRPr="00764F24">
        <w:rPr>
          <w:rFonts w:cstheme="minorHAnsi"/>
          <w:szCs w:val="24"/>
          <w:lang w:val="en-GB"/>
        </w:rPr>
        <w:t>then rose to just over 34, 000 in the last quarter (October to December) 2018 before falling again</w:t>
      </w:r>
      <w:r w:rsidR="00BF7FBA" w:rsidRPr="00764F24">
        <w:rPr>
          <w:rFonts w:cstheme="minorHAnsi"/>
          <w:szCs w:val="24"/>
          <w:lang w:val="en-GB"/>
        </w:rPr>
        <w:t xml:space="preserve">. </w:t>
      </w:r>
      <w:r w:rsidR="00C643C3" w:rsidRPr="00764F24">
        <w:rPr>
          <w:rFonts w:cstheme="minorHAnsi"/>
          <w:szCs w:val="24"/>
          <w:lang w:val="en-GB"/>
        </w:rPr>
        <w:t>Nevertheless, the total number of insolvencies during the whole of 2019 was just short of 122,000</w:t>
      </w:r>
      <w:r w:rsidR="00BF7FBA" w:rsidRPr="00764F24">
        <w:rPr>
          <w:rFonts w:cstheme="minorHAnsi"/>
          <w:szCs w:val="24"/>
          <w:lang w:val="en-GB"/>
        </w:rPr>
        <w:t xml:space="preserve">. </w:t>
      </w:r>
      <w:r w:rsidR="00C643C3" w:rsidRPr="00764F24">
        <w:rPr>
          <w:rFonts w:cstheme="minorHAnsi"/>
          <w:szCs w:val="24"/>
          <w:lang w:val="en-GB"/>
        </w:rPr>
        <w:t>And the first quarter of 2020 recorded nearly 29,000</w:t>
      </w:r>
      <w:r w:rsidR="00581CF6" w:rsidRPr="00764F24">
        <w:rPr>
          <w:rFonts w:cstheme="minorHAnsi"/>
          <w:szCs w:val="24"/>
          <w:lang w:val="en-GB"/>
        </w:rPr>
        <w:t xml:space="preserve"> (see figure 9.3)</w:t>
      </w:r>
      <w:r w:rsidR="00C643C3" w:rsidRPr="00764F24">
        <w:rPr>
          <w:rFonts w:cstheme="minorHAnsi"/>
          <w:szCs w:val="24"/>
          <w:lang w:val="en-GB"/>
        </w:rPr>
        <w:t>.</w:t>
      </w:r>
    </w:p>
    <w:p w14:paraId="29AC2962" w14:textId="295A2E37" w:rsidR="00662784" w:rsidRPr="00764F24" w:rsidRDefault="00D32434"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 xml:space="preserve">Figure </w:t>
      </w:r>
      <w:r w:rsidR="00581CF6" w:rsidRPr="00764F24">
        <w:rPr>
          <w:rFonts w:cstheme="minorHAnsi"/>
          <w:sz w:val="24"/>
          <w:szCs w:val="24"/>
          <w:lang w:val="en-GB"/>
        </w:rPr>
        <w:t>9.3</w:t>
      </w:r>
      <w:r w:rsidR="00F62012" w:rsidRPr="00764F24">
        <w:rPr>
          <w:rFonts w:cstheme="minorHAnsi"/>
          <w:sz w:val="24"/>
          <w:szCs w:val="24"/>
          <w:lang w:val="en-GB"/>
        </w:rPr>
        <w:t>.</w:t>
      </w:r>
      <w:r w:rsidRPr="00764F24">
        <w:rPr>
          <w:rFonts w:cstheme="minorHAnsi"/>
          <w:sz w:val="24"/>
          <w:szCs w:val="24"/>
          <w:lang w:val="en-GB"/>
        </w:rPr>
        <w:t xml:space="preserve"> individual insolvenc</w:t>
      </w:r>
      <w:r w:rsidR="0077174A" w:rsidRPr="00764F24">
        <w:rPr>
          <w:rFonts w:cstheme="minorHAnsi"/>
          <w:sz w:val="24"/>
          <w:szCs w:val="24"/>
          <w:lang w:val="en-GB"/>
        </w:rPr>
        <w:t>ies</w:t>
      </w:r>
      <w:r w:rsidRPr="00764F24">
        <w:rPr>
          <w:rFonts w:cstheme="minorHAnsi"/>
          <w:sz w:val="24"/>
          <w:szCs w:val="24"/>
          <w:lang w:val="en-GB"/>
        </w:rPr>
        <w:t xml:space="preserve"> in </w:t>
      </w:r>
      <w:r w:rsidR="004D1175" w:rsidRPr="00764F24">
        <w:rPr>
          <w:rFonts w:cstheme="minorHAnsi"/>
          <w:sz w:val="24"/>
          <w:szCs w:val="24"/>
          <w:lang w:val="en-GB"/>
        </w:rPr>
        <w:t>UK, quarterly data</w:t>
      </w:r>
      <w:r w:rsidR="00F62012" w:rsidRPr="00764F24">
        <w:rPr>
          <w:rFonts w:cstheme="minorHAnsi"/>
          <w:sz w:val="24"/>
          <w:szCs w:val="24"/>
          <w:lang w:val="en-GB"/>
        </w:rPr>
        <w:t>.</w:t>
      </w:r>
      <w:r w:rsidR="004D1175" w:rsidRPr="00764F24">
        <w:rPr>
          <w:rFonts w:cstheme="minorHAnsi"/>
          <w:sz w:val="24"/>
          <w:szCs w:val="24"/>
          <w:lang w:val="en-GB"/>
        </w:rPr>
        <w:t xml:space="preserve"> Source: Insolvency Service</w:t>
      </w:r>
      <w:r w:rsidR="004D1175" w:rsidRPr="00764F24">
        <w:rPr>
          <w:rStyle w:val="FootnoteReference"/>
          <w:rFonts w:cstheme="minorHAnsi"/>
          <w:b w:val="0"/>
          <w:sz w:val="24"/>
          <w:szCs w:val="24"/>
          <w:lang w:val="en-GB"/>
        </w:rPr>
        <w:footnoteReference w:id="88"/>
      </w:r>
    </w:p>
    <w:p w14:paraId="19707B4F" w14:textId="77777777" w:rsidR="007E64E2" w:rsidRPr="00764F24" w:rsidRDefault="001B7088" w:rsidP="00D86B69">
      <w:pPr>
        <w:keepNext/>
        <w:spacing w:beforeAutospacing="1" w:after="100" w:afterAutospacing="1" w:line="360" w:lineRule="auto"/>
        <w:rPr>
          <w:rFonts w:cstheme="minorHAnsi"/>
          <w:b/>
          <w:szCs w:val="24"/>
          <w:lang w:val="en-GB"/>
        </w:rPr>
      </w:pPr>
      <w:r w:rsidRPr="00764F24">
        <w:rPr>
          <w:rFonts w:cstheme="minorHAnsi"/>
          <w:noProof/>
          <w:szCs w:val="24"/>
          <w:lang w:val="en-GB" w:eastAsia="en-GB" w:bidi="ar-SA"/>
        </w:rPr>
        <w:drawing>
          <wp:inline distT="0" distB="0" distL="0" distR="0" wp14:anchorId="56AFC839" wp14:editId="7CDC49DB">
            <wp:extent cx="5565775" cy="2959735"/>
            <wp:effectExtent l="0" t="0" r="15875" b="12065"/>
            <wp:docPr id="25" name="Chart 25" descr="Individual insolvencies were falling slightly from early 2019, up until the pandemic.">
              <a:extLst xmlns:a="http://schemas.openxmlformats.org/drawingml/2006/main">
                <a:ext uri="{FF2B5EF4-FFF2-40B4-BE49-F238E27FC236}">
                  <a16:creationId xmlns:a16="http://schemas.microsoft.com/office/drawing/2014/main" id="{93137F8E-2EEA-4FB6-93D8-3414393D2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A9DE125" w14:textId="0A823635" w:rsidR="007E64E2" w:rsidRPr="00764F24" w:rsidRDefault="00262F1F" w:rsidP="00D86B69">
      <w:pPr>
        <w:spacing w:beforeAutospacing="1" w:after="100" w:afterAutospacing="1" w:line="360" w:lineRule="auto"/>
        <w:rPr>
          <w:rFonts w:cstheme="minorHAnsi"/>
          <w:szCs w:val="24"/>
          <w:lang w:val="en-GB"/>
        </w:rPr>
      </w:pPr>
      <w:r w:rsidRPr="00764F24">
        <w:rPr>
          <w:rFonts w:cstheme="minorHAnsi"/>
          <w:szCs w:val="24"/>
          <w:lang w:val="en-GB"/>
        </w:rPr>
        <w:t>Another, quite extreme, indicator of problem debt is the number of properties taken into</w:t>
      </w:r>
      <w:r w:rsidR="00916AA7" w:rsidRPr="00764F24">
        <w:rPr>
          <w:rFonts w:cstheme="minorHAnsi"/>
          <w:szCs w:val="24"/>
          <w:lang w:val="en-GB"/>
        </w:rPr>
        <w:t xml:space="preserve"> </w:t>
      </w:r>
      <w:r w:rsidR="000A678F" w:rsidRPr="00764F24">
        <w:rPr>
          <w:rFonts w:cstheme="minorHAnsi"/>
          <w:szCs w:val="24"/>
          <w:lang w:val="en-GB"/>
        </w:rPr>
        <w:t>possession over time</w:t>
      </w:r>
      <w:r w:rsidR="00BF7FBA" w:rsidRPr="00764F24">
        <w:rPr>
          <w:rFonts w:cstheme="minorHAnsi"/>
          <w:szCs w:val="24"/>
          <w:lang w:val="en-GB"/>
        </w:rPr>
        <w:t xml:space="preserve">. </w:t>
      </w:r>
      <w:r w:rsidR="000A678F" w:rsidRPr="00764F24">
        <w:rPr>
          <w:rFonts w:cstheme="minorHAnsi"/>
          <w:szCs w:val="24"/>
          <w:lang w:val="en-GB"/>
        </w:rPr>
        <w:t xml:space="preserve">Figure </w:t>
      </w:r>
      <w:r w:rsidR="00C643C3" w:rsidRPr="00764F24">
        <w:rPr>
          <w:rFonts w:cstheme="minorHAnsi"/>
          <w:szCs w:val="24"/>
          <w:lang w:val="en-GB"/>
        </w:rPr>
        <w:t>9.</w:t>
      </w:r>
      <w:r w:rsidR="00581CF6" w:rsidRPr="00764F24">
        <w:rPr>
          <w:rFonts w:cstheme="minorHAnsi"/>
          <w:szCs w:val="24"/>
          <w:lang w:val="en-GB"/>
        </w:rPr>
        <w:t>4</w:t>
      </w:r>
      <w:r w:rsidRPr="00764F24">
        <w:rPr>
          <w:rFonts w:cstheme="minorHAnsi"/>
          <w:szCs w:val="24"/>
          <w:lang w:val="en-GB"/>
        </w:rPr>
        <w:t xml:space="preserve"> shows this trend both for mortgage repossessions and landlord possessions with a considerable difference in the trend</w:t>
      </w:r>
      <w:r w:rsidR="00BF7FBA" w:rsidRPr="00764F24">
        <w:rPr>
          <w:rFonts w:cstheme="minorHAnsi"/>
          <w:szCs w:val="24"/>
          <w:lang w:val="en-GB"/>
        </w:rPr>
        <w:t xml:space="preserve">. </w:t>
      </w:r>
      <w:r w:rsidRPr="00764F24">
        <w:rPr>
          <w:rFonts w:cstheme="minorHAnsi"/>
          <w:szCs w:val="24"/>
          <w:lang w:val="en-GB"/>
        </w:rPr>
        <w:t>Mortgage repossessions declin</w:t>
      </w:r>
      <w:r w:rsidR="00C643C3" w:rsidRPr="00764F24">
        <w:rPr>
          <w:rFonts w:cstheme="minorHAnsi"/>
          <w:szCs w:val="24"/>
          <w:lang w:val="en-GB"/>
        </w:rPr>
        <w:t>ed</w:t>
      </w:r>
      <w:r w:rsidRPr="00764F24">
        <w:rPr>
          <w:rFonts w:cstheme="minorHAnsi"/>
          <w:szCs w:val="24"/>
          <w:lang w:val="en-GB"/>
        </w:rPr>
        <w:t xml:space="preserve"> steadily </w:t>
      </w:r>
      <w:r w:rsidR="00C643C3" w:rsidRPr="00764F24">
        <w:rPr>
          <w:rFonts w:cstheme="minorHAnsi"/>
          <w:szCs w:val="24"/>
          <w:lang w:val="en-GB"/>
        </w:rPr>
        <w:t>from</w:t>
      </w:r>
      <w:r w:rsidRPr="00764F24">
        <w:rPr>
          <w:rFonts w:cstheme="minorHAnsi"/>
          <w:szCs w:val="24"/>
          <w:lang w:val="en-GB"/>
        </w:rPr>
        <w:t xml:space="preserve"> 2009</w:t>
      </w:r>
      <w:r w:rsidR="00C643C3" w:rsidRPr="00764F24">
        <w:rPr>
          <w:rFonts w:cstheme="minorHAnsi"/>
          <w:szCs w:val="24"/>
          <w:lang w:val="en-GB"/>
        </w:rPr>
        <w:t xml:space="preserve"> to 2015 before reaching a plateau of around 7,000 per year</w:t>
      </w:r>
      <w:r w:rsidR="00BF7FBA" w:rsidRPr="00764F24">
        <w:rPr>
          <w:rFonts w:cstheme="minorHAnsi"/>
          <w:szCs w:val="24"/>
          <w:lang w:val="en-GB"/>
        </w:rPr>
        <w:t xml:space="preserve">. </w:t>
      </w:r>
      <w:r w:rsidR="00C02F2E" w:rsidRPr="00764F24">
        <w:rPr>
          <w:rFonts w:cstheme="minorHAnsi"/>
          <w:szCs w:val="24"/>
          <w:lang w:val="en-GB"/>
        </w:rPr>
        <w:t>But there has been an increase in the last year from 1,590 mortgage possessions in the third quarter of 2018 to 2,130 in the third quarter of 2019</w:t>
      </w:r>
      <w:r w:rsidR="00BF7FBA" w:rsidRPr="00764F24">
        <w:rPr>
          <w:rFonts w:cstheme="minorHAnsi"/>
          <w:szCs w:val="24"/>
          <w:lang w:val="en-GB"/>
        </w:rPr>
        <w:t xml:space="preserve">. </w:t>
      </w:r>
      <w:r w:rsidR="00C02F2E" w:rsidRPr="00764F24">
        <w:rPr>
          <w:rFonts w:cstheme="minorHAnsi"/>
          <w:szCs w:val="24"/>
          <w:lang w:val="en-GB"/>
        </w:rPr>
        <w:t>Landlord repossessions, by contrast, peaked at 10,785 in the first quarter of 2014</w:t>
      </w:r>
      <w:r w:rsidR="00BF7FBA" w:rsidRPr="00764F24">
        <w:rPr>
          <w:rFonts w:cstheme="minorHAnsi"/>
          <w:szCs w:val="24"/>
          <w:lang w:val="en-GB"/>
        </w:rPr>
        <w:t xml:space="preserve">. </w:t>
      </w:r>
      <w:r w:rsidR="00C02F2E" w:rsidRPr="00764F24">
        <w:rPr>
          <w:rFonts w:cstheme="minorHAnsi"/>
          <w:szCs w:val="24"/>
          <w:lang w:val="en-GB"/>
        </w:rPr>
        <w:t>For that year as a whole, over 40,000 evictions took place</w:t>
      </w:r>
      <w:r w:rsidR="00BF7FBA" w:rsidRPr="00764F24">
        <w:rPr>
          <w:rFonts w:cstheme="minorHAnsi"/>
          <w:szCs w:val="24"/>
          <w:lang w:val="en-GB"/>
        </w:rPr>
        <w:t xml:space="preserve">. </w:t>
      </w:r>
      <w:r w:rsidR="00C02F2E" w:rsidRPr="00764F24">
        <w:rPr>
          <w:rFonts w:cstheme="minorHAnsi"/>
          <w:szCs w:val="24"/>
          <w:lang w:val="en-GB"/>
        </w:rPr>
        <w:t>In 2018, that annual figure had fallen to 27,000</w:t>
      </w:r>
      <w:r w:rsidR="00BF7FBA" w:rsidRPr="00764F24">
        <w:rPr>
          <w:rFonts w:cstheme="minorHAnsi"/>
          <w:szCs w:val="24"/>
          <w:lang w:val="en-GB"/>
        </w:rPr>
        <w:t xml:space="preserve">. </w:t>
      </w:r>
      <w:r w:rsidR="00C02F2E" w:rsidRPr="00764F24">
        <w:rPr>
          <w:rFonts w:cstheme="minorHAnsi"/>
          <w:szCs w:val="24"/>
          <w:lang w:val="en-GB"/>
        </w:rPr>
        <w:t xml:space="preserve">The latest quarter we have data for was the third quarter of 2019 when there were 3,374 evictions, </w:t>
      </w:r>
      <w:r w:rsidR="00C643C3" w:rsidRPr="00764F24">
        <w:rPr>
          <w:rFonts w:cstheme="minorHAnsi"/>
          <w:szCs w:val="24"/>
          <w:lang w:val="en-GB"/>
        </w:rPr>
        <w:t>suggest</w:t>
      </w:r>
      <w:r w:rsidR="00C02F2E" w:rsidRPr="00764F24">
        <w:rPr>
          <w:rFonts w:cstheme="minorHAnsi"/>
          <w:szCs w:val="24"/>
          <w:lang w:val="en-GB"/>
        </w:rPr>
        <w:t>ing</w:t>
      </w:r>
      <w:r w:rsidR="00C643C3" w:rsidRPr="00764F24">
        <w:rPr>
          <w:rFonts w:cstheme="minorHAnsi"/>
          <w:szCs w:val="24"/>
          <w:lang w:val="en-GB"/>
        </w:rPr>
        <w:t xml:space="preserve"> that there </w:t>
      </w:r>
      <w:r w:rsidR="00581CF6" w:rsidRPr="00764F24">
        <w:rPr>
          <w:rFonts w:cstheme="minorHAnsi"/>
          <w:szCs w:val="24"/>
          <w:lang w:val="en-GB"/>
        </w:rPr>
        <w:t>would have</w:t>
      </w:r>
      <w:r w:rsidR="00C643C3" w:rsidRPr="00764F24">
        <w:rPr>
          <w:rFonts w:cstheme="minorHAnsi"/>
          <w:szCs w:val="24"/>
          <w:lang w:val="en-GB"/>
        </w:rPr>
        <w:t xml:space="preserve"> be</w:t>
      </w:r>
      <w:r w:rsidR="00581CF6" w:rsidRPr="00764F24">
        <w:rPr>
          <w:rFonts w:cstheme="minorHAnsi"/>
          <w:szCs w:val="24"/>
          <w:lang w:val="en-GB"/>
        </w:rPr>
        <w:t>en</w:t>
      </w:r>
      <w:r w:rsidR="00C643C3" w:rsidRPr="00764F24">
        <w:rPr>
          <w:rFonts w:cstheme="minorHAnsi"/>
          <w:szCs w:val="24"/>
          <w:lang w:val="en-GB"/>
        </w:rPr>
        <w:t xml:space="preserve"> a further fall</w:t>
      </w:r>
      <w:r w:rsidR="00C02F2E" w:rsidRPr="00764F24">
        <w:rPr>
          <w:rFonts w:cstheme="minorHAnsi"/>
          <w:szCs w:val="24"/>
          <w:lang w:val="en-GB"/>
        </w:rPr>
        <w:t xml:space="preserve"> in the numbers of evictions in 2019 as a whole compared with 2018</w:t>
      </w:r>
      <w:r w:rsidR="00581CF6" w:rsidRPr="00764F24">
        <w:rPr>
          <w:rFonts w:cstheme="minorHAnsi"/>
          <w:szCs w:val="24"/>
          <w:lang w:val="en-GB"/>
        </w:rPr>
        <w:t xml:space="preserve"> if the trend had continued and, in particular, if the </w:t>
      </w:r>
      <w:r w:rsidR="00A12E5C" w:rsidRPr="00764F24">
        <w:rPr>
          <w:rFonts w:cstheme="minorHAnsi"/>
          <w:szCs w:val="24"/>
          <w:lang w:val="en-GB"/>
        </w:rPr>
        <w:t xml:space="preserve"> COVID-19</w:t>
      </w:r>
      <w:r w:rsidR="00581CF6" w:rsidRPr="00764F24">
        <w:rPr>
          <w:rFonts w:cstheme="minorHAnsi"/>
          <w:szCs w:val="24"/>
          <w:lang w:val="en-GB"/>
        </w:rPr>
        <w:t xml:space="preserve"> crisis had not hit</w:t>
      </w:r>
      <w:r w:rsidR="00C643C3" w:rsidRPr="00764F24">
        <w:rPr>
          <w:rFonts w:cstheme="minorHAnsi"/>
          <w:szCs w:val="24"/>
          <w:lang w:val="en-GB"/>
        </w:rPr>
        <w:t>.</w:t>
      </w:r>
    </w:p>
    <w:p w14:paraId="3527D123" w14:textId="397D1940" w:rsidR="002527C9" w:rsidRPr="00764F24" w:rsidRDefault="008A3CC4" w:rsidP="00D86B69">
      <w:pPr>
        <w:pStyle w:val="Caption"/>
        <w:spacing w:beforeAutospacing="1" w:after="100" w:afterAutospacing="1" w:line="360" w:lineRule="auto"/>
        <w:rPr>
          <w:rFonts w:cstheme="minorHAnsi"/>
          <w:sz w:val="24"/>
          <w:szCs w:val="24"/>
          <w:lang w:val="en-GB"/>
        </w:rPr>
      </w:pPr>
      <w:r w:rsidRPr="00764F24">
        <w:rPr>
          <w:rFonts w:cstheme="minorHAnsi"/>
          <w:sz w:val="24"/>
          <w:szCs w:val="24"/>
          <w:lang w:val="en-GB"/>
        </w:rPr>
        <w:t>Figure 9.</w:t>
      </w:r>
      <w:r w:rsidR="00D523CE">
        <w:rPr>
          <w:rFonts w:cstheme="minorHAnsi"/>
          <w:sz w:val="24"/>
          <w:szCs w:val="24"/>
          <w:lang w:val="en-GB"/>
        </w:rPr>
        <w:t>4</w:t>
      </w:r>
      <w:r w:rsidR="00F62012" w:rsidRPr="00764F24">
        <w:rPr>
          <w:rFonts w:cstheme="minorHAnsi"/>
          <w:sz w:val="24"/>
          <w:szCs w:val="24"/>
          <w:lang w:val="en-GB"/>
        </w:rPr>
        <w:t xml:space="preserve">. </w:t>
      </w:r>
      <w:r w:rsidR="00262F1F" w:rsidRPr="00764F24">
        <w:rPr>
          <w:rFonts w:cstheme="minorHAnsi"/>
          <w:sz w:val="24"/>
          <w:szCs w:val="24"/>
          <w:lang w:val="en-GB"/>
        </w:rPr>
        <w:t>Mortgage repossessions an</w:t>
      </w:r>
      <w:r w:rsidR="00C643C3" w:rsidRPr="00764F24">
        <w:rPr>
          <w:rFonts w:cstheme="minorHAnsi"/>
          <w:sz w:val="24"/>
          <w:szCs w:val="24"/>
          <w:lang w:val="en-GB"/>
        </w:rPr>
        <w:t>d landlord possessions 2009-2019</w:t>
      </w:r>
      <w:r w:rsidR="00F62012" w:rsidRPr="00764F24">
        <w:rPr>
          <w:rFonts w:cstheme="minorHAnsi"/>
          <w:sz w:val="24"/>
          <w:szCs w:val="24"/>
          <w:lang w:val="en-GB"/>
        </w:rPr>
        <w:t>.</w:t>
      </w:r>
      <w:r w:rsidR="00987F20" w:rsidRPr="00764F24">
        <w:rPr>
          <w:rFonts w:cstheme="minorHAnsi"/>
          <w:sz w:val="24"/>
          <w:szCs w:val="24"/>
          <w:lang w:val="en-GB"/>
        </w:rPr>
        <w:t xml:space="preserve"> Source: Government Statistics</w:t>
      </w:r>
      <w:r w:rsidR="00987F20" w:rsidRPr="00764F24">
        <w:rPr>
          <w:rStyle w:val="FootnoteReference"/>
          <w:rFonts w:cstheme="minorHAnsi"/>
          <w:b w:val="0"/>
          <w:sz w:val="24"/>
          <w:szCs w:val="24"/>
          <w:lang w:val="en-GB"/>
        </w:rPr>
        <w:footnoteReference w:id="89"/>
      </w:r>
      <w:r w:rsidR="00987F20" w:rsidRPr="00764F24">
        <w:rPr>
          <w:rFonts w:cstheme="minorHAnsi"/>
          <w:sz w:val="24"/>
          <w:szCs w:val="24"/>
          <w:lang w:val="en-GB"/>
        </w:rPr>
        <w:t xml:space="preserve"> </w:t>
      </w:r>
    </w:p>
    <w:p w14:paraId="647D005C" w14:textId="77777777" w:rsidR="007E64E2" w:rsidRPr="00764F24" w:rsidRDefault="001B7088" w:rsidP="00D86B69">
      <w:pPr>
        <w:spacing w:beforeAutospacing="1" w:after="100" w:afterAutospacing="1" w:line="360" w:lineRule="auto"/>
        <w:rPr>
          <w:rFonts w:cstheme="minorHAnsi"/>
          <w:szCs w:val="24"/>
          <w:lang w:val="en-GB"/>
        </w:rPr>
      </w:pPr>
      <w:r w:rsidRPr="00764F24">
        <w:rPr>
          <w:rFonts w:cstheme="minorHAnsi"/>
          <w:noProof/>
          <w:szCs w:val="24"/>
          <w:lang w:val="en-GB" w:eastAsia="en-GB" w:bidi="ar-SA"/>
        </w:rPr>
        <w:lastRenderedPageBreak/>
        <w:drawing>
          <wp:inline distT="0" distB="0" distL="0" distR="0" wp14:anchorId="4B1E3B5D" wp14:editId="0D1F3597">
            <wp:extent cx="4876800" cy="2609850"/>
            <wp:effectExtent l="0" t="0" r="0" b="0"/>
            <wp:docPr id="29" name="Chart 29" descr="House re-possession continues to be very low.">
              <a:extLst xmlns:a="http://schemas.openxmlformats.org/drawingml/2006/main">
                <a:ext uri="{FF2B5EF4-FFF2-40B4-BE49-F238E27FC236}">
                  <a16:creationId xmlns:a16="http://schemas.microsoft.com/office/drawing/2014/main" id="{9804A83A-B223-41C5-8C2C-4C4E1C042B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56CB2FC0" w14:textId="15D3414E" w:rsidR="00B048A0" w:rsidRPr="00764F24" w:rsidRDefault="00B048A0" w:rsidP="00D86B69">
      <w:pPr>
        <w:spacing w:beforeAutospacing="1" w:after="100" w:afterAutospacing="1" w:line="360" w:lineRule="auto"/>
        <w:rPr>
          <w:rFonts w:cstheme="minorHAnsi"/>
          <w:szCs w:val="24"/>
          <w:lang w:val="en-GB"/>
        </w:rPr>
      </w:pPr>
    </w:p>
    <w:p w14:paraId="1B1D44D8" w14:textId="4B8DEDAA" w:rsidR="007E64E2" w:rsidRPr="00764F24" w:rsidRDefault="00987F20" w:rsidP="00D86B69">
      <w:pPr>
        <w:spacing w:beforeAutospacing="1" w:after="100" w:afterAutospacing="1" w:line="360" w:lineRule="auto"/>
        <w:rPr>
          <w:rFonts w:cstheme="minorHAnsi"/>
          <w:szCs w:val="24"/>
          <w:lang w:val="en-GB"/>
        </w:rPr>
      </w:pPr>
      <w:r w:rsidRPr="00764F24">
        <w:rPr>
          <w:rFonts w:cstheme="minorHAnsi"/>
          <w:szCs w:val="24"/>
          <w:lang w:val="en-GB"/>
        </w:rPr>
        <w:t>Figure 9.</w:t>
      </w:r>
      <w:r w:rsidR="00D523CE">
        <w:rPr>
          <w:rFonts w:cstheme="minorHAnsi"/>
          <w:szCs w:val="24"/>
          <w:lang w:val="en-GB"/>
        </w:rPr>
        <w:t>5</w:t>
      </w:r>
      <w:r w:rsidRPr="00764F24">
        <w:rPr>
          <w:rFonts w:cstheme="minorHAnsi"/>
          <w:szCs w:val="24"/>
          <w:lang w:val="en-GB"/>
        </w:rPr>
        <w:t xml:space="preserve"> shows quarterly claims for possession broken down by different kinds </w:t>
      </w:r>
      <w:r w:rsidR="00581CF6" w:rsidRPr="00764F24">
        <w:rPr>
          <w:rFonts w:cstheme="minorHAnsi"/>
          <w:szCs w:val="24"/>
          <w:lang w:val="en-GB"/>
        </w:rPr>
        <w:t>o</w:t>
      </w:r>
      <w:r w:rsidRPr="00764F24">
        <w:rPr>
          <w:rFonts w:cstheme="minorHAnsi"/>
          <w:szCs w:val="24"/>
          <w:lang w:val="en-GB"/>
        </w:rPr>
        <w:t>f procedure/landlord</w:t>
      </w:r>
      <w:r w:rsidR="00BF7FBA" w:rsidRPr="00764F24">
        <w:rPr>
          <w:rFonts w:cstheme="minorHAnsi"/>
          <w:szCs w:val="24"/>
          <w:lang w:val="en-GB"/>
        </w:rPr>
        <w:t xml:space="preserve">. </w:t>
      </w:r>
      <w:r w:rsidRPr="00764F24">
        <w:rPr>
          <w:rFonts w:cstheme="minorHAnsi"/>
          <w:szCs w:val="24"/>
          <w:lang w:val="en-GB"/>
        </w:rPr>
        <w:t>This shows that the major decline in evictions has been in terms of the accelerated procedures and with social landlords</w:t>
      </w:r>
      <w:r w:rsidR="00BF7FBA" w:rsidRPr="00764F24">
        <w:rPr>
          <w:rFonts w:cstheme="minorHAnsi"/>
          <w:szCs w:val="24"/>
          <w:lang w:val="en-GB"/>
        </w:rPr>
        <w:t xml:space="preserve">. </w:t>
      </w:r>
      <w:r w:rsidRPr="00764F24">
        <w:rPr>
          <w:rFonts w:cstheme="minorHAnsi"/>
          <w:szCs w:val="24"/>
          <w:lang w:val="en-GB"/>
        </w:rPr>
        <w:t xml:space="preserve">Indeed, over the last couple of years there has been an increase in evictions by private landlords from just under 6,000 in the whole of 2015 to just over 8,000 in 2016. </w:t>
      </w:r>
    </w:p>
    <w:p w14:paraId="2809C88A" w14:textId="6C6BB4DF" w:rsidR="002527C9" w:rsidRPr="00764F24" w:rsidRDefault="00D32434" w:rsidP="00D86B69">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lastRenderedPageBreak/>
        <w:t xml:space="preserve">Figure </w:t>
      </w:r>
      <w:r w:rsidR="000A678F" w:rsidRPr="00764F24">
        <w:rPr>
          <w:rFonts w:cstheme="minorHAnsi"/>
          <w:sz w:val="24"/>
          <w:szCs w:val="24"/>
          <w:lang w:val="en-GB"/>
        </w:rPr>
        <w:t>9</w:t>
      </w:r>
      <w:r w:rsidR="008A3CC4" w:rsidRPr="00764F24">
        <w:rPr>
          <w:rFonts w:cstheme="minorHAnsi"/>
          <w:sz w:val="24"/>
          <w:szCs w:val="24"/>
          <w:lang w:val="en-GB"/>
        </w:rPr>
        <w:t>.</w:t>
      </w:r>
      <w:r w:rsidR="00D523CE">
        <w:rPr>
          <w:rFonts w:cstheme="minorHAnsi"/>
          <w:sz w:val="24"/>
          <w:szCs w:val="24"/>
          <w:lang w:val="en-GB"/>
        </w:rPr>
        <w:t>5</w:t>
      </w:r>
      <w:r w:rsidR="00F62012" w:rsidRPr="00764F24">
        <w:rPr>
          <w:rFonts w:cstheme="minorHAnsi"/>
          <w:sz w:val="24"/>
          <w:szCs w:val="24"/>
          <w:lang w:val="en-GB"/>
        </w:rPr>
        <w:t xml:space="preserve">. </w:t>
      </w:r>
      <w:r w:rsidR="00480F2C" w:rsidRPr="00764F24">
        <w:rPr>
          <w:rFonts w:cstheme="minorHAnsi"/>
          <w:sz w:val="24"/>
          <w:szCs w:val="24"/>
          <w:lang w:val="en-GB"/>
        </w:rPr>
        <w:t xml:space="preserve">Quarterly </w:t>
      </w:r>
      <w:r w:rsidR="00987F20" w:rsidRPr="00764F24">
        <w:rPr>
          <w:rFonts w:cstheme="minorHAnsi"/>
          <w:sz w:val="24"/>
          <w:szCs w:val="24"/>
          <w:lang w:val="en-GB"/>
        </w:rPr>
        <w:t xml:space="preserve">claims for </w:t>
      </w:r>
      <w:r w:rsidR="00662784" w:rsidRPr="00764F24">
        <w:rPr>
          <w:rFonts w:cstheme="minorHAnsi"/>
          <w:sz w:val="24"/>
          <w:szCs w:val="24"/>
          <w:lang w:val="en-GB"/>
        </w:rPr>
        <w:t>possession</w:t>
      </w:r>
      <w:r w:rsidR="00987F20" w:rsidRPr="00764F24">
        <w:rPr>
          <w:rFonts w:cstheme="minorHAnsi"/>
          <w:sz w:val="24"/>
          <w:szCs w:val="24"/>
          <w:lang w:val="en-GB"/>
        </w:rPr>
        <w:t xml:space="preserve"> in England Wales b</w:t>
      </w:r>
      <w:r w:rsidR="00662784" w:rsidRPr="00764F24">
        <w:rPr>
          <w:rFonts w:cstheme="minorHAnsi"/>
          <w:sz w:val="24"/>
          <w:szCs w:val="24"/>
          <w:lang w:val="en-GB"/>
        </w:rPr>
        <w:t xml:space="preserve">y type of procedure and landlord, </w:t>
      </w:r>
      <w:r w:rsidR="00480F2C" w:rsidRPr="00764F24">
        <w:rPr>
          <w:rFonts w:cstheme="minorHAnsi"/>
          <w:sz w:val="24"/>
          <w:szCs w:val="24"/>
          <w:lang w:val="en-GB"/>
        </w:rPr>
        <w:t>2009</w:t>
      </w:r>
      <w:r w:rsidR="00662784" w:rsidRPr="00764F24">
        <w:rPr>
          <w:rFonts w:cstheme="minorHAnsi"/>
          <w:sz w:val="24"/>
          <w:szCs w:val="24"/>
          <w:lang w:val="en-GB"/>
        </w:rPr>
        <w:t xml:space="preserve"> - 201</w:t>
      </w:r>
      <w:r w:rsidR="00480F2C" w:rsidRPr="00764F24">
        <w:rPr>
          <w:rFonts w:cstheme="minorHAnsi"/>
          <w:sz w:val="24"/>
          <w:szCs w:val="24"/>
          <w:lang w:val="en-GB"/>
        </w:rPr>
        <w:t>9</w:t>
      </w:r>
      <w:r w:rsidR="00662784" w:rsidRPr="00764F24">
        <w:rPr>
          <w:rFonts w:cstheme="minorHAnsi"/>
          <w:sz w:val="24"/>
          <w:szCs w:val="24"/>
          <w:lang w:val="en-GB"/>
        </w:rPr>
        <w:t>, Q</w:t>
      </w:r>
      <w:r w:rsidR="00480F2C" w:rsidRPr="00764F24">
        <w:rPr>
          <w:rFonts w:cstheme="minorHAnsi"/>
          <w:sz w:val="24"/>
          <w:szCs w:val="24"/>
          <w:lang w:val="en-GB"/>
        </w:rPr>
        <w:t>3</w:t>
      </w:r>
      <w:r w:rsidR="00F62012" w:rsidRPr="00764F24">
        <w:rPr>
          <w:rFonts w:cstheme="minorHAnsi"/>
          <w:sz w:val="24"/>
          <w:szCs w:val="24"/>
          <w:lang w:val="en-GB"/>
        </w:rPr>
        <w:t>.</w:t>
      </w:r>
      <w:r w:rsidR="00480F2C" w:rsidRPr="00764F24">
        <w:rPr>
          <w:rFonts w:cstheme="minorHAnsi"/>
          <w:sz w:val="24"/>
          <w:szCs w:val="24"/>
          <w:lang w:val="en-GB"/>
        </w:rPr>
        <w:t xml:space="preserve"> Source: Government statistics</w:t>
      </w:r>
      <w:r w:rsidR="00480F2C" w:rsidRPr="00764F24">
        <w:rPr>
          <w:rStyle w:val="FootnoteReference"/>
          <w:rFonts w:cstheme="minorHAnsi"/>
          <w:b w:val="0"/>
          <w:sz w:val="24"/>
          <w:szCs w:val="24"/>
          <w:lang w:val="en-GB"/>
        </w:rPr>
        <w:footnoteReference w:id="90"/>
      </w:r>
    </w:p>
    <w:p w14:paraId="4FF09C4C" w14:textId="77777777" w:rsidR="007E64E2" w:rsidRPr="00764F24" w:rsidRDefault="001B7088" w:rsidP="00D86B69">
      <w:pPr>
        <w:keepNext/>
        <w:spacing w:beforeAutospacing="1" w:after="100" w:afterAutospacing="1" w:line="360" w:lineRule="auto"/>
        <w:ind w:left="1440" w:hanging="1440"/>
        <w:rPr>
          <w:rFonts w:cstheme="minorHAnsi"/>
          <w:b/>
          <w:szCs w:val="24"/>
          <w:lang w:val="en-GB"/>
        </w:rPr>
      </w:pPr>
      <w:r w:rsidRPr="00764F24">
        <w:rPr>
          <w:rFonts w:cstheme="minorHAnsi"/>
          <w:noProof/>
          <w:szCs w:val="24"/>
          <w:lang w:val="en-GB" w:eastAsia="en-GB" w:bidi="ar-SA"/>
        </w:rPr>
        <w:drawing>
          <wp:inline distT="0" distB="0" distL="0" distR="0" wp14:anchorId="3FE0E22F" wp14:editId="21E5C6D2">
            <wp:extent cx="4876800" cy="3349625"/>
            <wp:effectExtent l="0" t="0" r="0" b="3175"/>
            <wp:docPr id="36" name="Chart 36" descr="House re-possession claims continue to be low.">
              <a:extLst xmlns:a="http://schemas.openxmlformats.org/drawingml/2006/main">
                <a:ext uri="{FF2B5EF4-FFF2-40B4-BE49-F238E27FC236}">
                  <a16:creationId xmlns:a16="http://schemas.microsoft.com/office/drawing/2014/main" id="{6D27E5D1-245E-464E-AB06-821D502FD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56449BA1" w14:textId="417B3060" w:rsidR="007E64E2" w:rsidRPr="00764F24" w:rsidRDefault="00581CF6" w:rsidP="00D86B69">
      <w:pPr>
        <w:spacing w:beforeAutospacing="1" w:after="100" w:afterAutospacing="1" w:line="360" w:lineRule="auto"/>
        <w:rPr>
          <w:rFonts w:cstheme="minorHAnsi"/>
          <w:szCs w:val="24"/>
          <w:lang w:val="en-GB"/>
        </w:rPr>
      </w:pPr>
      <w:r w:rsidRPr="00764F24">
        <w:rPr>
          <w:rFonts w:cstheme="minorHAnsi"/>
          <w:szCs w:val="24"/>
          <w:lang w:val="en-GB"/>
        </w:rPr>
        <w:t>Th</w:t>
      </w:r>
      <w:r w:rsidR="005E2790" w:rsidRPr="00764F24">
        <w:rPr>
          <w:rFonts w:cstheme="minorHAnsi"/>
          <w:szCs w:val="24"/>
          <w:lang w:val="en-GB"/>
        </w:rPr>
        <w:t>is</w:t>
      </w:r>
      <w:r w:rsidRPr="00764F24">
        <w:rPr>
          <w:rFonts w:cstheme="minorHAnsi"/>
          <w:szCs w:val="24"/>
          <w:lang w:val="en-GB"/>
        </w:rPr>
        <w:t xml:space="preserve"> decline in repossessions might seem surprising given the extent of the recession and austerity in the UK but it appears to be the result of actions taken by government, regulators and other key actors</w:t>
      </w:r>
      <w:r w:rsidRPr="00764F24">
        <w:rPr>
          <w:rStyle w:val="FootnoteReference"/>
          <w:rFonts w:cstheme="minorHAnsi"/>
          <w:szCs w:val="24"/>
          <w:lang w:val="en-GB"/>
        </w:rPr>
        <w:footnoteReference w:id="91"/>
      </w:r>
      <w:r w:rsidR="00BF7FBA" w:rsidRPr="00764F24">
        <w:rPr>
          <w:rFonts w:cstheme="minorHAnsi"/>
          <w:szCs w:val="24"/>
          <w:lang w:val="en-GB"/>
        </w:rPr>
        <w:t xml:space="preserve">. </w:t>
      </w:r>
      <w:r w:rsidRPr="00764F24">
        <w:rPr>
          <w:rFonts w:cstheme="minorHAnsi"/>
          <w:szCs w:val="24"/>
          <w:lang w:val="en-GB"/>
        </w:rPr>
        <w:t>Low interest rates have certainly helped along with increased help with mortgage payments when people lose their jobs</w:t>
      </w:r>
      <w:r w:rsidR="00BF7FBA" w:rsidRPr="00764F24">
        <w:rPr>
          <w:rFonts w:cstheme="minorHAnsi"/>
          <w:szCs w:val="24"/>
          <w:lang w:val="en-GB"/>
        </w:rPr>
        <w:t xml:space="preserve">. </w:t>
      </w:r>
      <w:r w:rsidRPr="00764F24">
        <w:rPr>
          <w:rFonts w:cstheme="minorHAnsi"/>
          <w:szCs w:val="24"/>
          <w:lang w:val="en-GB"/>
        </w:rPr>
        <w:t>The government also introduced new protocols to ensure that lenders exercised greater forbearance when borrowers found themselves in arrears</w:t>
      </w:r>
      <w:r w:rsidR="00BF7FBA" w:rsidRPr="00764F24">
        <w:rPr>
          <w:rFonts w:cstheme="minorHAnsi"/>
          <w:szCs w:val="24"/>
          <w:lang w:val="en-GB"/>
        </w:rPr>
        <w:t xml:space="preserve">. </w:t>
      </w:r>
      <w:r w:rsidR="00926DB8" w:rsidRPr="00764F24">
        <w:rPr>
          <w:rFonts w:cstheme="minorHAnsi"/>
          <w:szCs w:val="24"/>
          <w:lang w:val="en-GB"/>
        </w:rPr>
        <w:t xml:space="preserve">Moreover, the Bank of England notes that </w:t>
      </w:r>
      <w:r w:rsidR="00926DB8" w:rsidRPr="00764F24">
        <w:rPr>
          <w:rFonts w:cstheme="minorHAnsi"/>
          <w:i/>
          <w:iCs/>
          <w:szCs w:val="24"/>
          <w:lang w:val="en-GB"/>
        </w:rPr>
        <w:t>“UK households entered the Covid-19 shock in a stronger financial position than before the global financial crisis, in part due to financial policies that have guarded against an increase in the number of highly indebted households”</w:t>
      </w:r>
      <w:r w:rsidR="00926DB8" w:rsidRPr="00764F24">
        <w:rPr>
          <w:rStyle w:val="FootnoteReference"/>
          <w:rFonts w:cstheme="minorHAnsi"/>
          <w:i/>
          <w:iCs/>
          <w:szCs w:val="24"/>
          <w:lang w:val="en-GB"/>
        </w:rPr>
        <w:footnoteReference w:id="92"/>
      </w:r>
      <w:r w:rsidR="00CC5663" w:rsidRPr="00764F24">
        <w:rPr>
          <w:rFonts w:cstheme="minorHAnsi"/>
          <w:szCs w:val="24"/>
          <w:lang w:val="en-GB"/>
        </w:rPr>
        <w:t xml:space="preserve">. Despite this, reports on credit conditions show some early signs of concerns about increased defaults on </w:t>
      </w:r>
      <w:r w:rsidR="00CC5663" w:rsidRPr="00764F24">
        <w:rPr>
          <w:rFonts w:cstheme="minorHAnsi"/>
          <w:szCs w:val="24"/>
          <w:lang w:val="en-GB"/>
        </w:rPr>
        <w:lastRenderedPageBreak/>
        <w:t>loans.</w:t>
      </w:r>
      <w:r w:rsidR="00CC5663" w:rsidRPr="00764F24">
        <w:rPr>
          <w:rStyle w:val="FootnoteReference"/>
          <w:rFonts w:cstheme="minorHAnsi"/>
          <w:szCs w:val="24"/>
          <w:lang w:val="en-GB"/>
        </w:rPr>
        <w:footnoteReference w:id="93"/>
      </w:r>
      <w:r w:rsidR="00A75173" w:rsidRPr="00764F24">
        <w:rPr>
          <w:rFonts w:cstheme="minorHAnsi"/>
          <w:szCs w:val="24"/>
          <w:lang w:val="en-GB"/>
        </w:rPr>
        <w:t xml:space="preserve"> Projected increases in unemployment-related indebtedness show increases, but not necessarily to the high levels experienced during the Global Financial Crisis.</w:t>
      </w:r>
      <w:r w:rsidR="00A75173" w:rsidRPr="00764F24">
        <w:rPr>
          <w:rStyle w:val="FootnoteReference"/>
          <w:rFonts w:cstheme="minorHAnsi"/>
          <w:szCs w:val="24"/>
          <w:lang w:val="en-GB"/>
        </w:rPr>
        <w:footnoteReference w:id="94"/>
      </w:r>
    </w:p>
    <w:p w14:paraId="0F48F1B2" w14:textId="77777777" w:rsidR="00350EB7" w:rsidRPr="00764F24" w:rsidRDefault="00350EB7" w:rsidP="00350EB7">
      <w:pPr>
        <w:autoSpaceDE w:val="0"/>
        <w:autoSpaceDN w:val="0"/>
        <w:adjustRightInd w:val="0"/>
        <w:spacing w:beforeAutospacing="1" w:after="100" w:afterAutospacing="1" w:line="360" w:lineRule="auto"/>
        <w:rPr>
          <w:rFonts w:cstheme="minorHAnsi"/>
          <w:color w:val="000000"/>
          <w:szCs w:val="24"/>
          <w:lang w:val="en-GB"/>
        </w:rPr>
      </w:pPr>
      <w:r w:rsidRPr="00764F24">
        <w:rPr>
          <w:rFonts w:cstheme="minorHAnsi"/>
          <w:color w:val="000000"/>
          <w:szCs w:val="24"/>
          <w:lang w:val="en-GB"/>
        </w:rPr>
        <w:t>Research by Shelter, published in July 2020</w:t>
      </w:r>
      <w:r w:rsidRPr="00764F24">
        <w:rPr>
          <w:rStyle w:val="FootnoteReference"/>
          <w:rFonts w:cstheme="minorHAnsi"/>
          <w:color w:val="000000"/>
          <w:szCs w:val="24"/>
          <w:lang w:val="en-GB"/>
        </w:rPr>
        <w:footnoteReference w:id="95"/>
      </w:r>
      <w:r w:rsidRPr="00764F24">
        <w:rPr>
          <w:rFonts w:cstheme="minorHAnsi"/>
          <w:color w:val="000000"/>
          <w:szCs w:val="24"/>
          <w:lang w:val="en-GB"/>
        </w:rPr>
        <w:t xml:space="preserve">, estimated that 227,000 adult private renters (3 per cent) had fallen into arrears since the start of the pandemic, in addition to those already in arrears. Shelter also point out that under the current court system, anyone who has accrued rent arrears of eight weeks or more can be automatically evicted, in addition to the risk of being subjected to a Section 21 ‘no fault’ eviction. </w:t>
      </w:r>
    </w:p>
    <w:p w14:paraId="7F7A6472" w14:textId="02E1B29E" w:rsidR="007E64E2" w:rsidRPr="00764F24" w:rsidRDefault="00581CF6" w:rsidP="00D86B69">
      <w:pPr>
        <w:spacing w:beforeAutospacing="1" w:after="100" w:afterAutospacing="1" w:line="360" w:lineRule="auto"/>
        <w:rPr>
          <w:rFonts w:cstheme="minorHAnsi"/>
          <w:szCs w:val="24"/>
          <w:lang w:val="en-GB"/>
        </w:rPr>
      </w:pPr>
      <w:r w:rsidRPr="00764F24">
        <w:rPr>
          <w:rFonts w:cstheme="minorHAnsi"/>
          <w:szCs w:val="24"/>
          <w:lang w:val="en-GB"/>
        </w:rPr>
        <w:t>There have</w:t>
      </w:r>
      <w:r w:rsidR="00350EB7">
        <w:rPr>
          <w:rFonts w:cstheme="minorHAnsi"/>
          <w:szCs w:val="24"/>
          <w:lang w:val="en-GB"/>
        </w:rPr>
        <w:t>, of course,</w:t>
      </w:r>
      <w:r w:rsidRPr="00764F24">
        <w:rPr>
          <w:rFonts w:cstheme="minorHAnsi"/>
          <w:szCs w:val="24"/>
          <w:lang w:val="en-GB"/>
        </w:rPr>
        <w:t xml:space="preserve"> been recent actions to reduce possessions and evictions as a result of </w:t>
      </w:r>
      <w:r w:rsidR="00A12E5C" w:rsidRPr="00764F24">
        <w:rPr>
          <w:rFonts w:cstheme="minorHAnsi"/>
          <w:szCs w:val="24"/>
          <w:lang w:val="en-GB"/>
        </w:rPr>
        <w:t>COVID-19</w:t>
      </w:r>
      <w:r w:rsidRPr="00764F24">
        <w:rPr>
          <w:rFonts w:cstheme="minorHAnsi"/>
          <w:szCs w:val="24"/>
          <w:lang w:val="en-GB"/>
        </w:rPr>
        <w:t xml:space="preserve"> with lenders providing the facility for mortgage payment </w:t>
      </w:r>
      <w:r w:rsidR="00350EB7">
        <w:rPr>
          <w:rFonts w:cstheme="minorHAnsi"/>
          <w:szCs w:val="24"/>
          <w:lang w:val="en-GB"/>
        </w:rPr>
        <w:t>‘</w:t>
      </w:r>
      <w:r w:rsidRPr="00764F24">
        <w:rPr>
          <w:rFonts w:cstheme="minorHAnsi"/>
          <w:szCs w:val="24"/>
          <w:lang w:val="en-GB"/>
        </w:rPr>
        <w:t>holidays</w:t>
      </w:r>
      <w:r w:rsidR="00350EB7">
        <w:rPr>
          <w:rFonts w:cstheme="minorHAnsi"/>
          <w:szCs w:val="24"/>
          <w:lang w:val="en-GB"/>
        </w:rPr>
        <w:t>’</w:t>
      </w:r>
      <w:r w:rsidRPr="00764F24">
        <w:rPr>
          <w:rFonts w:cstheme="minorHAnsi"/>
          <w:szCs w:val="24"/>
          <w:lang w:val="en-GB"/>
        </w:rPr>
        <w:t xml:space="preserve"> and the government putting a halt to evictions </w:t>
      </w:r>
      <w:r w:rsidR="00350EB7">
        <w:rPr>
          <w:rFonts w:cstheme="minorHAnsi"/>
          <w:szCs w:val="24"/>
          <w:lang w:val="en-GB"/>
        </w:rPr>
        <w:t>(extended until 20</w:t>
      </w:r>
      <w:r w:rsidR="00350EB7" w:rsidRPr="00350EB7">
        <w:rPr>
          <w:rFonts w:cstheme="minorHAnsi"/>
          <w:szCs w:val="24"/>
          <w:vertAlign w:val="superscript"/>
          <w:lang w:val="en-GB"/>
        </w:rPr>
        <w:t>th</w:t>
      </w:r>
      <w:r w:rsidR="00350EB7">
        <w:rPr>
          <w:rFonts w:cstheme="minorHAnsi"/>
          <w:szCs w:val="24"/>
          <w:lang w:val="en-GB"/>
        </w:rPr>
        <w:t xml:space="preserve"> September 2020) </w:t>
      </w:r>
      <w:r w:rsidRPr="00764F24">
        <w:rPr>
          <w:rFonts w:cstheme="minorHAnsi"/>
          <w:szCs w:val="24"/>
          <w:lang w:val="en-GB"/>
        </w:rPr>
        <w:t>and providing some more resource towards the cost of rent for some groups</w:t>
      </w:r>
      <w:r w:rsidR="00BF7FBA" w:rsidRPr="00764F24">
        <w:rPr>
          <w:rFonts w:cstheme="minorHAnsi"/>
          <w:szCs w:val="24"/>
          <w:lang w:val="en-GB"/>
        </w:rPr>
        <w:t xml:space="preserve">. </w:t>
      </w:r>
      <w:r w:rsidRPr="00764F24">
        <w:rPr>
          <w:rFonts w:cstheme="minorHAnsi"/>
          <w:szCs w:val="24"/>
          <w:lang w:val="en-GB"/>
        </w:rPr>
        <w:t xml:space="preserve">However, as these provisions end, </w:t>
      </w:r>
      <w:r w:rsidR="00350EB7">
        <w:rPr>
          <w:rFonts w:cstheme="minorHAnsi"/>
          <w:szCs w:val="24"/>
          <w:lang w:val="en-GB"/>
        </w:rPr>
        <w:t xml:space="preserve">possessions and evictions </w:t>
      </w:r>
      <w:r w:rsidRPr="00764F24">
        <w:rPr>
          <w:rFonts w:cstheme="minorHAnsi"/>
          <w:szCs w:val="24"/>
          <w:lang w:val="en-GB"/>
        </w:rPr>
        <w:t>are likely to increase substantially unless there is a very rapid economic recovery or additional government support and forbearance from landlords and lenders.</w:t>
      </w:r>
    </w:p>
    <w:p w14:paraId="61173CC8" w14:textId="77777777" w:rsidR="00350EB7" w:rsidRDefault="00350EB7">
      <w:pPr>
        <w:rPr>
          <w:rFonts w:cstheme="minorHAnsi"/>
          <w:caps/>
          <w:spacing w:val="15"/>
          <w:szCs w:val="24"/>
          <w:lang w:val="en-GB"/>
        </w:rPr>
      </w:pPr>
      <w:bookmarkStart w:id="49" w:name="_Toc51250067"/>
      <w:r>
        <w:rPr>
          <w:rFonts w:cstheme="minorHAnsi"/>
          <w:szCs w:val="24"/>
          <w:lang w:val="en-GB"/>
        </w:rPr>
        <w:br w:type="page"/>
      </w:r>
    </w:p>
    <w:p w14:paraId="460CC4BB" w14:textId="10D89D4D" w:rsidR="00F163F0" w:rsidRPr="00764F24" w:rsidRDefault="00C0784A" w:rsidP="00D86B69">
      <w:pPr>
        <w:pStyle w:val="Heading2"/>
        <w:numPr>
          <w:ilvl w:val="0"/>
          <w:numId w:val="10"/>
        </w:numPr>
        <w:spacing w:beforeAutospacing="1" w:after="100" w:afterAutospacing="1" w:line="360" w:lineRule="auto"/>
        <w:rPr>
          <w:rFonts w:cstheme="minorHAnsi"/>
          <w:szCs w:val="24"/>
          <w:lang w:val="en-GB"/>
        </w:rPr>
      </w:pPr>
      <w:bookmarkStart w:id="50" w:name="_Toc54600809"/>
      <w:r w:rsidRPr="00764F24">
        <w:rPr>
          <w:rFonts w:cstheme="minorHAnsi"/>
          <w:szCs w:val="24"/>
          <w:lang w:val="en-GB"/>
        </w:rPr>
        <w:lastRenderedPageBreak/>
        <w:t>I</w:t>
      </w:r>
      <w:r w:rsidR="00F163F0" w:rsidRPr="00764F24">
        <w:rPr>
          <w:rFonts w:cstheme="minorHAnsi"/>
          <w:szCs w:val="24"/>
          <w:lang w:val="en-GB"/>
        </w:rPr>
        <w:t>nsurance</w:t>
      </w:r>
      <w:bookmarkEnd w:id="49"/>
      <w:bookmarkEnd w:id="50"/>
    </w:p>
    <w:p w14:paraId="2714E186" w14:textId="693E2C9E" w:rsidR="007E64E2" w:rsidRPr="00764F24" w:rsidRDefault="00C14671" w:rsidP="00D86B69">
      <w:pPr>
        <w:spacing w:beforeAutospacing="1" w:after="100" w:afterAutospacing="1" w:line="360" w:lineRule="auto"/>
        <w:rPr>
          <w:rFonts w:cstheme="minorHAnsi"/>
          <w:szCs w:val="24"/>
          <w:lang w:val="en-GB"/>
        </w:rPr>
      </w:pPr>
      <w:r w:rsidRPr="00764F24">
        <w:rPr>
          <w:rFonts w:cstheme="minorHAnsi"/>
          <w:szCs w:val="24"/>
          <w:lang w:val="en-GB"/>
        </w:rPr>
        <w:t>When budgets are tight, as they have increasingly become in the last few years, home contents insurance may seem like an expensive luxury</w:t>
      </w:r>
      <w:r w:rsidR="00BF7FBA" w:rsidRPr="00764F24">
        <w:rPr>
          <w:rFonts w:cstheme="minorHAnsi"/>
          <w:szCs w:val="24"/>
          <w:lang w:val="en-GB"/>
        </w:rPr>
        <w:t xml:space="preserve">. </w:t>
      </w:r>
      <w:r w:rsidRPr="00764F24">
        <w:rPr>
          <w:rFonts w:cstheme="minorHAnsi"/>
          <w:szCs w:val="24"/>
          <w:lang w:val="en-GB"/>
        </w:rPr>
        <w:t>In particular, people on the lowest incomes may have relatively few possessions to insure and may find that the products available are designed for those with more</w:t>
      </w:r>
      <w:r w:rsidR="00BF7FBA" w:rsidRPr="00764F24">
        <w:rPr>
          <w:rFonts w:cstheme="minorHAnsi"/>
          <w:szCs w:val="24"/>
          <w:lang w:val="en-GB"/>
        </w:rPr>
        <w:t xml:space="preserve">. </w:t>
      </w:r>
      <w:r w:rsidR="00372FC8" w:rsidRPr="00764F24">
        <w:rPr>
          <w:rFonts w:cstheme="minorHAnsi"/>
          <w:szCs w:val="24"/>
          <w:lang w:val="en-GB"/>
        </w:rPr>
        <w:t xml:space="preserve">There have </w:t>
      </w:r>
      <w:r w:rsidR="00467A2B" w:rsidRPr="00764F24">
        <w:rPr>
          <w:rFonts w:cstheme="minorHAnsi"/>
          <w:szCs w:val="24"/>
          <w:lang w:val="en-GB"/>
        </w:rPr>
        <w:t xml:space="preserve">therefore </w:t>
      </w:r>
      <w:r w:rsidR="00372FC8" w:rsidRPr="00764F24">
        <w:rPr>
          <w:rFonts w:cstheme="minorHAnsi"/>
          <w:szCs w:val="24"/>
          <w:lang w:val="en-GB"/>
        </w:rPr>
        <w:t xml:space="preserve">been a number of </w:t>
      </w:r>
      <w:r w:rsidR="00467A2B" w:rsidRPr="00764F24">
        <w:rPr>
          <w:rFonts w:cstheme="minorHAnsi"/>
          <w:szCs w:val="24"/>
          <w:lang w:val="en-GB"/>
        </w:rPr>
        <w:t xml:space="preserve">attempts to increase the proportion of households covered by home contents insurance, not least by </w:t>
      </w:r>
      <w:r w:rsidR="00F33B89" w:rsidRPr="00764F24">
        <w:rPr>
          <w:rFonts w:cstheme="minorHAnsi"/>
          <w:szCs w:val="24"/>
          <w:lang w:val="en-GB"/>
        </w:rPr>
        <w:t>investigating ways of involving the third sector</w:t>
      </w:r>
      <w:r w:rsidR="00F33B89" w:rsidRPr="00764F24">
        <w:rPr>
          <w:rStyle w:val="FootnoteReference"/>
          <w:rFonts w:cstheme="minorHAnsi"/>
          <w:szCs w:val="24"/>
          <w:lang w:val="en-GB"/>
        </w:rPr>
        <w:footnoteReference w:id="96"/>
      </w:r>
      <w:r w:rsidR="00F33B89" w:rsidRPr="00764F24">
        <w:rPr>
          <w:rFonts w:cstheme="minorHAnsi"/>
          <w:szCs w:val="24"/>
          <w:lang w:val="en-GB"/>
        </w:rPr>
        <w:t xml:space="preserve"> and </w:t>
      </w:r>
      <w:r w:rsidR="00467A2B" w:rsidRPr="00764F24">
        <w:rPr>
          <w:rFonts w:cstheme="minorHAnsi"/>
          <w:szCs w:val="24"/>
          <w:lang w:val="en-GB"/>
        </w:rPr>
        <w:t>making</w:t>
      </w:r>
      <w:r w:rsidRPr="00764F24">
        <w:rPr>
          <w:rFonts w:cstheme="minorHAnsi"/>
          <w:szCs w:val="24"/>
          <w:lang w:val="en-GB"/>
        </w:rPr>
        <w:t xml:space="preserve"> the products</w:t>
      </w:r>
      <w:r w:rsidR="00467A2B" w:rsidRPr="00764F24">
        <w:rPr>
          <w:rFonts w:cstheme="minorHAnsi"/>
          <w:szCs w:val="24"/>
          <w:lang w:val="en-GB"/>
        </w:rPr>
        <w:t xml:space="preserve"> more appropriate to low-income households in terms of the minimum amount th</w:t>
      </w:r>
      <w:r w:rsidR="00F33B89" w:rsidRPr="00764F24">
        <w:rPr>
          <w:rFonts w:cstheme="minorHAnsi"/>
          <w:szCs w:val="24"/>
          <w:lang w:val="en-GB"/>
        </w:rPr>
        <w:t>at needs to be covered</w:t>
      </w:r>
      <w:r w:rsidR="00BF7FBA" w:rsidRPr="00764F24">
        <w:rPr>
          <w:rFonts w:cstheme="minorHAnsi"/>
          <w:szCs w:val="24"/>
          <w:lang w:val="en-GB"/>
        </w:rPr>
        <w:t xml:space="preserve">. </w:t>
      </w:r>
      <w:r w:rsidR="00F33B89" w:rsidRPr="00764F24">
        <w:rPr>
          <w:rFonts w:cstheme="minorHAnsi"/>
          <w:szCs w:val="24"/>
          <w:lang w:val="en-GB"/>
        </w:rPr>
        <w:t xml:space="preserve">But there </w:t>
      </w:r>
      <w:r w:rsidRPr="00764F24">
        <w:rPr>
          <w:rFonts w:cstheme="minorHAnsi"/>
          <w:szCs w:val="24"/>
          <w:lang w:val="en-GB"/>
        </w:rPr>
        <w:t xml:space="preserve">appears to have </w:t>
      </w:r>
      <w:r w:rsidR="00F33B89" w:rsidRPr="00764F24">
        <w:rPr>
          <w:rFonts w:cstheme="minorHAnsi"/>
          <w:szCs w:val="24"/>
          <w:lang w:val="en-GB"/>
        </w:rPr>
        <w:t xml:space="preserve">been </w:t>
      </w:r>
      <w:r w:rsidR="003C0830" w:rsidRPr="00764F24">
        <w:rPr>
          <w:rFonts w:cstheme="minorHAnsi"/>
          <w:szCs w:val="24"/>
          <w:lang w:val="en-GB"/>
        </w:rPr>
        <w:t>a continuing slow decline in the proportion of households with home contents insurance</w:t>
      </w:r>
      <w:r w:rsidR="00BF7FBA" w:rsidRPr="00764F24">
        <w:rPr>
          <w:rFonts w:cstheme="minorHAnsi"/>
          <w:szCs w:val="24"/>
          <w:lang w:val="en-GB"/>
        </w:rPr>
        <w:t xml:space="preserve">. </w:t>
      </w:r>
      <w:r w:rsidR="005E2790" w:rsidRPr="00764F24">
        <w:rPr>
          <w:rFonts w:cstheme="minorHAnsi"/>
          <w:szCs w:val="24"/>
          <w:lang w:val="en-GB"/>
        </w:rPr>
        <w:t>F</w:t>
      </w:r>
      <w:r w:rsidR="00AD19CC" w:rsidRPr="00764F24">
        <w:rPr>
          <w:rFonts w:cstheme="minorHAnsi"/>
          <w:szCs w:val="24"/>
          <w:lang w:val="en-GB"/>
        </w:rPr>
        <w:t xml:space="preserve">igures from the Family Resources Survey suggest </w:t>
      </w:r>
      <w:r w:rsidR="003C0830" w:rsidRPr="00764F24">
        <w:rPr>
          <w:rFonts w:cstheme="minorHAnsi"/>
          <w:szCs w:val="24"/>
          <w:lang w:val="en-GB"/>
        </w:rPr>
        <w:t xml:space="preserve">the </w:t>
      </w:r>
      <w:r w:rsidR="00AD19CC" w:rsidRPr="00764F24">
        <w:rPr>
          <w:rFonts w:cstheme="minorHAnsi"/>
          <w:szCs w:val="24"/>
          <w:lang w:val="en-GB"/>
        </w:rPr>
        <w:t>proportion of working adults</w:t>
      </w:r>
      <w:r w:rsidR="00AE16B9" w:rsidRPr="00764F24">
        <w:rPr>
          <w:rFonts w:cstheme="minorHAnsi"/>
          <w:szCs w:val="24"/>
          <w:lang w:val="en-GB"/>
        </w:rPr>
        <w:t xml:space="preserve"> </w:t>
      </w:r>
      <w:r w:rsidR="00AD19CC" w:rsidRPr="00764F24">
        <w:rPr>
          <w:rFonts w:cstheme="minorHAnsi"/>
          <w:szCs w:val="24"/>
          <w:lang w:val="en-GB"/>
        </w:rPr>
        <w:t>w</w:t>
      </w:r>
      <w:r w:rsidR="00986D5F" w:rsidRPr="00764F24">
        <w:rPr>
          <w:rFonts w:cstheme="minorHAnsi"/>
          <w:szCs w:val="24"/>
          <w:lang w:val="en-GB"/>
        </w:rPr>
        <w:t>ho ha</w:t>
      </w:r>
      <w:r w:rsidR="003C0830" w:rsidRPr="00764F24">
        <w:rPr>
          <w:rFonts w:cstheme="minorHAnsi"/>
          <w:szCs w:val="24"/>
          <w:lang w:val="en-GB"/>
        </w:rPr>
        <w:t>d</w:t>
      </w:r>
      <w:r w:rsidR="00986D5F" w:rsidRPr="00764F24">
        <w:rPr>
          <w:rFonts w:cstheme="minorHAnsi"/>
          <w:szCs w:val="24"/>
          <w:lang w:val="en-GB"/>
        </w:rPr>
        <w:t xml:space="preserve"> </w:t>
      </w:r>
      <w:r w:rsidR="00372FC8" w:rsidRPr="00764F24">
        <w:rPr>
          <w:rFonts w:cstheme="minorHAnsi"/>
          <w:szCs w:val="24"/>
          <w:lang w:val="en-GB"/>
        </w:rPr>
        <w:t>home contents insurance</w:t>
      </w:r>
      <w:r w:rsidR="00986D5F" w:rsidRPr="00764F24">
        <w:rPr>
          <w:rFonts w:cstheme="minorHAnsi"/>
          <w:szCs w:val="24"/>
          <w:lang w:val="en-GB"/>
        </w:rPr>
        <w:t xml:space="preserve"> </w:t>
      </w:r>
      <w:r w:rsidR="005E2790" w:rsidRPr="00764F24">
        <w:rPr>
          <w:rFonts w:cstheme="minorHAnsi"/>
          <w:szCs w:val="24"/>
          <w:lang w:val="en-GB"/>
        </w:rPr>
        <w:t>in</w:t>
      </w:r>
      <w:r w:rsidR="00AD19CC" w:rsidRPr="00764F24">
        <w:rPr>
          <w:rFonts w:cstheme="minorHAnsi"/>
          <w:szCs w:val="24"/>
          <w:lang w:val="en-GB"/>
        </w:rPr>
        <w:t xml:space="preserve"> </w:t>
      </w:r>
      <w:r w:rsidR="00D969C5" w:rsidRPr="00764F24">
        <w:rPr>
          <w:rFonts w:cstheme="minorHAnsi"/>
          <w:szCs w:val="24"/>
          <w:lang w:val="en-GB"/>
        </w:rPr>
        <w:t>2008/9</w:t>
      </w:r>
      <w:r w:rsidR="00372FC8" w:rsidRPr="00764F24">
        <w:rPr>
          <w:rFonts w:cstheme="minorHAnsi"/>
          <w:szCs w:val="24"/>
          <w:lang w:val="en-GB"/>
        </w:rPr>
        <w:t xml:space="preserve"> </w:t>
      </w:r>
      <w:r w:rsidR="005E2790" w:rsidRPr="00764F24">
        <w:rPr>
          <w:rFonts w:cstheme="minorHAnsi"/>
          <w:szCs w:val="24"/>
          <w:lang w:val="en-GB"/>
        </w:rPr>
        <w:t>and</w:t>
      </w:r>
      <w:r w:rsidR="00372FC8" w:rsidRPr="00764F24">
        <w:rPr>
          <w:rFonts w:cstheme="minorHAnsi"/>
          <w:szCs w:val="24"/>
          <w:lang w:val="en-GB"/>
        </w:rPr>
        <w:t xml:space="preserve"> 201</w:t>
      </w:r>
      <w:r w:rsidR="008A3CC4" w:rsidRPr="00764F24">
        <w:rPr>
          <w:rFonts w:cstheme="minorHAnsi"/>
          <w:szCs w:val="24"/>
          <w:lang w:val="en-GB"/>
        </w:rPr>
        <w:t>8</w:t>
      </w:r>
      <w:r w:rsidR="00AE16B9" w:rsidRPr="00764F24">
        <w:rPr>
          <w:rFonts w:cstheme="minorHAnsi"/>
          <w:szCs w:val="24"/>
          <w:lang w:val="en-GB"/>
        </w:rPr>
        <w:t>/19</w:t>
      </w:r>
      <w:r w:rsidR="00986D5F" w:rsidRPr="00764F24">
        <w:rPr>
          <w:rFonts w:cstheme="minorHAnsi"/>
          <w:szCs w:val="24"/>
          <w:lang w:val="en-GB"/>
        </w:rPr>
        <w:t xml:space="preserve"> </w:t>
      </w:r>
      <w:r w:rsidR="005E2790" w:rsidRPr="00764F24">
        <w:rPr>
          <w:rFonts w:cstheme="minorHAnsi"/>
          <w:szCs w:val="24"/>
          <w:lang w:val="en-GB"/>
        </w:rPr>
        <w:t xml:space="preserve">dropped </w:t>
      </w:r>
      <w:r w:rsidR="00986D5F" w:rsidRPr="00764F24">
        <w:rPr>
          <w:rFonts w:cstheme="minorHAnsi"/>
          <w:szCs w:val="24"/>
          <w:lang w:val="en-GB"/>
        </w:rPr>
        <w:t xml:space="preserve">from 65 per cent to </w:t>
      </w:r>
      <w:r w:rsidR="00AE16B9" w:rsidRPr="00764F24">
        <w:rPr>
          <w:rFonts w:cstheme="minorHAnsi"/>
          <w:szCs w:val="24"/>
          <w:lang w:val="en-GB"/>
        </w:rPr>
        <w:t>60</w:t>
      </w:r>
      <w:r w:rsidR="00986D5F" w:rsidRPr="00764F24">
        <w:rPr>
          <w:rFonts w:cstheme="minorHAnsi"/>
          <w:szCs w:val="24"/>
          <w:lang w:val="en-GB"/>
        </w:rPr>
        <w:t xml:space="preserve"> per cent</w:t>
      </w:r>
      <w:r w:rsidR="007A7120" w:rsidRPr="00764F24">
        <w:rPr>
          <w:rFonts w:cstheme="minorHAnsi"/>
          <w:szCs w:val="24"/>
          <w:lang w:val="en-GB"/>
        </w:rPr>
        <w:t xml:space="preserve"> (see figure </w:t>
      </w:r>
      <w:r w:rsidR="008A3CC4" w:rsidRPr="00764F24">
        <w:rPr>
          <w:rFonts w:cstheme="minorHAnsi"/>
          <w:szCs w:val="24"/>
          <w:lang w:val="en-GB"/>
        </w:rPr>
        <w:t>10.1</w:t>
      </w:r>
      <w:r w:rsidR="007A7120" w:rsidRPr="00764F24">
        <w:rPr>
          <w:rFonts w:cstheme="minorHAnsi"/>
          <w:szCs w:val="24"/>
          <w:lang w:val="en-GB"/>
        </w:rPr>
        <w:t>)</w:t>
      </w:r>
      <w:r w:rsidR="00BF7FBA" w:rsidRPr="00764F24">
        <w:rPr>
          <w:rFonts w:cstheme="minorHAnsi"/>
          <w:szCs w:val="24"/>
          <w:lang w:val="en-GB"/>
        </w:rPr>
        <w:t xml:space="preserve">. </w:t>
      </w:r>
      <w:r w:rsidR="00AE16B9" w:rsidRPr="00764F24">
        <w:rPr>
          <w:rFonts w:cstheme="minorHAnsi"/>
          <w:szCs w:val="24"/>
          <w:lang w:val="en-GB"/>
        </w:rPr>
        <w:t>The table excludes those who did not answer the question, saying that it was ‘not applicable’ (about 13 per cent in 2018/19)</w:t>
      </w:r>
    </w:p>
    <w:p w14:paraId="7EE11115" w14:textId="0C3D4F38" w:rsidR="00221240" w:rsidRPr="00764F24" w:rsidRDefault="007A7120" w:rsidP="0099679B">
      <w:pPr>
        <w:pStyle w:val="Caption"/>
        <w:keepNext/>
        <w:spacing w:beforeAutospacing="1" w:after="100" w:afterAutospacing="1" w:line="360" w:lineRule="auto"/>
        <w:rPr>
          <w:rFonts w:cstheme="minorHAnsi"/>
          <w:sz w:val="24"/>
          <w:szCs w:val="24"/>
          <w:lang w:val="en-GB"/>
        </w:rPr>
      </w:pPr>
      <w:r w:rsidRPr="00764F24">
        <w:rPr>
          <w:rFonts w:cstheme="minorHAnsi"/>
          <w:sz w:val="24"/>
          <w:szCs w:val="24"/>
          <w:lang w:val="en-GB"/>
        </w:rPr>
        <w:t>Figure</w:t>
      </w:r>
      <w:r w:rsidR="00901013" w:rsidRPr="00764F24">
        <w:rPr>
          <w:rFonts w:cstheme="minorHAnsi"/>
          <w:sz w:val="24"/>
          <w:szCs w:val="24"/>
          <w:lang w:val="en-GB"/>
        </w:rPr>
        <w:t xml:space="preserve"> </w:t>
      </w:r>
      <w:r w:rsidR="008A3CC4" w:rsidRPr="00764F24">
        <w:rPr>
          <w:rFonts w:cstheme="minorHAnsi"/>
          <w:sz w:val="24"/>
          <w:szCs w:val="24"/>
          <w:lang w:val="en-GB"/>
        </w:rPr>
        <w:t>10.</w:t>
      </w:r>
      <w:r w:rsidR="000A678F" w:rsidRPr="00764F24">
        <w:rPr>
          <w:rFonts w:cstheme="minorHAnsi"/>
          <w:sz w:val="24"/>
          <w:szCs w:val="24"/>
          <w:lang w:val="en-GB"/>
        </w:rPr>
        <w:t>1</w:t>
      </w:r>
      <w:r w:rsidR="00F62012" w:rsidRPr="00764F24">
        <w:rPr>
          <w:rFonts w:cstheme="minorHAnsi"/>
          <w:sz w:val="24"/>
          <w:szCs w:val="24"/>
          <w:lang w:val="en-GB"/>
        </w:rPr>
        <w:t>. H</w:t>
      </w:r>
      <w:r w:rsidR="00221240" w:rsidRPr="00764F24">
        <w:rPr>
          <w:rFonts w:cstheme="minorHAnsi"/>
          <w:sz w:val="24"/>
          <w:szCs w:val="24"/>
          <w:lang w:val="en-GB"/>
        </w:rPr>
        <w:t xml:space="preserve">ome contents </w:t>
      </w:r>
      <w:r w:rsidRPr="00764F24">
        <w:rPr>
          <w:rFonts w:cstheme="minorHAnsi"/>
          <w:sz w:val="24"/>
          <w:szCs w:val="24"/>
          <w:lang w:val="en-GB"/>
        </w:rPr>
        <w:t xml:space="preserve">insurance </w:t>
      </w:r>
      <w:r w:rsidR="00221240" w:rsidRPr="00764F24">
        <w:rPr>
          <w:rFonts w:cstheme="minorHAnsi"/>
          <w:sz w:val="24"/>
          <w:szCs w:val="24"/>
          <w:lang w:val="en-GB"/>
        </w:rPr>
        <w:t>for working-age adults</w:t>
      </w:r>
      <w:r w:rsidRPr="00764F24">
        <w:rPr>
          <w:rFonts w:cstheme="minorHAnsi"/>
          <w:sz w:val="24"/>
          <w:szCs w:val="24"/>
          <w:lang w:val="en-GB"/>
        </w:rPr>
        <w:t xml:space="preserve"> 2008/9 to 201</w:t>
      </w:r>
      <w:r w:rsidR="00C22B04" w:rsidRPr="00764F24">
        <w:rPr>
          <w:rFonts w:cstheme="minorHAnsi"/>
          <w:sz w:val="24"/>
          <w:szCs w:val="24"/>
          <w:lang w:val="en-GB"/>
        </w:rPr>
        <w:t>8</w:t>
      </w:r>
      <w:r w:rsidR="00AE16B9" w:rsidRPr="00764F24">
        <w:rPr>
          <w:rFonts w:cstheme="minorHAnsi"/>
          <w:sz w:val="24"/>
          <w:szCs w:val="24"/>
          <w:lang w:val="en-GB"/>
        </w:rPr>
        <w:t>/19</w:t>
      </w:r>
      <w:r w:rsidR="00F62012" w:rsidRPr="00764F24">
        <w:rPr>
          <w:rFonts w:cstheme="minorHAnsi"/>
          <w:sz w:val="24"/>
          <w:szCs w:val="24"/>
          <w:lang w:val="en-GB"/>
        </w:rPr>
        <w:t>.</w:t>
      </w:r>
      <w:r w:rsidR="00221240" w:rsidRPr="00764F24">
        <w:rPr>
          <w:rFonts w:cstheme="minorHAnsi"/>
          <w:sz w:val="24"/>
          <w:szCs w:val="24"/>
          <w:lang w:val="en-GB"/>
        </w:rPr>
        <w:t xml:space="preserve"> Source: Family Resources Surveys</w:t>
      </w:r>
    </w:p>
    <w:p w14:paraId="50EA2AA0" w14:textId="3331BC3B" w:rsidR="007E64E2" w:rsidRDefault="00AE16B9" w:rsidP="0099679B">
      <w:pPr>
        <w:keepNext/>
        <w:spacing w:beforeAutospacing="1" w:after="100" w:afterAutospacing="1" w:line="360" w:lineRule="auto"/>
        <w:rPr>
          <w:rFonts w:cstheme="minorHAnsi"/>
          <w:b/>
          <w:szCs w:val="24"/>
          <w:lang w:val="en-GB"/>
        </w:rPr>
      </w:pPr>
      <w:r w:rsidRPr="00764F24">
        <w:rPr>
          <w:rFonts w:cstheme="minorHAnsi"/>
          <w:noProof/>
          <w:szCs w:val="24"/>
          <w:lang w:val="en-GB" w:eastAsia="en-GB" w:bidi="ar-SA"/>
        </w:rPr>
        <w:drawing>
          <wp:inline distT="0" distB="0" distL="0" distR="0" wp14:anchorId="2EF8F521" wp14:editId="57D7DC1F">
            <wp:extent cx="4838700" cy="2609850"/>
            <wp:effectExtent l="0" t="0" r="0" b="0"/>
            <wp:docPr id="23" name="Chart 23" descr="Gradually falling proportion of adults have home contents insurance.">
              <a:extLst xmlns:a="http://schemas.openxmlformats.org/drawingml/2006/main">
                <a:ext uri="{FF2B5EF4-FFF2-40B4-BE49-F238E27FC236}">
                  <a16:creationId xmlns:a16="http://schemas.microsoft.com/office/drawing/2014/main" id="{C75988C7-2DAA-4A20-835C-5E3C47D093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60F037F" w14:textId="5905CD5E" w:rsidR="00FF7E7B" w:rsidRDefault="00FF7E7B">
      <w:pPr>
        <w:rPr>
          <w:rFonts w:cstheme="minorHAnsi"/>
          <w:b/>
          <w:szCs w:val="24"/>
          <w:lang w:val="en-GB"/>
        </w:rPr>
      </w:pPr>
      <w:r>
        <w:rPr>
          <w:rFonts w:cstheme="minorHAnsi"/>
          <w:b/>
          <w:szCs w:val="24"/>
          <w:lang w:val="en-GB"/>
        </w:rPr>
        <w:br w:type="page"/>
      </w:r>
    </w:p>
    <w:p w14:paraId="4EA46BC2" w14:textId="77777777" w:rsidR="00FF7E7B" w:rsidRPr="00764F24" w:rsidRDefault="00FF7E7B" w:rsidP="00D86B69">
      <w:pPr>
        <w:spacing w:beforeAutospacing="1" w:after="100" w:afterAutospacing="1" w:line="360" w:lineRule="auto"/>
        <w:rPr>
          <w:rFonts w:cstheme="minorHAnsi"/>
          <w:b/>
          <w:szCs w:val="24"/>
          <w:lang w:val="en-GB"/>
        </w:rPr>
      </w:pPr>
    </w:p>
    <w:p w14:paraId="7262ED78" w14:textId="77777777" w:rsidR="007E64E2" w:rsidRPr="00764F24" w:rsidRDefault="00E84420" w:rsidP="001B32E1">
      <w:pPr>
        <w:pStyle w:val="Heading1"/>
      </w:pPr>
      <w:bookmarkStart w:id="51" w:name="_Toc51250068"/>
      <w:bookmarkStart w:id="52" w:name="_Toc54600810"/>
      <w:r w:rsidRPr="00764F24">
        <w:t>Conclusions</w:t>
      </w:r>
      <w:bookmarkEnd w:id="51"/>
      <w:bookmarkEnd w:id="52"/>
    </w:p>
    <w:p w14:paraId="0AC4F86D" w14:textId="77777777" w:rsidR="00053374" w:rsidRPr="00764F24" w:rsidRDefault="00053374" w:rsidP="00D86B69">
      <w:pPr>
        <w:spacing w:beforeAutospacing="1" w:after="100" w:afterAutospacing="1" w:line="360" w:lineRule="auto"/>
        <w:rPr>
          <w:rFonts w:cstheme="minorHAnsi"/>
          <w:szCs w:val="24"/>
          <w:lang w:val="en-GB"/>
        </w:rPr>
      </w:pPr>
    </w:p>
    <w:p w14:paraId="3AACC3EC" w14:textId="47590639" w:rsidR="007E64E2" w:rsidRPr="00764F24" w:rsidRDefault="00A12E5C" w:rsidP="00D86B69">
      <w:pPr>
        <w:spacing w:beforeAutospacing="1" w:after="100" w:afterAutospacing="1" w:line="360" w:lineRule="auto"/>
        <w:rPr>
          <w:rFonts w:cstheme="minorHAnsi"/>
          <w:szCs w:val="24"/>
          <w:lang w:val="en-GB"/>
        </w:rPr>
      </w:pPr>
      <w:r w:rsidRPr="00764F24">
        <w:rPr>
          <w:rFonts w:cstheme="minorHAnsi"/>
          <w:szCs w:val="24"/>
          <w:lang w:val="en-GB"/>
        </w:rPr>
        <w:t>COVID-19</w:t>
      </w:r>
      <w:r w:rsidR="00E96764" w:rsidRPr="00764F24">
        <w:rPr>
          <w:rFonts w:cstheme="minorHAnsi"/>
          <w:szCs w:val="24"/>
          <w:lang w:val="en-GB"/>
        </w:rPr>
        <w:t xml:space="preserve"> ha</w:t>
      </w:r>
      <w:r w:rsidR="00A65316" w:rsidRPr="00764F24">
        <w:rPr>
          <w:rFonts w:cstheme="minorHAnsi"/>
          <w:szCs w:val="24"/>
          <w:lang w:val="en-GB"/>
        </w:rPr>
        <w:t>s</w:t>
      </w:r>
      <w:r w:rsidR="00E96764" w:rsidRPr="00764F24">
        <w:rPr>
          <w:rFonts w:cstheme="minorHAnsi"/>
          <w:szCs w:val="24"/>
          <w:lang w:val="en-GB"/>
        </w:rPr>
        <w:t xml:space="preserve"> had, and </w:t>
      </w:r>
      <w:r w:rsidR="005105D1">
        <w:rPr>
          <w:rFonts w:cstheme="minorHAnsi"/>
          <w:szCs w:val="24"/>
          <w:lang w:val="en-GB"/>
        </w:rPr>
        <w:t xml:space="preserve">is likely to </w:t>
      </w:r>
      <w:r w:rsidR="00E96764" w:rsidRPr="00764F24">
        <w:rPr>
          <w:rFonts w:cstheme="minorHAnsi"/>
          <w:szCs w:val="24"/>
          <w:lang w:val="en-GB"/>
        </w:rPr>
        <w:t xml:space="preserve">continue </w:t>
      </w:r>
      <w:r w:rsidR="0064010E" w:rsidRPr="00764F24">
        <w:rPr>
          <w:rFonts w:cstheme="minorHAnsi"/>
          <w:szCs w:val="24"/>
          <w:lang w:val="en-GB"/>
        </w:rPr>
        <w:t>for some time to have,</w:t>
      </w:r>
      <w:r w:rsidR="00E96764" w:rsidRPr="00764F24">
        <w:rPr>
          <w:rFonts w:cstheme="minorHAnsi"/>
          <w:szCs w:val="24"/>
          <w:lang w:val="en-GB"/>
        </w:rPr>
        <w:t xml:space="preserve"> a devastating impact on household finances in the UK and globally</w:t>
      </w:r>
      <w:r w:rsidR="00BF7FBA" w:rsidRPr="00764F24">
        <w:rPr>
          <w:rFonts w:cstheme="minorHAnsi"/>
          <w:szCs w:val="24"/>
          <w:lang w:val="en-GB"/>
        </w:rPr>
        <w:t xml:space="preserve">. </w:t>
      </w:r>
      <w:r w:rsidR="00E96764" w:rsidRPr="00764F24">
        <w:rPr>
          <w:rFonts w:cstheme="minorHAnsi"/>
          <w:szCs w:val="24"/>
          <w:lang w:val="en-GB"/>
        </w:rPr>
        <w:t xml:space="preserve">But before we review what our data tell us about this, it is important to note that, </w:t>
      </w:r>
      <w:r w:rsidR="0064010E" w:rsidRPr="00764F24">
        <w:rPr>
          <w:rFonts w:cstheme="minorHAnsi"/>
          <w:szCs w:val="24"/>
          <w:lang w:val="en-GB"/>
        </w:rPr>
        <w:t xml:space="preserve">even </w:t>
      </w:r>
      <w:r w:rsidR="00E96764" w:rsidRPr="00764F24">
        <w:rPr>
          <w:rFonts w:cstheme="minorHAnsi"/>
          <w:szCs w:val="24"/>
          <w:lang w:val="en-GB"/>
        </w:rPr>
        <w:t xml:space="preserve">prior to the pandemic, </w:t>
      </w:r>
      <w:r w:rsidR="0064010E" w:rsidRPr="00764F24">
        <w:rPr>
          <w:rFonts w:cstheme="minorHAnsi"/>
          <w:szCs w:val="24"/>
          <w:lang w:val="en-GB"/>
        </w:rPr>
        <w:t xml:space="preserve">family budgets and </w:t>
      </w:r>
      <w:r w:rsidR="00E96764" w:rsidRPr="00764F24">
        <w:rPr>
          <w:rFonts w:cstheme="minorHAnsi"/>
          <w:szCs w:val="24"/>
          <w:lang w:val="en-GB"/>
        </w:rPr>
        <w:t xml:space="preserve">the UK’s economy </w:t>
      </w:r>
      <w:r w:rsidR="0064010E" w:rsidRPr="00764F24">
        <w:rPr>
          <w:rFonts w:cstheme="minorHAnsi"/>
          <w:szCs w:val="24"/>
          <w:lang w:val="en-GB"/>
        </w:rPr>
        <w:t>more generally were</w:t>
      </w:r>
      <w:r w:rsidR="00E96764" w:rsidRPr="00764F24">
        <w:rPr>
          <w:rFonts w:cstheme="minorHAnsi"/>
          <w:szCs w:val="24"/>
          <w:lang w:val="en-GB"/>
        </w:rPr>
        <w:t xml:space="preserve"> already faltering in many ways, possibly as a result of Brexit-related uncertainties during 2019. </w:t>
      </w:r>
    </w:p>
    <w:p w14:paraId="2979CEB4" w14:textId="17B5ACCF" w:rsidR="007E64E2" w:rsidRPr="00764F24" w:rsidRDefault="00E96764" w:rsidP="00D86B69">
      <w:pPr>
        <w:spacing w:beforeAutospacing="1" w:after="100" w:afterAutospacing="1" w:line="360" w:lineRule="auto"/>
        <w:rPr>
          <w:rFonts w:cstheme="minorHAnsi"/>
          <w:szCs w:val="24"/>
          <w:lang w:val="en-GB"/>
        </w:rPr>
      </w:pPr>
      <w:r w:rsidRPr="00764F24">
        <w:rPr>
          <w:rFonts w:cstheme="minorHAnsi"/>
          <w:szCs w:val="24"/>
          <w:lang w:val="en-GB"/>
        </w:rPr>
        <w:t xml:space="preserve">Prior to </w:t>
      </w:r>
      <w:r w:rsidR="00A12E5C" w:rsidRPr="00764F24">
        <w:rPr>
          <w:rFonts w:cstheme="minorHAnsi"/>
          <w:szCs w:val="24"/>
          <w:lang w:val="en-GB"/>
        </w:rPr>
        <w:t>COVID-19</w:t>
      </w:r>
      <w:r w:rsidRPr="00764F24">
        <w:rPr>
          <w:rFonts w:cstheme="minorHAnsi"/>
          <w:szCs w:val="24"/>
          <w:lang w:val="en-GB"/>
        </w:rPr>
        <w:t>, economic growth was negative in the second quarter of 2019 and zero in the fourth quarter</w:t>
      </w:r>
      <w:r w:rsidR="00BF7FBA" w:rsidRPr="00764F24">
        <w:rPr>
          <w:rFonts w:cstheme="minorHAnsi"/>
          <w:szCs w:val="24"/>
          <w:lang w:val="en-GB"/>
        </w:rPr>
        <w:t xml:space="preserve">. </w:t>
      </w:r>
      <w:r w:rsidRPr="00764F24">
        <w:rPr>
          <w:rFonts w:cstheme="minorHAnsi"/>
          <w:szCs w:val="24"/>
          <w:lang w:val="en-GB"/>
        </w:rPr>
        <w:t>Unemployment, under-employment and zero hours contracts had all increased in 2019 while wages had started to fall in real terms towards the end of that year</w:t>
      </w:r>
      <w:r w:rsidR="005105D1">
        <w:rPr>
          <w:rFonts w:cstheme="minorHAnsi"/>
          <w:szCs w:val="24"/>
          <w:lang w:val="en-GB"/>
        </w:rPr>
        <w:t xml:space="preserve"> and into </w:t>
      </w:r>
      <w:r w:rsidRPr="00764F24">
        <w:rPr>
          <w:rFonts w:cstheme="minorHAnsi"/>
          <w:szCs w:val="24"/>
          <w:lang w:val="en-GB"/>
        </w:rPr>
        <w:t>early 2020</w:t>
      </w:r>
      <w:r w:rsidR="00BF7FBA" w:rsidRPr="00764F24">
        <w:rPr>
          <w:rFonts w:cstheme="minorHAnsi"/>
          <w:szCs w:val="24"/>
          <w:lang w:val="en-GB"/>
        </w:rPr>
        <w:t xml:space="preserve">. </w:t>
      </w:r>
      <w:r w:rsidR="005105D1">
        <w:rPr>
          <w:rFonts w:cstheme="minorHAnsi"/>
          <w:szCs w:val="24"/>
          <w:lang w:val="en-GB"/>
        </w:rPr>
        <w:t>A</w:t>
      </w:r>
      <w:r w:rsidRPr="00764F24">
        <w:rPr>
          <w:rFonts w:cstheme="minorHAnsi"/>
          <w:szCs w:val="24"/>
          <w:lang w:val="en-GB"/>
        </w:rPr>
        <w:t xml:space="preserve">round 14 million people </w:t>
      </w:r>
      <w:r w:rsidR="005105D1">
        <w:rPr>
          <w:rFonts w:cstheme="minorHAnsi"/>
          <w:szCs w:val="24"/>
          <w:lang w:val="en-GB"/>
        </w:rPr>
        <w:t xml:space="preserve">were living </w:t>
      </w:r>
      <w:r w:rsidRPr="00764F24">
        <w:rPr>
          <w:rFonts w:cstheme="minorHAnsi"/>
          <w:szCs w:val="24"/>
          <w:lang w:val="en-GB"/>
        </w:rPr>
        <w:t>in poverty in the UK in 2018/19 made up of 8 million working-age adults, 4 million children and 2 million pensioners</w:t>
      </w:r>
      <w:r w:rsidR="00BF7FBA" w:rsidRPr="00764F24">
        <w:rPr>
          <w:rFonts w:cstheme="minorHAnsi"/>
          <w:szCs w:val="24"/>
          <w:lang w:val="en-GB"/>
        </w:rPr>
        <w:t xml:space="preserve">. </w:t>
      </w:r>
      <w:r w:rsidRPr="00764F24">
        <w:rPr>
          <w:rFonts w:cstheme="minorHAnsi"/>
          <w:szCs w:val="24"/>
          <w:lang w:val="en-GB"/>
        </w:rPr>
        <w:t xml:space="preserve">Linked to this, </w:t>
      </w:r>
      <w:r w:rsidR="005E2790" w:rsidRPr="00764F24">
        <w:rPr>
          <w:rFonts w:cstheme="minorHAnsi"/>
          <w:szCs w:val="24"/>
          <w:lang w:val="en-GB"/>
        </w:rPr>
        <w:t xml:space="preserve">the </w:t>
      </w:r>
      <w:r w:rsidRPr="00764F24">
        <w:rPr>
          <w:rFonts w:cstheme="minorHAnsi"/>
          <w:szCs w:val="24"/>
          <w:lang w:val="en-GB"/>
        </w:rPr>
        <w:t xml:space="preserve">adequacy levels of benefits </w:t>
      </w:r>
      <w:r w:rsidR="005E2790" w:rsidRPr="00764F24">
        <w:rPr>
          <w:rFonts w:cstheme="minorHAnsi"/>
          <w:szCs w:val="24"/>
          <w:lang w:val="en-GB"/>
        </w:rPr>
        <w:t xml:space="preserve">(how they compare to people’s needs) </w:t>
      </w:r>
      <w:r w:rsidRPr="00764F24">
        <w:rPr>
          <w:rFonts w:cstheme="minorHAnsi"/>
          <w:szCs w:val="24"/>
          <w:lang w:val="en-GB"/>
        </w:rPr>
        <w:t>were falling.</w:t>
      </w:r>
      <w:r w:rsidR="00FD5A68">
        <w:rPr>
          <w:rFonts w:cstheme="minorHAnsi"/>
          <w:szCs w:val="24"/>
          <w:lang w:val="en-GB"/>
        </w:rPr>
        <w:t xml:space="preserve">  </w:t>
      </w:r>
      <w:r w:rsidRPr="00764F24">
        <w:rPr>
          <w:rFonts w:cstheme="minorHAnsi"/>
          <w:szCs w:val="24"/>
          <w:lang w:val="en-GB"/>
        </w:rPr>
        <w:t xml:space="preserve">Subjective financial wellbeing was also decreasing prior to </w:t>
      </w:r>
      <w:r w:rsidR="00A12E5C" w:rsidRPr="00764F24">
        <w:rPr>
          <w:rFonts w:cstheme="minorHAnsi"/>
          <w:szCs w:val="24"/>
          <w:lang w:val="en-GB"/>
        </w:rPr>
        <w:t xml:space="preserve"> COVID-19</w:t>
      </w:r>
      <w:r w:rsidRPr="00764F24">
        <w:rPr>
          <w:rFonts w:cstheme="minorHAnsi"/>
          <w:szCs w:val="24"/>
          <w:lang w:val="en-GB"/>
        </w:rPr>
        <w:t xml:space="preserve"> with an increase in the proportion of the population saying they were ‘just about getting by’ or ‘finding things difficult’ in 2017/18 – the first time this figure had increased since 2009/10.</w:t>
      </w:r>
    </w:p>
    <w:p w14:paraId="7A662A9E" w14:textId="3CE0711E" w:rsidR="007E64E2" w:rsidRPr="00764F24" w:rsidRDefault="0064010E" w:rsidP="00D86B69">
      <w:pPr>
        <w:spacing w:beforeAutospacing="1" w:after="100" w:afterAutospacing="1" w:line="360" w:lineRule="auto"/>
        <w:rPr>
          <w:rFonts w:cstheme="minorHAnsi"/>
          <w:szCs w:val="24"/>
          <w:lang w:val="en-GB"/>
        </w:rPr>
      </w:pPr>
      <w:r w:rsidRPr="00764F24">
        <w:rPr>
          <w:rFonts w:cstheme="minorHAnsi"/>
          <w:szCs w:val="24"/>
          <w:lang w:val="en-GB"/>
        </w:rPr>
        <w:t>On a more positive note for financial inclusion, t</w:t>
      </w:r>
      <w:r w:rsidR="00170140" w:rsidRPr="00764F24">
        <w:rPr>
          <w:rFonts w:cstheme="minorHAnsi"/>
          <w:szCs w:val="24"/>
          <w:lang w:val="en-GB"/>
        </w:rPr>
        <w:t xml:space="preserve">he number of people ‘unbanked’ </w:t>
      </w:r>
      <w:r w:rsidR="005105D1">
        <w:rPr>
          <w:rFonts w:cstheme="minorHAnsi"/>
          <w:szCs w:val="24"/>
          <w:lang w:val="en-GB"/>
        </w:rPr>
        <w:t xml:space="preserve">has </w:t>
      </w:r>
      <w:r w:rsidR="00170140" w:rsidRPr="00764F24">
        <w:rPr>
          <w:rFonts w:cstheme="minorHAnsi"/>
          <w:szCs w:val="24"/>
          <w:lang w:val="en-GB"/>
        </w:rPr>
        <w:t xml:space="preserve">continued to fall to a record low of </w:t>
      </w:r>
      <w:r w:rsidR="00053374" w:rsidRPr="00764F24">
        <w:rPr>
          <w:rFonts w:cstheme="minorHAnsi"/>
          <w:szCs w:val="24"/>
          <w:lang w:val="en-GB"/>
        </w:rPr>
        <w:t xml:space="preserve">less than </w:t>
      </w:r>
      <w:r w:rsidR="00170140" w:rsidRPr="00764F24">
        <w:rPr>
          <w:rFonts w:cstheme="minorHAnsi"/>
          <w:szCs w:val="24"/>
          <w:lang w:val="en-GB"/>
        </w:rPr>
        <w:t>1 million adults</w:t>
      </w:r>
      <w:r w:rsidRPr="00764F24">
        <w:rPr>
          <w:rFonts w:cstheme="minorHAnsi"/>
          <w:szCs w:val="24"/>
          <w:lang w:val="en-GB"/>
        </w:rPr>
        <w:t xml:space="preserve"> in 2018/19</w:t>
      </w:r>
      <w:r w:rsidR="00BF7FBA" w:rsidRPr="00764F24">
        <w:rPr>
          <w:rFonts w:cstheme="minorHAnsi"/>
          <w:szCs w:val="24"/>
          <w:lang w:val="en-GB"/>
        </w:rPr>
        <w:t xml:space="preserve">. </w:t>
      </w:r>
      <w:r w:rsidR="00053374" w:rsidRPr="00764F24">
        <w:rPr>
          <w:rFonts w:cstheme="minorHAnsi"/>
          <w:szCs w:val="24"/>
          <w:lang w:val="en-GB"/>
        </w:rPr>
        <w:t xml:space="preserve">And </w:t>
      </w:r>
      <w:r w:rsidR="00170140" w:rsidRPr="00764F24">
        <w:rPr>
          <w:rFonts w:cstheme="minorHAnsi"/>
          <w:szCs w:val="24"/>
          <w:lang w:val="en-GB"/>
        </w:rPr>
        <w:t>fewer than half a million people lived in households where no-one had access to a bank account</w:t>
      </w:r>
      <w:r w:rsidR="00BF7FBA" w:rsidRPr="00764F24">
        <w:rPr>
          <w:rFonts w:cstheme="minorHAnsi"/>
          <w:szCs w:val="24"/>
          <w:lang w:val="en-GB"/>
        </w:rPr>
        <w:t xml:space="preserve">. </w:t>
      </w:r>
      <w:r w:rsidR="00FD5A68">
        <w:rPr>
          <w:rFonts w:cstheme="minorHAnsi"/>
          <w:szCs w:val="24"/>
          <w:lang w:val="en-GB"/>
        </w:rPr>
        <w:t xml:space="preserve">  </w:t>
      </w:r>
      <w:r w:rsidR="00170140" w:rsidRPr="00764F24">
        <w:rPr>
          <w:rFonts w:cstheme="minorHAnsi"/>
          <w:szCs w:val="24"/>
          <w:lang w:val="en-GB"/>
        </w:rPr>
        <w:t>We may</w:t>
      </w:r>
      <w:r w:rsidR="00FD5A68">
        <w:rPr>
          <w:rFonts w:cstheme="minorHAnsi"/>
          <w:szCs w:val="24"/>
          <w:lang w:val="en-GB"/>
        </w:rPr>
        <w:t xml:space="preserve"> also</w:t>
      </w:r>
      <w:r w:rsidR="00170140" w:rsidRPr="00764F24">
        <w:rPr>
          <w:rFonts w:cstheme="minorHAnsi"/>
          <w:szCs w:val="24"/>
          <w:lang w:val="en-GB"/>
        </w:rPr>
        <w:t xml:space="preserve"> find </w:t>
      </w:r>
      <w:r w:rsidRPr="00764F24">
        <w:rPr>
          <w:rFonts w:cstheme="minorHAnsi"/>
          <w:szCs w:val="24"/>
          <w:lang w:val="en-GB"/>
        </w:rPr>
        <w:t xml:space="preserve">some </w:t>
      </w:r>
      <w:r w:rsidR="00170140" w:rsidRPr="00764F24">
        <w:rPr>
          <w:rFonts w:cstheme="minorHAnsi"/>
          <w:szCs w:val="24"/>
          <w:lang w:val="en-GB"/>
        </w:rPr>
        <w:t xml:space="preserve">hope </w:t>
      </w:r>
      <w:r w:rsidRPr="00764F24">
        <w:rPr>
          <w:rFonts w:cstheme="minorHAnsi"/>
          <w:szCs w:val="24"/>
          <w:lang w:val="en-GB"/>
        </w:rPr>
        <w:t xml:space="preserve">for the future </w:t>
      </w:r>
      <w:r w:rsidR="00170140" w:rsidRPr="00764F24">
        <w:rPr>
          <w:rFonts w:cstheme="minorHAnsi"/>
          <w:szCs w:val="24"/>
          <w:lang w:val="en-GB"/>
        </w:rPr>
        <w:t xml:space="preserve">in terms of pensions with increasing levels of </w:t>
      </w:r>
      <w:r w:rsidR="00B7585A">
        <w:rPr>
          <w:rFonts w:cstheme="minorHAnsi"/>
          <w:szCs w:val="24"/>
          <w:lang w:val="en-GB"/>
        </w:rPr>
        <w:t xml:space="preserve">occupational </w:t>
      </w:r>
      <w:r w:rsidR="00170140" w:rsidRPr="00764F24">
        <w:rPr>
          <w:rFonts w:cstheme="minorHAnsi"/>
          <w:szCs w:val="24"/>
          <w:lang w:val="en-GB"/>
        </w:rPr>
        <w:t>pension membership but</w:t>
      </w:r>
      <w:r w:rsidR="005105D1">
        <w:rPr>
          <w:rFonts w:cstheme="minorHAnsi"/>
          <w:szCs w:val="24"/>
          <w:lang w:val="en-GB"/>
        </w:rPr>
        <w:t xml:space="preserve"> </w:t>
      </w:r>
      <w:r w:rsidR="00170140" w:rsidRPr="00764F24">
        <w:rPr>
          <w:rFonts w:cstheme="minorHAnsi"/>
          <w:szCs w:val="24"/>
          <w:lang w:val="en-GB"/>
        </w:rPr>
        <w:t xml:space="preserve">there are concerns that people are not putting enough, if anything, into their pensions and so will </w:t>
      </w:r>
      <w:r w:rsidR="00B7585A">
        <w:rPr>
          <w:rFonts w:cstheme="minorHAnsi"/>
          <w:szCs w:val="24"/>
          <w:lang w:val="en-GB"/>
        </w:rPr>
        <w:t xml:space="preserve">nevertheless </w:t>
      </w:r>
      <w:r w:rsidR="00170140" w:rsidRPr="00764F24">
        <w:rPr>
          <w:rFonts w:cstheme="minorHAnsi"/>
          <w:szCs w:val="24"/>
          <w:lang w:val="en-GB"/>
        </w:rPr>
        <w:t>lack a sufficient level of income on retirement.</w:t>
      </w:r>
    </w:p>
    <w:p w14:paraId="430FA02E" w14:textId="02C6D771" w:rsidR="007E64E2" w:rsidRPr="00764F24" w:rsidRDefault="00235842" w:rsidP="00D86B69">
      <w:pPr>
        <w:spacing w:beforeAutospacing="1" w:after="100" w:afterAutospacing="1" w:line="360" w:lineRule="auto"/>
        <w:rPr>
          <w:rFonts w:cstheme="minorHAnsi"/>
          <w:szCs w:val="24"/>
          <w:lang w:val="en-GB"/>
        </w:rPr>
      </w:pPr>
      <w:r w:rsidRPr="00764F24">
        <w:rPr>
          <w:rFonts w:cstheme="minorHAnsi"/>
          <w:szCs w:val="24"/>
          <w:lang w:val="en-GB"/>
        </w:rPr>
        <w:t xml:space="preserve">In terms of borrowing, the rate of increase in credit card lending was starting to slow prior to </w:t>
      </w:r>
      <w:r w:rsidR="00A12E5C" w:rsidRPr="00764F24">
        <w:rPr>
          <w:rFonts w:cstheme="minorHAnsi"/>
          <w:szCs w:val="24"/>
          <w:lang w:val="en-GB"/>
        </w:rPr>
        <w:t>COVID-19</w:t>
      </w:r>
      <w:r w:rsidRPr="00764F24">
        <w:rPr>
          <w:rFonts w:cstheme="minorHAnsi"/>
          <w:szCs w:val="24"/>
          <w:lang w:val="en-GB"/>
        </w:rPr>
        <w:t xml:space="preserve"> while mortgage borrowing was holding steady</w:t>
      </w:r>
      <w:r w:rsidR="00BF7FBA" w:rsidRPr="00764F24">
        <w:rPr>
          <w:rFonts w:cstheme="minorHAnsi"/>
          <w:szCs w:val="24"/>
          <w:lang w:val="en-GB"/>
        </w:rPr>
        <w:t xml:space="preserve">. </w:t>
      </w:r>
      <w:r w:rsidRPr="00764F24">
        <w:rPr>
          <w:rFonts w:cstheme="minorHAnsi"/>
          <w:szCs w:val="24"/>
          <w:lang w:val="en-GB"/>
        </w:rPr>
        <w:t>Insolvencies had dropped from their peak in 2018 but remained high at 122,000 in 2019</w:t>
      </w:r>
      <w:r w:rsidR="00BF7FBA" w:rsidRPr="00764F24">
        <w:rPr>
          <w:rFonts w:cstheme="minorHAnsi"/>
          <w:szCs w:val="24"/>
          <w:lang w:val="en-GB"/>
        </w:rPr>
        <w:t xml:space="preserve">. </w:t>
      </w:r>
      <w:r w:rsidRPr="00764F24">
        <w:rPr>
          <w:rFonts w:cstheme="minorHAnsi"/>
          <w:szCs w:val="24"/>
          <w:lang w:val="en-GB"/>
        </w:rPr>
        <w:t>Landlord possessions had declined but were still at 27,000 in 2018 and there was some sign of an increase in mortgage possessions in 2019.</w:t>
      </w:r>
      <w:r w:rsidR="00FD5A68">
        <w:rPr>
          <w:rFonts w:cstheme="minorHAnsi"/>
          <w:szCs w:val="24"/>
          <w:lang w:val="en-GB"/>
        </w:rPr>
        <w:t xml:space="preserve">  </w:t>
      </w:r>
      <w:r w:rsidRPr="00764F24">
        <w:rPr>
          <w:rFonts w:cstheme="minorHAnsi"/>
          <w:szCs w:val="24"/>
          <w:lang w:val="en-GB"/>
        </w:rPr>
        <w:t xml:space="preserve">So there were clear signs of strains on </w:t>
      </w:r>
      <w:r w:rsidR="00ED2B48" w:rsidRPr="00764F24">
        <w:rPr>
          <w:rFonts w:cstheme="minorHAnsi"/>
          <w:szCs w:val="24"/>
          <w:lang w:val="en-GB"/>
        </w:rPr>
        <w:t xml:space="preserve">family </w:t>
      </w:r>
      <w:r w:rsidRPr="00764F24">
        <w:rPr>
          <w:rFonts w:cstheme="minorHAnsi"/>
          <w:szCs w:val="24"/>
          <w:lang w:val="en-GB"/>
        </w:rPr>
        <w:t xml:space="preserve">budgets during 2019 prior to </w:t>
      </w:r>
      <w:r w:rsidR="00A12E5C" w:rsidRPr="00764F24">
        <w:rPr>
          <w:rFonts w:cstheme="minorHAnsi"/>
          <w:szCs w:val="24"/>
          <w:lang w:val="en-GB"/>
        </w:rPr>
        <w:t>COVID-19</w:t>
      </w:r>
      <w:r w:rsidR="00BF7FBA" w:rsidRPr="00764F24">
        <w:rPr>
          <w:rFonts w:cstheme="minorHAnsi"/>
          <w:szCs w:val="24"/>
          <w:lang w:val="en-GB"/>
        </w:rPr>
        <w:t xml:space="preserve">. </w:t>
      </w:r>
      <w:r w:rsidR="00ED2B48" w:rsidRPr="00764F24">
        <w:rPr>
          <w:rFonts w:cstheme="minorHAnsi"/>
          <w:szCs w:val="24"/>
          <w:lang w:val="en-GB"/>
        </w:rPr>
        <w:t>And</w:t>
      </w:r>
      <w:r w:rsidRPr="00764F24">
        <w:rPr>
          <w:rFonts w:cstheme="minorHAnsi"/>
          <w:szCs w:val="24"/>
          <w:lang w:val="en-GB"/>
        </w:rPr>
        <w:t xml:space="preserve"> the UK </w:t>
      </w:r>
      <w:r w:rsidR="00ED2B48" w:rsidRPr="00764F24">
        <w:rPr>
          <w:rFonts w:cstheme="minorHAnsi"/>
          <w:szCs w:val="24"/>
          <w:lang w:val="en-GB"/>
        </w:rPr>
        <w:t xml:space="preserve">now </w:t>
      </w:r>
      <w:r w:rsidRPr="00764F24">
        <w:rPr>
          <w:rFonts w:cstheme="minorHAnsi"/>
          <w:szCs w:val="24"/>
          <w:lang w:val="en-GB"/>
        </w:rPr>
        <w:t>looks set to enter its worst recession since at least the 1930s</w:t>
      </w:r>
      <w:r w:rsidR="00BF7FBA" w:rsidRPr="00764F24">
        <w:rPr>
          <w:rFonts w:cstheme="minorHAnsi"/>
          <w:szCs w:val="24"/>
          <w:lang w:val="en-GB"/>
        </w:rPr>
        <w:t xml:space="preserve">. </w:t>
      </w:r>
      <w:r w:rsidRPr="00764F24">
        <w:rPr>
          <w:rFonts w:cstheme="minorHAnsi"/>
          <w:szCs w:val="24"/>
          <w:lang w:val="en-GB"/>
        </w:rPr>
        <w:t xml:space="preserve">From March to May 2020, </w:t>
      </w:r>
      <w:r w:rsidRPr="00764F24">
        <w:rPr>
          <w:rFonts w:cstheme="minorHAnsi"/>
          <w:szCs w:val="24"/>
          <w:lang w:val="en-GB"/>
        </w:rPr>
        <w:lastRenderedPageBreak/>
        <w:t>between one quarter and one third of jobs were furloughed and from March to April that year there were 2 million more claims for Universal Credit than there had been in the same period in 2019</w:t>
      </w:r>
      <w:r w:rsidR="00BF7FBA" w:rsidRPr="00764F24">
        <w:rPr>
          <w:rFonts w:cstheme="minorHAnsi"/>
          <w:szCs w:val="24"/>
          <w:lang w:val="en-GB"/>
        </w:rPr>
        <w:t xml:space="preserve">. </w:t>
      </w:r>
      <w:r w:rsidR="00ED2B48" w:rsidRPr="00764F24">
        <w:rPr>
          <w:rFonts w:cstheme="minorHAnsi"/>
          <w:szCs w:val="24"/>
          <w:lang w:val="en-GB"/>
        </w:rPr>
        <w:t xml:space="preserve">By the end of May 2020, </w:t>
      </w:r>
      <w:r w:rsidRPr="00764F24">
        <w:rPr>
          <w:rFonts w:cstheme="minorHAnsi"/>
          <w:szCs w:val="24"/>
          <w:lang w:val="en-GB"/>
        </w:rPr>
        <w:t>28</w:t>
      </w:r>
      <w:r w:rsidR="00125F43" w:rsidRPr="00764F24">
        <w:rPr>
          <w:rFonts w:eastAsiaTheme="majorEastAsia" w:cstheme="minorHAnsi"/>
          <w:bCs/>
          <w:kern w:val="32"/>
          <w:szCs w:val="24"/>
          <w:lang w:val="en-GB"/>
        </w:rPr>
        <w:t xml:space="preserve"> per cent</w:t>
      </w:r>
      <w:r w:rsidRPr="00764F24">
        <w:rPr>
          <w:rFonts w:cstheme="minorHAnsi"/>
          <w:szCs w:val="24"/>
          <w:lang w:val="en-GB"/>
        </w:rPr>
        <w:t xml:space="preserve"> of the population said that</w:t>
      </w:r>
      <w:r w:rsidR="00A12E5C" w:rsidRPr="00764F24">
        <w:rPr>
          <w:rFonts w:cstheme="minorHAnsi"/>
          <w:szCs w:val="24"/>
          <w:lang w:val="en-GB"/>
        </w:rPr>
        <w:t xml:space="preserve"> COVID-19</w:t>
      </w:r>
      <w:r w:rsidRPr="00764F24">
        <w:rPr>
          <w:rFonts w:cstheme="minorHAnsi"/>
          <w:szCs w:val="24"/>
          <w:lang w:val="en-GB"/>
        </w:rPr>
        <w:t xml:space="preserve"> had had a direct negative effect on their income.</w:t>
      </w:r>
    </w:p>
    <w:p w14:paraId="7095F101" w14:textId="31F30A6C" w:rsidR="007E64E2" w:rsidRPr="00764F24" w:rsidRDefault="00170140" w:rsidP="00D86B69">
      <w:pPr>
        <w:spacing w:beforeAutospacing="1" w:after="100" w:afterAutospacing="1" w:line="360" w:lineRule="auto"/>
        <w:rPr>
          <w:rFonts w:cstheme="minorHAnsi"/>
          <w:szCs w:val="24"/>
          <w:lang w:val="en-GB"/>
        </w:rPr>
      </w:pPr>
      <w:r w:rsidRPr="00764F24">
        <w:rPr>
          <w:rFonts w:cstheme="minorHAnsi"/>
          <w:szCs w:val="24"/>
          <w:lang w:val="en-GB"/>
        </w:rPr>
        <w:t>The Job Retention (furlough) Scheme and the boost to Universal Credit have been incredibly important interventions to support people’s incomes</w:t>
      </w:r>
      <w:r w:rsidR="00BF7FBA" w:rsidRPr="00764F24">
        <w:rPr>
          <w:rFonts w:cstheme="minorHAnsi"/>
          <w:szCs w:val="24"/>
          <w:lang w:val="en-GB"/>
        </w:rPr>
        <w:t xml:space="preserve">. </w:t>
      </w:r>
      <w:r w:rsidRPr="00764F24">
        <w:rPr>
          <w:rFonts w:cstheme="minorHAnsi"/>
          <w:szCs w:val="24"/>
          <w:lang w:val="en-GB"/>
        </w:rPr>
        <w:t>Those on ‘legacy’ benefits</w:t>
      </w:r>
      <w:r w:rsidR="00ED2B48" w:rsidRPr="00764F24">
        <w:rPr>
          <w:rFonts w:cstheme="minorHAnsi"/>
          <w:szCs w:val="24"/>
          <w:lang w:val="en-GB"/>
        </w:rPr>
        <w:t>, however,</w:t>
      </w:r>
      <w:r w:rsidRPr="00764F24">
        <w:rPr>
          <w:rFonts w:cstheme="minorHAnsi"/>
          <w:szCs w:val="24"/>
          <w:lang w:val="en-GB"/>
        </w:rPr>
        <w:t xml:space="preserve"> are not seeing the same level of income protection, leading to a two-tier benefit system</w:t>
      </w:r>
      <w:r w:rsidR="00B06AA7" w:rsidRPr="00764F24">
        <w:rPr>
          <w:rFonts w:cstheme="minorHAnsi"/>
          <w:szCs w:val="24"/>
          <w:lang w:val="en-GB"/>
        </w:rPr>
        <w:t>. Moreover, the retention of the benefit cap may have reduced the helpfulness of the increase made to Universal Credit</w:t>
      </w:r>
      <w:r w:rsidR="00B06AA7" w:rsidRPr="00764F24">
        <w:rPr>
          <w:rStyle w:val="FootnoteReference"/>
          <w:rFonts w:cstheme="minorHAnsi"/>
          <w:szCs w:val="24"/>
          <w:lang w:val="en-GB"/>
        </w:rPr>
        <w:footnoteReference w:id="97"/>
      </w:r>
      <w:r w:rsidR="00BF7FBA" w:rsidRPr="00764F24">
        <w:rPr>
          <w:rFonts w:cstheme="minorHAnsi"/>
          <w:szCs w:val="24"/>
          <w:lang w:val="en-GB"/>
        </w:rPr>
        <w:t xml:space="preserve">. </w:t>
      </w:r>
      <w:r w:rsidRPr="00764F24">
        <w:rPr>
          <w:rFonts w:cstheme="minorHAnsi"/>
          <w:szCs w:val="24"/>
          <w:lang w:val="en-GB"/>
        </w:rPr>
        <w:t>And despite all this support, the Trussell Trust have seen a doubling of emergency food parcels going to</w:t>
      </w:r>
      <w:r w:rsidR="00B06AA7" w:rsidRPr="00764F24">
        <w:rPr>
          <w:rFonts w:cstheme="minorHAnsi"/>
          <w:szCs w:val="24"/>
          <w:lang w:val="en-GB"/>
        </w:rPr>
        <w:t xml:space="preserve"> families with</w:t>
      </w:r>
      <w:r w:rsidRPr="00764F24">
        <w:rPr>
          <w:rFonts w:cstheme="minorHAnsi"/>
          <w:szCs w:val="24"/>
          <w:lang w:val="en-GB"/>
        </w:rPr>
        <w:t xml:space="preserve"> children in April 2020 compared with April 2019.</w:t>
      </w:r>
    </w:p>
    <w:p w14:paraId="33F32DD8" w14:textId="10553B84" w:rsidR="00900ACC" w:rsidRPr="00764F24" w:rsidRDefault="00A12E5C" w:rsidP="00D86B69">
      <w:pPr>
        <w:spacing w:beforeAutospacing="1" w:after="100" w:afterAutospacing="1" w:line="360" w:lineRule="auto"/>
        <w:rPr>
          <w:rFonts w:cstheme="minorHAnsi"/>
          <w:szCs w:val="24"/>
          <w:lang w:val="en-GB"/>
        </w:rPr>
      </w:pPr>
      <w:r w:rsidRPr="00764F24">
        <w:rPr>
          <w:rFonts w:cstheme="minorHAnsi"/>
          <w:szCs w:val="24"/>
          <w:lang w:val="en-GB"/>
        </w:rPr>
        <w:t>COVID-19</w:t>
      </w:r>
      <w:r w:rsidR="00170140" w:rsidRPr="00764F24">
        <w:rPr>
          <w:rFonts w:cstheme="minorHAnsi"/>
          <w:szCs w:val="24"/>
          <w:lang w:val="en-GB"/>
        </w:rPr>
        <w:t xml:space="preserve"> has led to an increase in already high levels of anxiety about finances with an estimated 4.6 million people now in arrears </w:t>
      </w:r>
      <w:r w:rsidR="00B06AA7" w:rsidRPr="00764F24">
        <w:rPr>
          <w:rFonts w:cstheme="minorHAnsi"/>
          <w:szCs w:val="24"/>
          <w:lang w:val="en-GB"/>
        </w:rPr>
        <w:t>on household commitments totalling</w:t>
      </w:r>
      <w:r w:rsidR="00170140" w:rsidRPr="00764F24">
        <w:rPr>
          <w:rFonts w:cstheme="minorHAnsi"/>
          <w:szCs w:val="24"/>
          <w:lang w:val="en-GB"/>
        </w:rPr>
        <w:t xml:space="preserve"> around £6 billion</w:t>
      </w:r>
      <w:r w:rsidR="00BF7FBA" w:rsidRPr="00764F24">
        <w:rPr>
          <w:rFonts w:cstheme="minorHAnsi"/>
          <w:szCs w:val="24"/>
          <w:lang w:val="en-GB"/>
        </w:rPr>
        <w:t xml:space="preserve">. </w:t>
      </w:r>
      <w:r w:rsidR="008E2B45" w:rsidRPr="00764F24">
        <w:rPr>
          <w:rFonts w:cstheme="minorHAnsi"/>
          <w:szCs w:val="24"/>
          <w:lang w:val="en-GB"/>
        </w:rPr>
        <w:t>StepChange</w:t>
      </w:r>
      <w:r w:rsidR="00170140" w:rsidRPr="00764F24">
        <w:rPr>
          <w:rFonts w:cstheme="minorHAnsi"/>
          <w:szCs w:val="24"/>
          <w:lang w:val="en-GB"/>
        </w:rPr>
        <w:t xml:space="preserve"> Debt Charity estimate that 2.7 million people have accessed </w:t>
      </w:r>
      <w:r w:rsidR="00B7585A">
        <w:rPr>
          <w:rFonts w:cstheme="minorHAnsi"/>
          <w:szCs w:val="24"/>
          <w:lang w:val="en-GB"/>
        </w:rPr>
        <w:t>‘</w:t>
      </w:r>
      <w:r w:rsidR="00170140" w:rsidRPr="00764F24">
        <w:rPr>
          <w:rFonts w:cstheme="minorHAnsi"/>
          <w:szCs w:val="24"/>
          <w:lang w:val="en-GB"/>
        </w:rPr>
        <w:t>payment holidays</w:t>
      </w:r>
      <w:r w:rsidR="00B7585A">
        <w:rPr>
          <w:rFonts w:cstheme="minorHAnsi"/>
          <w:szCs w:val="24"/>
          <w:lang w:val="en-GB"/>
        </w:rPr>
        <w:t>’</w:t>
      </w:r>
      <w:r w:rsidR="00170140" w:rsidRPr="00764F24">
        <w:rPr>
          <w:rFonts w:cstheme="minorHAnsi"/>
          <w:szCs w:val="24"/>
          <w:lang w:val="en-GB"/>
        </w:rPr>
        <w:t xml:space="preserve"> on mortgage and credit products which </w:t>
      </w:r>
      <w:r w:rsidR="00053374" w:rsidRPr="00764F24">
        <w:rPr>
          <w:rFonts w:cstheme="minorHAnsi"/>
          <w:szCs w:val="24"/>
          <w:lang w:val="en-GB"/>
        </w:rPr>
        <w:t xml:space="preserve">will </w:t>
      </w:r>
      <w:r w:rsidR="00170140" w:rsidRPr="00764F24">
        <w:rPr>
          <w:rFonts w:cstheme="minorHAnsi"/>
          <w:szCs w:val="24"/>
          <w:lang w:val="en-GB"/>
        </w:rPr>
        <w:t>come to an end</w:t>
      </w:r>
      <w:r w:rsidR="00BF7FBA" w:rsidRPr="00764F24">
        <w:rPr>
          <w:rFonts w:cstheme="minorHAnsi"/>
          <w:szCs w:val="24"/>
          <w:lang w:val="en-GB"/>
        </w:rPr>
        <w:t xml:space="preserve">. </w:t>
      </w:r>
      <w:r w:rsidR="00170140" w:rsidRPr="00764F24">
        <w:rPr>
          <w:rFonts w:cstheme="minorHAnsi"/>
          <w:szCs w:val="24"/>
          <w:lang w:val="en-GB"/>
        </w:rPr>
        <w:t xml:space="preserve">And Shelter estimate that around 230,000 </w:t>
      </w:r>
      <w:r w:rsidR="00170140" w:rsidRPr="00764F24">
        <w:rPr>
          <w:rFonts w:cstheme="minorHAnsi"/>
          <w:color w:val="000000"/>
          <w:szCs w:val="24"/>
          <w:lang w:val="en-GB"/>
        </w:rPr>
        <w:t xml:space="preserve">adult private renters had fallen into arrears since the start of the pandemic, meaning they could lose their homes when the evictions ban </w:t>
      </w:r>
      <w:r w:rsidR="00B7585A">
        <w:rPr>
          <w:rFonts w:cstheme="minorHAnsi"/>
          <w:color w:val="000000"/>
          <w:szCs w:val="24"/>
          <w:lang w:val="en-GB"/>
        </w:rPr>
        <w:t xml:space="preserve">is due to </w:t>
      </w:r>
      <w:r w:rsidR="00170140" w:rsidRPr="00764F24">
        <w:rPr>
          <w:rFonts w:cstheme="minorHAnsi"/>
          <w:color w:val="000000"/>
          <w:szCs w:val="24"/>
          <w:lang w:val="en-GB"/>
        </w:rPr>
        <w:t xml:space="preserve">end on </w:t>
      </w:r>
      <w:r w:rsidR="00B7585A">
        <w:rPr>
          <w:rFonts w:cstheme="minorHAnsi"/>
          <w:color w:val="000000"/>
          <w:szCs w:val="24"/>
          <w:lang w:val="en-GB"/>
        </w:rPr>
        <w:t>20</w:t>
      </w:r>
      <w:r w:rsidR="00B7585A" w:rsidRPr="00B7585A">
        <w:rPr>
          <w:rFonts w:cstheme="minorHAnsi"/>
          <w:color w:val="000000"/>
          <w:szCs w:val="24"/>
          <w:vertAlign w:val="superscript"/>
          <w:lang w:val="en-GB"/>
        </w:rPr>
        <w:t>th</w:t>
      </w:r>
      <w:r w:rsidR="00B7585A">
        <w:rPr>
          <w:rFonts w:cstheme="minorHAnsi"/>
          <w:color w:val="000000"/>
          <w:szCs w:val="24"/>
          <w:lang w:val="en-GB"/>
        </w:rPr>
        <w:t xml:space="preserve"> September</w:t>
      </w:r>
      <w:r w:rsidR="00B06AA7" w:rsidRPr="00764F24">
        <w:rPr>
          <w:rFonts w:cstheme="minorHAnsi"/>
          <w:color w:val="000000"/>
          <w:szCs w:val="24"/>
          <w:lang w:val="en-GB"/>
        </w:rPr>
        <w:t>.</w:t>
      </w:r>
      <w:r w:rsidR="00FD5A68">
        <w:rPr>
          <w:rFonts w:cstheme="minorHAnsi"/>
          <w:color w:val="000000"/>
          <w:szCs w:val="24"/>
          <w:lang w:val="en-GB"/>
        </w:rPr>
        <w:t xml:space="preserve">  </w:t>
      </w:r>
      <w:r w:rsidR="00170140" w:rsidRPr="00764F24">
        <w:rPr>
          <w:rFonts w:cstheme="minorHAnsi"/>
          <w:szCs w:val="24"/>
          <w:lang w:val="en-GB"/>
        </w:rPr>
        <w:t>These are extremely difficult times for the country and many within it</w:t>
      </w:r>
      <w:r w:rsidR="00BF7FBA" w:rsidRPr="00764F24">
        <w:rPr>
          <w:rFonts w:cstheme="minorHAnsi"/>
          <w:szCs w:val="24"/>
          <w:lang w:val="en-GB"/>
        </w:rPr>
        <w:t xml:space="preserve">. </w:t>
      </w:r>
      <w:r w:rsidR="00170140" w:rsidRPr="00764F24">
        <w:rPr>
          <w:rFonts w:cstheme="minorHAnsi"/>
          <w:szCs w:val="24"/>
          <w:lang w:val="en-GB"/>
        </w:rPr>
        <w:t>Some statistics reveal, however, that a significant minority o</w:t>
      </w:r>
      <w:r w:rsidR="00ED2B48" w:rsidRPr="00764F24">
        <w:rPr>
          <w:rFonts w:cstheme="minorHAnsi"/>
          <w:szCs w:val="24"/>
          <w:lang w:val="en-GB"/>
        </w:rPr>
        <w:t xml:space="preserve">f the population </w:t>
      </w:r>
      <w:r w:rsidR="00B7585A">
        <w:rPr>
          <w:rFonts w:cstheme="minorHAnsi"/>
          <w:szCs w:val="24"/>
          <w:lang w:val="en-GB"/>
        </w:rPr>
        <w:t>is</w:t>
      </w:r>
      <w:r w:rsidR="00ED2B48" w:rsidRPr="00764F24">
        <w:rPr>
          <w:rFonts w:cstheme="minorHAnsi"/>
          <w:szCs w:val="24"/>
          <w:lang w:val="en-GB"/>
        </w:rPr>
        <w:t xml:space="preserve"> unaffected, financially, </w:t>
      </w:r>
      <w:r w:rsidR="00170140" w:rsidRPr="00764F24">
        <w:rPr>
          <w:rFonts w:cstheme="minorHAnsi"/>
          <w:szCs w:val="24"/>
          <w:lang w:val="en-GB"/>
        </w:rPr>
        <w:t xml:space="preserve">by </w:t>
      </w:r>
      <w:r w:rsidRPr="00764F24">
        <w:rPr>
          <w:rFonts w:cstheme="minorHAnsi"/>
          <w:szCs w:val="24"/>
          <w:lang w:val="en-GB"/>
        </w:rPr>
        <w:t>COVID-19</w:t>
      </w:r>
      <w:r w:rsidR="00170140" w:rsidRPr="00764F24">
        <w:rPr>
          <w:rFonts w:cstheme="minorHAnsi"/>
          <w:szCs w:val="24"/>
          <w:lang w:val="en-GB"/>
        </w:rPr>
        <w:t xml:space="preserve"> or, indeed, </w:t>
      </w:r>
      <w:r w:rsidR="00B7585A">
        <w:rPr>
          <w:rFonts w:cstheme="minorHAnsi"/>
          <w:szCs w:val="24"/>
          <w:lang w:val="en-GB"/>
        </w:rPr>
        <w:t xml:space="preserve">are </w:t>
      </w:r>
      <w:r w:rsidR="00C74C38" w:rsidRPr="00764F24">
        <w:rPr>
          <w:rFonts w:cstheme="minorHAnsi"/>
          <w:szCs w:val="24"/>
          <w:lang w:val="en-GB"/>
        </w:rPr>
        <w:t>somewhat better off financially</w:t>
      </w:r>
      <w:r w:rsidR="00B7585A">
        <w:rPr>
          <w:rFonts w:cstheme="minorHAnsi"/>
          <w:szCs w:val="24"/>
          <w:lang w:val="en-GB"/>
        </w:rPr>
        <w:t xml:space="preserve"> as their incomes remain the same but their expenditure drops</w:t>
      </w:r>
      <w:r w:rsidR="00C74C38" w:rsidRPr="00764F24">
        <w:rPr>
          <w:rFonts w:cstheme="minorHAnsi"/>
          <w:szCs w:val="24"/>
          <w:lang w:val="en-GB"/>
        </w:rPr>
        <w:t xml:space="preserve">. </w:t>
      </w:r>
      <w:r w:rsidR="00ED2B48" w:rsidRPr="00764F24">
        <w:rPr>
          <w:rFonts w:cstheme="minorHAnsi"/>
          <w:szCs w:val="24"/>
          <w:lang w:val="en-GB"/>
        </w:rPr>
        <w:t xml:space="preserve">Inequality is </w:t>
      </w:r>
      <w:r w:rsidR="00B7585A" w:rsidRPr="00764F24">
        <w:rPr>
          <w:rFonts w:cstheme="minorHAnsi"/>
          <w:szCs w:val="24"/>
          <w:lang w:val="en-GB"/>
        </w:rPr>
        <w:t xml:space="preserve">therefore </w:t>
      </w:r>
      <w:r w:rsidR="00ED2B48" w:rsidRPr="00764F24">
        <w:rPr>
          <w:rFonts w:cstheme="minorHAnsi"/>
          <w:szCs w:val="24"/>
          <w:lang w:val="en-GB"/>
        </w:rPr>
        <w:t xml:space="preserve">likely to rise </w:t>
      </w:r>
      <w:r w:rsidR="00B7585A">
        <w:rPr>
          <w:rFonts w:cstheme="minorHAnsi"/>
          <w:szCs w:val="24"/>
          <w:lang w:val="en-GB"/>
        </w:rPr>
        <w:t xml:space="preserve">still </w:t>
      </w:r>
      <w:r w:rsidR="00ED2B48" w:rsidRPr="00764F24">
        <w:rPr>
          <w:rFonts w:cstheme="minorHAnsi"/>
          <w:szCs w:val="24"/>
          <w:lang w:val="en-GB"/>
        </w:rPr>
        <w:t>further.</w:t>
      </w:r>
      <w:r w:rsidR="00900ACC" w:rsidRPr="00764F24">
        <w:rPr>
          <w:rFonts w:cstheme="minorHAnsi"/>
          <w:szCs w:val="24"/>
          <w:lang w:val="en-GB"/>
        </w:rPr>
        <w:br w:type="page"/>
      </w:r>
    </w:p>
    <w:p w14:paraId="3ADA4E9D" w14:textId="77777777" w:rsidR="007E64E2" w:rsidRPr="00764F24" w:rsidRDefault="00B55133" w:rsidP="001B32E1">
      <w:pPr>
        <w:pStyle w:val="Heading1"/>
      </w:pPr>
      <w:bookmarkStart w:id="53" w:name="_Toc51250069"/>
      <w:bookmarkStart w:id="54" w:name="_Toc54600811"/>
      <w:r w:rsidRPr="00764F24">
        <w:lastRenderedPageBreak/>
        <w:t>Appendix</w:t>
      </w:r>
      <w:r w:rsidR="008524BF" w:rsidRPr="00764F24">
        <w:t xml:space="preserve">: </w:t>
      </w:r>
      <w:r w:rsidRPr="00764F24">
        <w:t>Data sources and research methods</w:t>
      </w:r>
      <w:bookmarkEnd w:id="53"/>
      <w:bookmarkEnd w:id="54"/>
    </w:p>
    <w:p w14:paraId="3C61B54E" w14:textId="77777777" w:rsidR="005B750B" w:rsidRPr="00764F24" w:rsidRDefault="005B750B" w:rsidP="00D86B69">
      <w:pPr>
        <w:spacing w:beforeAutospacing="1" w:after="100" w:afterAutospacing="1" w:line="360" w:lineRule="auto"/>
        <w:rPr>
          <w:rFonts w:cstheme="minorHAnsi"/>
          <w:szCs w:val="24"/>
          <w:lang w:val="en-GB"/>
        </w:rPr>
      </w:pPr>
    </w:p>
    <w:p w14:paraId="71ADD504" w14:textId="4D480418" w:rsidR="007E64E2" w:rsidRPr="00764F24" w:rsidRDefault="00DD0D2C" w:rsidP="00D86B69">
      <w:pPr>
        <w:spacing w:beforeAutospacing="1" w:after="100" w:afterAutospacing="1" w:line="360" w:lineRule="auto"/>
        <w:rPr>
          <w:rFonts w:cstheme="minorHAnsi"/>
          <w:szCs w:val="24"/>
          <w:lang w:val="en-GB"/>
        </w:rPr>
      </w:pPr>
      <w:r w:rsidRPr="00764F24">
        <w:rPr>
          <w:rFonts w:cstheme="minorHAnsi"/>
          <w:szCs w:val="24"/>
          <w:lang w:val="en-GB"/>
        </w:rPr>
        <w:t>This research, funded by the Friends Provident Foundation</w:t>
      </w:r>
      <w:r w:rsidR="00691332" w:rsidRPr="00764F24">
        <w:rPr>
          <w:rFonts w:cstheme="minorHAnsi"/>
          <w:szCs w:val="24"/>
          <w:lang w:val="en-GB"/>
        </w:rPr>
        <w:t xml:space="preserve"> and Barrow Cadbury Trust</w:t>
      </w:r>
      <w:r w:rsidRPr="00764F24">
        <w:rPr>
          <w:rFonts w:cstheme="minorHAnsi"/>
          <w:szCs w:val="24"/>
          <w:lang w:val="en-GB"/>
        </w:rPr>
        <w:t>,</w:t>
      </w:r>
      <w:r w:rsidR="00691332" w:rsidRPr="00764F24">
        <w:rPr>
          <w:rFonts w:cstheme="minorHAnsi"/>
          <w:szCs w:val="24"/>
          <w:lang w:val="en-GB"/>
        </w:rPr>
        <w:t xml:space="preserve"> began with </w:t>
      </w:r>
      <w:r w:rsidRPr="00764F24">
        <w:rPr>
          <w:rFonts w:cstheme="minorHAnsi"/>
          <w:szCs w:val="24"/>
          <w:lang w:val="en-GB"/>
        </w:rPr>
        <w:t>stakeholder engagement</w:t>
      </w:r>
      <w:r w:rsidR="00691332" w:rsidRPr="00764F24">
        <w:rPr>
          <w:rFonts w:cstheme="minorHAnsi"/>
          <w:szCs w:val="24"/>
          <w:lang w:val="en-GB"/>
        </w:rPr>
        <w:t xml:space="preserve"> to help refine the scope of the research</w:t>
      </w:r>
      <w:r w:rsidR="00BF7FBA" w:rsidRPr="00764F24">
        <w:rPr>
          <w:rFonts w:cstheme="minorHAnsi"/>
          <w:szCs w:val="24"/>
          <w:lang w:val="en-GB"/>
        </w:rPr>
        <w:t xml:space="preserve">. </w:t>
      </w:r>
      <w:r w:rsidR="00691332" w:rsidRPr="00764F24">
        <w:rPr>
          <w:rFonts w:cstheme="minorHAnsi"/>
          <w:szCs w:val="24"/>
          <w:lang w:val="en-GB"/>
        </w:rPr>
        <w:t xml:space="preserve">The research then draws on analysis of a range of </w:t>
      </w:r>
      <w:r w:rsidRPr="00764F24">
        <w:rPr>
          <w:rFonts w:cstheme="minorHAnsi"/>
          <w:szCs w:val="24"/>
          <w:lang w:val="en-GB"/>
        </w:rPr>
        <w:t>existing data sources</w:t>
      </w:r>
      <w:r w:rsidR="00691332" w:rsidRPr="00764F24">
        <w:rPr>
          <w:rFonts w:cstheme="minorHAnsi"/>
          <w:szCs w:val="24"/>
          <w:lang w:val="en-GB"/>
        </w:rPr>
        <w:t xml:space="preserve"> as outlined below</w:t>
      </w:r>
      <w:r w:rsidR="00BF7FBA" w:rsidRPr="00764F24">
        <w:rPr>
          <w:rFonts w:cstheme="minorHAnsi"/>
          <w:szCs w:val="24"/>
          <w:lang w:val="en-GB"/>
        </w:rPr>
        <w:t xml:space="preserve">. </w:t>
      </w:r>
      <w:r w:rsidR="00691332" w:rsidRPr="00764F24">
        <w:rPr>
          <w:rFonts w:cstheme="minorHAnsi"/>
          <w:szCs w:val="24"/>
          <w:lang w:val="en-GB"/>
        </w:rPr>
        <w:t>We also review key research studies, and statistics produced, by other organisations as appropriate.</w:t>
      </w:r>
    </w:p>
    <w:p w14:paraId="4C7D420E" w14:textId="6406BDD7" w:rsidR="005B667F" w:rsidRPr="00764F24" w:rsidRDefault="005B667F" w:rsidP="00D86B69">
      <w:pPr>
        <w:pStyle w:val="Heading2"/>
        <w:spacing w:beforeAutospacing="1" w:after="100" w:afterAutospacing="1" w:line="360" w:lineRule="auto"/>
        <w:rPr>
          <w:rFonts w:cstheme="minorHAnsi"/>
          <w:szCs w:val="24"/>
          <w:lang w:val="en-GB"/>
        </w:rPr>
      </w:pPr>
      <w:bookmarkStart w:id="55" w:name="_Toc51250070"/>
      <w:bookmarkStart w:id="56" w:name="_Toc54600812"/>
      <w:r w:rsidRPr="00764F24">
        <w:rPr>
          <w:rFonts w:cstheme="minorHAnsi"/>
          <w:szCs w:val="24"/>
          <w:lang w:val="en-GB"/>
        </w:rPr>
        <w:t>Stakeholder engagement</w:t>
      </w:r>
      <w:bookmarkEnd w:id="55"/>
      <w:bookmarkEnd w:id="56"/>
    </w:p>
    <w:p w14:paraId="7686F0FB" w14:textId="18C43830" w:rsidR="007E64E2" w:rsidRPr="00764F24" w:rsidRDefault="00DD0D2C" w:rsidP="00D86B69">
      <w:pPr>
        <w:spacing w:beforeAutospacing="1" w:after="100" w:afterAutospacing="1" w:line="360" w:lineRule="auto"/>
        <w:rPr>
          <w:rFonts w:cstheme="minorHAnsi"/>
          <w:szCs w:val="24"/>
          <w:lang w:val="en-GB"/>
        </w:rPr>
      </w:pPr>
      <w:r w:rsidRPr="00764F24">
        <w:rPr>
          <w:rFonts w:cstheme="minorHAnsi"/>
          <w:szCs w:val="24"/>
          <w:lang w:val="en-GB"/>
        </w:rPr>
        <w:t>The research began with discussions with key stakeholders about the approach the research might take</w:t>
      </w:r>
      <w:r w:rsidR="00BF7FBA" w:rsidRPr="00764F24">
        <w:rPr>
          <w:rFonts w:cstheme="minorHAnsi"/>
          <w:szCs w:val="24"/>
          <w:lang w:val="en-GB"/>
        </w:rPr>
        <w:t xml:space="preserve">. </w:t>
      </w:r>
      <w:r w:rsidRPr="00764F24">
        <w:rPr>
          <w:rFonts w:cstheme="minorHAnsi"/>
          <w:szCs w:val="24"/>
          <w:lang w:val="en-GB"/>
        </w:rPr>
        <w:t xml:space="preserve">Stephen McKay led a workshop at the 2012 Centre for Responsible Credit conference and then the project team held an event in London </w:t>
      </w:r>
      <w:r w:rsidR="00C26E3B" w:rsidRPr="00764F24">
        <w:rPr>
          <w:rFonts w:cstheme="minorHAnsi"/>
          <w:szCs w:val="24"/>
          <w:lang w:val="en-GB"/>
        </w:rPr>
        <w:t xml:space="preserve">in January 2013 to </w:t>
      </w:r>
      <w:r w:rsidRPr="00764F24">
        <w:rPr>
          <w:rFonts w:cstheme="minorHAnsi"/>
          <w:szCs w:val="24"/>
          <w:lang w:val="en-GB"/>
        </w:rPr>
        <w:t>specifically discuss to consider the scope of the research (in particular, how wide or narrow a definition of financial inclusion we should use), the type of indicators we might monitor and the data sources we should consult</w:t>
      </w:r>
      <w:r w:rsidR="00BF7FBA" w:rsidRPr="00764F24">
        <w:rPr>
          <w:rFonts w:cstheme="minorHAnsi"/>
          <w:szCs w:val="24"/>
          <w:lang w:val="en-GB"/>
        </w:rPr>
        <w:t xml:space="preserve">. </w:t>
      </w:r>
      <w:r w:rsidR="00C26E3B" w:rsidRPr="00764F24">
        <w:rPr>
          <w:rFonts w:cstheme="minorHAnsi"/>
          <w:szCs w:val="24"/>
          <w:lang w:val="en-GB"/>
        </w:rPr>
        <w:t xml:space="preserve">Stakeholders engaged included </w:t>
      </w:r>
      <w:r w:rsidR="005B667F" w:rsidRPr="00764F24">
        <w:rPr>
          <w:rFonts w:cstheme="minorHAnsi"/>
          <w:szCs w:val="24"/>
          <w:lang w:val="en-GB"/>
        </w:rPr>
        <w:t xml:space="preserve">Brian Pomeroy, former Chair of the Financial Inclusion Taskforce alongside </w:t>
      </w:r>
      <w:r w:rsidR="00C26E3B" w:rsidRPr="00764F24">
        <w:rPr>
          <w:rFonts w:cstheme="minorHAnsi"/>
          <w:szCs w:val="24"/>
          <w:lang w:val="en-GB"/>
        </w:rPr>
        <w:t>representatives from: Fair Banking Foundation; Centre for Responsible Credit; Financial Services Authority;</w:t>
      </w:r>
      <w:r w:rsidR="008D2686" w:rsidRPr="00764F24">
        <w:rPr>
          <w:rFonts w:cstheme="minorHAnsi"/>
          <w:szCs w:val="24"/>
          <w:lang w:val="en-GB"/>
        </w:rPr>
        <w:t xml:space="preserve"> </w:t>
      </w:r>
      <w:r w:rsidR="00C26E3B" w:rsidRPr="00764F24">
        <w:rPr>
          <w:rFonts w:cstheme="minorHAnsi"/>
          <w:szCs w:val="24"/>
          <w:lang w:val="en-GB"/>
        </w:rPr>
        <w:t>DWP Finance Change, Credit Union Expansion project; Which?; ABCUL ; Resolution Foundation; IPPR; and Transact.</w:t>
      </w:r>
    </w:p>
    <w:p w14:paraId="4928E47D" w14:textId="79C2B9CE" w:rsidR="005B667F" w:rsidRPr="00764F24" w:rsidRDefault="005B667F" w:rsidP="00D86B69">
      <w:pPr>
        <w:pStyle w:val="Heading2"/>
        <w:spacing w:beforeAutospacing="1" w:after="100" w:afterAutospacing="1" w:line="360" w:lineRule="auto"/>
        <w:rPr>
          <w:rFonts w:cstheme="minorHAnsi"/>
          <w:szCs w:val="24"/>
          <w:lang w:val="en-GB"/>
        </w:rPr>
      </w:pPr>
      <w:bookmarkStart w:id="57" w:name="_Toc51250071"/>
      <w:bookmarkStart w:id="58" w:name="_Toc54600813"/>
      <w:r w:rsidRPr="00764F24">
        <w:rPr>
          <w:rFonts w:cstheme="minorHAnsi"/>
          <w:szCs w:val="24"/>
          <w:lang w:val="en-GB"/>
        </w:rPr>
        <w:t>Secondary analysis of existing data sources</w:t>
      </w:r>
      <w:bookmarkEnd w:id="57"/>
      <w:bookmarkEnd w:id="58"/>
    </w:p>
    <w:p w14:paraId="40D26FD8" w14:textId="038E5725" w:rsidR="005B667F" w:rsidRPr="00764F24" w:rsidRDefault="005B667F" w:rsidP="00D86B69">
      <w:pPr>
        <w:spacing w:beforeAutospacing="1" w:after="100" w:afterAutospacing="1" w:line="360" w:lineRule="auto"/>
        <w:rPr>
          <w:rFonts w:cstheme="minorHAnsi"/>
          <w:szCs w:val="24"/>
          <w:lang w:val="en-GB"/>
        </w:rPr>
      </w:pPr>
      <w:r w:rsidRPr="00764F24">
        <w:rPr>
          <w:rFonts w:cstheme="minorHAnsi"/>
          <w:szCs w:val="24"/>
          <w:lang w:val="en-GB"/>
        </w:rPr>
        <w:t>A number of data sources were analysed as part of this research</w:t>
      </w:r>
      <w:r w:rsidR="00BF7FBA" w:rsidRPr="00764F24">
        <w:rPr>
          <w:rFonts w:cstheme="minorHAnsi"/>
          <w:szCs w:val="24"/>
          <w:lang w:val="en-GB"/>
        </w:rPr>
        <w:t xml:space="preserve">. </w:t>
      </w:r>
      <w:r w:rsidRPr="00764F24">
        <w:rPr>
          <w:rFonts w:cstheme="minorHAnsi"/>
          <w:szCs w:val="24"/>
          <w:lang w:val="en-GB"/>
        </w:rPr>
        <w:t>The</w:t>
      </w:r>
      <w:r w:rsidR="00AC6FB1" w:rsidRPr="00764F24">
        <w:rPr>
          <w:rFonts w:cstheme="minorHAnsi"/>
          <w:szCs w:val="24"/>
          <w:lang w:val="en-GB"/>
        </w:rPr>
        <w:t xml:space="preserve"> two</w:t>
      </w:r>
      <w:r w:rsidRPr="00764F24">
        <w:rPr>
          <w:rFonts w:cstheme="minorHAnsi"/>
          <w:szCs w:val="24"/>
          <w:lang w:val="en-GB"/>
        </w:rPr>
        <w:t xml:space="preserve"> key sources were</w:t>
      </w:r>
      <w:r w:rsidR="00AC6FB1" w:rsidRPr="00764F24">
        <w:rPr>
          <w:rFonts w:cstheme="minorHAnsi"/>
          <w:szCs w:val="24"/>
          <w:lang w:val="en-GB"/>
        </w:rPr>
        <w:t xml:space="preserve"> administrative systems of various kinds, and sample surveys available to the academic community</w:t>
      </w:r>
      <w:r w:rsidRPr="00764F24">
        <w:rPr>
          <w:rFonts w:cstheme="minorHAnsi"/>
          <w:szCs w:val="24"/>
          <w:lang w:val="en-GB"/>
        </w:rPr>
        <w:t>:</w:t>
      </w:r>
    </w:p>
    <w:p w14:paraId="23E1A68D" w14:textId="20B78445" w:rsidR="00AC6FB1" w:rsidRPr="00764F24" w:rsidRDefault="00AC6FB1" w:rsidP="00D86B69">
      <w:pPr>
        <w:pStyle w:val="Heading3"/>
        <w:spacing w:before="100" w:beforeAutospacing="1" w:after="100" w:afterAutospacing="1" w:line="360" w:lineRule="auto"/>
        <w:rPr>
          <w:rFonts w:cstheme="minorHAnsi"/>
          <w:szCs w:val="24"/>
          <w:lang w:val="en-GB"/>
        </w:rPr>
      </w:pPr>
      <w:bookmarkStart w:id="59" w:name="_Toc51250072"/>
      <w:bookmarkStart w:id="60" w:name="_Toc54600814"/>
      <w:r w:rsidRPr="00764F24">
        <w:rPr>
          <w:rFonts w:cstheme="minorHAnsi"/>
          <w:szCs w:val="24"/>
          <w:lang w:val="en-GB"/>
        </w:rPr>
        <w:t>Administrative data</w:t>
      </w:r>
      <w:bookmarkEnd w:id="59"/>
      <w:bookmarkEnd w:id="60"/>
    </w:p>
    <w:p w14:paraId="3F302DB8" w14:textId="7DBD5E71" w:rsidR="00AC6FB1" w:rsidRPr="00764F24" w:rsidRDefault="00AC6FB1" w:rsidP="00D86B69">
      <w:pPr>
        <w:spacing w:beforeAutospacing="1" w:after="100" w:afterAutospacing="1" w:line="360" w:lineRule="auto"/>
        <w:rPr>
          <w:rFonts w:cstheme="minorHAnsi"/>
          <w:szCs w:val="24"/>
          <w:lang w:val="en-GB"/>
        </w:rPr>
      </w:pPr>
      <w:r w:rsidRPr="00764F24">
        <w:rPr>
          <w:rFonts w:cstheme="minorHAnsi"/>
          <w:szCs w:val="24"/>
          <w:lang w:val="en-GB"/>
        </w:rPr>
        <w:t xml:space="preserve">Aggregated data is available from, in particular, the Office for National Statistics (ONS), the Bank of England and various government departments. </w:t>
      </w:r>
    </w:p>
    <w:p w14:paraId="5E155209" w14:textId="01E27404" w:rsidR="00AC6FB1" w:rsidRPr="00764F24" w:rsidRDefault="00AC6FB1" w:rsidP="00D86B69">
      <w:pPr>
        <w:spacing w:beforeAutospacing="1" w:after="100" w:afterAutospacing="1" w:line="360" w:lineRule="auto"/>
        <w:rPr>
          <w:rFonts w:cstheme="minorHAnsi"/>
          <w:szCs w:val="24"/>
          <w:lang w:val="en-GB"/>
        </w:rPr>
      </w:pPr>
      <w:r w:rsidRPr="00764F24">
        <w:rPr>
          <w:rFonts w:cstheme="minorHAnsi"/>
          <w:szCs w:val="24"/>
          <w:lang w:val="en-GB"/>
        </w:rPr>
        <w:t>ONS data includes summary data from certain surveys, such as the Labour Force Survey and Wealth and Assets Survey (see below) and from administrative systems including numbers receiving benefits of various kinds. They are also responsible for price indices, such as the CPI.</w:t>
      </w:r>
    </w:p>
    <w:p w14:paraId="03BC0948" w14:textId="20EBD30C" w:rsidR="00AC6FB1" w:rsidRPr="00764F24" w:rsidRDefault="00AC6FB1" w:rsidP="00D86B69">
      <w:pPr>
        <w:spacing w:beforeAutospacing="1" w:after="100" w:afterAutospacing="1" w:line="360" w:lineRule="auto"/>
        <w:rPr>
          <w:rFonts w:cstheme="minorHAnsi"/>
          <w:szCs w:val="24"/>
          <w:lang w:val="en-GB"/>
        </w:rPr>
      </w:pPr>
      <w:r w:rsidRPr="00764F24">
        <w:rPr>
          <w:rFonts w:cstheme="minorHAnsi"/>
          <w:szCs w:val="24"/>
          <w:lang w:val="en-GB"/>
        </w:rPr>
        <w:t>The Bank of England provides data on credit and mortgages.</w:t>
      </w:r>
    </w:p>
    <w:p w14:paraId="120C4389" w14:textId="30E72AEB" w:rsidR="00AC6FB1" w:rsidRPr="00764F24" w:rsidRDefault="00AC6FB1" w:rsidP="00D86B69">
      <w:pPr>
        <w:spacing w:beforeAutospacing="1" w:after="100" w:afterAutospacing="1" w:line="360" w:lineRule="auto"/>
        <w:rPr>
          <w:rFonts w:cstheme="minorHAnsi"/>
          <w:szCs w:val="24"/>
          <w:lang w:val="en-GB"/>
        </w:rPr>
      </w:pPr>
      <w:r w:rsidRPr="00764F24">
        <w:rPr>
          <w:rFonts w:cstheme="minorHAnsi"/>
          <w:szCs w:val="24"/>
          <w:lang w:val="en-GB"/>
        </w:rPr>
        <w:lastRenderedPageBreak/>
        <w:t>Various government departments provide data on their area of competence. So, the Department for Work and Pensions (DWP) provides data on numbers receiving benefits, such as universal credit.</w:t>
      </w:r>
    </w:p>
    <w:p w14:paraId="0073F43F" w14:textId="4176CD36" w:rsidR="00AC6FB1" w:rsidRPr="00764F24" w:rsidRDefault="00AC6FB1" w:rsidP="00D86B69">
      <w:pPr>
        <w:pStyle w:val="Heading3"/>
        <w:spacing w:before="100" w:beforeAutospacing="1" w:after="100" w:afterAutospacing="1" w:line="360" w:lineRule="auto"/>
        <w:rPr>
          <w:rFonts w:cstheme="minorHAnsi"/>
          <w:szCs w:val="24"/>
          <w:lang w:val="en-GB"/>
        </w:rPr>
      </w:pPr>
      <w:bookmarkStart w:id="61" w:name="_Toc51250073"/>
      <w:bookmarkStart w:id="62" w:name="_Toc54600815"/>
      <w:r w:rsidRPr="00764F24">
        <w:rPr>
          <w:rFonts w:cstheme="minorHAnsi"/>
          <w:szCs w:val="24"/>
          <w:lang w:val="en-GB"/>
        </w:rPr>
        <w:t>Survey data</w:t>
      </w:r>
      <w:bookmarkEnd w:id="61"/>
      <w:bookmarkEnd w:id="62"/>
    </w:p>
    <w:p w14:paraId="05AB68A9" w14:textId="127EC049" w:rsidR="00D32B61" w:rsidRPr="00764F24" w:rsidRDefault="00D32B61" w:rsidP="00D86B69">
      <w:pPr>
        <w:spacing w:beforeAutospacing="1" w:after="100" w:afterAutospacing="1" w:line="360" w:lineRule="auto"/>
        <w:rPr>
          <w:rFonts w:cstheme="minorHAnsi"/>
          <w:szCs w:val="24"/>
          <w:lang w:val="en-GB"/>
        </w:rPr>
      </w:pPr>
      <w:r w:rsidRPr="00764F24">
        <w:rPr>
          <w:rFonts w:cstheme="minorHAnsi"/>
          <w:szCs w:val="24"/>
          <w:lang w:val="en-GB"/>
        </w:rPr>
        <w:t>Sample surveys are conducted within government on a regular basis, and by some academic bodies. Many of these surveys may be accessed at the UK Data Service</w:t>
      </w:r>
      <w:r w:rsidRPr="00764F24">
        <w:rPr>
          <w:rStyle w:val="FootnoteReference"/>
          <w:rFonts w:cstheme="minorHAnsi"/>
          <w:szCs w:val="24"/>
          <w:lang w:val="en-GB"/>
        </w:rPr>
        <w:footnoteReference w:id="98"/>
      </w:r>
      <w:r w:rsidRPr="00764F24">
        <w:rPr>
          <w:rFonts w:cstheme="minorHAnsi"/>
          <w:szCs w:val="24"/>
          <w:lang w:val="en-GB"/>
        </w:rPr>
        <w:t>, subject to certain conditions. Below we list the main surveys used in this report.</w:t>
      </w:r>
    </w:p>
    <w:p w14:paraId="6419828A" w14:textId="2F663E62" w:rsidR="005B667F" w:rsidRPr="00764F24" w:rsidRDefault="005B667F" w:rsidP="00D86B69">
      <w:pPr>
        <w:pStyle w:val="ListParagraph"/>
        <w:numPr>
          <w:ilvl w:val="1"/>
          <w:numId w:val="7"/>
        </w:numPr>
        <w:spacing w:beforeAutospacing="1" w:after="100" w:afterAutospacing="1" w:line="360" w:lineRule="auto"/>
        <w:ind w:left="1434" w:hanging="357"/>
        <w:rPr>
          <w:rFonts w:cstheme="minorHAnsi"/>
          <w:szCs w:val="24"/>
          <w:lang w:val="en-GB"/>
        </w:rPr>
      </w:pPr>
      <w:r w:rsidRPr="00764F24">
        <w:rPr>
          <w:rFonts w:cstheme="minorHAnsi"/>
          <w:szCs w:val="24"/>
          <w:lang w:val="en-GB"/>
        </w:rPr>
        <w:t>Wealth and Assets Survey (WAS)</w:t>
      </w:r>
    </w:p>
    <w:p w14:paraId="41B1D681" w14:textId="54383D90" w:rsidR="005B667F" w:rsidRPr="00764F24" w:rsidRDefault="005B667F" w:rsidP="00D86B69">
      <w:pPr>
        <w:spacing w:beforeAutospacing="1" w:after="100" w:afterAutospacing="1" w:line="360" w:lineRule="auto"/>
        <w:rPr>
          <w:rFonts w:cstheme="minorHAnsi"/>
          <w:szCs w:val="24"/>
          <w:lang w:val="en-GB"/>
        </w:rPr>
      </w:pPr>
      <w:r w:rsidRPr="00764F24">
        <w:rPr>
          <w:rFonts w:cstheme="minorHAnsi"/>
          <w:szCs w:val="24"/>
          <w:lang w:val="en-GB"/>
        </w:rPr>
        <w:t xml:space="preserve">This is a </w:t>
      </w:r>
      <w:r w:rsidR="006D2F13" w:rsidRPr="00764F24">
        <w:rPr>
          <w:rFonts w:cstheme="minorHAnsi"/>
          <w:szCs w:val="24"/>
          <w:lang w:val="en-GB"/>
        </w:rPr>
        <w:t xml:space="preserve">panel </w:t>
      </w:r>
      <w:r w:rsidRPr="00764F24">
        <w:rPr>
          <w:rFonts w:cstheme="minorHAnsi"/>
          <w:szCs w:val="24"/>
          <w:lang w:val="en-GB"/>
        </w:rPr>
        <w:t xml:space="preserve">survey of people’s assets and general wealth, including pensions, financial assets, property and savings. </w:t>
      </w:r>
      <w:r w:rsidR="00AC6FB1" w:rsidRPr="00764F24">
        <w:rPr>
          <w:rFonts w:cstheme="minorHAnsi"/>
          <w:szCs w:val="24"/>
          <w:lang w:val="en-GB"/>
        </w:rPr>
        <w:t>Six</w:t>
      </w:r>
      <w:r w:rsidRPr="00764F24">
        <w:rPr>
          <w:rFonts w:cstheme="minorHAnsi"/>
          <w:szCs w:val="24"/>
          <w:lang w:val="en-GB"/>
        </w:rPr>
        <w:t xml:space="preserve"> waves</w:t>
      </w:r>
      <w:r w:rsidR="00AC6FB1" w:rsidRPr="00764F24">
        <w:rPr>
          <w:rFonts w:cstheme="minorHAnsi"/>
          <w:szCs w:val="24"/>
          <w:lang w:val="en-GB"/>
        </w:rPr>
        <w:t>/rounds</w:t>
      </w:r>
      <w:r w:rsidRPr="00764F24">
        <w:rPr>
          <w:rFonts w:cstheme="minorHAnsi"/>
          <w:szCs w:val="24"/>
          <w:lang w:val="en-GB"/>
        </w:rPr>
        <w:t xml:space="preserve"> have been produced, covering 2006-08</w:t>
      </w:r>
      <w:r w:rsidR="006D2F13" w:rsidRPr="00764F24">
        <w:rPr>
          <w:rFonts w:cstheme="minorHAnsi"/>
          <w:szCs w:val="24"/>
          <w:lang w:val="en-GB"/>
        </w:rPr>
        <w:t>,</w:t>
      </w:r>
      <w:r w:rsidRPr="00764F24">
        <w:rPr>
          <w:rFonts w:cstheme="minorHAnsi"/>
          <w:szCs w:val="24"/>
          <w:lang w:val="en-GB"/>
        </w:rPr>
        <w:t xml:space="preserve"> 2008-10</w:t>
      </w:r>
      <w:r w:rsidR="00AC6FB1" w:rsidRPr="00764F24">
        <w:rPr>
          <w:rFonts w:cstheme="minorHAnsi"/>
          <w:szCs w:val="24"/>
          <w:lang w:val="en-GB"/>
        </w:rPr>
        <w:t xml:space="preserve">, </w:t>
      </w:r>
      <w:r w:rsidR="006D2F13" w:rsidRPr="00764F24">
        <w:rPr>
          <w:rFonts w:cstheme="minorHAnsi"/>
          <w:szCs w:val="24"/>
          <w:lang w:val="en-GB"/>
        </w:rPr>
        <w:t>2010-12</w:t>
      </w:r>
      <w:r w:rsidR="00AC6FB1" w:rsidRPr="00764F24">
        <w:rPr>
          <w:rFonts w:cstheme="minorHAnsi"/>
          <w:szCs w:val="24"/>
          <w:lang w:val="en-GB"/>
        </w:rPr>
        <w:t>, 20</w:t>
      </w:r>
      <w:r w:rsidR="00DE065C" w:rsidRPr="00764F24">
        <w:rPr>
          <w:rFonts w:cstheme="minorHAnsi"/>
          <w:szCs w:val="24"/>
          <w:lang w:val="en-GB"/>
        </w:rPr>
        <w:t>12-14</w:t>
      </w:r>
      <w:r w:rsidR="00AC6FB1" w:rsidRPr="00764F24">
        <w:rPr>
          <w:rStyle w:val="FootnoteReference"/>
          <w:rFonts w:cstheme="minorHAnsi"/>
          <w:szCs w:val="24"/>
          <w:lang w:val="en-GB"/>
        </w:rPr>
        <w:t>,</w:t>
      </w:r>
      <w:r w:rsidR="00AC6FB1" w:rsidRPr="00764F24">
        <w:rPr>
          <w:rFonts w:cstheme="minorHAnsi"/>
          <w:szCs w:val="24"/>
          <w:lang w:val="en-GB"/>
        </w:rPr>
        <w:t xml:space="preserve"> 2014-16 and 2016-18</w:t>
      </w:r>
      <w:r w:rsidR="00AC6FB1" w:rsidRPr="00764F24">
        <w:rPr>
          <w:rStyle w:val="FootnoteReference"/>
          <w:rFonts w:cstheme="minorHAnsi"/>
          <w:szCs w:val="24"/>
          <w:lang w:val="en-GB"/>
        </w:rPr>
        <w:footnoteReference w:id="99"/>
      </w:r>
      <w:r w:rsidR="00BF7FBA" w:rsidRPr="00764F24">
        <w:rPr>
          <w:rFonts w:cstheme="minorHAnsi"/>
          <w:szCs w:val="24"/>
          <w:lang w:val="en-GB"/>
        </w:rPr>
        <w:t xml:space="preserve">. </w:t>
      </w:r>
      <w:r w:rsidR="00AC6FB1" w:rsidRPr="00764F24">
        <w:rPr>
          <w:rFonts w:cstheme="minorHAnsi"/>
          <w:szCs w:val="24"/>
          <w:lang w:val="en-GB"/>
        </w:rPr>
        <w:t>Each wave of the survey includes around 20,000 households, or more.</w:t>
      </w:r>
      <w:r w:rsidR="00DE065C" w:rsidRPr="00764F24">
        <w:rPr>
          <w:rFonts w:cstheme="minorHAnsi"/>
          <w:szCs w:val="24"/>
          <w:lang w:val="en-GB"/>
        </w:rPr>
        <w:t xml:space="preserve">. </w:t>
      </w:r>
      <w:r w:rsidRPr="00764F24">
        <w:rPr>
          <w:rFonts w:cstheme="minorHAnsi"/>
          <w:szCs w:val="24"/>
          <w:lang w:val="en-GB"/>
        </w:rPr>
        <w:t>These data are Crown Copyright.</w:t>
      </w:r>
    </w:p>
    <w:p w14:paraId="5E7EDBB1" w14:textId="77777777" w:rsidR="005B667F" w:rsidRPr="00764F24" w:rsidRDefault="005B667F" w:rsidP="00D86B69">
      <w:pPr>
        <w:pStyle w:val="ListParagraph"/>
        <w:numPr>
          <w:ilvl w:val="1"/>
          <w:numId w:val="7"/>
        </w:numPr>
        <w:spacing w:beforeAutospacing="1" w:after="100" w:afterAutospacing="1" w:line="360" w:lineRule="auto"/>
        <w:ind w:left="1434" w:hanging="357"/>
        <w:rPr>
          <w:rFonts w:cstheme="minorHAnsi"/>
          <w:szCs w:val="24"/>
          <w:lang w:val="en-GB"/>
        </w:rPr>
      </w:pPr>
      <w:r w:rsidRPr="00764F24">
        <w:rPr>
          <w:rFonts w:cstheme="minorHAnsi"/>
          <w:szCs w:val="24"/>
          <w:lang w:val="en-GB"/>
        </w:rPr>
        <w:t>Family Resources Survey (FRS)</w:t>
      </w:r>
    </w:p>
    <w:p w14:paraId="43BF046B" w14:textId="754590A2" w:rsidR="005B667F" w:rsidRPr="00764F24" w:rsidRDefault="005B667F" w:rsidP="00D86B69">
      <w:pPr>
        <w:spacing w:beforeAutospacing="1" w:after="100" w:afterAutospacing="1" w:line="360" w:lineRule="auto"/>
        <w:rPr>
          <w:rFonts w:cstheme="minorHAnsi"/>
          <w:szCs w:val="24"/>
          <w:lang w:val="en-GB"/>
        </w:rPr>
      </w:pPr>
      <w:r w:rsidRPr="00764F24">
        <w:rPr>
          <w:rFonts w:cstheme="minorHAnsi"/>
          <w:szCs w:val="24"/>
          <w:lang w:val="en-GB"/>
        </w:rPr>
        <w:t xml:space="preserve">This is a long-running annual cross-sectional survey of over 24,000 households. It is used by government and others to describe the income distribution and numbers of households below various income lines. It also collects details about </w:t>
      </w:r>
      <w:r w:rsidR="00AC6FB1" w:rsidRPr="00764F24">
        <w:rPr>
          <w:rFonts w:cstheme="minorHAnsi"/>
          <w:szCs w:val="24"/>
          <w:lang w:val="en-GB"/>
        </w:rPr>
        <w:t xml:space="preserve">bank </w:t>
      </w:r>
      <w:r w:rsidRPr="00764F24">
        <w:rPr>
          <w:rFonts w:cstheme="minorHAnsi"/>
          <w:szCs w:val="24"/>
          <w:lang w:val="en-GB"/>
        </w:rPr>
        <w:t>accounts held</w:t>
      </w:r>
      <w:r w:rsidRPr="00764F24">
        <w:rPr>
          <w:rStyle w:val="FootnoteReference"/>
          <w:rFonts w:cstheme="minorHAnsi"/>
          <w:szCs w:val="24"/>
          <w:lang w:val="en-GB"/>
        </w:rPr>
        <w:footnoteReference w:id="100"/>
      </w:r>
      <w:r w:rsidR="00AC6FB1" w:rsidRPr="00764F24">
        <w:rPr>
          <w:rFonts w:cstheme="minorHAnsi"/>
          <w:szCs w:val="24"/>
          <w:lang w:val="en-GB"/>
        </w:rPr>
        <w:t>, and those in arrears on particular household commitments.</w:t>
      </w:r>
      <w:r w:rsidRPr="00764F24">
        <w:rPr>
          <w:rFonts w:cstheme="minorHAnsi"/>
          <w:szCs w:val="24"/>
          <w:lang w:val="en-GB"/>
        </w:rPr>
        <w:t xml:space="preserve"> These data are Crown Copyright.</w:t>
      </w:r>
    </w:p>
    <w:p w14:paraId="5DB8D55A" w14:textId="77777777" w:rsidR="00D32B61" w:rsidRPr="00764F24" w:rsidRDefault="00D32B61" w:rsidP="00D86B69">
      <w:pPr>
        <w:pStyle w:val="ListParagraph"/>
        <w:keepNext/>
        <w:numPr>
          <w:ilvl w:val="1"/>
          <w:numId w:val="7"/>
        </w:numPr>
        <w:spacing w:beforeAutospacing="1" w:after="100" w:afterAutospacing="1" w:line="360" w:lineRule="auto"/>
        <w:ind w:left="1434" w:hanging="357"/>
        <w:rPr>
          <w:rFonts w:cstheme="minorHAnsi"/>
          <w:szCs w:val="24"/>
          <w:lang w:val="en-GB"/>
        </w:rPr>
      </w:pPr>
      <w:r w:rsidRPr="00764F24">
        <w:rPr>
          <w:rFonts w:cstheme="minorHAnsi"/>
          <w:szCs w:val="24"/>
          <w:lang w:val="en-GB"/>
        </w:rPr>
        <w:lastRenderedPageBreak/>
        <w:t>Labour Force Survey (LFS)</w:t>
      </w:r>
    </w:p>
    <w:p w14:paraId="08CA8E11" w14:textId="1219A4CE" w:rsidR="00D32B61" w:rsidRPr="00764F24" w:rsidRDefault="00D32B61" w:rsidP="00D86B69">
      <w:pPr>
        <w:keepNext/>
        <w:spacing w:beforeAutospacing="1" w:after="100" w:afterAutospacing="1" w:line="360" w:lineRule="auto"/>
        <w:rPr>
          <w:rFonts w:cstheme="minorHAnsi"/>
          <w:szCs w:val="24"/>
          <w:lang w:val="en-GB"/>
        </w:rPr>
      </w:pPr>
      <w:r w:rsidRPr="00764F24">
        <w:rPr>
          <w:rFonts w:cstheme="minorHAnsi"/>
          <w:szCs w:val="24"/>
          <w:lang w:val="en-GB"/>
        </w:rPr>
        <w:t>Each quarter around 120,000 individuals are included in the LFS. The emphasis is on collecting labour market data, including those who are unemployed</w:t>
      </w:r>
      <w:r w:rsidRPr="00764F24">
        <w:rPr>
          <w:rStyle w:val="FootnoteReference"/>
          <w:rFonts w:cstheme="minorHAnsi"/>
          <w:szCs w:val="24"/>
          <w:lang w:val="en-GB"/>
        </w:rPr>
        <w:footnoteReference w:id="101"/>
      </w:r>
      <w:r w:rsidRPr="00764F24">
        <w:rPr>
          <w:rFonts w:cstheme="minorHAnsi"/>
          <w:szCs w:val="24"/>
          <w:lang w:val="en-GB"/>
        </w:rPr>
        <w:t>. These data are Crown Copyright.</w:t>
      </w:r>
    </w:p>
    <w:p w14:paraId="12196506" w14:textId="66A8C9C7" w:rsidR="005B667F" w:rsidRPr="00764F24" w:rsidRDefault="00271BED" w:rsidP="00D86B69">
      <w:pPr>
        <w:pStyle w:val="ListParagraph"/>
        <w:keepNext/>
        <w:numPr>
          <w:ilvl w:val="1"/>
          <w:numId w:val="7"/>
        </w:numPr>
        <w:spacing w:beforeAutospacing="1" w:after="100" w:afterAutospacing="1" w:line="360" w:lineRule="auto"/>
        <w:ind w:left="1434" w:hanging="357"/>
        <w:rPr>
          <w:rFonts w:cstheme="minorHAnsi"/>
          <w:szCs w:val="24"/>
          <w:lang w:val="en-GB"/>
        </w:rPr>
      </w:pPr>
      <w:r w:rsidRPr="00764F24">
        <w:rPr>
          <w:rFonts w:cstheme="minorHAnsi"/>
          <w:szCs w:val="24"/>
          <w:lang w:val="en-GB"/>
        </w:rPr>
        <w:t>U</w:t>
      </w:r>
      <w:r w:rsidR="005B667F" w:rsidRPr="00764F24">
        <w:rPr>
          <w:rFonts w:cstheme="minorHAnsi"/>
          <w:szCs w:val="24"/>
          <w:lang w:val="en-GB"/>
        </w:rPr>
        <w:t xml:space="preserve">nderstanding Society </w:t>
      </w:r>
    </w:p>
    <w:p w14:paraId="73455D16" w14:textId="16D3FAEE" w:rsidR="005B667F" w:rsidRPr="00764F24" w:rsidRDefault="00DA226E" w:rsidP="00D86B69">
      <w:pPr>
        <w:keepNext/>
        <w:spacing w:beforeAutospacing="1" w:after="100" w:afterAutospacing="1" w:line="360" w:lineRule="auto"/>
        <w:rPr>
          <w:rFonts w:cstheme="minorHAnsi"/>
          <w:szCs w:val="24"/>
          <w:lang w:val="en-GB"/>
        </w:rPr>
      </w:pPr>
      <w:r w:rsidRPr="00764F24">
        <w:rPr>
          <w:rFonts w:cstheme="minorHAnsi"/>
          <w:szCs w:val="24"/>
          <w:lang w:val="en-GB"/>
        </w:rPr>
        <w:t xml:space="preserve">This is a very large household panel study, including over </w:t>
      </w:r>
      <w:r w:rsidR="005B667F" w:rsidRPr="00764F24">
        <w:rPr>
          <w:rFonts w:cstheme="minorHAnsi"/>
          <w:szCs w:val="24"/>
          <w:lang w:val="en-GB"/>
        </w:rPr>
        <w:t xml:space="preserve">40,000 households </w:t>
      </w:r>
      <w:r w:rsidRPr="00764F24">
        <w:rPr>
          <w:rFonts w:cstheme="minorHAnsi"/>
          <w:szCs w:val="24"/>
          <w:lang w:val="en-GB"/>
        </w:rPr>
        <w:t>each wave. It follows on from a similar panel survey (the British Household Panel Survey)</w:t>
      </w:r>
      <w:r w:rsidRPr="00764F24">
        <w:rPr>
          <w:rStyle w:val="FootnoteReference"/>
          <w:rFonts w:cstheme="minorHAnsi"/>
          <w:szCs w:val="24"/>
          <w:lang w:val="en-GB"/>
        </w:rPr>
        <w:footnoteReference w:id="102"/>
      </w:r>
      <w:r w:rsidR="005B667F" w:rsidRPr="00764F24">
        <w:rPr>
          <w:rFonts w:cstheme="minorHAnsi"/>
          <w:szCs w:val="24"/>
          <w:lang w:val="en-GB"/>
        </w:rPr>
        <w:t>.</w:t>
      </w:r>
    </w:p>
    <w:p w14:paraId="471100E4" w14:textId="7D0114FF" w:rsidR="00487AEF" w:rsidRPr="00764F24" w:rsidRDefault="00D32B61" w:rsidP="00D86B69">
      <w:pPr>
        <w:pStyle w:val="ListParagraph"/>
        <w:numPr>
          <w:ilvl w:val="1"/>
          <w:numId w:val="7"/>
        </w:numPr>
        <w:spacing w:beforeAutospacing="1" w:after="100" w:afterAutospacing="1" w:line="360" w:lineRule="auto"/>
        <w:ind w:left="1434" w:hanging="357"/>
        <w:rPr>
          <w:rFonts w:cstheme="minorHAnsi"/>
          <w:szCs w:val="24"/>
          <w:lang w:val="en-GB"/>
        </w:rPr>
      </w:pPr>
      <w:r w:rsidRPr="00764F24">
        <w:rPr>
          <w:rFonts w:cstheme="minorHAnsi"/>
          <w:szCs w:val="24"/>
          <w:lang w:val="en-GB"/>
        </w:rPr>
        <w:t>Older surveys</w:t>
      </w:r>
    </w:p>
    <w:p w14:paraId="725BF3E1" w14:textId="046F558B" w:rsidR="00487AEF" w:rsidRPr="00764F24" w:rsidRDefault="00517CC8" w:rsidP="00D86B69">
      <w:pPr>
        <w:spacing w:beforeAutospacing="1" w:after="100" w:afterAutospacing="1" w:line="360" w:lineRule="auto"/>
        <w:rPr>
          <w:rFonts w:cstheme="minorHAnsi"/>
          <w:szCs w:val="24"/>
          <w:lang w:val="en-GB"/>
        </w:rPr>
      </w:pPr>
      <w:r w:rsidRPr="00764F24">
        <w:rPr>
          <w:rFonts w:cstheme="minorHAnsi"/>
          <w:szCs w:val="24"/>
          <w:lang w:val="en-GB"/>
        </w:rPr>
        <w:t>There are a number of sources of data on credit and debt using different methodologies, making trends over time difficult to measure</w:t>
      </w:r>
      <w:r w:rsidR="00BF7FBA" w:rsidRPr="00764F24">
        <w:rPr>
          <w:rFonts w:cstheme="minorHAnsi"/>
          <w:szCs w:val="24"/>
          <w:lang w:val="en-GB"/>
        </w:rPr>
        <w:t xml:space="preserve">. </w:t>
      </w:r>
      <w:r w:rsidRPr="00764F24">
        <w:rPr>
          <w:rFonts w:cstheme="minorHAnsi"/>
          <w:szCs w:val="24"/>
          <w:lang w:val="en-GB"/>
        </w:rPr>
        <w:t>Many of these sources are also considerably out of date</w:t>
      </w:r>
      <w:r w:rsidR="00BF7FBA" w:rsidRPr="00764F24">
        <w:rPr>
          <w:rFonts w:cstheme="minorHAnsi"/>
          <w:szCs w:val="24"/>
          <w:lang w:val="en-GB"/>
        </w:rPr>
        <w:t xml:space="preserve">. </w:t>
      </w:r>
      <w:r w:rsidRPr="00764F24">
        <w:rPr>
          <w:rFonts w:cstheme="minorHAnsi"/>
          <w:szCs w:val="24"/>
          <w:lang w:val="en-GB"/>
        </w:rPr>
        <w:t>The Department of Trade and Industry/Business Innovation and Skills carried out a series of studies on over-indebtedness beginning with a detailed survey by MORI in 2002, which involved 1,647 face-to-face interviews with the head of household or their spouse/partner</w:t>
      </w:r>
      <w:r w:rsidR="00BF7FBA" w:rsidRPr="00764F24">
        <w:rPr>
          <w:rFonts w:cstheme="minorHAnsi"/>
          <w:szCs w:val="24"/>
          <w:lang w:val="en-GB"/>
        </w:rPr>
        <w:t xml:space="preserve">. </w:t>
      </w:r>
      <w:r w:rsidRPr="00764F24">
        <w:rPr>
          <w:rFonts w:cstheme="minorHAnsi"/>
          <w:szCs w:val="24"/>
          <w:lang w:val="en-GB"/>
        </w:rPr>
        <w:t>A second survey was also carried out in 2004 by MORI (the Financial Services Survey, or MFS) which collected data from almost 10,000 individuals. Results for 2006 were based on unweighted ONS data collected for 7,443 households interviewed between July and December 2006</w:t>
      </w:r>
      <w:r w:rsidR="00BF7FBA" w:rsidRPr="00764F24">
        <w:rPr>
          <w:rFonts w:cstheme="minorHAnsi"/>
          <w:szCs w:val="24"/>
          <w:lang w:val="en-GB"/>
        </w:rPr>
        <w:t>.</w:t>
      </w:r>
      <w:r w:rsidR="008D2686" w:rsidRPr="00764F24">
        <w:rPr>
          <w:rFonts w:cstheme="minorHAnsi"/>
          <w:szCs w:val="24"/>
          <w:lang w:val="en-GB"/>
        </w:rPr>
        <w:t xml:space="preserve"> </w:t>
      </w:r>
      <w:r w:rsidRPr="00764F24">
        <w:rPr>
          <w:rFonts w:cstheme="minorHAnsi"/>
          <w:szCs w:val="24"/>
          <w:lang w:val="en-GB"/>
        </w:rPr>
        <w:t xml:space="preserve">In particular, the results for the MFS in 2004 are not directly comparable with the other results available, as they are based on responses for individuals rather than households or family units. </w:t>
      </w:r>
      <w:r w:rsidR="00487AEF" w:rsidRPr="00764F24">
        <w:rPr>
          <w:rFonts w:cstheme="minorHAnsi"/>
          <w:szCs w:val="24"/>
          <w:lang w:val="en-GB"/>
        </w:rPr>
        <w:t xml:space="preserve">BIS </w:t>
      </w:r>
      <w:r w:rsidRPr="00764F24">
        <w:rPr>
          <w:rFonts w:cstheme="minorHAnsi"/>
          <w:szCs w:val="24"/>
          <w:lang w:val="en-GB"/>
        </w:rPr>
        <w:t xml:space="preserve">then </w:t>
      </w:r>
      <w:r w:rsidR="00487AEF" w:rsidRPr="00764F24">
        <w:rPr>
          <w:rFonts w:cstheme="minorHAnsi"/>
          <w:szCs w:val="24"/>
          <w:lang w:val="en-GB"/>
        </w:rPr>
        <w:t>published a report on over-indebtedness in Britain</w:t>
      </w:r>
      <w:r w:rsidR="00487AEF" w:rsidRPr="00764F24">
        <w:rPr>
          <w:rStyle w:val="FootnoteReference"/>
          <w:rFonts w:cstheme="minorHAnsi"/>
          <w:szCs w:val="24"/>
          <w:lang w:val="en-GB"/>
        </w:rPr>
        <w:footnoteReference w:id="103"/>
      </w:r>
      <w:r w:rsidR="00487AEF" w:rsidRPr="00764F24">
        <w:rPr>
          <w:rFonts w:cstheme="minorHAnsi"/>
          <w:szCs w:val="24"/>
          <w:lang w:val="en-GB"/>
        </w:rPr>
        <w:t xml:space="preserve"> based on data from the </w:t>
      </w:r>
      <w:proofErr w:type="spellStart"/>
      <w:r w:rsidR="00487AEF" w:rsidRPr="00764F24">
        <w:rPr>
          <w:rFonts w:cstheme="minorHAnsi"/>
          <w:szCs w:val="24"/>
          <w:lang w:val="en-GB"/>
        </w:rPr>
        <w:t>YouGov</w:t>
      </w:r>
      <w:proofErr w:type="spellEnd"/>
      <w:r w:rsidR="00487AEF" w:rsidRPr="00764F24">
        <w:rPr>
          <w:rFonts w:cstheme="minorHAnsi"/>
          <w:szCs w:val="24"/>
          <w:lang w:val="en-GB"/>
        </w:rPr>
        <w:t xml:space="preserve"> </w:t>
      </w:r>
      <w:proofErr w:type="spellStart"/>
      <w:r w:rsidR="00487AEF" w:rsidRPr="00764F24">
        <w:rPr>
          <w:rFonts w:cstheme="minorHAnsi"/>
          <w:szCs w:val="24"/>
          <w:lang w:val="en-GB"/>
        </w:rPr>
        <w:t>DebtTrack</w:t>
      </w:r>
      <w:proofErr w:type="spellEnd"/>
      <w:r w:rsidR="00487AEF" w:rsidRPr="00764F24">
        <w:rPr>
          <w:rFonts w:cstheme="minorHAnsi"/>
          <w:szCs w:val="24"/>
          <w:lang w:val="en-GB"/>
        </w:rPr>
        <w:t xml:space="preserve"> survey, a series of on-line surveys carried out between July 2008 and July 2009</w:t>
      </w:r>
      <w:r w:rsidRPr="00764F24">
        <w:rPr>
          <w:rFonts w:cstheme="minorHAnsi"/>
          <w:szCs w:val="24"/>
          <w:lang w:val="en-GB"/>
        </w:rPr>
        <w:t xml:space="preserve"> with a sample size </w:t>
      </w:r>
      <w:r w:rsidRPr="00764F24">
        <w:rPr>
          <w:rFonts w:cstheme="minorHAnsi"/>
          <w:szCs w:val="24"/>
          <w:lang w:val="en-GB"/>
        </w:rPr>
        <w:lastRenderedPageBreak/>
        <w:t>of around 3,000</w:t>
      </w:r>
      <w:r w:rsidR="00BF7FBA" w:rsidRPr="00764F24">
        <w:rPr>
          <w:rFonts w:cstheme="minorHAnsi"/>
          <w:szCs w:val="24"/>
          <w:lang w:val="en-GB"/>
        </w:rPr>
        <w:t>.</w:t>
      </w:r>
      <w:r w:rsidR="008D2686" w:rsidRPr="00764F24">
        <w:rPr>
          <w:rFonts w:cstheme="minorHAnsi"/>
          <w:szCs w:val="24"/>
          <w:lang w:val="en-GB"/>
        </w:rPr>
        <w:t xml:space="preserve"> </w:t>
      </w:r>
      <w:r w:rsidR="00487AEF" w:rsidRPr="00764F24">
        <w:rPr>
          <w:rFonts w:cstheme="minorHAnsi"/>
          <w:szCs w:val="24"/>
          <w:lang w:val="en-GB"/>
        </w:rPr>
        <w:t>Another source of data here is the NMG survey for the Bank of England, carried out in 2012</w:t>
      </w:r>
      <w:r w:rsidR="000F75CC" w:rsidRPr="00764F24">
        <w:rPr>
          <w:rFonts w:cstheme="minorHAnsi"/>
          <w:szCs w:val="24"/>
          <w:lang w:val="en-GB"/>
        </w:rPr>
        <w:t>-201</w:t>
      </w:r>
      <w:r w:rsidR="00237120" w:rsidRPr="00764F24">
        <w:rPr>
          <w:rFonts w:cstheme="minorHAnsi"/>
          <w:szCs w:val="24"/>
          <w:lang w:val="en-GB"/>
        </w:rPr>
        <w:t>6</w:t>
      </w:r>
      <w:r w:rsidR="00487AEF" w:rsidRPr="00764F24">
        <w:rPr>
          <w:rStyle w:val="FootnoteReference"/>
          <w:rFonts w:cstheme="minorHAnsi"/>
          <w:szCs w:val="24"/>
          <w:lang w:val="en-GB"/>
        </w:rPr>
        <w:footnoteReference w:id="104"/>
      </w:r>
      <w:r w:rsidR="000F75CC" w:rsidRPr="00764F24">
        <w:rPr>
          <w:rFonts w:cstheme="minorHAnsi"/>
          <w:szCs w:val="24"/>
          <w:lang w:val="en-GB"/>
        </w:rPr>
        <w:t xml:space="preserve">, </w:t>
      </w:r>
      <w:r w:rsidR="000F75CC" w:rsidRPr="00764F24">
        <w:rPr>
          <w:rStyle w:val="FootnoteReference"/>
          <w:rFonts w:cstheme="minorHAnsi"/>
          <w:szCs w:val="24"/>
          <w:lang w:val="en-GB"/>
        </w:rPr>
        <w:footnoteReference w:id="105"/>
      </w:r>
      <w:r w:rsidR="008D2686" w:rsidRPr="00764F24">
        <w:rPr>
          <w:rFonts w:cstheme="minorHAnsi"/>
          <w:szCs w:val="24"/>
          <w:lang w:val="en-GB"/>
        </w:rPr>
        <w:t xml:space="preserve"> </w:t>
      </w:r>
    </w:p>
    <w:p w14:paraId="647ECEC6" w14:textId="1893B2F8" w:rsidR="005B667F" w:rsidRPr="00764F24" w:rsidRDefault="005B667F" w:rsidP="00D86B69">
      <w:pPr>
        <w:spacing w:beforeAutospacing="1" w:after="100" w:afterAutospacing="1" w:line="360" w:lineRule="auto"/>
        <w:rPr>
          <w:rFonts w:cstheme="minorHAnsi"/>
          <w:szCs w:val="24"/>
          <w:lang w:val="en-GB"/>
        </w:rPr>
      </w:pPr>
      <w:r w:rsidRPr="00764F24">
        <w:rPr>
          <w:rFonts w:cstheme="minorHAnsi"/>
          <w:szCs w:val="24"/>
          <w:lang w:val="en-GB"/>
        </w:rPr>
        <w:t>.</w:t>
      </w:r>
    </w:p>
    <w:sectPr w:rsidR="005B667F" w:rsidRPr="00764F24" w:rsidSect="00952763">
      <w:headerReference w:type="default" r:id="rId56"/>
      <w:footerReference w:type="default" r:id="rId57"/>
      <w:pgSz w:w="11906" w:h="16838"/>
      <w:pgMar w:top="1440" w:right="1440" w:bottom="1440"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09A44" w14:textId="77777777" w:rsidR="00814E41" w:rsidRDefault="00814E41" w:rsidP="00E65AA5">
      <w:r>
        <w:separator/>
      </w:r>
    </w:p>
  </w:endnote>
  <w:endnote w:type="continuationSeparator" w:id="0">
    <w:p w14:paraId="637D9FF3" w14:textId="77777777" w:rsidR="00814E41" w:rsidRDefault="00814E41" w:rsidP="00E6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358AA" w14:textId="1B024513" w:rsidR="004C5F21" w:rsidRDefault="004C5F21">
    <w:pPr>
      <w:pStyle w:val="Footer"/>
      <w:jc w:val="center"/>
    </w:pPr>
  </w:p>
  <w:p w14:paraId="6300A551" w14:textId="77777777" w:rsidR="004C5F21" w:rsidRDefault="004C5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65522"/>
      <w:docPartObj>
        <w:docPartGallery w:val="Page Numbers (Bottom of Page)"/>
        <w:docPartUnique/>
      </w:docPartObj>
    </w:sdtPr>
    <w:sdtEndPr>
      <w:rPr>
        <w:noProof/>
      </w:rPr>
    </w:sdtEndPr>
    <w:sdtContent>
      <w:p w14:paraId="02824F76" w14:textId="730256F3" w:rsidR="004C5F21" w:rsidRDefault="004C5F21">
        <w:pPr>
          <w:pStyle w:val="Footer"/>
          <w:jc w:val="center"/>
        </w:pPr>
        <w:r>
          <w:fldChar w:fldCharType="begin"/>
        </w:r>
        <w:r>
          <w:instrText xml:space="preserve"> PAGE   \* MERGEFORMAT </w:instrText>
        </w:r>
        <w:r>
          <w:fldChar w:fldCharType="separate"/>
        </w:r>
        <w:r w:rsidR="00BA1B78">
          <w:rPr>
            <w:noProof/>
          </w:rPr>
          <w:t>vii</w:t>
        </w:r>
        <w:r>
          <w:rPr>
            <w:noProof/>
          </w:rPr>
          <w:fldChar w:fldCharType="end"/>
        </w:r>
      </w:p>
    </w:sdtContent>
  </w:sdt>
  <w:p w14:paraId="1394399A" w14:textId="77777777" w:rsidR="004C5F21" w:rsidRDefault="004C5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538935"/>
      <w:docPartObj>
        <w:docPartGallery w:val="Page Numbers (Bottom of Page)"/>
        <w:docPartUnique/>
      </w:docPartObj>
    </w:sdtPr>
    <w:sdtEndPr>
      <w:rPr>
        <w:noProof/>
      </w:rPr>
    </w:sdtEndPr>
    <w:sdtContent>
      <w:p w14:paraId="4BAC0376" w14:textId="5C5A41C4" w:rsidR="004C5F21" w:rsidRDefault="004C5F21">
        <w:pPr>
          <w:pStyle w:val="Footer"/>
          <w:jc w:val="center"/>
        </w:pPr>
        <w:r>
          <w:fldChar w:fldCharType="begin"/>
        </w:r>
        <w:r>
          <w:instrText xml:space="preserve"> PAGE   \* MERGEFORMAT </w:instrText>
        </w:r>
        <w:r>
          <w:fldChar w:fldCharType="separate"/>
        </w:r>
        <w:r w:rsidR="007B4226">
          <w:rPr>
            <w:noProof/>
          </w:rPr>
          <w:t>10</w:t>
        </w:r>
        <w:r>
          <w:rPr>
            <w:noProof/>
          </w:rPr>
          <w:fldChar w:fldCharType="end"/>
        </w:r>
      </w:p>
    </w:sdtContent>
  </w:sdt>
  <w:p w14:paraId="210DA554" w14:textId="77777777" w:rsidR="004C5F21" w:rsidRDefault="004C5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03DCB" w14:textId="77777777" w:rsidR="00814E41" w:rsidRDefault="00814E41" w:rsidP="00E65AA5">
      <w:r>
        <w:separator/>
      </w:r>
    </w:p>
  </w:footnote>
  <w:footnote w:type="continuationSeparator" w:id="0">
    <w:p w14:paraId="55DBFFE4" w14:textId="77777777" w:rsidR="00814E41" w:rsidRDefault="00814E41" w:rsidP="00E65AA5">
      <w:r>
        <w:continuationSeparator/>
      </w:r>
    </w:p>
  </w:footnote>
  <w:footnote w:id="1">
    <w:p w14:paraId="5F5105E6" w14:textId="1640CCC6" w:rsidR="004C5F21" w:rsidRPr="008E2B45" w:rsidRDefault="004C5F21" w:rsidP="00E641E8">
      <w:pPr>
        <w:pStyle w:val="FootnoteText"/>
        <w:rPr>
          <w:lang w:val="en-GB"/>
        </w:rPr>
      </w:pPr>
      <w:r w:rsidRPr="008E2B45">
        <w:rPr>
          <w:rStyle w:val="FootnoteReference"/>
          <w:lang w:val="en-GB"/>
        </w:rPr>
        <w:footnoteRef/>
      </w:r>
      <w:r w:rsidRPr="008E2B45">
        <w:rPr>
          <w:lang w:val="en-GB"/>
        </w:rPr>
        <w:t xml:space="preserve"> Kempson, E and Collard, S (2012) </w:t>
      </w:r>
      <w:r w:rsidRPr="008E2B45">
        <w:rPr>
          <w:i/>
          <w:lang w:val="en-GB"/>
        </w:rPr>
        <w:t>Developing a vision for financial inclusion</w:t>
      </w:r>
      <w:r w:rsidRPr="008E2B45">
        <w:rPr>
          <w:lang w:val="en-GB"/>
        </w:rPr>
        <w:t>, London: Friends Provident Foundation</w:t>
      </w:r>
      <w:r>
        <w:rPr>
          <w:lang w:val="en-GB"/>
        </w:rPr>
        <w:t>.</w:t>
      </w:r>
    </w:p>
  </w:footnote>
  <w:footnote w:id="2">
    <w:p w14:paraId="425C43A9" w14:textId="200D9012" w:rsidR="004C5F21" w:rsidRPr="008E2B45" w:rsidRDefault="004C5F21" w:rsidP="00E641E8">
      <w:pPr>
        <w:pStyle w:val="FootnoteText"/>
        <w:rPr>
          <w:lang w:val="en-GB"/>
        </w:rPr>
      </w:pPr>
      <w:r w:rsidRPr="008E2B45">
        <w:rPr>
          <w:rStyle w:val="FootnoteReference"/>
          <w:lang w:val="en-GB"/>
        </w:rPr>
        <w:footnoteRef/>
      </w:r>
      <w:r w:rsidRPr="008E2B45">
        <w:rPr>
          <w:lang w:val="en-GB"/>
        </w:rPr>
        <w:t xml:space="preserve"> The MIS team works at the Centre for Research into Social Policy at Loughborough University, see </w:t>
      </w:r>
      <w:hyperlink r:id="rId1" w:history="1">
        <w:r w:rsidRPr="008E2B45">
          <w:rPr>
            <w:rStyle w:val="Hyperlink"/>
            <w:lang w:val="en-GB"/>
          </w:rPr>
          <w:t>http://www.minimumincomestandard.org/index.htm</w:t>
        </w:r>
      </w:hyperlink>
      <w:r w:rsidRPr="008E2B45">
        <w:rPr>
          <w:lang w:val="en-GB"/>
        </w:rPr>
        <w:t xml:space="preserve"> </w:t>
      </w:r>
    </w:p>
  </w:footnote>
  <w:footnote w:id="3">
    <w:p w14:paraId="5A0AC6A1" w14:textId="58144C78" w:rsidR="004C5F21" w:rsidRPr="008E2B45" w:rsidRDefault="004C5F21" w:rsidP="000C2D17">
      <w:pPr>
        <w:pStyle w:val="FootnoteText"/>
        <w:rPr>
          <w:lang w:val="en-GB"/>
        </w:rPr>
      </w:pPr>
      <w:r w:rsidRPr="008E2B45">
        <w:rPr>
          <w:rStyle w:val="FootnoteReference"/>
          <w:lang w:val="en-GB"/>
        </w:rPr>
        <w:footnoteRef/>
      </w:r>
      <w:r w:rsidRPr="008E2B45">
        <w:rPr>
          <w:lang w:val="en-GB"/>
        </w:rPr>
        <w:t xml:space="preserve"> Rowe, B., De Ionno, D., Peters, D. and Wright, H. (2016) </w:t>
      </w:r>
      <w:r w:rsidRPr="008E2B45">
        <w:rPr>
          <w:i/>
          <w:iCs/>
          <w:lang w:val="en-GB"/>
        </w:rPr>
        <w:t>Mind the gap. Consumer research exploring experiences of financial exclusion across the UK</w:t>
      </w:r>
      <w:r w:rsidRPr="008E2B45">
        <w:rPr>
          <w:lang w:val="en-GB"/>
        </w:rPr>
        <w:t xml:space="preserve">. London: ESRO/FCA. Available at: </w:t>
      </w:r>
      <w:hyperlink r:id="rId2" w:history="1">
        <w:r w:rsidRPr="005E4A2A">
          <w:rPr>
            <w:rStyle w:val="Hyperlink"/>
            <w:lang w:val="en-GB"/>
          </w:rPr>
          <w:t>https://www.fca.org.uk/static/documents/research/vulnerability-exposed-research.pdf</w:t>
        </w:r>
      </w:hyperlink>
      <w:r>
        <w:rPr>
          <w:lang w:val="en-GB"/>
        </w:rPr>
        <w:t xml:space="preserve">. </w:t>
      </w:r>
    </w:p>
  </w:footnote>
  <w:footnote w:id="4">
    <w:p w14:paraId="6A72E999" w14:textId="77777777" w:rsidR="004C5F21" w:rsidRPr="008E2B45" w:rsidRDefault="004C5F21">
      <w:pPr>
        <w:pStyle w:val="FootnoteText"/>
        <w:rPr>
          <w:lang w:val="en-GB"/>
        </w:rPr>
      </w:pPr>
      <w:r w:rsidRPr="008E2B45">
        <w:rPr>
          <w:rStyle w:val="FootnoteReference"/>
          <w:lang w:val="en-GB"/>
        </w:rPr>
        <w:footnoteRef/>
      </w:r>
      <w:r w:rsidRPr="008E2B45">
        <w:rPr>
          <w:lang w:val="en-GB"/>
        </w:rPr>
        <w:t xml:space="preserve"> See, for example: Berry, C (2014) ‘Citizenship in a financialised society: financial inclusion and the state before and after the crash’ </w:t>
      </w:r>
      <w:r w:rsidRPr="008E2B45">
        <w:rPr>
          <w:i/>
          <w:lang w:val="en-GB"/>
        </w:rPr>
        <w:t>Policy &amp; Politics</w:t>
      </w:r>
      <w:r w:rsidRPr="008E2B45">
        <w:rPr>
          <w:lang w:val="en-GB"/>
        </w:rPr>
        <w:t xml:space="preserve">, 1-17; Finlayson, A (2009) ‘Financialisation, financial literacy and asset-based welfare, </w:t>
      </w:r>
      <w:r w:rsidRPr="008E2B45">
        <w:rPr>
          <w:i/>
          <w:lang w:val="en-GB"/>
        </w:rPr>
        <w:t>British Journal of Politics and International Relations</w:t>
      </w:r>
      <w:r w:rsidRPr="008E2B45">
        <w:rPr>
          <w:lang w:val="en-GB"/>
        </w:rPr>
        <w:t xml:space="preserve">, 11, 3, 400-21; Leyshon, A and Thrift, N (2009) ‘The capitalisation of almost everything: the future of finance and capitalism, </w:t>
      </w:r>
      <w:r w:rsidRPr="008E2B45">
        <w:rPr>
          <w:i/>
          <w:lang w:val="en-GB"/>
        </w:rPr>
        <w:t>Theory, Culture and Society</w:t>
      </w:r>
      <w:r w:rsidRPr="008E2B45">
        <w:rPr>
          <w:lang w:val="en-GB"/>
        </w:rPr>
        <w:t>, 24, (7-8), 97-115</w:t>
      </w:r>
    </w:p>
  </w:footnote>
  <w:footnote w:id="5">
    <w:p w14:paraId="55788DFD" w14:textId="4726A696" w:rsidR="004C5F21" w:rsidRPr="008E2B45" w:rsidRDefault="004C5F21">
      <w:pPr>
        <w:pStyle w:val="FootnoteText"/>
        <w:rPr>
          <w:lang w:val="en-GB"/>
        </w:rPr>
      </w:pPr>
      <w:r w:rsidRPr="008E2B45">
        <w:rPr>
          <w:rStyle w:val="FootnoteReference"/>
          <w:lang w:val="en-GB"/>
        </w:rPr>
        <w:footnoteRef/>
      </w:r>
      <w:r w:rsidRPr="008E2B45">
        <w:rPr>
          <w:lang w:val="en-GB"/>
        </w:rPr>
        <w:t xml:space="preserve"> See Rowlingson, K and McKay, S (2014) </w:t>
      </w:r>
      <w:r w:rsidRPr="008E2B45">
        <w:rPr>
          <w:i/>
          <w:lang w:val="en-GB"/>
        </w:rPr>
        <w:t>Financial inclusion annual monitoring report 2014</w:t>
      </w:r>
      <w:r w:rsidRPr="008E2B45">
        <w:rPr>
          <w:lang w:val="en-GB"/>
        </w:rPr>
        <w:t>, Birmingham: University of Birmingham</w:t>
      </w:r>
    </w:p>
  </w:footnote>
  <w:footnote w:id="6">
    <w:p w14:paraId="0CEC02F9" w14:textId="77777777" w:rsidR="004C5F21" w:rsidRPr="008E2B45" w:rsidRDefault="004C5F21">
      <w:pPr>
        <w:pStyle w:val="FootnoteText"/>
        <w:rPr>
          <w:lang w:val="en-GB"/>
        </w:rPr>
      </w:pPr>
      <w:r w:rsidRPr="008E2B45">
        <w:rPr>
          <w:rStyle w:val="FootnoteReference"/>
          <w:lang w:val="en-GB"/>
        </w:rPr>
        <w:footnoteRef/>
      </w:r>
      <w:r w:rsidRPr="008E2B45">
        <w:rPr>
          <w:lang w:val="en-GB"/>
        </w:rPr>
        <w:t xml:space="preserve"> See Appleyard, L (2015) </w:t>
      </w:r>
      <w:r w:rsidRPr="008E2B45">
        <w:rPr>
          <w:i/>
          <w:lang w:val="en-GB"/>
        </w:rPr>
        <w:t>Financial inclusion: review of Coalition Government policies 2010-2015</w:t>
      </w:r>
      <w:r w:rsidRPr="008E2B45">
        <w:rPr>
          <w:lang w:val="en-GB"/>
        </w:rPr>
        <w:t>, Birmingham: University of Birmingham</w:t>
      </w:r>
    </w:p>
  </w:footnote>
  <w:footnote w:id="7">
    <w:p w14:paraId="553AB8B0" w14:textId="77777777" w:rsidR="004C5F21" w:rsidRPr="008E2B45" w:rsidRDefault="004C5F21">
      <w:pPr>
        <w:pStyle w:val="FootnoteText"/>
        <w:rPr>
          <w:lang w:val="en-GB"/>
        </w:rPr>
      </w:pPr>
      <w:r w:rsidRPr="008E2B45">
        <w:rPr>
          <w:rStyle w:val="FootnoteReference"/>
          <w:lang w:val="en-GB"/>
        </w:rPr>
        <w:footnoteRef/>
      </w:r>
      <w:r w:rsidRPr="008E2B45">
        <w:rPr>
          <w:lang w:val="en-GB"/>
        </w:rPr>
        <w:t xml:space="preserve"> See Gardner, J and Rowlingson, K (2015) ‘High cost credit and welfare reform’, </w:t>
      </w:r>
      <w:r w:rsidRPr="008E2B45">
        <w:rPr>
          <w:i/>
          <w:lang w:val="en-GB"/>
        </w:rPr>
        <w:t>In Defence of Welfare II</w:t>
      </w:r>
      <w:r w:rsidRPr="008E2B45">
        <w:rPr>
          <w:lang w:val="en-GB"/>
        </w:rPr>
        <w:t xml:space="preserve"> </w:t>
      </w:r>
      <w:hyperlink r:id="rId3" w:history="1">
        <w:r w:rsidRPr="008E2B45">
          <w:rPr>
            <w:rStyle w:val="Hyperlink"/>
            <w:lang w:val="en-GB"/>
          </w:rPr>
          <w:t>http://www.social-policy.org.uk/wordpress/wp-content/uploads/2015/04/08_gardner1.pdf</w:t>
        </w:r>
      </w:hyperlink>
      <w:r w:rsidRPr="008E2B45">
        <w:rPr>
          <w:lang w:val="en-GB"/>
        </w:rPr>
        <w:t xml:space="preserve"> </w:t>
      </w:r>
    </w:p>
  </w:footnote>
  <w:footnote w:id="8">
    <w:p w14:paraId="48CC148C" w14:textId="77777777" w:rsidR="004C5F21" w:rsidRPr="008E2B45" w:rsidRDefault="004C5F21">
      <w:pPr>
        <w:pStyle w:val="FootnoteText"/>
        <w:rPr>
          <w:lang w:val="en-GB"/>
        </w:rPr>
      </w:pPr>
      <w:r w:rsidRPr="008E2B45">
        <w:rPr>
          <w:rStyle w:val="FootnoteReference"/>
          <w:lang w:val="en-GB"/>
        </w:rPr>
        <w:footnoteRef/>
      </w:r>
      <w:r w:rsidRPr="008E2B45">
        <w:rPr>
          <w:lang w:val="en-GB"/>
        </w:rPr>
        <w:t xml:space="preserve"> Financial Inclusion Commission (2015) </w:t>
      </w:r>
      <w:r w:rsidRPr="008E2B45">
        <w:rPr>
          <w:i/>
          <w:lang w:val="en-GB"/>
        </w:rPr>
        <w:t>Financial inclusion: improving the financial health of the nation</w:t>
      </w:r>
    </w:p>
  </w:footnote>
  <w:footnote w:id="9">
    <w:p w14:paraId="583D2C2E" w14:textId="5AFA7443" w:rsidR="004C5F21" w:rsidRPr="008E2B45" w:rsidRDefault="004C5F21">
      <w:pPr>
        <w:pStyle w:val="FootnoteText"/>
        <w:rPr>
          <w:lang w:val="en-GB"/>
        </w:rPr>
      </w:pPr>
      <w:r w:rsidRPr="008E2B45">
        <w:rPr>
          <w:vertAlign w:val="superscript"/>
          <w:lang w:val="en-GB"/>
        </w:rPr>
        <w:footnoteRef/>
      </w:r>
      <w:r w:rsidRPr="008E2B45">
        <w:rPr>
          <w:lang w:val="en-GB"/>
        </w:rPr>
        <w:t xml:space="preserve"> McKay, S</w:t>
      </w:r>
      <w:r>
        <w:rPr>
          <w:lang w:val="en-GB"/>
        </w:rPr>
        <w:t>.</w:t>
      </w:r>
      <w:r w:rsidRPr="008E2B45">
        <w:rPr>
          <w:lang w:val="en-GB"/>
        </w:rPr>
        <w:t xml:space="preserve"> and Rowlingson, K</w:t>
      </w:r>
      <w:r>
        <w:rPr>
          <w:lang w:val="en-GB"/>
        </w:rPr>
        <w:t>.</w:t>
      </w:r>
      <w:r w:rsidRPr="008E2B45">
        <w:rPr>
          <w:lang w:val="en-GB"/>
        </w:rPr>
        <w:t xml:space="preserve"> (2015) Social security under the coalition and Conservatives: shredding the system for people of working age; privileging pensioners in Bochel, H</w:t>
      </w:r>
      <w:r>
        <w:rPr>
          <w:lang w:val="en-GB"/>
        </w:rPr>
        <w:t>.</w:t>
      </w:r>
      <w:r w:rsidRPr="008E2B45">
        <w:rPr>
          <w:lang w:val="en-GB"/>
        </w:rPr>
        <w:t xml:space="preserve"> and Powell, M</w:t>
      </w:r>
      <w:r>
        <w:rPr>
          <w:lang w:val="en-GB"/>
        </w:rPr>
        <w:t>.</w:t>
      </w:r>
      <w:r w:rsidRPr="008E2B45">
        <w:rPr>
          <w:lang w:val="en-GB"/>
        </w:rPr>
        <w:t xml:space="preserve"> (eds) </w:t>
      </w:r>
      <w:r w:rsidRPr="008E2B45">
        <w:rPr>
          <w:i/>
          <w:lang w:val="en-GB"/>
        </w:rPr>
        <w:t>The Coalition government and social policy</w:t>
      </w:r>
      <w:r w:rsidRPr="008E2B45">
        <w:rPr>
          <w:lang w:val="en-GB"/>
        </w:rPr>
        <w:t>, Bristol</w:t>
      </w:r>
      <w:r>
        <w:rPr>
          <w:lang w:val="en-GB"/>
        </w:rPr>
        <w:t>:</w:t>
      </w:r>
      <w:r w:rsidRPr="008E2B45">
        <w:rPr>
          <w:lang w:val="en-GB"/>
        </w:rPr>
        <w:t xml:space="preserve"> The Policy Press.</w:t>
      </w:r>
    </w:p>
  </w:footnote>
  <w:footnote w:id="10">
    <w:p w14:paraId="3DD4BB13" w14:textId="6B93C8D6" w:rsidR="004C5F21" w:rsidRPr="008E2B45" w:rsidRDefault="004C5F21">
      <w:pPr>
        <w:pStyle w:val="FootnoteText"/>
        <w:rPr>
          <w:lang w:val="en-GB"/>
        </w:rPr>
      </w:pPr>
      <w:r w:rsidRPr="008E2B45">
        <w:rPr>
          <w:rStyle w:val="FootnoteReference"/>
          <w:lang w:val="en-GB"/>
        </w:rPr>
        <w:footnoteRef/>
      </w:r>
      <w:r w:rsidRPr="008E2B45">
        <w:rPr>
          <w:lang w:val="en-GB"/>
        </w:rPr>
        <w:t xml:space="preserve"> Collard, S, Coppack, M, Lowe, J and Sarkar, S (2016) </w:t>
      </w:r>
      <w:r w:rsidRPr="008E2B45">
        <w:rPr>
          <w:i/>
          <w:iCs/>
          <w:lang w:val="en-GB"/>
        </w:rPr>
        <w:t>Access to financial services in the UK</w:t>
      </w:r>
      <w:r w:rsidRPr="008E2B45">
        <w:rPr>
          <w:lang w:val="en-GB"/>
        </w:rPr>
        <w:t xml:space="preserve">. London: FCA, </w:t>
      </w:r>
      <w:hyperlink r:id="rId4" w:history="1">
        <w:r w:rsidRPr="00DE76F7">
          <w:rPr>
            <w:rStyle w:val="Hyperlink"/>
            <w:lang w:val="en-GB"/>
          </w:rPr>
          <w:t>http://www.fca.org.uk/static/documents/occasional-papers/occasional-paper-17.pdf</w:t>
        </w:r>
      </w:hyperlink>
      <w:r>
        <w:rPr>
          <w:lang w:val="en-GB"/>
        </w:rPr>
        <w:t xml:space="preserve"> </w:t>
      </w:r>
    </w:p>
  </w:footnote>
  <w:footnote w:id="11">
    <w:p w14:paraId="63B503D0" w14:textId="77777777"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5" w:history="1">
        <w:r w:rsidRPr="008E2B45">
          <w:rPr>
            <w:rStyle w:val="Hyperlink"/>
            <w:lang w:val="en-GB"/>
          </w:rPr>
          <w:t>https://www.parliament.uk/financial-exclusion</w:t>
        </w:r>
      </w:hyperlink>
      <w:r w:rsidRPr="008E2B45">
        <w:rPr>
          <w:lang w:val="en-GB"/>
        </w:rPr>
        <w:t xml:space="preserve"> </w:t>
      </w:r>
    </w:p>
  </w:footnote>
  <w:footnote w:id="12">
    <w:p w14:paraId="17F2F7C6" w14:textId="7FAEF3E3" w:rsidR="004C5F21" w:rsidRPr="008E2B45" w:rsidRDefault="004C5F21">
      <w:pPr>
        <w:pStyle w:val="FootnoteText"/>
        <w:rPr>
          <w:lang w:val="en-GB"/>
        </w:rPr>
      </w:pPr>
      <w:r w:rsidRPr="008E2B45">
        <w:rPr>
          <w:rStyle w:val="FootnoteReference"/>
          <w:lang w:val="en-GB"/>
        </w:rPr>
        <w:footnoteRef/>
      </w:r>
      <w:r w:rsidRPr="008E2B45">
        <w:rPr>
          <w:lang w:val="en-GB"/>
        </w:rPr>
        <w:t xml:space="preserve"> HM Treasury (2019) </w:t>
      </w:r>
      <w:r w:rsidRPr="004A71ED">
        <w:rPr>
          <w:i/>
          <w:iCs/>
          <w:lang w:val="en-GB"/>
        </w:rPr>
        <w:t>Financial Inclusion Report 2018-19</w:t>
      </w:r>
      <w:r w:rsidRPr="008E2B45">
        <w:rPr>
          <w:lang w:val="en-GB"/>
        </w:rPr>
        <w:t xml:space="preserve"> </w:t>
      </w:r>
      <w:hyperlink r:id="rId6" w:history="1">
        <w:r w:rsidRPr="008E2B45">
          <w:rPr>
            <w:rStyle w:val="Hyperlink"/>
            <w:lang w:val="en-GB"/>
          </w:rPr>
          <w:t>https://www.gov.uk/government/publications/financial-inclusion-report-2018-to-2019</w:t>
        </w:r>
      </w:hyperlink>
    </w:p>
  </w:footnote>
  <w:footnote w:id="13">
    <w:p w14:paraId="3EC68A10" w14:textId="74315C88" w:rsidR="004C5F21" w:rsidRPr="00686EF1" w:rsidRDefault="004C5F21">
      <w:pPr>
        <w:pStyle w:val="FootnoteText"/>
        <w:rPr>
          <w:lang w:val="en-GB"/>
        </w:rPr>
      </w:pPr>
      <w:r>
        <w:rPr>
          <w:rStyle w:val="FootnoteReference"/>
        </w:rPr>
        <w:footnoteRef/>
      </w:r>
      <w:r>
        <w:t xml:space="preserve"> </w:t>
      </w:r>
      <w:hyperlink r:id="rId7" w:history="1">
        <w:r w:rsidRPr="00DE76F7">
          <w:rPr>
            <w:rStyle w:val="Hyperlink"/>
          </w:rPr>
          <w:t>https://londoneconomics.co.uk/blog/publication/feasibility-study-into-the-viability-of-establishing-a-no-interest-loans-scheme-nils-in-the-uk-march-2020/</w:t>
        </w:r>
      </w:hyperlink>
      <w:r>
        <w:t xml:space="preserve"> </w:t>
      </w:r>
    </w:p>
  </w:footnote>
  <w:footnote w:id="14">
    <w:p w14:paraId="57F42225" w14:textId="5A8D1DB1"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8" w:history="1">
        <w:r w:rsidRPr="004F006C">
          <w:rPr>
            <w:rStyle w:val="Hyperlink"/>
          </w:rPr>
          <w:t>https://www.ons.gov.uk/economy/grossdomesticproductgdp/timeseries/ihyq/qna</w:t>
        </w:r>
      </w:hyperlink>
      <w:r>
        <w:t xml:space="preserve"> </w:t>
      </w:r>
    </w:p>
  </w:footnote>
  <w:footnote w:id="15">
    <w:p w14:paraId="1FEBB365" w14:textId="5BBE2A14" w:rsidR="004C5F21" w:rsidRPr="004526B9" w:rsidRDefault="004C5F21">
      <w:pPr>
        <w:pStyle w:val="FootnoteText"/>
        <w:rPr>
          <w:lang w:val="en-GB"/>
        </w:rPr>
      </w:pPr>
      <w:r>
        <w:rPr>
          <w:rStyle w:val="FootnoteReference"/>
        </w:rPr>
        <w:footnoteRef/>
      </w:r>
      <w:r>
        <w:t xml:space="preserve"> </w:t>
      </w:r>
      <w:hyperlink r:id="rId9" w:history="1">
        <w:r w:rsidRPr="005E4A2A">
          <w:rPr>
            <w:rStyle w:val="Hyperlink"/>
          </w:rPr>
          <w:t>https://www.ons.gov.uk/economy/grossdomesticproductgdp/bulletins/gdpmonthlyestimateuk/july2020</w:t>
        </w:r>
      </w:hyperlink>
      <w:r>
        <w:t xml:space="preserve"> </w:t>
      </w:r>
    </w:p>
  </w:footnote>
  <w:footnote w:id="16">
    <w:p w14:paraId="52176B42" w14:textId="14B2BB84"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10" w:history="1">
        <w:r w:rsidRPr="005E4A2A">
          <w:rPr>
            <w:rStyle w:val="Hyperlink"/>
          </w:rPr>
          <w:t>https://www.ons.gov.uk/economy/inflationandpriceindices/bulletins/consumerpriceinflation/august2020</w:t>
        </w:r>
      </w:hyperlink>
      <w:r>
        <w:t xml:space="preserve"> </w:t>
      </w:r>
    </w:p>
  </w:footnote>
  <w:footnote w:id="17">
    <w:p w14:paraId="48B25D80" w14:textId="7EB67C0F"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11" w:history="1">
        <w:r w:rsidRPr="008E2B45">
          <w:rPr>
            <w:rStyle w:val="Hyperlink"/>
            <w:lang w:val="en-GB"/>
          </w:rPr>
          <w:t>https://www.bankofengland.co.uk/monetary-policy/the-interest-rate-bank-rate</w:t>
        </w:r>
      </w:hyperlink>
      <w:r w:rsidRPr="008E2B45">
        <w:rPr>
          <w:lang w:val="en-GB"/>
        </w:rPr>
        <w:t xml:space="preserve"> </w:t>
      </w:r>
    </w:p>
  </w:footnote>
  <w:footnote w:id="18">
    <w:p w14:paraId="09C98002" w14:textId="2F02CE9E"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12" w:history="1">
        <w:r w:rsidRPr="00DE76F7">
          <w:rPr>
            <w:rStyle w:val="Hyperlink"/>
            <w:lang w:val="en-GB"/>
          </w:rPr>
          <w:t>https://www.ons.gov.uk/employmentandlabourmarket/peopleinwork/employmentandemployeetypes/datasets/employmentunemploymentandeconomicinactivitybyagegroupseasonallyadjusteda05sa</w:t>
        </w:r>
      </w:hyperlink>
      <w:r>
        <w:rPr>
          <w:lang w:val="en-GB"/>
        </w:rPr>
        <w:t xml:space="preserve"> </w:t>
      </w:r>
    </w:p>
  </w:footnote>
  <w:footnote w:id="19">
    <w:p w14:paraId="38BA389A" w14:textId="77777777" w:rsidR="004C5F21" w:rsidRPr="008E2B45" w:rsidRDefault="004C5F21" w:rsidP="00EF6D56">
      <w:pPr>
        <w:pStyle w:val="FootnoteText"/>
        <w:rPr>
          <w:lang w:val="en-GB"/>
        </w:rPr>
      </w:pPr>
      <w:r w:rsidRPr="008E2B45">
        <w:rPr>
          <w:rStyle w:val="FootnoteReference"/>
          <w:lang w:val="en-GB"/>
        </w:rPr>
        <w:footnoteRef/>
      </w:r>
      <w:r w:rsidRPr="008E2B45">
        <w:rPr>
          <w:lang w:val="en-GB"/>
        </w:rPr>
        <w:t xml:space="preserve"> The definition and measurement of underemployment has changed recently and so the precise figures for previous years are different from last year’s report but the broad concept and underlying trends are the same. Basically, underemployed workers are those who are employed but who either wish to work more hours in their current role </w:t>
      </w:r>
      <w:r w:rsidRPr="008E2B45">
        <w:rPr>
          <w:rFonts w:eastAsia="Times New Roman"/>
          <w:color w:val="000000"/>
          <w:lang w:val="en-GB" w:eastAsia="en-GB"/>
        </w:rPr>
        <w:t xml:space="preserve">or who are looking for an additional job or for a replacement job which offers more hours. They must be able to start working extra hours within the next two weeks to be categorized as ‘underemployed’. </w:t>
      </w:r>
    </w:p>
  </w:footnote>
  <w:footnote w:id="20">
    <w:p w14:paraId="5B1A3752" w14:textId="77777777" w:rsidR="004C5F21" w:rsidRPr="008E2B45" w:rsidRDefault="004C5F21" w:rsidP="00EF6D56">
      <w:pPr>
        <w:pStyle w:val="FootnoteText"/>
        <w:rPr>
          <w:lang w:val="en-GB"/>
        </w:rPr>
      </w:pPr>
      <w:r w:rsidRPr="008E2B45">
        <w:rPr>
          <w:rStyle w:val="FootnoteReference"/>
          <w:lang w:val="en-GB"/>
        </w:rPr>
        <w:footnoteRef/>
      </w:r>
      <w:r w:rsidRPr="008E2B45">
        <w:rPr>
          <w:lang w:val="en-GB"/>
        </w:rPr>
        <w:t xml:space="preserve"> </w:t>
      </w:r>
      <w:hyperlink r:id="rId13" w:history="1">
        <w:r w:rsidRPr="008E2B45">
          <w:rPr>
            <w:rStyle w:val="Hyperlink"/>
            <w:lang w:val="en-GB"/>
          </w:rPr>
          <w:t>https://www.ons.gov.uk/employmentandlabourmarket/peopleinwork/employmentandemployeetypes/datasets/underemploymentandoveremploymentemp16</w:t>
        </w:r>
      </w:hyperlink>
      <w:r w:rsidRPr="008E2B45">
        <w:rPr>
          <w:lang w:val="en-GB"/>
        </w:rPr>
        <w:t xml:space="preserve"> </w:t>
      </w:r>
    </w:p>
  </w:footnote>
  <w:footnote w:id="21">
    <w:p w14:paraId="612A2E25" w14:textId="6DAEF5E8"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14" w:anchor="data" w:history="1">
        <w:r w:rsidRPr="008E2B45">
          <w:rPr>
            <w:rStyle w:val="Hyperlink"/>
            <w:lang w:val="en-GB"/>
          </w:rPr>
          <w:t>https://www.ons.gov.uk/employmentandlabourmarket/peopleinwork/employmentandemployeetypes/bulletins/employmentintheuk/latest#data</w:t>
        </w:r>
      </w:hyperlink>
      <w:r w:rsidRPr="008E2B45">
        <w:rPr>
          <w:lang w:val="en-GB"/>
        </w:rPr>
        <w:t xml:space="preserve"> </w:t>
      </w:r>
    </w:p>
  </w:footnote>
  <w:footnote w:id="22">
    <w:p w14:paraId="768273CF" w14:textId="52DBEE05"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15" w:history="1">
        <w:r w:rsidRPr="00DE76F7">
          <w:rPr>
            <w:rStyle w:val="Hyperlink"/>
            <w:lang w:val="en-GB"/>
          </w:rPr>
          <w:t>https://www.ons.gov.uk/employmentandlabourmarket/peopleinwork/employmentandemployeetypes/datasets/emp17peopleinemploymentonzerohourscontracts</w:t>
        </w:r>
      </w:hyperlink>
      <w:r>
        <w:rPr>
          <w:lang w:val="en-GB"/>
        </w:rPr>
        <w:t xml:space="preserve"> </w:t>
      </w:r>
    </w:p>
  </w:footnote>
  <w:footnote w:id="23">
    <w:p w14:paraId="4B288164" w14:textId="4B1F51C9"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16" w:history="1">
        <w:r w:rsidRPr="008E2B45">
          <w:rPr>
            <w:rStyle w:val="Hyperlink"/>
            <w:lang w:val="en-GB"/>
          </w:rPr>
          <w:t>https://www.ons.gov.uk/employmentandlabourmarket/peopleinwork/employmentandemployeetypes/datasets/emp17peopleinemploymentonzerohourscontracts</w:t>
        </w:r>
      </w:hyperlink>
      <w:r w:rsidRPr="008E2B45">
        <w:rPr>
          <w:lang w:val="en-GB"/>
        </w:rPr>
        <w:t xml:space="preserve"> </w:t>
      </w:r>
    </w:p>
  </w:footnote>
  <w:footnote w:id="24">
    <w:p w14:paraId="616BE53A" w14:textId="77777777" w:rsidR="004C5F21" w:rsidRPr="008E2B45" w:rsidRDefault="004C5F21" w:rsidP="000D4706">
      <w:pPr>
        <w:pStyle w:val="FootnoteText"/>
        <w:rPr>
          <w:lang w:val="en-GB"/>
        </w:rPr>
      </w:pPr>
      <w:r w:rsidRPr="008E2B45">
        <w:rPr>
          <w:rStyle w:val="FootnoteReference"/>
          <w:lang w:val="en-GB"/>
        </w:rPr>
        <w:footnoteRef/>
      </w:r>
      <w:r w:rsidRPr="008E2B45">
        <w:rPr>
          <w:lang w:val="en-GB"/>
        </w:rPr>
        <w:t xml:space="preserve"> </w:t>
      </w:r>
      <w:hyperlink r:id="rId17" w:history="1">
        <w:r w:rsidRPr="008E2B45">
          <w:rPr>
            <w:rStyle w:val="Hyperlink"/>
            <w:lang w:val="en-GB"/>
          </w:rPr>
          <w:t>https://www.ons.gov.uk/employmentandlabourmarket/peopleinwork/employmentandemployeetypes/articles/furloughingofworkersacrossukbusinesses/23march2020to5april2020</w:t>
        </w:r>
      </w:hyperlink>
      <w:r w:rsidRPr="008E2B45">
        <w:rPr>
          <w:lang w:val="en-GB"/>
        </w:rPr>
        <w:t xml:space="preserve"> </w:t>
      </w:r>
    </w:p>
  </w:footnote>
  <w:footnote w:id="25">
    <w:p w14:paraId="0345C73A" w14:textId="77777777" w:rsidR="004C5F21" w:rsidRPr="008E2B45" w:rsidRDefault="004C5F21" w:rsidP="000D4706">
      <w:pPr>
        <w:pStyle w:val="FootnoteText"/>
        <w:rPr>
          <w:lang w:val="en-GB"/>
        </w:rPr>
      </w:pPr>
      <w:r w:rsidRPr="008E2B45">
        <w:rPr>
          <w:rStyle w:val="FootnoteReference"/>
          <w:lang w:val="en-GB"/>
        </w:rPr>
        <w:footnoteRef/>
      </w:r>
      <w:r w:rsidRPr="008E2B45">
        <w:rPr>
          <w:lang w:val="en-GB"/>
        </w:rPr>
        <w:t xml:space="preserve"> </w:t>
      </w:r>
      <w:hyperlink r:id="rId18" w:history="1">
        <w:r w:rsidRPr="008E2B45">
          <w:rPr>
            <w:rStyle w:val="Hyperlink"/>
            <w:lang w:val="en-GB"/>
          </w:rPr>
          <w:t>https://www.resolutionfoundation.org/comment/three-big-decisions-for-the-chancellor-on-the-future-of-the-job-retention-scheme/</w:t>
        </w:r>
      </w:hyperlink>
    </w:p>
  </w:footnote>
  <w:footnote w:id="26">
    <w:p w14:paraId="211F01F8" w14:textId="77777777" w:rsidR="004C5F21" w:rsidRPr="00EF6D56" w:rsidRDefault="004C5F21" w:rsidP="00EF6D56">
      <w:pPr>
        <w:pStyle w:val="FootnoteText"/>
        <w:rPr>
          <w:lang w:val="en-GB"/>
        </w:rPr>
      </w:pPr>
      <w:r>
        <w:rPr>
          <w:rStyle w:val="FootnoteReference"/>
        </w:rPr>
        <w:footnoteRef/>
      </w:r>
      <w:r>
        <w:t xml:space="preserve"> </w:t>
      </w:r>
      <w:hyperlink r:id="rId19" w:history="1">
        <w:r w:rsidRPr="00810489">
          <w:rPr>
            <w:rStyle w:val="Hyperlink"/>
          </w:rPr>
          <w:t>https://www.ons.gov.uk/employmentandlabourmarket/peopleinwork/employmentandemployeetypes/bulletins/uklabourmarket/september2020</w:t>
        </w:r>
      </w:hyperlink>
      <w:r>
        <w:t xml:space="preserve"> </w:t>
      </w:r>
    </w:p>
  </w:footnote>
  <w:footnote w:id="27">
    <w:p w14:paraId="24E6A3AD" w14:textId="075BEAB7" w:rsidR="004C5F21" w:rsidRPr="008E2B45" w:rsidRDefault="004C5F21" w:rsidP="000D4706">
      <w:pPr>
        <w:pStyle w:val="FootnoteText"/>
        <w:rPr>
          <w:lang w:val="en-GB"/>
        </w:rPr>
      </w:pPr>
      <w:r w:rsidRPr="008E2B45">
        <w:rPr>
          <w:rStyle w:val="FootnoteReference"/>
          <w:lang w:val="en-GB"/>
        </w:rPr>
        <w:footnoteRef/>
      </w:r>
      <w:r w:rsidRPr="008E2B45">
        <w:rPr>
          <w:lang w:val="en-GB"/>
        </w:rPr>
        <w:t xml:space="preserve"> </w:t>
      </w:r>
      <w:r>
        <w:rPr>
          <w:lang w:val="en-GB"/>
        </w:rPr>
        <w:t>Brewer, M. and Handscomb, K.</w:t>
      </w:r>
      <w:r w:rsidRPr="008E2B45">
        <w:rPr>
          <w:lang w:val="en-GB"/>
        </w:rPr>
        <w:t xml:space="preserve"> (2020) </w:t>
      </w:r>
      <w:r w:rsidRPr="00BC203A">
        <w:rPr>
          <w:i/>
          <w:iCs/>
          <w:lang w:val="en-GB"/>
        </w:rPr>
        <w:t>This time is different – Universal Credit’s first recession: Assessing the welfare system and its effect on living standards during the coronavirus epidemic</w:t>
      </w:r>
      <w:r>
        <w:rPr>
          <w:i/>
          <w:iCs/>
          <w:lang w:val="en-GB"/>
        </w:rPr>
        <w:t>.</w:t>
      </w:r>
      <w:r>
        <w:t xml:space="preserve"> London: Resolution Foundation. </w:t>
      </w:r>
      <w:hyperlink r:id="rId20" w:history="1">
        <w:r w:rsidRPr="00DE76F7">
          <w:rPr>
            <w:rStyle w:val="Hyperlink"/>
            <w:lang w:val="en-GB"/>
          </w:rPr>
          <w:t>https://www.resolutionfoundation.org/publications/this-time-is-different-universal-credits-first-recession/</w:t>
        </w:r>
      </w:hyperlink>
      <w:r>
        <w:rPr>
          <w:lang w:val="en-GB"/>
        </w:rPr>
        <w:t xml:space="preserve"> </w:t>
      </w:r>
    </w:p>
  </w:footnote>
  <w:footnote w:id="28">
    <w:p w14:paraId="3F21D96C" w14:textId="77777777" w:rsidR="004C5F21" w:rsidRPr="002C1913" w:rsidRDefault="004C5F21" w:rsidP="000D4706">
      <w:pPr>
        <w:pStyle w:val="FootnoteText"/>
        <w:rPr>
          <w:lang w:val="en-GB"/>
        </w:rPr>
      </w:pPr>
      <w:r>
        <w:rPr>
          <w:rStyle w:val="FootnoteReference"/>
        </w:rPr>
        <w:footnoteRef/>
      </w:r>
      <w:r>
        <w:t xml:space="preserve"> Brian Bell, Mihai Codreanu and Stephen Machin (2020) </w:t>
      </w:r>
      <w:r w:rsidRPr="002C1913">
        <w:rPr>
          <w:i/>
          <w:iCs/>
        </w:rPr>
        <w:t>What can previous recessions tell us about the Covid-19 downturn?, A CEP Covid-19 analysis</w:t>
      </w:r>
      <w:r>
        <w:t xml:space="preserve">, Paper No.007, </w:t>
      </w:r>
      <w:hyperlink r:id="rId21" w:history="1">
        <w:r w:rsidRPr="00810489">
          <w:rPr>
            <w:rStyle w:val="Hyperlink"/>
          </w:rPr>
          <w:t>http://cep.lse.ac.uk/pubs/download/cepcovid-19-007.pdf</w:t>
        </w:r>
      </w:hyperlink>
      <w:r>
        <w:t xml:space="preserve"> </w:t>
      </w:r>
    </w:p>
  </w:footnote>
  <w:footnote w:id="29">
    <w:p w14:paraId="6434F8D1" w14:textId="312C826B" w:rsidR="004C5F21" w:rsidRPr="008E2B45" w:rsidRDefault="004C5F21" w:rsidP="00B9482B">
      <w:pPr>
        <w:pStyle w:val="FootnoteText"/>
        <w:rPr>
          <w:lang w:val="en-GB"/>
        </w:rPr>
      </w:pPr>
      <w:r w:rsidRPr="008E2B45">
        <w:rPr>
          <w:rStyle w:val="FootnoteReference"/>
          <w:lang w:val="en-GB"/>
        </w:rPr>
        <w:footnoteRef/>
      </w:r>
      <w:r w:rsidRPr="008E2B45">
        <w:rPr>
          <w:lang w:val="en-GB"/>
        </w:rPr>
        <w:t xml:space="preserve"> </w:t>
      </w:r>
      <w:r>
        <w:t>Source: DWP Stat-Xplore system.</w:t>
      </w:r>
      <w:r w:rsidRPr="008E2B45">
        <w:rPr>
          <w:lang w:val="en-GB"/>
        </w:rPr>
        <w:t xml:space="preserve"> </w:t>
      </w:r>
    </w:p>
  </w:footnote>
  <w:footnote w:id="30">
    <w:p w14:paraId="5F3A5A3E" w14:textId="76F497B7" w:rsidR="004C5F21" w:rsidRPr="008E2B45" w:rsidRDefault="004C5F21" w:rsidP="00B9482B">
      <w:pPr>
        <w:pStyle w:val="FootnoteText"/>
        <w:rPr>
          <w:lang w:val="en-GB"/>
        </w:rPr>
      </w:pPr>
      <w:r w:rsidRPr="008E2B45">
        <w:rPr>
          <w:rStyle w:val="FootnoteReference"/>
          <w:lang w:val="en-GB"/>
        </w:rPr>
        <w:footnoteRef/>
      </w:r>
      <w:r w:rsidRPr="008E2B45">
        <w:rPr>
          <w:lang w:val="en-GB"/>
        </w:rPr>
        <w:t xml:space="preserve"> </w:t>
      </w:r>
      <w:r>
        <w:t>Source: DWP Stat-Xplore system.</w:t>
      </w:r>
    </w:p>
  </w:footnote>
  <w:footnote w:id="31">
    <w:p w14:paraId="2E3A036E" w14:textId="47C1EF85" w:rsidR="004C5F21" w:rsidRPr="00B16B35" w:rsidRDefault="004C5F21">
      <w:pPr>
        <w:pStyle w:val="FootnoteText"/>
        <w:rPr>
          <w:lang w:val="en-GB"/>
        </w:rPr>
      </w:pPr>
      <w:r>
        <w:rPr>
          <w:rStyle w:val="FootnoteReference"/>
        </w:rPr>
        <w:footnoteRef/>
      </w:r>
      <w:r>
        <w:t xml:space="preserve"> </w:t>
      </w:r>
      <w:hyperlink r:id="rId22" w:history="1">
        <w:r w:rsidRPr="005E4A2A">
          <w:rPr>
            <w:rStyle w:val="Hyperlink"/>
          </w:rPr>
          <w:t>https://www.gov.uk/government/statistics/coronavirus-job-retention-scheme-statistics-september-2020</w:t>
        </w:r>
      </w:hyperlink>
      <w:r>
        <w:t xml:space="preserve"> </w:t>
      </w:r>
    </w:p>
  </w:footnote>
  <w:footnote w:id="32">
    <w:p w14:paraId="20AF5194" w14:textId="1D0A9ABC" w:rsidR="004C5F21" w:rsidRPr="00B16B35" w:rsidRDefault="004C5F21" w:rsidP="00FF7E31">
      <w:pPr>
        <w:pStyle w:val="FootnoteText"/>
        <w:rPr>
          <w:lang w:val="en-GB"/>
        </w:rPr>
      </w:pPr>
      <w:r>
        <w:rPr>
          <w:rStyle w:val="FootnoteReference"/>
        </w:rPr>
        <w:footnoteRef/>
      </w:r>
      <w:r>
        <w:t xml:space="preserve"> </w:t>
      </w:r>
      <w:hyperlink r:id="rId23" w:history="1">
        <w:r>
          <w:rPr>
            <w:rStyle w:val="Hyperlink"/>
          </w:rPr>
          <w:t>https://www.gov.uk/government/statistics/coronavirus-job-retention-scheme-statistics-july-2020</w:t>
        </w:r>
      </w:hyperlink>
      <w:r>
        <w:t xml:space="preserve"> </w:t>
      </w:r>
    </w:p>
  </w:footnote>
  <w:footnote w:id="33">
    <w:p w14:paraId="29E2CF50" w14:textId="3B4972FA"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24" w:history="1">
        <w:r w:rsidRPr="008E2B45">
          <w:rPr>
            <w:rStyle w:val="Hyperlink"/>
            <w:lang w:val="en-GB"/>
          </w:rPr>
          <w:t>https://www.ons.gov.uk/employmentandlabourmarket/peopleinwork/earningsandworkinghours/timeseries/a2fc/lms?referrer=search&amp;searchTerm=a2fc</w:t>
        </w:r>
      </w:hyperlink>
      <w:r w:rsidRPr="008E2B45">
        <w:rPr>
          <w:lang w:val="en-GB"/>
        </w:rPr>
        <w:t xml:space="preserve"> </w:t>
      </w:r>
    </w:p>
  </w:footnote>
  <w:footnote w:id="34">
    <w:p w14:paraId="6BB1FF3B" w14:textId="77777777" w:rsidR="004C5F21" w:rsidRPr="008E2B45" w:rsidRDefault="004C5F21" w:rsidP="004E2969">
      <w:pPr>
        <w:pStyle w:val="FootnoteText"/>
        <w:rPr>
          <w:lang w:val="en-GB"/>
        </w:rPr>
      </w:pPr>
      <w:r w:rsidRPr="008E2B45">
        <w:rPr>
          <w:rStyle w:val="FootnoteReference"/>
          <w:lang w:val="en-GB"/>
        </w:rPr>
        <w:footnoteRef/>
      </w:r>
      <w:r w:rsidRPr="008E2B45">
        <w:rPr>
          <w:lang w:val="en-GB"/>
        </w:rPr>
        <w:t xml:space="preserve"> </w:t>
      </w:r>
      <w:hyperlink r:id="rId25" w:history="1">
        <w:r w:rsidRPr="008E2B45">
          <w:rPr>
            <w:rStyle w:val="Hyperlink"/>
            <w:lang w:val="en-GB"/>
          </w:rPr>
          <w:t>https://www.jrf.org.uk/report/uk-poverty-2019-20</w:t>
        </w:r>
      </w:hyperlink>
    </w:p>
  </w:footnote>
  <w:footnote w:id="35">
    <w:p w14:paraId="6B59214B" w14:textId="571F9A3C"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26" w:history="1">
        <w:r w:rsidRPr="008E2B45">
          <w:rPr>
            <w:rStyle w:val="Hyperlink"/>
            <w:lang w:val="en-GB"/>
          </w:rPr>
          <w:t>https://www.ifs.org.uk/tools_and_resources/incomes_in_uk</w:t>
        </w:r>
      </w:hyperlink>
      <w:r w:rsidRPr="008E2B45">
        <w:rPr>
          <w:lang w:val="en-GB"/>
        </w:rPr>
        <w:t xml:space="preserve"> </w:t>
      </w:r>
    </w:p>
  </w:footnote>
  <w:footnote w:id="36">
    <w:p w14:paraId="5722472B" w14:textId="77777777" w:rsidR="004C5F21" w:rsidRPr="008E2B45" w:rsidRDefault="004C5F21" w:rsidP="0000347B">
      <w:pPr>
        <w:pStyle w:val="FootnoteText"/>
        <w:rPr>
          <w:lang w:val="en-GB"/>
        </w:rPr>
      </w:pPr>
      <w:r w:rsidRPr="008E2B45">
        <w:rPr>
          <w:rStyle w:val="FootnoteReference"/>
          <w:lang w:val="en-GB"/>
        </w:rPr>
        <w:footnoteRef/>
      </w:r>
      <w:r w:rsidRPr="008E2B45">
        <w:rPr>
          <w:lang w:val="en-GB"/>
        </w:rPr>
        <w:t xml:space="preserve"> </w:t>
      </w:r>
      <w:hyperlink r:id="rId27" w:history="1">
        <w:r w:rsidRPr="008E2B45">
          <w:rPr>
            <w:rStyle w:val="Hyperlink"/>
            <w:lang w:val="en-GB"/>
          </w:rPr>
          <w:t>https://www.jrf.org.uk/report/uk-poverty-2019-20</w:t>
        </w:r>
      </w:hyperlink>
      <w:r w:rsidRPr="008E2B45">
        <w:rPr>
          <w:lang w:val="en-GB"/>
        </w:rPr>
        <w:t xml:space="preserve"> </w:t>
      </w:r>
    </w:p>
  </w:footnote>
  <w:footnote w:id="37">
    <w:p w14:paraId="4C9EFEDA" w14:textId="7402AB6B" w:rsidR="004C5F21" w:rsidRPr="008E2B45" w:rsidRDefault="004C5F21" w:rsidP="00C60BB2">
      <w:pPr>
        <w:rPr>
          <w:lang w:val="en-GB"/>
        </w:rPr>
      </w:pPr>
      <w:r w:rsidRPr="008E2B45">
        <w:rPr>
          <w:rStyle w:val="FootnoteReference"/>
          <w:lang w:val="en-GB"/>
        </w:rPr>
        <w:footnoteRef/>
      </w:r>
      <w:r w:rsidRPr="008E2B45">
        <w:rPr>
          <w:lang w:val="en-GB"/>
        </w:rPr>
        <w:t xml:space="preserve"> StepChange (2020) Coronavirus and personal debt: a financial recovery strategy for households June 2020: </w:t>
      </w:r>
      <w:hyperlink r:id="rId28" w:history="1">
        <w:r w:rsidRPr="008E2B45">
          <w:rPr>
            <w:rStyle w:val="Hyperlink"/>
            <w:lang w:val="en-GB"/>
          </w:rPr>
          <w:t>https://www.stepchange.org/Portals/0/assets/pdf/coronavirus-policy-briefing-stepchange.pdf</w:t>
        </w:r>
      </w:hyperlink>
      <w:r w:rsidRPr="008E2B45">
        <w:rPr>
          <w:lang w:val="en-GB"/>
        </w:rPr>
        <w:t xml:space="preserve"> </w:t>
      </w:r>
    </w:p>
  </w:footnote>
  <w:footnote w:id="38">
    <w:p w14:paraId="2A11F30D" w14:textId="5A0C6468" w:rsidR="004C5F21" w:rsidRPr="008E2B45" w:rsidRDefault="004C5F21" w:rsidP="00C60BB2">
      <w:pPr>
        <w:pStyle w:val="FootnoteText"/>
        <w:rPr>
          <w:lang w:val="en-GB"/>
        </w:rPr>
      </w:pPr>
      <w:r w:rsidRPr="008E2B45">
        <w:rPr>
          <w:rStyle w:val="FootnoteReference"/>
          <w:lang w:val="en-GB"/>
        </w:rPr>
        <w:footnoteRef/>
      </w:r>
      <w:r w:rsidRPr="008E2B45">
        <w:rPr>
          <w:lang w:val="en-GB"/>
        </w:rPr>
        <w:t xml:space="preserve"> </w:t>
      </w:r>
      <w:r w:rsidRPr="007373AA">
        <w:rPr>
          <w:lang w:val="en-GB"/>
        </w:rPr>
        <w:t>Brewer</w:t>
      </w:r>
      <w:r>
        <w:rPr>
          <w:lang w:val="en-GB"/>
        </w:rPr>
        <w:t>. M.</w:t>
      </w:r>
      <w:r w:rsidRPr="007373AA">
        <w:rPr>
          <w:lang w:val="en-GB"/>
        </w:rPr>
        <w:t xml:space="preserve"> &amp; Gardiner</w:t>
      </w:r>
      <w:r>
        <w:rPr>
          <w:lang w:val="en-GB"/>
        </w:rPr>
        <w:t>, L.</w:t>
      </w:r>
      <w:r w:rsidRPr="007373AA">
        <w:rPr>
          <w:lang w:val="en-GB"/>
        </w:rPr>
        <w:t xml:space="preserve"> </w:t>
      </w:r>
      <w:r w:rsidRPr="008E2B45">
        <w:rPr>
          <w:lang w:val="en-GB"/>
        </w:rPr>
        <w:t xml:space="preserve">(2020) </w:t>
      </w:r>
      <w:r w:rsidRPr="007373AA">
        <w:rPr>
          <w:i/>
          <w:iCs/>
          <w:lang w:val="en-GB"/>
        </w:rPr>
        <w:t>Return to spender: Findings on family incomes and spending from the Resolution Foundation’s coronavirus survey</w:t>
      </w:r>
      <w:r>
        <w:rPr>
          <w:lang w:val="en-GB"/>
        </w:rPr>
        <w:t xml:space="preserve">. London: Resolution Foundation. </w:t>
      </w:r>
      <w:hyperlink r:id="rId29" w:history="1">
        <w:r w:rsidRPr="005E4A2A">
          <w:rPr>
            <w:rStyle w:val="Hyperlink"/>
            <w:lang w:val="en-GB"/>
          </w:rPr>
          <w:t>https://www.resolutionfoundation.org/publications/return-to-spender/</w:t>
        </w:r>
      </w:hyperlink>
    </w:p>
  </w:footnote>
  <w:footnote w:id="39">
    <w:p w14:paraId="057D2449" w14:textId="6F36F5C2" w:rsidR="004C5F21" w:rsidRPr="008E2B45" w:rsidRDefault="004C5F21" w:rsidP="00C60BB2">
      <w:pPr>
        <w:pStyle w:val="FootnoteText"/>
        <w:rPr>
          <w:lang w:val="en-GB"/>
        </w:rPr>
      </w:pPr>
      <w:r w:rsidRPr="008E2B45">
        <w:rPr>
          <w:rStyle w:val="FootnoteReference"/>
          <w:lang w:val="en-GB"/>
        </w:rPr>
        <w:footnoteRef/>
      </w:r>
      <w:r w:rsidRPr="008E2B45">
        <w:rPr>
          <w:lang w:val="en-GB"/>
        </w:rPr>
        <w:t xml:space="preserve"> ibid</w:t>
      </w:r>
    </w:p>
  </w:footnote>
  <w:footnote w:id="40">
    <w:p w14:paraId="3D827530" w14:textId="3DD277AA" w:rsidR="004C5F21" w:rsidRPr="008E2B45" w:rsidRDefault="004C5F21">
      <w:pPr>
        <w:pStyle w:val="FootnoteText"/>
        <w:rPr>
          <w:lang w:val="en-GB"/>
        </w:rPr>
      </w:pPr>
      <w:r w:rsidRPr="008E2B45">
        <w:rPr>
          <w:rStyle w:val="FootnoteReference"/>
          <w:lang w:val="en-GB"/>
        </w:rPr>
        <w:footnoteRef/>
      </w:r>
      <w:r w:rsidRPr="008E2B45">
        <w:rPr>
          <w:lang w:val="en-GB"/>
        </w:rPr>
        <w:t xml:space="preserve"> </w:t>
      </w:r>
      <w:r>
        <w:rPr>
          <w:lang w:val="en-GB"/>
        </w:rPr>
        <w:t xml:space="preserve">Judge, L. </w:t>
      </w:r>
      <w:r w:rsidRPr="008E2B45">
        <w:rPr>
          <w:lang w:val="en-GB"/>
        </w:rPr>
        <w:t xml:space="preserve">(2020) </w:t>
      </w:r>
      <w:r w:rsidRPr="007373AA">
        <w:rPr>
          <w:i/>
          <w:iCs/>
          <w:lang w:val="en-GB"/>
        </w:rPr>
        <w:t>Coping with housing costs during the coronavirus crisis: Flash findings from the Resolution Foundation’s coronavirus survey</w:t>
      </w:r>
      <w:r>
        <w:rPr>
          <w:lang w:val="en-GB"/>
        </w:rPr>
        <w:t xml:space="preserve">. London: Resolution Foundation. </w:t>
      </w:r>
      <w:hyperlink r:id="rId30" w:history="1">
        <w:r w:rsidRPr="005E4A2A">
          <w:rPr>
            <w:rStyle w:val="Hyperlink"/>
            <w:lang w:val="en-GB"/>
          </w:rPr>
          <w:t>https://www.resolutionfoundation.org/publications/coping-with-housing-costs-during-the-coronavirus-crisis/</w:t>
        </w:r>
      </w:hyperlink>
      <w:r>
        <w:rPr>
          <w:lang w:val="en-GB"/>
        </w:rPr>
        <w:t xml:space="preserve"> </w:t>
      </w:r>
    </w:p>
  </w:footnote>
  <w:footnote w:id="41">
    <w:p w14:paraId="69C77BD2" w14:textId="222B292F" w:rsidR="004C5F21" w:rsidRPr="008E2B45" w:rsidRDefault="004C5F21" w:rsidP="00026720">
      <w:pPr>
        <w:pStyle w:val="FootnoteText"/>
        <w:rPr>
          <w:lang w:val="en-GB"/>
        </w:rPr>
      </w:pPr>
      <w:r w:rsidRPr="008E2B45">
        <w:rPr>
          <w:rStyle w:val="FootnoteReference"/>
          <w:lang w:val="en-GB"/>
        </w:rPr>
        <w:footnoteRef/>
      </w:r>
      <w:r w:rsidRPr="008E2B45">
        <w:rPr>
          <w:lang w:val="en-GB"/>
        </w:rPr>
        <w:t xml:space="preserve"> </w:t>
      </w:r>
      <w:r>
        <w:rPr>
          <w:lang w:val="en-GB"/>
        </w:rPr>
        <w:t>Brewer, M. and Handscomb, K.</w:t>
      </w:r>
      <w:r w:rsidRPr="008E2B45">
        <w:rPr>
          <w:lang w:val="en-GB"/>
        </w:rPr>
        <w:t xml:space="preserve">(2020) </w:t>
      </w:r>
      <w:r w:rsidRPr="007373AA">
        <w:rPr>
          <w:i/>
          <w:iCs/>
          <w:lang w:val="en-GB"/>
        </w:rPr>
        <w:t>This time is different – Universal Credit’s first recession: Assessing the welfare system and its effect on living standards during the coronavirus epidemic.</w:t>
      </w:r>
      <w:r>
        <w:rPr>
          <w:lang w:val="en-GB"/>
        </w:rPr>
        <w:t xml:space="preserve"> London: </w:t>
      </w:r>
      <w:r w:rsidRPr="008E2B45">
        <w:rPr>
          <w:lang w:val="en-GB"/>
        </w:rPr>
        <w:t>Resolution Foundation</w:t>
      </w:r>
      <w:r>
        <w:rPr>
          <w:lang w:val="en-GB"/>
        </w:rPr>
        <w:t xml:space="preserve"> </w:t>
      </w:r>
      <w:hyperlink r:id="rId31" w:history="1">
        <w:r w:rsidRPr="00DE76F7">
          <w:rPr>
            <w:rStyle w:val="Hyperlink"/>
            <w:lang w:val="en-GB"/>
          </w:rPr>
          <w:t>https://www.resolutionfoundation.org/publications/this-time-is-different-universal-credits-first-recession/</w:t>
        </w:r>
      </w:hyperlink>
      <w:r>
        <w:rPr>
          <w:lang w:val="en-GB"/>
        </w:rPr>
        <w:t xml:space="preserve"> </w:t>
      </w:r>
    </w:p>
  </w:footnote>
  <w:footnote w:id="42">
    <w:p w14:paraId="380F3DE2" w14:textId="77777777" w:rsidR="004C5F21" w:rsidRPr="008E2B45" w:rsidRDefault="004C5F21">
      <w:pPr>
        <w:pStyle w:val="FootnoteText"/>
        <w:rPr>
          <w:lang w:val="en-GB"/>
        </w:rPr>
      </w:pPr>
      <w:r w:rsidRPr="008E2B45">
        <w:rPr>
          <w:rStyle w:val="FootnoteReference"/>
          <w:lang w:val="en-GB"/>
        </w:rPr>
        <w:footnoteRef/>
      </w:r>
      <w:r w:rsidRPr="008E2B45">
        <w:rPr>
          <w:lang w:val="en-GB"/>
        </w:rPr>
        <w:t xml:space="preserve"> Figures for previous years and methodology can be found here </w:t>
      </w:r>
      <w:hyperlink r:id="rId32" w:history="1">
        <w:r w:rsidRPr="008E2B45">
          <w:rPr>
            <w:rStyle w:val="Hyperlink"/>
            <w:lang w:val="en-GB"/>
          </w:rPr>
          <w:t>https://www.jrf.org.uk/sites/default/files/jrf/migrated/files/MIS-2015-full.pdf</w:t>
        </w:r>
      </w:hyperlink>
      <w:r w:rsidRPr="008E2B45">
        <w:rPr>
          <w:lang w:val="en-GB"/>
        </w:rPr>
        <w:t xml:space="preserve"> </w:t>
      </w:r>
    </w:p>
  </w:footnote>
  <w:footnote w:id="43">
    <w:p w14:paraId="3BC5D57A" w14:textId="76EA2D03" w:rsidR="004C5F21" w:rsidRPr="008E2B45" w:rsidRDefault="004C5F21" w:rsidP="003D5236">
      <w:pPr>
        <w:pStyle w:val="FootnoteText"/>
        <w:rPr>
          <w:lang w:val="en-GB"/>
        </w:rPr>
      </w:pPr>
      <w:r w:rsidRPr="008E2B45">
        <w:rPr>
          <w:rStyle w:val="FootnoteReference"/>
          <w:lang w:val="en-GB"/>
        </w:rPr>
        <w:footnoteRef/>
      </w:r>
      <w:r w:rsidRPr="008E2B45">
        <w:rPr>
          <w:lang w:val="en-GB"/>
        </w:rPr>
        <w:t xml:space="preserve"> Data sent by email from Donald Hirsch on 1</w:t>
      </w:r>
      <w:r w:rsidRPr="008E2B45">
        <w:rPr>
          <w:vertAlign w:val="superscript"/>
          <w:lang w:val="en-GB"/>
        </w:rPr>
        <w:t>st</w:t>
      </w:r>
      <w:r w:rsidRPr="008E2B45">
        <w:rPr>
          <w:lang w:val="en-GB"/>
        </w:rPr>
        <w:t xml:space="preserve"> June 2020. MIS reports can be found here: </w:t>
      </w:r>
      <w:hyperlink r:id="rId33" w:history="1">
        <w:r w:rsidRPr="008E2B45">
          <w:rPr>
            <w:rStyle w:val="Hyperlink"/>
            <w:lang w:val="en-GB"/>
          </w:rPr>
          <w:t>https://www.lboro.ac.uk/research/crsp/mis/reports/</w:t>
        </w:r>
      </w:hyperlink>
      <w:r w:rsidRPr="008E2B45">
        <w:rPr>
          <w:lang w:val="en-GB"/>
        </w:rPr>
        <w:t xml:space="preserve"> </w:t>
      </w:r>
    </w:p>
  </w:footnote>
  <w:footnote w:id="44">
    <w:p w14:paraId="234D3FD7" w14:textId="405FDF5F" w:rsidR="004C5F21" w:rsidRPr="008E2B45" w:rsidRDefault="004C5F21" w:rsidP="002B4050">
      <w:pPr>
        <w:pStyle w:val="FootnoteText"/>
        <w:rPr>
          <w:lang w:val="en-GB"/>
        </w:rPr>
      </w:pPr>
      <w:r w:rsidRPr="008E2B45">
        <w:rPr>
          <w:rStyle w:val="FootnoteReference"/>
          <w:lang w:val="en-GB"/>
        </w:rPr>
        <w:footnoteRef/>
      </w:r>
      <w:r w:rsidRPr="008E2B45">
        <w:rPr>
          <w:lang w:val="en-GB"/>
        </w:rPr>
        <w:t xml:space="preserve"> Data sent by email from Donald Hirsch on 1</w:t>
      </w:r>
      <w:r w:rsidRPr="008E2B45">
        <w:rPr>
          <w:vertAlign w:val="superscript"/>
          <w:lang w:val="en-GB"/>
        </w:rPr>
        <w:t>st</w:t>
      </w:r>
      <w:r w:rsidRPr="008E2B45">
        <w:rPr>
          <w:lang w:val="en-GB"/>
        </w:rPr>
        <w:t xml:space="preserve"> June 2020. MIS reports can be found here: </w:t>
      </w:r>
      <w:hyperlink r:id="rId34" w:history="1">
        <w:r w:rsidRPr="008E2B45">
          <w:rPr>
            <w:rStyle w:val="Hyperlink"/>
            <w:lang w:val="en-GB"/>
          </w:rPr>
          <w:t>https://www.lboro.ac.uk/research/crsp/mis/reports/</w:t>
        </w:r>
      </w:hyperlink>
      <w:r w:rsidRPr="008E2B45">
        <w:rPr>
          <w:lang w:val="en-GB"/>
        </w:rPr>
        <w:t xml:space="preserve"> </w:t>
      </w:r>
    </w:p>
  </w:footnote>
  <w:footnote w:id="45">
    <w:p w14:paraId="7BFDCDD2" w14:textId="2AD7FE10"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35" w:history="1">
        <w:r w:rsidRPr="00810489">
          <w:rPr>
            <w:rStyle w:val="Hyperlink"/>
            <w:lang w:val="en-GB"/>
          </w:rPr>
          <w:t>https://www.trusselltrust.org/news-and-blog/latest-stats/end-year-stats/</w:t>
        </w:r>
      </w:hyperlink>
      <w:r>
        <w:rPr>
          <w:lang w:val="en-GB"/>
        </w:rPr>
        <w:t xml:space="preserve"> </w:t>
      </w:r>
    </w:p>
  </w:footnote>
  <w:footnote w:id="46">
    <w:p w14:paraId="22B787D4" w14:textId="77777777" w:rsidR="004C5F21" w:rsidRPr="008E2B45" w:rsidRDefault="004C5F21" w:rsidP="00F87452">
      <w:pPr>
        <w:pStyle w:val="FootnoteText"/>
        <w:rPr>
          <w:lang w:val="en-GB"/>
        </w:rPr>
      </w:pPr>
      <w:r w:rsidRPr="008E2B45">
        <w:rPr>
          <w:rStyle w:val="FootnoteReference"/>
          <w:lang w:val="en-GB"/>
        </w:rPr>
        <w:footnoteRef/>
      </w:r>
      <w:r w:rsidRPr="008E2B45">
        <w:rPr>
          <w:lang w:val="en-GB"/>
        </w:rPr>
        <w:t xml:space="preserve"> </w:t>
      </w:r>
      <w:hyperlink r:id="rId36" w:history="1">
        <w:r w:rsidRPr="008E2B45">
          <w:rPr>
            <w:rStyle w:val="Hyperlink"/>
            <w:lang w:val="en-GB"/>
          </w:rPr>
          <w:t>https://www.trusselltrust.org/2020/06/03/food-banks-busiest-month/</w:t>
        </w:r>
      </w:hyperlink>
    </w:p>
  </w:footnote>
  <w:footnote w:id="47">
    <w:p w14:paraId="13ECBE7D" w14:textId="72A35A14" w:rsidR="004C5F21" w:rsidRPr="002C1913" w:rsidRDefault="004C5F21" w:rsidP="002C1913">
      <w:pPr>
        <w:pStyle w:val="FootnoteText"/>
        <w:rPr>
          <w:lang w:val="en-GB"/>
        </w:rPr>
      </w:pPr>
      <w:r>
        <w:rPr>
          <w:rStyle w:val="FootnoteReference"/>
        </w:rPr>
        <w:footnoteRef/>
      </w:r>
      <w:r>
        <w:t xml:space="preserve"> Elaine Kempson, David Collings, Christian Poppe and Jamie Evans (2020) </w:t>
      </w:r>
      <w:r w:rsidRPr="002C1913">
        <w:rPr>
          <w:i/>
          <w:iCs/>
        </w:rPr>
        <w:t>Emerging from lockdown: Key Findings from the 3</w:t>
      </w:r>
      <w:r w:rsidRPr="002C1913">
        <w:rPr>
          <w:i/>
          <w:iCs/>
          <w:vertAlign w:val="superscript"/>
        </w:rPr>
        <w:t>rd</w:t>
      </w:r>
      <w:r w:rsidRPr="002C1913">
        <w:rPr>
          <w:i/>
          <w:iCs/>
        </w:rPr>
        <w:t xml:space="preserve"> Coronavirus Financial Impact Tracker Survey</w:t>
      </w:r>
      <w:r>
        <w:t>, Standard Life Foundation</w:t>
      </w:r>
    </w:p>
  </w:footnote>
  <w:footnote w:id="48">
    <w:p w14:paraId="47578010" w14:textId="4E2666D2"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37" w:history="1">
        <w:r w:rsidRPr="008E2B45">
          <w:rPr>
            <w:rStyle w:val="Hyperlink"/>
            <w:lang w:val="en-GB"/>
          </w:rPr>
          <w:t>https://www.understandingsociety.ac.uk/</w:t>
        </w:r>
      </w:hyperlink>
      <w:r w:rsidRPr="008E2B45">
        <w:rPr>
          <w:lang w:val="en-GB"/>
        </w:rPr>
        <w:t xml:space="preserve"> </w:t>
      </w:r>
    </w:p>
  </w:footnote>
  <w:footnote w:id="49">
    <w:p w14:paraId="28CD41F6" w14:textId="77777777" w:rsidR="004C5F21" w:rsidRPr="008E2B45" w:rsidRDefault="004C5F21" w:rsidP="0038483B">
      <w:pPr>
        <w:pStyle w:val="FootnoteText"/>
        <w:rPr>
          <w:lang w:val="en-GB"/>
        </w:rPr>
      </w:pPr>
      <w:r w:rsidRPr="008E2B45">
        <w:rPr>
          <w:rStyle w:val="FootnoteReference"/>
          <w:lang w:val="en-GB"/>
        </w:rPr>
        <w:footnoteRef/>
      </w:r>
      <w:r w:rsidRPr="008E2B45">
        <w:rPr>
          <w:lang w:val="en-GB"/>
        </w:rPr>
        <w:t xml:space="preserve"> </w:t>
      </w:r>
      <w:hyperlink r:id="rId38" w:history="1">
        <w:r w:rsidRPr="008E2B45">
          <w:rPr>
            <w:rStyle w:val="Hyperlink"/>
            <w:lang w:val="en-GB"/>
          </w:rPr>
          <w:t>https://www.understandingsociety.ac.uk/</w:t>
        </w:r>
      </w:hyperlink>
      <w:r w:rsidRPr="008E2B45">
        <w:rPr>
          <w:lang w:val="en-GB"/>
        </w:rPr>
        <w:t xml:space="preserve"> </w:t>
      </w:r>
    </w:p>
  </w:footnote>
  <w:footnote w:id="50">
    <w:p w14:paraId="5414C2AF" w14:textId="77777777" w:rsidR="004C5F21" w:rsidRPr="008E2B45" w:rsidRDefault="004C5F21" w:rsidP="0038483B">
      <w:pPr>
        <w:pStyle w:val="FootnoteText"/>
        <w:rPr>
          <w:lang w:val="en-GB"/>
        </w:rPr>
      </w:pPr>
      <w:r w:rsidRPr="008E2B45">
        <w:rPr>
          <w:rStyle w:val="FootnoteReference"/>
          <w:lang w:val="en-GB"/>
        </w:rPr>
        <w:footnoteRef/>
      </w:r>
      <w:r w:rsidRPr="008E2B45">
        <w:rPr>
          <w:lang w:val="en-GB"/>
        </w:rPr>
        <w:t xml:space="preserve"> </w:t>
      </w:r>
      <w:hyperlink r:id="rId39" w:history="1">
        <w:r w:rsidRPr="008E2B45">
          <w:rPr>
            <w:rStyle w:val="Hyperlink"/>
            <w:lang w:val="en-GB"/>
          </w:rPr>
          <w:t>https://www.understandingsociety.ac.uk/</w:t>
        </w:r>
      </w:hyperlink>
      <w:r w:rsidRPr="008E2B45">
        <w:rPr>
          <w:lang w:val="en-GB"/>
        </w:rPr>
        <w:t xml:space="preserve"> </w:t>
      </w:r>
    </w:p>
  </w:footnote>
  <w:footnote w:id="51">
    <w:p w14:paraId="458D876B" w14:textId="791834FD" w:rsidR="004C5F21" w:rsidRPr="008E2B45" w:rsidRDefault="004C5F21" w:rsidP="00A56B08">
      <w:pPr>
        <w:pStyle w:val="FootnoteText"/>
        <w:rPr>
          <w:lang w:val="en-GB"/>
        </w:rPr>
      </w:pPr>
      <w:r w:rsidRPr="008E2B45">
        <w:rPr>
          <w:rStyle w:val="FootnoteReference"/>
          <w:lang w:val="en-GB"/>
        </w:rPr>
        <w:footnoteRef/>
      </w:r>
      <w:r w:rsidRPr="008E2B45">
        <w:rPr>
          <w:lang w:val="en-GB"/>
        </w:rPr>
        <w:t xml:space="preserve"> </w:t>
      </w:r>
      <w:hyperlink r:id="rId40" w:anchor="wellbeing" w:history="1">
        <w:r w:rsidRPr="00155A20">
          <w:rPr>
            <w:rStyle w:val="Hyperlink"/>
            <w:lang w:val="en-GB"/>
          </w:rPr>
          <w:t>https://www.ons.gov.uk/peoplepopulationandcommunity/healthandsocialcare/conditionsanddiseases/articles/coronaviruscovid19roundup/2020-03-26#wellbeing</w:t>
        </w:r>
      </w:hyperlink>
      <w:r w:rsidRPr="008E2B45">
        <w:rPr>
          <w:lang w:val="en-GB"/>
        </w:rPr>
        <w:t xml:space="preserve"> </w:t>
      </w:r>
    </w:p>
  </w:footnote>
  <w:footnote w:id="52">
    <w:p w14:paraId="6190E05F" w14:textId="77777777" w:rsidR="004C5F21" w:rsidRPr="008E2B45" w:rsidRDefault="004C5F21" w:rsidP="00A56B08">
      <w:pPr>
        <w:pStyle w:val="FootnoteText"/>
        <w:rPr>
          <w:lang w:val="en-GB"/>
        </w:rPr>
      </w:pPr>
      <w:r w:rsidRPr="008E2B45">
        <w:rPr>
          <w:rStyle w:val="FootnoteReference"/>
          <w:lang w:val="en-GB"/>
        </w:rPr>
        <w:footnoteRef/>
      </w:r>
      <w:r w:rsidRPr="008E2B45">
        <w:rPr>
          <w:lang w:val="en-GB"/>
        </w:rPr>
        <w:t xml:space="preserve"> </w:t>
      </w:r>
      <w:hyperlink r:id="rId41" w:history="1">
        <w:r w:rsidRPr="008E2B45">
          <w:rPr>
            <w:rStyle w:val="Hyperlink"/>
            <w:lang w:val="en-GB"/>
          </w:rPr>
          <w:t>https://www.ons.gov.uk/peoplepopulationandcommunity/wellbeing/bulletins/personalandeconomicwellbeingintheuk/may2020</w:t>
        </w:r>
      </w:hyperlink>
      <w:r w:rsidRPr="008E2B45">
        <w:rPr>
          <w:lang w:val="en-GB"/>
        </w:rPr>
        <w:t xml:space="preserve"> </w:t>
      </w:r>
    </w:p>
  </w:footnote>
  <w:footnote w:id="53">
    <w:p w14:paraId="72A58DEE" w14:textId="0AF55B86" w:rsidR="004C5F21" w:rsidRPr="00053374" w:rsidRDefault="004C5F21">
      <w:pPr>
        <w:pStyle w:val="FootnoteText"/>
        <w:rPr>
          <w:lang w:val="en-GB"/>
        </w:rPr>
      </w:pPr>
      <w:r>
        <w:rPr>
          <w:rStyle w:val="FootnoteReference"/>
        </w:rPr>
        <w:footnoteRef/>
      </w:r>
      <w:r>
        <w:t xml:space="preserve"> Elaine Kempson, David Collings, Christian Poppe and Jamie Evans (2020) </w:t>
      </w:r>
      <w:r w:rsidRPr="002C1913">
        <w:rPr>
          <w:i/>
          <w:iCs/>
        </w:rPr>
        <w:t>Emerging from lockdown: Key Findings from the 3</w:t>
      </w:r>
      <w:r w:rsidRPr="002C1913">
        <w:rPr>
          <w:i/>
          <w:iCs/>
          <w:vertAlign w:val="superscript"/>
        </w:rPr>
        <w:t>rd</w:t>
      </w:r>
      <w:r w:rsidRPr="002C1913">
        <w:rPr>
          <w:i/>
          <w:iCs/>
        </w:rPr>
        <w:t xml:space="preserve"> Coronavirus Financial Impact Tracker Survey</w:t>
      </w:r>
      <w:r>
        <w:t>, Standard Life Foundation</w:t>
      </w:r>
    </w:p>
  </w:footnote>
  <w:footnote w:id="54">
    <w:p w14:paraId="42E13312" w14:textId="77777777" w:rsidR="004C5F21" w:rsidRPr="008E2B45" w:rsidRDefault="004C5F21">
      <w:pPr>
        <w:pStyle w:val="FootnoteText"/>
        <w:rPr>
          <w:lang w:val="en-GB"/>
        </w:rPr>
      </w:pPr>
      <w:r w:rsidRPr="008E2B45">
        <w:rPr>
          <w:rStyle w:val="FootnoteReference"/>
          <w:lang w:val="en-GB"/>
        </w:rPr>
        <w:footnoteRef/>
      </w:r>
      <w:r w:rsidRPr="008E2B45">
        <w:rPr>
          <w:lang w:val="en-GB"/>
        </w:rPr>
        <w:t xml:space="preserve"> See Kempson, E and Collard, S (2012) </w:t>
      </w:r>
      <w:r w:rsidRPr="008E2B45">
        <w:rPr>
          <w:i/>
          <w:lang w:val="en-GB"/>
        </w:rPr>
        <w:t>Developing a vision for financial inclusion</w:t>
      </w:r>
      <w:r w:rsidRPr="008E2B45">
        <w:rPr>
          <w:lang w:val="en-GB"/>
        </w:rPr>
        <w:t>, London: Friends Provident Foundation</w:t>
      </w:r>
    </w:p>
  </w:footnote>
  <w:footnote w:id="55">
    <w:p w14:paraId="00D785B9" w14:textId="32E0FC15" w:rsidR="004C5F21" w:rsidRPr="009E0315" w:rsidRDefault="004C5F21">
      <w:pPr>
        <w:pStyle w:val="FootnoteText"/>
        <w:rPr>
          <w:lang w:val="en-GB"/>
        </w:rPr>
      </w:pPr>
      <w:r>
        <w:rPr>
          <w:rStyle w:val="FootnoteReference"/>
        </w:rPr>
        <w:footnoteRef/>
      </w:r>
      <w:r>
        <w:t xml:space="preserve"> </w:t>
      </w:r>
      <w:r>
        <w:rPr>
          <w:lang w:val="en-GB"/>
        </w:rPr>
        <w:t xml:space="preserve">HM Treasury, March 2007, </w:t>
      </w:r>
      <w:r>
        <w:rPr>
          <w:i/>
          <w:iCs/>
          <w:lang w:val="en-GB"/>
        </w:rPr>
        <w:t>Financial Inclusion: The Way Forward.</w:t>
      </w:r>
    </w:p>
  </w:footnote>
  <w:footnote w:id="56">
    <w:p w14:paraId="75799A41" w14:textId="77777777" w:rsidR="004C5F21" w:rsidRPr="008E2B45" w:rsidRDefault="004C5F21" w:rsidP="000F060E">
      <w:pPr>
        <w:pStyle w:val="FootnoteText"/>
        <w:rPr>
          <w:lang w:val="en-GB"/>
        </w:rPr>
      </w:pPr>
      <w:r w:rsidRPr="008E2B45">
        <w:rPr>
          <w:rStyle w:val="FootnoteReference"/>
          <w:lang w:val="en-GB"/>
        </w:rPr>
        <w:footnoteRef/>
      </w:r>
      <w:r w:rsidRPr="008E2B45">
        <w:rPr>
          <w:lang w:val="en-GB"/>
        </w:rPr>
        <w:t xml:space="preserve"> Source: own analysis of Family Resources Survey for 2008-09 onwards based on previous methodology from HM Treasury which drew data from different questions on account-holding in the FRS. Published HMT figures for 2002-03 (</w:t>
      </w:r>
      <w:hyperlink r:id="rId42" w:history="1">
        <w:r w:rsidRPr="008E2B45">
          <w:rPr>
            <w:rStyle w:val="Hyperlink"/>
            <w:lang w:val="en-GB"/>
          </w:rPr>
          <w:t>http://www.hm-reasury.gov.uk/d/stats_briefing_101210.pdf</w:t>
        </w:r>
      </w:hyperlink>
      <w:r w:rsidRPr="008E2B45">
        <w:rPr>
          <w:lang w:val="en-GB"/>
        </w:rPr>
        <w:t>).</w:t>
      </w:r>
    </w:p>
  </w:footnote>
  <w:footnote w:id="57">
    <w:p w14:paraId="551F9943" w14:textId="77777777" w:rsidR="004C5F21" w:rsidRPr="008E2B45" w:rsidRDefault="004C5F21" w:rsidP="000F060E">
      <w:pPr>
        <w:pStyle w:val="FootnoteText"/>
        <w:rPr>
          <w:lang w:val="en-GB"/>
        </w:rPr>
      </w:pPr>
      <w:r w:rsidRPr="008E2B45">
        <w:rPr>
          <w:rStyle w:val="FootnoteReference"/>
          <w:lang w:val="en-GB"/>
        </w:rPr>
        <w:footnoteRef/>
      </w:r>
      <w:r w:rsidRPr="008E2B45">
        <w:rPr>
          <w:lang w:val="en-GB"/>
        </w:rPr>
        <w:t xml:space="preserve"> Some waves of data have been re-released with new information on weights, so estimates vary slightly from those previously published.</w:t>
      </w:r>
    </w:p>
  </w:footnote>
  <w:footnote w:id="58">
    <w:p w14:paraId="3D705085" w14:textId="577D9105" w:rsidR="004C5F21" w:rsidRPr="008E2B45" w:rsidRDefault="004C5F21">
      <w:pPr>
        <w:pStyle w:val="FootnoteText"/>
        <w:rPr>
          <w:lang w:val="en-GB"/>
        </w:rPr>
      </w:pPr>
      <w:r w:rsidRPr="008E2B45">
        <w:rPr>
          <w:rStyle w:val="FootnoteReference"/>
          <w:lang w:val="en-GB"/>
        </w:rPr>
        <w:footnoteRef/>
      </w:r>
      <w:r w:rsidRPr="008E2B45">
        <w:rPr>
          <w:lang w:val="en-GB"/>
        </w:rPr>
        <w:t xml:space="preserve"> House of Commons Library briefing note, 385 (2016) </w:t>
      </w:r>
      <w:r w:rsidRPr="008E2B45">
        <w:rPr>
          <w:i/>
          <w:lang w:val="en-GB"/>
        </w:rPr>
        <w:t xml:space="preserve">Bank Branch Closures, </w:t>
      </w:r>
      <w:hyperlink r:id="rId43" w:history="1">
        <w:r w:rsidRPr="008E2B45">
          <w:rPr>
            <w:rStyle w:val="Hyperlink"/>
            <w:lang w:val="en-GB"/>
          </w:rPr>
          <w:t>file://cssfs15/home2/rowlingk/rowlingk%20Documents/Admin/College%20DoR/SN00385.pdf</w:t>
        </w:r>
      </w:hyperlink>
      <w:r w:rsidRPr="008E2B45">
        <w:rPr>
          <w:lang w:val="en-GB"/>
        </w:rPr>
        <w:t xml:space="preserve"> </w:t>
      </w:r>
    </w:p>
  </w:footnote>
  <w:footnote w:id="59">
    <w:p w14:paraId="219EA8F3" w14:textId="1BAE15F2"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44" w:history="1">
        <w:r w:rsidRPr="008E2B45">
          <w:rPr>
            <w:rStyle w:val="Hyperlink"/>
            <w:lang w:val="en-GB"/>
          </w:rPr>
          <w:t>https://www.accesstocash.org.uk/media/1087/final-report-final-web.pdf</w:t>
        </w:r>
      </w:hyperlink>
    </w:p>
  </w:footnote>
  <w:footnote w:id="60">
    <w:p w14:paraId="7092571C" w14:textId="499AABF2" w:rsidR="004C5F21" w:rsidRPr="00C75458" w:rsidRDefault="004C5F21">
      <w:pPr>
        <w:pStyle w:val="FootnoteText"/>
        <w:rPr>
          <w:lang w:val="en-GB"/>
        </w:rPr>
      </w:pPr>
      <w:r>
        <w:rPr>
          <w:rStyle w:val="FootnoteReference"/>
        </w:rPr>
        <w:footnoteRef/>
      </w:r>
      <w:r>
        <w:t xml:space="preserve"> </w:t>
      </w:r>
      <w:hyperlink r:id="rId45" w:history="1">
        <w:r w:rsidRPr="00DE76F7">
          <w:rPr>
            <w:rStyle w:val="Hyperlink"/>
          </w:rPr>
          <w:t>https://www.ukfinance.org.uk/system/files/UK-Payment-Markets-Report-2020-SUMMARY.pdf</w:t>
        </w:r>
      </w:hyperlink>
      <w:r>
        <w:t xml:space="preserve"> </w:t>
      </w:r>
    </w:p>
  </w:footnote>
  <w:footnote w:id="61">
    <w:p w14:paraId="78624121" w14:textId="0E9A84A6"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46" w:history="1">
        <w:r w:rsidRPr="008E2B45">
          <w:rPr>
            <w:rStyle w:val="Hyperlink"/>
            <w:lang w:val="en-GB"/>
          </w:rPr>
          <w:t>https://positivemoney.org/2019/12/all-the-latest-on-our-campaign-to-protect-free-access-to-cash/</w:t>
        </w:r>
      </w:hyperlink>
    </w:p>
  </w:footnote>
  <w:footnote w:id="62">
    <w:p w14:paraId="224C1679" w14:textId="1DA3479E"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47" w:history="1">
        <w:r w:rsidRPr="008E2B45">
          <w:rPr>
            <w:rStyle w:val="Hyperlink"/>
            <w:lang w:val="en-GB"/>
          </w:rPr>
          <w:t>https://www.which.co.uk/news/2019/11/bank-branch-closures-risk-leaving-millions-of-people-behind/</w:t>
        </w:r>
      </w:hyperlink>
      <w:r w:rsidRPr="008E2B45">
        <w:rPr>
          <w:lang w:val="en-GB"/>
        </w:rPr>
        <w:t xml:space="preserve"> </w:t>
      </w:r>
    </w:p>
  </w:footnote>
  <w:footnote w:id="63">
    <w:p w14:paraId="3D5CF0C1" w14:textId="55E01F9E"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48" w:history="1">
        <w:r w:rsidRPr="008E2B45">
          <w:rPr>
            <w:rStyle w:val="Hyperlink"/>
            <w:lang w:val="en-GB"/>
          </w:rPr>
          <w:t>https://www.which.co.uk/news/2019/11/uk-banks-suffer-five-it-shutdowns-every-week-how-does-yours-rank/</w:t>
        </w:r>
      </w:hyperlink>
    </w:p>
  </w:footnote>
  <w:footnote w:id="64">
    <w:p w14:paraId="1AA20671" w14:textId="06E675EF" w:rsidR="004C5F21" w:rsidRPr="008E2B45" w:rsidRDefault="004C5F21">
      <w:pPr>
        <w:pStyle w:val="FootnoteText"/>
        <w:rPr>
          <w:lang w:val="en-GB"/>
        </w:rPr>
      </w:pPr>
      <w:r w:rsidRPr="008E2B45">
        <w:rPr>
          <w:rStyle w:val="FootnoteReference"/>
          <w:lang w:val="en-GB"/>
        </w:rPr>
        <w:footnoteRef/>
      </w:r>
      <w:hyperlink r:id="rId49" w:anchor="the-saving-ratio-is-on-a-downward-trend" w:history="1">
        <w:r w:rsidRPr="00DE76F7">
          <w:rPr>
            <w:rStyle w:val="Hyperlink"/>
            <w:lang w:val="en-GB"/>
          </w:rPr>
          <w:t>http://www.ons.gov.uk/economy/nationalaccounts/uksectoraccounts/articles/nationalaccountsarticles/2015-07-01#the-saving-ratio-is-on-a-downward-trend</w:t>
        </w:r>
      </w:hyperlink>
      <w:r w:rsidRPr="008E2B45">
        <w:rPr>
          <w:lang w:val="en-GB"/>
        </w:rPr>
        <w:t>. The Non-Profit Institutions Serving Households sector is currently measured alongside households, and comprises of institutions such as charities and trade unions. For the purposes of the data in this report, any mention of the household sector includes NPISH.</w:t>
      </w:r>
    </w:p>
  </w:footnote>
  <w:footnote w:id="65">
    <w:p w14:paraId="6AF8A097" w14:textId="0E5A9F61"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50" w:history="1">
        <w:r w:rsidRPr="008E2B45">
          <w:rPr>
            <w:rStyle w:val="Hyperlink"/>
            <w:lang w:val="en-GB"/>
          </w:rPr>
          <w:t>https://www.ons.gov.uk/economy/grossdomesticproductgdp/timeseries/nrjs/ukea</w:t>
        </w:r>
      </w:hyperlink>
      <w:r w:rsidRPr="008E2B45">
        <w:rPr>
          <w:lang w:val="en-GB"/>
        </w:rPr>
        <w:t xml:space="preserve"> </w:t>
      </w:r>
    </w:p>
  </w:footnote>
  <w:footnote w:id="66">
    <w:p w14:paraId="6C713DCC" w14:textId="373131E1" w:rsidR="004C5F21" w:rsidRPr="00AA0467" w:rsidRDefault="004C5F21">
      <w:pPr>
        <w:pStyle w:val="FootnoteText"/>
        <w:rPr>
          <w:lang w:val="en-GB"/>
        </w:rPr>
      </w:pPr>
      <w:r>
        <w:rPr>
          <w:rStyle w:val="FootnoteReference"/>
        </w:rPr>
        <w:footnoteRef/>
      </w:r>
      <w:r>
        <w:t xml:space="preserve"> </w:t>
      </w:r>
      <w:r>
        <w:rPr>
          <w:lang w:val="en-GB"/>
        </w:rPr>
        <w:t xml:space="preserve">More specifically, </w:t>
      </w:r>
      <w:r w:rsidRPr="00AA0467">
        <w:rPr>
          <w:lang w:val="en-GB"/>
        </w:rPr>
        <w:t>the year 4 bonus will be 50</w:t>
      </w:r>
      <w:r>
        <w:rPr>
          <w:lang w:val="en-GB"/>
        </w:rPr>
        <w:t xml:space="preserve"> per cent</w:t>
      </w:r>
      <w:r w:rsidRPr="00AA0467">
        <w:rPr>
          <w:lang w:val="en-GB"/>
        </w:rPr>
        <w:t xml:space="preserve"> of the difference between the highest balance saved in the first 2 years and the highest balance saved in the last 2 years</w:t>
      </w:r>
      <w:r>
        <w:rPr>
          <w:lang w:val="en-GB"/>
        </w:rPr>
        <w:t>.</w:t>
      </w:r>
    </w:p>
  </w:footnote>
  <w:footnote w:id="67">
    <w:p w14:paraId="4B74EF40" w14:textId="164C9792" w:rsidR="004C5F21" w:rsidRPr="00B2094C" w:rsidRDefault="004C5F21">
      <w:pPr>
        <w:pStyle w:val="FootnoteText"/>
        <w:rPr>
          <w:lang w:val="en-GB"/>
        </w:rPr>
      </w:pPr>
      <w:r>
        <w:rPr>
          <w:rStyle w:val="FootnoteReference"/>
        </w:rPr>
        <w:footnoteRef/>
      </w:r>
      <w:r>
        <w:t xml:space="preserve"> </w:t>
      </w:r>
      <w:hyperlink r:id="rId51" w:history="1">
        <w:r w:rsidRPr="004F0F84">
          <w:rPr>
            <w:rStyle w:val="Hyperlink"/>
          </w:rPr>
          <w:t>https://assets.publishing.service.gov.uk/government/uploads/system/uploads/attachment_data/file/912379/Help_to_Save_August_2020.pdf</w:t>
        </w:r>
      </w:hyperlink>
      <w:r>
        <w:t xml:space="preserve"> </w:t>
      </w:r>
    </w:p>
  </w:footnote>
  <w:footnote w:id="68">
    <w:p w14:paraId="3D95F93D" w14:textId="62F90085"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52" w:history="1">
        <w:r w:rsidRPr="008E2B45">
          <w:rPr>
            <w:rStyle w:val="Hyperlink"/>
            <w:lang w:val="en-GB"/>
          </w:rPr>
          <w:t>https://www.thisismoney.co.uk/money/saving/article-7411637/More-40-000-signed-Help-Save-six-months-say-HMRC.html</w:t>
        </w:r>
      </w:hyperlink>
    </w:p>
  </w:footnote>
  <w:footnote w:id="69">
    <w:p w14:paraId="3845BB69" w14:textId="6E643B5A"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53" w:history="1">
        <w:r w:rsidRPr="008E2B45">
          <w:rPr>
            <w:rStyle w:val="Hyperlink"/>
            <w:lang w:val="en-GB"/>
          </w:rPr>
          <w:t>https://www.resolutionfoundation.org/app/uploads/2020/06/Rainy-Days.pdf</w:t>
        </w:r>
      </w:hyperlink>
    </w:p>
  </w:footnote>
  <w:footnote w:id="70">
    <w:p w14:paraId="0058C274" w14:textId="7EDF4B82" w:rsidR="004C5F21" w:rsidRPr="009F6269" w:rsidRDefault="004C5F21">
      <w:pPr>
        <w:pStyle w:val="FootnoteText"/>
        <w:rPr>
          <w:lang w:val="en-GB"/>
        </w:rPr>
      </w:pPr>
      <w:r>
        <w:rPr>
          <w:rStyle w:val="FootnoteReference"/>
        </w:rPr>
        <w:footnoteRef/>
      </w:r>
      <w:r>
        <w:t xml:space="preserve"> </w:t>
      </w:r>
      <w:r>
        <w:rPr>
          <w:lang w:val="en-GB"/>
        </w:rPr>
        <w:t>In these ONS figures, ‘a</w:t>
      </w:r>
      <w:r w:rsidRPr="009F6269">
        <w:rPr>
          <w:lang w:val="en-GB"/>
        </w:rPr>
        <w:t>ctive members are current employees who would normally contribute to the pension scheme (or have contributions made on their behalf)</w:t>
      </w:r>
      <w:r>
        <w:rPr>
          <w:lang w:val="en-GB"/>
        </w:rPr>
        <w:t>’</w:t>
      </w:r>
      <w:r w:rsidRPr="009F6269">
        <w:rPr>
          <w:lang w:val="en-GB"/>
        </w:rPr>
        <w:t>.</w:t>
      </w:r>
    </w:p>
  </w:footnote>
  <w:footnote w:id="71">
    <w:p w14:paraId="1F675EDB" w14:textId="55A47768"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54" w:history="1">
        <w:r w:rsidRPr="00DE76F7">
          <w:rPr>
            <w:rStyle w:val="Hyperlink"/>
            <w:lang w:val="en-GB"/>
          </w:rPr>
          <w:t>https://www.ons.gov.uk/peoplepopulationandcommunity/personalandhouseholdfinances/pensionssavingsandinvestments/bulletins/occupationalpensionschemessurvey/uk2017</w:t>
        </w:r>
      </w:hyperlink>
      <w:r>
        <w:rPr>
          <w:lang w:val="en-GB"/>
        </w:rPr>
        <w:t xml:space="preserve"> </w:t>
      </w:r>
    </w:p>
  </w:footnote>
  <w:footnote w:id="72">
    <w:p w14:paraId="0288A135" w14:textId="4570D76E" w:rsidR="004C5F21" w:rsidRPr="008E2B45" w:rsidRDefault="004C5F21" w:rsidP="00301B04">
      <w:pPr>
        <w:pStyle w:val="FootnoteText"/>
        <w:rPr>
          <w:lang w:val="en-GB"/>
        </w:rPr>
      </w:pPr>
      <w:r w:rsidRPr="008E2B45">
        <w:rPr>
          <w:rStyle w:val="FootnoteReference"/>
          <w:lang w:val="en-GB"/>
        </w:rPr>
        <w:footnoteRef/>
      </w:r>
      <w:r w:rsidRPr="008E2B45">
        <w:rPr>
          <w:lang w:val="en-GB"/>
        </w:rPr>
        <w:t xml:space="preserve"> </w:t>
      </w:r>
      <w:hyperlink r:id="rId55" w:history="1">
        <w:r w:rsidRPr="00DE76F7">
          <w:rPr>
            <w:rStyle w:val="Hyperlink"/>
            <w:lang w:val="en-GB"/>
          </w:rPr>
          <w:t>http://www.nestpensions.org.uk/schemeweb/NestWeb/includes/public/docs/NEST-in-numbers_April_2017,PDF.pdf</w:t>
        </w:r>
      </w:hyperlink>
      <w:r>
        <w:rPr>
          <w:lang w:val="en-GB"/>
        </w:rPr>
        <w:t xml:space="preserve"> </w:t>
      </w:r>
    </w:p>
  </w:footnote>
  <w:footnote w:id="73">
    <w:p w14:paraId="72B78557" w14:textId="514407E7"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56" w:history="1">
        <w:r w:rsidRPr="008E2B45">
          <w:rPr>
            <w:rStyle w:val="Hyperlink"/>
            <w:lang w:val="en-GB"/>
          </w:rPr>
          <w:t>https://www.resolutionfoundation.org/app/uploads/2020/01/An-outstanding-balance.pdf</w:t>
        </w:r>
      </w:hyperlink>
    </w:p>
  </w:footnote>
  <w:footnote w:id="74">
    <w:p w14:paraId="75B7628A" w14:textId="174C395A" w:rsidR="004C5F21" w:rsidRPr="008E2B45" w:rsidRDefault="004C5F21" w:rsidP="002641A3">
      <w:pPr>
        <w:rPr>
          <w:rFonts w:ascii="Calibri" w:eastAsia="Times New Roman" w:hAnsi="Calibri" w:cs="Calibri"/>
          <w:color w:val="0563C1"/>
          <w:u w:val="single"/>
          <w:lang w:val="en-GB" w:eastAsia="en-GB" w:bidi="ar-SA"/>
        </w:rPr>
      </w:pPr>
      <w:r w:rsidRPr="008E2B45">
        <w:rPr>
          <w:rStyle w:val="FootnoteReference"/>
          <w:lang w:val="en-GB"/>
        </w:rPr>
        <w:footnoteRef/>
      </w:r>
      <w:r w:rsidRPr="008E2B45">
        <w:rPr>
          <w:lang w:val="en-GB"/>
        </w:rPr>
        <w:t xml:space="preserve"> </w:t>
      </w:r>
      <w:hyperlink r:id="rId57" w:history="1">
        <w:r w:rsidRPr="008E2B45">
          <w:rPr>
            <w:rFonts w:ascii="Calibri" w:eastAsia="Times New Roman" w:hAnsi="Calibri" w:cs="Calibri"/>
            <w:color w:val="0563C1"/>
            <w:u w:val="single"/>
            <w:lang w:val="en-GB" w:eastAsia="en-GB" w:bidi="ar-SA"/>
          </w:rPr>
          <w:t>https://www.ons.gov.uk/peoplepopulationandcommunity/personalandhouseholdfinances/incomeandwealth/bulletins/householddebtingreatbritain/latest</w:t>
        </w:r>
      </w:hyperlink>
    </w:p>
    <w:p w14:paraId="09059390" w14:textId="3DF09FA0" w:rsidR="004C5F21" w:rsidRPr="008E2B45" w:rsidRDefault="004C5F21">
      <w:pPr>
        <w:pStyle w:val="FootnoteText"/>
        <w:rPr>
          <w:lang w:val="en-GB"/>
        </w:rPr>
      </w:pPr>
      <w:r w:rsidRPr="008E2B45">
        <w:rPr>
          <w:lang w:val="en-GB"/>
        </w:rPr>
        <w:t xml:space="preserve"> </w:t>
      </w:r>
    </w:p>
  </w:footnote>
  <w:footnote w:id="75">
    <w:p w14:paraId="5368DFFA" w14:textId="5935A2CD"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58" w:history="1">
        <w:r w:rsidRPr="008E2B45">
          <w:rPr>
            <w:rStyle w:val="Hyperlink"/>
            <w:lang w:val="en-GB"/>
          </w:rPr>
          <w:t>https://commonslibrary.parliament.uk/research-briefings/sn01079/</w:t>
        </w:r>
      </w:hyperlink>
      <w:r w:rsidRPr="008E2B45">
        <w:rPr>
          <w:lang w:val="en-GB"/>
        </w:rPr>
        <w:t xml:space="preserve"> </w:t>
      </w:r>
    </w:p>
  </w:footnote>
  <w:footnote w:id="76">
    <w:p w14:paraId="611F9975" w14:textId="538BB957"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59" w:history="1">
        <w:r w:rsidRPr="008E2B45">
          <w:rPr>
            <w:rStyle w:val="Hyperlink"/>
            <w:lang w:val="en-GB"/>
          </w:rPr>
          <w:t>https://www.slc.co.uk/official-statistics/student-loans-debt-and-repayment/england.aspx</w:t>
        </w:r>
      </w:hyperlink>
      <w:r w:rsidRPr="008E2B45">
        <w:rPr>
          <w:lang w:val="en-GB"/>
        </w:rPr>
        <w:t xml:space="preserve">, </w:t>
      </w:r>
      <w:hyperlink r:id="rId60" w:history="1">
        <w:r w:rsidRPr="008E2B45">
          <w:rPr>
            <w:rStyle w:val="Hyperlink"/>
            <w:lang w:val="en-GB"/>
          </w:rPr>
          <w:t>https://commonslibrary.parliament.uk/research-briefings/sn01079/</w:t>
        </w:r>
      </w:hyperlink>
    </w:p>
  </w:footnote>
  <w:footnote w:id="77">
    <w:p w14:paraId="7DDB9CFC" w14:textId="7512865A"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61" w:history="1">
        <w:r w:rsidRPr="008E2B45">
          <w:rPr>
            <w:rStyle w:val="Hyperlink"/>
            <w:lang w:val="en-GB"/>
          </w:rPr>
          <w:t>https://commonslibrary.parliament.uk/research-briefings/sn01079/</w:t>
        </w:r>
      </w:hyperlink>
    </w:p>
  </w:footnote>
  <w:footnote w:id="78">
    <w:p w14:paraId="6E2BC5E3" w14:textId="77777777" w:rsidR="004C5F21" w:rsidRPr="008E2B45" w:rsidRDefault="004C5F21" w:rsidP="00947305">
      <w:pPr>
        <w:pStyle w:val="FootnoteText"/>
        <w:rPr>
          <w:lang w:val="en-GB"/>
        </w:rPr>
      </w:pPr>
      <w:r w:rsidRPr="008E2B45">
        <w:rPr>
          <w:rStyle w:val="FootnoteReference"/>
          <w:lang w:val="en-GB"/>
        </w:rPr>
        <w:footnoteRef/>
      </w:r>
      <w:r w:rsidRPr="008E2B45">
        <w:rPr>
          <w:lang w:val="en-GB"/>
        </w:rPr>
        <w:t xml:space="preserve"> </w:t>
      </w:r>
      <w:hyperlink r:id="rId62" w:history="1">
        <w:r w:rsidRPr="008E2B45">
          <w:rPr>
            <w:rStyle w:val="Hyperlink"/>
            <w:lang w:val="en-GB"/>
          </w:rPr>
          <w:t>https://www.slc.co.uk/official-statistics/student-loans-debt-and-repayment/england.aspx</w:t>
        </w:r>
      </w:hyperlink>
      <w:r w:rsidRPr="008E2B45">
        <w:rPr>
          <w:lang w:val="en-GB"/>
        </w:rPr>
        <w:t xml:space="preserve"> </w:t>
      </w:r>
    </w:p>
  </w:footnote>
  <w:footnote w:id="79">
    <w:p w14:paraId="6010342F" w14:textId="08C6A8D4" w:rsidR="004C5F21" w:rsidRPr="008E2B45" w:rsidRDefault="004C5F21" w:rsidP="00BE2F4B">
      <w:pPr>
        <w:pStyle w:val="FootnoteText"/>
        <w:rPr>
          <w:lang w:val="en-GB"/>
        </w:rPr>
      </w:pPr>
      <w:r w:rsidRPr="008E2B45">
        <w:rPr>
          <w:rStyle w:val="FootnoteReference"/>
          <w:lang w:val="en-GB"/>
        </w:rPr>
        <w:footnoteRef/>
      </w:r>
      <w:r w:rsidRPr="008E2B45">
        <w:rPr>
          <w:lang w:val="en-GB"/>
        </w:rPr>
        <w:t xml:space="preserve"> FCA (2017) Understanding the financial lives of UK adults: Findings from the FCA’s Financial Lives Survey 2017 </w:t>
      </w:r>
      <w:hyperlink r:id="rId63" w:history="1">
        <w:r w:rsidRPr="008E2B45">
          <w:rPr>
            <w:rStyle w:val="Hyperlink"/>
            <w:lang w:val="en-GB"/>
          </w:rPr>
          <w:t>https://www.fca.org.uk/publication/research/financial-lives-survey-2017.pdf</w:t>
        </w:r>
      </w:hyperlink>
    </w:p>
  </w:footnote>
  <w:footnote w:id="80">
    <w:p w14:paraId="68AED4C0" w14:textId="77777777" w:rsidR="004C5F21" w:rsidRPr="008E2B45" w:rsidRDefault="004C5F21" w:rsidP="00BE2F4B">
      <w:pPr>
        <w:pStyle w:val="FootnoteText"/>
        <w:rPr>
          <w:lang w:val="en-GB"/>
        </w:rPr>
      </w:pPr>
      <w:r w:rsidRPr="008E2B45">
        <w:rPr>
          <w:rStyle w:val="FootnoteReference"/>
          <w:lang w:val="en-GB"/>
        </w:rPr>
        <w:footnoteRef/>
      </w:r>
      <w:r w:rsidRPr="008E2B45">
        <w:rPr>
          <w:lang w:val="en-GB"/>
        </w:rPr>
        <w:t xml:space="preserve"> defined in terms of payday loans, short</w:t>
      </w:r>
      <w:r w:rsidRPr="008E2B45">
        <w:rPr>
          <w:rFonts w:ascii="Cambria Math" w:hAnsi="Cambria Math" w:cs="Cambria Math"/>
          <w:lang w:val="en-GB"/>
        </w:rPr>
        <w:t>‑</w:t>
      </w:r>
      <w:r w:rsidRPr="008E2B45">
        <w:rPr>
          <w:lang w:val="en-GB"/>
        </w:rPr>
        <w:t>term instalment loans, home collected loans, pawnbroking, hire purchase (other than for a motor vehicle) and logbook loans.</w:t>
      </w:r>
    </w:p>
  </w:footnote>
  <w:footnote w:id="81">
    <w:p w14:paraId="71A3CDB4" w14:textId="357889B7"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64" w:history="1">
        <w:r w:rsidRPr="008E2B45">
          <w:rPr>
            <w:rStyle w:val="Hyperlink"/>
            <w:lang w:val="en-GB"/>
          </w:rPr>
          <w:t>https://www.bankofengland.co.uk/statistics/credit-union/2019/2019-q4</w:t>
        </w:r>
      </w:hyperlink>
      <w:r w:rsidRPr="008E2B45">
        <w:rPr>
          <w:lang w:val="en-GB"/>
        </w:rPr>
        <w:t xml:space="preserve"> </w:t>
      </w:r>
    </w:p>
  </w:footnote>
  <w:footnote w:id="82">
    <w:p w14:paraId="4DC18EF1" w14:textId="77777777" w:rsidR="004C5F21" w:rsidRPr="008E2B45" w:rsidRDefault="004C5F21" w:rsidP="00314DD4">
      <w:pPr>
        <w:pStyle w:val="FootnoteText"/>
        <w:rPr>
          <w:lang w:val="en-GB"/>
        </w:rPr>
      </w:pPr>
      <w:r w:rsidRPr="008E2B45">
        <w:rPr>
          <w:rStyle w:val="FootnoteReference"/>
          <w:lang w:val="en-GB"/>
        </w:rPr>
        <w:footnoteRef/>
      </w:r>
      <w:r w:rsidRPr="008E2B45">
        <w:rPr>
          <w:lang w:val="en-GB"/>
        </w:rPr>
        <w:t xml:space="preserve"> </w:t>
      </w:r>
      <w:hyperlink r:id="rId65" w:history="1">
        <w:r w:rsidRPr="008E2B45">
          <w:rPr>
            <w:rStyle w:val="Hyperlink"/>
            <w:lang w:val="en-GB"/>
          </w:rPr>
          <w:t>https://www.bankofengland.co.uk/statistics/credit-union/2019/2019-q4</w:t>
        </w:r>
      </w:hyperlink>
      <w:r w:rsidRPr="008E2B45">
        <w:rPr>
          <w:lang w:val="en-GB"/>
        </w:rPr>
        <w:t xml:space="preserve"> </w:t>
      </w:r>
    </w:p>
  </w:footnote>
  <w:footnote w:id="83">
    <w:p w14:paraId="6D6B5D78" w14:textId="77777777" w:rsidR="004C5F21" w:rsidRPr="008E2B45" w:rsidRDefault="004C5F21" w:rsidP="004D1175">
      <w:pPr>
        <w:pStyle w:val="FootnoteText"/>
        <w:rPr>
          <w:lang w:val="en-GB"/>
        </w:rPr>
      </w:pPr>
      <w:r w:rsidRPr="008E2B45">
        <w:rPr>
          <w:rStyle w:val="FootnoteReference"/>
          <w:lang w:val="en-GB"/>
        </w:rPr>
        <w:footnoteRef/>
      </w:r>
      <w:r w:rsidRPr="008E2B45">
        <w:rPr>
          <w:lang w:val="en-GB"/>
        </w:rPr>
        <w:t xml:space="preserve"> </w:t>
      </w:r>
      <w:hyperlink r:id="rId66" w:history="1">
        <w:r w:rsidRPr="008E2B45">
          <w:rPr>
            <w:rStyle w:val="Hyperlink"/>
            <w:lang w:val="en-GB"/>
          </w:rPr>
          <w:t>https://www.ifs.org.uk/publications/14820</w:t>
        </w:r>
      </w:hyperlink>
    </w:p>
  </w:footnote>
  <w:footnote w:id="84">
    <w:p w14:paraId="07277D63" w14:textId="32228506"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67" w:history="1">
        <w:r w:rsidRPr="008E2B45">
          <w:rPr>
            <w:rStyle w:val="Hyperlink"/>
            <w:lang w:val="en-GB"/>
          </w:rPr>
          <w:t>https://www.ifs.org.uk/publications/14820</w:t>
        </w:r>
      </w:hyperlink>
    </w:p>
  </w:footnote>
  <w:footnote w:id="85">
    <w:p w14:paraId="5A950C60" w14:textId="67A24EB6" w:rsidR="004C5F21" w:rsidRPr="008E2B45" w:rsidRDefault="004C5F21">
      <w:pPr>
        <w:pStyle w:val="FootnoteText"/>
        <w:rPr>
          <w:lang w:val="en-GB"/>
        </w:rPr>
      </w:pPr>
      <w:r w:rsidRPr="008E2B45">
        <w:rPr>
          <w:rStyle w:val="FootnoteReference"/>
          <w:lang w:val="en-GB"/>
        </w:rPr>
        <w:footnoteRef/>
      </w:r>
      <w:r w:rsidRPr="008E2B45">
        <w:rPr>
          <w:lang w:val="en-GB"/>
        </w:rPr>
        <w:t xml:space="preserve"> StepChange Debt Charity (2020) Coronavirus and personal debt: a financial recovery strategy for households June 2020 </w:t>
      </w:r>
      <w:hyperlink r:id="rId68" w:history="1">
        <w:r w:rsidRPr="008E2B45">
          <w:rPr>
            <w:rStyle w:val="Hyperlink"/>
            <w:lang w:val="en-GB"/>
          </w:rPr>
          <w:t>https://www.stepchange.org/Portals/0/assets/pdf/coronavirus-policy-briefing-stepchange.pdf</w:t>
        </w:r>
      </w:hyperlink>
    </w:p>
  </w:footnote>
  <w:footnote w:id="86">
    <w:p w14:paraId="6BA49A47" w14:textId="76CFCF2F" w:rsidR="004C5F21" w:rsidRPr="00350EB7" w:rsidRDefault="004C5F21">
      <w:pPr>
        <w:pStyle w:val="FootnoteText"/>
        <w:rPr>
          <w:lang w:val="en-GB"/>
        </w:rPr>
      </w:pPr>
      <w:r>
        <w:rPr>
          <w:rStyle w:val="FootnoteReference"/>
        </w:rPr>
        <w:footnoteRef/>
      </w:r>
      <w:r>
        <w:t xml:space="preserve"> </w:t>
      </w:r>
      <w:r w:rsidRPr="00350EB7">
        <w:t>Elaine Kempson, David Collings, Christian Poppe and Jamie Evans (2020) Emerging from lockdown: Key Findings from the 3rd Coronavirus Financial Impact Tracker Survey, Standard Life Foundation</w:t>
      </w:r>
    </w:p>
  </w:footnote>
  <w:footnote w:id="87">
    <w:p w14:paraId="45F28670" w14:textId="77777777" w:rsidR="004C5F21" w:rsidRPr="008E2B45" w:rsidRDefault="004C5F21" w:rsidP="00D32434">
      <w:pPr>
        <w:pStyle w:val="FootnoteText"/>
        <w:rPr>
          <w:lang w:val="en-GB"/>
        </w:rPr>
      </w:pPr>
      <w:r w:rsidRPr="008E2B45">
        <w:rPr>
          <w:rStyle w:val="FootnoteReference"/>
          <w:lang w:val="en-GB"/>
        </w:rPr>
        <w:footnoteRef/>
      </w:r>
      <w:r w:rsidRPr="008E2B45">
        <w:rPr>
          <w:lang w:val="en-GB"/>
        </w:rPr>
        <w:t xml:space="preserve"> See the Insolvency Service website: </w:t>
      </w:r>
      <w:hyperlink r:id="rId69" w:history="1">
        <w:r w:rsidRPr="008E2B45">
          <w:rPr>
            <w:rStyle w:val="Hyperlink"/>
            <w:lang w:val="en-GB"/>
          </w:rPr>
          <w:t>http://www.bis.gov.uk/insolvency</w:t>
        </w:r>
      </w:hyperlink>
      <w:r w:rsidRPr="008E2B45">
        <w:rPr>
          <w:lang w:val="en-GB"/>
        </w:rPr>
        <w:t xml:space="preserve"> </w:t>
      </w:r>
    </w:p>
  </w:footnote>
  <w:footnote w:id="88">
    <w:p w14:paraId="384A7ECE" w14:textId="6FAC9CC1"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70" w:history="1">
        <w:r w:rsidRPr="008E2B45">
          <w:rPr>
            <w:rStyle w:val="Hyperlink"/>
            <w:lang w:val="en-GB"/>
          </w:rPr>
          <w:t>https://www.gov.uk/government/statistics/individual-insolvency-statistics-january-to-march-2019</w:t>
        </w:r>
      </w:hyperlink>
      <w:r w:rsidRPr="008E2B45">
        <w:rPr>
          <w:lang w:val="en-GB"/>
        </w:rPr>
        <w:t xml:space="preserve"> </w:t>
      </w:r>
    </w:p>
  </w:footnote>
  <w:footnote w:id="89">
    <w:p w14:paraId="04BBCEB3" w14:textId="19A10D6E"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71" w:history="1">
        <w:r w:rsidRPr="008E2B45">
          <w:rPr>
            <w:rStyle w:val="Hyperlink"/>
            <w:lang w:val="en-GB"/>
          </w:rPr>
          <w:t>https://www.gov.uk/government/statistics/mortgage-and-landlord-possession-statistics-october-to-december-2019</w:t>
        </w:r>
      </w:hyperlink>
    </w:p>
  </w:footnote>
  <w:footnote w:id="90">
    <w:p w14:paraId="3C4BEDCD" w14:textId="0FFC49D6"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72" w:history="1">
        <w:r w:rsidRPr="008E2B45">
          <w:rPr>
            <w:rStyle w:val="Hyperlink"/>
            <w:lang w:val="en-GB"/>
          </w:rPr>
          <w:t>https://www.gov.uk/government/statistics/mortgage-and-landlord-possession-statistics-october-to-december-2019</w:t>
        </w:r>
      </w:hyperlink>
      <w:r w:rsidRPr="008E2B45">
        <w:rPr>
          <w:lang w:val="en-GB"/>
        </w:rPr>
        <w:t xml:space="preserve"> </w:t>
      </w:r>
    </w:p>
  </w:footnote>
  <w:footnote w:id="91">
    <w:p w14:paraId="5B8DA8C4" w14:textId="6EB89E7D" w:rsidR="004C5F21" w:rsidRPr="008E2B45" w:rsidRDefault="004C5F21" w:rsidP="00581CF6">
      <w:pPr>
        <w:pStyle w:val="FootnoteText"/>
        <w:rPr>
          <w:lang w:val="en-GB"/>
        </w:rPr>
      </w:pPr>
      <w:r w:rsidRPr="008E2B45">
        <w:rPr>
          <w:rStyle w:val="FootnoteReference"/>
          <w:lang w:val="en-GB"/>
        </w:rPr>
        <w:footnoteRef/>
      </w:r>
      <w:r w:rsidRPr="008E2B45">
        <w:rPr>
          <w:lang w:val="en-GB"/>
        </w:rPr>
        <w:t xml:space="preserve"> Kempson, E. (2016) What explains the low impact of the financial crisis on levels of arrears among UK households? in Ferretti, F (ed) </w:t>
      </w:r>
      <w:r w:rsidRPr="008E2B45">
        <w:rPr>
          <w:i/>
          <w:iCs/>
          <w:lang w:val="en-GB"/>
        </w:rPr>
        <w:t>Comparative Perspectives of Consumer Over-Indebtedness. A View from the UK, Germany, Greece, and Italy.</w:t>
      </w:r>
      <w:r w:rsidRPr="008E2B45">
        <w:rPr>
          <w:lang w:val="en-GB"/>
        </w:rPr>
        <w:t xml:space="preserve"> Eleven International Publishing</w:t>
      </w:r>
    </w:p>
  </w:footnote>
  <w:footnote w:id="92">
    <w:p w14:paraId="2BA0CE9F" w14:textId="56DDD57B" w:rsidR="004C5F21" w:rsidRPr="00926DB8" w:rsidRDefault="004C5F21">
      <w:pPr>
        <w:pStyle w:val="FootnoteText"/>
        <w:rPr>
          <w:lang w:val="en-GB"/>
        </w:rPr>
      </w:pPr>
      <w:r>
        <w:rPr>
          <w:rStyle w:val="FootnoteReference"/>
        </w:rPr>
        <w:footnoteRef/>
      </w:r>
      <w:r>
        <w:t xml:space="preserve"> </w:t>
      </w:r>
      <w:r>
        <w:rPr>
          <w:lang w:val="en-GB"/>
        </w:rPr>
        <w:t xml:space="preserve">Page 13 of </w:t>
      </w:r>
      <w:hyperlink r:id="rId73" w:history="1">
        <w:r w:rsidRPr="00DE76F7">
          <w:rPr>
            <w:rStyle w:val="Hyperlink"/>
            <w:lang w:val="en-GB"/>
          </w:rPr>
          <w:t>https://www.bankofengland.co.uk/-/media/boe/files/financial-stability-report/2020/august-2020.pdf</w:t>
        </w:r>
      </w:hyperlink>
      <w:r>
        <w:rPr>
          <w:lang w:val="en-GB"/>
        </w:rPr>
        <w:t xml:space="preserve">. </w:t>
      </w:r>
    </w:p>
  </w:footnote>
  <w:footnote w:id="93">
    <w:p w14:paraId="5EEC433F" w14:textId="42FD3F17" w:rsidR="004C5F21" w:rsidRPr="00CC5663" w:rsidRDefault="004C5F21">
      <w:pPr>
        <w:pStyle w:val="FootnoteText"/>
        <w:rPr>
          <w:lang w:val="en-GB"/>
        </w:rPr>
      </w:pPr>
      <w:r>
        <w:rPr>
          <w:rStyle w:val="FootnoteReference"/>
        </w:rPr>
        <w:footnoteRef/>
      </w:r>
      <w:r>
        <w:t xml:space="preserve"> </w:t>
      </w:r>
      <w:hyperlink r:id="rId74" w:history="1">
        <w:r>
          <w:rPr>
            <w:rStyle w:val="Hyperlink"/>
          </w:rPr>
          <w:t>https://www.bankofengland.co.uk/credit-conditions-survey/2020/2020-q2</w:t>
        </w:r>
      </w:hyperlink>
      <w:r>
        <w:t xml:space="preserve"> </w:t>
      </w:r>
    </w:p>
  </w:footnote>
  <w:footnote w:id="94">
    <w:p w14:paraId="2DFBAEAA" w14:textId="50A4302C" w:rsidR="004C5F21" w:rsidRPr="00A75173" w:rsidRDefault="004C5F21">
      <w:pPr>
        <w:pStyle w:val="FootnoteText"/>
        <w:rPr>
          <w:lang w:val="en-GB"/>
        </w:rPr>
      </w:pPr>
      <w:r>
        <w:rPr>
          <w:rStyle w:val="FootnoteReference"/>
        </w:rPr>
        <w:footnoteRef/>
      </w:r>
      <w:r>
        <w:t xml:space="preserve"> </w:t>
      </w:r>
      <w:r>
        <w:rPr>
          <w:lang w:val="en-GB"/>
        </w:rPr>
        <w:t xml:space="preserve">E.g. Chart B1 </w:t>
      </w:r>
      <w:hyperlink r:id="rId75" w:history="1">
        <w:r>
          <w:rPr>
            <w:rStyle w:val="Hyperlink"/>
          </w:rPr>
          <w:t>https://www.bankofengland.co.uk/-/media/boe/files/financial-stability-report/2020/august-2020.pdf</w:t>
        </w:r>
      </w:hyperlink>
    </w:p>
  </w:footnote>
  <w:footnote w:id="95">
    <w:p w14:paraId="7C6CF813" w14:textId="77777777" w:rsidR="004C5F21" w:rsidRPr="008E2B45" w:rsidRDefault="004C5F21" w:rsidP="00350EB7">
      <w:pPr>
        <w:pStyle w:val="FootnoteText"/>
        <w:rPr>
          <w:lang w:val="en-GB"/>
        </w:rPr>
      </w:pPr>
      <w:r w:rsidRPr="008E2B45">
        <w:rPr>
          <w:rStyle w:val="FootnoteReference"/>
          <w:lang w:val="en-GB"/>
        </w:rPr>
        <w:footnoteRef/>
      </w:r>
      <w:r w:rsidRPr="008E2B45">
        <w:rPr>
          <w:lang w:val="en-GB"/>
        </w:rPr>
        <w:t xml:space="preserve"> </w:t>
      </w:r>
      <w:hyperlink r:id="rId76" w:history="1">
        <w:r w:rsidRPr="008E2B45">
          <w:rPr>
            <w:rStyle w:val="Hyperlink"/>
            <w:lang w:val="en-GB"/>
          </w:rPr>
          <w:t>https://england.shelter.org.uk/media/press_releases/articles/230,000_renters_at_risk_of_covid-eviction_when_the_government_ban_lifts</w:t>
        </w:r>
      </w:hyperlink>
    </w:p>
  </w:footnote>
  <w:footnote w:id="96">
    <w:p w14:paraId="3CC097A1" w14:textId="77777777" w:rsidR="004C5F21" w:rsidRPr="008E2B45" w:rsidRDefault="004C5F21" w:rsidP="00F33B89">
      <w:pPr>
        <w:pStyle w:val="FootnoteText"/>
        <w:rPr>
          <w:lang w:val="en-GB"/>
        </w:rPr>
      </w:pPr>
      <w:r w:rsidRPr="008E2B45">
        <w:rPr>
          <w:rStyle w:val="FootnoteReference"/>
          <w:lang w:val="en-GB"/>
        </w:rPr>
        <w:footnoteRef/>
      </w:r>
      <w:r w:rsidRPr="008E2B45">
        <w:rPr>
          <w:lang w:val="en-GB"/>
        </w:rPr>
        <w:t xml:space="preserve"> Dayson, K, Vik, P and Ward, A (2009) Developing models for delivering insurance through CDFIs – opportunities and risks, Community Finance Solutions</w:t>
      </w:r>
    </w:p>
  </w:footnote>
  <w:footnote w:id="97">
    <w:p w14:paraId="5BE4C67C" w14:textId="7C5A17B4"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77" w:history="1">
        <w:r w:rsidRPr="008E2B45">
          <w:rPr>
            <w:rStyle w:val="Hyperlink"/>
            <w:lang w:val="en-GB"/>
          </w:rPr>
          <w:t>https://cpag.org.uk/news-blogs/news-listings/covid-capped</w:t>
        </w:r>
      </w:hyperlink>
    </w:p>
  </w:footnote>
  <w:footnote w:id="98">
    <w:p w14:paraId="23A36CC4" w14:textId="468216B1" w:rsidR="004C5F21" w:rsidRPr="00D32B61" w:rsidRDefault="004C5F21">
      <w:pPr>
        <w:pStyle w:val="FootnoteText"/>
        <w:rPr>
          <w:lang w:val="en-GB"/>
        </w:rPr>
      </w:pPr>
      <w:r>
        <w:rPr>
          <w:rStyle w:val="FootnoteReference"/>
        </w:rPr>
        <w:footnoteRef/>
      </w:r>
      <w:r>
        <w:t xml:space="preserve"> </w:t>
      </w:r>
      <w:hyperlink r:id="rId78" w:history="1">
        <w:r w:rsidRPr="00EE200C">
          <w:rPr>
            <w:rStyle w:val="Hyperlink"/>
          </w:rPr>
          <w:t>https://www.ukdataservice.ac.uk/</w:t>
        </w:r>
      </w:hyperlink>
      <w:r>
        <w:t xml:space="preserve">. </w:t>
      </w:r>
    </w:p>
  </w:footnote>
  <w:footnote w:id="99">
    <w:p w14:paraId="766D9F99" w14:textId="2A4EDA68" w:rsidR="004C5F21" w:rsidRPr="00AC6FB1" w:rsidRDefault="004C5F21">
      <w:pPr>
        <w:pStyle w:val="FootnoteText"/>
        <w:rPr>
          <w:lang w:val="en-GB"/>
        </w:rPr>
      </w:pPr>
      <w:r>
        <w:rPr>
          <w:rStyle w:val="FootnoteReference"/>
        </w:rPr>
        <w:footnoteRef/>
      </w:r>
      <w:r>
        <w:t xml:space="preserve"> </w:t>
      </w:r>
      <w:hyperlink r:id="rId79" w:history="1">
        <w:r w:rsidRPr="00EE200C">
          <w:rPr>
            <w:rStyle w:val="Hyperlink"/>
          </w:rPr>
          <w:t>https://www.ons.gov.uk/releases/wealthingreatbritainwave62016to2018</w:t>
        </w:r>
      </w:hyperlink>
      <w:r>
        <w:t xml:space="preserve">. </w:t>
      </w:r>
    </w:p>
  </w:footnote>
  <w:footnote w:id="100">
    <w:p w14:paraId="06A0D751" w14:textId="77777777" w:rsidR="004C5F21" w:rsidRPr="008E2B45" w:rsidRDefault="004C5F21">
      <w:pPr>
        <w:pStyle w:val="FootnoteText"/>
        <w:rPr>
          <w:lang w:val="en-GB"/>
        </w:rPr>
      </w:pPr>
      <w:r w:rsidRPr="008E2B45">
        <w:rPr>
          <w:rStyle w:val="FootnoteReference"/>
          <w:lang w:val="en-GB"/>
        </w:rPr>
        <w:footnoteRef/>
      </w:r>
      <w:r w:rsidRPr="008E2B45">
        <w:rPr>
          <w:lang w:val="en-GB"/>
        </w:rPr>
        <w:t xml:space="preserve"> Department for Work and Pensions, National Centre for Social Research and Office for National Statistics. Social and Vital Statistics Division, Family Resources Survey, 2010-2011 [computer file]. Colchester, Essex: UK Data Archive [distributor], October 2012. SN: 7085 , </w:t>
      </w:r>
      <w:hyperlink r:id="rId80" w:history="1">
        <w:r w:rsidRPr="008E2B45">
          <w:rPr>
            <w:rStyle w:val="Hyperlink"/>
            <w:lang w:val="en-GB"/>
          </w:rPr>
          <w:t>http://dx.doi.org/10.5255/UKDA-SN-7085-1</w:t>
        </w:r>
      </w:hyperlink>
      <w:r w:rsidRPr="008E2B45">
        <w:rPr>
          <w:lang w:val="en-GB"/>
        </w:rPr>
        <w:t xml:space="preserve"> </w:t>
      </w:r>
    </w:p>
  </w:footnote>
  <w:footnote w:id="101">
    <w:p w14:paraId="532FF06E" w14:textId="77777777" w:rsidR="004C5F21" w:rsidRPr="008E2B45" w:rsidRDefault="004C5F21" w:rsidP="00D32B61">
      <w:pPr>
        <w:pStyle w:val="FootnoteText"/>
        <w:rPr>
          <w:lang w:val="en-GB"/>
        </w:rPr>
      </w:pPr>
      <w:r w:rsidRPr="008E2B45">
        <w:rPr>
          <w:rStyle w:val="FootnoteReference"/>
          <w:lang w:val="en-GB"/>
        </w:rPr>
        <w:footnoteRef/>
      </w:r>
      <w:r w:rsidRPr="008E2B45">
        <w:rPr>
          <w:lang w:val="en-GB"/>
        </w:rPr>
        <w:t xml:space="preserve"> Office for National Statistics. Social Survey Division and Northern Ireland Statistics and Research Agency. Central Survey Unit, Quarterly Labour Force Survey, July - September, 2012 [computer file]. Colchester, Essex: UK Data Archive [distributor], November 2012. SN: 7174 , </w:t>
      </w:r>
      <w:hyperlink r:id="rId81" w:history="1">
        <w:r w:rsidRPr="008E2B45">
          <w:rPr>
            <w:rStyle w:val="Hyperlink"/>
            <w:lang w:val="en-GB"/>
          </w:rPr>
          <w:t>http://dx.doi.org/10.5255/UKDA-SN-7174-1</w:t>
        </w:r>
      </w:hyperlink>
      <w:r w:rsidRPr="008E2B45">
        <w:rPr>
          <w:lang w:val="en-GB"/>
        </w:rPr>
        <w:t xml:space="preserve"> </w:t>
      </w:r>
    </w:p>
  </w:footnote>
  <w:footnote w:id="102">
    <w:p w14:paraId="5D4E409B" w14:textId="75C76437" w:rsidR="004C5F21" w:rsidRPr="00DA226E" w:rsidRDefault="004C5F21">
      <w:pPr>
        <w:pStyle w:val="FootnoteText"/>
        <w:rPr>
          <w:lang w:val="en-GB"/>
        </w:rPr>
      </w:pPr>
      <w:r>
        <w:rPr>
          <w:rStyle w:val="FootnoteReference"/>
        </w:rPr>
        <w:footnoteRef/>
      </w:r>
      <w:r>
        <w:t xml:space="preserve"> </w:t>
      </w:r>
      <w:hyperlink r:id="rId82" w:history="1">
        <w:r>
          <w:rPr>
            <w:rStyle w:val="Hyperlink"/>
          </w:rPr>
          <w:t>https://www.understandingsociety.ac.uk/</w:t>
        </w:r>
      </w:hyperlink>
      <w:r>
        <w:t xml:space="preserve">. </w:t>
      </w:r>
    </w:p>
  </w:footnote>
  <w:footnote w:id="103">
    <w:p w14:paraId="3529E239" w14:textId="77777777" w:rsidR="004C5F21" w:rsidRPr="008E2B45" w:rsidRDefault="004C5F21" w:rsidP="00487AEF">
      <w:pPr>
        <w:pStyle w:val="FootnoteText"/>
        <w:rPr>
          <w:lang w:val="en-GB"/>
        </w:rPr>
      </w:pPr>
      <w:r w:rsidRPr="008E2B45">
        <w:rPr>
          <w:rStyle w:val="FootnoteReference"/>
          <w:lang w:val="en-GB"/>
        </w:rPr>
        <w:footnoteRef/>
      </w:r>
      <w:r w:rsidRPr="008E2B45">
        <w:rPr>
          <w:lang w:val="en-GB"/>
        </w:rPr>
        <w:t xml:space="preserve"> BIS (2010) Over-indebtedness in Britain: second follow-up report, </w:t>
      </w:r>
      <w:hyperlink r:id="rId83" w:history="1">
        <w:r w:rsidRPr="008E2B45">
          <w:rPr>
            <w:rStyle w:val="Hyperlink"/>
            <w:lang w:val="en-GB"/>
          </w:rPr>
          <w:t>http://www.bis.gov.uk/assets/BISCore/consumer-issues/docs/10-830-over-indebtedness-second-report.pdf</w:t>
        </w:r>
      </w:hyperlink>
      <w:r w:rsidRPr="008E2B45">
        <w:rPr>
          <w:lang w:val="en-GB"/>
        </w:rPr>
        <w:t xml:space="preserve"> </w:t>
      </w:r>
    </w:p>
  </w:footnote>
  <w:footnote w:id="104">
    <w:p w14:paraId="22D8745C" w14:textId="5B9D6E45" w:rsidR="004C5F21" w:rsidRPr="008E2B45" w:rsidRDefault="004C5F21" w:rsidP="00487AEF">
      <w:pPr>
        <w:pStyle w:val="FootnoteText"/>
        <w:rPr>
          <w:lang w:val="en-GB"/>
        </w:rPr>
      </w:pPr>
      <w:r w:rsidRPr="008E2B45">
        <w:rPr>
          <w:rStyle w:val="FootnoteReference"/>
          <w:lang w:val="en-GB"/>
        </w:rPr>
        <w:footnoteRef/>
      </w:r>
      <w:r w:rsidRPr="008E2B45">
        <w:rPr>
          <w:lang w:val="en-GB"/>
        </w:rPr>
        <w:t xml:space="preserve"> Between 12 and 30 September 2013, NMG Consulting carried out an online survey of around 6,000 UK households on behalf of the Bank and asked them a range of questions about their finances. See: </w:t>
      </w:r>
      <w:hyperlink r:id="rId84" w:history="1">
        <w:r w:rsidRPr="00DE76F7">
          <w:rPr>
            <w:rStyle w:val="Hyperlink"/>
            <w:lang w:val="en-GB"/>
          </w:rPr>
          <w:t>http://www.bankofengland.co.uk/publications/Documents/quarterlybulletin/2013/qb130406.pdf</w:t>
        </w:r>
      </w:hyperlink>
      <w:r>
        <w:rPr>
          <w:lang w:val="en-GB"/>
        </w:rPr>
        <w:t xml:space="preserve"> </w:t>
      </w:r>
    </w:p>
  </w:footnote>
  <w:footnote w:id="105">
    <w:p w14:paraId="64F4A41E" w14:textId="02BF8613" w:rsidR="004C5F21" w:rsidRPr="008E2B45" w:rsidRDefault="004C5F21">
      <w:pPr>
        <w:pStyle w:val="FootnoteText"/>
        <w:rPr>
          <w:lang w:val="en-GB"/>
        </w:rPr>
      </w:pPr>
      <w:r w:rsidRPr="008E2B45">
        <w:rPr>
          <w:rStyle w:val="FootnoteReference"/>
          <w:lang w:val="en-GB"/>
        </w:rPr>
        <w:footnoteRef/>
      </w:r>
      <w:r w:rsidRPr="008E2B45">
        <w:rPr>
          <w:lang w:val="en-GB"/>
        </w:rPr>
        <w:t xml:space="preserve"> </w:t>
      </w:r>
      <w:hyperlink r:id="rId85" w:anchor="2" w:history="1">
        <w:r w:rsidRPr="00DE76F7">
          <w:rPr>
            <w:rStyle w:val="Hyperlink"/>
            <w:lang w:val="en-GB"/>
          </w:rPr>
          <w:t>http://www.bankofengland.co.uk/research/Pages/onebank/datasets.aspx#2</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CFC99" w14:textId="2ACEDCE2" w:rsidR="004C5F21" w:rsidRDefault="004C5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FBC7" w14:textId="77777777" w:rsidR="004C5F21" w:rsidRDefault="004C5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F6B1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0836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D0A1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9A85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45D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3EA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D2B4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6E4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CC06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48C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828B9"/>
    <w:multiLevelType w:val="hybridMultilevel"/>
    <w:tmpl w:val="DBB2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0F695A"/>
    <w:multiLevelType w:val="hybridMultilevel"/>
    <w:tmpl w:val="FF26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4EB22AB"/>
    <w:multiLevelType w:val="hybridMultilevel"/>
    <w:tmpl w:val="5926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90023"/>
    <w:multiLevelType w:val="hybridMultilevel"/>
    <w:tmpl w:val="F6A81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7C49DB"/>
    <w:multiLevelType w:val="hybridMultilevel"/>
    <w:tmpl w:val="3FD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E6C36"/>
    <w:multiLevelType w:val="hybridMultilevel"/>
    <w:tmpl w:val="4710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09663D"/>
    <w:multiLevelType w:val="hybridMultilevel"/>
    <w:tmpl w:val="0636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1D4FCB"/>
    <w:multiLevelType w:val="hybridMultilevel"/>
    <w:tmpl w:val="BCB2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545E84"/>
    <w:multiLevelType w:val="hybridMultilevel"/>
    <w:tmpl w:val="0C02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268F8"/>
    <w:multiLevelType w:val="hybridMultilevel"/>
    <w:tmpl w:val="3990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D6BEA"/>
    <w:multiLevelType w:val="hybridMultilevel"/>
    <w:tmpl w:val="6630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D56B1"/>
    <w:multiLevelType w:val="hybridMultilevel"/>
    <w:tmpl w:val="3CD6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17873"/>
    <w:multiLevelType w:val="hybridMultilevel"/>
    <w:tmpl w:val="17B83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65208"/>
    <w:multiLevelType w:val="hybridMultilevel"/>
    <w:tmpl w:val="6606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34455"/>
    <w:multiLevelType w:val="hybridMultilevel"/>
    <w:tmpl w:val="671AB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284AF1"/>
    <w:multiLevelType w:val="hybridMultilevel"/>
    <w:tmpl w:val="642E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E10C02"/>
    <w:multiLevelType w:val="hybridMultilevel"/>
    <w:tmpl w:val="A4A8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9C7008"/>
    <w:multiLevelType w:val="hybridMultilevel"/>
    <w:tmpl w:val="8314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C5849"/>
    <w:multiLevelType w:val="hybridMultilevel"/>
    <w:tmpl w:val="79D6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10"/>
  </w:num>
  <w:num w:numId="4">
    <w:abstractNumId w:val="27"/>
  </w:num>
  <w:num w:numId="5">
    <w:abstractNumId w:val="28"/>
  </w:num>
  <w:num w:numId="6">
    <w:abstractNumId w:val="24"/>
  </w:num>
  <w:num w:numId="7">
    <w:abstractNumId w:val="23"/>
  </w:num>
  <w:num w:numId="8">
    <w:abstractNumId w:val="14"/>
  </w:num>
  <w:num w:numId="9">
    <w:abstractNumId w:val="22"/>
  </w:num>
  <w:num w:numId="10">
    <w:abstractNumId w:val="25"/>
  </w:num>
  <w:num w:numId="11">
    <w:abstractNumId w:val="18"/>
  </w:num>
  <w:num w:numId="12">
    <w:abstractNumId w:val="13"/>
  </w:num>
  <w:num w:numId="13">
    <w:abstractNumId w:val="19"/>
  </w:num>
  <w:num w:numId="14">
    <w:abstractNumId w:val="15"/>
  </w:num>
  <w:num w:numId="15">
    <w:abstractNumId w:val="11"/>
  </w:num>
  <w:num w:numId="16">
    <w:abstractNumId w:val="26"/>
  </w:num>
  <w:num w:numId="17">
    <w:abstractNumId w:val="21"/>
  </w:num>
  <w:num w:numId="18">
    <w:abstractNumId w:val="16"/>
  </w:num>
  <w:num w:numId="19">
    <w:abstractNumId w:val="2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2"/>
  </w:num>
  <w:num w:numId="4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4v0+y/kDcXTrM0fAHqsXh/n6UOFJ4jEE1OA8JxKLrWqZc9/qEXyF552UR10iBHMj3gSniRSrSp5ag9PHBcDr9w==" w:salt="yl0xFoWgWJtIVTNPuxh7xg=="/>
  <w:defaultTabStop w:val="720"/>
  <w:drawingGridHorizontalSpacing w:val="120"/>
  <w:displayHorizontalDrawingGridEvery w:val="2"/>
  <w:characterSpacingControl w:val="doNotCompress"/>
  <w:hdrShapeDefaults>
    <o:shapedefaults v:ext="edit" spidmax="2049">
      <o:colormru v:ext="edit" colors="#f5efe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31"/>
    <w:rsid w:val="0000347B"/>
    <w:rsid w:val="00004A47"/>
    <w:rsid w:val="0001202E"/>
    <w:rsid w:val="00013E9C"/>
    <w:rsid w:val="0001463C"/>
    <w:rsid w:val="0002004C"/>
    <w:rsid w:val="00020F4F"/>
    <w:rsid w:val="00026720"/>
    <w:rsid w:val="00026B5C"/>
    <w:rsid w:val="00035197"/>
    <w:rsid w:val="0003600E"/>
    <w:rsid w:val="00042F6F"/>
    <w:rsid w:val="0004757E"/>
    <w:rsid w:val="00053374"/>
    <w:rsid w:val="00057924"/>
    <w:rsid w:val="000603F9"/>
    <w:rsid w:val="000620C0"/>
    <w:rsid w:val="00064A43"/>
    <w:rsid w:val="00066C79"/>
    <w:rsid w:val="000675AA"/>
    <w:rsid w:val="00072BA4"/>
    <w:rsid w:val="00073C53"/>
    <w:rsid w:val="000761C8"/>
    <w:rsid w:val="000814E7"/>
    <w:rsid w:val="00082886"/>
    <w:rsid w:val="00082A1F"/>
    <w:rsid w:val="00083A17"/>
    <w:rsid w:val="00083C65"/>
    <w:rsid w:val="0008478D"/>
    <w:rsid w:val="000A1430"/>
    <w:rsid w:val="000A3F9B"/>
    <w:rsid w:val="000A5202"/>
    <w:rsid w:val="000A52AF"/>
    <w:rsid w:val="000A678F"/>
    <w:rsid w:val="000A67CF"/>
    <w:rsid w:val="000A6914"/>
    <w:rsid w:val="000B12A5"/>
    <w:rsid w:val="000B3B17"/>
    <w:rsid w:val="000B3B64"/>
    <w:rsid w:val="000B3C81"/>
    <w:rsid w:val="000B627A"/>
    <w:rsid w:val="000C1442"/>
    <w:rsid w:val="000C2D17"/>
    <w:rsid w:val="000D0448"/>
    <w:rsid w:val="000D4706"/>
    <w:rsid w:val="000D700A"/>
    <w:rsid w:val="000E14A5"/>
    <w:rsid w:val="000E14CA"/>
    <w:rsid w:val="000E3761"/>
    <w:rsid w:val="000E4B3A"/>
    <w:rsid w:val="000E52E4"/>
    <w:rsid w:val="000F01BA"/>
    <w:rsid w:val="000F060E"/>
    <w:rsid w:val="000F3799"/>
    <w:rsid w:val="000F6149"/>
    <w:rsid w:val="000F75CC"/>
    <w:rsid w:val="001009A5"/>
    <w:rsid w:val="001100A8"/>
    <w:rsid w:val="00111AD7"/>
    <w:rsid w:val="001123CF"/>
    <w:rsid w:val="00113221"/>
    <w:rsid w:val="0011727D"/>
    <w:rsid w:val="00122693"/>
    <w:rsid w:val="00125F43"/>
    <w:rsid w:val="00130515"/>
    <w:rsid w:val="00133197"/>
    <w:rsid w:val="00134CE8"/>
    <w:rsid w:val="00136D0C"/>
    <w:rsid w:val="0013760F"/>
    <w:rsid w:val="0014246F"/>
    <w:rsid w:val="00142D2E"/>
    <w:rsid w:val="001511C1"/>
    <w:rsid w:val="00151FFC"/>
    <w:rsid w:val="00154A4D"/>
    <w:rsid w:val="001558FB"/>
    <w:rsid w:val="00156BBB"/>
    <w:rsid w:val="00157A1A"/>
    <w:rsid w:val="00160921"/>
    <w:rsid w:val="00160B67"/>
    <w:rsid w:val="00163392"/>
    <w:rsid w:val="001649FD"/>
    <w:rsid w:val="00164A8F"/>
    <w:rsid w:val="00164FD6"/>
    <w:rsid w:val="00165A79"/>
    <w:rsid w:val="00165AA9"/>
    <w:rsid w:val="00170140"/>
    <w:rsid w:val="00171F55"/>
    <w:rsid w:val="001723E8"/>
    <w:rsid w:val="0017422C"/>
    <w:rsid w:val="00175922"/>
    <w:rsid w:val="00177D83"/>
    <w:rsid w:val="001814CE"/>
    <w:rsid w:val="00182172"/>
    <w:rsid w:val="0018563D"/>
    <w:rsid w:val="00186016"/>
    <w:rsid w:val="00193C4F"/>
    <w:rsid w:val="00194CB3"/>
    <w:rsid w:val="0019738F"/>
    <w:rsid w:val="001976E3"/>
    <w:rsid w:val="001977B2"/>
    <w:rsid w:val="001A0109"/>
    <w:rsid w:val="001A035A"/>
    <w:rsid w:val="001A63F3"/>
    <w:rsid w:val="001A76AF"/>
    <w:rsid w:val="001B0AEF"/>
    <w:rsid w:val="001B0B74"/>
    <w:rsid w:val="001B1942"/>
    <w:rsid w:val="001B1EE6"/>
    <w:rsid w:val="001B23BC"/>
    <w:rsid w:val="001B32E1"/>
    <w:rsid w:val="001B58C4"/>
    <w:rsid w:val="001B6DB2"/>
    <w:rsid w:val="001B7088"/>
    <w:rsid w:val="001C4074"/>
    <w:rsid w:val="001C51CD"/>
    <w:rsid w:val="001D102A"/>
    <w:rsid w:val="001D3A98"/>
    <w:rsid w:val="001D63D2"/>
    <w:rsid w:val="001E0C53"/>
    <w:rsid w:val="001E2025"/>
    <w:rsid w:val="001E5CA2"/>
    <w:rsid w:val="001E5CFC"/>
    <w:rsid w:val="001F3627"/>
    <w:rsid w:val="001F415A"/>
    <w:rsid w:val="001F5ABB"/>
    <w:rsid w:val="001F7EA1"/>
    <w:rsid w:val="002001B1"/>
    <w:rsid w:val="00200BE5"/>
    <w:rsid w:val="002024D6"/>
    <w:rsid w:val="00204013"/>
    <w:rsid w:val="00210A85"/>
    <w:rsid w:val="00213D87"/>
    <w:rsid w:val="002171FF"/>
    <w:rsid w:val="0021734F"/>
    <w:rsid w:val="00221240"/>
    <w:rsid w:val="00221621"/>
    <w:rsid w:val="002250C6"/>
    <w:rsid w:val="002267AE"/>
    <w:rsid w:val="00227442"/>
    <w:rsid w:val="002305E6"/>
    <w:rsid w:val="002325C7"/>
    <w:rsid w:val="00232A97"/>
    <w:rsid w:val="00232E0B"/>
    <w:rsid w:val="00234F6F"/>
    <w:rsid w:val="00235842"/>
    <w:rsid w:val="00237120"/>
    <w:rsid w:val="00241558"/>
    <w:rsid w:val="00242333"/>
    <w:rsid w:val="0024440F"/>
    <w:rsid w:val="00246C60"/>
    <w:rsid w:val="00250D2A"/>
    <w:rsid w:val="002527C9"/>
    <w:rsid w:val="0025432A"/>
    <w:rsid w:val="002561B1"/>
    <w:rsid w:val="002562E6"/>
    <w:rsid w:val="00262F1F"/>
    <w:rsid w:val="0026351A"/>
    <w:rsid w:val="0026412B"/>
    <w:rsid w:val="00264182"/>
    <w:rsid w:val="002641A3"/>
    <w:rsid w:val="00271A90"/>
    <w:rsid w:val="00271BED"/>
    <w:rsid w:val="002727BE"/>
    <w:rsid w:val="002729CB"/>
    <w:rsid w:val="002868AC"/>
    <w:rsid w:val="00286D31"/>
    <w:rsid w:val="0029401D"/>
    <w:rsid w:val="002957CF"/>
    <w:rsid w:val="002A2DDC"/>
    <w:rsid w:val="002A5D77"/>
    <w:rsid w:val="002B12CD"/>
    <w:rsid w:val="002B4050"/>
    <w:rsid w:val="002B5906"/>
    <w:rsid w:val="002B7A29"/>
    <w:rsid w:val="002C00DD"/>
    <w:rsid w:val="002C1913"/>
    <w:rsid w:val="002C3376"/>
    <w:rsid w:val="002C75FA"/>
    <w:rsid w:val="002D07EA"/>
    <w:rsid w:val="002D0E3C"/>
    <w:rsid w:val="002E21B6"/>
    <w:rsid w:val="002E361B"/>
    <w:rsid w:val="002E3631"/>
    <w:rsid w:val="002E3A30"/>
    <w:rsid w:val="002E6A9F"/>
    <w:rsid w:val="002F74F7"/>
    <w:rsid w:val="00300E73"/>
    <w:rsid w:val="00301B04"/>
    <w:rsid w:val="003124EE"/>
    <w:rsid w:val="003128B5"/>
    <w:rsid w:val="00314DD4"/>
    <w:rsid w:val="00323D3E"/>
    <w:rsid w:val="00324880"/>
    <w:rsid w:val="003319BB"/>
    <w:rsid w:val="00332059"/>
    <w:rsid w:val="003334EC"/>
    <w:rsid w:val="00336350"/>
    <w:rsid w:val="00340793"/>
    <w:rsid w:val="00344182"/>
    <w:rsid w:val="00350EB7"/>
    <w:rsid w:val="00352265"/>
    <w:rsid w:val="00352A2D"/>
    <w:rsid w:val="0035710B"/>
    <w:rsid w:val="0035748A"/>
    <w:rsid w:val="00357A08"/>
    <w:rsid w:val="00360C2D"/>
    <w:rsid w:val="00362BBD"/>
    <w:rsid w:val="0036391B"/>
    <w:rsid w:val="0036418F"/>
    <w:rsid w:val="00372FC8"/>
    <w:rsid w:val="003740EE"/>
    <w:rsid w:val="00374167"/>
    <w:rsid w:val="00374C28"/>
    <w:rsid w:val="00375553"/>
    <w:rsid w:val="003766B6"/>
    <w:rsid w:val="00383A9A"/>
    <w:rsid w:val="00383B33"/>
    <w:rsid w:val="0038483B"/>
    <w:rsid w:val="0039359D"/>
    <w:rsid w:val="0039366E"/>
    <w:rsid w:val="003A0090"/>
    <w:rsid w:val="003A0F0F"/>
    <w:rsid w:val="003A2F58"/>
    <w:rsid w:val="003A3598"/>
    <w:rsid w:val="003A46DC"/>
    <w:rsid w:val="003A48A6"/>
    <w:rsid w:val="003B00A8"/>
    <w:rsid w:val="003B5BFA"/>
    <w:rsid w:val="003C0830"/>
    <w:rsid w:val="003C09B7"/>
    <w:rsid w:val="003C0D39"/>
    <w:rsid w:val="003C0DC8"/>
    <w:rsid w:val="003C192F"/>
    <w:rsid w:val="003C3DBA"/>
    <w:rsid w:val="003C4CAE"/>
    <w:rsid w:val="003C53F8"/>
    <w:rsid w:val="003D05EE"/>
    <w:rsid w:val="003D5236"/>
    <w:rsid w:val="003E025C"/>
    <w:rsid w:val="003E2740"/>
    <w:rsid w:val="003E30DD"/>
    <w:rsid w:val="003E489D"/>
    <w:rsid w:val="003E58D3"/>
    <w:rsid w:val="003E6A58"/>
    <w:rsid w:val="003E7D6A"/>
    <w:rsid w:val="003F050F"/>
    <w:rsid w:val="003F351A"/>
    <w:rsid w:val="003F7DA3"/>
    <w:rsid w:val="00401341"/>
    <w:rsid w:val="0040293F"/>
    <w:rsid w:val="00402E6B"/>
    <w:rsid w:val="00403669"/>
    <w:rsid w:val="004047E1"/>
    <w:rsid w:val="00405B55"/>
    <w:rsid w:val="00407513"/>
    <w:rsid w:val="00422B5D"/>
    <w:rsid w:val="00424939"/>
    <w:rsid w:val="00425360"/>
    <w:rsid w:val="004311BA"/>
    <w:rsid w:val="004317CA"/>
    <w:rsid w:val="00432910"/>
    <w:rsid w:val="004344B7"/>
    <w:rsid w:val="004374DE"/>
    <w:rsid w:val="0044269E"/>
    <w:rsid w:val="00443C8C"/>
    <w:rsid w:val="00443F44"/>
    <w:rsid w:val="00447585"/>
    <w:rsid w:val="00450716"/>
    <w:rsid w:val="0045126E"/>
    <w:rsid w:val="004526B9"/>
    <w:rsid w:val="00452E93"/>
    <w:rsid w:val="00455B39"/>
    <w:rsid w:val="00455BF6"/>
    <w:rsid w:val="00455F2F"/>
    <w:rsid w:val="0045693D"/>
    <w:rsid w:val="00456BD2"/>
    <w:rsid w:val="0046792C"/>
    <w:rsid w:val="00467A2B"/>
    <w:rsid w:val="00471FC3"/>
    <w:rsid w:val="00476436"/>
    <w:rsid w:val="004772FC"/>
    <w:rsid w:val="00480F2C"/>
    <w:rsid w:val="004828A1"/>
    <w:rsid w:val="00483373"/>
    <w:rsid w:val="004852DB"/>
    <w:rsid w:val="00485D5D"/>
    <w:rsid w:val="0048633F"/>
    <w:rsid w:val="004865F2"/>
    <w:rsid w:val="00487AEF"/>
    <w:rsid w:val="0049049E"/>
    <w:rsid w:val="00490CD5"/>
    <w:rsid w:val="00496ADA"/>
    <w:rsid w:val="00497102"/>
    <w:rsid w:val="00497D48"/>
    <w:rsid w:val="004A2CAB"/>
    <w:rsid w:val="004A4699"/>
    <w:rsid w:val="004A71ED"/>
    <w:rsid w:val="004B64F5"/>
    <w:rsid w:val="004B6545"/>
    <w:rsid w:val="004B6E5E"/>
    <w:rsid w:val="004C190C"/>
    <w:rsid w:val="004C2FCC"/>
    <w:rsid w:val="004C3B5B"/>
    <w:rsid w:val="004C5F21"/>
    <w:rsid w:val="004C78EF"/>
    <w:rsid w:val="004C7DDC"/>
    <w:rsid w:val="004D1175"/>
    <w:rsid w:val="004D1C27"/>
    <w:rsid w:val="004D6BBC"/>
    <w:rsid w:val="004D6CC5"/>
    <w:rsid w:val="004E081F"/>
    <w:rsid w:val="004E2969"/>
    <w:rsid w:val="004E3227"/>
    <w:rsid w:val="004E62E2"/>
    <w:rsid w:val="004E6D5E"/>
    <w:rsid w:val="004F1659"/>
    <w:rsid w:val="004F2257"/>
    <w:rsid w:val="004F2E0C"/>
    <w:rsid w:val="004F67D6"/>
    <w:rsid w:val="00500C63"/>
    <w:rsid w:val="00505938"/>
    <w:rsid w:val="00506820"/>
    <w:rsid w:val="005105D1"/>
    <w:rsid w:val="0051442C"/>
    <w:rsid w:val="00514911"/>
    <w:rsid w:val="00515188"/>
    <w:rsid w:val="005176A8"/>
    <w:rsid w:val="00517CC8"/>
    <w:rsid w:val="0052044F"/>
    <w:rsid w:val="005253FA"/>
    <w:rsid w:val="00525778"/>
    <w:rsid w:val="005302FB"/>
    <w:rsid w:val="005305DD"/>
    <w:rsid w:val="00532726"/>
    <w:rsid w:val="00533C23"/>
    <w:rsid w:val="00536636"/>
    <w:rsid w:val="00536B64"/>
    <w:rsid w:val="005453F6"/>
    <w:rsid w:val="005457C6"/>
    <w:rsid w:val="005464BC"/>
    <w:rsid w:val="00551F6A"/>
    <w:rsid w:val="00552A91"/>
    <w:rsid w:val="00553E0C"/>
    <w:rsid w:val="005610F4"/>
    <w:rsid w:val="00562ABA"/>
    <w:rsid w:val="00563396"/>
    <w:rsid w:val="00572A8F"/>
    <w:rsid w:val="00575527"/>
    <w:rsid w:val="00577333"/>
    <w:rsid w:val="00577A19"/>
    <w:rsid w:val="00581CF6"/>
    <w:rsid w:val="00593099"/>
    <w:rsid w:val="00595DF1"/>
    <w:rsid w:val="005974C7"/>
    <w:rsid w:val="005A176A"/>
    <w:rsid w:val="005A34C1"/>
    <w:rsid w:val="005A45DD"/>
    <w:rsid w:val="005A4A4B"/>
    <w:rsid w:val="005A6948"/>
    <w:rsid w:val="005A7911"/>
    <w:rsid w:val="005B05BC"/>
    <w:rsid w:val="005B667F"/>
    <w:rsid w:val="005B750B"/>
    <w:rsid w:val="005C00F1"/>
    <w:rsid w:val="005C1408"/>
    <w:rsid w:val="005C3747"/>
    <w:rsid w:val="005C5A2C"/>
    <w:rsid w:val="005C6D81"/>
    <w:rsid w:val="005D1CDC"/>
    <w:rsid w:val="005D2DD6"/>
    <w:rsid w:val="005D3268"/>
    <w:rsid w:val="005D6FDE"/>
    <w:rsid w:val="005D763C"/>
    <w:rsid w:val="005E00E7"/>
    <w:rsid w:val="005E02AA"/>
    <w:rsid w:val="005E058A"/>
    <w:rsid w:val="005E2790"/>
    <w:rsid w:val="005E2995"/>
    <w:rsid w:val="005E2FD8"/>
    <w:rsid w:val="005E5661"/>
    <w:rsid w:val="005E7D3C"/>
    <w:rsid w:val="005F310A"/>
    <w:rsid w:val="005F3639"/>
    <w:rsid w:val="006049E7"/>
    <w:rsid w:val="006109F4"/>
    <w:rsid w:val="00614D9F"/>
    <w:rsid w:val="00616CA2"/>
    <w:rsid w:val="00617025"/>
    <w:rsid w:val="00620B0A"/>
    <w:rsid w:val="00622B42"/>
    <w:rsid w:val="006272AE"/>
    <w:rsid w:val="00631B67"/>
    <w:rsid w:val="006322FE"/>
    <w:rsid w:val="00635872"/>
    <w:rsid w:val="0064010E"/>
    <w:rsid w:val="00640C7C"/>
    <w:rsid w:val="0064257B"/>
    <w:rsid w:val="00643E1B"/>
    <w:rsid w:val="006458CC"/>
    <w:rsid w:val="00646BCA"/>
    <w:rsid w:val="00646BEA"/>
    <w:rsid w:val="006502FC"/>
    <w:rsid w:val="00656DA3"/>
    <w:rsid w:val="006577E6"/>
    <w:rsid w:val="00660ACD"/>
    <w:rsid w:val="00661D9D"/>
    <w:rsid w:val="00662784"/>
    <w:rsid w:val="0066366B"/>
    <w:rsid w:val="0066455F"/>
    <w:rsid w:val="00666293"/>
    <w:rsid w:val="00666600"/>
    <w:rsid w:val="00675163"/>
    <w:rsid w:val="00681F76"/>
    <w:rsid w:val="0068233C"/>
    <w:rsid w:val="0068361D"/>
    <w:rsid w:val="00686EF1"/>
    <w:rsid w:val="00687193"/>
    <w:rsid w:val="00691332"/>
    <w:rsid w:val="006918CF"/>
    <w:rsid w:val="00692125"/>
    <w:rsid w:val="00693CB0"/>
    <w:rsid w:val="006A22CD"/>
    <w:rsid w:val="006A42EE"/>
    <w:rsid w:val="006A5769"/>
    <w:rsid w:val="006C09E6"/>
    <w:rsid w:val="006C29AC"/>
    <w:rsid w:val="006C3C14"/>
    <w:rsid w:val="006C58D6"/>
    <w:rsid w:val="006C7C46"/>
    <w:rsid w:val="006D0BDA"/>
    <w:rsid w:val="006D2F13"/>
    <w:rsid w:val="006D44B8"/>
    <w:rsid w:val="006D56B3"/>
    <w:rsid w:val="006D7D76"/>
    <w:rsid w:val="006E0F92"/>
    <w:rsid w:val="006E1DCE"/>
    <w:rsid w:val="006E2B08"/>
    <w:rsid w:val="006E47EA"/>
    <w:rsid w:val="006E5636"/>
    <w:rsid w:val="006F429D"/>
    <w:rsid w:val="006F4EFE"/>
    <w:rsid w:val="006F6D0D"/>
    <w:rsid w:val="007021F3"/>
    <w:rsid w:val="007023BA"/>
    <w:rsid w:val="00702945"/>
    <w:rsid w:val="00703651"/>
    <w:rsid w:val="0070572D"/>
    <w:rsid w:val="007133DA"/>
    <w:rsid w:val="00714FE1"/>
    <w:rsid w:val="00715498"/>
    <w:rsid w:val="007167EE"/>
    <w:rsid w:val="007169B9"/>
    <w:rsid w:val="00716F1E"/>
    <w:rsid w:val="007211B1"/>
    <w:rsid w:val="00733606"/>
    <w:rsid w:val="007349EE"/>
    <w:rsid w:val="007373AA"/>
    <w:rsid w:val="0074321C"/>
    <w:rsid w:val="00744995"/>
    <w:rsid w:val="007467D7"/>
    <w:rsid w:val="00751165"/>
    <w:rsid w:val="007523AD"/>
    <w:rsid w:val="00754135"/>
    <w:rsid w:val="00757785"/>
    <w:rsid w:val="00761D12"/>
    <w:rsid w:val="00764D44"/>
    <w:rsid w:val="00764F24"/>
    <w:rsid w:val="007658B4"/>
    <w:rsid w:val="00770083"/>
    <w:rsid w:val="0077174A"/>
    <w:rsid w:val="0077585D"/>
    <w:rsid w:val="00777737"/>
    <w:rsid w:val="00783EA1"/>
    <w:rsid w:val="00790034"/>
    <w:rsid w:val="00791D76"/>
    <w:rsid w:val="00794E7F"/>
    <w:rsid w:val="0079781C"/>
    <w:rsid w:val="007A63BE"/>
    <w:rsid w:val="007A7120"/>
    <w:rsid w:val="007B18FF"/>
    <w:rsid w:val="007B3C02"/>
    <w:rsid w:val="007B4226"/>
    <w:rsid w:val="007B45BC"/>
    <w:rsid w:val="007B7476"/>
    <w:rsid w:val="007C144D"/>
    <w:rsid w:val="007C22EC"/>
    <w:rsid w:val="007C4165"/>
    <w:rsid w:val="007C46D1"/>
    <w:rsid w:val="007C534D"/>
    <w:rsid w:val="007D0997"/>
    <w:rsid w:val="007D29A5"/>
    <w:rsid w:val="007D350D"/>
    <w:rsid w:val="007D5D83"/>
    <w:rsid w:val="007D65A8"/>
    <w:rsid w:val="007E1272"/>
    <w:rsid w:val="007E2809"/>
    <w:rsid w:val="007E2F48"/>
    <w:rsid w:val="007E32DA"/>
    <w:rsid w:val="007E614D"/>
    <w:rsid w:val="007E64E2"/>
    <w:rsid w:val="007E715B"/>
    <w:rsid w:val="007F0D86"/>
    <w:rsid w:val="007F200F"/>
    <w:rsid w:val="00810C8A"/>
    <w:rsid w:val="00811902"/>
    <w:rsid w:val="00814E41"/>
    <w:rsid w:val="008168B1"/>
    <w:rsid w:val="00822B23"/>
    <w:rsid w:val="00822CA1"/>
    <w:rsid w:val="00823437"/>
    <w:rsid w:val="008237D2"/>
    <w:rsid w:val="0082538B"/>
    <w:rsid w:val="00825C89"/>
    <w:rsid w:val="00826A02"/>
    <w:rsid w:val="00831493"/>
    <w:rsid w:val="008315DA"/>
    <w:rsid w:val="0083184C"/>
    <w:rsid w:val="00832922"/>
    <w:rsid w:val="00833B7B"/>
    <w:rsid w:val="00834461"/>
    <w:rsid w:val="00834636"/>
    <w:rsid w:val="00835573"/>
    <w:rsid w:val="00836BCC"/>
    <w:rsid w:val="00844F25"/>
    <w:rsid w:val="00847367"/>
    <w:rsid w:val="00850C16"/>
    <w:rsid w:val="008524BF"/>
    <w:rsid w:val="00852957"/>
    <w:rsid w:val="008531A8"/>
    <w:rsid w:val="00864EDB"/>
    <w:rsid w:val="00866DBE"/>
    <w:rsid w:val="00867350"/>
    <w:rsid w:val="00867819"/>
    <w:rsid w:val="00873AA5"/>
    <w:rsid w:val="0088165E"/>
    <w:rsid w:val="00881FE7"/>
    <w:rsid w:val="0088368A"/>
    <w:rsid w:val="00893BED"/>
    <w:rsid w:val="0089548B"/>
    <w:rsid w:val="0089700F"/>
    <w:rsid w:val="008A0D10"/>
    <w:rsid w:val="008A28BE"/>
    <w:rsid w:val="008A3CC4"/>
    <w:rsid w:val="008A4762"/>
    <w:rsid w:val="008A6117"/>
    <w:rsid w:val="008B2BCD"/>
    <w:rsid w:val="008B35BE"/>
    <w:rsid w:val="008B3EA8"/>
    <w:rsid w:val="008B5CD2"/>
    <w:rsid w:val="008C0CFA"/>
    <w:rsid w:val="008C2705"/>
    <w:rsid w:val="008C2F33"/>
    <w:rsid w:val="008D06ED"/>
    <w:rsid w:val="008D18B5"/>
    <w:rsid w:val="008D2686"/>
    <w:rsid w:val="008E024C"/>
    <w:rsid w:val="008E18DE"/>
    <w:rsid w:val="008E205D"/>
    <w:rsid w:val="008E2B45"/>
    <w:rsid w:val="008E330F"/>
    <w:rsid w:val="008E484A"/>
    <w:rsid w:val="008E7177"/>
    <w:rsid w:val="008E7AFD"/>
    <w:rsid w:val="008F277B"/>
    <w:rsid w:val="008F3BBB"/>
    <w:rsid w:val="00900ACC"/>
    <w:rsid w:val="00901013"/>
    <w:rsid w:val="00901166"/>
    <w:rsid w:val="00901580"/>
    <w:rsid w:val="009015F4"/>
    <w:rsid w:val="0090336A"/>
    <w:rsid w:val="00903BDE"/>
    <w:rsid w:val="0090670C"/>
    <w:rsid w:val="00910882"/>
    <w:rsid w:val="00910D88"/>
    <w:rsid w:val="00910EC0"/>
    <w:rsid w:val="009135EB"/>
    <w:rsid w:val="009135ED"/>
    <w:rsid w:val="00914067"/>
    <w:rsid w:val="00916AA7"/>
    <w:rsid w:val="009206BA"/>
    <w:rsid w:val="00920748"/>
    <w:rsid w:val="009211BC"/>
    <w:rsid w:val="00921E08"/>
    <w:rsid w:val="0092223A"/>
    <w:rsid w:val="009259CC"/>
    <w:rsid w:val="00926DB8"/>
    <w:rsid w:val="00931298"/>
    <w:rsid w:val="00931A5B"/>
    <w:rsid w:val="00931F03"/>
    <w:rsid w:val="0093275B"/>
    <w:rsid w:val="00935CB1"/>
    <w:rsid w:val="00937DB3"/>
    <w:rsid w:val="0094034E"/>
    <w:rsid w:val="00940B26"/>
    <w:rsid w:val="00942566"/>
    <w:rsid w:val="00942F64"/>
    <w:rsid w:val="009436CA"/>
    <w:rsid w:val="009441D3"/>
    <w:rsid w:val="009444DA"/>
    <w:rsid w:val="00946F1C"/>
    <w:rsid w:val="00947305"/>
    <w:rsid w:val="00952763"/>
    <w:rsid w:val="00953647"/>
    <w:rsid w:val="00953CB9"/>
    <w:rsid w:val="00956427"/>
    <w:rsid w:val="009605AE"/>
    <w:rsid w:val="00961538"/>
    <w:rsid w:val="00961A63"/>
    <w:rsid w:val="00966CDF"/>
    <w:rsid w:val="00967153"/>
    <w:rsid w:val="00973936"/>
    <w:rsid w:val="00974042"/>
    <w:rsid w:val="0097456A"/>
    <w:rsid w:val="00975267"/>
    <w:rsid w:val="00977DBE"/>
    <w:rsid w:val="009802C5"/>
    <w:rsid w:val="009815E0"/>
    <w:rsid w:val="00984C6A"/>
    <w:rsid w:val="00986D5F"/>
    <w:rsid w:val="00987F20"/>
    <w:rsid w:val="00991391"/>
    <w:rsid w:val="00992343"/>
    <w:rsid w:val="00993AA7"/>
    <w:rsid w:val="00993DDD"/>
    <w:rsid w:val="009944E3"/>
    <w:rsid w:val="009945E5"/>
    <w:rsid w:val="0099532A"/>
    <w:rsid w:val="0099679B"/>
    <w:rsid w:val="009A0F66"/>
    <w:rsid w:val="009A2947"/>
    <w:rsid w:val="009A49E6"/>
    <w:rsid w:val="009B0366"/>
    <w:rsid w:val="009B0702"/>
    <w:rsid w:val="009B340F"/>
    <w:rsid w:val="009B70EF"/>
    <w:rsid w:val="009C38F4"/>
    <w:rsid w:val="009C3CF3"/>
    <w:rsid w:val="009C5A45"/>
    <w:rsid w:val="009C7C24"/>
    <w:rsid w:val="009D7B77"/>
    <w:rsid w:val="009E0315"/>
    <w:rsid w:val="009E2A37"/>
    <w:rsid w:val="009E35CB"/>
    <w:rsid w:val="009E4B98"/>
    <w:rsid w:val="009E5A5F"/>
    <w:rsid w:val="009F1474"/>
    <w:rsid w:val="009F5666"/>
    <w:rsid w:val="009F6269"/>
    <w:rsid w:val="009F72AD"/>
    <w:rsid w:val="00A00A36"/>
    <w:rsid w:val="00A0157D"/>
    <w:rsid w:val="00A02B2F"/>
    <w:rsid w:val="00A02C27"/>
    <w:rsid w:val="00A03763"/>
    <w:rsid w:val="00A114CD"/>
    <w:rsid w:val="00A12E5C"/>
    <w:rsid w:val="00A13965"/>
    <w:rsid w:val="00A23553"/>
    <w:rsid w:val="00A23E40"/>
    <w:rsid w:val="00A273AF"/>
    <w:rsid w:val="00A32C73"/>
    <w:rsid w:val="00A33ACE"/>
    <w:rsid w:val="00A33B4A"/>
    <w:rsid w:val="00A33BC1"/>
    <w:rsid w:val="00A37A29"/>
    <w:rsid w:val="00A42DC1"/>
    <w:rsid w:val="00A44C74"/>
    <w:rsid w:val="00A50D18"/>
    <w:rsid w:val="00A5370E"/>
    <w:rsid w:val="00A53CA0"/>
    <w:rsid w:val="00A56B08"/>
    <w:rsid w:val="00A56DD6"/>
    <w:rsid w:val="00A56FE2"/>
    <w:rsid w:val="00A57E44"/>
    <w:rsid w:val="00A6223D"/>
    <w:rsid w:val="00A6442E"/>
    <w:rsid w:val="00A64C1B"/>
    <w:rsid w:val="00A65316"/>
    <w:rsid w:val="00A66EEF"/>
    <w:rsid w:val="00A707F3"/>
    <w:rsid w:val="00A70EBE"/>
    <w:rsid w:val="00A71854"/>
    <w:rsid w:val="00A75173"/>
    <w:rsid w:val="00A756F1"/>
    <w:rsid w:val="00A7794E"/>
    <w:rsid w:val="00A85BEF"/>
    <w:rsid w:val="00A861EF"/>
    <w:rsid w:val="00A90B1A"/>
    <w:rsid w:val="00A97E39"/>
    <w:rsid w:val="00AA0467"/>
    <w:rsid w:val="00AA0485"/>
    <w:rsid w:val="00AA056D"/>
    <w:rsid w:val="00AA13F3"/>
    <w:rsid w:val="00AA1E03"/>
    <w:rsid w:val="00AA21BE"/>
    <w:rsid w:val="00AA7521"/>
    <w:rsid w:val="00AB0794"/>
    <w:rsid w:val="00AB0BB0"/>
    <w:rsid w:val="00AB1425"/>
    <w:rsid w:val="00AB3B75"/>
    <w:rsid w:val="00AB4F98"/>
    <w:rsid w:val="00AB5355"/>
    <w:rsid w:val="00AB6EFB"/>
    <w:rsid w:val="00AC22E2"/>
    <w:rsid w:val="00AC235F"/>
    <w:rsid w:val="00AC6FB1"/>
    <w:rsid w:val="00AC7D4B"/>
    <w:rsid w:val="00AD19CC"/>
    <w:rsid w:val="00AD462F"/>
    <w:rsid w:val="00AE0FAF"/>
    <w:rsid w:val="00AE143F"/>
    <w:rsid w:val="00AE16B9"/>
    <w:rsid w:val="00AE3BF0"/>
    <w:rsid w:val="00AE6BDE"/>
    <w:rsid w:val="00AE6F85"/>
    <w:rsid w:val="00AE72D3"/>
    <w:rsid w:val="00AF030F"/>
    <w:rsid w:val="00AF1048"/>
    <w:rsid w:val="00AF1837"/>
    <w:rsid w:val="00AF3BC5"/>
    <w:rsid w:val="00B04056"/>
    <w:rsid w:val="00B048A0"/>
    <w:rsid w:val="00B054CC"/>
    <w:rsid w:val="00B05ADA"/>
    <w:rsid w:val="00B06AA7"/>
    <w:rsid w:val="00B06BFE"/>
    <w:rsid w:val="00B1006D"/>
    <w:rsid w:val="00B104D5"/>
    <w:rsid w:val="00B10FAB"/>
    <w:rsid w:val="00B1160D"/>
    <w:rsid w:val="00B117BB"/>
    <w:rsid w:val="00B12B8B"/>
    <w:rsid w:val="00B12C10"/>
    <w:rsid w:val="00B12C27"/>
    <w:rsid w:val="00B12DD6"/>
    <w:rsid w:val="00B12E68"/>
    <w:rsid w:val="00B12EC1"/>
    <w:rsid w:val="00B13D8C"/>
    <w:rsid w:val="00B14EE2"/>
    <w:rsid w:val="00B15858"/>
    <w:rsid w:val="00B16B35"/>
    <w:rsid w:val="00B16CB4"/>
    <w:rsid w:val="00B17486"/>
    <w:rsid w:val="00B2094C"/>
    <w:rsid w:val="00B22989"/>
    <w:rsid w:val="00B22EDC"/>
    <w:rsid w:val="00B23884"/>
    <w:rsid w:val="00B2437F"/>
    <w:rsid w:val="00B301A9"/>
    <w:rsid w:val="00B31A9E"/>
    <w:rsid w:val="00B410AC"/>
    <w:rsid w:val="00B53121"/>
    <w:rsid w:val="00B55128"/>
    <w:rsid w:val="00B55133"/>
    <w:rsid w:val="00B5597C"/>
    <w:rsid w:val="00B61640"/>
    <w:rsid w:val="00B651F3"/>
    <w:rsid w:val="00B65C8E"/>
    <w:rsid w:val="00B716CC"/>
    <w:rsid w:val="00B74DE5"/>
    <w:rsid w:val="00B7585A"/>
    <w:rsid w:val="00B81F0A"/>
    <w:rsid w:val="00B87417"/>
    <w:rsid w:val="00B92DB9"/>
    <w:rsid w:val="00B93891"/>
    <w:rsid w:val="00B9482B"/>
    <w:rsid w:val="00B977D5"/>
    <w:rsid w:val="00B97961"/>
    <w:rsid w:val="00BA0B01"/>
    <w:rsid w:val="00BA0D10"/>
    <w:rsid w:val="00BA1B78"/>
    <w:rsid w:val="00BA25F2"/>
    <w:rsid w:val="00BA2618"/>
    <w:rsid w:val="00BB0C9E"/>
    <w:rsid w:val="00BB0D07"/>
    <w:rsid w:val="00BB3A20"/>
    <w:rsid w:val="00BB7ED9"/>
    <w:rsid w:val="00BC203A"/>
    <w:rsid w:val="00BC24C6"/>
    <w:rsid w:val="00BC30F7"/>
    <w:rsid w:val="00BC366C"/>
    <w:rsid w:val="00BC42BD"/>
    <w:rsid w:val="00BC78E5"/>
    <w:rsid w:val="00BD1E36"/>
    <w:rsid w:val="00BD4429"/>
    <w:rsid w:val="00BD607F"/>
    <w:rsid w:val="00BE2F4B"/>
    <w:rsid w:val="00BE3CB5"/>
    <w:rsid w:val="00BE6394"/>
    <w:rsid w:val="00BF27AC"/>
    <w:rsid w:val="00BF7FBA"/>
    <w:rsid w:val="00C00CED"/>
    <w:rsid w:val="00C011E2"/>
    <w:rsid w:val="00C02F2E"/>
    <w:rsid w:val="00C0784A"/>
    <w:rsid w:val="00C120A2"/>
    <w:rsid w:val="00C14671"/>
    <w:rsid w:val="00C155E9"/>
    <w:rsid w:val="00C17143"/>
    <w:rsid w:val="00C17C11"/>
    <w:rsid w:val="00C17DC4"/>
    <w:rsid w:val="00C20416"/>
    <w:rsid w:val="00C21C48"/>
    <w:rsid w:val="00C22B04"/>
    <w:rsid w:val="00C22D1E"/>
    <w:rsid w:val="00C25B9C"/>
    <w:rsid w:val="00C26E3B"/>
    <w:rsid w:val="00C31C15"/>
    <w:rsid w:val="00C35440"/>
    <w:rsid w:val="00C35C97"/>
    <w:rsid w:val="00C416A9"/>
    <w:rsid w:val="00C434EA"/>
    <w:rsid w:val="00C50AA2"/>
    <w:rsid w:val="00C50B20"/>
    <w:rsid w:val="00C521A3"/>
    <w:rsid w:val="00C60565"/>
    <w:rsid w:val="00C60BB2"/>
    <w:rsid w:val="00C63DC3"/>
    <w:rsid w:val="00C643C3"/>
    <w:rsid w:val="00C64DA0"/>
    <w:rsid w:val="00C713BF"/>
    <w:rsid w:val="00C73498"/>
    <w:rsid w:val="00C74C10"/>
    <w:rsid w:val="00C74C38"/>
    <w:rsid w:val="00C74FD8"/>
    <w:rsid w:val="00C75458"/>
    <w:rsid w:val="00C816F9"/>
    <w:rsid w:val="00C82ABC"/>
    <w:rsid w:val="00C91C4F"/>
    <w:rsid w:val="00C93D4A"/>
    <w:rsid w:val="00C95180"/>
    <w:rsid w:val="00C963A2"/>
    <w:rsid w:val="00C9710F"/>
    <w:rsid w:val="00CA1158"/>
    <w:rsid w:val="00CA5E2F"/>
    <w:rsid w:val="00CB07A5"/>
    <w:rsid w:val="00CB2D79"/>
    <w:rsid w:val="00CB6178"/>
    <w:rsid w:val="00CC5663"/>
    <w:rsid w:val="00CC7A8C"/>
    <w:rsid w:val="00CD0793"/>
    <w:rsid w:val="00CD7138"/>
    <w:rsid w:val="00CD7EA6"/>
    <w:rsid w:val="00CE1CF1"/>
    <w:rsid w:val="00CE1FAA"/>
    <w:rsid w:val="00CE232C"/>
    <w:rsid w:val="00CE377A"/>
    <w:rsid w:val="00CE37D1"/>
    <w:rsid w:val="00CE47D1"/>
    <w:rsid w:val="00CE674E"/>
    <w:rsid w:val="00CE6902"/>
    <w:rsid w:val="00CF00ED"/>
    <w:rsid w:val="00CF374E"/>
    <w:rsid w:val="00CF6853"/>
    <w:rsid w:val="00CF6CFF"/>
    <w:rsid w:val="00D00848"/>
    <w:rsid w:val="00D03238"/>
    <w:rsid w:val="00D03D11"/>
    <w:rsid w:val="00D0514F"/>
    <w:rsid w:val="00D05412"/>
    <w:rsid w:val="00D13C2B"/>
    <w:rsid w:val="00D1444B"/>
    <w:rsid w:val="00D26782"/>
    <w:rsid w:val="00D26C5B"/>
    <w:rsid w:val="00D30D16"/>
    <w:rsid w:val="00D32434"/>
    <w:rsid w:val="00D32B61"/>
    <w:rsid w:val="00D32F80"/>
    <w:rsid w:val="00D40D93"/>
    <w:rsid w:val="00D45015"/>
    <w:rsid w:val="00D47610"/>
    <w:rsid w:val="00D50843"/>
    <w:rsid w:val="00D50E2B"/>
    <w:rsid w:val="00D516EB"/>
    <w:rsid w:val="00D517C6"/>
    <w:rsid w:val="00D523CE"/>
    <w:rsid w:val="00D533A1"/>
    <w:rsid w:val="00D55DEB"/>
    <w:rsid w:val="00D565F4"/>
    <w:rsid w:val="00D6059A"/>
    <w:rsid w:val="00D61CF7"/>
    <w:rsid w:val="00D61EAD"/>
    <w:rsid w:val="00D63F8C"/>
    <w:rsid w:val="00D658F3"/>
    <w:rsid w:val="00D71745"/>
    <w:rsid w:val="00D7279F"/>
    <w:rsid w:val="00D811A0"/>
    <w:rsid w:val="00D8444C"/>
    <w:rsid w:val="00D84529"/>
    <w:rsid w:val="00D86B69"/>
    <w:rsid w:val="00D92937"/>
    <w:rsid w:val="00D96915"/>
    <w:rsid w:val="00D969C5"/>
    <w:rsid w:val="00D97E5D"/>
    <w:rsid w:val="00DA07D1"/>
    <w:rsid w:val="00DA0A58"/>
    <w:rsid w:val="00DA0C3B"/>
    <w:rsid w:val="00DA226E"/>
    <w:rsid w:val="00DA3BDD"/>
    <w:rsid w:val="00DB1D55"/>
    <w:rsid w:val="00DB1DE8"/>
    <w:rsid w:val="00DB5355"/>
    <w:rsid w:val="00DB75B6"/>
    <w:rsid w:val="00DC076C"/>
    <w:rsid w:val="00DC2434"/>
    <w:rsid w:val="00DC5BE8"/>
    <w:rsid w:val="00DD0D2C"/>
    <w:rsid w:val="00DD16F7"/>
    <w:rsid w:val="00DD2328"/>
    <w:rsid w:val="00DD66BE"/>
    <w:rsid w:val="00DE065C"/>
    <w:rsid w:val="00DF2DBE"/>
    <w:rsid w:val="00DF4B17"/>
    <w:rsid w:val="00DF773E"/>
    <w:rsid w:val="00E00025"/>
    <w:rsid w:val="00E01618"/>
    <w:rsid w:val="00E103FC"/>
    <w:rsid w:val="00E12341"/>
    <w:rsid w:val="00E14C65"/>
    <w:rsid w:val="00E172AC"/>
    <w:rsid w:val="00E203F0"/>
    <w:rsid w:val="00E23133"/>
    <w:rsid w:val="00E31DE9"/>
    <w:rsid w:val="00E32DAC"/>
    <w:rsid w:val="00E348DB"/>
    <w:rsid w:val="00E3654C"/>
    <w:rsid w:val="00E372FF"/>
    <w:rsid w:val="00E37EBF"/>
    <w:rsid w:val="00E40896"/>
    <w:rsid w:val="00E43F60"/>
    <w:rsid w:val="00E44BAE"/>
    <w:rsid w:val="00E4527F"/>
    <w:rsid w:val="00E4542C"/>
    <w:rsid w:val="00E4563B"/>
    <w:rsid w:val="00E47F03"/>
    <w:rsid w:val="00E50967"/>
    <w:rsid w:val="00E51ED5"/>
    <w:rsid w:val="00E53FE0"/>
    <w:rsid w:val="00E577A2"/>
    <w:rsid w:val="00E60283"/>
    <w:rsid w:val="00E636F9"/>
    <w:rsid w:val="00E63732"/>
    <w:rsid w:val="00E63DD9"/>
    <w:rsid w:val="00E641E8"/>
    <w:rsid w:val="00E6470F"/>
    <w:rsid w:val="00E65AA5"/>
    <w:rsid w:val="00E65DC2"/>
    <w:rsid w:val="00E803AD"/>
    <w:rsid w:val="00E80A38"/>
    <w:rsid w:val="00E83FA7"/>
    <w:rsid w:val="00E84420"/>
    <w:rsid w:val="00E960E2"/>
    <w:rsid w:val="00E96764"/>
    <w:rsid w:val="00EA4C0A"/>
    <w:rsid w:val="00EA572B"/>
    <w:rsid w:val="00EA781B"/>
    <w:rsid w:val="00EB0071"/>
    <w:rsid w:val="00EB0F69"/>
    <w:rsid w:val="00EB4E38"/>
    <w:rsid w:val="00EB5C0D"/>
    <w:rsid w:val="00EB5D7D"/>
    <w:rsid w:val="00EB6B0D"/>
    <w:rsid w:val="00EC0772"/>
    <w:rsid w:val="00EC25A7"/>
    <w:rsid w:val="00EC2B12"/>
    <w:rsid w:val="00EC48FF"/>
    <w:rsid w:val="00ED0226"/>
    <w:rsid w:val="00ED1FA3"/>
    <w:rsid w:val="00ED2B48"/>
    <w:rsid w:val="00ED34C6"/>
    <w:rsid w:val="00ED3F9D"/>
    <w:rsid w:val="00ED4BFF"/>
    <w:rsid w:val="00ED69E7"/>
    <w:rsid w:val="00ED70D7"/>
    <w:rsid w:val="00ED77BC"/>
    <w:rsid w:val="00EE0003"/>
    <w:rsid w:val="00EE04CB"/>
    <w:rsid w:val="00EE1671"/>
    <w:rsid w:val="00EE2F00"/>
    <w:rsid w:val="00EE30E0"/>
    <w:rsid w:val="00EE35A0"/>
    <w:rsid w:val="00EE3770"/>
    <w:rsid w:val="00EE48A1"/>
    <w:rsid w:val="00EE57B9"/>
    <w:rsid w:val="00EE7452"/>
    <w:rsid w:val="00EE7C0A"/>
    <w:rsid w:val="00EF13BA"/>
    <w:rsid w:val="00EF29CE"/>
    <w:rsid w:val="00EF4C47"/>
    <w:rsid w:val="00EF4F7D"/>
    <w:rsid w:val="00EF6D56"/>
    <w:rsid w:val="00EF6DCB"/>
    <w:rsid w:val="00F01B79"/>
    <w:rsid w:val="00F03548"/>
    <w:rsid w:val="00F04468"/>
    <w:rsid w:val="00F07357"/>
    <w:rsid w:val="00F102AC"/>
    <w:rsid w:val="00F123F3"/>
    <w:rsid w:val="00F14ABF"/>
    <w:rsid w:val="00F163F0"/>
    <w:rsid w:val="00F1719B"/>
    <w:rsid w:val="00F17CA4"/>
    <w:rsid w:val="00F23A63"/>
    <w:rsid w:val="00F259BA"/>
    <w:rsid w:val="00F25F36"/>
    <w:rsid w:val="00F26D7D"/>
    <w:rsid w:val="00F310FC"/>
    <w:rsid w:val="00F31ACD"/>
    <w:rsid w:val="00F33B89"/>
    <w:rsid w:val="00F37E2D"/>
    <w:rsid w:val="00F40116"/>
    <w:rsid w:val="00F41B11"/>
    <w:rsid w:val="00F41EE1"/>
    <w:rsid w:val="00F425B8"/>
    <w:rsid w:val="00F50E63"/>
    <w:rsid w:val="00F514C8"/>
    <w:rsid w:val="00F52740"/>
    <w:rsid w:val="00F52793"/>
    <w:rsid w:val="00F54CB1"/>
    <w:rsid w:val="00F55553"/>
    <w:rsid w:val="00F561AD"/>
    <w:rsid w:val="00F56FFB"/>
    <w:rsid w:val="00F611A6"/>
    <w:rsid w:val="00F62012"/>
    <w:rsid w:val="00F652FE"/>
    <w:rsid w:val="00F65ED9"/>
    <w:rsid w:val="00F701D0"/>
    <w:rsid w:val="00F71DC7"/>
    <w:rsid w:val="00F73C1C"/>
    <w:rsid w:val="00F7514C"/>
    <w:rsid w:val="00F800B8"/>
    <w:rsid w:val="00F8068F"/>
    <w:rsid w:val="00F83454"/>
    <w:rsid w:val="00F8524D"/>
    <w:rsid w:val="00F87452"/>
    <w:rsid w:val="00F87ABD"/>
    <w:rsid w:val="00F93984"/>
    <w:rsid w:val="00F96775"/>
    <w:rsid w:val="00FA0E9B"/>
    <w:rsid w:val="00FA17E2"/>
    <w:rsid w:val="00FA5E8D"/>
    <w:rsid w:val="00FA68B8"/>
    <w:rsid w:val="00FA7545"/>
    <w:rsid w:val="00FB0F14"/>
    <w:rsid w:val="00FB71EF"/>
    <w:rsid w:val="00FC18F2"/>
    <w:rsid w:val="00FC2203"/>
    <w:rsid w:val="00FC32D0"/>
    <w:rsid w:val="00FD4011"/>
    <w:rsid w:val="00FD5396"/>
    <w:rsid w:val="00FD5A68"/>
    <w:rsid w:val="00FD6D8C"/>
    <w:rsid w:val="00FD788B"/>
    <w:rsid w:val="00FE0D81"/>
    <w:rsid w:val="00FE4F53"/>
    <w:rsid w:val="00FE5193"/>
    <w:rsid w:val="00FE6A67"/>
    <w:rsid w:val="00FF0915"/>
    <w:rsid w:val="00FF1A66"/>
    <w:rsid w:val="00FF21E8"/>
    <w:rsid w:val="00FF23C8"/>
    <w:rsid w:val="00FF4581"/>
    <w:rsid w:val="00FF61DF"/>
    <w:rsid w:val="00FF698A"/>
    <w:rsid w:val="00FF7268"/>
    <w:rsid w:val="00FF7E31"/>
    <w:rsid w:val="00FF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5efe4"/>
    </o:shapedefaults>
    <o:shapelayout v:ext="edit">
      <o:idmap v:ext="edit" data="1"/>
    </o:shapelayout>
  </w:shapeDefaults>
  <w:decimalSymbol w:val="."/>
  <w:listSeparator w:val=","/>
  <w14:docId w14:val="27ADA315"/>
  <w15:docId w15:val="{A790EEBA-A4C9-4AEC-BF0A-37CE20E1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F4F"/>
  </w:style>
  <w:style w:type="paragraph" w:styleId="Heading1">
    <w:name w:val="heading 1"/>
    <w:basedOn w:val="Normal"/>
    <w:next w:val="Normal"/>
    <w:link w:val="Heading1Char"/>
    <w:uiPriority w:val="9"/>
    <w:qFormat/>
    <w:rsid w:val="00020F4F"/>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paragraph" w:styleId="Heading2">
    <w:name w:val="heading 2"/>
    <w:basedOn w:val="Normal"/>
    <w:next w:val="Normal"/>
    <w:link w:val="Heading2Char"/>
    <w:uiPriority w:val="9"/>
    <w:unhideWhenUsed/>
    <w:qFormat/>
    <w:rsid w:val="00020F4F"/>
    <w:pPr>
      <w:keepNext/>
      <w:keepLines/>
      <w:spacing w:before="200" w:after="0"/>
      <w:outlineLvl w:val="1"/>
    </w:pPr>
    <w:rPr>
      <w:rFonts w:asciiTheme="majorHAnsi" w:eastAsiaTheme="majorEastAsia" w:hAnsiTheme="majorHAnsi" w:cstheme="majorBidi"/>
      <w:b/>
      <w:bCs/>
      <w:color w:val="4A66AC" w:themeColor="accent1"/>
      <w:sz w:val="26"/>
      <w:szCs w:val="26"/>
    </w:rPr>
  </w:style>
  <w:style w:type="paragraph" w:styleId="Heading3">
    <w:name w:val="heading 3"/>
    <w:basedOn w:val="Normal"/>
    <w:next w:val="Normal"/>
    <w:link w:val="Heading3Char"/>
    <w:uiPriority w:val="9"/>
    <w:unhideWhenUsed/>
    <w:qFormat/>
    <w:rsid w:val="00020F4F"/>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iPriority w:val="9"/>
    <w:semiHidden/>
    <w:unhideWhenUsed/>
    <w:qFormat/>
    <w:rsid w:val="00020F4F"/>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iPriority w:val="9"/>
    <w:semiHidden/>
    <w:unhideWhenUsed/>
    <w:qFormat/>
    <w:rsid w:val="00020F4F"/>
    <w:pPr>
      <w:keepNext/>
      <w:keepLines/>
      <w:spacing w:before="200" w:after="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020F4F"/>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020F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0F4F"/>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Heading9">
    <w:name w:val="heading 9"/>
    <w:basedOn w:val="Normal"/>
    <w:next w:val="Normal"/>
    <w:link w:val="Heading9Char"/>
    <w:uiPriority w:val="9"/>
    <w:semiHidden/>
    <w:unhideWhenUsed/>
    <w:qFormat/>
    <w:rsid w:val="00020F4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DC1"/>
    <w:pPr>
      <w:ind w:left="720"/>
      <w:contextualSpacing/>
    </w:pPr>
  </w:style>
  <w:style w:type="paragraph" w:styleId="BalloonText">
    <w:name w:val="Balloon Text"/>
    <w:basedOn w:val="Normal"/>
    <w:link w:val="BalloonTextChar"/>
    <w:uiPriority w:val="99"/>
    <w:semiHidden/>
    <w:unhideWhenUsed/>
    <w:rsid w:val="00B716CC"/>
    <w:rPr>
      <w:rFonts w:ascii="Tahoma" w:hAnsi="Tahoma" w:cs="Tahoma"/>
      <w:sz w:val="16"/>
      <w:szCs w:val="16"/>
    </w:rPr>
  </w:style>
  <w:style w:type="character" w:customStyle="1" w:styleId="BalloonTextChar">
    <w:name w:val="Balloon Text Char"/>
    <w:basedOn w:val="DefaultParagraphFont"/>
    <w:link w:val="BalloonText"/>
    <w:uiPriority w:val="99"/>
    <w:semiHidden/>
    <w:rsid w:val="00B716CC"/>
    <w:rPr>
      <w:rFonts w:ascii="Tahoma" w:hAnsi="Tahoma" w:cs="Tahoma"/>
      <w:sz w:val="16"/>
      <w:szCs w:val="16"/>
    </w:rPr>
  </w:style>
  <w:style w:type="character" w:styleId="Hyperlink">
    <w:name w:val="Hyperlink"/>
    <w:basedOn w:val="DefaultParagraphFont"/>
    <w:uiPriority w:val="99"/>
    <w:unhideWhenUsed/>
    <w:rsid w:val="00794E7F"/>
    <w:rPr>
      <w:color w:val="9454C3" w:themeColor="hyperlink"/>
      <w:u w:val="single"/>
    </w:rPr>
  </w:style>
  <w:style w:type="character" w:styleId="FollowedHyperlink">
    <w:name w:val="FollowedHyperlink"/>
    <w:basedOn w:val="DefaultParagraphFont"/>
    <w:uiPriority w:val="99"/>
    <w:semiHidden/>
    <w:unhideWhenUsed/>
    <w:rsid w:val="00794E7F"/>
    <w:rPr>
      <w:color w:val="3EBBF0" w:themeColor="followedHyperlink"/>
      <w:u w:val="single"/>
    </w:rPr>
  </w:style>
  <w:style w:type="character" w:customStyle="1" w:styleId="Heading1Char">
    <w:name w:val="Heading 1 Char"/>
    <w:basedOn w:val="DefaultParagraphFont"/>
    <w:link w:val="Heading1"/>
    <w:uiPriority w:val="9"/>
    <w:rsid w:val="00020F4F"/>
    <w:rPr>
      <w:rFonts w:asciiTheme="majorHAnsi" w:eastAsiaTheme="majorEastAsia" w:hAnsiTheme="majorHAnsi" w:cstheme="majorBidi"/>
      <w:b/>
      <w:bCs/>
      <w:color w:val="374C80" w:themeColor="accent1" w:themeShade="BF"/>
      <w:sz w:val="28"/>
      <w:szCs w:val="28"/>
    </w:rPr>
  </w:style>
  <w:style w:type="character" w:customStyle="1" w:styleId="Heading2Char">
    <w:name w:val="Heading 2 Char"/>
    <w:basedOn w:val="DefaultParagraphFont"/>
    <w:link w:val="Heading2"/>
    <w:uiPriority w:val="9"/>
    <w:rsid w:val="00020F4F"/>
    <w:rPr>
      <w:rFonts w:asciiTheme="majorHAnsi" w:eastAsiaTheme="majorEastAsia" w:hAnsiTheme="majorHAnsi" w:cstheme="majorBidi"/>
      <w:b/>
      <w:bCs/>
      <w:color w:val="4A66AC" w:themeColor="accent1"/>
      <w:sz w:val="26"/>
      <w:szCs w:val="26"/>
    </w:rPr>
  </w:style>
  <w:style w:type="character" w:customStyle="1" w:styleId="Heading3Char">
    <w:name w:val="Heading 3 Char"/>
    <w:basedOn w:val="DefaultParagraphFont"/>
    <w:link w:val="Heading3"/>
    <w:uiPriority w:val="9"/>
    <w:rsid w:val="00020F4F"/>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uiPriority w:val="9"/>
    <w:semiHidden/>
    <w:rsid w:val="00020F4F"/>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uiPriority w:val="9"/>
    <w:semiHidden/>
    <w:rsid w:val="00020F4F"/>
    <w:rPr>
      <w:rFonts w:asciiTheme="majorHAnsi" w:eastAsiaTheme="majorEastAsia" w:hAnsiTheme="majorHAnsi" w:cstheme="majorBidi"/>
      <w:color w:val="243255" w:themeColor="accent1" w:themeShade="7F"/>
    </w:rPr>
  </w:style>
  <w:style w:type="character" w:customStyle="1" w:styleId="Heading6Char">
    <w:name w:val="Heading 6 Char"/>
    <w:basedOn w:val="DefaultParagraphFont"/>
    <w:link w:val="Heading6"/>
    <w:uiPriority w:val="9"/>
    <w:semiHidden/>
    <w:rsid w:val="00020F4F"/>
    <w:rPr>
      <w:rFonts w:asciiTheme="majorHAnsi" w:eastAsiaTheme="majorEastAsia" w:hAnsiTheme="majorHAnsi" w:cstheme="majorBidi"/>
      <w:i/>
      <w:iCs/>
      <w:color w:val="243255" w:themeColor="accent1" w:themeShade="7F"/>
    </w:rPr>
  </w:style>
  <w:style w:type="character" w:customStyle="1" w:styleId="Heading7Char">
    <w:name w:val="Heading 7 Char"/>
    <w:basedOn w:val="DefaultParagraphFont"/>
    <w:link w:val="Heading7"/>
    <w:uiPriority w:val="9"/>
    <w:semiHidden/>
    <w:rsid w:val="00020F4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0F4F"/>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020F4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20F4F"/>
    <w:pPr>
      <w:pBdr>
        <w:bottom w:val="single" w:sz="8" w:space="4" w:color="4A66AC" w:themeColor="accent1"/>
      </w:pBdr>
      <w:spacing w:after="300" w:line="240" w:lineRule="auto"/>
      <w:contextualSpacing/>
    </w:pPr>
    <w:rPr>
      <w:rFonts w:asciiTheme="majorHAnsi" w:eastAsiaTheme="majorEastAsia" w:hAnsiTheme="majorHAnsi" w:cstheme="majorBidi"/>
      <w:color w:val="1B1D3D" w:themeColor="text2" w:themeShade="BF"/>
      <w:spacing w:val="5"/>
      <w:sz w:val="52"/>
      <w:szCs w:val="52"/>
    </w:rPr>
  </w:style>
  <w:style w:type="character" w:customStyle="1" w:styleId="TitleChar">
    <w:name w:val="Title Char"/>
    <w:basedOn w:val="DefaultParagraphFont"/>
    <w:link w:val="Title"/>
    <w:uiPriority w:val="10"/>
    <w:rsid w:val="00020F4F"/>
    <w:rPr>
      <w:rFonts w:asciiTheme="majorHAnsi" w:eastAsiaTheme="majorEastAsia" w:hAnsiTheme="majorHAnsi" w:cstheme="majorBidi"/>
      <w:color w:val="1B1D3D" w:themeColor="text2" w:themeShade="BF"/>
      <w:spacing w:val="5"/>
      <w:sz w:val="52"/>
      <w:szCs w:val="52"/>
    </w:rPr>
  </w:style>
  <w:style w:type="paragraph" w:styleId="Subtitle">
    <w:name w:val="Subtitle"/>
    <w:basedOn w:val="Normal"/>
    <w:next w:val="Normal"/>
    <w:link w:val="SubtitleChar"/>
    <w:uiPriority w:val="11"/>
    <w:qFormat/>
    <w:rsid w:val="00020F4F"/>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SubtitleChar">
    <w:name w:val="Subtitle Char"/>
    <w:basedOn w:val="DefaultParagraphFont"/>
    <w:link w:val="Subtitle"/>
    <w:uiPriority w:val="11"/>
    <w:rsid w:val="00020F4F"/>
    <w:rPr>
      <w:rFonts w:asciiTheme="majorHAnsi" w:eastAsiaTheme="majorEastAsia" w:hAnsiTheme="majorHAnsi" w:cstheme="majorBidi"/>
      <w:i/>
      <w:iCs/>
      <w:color w:val="4A66AC" w:themeColor="accent1"/>
      <w:spacing w:val="15"/>
      <w:sz w:val="24"/>
      <w:szCs w:val="24"/>
    </w:rPr>
  </w:style>
  <w:style w:type="character" w:styleId="Strong">
    <w:name w:val="Strong"/>
    <w:basedOn w:val="DefaultParagraphFont"/>
    <w:uiPriority w:val="22"/>
    <w:qFormat/>
    <w:rsid w:val="00020F4F"/>
    <w:rPr>
      <w:b/>
      <w:bCs/>
    </w:rPr>
  </w:style>
  <w:style w:type="character" w:styleId="Emphasis">
    <w:name w:val="Emphasis"/>
    <w:basedOn w:val="DefaultParagraphFont"/>
    <w:uiPriority w:val="20"/>
    <w:qFormat/>
    <w:rsid w:val="00020F4F"/>
    <w:rPr>
      <w:i/>
      <w:iCs/>
    </w:rPr>
  </w:style>
  <w:style w:type="paragraph" w:styleId="NoSpacing">
    <w:name w:val="No Spacing"/>
    <w:link w:val="NoSpacingChar"/>
    <w:uiPriority w:val="1"/>
    <w:qFormat/>
    <w:rsid w:val="00020F4F"/>
    <w:pPr>
      <w:spacing w:after="0" w:line="240" w:lineRule="auto"/>
    </w:pPr>
  </w:style>
  <w:style w:type="paragraph" w:styleId="Quote">
    <w:name w:val="Quote"/>
    <w:basedOn w:val="Normal"/>
    <w:next w:val="Normal"/>
    <w:link w:val="QuoteChar"/>
    <w:uiPriority w:val="29"/>
    <w:qFormat/>
    <w:rsid w:val="00020F4F"/>
    <w:rPr>
      <w:i/>
      <w:iCs/>
      <w:color w:val="000000" w:themeColor="text1"/>
    </w:rPr>
  </w:style>
  <w:style w:type="character" w:customStyle="1" w:styleId="QuoteChar">
    <w:name w:val="Quote Char"/>
    <w:basedOn w:val="DefaultParagraphFont"/>
    <w:link w:val="Quote"/>
    <w:uiPriority w:val="29"/>
    <w:rsid w:val="00020F4F"/>
    <w:rPr>
      <w:i/>
      <w:iCs/>
      <w:color w:val="000000" w:themeColor="text1"/>
    </w:rPr>
  </w:style>
  <w:style w:type="paragraph" w:styleId="IntenseQuote">
    <w:name w:val="Intense Quote"/>
    <w:basedOn w:val="Normal"/>
    <w:next w:val="Normal"/>
    <w:link w:val="IntenseQuoteChar"/>
    <w:uiPriority w:val="30"/>
    <w:qFormat/>
    <w:rsid w:val="00020F4F"/>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rsid w:val="00020F4F"/>
    <w:rPr>
      <w:b/>
      <w:bCs/>
      <w:i/>
      <w:iCs/>
      <w:color w:val="4A66AC" w:themeColor="accent1"/>
    </w:rPr>
  </w:style>
  <w:style w:type="character" w:styleId="SubtleEmphasis">
    <w:name w:val="Subtle Emphasis"/>
    <w:basedOn w:val="DefaultParagraphFont"/>
    <w:uiPriority w:val="19"/>
    <w:qFormat/>
    <w:rsid w:val="00020F4F"/>
    <w:rPr>
      <w:i/>
      <w:iCs/>
      <w:color w:val="808080" w:themeColor="text1" w:themeTint="7F"/>
    </w:rPr>
  </w:style>
  <w:style w:type="character" w:styleId="IntenseEmphasis">
    <w:name w:val="Intense Emphasis"/>
    <w:basedOn w:val="DefaultParagraphFont"/>
    <w:uiPriority w:val="21"/>
    <w:qFormat/>
    <w:rsid w:val="00020F4F"/>
    <w:rPr>
      <w:b/>
      <w:bCs/>
      <w:i/>
      <w:iCs/>
      <w:color w:val="4A66AC" w:themeColor="accent1"/>
    </w:rPr>
  </w:style>
  <w:style w:type="character" w:styleId="SubtleReference">
    <w:name w:val="Subtle Reference"/>
    <w:basedOn w:val="DefaultParagraphFont"/>
    <w:uiPriority w:val="31"/>
    <w:qFormat/>
    <w:rsid w:val="00020F4F"/>
    <w:rPr>
      <w:smallCaps/>
      <w:color w:val="629DD1" w:themeColor="accent2"/>
      <w:u w:val="single"/>
    </w:rPr>
  </w:style>
  <w:style w:type="character" w:styleId="IntenseReference">
    <w:name w:val="Intense Reference"/>
    <w:basedOn w:val="DefaultParagraphFont"/>
    <w:uiPriority w:val="32"/>
    <w:qFormat/>
    <w:rsid w:val="00020F4F"/>
    <w:rPr>
      <w:b/>
      <w:bCs/>
      <w:smallCaps/>
      <w:color w:val="629DD1" w:themeColor="accent2"/>
      <w:spacing w:val="5"/>
      <w:u w:val="single"/>
    </w:rPr>
  </w:style>
  <w:style w:type="character" w:styleId="BookTitle">
    <w:name w:val="Book Title"/>
    <w:basedOn w:val="DefaultParagraphFont"/>
    <w:uiPriority w:val="33"/>
    <w:qFormat/>
    <w:rsid w:val="00020F4F"/>
    <w:rPr>
      <w:b/>
      <w:bCs/>
      <w:smallCaps/>
      <w:spacing w:val="5"/>
    </w:rPr>
  </w:style>
  <w:style w:type="paragraph" w:styleId="TOCHeading">
    <w:name w:val="TOC Heading"/>
    <w:basedOn w:val="Heading1"/>
    <w:next w:val="Normal"/>
    <w:uiPriority w:val="39"/>
    <w:unhideWhenUsed/>
    <w:qFormat/>
    <w:rsid w:val="00020F4F"/>
    <w:pPr>
      <w:outlineLvl w:val="9"/>
    </w:pPr>
  </w:style>
  <w:style w:type="paragraph" w:styleId="TOC1">
    <w:name w:val="toc 1"/>
    <w:basedOn w:val="Normal"/>
    <w:next w:val="Normal"/>
    <w:autoRedefine/>
    <w:uiPriority w:val="39"/>
    <w:unhideWhenUsed/>
    <w:rsid w:val="003E2740"/>
    <w:pPr>
      <w:spacing w:after="100"/>
    </w:pPr>
  </w:style>
  <w:style w:type="paragraph" w:styleId="EndnoteText">
    <w:name w:val="endnote text"/>
    <w:basedOn w:val="Normal"/>
    <w:link w:val="EndnoteTextChar"/>
    <w:uiPriority w:val="99"/>
    <w:semiHidden/>
    <w:unhideWhenUsed/>
    <w:rsid w:val="00E65AA5"/>
  </w:style>
  <w:style w:type="character" w:customStyle="1" w:styleId="EndnoteTextChar">
    <w:name w:val="Endnote Text Char"/>
    <w:basedOn w:val="DefaultParagraphFont"/>
    <w:link w:val="EndnoteText"/>
    <w:uiPriority w:val="99"/>
    <w:semiHidden/>
    <w:rsid w:val="00E65AA5"/>
    <w:rPr>
      <w:sz w:val="20"/>
      <w:szCs w:val="20"/>
    </w:rPr>
  </w:style>
  <w:style w:type="character" w:styleId="EndnoteReference">
    <w:name w:val="endnote reference"/>
    <w:basedOn w:val="DefaultParagraphFont"/>
    <w:uiPriority w:val="99"/>
    <w:semiHidden/>
    <w:unhideWhenUsed/>
    <w:rsid w:val="00E65AA5"/>
    <w:rPr>
      <w:vertAlign w:val="superscript"/>
    </w:rPr>
  </w:style>
  <w:style w:type="paragraph" w:styleId="FootnoteText">
    <w:name w:val="footnote text"/>
    <w:basedOn w:val="Normal"/>
    <w:link w:val="FootnoteTextChar"/>
    <w:uiPriority w:val="99"/>
    <w:semiHidden/>
    <w:unhideWhenUsed/>
    <w:rsid w:val="00C21C48"/>
    <w:pPr>
      <w:spacing w:after="120" w:line="240" w:lineRule="auto"/>
    </w:pPr>
  </w:style>
  <w:style w:type="character" w:customStyle="1" w:styleId="FootnoteTextChar">
    <w:name w:val="Footnote Text Char"/>
    <w:basedOn w:val="DefaultParagraphFont"/>
    <w:link w:val="FootnoteText"/>
    <w:uiPriority w:val="99"/>
    <w:semiHidden/>
    <w:rsid w:val="00C21C48"/>
    <w:rPr>
      <w:sz w:val="22"/>
    </w:rPr>
  </w:style>
  <w:style w:type="character" w:styleId="FootnoteReference">
    <w:name w:val="footnote reference"/>
    <w:basedOn w:val="DefaultParagraphFont"/>
    <w:uiPriority w:val="99"/>
    <w:semiHidden/>
    <w:unhideWhenUsed/>
    <w:rsid w:val="00E65AA5"/>
    <w:rPr>
      <w:vertAlign w:val="superscript"/>
    </w:rPr>
  </w:style>
  <w:style w:type="paragraph" w:customStyle="1" w:styleId="Pa32">
    <w:name w:val="Pa32"/>
    <w:basedOn w:val="Normal"/>
    <w:next w:val="Normal"/>
    <w:uiPriority w:val="99"/>
    <w:rsid w:val="00DC076C"/>
    <w:pPr>
      <w:autoSpaceDE w:val="0"/>
      <w:autoSpaceDN w:val="0"/>
      <w:adjustRightInd w:val="0"/>
      <w:spacing w:line="241" w:lineRule="atLeast"/>
    </w:pPr>
    <w:rPr>
      <w:rFonts w:ascii="Helvetica 55 Roman" w:hAnsi="Helvetica 55 Roman"/>
      <w:lang w:val="en-GB" w:bidi="ar-SA"/>
    </w:rPr>
  </w:style>
  <w:style w:type="paragraph" w:styleId="Header">
    <w:name w:val="header"/>
    <w:basedOn w:val="Normal"/>
    <w:link w:val="HeaderChar"/>
    <w:uiPriority w:val="99"/>
    <w:unhideWhenUsed/>
    <w:rsid w:val="00867350"/>
    <w:pPr>
      <w:tabs>
        <w:tab w:val="center" w:pos="4513"/>
        <w:tab w:val="right" w:pos="9026"/>
      </w:tabs>
    </w:pPr>
  </w:style>
  <w:style w:type="character" w:customStyle="1" w:styleId="HeaderChar">
    <w:name w:val="Header Char"/>
    <w:basedOn w:val="DefaultParagraphFont"/>
    <w:link w:val="Header"/>
    <w:uiPriority w:val="99"/>
    <w:rsid w:val="00867350"/>
    <w:rPr>
      <w:sz w:val="24"/>
      <w:szCs w:val="24"/>
    </w:rPr>
  </w:style>
  <w:style w:type="paragraph" w:styleId="Footer">
    <w:name w:val="footer"/>
    <w:basedOn w:val="Normal"/>
    <w:link w:val="FooterChar"/>
    <w:uiPriority w:val="99"/>
    <w:unhideWhenUsed/>
    <w:rsid w:val="00867350"/>
    <w:pPr>
      <w:tabs>
        <w:tab w:val="center" w:pos="4513"/>
        <w:tab w:val="right" w:pos="9026"/>
      </w:tabs>
    </w:pPr>
  </w:style>
  <w:style w:type="character" w:customStyle="1" w:styleId="FooterChar">
    <w:name w:val="Footer Char"/>
    <w:basedOn w:val="DefaultParagraphFont"/>
    <w:link w:val="Footer"/>
    <w:uiPriority w:val="99"/>
    <w:rsid w:val="00867350"/>
    <w:rPr>
      <w:sz w:val="24"/>
      <w:szCs w:val="24"/>
    </w:rPr>
  </w:style>
  <w:style w:type="table" w:styleId="TableGrid">
    <w:name w:val="Table Grid"/>
    <w:basedOn w:val="TableNormal"/>
    <w:uiPriority w:val="59"/>
    <w:rsid w:val="006109F4"/>
    <w:pPr>
      <w:spacing w:after="0" w:line="240" w:lineRule="auto"/>
    </w:pPr>
    <w:rPr>
      <w:rFonts w:eastAsiaTheme="minorHAns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1048"/>
    <w:pPr>
      <w:spacing w:beforeAutospacing="1" w:after="100" w:afterAutospacing="1"/>
    </w:pPr>
    <w:rPr>
      <w:rFonts w:ascii="Times New Roman" w:eastAsia="Times New Roman" w:hAnsi="Times New Roman"/>
      <w:lang w:val="en-GB" w:eastAsia="en-GB" w:bidi="ar-SA"/>
    </w:rPr>
  </w:style>
  <w:style w:type="character" w:customStyle="1" w:styleId="apple-converted-space">
    <w:name w:val="apple-converted-space"/>
    <w:basedOn w:val="DefaultParagraphFont"/>
    <w:rsid w:val="00AF1048"/>
  </w:style>
  <w:style w:type="character" w:styleId="CommentReference">
    <w:name w:val="annotation reference"/>
    <w:basedOn w:val="DefaultParagraphFont"/>
    <w:uiPriority w:val="99"/>
    <w:semiHidden/>
    <w:unhideWhenUsed/>
    <w:rsid w:val="000B627A"/>
    <w:rPr>
      <w:sz w:val="16"/>
      <w:szCs w:val="16"/>
    </w:rPr>
  </w:style>
  <w:style w:type="paragraph" w:styleId="CommentText">
    <w:name w:val="annotation text"/>
    <w:basedOn w:val="Normal"/>
    <w:link w:val="CommentTextChar"/>
    <w:uiPriority w:val="99"/>
    <w:semiHidden/>
    <w:unhideWhenUsed/>
    <w:rsid w:val="000B627A"/>
  </w:style>
  <w:style w:type="character" w:customStyle="1" w:styleId="CommentTextChar">
    <w:name w:val="Comment Text Char"/>
    <w:basedOn w:val="DefaultParagraphFont"/>
    <w:link w:val="CommentText"/>
    <w:uiPriority w:val="99"/>
    <w:semiHidden/>
    <w:rsid w:val="000B627A"/>
    <w:rPr>
      <w:sz w:val="20"/>
      <w:szCs w:val="20"/>
    </w:rPr>
  </w:style>
  <w:style w:type="paragraph" w:styleId="CommentSubject">
    <w:name w:val="annotation subject"/>
    <w:basedOn w:val="CommentText"/>
    <w:next w:val="CommentText"/>
    <w:link w:val="CommentSubjectChar"/>
    <w:uiPriority w:val="99"/>
    <w:semiHidden/>
    <w:unhideWhenUsed/>
    <w:rsid w:val="000B627A"/>
    <w:rPr>
      <w:b/>
      <w:bCs/>
    </w:rPr>
  </w:style>
  <w:style w:type="character" w:customStyle="1" w:styleId="CommentSubjectChar">
    <w:name w:val="Comment Subject Char"/>
    <w:basedOn w:val="CommentTextChar"/>
    <w:link w:val="CommentSubject"/>
    <w:uiPriority w:val="99"/>
    <w:semiHidden/>
    <w:rsid w:val="000B627A"/>
    <w:rPr>
      <w:b/>
      <w:bCs/>
      <w:sz w:val="20"/>
      <w:szCs w:val="20"/>
    </w:rPr>
  </w:style>
  <w:style w:type="paragraph" w:styleId="TOC2">
    <w:name w:val="toc 2"/>
    <w:basedOn w:val="Normal"/>
    <w:next w:val="Normal"/>
    <w:autoRedefine/>
    <w:uiPriority w:val="39"/>
    <w:unhideWhenUsed/>
    <w:rsid w:val="00C0784A"/>
    <w:pPr>
      <w:spacing w:after="100"/>
      <w:ind w:left="240"/>
    </w:pPr>
  </w:style>
  <w:style w:type="paragraph" w:styleId="Caption">
    <w:name w:val="caption"/>
    <w:basedOn w:val="Normal"/>
    <w:next w:val="Normal"/>
    <w:uiPriority w:val="35"/>
    <w:unhideWhenUsed/>
    <w:qFormat/>
    <w:rsid w:val="00020F4F"/>
    <w:pPr>
      <w:spacing w:line="240" w:lineRule="auto"/>
    </w:pPr>
    <w:rPr>
      <w:b/>
      <w:bCs/>
      <w:color w:val="4A66AC" w:themeColor="accent1"/>
      <w:sz w:val="18"/>
      <w:szCs w:val="18"/>
    </w:rPr>
  </w:style>
  <w:style w:type="character" w:customStyle="1" w:styleId="UnresolvedMention1">
    <w:name w:val="Unresolved Mention1"/>
    <w:basedOn w:val="DefaultParagraphFont"/>
    <w:uiPriority w:val="99"/>
    <w:semiHidden/>
    <w:unhideWhenUsed/>
    <w:rsid w:val="008E2B45"/>
    <w:rPr>
      <w:color w:val="605E5C"/>
      <w:shd w:val="clear" w:color="auto" w:fill="E1DFDD"/>
    </w:rPr>
  </w:style>
  <w:style w:type="paragraph" w:styleId="TOC3">
    <w:name w:val="toc 3"/>
    <w:basedOn w:val="Normal"/>
    <w:next w:val="Normal"/>
    <w:autoRedefine/>
    <w:uiPriority w:val="39"/>
    <w:unhideWhenUsed/>
    <w:rsid w:val="00931F03"/>
    <w:pPr>
      <w:spacing w:after="100"/>
      <w:ind w:left="480"/>
    </w:pPr>
  </w:style>
  <w:style w:type="character" w:customStyle="1" w:styleId="UnresolvedMention">
    <w:name w:val="Unresolved Mention"/>
    <w:basedOn w:val="DefaultParagraphFont"/>
    <w:uiPriority w:val="99"/>
    <w:semiHidden/>
    <w:unhideWhenUsed/>
    <w:rsid w:val="00EF6D56"/>
    <w:rPr>
      <w:color w:val="605E5C"/>
      <w:shd w:val="clear" w:color="auto" w:fill="E1DFDD"/>
    </w:rPr>
  </w:style>
  <w:style w:type="character" w:customStyle="1" w:styleId="NoSpacingChar">
    <w:name w:val="No Spacing Char"/>
    <w:basedOn w:val="DefaultParagraphFont"/>
    <w:link w:val="NoSpacing"/>
    <w:uiPriority w:val="1"/>
    <w:rsid w:val="0097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8173">
      <w:bodyDiv w:val="1"/>
      <w:marLeft w:val="0"/>
      <w:marRight w:val="0"/>
      <w:marTop w:val="0"/>
      <w:marBottom w:val="0"/>
      <w:divBdr>
        <w:top w:val="none" w:sz="0" w:space="0" w:color="auto"/>
        <w:left w:val="none" w:sz="0" w:space="0" w:color="auto"/>
        <w:bottom w:val="none" w:sz="0" w:space="0" w:color="auto"/>
        <w:right w:val="none" w:sz="0" w:space="0" w:color="auto"/>
      </w:divBdr>
    </w:div>
    <w:div w:id="265504993">
      <w:bodyDiv w:val="1"/>
      <w:marLeft w:val="0"/>
      <w:marRight w:val="0"/>
      <w:marTop w:val="0"/>
      <w:marBottom w:val="0"/>
      <w:divBdr>
        <w:top w:val="none" w:sz="0" w:space="0" w:color="auto"/>
        <w:left w:val="none" w:sz="0" w:space="0" w:color="auto"/>
        <w:bottom w:val="none" w:sz="0" w:space="0" w:color="auto"/>
        <w:right w:val="none" w:sz="0" w:space="0" w:color="auto"/>
      </w:divBdr>
    </w:div>
    <w:div w:id="273943620">
      <w:bodyDiv w:val="1"/>
      <w:marLeft w:val="0"/>
      <w:marRight w:val="0"/>
      <w:marTop w:val="0"/>
      <w:marBottom w:val="0"/>
      <w:divBdr>
        <w:top w:val="none" w:sz="0" w:space="0" w:color="auto"/>
        <w:left w:val="none" w:sz="0" w:space="0" w:color="auto"/>
        <w:bottom w:val="none" w:sz="0" w:space="0" w:color="auto"/>
        <w:right w:val="none" w:sz="0" w:space="0" w:color="auto"/>
      </w:divBdr>
    </w:div>
    <w:div w:id="362899937">
      <w:bodyDiv w:val="1"/>
      <w:marLeft w:val="0"/>
      <w:marRight w:val="0"/>
      <w:marTop w:val="0"/>
      <w:marBottom w:val="0"/>
      <w:divBdr>
        <w:top w:val="none" w:sz="0" w:space="0" w:color="auto"/>
        <w:left w:val="none" w:sz="0" w:space="0" w:color="auto"/>
        <w:bottom w:val="none" w:sz="0" w:space="0" w:color="auto"/>
        <w:right w:val="none" w:sz="0" w:space="0" w:color="auto"/>
      </w:divBdr>
    </w:div>
    <w:div w:id="367068128">
      <w:bodyDiv w:val="1"/>
      <w:marLeft w:val="0"/>
      <w:marRight w:val="0"/>
      <w:marTop w:val="0"/>
      <w:marBottom w:val="0"/>
      <w:divBdr>
        <w:top w:val="none" w:sz="0" w:space="0" w:color="auto"/>
        <w:left w:val="none" w:sz="0" w:space="0" w:color="auto"/>
        <w:bottom w:val="none" w:sz="0" w:space="0" w:color="auto"/>
        <w:right w:val="none" w:sz="0" w:space="0" w:color="auto"/>
      </w:divBdr>
    </w:div>
    <w:div w:id="472405875">
      <w:bodyDiv w:val="1"/>
      <w:marLeft w:val="0"/>
      <w:marRight w:val="0"/>
      <w:marTop w:val="0"/>
      <w:marBottom w:val="0"/>
      <w:divBdr>
        <w:top w:val="none" w:sz="0" w:space="0" w:color="auto"/>
        <w:left w:val="none" w:sz="0" w:space="0" w:color="auto"/>
        <w:bottom w:val="none" w:sz="0" w:space="0" w:color="auto"/>
        <w:right w:val="none" w:sz="0" w:space="0" w:color="auto"/>
      </w:divBdr>
    </w:div>
    <w:div w:id="472455761">
      <w:bodyDiv w:val="1"/>
      <w:marLeft w:val="0"/>
      <w:marRight w:val="0"/>
      <w:marTop w:val="0"/>
      <w:marBottom w:val="0"/>
      <w:divBdr>
        <w:top w:val="none" w:sz="0" w:space="0" w:color="auto"/>
        <w:left w:val="none" w:sz="0" w:space="0" w:color="auto"/>
        <w:bottom w:val="none" w:sz="0" w:space="0" w:color="auto"/>
        <w:right w:val="none" w:sz="0" w:space="0" w:color="auto"/>
      </w:divBdr>
    </w:div>
    <w:div w:id="588807839">
      <w:bodyDiv w:val="1"/>
      <w:marLeft w:val="0"/>
      <w:marRight w:val="0"/>
      <w:marTop w:val="0"/>
      <w:marBottom w:val="0"/>
      <w:divBdr>
        <w:top w:val="none" w:sz="0" w:space="0" w:color="auto"/>
        <w:left w:val="none" w:sz="0" w:space="0" w:color="auto"/>
        <w:bottom w:val="none" w:sz="0" w:space="0" w:color="auto"/>
        <w:right w:val="none" w:sz="0" w:space="0" w:color="auto"/>
      </w:divBdr>
    </w:div>
    <w:div w:id="651446061">
      <w:bodyDiv w:val="1"/>
      <w:marLeft w:val="0"/>
      <w:marRight w:val="0"/>
      <w:marTop w:val="0"/>
      <w:marBottom w:val="0"/>
      <w:divBdr>
        <w:top w:val="none" w:sz="0" w:space="0" w:color="auto"/>
        <w:left w:val="none" w:sz="0" w:space="0" w:color="auto"/>
        <w:bottom w:val="none" w:sz="0" w:space="0" w:color="auto"/>
        <w:right w:val="none" w:sz="0" w:space="0" w:color="auto"/>
      </w:divBdr>
    </w:div>
    <w:div w:id="733045074">
      <w:bodyDiv w:val="1"/>
      <w:marLeft w:val="0"/>
      <w:marRight w:val="0"/>
      <w:marTop w:val="0"/>
      <w:marBottom w:val="0"/>
      <w:divBdr>
        <w:top w:val="none" w:sz="0" w:space="0" w:color="auto"/>
        <w:left w:val="none" w:sz="0" w:space="0" w:color="auto"/>
        <w:bottom w:val="none" w:sz="0" w:space="0" w:color="auto"/>
        <w:right w:val="none" w:sz="0" w:space="0" w:color="auto"/>
      </w:divBdr>
    </w:div>
    <w:div w:id="776756939">
      <w:bodyDiv w:val="1"/>
      <w:marLeft w:val="0"/>
      <w:marRight w:val="0"/>
      <w:marTop w:val="0"/>
      <w:marBottom w:val="0"/>
      <w:divBdr>
        <w:top w:val="none" w:sz="0" w:space="0" w:color="auto"/>
        <w:left w:val="none" w:sz="0" w:space="0" w:color="auto"/>
        <w:bottom w:val="none" w:sz="0" w:space="0" w:color="auto"/>
        <w:right w:val="none" w:sz="0" w:space="0" w:color="auto"/>
      </w:divBdr>
    </w:div>
    <w:div w:id="819661889">
      <w:bodyDiv w:val="1"/>
      <w:marLeft w:val="0"/>
      <w:marRight w:val="0"/>
      <w:marTop w:val="0"/>
      <w:marBottom w:val="0"/>
      <w:divBdr>
        <w:top w:val="none" w:sz="0" w:space="0" w:color="auto"/>
        <w:left w:val="none" w:sz="0" w:space="0" w:color="auto"/>
        <w:bottom w:val="none" w:sz="0" w:space="0" w:color="auto"/>
        <w:right w:val="none" w:sz="0" w:space="0" w:color="auto"/>
      </w:divBdr>
    </w:div>
    <w:div w:id="841549169">
      <w:bodyDiv w:val="1"/>
      <w:marLeft w:val="0"/>
      <w:marRight w:val="0"/>
      <w:marTop w:val="0"/>
      <w:marBottom w:val="0"/>
      <w:divBdr>
        <w:top w:val="none" w:sz="0" w:space="0" w:color="auto"/>
        <w:left w:val="none" w:sz="0" w:space="0" w:color="auto"/>
        <w:bottom w:val="none" w:sz="0" w:space="0" w:color="auto"/>
        <w:right w:val="none" w:sz="0" w:space="0" w:color="auto"/>
      </w:divBdr>
    </w:div>
    <w:div w:id="841896525">
      <w:bodyDiv w:val="1"/>
      <w:marLeft w:val="0"/>
      <w:marRight w:val="0"/>
      <w:marTop w:val="0"/>
      <w:marBottom w:val="0"/>
      <w:divBdr>
        <w:top w:val="none" w:sz="0" w:space="0" w:color="auto"/>
        <w:left w:val="none" w:sz="0" w:space="0" w:color="auto"/>
        <w:bottom w:val="none" w:sz="0" w:space="0" w:color="auto"/>
        <w:right w:val="none" w:sz="0" w:space="0" w:color="auto"/>
      </w:divBdr>
    </w:div>
    <w:div w:id="932125446">
      <w:bodyDiv w:val="1"/>
      <w:marLeft w:val="0"/>
      <w:marRight w:val="0"/>
      <w:marTop w:val="0"/>
      <w:marBottom w:val="0"/>
      <w:divBdr>
        <w:top w:val="none" w:sz="0" w:space="0" w:color="auto"/>
        <w:left w:val="none" w:sz="0" w:space="0" w:color="auto"/>
        <w:bottom w:val="none" w:sz="0" w:space="0" w:color="auto"/>
        <w:right w:val="none" w:sz="0" w:space="0" w:color="auto"/>
      </w:divBdr>
    </w:div>
    <w:div w:id="939097644">
      <w:bodyDiv w:val="1"/>
      <w:marLeft w:val="0"/>
      <w:marRight w:val="0"/>
      <w:marTop w:val="0"/>
      <w:marBottom w:val="0"/>
      <w:divBdr>
        <w:top w:val="none" w:sz="0" w:space="0" w:color="auto"/>
        <w:left w:val="none" w:sz="0" w:space="0" w:color="auto"/>
        <w:bottom w:val="none" w:sz="0" w:space="0" w:color="auto"/>
        <w:right w:val="none" w:sz="0" w:space="0" w:color="auto"/>
      </w:divBdr>
    </w:div>
    <w:div w:id="966817197">
      <w:bodyDiv w:val="1"/>
      <w:marLeft w:val="0"/>
      <w:marRight w:val="0"/>
      <w:marTop w:val="0"/>
      <w:marBottom w:val="0"/>
      <w:divBdr>
        <w:top w:val="none" w:sz="0" w:space="0" w:color="auto"/>
        <w:left w:val="none" w:sz="0" w:space="0" w:color="auto"/>
        <w:bottom w:val="none" w:sz="0" w:space="0" w:color="auto"/>
        <w:right w:val="none" w:sz="0" w:space="0" w:color="auto"/>
      </w:divBdr>
    </w:div>
    <w:div w:id="1069419816">
      <w:bodyDiv w:val="1"/>
      <w:marLeft w:val="0"/>
      <w:marRight w:val="0"/>
      <w:marTop w:val="0"/>
      <w:marBottom w:val="0"/>
      <w:divBdr>
        <w:top w:val="none" w:sz="0" w:space="0" w:color="auto"/>
        <w:left w:val="none" w:sz="0" w:space="0" w:color="auto"/>
        <w:bottom w:val="none" w:sz="0" w:space="0" w:color="auto"/>
        <w:right w:val="none" w:sz="0" w:space="0" w:color="auto"/>
      </w:divBdr>
    </w:div>
    <w:div w:id="1211918631">
      <w:bodyDiv w:val="1"/>
      <w:marLeft w:val="0"/>
      <w:marRight w:val="0"/>
      <w:marTop w:val="0"/>
      <w:marBottom w:val="0"/>
      <w:divBdr>
        <w:top w:val="none" w:sz="0" w:space="0" w:color="auto"/>
        <w:left w:val="none" w:sz="0" w:space="0" w:color="auto"/>
        <w:bottom w:val="none" w:sz="0" w:space="0" w:color="auto"/>
        <w:right w:val="none" w:sz="0" w:space="0" w:color="auto"/>
      </w:divBdr>
    </w:div>
    <w:div w:id="1251817412">
      <w:bodyDiv w:val="1"/>
      <w:marLeft w:val="0"/>
      <w:marRight w:val="0"/>
      <w:marTop w:val="0"/>
      <w:marBottom w:val="0"/>
      <w:divBdr>
        <w:top w:val="none" w:sz="0" w:space="0" w:color="auto"/>
        <w:left w:val="none" w:sz="0" w:space="0" w:color="auto"/>
        <w:bottom w:val="none" w:sz="0" w:space="0" w:color="auto"/>
        <w:right w:val="none" w:sz="0" w:space="0" w:color="auto"/>
      </w:divBdr>
    </w:div>
    <w:div w:id="1295720562">
      <w:bodyDiv w:val="1"/>
      <w:marLeft w:val="0"/>
      <w:marRight w:val="0"/>
      <w:marTop w:val="0"/>
      <w:marBottom w:val="0"/>
      <w:divBdr>
        <w:top w:val="none" w:sz="0" w:space="0" w:color="auto"/>
        <w:left w:val="none" w:sz="0" w:space="0" w:color="auto"/>
        <w:bottom w:val="none" w:sz="0" w:space="0" w:color="auto"/>
        <w:right w:val="none" w:sz="0" w:space="0" w:color="auto"/>
      </w:divBdr>
    </w:div>
    <w:div w:id="1301419043">
      <w:bodyDiv w:val="1"/>
      <w:marLeft w:val="0"/>
      <w:marRight w:val="0"/>
      <w:marTop w:val="0"/>
      <w:marBottom w:val="0"/>
      <w:divBdr>
        <w:top w:val="none" w:sz="0" w:space="0" w:color="auto"/>
        <w:left w:val="none" w:sz="0" w:space="0" w:color="auto"/>
        <w:bottom w:val="none" w:sz="0" w:space="0" w:color="auto"/>
        <w:right w:val="none" w:sz="0" w:space="0" w:color="auto"/>
      </w:divBdr>
    </w:div>
    <w:div w:id="1322004959">
      <w:bodyDiv w:val="1"/>
      <w:marLeft w:val="0"/>
      <w:marRight w:val="0"/>
      <w:marTop w:val="0"/>
      <w:marBottom w:val="0"/>
      <w:divBdr>
        <w:top w:val="none" w:sz="0" w:space="0" w:color="auto"/>
        <w:left w:val="none" w:sz="0" w:space="0" w:color="auto"/>
        <w:bottom w:val="none" w:sz="0" w:space="0" w:color="auto"/>
        <w:right w:val="none" w:sz="0" w:space="0" w:color="auto"/>
      </w:divBdr>
    </w:div>
    <w:div w:id="1323584671">
      <w:bodyDiv w:val="1"/>
      <w:marLeft w:val="0"/>
      <w:marRight w:val="0"/>
      <w:marTop w:val="0"/>
      <w:marBottom w:val="0"/>
      <w:divBdr>
        <w:top w:val="none" w:sz="0" w:space="0" w:color="auto"/>
        <w:left w:val="none" w:sz="0" w:space="0" w:color="auto"/>
        <w:bottom w:val="none" w:sz="0" w:space="0" w:color="auto"/>
        <w:right w:val="none" w:sz="0" w:space="0" w:color="auto"/>
      </w:divBdr>
    </w:div>
    <w:div w:id="1382172219">
      <w:bodyDiv w:val="1"/>
      <w:marLeft w:val="0"/>
      <w:marRight w:val="0"/>
      <w:marTop w:val="0"/>
      <w:marBottom w:val="0"/>
      <w:divBdr>
        <w:top w:val="none" w:sz="0" w:space="0" w:color="auto"/>
        <w:left w:val="none" w:sz="0" w:space="0" w:color="auto"/>
        <w:bottom w:val="none" w:sz="0" w:space="0" w:color="auto"/>
        <w:right w:val="none" w:sz="0" w:space="0" w:color="auto"/>
      </w:divBdr>
    </w:div>
    <w:div w:id="1399791111">
      <w:bodyDiv w:val="1"/>
      <w:marLeft w:val="0"/>
      <w:marRight w:val="0"/>
      <w:marTop w:val="0"/>
      <w:marBottom w:val="0"/>
      <w:divBdr>
        <w:top w:val="none" w:sz="0" w:space="0" w:color="auto"/>
        <w:left w:val="none" w:sz="0" w:space="0" w:color="auto"/>
        <w:bottom w:val="none" w:sz="0" w:space="0" w:color="auto"/>
        <w:right w:val="none" w:sz="0" w:space="0" w:color="auto"/>
      </w:divBdr>
    </w:div>
    <w:div w:id="1705709671">
      <w:bodyDiv w:val="1"/>
      <w:marLeft w:val="0"/>
      <w:marRight w:val="0"/>
      <w:marTop w:val="0"/>
      <w:marBottom w:val="0"/>
      <w:divBdr>
        <w:top w:val="none" w:sz="0" w:space="0" w:color="auto"/>
        <w:left w:val="none" w:sz="0" w:space="0" w:color="auto"/>
        <w:bottom w:val="none" w:sz="0" w:space="0" w:color="auto"/>
        <w:right w:val="none" w:sz="0" w:space="0" w:color="auto"/>
      </w:divBdr>
    </w:div>
    <w:div w:id="1814328694">
      <w:bodyDiv w:val="1"/>
      <w:marLeft w:val="0"/>
      <w:marRight w:val="0"/>
      <w:marTop w:val="0"/>
      <w:marBottom w:val="0"/>
      <w:divBdr>
        <w:top w:val="none" w:sz="0" w:space="0" w:color="auto"/>
        <w:left w:val="none" w:sz="0" w:space="0" w:color="auto"/>
        <w:bottom w:val="none" w:sz="0" w:space="0" w:color="auto"/>
        <w:right w:val="none" w:sz="0" w:space="0" w:color="auto"/>
      </w:divBdr>
    </w:div>
    <w:div w:id="1877085479">
      <w:bodyDiv w:val="1"/>
      <w:marLeft w:val="0"/>
      <w:marRight w:val="0"/>
      <w:marTop w:val="0"/>
      <w:marBottom w:val="0"/>
      <w:divBdr>
        <w:top w:val="none" w:sz="0" w:space="0" w:color="auto"/>
        <w:left w:val="none" w:sz="0" w:space="0" w:color="auto"/>
        <w:bottom w:val="none" w:sz="0" w:space="0" w:color="auto"/>
        <w:right w:val="none" w:sz="0" w:space="0" w:color="auto"/>
      </w:divBdr>
    </w:div>
    <w:div w:id="1954363497">
      <w:bodyDiv w:val="1"/>
      <w:marLeft w:val="0"/>
      <w:marRight w:val="0"/>
      <w:marTop w:val="0"/>
      <w:marBottom w:val="0"/>
      <w:divBdr>
        <w:top w:val="none" w:sz="0" w:space="0" w:color="auto"/>
        <w:left w:val="none" w:sz="0" w:space="0" w:color="auto"/>
        <w:bottom w:val="none" w:sz="0" w:space="0" w:color="auto"/>
        <w:right w:val="none" w:sz="0" w:space="0" w:color="auto"/>
      </w:divBdr>
    </w:div>
    <w:div w:id="1961835791">
      <w:bodyDiv w:val="1"/>
      <w:marLeft w:val="0"/>
      <w:marRight w:val="0"/>
      <w:marTop w:val="0"/>
      <w:marBottom w:val="0"/>
      <w:divBdr>
        <w:top w:val="none" w:sz="0" w:space="0" w:color="auto"/>
        <w:left w:val="none" w:sz="0" w:space="0" w:color="auto"/>
        <w:bottom w:val="none" w:sz="0" w:space="0" w:color="auto"/>
        <w:right w:val="none" w:sz="0" w:space="0" w:color="auto"/>
      </w:divBdr>
    </w:div>
    <w:div w:id="205071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6.xml"/><Relationship Id="rId39" Type="http://schemas.openxmlformats.org/officeDocument/2006/relationships/chart" Target="charts/chart15.xml"/><Relationship Id="rId21" Type="http://schemas.openxmlformats.org/officeDocument/2006/relationships/chart" Target="charts/chart5.xml"/><Relationship Id="rId34" Type="http://schemas.openxmlformats.org/officeDocument/2006/relationships/image" Target="media/image13.png"/><Relationship Id="rId42" Type="http://schemas.openxmlformats.org/officeDocument/2006/relationships/image" Target="media/image15.png"/><Relationship Id="rId47" Type="http://schemas.openxmlformats.org/officeDocument/2006/relationships/chart" Target="charts/chart20.xml"/><Relationship Id="rId50" Type="http://schemas.openxmlformats.org/officeDocument/2006/relationships/chart" Target="charts/chart23.xml"/><Relationship Id="rId55" Type="http://schemas.openxmlformats.org/officeDocument/2006/relationships/chart" Target="charts/chart2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image" Target="media/image10.png"/><Relationship Id="rId33" Type="http://schemas.openxmlformats.org/officeDocument/2006/relationships/chart" Target="charts/chart11.xml"/><Relationship Id="rId38" Type="http://schemas.openxmlformats.org/officeDocument/2006/relationships/chart" Target="charts/chart14.xml"/><Relationship Id="rId46" Type="http://schemas.openxmlformats.org/officeDocument/2006/relationships/chart" Target="charts/chart19.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4.xml"/><Relationship Id="rId29" Type="http://schemas.openxmlformats.org/officeDocument/2006/relationships/image" Target="media/image11.png"/><Relationship Id="rId41" Type="http://schemas.openxmlformats.org/officeDocument/2006/relationships/chart" Target="charts/chart17.xml"/><Relationship Id="rId54" Type="http://schemas.openxmlformats.org/officeDocument/2006/relationships/chart" Target="charts/chart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chart" Target="charts/chart10.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18.xml"/><Relationship Id="rId53" Type="http://schemas.openxmlformats.org/officeDocument/2006/relationships/chart" Target="charts/chart26.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chart" Target="charts/chart8.xml"/><Relationship Id="rId36" Type="http://schemas.openxmlformats.org/officeDocument/2006/relationships/image" Target="media/image14.png"/><Relationship Id="rId49" Type="http://schemas.openxmlformats.org/officeDocument/2006/relationships/chart" Target="charts/chart22.xml"/><Relationship Id="rId57"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chart" Target="charts/chart3.xml"/><Relationship Id="rId31" Type="http://schemas.openxmlformats.org/officeDocument/2006/relationships/chart" Target="charts/chart9.xml"/><Relationship Id="rId44" Type="http://schemas.openxmlformats.org/officeDocument/2006/relationships/image" Target="media/image17.png"/><Relationship Id="rId52" Type="http://schemas.openxmlformats.org/officeDocument/2006/relationships/chart" Target="charts/chart2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chart" Target="charts/chart7.xml"/><Relationship Id="rId30" Type="http://schemas.openxmlformats.org/officeDocument/2006/relationships/image" Target="media/image12.png"/><Relationship Id="rId35" Type="http://schemas.openxmlformats.org/officeDocument/2006/relationships/chart" Target="charts/chart12.xml"/><Relationship Id="rId43" Type="http://schemas.openxmlformats.org/officeDocument/2006/relationships/image" Target="media/image16.png"/><Relationship Id="rId48" Type="http://schemas.openxmlformats.org/officeDocument/2006/relationships/chart" Target="charts/chart21.xml"/><Relationship Id="rId56" Type="http://schemas.openxmlformats.org/officeDocument/2006/relationships/header" Target="header2.xml"/><Relationship Id="rId8" Type="http://schemas.openxmlformats.org/officeDocument/2006/relationships/image" Target="media/image1.jpg"/><Relationship Id="rId51" Type="http://schemas.openxmlformats.org/officeDocument/2006/relationships/chart" Target="charts/chart24.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www.ons.gov.uk/employmentandlabourmarket/peopleinwork/employmentandemployeetypes/datasets/underemploymentandoveremploymentemp16" TargetMode="External"/><Relationship Id="rId18" Type="http://schemas.openxmlformats.org/officeDocument/2006/relationships/hyperlink" Target="https://www.resolutionfoundation.org/comment/three-big-decisions-for-the-chancellor-on-the-future-of-the-job-retention-scheme/" TargetMode="External"/><Relationship Id="rId26" Type="http://schemas.openxmlformats.org/officeDocument/2006/relationships/hyperlink" Target="https://www.ifs.org.uk/tools_and_resources/incomes_in_uk" TargetMode="External"/><Relationship Id="rId39" Type="http://schemas.openxmlformats.org/officeDocument/2006/relationships/hyperlink" Target="https://www.understandingsociety.ac.uk/" TargetMode="External"/><Relationship Id="rId21" Type="http://schemas.openxmlformats.org/officeDocument/2006/relationships/hyperlink" Target="http://cep.lse.ac.uk/pubs/download/cepcovid-19-007.pdf" TargetMode="External"/><Relationship Id="rId34" Type="http://schemas.openxmlformats.org/officeDocument/2006/relationships/hyperlink" Target="https://www.lboro.ac.uk/research/crsp/mis/reports/" TargetMode="External"/><Relationship Id="rId42" Type="http://schemas.openxmlformats.org/officeDocument/2006/relationships/hyperlink" Target="http://www.hm-treasury.gov.uk/d/stats_briefing_101210.pdf" TargetMode="External"/><Relationship Id="rId47" Type="http://schemas.openxmlformats.org/officeDocument/2006/relationships/hyperlink" Target="https://www.which.co.uk/news/2019/11/bank-branch-closures-risk-leaving-millions-of-people-behind/" TargetMode="External"/><Relationship Id="rId50" Type="http://schemas.openxmlformats.org/officeDocument/2006/relationships/hyperlink" Target="https://www.ons.gov.uk/economy/grossdomesticproductgdp/timeseries/nrjs/ukea" TargetMode="External"/><Relationship Id="rId55" Type="http://schemas.openxmlformats.org/officeDocument/2006/relationships/hyperlink" Target="http://www.nestpensions.org.uk/schemeweb/NestWeb/includes/public/docs/NEST-in-numbers_April_2017,PDF.pdf" TargetMode="External"/><Relationship Id="rId63" Type="http://schemas.openxmlformats.org/officeDocument/2006/relationships/hyperlink" Target="https://www.fca.org.uk/publication/research/financial-lives-survey-2017.pdf" TargetMode="External"/><Relationship Id="rId68" Type="http://schemas.openxmlformats.org/officeDocument/2006/relationships/hyperlink" Target="https://www.stepchange.org/Portals/0/assets/pdf/coronavirus-policy-briefing-stepchange.pdf" TargetMode="External"/><Relationship Id="rId76" Type="http://schemas.openxmlformats.org/officeDocument/2006/relationships/hyperlink" Target="https://england.shelter.org.uk/media/press_releases/articles/230,000_renters_at_risk_of_covid-eviction_when_the_government_ban_lifts" TargetMode="External"/><Relationship Id="rId84" Type="http://schemas.openxmlformats.org/officeDocument/2006/relationships/hyperlink" Target="http://www.bankofengland.co.uk/publications/Documents/quarterlybulletin/2013/qb130406.pdf" TargetMode="External"/><Relationship Id="rId7" Type="http://schemas.openxmlformats.org/officeDocument/2006/relationships/hyperlink" Target="https://londoneconomics.co.uk/blog/publication/feasibility-study-into-the-viability-of-establishing-a-no-interest-loans-scheme-nils-in-the-uk-march-2020/" TargetMode="External"/><Relationship Id="rId71" Type="http://schemas.openxmlformats.org/officeDocument/2006/relationships/hyperlink" Target="https://www.gov.uk/government/statistics/mortgage-and-landlord-possession-statistics-october-to-december-2019" TargetMode="External"/><Relationship Id="rId2" Type="http://schemas.openxmlformats.org/officeDocument/2006/relationships/hyperlink" Target="https://www.fca.org.uk/static/documents/research/vulnerability-exposed-research.pdf" TargetMode="External"/><Relationship Id="rId16" Type="http://schemas.openxmlformats.org/officeDocument/2006/relationships/hyperlink" Target="https://www.ons.gov.uk/employmentandlabourmarket/peopleinwork/employmentandemployeetypes/datasets/emp17peopleinemploymentonzerohourscontracts" TargetMode="External"/><Relationship Id="rId29" Type="http://schemas.openxmlformats.org/officeDocument/2006/relationships/hyperlink" Target="https://www.resolutionfoundation.org/publications/return-to-spender/" TargetMode="External"/><Relationship Id="rId11" Type="http://schemas.openxmlformats.org/officeDocument/2006/relationships/hyperlink" Target="https://www.bankofengland.co.uk/monetary-policy/the-interest-rate-bank-rate" TargetMode="External"/><Relationship Id="rId24" Type="http://schemas.openxmlformats.org/officeDocument/2006/relationships/hyperlink" Target="https://www.ons.gov.uk/employmentandlabourmarket/peopleinwork/earningsandworkinghours/timeseries/a2fc/lms?referrer=search&amp;searchTerm=a2fc" TargetMode="External"/><Relationship Id="rId32" Type="http://schemas.openxmlformats.org/officeDocument/2006/relationships/hyperlink" Target="https://www.jrf.org.uk/sites/default/files/jrf/migrated/files/MIS-2015-full.pdf" TargetMode="External"/><Relationship Id="rId37" Type="http://schemas.openxmlformats.org/officeDocument/2006/relationships/hyperlink" Target="https://www.understandingsociety.ac.uk/" TargetMode="External"/><Relationship Id="rId40" Type="http://schemas.openxmlformats.org/officeDocument/2006/relationships/hyperlink" Target="https://www.ons.gov.uk/peoplepopulationandcommunity/healthandsocialcare/conditionsanddiseases/articles/coronaviruscovid19roundup/2020-03-26" TargetMode="External"/><Relationship Id="rId45" Type="http://schemas.openxmlformats.org/officeDocument/2006/relationships/hyperlink" Target="https://www.ukfinance.org.uk/system/files/UK-Payment-Markets-Report-2020-SUMMARY.pdf" TargetMode="External"/><Relationship Id="rId53" Type="http://schemas.openxmlformats.org/officeDocument/2006/relationships/hyperlink" Target="https://www.resolutionfoundation.org/app/uploads/2020/06/Rainy-Days.pdf" TargetMode="External"/><Relationship Id="rId58" Type="http://schemas.openxmlformats.org/officeDocument/2006/relationships/hyperlink" Target="https://commonslibrary.parliament.uk/research-briefings/sn01079/" TargetMode="External"/><Relationship Id="rId66" Type="http://schemas.openxmlformats.org/officeDocument/2006/relationships/hyperlink" Target="https://www.ifs.org.uk/publications/14820" TargetMode="External"/><Relationship Id="rId74" Type="http://schemas.openxmlformats.org/officeDocument/2006/relationships/hyperlink" Target="https://www.bankofengland.co.uk/credit-conditions-survey/2020/2020-q2" TargetMode="External"/><Relationship Id="rId79" Type="http://schemas.openxmlformats.org/officeDocument/2006/relationships/hyperlink" Target="https://www.ons.gov.uk/releases/wealthingreatbritainwave62016to2018" TargetMode="External"/><Relationship Id="rId5" Type="http://schemas.openxmlformats.org/officeDocument/2006/relationships/hyperlink" Target="https://www.parliament.uk/financial-exclusion" TargetMode="External"/><Relationship Id="rId61" Type="http://schemas.openxmlformats.org/officeDocument/2006/relationships/hyperlink" Target="https://commonslibrary.parliament.uk/research-briefings/sn01079/" TargetMode="External"/><Relationship Id="rId82" Type="http://schemas.openxmlformats.org/officeDocument/2006/relationships/hyperlink" Target="https://www.understandingsociety.ac.uk/" TargetMode="External"/><Relationship Id="rId19" Type="http://schemas.openxmlformats.org/officeDocument/2006/relationships/hyperlink" Target="https://www.ons.gov.uk/employmentandlabourmarket/peopleinwork/employmentandemployeetypes/bulletins/uklabourmarket/september2020" TargetMode="External"/><Relationship Id="rId4" Type="http://schemas.openxmlformats.org/officeDocument/2006/relationships/hyperlink" Target="http://www.fca.org.uk/static/documents/occasional-papers/occasional-paper-17.pdf" TargetMode="External"/><Relationship Id="rId9" Type="http://schemas.openxmlformats.org/officeDocument/2006/relationships/hyperlink" Target="https://www.ons.gov.uk/economy/grossdomesticproductgdp/bulletins/gdpmonthlyestimateuk/july2020" TargetMode="External"/><Relationship Id="rId14" Type="http://schemas.openxmlformats.org/officeDocument/2006/relationships/hyperlink" Target="https://www.ons.gov.uk/employmentandlabourmarket/peopleinwork/employmentandemployeetypes/bulletins/employmentintheuk/latest" TargetMode="External"/><Relationship Id="rId22" Type="http://schemas.openxmlformats.org/officeDocument/2006/relationships/hyperlink" Target="https://www.gov.uk/government/statistics/coronavirus-job-retention-scheme-statistics-september-2020" TargetMode="External"/><Relationship Id="rId27" Type="http://schemas.openxmlformats.org/officeDocument/2006/relationships/hyperlink" Target="https://www.jrf.org.uk/report/uk-poverty-2019-20" TargetMode="External"/><Relationship Id="rId30" Type="http://schemas.openxmlformats.org/officeDocument/2006/relationships/hyperlink" Target="https://www.resolutionfoundation.org/publications/coping-with-housing-costs-during-the-coronavirus-crisis/" TargetMode="External"/><Relationship Id="rId35" Type="http://schemas.openxmlformats.org/officeDocument/2006/relationships/hyperlink" Target="https://www.trusselltrust.org/news-and-blog/latest-stats/end-year-stats/" TargetMode="External"/><Relationship Id="rId43" Type="http://schemas.openxmlformats.org/officeDocument/2006/relationships/hyperlink" Target="file://cssfs15/home2/rowlingk/rowlingk%20Documents/Admin/College%20DoR/SN00385.pdf" TargetMode="External"/><Relationship Id="rId48" Type="http://schemas.openxmlformats.org/officeDocument/2006/relationships/hyperlink" Target="https://www.which.co.uk/news/2019/11/uk-banks-suffer-five-it-shutdowns-every-week-how-does-yours-rank/" TargetMode="External"/><Relationship Id="rId56" Type="http://schemas.openxmlformats.org/officeDocument/2006/relationships/hyperlink" Target="https://www.resolutionfoundation.org/app/uploads/2020/01/An-outstanding-balance.pdf" TargetMode="External"/><Relationship Id="rId64" Type="http://schemas.openxmlformats.org/officeDocument/2006/relationships/hyperlink" Target="https://www.bankofengland.co.uk/statistics/credit-union/2019/2019-q4" TargetMode="External"/><Relationship Id="rId69" Type="http://schemas.openxmlformats.org/officeDocument/2006/relationships/hyperlink" Target="http://www.bis.gov.uk/insolvency" TargetMode="External"/><Relationship Id="rId77" Type="http://schemas.openxmlformats.org/officeDocument/2006/relationships/hyperlink" Target="https://cpag.org.uk/news-blogs/news-listings/covid-capped" TargetMode="External"/><Relationship Id="rId8" Type="http://schemas.openxmlformats.org/officeDocument/2006/relationships/hyperlink" Target="https://www.ons.gov.uk/economy/grossdomesticproductgdp/timeseries/ihyq/qna" TargetMode="External"/><Relationship Id="rId51" Type="http://schemas.openxmlformats.org/officeDocument/2006/relationships/hyperlink" Target="https://assets.publishing.service.gov.uk/government/uploads/system/uploads/attachment_data/file/912379/Help_to_Save_August_2020.pdf" TargetMode="External"/><Relationship Id="rId72" Type="http://schemas.openxmlformats.org/officeDocument/2006/relationships/hyperlink" Target="https://www.gov.uk/government/statistics/mortgage-and-landlord-possession-statistics-october-to-december-2019" TargetMode="External"/><Relationship Id="rId80" Type="http://schemas.openxmlformats.org/officeDocument/2006/relationships/hyperlink" Target="http://dx.doi.org/10.5255/UKDA-SN-7085-1" TargetMode="External"/><Relationship Id="rId85" Type="http://schemas.openxmlformats.org/officeDocument/2006/relationships/hyperlink" Target="http://www.bankofengland.co.uk/research/Pages/onebank/datasets.aspx" TargetMode="External"/><Relationship Id="rId3" Type="http://schemas.openxmlformats.org/officeDocument/2006/relationships/hyperlink" Target="http://www.social-policy.org.uk/wordpress/wp-content/uploads/2015/04/08_gardner1.pdf" TargetMode="External"/><Relationship Id="rId12" Type="http://schemas.openxmlformats.org/officeDocument/2006/relationships/hyperlink" Target="https://www.ons.gov.uk/employmentandlabourmarket/peopleinwork/employmentandemployeetypes/datasets/employmentunemploymentandeconomicinactivitybyagegroupseasonallyadjusteda05sa" TargetMode="External"/><Relationship Id="rId17" Type="http://schemas.openxmlformats.org/officeDocument/2006/relationships/hyperlink" Target="https://www.ons.gov.uk/employmentandlabourmarket/peopleinwork/employmentandemployeetypes/articles/furloughingofworkersacrossukbusinesses/23march2020to5april2020" TargetMode="External"/><Relationship Id="rId25" Type="http://schemas.openxmlformats.org/officeDocument/2006/relationships/hyperlink" Target="https://www.jrf.org.uk/report/uk-poverty-2019-20" TargetMode="External"/><Relationship Id="rId33" Type="http://schemas.openxmlformats.org/officeDocument/2006/relationships/hyperlink" Target="https://www.lboro.ac.uk/research/crsp/mis/reports/" TargetMode="External"/><Relationship Id="rId38" Type="http://schemas.openxmlformats.org/officeDocument/2006/relationships/hyperlink" Target="https://www.understandingsociety.ac.uk/" TargetMode="External"/><Relationship Id="rId46" Type="http://schemas.openxmlformats.org/officeDocument/2006/relationships/hyperlink" Target="https://positivemoney.org/2019/12/all-the-latest-on-our-campaign-to-protect-free-access-to-cash/" TargetMode="External"/><Relationship Id="rId59" Type="http://schemas.openxmlformats.org/officeDocument/2006/relationships/hyperlink" Target="https://www.slc.co.uk/official-statistics/student-loans-debt-and-repayment/england.aspx" TargetMode="External"/><Relationship Id="rId67" Type="http://schemas.openxmlformats.org/officeDocument/2006/relationships/hyperlink" Target="https://www.ifs.org.uk/publications/14820" TargetMode="External"/><Relationship Id="rId20" Type="http://schemas.openxmlformats.org/officeDocument/2006/relationships/hyperlink" Target="https://www.resolutionfoundation.org/publications/this-time-is-different-universal-credits-first-recession/" TargetMode="External"/><Relationship Id="rId41" Type="http://schemas.openxmlformats.org/officeDocument/2006/relationships/hyperlink" Target="https://www.ons.gov.uk/peoplepopulationandcommunity/wellbeing/bulletins/personalandeconomicwellbeingintheuk/may2020" TargetMode="External"/><Relationship Id="rId54" Type="http://schemas.openxmlformats.org/officeDocument/2006/relationships/hyperlink" Target="https://www.ons.gov.uk/peoplepopulationandcommunity/personalandhouseholdfinances/pensionssavingsandinvestments/bulletins/occupationalpensionschemessurvey/uk2017" TargetMode="External"/><Relationship Id="rId62" Type="http://schemas.openxmlformats.org/officeDocument/2006/relationships/hyperlink" Target="https://www.slc.co.uk/official-statistics/student-loans-debt-and-repayment/england.aspx" TargetMode="External"/><Relationship Id="rId70" Type="http://schemas.openxmlformats.org/officeDocument/2006/relationships/hyperlink" Target="https://www.gov.uk/government/statistics/individual-insolvency-statistics-january-to-march-2019" TargetMode="External"/><Relationship Id="rId75" Type="http://schemas.openxmlformats.org/officeDocument/2006/relationships/hyperlink" Target="https://www.bankofengland.co.uk/-/media/boe/files/financial-stability-report/2020/august-2020.pdf" TargetMode="External"/><Relationship Id="rId83" Type="http://schemas.openxmlformats.org/officeDocument/2006/relationships/hyperlink" Target="http://www.bis.gov.uk/assets/BISCore/consumer-issues/docs/10-830-over-indebtedness-second-report.pdf" TargetMode="External"/><Relationship Id="rId1" Type="http://schemas.openxmlformats.org/officeDocument/2006/relationships/hyperlink" Target="http://www.minimumincomestandard.org/index.htm" TargetMode="External"/><Relationship Id="rId6" Type="http://schemas.openxmlformats.org/officeDocument/2006/relationships/hyperlink" Target="https://www.gov.uk/government/publications/financial-inclusion-report-2018-to-2019" TargetMode="External"/><Relationship Id="rId15" Type="http://schemas.openxmlformats.org/officeDocument/2006/relationships/hyperlink" Target="https://www.ons.gov.uk/employmentandlabourmarket/peopleinwork/employmentandemployeetypes/datasets/emp17peopleinemploymentonzerohourscontracts" TargetMode="External"/><Relationship Id="rId23" Type="http://schemas.openxmlformats.org/officeDocument/2006/relationships/hyperlink" Target="https://www.gov.uk/government/statistics/coronavirus-job-retention-scheme-statistics-july-2020" TargetMode="External"/><Relationship Id="rId28" Type="http://schemas.openxmlformats.org/officeDocument/2006/relationships/hyperlink" Target="https://www.stepchange.org/Portals/0/assets/pdf/coronavirus-policy-briefing-stepchange.pdf" TargetMode="External"/><Relationship Id="rId36" Type="http://schemas.openxmlformats.org/officeDocument/2006/relationships/hyperlink" Target="https://www.trusselltrust.org/2020/06/03/food-banks-busiest-month/" TargetMode="External"/><Relationship Id="rId49" Type="http://schemas.openxmlformats.org/officeDocument/2006/relationships/hyperlink" Target="http://www.ons.gov.uk/economy/nationalaccounts/uksectoraccounts/articles/nationalaccountsarticles/2015-07-01" TargetMode="External"/><Relationship Id="rId57" Type="http://schemas.openxmlformats.org/officeDocument/2006/relationships/hyperlink" Target="https://www.ons.gov.uk/peoplepopulationandcommunity/personalandhouseholdfinances/incomeandwealth/bulletins/householddebtingreatbritain/latest" TargetMode="External"/><Relationship Id="rId10" Type="http://schemas.openxmlformats.org/officeDocument/2006/relationships/hyperlink" Target="https://www.ons.gov.uk/economy/inflationandpriceindices/bulletins/consumerpriceinflation/august2020" TargetMode="External"/><Relationship Id="rId31" Type="http://schemas.openxmlformats.org/officeDocument/2006/relationships/hyperlink" Target="https://www.resolutionfoundation.org/publications/this-time-is-different-universal-credits-first-recession/" TargetMode="External"/><Relationship Id="rId44" Type="http://schemas.openxmlformats.org/officeDocument/2006/relationships/hyperlink" Target="https://www.accesstocash.org.uk/media/1087/final-report-final-web.pdf" TargetMode="External"/><Relationship Id="rId52" Type="http://schemas.openxmlformats.org/officeDocument/2006/relationships/hyperlink" Target="https://www.thisismoney.co.uk/money/saving/article-7411637/More-40-000-signed-Help-Save-six-months-say-HMRC.html" TargetMode="External"/><Relationship Id="rId60" Type="http://schemas.openxmlformats.org/officeDocument/2006/relationships/hyperlink" Target="https://commonslibrary.parliament.uk/research-briefings/sn01079/" TargetMode="External"/><Relationship Id="rId65" Type="http://schemas.openxmlformats.org/officeDocument/2006/relationships/hyperlink" Target="https://www.bankofengland.co.uk/statistics/credit-union/2019/2019-q4" TargetMode="External"/><Relationship Id="rId73" Type="http://schemas.openxmlformats.org/officeDocument/2006/relationships/hyperlink" Target="https://www.bankofengland.co.uk/-/media/boe/files/financial-stability-report/2020/august-2020.pdf" TargetMode="External"/><Relationship Id="rId78" Type="http://schemas.openxmlformats.org/officeDocument/2006/relationships/hyperlink" Target="https://www.ukdataservice.ac.uk/" TargetMode="External"/><Relationship Id="rId81" Type="http://schemas.openxmlformats.org/officeDocument/2006/relationships/hyperlink" Target="http://dx.doi.org/10.5255/UKDA-SN-7174-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Original%20spreadsheets\(2)%20Labour%20markets%20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4)%20subjective%20wellbeing%20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4)%20subjective%20wellbeing%2020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Drafts\(5)%20bank%20accounts%2020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Drafts\(6a)%20savings%20202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Drafts\(6a)%20savings%20202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7)%20pensions%202020.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7)%20pensions%202020.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7)%20pensions%202020.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8)%20borrowing%202020.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8)%20borrowing%202020.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2)%20Labour%20markets%202020.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8)%20borrowing%202020.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8)%20borrowing%202020.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8)%20borrowing%202020.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9)%20problem%20debt%202020%20revised.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9)%20problem%20debt%202020.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9)%20problem%20debt%202020.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9)%20problem%20debt%202020.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9)%20problem%20debt%202020.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10)%20insurance%202020.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Original%20spreadsheets\(2)%20Labour%20markets%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2)%20Labour%20markets%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Original%20spreadsheets\(2)%20Labour%20markets%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Original%20spreadsheets\(3)%20Incomes%20poverty%202020.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1.xml"/></Relationships>
</file>

<file path=word/charts/_rels/chart7.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Original%20spreadsheets\(3)%20Incomes%20poverty%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3)%20Incomes%20poverty%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adf\css\Staff\Home\rowlingk\rowlingk%20Documents\Research\financial%20inclusion\2020\First%20draft\(4)%20subjective%20wellbeing%2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'2.1 Unemployment'!$D$7</c:f>
              <c:strCache>
                <c:ptCount val="1"/>
                <c:pt idx="0">
                  <c:v>Total</c:v>
                </c:pt>
              </c:strCache>
            </c:strRef>
          </c:tx>
          <c:spPr>
            <a:ln w="28575" cap="rnd">
              <a:solidFill>
                <a:schemeClr val="accent1"/>
              </a:solidFill>
              <a:round/>
            </a:ln>
            <a:effectLst/>
          </c:spPr>
          <c:marker>
            <c:symbol val="none"/>
          </c:marker>
          <c:dLbls>
            <c:dLbl>
              <c:idx val="168"/>
              <c:layout>
                <c:manualLayout>
                  <c:x val="0"/>
                  <c:y val="-4.16319733555370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E5-44D5-82AB-4E106EF16F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'2.1 Unemployment'!$B$8:$C$176</c:f>
              <c:multiLvlStrCache>
                <c:ptCount val="169"/>
                <c:lvl>
                  <c:pt idx="0">
                    <c:v>J</c:v>
                  </c:pt>
                  <c:pt idx="3">
                    <c:v>A</c:v>
                  </c:pt>
                  <c:pt idx="6">
                    <c:v>J</c:v>
                  </c:pt>
                  <c:pt idx="9">
                    <c:v>O</c:v>
                  </c:pt>
                  <c:pt idx="12">
                    <c:v>J</c:v>
                  </c:pt>
                  <c:pt idx="15">
                    <c:v>A</c:v>
                  </c:pt>
                  <c:pt idx="18">
                    <c:v>J</c:v>
                  </c:pt>
                  <c:pt idx="21">
                    <c:v>O</c:v>
                  </c:pt>
                  <c:pt idx="24">
                    <c:v>J</c:v>
                  </c:pt>
                  <c:pt idx="27">
                    <c:v>A</c:v>
                  </c:pt>
                  <c:pt idx="30">
                    <c:v>J</c:v>
                  </c:pt>
                  <c:pt idx="33">
                    <c:v>O</c:v>
                  </c:pt>
                  <c:pt idx="36">
                    <c:v>J</c:v>
                  </c:pt>
                  <c:pt idx="39">
                    <c:v>A</c:v>
                  </c:pt>
                  <c:pt idx="42">
                    <c:v>J</c:v>
                  </c:pt>
                  <c:pt idx="45">
                    <c:v>O</c:v>
                  </c:pt>
                  <c:pt idx="48">
                    <c:v>J</c:v>
                  </c:pt>
                  <c:pt idx="51">
                    <c:v>A</c:v>
                  </c:pt>
                  <c:pt idx="54">
                    <c:v>J</c:v>
                  </c:pt>
                  <c:pt idx="57">
                    <c:v>O</c:v>
                  </c:pt>
                  <c:pt idx="60">
                    <c:v>J</c:v>
                  </c:pt>
                  <c:pt idx="63">
                    <c:v>A</c:v>
                  </c:pt>
                  <c:pt idx="66">
                    <c:v>J</c:v>
                  </c:pt>
                  <c:pt idx="69">
                    <c:v>O</c:v>
                  </c:pt>
                  <c:pt idx="72">
                    <c:v>J</c:v>
                  </c:pt>
                  <c:pt idx="75">
                    <c:v>A</c:v>
                  </c:pt>
                  <c:pt idx="78">
                    <c:v>J</c:v>
                  </c:pt>
                  <c:pt idx="81">
                    <c:v>O</c:v>
                  </c:pt>
                  <c:pt idx="84">
                    <c:v>J</c:v>
                  </c:pt>
                  <c:pt idx="87">
                    <c:v>A</c:v>
                  </c:pt>
                  <c:pt idx="90">
                    <c:v>J</c:v>
                  </c:pt>
                  <c:pt idx="93">
                    <c:v>O</c:v>
                  </c:pt>
                  <c:pt idx="96">
                    <c:v>J</c:v>
                  </c:pt>
                  <c:pt idx="99">
                    <c:v>A</c:v>
                  </c:pt>
                  <c:pt idx="102">
                    <c:v>J</c:v>
                  </c:pt>
                  <c:pt idx="105">
                    <c:v>O</c:v>
                  </c:pt>
                  <c:pt idx="108">
                    <c:v>J</c:v>
                  </c:pt>
                  <c:pt idx="111">
                    <c:v>A</c:v>
                  </c:pt>
                  <c:pt idx="114">
                    <c:v>J</c:v>
                  </c:pt>
                  <c:pt idx="117">
                    <c:v>O</c:v>
                  </c:pt>
                  <c:pt idx="120">
                    <c:v>J</c:v>
                  </c:pt>
                  <c:pt idx="123">
                    <c:v>A</c:v>
                  </c:pt>
                  <c:pt idx="126">
                    <c:v>J</c:v>
                  </c:pt>
                  <c:pt idx="129">
                    <c:v>O</c:v>
                  </c:pt>
                  <c:pt idx="132">
                    <c:v>J</c:v>
                  </c:pt>
                  <c:pt idx="135">
                    <c:v>A</c:v>
                  </c:pt>
                  <c:pt idx="138">
                    <c:v>J</c:v>
                  </c:pt>
                  <c:pt idx="141">
                    <c:v>O</c:v>
                  </c:pt>
                  <c:pt idx="144">
                    <c:v>J</c:v>
                  </c:pt>
                  <c:pt idx="147">
                    <c:v>A</c:v>
                  </c:pt>
                  <c:pt idx="150">
                    <c:v>J</c:v>
                  </c:pt>
                  <c:pt idx="153">
                    <c:v>O</c:v>
                  </c:pt>
                  <c:pt idx="156">
                    <c:v>J</c:v>
                  </c:pt>
                  <c:pt idx="159">
                    <c:v>A</c:v>
                  </c:pt>
                  <c:pt idx="162">
                    <c:v>J</c:v>
                  </c:pt>
                  <c:pt idx="165">
                    <c:v>O</c:v>
                  </c:pt>
                  <c:pt idx="168">
                    <c:v>J</c:v>
                  </c:pt>
                </c:lvl>
                <c:lvl>
                  <c:pt idx="0">
                    <c:v>2006</c:v>
                  </c:pt>
                  <c:pt idx="12">
                    <c:v>2007</c:v>
                  </c:pt>
                  <c:pt idx="24">
                    <c:v>2008</c:v>
                  </c:pt>
                  <c:pt idx="36">
                    <c:v>2009</c:v>
                  </c:pt>
                  <c:pt idx="48">
                    <c:v>2010</c:v>
                  </c:pt>
                  <c:pt idx="60">
                    <c:v>2011</c:v>
                  </c:pt>
                  <c:pt idx="72">
                    <c:v>2012</c:v>
                  </c:pt>
                  <c:pt idx="84">
                    <c:v>2013</c:v>
                  </c:pt>
                  <c:pt idx="96">
                    <c:v>2014</c:v>
                  </c:pt>
                  <c:pt idx="108">
                    <c:v>2015</c:v>
                  </c:pt>
                  <c:pt idx="120">
                    <c:v>2016</c:v>
                  </c:pt>
                  <c:pt idx="132">
                    <c:v>2017</c:v>
                  </c:pt>
                  <c:pt idx="144">
                    <c:v>2018</c:v>
                  </c:pt>
                  <c:pt idx="156">
                    <c:v>2019</c:v>
                  </c:pt>
                  <c:pt idx="168">
                    <c:v>2020</c:v>
                  </c:pt>
                </c:lvl>
              </c:multiLvlStrCache>
            </c:multiLvlStrRef>
          </c:cat>
          <c:val>
            <c:numRef>
              <c:f>'2.1 Unemployment'!$D$8:$D$176</c:f>
              <c:numCache>
                <c:formatCode>#,##0,</c:formatCode>
                <c:ptCount val="169"/>
                <c:pt idx="0">
                  <c:v>1584013.0428962368</c:v>
                </c:pt>
                <c:pt idx="1">
                  <c:v>1604365.0542521523</c:v>
                </c:pt>
                <c:pt idx="2">
                  <c:v>1632945.5648482796</c:v>
                </c:pt>
                <c:pt idx="3">
                  <c:v>1664342.4914044638</c:v>
                </c:pt>
                <c:pt idx="4">
                  <c:v>1684863.8326287055</c:v>
                </c:pt>
                <c:pt idx="5">
                  <c:v>1697855.7242149869</c:v>
                </c:pt>
                <c:pt idx="6">
                  <c:v>1690043.6881072042</c:v>
                </c:pt>
                <c:pt idx="7">
                  <c:v>1693399.6213673535</c:v>
                </c:pt>
                <c:pt idx="8">
                  <c:v>1691050.333688675</c:v>
                </c:pt>
                <c:pt idx="9">
                  <c:v>1673515.9776668078</c:v>
                </c:pt>
                <c:pt idx="10">
                  <c:v>1700679.5437057316</c:v>
                </c:pt>
                <c:pt idx="11">
                  <c:v>1702893.9389946808</c:v>
                </c:pt>
                <c:pt idx="12">
                  <c:v>1707725.4789551422</c:v>
                </c:pt>
                <c:pt idx="13">
                  <c:v>1703630.0389673449</c:v>
                </c:pt>
                <c:pt idx="14">
                  <c:v>1692292.4060345308</c:v>
                </c:pt>
                <c:pt idx="15">
                  <c:v>1669795.6316067521</c:v>
                </c:pt>
                <c:pt idx="16">
                  <c:v>1657561.0565197652</c:v>
                </c:pt>
                <c:pt idx="17">
                  <c:v>1644790.9802744505</c:v>
                </c:pt>
                <c:pt idx="18">
                  <c:v>1644636.8751965251</c:v>
                </c:pt>
                <c:pt idx="19">
                  <c:v>1649852.2456102925</c:v>
                </c:pt>
                <c:pt idx="20">
                  <c:v>1629374.8748130281</c:v>
                </c:pt>
                <c:pt idx="21">
                  <c:v>1632551.0131793856</c:v>
                </c:pt>
                <c:pt idx="22">
                  <c:v>1608040.288836854</c:v>
                </c:pt>
                <c:pt idx="23">
                  <c:v>1616870.5631652195</c:v>
                </c:pt>
                <c:pt idx="24">
                  <c:v>1621601.5910139666</c:v>
                </c:pt>
                <c:pt idx="25">
                  <c:v>1622486.6594816956</c:v>
                </c:pt>
                <c:pt idx="26">
                  <c:v>1667246.9275823049</c:v>
                </c:pt>
                <c:pt idx="27">
                  <c:v>1624707.0630859714</c:v>
                </c:pt>
                <c:pt idx="28">
                  <c:v>1680152.3185291591</c:v>
                </c:pt>
                <c:pt idx="29">
                  <c:v>1723914.5089085419</c:v>
                </c:pt>
                <c:pt idx="30">
                  <c:v>1793118.1099961316</c:v>
                </c:pt>
                <c:pt idx="31">
                  <c:v>1839785.2978706807</c:v>
                </c:pt>
                <c:pt idx="32">
                  <c:v>1874553.2909203675</c:v>
                </c:pt>
                <c:pt idx="33">
                  <c:v>1941135.0713208411</c:v>
                </c:pt>
                <c:pt idx="34">
                  <c:v>2003173.7920852266</c:v>
                </c:pt>
                <c:pt idx="35">
                  <c:v>2057332.3574915288</c:v>
                </c:pt>
                <c:pt idx="36">
                  <c:v>2128405.7135728952</c:v>
                </c:pt>
                <c:pt idx="37">
                  <c:v>2234703.7190747922</c:v>
                </c:pt>
                <c:pt idx="38">
                  <c:v>2296411.1244139699</c:v>
                </c:pt>
                <c:pt idx="39">
                  <c:v>2394608.4763449226</c:v>
                </c:pt>
                <c:pt idx="40">
                  <c:v>2448383.4628858129</c:v>
                </c:pt>
                <c:pt idx="41">
                  <c:v>2478245.8888798235</c:v>
                </c:pt>
                <c:pt idx="42">
                  <c:v>2483796.0779297752</c:v>
                </c:pt>
                <c:pt idx="43">
                  <c:v>2475439.463461455</c:v>
                </c:pt>
                <c:pt idx="44">
                  <c:v>2483874.7739418354</c:v>
                </c:pt>
                <c:pt idx="45">
                  <c:v>2454725.4161252468</c:v>
                </c:pt>
                <c:pt idx="46">
                  <c:v>2452614.1823600233</c:v>
                </c:pt>
                <c:pt idx="47">
                  <c:v>2433994.7189028007</c:v>
                </c:pt>
                <c:pt idx="48">
                  <c:v>2496312.2404239606</c:v>
                </c:pt>
                <c:pt idx="49">
                  <c:v>2526117.5029004272</c:v>
                </c:pt>
                <c:pt idx="50">
                  <c:v>2509542.2693637479</c:v>
                </c:pt>
                <c:pt idx="51">
                  <c:v>2507703.9085007124</c:v>
                </c:pt>
                <c:pt idx="52">
                  <c:v>2487586.4343604315</c:v>
                </c:pt>
                <c:pt idx="53">
                  <c:v>2487888.0786911822</c:v>
                </c:pt>
                <c:pt idx="54">
                  <c:v>2475873.8139553322</c:v>
                </c:pt>
                <c:pt idx="55">
                  <c:v>2470289.915312855</c:v>
                </c:pt>
                <c:pt idx="56">
                  <c:v>2512940.2357474919</c:v>
                </c:pt>
                <c:pt idx="57">
                  <c:v>2501869.6205133335</c:v>
                </c:pt>
                <c:pt idx="58">
                  <c:v>2502647.0354963858</c:v>
                </c:pt>
                <c:pt idx="59">
                  <c:v>2524049.8179023503</c:v>
                </c:pt>
                <c:pt idx="60">
                  <c:v>2491674.4541270514</c:v>
                </c:pt>
                <c:pt idx="61">
                  <c:v>2483220.803536227</c:v>
                </c:pt>
                <c:pt idx="62">
                  <c:v>2461507.7860695836</c:v>
                </c:pt>
                <c:pt idx="63">
                  <c:v>2500440.0898034568</c:v>
                </c:pt>
                <c:pt idx="64">
                  <c:v>2539721.6542911888</c:v>
                </c:pt>
                <c:pt idx="65">
                  <c:v>2556212.9436219605</c:v>
                </c:pt>
                <c:pt idx="66">
                  <c:v>2610645.5542511069</c:v>
                </c:pt>
                <c:pt idx="67">
                  <c:v>2661730.0666210921</c:v>
                </c:pt>
                <c:pt idx="68">
                  <c:v>2677061.5503663039</c:v>
                </c:pt>
                <c:pt idx="69">
                  <c:v>2712799.2592390333</c:v>
                </c:pt>
                <c:pt idx="70">
                  <c:v>2688679.6609461801</c:v>
                </c:pt>
                <c:pt idx="71">
                  <c:v>2674447.7213009549</c:v>
                </c:pt>
                <c:pt idx="72">
                  <c:v>2655351.4785433626</c:v>
                </c:pt>
                <c:pt idx="73">
                  <c:v>2634556.8834079895</c:v>
                </c:pt>
                <c:pt idx="74">
                  <c:v>2625127.5357943019</c:v>
                </c:pt>
                <c:pt idx="75">
                  <c:v>2598893.2636648342</c:v>
                </c:pt>
                <c:pt idx="76">
                  <c:v>2576802.9351959582</c:v>
                </c:pt>
                <c:pt idx="77">
                  <c:v>2599944.0978128575</c:v>
                </c:pt>
                <c:pt idx="78">
                  <c:v>2550672.5785196549</c:v>
                </c:pt>
                <c:pt idx="79">
                  <c:v>2538522.622337779</c:v>
                </c:pt>
                <c:pt idx="80">
                  <c:v>2534434.0651605744</c:v>
                </c:pt>
                <c:pt idx="81">
                  <c:v>2532106.414786269</c:v>
                </c:pt>
                <c:pt idx="82">
                  <c:v>2534936.6339579616</c:v>
                </c:pt>
                <c:pt idx="83">
                  <c:v>2536541.4852375421</c:v>
                </c:pt>
                <c:pt idx="84">
                  <c:v>2584096.1175379134</c:v>
                </c:pt>
                <c:pt idx="85">
                  <c:v>2540058.4513825877</c:v>
                </c:pt>
                <c:pt idx="86">
                  <c:v>2525332.6023747325</c:v>
                </c:pt>
                <c:pt idx="87">
                  <c:v>2511435.4283800633</c:v>
                </c:pt>
                <c:pt idx="88">
                  <c:v>2514521.6716221785</c:v>
                </c:pt>
                <c:pt idx="89">
                  <c:v>2492076.5552509767</c:v>
                </c:pt>
                <c:pt idx="90">
                  <c:v>2503883.1893635914</c:v>
                </c:pt>
                <c:pt idx="91">
                  <c:v>2482702.8518296545</c:v>
                </c:pt>
                <c:pt idx="92">
                  <c:v>2404238.2044286793</c:v>
                </c:pt>
                <c:pt idx="93">
                  <c:v>2340299.9220170416</c:v>
                </c:pt>
                <c:pt idx="94">
                  <c:v>2357367.5580622628</c:v>
                </c:pt>
                <c:pt idx="95">
                  <c:v>2339644.3131658258</c:v>
                </c:pt>
                <c:pt idx="96">
                  <c:v>2256209.0524698766</c:v>
                </c:pt>
                <c:pt idx="97">
                  <c:v>2211676.7849763585</c:v>
                </c:pt>
                <c:pt idx="98">
                  <c:v>2160959.6527924286</c:v>
                </c:pt>
                <c:pt idx="99">
                  <c:v>2111986.9760725927</c:v>
                </c:pt>
                <c:pt idx="100">
                  <c:v>2060697.1442135472</c:v>
                </c:pt>
                <c:pt idx="101">
                  <c:v>2009539.3723574372</c:v>
                </c:pt>
                <c:pt idx="102">
                  <c:v>1971604.9522744613</c:v>
                </c:pt>
                <c:pt idx="103">
                  <c:v>1961300.380059191</c:v>
                </c:pt>
                <c:pt idx="104">
                  <c:v>1953421.1525529544</c:v>
                </c:pt>
                <c:pt idx="105">
                  <c:v>1924170.3432081642</c:v>
                </c:pt>
                <c:pt idx="106">
                  <c:v>1869988.5845665601</c:v>
                </c:pt>
                <c:pt idx="107">
                  <c:v>1858245.0534314825</c:v>
                </c:pt>
                <c:pt idx="108">
                  <c:v>1840230.617550923</c:v>
                </c:pt>
                <c:pt idx="109">
                  <c:v>1825965.2005981682</c:v>
                </c:pt>
                <c:pt idx="110">
                  <c:v>1813098.0007452758</c:v>
                </c:pt>
                <c:pt idx="111">
                  <c:v>1848463.7035412746</c:v>
                </c:pt>
                <c:pt idx="112">
                  <c:v>1848596.385412036</c:v>
                </c:pt>
                <c:pt idx="113">
                  <c:v>1821749.6625917074</c:v>
                </c:pt>
                <c:pt idx="114">
                  <c:v>1779380.8785702251</c:v>
                </c:pt>
                <c:pt idx="115">
                  <c:v>1760333.4830445799</c:v>
                </c:pt>
                <c:pt idx="116">
                  <c:v>1715351.3190817379</c:v>
                </c:pt>
                <c:pt idx="117">
                  <c:v>1687024.1352542033</c:v>
                </c:pt>
                <c:pt idx="118">
                  <c:v>1687559.4028044012</c:v>
                </c:pt>
                <c:pt idx="119">
                  <c:v>1684258.7993399096</c:v>
                </c:pt>
                <c:pt idx="120">
                  <c:v>1700406.6527234619</c:v>
                </c:pt>
                <c:pt idx="121">
                  <c:v>1686569.1292843469</c:v>
                </c:pt>
                <c:pt idx="122">
                  <c:v>1665810.7411846544</c:v>
                </c:pt>
                <c:pt idx="123">
                  <c:v>1647619.6129473601</c:v>
                </c:pt>
                <c:pt idx="124">
                  <c:v>1643240.7394571728</c:v>
                </c:pt>
                <c:pt idx="125">
                  <c:v>1635177.1148914334</c:v>
                </c:pt>
                <c:pt idx="126">
                  <c:v>1668316.3640298978</c:v>
                </c:pt>
                <c:pt idx="127">
                  <c:v>1617538.1620811094</c:v>
                </c:pt>
                <c:pt idx="128">
                  <c:v>1613233.1799738244</c:v>
                </c:pt>
                <c:pt idx="129">
                  <c:v>1601680.4549723538</c:v>
                </c:pt>
                <c:pt idx="130">
                  <c:v>1585306.0524847656</c:v>
                </c:pt>
                <c:pt idx="131">
                  <c:v>1573144.2732280111</c:v>
                </c:pt>
                <c:pt idx="132">
                  <c:v>1550403.9537592968</c:v>
                </c:pt>
                <c:pt idx="133">
                  <c:v>1527496.711144896</c:v>
                </c:pt>
                <c:pt idx="134">
                  <c:v>1519885.9879645924</c:v>
                </c:pt>
                <c:pt idx="135">
                  <c:v>1489182.4566797388</c:v>
                </c:pt>
                <c:pt idx="136">
                  <c:v>1484719.6746502982</c:v>
                </c:pt>
                <c:pt idx="137">
                  <c:v>1457040.6223122114</c:v>
                </c:pt>
                <c:pt idx="138">
                  <c:v>1452328.6604529722</c:v>
                </c:pt>
                <c:pt idx="139">
                  <c:v>1429049.8070271807</c:v>
                </c:pt>
                <c:pt idx="140">
                  <c:v>1422221.2469470962</c:v>
                </c:pt>
                <c:pt idx="141">
                  <c:v>1437493.0920859925</c:v>
                </c:pt>
                <c:pt idx="142">
                  <c:v>1463071.2513441525</c:v>
                </c:pt>
                <c:pt idx="143">
                  <c:v>1450789.0691087921</c:v>
                </c:pt>
                <c:pt idx="144">
                  <c:v>1419086.5548740674</c:v>
                </c:pt>
                <c:pt idx="145">
                  <c:v>1417271.2813921024</c:v>
                </c:pt>
                <c:pt idx="146">
                  <c:v>1416077.4103788065</c:v>
                </c:pt>
                <c:pt idx="147">
                  <c:v>1408010.0900321719</c:v>
                </c:pt>
                <c:pt idx="148">
                  <c:v>1362282.0205269696</c:v>
                </c:pt>
                <c:pt idx="149">
                  <c:v>1357773.3748287403</c:v>
                </c:pt>
                <c:pt idx="150">
                  <c:v>1362631.0194491581</c:v>
                </c:pt>
                <c:pt idx="151">
                  <c:v>1377113.2620262867</c:v>
                </c:pt>
                <c:pt idx="152">
                  <c:v>1373350.6590351253</c:v>
                </c:pt>
                <c:pt idx="153">
                  <c:v>1369739.3640851716</c:v>
                </c:pt>
                <c:pt idx="154">
                  <c:v>1363011.6749775303</c:v>
                </c:pt>
                <c:pt idx="155">
                  <c:v>1338443.1072707563</c:v>
                </c:pt>
                <c:pt idx="156">
                  <c:v>1342623.1332246549</c:v>
                </c:pt>
                <c:pt idx="157">
                  <c:v>1297843.7289674561</c:v>
                </c:pt>
                <c:pt idx="158">
                  <c:v>1304221.6509876368</c:v>
                </c:pt>
                <c:pt idx="159">
                  <c:v>1292063.9525583303</c:v>
                </c:pt>
                <c:pt idx="160">
                  <c:v>1329026.0056263232</c:v>
                </c:pt>
                <c:pt idx="161">
                  <c:v>1293684.538947921</c:v>
                </c:pt>
                <c:pt idx="162">
                  <c:v>1313578.0420757513</c:v>
                </c:pt>
                <c:pt idx="163">
                  <c:v>1305541.8813524947</c:v>
                </c:pt>
                <c:pt idx="164">
                  <c:v>1280502.895767122</c:v>
                </c:pt>
                <c:pt idx="165">
                  <c:v>1306222.5736896279</c:v>
                </c:pt>
                <c:pt idx="166">
                  <c:v>1289709.8205949455</c:v>
                </c:pt>
                <c:pt idx="167">
                  <c:v>1343211.2700315486</c:v>
                </c:pt>
                <c:pt idx="168">
                  <c:v>1364129.5181461633</c:v>
                </c:pt>
              </c:numCache>
            </c:numRef>
          </c:val>
          <c:smooth val="0"/>
          <c:extLst>
            <c:ext xmlns:c16="http://schemas.microsoft.com/office/drawing/2014/chart" uri="{C3380CC4-5D6E-409C-BE32-E72D297353CC}">
              <c16:uniqueId val="{00000000-4BE5-44D5-82AB-4E106EF16FC7}"/>
            </c:ext>
          </c:extLst>
        </c:ser>
        <c:ser>
          <c:idx val="1"/>
          <c:order val="1"/>
          <c:tx>
            <c:strRef>
              <c:f>'2.1 Unemployment'!$E$7</c:f>
              <c:strCache>
                <c:ptCount val="1"/>
                <c:pt idx="0">
                  <c:v>Year or more</c:v>
                </c:pt>
              </c:strCache>
            </c:strRef>
          </c:tx>
          <c:spPr>
            <a:ln w="28575" cap="rnd">
              <a:solidFill>
                <a:schemeClr val="accent2"/>
              </a:solidFill>
              <a:round/>
            </a:ln>
            <a:effectLst/>
          </c:spPr>
          <c:marker>
            <c:symbol val="none"/>
          </c:marker>
          <c:cat>
            <c:multiLvlStrRef>
              <c:f>'2.1 Unemployment'!$B$8:$C$176</c:f>
              <c:multiLvlStrCache>
                <c:ptCount val="169"/>
                <c:lvl>
                  <c:pt idx="0">
                    <c:v>J</c:v>
                  </c:pt>
                  <c:pt idx="3">
                    <c:v>A</c:v>
                  </c:pt>
                  <c:pt idx="6">
                    <c:v>J</c:v>
                  </c:pt>
                  <c:pt idx="9">
                    <c:v>O</c:v>
                  </c:pt>
                  <c:pt idx="12">
                    <c:v>J</c:v>
                  </c:pt>
                  <c:pt idx="15">
                    <c:v>A</c:v>
                  </c:pt>
                  <c:pt idx="18">
                    <c:v>J</c:v>
                  </c:pt>
                  <c:pt idx="21">
                    <c:v>O</c:v>
                  </c:pt>
                  <c:pt idx="24">
                    <c:v>J</c:v>
                  </c:pt>
                  <c:pt idx="27">
                    <c:v>A</c:v>
                  </c:pt>
                  <c:pt idx="30">
                    <c:v>J</c:v>
                  </c:pt>
                  <c:pt idx="33">
                    <c:v>O</c:v>
                  </c:pt>
                  <c:pt idx="36">
                    <c:v>J</c:v>
                  </c:pt>
                  <c:pt idx="39">
                    <c:v>A</c:v>
                  </c:pt>
                  <c:pt idx="42">
                    <c:v>J</c:v>
                  </c:pt>
                  <c:pt idx="45">
                    <c:v>O</c:v>
                  </c:pt>
                  <c:pt idx="48">
                    <c:v>J</c:v>
                  </c:pt>
                  <c:pt idx="51">
                    <c:v>A</c:v>
                  </c:pt>
                  <c:pt idx="54">
                    <c:v>J</c:v>
                  </c:pt>
                  <c:pt idx="57">
                    <c:v>O</c:v>
                  </c:pt>
                  <c:pt idx="60">
                    <c:v>J</c:v>
                  </c:pt>
                  <c:pt idx="63">
                    <c:v>A</c:v>
                  </c:pt>
                  <c:pt idx="66">
                    <c:v>J</c:v>
                  </c:pt>
                  <c:pt idx="69">
                    <c:v>O</c:v>
                  </c:pt>
                  <c:pt idx="72">
                    <c:v>J</c:v>
                  </c:pt>
                  <c:pt idx="75">
                    <c:v>A</c:v>
                  </c:pt>
                  <c:pt idx="78">
                    <c:v>J</c:v>
                  </c:pt>
                  <c:pt idx="81">
                    <c:v>O</c:v>
                  </c:pt>
                  <c:pt idx="84">
                    <c:v>J</c:v>
                  </c:pt>
                  <c:pt idx="87">
                    <c:v>A</c:v>
                  </c:pt>
                  <c:pt idx="90">
                    <c:v>J</c:v>
                  </c:pt>
                  <c:pt idx="93">
                    <c:v>O</c:v>
                  </c:pt>
                  <c:pt idx="96">
                    <c:v>J</c:v>
                  </c:pt>
                  <c:pt idx="99">
                    <c:v>A</c:v>
                  </c:pt>
                  <c:pt idx="102">
                    <c:v>J</c:v>
                  </c:pt>
                  <c:pt idx="105">
                    <c:v>O</c:v>
                  </c:pt>
                  <c:pt idx="108">
                    <c:v>J</c:v>
                  </c:pt>
                  <c:pt idx="111">
                    <c:v>A</c:v>
                  </c:pt>
                  <c:pt idx="114">
                    <c:v>J</c:v>
                  </c:pt>
                  <c:pt idx="117">
                    <c:v>O</c:v>
                  </c:pt>
                  <c:pt idx="120">
                    <c:v>J</c:v>
                  </c:pt>
                  <c:pt idx="123">
                    <c:v>A</c:v>
                  </c:pt>
                  <c:pt idx="126">
                    <c:v>J</c:v>
                  </c:pt>
                  <c:pt idx="129">
                    <c:v>O</c:v>
                  </c:pt>
                  <c:pt idx="132">
                    <c:v>J</c:v>
                  </c:pt>
                  <c:pt idx="135">
                    <c:v>A</c:v>
                  </c:pt>
                  <c:pt idx="138">
                    <c:v>J</c:v>
                  </c:pt>
                  <c:pt idx="141">
                    <c:v>O</c:v>
                  </c:pt>
                  <c:pt idx="144">
                    <c:v>J</c:v>
                  </c:pt>
                  <c:pt idx="147">
                    <c:v>A</c:v>
                  </c:pt>
                  <c:pt idx="150">
                    <c:v>J</c:v>
                  </c:pt>
                  <c:pt idx="153">
                    <c:v>O</c:v>
                  </c:pt>
                  <c:pt idx="156">
                    <c:v>J</c:v>
                  </c:pt>
                  <c:pt idx="159">
                    <c:v>A</c:v>
                  </c:pt>
                  <c:pt idx="162">
                    <c:v>J</c:v>
                  </c:pt>
                  <c:pt idx="165">
                    <c:v>O</c:v>
                  </c:pt>
                  <c:pt idx="168">
                    <c:v>J</c:v>
                  </c:pt>
                </c:lvl>
                <c:lvl>
                  <c:pt idx="0">
                    <c:v>2006</c:v>
                  </c:pt>
                  <c:pt idx="12">
                    <c:v>2007</c:v>
                  </c:pt>
                  <c:pt idx="24">
                    <c:v>2008</c:v>
                  </c:pt>
                  <c:pt idx="36">
                    <c:v>2009</c:v>
                  </c:pt>
                  <c:pt idx="48">
                    <c:v>2010</c:v>
                  </c:pt>
                  <c:pt idx="60">
                    <c:v>2011</c:v>
                  </c:pt>
                  <c:pt idx="72">
                    <c:v>2012</c:v>
                  </c:pt>
                  <c:pt idx="84">
                    <c:v>2013</c:v>
                  </c:pt>
                  <c:pt idx="96">
                    <c:v>2014</c:v>
                  </c:pt>
                  <c:pt idx="108">
                    <c:v>2015</c:v>
                  </c:pt>
                  <c:pt idx="120">
                    <c:v>2016</c:v>
                  </c:pt>
                  <c:pt idx="132">
                    <c:v>2017</c:v>
                  </c:pt>
                  <c:pt idx="144">
                    <c:v>2018</c:v>
                  </c:pt>
                  <c:pt idx="156">
                    <c:v>2019</c:v>
                  </c:pt>
                  <c:pt idx="168">
                    <c:v>2020</c:v>
                  </c:pt>
                </c:lvl>
              </c:multiLvlStrCache>
            </c:multiLvlStrRef>
          </c:cat>
          <c:val>
            <c:numRef>
              <c:f>'2.1 Unemployment'!$E$8:$E$176</c:f>
              <c:numCache>
                <c:formatCode>#,##0,</c:formatCode>
                <c:ptCount val="169"/>
                <c:pt idx="0">
                  <c:v>332165.01442397072</c:v>
                </c:pt>
                <c:pt idx="1">
                  <c:v>338995.35870708898</c:v>
                </c:pt>
                <c:pt idx="2">
                  <c:v>346850.22417037823</c:v>
                </c:pt>
                <c:pt idx="3">
                  <c:v>354866.02844555263</c:v>
                </c:pt>
                <c:pt idx="4">
                  <c:v>361315.68380159501</c:v>
                </c:pt>
                <c:pt idx="5">
                  <c:v>372940.5528984539</c:v>
                </c:pt>
                <c:pt idx="6">
                  <c:v>366566.68222636613</c:v>
                </c:pt>
                <c:pt idx="7">
                  <c:v>390197.14484775206</c:v>
                </c:pt>
                <c:pt idx="8">
                  <c:v>387570.04069185234</c:v>
                </c:pt>
                <c:pt idx="9">
                  <c:v>390562.97193328786</c:v>
                </c:pt>
                <c:pt idx="10">
                  <c:v>396931.15115819569</c:v>
                </c:pt>
                <c:pt idx="11">
                  <c:v>400496.80114275764</c:v>
                </c:pt>
                <c:pt idx="12">
                  <c:v>397990.31607183872</c:v>
                </c:pt>
                <c:pt idx="13">
                  <c:v>393131.82735998504</c:v>
                </c:pt>
                <c:pt idx="14">
                  <c:v>401856.54428320506</c:v>
                </c:pt>
                <c:pt idx="15">
                  <c:v>399498.69065443624</c:v>
                </c:pt>
                <c:pt idx="16">
                  <c:v>395771.24292265833</c:v>
                </c:pt>
                <c:pt idx="17">
                  <c:v>394199.79862167523</c:v>
                </c:pt>
                <c:pt idx="18">
                  <c:v>392238.1659820092</c:v>
                </c:pt>
                <c:pt idx="19">
                  <c:v>391185.41998515377</c:v>
                </c:pt>
                <c:pt idx="20">
                  <c:v>383967.11158177769</c:v>
                </c:pt>
                <c:pt idx="21">
                  <c:v>391437.76264212432</c:v>
                </c:pt>
                <c:pt idx="22">
                  <c:v>383611.34038213186</c:v>
                </c:pt>
                <c:pt idx="23">
                  <c:v>381187.60611255548</c:v>
                </c:pt>
                <c:pt idx="24">
                  <c:v>388897.55684563669</c:v>
                </c:pt>
                <c:pt idx="25">
                  <c:v>397650.52411224344</c:v>
                </c:pt>
                <c:pt idx="26">
                  <c:v>410262.32425652049</c:v>
                </c:pt>
                <c:pt idx="27">
                  <c:v>405930.17853605584</c:v>
                </c:pt>
                <c:pt idx="28">
                  <c:v>416089.96223810117</c:v>
                </c:pt>
                <c:pt idx="29">
                  <c:v>435070.92153268633</c:v>
                </c:pt>
                <c:pt idx="30">
                  <c:v>441931.07597382437</c:v>
                </c:pt>
                <c:pt idx="31">
                  <c:v>443873.4449326506</c:v>
                </c:pt>
                <c:pt idx="32">
                  <c:v>439782.44631702325</c:v>
                </c:pt>
                <c:pt idx="33">
                  <c:v>439726.29274166108</c:v>
                </c:pt>
                <c:pt idx="34">
                  <c:v>454110.34614048665</c:v>
                </c:pt>
                <c:pt idx="35">
                  <c:v>460235.68267508462</c:v>
                </c:pt>
                <c:pt idx="36">
                  <c:v>483140.5368649739</c:v>
                </c:pt>
                <c:pt idx="37">
                  <c:v>508484.68510281667</c:v>
                </c:pt>
                <c:pt idx="38">
                  <c:v>522971.06935790891</c:v>
                </c:pt>
                <c:pt idx="39">
                  <c:v>535689.90696570324</c:v>
                </c:pt>
                <c:pt idx="40">
                  <c:v>552264.65996779175</c:v>
                </c:pt>
                <c:pt idx="41">
                  <c:v>580510.02908291947</c:v>
                </c:pt>
                <c:pt idx="42">
                  <c:v>610866.95164574683</c:v>
                </c:pt>
                <c:pt idx="43">
                  <c:v>630656.94347588171</c:v>
                </c:pt>
                <c:pt idx="44">
                  <c:v>623637.95313184289</c:v>
                </c:pt>
                <c:pt idx="45">
                  <c:v>636607.52533081756</c:v>
                </c:pt>
                <c:pt idx="46">
                  <c:v>663047.22724046535</c:v>
                </c:pt>
                <c:pt idx="47">
                  <c:v>684676.37305699429</c:v>
                </c:pt>
                <c:pt idx="48">
                  <c:v>730843.5488849954</c:v>
                </c:pt>
                <c:pt idx="49">
                  <c:v>767517.03610628645</c:v>
                </c:pt>
                <c:pt idx="50">
                  <c:v>787557.8417032198</c:v>
                </c:pt>
                <c:pt idx="51">
                  <c:v>801378.47944214742</c:v>
                </c:pt>
                <c:pt idx="52">
                  <c:v>803052.19611909799</c:v>
                </c:pt>
                <c:pt idx="53">
                  <c:v>803133.70118781389</c:v>
                </c:pt>
                <c:pt idx="54">
                  <c:v>823193.2885066173</c:v>
                </c:pt>
                <c:pt idx="55">
                  <c:v>822835.20565367746</c:v>
                </c:pt>
                <c:pt idx="56">
                  <c:v>841552.01493599336</c:v>
                </c:pt>
                <c:pt idx="57">
                  <c:v>836594.96078911982</c:v>
                </c:pt>
                <c:pt idx="58">
                  <c:v>837853.08258926601</c:v>
                </c:pt>
                <c:pt idx="59">
                  <c:v>852367.29188169423</c:v>
                </c:pt>
                <c:pt idx="60">
                  <c:v>853119.10349462251</c:v>
                </c:pt>
                <c:pt idx="61">
                  <c:v>858612.74106973549</c:v>
                </c:pt>
                <c:pt idx="62">
                  <c:v>840245.55487426487</c:v>
                </c:pt>
                <c:pt idx="63">
                  <c:v>819554.75013931002</c:v>
                </c:pt>
                <c:pt idx="64">
                  <c:v>845937.63192088471</c:v>
                </c:pt>
                <c:pt idx="65">
                  <c:v>859512.34363678237</c:v>
                </c:pt>
                <c:pt idx="66">
                  <c:v>876645.2555105564</c:v>
                </c:pt>
                <c:pt idx="67">
                  <c:v>878483.99216631614</c:v>
                </c:pt>
                <c:pt idx="68">
                  <c:v>877339.8597495479</c:v>
                </c:pt>
                <c:pt idx="69">
                  <c:v>864600.54470923042</c:v>
                </c:pt>
                <c:pt idx="70">
                  <c:v>866889.48087270814</c:v>
                </c:pt>
                <c:pt idx="71">
                  <c:v>859410.78810123808</c:v>
                </c:pt>
                <c:pt idx="72">
                  <c:v>887091.63619854534</c:v>
                </c:pt>
                <c:pt idx="73">
                  <c:v>886873.6463557675</c:v>
                </c:pt>
                <c:pt idx="74">
                  <c:v>891196.59255141055</c:v>
                </c:pt>
                <c:pt idx="75">
                  <c:v>890099.5085613277</c:v>
                </c:pt>
                <c:pt idx="76">
                  <c:v>887670.64075343509</c:v>
                </c:pt>
                <c:pt idx="77">
                  <c:v>908525.04882301134</c:v>
                </c:pt>
                <c:pt idx="78">
                  <c:v>903147.41822270688</c:v>
                </c:pt>
                <c:pt idx="79">
                  <c:v>902287.61703168787</c:v>
                </c:pt>
                <c:pt idx="80">
                  <c:v>911802.82588357734</c:v>
                </c:pt>
                <c:pt idx="81">
                  <c:v>897970.37242179061</c:v>
                </c:pt>
                <c:pt idx="82">
                  <c:v>885086.87811238901</c:v>
                </c:pt>
                <c:pt idx="83">
                  <c:v>890320.35011783964</c:v>
                </c:pt>
                <c:pt idx="84">
                  <c:v>905098.64787605288</c:v>
                </c:pt>
                <c:pt idx="85">
                  <c:v>907495.49759143358</c:v>
                </c:pt>
                <c:pt idx="86">
                  <c:v>902112.32653956534</c:v>
                </c:pt>
                <c:pt idx="87">
                  <c:v>918981.3382675515</c:v>
                </c:pt>
                <c:pt idx="88">
                  <c:v>913288.85958407377</c:v>
                </c:pt>
                <c:pt idx="89">
                  <c:v>900602.81105832767</c:v>
                </c:pt>
                <c:pt idx="90">
                  <c:v>904212.63591897162</c:v>
                </c:pt>
                <c:pt idx="91">
                  <c:v>893363.40331739711</c:v>
                </c:pt>
                <c:pt idx="92">
                  <c:v>873029.86288932851</c:v>
                </c:pt>
                <c:pt idx="93">
                  <c:v>841072.85102296388</c:v>
                </c:pt>
                <c:pt idx="94">
                  <c:v>847155.92202180251</c:v>
                </c:pt>
                <c:pt idx="95">
                  <c:v>829166.34499498154</c:v>
                </c:pt>
                <c:pt idx="96">
                  <c:v>810319.64565809176</c:v>
                </c:pt>
                <c:pt idx="97">
                  <c:v>816736.76437711366</c:v>
                </c:pt>
                <c:pt idx="98">
                  <c:v>793029.22631543595</c:v>
                </c:pt>
                <c:pt idx="99">
                  <c:v>753364.95155429351</c:v>
                </c:pt>
                <c:pt idx="100">
                  <c:v>740274.96382590802</c:v>
                </c:pt>
                <c:pt idx="101">
                  <c:v>723457.24639185984</c:v>
                </c:pt>
                <c:pt idx="102">
                  <c:v>712612.90771141136</c:v>
                </c:pt>
                <c:pt idx="103">
                  <c:v>690116.87643999443</c:v>
                </c:pt>
                <c:pt idx="104">
                  <c:v>685245.65434028138</c:v>
                </c:pt>
                <c:pt idx="105">
                  <c:v>656741.11167668086</c:v>
                </c:pt>
                <c:pt idx="106">
                  <c:v>637750.06495970115</c:v>
                </c:pt>
                <c:pt idx="107">
                  <c:v>628263.84373836836</c:v>
                </c:pt>
                <c:pt idx="108">
                  <c:v>623143.37436871533</c:v>
                </c:pt>
                <c:pt idx="109">
                  <c:v>588809.16085955431</c:v>
                </c:pt>
                <c:pt idx="110">
                  <c:v>573812.6382228029</c:v>
                </c:pt>
                <c:pt idx="111">
                  <c:v>570363.82353109308</c:v>
                </c:pt>
                <c:pt idx="112">
                  <c:v>576985.64564726164</c:v>
                </c:pt>
                <c:pt idx="113">
                  <c:v>545677.99773002008</c:v>
                </c:pt>
                <c:pt idx="114">
                  <c:v>529227.77218112303</c:v>
                </c:pt>
                <c:pt idx="115">
                  <c:v>515620.10908454249</c:v>
                </c:pt>
                <c:pt idx="116">
                  <c:v>512003.78019648389</c:v>
                </c:pt>
                <c:pt idx="117">
                  <c:v>490873.36447499169</c:v>
                </c:pt>
                <c:pt idx="118">
                  <c:v>489682.30376545683</c:v>
                </c:pt>
                <c:pt idx="119">
                  <c:v>481232.017954065</c:v>
                </c:pt>
                <c:pt idx="120">
                  <c:v>470690.86463947978</c:v>
                </c:pt>
                <c:pt idx="121">
                  <c:v>467920.78363634256</c:v>
                </c:pt>
                <c:pt idx="122">
                  <c:v>460741.99095357209</c:v>
                </c:pt>
                <c:pt idx="123">
                  <c:v>461722.12575602881</c:v>
                </c:pt>
                <c:pt idx="124">
                  <c:v>447387.70321186056</c:v>
                </c:pt>
                <c:pt idx="125">
                  <c:v>448125.71479841042</c:v>
                </c:pt>
                <c:pt idx="126">
                  <c:v>444528.23028495407</c:v>
                </c:pt>
                <c:pt idx="127">
                  <c:v>434121.52028322208</c:v>
                </c:pt>
                <c:pt idx="128">
                  <c:v>417778.23373672878</c:v>
                </c:pt>
                <c:pt idx="129">
                  <c:v>407416.1472705176</c:v>
                </c:pt>
                <c:pt idx="130">
                  <c:v>404248.37513382244</c:v>
                </c:pt>
                <c:pt idx="131">
                  <c:v>394676.07350980799</c:v>
                </c:pt>
                <c:pt idx="132">
                  <c:v>391238.43164532358</c:v>
                </c:pt>
                <c:pt idx="133">
                  <c:v>384586.30621027393</c:v>
                </c:pt>
                <c:pt idx="134">
                  <c:v>383383.51478139102</c:v>
                </c:pt>
                <c:pt idx="135">
                  <c:v>381033.23350693297</c:v>
                </c:pt>
                <c:pt idx="136">
                  <c:v>372912.96570222056</c:v>
                </c:pt>
                <c:pt idx="137">
                  <c:v>381644.4923349311</c:v>
                </c:pt>
                <c:pt idx="138">
                  <c:v>382207.92401190358</c:v>
                </c:pt>
                <c:pt idx="139">
                  <c:v>390551.17941799492</c:v>
                </c:pt>
                <c:pt idx="140">
                  <c:v>375795.84758049296</c:v>
                </c:pt>
                <c:pt idx="141">
                  <c:v>383360.51403063093</c:v>
                </c:pt>
                <c:pt idx="142">
                  <c:v>368388.79692760285</c:v>
                </c:pt>
                <c:pt idx="143">
                  <c:v>363913.46091938938</c:v>
                </c:pt>
                <c:pt idx="144">
                  <c:v>352199.41834055312</c:v>
                </c:pt>
                <c:pt idx="145">
                  <c:v>357669.61984565831</c:v>
                </c:pt>
                <c:pt idx="146">
                  <c:v>369687.27576379821</c:v>
                </c:pt>
                <c:pt idx="147">
                  <c:v>363878.05078146985</c:v>
                </c:pt>
                <c:pt idx="148">
                  <c:v>354486.58417257096</c:v>
                </c:pt>
                <c:pt idx="149">
                  <c:v>355765.89054875117</c:v>
                </c:pt>
                <c:pt idx="150">
                  <c:v>354616.11115356133</c:v>
                </c:pt>
                <c:pt idx="151">
                  <c:v>367609.67671021633</c:v>
                </c:pt>
                <c:pt idx="152">
                  <c:v>352322.19135353132</c:v>
                </c:pt>
                <c:pt idx="153">
                  <c:v>346778.07253785257</c:v>
                </c:pt>
                <c:pt idx="154">
                  <c:v>349801.19447761629</c:v>
                </c:pt>
                <c:pt idx="155">
                  <c:v>346679.60727089155</c:v>
                </c:pt>
                <c:pt idx="156">
                  <c:v>346925.12945375306</c:v>
                </c:pt>
                <c:pt idx="157">
                  <c:v>346307.85131484293</c:v>
                </c:pt>
                <c:pt idx="158">
                  <c:v>347188.13563364057</c:v>
                </c:pt>
                <c:pt idx="159">
                  <c:v>339504.71473398805</c:v>
                </c:pt>
                <c:pt idx="160">
                  <c:v>341978.3071461441</c:v>
                </c:pt>
                <c:pt idx="161">
                  <c:v>326973.83544649836</c:v>
                </c:pt>
                <c:pt idx="162">
                  <c:v>332803.85326665809</c:v>
                </c:pt>
                <c:pt idx="163">
                  <c:v>307927.95100121811</c:v>
                </c:pt>
                <c:pt idx="164">
                  <c:v>307750.67693500326</c:v>
                </c:pt>
                <c:pt idx="165">
                  <c:v>293079.79250918014</c:v>
                </c:pt>
                <c:pt idx="166">
                  <c:v>290736.79720274627</c:v>
                </c:pt>
                <c:pt idx="167">
                  <c:v>306265.90218621067</c:v>
                </c:pt>
                <c:pt idx="168">
                  <c:v>306945.24448427872</c:v>
                </c:pt>
              </c:numCache>
            </c:numRef>
          </c:val>
          <c:smooth val="0"/>
          <c:extLst>
            <c:ext xmlns:c16="http://schemas.microsoft.com/office/drawing/2014/chart" uri="{C3380CC4-5D6E-409C-BE32-E72D297353CC}">
              <c16:uniqueId val="{00000001-4BE5-44D5-82AB-4E106EF16FC7}"/>
            </c:ext>
          </c:extLst>
        </c:ser>
        <c:ser>
          <c:idx val="2"/>
          <c:order val="2"/>
          <c:tx>
            <c:strRef>
              <c:f>'2.1 Unemployment'!$F$7</c:f>
              <c:strCache>
                <c:ptCount val="1"/>
                <c:pt idx="0">
                  <c:v>Two years or more</c:v>
                </c:pt>
              </c:strCache>
            </c:strRef>
          </c:tx>
          <c:spPr>
            <a:ln w="28575" cap="rnd">
              <a:solidFill>
                <a:schemeClr val="accent3"/>
              </a:solidFill>
              <a:round/>
            </a:ln>
            <a:effectLst/>
          </c:spPr>
          <c:marker>
            <c:symbol val="none"/>
          </c:marker>
          <c:cat>
            <c:multiLvlStrRef>
              <c:f>'2.1 Unemployment'!$B$8:$C$176</c:f>
              <c:multiLvlStrCache>
                <c:ptCount val="169"/>
                <c:lvl>
                  <c:pt idx="0">
                    <c:v>J</c:v>
                  </c:pt>
                  <c:pt idx="3">
                    <c:v>A</c:v>
                  </c:pt>
                  <c:pt idx="6">
                    <c:v>J</c:v>
                  </c:pt>
                  <c:pt idx="9">
                    <c:v>O</c:v>
                  </c:pt>
                  <c:pt idx="12">
                    <c:v>J</c:v>
                  </c:pt>
                  <c:pt idx="15">
                    <c:v>A</c:v>
                  </c:pt>
                  <c:pt idx="18">
                    <c:v>J</c:v>
                  </c:pt>
                  <c:pt idx="21">
                    <c:v>O</c:v>
                  </c:pt>
                  <c:pt idx="24">
                    <c:v>J</c:v>
                  </c:pt>
                  <c:pt idx="27">
                    <c:v>A</c:v>
                  </c:pt>
                  <c:pt idx="30">
                    <c:v>J</c:v>
                  </c:pt>
                  <c:pt idx="33">
                    <c:v>O</c:v>
                  </c:pt>
                  <c:pt idx="36">
                    <c:v>J</c:v>
                  </c:pt>
                  <c:pt idx="39">
                    <c:v>A</c:v>
                  </c:pt>
                  <c:pt idx="42">
                    <c:v>J</c:v>
                  </c:pt>
                  <c:pt idx="45">
                    <c:v>O</c:v>
                  </c:pt>
                  <c:pt idx="48">
                    <c:v>J</c:v>
                  </c:pt>
                  <c:pt idx="51">
                    <c:v>A</c:v>
                  </c:pt>
                  <c:pt idx="54">
                    <c:v>J</c:v>
                  </c:pt>
                  <c:pt idx="57">
                    <c:v>O</c:v>
                  </c:pt>
                  <c:pt idx="60">
                    <c:v>J</c:v>
                  </c:pt>
                  <c:pt idx="63">
                    <c:v>A</c:v>
                  </c:pt>
                  <c:pt idx="66">
                    <c:v>J</c:v>
                  </c:pt>
                  <c:pt idx="69">
                    <c:v>O</c:v>
                  </c:pt>
                  <c:pt idx="72">
                    <c:v>J</c:v>
                  </c:pt>
                  <c:pt idx="75">
                    <c:v>A</c:v>
                  </c:pt>
                  <c:pt idx="78">
                    <c:v>J</c:v>
                  </c:pt>
                  <c:pt idx="81">
                    <c:v>O</c:v>
                  </c:pt>
                  <c:pt idx="84">
                    <c:v>J</c:v>
                  </c:pt>
                  <c:pt idx="87">
                    <c:v>A</c:v>
                  </c:pt>
                  <c:pt idx="90">
                    <c:v>J</c:v>
                  </c:pt>
                  <c:pt idx="93">
                    <c:v>O</c:v>
                  </c:pt>
                  <c:pt idx="96">
                    <c:v>J</c:v>
                  </c:pt>
                  <c:pt idx="99">
                    <c:v>A</c:v>
                  </c:pt>
                  <c:pt idx="102">
                    <c:v>J</c:v>
                  </c:pt>
                  <c:pt idx="105">
                    <c:v>O</c:v>
                  </c:pt>
                  <c:pt idx="108">
                    <c:v>J</c:v>
                  </c:pt>
                  <c:pt idx="111">
                    <c:v>A</c:v>
                  </c:pt>
                  <c:pt idx="114">
                    <c:v>J</c:v>
                  </c:pt>
                  <c:pt idx="117">
                    <c:v>O</c:v>
                  </c:pt>
                  <c:pt idx="120">
                    <c:v>J</c:v>
                  </c:pt>
                  <c:pt idx="123">
                    <c:v>A</c:v>
                  </c:pt>
                  <c:pt idx="126">
                    <c:v>J</c:v>
                  </c:pt>
                  <c:pt idx="129">
                    <c:v>O</c:v>
                  </c:pt>
                  <c:pt idx="132">
                    <c:v>J</c:v>
                  </c:pt>
                  <c:pt idx="135">
                    <c:v>A</c:v>
                  </c:pt>
                  <c:pt idx="138">
                    <c:v>J</c:v>
                  </c:pt>
                  <c:pt idx="141">
                    <c:v>O</c:v>
                  </c:pt>
                  <c:pt idx="144">
                    <c:v>J</c:v>
                  </c:pt>
                  <c:pt idx="147">
                    <c:v>A</c:v>
                  </c:pt>
                  <c:pt idx="150">
                    <c:v>J</c:v>
                  </c:pt>
                  <c:pt idx="153">
                    <c:v>O</c:v>
                  </c:pt>
                  <c:pt idx="156">
                    <c:v>J</c:v>
                  </c:pt>
                  <c:pt idx="159">
                    <c:v>A</c:v>
                  </c:pt>
                  <c:pt idx="162">
                    <c:v>J</c:v>
                  </c:pt>
                  <c:pt idx="165">
                    <c:v>O</c:v>
                  </c:pt>
                  <c:pt idx="168">
                    <c:v>J</c:v>
                  </c:pt>
                </c:lvl>
                <c:lvl>
                  <c:pt idx="0">
                    <c:v>2006</c:v>
                  </c:pt>
                  <c:pt idx="12">
                    <c:v>2007</c:v>
                  </c:pt>
                  <c:pt idx="24">
                    <c:v>2008</c:v>
                  </c:pt>
                  <c:pt idx="36">
                    <c:v>2009</c:v>
                  </c:pt>
                  <c:pt idx="48">
                    <c:v>2010</c:v>
                  </c:pt>
                  <c:pt idx="60">
                    <c:v>2011</c:v>
                  </c:pt>
                  <c:pt idx="72">
                    <c:v>2012</c:v>
                  </c:pt>
                  <c:pt idx="84">
                    <c:v>2013</c:v>
                  </c:pt>
                  <c:pt idx="96">
                    <c:v>2014</c:v>
                  </c:pt>
                  <c:pt idx="108">
                    <c:v>2015</c:v>
                  </c:pt>
                  <c:pt idx="120">
                    <c:v>2016</c:v>
                  </c:pt>
                  <c:pt idx="132">
                    <c:v>2017</c:v>
                  </c:pt>
                  <c:pt idx="144">
                    <c:v>2018</c:v>
                  </c:pt>
                  <c:pt idx="156">
                    <c:v>2019</c:v>
                  </c:pt>
                  <c:pt idx="168">
                    <c:v>2020</c:v>
                  </c:pt>
                </c:lvl>
              </c:multiLvlStrCache>
            </c:multiLvlStrRef>
          </c:cat>
          <c:val>
            <c:numRef>
              <c:f>'2.1 Unemployment'!$F$8:$F$176</c:f>
              <c:numCache>
                <c:formatCode>#,##0,</c:formatCode>
                <c:ptCount val="169"/>
                <c:pt idx="0">
                  <c:v>161274</c:v>
                </c:pt>
                <c:pt idx="1">
                  <c:v>163711</c:v>
                </c:pt>
                <c:pt idx="2">
                  <c:v>161576</c:v>
                </c:pt>
                <c:pt idx="3">
                  <c:v>170868</c:v>
                </c:pt>
                <c:pt idx="4">
                  <c:v>169227</c:v>
                </c:pt>
                <c:pt idx="5">
                  <c:v>174049</c:v>
                </c:pt>
                <c:pt idx="6">
                  <c:v>165296</c:v>
                </c:pt>
                <c:pt idx="7">
                  <c:v>181396</c:v>
                </c:pt>
                <c:pt idx="8">
                  <c:v>181892</c:v>
                </c:pt>
                <c:pt idx="9">
                  <c:v>184497</c:v>
                </c:pt>
                <c:pt idx="10">
                  <c:v>188656</c:v>
                </c:pt>
                <c:pt idx="11">
                  <c:v>185066</c:v>
                </c:pt>
                <c:pt idx="12">
                  <c:v>180123</c:v>
                </c:pt>
                <c:pt idx="13">
                  <c:v>179115</c:v>
                </c:pt>
                <c:pt idx="14">
                  <c:v>177401</c:v>
                </c:pt>
                <c:pt idx="15">
                  <c:v>181037</c:v>
                </c:pt>
                <c:pt idx="16">
                  <c:v>175449</c:v>
                </c:pt>
                <c:pt idx="17">
                  <c:v>179256</c:v>
                </c:pt>
                <c:pt idx="18">
                  <c:v>175310</c:v>
                </c:pt>
                <c:pt idx="19">
                  <c:v>175740</c:v>
                </c:pt>
                <c:pt idx="20">
                  <c:v>176821</c:v>
                </c:pt>
                <c:pt idx="21">
                  <c:v>176419</c:v>
                </c:pt>
                <c:pt idx="22">
                  <c:v>169730</c:v>
                </c:pt>
                <c:pt idx="23">
                  <c:v>179586</c:v>
                </c:pt>
                <c:pt idx="24">
                  <c:v>190026</c:v>
                </c:pt>
                <c:pt idx="25">
                  <c:v>198325</c:v>
                </c:pt>
                <c:pt idx="26">
                  <c:v>197235</c:v>
                </c:pt>
                <c:pt idx="27">
                  <c:v>191006</c:v>
                </c:pt>
                <c:pt idx="28">
                  <c:v>192175</c:v>
                </c:pt>
                <c:pt idx="29">
                  <c:v>205662</c:v>
                </c:pt>
                <c:pt idx="30">
                  <c:v>206788</c:v>
                </c:pt>
                <c:pt idx="31">
                  <c:v>204406</c:v>
                </c:pt>
                <c:pt idx="32">
                  <c:v>201706</c:v>
                </c:pt>
                <c:pt idx="33">
                  <c:v>199150</c:v>
                </c:pt>
                <c:pt idx="34">
                  <c:v>211014</c:v>
                </c:pt>
                <c:pt idx="35">
                  <c:v>208643</c:v>
                </c:pt>
                <c:pt idx="36">
                  <c:v>223671</c:v>
                </c:pt>
                <c:pt idx="37">
                  <c:v>232379</c:v>
                </c:pt>
                <c:pt idx="38">
                  <c:v>235950</c:v>
                </c:pt>
                <c:pt idx="39">
                  <c:v>237132</c:v>
                </c:pt>
                <c:pt idx="40">
                  <c:v>240409</c:v>
                </c:pt>
                <c:pt idx="41">
                  <c:v>245729</c:v>
                </c:pt>
                <c:pt idx="42">
                  <c:v>251794</c:v>
                </c:pt>
                <c:pt idx="43">
                  <c:v>236027</c:v>
                </c:pt>
                <c:pt idx="44">
                  <c:v>236643</c:v>
                </c:pt>
                <c:pt idx="45">
                  <c:v>236377</c:v>
                </c:pt>
                <c:pt idx="46">
                  <c:v>246731</c:v>
                </c:pt>
                <c:pt idx="47">
                  <c:v>246476</c:v>
                </c:pt>
                <c:pt idx="48">
                  <c:v>271573</c:v>
                </c:pt>
                <c:pt idx="49">
                  <c:v>283246</c:v>
                </c:pt>
                <c:pt idx="50">
                  <c:v>294070</c:v>
                </c:pt>
                <c:pt idx="51">
                  <c:v>302741</c:v>
                </c:pt>
                <c:pt idx="52">
                  <c:v>314458</c:v>
                </c:pt>
                <c:pt idx="53">
                  <c:v>321675</c:v>
                </c:pt>
                <c:pt idx="54">
                  <c:v>333950</c:v>
                </c:pt>
                <c:pt idx="55">
                  <c:v>330136</c:v>
                </c:pt>
                <c:pt idx="56">
                  <c:v>335452</c:v>
                </c:pt>
                <c:pt idx="57">
                  <c:v>337324</c:v>
                </c:pt>
                <c:pt idx="58">
                  <c:v>341608</c:v>
                </c:pt>
                <c:pt idx="59">
                  <c:v>348726</c:v>
                </c:pt>
                <c:pt idx="60">
                  <c:v>372382</c:v>
                </c:pt>
                <c:pt idx="61">
                  <c:v>388859</c:v>
                </c:pt>
                <c:pt idx="62">
                  <c:v>388878</c:v>
                </c:pt>
                <c:pt idx="63">
                  <c:v>387568</c:v>
                </c:pt>
                <c:pt idx="64">
                  <c:v>410696</c:v>
                </c:pt>
                <c:pt idx="65">
                  <c:v>419708</c:v>
                </c:pt>
                <c:pt idx="66">
                  <c:v>426333</c:v>
                </c:pt>
                <c:pt idx="67">
                  <c:v>425118</c:v>
                </c:pt>
                <c:pt idx="68">
                  <c:v>433535</c:v>
                </c:pt>
                <c:pt idx="69">
                  <c:v>427504</c:v>
                </c:pt>
                <c:pt idx="70">
                  <c:v>426951</c:v>
                </c:pt>
                <c:pt idx="71">
                  <c:v>408679</c:v>
                </c:pt>
                <c:pt idx="72">
                  <c:v>424298</c:v>
                </c:pt>
                <c:pt idx="73">
                  <c:v>428650</c:v>
                </c:pt>
                <c:pt idx="74">
                  <c:v>436227</c:v>
                </c:pt>
                <c:pt idx="75">
                  <c:v>443459</c:v>
                </c:pt>
                <c:pt idx="76">
                  <c:v>424257</c:v>
                </c:pt>
                <c:pt idx="77">
                  <c:v>444061</c:v>
                </c:pt>
                <c:pt idx="78">
                  <c:v>441961</c:v>
                </c:pt>
                <c:pt idx="79">
                  <c:v>439730</c:v>
                </c:pt>
                <c:pt idx="80">
                  <c:v>449072</c:v>
                </c:pt>
                <c:pt idx="81">
                  <c:v>436570</c:v>
                </c:pt>
                <c:pt idx="82">
                  <c:v>443130</c:v>
                </c:pt>
                <c:pt idx="83">
                  <c:v>452040</c:v>
                </c:pt>
                <c:pt idx="84">
                  <c:v>464318</c:v>
                </c:pt>
                <c:pt idx="85">
                  <c:v>466614</c:v>
                </c:pt>
                <c:pt idx="86">
                  <c:v>459429</c:v>
                </c:pt>
                <c:pt idx="87">
                  <c:v>474978</c:v>
                </c:pt>
                <c:pt idx="88">
                  <c:v>475961</c:v>
                </c:pt>
                <c:pt idx="89">
                  <c:v>471056</c:v>
                </c:pt>
                <c:pt idx="90">
                  <c:v>468645</c:v>
                </c:pt>
                <c:pt idx="91">
                  <c:v>459517</c:v>
                </c:pt>
                <c:pt idx="92">
                  <c:v>445510</c:v>
                </c:pt>
                <c:pt idx="93">
                  <c:v>449699</c:v>
                </c:pt>
                <c:pt idx="94">
                  <c:v>452761</c:v>
                </c:pt>
                <c:pt idx="95">
                  <c:v>451741</c:v>
                </c:pt>
                <c:pt idx="96">
                  <c:v>432501</c:v>
                </c:pt>
                <c:pt idx="97">
                  <c:v>446594</c:v>
                </c:pt>
                <c:pt idx="98">
                  <c:v>433386</c:v>
                </c:pt>
                <c:pt idx="99">
                  <c:v>418616</c:v>
                </c:pt>
                <c:pt idx="100">
                  <c:v>408445</c:v>
                </c:pt>
                <c:pt idx="101">
                  <c:v>399809</c:v>
                </c:pt>
                <c:pt idx="102">
                  <c:v>388834</c:v>
                </c:pt>
                <c:pt idx="103">
                  <c:v>377148</c:v>
                </c:pt>
                <c:pt idx="104">
                  <c:v>376827</c:v>
                </c:pt>
                <c:pt idx="105">
                  <c:v>355257</c:v>
                </c:pt>
                <c:pt idx="106">
                  <c:v>339722</c:v>
                </c:pt>
                <c:pt idx="107">
                  <c:v>338795</c:v>
                </c:pt>
                <c:pt idx="108">
                  <c:v>352149</c:v>
                </c:pt>
                <c:pt idx="109">
                  <c:v>341997</c:v>
                </c:pt>
                <c:pt idx="110">
                  <c:v>326597</c:v>
                </c:pt>
                <c:pt idx="111">
                  <c:v>317876</c:v>
                </c:pt>
                <c:pt idx="112">
                  <c:v>324744</c:v>
                </c:pt>
                <c:pt idx="113">
                  <c:v>308744</c:v>
                </c:pt>
                <c:pt idx="114">
                  <c:v>302350</c:v>
                </c:pt>
                <c:pt idx="115">
                  <c:v>290447</c:v>
                </c:pt>
                <c:pt idx="116">
                  <c:v>287811</c:v>
                </c:pt>
                <c:pt idx="117">
                  <c:v>268726</c:v>
                </c:pt>
                <c:pt idx="118">
                  <c:v>261497</c:v>
                </c:pt>
                <c:pt idx="119">
                  <c:v>257961</c:v>
                </c:pt>
                <c:pt idx="120">
                  <c:v>263570</c:v>
                </c:pt>
                <c:pt idx="121">
                  <c:v>263848</c:v>
                </c:pt>
                <c:pt idx="122">
                  <c:v>262447</c:v>
                </c:pt>
                <c:pt idx="123">
                  <c:v>257924</c:v>
                </c:pt>
                <c:pt idx="124">
                  <c:v>253271</c:v>
                </c:pt>
                <c:pt idx="125">
                  <c:v>257312</c:v>
                </c:pt>
                <c:pt idx="126">
                  <c:v>246523</c:v>
                </c:pt>
                <c:pt idx="127">
                  <c:v>241154</c:v>
                </c:pt>
                <c:pt idx="128">
                  <c:v>226676</c:v>
                </c:pt>
                <c:pt idx="129">
                  <c:v>214896</c:v>
                </c:pt>
                <c:pt idx="130">
                  <c:v>210264</c:v>
                </c:pt>
                <c:pt idx="131">
                  <c:v>210913</c:v>
                </c:pt>
                <c:pt idx="132">
                  <c:v>210741</c:v>
                </c:pt>
                <c:pt idx="133">
                  <c:v>200217</c:v>
                </c:pt>
                <c:pt idx="134">
                  <c:v>198093</c:v>
                </c:pt>
                <c:pt idx="135">
                  <c:v>199141</c:v>
                </c:pt>
                <c:pt idx="136">
                  <c:v>196632</c:v>
                </c:pt>
                <c:pt idx="137">
                  <c:v>206668</c:v>
                </c:pt>
                <c:pt idx="138">
                  <c:v>210663</c:v>
                </c:pt>
                <c:pt idx="139">
                  <c:v>213216</c:v>
                </c:pt>
                <c:pt idx="140">
                  <c:v>205492</c:v>
                </c:pt>
                <c:pt idx="141">
                  <c:v>202394</c:v>
                </c:pt>
                <c:pt idx="142">
                  <c:v>194910</c:v>
                </c:pt>
                <c:pt idx="143">
                  <c:v>187751</c:v>
                </c:pt>
                <c:pt idx="144">
                  <c:v>184127</c:v>
                </c:pt>
                <c:pt idx="145">
                  <c:v>194417</c:v>
                </c:pt>
                <c:pt idx="146">
                  <c:v>202005</c:v>
                </c:pt>
                <c:pt idx="147">
                  <c:v>192283</c:v>
                </c:pt>
                <c:pt idx="148">
                  <c:v>192366</c:v>
                </c:pt>
                <c:pt idx="149">
                  <c:v>188230</c:v>
                </c:pt>
                <c:pt idx="150">
                  <c:v>196156</c:v>
                </c:pt>
                <c:pt idx="151">
                  <c:v>205448</c:v>
                </c:pt>
                <c:pt idx="152">
                  <c:v>184796</c:v>
                </c:pt>
                <c:pt idx="153">
                  <c:v>171611</c:v>
                </c:pt>
                <c:pt idx="154">
                  <c:v>162506</c:v>
                </c:pt>
                <c:pt idx="155">
                  <c:v>169391</c:v>
                </c:pt>
                <c:pt idx="156">
                  <c:v>172683</c:v>
                </c:pt>
                <c:pt idx="157">
                  <c:v>170952</c:v>
                </c:pt>
                <c:pt idx="158">
                  <c:v>167938</c:v>
                </c:pt>
                <c:pt idx="159">
                  <c:v>172508</c:v>
                </c:pt>
                <c:pt idx="160">
                  <c:v>169408</c:v>
                </c:pt>
                <c:pt idx="161">
                  <c:v>170515</c:v>
                </c:pt>
                <c:pt idx="162">
                  <c:v>158813</c:v>
                </c:pt>
                <c:pt idx="163">
                  <c:v>153206</c:v>
                </c:pt>
                <c:pt idx="164">
                  <c:v>157746</c:v>
                </c:pt>
                <c:pt idx="165">
                  <c:v>159699</c:v>
                </c:pt>
                <c:pt idx="166">
                  <c:v>162952</c:v>
                </c:pt>
                <c:pt idx="167">
                  <c:v>164891</c:v>
                </c:pt>
                <c:pt idx="168">
                  <c:v>170149</c:v>
                </c:pt>
              </c:numCache>
            </c:numRef>
          </c:val>
          <c:smooth val="0"/>
          <c:extLst>
            <c:ext xmlns:c16="http://schemas.microsoft.com/office/drawing/2014/chart" uri="{C3380CC4-5D6E-409C-BE32-E72D297353CC}">
              <c16:uniqueId val="{00000002-4BE5-44D5-82AB-4E106EF16FC7}"/>
            </c:ext>
          </c:extLst>
        </c:ser>
        <c:dLbls>
          <c:showLegendKey val="0"/>
          <c:showVal val="0"/>
          <c:showCatName val="0"/>
          <c:showSerName val="0"/>
          <c:showPercent val="0"/>
          <c:showBubbleSize val="0"/>
        </c:dLbls>
        <c:smooth val="0"/>
        <c:axId val="704329488"/>
        <c:axId val="679521160"/>
      </c:lineChart>
      <c:catAx>
        <c:axId val="70432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9521160"/>
        <c:crosses val="autoZero"/>
        <c:auto val="1"/>
        <c:lblAlgn val="ctr"/>
        <c:lblOffset val="100"/>
        <c:noMultiLvlLbl val="0"/>
      </c:catAx>
      <c:valAx>
        <c:axId val="67952116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329488"/>
        <c:crosses val="autoZero"/>
        <c:crossBetween val="between"/>
      </c:valAx>
      <c:spPr>
        <a:noFill/>
        <a:ln>
          <a:noFill/>
        </a:ln>
        <a:effectLst/>
      </c:spPr>
    </c:plotArea>
    <c:legend>
      <c:legendPos val="b"/>
      <c:layout>
        <c:manualLayout>
          <c:xMode val="edge"/>
          <c:yMode val="edge"/>
          <c:x val="9.1039141141706983E-2"/>
          <c:y val="0.40149022795963996"/>
          <c:w val="0.6899356955380577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82698202434347E-2"/>
          <c:y val="3.7130801687763712E-2"/>
          <c:w val="0.91467821432653962"/>
          <c:h val="0.67497710887404894"/>
        </c:manualLayout>
      </c:layout>
      <c:barChart>
        <c:barDir val="col"/>
        <c:grouping val="stacked"/>
        <c:varyColors val="0"/>
        <c:ser>
          <c:idx val="0"/>
          <c:order val="0"/>
          <c:tx>
            <c:strRef>
              <c:f>'4,1 4,2 USoc SWB'!$B$7</c:f>
              <c:strCache>
                <c:ptCount val="1"/>
                <c:pt idx="0">
                  <c:v>Just about getting by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'4,1 4,2 USoc SWB'!$A$8:$A$22</c:f>
              <c:strCache>
                <c:ptCount val="15"/>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strCache>
            </c:strRef>
          </c:cat>
          <c:val>
            <c:numRef>
              <c:f>'4,1 4,2 USoc SWB'!$B$8:$B$22</c:f>
              <c:numCache>
                <c:formatCode>General</c:formatCode>
                <c:ptCount val="15"/>
                <c:pt idx="0">
                  <c:v>21.3</c:v>
                </c:pt>
                <c:pt idx="1">
                  <c:v>21.5</c:v>
                </c:pt>
                <c:pt idx="2">
                  <c:v>22.7</c:v>
                </c:pt>
                <c:pt idx="3">
                  <c:v>21.8</c:v>
                </c:pt>
                <c:pt idx="4">
                  <c:v>21.8</c:v>
                </c:pt>
                <c:pt idx="5">
                  <c:v>25.8</c:v>
                </c:pt>
                <c:pt idx="6">
                  <c:v>28</c:v>
                </c:pt>
                <c:pt idx="7" formatCode="0.0">
                  <c:v>27.232479201193701</c:v>
                </c:pt>
                <c:pt idx="8" formatCode="0.0">
                  <c:v>26.5920853511603</c:v>
                </c:pt>
                <c:pt idx="9" formatCode="0.0">
                  <c:v>24.8</c:v>
                </c:pt>
                <c:pt idx="10" formatCode="0.0">
                  <c:v>23.8</c:v>
                </c:pt>
                <c:pt idx="11" formatCode="0.0">
                  <c:v>21.2</c:v>
                </c:pt>
                <c:pt idx="12" formatCode="0.0">
                  <c:v>20.64</c:v>
                </c:pt>
                <c:pt idx="13" formatCode="0.0">
                  <c:v>19.77</c:v>
                </c:pt>
                <c:pt idx="14" formatCode="0.0">
                  <c:v>21.03</c:v>
                </c:pt>
              </c:numCache>
            </c:numRef>
          </c:val>
          <c:extLst>
            <c:ext xmlns:c16="http://schemas.microsoft.com/office/drawing/2014/chart" uri="{C3380CC4-5D6E-409C-BE32-E72D297353CC}">
              <c16:uniqueId val="{00000000-0997-4906-9AFE-9839607DDF72}"/>
            </c:ext>
          </c:extLst>
        </c:ser>
        <c:ser>
          <c:idx val="1"/>
          <c:order val="1"/>
          <c:tx>
            <c:strRef>
              <c:f>'4,1 4,2 USoc SWB'!$C$7</c:f>
              <c:strCache>
                <c:ptCount val="1"/>
                <c:pt idx="0">
                  <c:v>Finding it quite difficult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'4,1 4,2 USoc SWB'!$A$8:$A$22</c:f>
              <c:strCache>
                <c:ptCount val="15"/>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strCache>
            </c:strRef>
          </c:cat>
          <c:val>
            <c:numRef>
              <c:f>'4,1 4,2 USoc SWB'!$C$8:$C$22</c:f>
              <c:numCache>
                <c:formatCode>General</c:formatCode>
                <c:ptCount val="15"/>
                <c:pt idx="0">
                  <c:v>3.5</c:v>
                </c:pt>
                <c:pt idx="1">
                  <c:v>4.0999999999999996</c:v>
                </c:pt>
                <c:pt idx="2">
                  <c:v>4.0999999999999996</c:v>
                </c:pt>
                <c:pt idx="3">
                  <c:v>4.2</c:v>
                </c:pt>
                <c:pt idx="4">
                  <c:v>4.3</c:v>
                </c:pt>
                <c:pt idx="5">
                  <c:v>5.4</c:v>
                </c:pt>
                <c:pt idx="6">
                  <c:v>9.6</c:v>
                </c:pt>
                <c:pt idx="7" formatCode="0.0">
                  <c:v>8.0466273193059692</c:v>
                </c:pt>
                <c:pt idx="8" formatCode="0.0">
                  <c:v>7.4568463105196203</c:v>
                </c:pt>
                <c:pt idx="9" formatCode="0.0">
                  <c:v>6.8</c:v>
                </c:pt>
                <c:pt idx="10" formatCode="0.0">
                  <c:v>6.3</c:v>
                </c:pt>
                <c:pt idx="11" formatCode="0.0">
                  <c:v>4.7</c:v>
                </c:pt>
                <c:pt idx="12" formatCode="0.0">
                  <c:v>4.2699999999999996</c:v>
                </c:pt>
                <c:pt idx="13" formatCode="0.0">
                  <c:v>4.5759999999999996</c:v>
                </c:pt>
                <c:pt idx="14" formatCode="0.0">
                  <c:v>5.3860000000000001</c:v>
                </c:pt>
              </c:numCache>
            </c:numRef>
          </c:val>
          <c:extLst>
            <c:ext xmlns:c16="http://schemas.microsoft.com/office/drawing/2014/chart" uri="{C3380CC4-5D6E-409C-BE32-E72D297353CC}">
              <c16:uniqueId val="{00000001-0997-4906-9AFE-9839607DDF72}"/>
            </c:ext>
          </c:extLst>
        </c:ser>
        <c:ser>
          <c:idx val="2"/>
          <c:order val="2"/>
          <c:tx>
            <c:strRef>
              <c:f>'4,1 4,2 USoc SWB'!$D$7</c:f>
              <c:strCache>
                <c:ptCount val="1"/>
                <c:pt idx="0">
                  <c:v>Finding it very difficult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'4,1 4,2 USoc SWB'!$A$8:$A$22</c:f>
              <c:strCache>
                <c:ptCount val="15"/>
                <c:pt idx="0">
                  <c:v>2003/04</c:v>
                </c:pt>
                <c:pt idx="1">
                  <c:v>2004/05</c:v>
                </c:pt>
                <c:pt idx="2">
                  <c:v>2005/06</c:v>
                </c:pt>
                <c:pt idx="3">
                  <c:v>2006/07</c:v>
                </c:pt>
                <c:pt idx="4">
                  <c:v>2007/08</c:v>
                </c:pt>
                <c:pt idx="5">
                  <c:v>2008/09</c:v>
                </c:pt>
                <c:pt idx="6">
                  <c:v>2009/10</c:v>
                </c:pt>
                <c:pt idx="7">
                  <c:v>2010/11</c:v>
                </c:pt>
                <c:pt idx="8">
                  <c:v>2011/12</c:v>
                </c:pt>
                <c:pt idx="9">
                  <c:v>2012/13</c:v>
                </c:pt>
                <c:pt idx="10">
                  <c:v>2013/14</c:v>
                </c:pt>
                <c:pt idx="11">
                  <c:v>2014/15</c:v>
                </c:pt>
                <c:pt idx="12">
                  <c:v>2015/16</c:v>
                </c:pt>
                <c:pt idx="13">
                  <c:v>2016/17</c:v>
                </c:pt>
                <c:pt idx="14">
                  <c:v>2017/18</c:v>
                </c:pt>
              </c:strCache>
            </c:strRef>
          </c:cat>
          <c:val>
            <c:numRef>
              <c:f>'4,1 4,2 USoc SWB'!$D$8:$D$22</c:f>
              <c:numCache>
                <c:formatCode>General</c:formatCode>
                <c:ptCount val="15"/>
                <c:pt idx="0">
                  <c:v>1.4</c:v>
                </c:pt>
                <c:pt idx="1">
                  <c:v>1.5</c:v>
                </c:pt>
                <c:pt idx="2">
                  <c:v>1.8</c:v>
                </c:pt>
                <c:pt idx="3">
                  <c:v>2</c:v>
                </c:pt>
                <c:pt idx="4">
                  <c:v>1.7</c:v>
                </c:pt>
                <c:pt idx="5">
                  <c:v>2.1</c:v>
                </c:pt>
                <c:pt idx="6">
                  <c:v>4.7</c:v>
                </c:pt>
                <c:pt idx="7" formatCode="0.0">
                  <c:v>3.5361519685338099</c:v>
                </c:pt>
                <c:pt idx="8" formatCode="0.0">
                  <c:v>3.4339512767809</c:v>
                </c:pt>
                <c:pt idx="9" formatCode="0.0">
                  <c:v>3.3</c:v>
                </c:pt>
                <c:pt idx="10" formatCode="0.0">
                  <c:v>2.8</c:v>
                </c:pt>
                <c:pt idx="11" formatCode="0.0">
                  <c:v>1.9</c:v>
                </c:pt>
                <c:pt idx="12" formatCode="0.0">
                  <c:v>1.6519999999999999</c:v>
                </c:pt>
                <c:pt idx="13" formatCode="0.0">
                  <c:v>2.004</c:v>
                </c:pt>
                <c:pt idx="14" formatCode="0.0">
                  <c:v>2.0990000000000002</c:v>
                </c:pt>
              </c:numCache>
            </c:numRef>
          </c:val>
          <c:extLst>
            <c:ext xmlns:c16="http://schemas.microsoft.com/office/drawing/2014/chart" uri="{C3380CC4-5D6E-409C-BE32-E72D297353CC}">
              <c16:uniqueId val="{00000002-0997-4906-9AFE-9839607DDF72}"/>
            </c:ext>
          </c:extLst>
        </c:ser>
        <c:dLbls>
          <c:showLegendKey val="0"/>
          <c:showVal val="0"/>
          <c:showCatName val="0"/>
          <c:showSerName val="0"/>
          <c:showPercent val="0"/>
          <c:showBubbleSize val="0"/>
        </c:dLbls>
        <c:gapWidth val="75"/>
        <c:overlap val="100"/>
        <c:axId val="434286888"/>
        <c:axId val="434288200"/>
      </c:barChart>
      <c:catAx>
        <c:axId val="434286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288200"/>
        <c:crosses val="autoZero"/>
        <c:auto val="1"/>
        <c:lblAlgn val="ctr"/>
        <c:lblOffset val="100"/>
        <c:noMultiLvlLbl val="0"/>
      </c:catAx>
      <c:valAx>
        <c:axId val="4342882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286888"/>
        <c:crosses val="autoZero"/>
        <c:crossBetween val="between"/>
      </c:valAx>
      <c:spPr>
        <a:noFill/>
        <a:ln>
          <a:noFill/>
        </a:ln>
        <a:effectLst/>
      </c:spPr>
    </c:plotArea>
    <c:legend>
      <c:legendPos val="b"/>
      <c:layout>
        <c:manualLayout>
          <c:xMode val="edge"/>
          <c:yMode val="edge"/>
          <c:x val="7.4536833100466771E-2"/>
          <c:y val="0.8402094421741586"/>
          <c:w val="0.8595894312324498"/>
          <c:h val="0.1496639755473603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'4,1 4,2 USoc SWB'!$A$69</c:f>
              <c:strCache>
                <c:ptCount val="1"/>
                <c:pt idx="0">
                  <c:v>Just about getting by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'4,1 4,2 USoc SWB'!$B$66:$F$66</c:f>
              <c:strCache>
                <c:ptCount val="5"/>
                <c:pt idx="0">
                  <c:v>Bottom 20%</c:v>
                </c:pt>
                <c:pt idx="1">
                  <c:v>20-40</c:v>
                </c:pt>
                <c:pt idx="2">
                  <c:v>Mid 20%</c:v>
                </c:pt>
                <c:pt idx="3">
                  <c:v>60-80</c:v>
                </c:pt>
                <c:pt idx="4">
                  <c:v>Top 20%</c:v>
                </c:pt>
              </c:strCache>
            </c:strRef>
          </c:cat>
          <c:val>
            <c:numRef>
              <c:f>'4,1 4,2 USoc SWB'!$B$69:$F$69</c:f>
              <c:numCache>
                <c:formatCode>0%</c:formatCode>
                <c:ptCount val="5"/>
                <c:pt idx="0">
                  <c:v>0.29957943482621319</c:v>
                </c:pt>
                <c:pt idx="1">
                  <c:v>0.27281814834934737</c:v>
                </c:pt>
                <c:pt idx="2">
                  <c:v>0.21483362255711896</c:v>
                </c:pt>
                <c:pt idx="3">
                  <c:v>0.16141752472859364</c:v>
                </c:pt>
                <c:pt idx="4">
                  <c:v>9.9164549179160941E-2</c:v>
                </c:pt>
              </c:numCache>
            </c:numRef>
          </c:val>
          <c:extLst>
            <c:ext xmlns:c16="http://schemas.microsoft.com/office/drawing/2014/chart" uri="{C3380CC4-5D6E-409C-BE32-E72D297353CC}">
              <c16:uniqueId val="{00000000-6260-4160-BD38-15570944B7CF}"/>
            </c:ext>
          </c:extLst>
        </c:ser>
        <c:ser>
          <c:idx val="1"/>
          <c:order val="1"/>
          <c:tx>
            <c:strRef>
              <c:f>'4,1 4,2 USoc SWB'!$A$70</c:f>
              <c:strCache>
                <c:ptCount val="1"/>
                <c:pt idx="0">
                  <c:v>Finding it quite difficult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'4,1 4,2 USoc SWB'!$B$66:$F$66</c:f>
              <c:strCache>
                <c:ptCount val="5"/>
                <c:pt idx="0">
                  <c:v>Bottom 20%</c:v>
                </c:pt>
                <c:pt idx="1">
                  <c:v>20-40</c:v>
                </c:pt>
                <c:pt idx="2">
                  <c:v>Mid 20%</c:v>
                </c:pt>
                <c:pt idx="3">
                  <c:v>60-80</c:v>
                </c:pt>
                <c:pt idx="4">
                  <c:v>Top 20%</c:v>
                </c:pt>
              </c:strCache>
            </c:strRef>
          </c:cat>
          <c:val>
            <c:numRef>
              <c:f>'4,1 4,2 USoc SWB'!$B$70:$F$70</c:f>
              <c:numCache>
                <c:formatCode>0%</c:formatCode>
                <c:ptCount val="5"/>
                <c:pt idx="0">
                  <c:v>0.10264244447717125</c:v>
                </c:pt>
                <c:pt idx="1">
                  <c:v>6.4292244887559594E-2</c:v>
                </c:pt>
                <c:pt idx="2">
                  <c:v>5.1106270293371274E-2</c:v>
                </c:pt>
                <c:pt idx="3">
                  <c:v>3.1956588609895538E-2</c:v>
                </c:pt>
                <c:pt idx="4">
                  <c:v>1.9827704103038645E-2</c:v>
                </c:pt>
              </c:numCache>
            </c:numRef>
          </c:val>
          <c:extLst>
            <c:ext xmlns:c16="http://schemas.microsoft.com/office/drawing/2014/chart" uri="{C3380CC4-5D6E-409C-BE32-E72D297353CC}">
              <c16:uniqueId val="{00000001-6260-4160-BD38-15570944B7CF}"/>
            </c:ext>
          </c:extLst>
        </c:ser>
        <c:ser>
          <c:idx val="2"/>
          <c:order val="2"/>
          <c:tx>
            <c:strRef>
              <c:f>'4,1 4,2 USoc SWB'!$A$71</c:f>
              <c:strCache>
                <c:ptCount val="1"/>
                <c:pt idx="0">
                  <c:v>Finding it very difficult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'4,1 4,2 USoc SWB'!$B$66:$F$66</c:f>
              <c:strCache>
                <c:ptCount val="5"/>
                <c:pt idx="0">
                  <c:v>Bottom 20%</c:v>
                </c:pt>
                <c:pt idx="1">
                  <c:v>20-40</c:v>
                </c:pt>
                <c:pt idx="2">
                  <c:v>Mid 20%</c:v>
                </c:pt>
                <c:pt idx="3">
                  <c:v>60-80</c:v>
                </c:pt>
                <c:pt idx="4">
                  <c:v>Top 20%</c:v>
                </c:pt>
              </c:strCache>
            </c:strRef>
          </c:cat>
          <c:val>
            <c:numRef>
              <c:f>'4,1 4,2 USoc SWB'!$B$71:$F$71</c:f>
              <c:numCache>
                <c:formatCode>0%</c:formatCode>
                <c:ptCount val="5"/>
                <c:pt idx="0">
                  <c:v>5.3385347840545876E-2</c:v>
                </c:pt>
                <c:pt idx="1">
                  <c:v>2.2178815928964077E-2</c:v>
                </c:pt>
                <c:pt idx="2">
                  <c:v>1.3853192942086114E-2</c:v>
                </c:pt>
                <c:pt idx="3">
                  <c:v>9.2663548068849279E-3</c:v>
                </c:pt>
                <c:pt idx="4">
                  <c:v>4.4063116231916983E-3</c:v>
                </c:pt>
              </c:numCache>
            </c:numRef>
          </c:val>
          <c:extLst>
            <c:ext xmlns:c16="http://schemas.microsoft.com/office/drawing/2014/chart" uri="{C3380CC4-5D6E-409C-BE32-E72D297353CC}">
              <c16:uniqueId val="{00000002-6260-4160-BD38-15570944B7CF}"/>
            </c:ext>
          </c:extLst>
        </c:ser>
        <c:dLbls>
          <c:showLegendKey val="0"/>
          <c:showVal val="0"/>
          <c:showCatName val="0"/>
          <c:showSerName val="0"/>
          <c:showPercent val="0"/>
          <c:showBubbleSize val="0"/>
        </c:dLbls>
        <c:gapWidth val="150"/>
        <c:overlap val="100"/>
        <c:axId val="534659080"/>
        <c:axId val="534665640"/>
      </c:barChart>
      <c:catAx>
        <c:axId val="534659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665640"/>
        <c:crosses val="autoZero"/>
        <c:auto val="1"/>
        <c:lblAlgn val="ctr"/>
        <c:lblOffset val="100"/>
        <c:noMultiLvlLbl val="0"/>
      </c:catAx>
      <c:valAx>
        <c:axId val="5346656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659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'FRS consistent series'!$I$23</c:f>
              <c:strCache>
                <c:ptCount val="1"/>
                <c:pt idx="0">
                  <c:v>Adults without current or basic bank account (including 'did not state')</c:v>
                </c:pt>
              </c:strCache>
            </c:strRef>
          </c:tx>
          <c:spPr>
            <a:ln w="28575" cap="rnd">
              <a:solidFill>
                <a:schemeClr val="accent1"/>
              </a:solidFill>
              <a:round/>
            </a:ln>
            <a:effectLst/>
          </c:spPr>
          <c:marker>
            <c:symbol val="none"/>
          </c:marker>
          <c:dLbls>
            <c:dLbl>
              <c:idx val="0"/>
              <c:layout>
                <c:manualLayout>
                  <c:x val="-3.888888888888889E-2"/>
                  <c:y val="-4.6296296296296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2E-4065-A296-31E6965E4E15}"/>
                </c:ext>
              </c:extLst>
            </c:dLbl>
            <c:dLbl>
              <c:idx val="13"/>
              <c:layout>
                <c:manualLayout>
                  <c:x val="-1.5395187003899191E-2"/>
                  <c:y val="-4.90496722554971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2E-4065-A296-31E6965E4E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'FRS consistent series'!$H$24:$H$37</c:f>
              <c:strCache>
                <c:ptCount val="14"/>
                <c:pt idx="0">
                  <c:v>2005-6</c:v>
                </c:pt>
                <c:pt idx="1">
                  <c:v>2006-7</c:v>
                </c:pt>
                <c:pt idx="2">
                  <c:v>2007-8</c:v>
                </c:pt>
                <c:pt idx="3">
                  <c:v>2008-9</c:v>
                </c:pt>
                <c:pt idx="4">
                  <c:v>2009-10</c:v>
                </c:pt>
                <c:pt idx="5">
                  <c:v>2011-11</c:v>
                </c:pt>
                <c:pt idx="6">
                  <c:v>2011-12</c:v>
                </c:pt>
                <c:pt idx="7">
                  <c:v>2012-13</c:v>
                </c:pt>
                <c:pt idx="8">
                  <c:v>2013-14</c:v>
                </c:pt>
                <c:pt idx="9">
                  <c:v>2014-15</c:v>
                </c:pt>
                <c:pt idx="10">
                  <c:v>2015-16</c:v>
                </c:pt>
                <c:pt idx="11">
                  <c:v>2016-17</c:v>
                </c:pt>
                <c:pt idx="12">
                  <c:v>2017-18</c:v>
                </c:pt>
                <c:pt idx="13">
                  <c:v>2018-19</c:v>
                </c:pt>
              </c:strCache>
            </c:strRef>
          </c:cat>
          <c:val>
            <c:numRef>
              <c:f>'FRS consistent series'!$I$24:$I$37</c:f>
              <c:numCache>
                <c:formatCode>General</c:formatCode>
                <c:ptCount val="14"/>
                <c:pt idx="0">
                  <c:v>2.85</c:v>
                </c:pt>
                <c:pt idx="1">
                  <c:v>3</c:v>
                </c:pt>
                <c:pt idx="2">
                  <c:v>2.71</c:v>
                </c:pt>
                <c:pt idx="3">
                  <c:v>2.54</c:v>
                </c:pt>
                <c:pt idx="4">
                  <c:v>2.36</c:v>
                </c:pt>
                <c:pt idx="5">
                  <c:v>1.97</c:v>
                </c:pt>
                <c:pt idx="6">
                  <c:v>1.87</c:v>
                </c:pt>
                <c:pt idx="7">
                  <c:v>1.5</c:v>
                </c:pt>
                <c:pt idx="8">
                  <c:v>1.71</c:v>
                </c:pt>
                <c:pt idx="9">
                  <c:v>1.64</c:v>
                </c:pt>
                <c:pt idx="10">
                  <c:v>1.52</c:v>
                </c:pt>
                <c:pt idx="11">
                  <c:v>1.23</c:v>
                </c:pt>
                <c:pt idx="12">
                  <c:v>1.03</c:v>
                </c:pt>
                <c:pt idx="13">
                  <c:v>0.996</c:v>
                </c:pt>
              </c:numCache>
            </c:numRef>
          </c:val>
          <c:smooth val="0"/>
          <c:extLst>
            <c:ext xmlns:c16="http://schemas.microsoft.com/office/drawing/2014/chart" uri="{C3380CC4-5D6E-409C-BE32-E72D297353CC}">
              <c16:uniqueId val="{00000002-172E-4065-A296-31E6965E4E15}"/>
            </c:ext>
          </c:extLst>
        </c:ser>
        <c:ser>
          <c:idx val="1"/>
          <c:order val="1"/>
          <c:tx>
            <c:strRef>
              <c:f>'FRS consistent series'!$J$23</c:f>
              <c:strCache>
                <c:ptCount val="1"/>
                <c:pt idx="0">
                  <c:v>Adults living in HHs without access - positively affirmed</c:v>
                </c:pt>
              </c:strCache>
            </c:strRef>
          </c:tx>
          <c:spPr>
            <a:ln w="28575" cap="rnd">
              <a:solidFill>
                <a:schemeClr val="accent2"/>
              </a:solidFill>
              <a:round/>
            </a:ln>
            <a:effectLst/>
          </c:spPr>
          <c:marker>
            <c:symbol val="none"/>
          </c:marker>
          <c:dLbls>
            <c:dLbl>
              <c:idx val="0"/>
              <c:layout>
                <c:manualLayout>
                  <c:x val="-2.2222222222222223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2E-4065-A296-31E6965E4E15}"/>
                </c:ext>
              </c:extLst>
            </c:dLbl>
            <c:dLbl>
              <c:idx val="13"/>
              <c:layout>
                <c:manualLayout>
                  <c:x val="-1.6128104833698705E-16"/>
                  <c:y val="4.5779694105130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2E-4065-A296-31E6965E4E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'FRS consistent series'!$H$24:$H$37</c:f>
              <c:strCache>
                <c:ptCount val="14"/>
                <c:pt idx="0">
                  <c:v>2005-6</c:v>
                </c:pt>
                <c:pt idx="1">
                  <c:v>2006-7</c:v>
                </c:pt>
                <c:pt idx="2">
                  <c:v>2007-8</c:v>
                </c:pt>
                <c:pt idx="3">
                  <c:v>2008-9</c:v>
                </c:pt>
                <c:pt idx="4">
                  <c:v>2009-10</c:v>
                </c:pt>
                <c:pt idx="5">
                  <c:v>2011-11</c:v>
                </c:pt>
                <c:pt idx="6">
                  <c:v>2011-12</c:v>
                </c:pt>
                <c:pt idx="7">
                  <c:v>2012-13</c:v>
                </c:pt>
                <c:pt idx="8">
                  <c:v>2013-14</c:v>
                </c:pt>
                <c:pt idx="9">
                  <c:v>2014-15</c:v>
                </c:pt>
                <c:pt idx="10">
                  <c:v>2015-16</c:v>
                </c:pt>
                <c:pt idx="11">
                  <c:v>2016-17</c:v>
                </c:pt>
                <c:pt idx="12">
                  <c:v>2017-18</c:v>
                </c:pt>
                <c:pt idx="13">
                  <c:v>2018-19</c:v>
                </c:pt>
              </c:strCache>
            </c:strRef>
          </c:cat>
          <c:val>
            <c:numRef>
              <c:f>'FRS consistent series'!$J$24:$J$37</c:f>
              <c:numCache>
                <c:formatCode>General</c:formatCode>
                <c:ptCount val="14"/>
                <c:pt idx="0">
                  <c:v>1</c:v>
                </c:pt>
                <c:pt idx="1">
                  <c:v>1.01</c:v>
                </c:pt>
                <c:pt idx="2">
                  <c:v>0.89</c:v>
                </c:pt>
                <c:pt idx="3">
                  <c:v>0.87</c:v>
                </c:pt>
                <c:pt idx="4">
                  <c:v>0.87</c:v>
                </c:pt>
                <c:pt idx="5">
                  <c:v>0.78</c:v>
                </c:pt>
                <c:pt idx="6">
                  <c:v>0.7</c:v>
                </c:pt>
                <c:pt idx="7">
                  <c:v>0.66</c:v>
                </c:pt>
                <c:pt idx="8">
                  <c:v>0.73</c:v>
                </c:pt>
                <c:pt idx="9">
                  <c:v>0.64</c:v>
                </c:pt>
                <c:pt idx="10">
                  <c:v>0.71</c:v>
                </c:pt>
                <c:pt idx="11">
                  <c:v>0.68</c:v>
                </c:pt>
                <c:pt idx="12">
                  <c:v>0.56999999999999995</c:v>
                </c:pt>
                <c:pt idx="13">
                  <c:v>0.48</c:v>
                </c:pt>
              </c:numCache>
            </c:numRef>
          </c:val>
          <c:smooth val="0"/>
          <c:extLst>
            <c:ext xmlns:c16="http://schemas.microsoft.com/office/drawing/2014/chart" uri="{C3380CC4-5D6E-409C-BE32-E72D297353CC}">
              <c16:uniqueId val="{00000005-172E-4065-A296-31E6965E4E15}"/>
            </c:ext>
          </c:extLst>
        </c:ser>
        <c:dLbls>
          <c:showLegendKey val="0"/>
          <c:showVal val="0"/>
          <c:showCatName val="0"/>
          <c:showSerName val="0"/>
          <c:showPercent val="0"/>
          <c:showBubbleSize val="0"/>
        </c:dLbls>
        <c:smooth val="0"/>
        <c:axId val="534810632"/>
        <c:axId val="534810960"/>
      </c:lineChart>
      <c:catAx>
        <c:axId val="534810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810960"/>
        <c:crosses val="autoZero"/>
        <c:auto val="1"/>
        <c:lblAlgn val="ctr"/>
        <c:lblOffset val="100"/>
        <c:noMultiLvlLbl val="0"/>
      </c:catAx>
      <c:valAx>
        <c:axId val="5348109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(millions)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810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'6.2,6.3'!$A$19</c:f>
              <c:strCache>
                <c:ptCount val="1"/>
                <c:pt idx="0">
                  <c:v>Whether saves</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'6.2,6.3'!$B$18:$I$18</c:f>
              <c:strCache>
                <c:ptCount val="8"/>
                <c:pt idx="0">
                  <c:v>No earnings</c:v>
                </c:pt>
                <c:pt idx="1">
                  <c:v>Bottom 20% of earnings</c:v>
                </c:pt>
                <c:pt idx="2">
                  <c:v>2</c:v>
                </c:pt>
                <c:pt idx="3">
                  <c:v>3</c:v>
                </c:pt>
                <c:pt idx="4">
                  <c:v>4</c:v>
                </c:pt>
                <c:pt idx="5">
                  <c:v>Top 20% of earnings</c:v>
                </c:pt>
                <c:pt idx="7">
                  <c:v>Total</c:v>
                </c:pt>
              </c:strCache>
            </c:strRef>
          </c:cat>
          <c:val>
            <c:numRef>
              <c:f>'6.2,6.3'!$B$19:$I$19</c:f>
              <c:numCache>
                <c:formatCode>###0.0%</c:formatCode>
                <c:ptCount val="8"/>
                <c:pt idx="0">
                  <c:v>0.31161985089238647</c:v>
                </c:pt>
                <c:pt idx="1">
                  <c:v>0.38416107382550335</c:v>
                </c:pt>
                <c:pt idx="2">
                  <c:v>0.43961352657004832</c:v>
                </c:pt>
                <c:pt idx="3">
                  <c:v>0.49931337544630594</c:v>
                </c:pt>
                <c:pt idx="4">
                  <c:v>0.56245069681830129</c:v>
                </c:pt>
                <c:pt idx="5">
                  <c:v>0.65404243889336555</c:v>
                </c:pt>
                <c:pt idx="7">
                  <c:v>0.42634103520707278</c:v>
                </c:pt>
              </c:numCache>
            </c:numRef>
          </c:val>
          <c:extLst>
            <c:ext xmlns:c16="http://schemas.microsoft.com/office/drawing/2014/chart" uri="{C3380CC4-5D6E-409C-BE32-E72D297353CC}">
              <c16:uniqueId val="{00000000-48BB-4F33-94DC-B4272D2CD91F}"/>
            </c:ext>
          </c:extLst>
        </c:ser>
        <c:dLbls>
          <c:showLegendKey val="0"/>
          <c:showVal val="0"/>
          <c:showCatName val="0"/>
          <c:showSerName val="0"/>
          <c:showPercent val="0"/>
          <c:showBubbleSize val="0"/>
        </c:dLbls>
        <c:gapWidth val="43"/>
        <c:overlap val="-27"/>
        <c:axId val="952269472"/>
        <c:axId val="895075456"/>
      </c:barChart>
      <c:catAx>
        <c:axId val="95226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95075456"/>
        <c:crosses val="autoZero"/>
        <c:auto val="1"/>
        <c:lblAlgn val="ctr"/>
        <c:lblOffset val="100"/>
        <c:noMultiLvlLbl val="0"/>
      </c:catAx>
      <c:valAx>
        <c:axId val="89507545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2694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quot;£&quot;#,##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'6.2,6.3'!$A$3:$A$10</c:f>
              <c:strCache>
                <c:ptCount val="8"/>
                <c:pt idx="0">
                  <c:v>No earnings</c:v>
                </c:pt>
                <c:pt idx="1">
                  <c:v>Bottom 20% of earnings</c:v>
                </c:pt>
                <c:pt idx="2">
                  <c:v>2</c:v>
                </c:pt>
                <c:pt idx="3">
                  <c:v>3</c:v>
                </c:pt>
                <c:pt idx="4">
                  <c:v>4</c:v>
                </c:pt>
                <c:pt idx="5">
                  <c:v>Top 20% of earnings</c:v>
                </c:pt>
                <c:pt idx="7">
                  <c:v>Total</c:v>
                </c:pt>
              </c:strCache>
            </c:strRef>
          </c:cat>
          <c:val>
            <c:numRef>
              <c:f>'6.2,6.3'!$B$3:$B$10</c:f>
              <c:numCache>
                <c:formatCode>_-[$£-809]* #,##0.00_-;\-[$£-809]* #,##0.00_-;_-[$£-809]* "-"??_-;_-@_-</c:formatCode>
                <c:ptCount val="8"/>
                <c:pt idx="0">
                  <c:v>232.69880107660006</c:v>
                </c:pt>
                <c:pt idx="1">
                  <c:v>193.54239033628306</c:v>
                </c:pt>
                <c:pt idx="2">
                  <c:v>228.99091625879339</c:v>
                </c:pt>
                <c:pt idx="3">
                  <c:v>235.40042190297183</c:v>
                </c:pt>
                <c:pt idx="4">
                  <c:v>298.20401830053231</c:v>
                </c:pt>
                <c:pt idx="5">
                  <c:v>586.0652662759702</c:v>
                </c:pt>
                <c:pt idx="7">
                  <c:v>304.46433780492248</c:v>
                </c:pt>
              </c:numCache>
            </c:numRef>
          </c:val>
          <c:extLst>
            <c:ext xmlns:c16="http://schemas.microsoft.com/office/drawing/2014/chart" uri="{C3380CC4-5D6E-409C-BE32-E72D297353CC}">
              <c16:uniqueId val="{00000000-484D-43CC-8591-3E0DA4F79DE4}"/>
            </c:ext>
          </c:extLst>
        </c:ser>
        <c:dLbls>
          <c:showLegendKey val="0"/>
          <c:showVal val="0"/>
          <c:showCatName val="0"/>
          <c:showSerName val="0"/>
          <c:showPercent val="0"/>
          <c:showBubbleSize val="0"/>
        </c:dLbls>
        <c:gapWidth val="47"/>
        <c:overlap val="-27"/>
        <c:axId val="86644936"/>
        <c:axId val="86648872"/>
      </c:barChart>
      <c:catAx>
        <c:axId val="86644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6648872"/>
        <c:crosses val="autoZero"/>
        <c:auto val="1"/>
        <c:lblAlgn val="ctr"/>
        <c:lblOffset val="100"/>
        <c:noMultiLvlLbl val="0"/>
      </c:catAx>
      <c:valAx>
        <c:axId val="86648872"/>
        <c:scaling>
          <c:orientation val="minMax"/>
          <c:max val="600"/>
        </c:scaling>
        <c:delete val="0"/>
        <c:axPos val="l"/>
        <c:numFmt formatCode="_-[$£-809]* #,##0_-;\-[$£-809]* #,##0_-;_-[$£-809]*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44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'7.1 Pub priv sector'!$A$13:$B$13</c:f>
              <c:strCache>
                <c:ptCount val="2"/>
                <c:pt idx="0">
                  <c:v>Active members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'7.1 Pub priv sector'!$C$12:$AC$12</c:f>
              <c:numCache>
                <c:formatCode>0</c:formatCode>
                <c:ptCount val="27"/>
                <c:pt idx="0">
                  <c:v>1953</c:v>
                </c:pt>
                <c:pt idx="1">
                  <c:v>1956</c:v>
                </c:pt>
                <c:pt idx="2">
                  <c:v>1963</c:v>
                </c:pt>
                <c:pt idx="3">
                  <c:v>1967</c:v>
                </c:pt>
                <c:pt idx="4">
                  <c:v>1971</c:v>
                </c:pt>
                <c:pt idx="5">
                  <c:v>1975</c:v>
                </c:pt>
                <c:pt idx="6">
                  <c:v>1979</c:v>
                </c:pt>
                <c:pt idx="7">
                  <c:v>1983</c:v>
                </c:pt>
                <c:pt idx="8">
                  <c:v>1987</c:v>
                </c:pt>
                <c:pt idx="9">
                  <c:v>1991</c:v>
                </c:pt>
                <c:pt idx="10">
                  <c:v>1995</c:v>
                </c:pt>
                <c:pt idx="11" formatCode="General">
                  <c:v>2000</c:v>
                </c:pt>
                <c:pt idx="12">
                  <c:v>2004</c:v>
                </c:pt>
                <c:pt idx="13">
                  <c:v>2005</c:v>
                </c:pt>
                <c:pt idx="14">
                  <c:v>2006</c:v>
                </c:pt>
                <c:pt idx="15">
                  <c:v>2007</c:v>
                </c:pt>
                <c:pt idx="16">
                  <c:v>2008</c:v>
                </c:pt>
                <c:pt idx="17">
                  <c:v>2009</c:v>
                </c:pt>
                <c:pt idx="18">
                  <c:v>2010</c:v>
                </c:pt>
                <c:pt idx="19">
                  <c:v>2011</c:v>
                </c:pt>
                <c:pt idx="20">
                  <c:v>2012</c:v>
                </c:pt>
                <c:pt idx="21">
                  <c:v>2013</c:v>
                </c:pt>
                <c:pt idx="22" formatCode="General">
                  <c:v>2014</c:v>
                </c:pt>
                <c:pt idx="23">
                  <c:v>2015</c:v>
                </c:pt>
                <c:pt idx="24">
                  <c:v>2016</c:v>
                </c:pt>
                <c:pt idx="25">
                  <c:v>2017</c:v>
                </c:pt>
                <c:pt idx="26">
                  <c:v>2018</c:v>
                </c:pt>
              </c:numCache>
            </c:numRef>
          </c:xVal>
          <c:yVal>
            <c:numRef>
              <c:f>'7.1 Pub priv sector'!$C$13:$AC$13</c:f>
            </c:numRef>
          </c:yVal>
          <c:smooth val="0"/>
          <c:extLst>
            <c:ext xmlns:c16="http://schemas.microsoft.com/office/drawing/2014/chart" uri="{C3380CC4-5D6E-409C-BE32-E72D297353CC}">
              <c16:uniqueId val="{00000000-1B51-4632-A109-95A4D9559422}"/>
            </c:ext>
          </c:extLst>
        </c:ser>
        <c:ser>
          <c:idx val="1"/>
          <c:order val="1"/>
          <c:tx>
            <c:strRef>
              <c:f>'7.1 Pub priv sector'!$A$14:$B$14</c:f>
              <c:strCache>
                <c:ptCount val="2"/>
                <c:pt idx="0">
                  <c:v>    Private sector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20"/>
              <c:layout>
                <c:manualLayout>
                  <c:x val="-1.5325670498084452E-2"/>
                  <c:y val="3.71402042711233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51-4632-A109-95A4D9559422}"/>
                </c:ext>
              </c:extLst>
            </c:dLbl>
            <c:dLbl>
              <c:idx val="26"/>
              <c:layout>
                <c:manualLayout>
                  <c:x val="-1.7515051997810619E-2"/>
                  <c:y val="-3.71402042711234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51-4632-A109-95A4D955942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'7.1 Pub priv sector'!$C$12:$AC$12</c:f>
              <c:numCache>
                <c:formatCode>0</c:formatCode>
                <c:ptCount val="27"/>
                <c:pt idx="0">
                  <c:v>1953</c:v>
                </c:pt>
                <c:pt idx="1">
                  <c:v>1956</c:v>
                </c:pt>
                <c:pt idx="2">
                  <c:v>1963</c:v>
                </c:pt>
                <c:pt idx="3">
                  <c:v>1967</c:v>
                </c:pt>
                <c:pt idx="4">
                  <c:v>1971</c:v>
                </c:pt>
                <c:pt idx="5">
                  <c:v>1975</c:v>
                </c:pt>
                <c:pt idx="6">
                  <c:v>1979</c:v>
                </c:pt>
                <c:pt idx="7">
                  <c:v>1983</c:v>
                </c:pt>
                <c:pt idx="8">
                  <c:v>1987</c:v>
                </c:pt>
                <c:pt idx="9">
                  <c:v>1991</c:v>
                </c:pt>
                <c:pt idx="10">
                  <c:v>1995</c:v>
                </c:pt>
                <c:pt idx="11" formatCode="General">
                  <c:v>2000</c:v>
                </c:pt>
                <c:pt idx="12">
                  <c:v>2004</c:v>
                </c:pt>
                <c:pt idx="13">
                  <c:v>2005</c:v>
                </c:pt>
                <c:pt idx="14">
                  <c:v>2006</c:v>
                </c:pt>
                <c:pt idx="15">
                  <c:v>2007</c:v>
                </c:pt>
                <c:pt idx="16">
                  <c:v>2008</c:v>
                </c:pt>
                <c:pt idx="17">
                  <c:v>2009</c:v>
                </c:pt>
                <c:pt idx="18">
                  <c:v>2010</c:v>
                </c:pt>
                <c:pt idx="19">
                  <c:v>2011</c:v>
                </c:pt>
                <c:pt idx="20">
                  <c:v>2012</c:v>
                </c:pt>
                <c:pt idx="21">
                  <c:v>2013</c:v>
                </c:pt>
                <c:pt idx="22" formatCode="General">
                  <c:v>2014</c:v>
                </c:pt>
                <c:pt idx="23">
                  <c:v>2015</c:v>
                </c:pt>
                <c:pt idx="24">
                  <c:v>2016</c:v>
                </c:pt>
                <c:pt idx="25">
                  <c:v>2017</c:v>
                </c:pt>
                <c:pt idx="26">
                  <c:v>2018</c:v>
                </c:pt>
              </c:numCache>
            </c:numRef>
          </c:xVal>
          <c:yVal>
            <c:numRef>
              <c:f>'7.1 Pub priv sector'!$C$14:$AC$14</c:f>
              <c:numCache>
                <c:formatCode>0.0</c:formatCode>
                <c:ptCount val="27"/>
                <c:pt idx="0">
                  <c:v>3.1</c:v>
                </c:pt>
                <c:pt idx="1">
                  <c:v>4.3</c:v>
                </c:pt>
                <c:pt idx="2">
                  <c:v>7.2</c:v>
                </c:pt>
                <c:pt idx="3">
                  <c:v>8.1</c:v>
                </c:pt>
                <c:pt idx="4">
                  <c:v>6.8</c:v>
                </c:pt>
                <c:pt idx="5">
                  <c:v>6</c:v>
                </c:pt>
                <c:pt idx="6">
                  <c:v>6.1</c:v>
                </c:pt>
                <c:pt idx="7">
                  <c:v>5.8</c:v>
                </c:pt>
                <c:pt idx="8">
                  <c:v>5.8</c:v>
                </c:pt>
                <c:pt idx="9">
                  <c:v>6.5</c:v>
                </c:pt>
                <c:pt idx="10">
                  <c:v>6.2</c:v>
                </c:pt>
                <c:pt idx="11">
                  <c:v>5.7</c:v>
                </c:pt>
                <c:pt idx="12">
                  <c:v>4.8</c:v>
                </c:pt>
                <c:pt idx="13">
                  <c:v>4.7</c:v>
                </c:pt>
                <c:pt idx="14">
                  <c:v>4</c:v>
                </c:pt>
                <c:pt idx="15">
                  <c:v>3.6</c:v>
                </c:pt>
                <c:pt idx="16">
                  <c:v>3.6</c:v>
                </c:pt>
                <c:pt idx="17">
                  <c:v>3.3</c:v>
                </c:pt>
                <c:pt idx="18">
                  <c:v>3</c:v>
                </c:pt>
                <c:pt idx="19">
                  <c:v>2.9</c:v>
                </c:pt>
                <c:pt idx="20">
                  <c:v>2.7</c:v>
                </c:pt>
                <c:pt idx="21">
                  <c:v>2.8</c:v>
                </c:pt>
                <c:pt idx="22">
                  <c:v>4.9000000000000004</c:v>
                </c:pt>
                <c:pt idx="23">
                  <c:v>5.5</c:v>
                </c:pt>
                <c:pt idx="24">
                  <c:v>7.7</c:v>
                </c:pt>
                <c:pt idx="25">
                  <c:v>8.8000000000000007</c:v>
                </c:pt>
                <c:pt idx="26">
                  <c:v>11</c:v>
                </c:pt>
              </c:numCache>
            </c:numRef>
          </c:yVal>
          <c:smooth val="0"/>
          <c:extLst>
            <c:ext xmlns:c16="http://schemas.microsoft.com/office/drawing/2014/chart" uri="{C3380CC4-5D6E-409C-BE32-E72D297353CC}">
              <c16:uniqueId val="{00000003-1B51-4632-A109-95A4D9559422}"/>
            </c:ext>
          </c:extLst>
        </c:ser>
        <c:ser>
          <c:idx val="2"/>
          <c:order val="2"/>
          <c:tx>
            <c:strRef>
              <c:f>'7.1 Pub priv sector'!$A$15:$B$15</c:f>
              <c:strCache>
                <c:ptCount val="2"/>
                <c:pt idx="0">
                  <c:v>    Public sector</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Lbl>
              <c:idx val="2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51-4632-A109-95A4D955942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'7.1 Pub priv sector'!$C$12:$AC$12</c:f>
              <c:numCache>
                <c:formatCode>0</c:formatCode>
                <c:ptCount val="27"/>
                <c:pt idx="0">
                  <c:v>1953</c:v>
                </c:pt>
                <c:pt idx="1">
                  <c:v>1956</c:v>
                </c:pt>
                <c:pt idx="2">
                  <c:v>1963</c:v>
                </c:pt>
                <c:pt idx="3">
                  <c:v>1967</c:v>
                </c:pt>
                <c:pt idx="4">
                  <c:v>1971</c:v>
                </c:pt>
                <c:pt idx="5">
                  <c:v>1975</c:v>
                </c:pt>
                <c:pt idx="6">
                  <c:v>1979</c:v>
                </c:pt>
                <c:pt idx="7">
                  <c:v>1983</c:v>
                </c:pt>
                <c:pt idx="8">
                  <c:v>1987</c:v>
                </c:pt>
                <c:pt idx="9">
                  <c:v>1991</c:v>
                </c:pt>
                <c:pt idx="10">
                  <c:v>1995</c:v>
                </c:pt>
                <c:pt idx="11" formatCode="General">
                  <c:v>2000</c:v>
                </c:pt>
                <c:pt idx="12">
                  <c:v>2004</c:v>
                </c:pt>
                <c:pt idx="13">
                  <c:v>2005</c:v>
                </c:pt>
                <c:pt idx="14">
                  <c:v>2006</c:v>
                </c:pt>
                <c:pt idx="15">
                  <c:v>2007</c:v>
                </c:pt>
                <c:pt idx="16">
                  <c:v>2008</c:v>
                </c:pt>
                <c:pt idx="17">
                  <c:v>2009</c:v>
                </c:pt>
                <c:pt idx="18">
                  <c:v>2010</c:v>
                </c:pt>
                <c:pt idx="19">
                  <c:v>2011</c:v>
                </c:pt>
                <c:pt idx="20">
                  <c:v>2012</c:v>
                </c:pt>
                <c:pt idx="21">
                  <c:v>2013</c:v>
                </c:pt>
                <c:pt idx="22" formatCode="General">
                  <c:v>2014</c:v>
                </c:pt>
                <c:pt idx="23">
                  <c:v>2015</c:v>
                </c:pt>
                <c:pt idx="24">
                  <c:v>2016</c:v>
                </c:pt>
                <c:pt idx="25">
                  <c:v>2017</c:v>
                </c:pt>
                <c:pt idx="26">
                  <c:v>2018</c:v>
                </c:pt>
              </c:numCache>
            </c:numRef>
          </c:xVal>
          <c:yVal>
            <c:numRef>
              <c:f>'7.1 Pub priv sector'!$C$15:$AC$15</c:f>
              <c:numCache>
                <c:formatCode>0.0</c:formatCode>
                <c:ptCount val="27"/>
                <c:pt idx="0">
                  <c:v>3.1</c:v>
                </c:pt>
                <c:pt idx="1">
                  <c:v>3.7</c:v>
                </c:pt>
                <c:pt idx="2">
                  <c:v>3.9</c:v>
                </c:pt>
                <c:pt idx="3">
                  <c:v>4.0999999999999996</c:v>
                </c:pt>
                <c:pt idx="4">
                  <c:v>4.3</c:v>
                </c:pt>
                <c:pt idx="5">
                  <c:v>5.4</c:v>
                </c:pt>
                <c:pt idx="6">
                  <c:v>5.5</c:v>
                </c:pt>
                <c:pt idx="7">
                  <c:v>5.3</c:v>
                </c:pt>
                <c:pt idx="8">
                  <c:v>4.8</c:v>
                </c:pt>
                <c:pt idx="9">
                  <c:v>4.2</c:v>
                </c:pt>
                <c:pt idx="10">
                  <c:v>4.0999999999999996</c:v>
                </c:pt>
                <c:pt idx="11">
                  <c:v>4.4000000000000004</c:v>
                </c:pt>
                <c:pt idx="12">
                  <c:v>5</c:v>
                </c:pt>
                <c:pt idx="14">
                  <c:v>5.0999999999999996</c:v>
                </c:pt>
                <c:pt idx="15">
                  <c:v>5.2</c:v>
                </c:pt>
                <c:pt idx="16">
                  <c:v>5.4</c:v>
                </c:pt>
                <c:pt idx="17">
                  <c:v>5.4</c:v>
                </c:pt>
                <c:pt idx="18">
                  <c:v>5.3</c:v>
                </c:pt>
                <c:pt idx="19">
                  <c:v>5.3</c:v>
                </c:pt>
                <c:pt idx="20">
                  <c:v>5.0999999999999996</c:v>
                </c:pt>
                <c:pt idx="21">
                  <c:v>5.3</c:v>
                </c:pt>
                <c:pt idx="22">
                  <c:v>5.4</c:v>
                </c:pt>
                <c:pt idx="23">
                  <c:v>5.6</c:v>
                </c:pt>
                <c:pt idx="24">
                  <c:v>5.7</c:v>
                </c:pt>
                <c:pt idx="25">
                  <c:v>6.3</c:v>
                </c:pt>
                <c:pt idx="26">
                  <c:v>6.3</c:v>
                </c:pt>
              </c:numCache>
            </c:numRef>
          </c:yVal>
          <c:smooth val="0"/>
          <c:extLst>
            <c:ext xmlns:c16="http://schemas.microsoft.com/office/drawing/2014/chart" uri="{C3380CC4-5D6E-409C-BE32-E72D297353CC}">
              <c16:uniqueId val="{00000005-1B51-4632-A109-95A4D9559422}"/>
            </c:ext>
          </c:extLst>
        </c:ser>
        <c:dLbls>
          <c:showLegendKey val="0"/>
          <c:showVal val="0"/>
          <c:showCatName val="0"/>
          <c:showSerName val="0"/>
          <c:showPercent val="0"/>
          <c:showBubbleSize val="0"/>
        </c:dLbls>
        <c:axId val="574282928"/>
        <c:axId val="574283256"/>
      </c:scatterChart>
      <c:valAx>
        <c:axId val="574282928"/>
        <c:scaling>
          <c:orientation val="minMax"/>
          <c:max val="2020"/>
          <c:min val="1950"/>
        </c:scaling>
        <c:delete val="0"/>
        <c:axPos val="b"/>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74283256"/>
        <c:crosses val="autoZero"/>
        <c:crossBetween val="midCat"/>
      </c:valAx>
      <c:valAx>
        <c:axId val="574283256"/>
        <c:scaling>
          <c:orientation val="minMax"/>
        </c:scaling>
        <c:delete val="0"/>
        <c:axPos val="l"/>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74282928"/>
        <c:crosses val="autoZero"/>
        <c:crossBetween val="midCat"/>
      </c:valAx>
      <c:spPr>
        <a:noFill/>
        <a:ln>
          <a:noFill/>
        </a:ln>
        <a:effectLst/>
      </c:spPr>
    </c:plotArea>
    <c:legend>
      <c:legendPos val="b"/>
      <c:layout>
        <c:manualLayout>
          <c:xMode val="edge"/>
          <c:yMode val="edge"/>
          <c:x val="0.20888819931991257"/>
          <c:y val="0.65921055132732365"/>
          <c:w val="0.53843613298337711"/>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24759405074368"/>
          <c:y val="5.0925925925925923E-2"/>
          <c:w val="0.83586351706036743"/>
          <c:h val="0.86482283464566934"/>
        </c:manualLayout>
      </c:layout>
      <c:scatterChart>
        <c:scatterStyle val="lineMarker"/>
        <c:varyColors val="0"/>
        <c:ser>
          <c:idx val="0"/>
          <c:order val="0"/>
          <c:tx>
            <c:strRef>
              <c:f>'7.2 DB DC split'!$B$3</c:f>
              <c:strCache>
                <c:ptCount val="1"/>
                <c:pt idx="0">
                  <c:v>Occupational defined benefit</c:v>
                </c:pt>
              </c:strCache>
            </c:strRef>
          </c:tx>
          <c:spPr>
            <a:ln w="19050" cap="rnd">
              <a:solidFill>
                <a:schemeClr val="accent1"/>
              </a:solidFill>
              <a:round/>
            </a:ln>
            <a:effectLst/>
          </c:spPr>
          <c:marker>
            <c:symbol val="none"/>
          </c:marker>
          <c:xVal>
            <c:numRef>
              <c:f>'7.2 DB DC split'!$A$4:$A$26</c:f>
              <c:numCache>
                <c:formatCode>General</c:formatCod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numCache>
            </c:numRef>
          </c:xVal>
          <c:yVal>
            <c:numRef>
              <c:f>'7.2 DB DC split'!$B$4:$B$26</c:f>
              <c:numCache>
                <c:formatCode>0.0</c:formatCode>
                <c:ptCount val="23"/>
                <c:pt idx="0" formatCode="General">
                  <c:v>45.7</c:v>
                </c:pt>
                <c:pt idx="1">
                  <c:v>44.5</c:v>
                </c:pt>
                <c:pt idx="2">
                  <c:v>43.8</c:v>
                </c:pt>
                <c:pt idx="3">
                  <c:v>43.2</c:v>
                </c:pt>
                <c:pt idx="4">
                  <c:v>42</c:v>
                </c:pt>
                <c:pt idx="5">
                  <c:v>41.6</c:v>
                </c:pt>
                <c:pt idx="6">
                  <c:v>40.700000000000003</c:v>
                </c:pt>
                <c:pt idx="7">
                  <c:v>38.799999999999997</c:v>
                </c:pt>
                <c:pt idx="8">
                  <c:v>35.299999999999997</c:v>
                </c:pt>
                <c:pt idx="9">
                  <c:v>34.299999999999997</c:v>
                </c:pt>
                <c:pt idx="10">
                  <c:v>33.4</c:v>
                </c:pt>
                <c:pt idx="11">
                  <c:v>32.799999999999997</c:v>
                </c:pt>
                <c:pt idx="12">
                  <c:v>32.9</c:v>
                </c:pt>
                <c:pt idx="13">
                  <c:v>32.1</c:v>
                </c:pt>
                <c:pt idx="14">
                  <c:v>30.4</c:v>
                </c:pt>
                <c:pt idx="15">
                  <c:v>28</c:v>
                </c:pt>
                <c:pt idx="16">
                  <c:v>29.4</c:v>
                </c:pt>
                <c:pt idx="17">
                  <c:v>29.1</c:v>
                </c:pt>
                <c:pt idx="18">
                  <c:v>28.3</c:v>
                </c:pt>
                <c:pt idx="19">
                  <c:v>28.5</c:v>
                </c:pt>
                <c:pt idx="20">
                  <c:v>28.2</c:v>
                </c:pt>
                <c:pt idx="21">
                  <c:v>27.8</c:v>
                </c:pt>
                <c:pt idx="22">
                  <c:v>26.8</c:v>
                </c:pt>
              </c:numCache>
            </c:numRef>
          </c:yVal>
          <c:smooth val="0"/>
          <c:extLst>
            <c:ext xmlns:c16="http://schemas.microsoft.com/office/drawing/2014/chart" uri="{C3380CC4-5D6E-409C-BE32-E72D297353CC}">
              <c16:uniqueId val="{00000000-4B10-4C09-A4FC-E0A7E0A8C5A1}"/>
            </c:ext>
          </c:extLst>
        </c:ser>
        <c:ser>
          <c:idx val="1"/>
          <c:order val="1"/>
          <c:tx>
            <c:strRef>
              <c:f>'7.2 DB DC split'!$C$3</c:f>
              <c:strCache>
                <c:ptCount val="1"/>
                <c:pt idx="0">
                  <c:v>Occupational defined contribution</c:v>
                </c:pt>
              </c:strCache>
            </c:strRef>
          </c:tx>
          <c:spPr>
            <a:ln w="19050" cap="rnd">
              <a:solidFill>
                <a:schemeClr val="accent2"/>
              </a:solidFill>
              <a:round/>
            </a:ln>
            <a:effectLst/>
          </c:spPr>
          <c:marker>
            <c:symbol val="none"/>
          </c:marker>
          <c:xVal>
            <c:numRef>
              <c:f>'7.2 DB DC split'!$A$4:$A$26</c:f>
              <c:numCache>
                <c:formatCode>General</c:formatCod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numCache>
            </c:numRef>
          </c:xVal>
          <c:yVal>
            <c:numRef>
              <c:f>'7.2 DB DC split'!$C$4:$C$26</c:f>
              <c:numCache>
                <c:formatCode>0.0</c:formatCode>
                <c:ptCount val="23"/>
                <c:pt idx="0" formatCode="General">
                  <c:v>8.6999999999999993</c:v>
                </c:pt>
                <c:pt idx="1">
                  <c:v>9.3000000000000007</c:v>
                </c:pt>
                <c:pt idx="2">
                  <c:v>7.9</c:v>
                </c:pt>
                <c:pt idx="3">
                  <c:v>7.5</c:v>
                </c:pt>
                <c:pt idx="4">
                  <c:v>7.6</c:v>
                </c:pt>
                <c:pt idx="5">
                  <c:v>7.5</c:v>
                </c:pt>
                <c:pt idx="6">
                  <c:v>8</c:v>
                </c:pt>
                <c:pt idx="7">
                  <c:v>7.3</c:v>
                </c:pt>
                <c:pt idx="8">
                  <c:v>6.7</c:v>
                </c:pt>
                <c:pt idx="9">
                  <c:v>7.3</c:v>
                </c:pt>
                <c:pt idx="10">
                  <c:v>6.4</c:v>
                </c:pt>
                <c:pt idx="11" formatCode="General">
                  <c:v>6</c:v>
                </c:pt>
                <c:pt idx="12">
                  <c:v>6.1</c:v>
                </c:pt>
                <c:pt idx="13">
                  <c:v>6.4</c:v>
                </c:pt>
                <c:pt idx="14">
                  <c:v>6.3</c:v>
                </c:pt>
                <c:pt idx="15">
                  <c:v>7</c:v>
                </c:pt>
                <c:pt idx="16">
                  <c:v>8.4</c:v>
                </c:pt>
                <c:pt idx="17">
                  <c:v>13.8</c:v>
                </c:pt>
                <c:pt idx="18">
                  <c:v>16.3</c:v>
                </c:pt>
                <c:pt idx="19">
                  <c:v>18.5</c:v>
                </c:pt>
                <c:pt idx="20">
                  <c:v>22.9</c:v>
                </c:pt>
                <c:pt idx="21">
                  <c:v>25.9</c:v>
                </c:pt>
                <c:pt idx="22">
                  <c:v>27.7</c:v>
                </c:pt>
              </c:numCache>
            </c:numRef>
          </c:yVal>
          <c:smooth val="0"/>
          <c:extLst>
            <c:ext xmlns:c16="http://schemas.microsoft.com/office/drawing/2014/chart" uri="{C3380CC4-5D6E-409C-BE32-E72D297353CC}">
              <c16:uniqueId val="{00000001-4B10-4C09-A4FC-E0A7E0A8C5A1}"/>
            </c:ext>
          </c:extLst>
        </c:ser>
        <c:dLbls>
          <c:showLegendKey val="0"/>
          <c:showVal val="0"/>
          <c:showCatName val="0"/>
          <c:showSerName val="0"/>
          <c:showPercent val="0"/>
          <c:showBubbleSize val="0"/>
        </c:dLbls>
        <c:axId val="455532712"/>
        <c:axId val="455533696"/>
        <c:extLst>
          <c:ext xmlns:c15="http://schemas.microsoft.com/office/drawing/2012/chart" uri="{02D57815-91ED-43cb-92C2-25804820EDAC}">
            <c15:filteredScatterSeries>
              <c15:ser>
                <c:idx val="2"/>
                <c:order val="2"/>
                <c:tx>
                  <c:strRef>
                    <c:extLst>
                      <c:ext uri="{02D57815-91ED-43cb-92C2-25804820EDAC}">
                        <c15:formulaRef>
                          <c15:sqref>'7.2 DB DC split'!$D$3</c15:sqref>
                        </c15:formulaRef>
                      </c:ext>
                    </c:extLst>
                    <c:strCache>
                      <c:ptCount val="1"/>
                      <c:pt idx="0">
                        <c:v>Group personal and group stakeholder</c:v>
                      </c:pt>
                    </c:strCache>
                  </c:strRef>
                </c:tx>
                <c:spPr>
                  <a:ln w="19050" cap="rnd">
                    <a:solidFill>
                      <a:schemeClr val="accent3"/>
                    </a:solidFill>
                    <a:round/>
                  </a:ln>
                  <a:effectLst/>
                </c:spPr>
                <c:marker>
                  <c:symbol val="none"/>
                </c:marker>
                <c:xVal>
                  <c:numRef>
                    <c:extLst>
                      <c:ext uri="{02D57815-91ED-43cb-92C2-25804820EDAC}">
                        <c15:formulaRef>
                          <c15:sqref>'7.2 DB DC split'!$A$4:$A$26</c15:sqref>
                        </c15:formulaRef>
                      </c:ext>
                    </c:extLst>
                    <c:numCache>
                      <c:formatCode>General</c:formatCod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numCache>
                  </c:numRef>
                </c:xVal>
                <c:yVal>
                  <c:numRef>
                    <c:extLst>
                      <c:ext uri="{02D57815-91ED-43cb-92C2-25804820EDAC}">
                        <c15:formulaRef>
                          <c15:sqref>'7.2 DB DC split'!$D$4:$D$26</c15:sqref>
                        </c15:formulaRef>
                      </c:ext>
                    </c:extLst>
                    <c:numCache>
                      <c:formatCode>0.0</c:formatCode>
                      <c:ptCount val="23"/>
                      <c:pt idx="0" formatCode="General">
                        <c:v>0.8</c:v>
                      </c:pt>
                      <c:pt idx="1">
                        <c:v>0.8</c:v>
                      </c:pt>
                      <c:pt idx="2">
                        <c:v>3.5</c:v>
                      </c:pt>
                      <c:pt idx="3">
                        <c:v>4.5999999999999996</c:v>
                      </c:pt>
                      <c:pt idx="4">
                        <c:v>5.7</c:v>
                      </c:pt>
                      <c:pt idx="5">
                        <c:v>7.6</c:v>
                      </c:pt>
                      <c:pt idx="6">
                        <c:v>7.6</c:v>
                      </c:pt>
                      <c:pt idx="7">
                        <c:v>7.7</c:v>
                      </c:pt>
                      <c:pt idx="8">
                        <c:v>8.5</c:v>
                      </c:pt>
                      <c:pt idx="9">
                        <c:v>9.6999999999999993</c:v>
                      </c:pt>
                      <c:pt idx="10">
                        <c:v>9.8000000000000007</c:v>
                      </c:pt>
                      <c:pt idx="11">
                        <c:v>9.8000000000000007</c:v>
                      </c:pt>
                      <c:pt idx="12">
                        <c:v>10.1</c:v>
                      </c:pt>
                      <c:pt idx="13" formatCode="General">
                        <c:v>10</c:v>
                      </c:pt>
                      <c:pt idx="14" formatCode="General">
                        <c:v>10</c:v>
                      </c:pt>
                      <c:pt idx="15">
                        <c:v>10.199999999999999</c:v>
                      </c:pt>
                      <c:pt idx="16">
                        <c:v>11.6</c:v>
                      </c:pt>
                      <c:pt idx="17">
                        <c:v>15.7</c:v>
                      </c:pt>
                      <c:pt idx="18" formatCode="General">
                        <c:v>18</c:v>
                      </c:pt>
                      <c:pt idx="19">
                        <c:v>18.7</c:v>
                      </c:pt>
                      <c:pt idx="20">
                        <c:v>20.399999999999999</c:v>
                      </c:pt>
                      <c:pt idx="21">
                        <c:v>20.9</c:v>
                      </c:pt>
                      <c:pt idx="22">
                        <c:v>21.6</c:v>
                      </c:pt>
                    </c:numCache>
                  </c:numRef>
                </c:yVal>
                <c:smooth val="0"/>
                <c:extLst>
                  <c:ext xmlns:c16="http://schemas.microsoft.com/office/drawing/2014/chart" uri="{C3380CC4-5D6E-409C-BE32-E72D297353CC}">
                    <c16:uniqueId val="{00000002-4B10-4C09-A4FC-E0A7E0A8C5A1}"/>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'7.2 DB DC split'!$E$3</c15:sqref>
                        </c15:formulaRef>
                      </c:ext>
                    </c:extLst>
                    <c:strCache>
                      <c:ptCount val="1"/>
                      <c:pt idx="0">
                        <c:v>Any pension</c:v>
                      </c:pt>
                    </c:strCache>
                  </c:strRef>
                </c:tx>
                <c:spPr>
                  <a:ln w="19050" cap="rnd">
                    <a:solidFill>
                      <a:schemeClr val="accent4"/>
                    </a:solidFill>
                    <a:round/>
                  </a:ln>
                  <a:effectLst/>
                </c:spPr>
                <c:marker>
                  <c:symbol val="none"/>
                </c:marker>
                <c:xVal>
                  <c:numRef>
                    <c:extLst xmlns:c15="http://schemas.microsoft.com/office/drawing/2012/chart">
                      <c:ext xmlns:c15="http://schemas.microsoft.com/office/drawing/2012/chart" uri="{02D57815-91ED-43cb-92C2-25804820EDAC}">
                        <c15:formulaRef>
                          <c15:sqref>'7.2 DB DC split'!$A$4:$A$26</c15:sqref>
                        </c15:formulaRef>
                      </c:ext>
                    </c:extLst>
                    <c:numCache>
                      <c:formatCode>General</c:formatCode>
                      <c:ptCount val="23"/>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numCache>
                  </c:numRef>
                </c:xVal>
                <c:yVal>
                  <c:numRef>
                    <c:extLst xmlns:c15="http://schemas.microsoft.com/office/drawing/2012/chart">
                      <c:ext xmlns:c15="http://schemas.microsoft.com/office/drawing/2012/chart" uri="{02D57815-91ED-43cb-92C2-25804820EDAC}">
                        <c15:formulaRef>
                          <c15:sqref>'7.2 DB DC split'!$E$4:$E$26</c15:sqref>
                        </c15:formulaRef>
                      </c:ext>
                    </c:extLst>
                    <c:numCache>
                      <c:formatCode>0.0</c:formatCode>
                      <c:ptCount val="23"/>
                      <c:pt idx="0" formatCode="General">
                        <c:v>55.2</c:v>
                      </c:pt>
                      <c:pt idx="1">
                        <c:v>54.7</c:v>
                      </c:pt>
                      <c:pt idx="2">
                        <c:v>55.2</c:v>
                      </c:pt>
                      <c:pt idx="3">
                        <c:v>55.3</c:v>
                      </c:pt>
                      <c:pt idx="4">
                        <c:v>55.3</c:v>
                      </c:pt>
                      <c:pt idx="5">
                        <c:v>56.6</c:v>
                      </c:pt>
                      <c:pt idx="6">
                        <c:v>56.3</c:v>
                      </c:pt>
                      <c:pt idx="7">
                        <c:v>53.7</c:v>
                      </c:pt>
                      <c:pt idx="8">
                        <c:v>53.2</c:v>
                      </c:pt>
                      <c:pt idx="9">
                        <c:v>54.3</c:v>
                      </c:pt>
                      <c:pt idx="10">
                        <c:v>52.3</c:v>
                      </c:pt>
                      <c:pt idx="11">
                        <c:v>50.9</c:v>
                      </c:pt>
                      <c:pt idx="12">
                        <c:v>50.1</c:v>
                      </c:pt>
                      <c:pt idx="13">
                        <c:v>49.7</c:v>
                      </c:pt>
                      <c:pt idx="14">
                        <c:v>47.6</c:v>
                      </c:pt>
                      <c:pt idx="15">
                        <c:v>46.5</c:v>
                      </c:pt>
                      <c:pt idx="16">
                        <c:v>49.8</c:v>
                      </c:pt>
                      <c:pt idx="17">
                        <c:v>59.3</c:v>
                      </c:pt>
                      <c:pt idx="18">
                        <c:v>63.5</c:v>
                      </c:pt>
                      <c:pt idx="19">
                        <c:v>66.900000000000006</c:v>
                      </c:pt>
                      <c:pt idx="20">
                        <c:v>72.900000000000006</c:v>
                      </c:pt>
                      <c:pt idx="21">
                        <c:v>76.2</c:v>
                      </c:pt>
                      <c:pt idx="22">
                        <c:v>77.400000000000006</c:v>
                      </c:pt>
                    </c:numCache>
                  </c:numRef>
                </c:yVal>
                <c:smooth val="0"/>
                <c:extLst xmlns:c15="http://schemas.microsoft.com/office/drawing/2012/chart">
                  <c:ext xmlns:c16="http://schemas.microsoft.com/office/drawing/2014/chart" uri="{C3380CC4-5D6E-409C-BE32-E72D297353CC}">
                    <c16:uniqueId val="{00000003-4B10-4C09-A4FC-E0A7E0A8C5A1}"/>
                  </c:ext>
                </c:extLst>
              </c15:ser>
            </c15:filteredScatterSeries>
          </c:ext>
        </c:extLst>
      </c:scatterChart>
      <c:valAx>
        <c:axId val="455532712"/>
        <c:scaling>
          <c:orientation val="minMax"/>
          <c:max val="2020"/>
          <c:min val="1995"/>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55533696"/>
        <c:crosses val="autoZero"/>
        <c:crossBetween val="midCat"/>
      </c:valAx>
      <c:valAx>
        <c:axId val="455533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 cent of employes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32712"/>
        <c:crosses val="autoZero"/>
        <c:crossBetween val="midCat"/>
      </c:valAx>
      <c:spPr>
        <a:noFill/>
        <a:ln>
          <a:noFill/>
        </a:ln>
        <a:effectLst/>
      </c:spPr>
    </c:plotArea>
    <c:legend>
      <c:legendPos val="b"/>
      <c:layout>
        <c:manualLayout>
          <c:xMode val="edge"/>
          <c:yMode val="edge"/>
          <c:x val="0.1522008284120735"/>
          <c:y val="0.39444867978075171"/>
          <c:w val="0.45983464566929133"/>
          <c:h val="0.305557742782152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'7.3 Contributions'!$B$6</c:f>
              <c:strCache>
                <c:ptCount val="1"/>
                <c:pt idx="0">
                  <c:v>Member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'7.3 Contributions'!$A$7:$A$8</c:f>
              <c:strCache>
                <c:ptCount val="2"/>
                <c:pt idx="0">
                  <c:v>Defined benefit schemes</c:v>
                </c:pt>
                <c:pt idx="1">
                  <c:v>Defined contribution schemes</c:v>
                </c:pt>
              </c:strCache>
            </c:strRef>
          </c:cat>
          <c:val>
            <c:numRef>
              <c:f>'7.3 Contributions'!$B$7:$B$8</c:f>
              <c:numCache>
                <c:formatCode>General</c:formatCode>
                <c:ptCount val="2"/>
                <c:pt idx="0">
                  <c:v>6.4</c:v>
                </c:pt>
                <c:pt idx="1">
                  <c:v>2.7</c:v>
                </c:pt>
              </c:numCache>
            </c:numRef>
          </c:val>
          <c:extLst>
            <c:ext xmlns:c16="http://schemas.microsoft.com/office/drawing/2014/chart" uri="{C3380CC4-5D6E-409C-BE32-E72D297353CC}">
              <c16:uniqueId val="{00000000-CCB9-45D9-B816-A94C43658643}"/>
            </c:ext>
          </c:extLst>
        </c:ser>
        <c:ser>
          <c:idx val="1"/>
          <c:order val="1"/>
          <c:tx>
            <c:strRef>
              <c:f>'7.3 Contributions'!$C$6</c:f>
              <c:strCache>
                <c:ptCount val="1"/>
                <c:pt idx="0">
                  <c:v>Employer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'7.3 Contributions'!$A$7:$A$8</c:f>
              <c:strCache>
                <c:ptCount val="2"/>
                <c:pt idx="0">
                  <c:v>Defined benefit schemes</c:v>
                </c:pt>
                <c:pt idx="1">
                  <c:v>Defined contribution schemes</c:v>
                </c:pt>
              </c:strCache>
            </c:strRef>
          </c:cat>
          <c:val>
            <c:numRef>
              <c:f>'7.3 Contributions'!$C$7:$C$8</c:f>
              <c:numCache>
                <c:formatCode>General</c:formatCode>
                <c:ptCount val="2"/>
                <c:pt idx="0">
                  <c:v>19.2</c:v>
                </c:pt>
                <c:pt idx="1">
                  <c:v>2.4</c:v>
                </c:pt>
              </c:numCache>
            </c:numRef>
          </c:val>
          <c:extLst>
            <c:ext xmlns:c16="http://schemas.microsoft.com/office/drawing/2014/chart" uri="{C3380CC4-5D6E-409C-BE32-E72D297353CC}">
              <c16:uniqueId val="{00000001-CCB9-45D9-B816-A94C43658643}"/>
            </c:ext>
          </c:extLst>
        </c:ser>
        <c:dLbls>
          <c:showLegendKey val="0"/>
          <c:showVal val="0"/>
          <c:showCatName val="0"/>
          <c:showSerName val="0"/>
          <c:showPercent val="0"/>
          <c:showBubbleSize val="0"/>
        </c:dLbls>
        <c:gapWidth val="219"/>
        <c:overlap val="-27"/>
        <c:axId val="527415584"/>
        <c:axId val="527412632"/>
      </c:barChart>
      <c:catAx>
        <c:axId val="52741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27412632"/>
        <c:crosses val="autoZero"/>
        <c:auto val="1"/>
        <c:lblAlgn val="ctr"/>
        <c:lblOffset val="100"/>
        <c:noMultiLvlLbl val="0"/>
      </c:catAx>
      <c:valAx>
        <c:axId val="5274126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41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'8.3 WAS on borrowing'!$B$32</c:f>
              <c:strCache>
                <c:ptCount val="1"/>
                <c:pt idx="0">
                  <c:v>Mortgage borrowing</c:v>
                </c:pt>
              </c:strCache>
            </c:strRef>
          </c:tx>
          <c:spPr>
            <a:solidFill>
              <a:schemeClr val="accent1"/>
            </a:solidFill>
            <a:ln>
              <a:noFill/>
            </a:ln>
            <a:effectLst/>
          </c:spPr>
          <c:invertIfNegative val="0"/>
          <c:cat>
            <c:strRef>
              <c:f>'8.3 WAS on borrowing'!$A$33:$A$42</c:f>
              <c:strCache>
                <c:ptCount val="10"/>
                <c:pt idx="0">
                  <c:v>1st (lowest) wealth decile</c:v>
                </c:pt>
                <c:pt idx="1">
                  <c:v>2nd wealth decile</c:v>
                </c:pt>
                <c:pt idx="2">
                  <c:v>3rd wealth decile</c:v>
                </c:pt>
                <c:pt idx="3">
                  <c:v>4th wealth decile</c:v>
                </c:pt>
                <c:pt idx="4">
                  <c:v>5th wealth decile</c:v>
                </c:pt>
                <c:pt idx="5">
                  <c:v>6th wealth decile</c:v>
                </c:pt>
                <c:pt idx="6">
                  <c:v>7th wealth decile</c:v>
                </c:pt>
                <c:pt idx="7">
                  <c:v>8th wealth decile</c:v>
                </c:pt>
                <c:pt idx="8">
                  <c:v>9th wealth decile</c:v>
                </c:pt>
                <c:pt idx="9">
                  <c:v>10th (highest) wealth decile</c:v>
                </c:pt>
              </c:strCache>
            </c:strRef>
          </c:cat>
          <c:val>
            <c:numRef>
              <c:f>'8.3 WAS on borrowing'!$B$33:$B$42</c:f>
              <c:numCache>
                <c:formatCode>General</c:formatCode>
                <c:ptCount val="10"/>
                <c:pt idx="0">
                  <c:v>2</c:v>
                </c:pt>
                <c:pt idx="1">
                  <c:v>4</c:v>
                </c:pt>
                <c:pt idx="2">
                  <c:v>32</c:v>
                </c:pt>
                <c:pt idx="3">
                  <c:v>52</c:v>
                </c:pt>
                <c:pt idx="4">
                  <c:v>54</c:v>
                </c:pt>
                <c:pt idx="5">
                  <c:v>49</c:v>
                </c:pt>
                <c:pt idx="6">
                  <c:v>45</c:v>
                </c:pt>
                <c:pt idx="7">
                  <c:v>42</c:v>
                </c:pt>
                <c:pt idx="8">
                  <c:v>38</c:v>
                </c:pt>
                <c:pt idx="9">
                  <c:v>36</c:v>
                </c:pt>
              </c:numCache>
            </c:numRef>
          </c:val>
          <c:extLst>
            <c:ext xmlns:c16="http://schemas.microsoft.com/office/drawing/2014/chart" uri="{C3380CC4-5D6E-409C-BE32-E72D297353CC}">
              <c16:uniqueId val="{00000000-38B9-4A37-8D4C-840B90E48CDC}"/>
            </c:ext>
          </c:extLst>
        </c:ser>
        <c:ser>
          <c:idx val="1"/>
          <c:order val="1"/>
          <c:tx>
            <c:strRef>
              <c:f>'8.3 WAS on borrowing'!$C$32</c:f>
              <c:strCache>
                <c:ptCount val="1"/>
                <c:pt idx="0">
                  <c:v>Non-mortgage borrowing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'8.3 WAS on borrowing'!$A$33:$A$42</c:f>
              <c:strCache>
                <c:ptCount val="10"/>
                <c:pt idx="0">
                  <c:v>1st (lowest) wealth decile</c:v>
                </c:pt>
                <c:pt idx="1">
                  <c:v>2nd wealth decile</c:v>
                </c:pt>
                <c:pt idx="2">
                  <c:v>3rd wealth decile</c:v>
                </c:pt>
                <c:pt idx="3">
                  <c:v>4th wealth decile</c:v>
                </c:pt>
                <c:pt idx="4">
                  <c:v>5th wealth decile</c:v>
                </c:pt>
                <c:pt idx="5">
                  <c:v>6th wealth decile</c:v>
                </c:pt>
                <c:pt idx="6">
                  <c:v>7th wealth decile</c:v>
                </c:pt>
                <c:pt idx="7">
                  <c:v>8th wealth decile</c:v>
                </c:pt>
                <c:pt idx="8">
                  <c:v>9th wealth decile</c:v>
                </c:pt>
                <c:pt idx="9">
                  <c:v>10th (highest) wealth decile</c:v>
                </c:pt>
              </c:strCache>
            </c:strRef>
          </c:cat>
          <c:val>
            <c:numRef>
              <c:f>'8.3 WAS on borrowing'!$C$33:$C$42</c:f>
              <c:numCache>
                <c:formatCode>General</c:formatCode>
                <c:ptCount val="10"/>
                <c:pt idx="0">
                  <c:v>61</c:v>
                </c:pt>
                <c:pt idx="1">
                  <c:v>55</c:v>
                </c:pt>
                <c:pt idx="2">
                  <c:v>58</c:v>
                </c:pt>
                <c:pt idx="3">
                  <c:v>57</c:v>
                </c:pt>
                <c:pt idx="4">
                  <c:v>53</c:v>
                </c:pt>
                <c:pt idx="5">
                  <c:v>48</c:v>
                </c:pt>
                <c:pt idx="6">
                  <c:v>44</c:v>
                </c:pt>
                <c:pt idx="7">
                  <c:v>40</c:v>
                </c:pt>
                <c:pt idx="8">
                  <c:v>40</c:v>
                </c:pt>
                <c:pt idx="9">
                  <c:v>33</c:v>
                </c:pt>
              </c:numCache>
            </c:numRef>
          </c:val>
          <c:extLst>
            <c:ext xmlns:c16="http://schemas.microsoft.com/office/drawing/2014/chart" uri="{C3380CC4-5D6E-409C-BE32-E72D297353CC}">
              <c16:uniqueId val="{00000001-38B9-4A37-8D4C-840B90E48CDC}"/>
            </c:ext>
          </c:extLst>
        </c:ser>
        <c:dLbls>
          <c:showLegendKey val="0"/>
          <c:showVal val="0"/>
          <c:showCatName val="0"/>
          <c:showSerName val="0"/>
          <c:showPercent val="0"/>
          <c:showBubbleSize val="0"/>
        </c:dLbls>
        <c:gapWidth val="182"/>
        <c:axId val="471182120"/>
        <c:axId val="471180152"/>
      </c:barChart>
      <c:catAx>
        <c:axId val="471182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71180152"/>
        <c:crosses val="autoZero"/>
        <c:auto val="1"/>
        <c:lblAlgn val="ctr"/>
        <c:lblOffset val="100"/>
        <c:noMultiLvlLbl val="0"/>
      </c:catAx>
      <c:valAx>
        <c:axId val="471180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182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'8.5 8.6 Student loans'!$E$19:$K$19</c:f>
              <c:strCache>
                <c:ptCount val="7"/>
                <c:pt idx="0">
                  <c:v>2012-13</c:v>
                </c:pt>
                <c:pt idx="1">
                  <c:v>2013-14</c:v>
                </c:pt>
                <c:pt idx="2">
                  <c:v>2014-15</c:v>
                </c:pt>
                <c:pt idx="3">
                  <c:v>2015-16</c:v>
                </c:pt>
                <c:pt idx="4">
                  <c:v>2016-17</c:v>
                </c:pt>
                <c:pt idx="5">
                  <c:v>2017-18</c:v>
                </c:pt>
                <c:pt idx="6">
                  <c:v>2018-19</c:v>
                </c:pt>
              </c:strCache>
            </c:strRef>
          </c:cat>
          <c:val>
            <c:numRef>
              <c:f>'8.5 8.6 Student loans'!$E$20:$K$20</c:f>
              <c:numCache>
                <c:formatCode>#,##0</c:formatCode>
                <c:ptCount val="7"/>
                <c:pt idx="0">
                  <c:v>45903.172248269999</c:v>
                </c:pt>
                <c:pt idx="1">
                  <c:v>54355.263212789992</c:v>
                </c:pt>
                <c:pt idx="2">
                  <c:v>64735.326367330003</c:v>
                </c:pt>
                <c:pt idx="3">
                  <c:v>76252.767971069989</c:v>
                </c:pt>
                <c:pt idx="4">
                  <c:v>89343.916467239993</c:v>
                </c:pt>
                <c:pt idx="5">
                  <c:v>104576.66986202</c:v>
                </c:pt>
                <c:pt idx="6">
                  <c:v>121800</c:v>
                </c:pt>
              </c:numCache>
            </c:numRef>
          </c:val>
          <c:extLst>
            <c:ext xmlns:c16="http://schemas.microsoft.com/office/drawing/2014/chart" uri="{C3380CC4-5D6E-409C-BE32-E72D297353CC}">
              <c16:uniqueId val="{00000000-9A90-416B-B7D0-1DE0DA837968}"/>
            </c:ext>
          </c:extLst>
        </c:ser>
        <c:dLbls>
          <c:showLegendKey val="0"/>
          <c:showVal val="0"/>
          <c:showCatName val="0"/>
          <c:showSerName val="0"/>
          <c:showPercent val="0"/>
          <c:showBubbleSize val="0"/>
        </c:dLbls>
        <c:gapWidth val="219"/>
        <c:overlap val="-27"/>
        <c:axId val="721332784"/>
        <c:axId val="721334424"/>
      </c:barChart>
      <c:catAx>
        <c:axId val="72133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21334424"/>
        <c:crosses val="autoZero"/>
        <c:auto val="1"/>
        <c:lblAlgn val="ctr"/>
        <c:lblOffset val="100"/>
        <c:noMultiLvlLbl val="0"/>
      </c:catAx>
      <c:valAx>
        <c:axId val="72133442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213327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'2.2 underEmp overEmp'!$D$5</c:f>
              <c:strCache>
                <c:ptCount val="1"/>
                <c:pt idx="0">
                  <c:v>Underemployment level</c:v>
                </c:pt>
              </c:strCache>
            </c:strRef>
          </c:tx>
          <c:spPr>
            <a:ln w="28575" cap="rnd">
              <a:solidFill>
                <a:schemeClr val="accent1"/>
              </a:solidFill>
              <a:round/>
            </a:ln>
            <a:effectLst/>
          </c:spPr>
          <c:marker>
            <c:symbol val="none"/>
          </c:marker>
          <c:cat>
            <c:multiLvlStrRef>
              <c:f>'2.2 underEmp overEmp'!$B$6:$C$77</c:f>
              <c:multiLvlStrCache>
                <c:ptCount val="72"/>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pt idx="38">
                    <c:v>Q3</c:v>
                  </c:pt>
                  <c:pt idx="39">
                    <c:v>Q4</c:v>
                  </c:pt>
                  <c:pt idx="40">
                    <c:v>Q1</c:v>
                  </c:pt>
                  <c:pt idx="41">
                    <c:v>Q2</c:v>
                  </c:pt>
                  <c:pt idx="42">
                    <c:v>Q3</c:v>
                  </c:pt>
                  <c:pt idx="43">
                    <c:v>Q4</c:v>
                  </c:pt>
                  <c:pt idx="44">
                    <c:v>Q1</c:v>
                  </c:pt>
                  <c:pt idx="45">
                    <c:v>Q2</c:v>
                  </c:pt>
                  <c:pt idx="46">
                    <c:v>Q3</c:v>
                  </c:pt>
                  <c:pt idx="47">
                    <c:v>Q4</c:v>
                  </c:pt>
                  <c:pt idx="48">
                    <c:v>Q1</c:v>
                  </c:pt>
                  <c:pt idx="49">
                    <c:v>Q2</c:v>
                  </c:pt>
                  <c:pt idx="50">
                    <c:v>Q3</c:v>
                  </c:pt>
                  <c:pt idx="51">
                    <c:v>Q4</c:v>
                  </c:pt>
                  <c:pt idx="52">
                    <c:v>Q1</c:v>
                  </c:pt>
                  <c:pt idx="53">
                    <c:v>Q2</c:v>
                  </c:pt>
                  <c:pt idx="54">
                    <c:v>Q3</c:v>
                  </c:pt>
                  <c:pt idx="55">
                    <c:v>Q4</c:v>
                  </c:pt>
                  <c:pt idx="56">
                    <c:v>Q1</c:v>
                  </c:pt>
                  <c:pt idx="57">
                    <c:v>Q2</c:v>
                  </c:pt>
                  <c:pt idx="58">
                    <c:v>Q3</c:v>
                  </c:pt>
                  <c:pt idx="59">
                    <c:v>Q4</c:v>
                  </c:pt>
                  <c:pt idx="60">
                    <c:v>Q1</c:v>
                  </c:pt>
                  <c:pt idx="61">
                    <c:v>Q2</c:v>
                  </c:pt>
                  <c:pt idx="62">
                    <c:v>Q3</c:v>
                  </c:pt>
                  <c:pt idx="63">
                    <c:v>Q4</c:v>
                  </c:pt>
                  <c:pt idx="64">
                    <c:v>Q1</c:v>
                  </c:pt>
                  <c:pt idx="65">
                    <c:v>Q2</c:v>
                  </c:pt>
                  <c:pt idx="66">
                    <c:v>Q3</c:v>
                  </c:pt>
                  <c:pt idx="67">
                    <c:v>Q4</c:v>
                  </c:pt>
                  <c:pt idx="68">
                    <c:v>Q1</c:v>
                  </c:pt>
                  <c:pt idx="69">
                    <c:v>Q2</c:v>
                  </c:pt>
                  <c:pt idx="70">
                    <c:v>Q3</c:v>
                  </c:pt>
                  <c:pt idx="71">
                    <c:v>Q4</c:v>
                  </c:pt>
                </c:lvl>
                <c:lvl>
                  <c:pt idx="0">
                    <c:v>2002</c:v>
                  </c:pt>
                  <c:pt idx="4">
                    <c:v>2003</c:v>
                  </c:pt>
                  <c:pt idx="8">
                    <c:v>2004</c:v>
                  </c:pt>
                  <c:pt idx="12">
                    <c:v>2005</c:v>
                  </c:pt>
                  <c:pt idx="16">
                    <c:v>2006</c:v>
                  </c:pt>
                  <c:pt idx="20">
                    <c:v>2007</c:v>
                  </c:pt>
                  <c:pt idx="24">
                    <c:v>2008</c:v>
                  </c:pt>
                  <c:pt idx="28">
                    <c:v>2009</c:v>
                  </c:pt>
                  <c:pt idx="32">
                    <c:v>2010</c:v>
                  </c:pt>
                  <c:pt idx="36">
                    <c:v>2011</c:v>
                  </c:pt>
                  <c:pt idx="40">
                    <c:v>2012</c:v>
                  </c:pt>
                  <c:pt idx="44">
                    <c:v>2013</c:v>
                  </c:pt>
                  <c:pt idx="48">
                    <c:v>2014</c:v>
                  </c:pt>
                  <c:pt idx="52">
                    <c:v>2015</c:v>
                  </c:pt>
                  <c:pt idx="56">
                    <c:v>2016</c:v>
                  </c:pt>
                  <c:pt idx="60">
                    <c:v>2017</c:v>
                  </c:pt>
                  <c:pt idx="64">
                    <c:v>2018</c:v>
                  </c:pt>
                  <c:pt idx="68">
                    <c:v>2019.0</c:v>
                  </c:pt>
                </c:lvl>
              </c:multiLvlStrCache>
            </c:multiLvlStrRef>
          </c:cat>
          <c:val>
            <c:numRef>
              <c:f>'2.2 underEmp overEmp'!$D$6:$D$77</c:f>
              <c:numCache>
                <c:formatCode>#,##0,</c:formatCode>
                <c:ptCount val="72"/>
                <c:pt idx="0">
                  <c:v>1870231</c:v>
                </c:pt>
                <c:pt idx="1">
                  <c:v>1871307</c:v>
                </c:pt>
                <c:pt idx="2">
                  <c:v>1936291</c:v>
                </c:pt>
                <c:pt idx="3">
                  <c:v>1849305</c:v>
                </c:pt>
                <c:pt idx="4">
                  <c:v>1867389</c:v>
                </c:pt>
                <c:pt idx="5">
                  <c:v>1838792</c:v>
                </c:pt>
                <c:pt idx="6">
                  <c:v>1909377</c:v>
                </c:pt>
                <c:pt idx="7">
                  <c:v>1877743</c:v>
                </c:pt>
                <c:pt idx="8">
                  <c:v>1857460</c:v>
                </c:pt>
                <c:pt idx="9">
                  <c:v>1782875</c:v>
                </c:pt>
                <c:pt idx="10">
                  <c:v>1854555</c:v>
                </c:pt>
                <c:pt idx="11">
                  <c:v>1793586</c:v>
                </c:pt>
                <c:pt idx="12">
                  <c:v>1819705</c:v>
                </c:pt>
                <c:pt idx="13">
                  <c:v>1842042</c:v>
                </c:pt>
                <c:pt idx="14">
                  <c:v>1900042</c:v>
                </c:pt>
                <c:pt idx="15">
                  <c:v>1882754</c:v>
                </c:pt>
                <c:pt idx="16">
                  <c:v>1935635</c:v>
                </c:pt>
                <c:pt idx="17">
                  <c:v>1868395</c:v>
                </c:pt>
                <c:pt idx="18">
                  <c:v>2032470</c:v>
                </c:pt>
                <c:pt idx="19">
                  <c:v>2011659</c:v>
                </c:pt>
                <c:pt idx="20">
                  <c:v>2079420</c:v>
                </c:pt>
                <c:pt idx="21">
                  <c:v>1968095</c:v>
                </c:pt>
                <c:pt idx="22">
                  <c:v>2135289</c:v>
                </c:pt>
                <c:pt idx="23">
                  <c:v>2091310</c:v>
                </c:pt>
                <c:pt idx="24">
                  <c:v>2152641</c:v>
                </c:pt>
                <c:pt idx="25">
                  <c:v>2077538</c:v>
                </c:pt>
                <c:pt idx="26">
                  <c:v>2257599</c:v>
                </c:pt>
                <c:pt idx="27">
                  <c:v>2367014</c:v>
                </c:pt>
                <c:pt idx="28">
                  <c:v>2627663</c:v>
                </c:pt>
                <c:pt idx="29">
                  <c:v>2710196</c:v>
                </c:pt>
                <c:pt idx="30">
                  <c:v>2851103</c:v>
                </c:pt>
                <c:pt idx="31">
                  <c:v>2776637</c:v>
                </c:pt>
                <c:pt idx="32">
                  <c:v>2811771</c:v>
                </c:pt>
                <c:pt idx="33">
                  <c:v>2754420</c:v>
                </c:pt>
                <c:pt idx="34">
                  <c:v>3013509</c:v>
                </c:pt>
                <c:pt idx="35">
                  <c:v>2987673</c:v>
                </c:pt>
                <c:pt idx="36">
                  <c:v>2918270</c:v>
                </c:pt>
                <c:pt idx="37">
                  <c:v>2840657</c:v>
                </c:pt>
                <c:pt idx="38">
                  <c:v>2997322</c:v>
                </c:pt>
                <c:pt idx="39">
                  <c:v>3045225</c:v>
                </c:pt>
                <c:pt idx="40">
                  <c:v>3035589</c:v>
                </c:pt>
                <c:pt idx="41">
                  <c:v>3061247</c:v>
                </c:pt>
                <c:pt idx="42">
                  <c:v>3174659</c:v>
                </c:pt>
                <c:pt idx="43">
                  <c:v>3117505</c:v>
                </c:pt>
                <c:pt idx="44">
                  <c:v>3157826</c:v>
                </c:pt>
                <c:pt idx="45">
                  <c:v>3089912</c:v>
                </c:pt>
                <c:pt idx="46">
                  <c:v>3139158</c:v>
                </c:pt>
                <c:pt idx="47">
                  <c:v>3132426</c:v>
                </c:pt>
                <c:pt idx="48">
                  <c:v>3145021</c:v>
                </c:pt>
                <c:pt idx="49">
                  <c:v>2976568</c:v>
                </c:pt>
                <c:pt idx="50">
                  <c:v>2921600</c:v>
                </c:pt>
                <c:pt idx="51">
                  <c:v>2871682</c:v>
                </c:pt>
                <c:pt idx="52">
                  <c:v>2942158</c:v>
                </c:pt>
                <c:pt idx="53">
                  <c:v>2786060</c:v>
                </c:pt>
                <c:pt idx="54">
                  <c:v>2883900</c:v>
                </c:pt>
                <c:pt idx="55">
                  <c:v>2804475</c:v>
                </c:pt>
                <c:pt idx="56">
                  <c:v>2801465</c:v>
                </c:pt>
                <c:pt idx="57">
                  <c:v>2600909</c:v>
                </c:pt>
                <c:pt idx="58">
                  <c:v>2686762</c:v>
                </c:pt>
                <c:pt idx="59">
                  <c:v>2576141</c:v>
                </c:pt>
                <c:pt idx="60">
                  <c:v>2664522</c:v>
                </c:pt>
                <c:pt idx="61">
                  <c:v>2459532</c:v>
                </c:pt>
                <c:pt idx="62">
                  <c:v>2580642</c:v>
                </c:pt>
                <c:pt idx="63">
                  <c:v>2529735</c:v>
                </c:pt>
                <c:pt idx="64">
                  <c:v>2515208</c:v>
                </c:pt>
                <c:pt idx="65">
                  <c:v>2390199</c:v>
                </c:pt>
                <c:pt idx="66">
                  <c:v>2493218</c:v>
                </c:pt>
                <c:pt idx="67">
                  <c:v>2434171</c:v>
                </c:pt>
                <c:pt idx="68">
                  <c:v>2451679</c:v>
                </c:pt>
                <c:pt idx="69">
                  <c:v>2479356</c:v>
                </c:pt>
                <c:pt idx="70">
                  <c:v>2466672</c:v>
                </c:pt>
                <c:pt idx="71">
                  <c:v>2501856</c:v>
                </c:pt>
              </c:numCache>
            </c:numRef>
          </c:val>
          <c:smooth val="0"/>
          <c:extLst>
            <c:ext xmlns:c16="http://schemas.microsoft.com/office/drawing/2014/chart" uri="{C3380CC4-5D6E-409C-BE32-E72D297353CC}">
              <c16:uniqueId val="{00000000-21E3-4364-9C3F-BA58BCB3E343}"/>
            </c:ext>
          </c:extLst>
        </c:ser>
        <c:ser>
          <c:idx val="1"/>
          <c:order val="1"/>
          <c:tx>
            <c:strRef>
              <c:f>'2.2 underEmp overEmp'!$E$5</c:f>
              <c:strCache>
                <c:ptCount val="1"/>
                <c:pt idx="0">
                  <c:v>Overemployment level</c:v>
                </c:pt>
              </c:strCache>
            </c:strRef>
          </c:tx>
          <c:spPr>
            <a:ln w="28575" cap="rnd">
              <a:solidFill>
                <a:schemeClr val="accent2"/>
              </a:solidFill>
              <a:round/>
            </a:ln>
            <a:effectLst/>
          </c:spPr>
          <c:marker>
            <c:symbol val="none"/>
          </c:marker>
          <c:cat>
            <c:multiLvlStrRef>
              <c:f>'2.2 underEmp overEmp'!$B$6:$C$77</c:f>
              <c:multiLvlStrCache>
                <c:ptCount val="72"/>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pt idx="38">
                    <c:v>Q3</c:v>
                  </c:pt>
                  <c:pt idx="39">
                    <c:v>Q4</c:v>
                  </c:pt>
                  <c:pt idx="40">
                    <c:v>Q1</c:v>
                  </c:pt>
                  <c:pt idx="41">
                    <c:v>Q2</c:v>
                  </c:pt>
                  <c:pt idx="42">
                    <c:v>Q3</c:v>
                  </c:pt>
                  <c:pt idx="43">
                    <c:v>Q4</c:v>
                  </c:pt>
                  <c:pt idx="44">
                    <c:v>Q1</c:v>
                  </c:pt>
                  <c:pt idx="45">
                    <c:v>Q2</c:v>
                  </c:pt>
                  <c:pt idx="46">
                    <c:v>Q3</c:v>
                  </c:pt>
                  <c:pt idx="47">
                    <c:v>Q4</c:v>
                  </c:pt>
                  <c:pt idx="48">
                    <c:v>Q1</c:v>
                  </c:pt>
                  <c:pt idx="49">
                    <c:v>Q2</c:v>
                  </c:pt>
                  <c:pt idx="50">
                    <c:v>Q3</c:v>
                  </c:pt>
                  <c:pt idx="51">
                    <c:v>Q4</c:v>
                  </c:pt>
                  <c:pt idx="52">
                    <c:v>Q1</c:v>
                  </c:pt>
                  <c:pt idx="53">
                    <c:v>Q2</c:v>
                  </c:pt>
                  <c:pt idx="54">
                    <c:v>Q3</c:v>
                  </c:pt>
                  <c:pt idx="55">
                    <c:v>Q4</c:v>
                  </c:pt>
                  <c:pt idx="56">
                    <c:v>Q1</c:v>
                  </c:pt>
                  <c:pt idx="57">
                    <c:v>Q2</c:v>
                  </c:pt>
                  <c:pt idx="58">
                    <c:v>Q3</c:v>
                  </c:pt>
                  <c:pt idx="59">
                    <c:v>Q4</c:v>
                  </c:pt>
                  <c:pt idx="60">
                    <c:v>Q1</c:v>
                  </c:pt>
                  <c:pt idx="61">
                    <c:v>Q2</c:v>
                  </c:pt>
                  <c:pt idx="62">
                    <c:v>Q3</c:v>
                  </c:pt>
                  <c:pt idx="63">
                    <c:v>Q4</c:v>
                  </c:pt>
                  <c:pt idx="64">
                    <c:v>Q1</c:v>
                  </c:pt>
                  <c:pt idx="65">
                    <c:v>Q2</c:v>
                  </c:pt>
                  <c:pt idx="66">
                    <c:v>Q3</c:v>
                  </c:pt>
                  <c:pt idx="67">
                    <c:v>Q4</c:v>
                  </c:pt>
                  <c:pt idx="68">
                    <c:v>Q1</c:v>
                  </c:pt>
                  <c:pt idx="69">
                    <c:v>Q2</c:v>
                  </c:pt>
                  <c:pt idx="70">
                    <c:v>Q3</c:v>
                  </c:pt>
                  <c:pt idx="71">
                    <c:v>Q4</c:v>
                  </c:pt>
                </c:lvl>
                <c:lvl>
                  <c:pt idx="0">
                    <c:v>2002</c:v>
                  </c:pt>
                  <c:pt idx="4">
                    <c:v>2003</c:v>
                  </c:pt>
                  <c:pt idx="8">
                    <c:v>2004</c:v>
                  </c:pt>
                  <c:pt idx="12">
                    <c:v>2005</c:v>
                  </c:pt>
                  <c:pt idx="16">
                    <c:v>2006</c:v>
                  </c:pt>
                  <c:pt idx="20">
                    <c:v>2007</c:v>
                  </c:pt>
                  <c:pt idx="24">
                    <c:v>2008</c:v>
                  </c:pt>
                  <c:pt idx="28">
                    <c:v>2009</c:v>
                  </c:pt>
                  <c:pt idx="32">
                    <c:v>2010</c:v>
                  </c:pt>
                  <c:pt idx="36">
                    <c:v>2011</c:v>
                  </c:pt>
                  <c:pt idx="40">
                    <c:v>2012</c:v>
                  </c:pt>
                  <c:pt idx="44">
                    <c:v>2013</c:v>
                  </c:pt>
                  <c:pt idx="48">
                    <c:v>2014</c:v>
                  </c:pt>
                  <c:pt idx="52">
                    <c:v>2015</c:v>
                  </c:pt>
                  <c:pt idx="56">
                    <c:v>2016</c:v>
                  </c:pt>
                  <c:pt idx="60">
                    <c:v>2017</c:v>
                  </c:pt>
                  <c:pt idx="64">
                    <c:v>2018</c:v>
                  </c:pt>
                  <c:pt idx="68">
                    <c:v>2019.0</c:v>
                  </c:pt>
                </c:lvl>
              </c:multiLvlStrCache>
            </c:multiLvlStrRef>
          </c:cat>
          <c:val>
            <c:numRef>
              <c:f>'2.2 underEmp overEmp'!$E$6:$E$77</c:f>
              <c:numCache>
                <c:formatCode>#,##0,</c:formatCode>
                <c:ptCount val="72"/>
                <c:pt idx="0">
                  <c:v>2934067</c:v>
                </c:pt>
                <c:pt idx="1">
                  <c:v>2960240</c:v>
                </c:pt>
                <c:pt idx="2">
                  <c:v>3037314</c:v>
                </c:pt>
                <c:pt idx="3">
                  <c:v>3024635</c:v>
                </c:pt>
                <c:pt idx="4">
                  <c:v>3022968</c:v>
                </c:pt>
                <c:pt idx="5">
                  <c:v>3037154</c:v>
                </c:pt>
                <c:pt idx="6">
                  <c:v>3212068</c:v>
                </c:pt>
                <c:pt idx="7">
                  <c:v>3125844</c:v>
                </c:pt>
                <c:pt idx="8">
                  <c:v>3058781</c:v>
                </c:pt>
                <c:pt idx="9">
                  <c:v>3123484</c:v>
                </c:pt>
                <c:pt idx="10">
                  <c:v>3056270</c:v>
                </c:pt>
                <c:pt idx="11">
                  <c:v>2999750</c:v>
                </c:pt>
                <c:pt idx="12">
                  <c:v>2966207</c:v>
                </c:pt>
                <c:pt idx="13">
                  <c:v>2818779</c:v>
                </c:pt>
                <c:pt idx="14">
                  <c:v>2945405</c:v>
                </c:pt>
                <c:pt idx="15">
                  <c:v>2887931</c:v>
                </c:pt>
                <c:pt idx="16">
                  <c:v>2819593</c:v>
                </c:pt>
                <c:pt idx="17">
                  <c:v>2821453</c:v>
                </c:pt>
                <c:pt idx="18">
                  <c:v>2898399</c:v>
                </c:pt>
                <c:pt idx="19">
                  <c:v>2895766</c:v>
                </c:pt>
                <c:pt idx="20">
                  <c:v>2866511</c:v>
                </c:pt>
                <c:pt idx="21">
                  <c:v>2892617</c:v>
                </c:pt>
                <c:pt idx="22">
                  <c:v>3032907</c:v>
                </c:pt>
                <c:pt idx="23">
                  <c:v>3053570</c:v>
                </c:pt>
                <c:pt idx="24">
                  <c:v>2956300</c:v>
                </c:pt>
                <c:pt idx="25">
                  <c:v>2837348</c:v>
                </c:pt>
                <c:pt idx="26">
                  <c:v>2797986</c:v>
                </c:pt>
                <c:pt idx="27">
                  <c:v>2691032</c:v>
                </c:pt>
                <c:pt idx="28">
                  <c:v>2592747</c:v>
                </c:pt>
                <c:pt idx="29">
                  <c:v>2586190</c:v>
                </c:pt>
                <c:pt idx="30">
                  <c:v>2642315</c:v>
                </c:pt>
                <c:pt idx="31">
                  <c:v>2717322</c:v>
                </c:pt>
                <c:pt idx="32">
                  <c:v>2777513</c:v>
                </c:pt>
                <c:pt idx="33">
                  <c:v>2869909</c:v>
                </c:pt>
                <c:pt idx="34">
                  <c:v>2830382</c:v>
                </c:pt>
                <c:pt idx="35">
                  <c:v>2766182</c:v>
                </c:pt>
                <c:pt idx="36">
                  <c:v>2702012</c:v>
                </c:pt>
                <c:pt idx="37">
                  <c:v>2586509</c:v>
                </c:pt>
                <c:pt idx="38">
                  <c:v>2589010</c:v>
                </c:pt>
                <c:pt idx="39">
                  <c:v>2645892</c:v>
                </c:pt>
                <c:pt idx="40">
                  <c:v>2590995</c:v>
                </c:pt>
                <c:pt idx="41">
                  <c:v>2575200</c:v>
                </c:pt>
                <c:pt idx="42">
                  <c:v>2736684</c:v>
                </c:pt>
                <c:pt idx="43">
                  <c:v>2741068</c:v>
                </c:pt>
                <c:pt idx="44">
                  <c:v>2588076</c:v>
                </c:pt>
                <c:pt idx="45">
                  <c:v>2665609</c:v>
                </c:pt>
                <c:pt idx="46">
                  <c:v>2774039</c:v>
                </c:pt>
                <c:pt idx="47">
                  <c:v>2853619</c:v>
                </c:pt>
                <c:pt idx="48">
                  <c:v>2939845</c:v>
                </c:pt>
                <c:pt idx="49">
                  <c:v>2925805</c:v>
                </c:pt>
                <c:pt idx="50">
                  <c:v>2962270</c:v>
                </c:pt>
                <c:pt idx="51">
                  <c:v>3035702</c:v>
                </c:pt>
                <c:pt idx="52">
                  <c:v>3054306</c:v>
                </c:pt>
                <c:pt idx="53">
                  <c:v>3074478</c:v>
                </c:pt>
                <c:pt idx="54">
                  <c:v>3136570</c:v>
                </c:pt>
                <c:pt idx="55">
                  <c:v>3221702</c:v>
                </c:pt>
                <c:pt idx="56">
                  <c:v>3311999</c:v>
                </c:pt>
                <c:pt idx="57">
                  <c:v>3274096</c:v>
                </c:pt>
                <c:pt idx="58">
                  <c:v>3277415</c:v>
                </c:pt>
                <c:pt idx="59">
                  <c:v>3216642</c:v>
                </c:pt>
                <c:pt idx="60">
                  <c:v>3329228</c:v>
                </c:pt>
                <c:pt idx="61">
                  <c:v>3306596</c:v>
                </c:pt>
                <c:pt idx="62">
                  <c:v>3250252</c:v>
                </c:pt>
                <c:pt idx="63">
                  <c:v>3266106</c:v>
                </c:pt>
                <c:pt idx="64">
                  <c:v>3336332</c:v>
                </c:pt>
                <c:pt idx="65">
                  <c:v>3224793</c:v>
                </c:pt>
                <c:pt idx="66">
                  <c:v>3258661</c:v>
                </c:pt>
                <c:pt idx="67">
                  <c:v>3289903</c:v>
                </c:pt>
                <c:pt idx="68">
                  <c:v>3299323</c:v>
                </c:pt>
                <c:pt idx="69">
                  <c:v>3338760</c:v>
                </c:pt>
                <c:pt idx="70">
                  <c:v>3435530</c:v>
                </c:pt>
                <c:pt idx="71">
                  <c:v>3440316</c:v>
                </c:pt>
              </c:numCache>
            </c:numRef>
          </c:val>
          <c:smooth val="0"/>
          <c:extLst>
            <c:ext xmlns:c16="http://schemas.microsoft.com/office/drawing/2014/chart" uri="{C3380CC4-5D6E-409C-BE32-E72D297353CC}">
              <c16:uniqueId val="{00000001-21E3-4364-9C3F-BA58BCB3E343}"/>
            </c:ext>
          </c:extLst>
        </c:ser>
        <c:dLbls>
          <c:showLegendKey val="0"/>
          <c:showVal val="0"/>
          <c:showCatName val="0"/>
          <c:showSerName val="0"/>
          <c:showPercent val="0"/>
          <c:showBubbleSize val="0"/>
        </c:dLbls>
        <c:smooth val="0"/>
        <c:axId val="408301880"/>
        <c:axId val="408301224"/>
      </c:lineChart>
      <c:catAx>
        <c:axId val="408301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301224"/>
        <c:crosses val="autoZero"/>
        <c:auto val="1"/>
        <c:lblAlgn val="ctr"/>
        <c:lblOffset val="100"/>
        <c:noMultiLvlLbl val="0"/>
      </c:catAx>
      <c:valAx>
        <c:axId val="40830122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301880"/>
        <c:crosses val="autoZero"/>
        <c:crossBetween val="between"/>
      </c:valAx>
      <c:spPr>
        <a:noFill/>
        <a:ln>
          <a:noFill/>
        </a:ln>
        <a:effectLst/>
      </c:spPr>
    </c:plotArea>
    <c:legend>
      <c:legendPos val="b"/>
      <c:layout>
        <c:manualLayout>
          <c:xMode val="edge"/>
          <c:yMode val="edge"/>
          <c:x val="0.19397659667541559"/>
          <c:y val="0.45891149023038785"/>
          <c:w val="0.73426902887139112"/>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'8.5 8.6 Student loans'!$A$10</c:f>
              <c:strCache>
                <c:ptCount val="1"/>
                <c:pt idx="0">
                  <c:v>England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'8.5 8.6 Student loans'!$B$9:$I$9</c:f>
              <c:numCache>
                <c:formatCode>0</c:formatCode>
                <c:ptCount val="8"/>
                <c:pt idx="0">
                  <c:v>2011</c:v>
                </c:pt>
                <c:pt idx="1">
                  <c:v>2012</c:v>
                </c:pt>
                <c:pt idx="2">
                  <c:v>2013</c:v>
                </c:pt>
                <c:pt idx="3">
                  <c:v>2014</c:v>
                </c:pt>
                <c:pt idx="4">
                  <c:v>2015</c:v>
                </c:pt>
                <c:pt idx="5">
                  <c:v>2016</c:v>
                </c:pt>
                <c:pt idx="6">
                  <c:v>2017</c:v>
                </c:pt>
                <c:pt idx="7" formatCode="General">
                  <c:v>2018</c:v>
                </c:pt>
              </c:numCache>
            </c:numRef>
          </c:cat>
          <c:val>
            <c:numRef>
              <c:f>'8.5 8.6 Student loans'!$B$10:$I$10</c:f>
              <c:numCache>
                <c:formatCode>"£"#,##0</c:formatCode>
                <c:ptCount val="8"/>
                <c:pt idx="0">
                  <c:v>16160</c:v>
                </c:pt>
                <c:pt idx="1">
                  <c:v>17000</c:v>
                </c:pt>
                <c:pt idx="2">
                  <c:v>18630</c:v>
                </c:pt>
                <c:pt idx="3">
                  <c:v>20050</c:v>
                </c:pt>
                <c:pt idx="4">
                  <c:v>21170</c:v>
                </c:pt>
                <c:pt idx="5">
                  <c:v>24430</c:v>
                </c:pt>
                <c:pt idx="6">
                  <c:v>32420</c:v>
                </c:pt>
                <c:pt idx="7">
                  <c:v>34800</c:v>
                </c:pt>
              </c:numCache>
            </c:numRef>
          </c:val>
          <c:extLst>
            <c:ext xmlns:c16="http://schemas.microsoft.com/office/drawing/2014/chart" uri="{C3380CC4-5D6E-409C-BE32-E72D297353CC}">
              <c16:uniqueId val="{00000000-5909-43E1-AC22-118451C10599}"/>
            </c:ext>
          </c:extLst>
        </c:ser>
        <c:dLbls>
          <c:showLegendKey val="0"/>
          <c:showVal val="0"/>
          <c:showCatName val="0"/>
          <c:showSerName val="0"/>
          <c:showPercent val="0"/>
          <c:showBubbleSize val="0"/>
        </c:dLbls>
        <c:gapWidth val="219"/>
        <c:overlap val="-27"/>
        <c:axId val="721332784"/>
        <c:axId val="721334424"/>
      </c:barChart>
      <c:catAx>
        <c:axId val="72133278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21334424"/>
        <c:crosses val="autoZero"/>
        <c:auto val="1"/>
        <c:lblAlgn val="ctr"/>
        <c:lblOffset val="100"/>
        <c:noMultiLvlLbl val="0"/>
      </c:catAx>
      <c:valAx>
        <c:axId val="721334424"/>
        <c:scaling>
          <c:orientation val="minMax"/>
        </c:scaling>
        <c:delete val="0"/>
        <c:axPos val="l"/>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213327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AD-43CD-A1AD-E0942587F2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AD-43CD-A1AD-E0942587F2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AD-43CD-A1AD-E0942587F2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EAD-43CD-A1AD-E0942587F218}"/>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'8.7 Credit unions'!$C$28:$C$31</c:f>
              <c:strCache>
                <c:ptCount val="4"/>
                <c:pt idx="0">
                  <c:v>England</c:v>
                </c:pt>
                <c:pt idx="1">
                  <c:v>Scotland</c:v>
                </c:pt>
                <c:pt idx="2">
                  <c:v>Wales</c:v>
                </c:pt>
                <c:pt idx="3">
                  <c:v>Northern Ireland</c:v>
                </c:pt>
              </c:strCache>
            </c:strRef>
          </c:cat>
          <c:val>
            <c:numRef>
              <c:f>'8.7 Credit unions'!$D$28:$D$31</c:f>
              <c:numCache>
                <c:formatCode>#,##0</c:formatCode>
                <c:ptCount val="4"/>
                <c:pt idx="0">
                  <c:v>920804</c:v>
                </c:pt>
                <c:pt idx="1">
                  <c:v>432720</c:v>
                </c:pt>
                <c:pt idx="2">
                  <c:v>80968</c:v>
                </c:pt>
                <c:pt idx="3">
                  <c:v>705839</c:v>
                </c:pt>
              </c:numCache>
            </c:numRef>
          </c:val>
          <c:extLst>
            <c:ext xmlns:c16="http://schemas.microsoft.com/office/drawing/2014/chart" uri="{C3380CC4-5D6E-409C-BE32-E72D297353CC}">
              <c16:uniqueId val="{00000008-BEAD-43CD-A1AD-E0942587F21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25371828521435E-2"/>
          <c:y val="5.7835739282589678E-2"/>
          <c:w val="0.90286351706036749"/>
          <c:h val="0.7480701370662000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'8.7 Credit unions'!$C$33:$C$36</c:f>
              <c:strCache>
                <c:ptCount val="4"/>
                <c:pt idx="0">
                  <c:v>England</c:v>
                </c:pt>
                <c:pt idx="1">
                  <c:v>Scotland</c:v>
                </c:pt>
                <c:pt idx="2">
                  <c:v>Wales</c:v>
                </c:pt>
                <c:pt idx="3">
                  <c:v>Northern Ireland</c:v>
                </c:pt>
              </c:strCache>
            </c:strRef>
          </c:cat>
          <c:val>
            <c:numRef>
              <c:f>'8.7 Credit unions'!$D$33:$D$36</c:f>
              <c:numCache>
                <c:formatCode>0</c:formatCode>
                <c:ptCount val="4"/>
                <c:pt idx="0">
                  <c:v>2</c:v>
                </c:pt>
                <c:pt idx="1">
                  <c:v>7</c:v>
                </c:pt>
                <c:pt idx="2">
                  <c:v>2</c:v>
                </c:pt>
                <c:pt idx="3">
                  <c:v>32</c:v>
                </c:pt>
              </c:numCache>
            </c:numRef>
          </c:val>
          <c:extLst>
            <c:ext xmlns:c16="http://schemas.microsoft.com/office/drawing/2014/chart" uri="{C3380CC4-5D6E-409C-BE32-E72D297353CC}">
              <c16:uniqueId val="{00000000-DE5A-4DDF-9269-BA8B1B77D0E7}"/>
            </c:ext>
          </c:extLst>
        </c:ser>
        <c:dLbls>
          <c:showLegendKey val="0"/>
          <c:showVal val="0"/>
          <c:showCatName val="0"/>
          <c:showSerName val="0"/>
          <c:showPercent val="0"/>
          <c:showBubbleSize val="0"/>
        </c:dLbls>
        <c:gapWidth val="219"/>
        <c:overlap val="-27"/>
        <c:axId val="603949952"/>
        <c:axId val="603950936"/>
      </c:barChart>
      <c:catAx>
        <c:axId val="60394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03950936"/>
        <c:crosses val="autoZero"/>
        <c:auto val="1"/>
        <c:lblAlgn val="ctr"/>
        <c:lblOffset val="100"/>
        <c:noMultiLvlLbl val="0"/>
      </c:catAx>
      <c:valAx>
        <c:axId val="60395093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949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669344055669245"/>
          <c:y val="4.220608053702652E-2"/>
          <c:w val="0.52770462515714944"/>
          <c:h val="0.86438314660984505"/>
        </c:manualLayout>
      </c:layout>
      <c:barChart>
        <c:barDir val="bar"/>
        <c:grouping val="clustered"/>
        <c:varyColors val="0"/>
        <c:ser>
          <c:idx val="0"/>
          <c:order val="0"/>
          <c:tx>
            <c:strRef>
              <c:f>'FRS arrears --UPDATED'!$C$18</c:f>
              <c:strCache>
                <c:ptCount val="1"/>
                <c:pt idx="0">
                  <c:v>Behind now</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'FRS arrears --UPDATED'!$B$19:$B$31</c:f>
              <c:strCache>
                <c:ptCount val="13"/>
                <c:pt idx="0">
                  <c:v>Behind with Council Tax</c:v>
                </c:pt>
                <c:pt idx="1">
                  <c:v>Behind with water rates, rates(NI)</c:v>
                </c:pt>
                <c:pt idx="2">
                  <c:v>Behind with the electricity bill</c:v>
                </c:pt>
                <c:pt idx="3">
                  <c:v>Behind with rent</c:v>
                </c:pt>
                <c:pt idx="4">
                  <c:v>Behind with the gas bill</c:v>
                </c:pt>
                <c:pt idx="5">
                  <c:v>Behind with credit cards</c:v>
                </c:pt>
                <c:pt idx="6">
                  <c:v>Behind with other loan repayments</c:v>
                </c:pt>
                <c:pt idx="7">
                  <c:v>Behind with telephone bill</c:v>
                </c:pt>
                <c:pt idx="8">
                  <c:v>Behind with other HP payments</c:v>
                </c:pt>
                <c:pt idx="9">
                  <c:v>Behind with mortgage payments</c:v>
                </c:pt>
                <c:pt idx="10">
                  <c:v>Behind with television,video rental or HP</c:v>
                </c:pt>
                <c:pt idx="11">
                  <c:v>Behind with insurance policies</c:v>
                </c:pt>
                <c:pt idx="12">
                  <c:v>Behind with other fuel bills like coal or oil</c:v>
                </c:pt>
              </c:strCache>
            </c:strRef>
          </c:cat>
          <c:val>
            <c:numRef>
              <c:f>'FRS arrears --UPDATED'!$C$19:$C$31</c:f>
              <c:numCache>
                <c:formatCode>0.0</c:formatCode>
                <c:ptCount val="13"/>
                <c:pt idx="0">
                  <c:v>2.4550000000000001</c:v>
                </c:pt>
                <c:pt idx="1">
                  <c:v>1.9279999999999999</c:v>
                </c:pt>
                <c:pt idx="2">
                  <c:v>1.6319999999999999</c:v>
                </c:pt>
                <c:pt idx="3">
                  <c:v>1.4930000000000001</c:v>
                </c:pt>
                <c:pt idx="4">
                  <c:v>1.3260000000000001</c:v>
                </c:pt>
                <c:pt idx="5">
                  <c:v>0.84140000000000004</c:v>
                </c:pt>
                <c:pt idx="6">
                  <c:v>0.69650000000000001</c:v>
                </c:pt>
                <c:pt idx="7">
                  <c:v>0.43309999999999998</c:v>
                </c:pt>
                <c:pt idx="8">
                  <c:v>0.2394</c:v>
                </c:pt>
                <c:pt idx="9">
                  <c:v>0.1764</c:v>
                </c:pt>
                <c:pt idx="10">
                  <c:v>0.20760000000000001</c:v>
                </c:pt>
                <c:pt idx="11">
                  <c:v>8.3699999999999997E-2</c:v>
                </c:pt>
                <c:pt idx="12">
                  <c:v>3.9E-2</c:v>
                </c:pt>
              </c:numCache>
            </c:numRef>
          </c:val>
          <c:extLst>
            <c:ext xmlns:c16="http://schemas.microsoft.com/office/drawing/2014/chart" uri="{C3380CC4-5D6E-409C-BE32-E72D297353CC}">
              <c16:uniqueId val="{00000000-6454-4375-BCDC-2AF562C7CA7F}"/>
            </c:ext>
          </c:extLst>
        </c:ser>
        <c:ser>
          <c:idx val="1"/>
          <c:order val="1"/>
          <c:tx>
            <c:strRef>
              <c:f>'FRS arrears --UPDATED'!$D$18</c:f>
              <c:strCache>
                <c:ptCount val="1"/>
                <c:pt idx="0">
                  <c:v>Behind in last 12 months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'FRS arrears --UPDATED'!$B$19:$B$31</c:f>
              <c:strCache>
                <c:ptCount val="13"/>
                <c:pt idx="0">
                  <c:v>Behind with Council Tax</c:v>
                </c:pt>
                <c:pt idx="1">
                  <c:v>Behind with water rates, rates(NI)</c:v>
                </c:pt>
                <c:pt idx="2">
                  <c:v>Behind with the electricity bill</c:v>
                </c:pt>
                <c:pt idx="3">
                  <c:v>Behind with rent</c:v>
                </c:pt>
                <c:pt idx="4">
                  <c:v>Behind with the gas bill</c:v>
                </c:pt>
                <c:pt idx="5">
                  <c:v>Behind with credit cards</c:v>
                </c:pt>
                <c:pt idx="6">
                  <c:v>Behind with other loan repayments</c:v>
                </c:pt>
                <c:pt idx="7">
                  <c:v>Behind with telephone bill</c:v>
                </c:pt>
                <c:pt idx="8">
                  <c:v>Behind with other HP payments</c:v>
                </c:pt>
                <c:pt idx="9">
                  <c:v>Behind with mortgage payments</c:v>
                </c:pt>
                <c:pt idx="10">
                  <c:v>Behind with television,video rental or HP</c:v>
                </c:pt>
                <c:pt idx="11">
                  <c:v>Behind with insurance policies</c:v>
                </c:pt>
                <c:pt idx="12">
                  <c:v>Behind with other fuel bills like coal or oil</c:v>
                </c:pt>
              </c:strCache>
            </c:strRef>
          </c:cat>
          <c:val>
            <c:numRef>
              <c:f>'FRS arrears --UPDATED'!$D$19:$D$31</c:f>
              <c:numCache>
                <c:formatCode>0.0</c:formatCode>
                <c:ptCount val="13"/>
                <c:pt idx="0">
                  <c:v>3.0390000000000001</c:v>
                </c:pt>
                <c:pt idx="1">
                  <c:v>2.3050000000000002</c:v>
                </c:pt>
                <c:pt idx="2">
                  <c:v>2.121</c:v>
                </c:pt>
                <c:pt idx="3">
                  <c:v>2.0579999999999998</c:v>
                </c:pt>
                <c:pt idx="4">
                  <c:v>1.8360000000000001</c:v>
                </c:pt>
                <c:pt idx="5">
                  <c:v>1.0569999999999999</c:v>
                </c:pt>
                <c:pt idx="6">
                  <c:v>0.86509999999999998</c:v>
                </c:pt>
                <c:pt idx="7">
                  <c:v>0.62290000000000001</c:v>
                </c:pt>
                <c:pt idx="8">
                  <c:v>0.27860000000000001</c:v>
                </c:pt>
                <c:pt idx="9">
                  <c:v>0.24679999999999999</c:v>
                </c:pt>
                <c:pt idx="10">
                  <c:v>0.2382</c:v>
                </c:pt>
                <c:pt idx="11">
                  <c:v>0.106</c:v>
                </c:pt>
                <c:pt idx="12">
                  <c:v>7.6300000000000007E-2</c:v>
                </c:pt>
              </c:numCache>
            </c:numRef>
          </c:val>
          <c:extLst>
            <c:ext xmlns:c16="http://schemas.microsoft.com/office/drawing/2014/chart" uri="{C3380CC4-5D6E-409C-BE32-E72D297353CC}">
              <c16:uniqueId val="{00000001-6454-4375-BCDC-2AF562C7CA7F}"/>
            </c:ext>
          </c:extLst>
        </c:ser>
        <c:dLbls>
          <c:showLegendKey val="0"/>
          <c:showVal val="0"/>
          <c:showCatName val="0"/>
          <c:showSerName val="0"/>
          <c:showPercent val="0"/>
          <c:showBubbleSize val="0"/>
        </c:dLbls>
        <c:gapWidth val="182"/>
        <c:axId val="606927416"/>
        <c:axId val="606928056"/>
      </c:barChart>
      <c:catAx>
        <c:axId val="606927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928056"/>
        <c:crosses val="autoZero"/>
        <c:auto val="1"/>
        <c:lblAlgn val="ctr"/>
        <c:lblOffset val="100"/>
        <c:noMultiLvlLbl val="0"/>
      </c:catAx>
      <c:valAx>
        <c:axId val="606928056"/>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927416"/>
        <c:crosses val="autoZero"/>
        <c:crossBetween val="between"/>
      </c:valAx>
      <c:spPr>
        <a:noFill/>
        <a:ln>
          <a:noFill/>
        </a:ln>
        <a:effectLst/>
      </c:spPr>
    </c:plotArea>
    <c:legend>
      <c:legendPos val="b"/>
      <c:layout>
        <c:manualLayout>
          <c:xMode val="edge"/>
          <c:yMode val="edge"/>
          <c:x val="0.58707378772223617"/>
          <c:y val="0.10835045196517451"/>
          <c:w val="0.32229715629437722"/>
          <c:h val="0.219345108288525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'9. Debt burden by income'!$B$2</c:f>
              <c:strCache>
                <c:ptCount val="1"/>
                <c:pt idx="0">
                  <c:v>&gt;10%</c:v>
                </c:pt>
              </c:strCache>
            </c:strRef>
          </c:tx>
          <c:spPr>
            <a:ln w="28575" cap="rnd">
              <a:solidFill>
                <a:schemeClr val="accent1"/>
              </a:solidFill>
              <a:round/>
            </a:ln>
            <a:effectLst/>
          </c:spPr>
          <c:marker>
            <c:symbol val="none"/>
          </c:marker>
          <c:dLbls>
            <c:dLbl>
              <c:idx val="0"/>
              <c:layout>
                <c:manualLayout>
                  <c:x val="-3.3333333333333333E-2"/>
                  <c:y val="-5.55555555555555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FF-4FB2-9279-3DDB1D1FFF2C}"/>
                </c:ext>
              </c:extLst>
            </c:dLbl>
            <c:dLbl>
              <c:idx val="6"/>
              <c:layout>
                <c:manualLayout>
                  <c:x val="-3.888888888888889E-2"/>
                  <c:y val="-4.6296296296296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FF-4FB2-9279-3DDB1D1FFF2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 Debt burden by income'!$A$3:$A$12</c:f>
              <c:strCache>
                <c:ptCount val="10"/>
                <c:pt idx="0">
                  <c:v>Lowest</c:v>
                </c:pt>
                <c:pt idx="1">
                  <c:v>2</c:v>
                </c:pt>
                <c:pt idx="2">
                  <c:v>3</c:v>
                </c:pt>
                <c:pt idx="3">
                  <c:v>4</c:v>
                </c:pt>
                <c:pt idx="4">
                  <c:v>5</c:v>
                </c:pt>
                <c:pt idx="5">
                  <c:v>6</c:v>
                </c:pt>
                <c:pt idx="6">
                  <c:v>7</c:v>
                </c:pt>
                <c:pt idx="7">
                  <c:v>8</c:v>
                </c:pt>
                <c:pt idx="8">
                  <c:v>9</c:v>
                </c:pt>
                <c:pt idx="9">
                  <c:v>Highest</c:v>
                </c:pt>
              </c:strCache>
            </c:strRef>
          </c:cat>
          <c:val>
            <c:numRef>
              <c:f>'9. Debt burden by income'!$B$3:$B$12</c:f>
              <c:numCache>
                <c:formatCode>0.0%</c:formatCode>
                <c:ptCount val="10"/>
                <c:pt idx="0">
                  <c:v>0.18080617487430573</c:v>
                </c:pt>
                <c:pt idx="1">
                  <c:v>0.19520798325538635</c:v>
                </c:pt>
                <c:pt idx="2">
                  <c:v>0.20026558637619019</c:v>
                </c:pt>
                <c:pt idx="3">
                  <c:v>0.21695846319198608</c:v>
                </c:pt>
                <c:pt idx="4">
                  <c:v>0.21733938157558441</c:v>
                </c:pt>
                <c:pt idx="5">
                  <c:v>0.22391064465045929</c:v>
                </c:pt>
                <c:pt idx="6">
                  <c:v>0.24322165548801422</c:v>
                </c:pt>
                <c:pt idx="7">
                  <c:v>0.22147427499294281</c:v>
                </c:pt>
                <c:pt idx="8">
                  <c:v>0.18110248446464539</c:v>
                </c:pt>
                <c:pt idx="9">
                  <c:v>0.13877773284912109</c:v>
                </c:pt>
              </c:numCache>
            </c:numRef>
          </c:val>
          <c:smooth val="0"/>
          <c:extLst>
            <c:ext xmlns:c16="http://schemas.microsoft.com/office/drawing/2014/chart" uri="{C3380CC4-5D6E-409C-BE32-E72D297353CC}">
              <c16:uniqueId val="{00000002-74FF-4FB2-9279-3DDB1D1FFF2C}"/>
            </c:ext>
          </c:extLst>
        </c:ser>
        <c:ser>
          <c:idx val="1"/>
          <c:order val="1"/>
          <c:tx>
            <c:strRef>
              <c:f>'9. Debt burden by income'!$C$2</c:f>
              <c:strCache>
                <c:ptCount val="1"/>
                <c:pt idx="0">
                  <c:v>&gt;20%</c:v>
                </c:pt>
              </c:strCache>
            </c:strRef>
          </c:tx>
          <c:spPr>
            <a:ln w="28575" cap="rnd">
              <a:solidFill>
                <a:schemeClr val="accent2"/>
              </a:solidFill>
              <a:round/>
            </a:ln>
            <a:effectLst/>
          </c:spPr>
          <c:marker>
            <c:symbol val="none"/>
          </c:marker>
          <c:dLbls>
            <c:dLbl>
              <c:idx val="0"/>
              <c:layout>
                <c:manualLayout>
                  <c:x val="-3.0555555555555555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FF-4FB2-9279-3DDB1D1FFF2C}"/>
                </c:ext>
              </c:extLst>
            </c:dLbl>
            <c:dLbl>
              <c:idx val="3"/>
              <c:layout>
                <c:manualLayout>
                  <c:x val="-3.6111111111111163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FF-4FB2-9279-3DDB1D1FFF2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 Debt burden by income'!$A$3:$A$12</c:f>
              <c:strCache>
                <c:ptCount val="10"/>
                <c:pt idx="0">
                  <c:v>Lowest</c:v>
                </c:pt>
                <c:pt idx="1">
                  <c:v>2</c:v>
                </c:pt>
                <c:pt idx="2">
                  <c:v>3</c:v>
                </c:pt>
                <c:pt idx="3">
                  <c:v>4</c:v>
                </c:pt>
                <c:pt idx="4">
                  <c:v>5</c:v>
                </c:pt>
                <c:pt idx="5">
                  <c:v>6</c:v>
                </c:pt>
                <c:pt idx="6">
                  <c:v>7</c:v>
                </c:pt>
                <c:pt idx="7">
                  <c:v>8</c:v>
                </c:pt>
                <c:pt idx="8">
                  <c:v>9</c:v>
                </c:pt>
                <c:pt idx="9">
                  <c:v>Highest</c:v>
                </c:pt>
              </c:strCache>
            </c:strRef>
          </c:cat>
          <c:val>
            <c:numRef>
              <c:f>'9. Debt burden by income'!$C$3:$C$12</c:f>
              <c:numCache>
                <c:formatCode>0.0%</c:formatCode>
                <c:ptCount val="10"/>
                <c:pt idx="0">
                  <c:v>0.11217161267995834</c:v>
                </c:pt>
                <c:pt idx="1">
                  <c:v>9.42574143409729E-2</c:v>
                </c:pt>
                <c:pt idx="2">
                  <c:v>0.1031438484787941</c:v>
                </c:pt>
                <c:pt idx="3">
                  <c:v>0.12349165976047516</c:v>
                </c:pt>
                <c:pt idx="4">
                  <c:v>0.11519686877727509</c:v>
                </c:pt>
                <c:pt idx="5">
                  <c:v>8.2513570785522461E-2</c:v>
                </c:pt>
                <c:pt idx="6">
                  <c:v>9.976380318403244E-2</c:v>
                </c:pt>
                <c:pt idx="7">
                  <c:v>7.3846854269504547E-2</c:v>
                </c:pt>
                <c:pt idx="8">
                  <c:v>7.2339385747909546E-2</c:v>
                </c:pt>
                <c:pt idx="9">
                  <c:v>4.8369158059358597E-2</c:v>
                </c:pt>
              </c:numCache>
            </c:numRef>
          </c:val>
          <c:smooth val="0"/>
          <c:extLst>
            <c:ext xmlns:c16="http://schemas.microsoft.com/office/drawing/2014/chart" uri="{C3380CC4-5D6E-409C-BE32-E72D297353CC}">
              <c16:uniqueId val="{00000005-74FF-4FB2-9279-3DDB1D1FFF2C}"/>
            </c:ext>
          </c:extLst>
        </c:ser>
        <c:ser>
          <c:idx val="2"/>
          <c:order val="2"/>
          <c:tx>
            <c:strRef>
              <c:f>'9. Debt burden by income'!$D$2</c:f>
              <c:strCache>
                <c:ptCount val="1"/>
                <c:pt idx="0">
                  <c:v>&gt;30%</c:v>
                </c:pt>
              </c:strCache>
            </c:strRef>
          </c:tx>
          <c:spPr>
            <a:ln w="28575" cap="rnd">
              <a:solidFill>
                <a:schemeClr val="accent3"/>
              </a:solidFill>
              <a:round/>
            </a:ln>
            <a:effectLst/>
          </c:spPr>
          <c:marker>
            <c:symbol val="none"/>
          </c:marker>
          <c:dLbls>
            <c:dLbl>
              <c:idx val="0"/>
              <c:layout>
                <c:manualLayout>
                  <c:x val="-3.0555555555555555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FF-4FB2-9279-3DDB1D1FFF2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 Debt burden by income'!$A$3:$A$12</c:f>
              <c:strCache>
                <c:ptCount val="10"/>
                <c:pt idx="0">
                  <c:v>Lowest</c:v>
                </c:pt>
                <c:pt idx="1">
                  <c:v>2</c:v>
                </c:pt>
                <c:pt idx="2">
                  <c:v>3</c:v>
                </c:pt>
                <c:pt idx="3">
                  <c:v>4</c:v>
                </c:pt>
                <c:pt idx="4">
                  <c:v>5</c:v>
                </c:pt>
                <c:pt idx="5">
                  <c:v>6</c:v>
                </c:pt>
                <c:pt idx="6">
                  <c:v>7</c:v>
                </c:pt>
                <c:pt idx="7">
                  <c:v>8</c:v>
                </c:pt>
                <c:pt idx="8">
                  <c:v>9</c:v>
                </c:pt>
                <c:pt idx="9">
                  <c:v>Highest</c:v>
                </c:pt>
              </c:strCache>
            </c:strRef>
          </c:cat>
          <c:val>
            <c:numRef>
              <c:f>'9. Debt burden by income'!$D$3:$D$12</c:f>
              <c:numCache>
                <c:formatCode>0.0%</c:formatCode>
                <c:ptCount val="10"/>
                <c:pt idx="0">
                  <c:v>7.840709388256073E-2</c:v>
                </c:pt>
                <c:pt idx="1">
                  <c:v>5.2936449646949768E-2</c:v>
                </c:pt>
                <c:pt idx="2">
                  <c:v>4.8707921057939529E-2</c:v>
                </c:pt>
                <c:pt idx="3">
                  <c:v>4.9803432077169418E-2</c:v>
                </c:pt>
                <c:pt idx="4">
                  <c:v>6.5237320959568024E-2</c:v>
                </c:pt>
                <c:pt idx="5">
                  <c:v>3.680216521024704E-2</c:v>
                </c:pt>
                <c:pt idx="6">
                  <c:v>5.2858754992485046E-2</c:v>
                </c:pt>
                <c:pt idx="7">
                  <c:v>3.4572798758745193E-2</c:v>
                </c:pt>
                <c:pt idx="8">
                  <c:v>3.5061340779066086E-2</c:v>
                </c:pt>
                <c:pt idx="9">
                  <c:v>1.7941048368811607E-2</c:v>
                </c:pt>
              </c:numCache>
            </c:numRef>
          </c:val>
          <c:smooth val="0"/>
          <c:extLst>
            <c:ext xmlns:c16="http://schemas.microsoft.com/office/drawing/2014/chart" uri="{C3380CC4-5D6E-409C-BE32-E72D297353CC}">
              <c16:uniqueId val="{00000007-74FF-4FB2-9279-3DDB1D1FFF2C}"/>
            </c:ext>
          </c:extLst>
        </c:ser>
        <c:dLbls>
          <c:showLegendKey val="0"/>
          <c:showVal val="0"/>
          <c:showCatName val="0"/>
          <c:showSerName val="0"/>
          <c:showPercent val="0"/>
          <c:showBubbleSize val="0"/>
        </c:dLbls>
        <c:smooth val="0"/>
        <c:axId val="374681328"/>
        <c:axId val="374677392"/>
      </c:lineChart>
      <c:catAx>
        <c:axId val="37468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677392"/>
        <c:crosses val="autoZero"/>
        <c:auto val="1"/>
        <c:lblAlgn val="ctr"/>
        <c:lblOffset val="100"/>
        <c:noMultiLvlLbl val="0"/>
      </c:catAx>
      <c:valAx>
        <c:axId val="37467739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681328"/>
        <c:crosses val="autoZero"/>
        <c:crossBetween val="between"/>
      </c:valAx>
      <c:spPr>
        <a:noFill/>
        <a:ln>
          <a:noFill/>
        </a:ln>
        <a:effectLst/>
      </c:spPr>
    </c:plotArea>
    <c:legend>
      <c:legendPos val="b"/>
      <c:layout>
        <c:manualLayout>
          <c:xMode val="edge"/>
          <c:yMode val="edge"/>
          <c:x val="0.17420253718285211"/>
          <c:y val="0.87729841061533975"/>
          <c:w val="0.67659470691163615"/>
          <c:h val="9.492381160688247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Insolvencies!$D$6</c:f>
              <c:strCache>
                <c:ptCount val="1"/>
                <c:pt idx="0">
                  <c:v>Total individual insolvencies</c:v>
                </c:pt>
              </c:strCache>
            </c:strRef>
          </c:tx>
          <c:spPr>
            <a:ln w="28575" cap="rnd">
              <a:solidFill>
                <a:schemeClr val="accent1"/>
              </a:solidFill>
              <a:round/>
            </a:ln>
            <a:effectLst/>
          </c:spPr>
          <c:marker>
            <c:symbol val="none"/>
          </c:marker>
          <c:dLbls>
            <c:dLbl>
              <c:idx val="35"/>
              <c:layout>
                <c:manualLayout>
                  <c:x val="-3.2764502771438352E-2"/>
                  <c:y val="-4.3795620437956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AC-414F-87A4-BE407C24E71F}"/>
                </c:ext>
              </c:extLst>
            </c:dLbl>
            <c:dLbl>
              <c:idx val="40"/>
              <c:layout>
                <c:manualLayout>
                  <c:x val="0"/>
                  <c:y val="-5.8931441575702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AC-414F-87A4-BE407C24E71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Insolvencies!$B$7:$C$47</c:f>
              <c:multiLvlStrCache>
                <c:ptCount val="41"/>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pt idx="38">
                    <c:v>Q3</c:v>
                  </c:pt>
                  <c:pt idx="39">
                    <c:v>Q4</c:v>
                  </c:pt>
                  <c:pt idx="40">
                    <c:v>Q1</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Insolvencies!$D$7:$D$47</c:f>
              <c:numCache>
                <c:formatCode>#,##0</c:formatCode>
                <c:ptCount val="41"/>
                <c:pt idx="0">
                  <c:v>35798.658936222098</c:v>
                </c:pt>
                <c:pt idx="1">
                  <c:v>34531.843311669902</c:v>
                </c:pt>
                <c:pt idx="2">
                  <c:v>33539.960483376599</c:v>
                </c:pt>
                <c:pt idx="3">
                  <c:v>31174.537268731401</c:v>
                </c:pt>
                <c:pt idx="4">
                  <c:v>30402.182138551303</c:v>
                </c:pt>
                <c:pt idx="5">
                  <c:v>30270.474800192402</c:v>
                </c:pt>
                <c:pt idx="6">
                  <c:v>29535.761259547122</c:v>
                </c:pt>
                <c:pt idx="7">
                  <c:v>29349.58180170917</c:v>
                </c:pt>
                <c:pt idx="8">
                  <c:v>29108.456218346822</c:v>
                </c:pt>
                <c:pt idx="9">
                  <c:v>27239.20360784743</c:v>
                </c:pt>
                <c:pt idx="10">
                  <c:v>27138.369395040521</c:v>
                </c:pt>
                <c:pt idx="11">
                  <c:v>25725.97077876523</c:v>
                </c:pt>
                <c:pt idx="12">
                  <c:v>25610.697989326058</c:v>
                </c:pt>
                <c:pt idx="13">
                  <c:v>25633.21769481209</c:v>
                </c:pt>
                <c:pt idx="14">
                  <c:v>24806.047333017552</c:v>
                </c:pt>
                <c:pt idx="15">
                  <c:v>24549.036982844307</c:v>
                </c:pt>
                <c:pt idx="16">
                  <c:v>25541.721725615193</c:v>
                </c:pt>
                <c:pt idx="17">
                  <c:v>26879.50462206444</c:v>
                </c:pt>
                <c:pt idx="18">
                  <c:v>22809.040069232149</c:v>
                </c:pt>
                <c:pt idx="19">
                  <c:v>22592.733583088222</c:v>
                </c:pt>
                <c:pt idx="20">
                  <c:v>20445.82457523483</c:v>
                </c:pt>
                <c:pt idx="21">
                  <c:v>18749.056165510861</c:v>
                </c:pt>
                <c:pt idx="22">
                  <c:v>19529.3811743562</c:v>
                </c:pt>
                <c:pt idx="23">
                  <c:v>21057.738084898047</c:v>
                </c:pt>
                <c:pt idx="24">
                  <c:v>20647.81184540387</c:v>
                </c:pt>
                <c:pt idx="25">
                  <c:v>23065.068218110609</c:v>
                </c:pt>
                <c:pt idx="26">
                  <c:v>23364.647028558789</c:v>
                </c:pt>
                <c:pt idx="27">
                  <c:v>23187.472907926742</c:v>
                </c:pt>
                <c:pt idx="28">
                  <c:v>25143.155789579101</c:v>
                </c:pt>
                <c:pt idx="29">
                  <c:v>22780.331995777338</c:v>
                </c:pt>
                <c:pt idx="30">
                  <c:v>25511.89507306572</c:v>
                </c:pt>
                <c:pt idx="31">
                  <c:v>25462.61714157783</c:v>
                </c:pt>
                <c:pt idx="32">
                  <c:v>27048.624726645387</c:v>
                </c:pt>
                <c:pt idx="33">
                  <c:v>28643.858876134698</c:v>
                </c:pt>
                <c:pt idx="34">
                  <c:v>24762.776257843499</c:v>
                </c:pt>
                <c:pt idx="35">
                  <c:v>34291.740139376408</c:v>
                </c:pt>
                <c:pt idx="36">
                  <c:v>31357.761884738189</c:v>
                </c:pt>
                <c:pt idx="37">
                  <c:v>30802.15092264452</c:v>
                </c:pt>
                <c:pt idx="38">
                  <c:v>30767.755032264311</c:v>
                </c:pt>
                <c:pt idx="39">
                  <c:v>28970.332160352984</c:v>
                </c:pt>
                <c:pt idx="40">
                  <c:v>27849.352285753979</c:v>
                </c:pt>
              </c:numCache>
            </c:numRef>
          </c:val>
          <c:smooth val="0"/>
          <c:extLst>
            <c:ext xmlns:c16="http://schemas.microsoft.com/office/drawing/2014/chart" uri="{C3380CC4-5D6E-409C-BE32-E72D297353CC}">
              <c16:uniqueId val="{00000002-2BAC-414F-87A4-BE407C24E71F}"/>
            </c:ext>
          </c:extLst>
        </c:ser>
        <c:ser>
          <c:idx val="1"/>
          <c:order val="1"/>
          <c:tx>
            <c:strRef>
              <c:f>Insolvencies!$E$6</c:f>
              <c:strCache>
                <c:ptCount val="1"/>
                <c:pt idx="0">
                  <c:v>Bankruptcies</c:v>
                </c:pt>
              </c:strCache>
            </c:strRef>
          </c:tx>
          <c:spPr>
            <a:ln w="28575" cap="rnd">
              <a:solidFill>
                <a:schemeClr val="accent2"/>
              </a:solidFill>
              <a:round/>
            </a:ln>
            <a:effectLst/>
          </c:spPr>
          <c:marker>
            <c:symbol val="none"/>
          </c:marker>
          <c:cat>
            <c:multiLvlStrRef>
              <c:f>Insolvencies!$B$7:$C$47</c:f>
              <c:multiLvlStrCache>
                <c:ptCount val="41"/>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pt idx="38">
                    <c:v>Q3</c:v>
                  </c:pt>
                  <c:pt idx="39">
                    <c:v>Q4</c:v>
                  </c:pt>
                  <c:pt idx="40">
                    <c:v>Q1</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Insolvencies!$E$7:$E$47</c:f>
              <c:numCache>
                <c:formatCode>#,##0</c:formatCode>
                <c:ptCount val="41"/>
                <c:pt idx="0">
                  <c:v>17301.346288419099</c:v>
                </c:pt>
                <c:pt idx="1">
                  <c:v>15013.1085252712</c:v>
                </c:pt>
                <c:pt idx="2">
                  <c:v>14149.6560115793</c:v>
                </c:pt>
                <c:pt idx="3">
                  <c:v>12708.889174730401</c:v>
                </c:pt>
                <c:pt idx="4">
                  <c:v>11923.245402332701</c:v>
                </c:pt>
                <c:pt idx="5">
                  <c:v>11103.4211951412</c:v>
                </c:pt>
                <c:pt idx="6">
                  <c:v>9714.1394750736199</c:v>
                </c:pt>
                <c:pt idx="7">
                  <c:v>9135.1939274524702</c:v>
                </c:pt>
                <c:pt idx="8">
                  <c:v>8701.83615514552</c:v>
                </c:pt>
                <c:pt idx="9">
                  <c:v>8071.2580441835298</c:v>
                </c:pt>
                <c:pt idx="10">
                  <c:v>7719.5997258797197</c:v>
                </c:pt>
                <c:pt idx="11">
                  <c:v>7294.3060747912295</c:v>
                </c:pt>
                <c:pt idx="12">
                  <c:v>6464.7302766211596</c:v>
                </c:pt>
                <c:pt idx="13">
                  <c:v>6365.8252268777896</c:v>
                </c:pt>
                <c:pt idx="14">
                  <c:v>6035.0343712423501</c:v>
                </c:pt>
                <c:pt idx="15">
                  <c:v>5705.4101252587097</c:v>
                </c:pt>
                <c:pt idx="16">
                  <c:v>5433.8582437402902</c:v>
                </c:pt>
                <c:pt idx="17">
                  <c:v>5472.9254343346402</c:v>
                </c:pt>
                <c:pt idx="18">
                  <c:v>4906.3507350641503</c:v>
                </c:pt>
                <c:pt idx="19">
                  <c:v>4531.8655868609203</c:v>
                </c:pt>
                <c:pt idx="20">
                  <c:v>4205.6624396520301</c:v>
                </c:pt>
                <c:pt idx="21">
                  <c:v>3982.1510175017202</c:v>
                </c:pt>
                <c:pt idx="22">
                  <c:v>3871.1007915895002</c:v>
                </c:pt>
                <c:pt idx="23">
                  <c:v>3786.08575125675</c:v>
                </c:pt>
                <c:pt idx="24">
                  <c:v>3634.34876627637</c:v>
                </c:pt>
                <c:pt idx="25">
                  <c:v>3655.74207248521</c:v>
                </c:pt>
                <c:pt idx="26">
                  <c:v>3896.3084036862901</c:v>
                </c:pt>
                <c:pt idx="27">
                  <c:v>3857.6007575521398</c:v>
                </c:pt>
                <c:pt idx="28">
                  <c:v>3854.0405205125999</c:v>
                </c:pt>
                <c:pt idx="29">
                  <c:v>3732.71904156654</c:v>
                </c:pt>
                <c:pt idx="30">
                  <c:v>3705.3469975815201</c:v>
                </c:pt>
                <c:pt idx="31">
                  <c:v>3813.89344033933</c:v>
                </c:pt>
                <c:pt idx="32">
                  <c:v>4179.40445576819</c:v>
                </c:pt>
                <c:pt idx="33">
                  <c:v>4055.2658720804998</c:v>
                </c:pt>
                <c:pt idx="34">
                  <c:v>4175.3440515426</c:v>
                </c:pt>
                <c:pt idx="35">
                  <c:v>4229.9856206087097</c:v>
                </c:pt>
                <c:pt idx="36">
                  <c:v>4184.0448605000902</c:v>
                </c:pt>
                <c:pt idx="37">
                  <c:v>4240.5275866150196</c:v>
                </c:pt>
                <c:pt idx="38">
                  <c:v>4159.5743502007099</c:v>
                </c:pt>
                <c:pt idx="39">
                  <c:v>4155.8532026841804</c:v>
                </c:pt>
                <c:pt idx="40">
                  <c:v>4260.8348243086803</c:v>
                </c:pt>
              </c:numCache>
            </c:numRef>
          </c:val>
          <c:smooth val="0"/>
          <c:extLst>
            <c:ext xmlns:c16="http://schemas.microsoft.com/office/drawing/2014/chart" uri="{C3380CC4-5D6E-409C-BE32-E72D297353CC}">
              <c16:uniqueId val="{00000003-2BAC-414F-87A4-BE407C24E71F}"/>
            </c:ext>
          </c:extLst>
        </c:ser>
        <c:ser>
          <c:idx val="2"/>
          <c:order val="2"/>
          <c:tx>
            <c:strRef>
              <c:f>Insolvencies!$F$6</c:f>
              <c:strCache>
                <c:ptCount val="1"/>
                <c:pt idx="0">
                  <c:v>Debt relief orders</c:v>
                </c:pt>
              </c:strCache>
            </c:strRef>
          </c:tx>
          <c:spPr>
            <a:ln w="28575" cap="rnd">
              <a:solidFill>
                <a:schemeClr val="accent3"/>
              </a:solidFill>
              <a:round/>
            </a:ln>
            <a:effectLst/>
          </c:spPr>
          <c:marker>
            <c:symbol val="none"/>
          </c:marker>
          <c:cat>
            <c:multiLvlStrRef>
              <c:f>Insolvencies!$B$7:$C$47</c:f>
              <c:multiLvlStrCache>
                <c:ptCount val="41"/>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pt idx="38">
                    <c:v>Q3</c:v>
                  </c:pt>
                  <c:pt idx="39">
                    <c:v>Q4</c:v>
                  </c:pt>
                  <c:pt idx="40">
                    <c:v>Q1</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Insolvencies!$F$7:$F$47</c:f>
              <c:numCache>
                <c:formatCode>#,##0</c:formatCode>
                <c:ptCount val="41"/>
                <c:pt idx="0">
                  <c:v>5644</c:v>
                </c:pt>
                <c:pt idx="1">
                  <c:v>6295</c:v>
                </c:pt>
                <c:pt idx="2">
                  <c:v>7068</c:v>
                </c:pt>
                <c:pt idx="3">
                  <c:v>6172</c:v>
                </c:pt>
                <c:pt idx="4">
                  <c:v>6725</c:v>
                </c:pt>
                <c:pt idx="5">
                  <c:v>7181</c:v>
                </c:pt>
                <c:pt idx="6">
                  <c:v>7528</c:v>
                </c:pt>
                <c:pt idx="7">
                  <c:v>7278</c:v>
                </c:pt>
                <c:pt idx="8">
                  <c:v>7807</c:v>
                </c:pt>
                <c:pt idx="9">
                  <c:v>7890</c:v>
                </c:pt>
                <c:pt idx="10">
                  <c:v>7707</c:v>
                </c:pt>
                <c:pt idx="11">
                  <c:v>7465</c:v>
                </c:pt>
                <c:pt idx="12">
                  <c:v>7134</c:v>
                </c:pt>
                <c:pt idx="13">
                  <c:v>7050</c:v>
                </c:pt>
                <c:pt idx="14">
                  <c:v>6570</c:v>
                </c:pt>
                <c:pt idx="15">
                  <c:v>6474</c:v>
                </c:pt>
                <c:pt idx="16">
                  <c:v>6474</c:v>
                </c:pt>
                <c:pt idx="17">
                  <c:v>6911</c:v>
                </c:pt>
                <c:pt idx="18">
                  <c:v>6720</c:v>
                </c:pt>
                <c:pt idx="19">
                  <c:v>6247</c:v>
                </c:pt>
                <c:pt idx="20">
                  <c:v>6143</c:v>
                </c:pt>
                <c:pt idx="21">
                  <c:v>5773</c:v>
                </c:pt>
                <c:pt idx="22">
                  <c:v>5578</c:v>
                </c:pt>
                <c:pt idx="23">
                  <c:v>6426</c:v>
                </c:pt>
                <c:pt idx="24">
                  <c:v>6651</c:v>
                </c:pt>
                <c:pt idx="25">
                  <c:v>6676</c:v>
                </c:pt>
                <c:pt idx="26">
                  <c:v>6433</c:v>
                </c:pt>
                <c:pt idx="27">
                  <c:v>6193</c:v>
                </c:pt>
                <c:pt idx="28">
                  <c:v>6068</c:v>
                </c:pt>
                <c:pt idx="29">
                  <c:v>6104</c:v>
                </c:pt>
                <c:pt idx="30">
                  <c:v>6210</c:v>
                </c:pt>
                <c:pt idx="31">
                  <c:v>6315</c:v>
                </c:pt>
                <c:pt idx="32">
                  <c:v>6477</c:v>
                </c:pt>
                <c:pt idx="33">
                  <c:v>6959</c:v>
                </c:pt>
                <c:pt idx="34">
                  <c:v>6924</c:v>
                </c:pt>
                <c:pt idx="35">
                  <c:v>7060</c:v>
                </c:pt>
                <c:pt idx="36">
                  <c:v>6875</c:v>
                </c:pt>
                <c:pt idx="37">
                  <c:v>6733</c:v>
                </c:pt>
                <c:pt idx="38">
                  <c:v>6721</c:v>
                </c:pt>
                <c:pt idx="39">
                  <c:v>6865</c:v>
                </c:pt>
                <c:pt idx="40">
                  <c:v>6875</c:v>
                </c:pt>
              </c:numCache>
            </c:numRef>
          </c:val>
          <c:smooth val="0"/>
          <c:extLst>
            <c:ext xmlns:c16="http://schemas.microsoft.com/office/drawing/2014/chart" uri="{C3380CC4-5D6E-409C-BE32-E72D297353CC}">
              <c16:uniqueId val="{00000004-2BAC-414F-87A4-BE407C24E71F}"/>
            </c:ext>
          </c:extLst>
        </c:ser>
        <c:ser>
          <c:idx val="3"/>
          <c:order val="3"/>
          <c:tx>
            <c:strRef>
              <c:f>Insolvencies!$G$6</c:f>
              <c:strCache>
                <c:ptCount val="1"/>
                <c:pt idx="0">
                  <c:v>Individual voluntary arrangements</c:v>
                </c:pt>
              </c:strCache>
            </c:strRef>
          </c:tx>
          <c:spPr>
            <a:ln w="28575" cap="rnd">
              <a:solidFill>
                <a:schemeClr val="accent4"/>
              </a:solidFill>
              <a:round/>
            </a:ln>
            <a:effectLst/>
          </c:spPr>
          <c:marker>
            <c:symbol val="none"/>
          </c:marker>
          <c:cat>
            <c:multiLvlStrRef>
              <c:f>Insolvencies!$B$7:$C$47</c:f>
              <c:multiLvlStrCache>
                <c:ptCount val="41"/>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pt idx="38">
                    <c:v>Q3</c:v>
                  </c:pt>
                  <c:pt idx="39">
                    <c:v>Q4</c:v>
                  </c:pt>
                  <c:pt idx="40">
                    <c:v>Q1</c:v>
                  </c:pt>
                </c:lvl>
                <c:lvl>
                  <c:pt idx="0">
                    <c:v>2010</c:v>
                  </c:pt>
                  <c:pt idx="4">
                    <c:v>2011</c:v>
                  </c:pt>
                  <c:pt idx="8">
                    <c:v>2012</c:v>
                  </c:pt>
                  <c:pt idx="12">
                    <c:v>2013</c:v>
                  </c:pt>
                  <c:pt idx="16">
                    <c:v>2014</c:v>
                  </c:pt>
                  <c:pt idx="20">
                    <c:v>2015</c:v>
                  </c:pt>
                  <c:pt idx="24">
                    <c:v>2016</c:v>
                  </c:pt>
                  <c:pt idx="28">
                    <c:v>2017</c:v>
                  </c:pt>
                  <c:pt idx="32">
                    <c:v>2018</c:v>
                  </c:pt>
                  <c:pt idx="36">
                    <c:v>2019</c:v>
                  </c:pt>
                  <c:pt idx="40">
                    <c:v>2020</c:v>
                  </c:pt>
                </c:lvl>
              </c:multiLvlStrCache>
            </c:multiLvlStrRef>
          </c:cat>
          <c:val>
            <c:numRef>
              <c:f>Insolvencies!$G$7:$G$47</c:f>
              <c:numCache>
                <c:formatCode>#,##0</c:formatCode>
                <c:ptCount val="41"/>
                <c:pt idx="0">
                  <c:v>12853.312647803001</c:v>
                </c:pt>
                <c:pt idx="1">
                  <c:v>13223.7347863987</c:v>
                </c:pt>
                <c:pt idx="2">
                  <c:v>12322.304471797301</c:v>
                </c:pt>
                <c:pt idx="3">
                  <c:v>12293.648094001001</c:v>
                </c:pt>
                <c:pt idx="4">
                  <c:v>11753.9367362186</c:v>
                </c:pt>
                <c:pt idx="5">
                  <c:v>11986.0536050512</c:v>
                </c:pt>
                <c:pt idx="6">
                  <c:v>12293.6217844735</c:v>
                </c:pt>
                <c:pt idx="7">
                  <c:v>12936.387874256699</c:v>
                </c:pt>
                <c:pt idx="8">
                  <c:v>12599.620063201301</c:v>
                </c:pt>
                <c:pt idx="9">
                  <c:v>11277.9455636639</c:v>
                </c:pt>
                <c:pt idx="10">
                  <c:v>11711.7696691608</c:v>
                </c:pt>
                <c:pt idx="11">
                  <c:v>10966.664703974</c:v>
                </c:pt>
                <c:pt idx="12">
                  <c:v>12011.9677127049</c:v>
                </c:pt>
                <c:pt idx="13">
                  <c:v>12217.3924679343</c:v>
                </c:pt>
                <c:pt idx="14">
                  <c:v>12201.012961775201</c:v>
                </c:pt>
                <c:pt idx="15">
                  <c:v>12369.626857585599</c:v>
                </c:pt>
                <c:pt idx="16">
                  <c:v>13633.8634818749</c:v>
                </c:pt>
                <c:pt idx="17">
                  <c:v>14495.5791877298</c:v>
                </c:pt>
                <c:pt idx="18">
                  <c:v>11182.689334168001</c:v>
                </c:pt>
                <c:pt idx="19">
                  <c:v>11813.8679962273</c:v>
                </c:pt>
                <c:pt idx="20">
                  <c:v>10097.162135582799</c:v>
                </c:pt>
                <c:pt idx="21">
                  <c:v>8993.9051480091402</c:v>
                </c:pt>
                <c:pt idx="22">
                  <c:v>10080.280382766699</c:v>
                </c:pt>
                <c:pt idx="23">
                  <c:v>10845.652333641299</c:v>
                </c:pt>
                <c:pt idx="24">
                  <c:v>10362.463079127499</c:v>
                </c:pt>
                <c:pt idx="25">
                  <c:v>12733.3261456254</c:v>
                </c:pt>
                <c:pt idx="26">
                  <c:v>13035.3386248725</c:v>
                </c:pt>
                <c:pt idx="27">
                  <c:v>13136.8721503746</c:v>
                </c:pt>
                <c:pt idx="28">
                  <c:v>15221.1152690665</c:v>
                </c:pt>
                <c:pt idx="29">
                  <c:v>12943.612954210799</c:v>
                </c:pt>
                <c:pt idx="30">
                  <c:v>15596.548075484199</c:v>
                </c:pt>
                <c:pt idx="31">
                  <c:v>15333.723701238499</c:v>
                </c:pt>
                <c:pt idx="32">
                  <c:v>16392.220270877198</c:v>
                </c:pt>
                <c:pt idx="33">
                  <c:v>17629.593004054201</c:v>
                </c:pt>
                <c:pt idx="34">
                  <c:v>13663.4322063009</c:v>
                </c:pt>
                <c:pt idx="35">
                  <c:v>23001.754518767699</c:v>
                </c:pt>
                <c:pt idx="36">
                  <c:v>20298.7170242381</c:v>
                </c:pt>
                <c:pt idx="37">
                  <c:v>19828.623336029501</c:v>
                </c:pt>
                <c:pt idx="38">
                  <c:v>19887.180682063601</c:v>
                </c:pt>
                <c:pt idx="39">
                  <c:v>17949.478957668802</c:v>
                </c:pt>
                <c:pt idx="40">
                  <c:v>16713.517461445299</c:v>
                </c:pt>
              </c:numCache>
            </c:numRef>
          </c:val>
          <c:smooth val="0"/>
          <c:extLst>
            <c:ext xmlns:c16="http://schemas.microsoft.com/office/drawing/2014/chart" uri="{C3380CC4-5D6E-409C-BE32-E72D297353CC}">
              <c16:uniqueId val="{00000005-2BAC-414F-87A4-BE407C24E71F}"/>
            </c:ext>
          </c:extLst>
        </c:ser>
        <c:dLbls>
          <c:showLegendKey val="0"/>
          <c:showVal val="0"/>
          <c:showCatName val="0"/>
          <c:showSerName val="0"/>
          <c:showPercent val="0"/>
          <c:showBubbleSize val="0"/>
        </c:dLbls>
        <c:smooth val="0"/>
        <c:axId val="468535880"/>
        <c:axId val="468533912"/>
      </c:lineChart>
      <c:catAx>
        <c:axId val="468535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533912"/>
        <c:crosses val="autoZero"/>
        <c:auto val="1"/>
        <c:lblAlgn val="ctr"/>
        <c:lblOffset val="100"/>
        <c:noMultiLvlLbl val="0"/>
      </c:catAx>
      <c:valAx>
        <c:axId val="46853391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535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81714785651793"/>
          <c:y val="5.0925925925925923E-2"/>
          <c:w val="0.85603696412948382"/>
          <c:h val="0.78751603966170891"/>
        </c:manualLayout>
      </c:layout>
      <c:lineChart>
        <c:grouping val="standard"/>
        <c:varyColors val="0"/>
        <c:ser>
          <c:idx val="0"/>
          <c:order val="0"/>
          <c:tx>
            <c:strRef>
              <c:f>Repossession!$C$6</c:f>
              <c:strCache>
                <c:ptCount val="1"/>
                <c:pt idx="0">
                  <c:v>Mortgage possession</c:v>
                </c:pt>
              </c:strCache>
            </c:strRef>
          </c:tx>
          <c:spPr>
            <a:ln w="28575" cap="rnd">
              <a:solidFill>
                <a:schemeClr val="accent1"/>
              </a:solidFill>
              <a:round/>
            </a:ln>
            <a:effectLst/>
          </c:spPr>
          <c:marker>
            <c:symbol val="none"/>
          </c:marker>
          <c:dLbls>
            <c:dLbl>
              <c:idx val="42"/>
              <c:layout>
                <c:manualLayout>
                  <c:x val="0"/>
                  <c:y val="4.8661800486617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39-452A-8260-808D7A83C41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Repossession!$A$7:$B$50</c:f>
              <c:multiLvlStrCache>
                <c:ptCount val="43"/>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 </c:v>
                  </c:pt>
                  <c:pt idx="27">
                    <c:v>Q4 </c:v>
                  </c:pt>
                  <c:pt idx="28">
                    <c:v>Q1 </c:v>
                  </c:pt>
                  <c:pt idx="29">
                    <c:v>Q2</c:v>
                  </c:pt>
                  <c:pt idx="30">
                    <c:v>Q3</c:v>
                  </c:pt>
                  <c:pt idx="31">
                    <c:v>Q4</c:v>
                  </c:pt>
                  <c:pt idx="32">
                    <c:v>Q1</c:v>
                  </c:pt>
                  <c:pt idx="33">
                    <c:v>Q2</c:v>
                  </c:pt>
                  <c:pt idx="34">
                    <c:v>Q3</c:v>
                  </c:pt>
                  <c:pt idx="35">
                    <c:v>Q4</c:v>
                  </c:pt>
                  <c:pt idx="36">
                    <c:v>Q1</c:v>
                  </c:pt>
                  <c:pt idx="37">
                    <c:v>Q2</c:v>
                  </c:pt>
                  <c:pt idx="38">
                    <c:v>Q3</c:v>
                  </c:pt>
                  <c:pt idx="39">
                    <c:v>Q4</c:v>
                  </c:pt>
                  <c:pt idx="40">
                    <c:v>Q1</c:v>
                  </c:pt>
                  <c:pt idx="41">
                    <c:v>Q2</c:v>
                  </c:pt>
                  <c:pt idx="42">
                    <c:v>Q3</c:v>
                  </c:pt>
                </c:lvl>
                <c:lvl>
                  <c:pt idx="0">
                    <c:v>2009</c:v>
                  </c:pt>
                  <c:pt idx="4">
                    <c:v>2010</c:v>
                  </c:pt>
                  <c:pt idx="8">
                    <c:v>2011</c:v>
                  </c:pt>
                  <c:pt idx="12">
                    <c:v>2012</c:v>
                  </c:pt>
                  <c:pt idx="16">
                    <c:v>2013</c:v>
                  </c:pt>
                  <c:pt idx="20">
                    <c:v>2014</c:v>
                  </c:pt>
                  <c:pt idx="24">
                    <c:v>2015</c:v>
                  </c:pt>
                  <c:pt idx="28">
                    <c:v>2016</c:v>
                  </c:pt>
                  <c:pt idx="32">
                    <c:v>2017</c:v>
                  </c:pt>
                  <c:pt idx="36">
                    <c:v>2018</c:v>
                  </c:pt>
                  <c:pt idx="40">
                    <c:v>2019</c:v>
                  </c:pt>
                </c:lvl>
              </c:multiLvlStrCache>
            </c:multiLvlStrRef>
          </c:cat>
          <c:val>
            <c:numRef>
              <c:f>Repossession!$C$7:$C$50</c:f>
              <c:numCache>
                <c:formatCode>#,##0</c:formatCode>
                <c:ptCount val="43"/>
                <c:pt idx="0">
                  <c:v>13000</c:v>
                </c:pt>
                <c:pt idx="1">
                  <c:v>12000</c:v>
                </c:pt>
                <c:pt idx="2">
                  <c:v>12400</c:v>
                </c:pt>
                <c:pt idx="3">
                  <c:v>10900</c:v>
                </c:pt>
                <c:pt idx="4">
                  <c:v>10800</c:v>
                </c:pt>
                <c:pt idx="5">
                  <c:v>9800</c:v>
                </c:pt>
                <c:pt idx="6">
                  <c:v>9300</c:v>
                </c:pt>
                <c:pt idx="7">
                  <c:v>8200</c:v>
                </c:pt>
                <c:pt idx="8">
                  <c:v>9600</c:v>
                </c:pt>
                <c:pt idx="9">
                  <c:v>9300</c:v>
                </c:pt>
                <c:pt idx="10">
                  <c:v>9500</c:v>
                </c:pt>
                <c:pt idx="11">
                  <c:v>8700</c:v>
                </c:pt>
                <c:pt idx="12">
                  <c:v>9600</c:v>
                </c:pt>
                <c:pt idx="13">
                  <c:v>8500</c:v>
                </c:pt>
                <c:pt idx="14">
                  <c:v>8200</c:v>
                </c:pt>
                <c:pt idx="15">
                  <c:v>7700</c:v>
                </c:pt>
                <c:pt idx="16">
                  <c:v>8000</c:v>
                </c:pt>
                <c:pt idx="17">
                  <c:v>7600</c:v>
                </c:pt>
                <c:pt idx="18">
                  <c:v>7200</c:v>
                </c:pt>
                <c:pt idx="19">
                  <c:v>6100</c:v>
                </c:pt>
                <c:pt idx="20">
                  <c:v>6400</c:v>
                </c:pt>
                <c:pt idx="21">
                  <c:v>5400</c:v>
                </c:pt>
                <c:pt idx="22">
                  <c:v>5000</c:v>
                </c:pt>
                <c:pt idx="23">
                  <c:v>4100</c:v>
                </c:pt>
                <c:pt idx="24">
                  <c:v>3000</c:v>
                </c:pt>
                <c:pt idx="25" formatCode="_-* #,##0_-;\-* #,##0_-;_-* &quot;-&quot;??_-;_-@_-">
                  <c:v>2500</c:v>
                </c:pt>
                <c:pt idx="26" formatCode="_-* #,##0_-;\-* #,##0_-;_-* &quot;-&quot;??_-;_-@_-">
                  <c:v>2500</c:v>
                </c:pt>
                <c:pt idx="27">
                  <c:v>2200</c:v>
                </c:pt>
                <c:pt idx="28">
                  <c:v>2120</c:v>
                </c:pt>
                <c:pt idx="29">
                  <c:v>1910</c:v>
                </c:pt>
                <c:pt idx="30">
                  <c:v>1870</c:v>
                </c:pt>
                <c:pt idx="31">
                  <c:v>1800</c:v>
                </c:pt>
                <c:pt idx="32">
                  <c:v>1880</c:v>
                </c:pt>
                <c:pt idx="33">
                  <c:v>1800</c:v>
                </c:pt>
                <c:pt idx="34">
                  <c:v>1940</c:v>
                </c:pt>
                <c:pt idx="35">
                  <c:v>1710</c:v>
                </c:pt>
                <c:pt idx="36">
                  <c:v>1910</c:v>
                </c:pt>
                <c:pt idx="37">
                  <c:v>1600</c:v>
                </c:pt>
                <c:pt idx="38">
                  <c:v>1590</c:v>
                </c:pt>
                <c:pt idx="39">
                  <c:v>1650</c:v>
                </c:pt>
                <c:pt idx="40">
                  <c:v>1940</c:v>
                </c:pt>
                <c:pt idx="41">
                  <c:v>1860</c:v>
                </c:pt>
                <c:pt idx="42">
                  <c:v>2130</c:v>
                </c:pt>
              </c:numCache>
            </c:numRef>
          </c:val>
          <c:smooth val="0"/>
          <c:extLst>
            <c:ext xmlns:c16="http://schemas.microsoft.com/office/drawing/2014/chart" uri="{C3380CC4-5D6E-409C-BE32-E72D297353CC}">
              <c16:uniqueId val="{00000001-1239-452A-8260-808D7A83C413}"/>
            </c:ext>
          </c:extLst>
        </c:ser>
        <c:ser>
          <c:idx val="1"/>
          <c:order val="1"/>
          <c:tx>
            <c:strRef>
              <c:f>Repossession!$D$6</c:f>
              <c:strCache>
                <c:ptCount val="1"/>
                <c:pt idx="0">
                  <c:v>Landlord repossession</c:v>
                </c:pt>
              </c:strCache>
            </c:strRef>
          </c:tx>
          <c:spPr>
            <a:ln w="28575" cap="rnd">
              <a:solidFill>
                <a:schemeClr val="accent2"/>
              </a:solidFill>
              <a:round/>
            </a:ln>
            <a:effectLst/>
          </c:spPr>
          <c:marker>
            <c:symbol val="none"/>
          </c:marker>
          <c:cat>
            <c:multiLvlStrRef>
              <c:f>Repossession!$A$7:$B$50</c:f>
              <c:multiLvlStrCache>
                <c:ptCount val="43"/>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 </c:v>
                  </c:pt>
                  <c:pt idx="27">
                    <c:v>Q4 </c:v>
                  </c:pt>
                  <c:pt idx="28">
                    <c:v>Q1 </c:v>
                  </c:pt>
                  <c:pt idx="29">
                    <c:v>Q2</c:v>
                  </c:pt>
                  <c:pt idx="30">
                    <c:v>Q3</c:v>
                  </c:pt>
                  <c:pt idx="31">
                    <c:v>Q4</c:v>
                  </c:pt>
                  <c:pt idx="32">
                    <c:v>Q1</c:v>
                  </c:pt>
                  <c:pt idx="33">
                    <c:v>Q2</c:v>
                  </c:pt>
                  <c:pt idx="34">
                    <c:v>Q3</c:v>
                  </c:pt>
                  <c:pt idx="35">
                    <c:v>Q4</c:v>
                  </c:pt>
                  <c:pt idx="36">
                    <c:v>Q1</c:v>
                  </c:pt>
                  <c:pt idx="37">
                    <c:v>Q2</c:v>
                  </c:pt>
                  <c:pt idx="38">
                    <c:v>Q3</c:v>
                  </c:pt>
                  <c:pt idx="39">
                    <c:v>Q4</c:v>
                  </c:pt>
                  <c:pt idx="40">
                    <c:v>Q1</c:v>
                  </c:pt>
                  <c:pt idx="41">
                    <c:v>Q2</c:v>
                  </c:pt>
                  <c:pt idx="42">
                    <c:v>Q3</c:v>
                  </c:pt>
                </c:lvl>
                <c:lvl>
                  <c:pt idx="0">
                    <c:v>2009</c:v>
                  </c:pt>
                  <c:pt idx="4">
                    <c:v>2010</c:v>
                  </c:pt>
                  <c:pt idx="8">
                    <c:v>2011</c:v>
                  </c:pt>
                  <c:pt idx="12">
                    <c:v>2012</c:v>
                  </c:pt>
                  <c:pt idx="16">
                    <c:v>2013</c:v>
                  </c:pt>
                  <c:pt idx="20">
                    <c:v>2014</c:v>
                  </c:pt>
                  <c:pt idx="24">
                    <c:v>2015</c:v>
                  </c:pt>
                  <c:pt idx="28">
                    <c:v>2016</c:v>
                  </c:pt>
                  <c:pt idx="32">
                    <c:v>2017</c:v>
                  </c:pt>
                  <c:pt idx="36">
                    <c:v>2018</c:v>
                  </c:pt>
                  <c:pt idx="40">
                    <c:v>2019</c:v>
                  </c:pt>
                </c:lvl>
              </c:multiLvlStrCache>
            </c:multiLvlStrRef>
          </c:cat>
          <c:val>
            <c:numRef>
              <c:f>Repossession!$D$7:$D$50</c:f>
              <c:numCache>
                <c:formatCode>#,##0</c:formatCode>
                <c:ptCount val="43"/>
                <c:pt idx="0">
                  <c:v>7221</c:v>
                </c:pt>
                <c:pt idx="1">
                  <c:v>6503</c:v>
                </c:pt>
                <c:pt idx="2">
                  <c:v>6587</c:v>
                </c:pt>
                <c:pt idx="3">
                  <c:v>6565</c:v>
                </c:pt>
                <c:pt idx="4">
                  <c:v>7074</c:v>
                </c:pt>
                <c:pt idx="5">
                  <c:v>6884</c:v>
                </c:pt>
                <c:pt idx="6">
                  <c:v>7486</c:v>
                </c:pt>
                <c:pt idx="7">
                  <c:v>7510</c:v>
                </c:pt>
                <c:pt idx="8">
                  <c:v>8081</c:v>
                </c:pt>
                <c:pt idx="9">
                  <c:v>7694</c:v>
                </c:pt>
                <c:pt idx="10">
                  <c:v>8492</c:v>
                </c:pt>
                <c:pt idx="11">
                  <c:v>7832</c:v>
                </c:pt>
                <c:pt idx="12">
                  <c:v>8808</c:v>
                </c:pt>
                <c:pt idx="13">
                  <c:v>8479</c:v>
                </c:pt>
                <c:pt idx="14">
                  <c:v>9204</c:v>
                </c:pt>
                <c:pt idx="15">
                  <c:v>9241</c:v>
                </c:pt>
                <c:pt idx="16">
                  <c:v>9758</c:v>
                </c:pt>
                <c:pt idx="17">
                  <c:v>9357</c:v>
                </c:pt>
                <c:pt idx="18">
                  <c:v>10109</c:v>
                </c:pt>
                <c:pt idx="19">
                  <c:v>9946</c:v>
                </c:pt>
                <c:pt idx="20">
                  <c:v>10785</c:v>
                </c:pt>
                <c:pt idx="21">
                  <c:v>9965</c:v>
                </c:pt>
                <c:pt idx="22">
                  <c:v>10302</c:v>
                </c:pt>
                <c:pt idx="23">
                  <c:v>9816</c:v>
                </c:pt>
                <c:pt idx="24">
                  <c:v>10613</c:v>
                </c:pt>
                <c:pt idx="25">
                  <c:v>9935</c:v>
                </c:pt>
                <c:pt idx="26">
                  <c:v>10079</c:v>
                </c:pt>
                <c:pt idx="27" formatCode="_-* #,##0_-;\-* #,##0_-;_-* &quot;-&quot;??_-;_-@_-">
                  <c:v>9499</c:v>
                </c:pt>
                <c:pt idx="28" formatCode="_-* #,##0_-;\-* #,##0_-;_-* &quot;-&quot;??_-;_-@_-">
                  <c:v>9490</c:v>
                </c:pt>
                <c:pt idx="29" formatCode="_-* #,##0_-;\-* #,##0_-;_-* &quot;-&quot;??_-;_-@_-">
                  <c:v>9427</c:v>
                </c:pt>
                <c:pt idx="30" formatCode="_-* #,##0_-;\-* #,##0_-;_-* &quot;-&quot;??_-;_-@_-">
                  <c:v>9017</c:v>
                </c:pt>
                <c:pt idx="31" formatCode="_-* #,##0_-;\-* #,##0_-;_-* &quot;-&quot;??_-;_-@_-">
                  <c:v>7879</c:v>
                </c:pt>
                <c:pt idx="32" formatCode="_-* #,##0_-;\-* #,##0_-;_-* &quot;-&quot;??_-;_-@_-">
                  <c:v>8575</c:v>
                </c:pt>
                <c:pt idx="33" formatCode="_-* #,##0_-;\-* #,##0_-;_-* &quot;-&quot;??_-;_-@_-">
                  <c:v>8163</c:v>
                </c:pt>
                <c:pt idx="34" formatCode="_-* #,##0_-;\-* #,##0_-;_-* &quot;-&quot;??_-;_-@_-">
                  <c:v>8270</c:v>
                </c:pt>
                <c:pt idx="35" formatCode="_-* #,##0_-;\-* #,##0_-;_-* &quot;-&quot;??_-;_-@_-">
                  <c:v>7406</c:v>
                </c:pt>
                <c:pt idx="36" formatCode="_-* #,##0_-;\-* #,##0_-;_-* &quot;-&quot;??_-;_-@_-">
                  <c:v>7196</c:v>
                </c:pt>
                <c:pt idx="37" formatCode="_-* #,##0_-;\-* #,##0_-;_-* &quot;-&quot;??_-;_-@_-">
                  <c:v>7050</c:v>
                </c:pt>
                <c:pt idx="38" formatCode="_-* #,##0_-;\-* #,##0_-;_-* &quot;-&quot;??_-;_-@_-">
                  <c:v>6892</c:v>
                </c:pt>
                <c:pt idx="39" formatCode="_-* #,##0_-;\-* #,##0_-;_-* &quot;-&quot;??_-;_-@_-">
                  <c:v>5997</c:v>
                </c:pt>
                <c:pt idx="40" formatCode="_-* #,##0_-;\-* #,##0_-;_-* &quot;-&quot;??_-;_-@_-">
                  <c:v>5419</c:v>
                </c:pt>
                <c:pt idx="41" formatCode="_-* #,##0_-;\-* #,##0_-;_-* &quot;-&quot;??_-;_-@_-">
                  <c:v>3442</c:v>
                </c:pt>
                <c:pt idx="42" formatCode="_-* #,##0_-;\-* #,##0_-;_-* &quot;-&quot;??_-;_-@_-">
                  <c:v>3374</c:v>
                </c:pt>
              </c:numCache>
            </c:numRef>
          </c:val>
          <c:smooth val="0"/>
          <c:extLst>
            <c:ext xmlns:c16="http://schemas.microsoft.com/office/drawing/2014/chart" uri="{C3380CC4-5D6E-409C-BE32-E72D297353CC}">
              <c16:uniqueId val="{00000004-1239-452A-8260-808D7A83C413}"/>
            </c:ext>
          </c:extLst>
        </c:ser>
        <c:dLbls>
          <c:showLegendKey val="0"/>
          <c:showVal val="0"/>
          <c:showCatName val="0"/>
          <c:showSerName val="0"/>
          <c:showPercent val="0"/>
          <c:showBubbleSize val="0"/>
        </c:dLbls>
        <c:smooth val="0"/>
        <c:axId val="471285472"/>
        <c:axId val="471287440"/>
      </c:lineChart>
      <c:catAx>
        <c:axId val="47128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287440"/>
        <c:crosses val="autoZero"/>
        <c:auto val="1"/>
        <c:lblAlgn val="ctr"/>
        <c:lblOffset val="100"/>
        <c:noMultiLvlLbl val="0"/>
      </c:catAx>
      <c:valAx>
        <c:axId val="4712874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285472"/>
        <c:crosses val="autoZero"/>
        <c:crossBetween val="between"/>
      </c:valAx>
      <c:spPr>
        <a:noFill/>
        <a:ln>
          <a:noFill/>
        </a:ln>
        <a:effectLst/>
      </c:spPr>
    </c:plotArea>
    <c:legend>
      <c:legendPos val="b"/>
      <c:layout>
        <c:manualLayout>
          <c:xMode val="edge"/>
          <c:yMode val="edge"/>
          <c:x val="0.1651851624015748"/>
          <c:y val="6.0763342082239678E-2"/>
          <c:w val="0.75747682906824154"/>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'LLord typ repos'!$D$6</c:f>
              <c:strCache>
                <c:ptCount val="1"/>
                <c:pt idx="0">
                  <c:v>Acccelerated (near lease end)</c:v>
                </c:pt>
              </c:strCache>
            </c:strRef>
          </c:tx>
          <c:spPr>
            <a:ln w="28575" cap="rnd">
              <a:solidFill>
                <a:schemeClr val="accent1"/>
              </a:solidFill>
              <a:round/>
            </a:ln>
            <a:effectLst/>
          </c:spPr>
          <c:marker>
            <c:symbol val="none"/>
          </c:marker>
          <c:cat>
            <c:multiLvlStrRef>
              <c:f>'LLord typ repos'!$B$7:$C$50</c:f>
              <c:multiLvlStrCache>
                <c:ptCount val="44"/>
                <c:lvl>
                  <c:pt idx="0">
                    <c:v> Q1</c:v>
                  </c:pt>
                  <c:pt idx="1">
                    <c:v> Q2</c:v>
                  </c:pt>
                  <c:pt idx="2">
                    <c:v> Q3</c:v>
                  </c:pt>
                  <c:pt idx="3">
                    <c:v> Q4</c:v>
                  </c:pt>
                  <c:pt idx="4">
                    <c:v> Q1</c:v>
                  </c:pt>
                  <c:pt idx="5">
                    <c:v> Q2</c:v>
                  </c:pt>
                  <c:pt idx="6">
                    <c:v> Q3</c:v>
                  </c:pt>
                  <c:pt idx="7">
                    <c:v> Q4</c:v>
                  </c:pt>
                  <c:pt idx="8">
                    <c:v> Q1</c:v>
                  </c:pt>
                  <c:pt idx="9">
                    <c:v> Q2</c:v>
                  </c:pt>
                  <c:pt idx="10">
                    <c:v> Q3</c:v>
                  </c:pt>
                  <c:pt idx="11">
                    <c:v> Q4</c:v>
                  </c:pt>
                  <c:pt idx="12">
                    <c:v> Q1</c:v>
                  </c:pt>
                  <c:pt idx="13">
                    <c:v> Q2</c:v>
                  </c:pt>
                  <c:pt idx="14">
                    <c:v> Q3 </c:v>
                  </c:pt>
                  <c:pt idx="15">
                    <c:v> Q4</c:v>
                  </c:pt>
                  <c:pt idx="16">
                    <c:v> Q1</c:v>
                  </c:pt>
                  <c:pt idx="17">
                    <c:v> Q2</c:v>
                  </c:pt>
                  <c:pt idx="18">
                    <c:v> Q3 </c:v>
                  </c:pt>
                  <c:pt idx="19">
                    <c:v> Q4 </c:v>
                  </c:pt>
                  <c:pt idx="20">
                    <c:v> Q1</c:v>
                  </c:pt>
                  <c:pt idx="21">
                    <c:v> Q2</c:v>
                  </c:pt>
                  <c:pt idx="22">
                    <c:v> Q3</c:v>
                  </c:pt>
                  <c:pt idx="23">
                    <c:v> Q4</c:v>
                  </c:pt>
                  <c:pt idx="24">
                    <c:v> Q1</c:v>
                  </c:pt>
                  <c:pt idx="25">
                    <c:v> Q2</c:v>
                  </c:pt>
                  <c:pt idx="26">
                    <c:v> Q3 </c:v>
                  </c:pt>
                  <c:pt idx="27">
                    <c:v> Q4 </c:v>
                  </c:pt>
                  <c:pt idx="28">
                    <c:v> Q1 </c:v>
                  </c:pt>
                  <c:pt idx="29">
                    <c:v> Q2</c:v>
                  </c:pt>
                  <c:pt idx="30">
                    <c:v> Q3</c:v>
                  </c:pt>
                  <c:pt idx="31">
                    <c:v> Q4</c:v>
                  </c:pt>
                  <c:pt idx="32">
                    <c:v> Q1</c:v>
                  </c:pt>
                  <c:pt idx="33">
                    <c:v> Q2</c:v>
                  </c:pt>
                  <c:pt idx="34">
                    <c:v> Q3</c:v>
                  </c:pt>
                  <c:pt idx="35">
                    <c:v>Q4</c:v>
                  </c:pt>
                  <c:pt idx="36">
                    <c:v> Q1</c:v>
                  </c:pt>
                  <c:pt idx="37">
                    <c:v> Q2</c:v>
                  </c:pt>
                  <c:pt idx="38">
                    <c:v> Q3</c:v>
                  </c:pt>
                  <c:pt idx="39">
                    <c:v> Q4 (r)</c:v>
                  </c:pt>
                  <c:pt idx="40">
                    <c:v> Q1</c:v>
                  </c:pt>
                  <c:pt idx="41">
                    <c:v> Q2</c:v>
                  </c:pt>
                  <c:pt idx="42">
                    <c:v> Q3</c:v>
                  </c:pt>
                  <c:pt idx="43">
                    <c:v>Q4</c:v>
                  </c:pt>
                </c:lvl>
                <c:lvl>
                  <c:pt idx="0">
                    <c:v>2009</c:v>
                  </c:pt>
                  <c:pt idx="4">
                    <c:v>2010</c:v>
                  </c:pt>
                  <c:pt idx="8">
                    <c:v>2011</c:v>
                  </c:pt>
                  <c:pt idx="12">
                    <c:v>2012</c:v>
                  </c:pt>
                  <c:pt idx="16">
                    <c:v>2013</c:v>
                  </c:pt>
                  <c:pt idx="20">
                    <c:v>2014</c:v>
                  </c:pt>
                  <c:pt idx="24">
                    <c:v>2015</c:v>
                  </c:pt>
                  <c:pt idx="28">
                    <c:v>2016</c:v>
                  </c:pt>
                  <c:pt idx="32">
                    <c:v>2017</c:v>
                  </c:pt>
                  <c:pt idx="36">
                    <c:v>2018</c:v>
                  </c:pt>
                  <c:pt idx="40">
                    <c:v>2019</c:v>
                  </c:pt>
                </c:lvl>
              </c:multiLvlStrCache>
            </c:multiLvlStrRef>
          </c:cat>
          <c:val>
            <c:numRef>
              <c:f>'LLord typ repos'!$D$7:$D$50</c:f>
              <c:numCache>
                <c:formatCode>#,##0</c:formatCode>
                <c:ptCount val="44"/>
                <c:pt idx="0">
                  <c:v>1375</c:v>
                </c:pt>
                <c:pt idx="1">
                  <c:v>1198</c:v>
                </c:pt>
                <c:pt idx="2">
                  <c:v>1271</c:v>
                </c:pt>
                <c:pt idx="3">
                  <c:v>1117</c:v>
                </c:pt>
                <c:pt idx="4">
                  <c:v>1268</c:v>
                </c:pt>
                <c:pt idx="5">
                  <c:v>1234</c:v>
                </c:pt>
                <c:pt idx="6">
                  <c:v>1649</c:v>
                </c:pt>
                <c:pt idx="7">
                  <c:v>1490</c:v>
                </c:pt>
                <c:pt idx="8">
                  <c:v>1725</c:v>
                </c:pt>
                <c:pt idx="9">
                  <c:v>1827</c:v>
                </c:pt>
                <c:pt idx="10">
                  <c:v>2028</c:v>
                </c:pt>
                <c:pt idx="11">
                  <c:v>2254</c:v>
                </c:pt>
                <c:pt idx="12">
                  <c:v>2416</c:v>
                </c:pt>
                <c:pt idx="13">
                  <c:v>2469</c:v>
                </c:pt>
                <c:pt idx="14">
                  <c:v>2947</c:v>
                </c:pt>
                <c:pt idx="15">
                  <c:v>2906</c:v>
                </c:pt>
                <c:pt idx="16">
                  <c:v>3002</c:v>
                </c:pt>
                <c:pt idx="17">
                  <c:v>3149</c:v>
                </c:pt>
                <c:pt idx="18">
                  <c:v>3068</c:v>
                </c:pt>
                <c:pt idx="19">
                  <c:v>3097</c:v>
                </c:pt>
                <c:pt idx="20">
                  <c:v>3249</c:v>
                </c:pt>
                <c:pt idx="21">
                  <c:v>3563</c:v>
                </c:pt>
                <c:pt idx="22">
                  <c:v>3810</c:v>
                </c:pt>
                <c:pt idx="23">
                  <c:v>3839</c:v>
                </c:pt>
                <c:pt idx="24">
                  <c:v>4092</c:v>
                </c:pt>
                <c:pt idx="25">
                  <c:v>4037</c:v>
                </c:pt>
                <c:pt idx="26">
                  <c:v>4437</c:v>
                </c:pt>
                <c:pt idx="27">
                  <c:v>3873</c:v>
                </c:pt>
                <c:pt idx="28">
                  <c:v>4127</c:v>
                </c:pt>
                <c:pt idx="29">
                  <c:v>4266</c:v>
                </c:pt>
                <c:pt idx="30">
                  <c:v>3687</c:v>
                </c:pt>
                <c:pt idx="31">
                  <c:v>3667</c:v>
                </c:pt>
                <c:pt idx="32">
                  <c:v>3511</c:v>
                </c:pt>
                <c:pt idx="33">
                  <c:v>3130</c:v>
                </c:pt>
                <c:pt idx="34">
                  <c:v>3171</c:v>
                </c:pt>
                <c:pt idx="35">
                  <c:v>2898</c:v>
                </c:pt>
                <c:pt idx="36">
                  <c:v>2791</c:v>
                </c:pt>
                <c:pt idx="37">
                  <c:v>2670</c:v>
                </c:pt>
                <c:pt idx="38">
                  <c:v>2316</c:v>
                </c:pt>
                <c:pt idx="39">
                  <c:v>2350</c:v>
                </c:pt>
                <c:pt idx="40">
                  <c:v>2297</c:v>
                </c:pt>
                <c:pt idx="41">
                  <c:v>2009</c:v>
                </c:pt>
                <c:pt idx="42">
                  <c:v>1946</c:v>
                </c:pt>
                <c:pt idx="43">
                  <c:v>1852</c:v>
                </c:pt>
              </c:numCache>
            </c:numRef>
          </c:val>
          <c:smooth val="0"/>
          <c:extLst>
            <c:ext xmlns:c16="http://schemas.microsoft.com/office/drawing/2014/chart" uri="{C3380CC4-5D6E-409C-BE32-E72D297353CC}">
              <c16:uniqueId val="{00000000-4B9D-4F59-A51A-92B04BD4C801}"/>
            </c:ext>
          </c:extLst>
        </c:ser>
        <c:ser>
          <c:idx val="1"/>
          <c:order val="1"/>
          <c:tx>
            <c:strRef>
              <c:f>'LLord typ repos'!$E$6</c:f>
              <c:strCache>
                <c:ptCount val="1"/>
                <c:pt idx="0">
                  <c:v>Private landlord</c:v>
                </c:pt>
              </c:strCache>
            </c:strRef>
          </c:tx>
          <c:spPr>
            <a:ln w="28575" cap="rnd">
              <a:solidFill>
                <a:schemeClr val="accent2"/>
              </a:solidFill>
              <a:round/>
            </a:ln>
            <a:effectLst/>
          </c:spPr>
          <c:marker>
            <c:symbol val="none"/>
          </c:marker>
          <c:cat>
            <c:multiLvlStrRef>
              <c:f>'LLord typ repos'!$B$7:$C$50</c:f>
              <c:multiLvlStrCache>
                <c:ptCount val="44"/>
                <c:lvl>
                  <c:pt idx="0">
                    <c:v> Q1</c:v>
                  </c:pt>
                  <c:pt idx="1">
                    <c:v> Q2</c:v>
                  </c:pt>
                  <c:pt idx="2">
                    <c:v> Q3</c:v>
                  </c:pt>
                  <c:pt idx="3">
                    <c:v> Q4</c:v>
                  </c:pt>
                  <c:pt idx="4">
                    <c:v> Q1</c:v>
                  </c:pt>
                  <c:pt idx="5">
                    <c:v> Q2</c:v>
                  </c:pt>
                  <c:pt idx="6">
                    <c:v> Q3</c:v>
                  </c:pt>
                  <c:pt idx="7">
                    <c:v> Q4</c:v>
                  </c:pt>
                  <c:pt idx="8">
                    <c:v> Q1</c:v>
                  </c:pt>
                  <c:pt idx="9">
                    <c:v> Q2</c:v>
                  </c:pt>
                  <c:pt idx="10">
                    <c:v> Q3</c:v>
                  </c:pt>
                  <c:pt idx="11">
                    <c:v> Q4</c:v>
                  </c:pt>
                  <c:pt idx="12">
                    <c:v> Q1</c:v>
                  </c:pt>
                  <c:pt idx="13">
                    <c:v> Q2</c:v>
                  </c:pt>
                  <c:pt idx="14">
                    <c:v> Q3 </c:v>
                  </c:pt>
                  <c:pt idx="15">
                    <c:v> Q4</c:v>
                  </c:pt>
                  <c:pt idx="16">
                    <c:v> Q1</c:v>
                  </c:pt>
                  <c:pt idx="17">
                    <c:v> Q2</c:v>
                  </c:pt>
                  <c:pt idx="18">
                    <c:v> Q3 </c:v>
                  </c:pt>
                  <c:pt idx="19">
                    <c:v> Q4 </c:v>
                  </c:pt>
                  <c:pt idx="20">
                    <c:v> Q1</c:v>
                  </c:pt>
                  <c:pt idx="21">
                    <c:v> Q2</c:v>
                  </c:pt>
                  <c:pt idx="22">
                    <c:v> Q3</c:v>
                  </c:pt>
                  <c:pt idx="23">
                    <c:v> Q4</c:v>
                  </c:pt>
                  <c:pt idx="24">
                    <c:v> Q1</c:v>
                  </c:pt>
                  <c:pt idx="25">
                    <c:v> Q2</c:v>
                  </c:pt>
                  <c:pt idx="26">
                    <c:v> Q3 </c:v>
                  </c:pt>
                  <c:pt idx="27">
                    <c:v> Q4 </c:v>
                  </c:pt>
                  <c:pt idx="28">
                    <c:v> Q1 </c:v>
                  </c:pt>
                  <c:pt idx="29">
                    <c:v> Q2</c:v>
                  </c:pt>
                  <c:pt idx="30">
                    <c:v> Q3</c:v>
                  </c:pt>
                  <c:pt idx="31">
                    <c:v> Q4</c:v>
                  </c:pt>
                  <c:pt idx="32">
                    <c:v> Q1</c:v>
                  </c:pt>
                  <c:pt idx="33">
                    <c:v> Q2</c:v>
                  </c:pt>
                  <c:pt idx="34">
                    <c:v> Q3</c:v>
                  </c:pt>
                  <c:pt idx="35">
                    <c:v>Q4</c:v>
                  </c:pt>
                  <c:pt idx="36">
                    <c:v> Q1</c:v>
                  </c:pt>
                  <c:pt idx="37">
                    <c:v> Q2</c:v>
                  </c:pt>
                  <c:pt idx="38">
                    <c:v> Q3</c:v>
                  </c:pt>
                  <c:pt idx="39">
                    <c:v> Q4 (r)</c:v>
                  </c:pt>
                  <c:pt idx="40">
                    <c:v> Q1</c:v>
                  </c:pt>
                  <c:pt idx="41">
                    <c:v> Q2</c:v>
                  </c:pt>
                  <c:pt idx="42">
                    <c:v> Q3</c:v>
                  </c:pt>
                  <c:pt idx="43">
                    <c:v>Q4</c:v>
                  </c:pt>
                </c:lvl>
                <c:lvl>
                  <c:pt idx="0">
                    <c:v>2009</c:v>
                  </c:pt>
                  <c:pt idx="4">
                    <c:v>2010</c:v>
                  </c:pt>
                  <c:pt idx="8">
                    <c:v>2011</c:v>
                  </c:pt>
                  <c:pt idx="12">
                    <c:v>2012</c:v>
                  </c:pt>
                  <c:pt idx="16">
                    <c:v>2013</c:v>
                  </c:pt>
                  <c:pt idx="20">
                    <c:v>2014</c:v>
                  </c:pt>
                  <c:pt idx="24">
                    <c:v>2015</c:v>
                  </c:pt>
                  <c:pt idx="28">
                    <c:v>2016</c:v>
                  </c:pt>
                  <c:pt idx="32">
                    <c:v>2017</c:v>
                  </c:pt>
                  <c:pt idx="36">
                    <c:v>2018</c:v>
                  </c:pt>
                  <c:pt idx="40">
                    <c:v>2019</c:v>
                  </c:pt>
                </c:lvl>
              </c:multiLvlStrCache>
            </c:multiLvlStrRef>
          </c:cat>
          <c:val>
            <c:numRef>
              <c:f>'LLord typ repos'!$E$7:$E$50</c:f>
              <c:numCache>
                <c:formatCode>#,##0</c:formatCode>
                <c:ptCount val="44"/>
                <c:pt idx="0">
                  <c:v>1218</c:v>
                </c:pt>
                <c:pt idx="1">
                  <c:v>977</c:v>
                </c:pt>
                <c:pt idx="2">
                  <c:v>1214</c:v>
                </c:pt>
                <c:pt idx="3">
                  <c:v>1087</c:v>
                </c:pt>
                <c:pt idx="4">
                  <c:v>1302</c:v>
                </c:pt>
                <c:pt idx="5">
                  <c:v>1293</c:v>
                </c:pt>
                <c:pt idx="6">
                  <c:v>1342</c:v>
                </c:pt>
                <c:pt idx="7">
                  <c:v>1202</c:v>
                </c:pt>
                <c:pt idx="8">
                  <c:v>1403</c:v>
                </c:pt>
                <c:pt idx="9">
                  <c:v>1351</c:v>
                </c:pt>
                <c:pt idx="10">
                  <c:v>1577</c:v>
                </c:pt>
                <c:pt idx="11">
                  <c:v>1350</c:v>
                </c:pt>
                <c:pt idx="12">
                  <c:v>1498</c:v>
                </c:pt>
                <c:pt idx="13">
                  <c:v>1403</c:v>
                </c:pt>
                <c:pt idx="14">
                  <c:v>1538</c:v>
                </c:pt>
                <c:pt idx="15">
                  <c:v>1516</c:v>
                </c:pt>
                <c:pt idx="16">
                  <c:v>1483</c:v>
                </c:pt>
                <c:pt idx="17">
                  <c:v>1516</c:v>
                </c:pt>
                <c:pt idx="18">
                  <c:v>1469</c:v>
                </c:pt>
                <c:pt idx="19">
                  <c:v>1440</c:v>
                </c:pt>
                <c:pt idx="20">
                  <c:v>1500</c:v>
                </c:pt>
                <c:pt idx="21">
                  <c:v>1465</c:v>
                </c:pt>
                <c:pt idx="22">
                  <c:v>1687</c:v>
                </c:pt>
                <c:pt idx="23">
                  <c:v>1545</c:v>
                </c:pt>
                <c:pt idx="24">
                  <c:v>1584</c:v>
                </c:pt>
                <c:pt idx="25">
                  <c:v>1469</c:v>
                </c:pt>
                <c:pt idx="26">
                  <c:v>1529</c:v>
                </c:pt>
                <c:pt idx="27">
                  <c:v>1337</c:v>
                </c:pt>
                <c:pt idx="28">
                  <c:v>1568</c:v>
                </c:pt>
                <c:pt idx="29">
                  <c:v>1467</c:v>
                </c:pt>
                <c:pt idx="30">
                  <c:v>1443</c:v>
                </c:pt>
                <c:pt idx="31">
                  <c:v>1374</c:v>
                </c:pt>
                <c:pt idx="32">
                  <c:v>1539</c:v>
                </c:pt>
                <c:pt idx="33">
                  <c:v>1512</c:v>
                </c:pt>
                <c:pt idx="34">
                  <c:v>1503</c:v>
                </c:pt>
                <c:pt idx="35">
                  <c:v>1544</c:v>
                </c:pt>
                <c:pt idx="36">
                  <c:v>1553</c:v>
                </c:pt>
                <c:pt idx="37">
                  <c:v>1704</c:v>
                </c:pt>
                <c:pt idx="38">
                  <c:v>1777</c:v>
                </c:pt>
                <c:pt idx="39">
                  <c:v>1681</c:v>
                </c:pt>
                <c:pt idx="40">
                  <c:v>1783</c:v>
                </c:pt>
                <c:pt idx="41">
                  <c:v>1666</c:v>
                </c:pt>
                <c:pt idx="42">
                  <c:v>1797</c:v>
                </c:pt>
                <c:pt idx="43">
                  <c:v>1821</c:v>
                </c:pt>
              </c:numCache>
            </c:numRef>
          </c:val>
          <c:smooth val="0"/>
          <c:extLst>
            <c:ext xmlns:c16="http://schemas.microsoft.com/office/drawing/2014/chart" uri="{C3380CC4-5D6E-409C-BE32-E72D297353CC}">
              <c16:uniqueId val="{00000001-4B9D-4F59-A51A-92B04BD4C801}"/>
            </c:ext>
          </c:extLst>
        </c:ser>
        <c:ser>
          <c:idx val="2"/>
          <c:order val="2"/>
          <c:tx>
            <c:strRef>
              <c:f>'LLord typ repos'!$F$6</c:f>
              <c:strCache>
                <c:ptCount val="1"/>
                <c:pt idx="0">
                  <c:v>Social landlord</c:v>
                </c:pt>
              </c:strCache>
            </c:strRef>
          </c:tx>
          <c:spPr>
            <a:ln w="28575" cap="rnd">
              <a:solidFill>
                <a:schemeClr val="accent3"/>
              </a:solidFill>
              <a:round/>
            </a:ln>
            <a:effectLst/>
          </c:spPr>
          <c:marker>
            <c:symbol val="none"/>
          </c:marker>
          <c:cat>
            <c:multiLvlStrRef>
              <c:f>'LLord typ repos'!$B$7:$C$50</c:f>
              <c:multiLvlStrCache>
                <c:ptCount val="44"/>
                <c:lvl>
                  <c:pt idx="0">
                    <c:v> Q1</c:v>
                  </c:pt>
                  <c:pt idx="1">
                    <c:v> Q2</c:v>
                  </c:pt>
                  <c:pt idx="2">
                    <c:v> Q3</c:v>
                  </c:pt>
                  <c:pt idx="3">
                    <c:v> Q4</c:v>
                  </c:pt>
                  <c:pt idx="4">
                    <c:v> Q1</c:v>
                  </c:pt>
                  <c:pt idx="5">
                    <c:v> Q2</c:v>
                  </c:pt>
                  <c:pt idx="6">
                    <c:v> Q3</c:v>
                  </c:pt>
                  <c:pt idx="7">
                    <c:v> Q4</c:v>
                  </c:pt>
                  <c:pt idx="8">
                    <c:v> Q1</c:v>
                  </c:pt>
                  <c:pt idx="9">
                    <c:v> Q2</c:v>
                  </c:pt>
                  <c:pt idx="10">
                    <c:v> Q3</c:v>
                  </c:pt>
                  <c:pt idx="11">
                    <c:v> Q4</c:v>
                  </c:pt>
                  <c:pt idx="12">
                    <c:v> Q1</c:v>
                  </c:pt>
                  <c:pt idx="13">
                    <c:v> Q2</c:v>
                  </c:pt>
                  <c:pt idx="14">
                    <c:v> Q3 </c:v>
                  </c:pt>
                  <c:pt idx="15">
                    <c:v> Q4</c:v>
                  </c:pt>
                  <c:pt idx="16">
                    <c:v> Q1</c:v>
                  </c:pt>
                  <c:pt idx="17">
                    <c:v> Q2</c:v>
                  </c:pt>
                  <c:pt idx="18">
                    <c:v> Q3 </c:v>
                  </c:pt>
                  <c:pt idx="19">
                    <c:v> Q4 </c:v>
                  </c:pt>
                  <c:pt idx="20">
                    <c:v> Q1</c:v>
                  </c:pt>
                  <c:pt idx="21">
                    <c:v> Q2</c:v>
                  </c:pt>
                  <c:pt idx="22">
                    <c:v> Q3</c:v>
                  </c:pt>
                  <c:pt idx="23">
                    <c:v> Q4</c:v>
                  </c:pt>
                  <c:pt idx="24">
                    <c:v> Q1</c:v>
                  </c:pt>
                  <c:pt idx="25">
                    <c:v> Q2</c:v>
                  </c:pt>
                  <c:pt idx="26">
                    <c:v> Q3 </c:v>
                  </c:pt>
                  <c:pt idx="27">
                    <c:v> Q4 </c:v>
                  </c:pt>
                  <c:pt idx="28">
                    <c:v> Q1 </c:v>
                  </c:pt>
                  <c:pt idx="29">
                    <c:v> Q2</c:v>
                  </c:pt>
                  <c:pt idx="30">
                    <c:v> Q3</c:v>
                  </c:pt>
                  <c:pt idx="31">
                    <c:v> Q4</c:v>
                  </c:pt>
                  <c:pt idx="32">
                    <c:v> Q1</c:v>
                  </c:pt>
                  <c:pt idx="33">
                    <c:v> Q2</c:v>
                  </c:pt>
                  <c:pt idx="34">
                    <c:v> Q3</c:v>
                  </c:pt>
                  <c:pt idx="35">
                    <c:v>Q4</c:v>
                  </c:pt>
                  <c:pt idx="36">
                    <c:v> Q1</c:v>
                  </c:pt>
                  <c:pt idx="37">
                    <c:v> Q2</c:v>
                  </c:pt>
                  <c:pt idx="38">
                    <c:v> Q3</c:v>
                  </c:pt>
                  <c:pt idx="39">
                    <c:v> Q4 (r)</c:v>
                  </c:pt>
                  <c:pt idx="40">
                    <c:v> Q1</c:v>
                  </c:pt>
                  <c:pt idx="41">
                    <c:v> Q2</c:v>
                  </c:pt>
                  <c:pt idx="42">
                    <c:v> Q3</c:v>
                  </c:pt>
                  <c:pt idx="43">
                    <c:v>Q4</c:v>
                  </c:pt>
                </c:lvl>
                <c:lvl>
                  <c:pt idx="0">
                    <c:v>2009</c:v>
                  </c:pt>
                  <c:pt idx="4">
                    <c:v>2010</c:v>
                  </c:pt>
                  <c:pt idx="8">
                    <c:v>2011</c:v>
                  </c:pt>
                  <c:pt idx="12">
                    <c:v>2012</c:v>
                  </c:pt>
                  <c:pt idx="16">
                    <c:v>2013</c:v>
                  </c:pt>
                  <c:pt idx="20">
                    <c:v>2014</c:v>
                  </c:pt>
                  <c:pt idx="24">
                    <c:v>2015</c:v>
                  </c:pt>
                  <c:pt idx="28">
                    <c:v>2016</c:v>
                  </c:pt>
                  <c:pt idx="32">
                    <c:v>2017</c:v>
                  </c:pt>
                  <c:pt idx="36">
                    <c:v>2018</c:v>
                  </c:pt>
                  <c:pt idx="40">
                    <c:v>2019</c:v>
                  </c:pt>
                </c:lvl>
              </c:multiLvlStrCache>
            </c:multiLvlStrRef>
          </c:cat>
          <c:val>
            <c:numRef>
              <c:f>'LLord typ repos'!$F$7:$F$50</c:f>
              <c:numCache>
                <c:formatCode>#,##0</c:formatCode>
                <c:ptCount val="44"/>
                <c:pt idx="0">
                  <c:v>4982</c:v>
                </c:pt>
                <c:pt idx="1">
                  <c:v>4156</c:v>
                </c:pt>
                <c:pt idx="2">
                  <c:v>4397</c:v>
                </c:pt>
                <c:pt idx="3">
                  <c:v>3820</c:v>
                </c:pt>
                <c:pt idx="4">
                  <c:v>4586</c:v>
                </c:pt>
                <c:pt idx="5">
                  <c:v>3799</c:v>
                </c:pt>
                <c:pt idx="6">
                  <c:v>4056</c:v>
                </c:pt>
                <c:pt idx="7">
                  <c:v>3542</c:v>
                </c:pt>
                <c:pt idx="8">
                  <c:v>4521</c:v>
                </c:pt>
                <c:pt idx="9">
                  <c:v>3665</c:v>
                </c:pt>
                <c:pt idx="10">
                  <c:v>4848</c:v>
                </c:pt>
                <c:pt idx="11">
                  <c:v>4068</c:v>
                </c:pt>
                <c:pt idx="12">
                  <c:v>4400</c:v>
                </c:pt>
                <c:pt idx="13">
                  <c:v>3754</c:v>
                </c:pt>
                <c:pt idx="14">
                  <c:v>4044</c:v>
                </c:pt>
                <c:pt idx="15">
                  <c:v>3982</c:v>
                </c:pt>
                <c:pt idx="16">
                  <c:v>4519</c:v>
                </c:pt>
                <c:pt idx="17">
                  <c:v>4464</c:v>
                </c:pt>
                <c:pt idx="18">
                  <c:v>4636</c:v>
                </c:pt>
                <c:pt idx="19">
                  <c:v>4785</c:v>
                </c:pt>
                <c:pt idx="20">
                  <c:v>5333</c:v>
                </c:pt>
                <c:pt idx="21">
                  <c:v>4677</c:v>
                </c:pt>
                <c:pt idx="22">
                  <c:v>5272</c:v>
                </c:pt>
                <c:pt idx="23">
                  <c:v>4701</c:v>
                </c:pt>
                <c:pt idx="24">
                  <c:v>5259</c:v>
                </c:pt>
                <c:pt idx="25">
                  <c:v>4591</c:v>
                </c:pt>
                <c:pt idx="26">
                  <c:v>4971</c:v>
                </c:pt>
                <c:pt idx="27">
                  <c:v>4274</c:v>
                </c:pt>
                <c:pt idx="28">
                  <c:v>4944</c:v>
                </c:pt>
                <c:pt idx="29">
                  <c:v>4477</c:v>
                </c:pt>
                <c:pt idx="30">
                  <c:v>4310</c:v>
                </c:pt>
                <c:pt idx="31">
                  <c:v>3760</c:v>
                </c:pt>
                <c:pt idx="32">
                  <c:v>4085</c:v>
                </c:pt>
                <c:pt idx="33">
                  <c:v>3956</c:v>
                </c:pt>
                <c:pt idx="34">
                  <c:v>3918</c:v>
                </c:pt>
                <c:pt idx="35">
                  <c:v>3738</c:v>
                </c:pt>
                <c:pt idx="36">
                  <c:v>4140</c:v>
                </c:pt>
                <c:pt idx="37">
                  <c:v>3592</c:v>
                </c:pt>
                <c:pt idx="38">
                  <c:v>3871</c:v>
                </c:pt>
                <c:pt idx="39">
                  <c:v>3901</c:v>
                </c:pt>
                <c:pt idx="40">
                  <c:v>3975</c:v>
                </c:pt>
                <c:pt idx="41">
                  <c:v>3462</c:v>
                </c:pt>
                <c:pt idx="42">
                  <c:v>3432</c:v>
                </c:pt>
                <c:pt idx="43">
                  <c:v>3577</c:v>
                </c:pt>
              </c:numCache>
            </c:numRef>
          </c:val>
          <c:smooth val="0"/>
          <c:extLst>
            <c:ext xmlns:c16="http://schemas.microsoft.com/office/drawing/2014/chart" uri="{C3380CC4-5D6E-409C-BE32-E72D297353CC}">
              <c16:uniqueId val="{00000002-4B9D-4F59-A51A-92B04BD4C801}"/>
            </c:ext>
          </c:extLst>
        </c:ser>
        <c:dLbls>
          <c:showLegendKey val="0"/>
          <c:showVal val="0"/>
          <c:showCatName val="0"/>
          <c:showSerName val="0"/>
          <c:showPercent val="0"/>
          <c:showBubbleSize val="0"/>
        </c:dLbls>
        <c:smooth val="0"/>
        <c:axId val="447645136"/>
        <c:axId val="447635296"/>
      </c:lineChart>
      <c:catAx>
        <c:axId val="44764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635296"/>
        <c:crosses val="autoZero"/>
        <c:auto val="1"/>
        <c:lblAlgn val="ctr"/>
        <c:lblOffset val="100"/>
        <c:noMultiLvlLbl val="0"/>
      </c:catAx>
      <c:valAx>
        <c:axId val="44763529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64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22703412073491E-2"/>
          <c:y val="5.0925925925925923E-2"/>
          <c:w val="0.5875798337707786"/>
          <c:h val="0.75562736949547971"/>
        </c:manualLayout>
      </c:layout>
      <c:barChart>
        <c:barDir val="col"/>
        <c:grouping val="percentStacked"/>
        <c:varyColors val="0"/>
        <c:ser>
          <c:idx val="0"/>
          <c:order val="0"/>
          <c:tx>
            <c:strRef>
              <c:f>'FRS HCI'!$A$3</c:f>
              <c:strCache>
                <c:ptCount val="1"/>
                <c:pt idx="0">
                  <c:v>Adult(s) have this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'FRS HCI'!$B$2:$L$2</c:f>
              <c:strCache>
                <c:ptCount val="11"/>
                <c:pt idx="0">
                  <c:v>2008/09</c:v>
                </c:pt>
                <c:pt idx="1">
                  <c:v>2009/10</c:v>
                </c:pt>
                <c:pt idx="2">
                  <c:v>2010/11</c:v>
                </c:pt>
                <c:pt idx="3">
                  <c:v>2011/12</c:v>
                </c:pt>
                <c:pt idx="4">
                  <c:v>2012/13</c:v>
                </c:pt>
                <c:pt idx="5">
                  <c:v>2013/14</c:v>
                </c:pt>
                <c:pt idx="6">
                  <c:v>2014/15</c:v>
                </c:pt>
                <c:pt idx="7">
                  <c:v>2015/16</c:v>
                </c:pt>
                <c:pt idx="8">
                  <c:v>2016/17</c:v>
                </c:pt>
                <c:pt idx="9">
                  <c:v>2017/18</c:v>
                </c:pt>
                <c:pt idx="10">
                  <c:v>2018/19</c:v>
                </c:pt>
              </c:strCache>
            </c:strRef>
          </c:cat>
          <c:val>
            <c:numRef>
              <c:f>'FRS HCI'!$B$3:$L$3</c:f>
              <c:numCache>
                <c:formatCode>0</c:formatCode>
                <c:ptCount val="11"/>
                <c:pt idx="0">
                  <c:v>65.239999999999995</c:v>
                </c:pt>
                <c:pt idx="1">
                  <c:v>64.02</c:v>
                </c:pt>
                <c:pt idx="2">
                  <c:v>62.97</c:v>
                </c:pt>
                <c:pt idx="3">
                  <c:v>62.06</c:v>
                </c:pt>
                <c:pt idx="4">
                  <c:v>60</c:v>
                </c:pt>
                <c:pt idx="5">
                  <c:v>59.97</c:v>
                </c:pt>
                <c:pt idx="6">
                  <c:v>59.28</c:v>
                </c:pt>
                <c:pt idx="7">
                  <c:v>58.82</c:v>
                </c:pt>
                <c:pt idx="8">
                  <c:v>59.53</c:v>
                </c:pt>
                <c:pt idx="9">
                  <c:v>60.68</c:v>
                </c:pt>
                <c:pt idx="10">
                  <c:v>59.7</c:v>
                </c:pt>
              </c:numCache>
            </c:numRef>
          </c:val>
          <c:extLst>
            <c:ext xmlns:c16="http://schemas.microsoft.com/office/drawing/2014/chart" uri="{C3380CC4-5D6E-409C-BE32-E72D297353CC}">
              <c16:uniqueId val="{00000000-470C-4192-B5CE-DC91C292C769}"/>
            </c:ext>
          </c:extLst>
        </c:ser>
        <c:ser>
          <c:idx val="1"/>
          <c:order val="1"/>
          <c:tx>
            <c:strRef>
              <c:f>'FRS HCI'!$A$4</c:f>
              <c:strCache>
                <c:ptCount val="1"/>
                <c:pt idx="0">
                  <c:v>Adult(s) would like to have this but cannot afford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'FRS HCI'!$B$2:$L$2</c:f>
              <c:strCache>
                <c:ptCount val="11"/>
                <c:pt idx="0">
                  <c:v>2008/09</c:v>
                </c:pt>
                <c:pt idx="1">
                  <c:v>2009/10</c:v>
                </c:pt>
                <c:pt idx="2">
                  <c:v>2010/11</c:v>
                </c:pt>
                <c:pt idx="3">
                  <c:v>2011/12</c:v>
                </c:pt>
                <c:pt idx="4">
                  <c:v>2012/13</c:v>
                </c:pt>
                <c:pt idx="5">
                  <c:v>2013/14</c:v>
                </c:pt>
                <c:pt idx="6">
                  <c:v>2014/15</c:v>
                </c:pt>
                <c:pt idx="7">
                  <c:v>2015/16</c:v>
                </c:pt>
                <c:pt idx="8">
                  <c:v>2016/17</c:v>
                </c:pt>
                <c:pt idx="9">
                  <c:v>2017/18</c:v>
                </c:pt>
                <c:pt idx="10">
                  <c:v>2018/19</c:v>
                </c:pt>
              </c:strCache>
            </c:strRef>
          </c:cat>
          <c:val>
            <c:numRef>
              <c:f>'FRS HCI'!$B$4:$L$4</c:f>
              <c:numCache>
                <c:formatCode>0</c:formatCode>
                <c:ptCount val="11"/>
                <c:pt idx="0">
                  <c:v>12.46</c:v>
                </c:pt>
                <c:pt idx="1">
                  <c:v>13.43</c:v>
                </c:pt>
                <c:pt idx="2">
                  <c:v>13.75</c:v>
                </c:pt>
                <c:pt idx="3">
                  <c:v>15.15</c:v>
                </c:pt>
                <c:pt idx="4">
                  <c:v>16</c:v>
                </c:pt>
                <c:pt idx="5">
                  <c:v>17</c:v>
                </c:pt>
                <c:pt idx="6">
                  <c:v>15.4</c:v>
                </c:pt>
                <c:pt idx="7">
                  <c:v>15.1</c:v>
                </c:pt>
                <c:pt idx="8">
                  <c:v>14.23</c:v>
                </c:pt>
                <c:pt idx="9">
                  <c:v>13.83</c:v>
                </c:pt>
                <c:pt idx="10">
                  <c:v>12.75</c:v>
                </c:pt>
              </c:numCache>
            </c:numRef>
          </c:val>
          <c:extLst>
            <c:ext xmlns:c16="http://schemas.microsoft.com/office/drawing/2014/chart" uri="{C3380CC4-5D6E-409C-BE32-E72D297353CC}">
              <c16:uniqueId val="{00000001-470C-4192-B5CE-DC91C292C769}"/>
            </c:ext>
          </c:extLst>
        </c:ser>
        <c:ser>
          <c:idx val="2"/>
          <c:order val="2"/>
          <c:tx>
            <c:strRef>
              <c:f>'FRS HCI'!$A$5</c:f>
              <c:strCache>
                <c:ptCount val="1"/>
                <c:pt idx="0">
                  <c:v>Adult(s) do not want/need this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'FRS HCI'!$B$2:$L$2</c:f>
              <c:strCache>
                <c:ptCount val="11"/>
                <c:pt idx="0">
                  <c:v>2008/09</c:v>
                </c:pt>
                <c:pt idx="1">
                  <c:v>2009/10</c:v>
                </c:pt>
                <c:pt idx="2">
                  <c:v>2010/11</c:v>
                </c:pt>
                <c:pt idx="3">
                  <c:v>2011/12</c:v>
                </c:pt>
                <c:pt idx="4">
                  <c:v>2012/13</c:v>
                </c:pt>
                <c:pt idx="5">
                  <c:v>2013/14</c:v>
                </c:pt>
                <c:pt idx="6">
                  <c:v>2014/15</c:v>
                </c:pt>
                <c:pt idx="7">
                  <c:v>2015/16</c:v>
                </c:pt>
                <c:pt idx="8">
                  <c:v>2016/17</c:v>
                </c:pt>
                <c:pt idx="9">
                  <c:v>2017/18</c:v>
                </c:pt>
                <c:pt idx="10">
                  <c:v>2018/19</c:v>
                </c:pt>
              </c:strCache>
            </c:strRef>
          </c:cat>
          <c:val>
            <c:numRef>
              <c:f>'FRS HCI'!$B$5:$L$5</c:f>
              <c:numCache>
                <c:formatCode>0</c:formatCode>
                <c:ptCount val="11"/>
                <c:pt idx="0">
                  <c:v>9.2460000000000004</c:v>
                </c:pt>
                <c:pt idx="1">
                  <c:v>9.5739999999999998</c:v>
                </c:pt>
                <c:pt idx="2">
                  <c:v>10.029999999999999</c:v>
                </c:pt>
                <c:pt idx="3">
                  <c:v>10.039999999999999</c:v>
                </c:pt>
                <c:pt idx="4">
                  <c:v>10</c:v>
                </c:pt>
                <c:pt idx="5">
                  <c:v>10.32</c:v>
                </c:pt>
                <c:pt idx="6">
                  <c:v>12.19</c:v>
                </c:pt>
                <c:pt idx="7">
                  <c:v>13.4</c:v>
                </c:pt>
                <c:pt idx="8">
                  <c:v>14.03</c:v>
                </c:pt>
                <c:pt idx="9">
                  <c:v>13.95</c:v>
                </c:pt>
                <c:pt idx="10">
                  <c:v>14.72</c:v>
                </c:pt>
              </c:numCache>
            </c:numRef>
          </c:val>
          <c:extLst>
            <c:ext xmlns:c16="http://schemas.microsoft.com/office/drawing/2014/chart" uri="{C3380CC4-5D6E-409C-BE32-E72D297353CC}">
              <c16:uniqueId val="{00000002-470C-4192-B5CE-DC91C292C769}"/>
            </c:ext>
          </c:extLst>
        </c:ser>
        <c:dLbls>
          <c:showLegendKey val="0"/>
          <c:showVal val="0"/>
          <c:showCatName val="0"/>
          <c:showSerName val="0"/>
          <c:showPercent val="0"/>
          <c:showBubbleSize val="0"/>
        </c:dLbls>
        <c:gapWidth val="70"/>
        <c:overlap val="100"/>
        <c:axId val="373852080"/>
        <c:axId val="373846832"/>
      </c:barChart>
      <c:catAx>
        <c:axId val="37385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46832"/>
        <c:crosses val="autoZero"/>
        <c:auto val="1"/>
        <c:lblAlgn val="ctr"/>
        <c:lblOffset val="100"/>
        <c:noMultiLvlLbl val="0"/>
      </c:catAx>
      <c:valAx>
        <c:axId val="37384683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52080"/>
        <c:crosses val="autoZero"/>
        <c:crossBetween val="between"/>
      </c:valAx>
      <c:spPr>
        <a:noFill/>
        <a:ln>
          <a:noFill/>
        </a:ln>
        <a:effectLst/>
      </c:spPr>
    </c:plotArea>
    <c:legend>
      <c:legendPos val="r"/>
      <c:layout>
        <c:manualLayout>
          <c:xMode val="edge"/>
          <c:yMode val="edge"/>
          <c:x val="0.67636920384951882"/>
          <c:y val="1.6201516477107027E-2"/>
          <c:w val="0.30974190726159229"/>
          <c:h val="0.513893263342082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80336832895888"/>
          <c:y val="5.0925925925925923E-2"/>
          <c:w val="0.86364107611548557"/>
          <c:h val="0.92364574219889184"/>
        </c:manualLayout>
      </c:layout>
      <c:lineChart>
        <c:grouping val="standard"/>
        <c:varyColors val="0"/>
        <c:ser>
          <c:idx val="0"/>
          <c:order val="0"/>
          <c:tx>
            <c:strRef>
              <c:f>'2.3 Job growth'!$N$3</c:f>
              <c:strCache>
                <c:ptCount val="1"/>
                <c:pt idx="0">
                  <c:v>Employees working FT</c:v>
                </c:pt>
              </c:strCache>
            </c:strRef>
          </c:tx>
          <c:spPr>
            <a:ln w="28575" cap="rnd">
              <a:solidFill>
                <a:schemeClr val="accent1"/>
              </a:solidFill>
              <a:round/>
            </a:ln>
            <a:effectLst/>
          </c:spPr>
          <c:marker>
            <c:symbol val="none"/>
          </c:marker>
          <c:cat>
            <c:multiLvlStrRef>
              <c:f>'2.3 Job growth'!$L$4:$M$172</c:f>
              <c:multiLvlStrCache>
                <c:ptCount val="169"/>
                <c:lvl>
                  <c:pt idx="0">
                    <c:v>J</c:v>
                  </c:pt>
                  <c:pt idx="3">
                    <c:v>A</c:v>
                  </c:pt>
                  <c:pt idx="6">
                    <c:v>J</c:v>
                  </c:pt>
                  <c:pt idx="9">
                    <c:v>O</c:v>
                  </c:pt>
                  <c:pt idx="12">
                    <c:v>J</c:v>
                  </c:pt>
                  <c:pt idx="15">
                    <c:v>A</c:v>
                  </c:pt>
                  <c:pt idx="18">
                    <c:v>J</c:v>
                  </c:pt>
                  <c:pt idx="21">
                    <c:v>O</c:v>
                  </c:pt>
                  <c:pt idx="24">
                    <c:v>J</c:v>
                  </c:pt>
                  <c:pt idx="27">
                    <c:v>A</c:v>
                  </c:pt>
                  <c:pt idx="30">
                    <c:v>J</c:v>
                  </c:pt>
                  <c:pt idx="33">
                    <c:v>O</c:v>
                  </c:pt>
                  <c:pt idx="36">
                    <c:v>J</c:v>
                  </c:pt>
                  <c:pt idx="39">
                    <c:v>A</c:v>
                  </c:pt>
                  <c:pt idx="42">
                    <c:v>J</c:v>
                  </c:pt>
                  <c:pt idx="45">
                    <c:v>O</c:v>
                  </c:pt>
                  <c:pt idx="48">
                    <c:v>J</c:v>
                  </c:pt>
                  <c:pt idx="51">
                    <c:v>A</c:v>
                  </c:pt>
                  <c:pt idx="54">
                    <c:v>J</c:v>
                  </c:pt>
                  <c:pt idx="57">
                    <c:v>O</c:v>
                  </c:pt>
                  <c:pt idx="60">
                    <c:v>J</c:v>
                  </c:pt>
                  <c:pt idx="63">
                    <c:v>A</c:v>
                  </c:pt>
                  <c:pt idx="66">
                    <c:v>J</c:v>
                  </c:pt>
                  <c:pt idx="69">
                    <c:v>O</c:v>
                  </c:pt>
                  <c:pt idx="72">
                    <c:v>J</c:v>
                  </c:pt>
                  <c:pt idx="75">
                    <c:v>A</c:v>
                  </c:pt>
                  <c:pt idx="78">
                    <c:v>J</c:v>
                  </c:pt>
                  <c:pt idx="81">
                    <c:v>O</c:v>
                  </c:pt>
                  <c:pt idx="84">
                    <c:v>J</c:v>
                  </c:pt>
                  <c:pt idx="87">
                    <c:v>A</c:v>
                  </c:pt>
                  <c:pt idx="90">
                    <c:v>J</c:v>
                  </c:pt>
                  <c:pt idx="93">
                    <c:v>O</c:v>
                  </c:pt>
                  <c:pt idx="96">
                    <c:v>J</c:v>
                  </c:pt>
                  <c:pt idx="99">
                    <c:v>A</c:v>
                  </c:pt>
                  <c:pt idx="102">
                    <c:v>J</c:v>
                  </c:pt>
                  <c:pt idx="105">
                    <c:v>O</c:v>
                  </c:pt>
                  <c:pt idx="108">
                    <c:v>J</c:v>
                  </c:pt>
                  <c:pt idx="111">
                    <c:v>A</c:v>
                  </c:pt>
                  <c:pt idx="114">
                    <c:v>J</c:v>
                  </c:pt>
                  <c:pt idx="117">
                    <c:v>O</c:v>
                  </c:pt>
                  <c:pt idx="118">
                    <c:v> </c:v>
                  </c:pt>
                  <c:pt idx="119">
                    <c:v> </c:v>
                  </c:pt>
                  <c:pt idx="120">
                    <c:v>J</c:v>
                  </c:pt>
                  <c:pt idx="123">
                    <c:v>A</c:v>
                  </c:pt>
                  <c:pt idx="126">
                    <c:v>J</c:v>
                  </c:pt>
                  <c:pt idx="129">
                    <c:v>O</c:v>
                  </c:pt>
                  <c:pt idx="130">
                    <c:v> </c:v>
                  </c:pt>
                  <c:pt idx="131">
                    <c:v> </c:v>
                  </c:pt>
                  <c:pt idx="132">
                    <c:v>J</c:v>
                  </c:pt>
                  <c:pt idx="135">
                    <c:v>A</c:v>
                  </c:pt>
                  <c:pt idx="138">
                    <c:v>J</c:v>
                  </c:pt>
                  <c:pt idx="141">
                    <c:v>O</c:v>
                  </c:pt>
                  <c:pt idx="142">
                    <c:v> </c:v>
                  </c:pt>
                  <c:pt idx="143">
                    <c:v> </c:v>
                  </c:pt>
                  <c:pt idx="144">
                    <c:v>J</c:v>
                  </c:pt>
                  <c:pt idx="147">
                    <c:v>A</c:v>
                  </c:pt>
                  <c:pt idx="150">
                    <c:v>J</c:v>
                  </c:pt>
                  <c:pt idx="153">
                    <c:v>O</c:v>
                  </c:pt>
                  <c:pt idx="154">
                    <c:v> </c:v>
                  </c:pt>
                  <c:pt idx="155">
                    <c:v> </c:v>
                  </c:pt>
                  <c:pt idx="156">
                    <c:v>J</c:v>
                  </c:pt>
                  <c:pt idx="159">
                    <c:v>A</c:v>
                  </c:pt>
                  <c:pt idx="162">
                    <c:v>J</c:v>
                  </c:pt>
                  <c:pt idx="165">
                    <c:v>O</c:v>
                  </c:pt>
                  <c:pt idx="166">
                    <c:v> </c:v>
                  </c:pt>
                  <c:pt idx="167">
                    <c:v> </c:v>
                  </c:pt>
                  <c:pt idx="168">
                    <c:v>J</c:v>
                  </c:pt>
                </c:lvl>
                <c:lvl>
                  <c:pt idx="0">
                    <c:v>2006</c:v>
                  </c:pt>
                  <c:pt idx="12">
                    <c:v>2007</c:v>
                  </c:pt>
                  <c:pt idx="24">
                    <c:v>2008</c:v>
                  </c:pt>
                  <c:pt idx="36">
                    <c:v>2009</c:v>
                  </c:pt>
                  <c:pt idx="48">
                    <c:v>2010</c:v>
                  </c:pt>
                  <c:pt idx="60">
                    <c:v>2011</c:v>
                  </c:pt>
                  <c:pt idx="72">
                    <c:v>2012</c:v>
                  </c:pt>
                  <c:pt idx="84">
                    <c:v>2013</c:v>
                  </c:pt>
                  <c:pt idx="96">
                    <c:v>2014</c:v>
                  </c:pt>
                  <c:pt idx="108">
                    <c:v>2015</c:v>
                  </c:pt>
                  <c:pt idx="120">
                    <c:v>2016</c:v>
                  </c:pt>
                  <c:pt idx="132">
                    <c:v>2017</c:v>
                  </c:pt>
                  <c:pt idx="144">
                    <c:v>2018</c:v>
                  </c:pt>
                  <c:pt idx="156">
                    <c:v>2019</c:v>
                  </c:pt>
                  <c:pt idx="168">
                    <c:v>2020</c:v>
                  </c:pt>
                </c:lvl>
              </c:multiLvlStrCache>
            </c:multiLvlStrRef>
          </c:cat>
          <c:val>
            <c:numRef>
              <c:f>'2.3 Job growth'!$N$4:$N$172</c:f>
              <c:numCache>
                <c:formatCode>#,##0,</c:formatCode>
                <c:ptCount val="169"/>
                <c:pt idx="0">
                  <c:v>0</c:v>
                </c:pt>
                <c:pt idx="1">
                  <c:v>13155.712339580059</c:v>
                </c:pt>
                <c:pt idx="2">
                  <c:v>57453.593061938882</c:v>
                </c:pt>
                <c:pt idx="3">
                  <c:v>72029.432888060808</c:v>
                </c:pt>
                <c:pt idx="4">
                  <c:v>70384.928473699838</c:v>
                </c:pt>
                <c:pt idx="5">
                  <c:v>86329.007585436106</c:v>
                </c:pt>
                <c:pt idx="6">
                  <c:v>114708.51006477699</c:v>
                </c:pt>
                <c:pt idx="7">
                  <c:v>56053.669037371874</c:v>
                </c:pt>
                <c:pt idx="8">
                  <c:v>-5756.1362294703722</c:v>
                </c:pt>
                <c:pt idx="9">
                  <c:v>18470.696254685521</c:v>
                </c:pt>
                <c:pt idx="10">
                  <c:v>26009.544036190957</c:v>
                </c:pt>
                <c:pt idx="11">
                  <c:v>1100.5668904408813</c:v>
                </c:pt>
                <c:pt idx="12">
                  <c:v>-524.59353819489479</c:v>
                </c:pt>
                <c:pt idx="13">
                  <c:v>21619.201444394886</c:v>
                </c:pt>
                <c:pt idx="14">
                  <c:v>68153.889290481806</c:v>
                </c:pt>
                <c:pt idx="15">
                  <c:v>165570.37126788497</c:v>
                </c:pt>
                <c:pt idx="16">
                  <c:v>174093.52737994492</c:v>
                </c:pt>
                <c:pt idx="17">
                  <c:v>203954.66342057288</c:v>
                </c:pt>
                <c:pt idx="18">
                  <c:v>222319.67021886259</c:v>
                </c:pt>
                <c:pt idx="19">
                  <c:v>264926.96792283654</c:v>
                </c:pt>
                <c:pt idx="20">
                  <c:v>306218.81843157113</c:v>
                </c:pt>
                <c:pt idx="21">
                  <c:v>325426.03996949643</c:v>
                </c:pt>
                <c:pt idx="22">
                  <c:v>343510.00126381591</c:v>
                </c:pt>
                <c:pt idx="23">
                  <c:v>347333.26537386328</c:v>
                </c:pt>
                <c:pt idx="24">
                  <c:v>339214.08757521957</c:v>
                </c:pt>
                <c:pt idx="25">
                  <c:v>362175.20825708658</c:v>
                </c:pt>
                <c:pt idx="26">
                  <c:v>389347.39112401381</c:v>
                </c:pt>
                <c:pt idx="27">
                  <c:v>454952.12680136412</c:v>
                </c:pt>
                <c:pt idx="28">
                  <c:v>415691.41336735711</c:v>
                </c:pt>
                <c:pt idx="29">
                  <c:v>405696.18365389109</c:v>
                </c:pt>
                <c:pt idx="30">
                  <c:v>356386.65371076018</c:v>
                </c:pt>
                <c:pt idx="31">
                  <c:v>336732.99778034166</c:v>
                </c:pt>
                <c:pt idx="32">
                  <c:v>314594.12510116026</c:v>
                </c:pt>
                <c:pt idx="33">
                  <c:v>255078.31328108162</c:v>
                </c:pt>
                <c:pt idx="34">
                  <c:v>246749.24611662701</c:v>
                </c:pt>
                <c:pt idx="35">
                  <c:v>232913.85736167431</c:v>
                </c:pt>
                <c:pt idx="36">
                  <c:v>106090.65674271435</c:v>
                </c:pt>
                <c:pt idx="37">
                  <c:v>33724.820464856923</c:v>
                </c:pt>
                <c:pt idx="38">
                  <c:v>-13913.043929431587</c:v>
                </c:pt>
                <c:pt idx="39">
                  <c:v>-119433.81954109669</c:v>
                </c:pt>
                <c:pt idx="40">
                  <c:v>-207792.57811769471</c:v>
                </c:pt>
                <c:pt idx="41">
                  <c:v>-298274.68100409955</c:v>
                </c:pt>
                <c:pt idx="42">
                  <c:v>-294282.6781138815</c:v>
                </c:pt>
                <c:pt idx="43">
                  <c:v>-326894.78971692547</c:v>
                </c:pt>
                <c:pt idx="44">
                  <c:v>-368861.84243589267</c:v>
                </c:pt>
                <c:pt idx="45">
                  <c:v>-359204.23248375952</c:v>
                </c:pt>
                <c:pt idx="46">
                  <c:v>-379056.22178308666</c:v>
                </c:pt>
                <c:pt idx="47">
                  <c:v>-426166.06682312489</c:v>
                </c:pt>
                <c:pt idx="48">
                  <c:v>-441128.32259425148</c:v>
                </c:pt>
                <c:pt idx="49">
                  <c:v>-514001.01420811191</c:v>
                </c:pt>
                <c:pt idx="50">
                  <c:v>-539478.69529800862</c:v>
                </c:pt>
                <c:pt idx="51">
                  <c:v>-483044.17252043262</c:v>
                </c:pt>
                <c:pt idx="52">
                  <c:v>-445222.20799667016</c:v>
                </c:pt>
                <c:pt idx="53">
                  <c:v>-437290.68492136896</c:v>
                </c:pt>
                <c:pt idx="54">
                  <c:v>-469897.82799209654</c:v>
                </c:pt>
                <c:pt idx="55">
                  <c:v>-466455.77559796348</c:v>
                </c:pt>
                <c:pt idx="56">
                  <c:v>-454944.09819365293</c:v>
                </c:pt>
                <c:pt idx="57">
                  <c:v>-476045.95772809535</c:v>
                </c:pt>
                <c:pt idx="58">
                  <c:v>-423739.61394648254</c:v>
                </c:pt>
                <c:pt idx="59">
                  <c:v>-354190.89889482409</c:v>
                </c:pt>
                <c:pt idx="60">
                  <c:v>-288988.70431962609</c:v>
                </c:pt>
                <c:pt idx="61">
                  <c:v>-253991.39615457505</c:v>
                </c:pt>
                <c:pt idx="62">
                  <c:v>-286643.25078960136</c:v>
                </c:pt>
                <c:pt idx="63">
                  <c:v>-242116.32418525964</c:v>
                </c:pt>
                <c:pt idx="64">
                  <c:v>-233652.27671870962</c:v>
                </c:pt>
                <c:pt idx="65">
                  <c:v>-258783.00396217406</c:v>
                </c:pt>
                <c:pt idx="66">
                  <c:v>-308164.42550407723</c:v>
                </c:pt>
                <c:pt idx="67">
                  <c:v>-374179.43879573047</c:v>
                </c:pt>
                <c:pt idx="68">
                  <c:v>-434517.08424308896</c:v>
                </c:pt>
                <c:pt idx="69">
                  <c:v>-451950.56348471716</c:v>
                </c:pt>
                <c:pt idx="70">
                  <c:v>-443461.15411226451</c:v>
                </c:pt>
                <c:pt idx="71">
                  <c:v>-444371.58438669518</c:v>
                </c:pt>
                <c:pt idx="72">
                  <c:v>-462295.06590969861</c:v>
                </c:pt>
                <c:pt idx="73">
                  <c:v>-441865.01268989965</c:v>
                </c:pt>
                <c:pt idx="74">
                  <c:v>-421025.81160363555</c:v>
                </c:pt>
                <c:pt idx="75">
                  <c:v>-379601.57378393039</c:v>
                </c:pt>
                <c:pt idx="76">
                  <c:v>-358774.85582386702</c:v>
                </c:pt>
                <c:pt idx="77">
                  <c:v>-346508.64588069916</c:v>
                </c:pt>
                <c:pt idx="78">
                  <c:v>-296885.9177559875</c:v>
                </c:pt>
                <c:pt idx="79">
                  <c:v>-304928.9254546389</c:v>
                </c:pt>
                <c:pt idx="80">
                  <c:v>-320282.83092814684</c:v>
                </c:pt>
                <c:pt idx="81">
                  <c:v>-224884.02083161473</c:v>
                </c:pt>
                <c:pt idx="82">
                  <c:v>-170944.8463469632</c:v>
                </c:pt>
                <c:pt idx="83">
                  <c:v>-117232.35248879343</c:v>
                </c:pt>
                <c:pt idx="84">
                  <c:v>-170502.27338580042</c:v>
                </c:pt>
                <c:pt idx="85">
                  <c:v>-137294.90724989399</c:v>
                </c:pt>
                <c:pt idx="86">
                  <c:v>-148325.88529006392</c:v>
                </c:pt>
                <c:pt idx="87">
                  <c:v>-122682.69157298654</c:v>
                </c:pt>
                <c:pt idx="88">
                  <c:v>-88304.377707898617</c:v>
                </c:pt>
                <c:pt idx="89">
                  <c:v>-14519.998888995498</c:v>
                </c:pt>
                <c:pt idx="90">
                  <c:v>-29213.402575891465</c:v>
                </c:pt>
                <c:pt idx="91">
                  <c:v>24979.816303852946</c:v>
                </c:pt>
                <c:pt idx="92">
                  <c:v>52714.106386706233</c:v>
                </c:pt>
                <c:pt idx="93">
                  <c:v>92983.479821752757</c:v>
                </c:pt>
                <c:pt idx="94">
                  <c:v>101367.28475322947</c:v>
                </c:pt>
                <c:pt idx="95">
                  <c:v>75543.381285022944</c:v>
                </c:pt>
                <c:pt idx="96">
                  <c:v>126039.08014386147</c:v>
                </c:pt>
                <c:pt idx="97">
                  <c:v>158368.34280192107</c:v>
                </c:pt>
                <c:pt idx="98">
                  <c:v>260995.29589540139</c:v>
                </c:pt>
                <c:pt idx="99">
                  <c:v>341577.82219825685</c:v>
                </c:pt>
                <c:pt idx="100">
                  <c:v>297421.60976640508</c:v>
                </c:pt>
                <c:pt idx="101">
                  <c:v>304910.53071271628</c:v>
                </c:pt>
                <c:pt idx="102">
                  <c:v>410046.05339048803</c:v>
                </c:pt>
                <c:pt idx="103">
                  <c:v>477070.99879774451</c:v>
                </c:pt>
                <c:pt idx="104">
                  <c:v>497312.7005552426</c:v>
                </c:pt>
                <c:pt idx="105">
                  <c:v>501994.98506980762</c:v>
                </c:pt>
                <c:pt idx="106">
                  <c:v>598399.57807550207</c:v>
                </c:pt>
                <c:pt idx="107">
                  <c:v>639596.9486862123</c:v>
                </c:pt>
                <c:pt idx="108">
                  <c:v>705590.37067886069</c:v>
                </c:pt>
                <c:pt idx="109">
                  <c:v>730623.3607590273</c:v>
                </c:pt>
                <c:pt idx="110">
                  <c:v>748030.23716388643</c:v>
                </c:pt>
                <c:pt idx="111">
                  <c:v>753616.27397256345</c:v>
                </c:pt>
                <c:pt idx="112">
                  <c:v>752894.83021505177</c:v>
                </c:pt>
                <c:pt idx="113">
                  <c:v>784734.0596646443</c:v>
                </c:pt>
                <c:pt idx="114">
                  <c:v>853794.10713322833</c:v>
                </c:pt>
                <c:pt idx="115">
                  <c:v>831936.90015218407</c:v>
                </c:pt>
                <c:pt idx="116">
                  <c:v>899962.22695016116</c:v>
                </c:pt>
                <c:pt idx="117">
                  <c:v>960845.79517487809</c:v>
                </c:pt>
                <c:pt idx="118">
                  <c:v>958336.99591962993</c:v>
                </c:pt>
                <c:pt idx="119">
                  <c:v>915254.60158966109</c:v>
                </c:pt>
                <c:pt idx="120">
                  <c:v>924110.18060174957</c:v>
                </c:pt>
                <c:pt idx="121">
                  <c:v>924231.09716106579</c:v>
                </c:pt>
                <c:pt idx="122">
                  <c:v>908040.83209509403</c:v>
                </c:pt>
                <c:pt idx="123">
                  <c:v>952876.08889621869</c:v>
                </c:pt>
                <c:pt idx="124">
                  <c:v>968246.1701583378</c:v>
                </c:pt>
                <c:pt idx="125">
                  <c:v>1040532.8464947194</c:v>
                </c:pt>
                <c:pt idx="126">
                  <c:v>991904.18650055304</c:v>
                </c:pt>
                <c:pt idx="127">
                  <c:v>1032109.3732710332</c:v>
                </c:pt>
                <c:pt idx="128">
                  <c:v>1054830.2528912462</c:v>
                </c:pt>
                <c:pt idx="129">
                  <c:v>1038235.0599153787</c:v>
                </c:pt>
                <c:pt idx="130">
                  <c:v>1045859.8956995532</c:v>
                </c:pt>
                <c:pt idx="131">
                  <c:v>1053117.6443544477</c:v>
                </c:pt>
                <c:pt idx="132">
                  <c:v>1132383.7865973152</c:v>
                </c:pt>
                <c:pt idx="133">
                  <c:v>1217288.5974772871</c:v>
                </c:pt>
                <c:pt idx="134">
                  <c:v>1251332.6167413741</c:v>
                </c:pt>
                <c:pt idx="135">
                  <c:v>1268132.3197458833</c:v>
                </c:pt>
                <c:pt idx="136">
                  <c:v>1306611.586125724</c:v>
                </c:pt>
                <c:pt idx="137">
                  <c:v>1330055.9090284593</c:v>
                </c:pt>
                <c:pt idx="138">
                  <c:v>1303732.1771694124</c:v>
                </c:pt>
                <c:pt idx="139">
                  <c:v>1280002.1065349244</c:v>
                </c:pt>
                <c:pt idx="140">
                  <c:v>1349151.0974111892</c:v>
                </c:pt>
                <c:pt idx="141">
                  <c:v>1482005.8774180487</c:v>
                </c:pt>
                <c:pt idx="142">
                  <c:v>1441680.7944869958</c:v>
                </c:pt>
                <c:pt idx="143">
                  <c:v>1522292.7402202785</c:v>
                </c:pt>
                <c:pt idx="144">
                  <c:v>1550569.3964558877</c:v>
                </c:pt>
                <c:pt idx="145">
                  <c:v>1630857.7013710998</c:v>
                </c:pt>
                <c:pt idx="146">
                  <c:v>1602175.666740939</c:v>
                </c:pt>
                <c:pt idx="147">
                  <c:v>1673989.1728452519</c:v>
                </c:pt>
                <c:pt idx="148">
                  <c:v>1700785.0382713974</c:v>
                </c:pt>
                <c:pt idx="149">
                  <c:v>1726483.0150511004</c:v>
                </c:pt>
                <c:pt idx="150">
                  <c:v>1769976.437101882</c:v>
                </c:pt>
                <c:pt idx="151">
                  <c:v>1799799.1346856318</c:v>
                </c:pt>
                <c:pt idx="152">
                  <c:v>1813819.9245478772</c:v>
                </c:pt>
                <c:pt idx="153">
                  <c:v>1818412.6476849914</c:v>
                </c:pt>
                <c:pt idx="154">
                  <c:v>1860299.517268993</c:v>
                </c:pt>
                <c:pt idx="155">
                  <c:v>1906803.5467146151</c:v>
                </c:pt>
                <c:pt idx="156">
                  <c:v>1922966.0160039514</c:v>
                </c:pt>
                <c:pt idx="157">
                  <c:v>1805346.8957039341</c:v>
                </c:pt>
                <c:pt idx="158">
                  <c:v>1871348.4128873609</c:v>
                </c:pt>
                <c:pt idx="159">
                  <c:v>1845482.7570421211</c:v>
                </c:pt>
                <c:pt idx="160">
                  <c:v>1849536.4206333235</c:v>
                </c:pt>
                <c:pt idx="161">
                  <c:v>1900567.9309456423</c:v>
                </c:pt>
                <c:pt idx="162">
                  <c:v>1850562.2054914348</c:v>
                </c:pt>
                <c:pt idx="163">
                  <c:v>1901057.6933163702</c:v>
                </c:pt>
                <c:pt idx="164">
                  <c:v>1950950.4842913002</c:v>
                </c:pt>
                <c:pt idx="165">
                  <c:v>1999886.2852794603</c:v>
                </c:pt>
                <c:pt idx="166">
                  <c:v>2031316.6587179266</c:v>
                </c:pt>
                <c:pt idx="167">
                  <c:v>2090796.9406655319</c:v>
                </c:pt>
                <c:pt idx="168">
                  <c:v>2106976.096039176</c:v>
                </c:pt>
              </c:numCache>
            </c:numRef>
          </c:val>
          <c:smooth val="0"/>
          <c:extLst>
            <c:ext xmlns:c16="http://schemas.microsoft.com/office/drawing/2014/chart" uri="{C3380CC4-5D6E-409C-BE32-E72D297353CC}">
              <c16:uniqueId val="{00000000-1793-4C6A-BA74-BFD0D8D0C397}"/>
            </c:ext>
          </c:extLst>
        </c:ser>
        <c:ser>
          <c:idx val="1"/>
          <c:order val="1"/>
          <c:tx>
            <c:strRef>
              <c:f>'2.3 Job growth'!$O$3</c:f>
              <c:strCache>
                <c:ptCount val="1"/>
                <c:pt idx="0">
                  <c:v>Employees working PT</c:v>
                </c:pt>
              </c:strCache>
            </c:strRef>
          </c:tx>
          <c:spPr>
            <a:ln w="28575" cap="rnd">
              <a:solidFill>
                <a:schemeClr val="accent2"/>
              </a:solidFill>
              <a:round/>
            </a:ln>
            <a:effectLst/>
          </c:spPr>
          <c:marker>
            <c:symbol val="none"/>
          </c:marker>
          <c:cat>
            <c:multiLvlStrRef>
              <c:f>'2.3 Job growth'!$L$4:$M$172</c:f>
              <c:multiLvlStrCache>
                <c:ptCount val="169"/>
                <c:lvl>
                  <c:pt idx="0">
                    <c:v>J</c:v>
                  </c:pt>
                  <c:pt idx="3">
                    <c:v>A</c:v>
                  </c:pt>
                  <c:pt idx="6">
                    <c:v>J</c:v>
                  </c:pt>
                  <c:pt idx="9">
                    <c:v>O</c:v>
                  </c:pt>
                  <c:pt idx="12">
                    <c:v>J</c:v>
                  </c:pt>
                  <c:pt idx="15">
                    <c:v>A</c:v>
                  </c:pt>
                  <c:pt idx="18">
                    <c:v>J</c:v>
                  </c:pt>
                  <c:pt idx="21">
                    <c:v>O</c:v>
                  </c:pt>
                  <c:pt idx="24">
                    <c:v>J</c:v>
                  </c:pt>
                  <c:pt idx="27">
                    <c:v>A</c:v>
                  </c:pt>
                  <c:pt idx="30">
                    <c:v>J</c:v>
                  </c:pt>
                  <c:pt idx="33">
                    <c:v>O</c:v>
                  </c:pt>
                  <c:pt idx="36">
                    <c:v>J</c:v>
                  </c:pt>
                  <c:pt idx="39">
                    <c:v>A</c:v>
                  </c:pt>
                  <c:pt idx="42">
                    <c:v>J</c:v>
                  </c:pt>
                  <c:pt idx="45">
                    <c:v>O</c:v>
                  </c:pt>
                  <c:pt idx="48">
                    <c:v>J</c:v>
                  </c:pt>
                  <c:pt idx="51">
                    <c:v>A</c:v>
                  </c:pt>
                  <c:pt idx="54">
                    <c:v>J</c:v>
                  </c:pt>
                  <c:pt idx="57">
                    <c:v>O</c:v>
                  </c:pt>
                  <c:pt idx="60">
                    <c:v>J</c:v>
                  </c:pt>
                  <c:pt idx="63">
                    <c:v>A</c:v>
                  </c:pt>
                  <c:pt idx="66">
                    <c:v>J</c:v>
                  </c:pt>
                  <c:pt idx="69">
                    <c:v>O</c:v>
                  </c:pt>
                  <c:pt idx="72">
                    <c:v>J</c:v>
                  </c:pt>
                  <c:pt idx="75">
                    <c:v>A</c:v>
                  </c:pt>
                  <c:pt idx="78">
                    <c:v>J</c:v>
                  </c:pt>
                  <c:pt idx="81">
                    <c:v>O</c:v>
                  </c:pt>
                  <c:pt idx="84">
                    <c:v>J</c:v>
                  </c:pt>
                  <c:pt idx="87">
                    <c:v>A</c:v>
                  </c:pt>
                  <c:pt idx="90">
                    <c:v>J</c:v>
                  </c:pt>
                  <c:pt idx="93">
                    <c:v>O</c:v>
                  </c:pt>
                  <c:pt idx="96">
                    <c:v>J</c:v>
                  </c:pt>
                  <c:pt idx="99">
                    <c:v>A</c:v>
                  </c:pt>
                  <c:pt idx="102">
                    <c:v>J</c:v>
                  </c:pt>
                  <c:pt idx="105">
                    <c:v>O</c:v>
                  </c:pt>
                  <c:pt idx="108">
                    <c:v>J</c:v>
                  </c:pt>
                  <c:pt idx="111">
                    <c:v>A</c:v>
                  </c:pt>
                  <c:pt idx="114">
                    <c:v>J</c:v>
                  </c:pt>
                  <c:pt idx="117">
                    <c:v>O</c:v>
                  </c:pt>
                  <c:pt idx="118">
                    <c:v> </c:v>
                  </c:pt>
                  <c:pt idx="119">
                    <c:v> </c:v>
                  </c:pt>
                  <c:pt idx="120">
                    <c:v>J</c:v>
                  </c:pt>
                  <c:pt idx="123">
                    <c:v>A</c:v>
                  </c:pt>
                  <c:pt idx="126">
                    <c:v>J</c:v>
                  </c:pt>
                  <c:pt idx="129">
                    <c:v>O</c:v>
                  </c:pt>
                  <c:pt idx="130">
                    <c:v> </c:v>
                  </c:pt>
                  <c:pt idx="131">
                    <c:v> </c:v>
                  </c:pt>
                  <c:pt idx="132">
                    <c:v>J</c:v>
                  </c:pt>
                  <c:pt idx="135">
                    <c:v>A</c:v>
                  </c:pt>
                  <c:pt idx="138">
                    <c:v>J</c:v>
                  </c:pt>
                  <c:pt idx="141">
                    <c:v>O</c:v>
                  </c:pt>
                  <c:pt idx="142">
                    <c:v> </c:v>
                  </c:pt>
                  <c:pt idx="143">
                    <c:v> </c:v>
                  </c:pt>
                  <c:pt idx="144">
                    <c:v>J</c:v>
                  </c:pt>
                  <c:pt idx="147">
                    <c:v>A</c:v>
                  </c:pt>
                  <c:pt idx="150">
                    <c:v>J</c:v>
                  </c:pt>
                  <c:pt idx="153">
                    <c:v>O</c:v>
                  </c:pt>
                  <c:pt idx="154">
                    <c:v> </c:v>
                  </c:pt>
                  <c:pt idx="155">
                    <c:v> </c:v>
                  </c:pt>
                  <c:pt idx="156">
                    <c:v>J</c:v>
                  </c:pt>
                  <c:pt idx="159">
                    <c:v>A</c:v>
                  </c:pt>
                  <c:pt idx="162">
                    <c:v>J</c:v>
                  </c:pt>
                  <c:pt idx="165">
                    <c:v>O</c:v>
                  </c:pt>
                  <c:pt idx="166">
                    <c:v> </c:v>
                  </c:pt>
                  <c:pt idx="167">
                    <c:v> </c:v>
                  </c:pt>
                  <c:pt idx="168">
                    <c:v>J</c:v>
                  </c:pt>
                </c:lvl>
                <c:lvl>
                  <c:pt idx="0">
                    <c:v>2006</c:v>
                  </c:pt>
                  <c:pt idx="12">
                    <c:v>2007</c:v>
                  </c:pt>
                  <c:pt idx="24">
                    <c:v>2008</c:v>
                  </c:pt>
                  <c:pt idx="36">
                    <c:v>2009</c:v>
                  </c:pt>
                  <c:pt idx="48">
                    <c:v>2010</c:v>
                  </c:pt>
                  <c:pt idx="60">
                    <c:v>2011</c:v>
                  </c:pt>
                  <c:pt idx="72">
                    <c:v>2012</c:v>
                  </c:pt>
                  <c:pt idx="84">
                    <c:v>2013</c:v>
                  </c:pt>
                  <c:pt idx="96">
                    <c:v>2014</c:v>
                  </c:pt>
                  <c:pt idx="108">
                    <c:v>2015</c:v>
                  </c:pt>
                  <c:pt idx="120">
                    <c:v>2016</c:v>
                  </c:pt>
                  <c:pt idx="132">
                    <c:v>2017</c:v>
                  </c:pt>
                  <c:pt idx="144">
                    <c:v>2018</c:v>
                  </c:pt>
                  <c:pt idx="156">
                    <c:v>2019</c:v>
                  </c:pt>
                  <c:pt idx="168">
                    <c:v>2020</c:v>
                  </c:pt>
                </c:lvl>
              </c:multiLvlStrCache>
            </c:multiLvlStrRef>
          </c:cat>
          <c:val>
            <c:numRef>
              <c:f>'2.3 Job growth'!$O$4:$O$172</c:f>
              <c:numCache>
                <c:formatCode>#,##0,</c:formatCode>
                <c:ptCount val="169"/>
                <c:pt idx="0">
                  <c:v>0</c:v>
                </c:pt>
                <c:pt idx="1">
                  <c:v>37907.625973383896</c:v>
                </c:pt>
                <c:pt idx="2">
                  <c:v>20705.267988643609</c:v>
                </c:pt>
                <c:pt idx="3">
                  <c:v>15649.733682590537</c:v>
                </c:pt>
                <c:pt idx="4">
                  <c:v>48269.235181936063</c:v>
                </c:pt>
                <c:pt idx="5">
                  <c:v>47542.976125973277</c:v>
                </c:pt>
                <c:pt idx="6">
                  <c:v>76552.009668070823</c:v>
                </c:pt>
                <c:pt idx="7">
                  <c:v>62864.578075015917</c:v>
                </c:pt>
                <c:pt idx="8">
                  <c:v>109413.56995033752</c:v>
                </c:pt>
                <c:pt idx="9">
                  <c:v>89573.598414461128</c:v>
                </c:pt>
                <c:pt idx="10">
                  <c:v>99834.010410568677</c:v>
                </c:pt>
                <c:pt idx="11">
                  <c:v>92811.17641646415</c:v>
                </c:pt>
                <c:pt idx="12">
                  <c:v>63468.706143630669</c:v>
                </c:pt>
                <c:pt idx="13">
                  <c:v>55713.838220512494</c:v>
                </c:pt>
                <c:pt idx="14">
                  <c:v>51088.496634935029</c:v>
                </c:pt>
                <c:pt idx="15">
                  <c:v>52814.471778333187</c:v>
                </c:pt>
                <c:pt idx="16">
                  <c:v>43855.27122684475</c:v>
                </c:pt>
                <c:pt idx="17">
                  <c:v>23653.769174425863</c:v>
                </c:pt>
                <c:pt idx="18">
                  <c:v>16210.830791637301</c:v>
                </c:pt>
                <c:pt idx="19">
                  <c:v>23325.101966258138</c:v>
                </c:pt>
                <c:pt idx="20">
                  <c:v>23885.055063558742</c:v>
                </c:pt>
                <c:pt idx="21">
                  <c:v>53952.874623108655</c:v>
                </c:pt>
                <c:pt idx="22">
                  <c:v>86337.485651947558</c:v>
                </c:pt>
                <c:pt idx="23">
                  <c:v>106995.1475236509</c:v>
                </c:pt>
                <c:pt idx="24">
                  <c:v>125921.55602230877</c:v>
                </c:pt>
                <c:pt idx="25">
                  <c:v>128051.22777596582</c:v>
                </c:pt>
                <c:pt idx="26">
                  <c:v>142266.9251584895</c:v>
                </c:pt>
                <c:pt idx="27">
                  <c:v>110402.73773862422</c:v>
                </c:pt>
                <c:pt idx="28">
                  <c:v>133816.27623629384</c:v>
                </c:pt>
                <c:pt idx="29">
                  <c:v>131659.86899182107</c:v>
                </c:pt>
                <c:pt idx="30">
                  <c:v>142518.05403041281</c:v>
                </c:pt>
                <c:pt idx="31">
                  <c:v>137838.84595186356</c:v>
                </c:pt>
                <c:pt idx="32">
                  <c:v>138322.16566847358</c:v>
                </c:pt>
                <c:pt idx="33">
                  <c:v>185483.20087938569</c:v>
                </c:pt>
                <c:pt idx="34">
                  <c:v>168106.58011878934</c:v>
                </c:pt>
                <c:pt idx="35">
                  <c:v>183010.81613528728</c:v>
                </c:pt>
                <c:pt idx="36">
                  <c:v>218513.93271144852</c:v>
                </c:pt>
                <c:pt idx="37">
                  <c:v>209186.91979311407</c:v>
                </c:pt>
                <c:pt idx="38">
                  <c:v>142658.37135041319</c:v>
                </c:pt>
                <c:pt idx="39">
                  <c:v>124236.48688752018</c:v>
                </c:pt>
                <c:pt idx="40">
                  <c:v>159207.64609198831</c:v>
                </c:pt>
                <c:pt idx="41">
                  <c:v>169019.283497639</c:v>
                </c:pt>
                <c:pt idx="42">
                  <c:v>189837.04970030766</c:v>
                </c:pt>
                <c:pt idx="43">
                  <c:v>237035.92995051946</c:v>
                </c:pt>
                <c:pt idx="44">
                  <c:v>296033.32622785121</c:v>
                </c:pt>
                <c:pt idx="45">
                  <c:v>280467.70832176786</c:v>
                </c:pt>
                <c:pt idx="46">
                  <c:v>275052.59768705256</c:v>
                </c:pt>
                <c:pt idx="47">
                  <c:v>281170.12863212731</c:v>
                </c:pt>
                <c:pt idx="48">
                  <c:v>251841.74054758623</c:v>
                </c:pt>
                <c:pt idx="49">
                  <c:v>266607.64030695427</c:v>
                </c:pt>
                <c:pt idx="50">
                  <c:v>304429.30320395995</c:v>
                </c:pt>
                <c:pt idx="51">
                  <c:v>351778.7056711847</c:v>
                </c:pt>
                <c:pt idx="52">
                  <c:v>372628.98596546799</c:v>
                </c:pt>
                <c:pt idx="53">
                  <c:v>439902.40398809779</c:v>
                </c:pt>
                <c:pt idx="54">
                  <c:v>483340.42518975586</c:v>
                </c:pt>
                <c:pt idx="55">
                  <c:v>480905.11941934191</c:v>
                </c:pt>
                <c:pt idx="56">
                  <c:v>464284.83330805693</c:v>
                </c:pt>
                <c:pt idx="57">
                  <c:v>440367.9108350724</c:v>
                </c:pt>
                <c:pt idx="58">
                  <c:v>429934.25350605417</c:v>
                </c:pt>
                <c:pt idx="59">
                  <c:v>400601.99725275766</c:v>
                </c:pt>
                <c:pt idx="60">
                  <c:v>389464.82287298981</c:v>
                </c:pt>
                <c:pt idx="61">
                  <c:v>397155.04137270153</c:v>
                </c:pt>
                <c:pt idx="62">
                  <c:v>412245.37277147826</c:v>
                </c:pt>
                <c:pt idx="63">
                  <c:v>399948.06588848308</c:v>
                </c:pt>
                <c:pt idx="64">
                  <c:v>389022.71180928871</c:v>
                </c:pt>
                <c:pt idx="65">
                  <c:v>329347.88944193348</c:v>
                </c:pt>
                <c:pt idx="66">
                  <c:v>285246.05275651161</c:v>
                </c:pt>
                <c:pt idx="67">
                  <c:v>254539.64402805734</c:v>
                </c:pt>
                <c:pt idx="68">
                  <c:v>290895.87388552353</c:v>
                </c:pt>
                <c:pt idx="69">
                  <c:v>324958.37493177503</c:v>
                </c:pt>
                <c:pt idx="70">
                  <c:v>367612.25630546082</c:v>
                </c:pt>
                <c:pt idx="71">
                  <c:v>355288.21607025992</c:v>
                </c:pt>
                <c:pt idx="72">
                  <c:v>377200.67302350886</c:v>
                </c:pt>
                <c:pt idx="73">
                  <c:v>392644.39097809419</c:v>
                </c:pt>
                <c:pt idx="74">
                  <c:v>393800.82043674588</c:v>
                </c:pt>
                <c:pt idx="75">
                  <c:v>407757.84834945202</c:v>
                </c:pt>
                <c:pt idx="76">
                  <c:v>453939.76055529527</c:v>
                </c:pt>
                <c:pt idx="77">
                  <c:v>476710.6957061002</c:v>
                </c:pt>
                <c:pt idx="78">
                  <c:v>485024.0912407618</c:v>
                </c:pt>
                <c:pt idx="79">
                  <c:v>468623.64621628821</c:v>
                </c:pt>
                <c:pt idx="80">
                  <c:v>472666.15498511493</c:v>
                </c:pt>
                <c:pt idx="81">
                  <c:v>468994.07378809899</c:v>
                </c:pt>
                <c:pt idx="82">
                  <c:v>447906.35850099288</c:v>
                </c:pt>
                <c:pt idx="83">
                  <c:v>439772.45234773867</c:v>
                </c:pt>
                <c:pt idx="84">
                  <c:v>417610.72683689464</c:v>
                </c:pt>
                <c:pt idx="85">
                  <c:v>443269.42633346282</c:v>
                </c:pt>
                <c:pt idx="86">
                  <c:v>456700.80304249376</c:v>
                </c:pt>
                <c:pt idx="87">
                  <c:v>442126.46357520577</c:v>
                </c:pt>
                <c:pt idx="88">
                  <c:v>458895.02245637681</c:v>
                </c:pt>
                <c:pt idx="89">
                  <c:v>441937.71242167335</c:v>
                </c:pt>
                <c:pt idx="90">
                  <c:v>438100.65860249102</c:v>
                </c:pt>
                <c:pt idx="91">
                  <c:v>462646.395841063</c:v>
                </c:pt>
                <c:pt idx="92">
                  <c:v>493156.12769657001</c:v>
                </c:pt>
                <c:pt idx="93">
                  <c:v>446171.7339668246</c:v>
                </c:pt>
                <c:pt idx="94">
                  <c:v>421605.8020044174</c:v>
                </c:pt>
                <c:pt idx="95">
                  <c:v>418446.23807645589</c:v>
                </c:pt>
                <c:pt idx="96">
                  <c:v>491317.01242776308</c:v>
                </c:pt>
                <c:pt idx="97">
                  <c:v>456394.8102746075</c:v>
                </c:pt>
                <c:pt idx="98">
                  <c:v>468238.02237389609</c:v>
                </c:pt>
                <c:pt idx="99">
                  <c:v>472897.19284364674</c:v>
                </c:pt>
                <c:pt idx="100">
                  <c:v>468451.3435518574</c:v>
                </c:pt>
                <c:pt idx="101">
                  <c:v>489406.9442487983</c:v>
                </c:pt>
                <c:pt idx="102">
                  <c:v>502369.63009818364</c:v>
                </c:pt>
                <c:pt idx="103">
                  <c:v>489443.81683628075</c:v>
                </c:pt>
                <c:pt idx="104">
                  <c:v>477271.18396409694</c:v>
                </c:pt>
                <c:pt idx="105">
                  <c:v>500732.38334654924</c:v>
                </c:pt>
                <c:pt idx="106">
                  <c:v>525803.67417639866</c:v>
                </c:pt>
                <c:pt idx="107">
                  <c:v>513175.97307484038</c:v>
                </c:pt>
                <c:pt idx="108">
                  <c:v>557496.07414665353</c:v>
                </c:pt>
                <c:pt idx="109">
                  <c:v>586844.12308548018</c:v>
                </c:pt>
                <c:pt idx="110">
                  <c:v>580678.67749932781</c:v>
                </c:pt>
                <c:pt idx="111">
                  <c:v>538665.6993066594</c:v>
                </c:pt>
                <c:pt idx="112">
                  <c:v>540807.06033326685</c:v>
                </c:pt>
                <c:pt idx="113">
                  <c:v>570152.53433692828</c:v>
                </c:pt>
                <c:pt idx="114">
                  <c:v>557725.95893934276</c:v>
                </c:pt>
                <c:pt idx="115">
                  <c:v>630027.37475136574</c:v>
                </c:pt>
                <c:pt idx="116">
                  <c:v>624777.84292059392</c:v>
                </c:pt>
                <c:pt idx="117">
                  <c:v>620175.02765324432</c:v>
                </c:pt>
                <c:pt idx="118">
                  <c:v>616296.33606807329</c:v>
                </c:pt>
                <c:pt idx="119">
                  <c:v>682115.07556437608</c:v>
                </c:pt>
                <c:pt idx="120">
                  <c:v>651752.46864941064</c:v>
                </c:pt>
                <c:pt idx="121">
                  <c:v>648779.39758775849</c:v>
                </c:pt>
                <c:pt idx="122">
                  <c:v>693379.97677469812</c:v>
                </c:pt>
                <c:pt idx="123">
                  <c:v>681026.39671142399</c:v>
                </c:pt>
                <c:pt idx="124">
                  <c:v>696632.48771764524</c:v>
                </c:pt>
                <c:pt idx="125">
                  <c:v>701864.91683587991</c:v>
                </c:pt>
                <c:pt idx="126">
                  <c:v>745872.0414044261</c:v>
                </c:pt>
                <c:pt idx="127">
                  <c:v>702359.26824992895</c:v>
                </c:pt>
                <c:pt idx="128">
                  <c:v>686527.62281363364</c:v>
                </c:pt>
                <c:pt idx="129">
                  <c:v>691966.9741272945</c:v>
                </c:pt>
                <c:pt idx="130">
                  <c:v>698151.3268746417</c:v>
                </c:pt>
                <c:pt idx="131">
                  <c:v>682158.08878521621</c:v>
                </c:pt>
                <c:pt idx="132">
                  <c:v>628577.72415964026</c:v>
                </c:pt>
                <c:pt idx="133">
                  <c:v>628093.71693891473</c:v>
                </c:pt>
                <c:pt idx="134">
                  <c:v>604550.95407802146</c:v>
                </c:pt>
                <c:pt idx="135">
                  <c:v>674159.34412995167</c:v>
                </c:pt>
                <c:pt idx="136">
                  <c:v>676778.60155560821</c:v>
                </c:pt>
                <c:pt idx="137">
                  <c:v>683587.4132420104</c:v>
                </c:pt>
                <c:pt idx="138">
                  <c:v>670757.24434580281</c:v>
                </c:pt>
                <c:pt idx="139">
                  <c:v>701919.91779648606</c:v>
                </c:pt>
                <c:pt idx="140">
                  <c:v>657191.98486705404</c:v>
                </c:pt>
                <c:pt idx="141">
                  <c:v>668583.78155179322</c:v>
                </c:pt>
                <c:pt idx="142">
                  <c:v>641088.36970452685</c:v>
                </c:pt>
                <c:pt idx="143">
                  <c:v>665060.56440916378</c:v>
                </c:pt>
                <c:pt idx="144">
                  <c:v>700191.00061012246</c:v>
                </c:pt>
                <c:pt idx="145">
                  <c:v>702804.35776484292</c:v>
                </c:pt>
                <c:pt idx="146">
                  <c:v>729592.14973448217</c:v>
                </c:pt>
                <c:pt idx="147">
                  <c:v>672743.77529043332</c:v>
                </c:pt>
                <c:pt idx="148">
                  <c:v>659961.34782431554</c:v>
                </c:pt>
                <c:pt idx="149">
                  <c:v>617263.8939349493</c:v>
                </c:pt>
                <c:pt idx="150">
                  <c:v>617635.27426884882</c:v>
                </c:pt>
                <c:pt idx="151">
                  <c:v>618695.24819014035</c:v>
                </c:pt>
                <c:pt idx="152">
                  <c:v>644994.89080967195</c:v>
                </c:pt>
                <c:pt idx="153">
                  <c:v>622166.59793291334</c:v>
                </c:pt>
                <c:pt idx="154">
                  <c:v>637826.55331508163</c:v>
                </c:pt>
                <c:pt idx="155">
                  <c:v>704318.10569802672</c:v>
                </c:pt>
                <c:pt idx="156">
                  <c:v>696335.64024410397</c:v>
                </c:pt>
                <c:pt idx="157">
                  <c:v>696243.46409120038</c:v>
                </c:pt>
                <c:pt idx="158">
                  <c:v>701840.06541837007</c:v>
                </c:pt>
                <c:pt idx="159">
                  <c:v>688927.38635499869</c:v>
                </c:pt>
                <c:pt idx="160">
                  <c:v>727701.03921117168</c:v>
                </c:pt>
                <c:pt idx="161">
                  <c:v>678440.47895120829</c:v>
                </c:pt>
                <c:pt idx="162">
                  <c:v>634524.02985940408</c:v>
                </c:pt>
                <c:pt idx="163">
                  <c:v>627580.38840913586</c:v>
                </c:pt>
                <c:pt idx="164">
                  <c:v>617341.8803558331</c:v>
                </c:pt>
                <c:pt idx="165">
                  <c:v>619754.69870311953</c:v>
                </c:pt>
                <c:pt idx="166">
                  <c:v>602871.11687545292</c:v>
                </c:pt>
                <c:pt idx="167">
                  <c:v>577347.37237292156</c:v>
                </c:pt>
                <c:pt idx="168">
                  <c:v>657156.06373185571</c:v>
                </c:pt>
              </c:numCache>
            </c:numRef>
          </c:val>
          <c:smooth val="0"/>
          <c:extLst>
            <c:ext xmlns:c16="http://schemas.microsoft.com/office/drawing/2014/chart" uri="{C3380CC4-5D6E-409C-BE32-E72D297353CC}">
              <c16:uniqueId val="{00000001-1793-4C6A-BA74-BFD0D8D0C397}"/>
            </c:ext>
          </c:extLst>
        </c:ser>
        <c:ser>
          <c:idx val="2"/>
          <c:order val="2"/>
          <c:tx>
            <c:strRef>
              <c:f>'2.3 Job growth'!$P$3</c:f>
              <c:strCache>
                <c:ptCount val="1"/>
                <c:pt idx="0">
                  <c:v>Self-employed people working FT</c:v>
                </c:pt>
              </c:strCache>
            </c:strRef>
          </c:tx>
          <c:spPr>
            <a:ln w="28575" cap="rnd">
              <a:solidFill>
                <a:schemeClr val="accent3"/>
              </a:solidFill>
              <a:round/>
            </a:ln>
            <a:effectLst/>
          </c:spPr>
          <c:marker>
            <c:symbol val="none"/>
          </c:marker>
          <c:cat>
            <c:multiLvlStrRef>
              <c:f>'2.3 Job growth'!$L$4:$M$172</c:f>
              <c:multiLvlStrCache>
                <c:ptCount val="169"/>
                <c:lvl>
                  <c:pt idx="0">
                    <c:v>J</c:v>
                  </c:pt>
                  <c:pt idx="3">
                    <c:v>A</c:v>
                  </c:pt>
                  <c:pt idx="6">
                    <c:v>J</c:v>
                  </c:pt>
                  <c:pt idx="9">
                    <c:v>O</c:v>
                  </c:pt>
                  <c:pt idx="12">
                    <c:v>J</c:v>
                  </c:pt>
                  <c:pt idx="15">
                    <c:v>A</c:v>
                  </c:pt>
                  <c:pt idx="18">
                    <c:v>J</c:v>
                  </c:pt>
                  <c:pt idx="21">
                    <c:v>O</c:v>
                  </c:pt>
                  <c:pt idx="24">
                    <c:v>J</c:v>
                  </c:pt>
                  <c:pt idx="27">
                    <c:v>A</c:v>
                  </c:pt>
                  <c:pt idx="30">
                    <c:v>J</c:v>
                  </c:pt>
                  <c:pt idx="33">
                    <c:v>O</c:v>
                  </c:pt>
                  <c:pt idx="36">
                    <c:v>J</c:v>
                  </c:pt>
                  <c:pt idx="39">
                    <c:v>A</c:v>
                  </c:pt>
                  <c:pt idx="42">
                    <c:v>J</c:v>
                  </c:pt>
                  <c:pt idx="45">
                    <c:v>O</c:v>
                  </c:pt>
                  <c:pt idx="48">
                    <c:v>J</c:v>
                  </c:pt>
                  <c:pt idx="51">
                    <c:v>A</c:v>
                  </c:pt>
                  <c:pt idx="54">
                    <c:v>J</c:v>
                  </c:pt>
                  <c:pt idx="57">
                    <c:v>O</c:v>
                  </c:pt>
                  <c:pt idx="60">
                    <c:v>J</c:v>
                  </c:pt>
                  <c:pt idx="63">
                    <c:v>A</c:v>
                  </c:pt>
                  <c:pt idx="66">
                    <c:v>J</c:v>
                  </c:pt>
                  <c:pt idx="69">
                    <c:v>O</c:v>
                  </c:pt>
                  <c:pt idx="72">
                    <c:v>J</c:v>
                  </c:pt>
                  <c:pt idx="75">
                    <c:v>A</c:v>
                  </c:pt>
                  <c:pt idx="78">
                    <c:v>J</c:v>
                  </c:pt>
                  <c:pt idx="81">
                    <c:v>O</c:v>
                  </c:pt>
                  <c:pt idx="84">
                    <c:v>J</c:v>
                  </c:pt>
                  <c:pt idx="87">
                    <c:v>A</c:v>
                  </c:pt>
                  <c:pt idx="90">
                    <c:v>J</c:v>
                  </c:pt>
                  <c:pt idx="93">
                    <c:v>O</c:v>
                  </c:pt>
                  <c:pt idx="96">
                    <c:v>J</c:v>
                  </c:pt>
                  <c:pt idx="99">
                    <c:v>A</c:v>
                  </c:pt>
                  <c:pt idx="102">
                    <c:v>J</c:v>
                  </c:pt>
                  <c:pt idx="105">
                    <c:v>O</c:v>
                  </c:pt>
                  <c:pt idx="108">
                    <c:v>J</c:v>
                  </c:pt>
                  <c:pt idx="111">
                    <c:v>A</c:v>
                  </c:pt>
                  <c:pt idx="114">
                    <c:v>J</c:v>
                  </c:pt>
                  <c:pt idx="117">
                    <c:v>O</c:v>
                  </c:pt>
                  <c:pt idx="118">
                    <c:v> </c:v>
                  </c:pt>
                  <c:pt idx="119">
                    <c:v> </c:v>
                  </c:pt>
                  <c:pt idx="120">
                    <c:v>J</c:v>
                  </c:pt>
                  <c:pt idx="123">
                    <c:v>A</c:v>
                  </c:pt>
                  <c:pt idx="126">
                    <c:v>J</c:v>
                  </c:pt>
                  <c:pt idx="129">
                    <c:v>O</c:v>
                  </c:pt>
                  <c:pt idx="130">
                    <c:v> </c:v>
                  </c:pt>
                  <c:pt idx="131">
                    <c:v> </c:v>
                  </c:pt>
                  <c:pt idx="132">
                    <c:v>J</c:v>
                  </c:pt>
                  <c:pt idx="135">
                    <c:v>A</c:v>
                  </c:pt>
                  <c:pt idx="138">
                    <c:v>J</c:v>
                  </c:pt>
                  <c:pt idx="141">
                    <c:v>O</c:v>
                  </c:pt>
                  <c:pt idx="142">
                    <c:v> </c:v>
                  </c:pt>
                  <c:pt idx="143">
                    <c:v> </c:v>
                  </c:pt>
                  <c:pt idx="144">
                    <c:v>J</c:v>
                  </c:pt>
                  <c:pt idx="147">
                    <c:v>A</c:v>
                  </c:pt>
                  <c:pt idx="150">
                    <c:v>J</c:v>
                  </c:pt>
                  <c:pt idx="153">
                    <c:v>O</c:v>
                  </c:pt>
                  <c:pt idx="154">
                    <c:v> </c:v>
                  </c:pt>
                  <c:pt idx="155">
                    <c:v> </c:v>
                  </c:pt>
                  <c:pt idx="156">
                    <c:v>J</c:v>
                  </c:pt>
                  <c:pt idx="159">
                    <c:v>A</c:v>
                  </c:pt>
                  <c:pt idx="162">
                    <c:v>J</c:v>
                  </c:pt>
                  <c:pt idx="165">
                    <c:v>O</c:v>
                  </c:pt>
                  <c:pt idx="166">
                    <c:v> </c:v>
                  </c:pt>
                  <c:pt idx="167">
                    <c:v> </c:v>
                  </c:pt>
                  <c:pt idx="168">
                    <c:v>J</c:v>
                  </c:pt>
                </c:lvl>
                <c:lvl>
                  <c:pt idx="0">
                    <c:v>2006</c:v>
                  </c:pt>
                  <c:pt idx="12">
                    <c:v>2007</c:v>
                  </c:pt>
                  <c:pt idx="24">
                    <c:v>2008</c:v>
                  </c:pt>
                  <c:pt idx="36">
                    <c:v>2009</c:v>
                  </c:pt>
                  <c:pt idx="48">
                    <c:v>2010</c:v>
                  </c:pt>
                  <c:pt idx="60">
                    <c:v>2011</c:v>
                  </c:pt>
                  <c:pt idx="72">
                    <c:v>2012</c:v>
                  </c:pt>
                  <c:pt idx="84">
                    <c:v>2013</c:v>
                  </c:pt>
                  <c:pt idx="96">
                    <c:v>2014</c:v>
                  </c:pt>
                  <c:pt idx="108">
                    <c:v>2015</c:v>
                  </c:pt>
                  <c:pt idx="120">
                    <c:v>2016</c:v>
                  </c:pt>
                  <c:pt idx="132">
                    <c:v>2017</c:v>
                  </c:pt>
                  <c:pt idx="144">
                    <c:v>2018</c:v>
                  </c:pt>
                  <c:pt idx="156">
                    <c:v>2019</c:v>
                  </c:pt>
                  <c:pt idx="168">
                    <c:v>2020</c:v>
                  </c:pt>
                </c:lvl>
              </c:multiLvlStrCache>
            </c:multiLvlStrRef>
          </c:cat>
          <c:val>
            <c:numRef>
              <c:f>'2.3 Job growth'!$P$4:$P$172</c:f>
              <c:numCache>
                <c:formatCode>#,##0,</c:formatCode>
                <c:ptCount val="169"/>
                <c:pt idx="0">
                  <c:v>0</c:v>
                </c:pt>
                <c:pt idx="1">
                  <c:v>14330.410193381831</c:v>
                </c:pt>
                <c:pt idx="2">
                  <c:v>22431.025057368446</c:v>
                </c:pt>
                <c:pt idx="3">
                  <c:v>1393.7034978228621</c:v>
                </c:pt>
                <c:pt idx="4">
                  <c:v>1988.8466611783952</c:v>
                </c:pt>
                <c:pt idx="5">
                  <c:v>6651.0199852092192</c:v>
                </c:pt>
                <c:pt idx="6">
                  <c:v>28865.99832345685</c:v>
                </c:pt>
                <c:pt idx="7">
                  <c:v>25457.055335813202</c:v>
                </c:pt>
                <c:pt idx="8">
                  <c:v>36545.32098179264</c:v>
                </c:pt>
                <c:pt idx="9">
                  <c:v>44374.263913394883</c:v>
                </c:pt>
                <c:pt idx="10">
                  <c:v>45347.186195511371</c:v>
                </c:pt>
                <c:pt idx="11">
                  <c:v>72711.268752465956</c:v>
                </c:pt>
                <c:pt idx="12">
                  <c:v>71341.517327788752</c:v>
                </c:pt>
                <c:pt idx="13">
                  <c:v>56590.359831871465</c:v>
                </c:pt>
                <c:pt idx="14">
                  <c:v>54196.086932035629</c:v>
                </c:pt>
                <c:pt idx="15">
                  <c:v>55615.432623189874</c:v>
                </c:pt>
                <c:pt idx="16">
                  <c:v>55759.720854722895</c:v>
                </c:pt>
                <c:pt idx="17">
                  <c:v>45554.997753133066</c:v>
                </c:pt>
                <c:pt idx="18">
                  <c:v>52675.904755270574</c:v>
                </c:pt>
                <c:pt idx="19">
                  <c:v>51046.313632628415</c:v>
                </c:pt>
                <c:pt idx="20">
                  <c:v>59432.151991829742</c:v>
                </c:pt>
                <c:pt idx="21">
                  <c:v>50035.662786055356</c:v>
                </c:pt>
                <c:pt idx="22">
                  <c:v>47591.800170400646</c:v>
                </c:pt>
                <c:pt idx="23">
                  <c:v>49609.362547903322</c:v>
                </c:pt>
                <c:pt idx="24">
                  <c:v>103866.74364851555</c:v>
                </c:pt>
                <c:pt idx="25">
                  <c:v>94554.160928617697</c:v>
                </c:pt>
                <c:pt idx="26">
                  <c:v>88387.967584996019</c:v>
                </c:pt>
                <c:pt idx="27">
                  <c:v>90398.414135133848</c:v>
                </c:pt>
                <c:pt idx="28">
                  <c:v>95833.083191163372</c:v>
                </c:pt>
                <c:pt idx="29">
                  <c:v>90673.606625115499</c:v>
                </c:pt>
                <c:pt idx="30">
                  <c:v>62120.202111706603</c:v>
                </c:pt>
                <c:pt idx="31">
                  <c:v>63642.153642180376</c:v>
                </c:pt>
                <c:pt idx="32">
                  <c:v>35130.737770865671</c:v>
                </c:pt>
                <c:pt idx="33">
                  <c:v>49173.59435714595</c:v>
                </c:pt>
                <c:pt idx="34">
                  <c:v>46529.736802009866</c:v>
                </c:pt>
                <c:pt idx="35">
                  <c:v>66957.164355691057</c:v>
                </c:pt>
                <c:pt idx="36">
                  <c:v>67704.506064430811</c:v>
                </c:pt>
                <c:pt idx="37">
                  <c:v>66736.236042791046</c:v>
                </c:pt>
                <c:pt idx="38">
                  <c:v>59620.120342107955</c:v>
                </c:pt>
                <c:pt idx="39">
                  <c:v>40812.401592242531</c:v>
                </c:pt>
                <c:pt idx="40">
                  <c:v>17537.325149082113</c:v>
                </c:pt>
                <c:pt idx="41">
                  <c:v>43888.103817481548</c:v>
                </c:pt>
                <c:pt idx="42">
                  <c:v>72105.873479034752</c:v>
                </c:pt>
                <c:pt idx="43">
                  <c:v>51920.198158085346</c:v>
                </c:pt>
                <c:pt idx="44">
                  <c:v>58120.162069376092</c:v>
                </c:pt>
                <c:pt idx="45">
                  <c:v>47296.076323083136</c:v>
                </c:pt>
                <c:pt idx="46">
                  <c:v>66075.739810587838</c:v>
                </c:pt>
                <c:pt idx="47">
                  <c:v>55106.184435059782</c:v>
                </c:pt>
                <c:pt idx="48">
                  <c:v>61889.739953984972</c:v>
                </c:pt>
                <c:pt idx="49">
                  <c:v>88837.570276855491</c:v>
                </c:pt>
                <c:pt idx="50">
                  <c:v>98353.679626733996</c:v>
                </c:pt>
                <c:pt idx="51">
                  <c:v>80838.959435296245</c:v>
                </c:pt>
                <c:pt idx="52">
                  <c:v>76883.907898479141</c:v>
                </c:pt>
                <c:pt idx="53">
                  <c:v>97454.233109583613</c:v>
                </c:pt>
                <c:pt idx="54">
                  <c:v>111014.99611020554</c:v>
                </c:pt>
                <c:pt idx="55">
                  <c:v>139149.71292470908</c:v>
                </c:pt>
                <c:pt idx="56">
                  <c:v>80968.12266149139</c:v>
                </c:pt>
                <c:pt idx="57">
                  <c:v>92778.483633498196</c:v>
                </c:pt>
                <c:pt idx="58">
                  <c:v>86564.030643359292</c:v>
                </c:pt>
                <c:pt idx="59">
                  <c:v>77446.779284290038</c:v>
                </c:pt>
                <c:pt idx="60">
                  <c:v>65278.875312622171</c:v>
                </c:pt>
                <c:pt idx="61">
                  <c:v>32283.068093881477</c:v>
                </c:pt>
                <c:pt idx="62">
                  <c:v>42231.915980917402</c:v>
                </c:pt>
                <c:pt idx="63">
                  <c:v>40185.887573717162</c:v>
                </c:pt>
                <c:pt idx="64">
                  <c:v>54736.96768852463</c:v>
                </c:pt>
                <c:pt idx="65">
                  <c:v>63663.478043291252</c:v>
                </c:pt>
                <c:pt idx="66">
                  <c:v>99537.252162104473</c:v>
                </c:pt>
                <c:pt idx="67">
                  <c:v>127256.75022018841</c:v>
                </c:pt>
                <c:pt idx="68">
                  <c:v>170252.25666703703</c:v>
                </c:pt>
                <c:pt idx="69">
                  <c:v>157607.48138622334</c:v>
                </c:pt>
                <c:pt idx="70">
                  <c:v>141067.3598977928</c:v>
                </c:pt>
                <c:pt idx="71">
                  <c:v>143634.30530999787</c:v>
                </c:pt>
                <c:pt idx="72">
                  <c:v>138740.60925163422</c:v>
                </c:pt>
                <c:pt idx="73">
                  <c:v>141097.28577473154</c:v>
                </c:pt>
                <c:pt idx="74">
                  <c:v>158990.84164824151</c:v>
                </c:pt>
                <c:pt idx="75">
                  <c:v>168161.25665868912</c:v>
                </c:pt>
                <c:pt idx="76">
                  <c:v>180511.94383149035</c:v>
                </c:pt>
                <c:pt idx="77">
                  <c:v>185076.79516164353</c:v>
                </c:pt>
                <c:pt idx="78">
                  <c:v>161430.36874935776</c:v>
                </c:pt>
                <c:pt idx="79">
                  <c:v>165220.41300179251</c:v>
                </c:pt>
                <c:pt idx="80">
                  <c:v>173048.33486079937</c:v>
                </c:pt>
                <c:pt idx="81">
                  <c:v>183660.71890317323</c:v>
                </c:pt>
                <c:pt idx="82">
                  <c:v>197685.3286281731</c:v>
                </c:pt>
                <c:pt idx="83">
                  <c:v>156896.73786222283</c:v>
                </c:pt>
                <c:pt idx="84">
                  <c:v>160689.19554665219</c:v>
                </c:pt>
                <c:pt idx="85">
                  <c:v>166832.79567482974</c:v>
                </c:pt>
                <c:pt idx="86">
                  <c:v>176804.20557889855</c:v>
                </c:pt>
                <c:pt idx="87">
                  <c:v>160933.09325070726</c:v>
                </c:pt>
                <c:pt idx="88">
                  <c:v>161490.66342525603</c:v>
                </c:pt>
                <c:pt idx="89">
                  <c:v>181904.79229506664</c:v>
                </c:pt>
                <c:pt idx="90">
                  <c:v>215314.39169446519</c:v>
                </c:pt>
                <c:pt idx="91">
                  <c:v>214488.90775441658</c:v>
                </c:pt>
                <c:pt idx="92">
                  <c:v>243601.70696041174</c:v>
                </c:pt>
                <c:pt idx="93">
                  <c:v>325499.10030651558</c:v>
                </c:pt>
                <c:pt idx="94">
                  <c:v>341180.74951396231</c:v>
                </c:pt>
                <c:pt idx="95">
                  <c:v>395492.05893421965</c:v>
                </c:pt>
                <c:pt idx="96">
                  <c:v>419374.44049890805</c:v>
                </c:pt>
                <c:pt idx="97">
                  <c:v>421317.57930460665</c:v>
                </c:pt>
                <c:pt idx="98">
                  <c:v>418454.26780954748</c:v>
                </c:pt>
                <c:pt idx="99">
                  <c:v>417389.13519822247</c:v>
                </c:pt>
                <c:pt idx="100">
                  <c:v>410525.44470458198</c:v>
                </c:pt>
                <c:pt idx="101">
                  <c:v>399555.54159130203</c:v>
                </c:pt>
                <c:pt idx="102">
                  <c:v>406993.68362968974</c:v>
                </c:pt>
                <c:pt idx="103">
                  <c:v>407171.65585782425</c:v>
                </c:pt>
                <c:pt idx="104">
                  <c:v>409072.27163901506</c:v>
                </c:pt>
                <c:pt idx="105">
                  <c:v>386487.96281416155</c:v>
                </c:pt>
                <c:pt idx="106">
                  <c:v>357605.44993327372</c:v>
                </c:pt>
                <c:pt idx="107">
                  <c:v>372366.44968974777</c:v>
                </c:pt>
                <c:pt idx="108">
                  <c:v>361373.16686739074</c:v>
                </c:pt>
                <c:pt idx="109">
                  <c:v>356337.43531551864</c:v>
                </c:pt>
                <c:pt idx="110">
                  <c:v>342639.80782681564</c:v>
                </c:pt>
                <c:pt idx="111">
                  <c:v>306052.12876645988</c:v>
                </c:pt>
                <c:pt idx="112">
                  <c:v>343583.98987242253</c:v>
                </c:pt>
                <c:pt idx="113">
                  <c:v>331784.89823445538</c:v>
                </c:pt>
                <c:pt idx="114">
                  <c:v>318439.00390104111</c:v>
                </c:pt>
                <c:pt idx="115">
                  <c:v>376083.13005838124</c:v>
                </c:pt>
                <c:pt idx="116">
                  <c:v>416551.89231874794</c:v>
                </c:pt>
                <c:pt idx="117">
                  <c:v>421487.26577715203</c:v>
                </c:pt>
                <c:pt idx="118">
                  <c:v>450544.82478255592</c:v>
                </c:pt>
                <c:pt idx="119">
                  <c:v>447479.65021047508</c:v>
                </c:pt>
                <c:pt idx="120">
                  <c:v>472040.70964685269</c:v>
                </c:pt>
                <c:pt idx="121">
                  <c:v>493661.81598886382</c:v>
                </c:pt>
                <c:pt idx="122">
                  <c:v>509224.40776082594</c:v>
                </c:pt>
                <c:pt idx="123">
                  <c:v>549382.23040648131</c:v>
                </c:pt>
                <c:pt idx="124">
                  <c:v>544745.44217595411</c:v>
                </c:pt>
                <c:pt idx="125">
                  <c:v>544470.91207737057</c:v>
                </c:pt>
                <c:pt idx="126">
                  <c:v>575912.22155928845</c:v>
                </c:pt>
                <c:pt idx="127">
                  <c:v>550712.50959721114</c:v>
                </c:pt>
                <c:pt idx="128">
                  <c:v>502237.11739524547</c:v>
                </c:pt>
                <c:pt idx="129">
                  <c:v>539630.62638224522</c:v>
                </c:pt>
                <c:pt idx="130">
                  <c:v>569802.37365005538</c:v>
                </c:pt>
                <c:pt idx="131">
                  <c:v>590264.38064158475</c:v>
                </c:pt>
                <c:pt idx="132">
                  <c:v>591428.81828463823</c:v>
                </c:pt>
                <c:pt idx="133">
                  <c:v>577963.37473530648</c:v>
                </c:pt>
                <c:pt idx="134">
                  <c:v>565605.89881756715</c:v>
                </c:pt>
                <c:pt idx="135">
                  <c:v>564732.3943440211</c:v>
                </c:pt>
                <c:pt idx="136">
                  <c:v>570853.13906812668</c:v>
                </c:pt>
                <c:pt idx="137">
                  <c:v>563307.52540303394</c:v>
                </c:pt>
                <c:pt idx="138">
                  <c:v>553875.94207858713</c:v>
                </c:pt>
                <c:pt idx="139">
                  <c:v>530153.13122199476</c:v>
                </c:pt>
                <c:pt idx="140">
                  <c:v>504227.82412784407</c:v>
                </c:pt>
                <c:pt idx="141">
                  <c:v>471219.61068829428</c:v>
                </c:pt>
                <c:pt idx="142">
                  <c:v>486516.04584523197</c:v>
                </c:pt>
                <c:pt idx="143">
                  <c:v>498540.73601397919</c:v>
                </c:pt>
                <c:pt idx="144">
                  <c:v>462769.50976199191</c:v>
                </c:pt>
                <c:pt idx="145">
                  <c:v>443356.90340753971</c:v>
                </c:pt>
                <c:pt idx="146">
                  <c:v>484771.89969022898</c:v>
                </c:pt>
                <c:pt idx="147">
                  <c:v>502845.46640141867</c:v>
                </c:pt>
                <c:pt idx="148">
                  <c:v>483333.9667024645</c:v>
                </c:pt>
                <c:pt idx="149">
                  <c:v>485935.98092864174</c:v>
                </c:pt>
                <c:pt idx="150">
                  <c:v>474995.53521452844</c:v>
                </c:pt>
                <c:pt idx="151">
                  <c:v>476553.56832527928</c:v>
                </c:pt>
                <c:pt idx="152">
                  <c:v>496537.39648176823</c:v>
                </c:pt>
                <c:pt idx="153">
                  <c:v>539282.34674818767</c:v>
                </c:pt>
                <c:pt idx="154">
                  <c:v>523625.75539284851</c:v>
                </c:pt>
                <c:pt idx="155">
                  <c:v>557603.74812617619</c:v>
                </c:pt>
                <c:pt idx="156">
                  <c:v>563079.99086051062</c:v>
                </c:pt>
                <c:pt idx="157">
                  <c:v>644978.34384425031</c:v>
                </c:pt>
                <c:pt idx="158">
                  <c:v>620185.87919976655</c:v>
                </c:pt>
                <c:pt idx="159">
                  <c:v>581923.66374732414</c:v>
                </c:pt>
                <c:pt idx="160">
                  <c:v>591860.33126664208</c:v>
                </c:pt>
                <c:pt idx="161">
                  <c:v>604764.52599369129</c:v>
                </c:pt>
                <c:pt idx="162">
                  <c:v>645927.11926366296</c:v>
                </c:pt>
                <c:pt idx="163">
                  <c:v>648354.43406386068</c:v>
                </c:pt>
                <c:pt idx="164">
                  <c:v>631907.25102055771</c:v>
                </c:pt>
                <c:pt idx="165">
                  <c:v>693846.46544812759</c:v>
                </c:pt>
                <c:pt idx="166">
                  <c:v>720113.95560385939</c:v>
                </c:pt>
                <c:pt idx="167">
                  <c:v>704550.09009316843</c:v>
                </c:pt>
                <c:pt idx="168">
                  <c:v>677900.35046336148</c:v>
                </c:pt>
              </c:numCache>
            </c:numRef>
          </c:val>
          <c:smooth val="0"/>
          <c:extLst>
            <c:ext xmlns:c16="http://schemas.microsoft.com/office/drawing/2014/chart" uri="{C3380CC4-5D6E-409C-BE32-E72D297353CC}">
              <c16:uniqueId val="{00000002-1793-4C6A-BA74-BFD0D8D0C397}"/>
            </c:ext>
          </c:extLst>
        </c:ser>
        <c:ser>
          <c:idx val="3"/>
          <c:order val="3"/>
          <c:tx>
            <c:strRef>
              <c:f>'2.3 Job growth'!$Q$3</c:f>
              <c:strCache>
                <c:ptCount val="1"/>
                <c:pt idx="0">
                  <c:v>Self-employed people working PT</c:v>
                </c:pt>
              </c:strCache>
            </c:strRef>
          </c:tx>
          <c:spPr>
            <a:ln w="28575" cap="rnd">
              <a:solidFill>
                <a:schemeClr val="accent4"/>
              </a:solidFill>
              <a:round/>
            </a:ln>
            <a:effectLst/>
          </c:spPr>
          <c:marker>
            <c:symbol val="none"/>
          </c:marker>
          <c:cat>
            <c:multiLvlStrRef>
              <c:f>'2.3 Job growth'!$L$4:$M$172</c:f>
              <c:multiLvlStrCache>
                <c:ptCount val="169"/>
                <c:lvl>
                  <c:pt idx="0">
                    <c:v>J</c:v>
                  </c:pt>
                  <c:pt idx="3">
                    <c:v>A</c:v>
                  </c:pt>
                  <c:pt idx="6">
                    <c:v>J</c:v>
                  </c:pt>
                  <c:pt idx="9">
                    <c:v>O</c:v>
                  </c:pt>
                  <c:pt idx="12">
                    <c:v>J</c:v>
                  </c:pt>
                  <c:pt idx="15">
                    <c:v>A</c:v>
                  </c:pt>
                  <c:pt idx="18">
                    <c:v>J</c:v>
                  </c:pt>
                  <c:pt idx="21">
                    <c:v>O</c:v>
                  </c:pt>
                  <c:pt idx="24">
                    <c:v>J</c:v>
                  </c:pt>
                  <c:pt idx="27">
                    <c:v>A</c:v>
                  </c:pt>
                  <c:pt idx="30">
                    <c:v>J</c:v>
                  </c:pt>
                  <c:pt idx="33">
                    <c:v>O</c:v>
                  </c:pt>
                  <c:pt idx="36">
                    <c:v>J</c:v>
                  </c:pt>
                  <c:pt idx="39">
                    <c:v>A</c:v>
                  </c:pt>
                  <c:pt idx="42">
                    <c:v>J</c:v>
                  </c:pt>
                  <c:pt idx="45">
                    <c:v>O</c:v>
                  </c:pt>
                  <c:pt idx="48">
                    <c:v>J</c:v>
                  </c:pt>
                  <c:pt idx="51">
                    <c:v>A</c:v>
                  </c:pt>
                  <c:pt idx="54">
                    <c:v>J</c:v>
                  </c:pt>
                  <c:pt idx="57">
                    <c:v>O</c:v>
                  </c:pt>
                  <c:pt idx="60">
                    <c:v>J</c:v>
                  </c:pt>
                  <c:pt idx="63">
                    <c:v>A</c:v>
                  </c:pt>
                  <c:pt idx="66">
                    <c:v>J</c:v>
                  </c:pt>
                  <c:pt idx="69">
                    <c:v>O</c:v>
                  </c:pt>
                  <c:pt idx="72">
                    <c:v>J</c:v>
                  </c:pt>
                  <c:pt idx="75">
                    <c:v>A</c:v>
                  </c:pt>
                  <c:pt idx="78">
                    <c:v>J</c:v>
                  </c:pt>
                  <c:pt idx="81">
                    <c:v>O</c:v>
                  </c:pt>
                  <c:pt idx="84">
                    <c:v>J</c:v>
                  </c:pt>
                  <c:pt idx="87">
                    <c:v>A</c:v>
                  </c:pt>
                  <c:pt idx="90">
                    <c:v>J</c:v>
                  </c:pt>
                  <c:pt idx="93">
                    <c:v>O</c:v>
                  </c:pt>
                  <c:pt idx="96">
                    <c:v>J</c:v>
                  </c:pt>
                  <c:pt idx="99">
                    <c:v>A</c:v>
                  </c:pt>
                  <c:pt idx="102">
                    <c:v>J</c:v>
                  </c:pt>
                  <c:pt idx="105">
                    <c:v>O</c:v>
                  </c:pt>
                  <c:pt idx="108">
                    <c:v>J</c:v>
                  </c:pt>
                  <c:pt idx="111">
                    <c:v>A</c:v>
                  </c:pt>
                  <c:pt idx="114">
                    <c:v>J</c:v>
                  </c:pt>
                  <c:pt idx="117">
                    <c:v>O</c:v>
                  </c:pt>
                  <c:pt idx="118">
                    <c:v> </c:v>
                  </c:pt>
                  <c:pt idx="119">
                    <c:v> </c:v>
                  </c:pt>
                  <c:pt idx="120">
                    <c:v>J</c:v>
                  </c:pt>
                  <c:pt idx="123">
                    <c:v>A</c:v>
                  </c:pt>
                  <c:pt idx="126">
                    <c:v>J</c:v>
                  </c:pt>
                  <c:pt idx="129">
                    <c:v>O</c:v>
                  </c:pt>
                  <c:pt idx="130">
                    <c:v> </c:v>
                  </c:pt>
                  <c:pt idx="131">
                    <c:v> </c:v>
                  </c:pt>
                  <c:pt idx="132">
                    <c:v>J</c:v>
                  </c:pt>
                  <c:pt idx="135">
                    <c:v>A</c:v>
                  </c:pt>
                  <c:pt idx="138">
                    <c:v>J</c:v>
                  </c:pt>
                  <c:pt idx="141">
                    <c:v>O</c:v>
                  </c:pt>
                  <c:pt idx="142">
                    <c:v> </c:v>
                  </c:pt>
                  <c:pt idx="143">
                    <c:v> </c:v>
                  </c:pt>
                  <c:pt idx="144">
                    <c:v>J</c:v>
                  </c:pt>
                  <c:pt idx="147">
                    <c:v>A</c:v>
                  </c:pt>
                  <c:pt idx="150">
                    <c:v>J</c:v>
                  </c:pt>
                  <c:pt idx="153">
                    <c:v>O</c:v>
                  </c:pt>
                  <c:pt idx="154">
                    <c:v> </c:v>
                  </c:pt>
                  <c:pt idx="155">
                    <c:v> </c:v>
                  </c:pt>
                  <c:pt idx="156">
                    <c:v>J</c:v>
                  </c:pt>
                  <c:pt idx="159">
                    <c:v>A</c:v>
                  </c:pt>
                  <c:pt idx="162">
                    <c:v>J</c:v>
                  </c:pt>
                  <c:pt idx="165">
                    <c:v>O</c:v>
                  </c:pt>
                  <c:pt idx="166">
                    <c:v> </c:v>
                  </c:pt>
                  <c:pt idx="167">
                    <c:v> </c:v>
                  </c:pt>
                  <c:pt idx="168">
                    <c:v>J</c:v>
                  </c:pt>
                </c:lvl>
                <c:lvl>
                  <c:pt idx="0">
                    <c:v>2006</c:v>
                  </c:pt>
                  <c:pt idx="12">
                    <c:v>2007</c:v>
                  </c:pt>
                  <c:pt idx="24">
                    <c:v>2008</c:v>
                  </c:pt>
                  <c:pt idx="36">
                    <c:v>2009</c:v>
                  </c:pt>
                  <c:pt idx="48">
                    <c:v>2010</c:v>
                  </c:pt>
                  <c:pt idx="60">
                    <c:v>2011</c:v>
                  </c:pt>
                  <c:pt idx="72">
                    <c:v>2012</c:v>
                  </c:pt>
                  <c:pt idx="84">
                    <c:v>2013</c:v>
                  </c:pt>
                  <c:pt idx="96">
                    <c:v>2014</c:v>
                  </c:pt>
                  <c:pt idx="108">
                    <c:v>2015</c:v>
                  </c:pt>
                  <c:pt idx="120">
                    <c:v>2016</c:v>
                  </c:pt>
                  <c:pt idx="132">
                    <c:v>2017</c:v>
                  </c:pt>
                  <c:pt idx="144">
                    <c:v>2018</c:v>
                  </c:pt>
                  <c:pt idx="156">
                    <c:v>2019</c:v>
                  </c:pt>
                  <c:pt idx="168">
                    <c:v>2020</c:v>
                  </c:pt>
                </c:lvl>
              </c:multiLvlStrCache>
            </c:multiLvlStrRef>
          </c:cat>
          <c:val>
            <c:numRef>
              <c:f>'2.3 Job growth'!$Q$4:$Q$172</c:f>
              <c:numCache>
                <c:formatCode>#,##0,</c:formatCode>
                <c:ptCount val="169"/>
                <c:pt idx="0">
                  <c:v>0</c:v>
                </c:pt>
                <c:pt idx="1">
                  <c:v>-4598.5788110231515</c:v>
                </c:pt>
                <c:pt idx="2">
                  <c:v>1612.8814029688947</c:v>
                </c:pt>
                <c:pt idx="3">
                  <c:v>-12952.862911214936</c:v>
                </c:pt>
                <c:pt idx="4">
                  <c:v>-5524.4349710475653</c:v>
                </c:pt>
                <c:pt idx="5">
                  <c:v>5428.7379066701978</c:v>
                </c:pt>
                <c:pt idx="6">
                  <c:v>5868.2606195900589</c:v>
                </c:pt>
                <c:pt idx="7">
                  <c:v>31473.813858037116</c:v>
                </c:pt>
                <c:pt idx="8">
                  <c:v>44540.847871856648</c:v>
                </c:pt>
                <c:pt idx="9">
                  <c:v>29457.44033477339</c:v>
                </c:pt>
                <c:pt idx="10">
                  <c:v>29656.143456431921</c:v>
                </c:pt>
                <c:pt idx="11">
                  <c:v>21873.121408844716</c:v>
                </c:pt>
                <c:pt idx="12">
                  <c:v>30639.480784981861</c:v>
                </c:pt>
                <c:pt idx="13">
                  <c:v>50626.73662802577</c:v>
                </c:pt>
                <c:pt idx="14">
                  <c:v>52223.835969979875</c:v>
                </c:pt>
                <c:pt idx="15">
                  <c:v>31239.046928042546</c:v>
                </c:pt>
                <c:pt idx="16">
                  <c:v>32795.775782260811</c:v>
                </c:pt>
                <c:pt idx="17">
                  <c:v>51228.964982352452</c:v>
                </c:pt>
                <c:pt idx="18">
                  <c:v>63306.251534276293</c:v>
                </c:pt>
                <c:pt idx="19">
                  <c:v>66420.738834070973</c:v>
                </c:pt>
                <c:pt idx="20">
                  <c:v>67126.219344743877</c:v>
                </c:pt>
                <c:pt idx="21">
                  <c:v>78396.41276269115</c:v>
                </c:pt>
                <c:pt idx="22">
                  <c:v>72393.135940894019</c:v>
                </c:pt>
                <c:pt idx="23">
                  <c:v>83651.671631058678</c:v>
                </c:pt>
                <c:pt idx="24">
                  <c:v>74307.267223264324</c:v>
                </c:pt>
                <c:pt idx="25">
                  <c:v>68808.515607594629</c:v>
                </c:pt>
                <c:pt idx="26">
                  <c:v>48171.105577000068</c:v>
                </c:pt>
                <c:pt idx="27">
                  <c:v>51690.235529936734</c:v>
                </c:pt>
                <c:pt idx="28">
                  <c:v>48641.730427675764</c:v>
                </c:pt>
                <c:pt idx="29">
                  <c:v>48783.183248608722</c:v>
                </c:pt>
                <c:pt idx="30">
                  <c:v>50067.706322533311</c:v>
                </c:pt>
                <c:pt idx="31">
                  <c:v>39944.763351634727</c:v>
                </c:pt>
                <c:pt idx="32">
                  <c:v>44764.972044028342</c:v>
                </c:pt>
                <c:pt idx="33">
                  <c:v>66923.735504792654</c:v>
                </c:pt>
                <c:pt idx="34">
                  <c:v>66887.264326125616</c:v>
                </c:pt>
                <c:pt idx="35">
                  <c:v>63469.176492490224</c:v>
                </c:pt>
                <c:pt idx="36">
                  <c:v>43927.815476854797</c:v>
                </c:pt>
                <c:pt idx="37">
                  <c:v>62816.891189626884</c:v>
                </c:pt>
                <c:pt idx="38">
                  <c:v>85772.99777176138</c:v>
                </c:pt>
                <c:pt idx="39">
                  <c:v>100558.81318168831</c:v>
                </c:pt>
                <c:pt idx="40">
                  <c:v>110961.58314934163</c:v>
                </c:pt>
                <c:pt idx="41">
                  <c:v>100127.97141414625</c:v>
                </c:pt>
                <c:pt idx="42">
                  <c:v>107865.76682886342</c:v>
                </c:pt>
                <c:pt idx="43">
                  <c:v>115232.44972512533</c:v>
                </c:pt>
                <c:pt idx="44">
                  <c:v>108248.15794772911</c:v>
                </c:pt>
                <c:pt idx="45">
                  <c:v>134634.1102796332</c:v>
                </c:pt>
                <c:pt idx="46">
                  <c:v>132045.50640844833</c:v>
                </c:pt>
                <c:pt idx="47">
                  <c:v>136323.00268541812</c:v>
                </c:pt>
                <c:pt idx="48">
                  <c:v>132508.6277892068</c:v>
                </c:pt>
                <c:pt idx="49">
                  <c:v>151227.11752040498</c:v>
                </c:pt>
                <c:pt idx="50">
                  <c:v>160929.94984719332</c:v>
                </c:pt>
                <c:pt idx="51">
                  <c:v>163882.74337029248</c:v>
                </c:pt>
                <c:pt idx="52">
                  <c:v>158175.19842758495</c:v>
                </c:pt>
                <c:pt idx="53">
                  <c:v>176953.61269309674</c:v>
                </c:pt>
                <c:pt idx="54">
                  <c:v>167941.56700561452</c:v>
                </c:pt>
                <c:pt idx="55">
                  <c:v>192304.99799729884</c:v>
                </c:pt>
                <c:pt idx="56">
                  <c:v>184924.82220671372</c:v>
                </c:pt>
                <c:pt idx="57">
                  <c:v>195658.43932627002</c:v>
                </c:pt>
                <c:pt idx="58">
                  <c:v>207761.21058821306</c:v>
                </c:pt>
                <c:pt idx="59">
                  <c:v>233099.66528306343</c:v>
                </c:pt>
                <c:pt idx="60">
                  <c:v>246323.03702280694</c:v>
                </c:pt>
                <c:pt idx="61">
                  <c:v>236699.91177131608</c:v>
                </c:pt>
                <c:pt idx="62">
                  <c:v>252755.2735005049</c:v>
                </c:pt>
                <c:pt idx="63">
                  <c:v>267925.75699988613</c:v>
                </c:pt>
                <c:pt idx="64">
                  <c:v>239265.75751719391</c:v>
                </c:pt>
                <c:pt idx="65">
                  <c:v>222753.65940595395</c:v>
                </c:pt>
                <c:pt idx="66">
                  <c:v>235611.68581798743</c:v>
                </c:pt>
                <c:pt idx="67">
                  <c:v>279040.22716631461</c:v>
                </c:pt>
                <c:pt idx="68">
                  <c:v>269482.09819365316</c:v>
                </c:pt>
                <c:pt idx="69">
                  <c:v>278312.2809253009</c:v>
                </c:pt>
                <c:pt idx="70">
                  <c:v>262318.52715598303</c:v>
                </c:pt>
                <c:pt idx="71">
                  <c:v>269163.52511713025</c:v>
                </c:pt>
                <c:pt idx="72">
                  <c:v>302581.34637502371</c:v>
                </c:pt>
                <c:pt idx="73">
                  <c:v>331187.73459464498</c:v>
                </c:pt>
                <c:pt idx="74">
                  <c:v>322038.66240979708</c:v>
                </c:pt>
                <c:pt idx="75">
                  <c:v>303005.39991430659</c:v>
                </c:pt>
                <c:pt idx="76">
                  <c:v>327133.93566838978</c:v>
                </c:pt>
                <c:pt idx="77">
                  <c:v>352509.45635384135</c:v>
                </c:pt>
                <c:pt idx="78">
                  <c:v>356667.97337466059</c:v>
                </c:pt>
                <c:pt idx="79">
                  <c:v>352709.88389765657</c:v>
                </c:pt>
                <c:pt idx="80">
                  <c:v>336766.81733765756</c:v>
                </c:pt>
                <c:pt idx="81">
                  <c:v>338320.3654293539</c:v>
                </c:pt>
                <c:pt idx="82">
                  <c:v>345958.13080311078</c:v>
                </c:pt>
                <c:pt idx="83">
                  <c:v>335285.01074772654</c:v>
                </c:pt>
                <c:pt idx="84">
                  <c:v>347188.70375707583</c:v>
                </c:pt>
                <c:pt idx="85">
                  <c:v>304193.61480298499</c:v>
                </c:pt>
                <c:pt idx="86">
                  <c:v>327540.32654549973</c:v>
                </c:pt>
                <c:pt idx="87">
                  <c:v>309490.20258676074</c:v>
                </c:pt>
                <c:pt idx="88">
                  <c:v>320690.26569470461</c:v>
                </c:pt>
                <c:pt idx="89">
                  <c:v>307901.38267450663</c:v>
                </c:pt>
                <c:pt idx="90">
                  <c:v>313135.82037138613</c:v>
                </c:pt>
                <c:pt idx="91">
                  <c:v>315319.24657718232</c:v>
                </c:pt>
                <c:pt idx="92">
                  <c:v>339621.25889139669</c:v>
                </c:pt>
                <c:pt idx="93">
                  <c:v>369208.67447944637</c:v>
                </c:pt>
                <c:pt idx="94">
                  <c:v>368479.6562451371</c:v>
                </c:pt>
                <c:pt idx="95">
                  <c:v>391195.17819599994</c:v>
                </c:pt>
                <c:pt idx="96">
                  <c:v>404403.16701173689</c:v>
                </c:pt>
                <c:pt idx="97">
                  <c:v>443949.83838892635</c:v>
                </c:pt>
                <c:pt idx="98">
                  <c:v>441437.19138824893</c:v>
                </c:pt>
                <c:pt idx="99">
                  <c:v>467419.68059749715</c:v>
                </c:pt>
                <c:pt idx="100">
                  <c:v>480786.71554378071</c:v>
                </c:pt>
                <c:pt idx="101">
                  <c:v>454033.20977569511</c:v>
                </c:pt>
                <c:pt idx="102">
                  <c:v>405554.48571751127</c:v>
                </c:pt>
                <c:pt idx="103">
                  <c:v>408831.07706714305</c:v>
                </c:pt>
                <c:pt idx="104">
                  <c:v>419923.80450636661</c:v>
                </c:pt>
                <c:pt idx="105">
                  <c:v>438468.34129185183</c:v>
                </c:pt>
                <c:pt idx="106">
                  <c:v>443957.21197719639</c:v>
                </c:pt>
                <c:pt idx="107">
                  <c:v>455095.9860219704</c:v>
                </c:pt>
                <c:pt idx="108">
                  <c:v>474251.32866258733</c:v>
                </c:pt>
                <c:pt idx="109">
                  <c:v>454938.87973818975</c:v>
                </c:pt>
                <c:pt idx="110">
                  <c:v>437678.83150636777</c:v>
                </c:pt>
                <c:pt idx="111">
                  <c:v>452713.98694800935</c:v>
                </c:pt>
                <c:pt idx="112">
                  <c:v>460579.85168052837</c:v>
                </c:pt>
                <c:pt idx="113">
                  <c:v>483958.98464819882</c:v>
                </c:pt>
                <c:pt idx="114">
                  <c:v>479955.48576043989</c:v>
                </c:pt>
                <c:pt idx="115">
                  <c:v>486071.00222877134</c:v>
                </c:pt>
                <c:pt idx="116">
                  <c:v>500274.90698347101</c:v>
                </c:pt>
                <c:pt idx="117">
                  <c:v>517526.82472417457</c:v>
                </c:pt>
                <c:pt idx="118">
                  <c:v>515080.74259805586</c:v>
                </c:pt>
                <c:pt idx="119">
                  <c:v>500341.25833711959</c:v>
                </c:pt>
                <c:pt idx="120">
                  <c:v>501293.57823376544</c:v>
                </c:pt>
                <c:pt idx="121">
                  <c:v>505946.72734148568</c:v>
                </c:pt>
                <c:pt idx="122">
                  <c:v>482951.28244949318</c:v>
                </c:pt>
                <c:pt idx="123">
                  <c:v>513932.73507948592</c:v>
                </c:pt>
                <c:pt idx="124">
                  <c:v>526129.9981677914</c:v>
                </c:pt>
                <c:pt idx="125">
                  <c:v>494896.55388654</c:v>
                </c:pt>
                <c:pt idx="126">
                  <c:v>495797.32479291316</c:v>
                </c:pt>
                <c:pt idx="127">
                  <c:v>522559.66827874025</c:v>
                </c:pt>
                <c:pt idx="128">
                  <c:v>545919.73306319746</c:v>
                </c:pt>
                <c:pt idx="129">
                  <c:v>528437.49812225811</c:v>
                </c:pt>
                <c:pt idx="130">
                  <c:v>519201.22093681712</c:v>
                </c:pt>
                <c:pt idx="131">
                  <c:v>503945.16376361856</c:v>
                </c:pt>
                <c:pt idx="132">
                  <c:v>495888.25205203472</c:v>
                </c:pt>
                <c:pt idx="133">
                  <c:v>506048.98604561109</c:v>
                </c:pt>
                <c:pt idx="134">
                  <c:v>528259.09710193472</c:v>
                </c:pt>
                <c:pt idx="135">
                  <c:v>516134.42467667721</c:v>
                </c:pt>
                <c:pt idx="136">
                  <c:v>521653.75306457421</c:v>
                </c:pt>
                <c:pt idx="137">
                  <c:v>562479.83916146541</c:v>
                </c:pt>
                <c:pt idx="138">
                  <c:v>585354.18822960835</c:v>
                </c:pt>
                <c:pt idx="139">
                  <c:v>565696.63597439416</c:v>
                </c:pt>
                <c:pt idx="140">
                  <c:v>588359.20405304083</c:v>
                </c:pt>
                <c:pt idx="141">
                  <c:v>584642.1725645999</c:v>
                </c:pt>
                <c:pt idx="142">
                  <c:v>575760.44502353552</c:v>
                </c:pt>
                <c:pt idx="143">
                  <c:v>560673.5916655343</c:v>
                </c:pt>
                <c:pt idx="144">
                  <c:v>579307.87122007622</c:v>
                </c:pt>
                <c:pt idx="145">
                  <c:v>593004.41148964595</c:v>
                </c:pt>
                <c:pt idx="146">
                  <c:v>612616.00552798552</c:v>
                </c:pt>
                <c:pt idx="147">
                  <c:v>570638.6447610918</c:v>
                </c:pt>
                <c:pt idx="148">
                  <c:v>573262.98927441239</c:v>
                </c:pt>
                <c:pt idx="149">
                  <c:v>601931.16360065504</c:v>
                </c:pt>
                <c:pt idx="150">
                  <c:v>578688.78755763639</c:v>
                </c:pt>
                <c:pt idx="151">
                  <c:v>569398.64440612681</c:v>
                </c:pt>
                <c:pt idx="152">
                  <c:v>567424.09834390064</c:v>
                </c:pt>
                <c:pt idx="153">
                  <c:v>602058.03317779303</c:v>
                </c:pt>
                <c:pt idx="154">
                  <c:v>602035.40899139876</c:v>
                </c:pt>
                <c:pt idx="155">
                  <c:v>566749.07500958629</c:v>
                </c:pt>
                <c:pt idx="156">
                  <c:v>555353.0002904092</c:v>
                </c:pt>
                <c:pt idx="157">
                  <c:v>571015.20592236193</c:v>
                </c:pt>
                <c:pt idx="158">
                  <c:v>578558.04784752638</c:v>
                </c:pt>
                <c:pt idx="159">
                  <c:v>659048.44880937156</c:v>
                </c:pt>
                <c:pt idx="160">
                  <c:v>652752.9258386828</c:v>
                </c:pt>
                <c:pt idx="161">
                  <c:v>608531.07126367744</c:v>
                </c:pt>
                <c:pt idx="162">
                  <c:v>569967.62136115809</c:v>
                </c:pt>
                <c:pt idx="163">
                  <c:v>592514.44580461038</c:v>
                </c:pt>
                <c:pt idx="164">
                  <c:v>614001.30332751153</c:v>
                </c:pt>
                <c:pt idx="165">
                  <c:v>592938.32518298272</c:v>
                </c:pt>
                <c:pt idx="166">
                  <c:v>592203.01186762191</c:v>
                </c:pt>
                <c:pt idx="167">
                  <c:v>613837.57773281867</c:v>
                </c:pt>
                <c:pt idx="168">
                  <c:v>635920.16279256926</c:v>
                </c:pt>
              </c:numCache>
            </c:numRef>
          </c:val>
          <c:smooth val="0"/>
          <c:extLst>
            <c:ext xmlns:c16="http://schemas.microsoft.com/office/drawing/2014/chart" uri="{C3380CC4-5D6E-409C-BE32-E72D297353CC}">
              <c16:uniqueId val="{00000003-1793-4C6A-BA74-BFD0D8D0C397}"/>
            </c:ext>
          </c:extLst>
        </c:ser>
        <c:dLbls>
          <c:showLegendKey val="0"/>
          <c:showVal val="0"/>
          <c:showCatName val="0"/>
          <c:showSerName val="0"/>
          <c:showPercent val="0"/>
          <c:showBubbleSize val="0"/>
        </c:dLbls>
        <c:smooth val="0"/>
        <c:axId val="667614528"/>
        <c:axId val="667615840"/>
      </c:lineChart>
      <c:catAx>
        <c:axId val="66761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615840"/>
        <c:crosses val="autoZero"/>
        <c:auto val="1"/>
        <c:lblAlgn val="ctr"/>
        <c:lblOffset val="100"/>
        <c:noMultiLvlLbl val="0"/>
      </c:catAx>
      <c:valAx>
        <c:axId val="6676158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7614528"/>
        <c:crosses val="autoZero"/>
        <c:crossBetween val="between"/>
      </c:valAx>
      <c:spPr>
        <a:noFill/>
        <a:ln>
          <a:noFill/>
        </a:ln>
        <a:effectLst/>
      </c:spPr>
    </c:plotArea>
    <c:legend>
      <c:legendPos val="b"/>
      <c:layout>
        <c:manualLayout>
          <c:xMode val="edge"/>
          <c:yMode val="edge"/>
          <c:x val="0.10698425196850393"/>
          <c:y val="4.9767424905220223E-2"/>
          <c:w val="0.81380927384076995"/>
          <c:h val="0.228010352872557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'2.4 2.5 Zero hours'!$I$16</c:f>
              <c:strCache>
                <c:ptCount val="1"/>
                <c:pt idx="0">
                  <c:v>In employment on a zero-hours contract (thousands)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'2.4 2.5 Zero hours'!$H$17:$H$42</c:f>
              <c:numCache>
                <c:formatCode>General</c:formatCode>
                <c:ptCount val="26"/>
                <c:pt idx="0">
                  <c:v>2000.9166666666667</c:v>
                </c:pt>
                <c:pt idx="1">
                  <c:v>2001.9166666666667</c:v>
                </c:pt>
                <c:pt idx="2">
                  <c:v>2002.9166666666667</c:v>
                </c:pt>
                <c:pt idx="3">
                  <c:v>2003.9166666666667</c:v>
                </c:pt>
                <c:pt idx="4">
                  <c:v>2004.9166666666667</c:v>
                </c:pt>
                <c:pt idx="5">
                  <c:v>2005.9166666666667</c:v>
                </c:pt>
                <c:pt idx="6">
                  <c:v>2006.9166666666667</c:v>
                </c:pt>
                <c:pt idx="7">
                  <c:v>2007.9166666666667</c:v>
                </c:pt>
                <c:pt idx="8">
                  <c:v>2008.9166666666667</c:v>
                </c:pt>
                <c:pt idx="9">
                  <c:v>2009.9166666666667</c:v>
                </c:pt>
                <c:pt idx="10">
                  <c:v>2010.9166666666667</c:v>
                </c:pt>
                <c:pt idx="11">
                  <c:v>2011.9166666666667</c:v>
                </c:pt>
                <c:pt idx="12">
                  <c:v>2012.9166666666667</c:v>
                </c:pt>
                <c:pt idx="13">
                  <c:v>2013.9166666666667</c:v>
                </c:pt>
                <c:pt idx="14">
                  <c:v>2014.4166666666667</c:v>
                </c:pt>
                <c:pt idx="15">
                  <c:v>2014.9166666666667</c:v>
                </c:pt>
                <c:pt idx="16">
                  <c:v>2015.4166666666667</c:v>
                </c:pt>
                <c:pt idx="17">
                  <c:v>2015.9166666666667</c:v>
                </c:pt>
                <c:pt idx="18">
                  <c:v>2016.4166666666667</c:v>
                </c:pt>
                <c:pt idx="19">
                  <c:v>2016.9166666666667</c:v>
                </c:pt>
                <c:pt idx="20">
                  <c:v>2017.4166666666667</c:v>
                </c:pt>
                <c:pt idx="21">
                  <c:v>2017.9166666666667</c:v>
                </c:pt>
                <c:pt idx="22">
                  <c:v>2018.4166666666667</c:v>
                </c:pt>
                <c:pt idx="23">
                  <c:v>2018.9166666666667</c:v>
                </c:pt>
                <c:pt idx="24">
                  <c:v>2019.4166666666667</c:v>
                </c:pt>
                <c:pt idx="25">
                  <c:v>2019.9166666666667</c:v>
                </c:pt>
              </c:numCache>
            </c:numRef>
          </c:xVal>
          <c:yVal>
            <c:numRef>
              <c:f>'2.4 2.5 Zero hours'!$I$17:$I$42</c:f>
              <c:numCache>
                <c:formatCode>#,##0,</c:formatCode>
                <c:ptCount val="26"/>
                <c:pt idx="0">
                  <c:v>224523.95311621149</c:v>
                </c:pt>
                <c:pt idx="1">
                  <c:v>175842.86170760548</c:v>
                </c:pt>
                <c:pt idx="2">
                  <c:v>155736.8266342248</c:v>
                </c:pt>
                <c:pt idx="3">
                  <c:v>124078.03874873722</c:v>
                </c:pt>
                <c:pt idx="4">
                  <c:v>108111.20333320076</c:v>
                </c:pt>
                <c:pt idx="5">
                  <c:v>118824.5208374785</c:v>
                </c:pt>
                <c:pt idx="6">
                  <c:v>146944.26193069134</c:v>
                </c:pt>
                <c:pt idx="7">
                  <c:v>166473.42598784281</c:v>
                </c:pt>
                <c:pt idx="8">
                  <c:v>142956.15235097619</c:v>
                </c:pt>
                <c:pt idx="9">
                  <c:v>189428.09391314958</c:v>
                </c:pt>
                <c:pt idx="10">
                  <c:v>167781.65921471087</c:v>
                </c:pt>
                <c:pt idx="11">
                  <c:v>190295.74812322127</c:v>
                </c:pt>
                <c:pt idx="12">
                  <c:v>252288.5293732679</c:v>
                </c:pt>
                <c:pt idx="13">
                  <c:v>585321.28924252873</c:v>
                </c:pt>
                <c:pt idx="14">
                  <c:v>624178.10327489174</c:v>
                </c:pt>
                <c:pt idx="15">
                  <c:v>698644.58619980642</c:v>
                </c:pt>
                <c:pt idx="16">
                  <c:v>746294.99090770364</c:v>
                </c:pt>
                <c:pt idx="17">
                  <c:v>803603.58081733203</c:v>
                </c:pt>
                <c:pt idx="18">
                  <c:v>904168.97207125137</c:v>
                </c:pt>
                <c:pt idx="19">
                  <c:v>906625.99605794926</c:v>
                </c:pt>
                <c:pt idx="20">
                  <c:v>883343.80297906965</c:v>
                </c:pt>
                <c:pt idx="21">
                  <c:v>901526.47479020001</c:v>
                </c:pt>
                <c:pt idx="22">
                  <c:v>780880.39644726168</c:v>
                </c:pt>
                <c:pt idx="23">
                  <c:v>844037.74733663269</c:v>
                </c:pt>
                <c:pt idx="24">
                  <c:v>896084.14126035862</c:v>
                </c:pt>
                <c:pt idx="25">
                  <c:v>974402.89727601549</c:v>
                </c:pt>
              </c:numCache>
            </c:numRef>
          </c:yVal>
          <c:smooth val="0"/>
          <c:extLst>
            <c:ext xmlns:c16="http://schemas.microsoft.com/office/drawing/2014/chart" uri="{C3380CC4-5D6E-409C-BE32-E72D297353CC}">
              <c16:uniqueId val="{00000000-4617-42A6-AFB8-C2DBDF5F9703}"/>
            </c:ext>
          </c:extLst>
        </c:ser>
        <c:dLbls>
          <c:showLegendKey val="0"/>
          <c:showVal val="0"/>
          <c:showCatName val="0"/>
          <c:showSerName val="0"/>
          <c:showPercent val="0"/>
          <c:showBubbleSize val="0"/>
        </c:dLbls>
        <c:axId val="679522800"/>
        <c:axId val="641379624"/>
      </c:scatterChart>
      <c:scatterChart>
        <c:scatterStyle val="lineMarker"/>
        <c:varyColors val="0"/>
        <c:ser>
          <c:idx val="1"/>
          <c:order val="1"/>
          <c:tx>
            <c:strRef>
              <c:f>'2.4 2.5 Zero hours'!$J$16</c:f>
              <c:strCache>
                <c:ptCount val="1"/>
                <c:pt idx="0">
                  <c:v>Percentage of people in employment on a zero-hours contract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'2.4 2.5 Zero hours'!$H$17:$H$42</c:f>
              <c:numCache>
                <c:formatCode>General</c:formatCode>
                <c:ptCount val="26"/>
                <c:pt idx="0">
                  <c:v>2000.9166666666667</c:v>
                </c:pt>
                <c:pt idx="1">
                  <c:v>2001.9166666666667</c:v>
                </c:pt>
                <c:pt idx="2">
                  <c:v>2002.9166666666667</c:v>
                </c:pt>
                <c:pt idx="3">
                  <c:v>2003.9166666666667</c:v>
                </c:pt>
                <c:pt idx="4">
                  <c:v>2004.9166666666667</c:v>
                </c:pt>
                <c:pt idx="5">
                  <c:v>2005.9166666666667</c:v>
                </c:pt>
                <c:pt idx="6">
                  <c:v>2006.9166666666667</c:v>
                </c:pt>
                <c:pt idx="7">
                  <c:v>2007.9166666666667</c:v>
                </c:pt>
                <c:pt idx="8">
                  <c:v>2008.9166666666667</c:v>
                </c:pt>
                <c:pt idx="9">
                  <c:v>2009.9166666666667</c:v>
                </c:pt>
                <c:pt idx="10">
                  <c:v>2010.9166666666667</c:v>
                </c:pt>
                <c:pt idx="11">
                  <c:v>2011.9166666666667</c:v>
                </c:pt>
                <c:pt idx="12">
                  <c:v>2012.9166666666667</c:v>
                </c:pt>
                <c:pt idx="13">
                  <c:v>2013.9166666666667</c:v>
                </c:pt>
                <c:pt idx="14">
                  <c:v>2014.4166666666667</c:v>
                </c:pt>
                <c:pt idx="15">
                  <c:v>2014.9166666666667</c:v>
                </c:pt>
                <c:pt idx="16">
                  <c:v>2015.4166666666667</c:v>
                </c:pt>
                <c:pt idx="17">
                  <c:v>2015.9166666666667</c:v>
                </c:pt>
                <c:pt idx="18">
                  <c:v>2016.4166666666667</c:v>
                </c:pt>
                <c:pt idx="19">
                  <c:v>2016.9166666666667</c:v>
                </c:pt>
                <c:pt idx="20">
                  <c:v>2017.4166666666667</c:v>
                </c:pt>
                <c:pt idx="21">
                  <c:v>2017.9166666666667</c:v>
                </c:pt>
                <c:pt idx="22">
                  <c:v>2018.4166666666667</c:v>
                </c:pt>
                <c:pt idx="23">
                  <c:v>2018.9166666666667</c:v>
                </c:pt>
                <c:pt idx="24">
                  <c:v>2019.4166666666667</c:v>
                </c:pt>
                <c:pt idx="25">
                  <c:v>2019.9166666666667</c:v>
                </c:pt>
              </c:numCache>
            </c:numRef>
          </c:xVal>
          <c:yVal>
            <c:numRef>
              <c:f>'2.4 2.5 Zero hours'!$J$17:$J$42</c:f>
              <c:numCache>
                <c:formatCode>0.0</c:formatCode>
                <c:ptCount val="26"/>
                <c:pt idx="0">
                  <c:v>0.81317582819899203</c:v>
                </c:pt>
                <c:pt idx="1">
                  <c:v>0.63125284177256535</c:v>
                </c:pt>
                <c:pt idx="2">
                  <c:v>0.55337156130006904</c:v>
                </c:pt>
                <c:pt idx="3">
                  <c:v>0.43868006146032423</c:v>
                </c:pt>
                <c:pt idx="4">
                  <c:v>0.37751803180097421</c:v>
                </c:pt>
                <c:pt idx="5">
                  <c:v>0.41304920560268849</c:v>
                </c:pt>
                <c:pt idx="6">
                  <c:v>0.50306854967121228</c:v>
                </c:pt>
                <c:pt idx="7">
                  <c:v>0.55850189097224823</c:v>
                </c:pt>
                <c:pt idx="8">
                  <c:v>0.48564934056982301</c:v>
                </c:pt>
                <c:pt idx="9">
                  <c:v>0.65476336739731422</c:v>
                </c:pt>
                <c:pt idx="10">
                  <c:v>0.57416485738641543</c:v>
                </c:pt>
                <c:pt idx="11" formatCode="#,##0.0">
                  <c:v>0.64715190219884977</c:v>
                </c:pt>
                <c:pt idx="12" formatCode="#,##0.0">
                  <c:v>0.84168070017562635</c:v>
                </c:pt>
                <c:pt idx="13" formatCode="#,##0.0">
                  <c:v>1.9277776270738294</c:v>
                </c:pt>
                <c:pt idx="14" formatCode="#,##0.0">
                  <c:v>2.0379362747911358</c:v>
                </c:pt>
                <c:pt idx="15" formatCode="#,##0.0">
                  <c:v>2.2523715246057381</c:v>
                </c:pt>
                <c:pt idx="16" formatCode="#,##0.0">
                  <c:v>2.4046891556964791</c:v>
                </c:pt>
                <c:pt idx="17" formatCode="#,##0.0">
                  <c:v>2.541881247599266</c:v>
                </c:pt>
                <c:pt idx="18" formatCode="#,##0.0">
                  <c:v>2.8547248250813304</c:v>
                </c:pt>
                <c:pt idx="19" formatCode="#,##0.0">
                  <c:v>2.840347136665212</c:v>
                </c:pt>
                <c:pt idx="20" formatCode="#,##0.0">
                  <c:v>2.7608155374702497</c:v>
                </c:pt>
                <c:pt idx="21" formatCode="#,##0.0">
                  <c:v>2.7972024043698247</c:v>
                </c:pt>
                <c:pt idx="22" formatCode="#,##0.0">
                  <c:v>2.4160022022936158</c:v>
                </c:pt>
                <c:pt idx="23" formatCode="#,##0.0">
                  <c:v>2.5834834069168715</c:v>
                </c:pt>
                <c:pt idx="24" formatCode="#,##0.0">
                  <c:v>2.7359949334509088</c:v>
                </c:pt>
                <c:pt idx="25" formatCode="#,##0.0">
                  <c:v>2.9542440596601978</c:v>
                </c:pt>
              </c:numCache>
            </c:numRef>
          </c:yVal>
          <c:smooth val="0"/>
          <c:extLst>
            <c:ext xmlns:c16="http://schemas.microsoft.com/office/drawing/2014/chart" uri="{C3380CC4-5D6E-409C-BE32-E72D297353CC}">
              <c16:uniqueId val="{00000001-4617-42A6-AFB8-C2DBDF5F9703}"/>
            </c:ext>
          </c:extLst>
        </c:ser>
        <c:dLbls>
          <c:showLegendKey val="0"/>
          <c:showVal val="0"/>
          <c:showCatName val="0"/>
          <c:showSerName val="0"/>
          <c:showPercent val="0"/>
          <c:showBubbleSize val="0"/>
        </c:dLbls>
        <c:axId val="710177824"/>
        <c:axId val="710181760"/>
      </c:scatterChart>
      <c:valAx>
        <c:axId val="67952280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41379624"/>
        <c:crosses val="autoZero"/>
        <c:crossBetween val="midCat"/>
      </c:valAx>
      <c:valAx>
        <c:axId val="641379624"/>
        <c:scaling>
          <c:orientation val="minMax"/>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accent1"/>
                </a:solidFill>
                <a:latin typeface="+mn-lt"/>
                <a:ea typeface="+mn-ea"/>
                <a:cs typeface="+mn-cs"/>
              </a:defRPr>
            </a:pPr>
            <a:endParaRPr lang="en-US"/>
          </a:p>
        </c:txPr>
        <c:crossAx val="679522800"/>
        <c:crosses val="autoZero"/>
        <c:crossBetween val="midCat"/>
      </c:valAx>
      <c:valAx>
        <c:axId val="710181760"/>
        <c:scaling>
          <c:orientation val="minMax"/>
        </c:scaling>
        <c:delete val="0"/>
        <c:axPos val="r"/>
        <c:numFmt formatCode="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accent2">
                    <a:lumMod val="75000"/>
                  </a:schemeClr>
                </a:solidFill>
                <a:latin typeface="+mn-lt"/>
                <a:ea typeface="+mn-ea"/>
                <a:cs typeface="+mn-cs"/>
              </a:defRPr>
            </a:pPr>
            <a:endParaRPr lang="en-US"/>
          </a:p>
        </c:txPr>
        <c:crossAx val="710177824"/>
        <c:crosses val="max"/>
        <c:crossBetween val="midCat"/>
      </c:valAx>
      <c:valAx>
        <c:axId val="710177824"/>
        <c:scaling>
          <c:orientation val="minMax"/>
        </c:scaling>
        <c:delete val="1"/>
        <c:axPos val="b"/>
        <c:numFmt formatCode="General" sourceLinked="1"/>
        <c:majorTickMark val="out"/>
        <c:minorTickMark val="none"/>
        <c:tickLblPos val="nextTo"/>
        <c:crossAx val="7101817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'2.4 2.5 Zero hours'!$C$45</c:f>
              <c:strCache>
                <c:ptCount val="1"/>
                <c:pt idx="0">
                  <c:v>Percentage of people in employment who are on a zero-hours contract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'2.4 2.5 Zero hours'!$B$46:$B$53</c:f>
              <c:strCache>
                <c:ptCount val="8"/>
                <c:pt idx="0">
                  <c:v>Men</c:v>
                </c:pt>
                <c:pt idx="1">
                  <c:v>Women</c:v>
                </c:pt>
                <c:pt idx="3">
                  <c:v>16-24</c:v>
                </c:pt>
                <c:pt idx="4">
                  <c:v>25-34</c:v>
                </c:pt>
                <c:pt idx="5">
                  <c:v>35-49</c:v>
                </c:pt>
                <c:pt idx="6">
                  <c:v>50-64</c:v>
                </c:pt>
                <c:pt idx="7">
                  <c:v>65+</c:v>
                </c:pt>
              </c:strCache>
            </c:strRef>
          </c:cat>
          <c:val>
            <c:numRef>
              <c:f>'2.4 2.5 Zero hours'!$C$46:$C$53</c:f>
              <c:numCache>
                <c:formatCode>0.0</c:formatCode>
                <c:ptCount val="8"/>
                <c:pt idx="0">
                  <c:v>2.385627712785463</c:v>
                </c:pt>
                <c:pt idx="1">
                  <c:v>3.5866540385230095</c:v>
                </c:pt>
                <c:pt idx="3">
                  <c:v>9.0969698454537742</c:v>
                </c:pt>
                <c:pt idx="4">
                  <c:v>2.2493509254017141</c:v>
                </c:pt>
                <c:pt idx="5">
                  <c:v>1.5157098038378594</c:v>
                </c:pt>
                <c:pt idx="6">
                  <c:v>2.3034740104697287</c:v>
                </c:pt>
                <c:pt idx="7">
                  <c:v>5.6830046175346709</c:v>
                </c:pt>
              </c:numCache>
            </c:numRef>
          </c:val>
          <c:extLst>
            <c:ext xmlns:c16="http://schemas.microsoft.com/office/drawing/2014/chart" uri="{C3380CC4-5D6E-409C-BE32-E72D297353CC}">
              <c16:uniqueId val="{00000000-A4EA-4788-8F5E-999CAC36BEF8}"/>
            </c:ext>
          </c:extLst>
        </c:ser>
        <c:dLbls>
          <c:showLegendKey val="0"/>
          <c:showVal val="0"/>
          <c:showCatName val="0"/>
          <c:showSerName val="0"/>
          <c:showPercent val="0"/>
          <c:showBubbleSize val="0"/>
        </c:dLbls>
        <c:gapWidth val="182"/>
        <c:axId val="588961224"/>
        <c:axId val="588960240"/>
      </c:barChart>
      <c:catAx>
        <c:axId val="588961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88960240"/>
        <c:crosses val="autoZero"/>
        <c:auto val="1"/>
        <c:lblAlgn val="ctr"/>
        <c:lblOffset val="100"/>
        <c:noMultiLvlLbl val="0"/>
      </c:catAx>
      <c:valAx>
        <c:axId val="588960240"/>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88961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633056929830674E-2"/>
          <c:y val="2.030456852791878E-2"/>
          <c:w val="0.90242863447378807"/>
          <c:h val="0.86777195997708423"/>
        </c:manualLayout>
      </c:layout>
      <c:lineChart>
        <c:grouping val="standard"/>
        <c:varyColors val="0"/>
        <c:ser>
          <c:idx val="0"/>
          <c:order val="0"/>
          <c:tx>
            <c:strRef>
              <c:f>'3.1 Real earnings growth'!$F$11</c:f>
              <c:strCache>
                <c:ptCount val="1"/>
                <c:pt idx="0">
                  <c:v>Average weekly real earnings</c:v>
                </c:pt>
              </c:strCache>
            </c:strRef>
          </c:tx>
          <c:spPr>
            <a:ln w="28575" cap="rnd">
              <a:solidFill>
                <a:schemeClr val="accent1"/>
              </a:solidFill>
              <a:round/>
            </a:ln>
            <a:effectLst/>
          </c:spPr>
          <c:marker>
            <c:symbol val="none"/>
          </c:marker>
          <c:cat>
            <c:numRef>
              <c:f>'3.1 Real earnings growth'!$E$12:$E$181</c:f>
              <c:numCache>
                <c:formatCode>General</c:formatCode>
                <c:ptCount val="170"/>
                <c:pt idx="0">
                  <c:v>2006</c:v>
                </c:pt>
                <c:pt idx="12">
                  <c:v>2007</c:v>
                </c:pt>
                <c:pt idx="24">
                  <c:v>2008</c:v>
                </c:pt>
                <c:pt idx="36">
                  <c:v>2009</c:v>
                </c:pt>
                <c:pt idx="48">
                  <c:v>2010</c:v>
                </c:pt>
                <c:pt idx="60">
                  <c:v>2011</c:v>
                </c:pt>
                <c:pt idx="72">
                  <c:v>2012</c:v>
                </c:pt>
                <c:pt idx="84">
                  <c:v>2013</c:v>
                </c:pt>
                <c:pt idx="96">
                  <c:v>2014</c:v>
                </c:pt>
                <c:pt idx="108">
                  <c:v>2015</c:v>
                </c:pt>
                <c:pt idx="120">
                  <c:v>2016</c:v>
                </c:pt>
                <c:pt idx="132">
                  <c:v>2017</c:v>
                </c:pt>
                <c:pt idx="144">
                  <c:v>2018</c:v>
                </c:pt>
                <c:pt idx="156">
                  <c:v>2019</c:v>
                </c:pt>
                <c:pt idx="168">
                  <c:v>2020</c:v>
                </c:pt>
              </c:numCache>
            </c:numRef>
          </c:cat>
          <c:val>
            <c:numRef>
              <c:f>'3.1 Real earnings growth'!$F$12:$F$181</c:f>
              <c:numCache>
                <c:formatCode>"£"#,##0</c:formatCode>
                <c:ptCount val="170"/>
                <c:pt idx="0">
                  <c:v>459</c:v>
                </c:pt>
                <c:pt idx="1">
                  <c:v>460</c:v>
                </c:pt>
                <c:pt idx="2">
                  <c:v>460</c:v>
                </c:pt>
                <c:pt idx="3">
                  <c:v>460</c:v>
                </c:pt>
                <c:pt idx="4">
                  <c:v>461</c:v>
                </c:pt>
                <c:pt idx="5">
                  <c:v>462</c:v>
                </c:pt>
                <c:pt idx="6">
                  <c:v>460</c:v>
                </c:pt>
                <c:pt idx="7">
                  <c:v>460</c:v>
                </c:pt>
                <c:pt idx="8">
                  <c:v>461</c:v>
                </c:pt>
                <c:pt idx="9">
                  <c:v>464</c:v>
                </c:pt>
                <c:pt idx="10">
                  <c:v>464</c:v>
                </c:pt>
                <c:pt idx="11">
                  <c:v>463</c:v>
                </c:pt>
                <c:pt idx="12">
                  <c:v>464</c:v>
                </c:pt>
                <c:pt idx="13">
                  <c:v>465</c:v>
                </c:pt>
                <c:pt idx="14">
                  <c:v>465</c:v>
                </c:pt>
                <c:pt idx="15">
                  <c:v>466</c:v>
                </c:pt>
                <c:pt idx="16">
                  <c:v>468</c:v>
                </c:pt>
                <c:pt idx="17">
                  <c:v>470</c:v>
                </c:pt>
                <c:pt idx="18">
                  <c:v>472</c:v>
                </c:pt>
                <c:pt idx="19">
                  <c:v>473</c:v>
                </c:pt>
                <c:pt idx="20">
                  <c:v>473</c:v>
                </c:pt>
                <c:pt idx="21">
                  <c:v>471</c:v>
                </c:pt>
                <c:pt idx="22">
                  <c:v>472</c:v>
                </c:pt>
                <c:pt idx="23">
                  <c:v>471</c:v>
                </c:pt>
                <c:pt idx="24">
                  <c:v>472</c:v>
                </c:pt>
                <c:pt idx="25">
                  <c:v>473</c:v>
                </c:pt>
                <c:pt idx="26">
                  <c:v>473</c:v>
                </c:pt>
                <c:pt idx="27">
                  <c:v>473</c:v>
                </c:pt>
                <c:pt idx="28">
                  <c:v>470</c:v>
                </c:pt>
                <c:pt idx="29">
                  <c:v>469</c:v>
                </c:pt>
                <c:pt idx="30">
                  <c:v>469</c:v>
                </c:pt>
                <c:pt idx="31">
                  <c:v>468</c:v>
                </c:pt>
                <c:pt idx="32">
                  <c:v>466</c:v>
                </c:pt>
                <c:pt idx="33">
                  <c:v>469</c:v>
                </c:pt>
                <c:pt idx="34">
                  <c:v>470</c:v>
                </c:pt>
                <c:pt idx="35">
                  <c:v>471</c:v>
                </c:pt>
                <c:pt idx="36">
                  <c:v>471</c:v>
                </c:pt>
                <c:pt idx="37">
                  <c:v>470</c:v>
                </c:pt>
                <c:pt idx="38">
                  <c:v>469</c:v>
                </c:pt>
                <c:pt idx="39">
                  <c:v>472</c:v>
                </c:pt>
                <c:pt idx="40">
                  <c:v>471</c:v>
                </c:pt>
                <c:pt idx="41">
                  <c:v>470</c:v>
                </c:pt>
                <c:pt idx="42">
                  <c:v>468</c:v>
                </c:pt>
                <c:pt idx="43">
                  <c:v>467</c:v>
                </c:pt>
                <c:pt idx="44">
                  <c:v>468</c:v>
                </c:pt>
                <c:pt idx="45">
                  <c:v>468</c:v>
                </c:pt>
                <c:pt idx="46">
                  <c:v>467</c:v>
                </c:pt>
                <c:pt idx="47">
                  <c:v>468</c:v>
                </c:pt>
                <c:pt idx="48">
                  <c:v>468</c:v>
                </c:pt>
                <c:pt idx="49">
                  <c:v>468</c:v>
                </c:pt>
                <c:pt idx="50">
                  <c:v>468</c:v>
                </c:pt>
                <c:pt idx="51">
                  <c:v>466</c:v>
                </c:pt>
                <c:pt idx="52">
                  <c:v>465</c:v>
                </c:pt>
                <c:pt idx="53">
                  <c:v>465</c:v>
                </c:pt>
                <c:pt idx="54">
                  <c:v>467</c:v>
                </c:pt>
                <c:pt idx="55">
                  <c:v>467</c:v>
                </c:pt>
                <c:pt idx="56">
                  <c:v>468</c:v>
                </c:pt>
                <c:pt idx="57">
                  <c:v>467</c:v>
                </c:pt>
                <c:pt idx="58">
                  <c:v>466</c:v>
                </c:pt>
                <c:pt idx="59">
                  <c:v>462</c:v>
                </c:pt>
                <c:pt idx="60">
                  <c:v>463</c:v>
                </c:pt>
                <c:pt idx="61">
                  <c:v>461</c:v>
                </c:pt>
                <c:pt idx="62">
                  <c:v>460</c:v>
                </c:pt>
                <c:pt idx="63">
                  <c:v>458</c:v>
                </c:pt>
                <c:pt idx="64">
                  <c:v>458</c:v>
                </c:pt>
                <c:pt idx="65">
                  <c:v>458</c:v>
                </c:pt>
                <c:pt idx="66">
                  <c:v>457</c:v>
                </c:pt>
                <c:pt idx="67">
                  <c:v>456</c:v>
                </c:pt>
                <c:pt idx="68">
                  <c:v>455</c:v>
                </c:pt>
                <c:pt idx="69">
                  <c:v>456</c:v>
                </c:pt>
                <c:pt idx="70">
                  <c:v>455</c:v>
                </c:pt>
                <c:pt idx="71">
                  <c:v>455</c:v>
                </c:pt>
                <c:pt idx="72">
                  <c:v>453</c:v>
                </c:pt>
                <c:pt idx="73">
                  <c:v>455</c:v>
                </c:pt>
                <c:pt idx="74">
                  <c:v>455</c:v>
                </c:pt>
                <c:pt idx="75">
                  <c:v>453</c:v>
                </c:pt>
                <c:pt idx="76">
                  <c:v>455</c:v>
                </c:pt>
                <c:pt idx="77">
                  <c:v>456</c:v>
                </c:pt>
                <c:pt idx="78">
                  <c:v>454</c:v>
                </c:pt>
                <c:pt idx="79">
                  <c:v>455</c:v>
                </c:pt>
                <c:pt idx="80">
                  <c:v>453</c:v>
                </c:pt>
                <c:pt idx="81">
                  <c:v>451</c:v>
                </c:pt>
                <c:pt idx="82">
                  <c:v>451</c:v>
                </c:pt>
                <c:pt idx="83">
                  <c:v>449</c:v>
                </c:pt>
                <c:pt idx="84">
                  <c:v>447</c:v>
                </c:pt>
                <c:pt idx="85">
                  <c:v>447</c:v>
                </c:pt>
                <c:pt idx="86">
                  <c:v>447</c:v>
                </c:pt>
                <c:pt idx="87">
                  <c:v>448</c:v>
                </c:pt>
                <c:pt idx="88">
                  <c:v>448</c:v>
                </c:pt>
                <c:pt idx="89">
                  <c:v>448</c:v>
                </c:pt>
                <c:pt idx="90">
                  <c:v>448</c:v>
                </c:pt>
                <c:pt idx="91">
                  <c:v>447</c:v>
                </c:pt>
                <c:pt idx="92">
                  <c:v>445</c:v>
                </c:pt>
                <c:pt idx="93">
                  <c:v>446</c:v>
                </c:pt>
                <c:pt idx="94">
                  <c:v>445</c:v>
                </c:pt>
                <c:pt idx="95">
                  <c:v>446</c:v>
                </c:pt>
                <c:pt idx="96">
                  <c:v>446</c:v>
                </c:pt>
                <c:pt idx="97">
                  <c:v>444</c:v>
                </c:pt>
                <c:pt idx="98">
                  <c:v>443</c:v>
                </c:pt>
                <c:pt idx="99">
                  <c:v>443</c:v>
                </c:pt>
                <c:pt idx="100">
                  <c:v>444</c:v>
                </c:pt>
                <c:pt idx="101">
                  <c:v>443</c:v>
                </c:pt>
                <c:pt idx="102">
                  <c:v>443</c:v>
                </c:pt>
                <c:pt idx="103">
                  <c:v>444</c:v>
                </c:pt>
                <c:pt idx="104">
                  <c:v>447</c:v>
                </c:pt>
                <c:pt idx="105">
                  <c:v>448</c:v>
                </c:pt>
                <c:pt idx="106">
                  <c:v>448</c:v>
                </c:pt>
                <c:pt idx="107">
                  <c:v>449</c:v>
                </c:pt>
                <c:pt idx="108">
                  <c:v>451</c:v>
                </c:pt>
                <c:pt idx="109">
                  <c:v>452</c:v>
                </c:pt>
                <c:pt idx="110">
                  <c:v>454</c:v>
                </c:pt>
                <c:pt idx="111">
                  <c:v>454</c:v>
                </c:pt>
                <c:pt idx="112">
                  <c:v>454</c:v>
                </c:pt>
                <c:pt idx="113">
                  <c:v>454</c:v>
                </c:pt>
                <c:pt idx="114">
                  <c:v>454</c:v>
                </c:pt>
                <c:pt idx="115">
                  <c:v>454</c:v>
                </c:pt>
                <c:pt idx="116">
                  <c:v>454</c:v>
                </c:pt>
                <c:pt idx="117">
                  <c:v>454</c:v>
                </c:pt>
                <c:pt idx="118">
                  <c:v>455</c:v>
                </c:pt>
                <c:pt idx="119">
                  <c:v>456</c:v>
                </c:pt>
                <c:pt idx="120">
                  <c:v>458</c:v>
                </c:pt>
                <c:pt idx="121">
                  <c:v>460</c:v>
                </c:pt>
                <c:pt idx="122">
                  <c:v>460</c:v>
                </c:pt>
                <c:pt idx="123">
                  <c:v>461</c:v>
                </c:pt>
                <c:pt idx="124">
                  <c:v>460</c:v>
                </c:pt>
                <c:pt idx="125">
                  <c:v>460</c:v>
                </c:pt>
                <c:pt idx="126">
                  <c:v>460</c:v>
                </c:pt>
                <c:pt idx="127">
                  <c:v>460</c:v>
                </c:pt>
                <c:pt idx="128">
                  <c:v>460</c:v>
                </c:pt>
                <c:pt idx="129">
                  <c:v>460</c:v>
                </c:pt>
                <c:pt idx="130">
                  <c:v>461</c:v>
                </c:pt>
                <c:pt idx="131">
                  <c:v>459</c:v>
                </c:pt>
                <c:pt idx="132">
                  <c:v>458</c:v>
                </c:pt>
                <c:pt idx="133">
                  <c:v>458</c:v>
                </c:pt>
                <c:pt idx="134">
                  <c:v>457</c:v>
                </c:pt>
                <c:pt idx="135">
                  <c:v>458</c:v>
                </c:pt>
                <c:pt idx="136">
                  <c:v>458</c:v>
                </c:pt>
                <c:pt idx="137">
                  <c:v>458</c:v>
                </c:pt>
                <c:pt idx="138">
                  <c:v>458</c:v>
                </c:pt>
                <c:pt idx="139">
                  <c:v>458</c:v>
                </c:pt>
                <c:pt idx="140">
                  <c:v>458</c:v>
                </c:pt>
                <c:pt idx="141">
                  <c:v>458</c:v>
                </c:pt>
                <c:pt idx="142">
                  <c:v>459</c:v>
                </c:pt>
                <c:pt idx="143">
                  <c:v>459</c:v>
                </c:pt>
                <c:pt idx="144">
                  <c:v>458</c:v>
                </c:pt>
                <c:pt idx="145">
                  <c:v>459</c:v>
                </c:pt>
                <c:pt idx="146">
                  <c:v>460</c:v>
                </c:pt>
                <c:pt idx="147">
                  <c:v>459</c:v>
                </c:pt>
                <c:pt idx="148">
                  <c:v>460</c:v>
                </c:pt>
                <c:pt idx="149">
                  <c:v>460</c:v>
                </c:pt>
                <c:pt idx="150">
                  <c:v>462</c:v>
                </c:pt>
                <c:pt idx="151">
                  <c:v>462</c:v>
                </c:pt>
                <c:pt idx="152">
                  <c:v>463</c:v>
                </c:pt>
                <c:pt idx="153">
                  <c:v>464</c:v>
                </c:pt>
                <c:pt idx="154">
                  <c:v>464</c:v>
                </c:pt>
                <c:pt idx="155">
                  <c:v>465</c:v>
                </c:pt>
                <c:pt idx="156">
                  <c:v>467</c:v>
                </c:pt>
                <c:pt idx="157">
                  <c:v>466</c:v>
                </c:pt>
                <c:pt idx="158">
                  <c:v>466</c:v>
                </c:pt>
                <c:pt idx="159">
                  <c:v>468</c:v>
                </c:pt>
                <c:pt idx="160">
                  <c:v>469</c:v>
                </c:pt>
                <c:pt idx="161">
                  <c:v>470</c:v>
                </c:pt>
                <c:pt idx="162">
                  <c:v>470</c:v>
                </c:pt>
                <c:pt idx="163">
                  <c:v>471</c:v>
                </c:pt>
                <c:pt idx="164">
                  <c:v>471</c:v>
                </c:pt>
                <c:pt idx="165">
                  <c:v>472</c:v>
                </c:pt>
                <c:pt idx="166">
                  <c:v>472</c:v>
                </c:pt>
                <c:pt idx="167">
                  <c:v>473</c:v>
                </c:pt>
                <c:pt idx="168">
                  <c:v>472</c:v>
                </c:pt>
                <c:pt idx="169">
                  <c:v>471</c:v>
                </c:pt>
              </c:numCache>
            </c:numRef>
          </c:val>
          <c:smooth val="0"/>
          <c:extLst>
            <c:ext xmlns:c16="http://schemas.microsoft.com/office/drawing/2014/chart" uri="{C3380CC4-5D6E-409C-BE32-E72D297353CC}">
              <c16:uniqueId val="{00000000-9155-4D00-A4B9-2BF1663E48D5}"/>
            </c:ext>
          </c:extLst>
        </c:ser>
        <c:dLbls>
          <c:showLegendKey val="0"/>
          <c:showVal val="0"/>
          <c:showCatName val="0"/>
          <c:showSerName val="0"/>
          <c:showPercent val="0"/>
          <c:showBubbleSize val="0"/>
        </c:dLbls>
        <c:marker val="1"/>
        <c:smooth val="0"/>
        <c:axId val="667094512"/>
        <c:axId val="569294456"/>
      </c:lineChart>
      <c:lineChart>
        <c:grouping val="standard"/>
        <c:varyColors val="0"/>
        <c:ser>
          <c:idx val="1"/>
          <c:order val="1"/>
          <c:tx>
            <c:strRef>
              <c:f>'3.1 Real earnings growth'!$G$11</c:f>
              <c:strCache>
                <c:ptCount val="1"/>
                <c:pt idx="0">
                  <c:v>Annual change (%)</c:v>
                </c:pt>
              </c:strCache>
            </c:strRef>
          </c:tx>
          <c:spPr>
            <a:ln w="28575" cap="rnd">
              <a:solidFill>
                <a:schemeClr val="accent2"/>
              </a:solidFill>
              <a:round/>
            </a:ln>
            <a:effectLst/>
          </c:spPr>
          <c:marker>
            <c:symbol val="none"/>
          </c:marker>
          <c:cat>
            <c:numRef>
              <c:f>'3.1 Real earnings growth'!$E$12:$E$181</c:f>
              <c:numCache>
                <c:formatCode>General</c:formatCode>
                <c:ptCount val="170"/>
                <c:pt idx="0">
                  <c:v>2006</c:v>
                </c:pt>
                <c:pt idx="12">
                  <c:v>2007</c:v>
                </c:pt>
                <c:pt idx="24">
                  <c:v>2008</c:v>
                </c:pt>
                <c:pt idx="36">
                  <c:v>2009</c:v>
                </c:pt>
                <c:pt idx="48">
                  <c:v>2010</c:v>
                </c:pt>
                <c:pt idx="60">
                  <c:v>2011</c:v>
                </c:pt>
                <c:pt idx="72">
                  <c:v>2012</c:v>
                </c:pt>
                <c:pt idx="84">
                  <c:v>2013</c:v>
                </c:pt>
                <c:pt idx="96">
                  <c:v>2014</c:v>
                </c:pt>
                <c:pt idx="108">
                  <c:v>2015</c:v>
                </c:pt>
                <c:pt idx="120">
                  <c:v>2016</c:v>
                </c:pt>
                <c:pt idx="132">
                  <c:v>2017</c:v>
                </c:pt>
                <c:pt idx="144">
                  <c:v>2018</c:v>
                </c:pt>
                <c:pt idx="156">
                  <c:v>2019</c:v>
                </c:pt>
                <c:pt idx="168">
                  <c:v>2020</c:v>
                </c:pt>
              </c:numCache>
            </c:numRef>
          </c:cat>
          <c:val>
            <c:numRef>
              <c:f>'3.1 Real earnings growth'!$G$12:$G$181</c:f>
              <c:numCache>
                <c:formatCode>General</c:formatCode>
                <c:ptCount val="170"/>
                <c:pt idx="12" formatCode="0.0%">
                  <c:v>1.089324618736387E-2</c:v>
                </c:pt>
                <c:pt idx="13" formatCode="0.0%">
                  <c:v>1.0869565217391353E-2</c:v>
                </c:pt>
                <c:pt idx="14" formatCode="0.0%">
                  <c:v>1.0869565217391353E-2</c:v>
                </c:pt>
                <c:pt idx="15" formatCode="0.0%">
                  <c:v>1.304347826086949E-2</c:v>
                </c:pt>
                <c:pt idx="16" formatCode="0.0%">
                  <c:v>1.5184381778741818E-2</c:v>
                </c:pt>
                <c:pt idx="17" formatCode="0.0%">
                  <c:v>1.7316017316017396E-2</c:v>
                </c:pt>
                <c:pt idx="18" formatCode="0.0%">
                  <c:v>2.6086956521739202E-2</c:v>
                </c:pt>
                <c:pt idx="19" formatCode="0.0%">
                  <c:v>2.8260869565217339E-2</c:v>
                </c:pt>
                <c:pt idx="20" formatCode="0.0%">
                  <c:v>2.6030368763557465E-2</c:v>
                </c:pt>
                <c:pt idx="21" formatCode="0.0%">
                  <c:v>1.5086206896551824E-2</c:v>
                </c:pt>
                <c:pt idx="22" formatCode="0.0%">
                  <c:v>1.7241379310344751E-2</c:v>
                </c:pt>
                <c:pt idx="23" formatCode="0.0%">
                  <c:v>1.7278617710583255E-2</c:v>
                </c:pt>
                <c:pt idx="24" formatCode="0.0%">
                  <c:v>1.7241379310344751E-2</c:v>
                </c:pt>
                <c:pt idx="25" formatCode="0.0%">
                  <c:v>1.7204301075268713E-2</c:v>
                </c:pt>
                <c:pt idx="26" formatCode="0.0%">
                  <c:v>1.7204301075268713E-2</c:v>
                </c:pt>
                <c:pt idx="27" formatCode="0.0%">
                  <c:v>1.5021459227467782E-2</c:v>
                </c:pt>
                <c:pt idx="28" formatCode="0.0%">
                  <c:v>4.2735042735042583E-3</c:v>
                </c:pt>
                <c:pt idx="29" formatCode="0.0%">
                  <c:v>-2.1276595744680327E-3</c:v>
                </c:pt>
                <c:pt idx="30" formatCode="0.0%">
                  <c:v>-6.3559322033898136E-3</c:v>
                </c:pt>
                <c:pt idx="31" formatCode="0.0%">
                  <c:v>-1.0570824524312905E-2</c:v>
                </c:pt>
                <c:pt idx="32" formatCode="0.0%">
                  <c:v>-1.4799154334038001E-2</c:v>
                </c:pt>
                <c:pt idx="33" formatCode="0.0%">
                  <c:v>-4.2462845010615702E-3</c:v>
                </c:pt>
                <c:pt idx="34" formatCode="0.0%">
                  <c:v>-4.237288135593209E-3</c:v>
                </c:pt>
                <c:pt idx="35" formatCode="0.0%">
                  <c:v>0</c:v>
                </c:pt>
                <c:pt idx="36" formatCode="0.0%">
                  <c:v>-2.1186440677966045E-3</c:v>
                </c:pt>
                <c:pt idx="37" formatCode="0.0%">
                  <c:v>-6.3424947145876986E-3</c:v>
                </c:pt>
                <c:pt idx="38" formatCode="0.0%">
                  <c:v>-8.4566596194503019E-3</c:v>
                </c:pt>
                <c:pt idx="39" formatCode="0.0%">
                  <c:v>-2.1141649048626032E-3</c:v>
                </c:pt>
                <c:pt idx="40" formatCode="0.0%">
                  <c:v>2.1276595744681437E-3</c:v>
                </c:pt>
                <c:pt idx="41" formatCode="0.0%">
                  <c:v>2.132196162046851E-3</c:v>
                </c:pt>
                <c:pt idx="42" formatCode="0.0%">
                  <c:v>-2.1321961620469621E-3</c:v>
                </c:pt>
                <c:pt idx="43" formatCode="0.0%">
                  <c:v>-2.1367521367521292E-3</c:v>
                </c:pt>
                <c:pt idx="44" formatCode="0.0%">
                  <c:v>4.2918454935623185E-3</c:v>
                </c:pt>
                <c:pt idx="45" formatCode="0.0%">
                  <c:v>-2.1321961620469621E-3</c:v>
                </c:pt>
                <c:pt idx="46" formatCode="0.0%">
                  <c:v>-6.382978723404209E-3</c:v>
                </c:pt>
                <c:pt idx="47" formatCode="0.0%">
                  <c:v>-6.3694267515923553E-3</c:v>
                </c:pt>
                <c:pt idx="48" formatCode="0.0%">
                  <c:v>-6.3694267515923553E-3</c:v>
                </c:pt>
                <c:pt idx="49" formatCode="0.0%">
                  <c:v>-4.2553191489361764E-3</c:v>
                </c:pt>
                <c:pt idx="50" formatCode="0.0%">
                  <c:v>-2.1321961620469621E-3</c:v>
                </c:pt>
                <c:pt idx="51" formatCode="0.0%">
                  <c:v>-1.2711864406779627E-2</c:v>
                </c:pt>
                <c:pt idx="52" formatCode="0.0%">
                  <c:v>-1.2738853503184711E-2</c:v>
                </c:pt>
                <c:pt idx="53" formatCode="0.0%">
                  <c:v>-1.0638297872340385E-2</c:v>
                </c:pt>
                <c:pt idx="54" formatCode="0.0%">
                  <c:v>-2.1367521367521292E-3</c:v>
                </c:pt>
                <c:pt idx="55" formatCode="0.0%">
                  <c:v>0</c:v>
                </c:pt>
                <c:pt idx="56" formatCode="0.0%">
                  <c:v>0</c:v>
                </c:pt>
                <c:pt idx="57" formatCode="0.0%">
                  <c:v>-2.1367521367521292E-3</c:v>
                </c:pt>
                <c:pt idx="58" formatCode="0.0%">
                  <c:v>-2.1413276231263545E-3</c:v>
                </c:pt>
                <c:pt idx="59" formatCode="0.0%">
                  <c:v>-1.2820512820512775E-2</c:v>
                </c:pt>
                <c:pt idx="60" formatCode="0.0%">
                  <c:v>-1.0683760683760646E-2</c:v>
                </c:pt>
                <c:pt idx="61" formatCode="0.0%">
                  <c:v>-1.4957264957264904E-2</c:v>
                </c:pt>
                <c:pt idx="62" formatCode="0.0%">
                  <c:v>-1.7094017094017144E-2</c:v>
                </c:pt>
                <c:pt idx="63" formatCode="0.0%">
                  <c:v>-1.7167381974248941E-2</c:v>
                </c:pt>
                <c:pt idx="64" formatCode="0.0%">
                  <c:v>-1.5053763440860179E-2</c:v>
                </c:pt>
                <c:pt idx="65" formatCode="0.0%">
                  <c:v>-1.5053763440860179E-2</c:v>
                </c:pt>
                <c:pt idx="66" formatCode="0.0%">
                  <c:v>-2.1413276231263434E-2</c:v>
                </c:pt>
                <c:pt idx="67" formatCode="0.0%">
                  <c:v>-2.3554603854389677E-2</c:v>
                </c:pt>
                <c:pt idx="68" formatCode="0.0%">
                  <c:v>-2.777777777777779E-2</c:v>
                </c:pt>
                <c:pt idx="69" formatCode="0.0%">
                  <c:v>-2.3554603854389677E-2</c:v>
                </c:pt>
                <c:pt idx="70" formatCode="0.0%">
                  <c:v>-2.3605150214592308E-2</c:v>
                </c:pt>
                <c:pt idx="71" formatCode="0.0%">
                  <c:v>-1.5151515151515138E-2</c:v>
                </c:pt>
                <c:pt idx="72" formatCode="0.0%">
                  <c:v>-2.1598272138228958E-2</c:v>
                </c:pt>
                <c:pt idx="73" formatCode="0.0%">
                  <c:v>-1.3015184381778733E-2</c:v>
                </c:pt>
                <c:pt idx="74" formatCode="0.0%">
                  <c:v>-1.0869565217391353E-2</c:v>
                </c:pt>
                <c:pt idx="75" formatCode="0.0%">
                  <c:v>-1.0917030567685559E-2</c:v>
                </c:pt>
                <c:pt idx="76" formatCode="0.0%">
                  <c:v>-6.5502183406113135E-3</c:v>
                </c:pt>
                <c:pt idx="77" formatCode="0.0%">
                  <c:v>-4.366812227074246E-3</c:v>
                </c:pt>
                <c:pt idx="78" formatCode="0.0%">
                  <c:v>-6.5645514223194867E-3</c:v>
                </c:pt>
                <c:pt idx="79" formatCode="0.0%">
                  <c:v>-2.1929824561403022E-3</c:v>
                </c:pt>
                <c:pt idx="80" formatCode="0.0%">
                  <c:v>-4.39560439560438E-3</c:v>
                </c:pt>
                <c:pt idx="81" formatCode="0.0%">
                  <c:v>-1.0964912280701733E-2</c:v>
                </c:pt>
                <c:pt idx="82" formatCode="0.0%">
                  <c:v>-8.79120879120876E-3</c:v>
                </c:pt>
                <c:pt idx="83" formatCode="0.0%">
                  <c:v>-1.318681318681314E-2</c:v>
                </c:pt>
                <c:pt idx="84" formatCode="0.0%">
                  <c:v>-1.3245033112582738E-2</c:v>
                </c:pt>
                <c:pt idx="85" formatCode="0.0%">
                  <c:v>-1.7582417582417631E-2</c:v>
                </c:pt>
                <c:pt idx="86" formatCode="0.0%">
                  <c:v>-1.7582417582417631E-2</c:v>
                </c:pt>
                <c:pt idx="87" formatCode="0.0%">
                  <c:v>-1.103752759381893E-2</c:v>
                </c:pt>
                <c:pt idx="88" formatCode="0.0%">
                  <c:v>-1.538461538461533E-2</c:v>
                </c:pt>
                <c:pt idx="89" formatCode="0.0%">
                  <c:v>-1.7543859649122862E-2</c:v>
                </c:pt>
                <c:pt idx="90" formatCode="0.0%">
                  <c:v>-1.3215859030836996E-2</c:v>
                </c:pt>
                <c:pt idx="91" formatCode="0.0%">
                  <c:v>-1.7582417582417631E-2</c:v>
                </c:pt>
                <c:pt idx="92" formatCode="0.0%">
                  <c:v>-1.7660044150110354E-2</c:v>
                </c:pt>
                <c:pt idx="93" formatCode="0.0%">
                  <c:v>-1.1086474501108667E-2</c:v>
                </c:pt>
                <c:pt idx="94" formatCode="0.0%">
                  <c:v>-1.3303769401330379E-2</c:v>
                </c:pt>
                <c:pt idx="95" formatCode="0.0%">
                  <c:v>-6.6815144766146917E-3</c:v>
                </c:pt>
                <c:pt idx="96" formatCode="0.0%">
                  <c:v>-2.2371364653244186E-3</c:v>
                </c:pt>
                <c:pt idx="97" formatCode="0.0%">
                  <c:v>-6.7114093959731447E-3</c:v>
                </c:pt>
                <c:pt idx="98" formatCode="0.0%">
                  <c:v>-8.9485458612975632E-3</c:v>
                </c:pt>
                <c:pt idx="99" formatCode="0.0%">
                  <c:v>-1.1160714285714302E-2</c:v>
                </c:pt>
                <c:pt idx="100" formatCode="0.0%">
                  <c:v>-8.9285714285713969E-3</c:v>
                </c:pt>
                <c:pt idx="101" formatCode="0.0%">
                  <c:v>-1.1160714285714302E-2</c:v>
                </c:pt>
                <c:pt idx="102" formatCode="0.0%">
                  <c:v>-1.1160714285714302E-2</c:v>
                </c:pt>
                <c:pt idx="103" formatCode="0.0%">
                  <c:v>-6.7114093959731447E-3</c:v>
                </c:pt>
                <c:pt idx="104" formatCode="0.0%">
                  <c:v>4.4943820224718767E-3</c:v>
                </c:pt>
                <c:pt idx="105" formatCode="0.0%">
                  <c:v>4.484304932735439E-3</c:v>
                </c:pt>
                <c:pt idx="106" formatCode="0.0%">
                  <c:v>6.741573033707926E-3</c:v>
                </c:pt>
                <c:pt idx="107" formatCode="0.0%">
                  <c:v>6.7264573991030474E-3</c:v>
                </c:pt>
                <c:pt idx="108" formatCode="0.0%">
                  <c:v>1.1210762331838486E-2</c:v>
                </c:pt>
                <c:pt idx="109" formatCode="0.0%">
                  <c:v>1.8018018018018056E-2</c:v>
                </c:pt>
                <c:pt idx="110" formatCode="0.0%">
                  <c:v>2.483069977426644E-2</c:v>
                </c:pt>
                <c:pt idx="111" formatCode="0.0%">
                  <c:v>2.483069977426644E-2</c:v>
                </c:pt>
                <c:pt idx="112" formatCode="0.0%">
                  <c:v>2.2522522522522515E-2</c:v>
                </c:pt>
                <c:pt idx="113" formatCode="0.0%">
                  <c:v>2.483069977426644E-2</c:v>
                </c:pt>
                <c:pt idx="114" formatCode="0.0%">
                  <c:v>2.483069977426644E-2</c:v>
                </c:pt>
                <c:pt idx="115" formatCode="0.0%">
                  <c:v>2.2522522522522515E-2</c:v>
                </c:pt>
                <c:pt idx="116" formatCode="0.0%">
                  <c:v>1.5659955257270708E-2</c:v>
                </c:pt>
                <c:pt idx="117" formatCode="0.0%">
                  <c:v>1.3392857142857206E-2</c:v>
                </c:pt>
                <c:pt idx="118" formatCode="0.0%">
                  <c:v>1.5625E-2</c:v>
                </c:pt>
                <c:pt idx="119" formatCode="0.0%">
                  <c:v>1.5590200445434244E-2</c:v>
                </c:pt>
                <c:pt idx="120" formatCode="0.0%">
                  <c:v>1.5521064301552201E-2</c:v>
                </c:pt>
                <c:pt idx="121" formatCode="0.0%">
                  <c:v>1.7699115044247815E-2</c:v>
                </c:pt>
                <c:pt idx="122" formatCode="0.0%">
                  <c:v>1.3215859030837107E-2</c:v>
                </c:pt>
                <c:pt idx="123" formatCode="0.0%">
                  <c:v>1.5418502202643181E-2</c:v>
                </c:pt>
                <c:pt idx="124" formatCode="0.0%">
                  <c:v>1.3215859030837107E-2</c:v>
                </c:pt>
                <c:pt idx="125" formatCode="0.0%">
                  <c:v>1.3215859030837107E-2</c:v>
                </c:pt>
                <c:pt idx="126" formatCode="0.0%">
                  <c:v>1.3215859030837107E-2</c:v>
                </c:pt>
                <c:pt idx="127" formatCode="0.0%">
                  <c:v>1.3215859030837107E-2</c:v>
                </c:pt>
                <c:pt idx="128" formatCode="0.0%">
                  <c:v>1.3215859030837107E-2</c:v>
                </c:pt>
                <c:pt idx="129" formatCode="0.0%">
                  <c:v>1.3215859030837107E-2</c:v>
                </c:pt>
                <c:pt idx="130" formatCode="0.0%">
                  <c:v>1.318681318681314E-2</c:v>
                </c:pt>
                <c:pt idx="131" formatCode="0.0%">
                  <c:v>6.5789473684210176E-3</c:v>
                </c:pt>
                <c:pt idx="132" formatCode="0.0%">
                  <c:v>0</c:v>
                </c:pt>
                <c:pt idx="133" formatCode="0.0%">
                  <c:v>-4.3478260869564966E-3</c:v>
                </c:pt>
                <c:pt idx="134" formatCode="0.0%">
                  <c:v>-6.521739130434745E-3</c:v>
                </c:pt>
                <c:pt idx="135" formatCode="0.0%">
                  <c:v>-6.5075921908893664E-3</c:v>
                </c:pt>
                <c:pt idx="136" formatCode="0.0%">
                  <c:v>-4.3478260869564966E-3</c:v>
                </c:pt>
                <c:pt idx="137" formatCode="0.0%">
                  <c:v>-4.3478260869564966E-3</c:v>
                </c:pt>
                <c:pt idx="138" formatCode="0.0%">
                  <c:v>-4.3478260869564966E-3</c:v>
                </c:pt>
                <c:pt idx="139" formatCode="0.0%">
                  <c:v>-4.3478260869564966E-3</c:v>
                </c:pt>
                <c:pt idx="140" formatCode="0.0%">
                  <c:v>-4.3478260869564966E-3</c:v>
                </c:pt>
                <c:pt idx="141" formatCode="0.0%">
                  <c:v>-4.3478260869564966E-3</c:v>
                </c:pt>
                <c:pt idx="142" formatCode="0.0%">
                  <c:v>-4.3383947939262812E-3</c:v>
                </c:pt>
                <c:pt idx="143" formatCode="0.0%">
                  <c:v>0</c:v>
                </c:pt>
                <c:pt idx="144" formatCode="0.0%">
                  <c:v>0</c:v>
                </c:pt>
                <c:pt idx="145" formatCode="0.0%">
                  <c:v>2.1834061135370675E-3</c:v>
                </c:pt>
                <c:pt idx="146" formatCode="0.0%">
                  <c:v>6.5645514223193757E-3</c:v>
                </c:pt>
                <c:pt idx="147" formatCode="0.0%">
                  <c:v>2.1834061135370675E-3</c:v>
                </c:pt>
                <c:pt idx="148" formatCode="0.0%">
                  <c:v>4.366812227074135E-3</c:v>
                </c:pt>
                <c:pt idx="149" formatCode="0.0%">
                  <c:v>4.366812227074135E-3</c:v>
                </c:pt>
                <c:pt idx="150" formatCode="0.0%">
                  <c:v>8.733624454148492E-3</c:v>
                </c:pt>
                <c:pt idx="151" formatCode="0.0%">
                  <c:v>8.733624454148492E-3</c:v>
                </c:pt>
                <c:pt idx="152" formatCode="0.0%">
                  <c:v>1.0917030567685559E-2</c:v>
                </c:pt>
                <c:pt idx="153" formatCode="0.0%">
                  <c:v>1.3100436681222627E-2</c:v>
                </c:pt>
                <c:pt idx="154" formatCode="0.0%">
                  <c:v>1.089324618736387E-2</c:v>
                </c:pt>
                <c:pt idx="155" formatCode="0.0%">
                  <c:v>1.3071895424836555E-2</c:v>
                </c:pt>
                <c:pt idx="156" formatCode="0.0%">
                  <c:v>1.9650655021834051E-2</c:v>
                </c:pt>
                <c:pt idx="157" formatCode="0.0%">
                  <c:v>1.5250544662309462E-2</c:v>
                </c:pt>
                <c:pt idx="158" formatCode="0.0%">
                  <c:v>1.304347826086949E-2</c:v>
                </c:pt>
                <c:pt idx="159" formatCode="0.0%">
                  <c:v>1.9607843137254832E-2</c:v>
                </c:pt>
                <c:pt idx="160" formatCode="0.0%">
                  <c:v>1.9565217391304346E-2</c:v>
                </c:pt>
                <c:pt idx="161" formatCode="0.0%">
                  <c:v>2.1739130434782705E-2</c:v>
                </c:pt>
                <c:pt idx="162" formatCode="0.0%">
                  <c:v>1.7316017316017396E-2</c:v>
                </c:pt>
                <c:pt idx="163" formatCode="0.0%">
                  <c:v>1.9480519480519431E-2</c:v>
                </c:pt>
                <c:pt idx="164" formatCode="0.0%">
                  <c:v>1.7278617710583255E-2</c:v>
                </c:pt>
                <c:pt idx="165" formatCode="0.0%">
                  <c:v>1.7241379310344751E-2</c:v>
                </c:pt>
                <c:pt idx="166" formatCode="0.0%">
                  <c:v>1.7241379310344751E-2</c:v>
                </c:pt>
                <c:pt idx="167" formatCode="0.0%">
                  <c:v>1.7204301075268713E-2</c:v>
                </c:pt>
                <c:pt idx="168" formatCode="0.0%">
                  <c:v>1.0706638115631772E-2</c:v>
                </c:pt>
                <c:pt idx="169" formatCode="0.0%">
                  <c:v>1.0729613733905685E-2</c:v>
                </c:pt>
              </c:numCache>
            </c:numRef>
          </c:val>
          <c:smooth val="0"/>
          <c:extLst>
            <c:ext xmlns:c16="http://schemas.microsoft.com/office/drawing/2014/chart" uri="{C3380CC4-5D6E-409C-BE32-E72D297353CC}">
              <c16:uniqueId val="{00000001-9155-4D00-A4B9-2BF1663E48D5}"/>
            </c:ext>
          </c:extLst>
        </c:ser>
        <c:dLbls>
          <c:showLegendKey val="0"/>
          <c:showVal val="0"/>
          <c:showCatName val="0"/>
          <c:showSerName val="0"/>
          <c:showPercent val="0"/>
          <c:showBubbleSize val="0"/>
        </c:dLbls>
        <c:marker val="1"/>
        <c:smooth val="0"/>
        <c:axId val="703780136"/>
        <c:axId val="703776528"/>
      </c:lineChart>
      <c:catAx>
        <c:axId val="66709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69294456"/>
        <c:crosses val="autoZero"/>
        <c:auto val="1"/>
        <c:lblAlgn val="ctr"/>
        <c:lblOffset val="100"/>
        <c:tickLblSkip val="2"/>
        <c:noMultiLvlLbl val="0"/>
      </c:catAx>
      <c:valAx>
        <c:axId val="569294456"/>
        <c:scaling>
          <c:orientation val="minMax"/>
        </c:scaling>
        <c:delete val="0"/>
        <c:axPos val="l"/>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70C0"/>
                </a:solidFill>
                <a:latin typeface="+mn-lt"/>
                <a:ea typeface="+mn-ea"/>
                <a:cs typeface="+mn-cs"/>
              </a:defRPr>
            </a:pPr>
            <a:endParaRPr lang="en-US"/>
          </a:p>
        </c:txPr>
        <c:crossAx val="667094512"/>
        <c:crosses val="autoZero"/>
        <c:crossBetween val="between"/>
      </c:valAx>
      <c:valAx>
        <c:axId val="703776528"/>
        <c:scaling>
          <c:orientation val="minMax"/>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C00000"/>
                </a:solidFill>
                <a:latin typeface="+mn-lt"/>
                <a:ea typeface="+mn-ea"/>
                <a:cs typeface="+mn-cs"/>
              </a:defRPr>
            </a:pPr>
            <a:endParaRPr lang="en-US"/>
          </a:p>
        </c:txPr>
        <c:crossAx val="703780136"/>
        <c:crosses val="max"/>
        <c:crossBetween val="between"/>
      </c:valAx>
      <c:catAx>
        <c:axId val="703780136"/>
        <c:scaling>
          <c:orientation val="minMax"/>
        </c:scaling>
        <c:delete val="1"/>
        <c:axPos val="b"/>
        <c:numFmt formatCode="General" sourceLinked="1"/>
        <c:majorTickMark val="out"/>
        <c:minorTickMark val="none"/>
        <c:tickLblPos val="nextTo"/>
        <c:crossAx val="703776528"/>
        <c:crosses val="autoZero"/>
        <c:auto val="1"/>
        <c:lblAlgn val="ctr"/>
        <c:lblOffset val="100"/>
        <c:noMultiLvlLbl val="0"/>
      </c:catAx>
      <c:spPr>
        <a:noFill/>
        <a:ln>
          <a:noFill/>
        </a:ln>
        <a:effectLst/>
      </c:spPr>
    </c:plotArea>
    <c:legend>
      <c:legendPos val="b"/>
      <c:layout>
        <c:manualLayout>
          <c:xMode val="edge"/>
          <c:yMode val="edge"/>
          <c:x val="0.43549938447959491"/>
          <c:y val="2.9187417562652383E-2"/>
          <c:w val="0.45597531341098052"/>
          <c:h val="0.165398030829902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 3.2 Poverty'!$D$4</c:f>
              <c:strCache>
                <c:ptCount val="1"/>
                <c:pt idx="0">
                  <c:v>Total</c:v>
                </c:pt>
              </c:strCache>
            </c:strRef>
          </c:tx>
          <c:spPr>
            <a:ln w="28575" cap="rnd">
              <a:solidFill>
                <a:schemeClr val="accent1"/>
              </a:solidFill>
              <a:round/>
            </a:ln>
            <a:effectLst/>
          </c:spPr>
          <c:marker>
            <c:symbol val="none"/>
          </c:marker>
          <c:cat>
            <c:strRef>
              <c:f>' 3.2 Poverty'!$B$5:$C$21</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val>
            <c:numRef>
              <c:f>' 3.2 Poverty'!$D$5:$D$21</c:f>
              <c:numCache>
                <c:formatCode>0.0%</c:formatCode>
                <c:ptCount val="17"/>
                <c:pt idx="0">
                  <c:v>0.22200431121458283</c:v>
                </c:pt>
                <c:pt idx="1">
                  <c:v>0.21337578644526442</c:v>
                </c:pt>
                <c:pt idx="2">
                  <c:v>0.20509419806089663</c:v>
                </c:pt>
                <c:pt idx="3">
                  <c:v>0.21470839159371671</c:v>
                </c:pt>
                <c:pt idx="4">
                  <c:v>0.22304147261767143</c:v>
                </c:pt>
                <c:pt idx="5">
                  <c:v>0.22493659553193365</c:v>
                </c:pt>
                <c:pt idx="6">
                  <c:v>0.22132433919911004</c:v>
                </c:pt>
                <c:pt idx="7">
                  <c:v>0.22213502883237934</c:v>
                </c:pt>
                <c:pt idx="8">
                  <c:v>0.21139581582883354</c:v>
                </c:pt>
                <c:pt idx="9">
                  <c:v>0.20972841457298275</c:v>
                </c:pt>
                <c:pt idx="10">
                  <c:v>0.21048534633630384</c:v>
                </c:pt>
                <c:pt idx="11">
                  <c:v>0.21045475480642345</c:v>
                </c:pt>
                <c:pt idx="12">
                  <c:v>0.21275054498707069</c:v>
                </c:pt>
                <c:pt idx="13">
                  <c:v>0.21827864125326929</c:v>
                </c:pt>
                <c:pt idx="14">
                  <c:v>0.22134274898719938</c:v>
                </c:pt>
                <c:pt idx="15">
                  <c:v>0.21622311938344232</c:v>
                </c:pt>
                <c:pt idx="16">
                  <c:v>0.22</c:v>
                </c:pt>
              </c:numCache>
            </c:numRef>
          </c:val>
          <c:smooth val="0"/>
          <c:extLst>
            <c:ext xmlns:c16="http://schemas.microsoft.com/office/drawing/2014/chart" uri="{C3380CC4-5D6E-409C-BE32-E72D297353CC}">
              <c16:uniqueId val="{00000000-5D05-452A-96DB-637BB83C741F}"/>
            </c:ext>
          </c:extLst>
        </c:ser>
        <c:ser>
          <c:idx val="1"/>
          <c:order val="1"/>
          <c:tx>
            <c:strRef>
              <c:f>' 3.2 Poverty'!$E$4</c:f>
              <c:strCache>
                <c:ptCount val="1"/>
                <c:pt idx="0">
                  <c:v>Child poverty</c:v>
                </c:pt>
              </c:strCache>
            </c:strRef>
          </c:tx>
          <c:spPr>
            <a:ln w="28575" cap="rnd">
              <a:solidFill>
                <a:schemeClr val="accent2"/>
              </a:solidFill>
              <a:round/>
            </a:ln>
            <a:effectLst/>
          </c:spPr>
          <c:marker>
            <c:symbol val="none"/>
          </c:marker>
          <c:cat>
            <c:strRef>
              <c:f>' 3.2 Poverty'!$B$5:$C$21</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val>
            <c:numRef>
              <c:f>' 3.2 Poverty'!$E$5:$E$21</c:f>
              <c:numCache>
                <c:formatCode>0.0%</c:formatCode>
                <c:ptCount val="17"/>
                <c:pt idx="0">
                  <c:v>0.29426292547693</c:v>
                </c:pt>
                <c:pt idx="1">
                  <c:v>0.28474268702634575</c:v>
                </c:pt>
                <c:pt idx="2">
                  <c:v>0.28319681411444442</c:v>
                </c:pt>
                <c:pt idx="3">
                  <c:v>0.29544753601364065</c:v>
                </c:pt>
                <c:pt idx="4">
                  <c:v>0.30726321218037894</c:v>
                </c:pt>
                <c:pt idx="5">
                  <c:v>0.31454805916116263</c:v>
                </c:pt>
                <c:pt idx="6">
                  <c:v>0.3030540910041658</c:v>
                </c:pt>
                <c:pt idx="7">
                  <c:v>0.29593997115730369</c:v>
                </c:pt>
                <c:pt idx="8">
                  <c:v>0.27332679385595232</c:v>
                </c:pt>
                <c:pt idx="9">
                  <c:v>0.27155507052030914</c:v>
                </c:pt>
                <c:pt idx="10">
                  <c:v>0.27374514117878485</c:v>
                </c:pt>
                <c:pt idx="11">
                  <c:v>0.2776779605699094</c:v>
                </c:pt>
                <c:pt idx="12">
                  <c:v>0.28952331047086727</c:v>
                </c:pt>
                <c:pt idx="13">
                  <c:v>0.29747592594611527</c:v>
                </c:pt>
                <c:pt idx="14">
                  <c:v>0.30295539690802514</c:v>
                </c:pt>
                <c:pt idx="15">
                  <c:v>0.29555584248201239</c:v>
                </c:pt>
                <c:pt idx="16">
                  <c:v>0.29799999999999999</c:v>
                </c:pt>
              </c:numCache>
            </c:numRef>
          </c:val>
          <c:smooth val="0"/>
          <c:extLst>
            <c:ext xmlns:c16="http://schemas.microsoft.com/office/drawing/2014/chart" uri="{C3380CC4-5D6E-409C-BE32-E72D297353CC}">
              <c16:uniqueId val="{00000001-5D05-452A-96DB-637BB83C741F}"/>
            </c:ext>
          </c:extLst>
        </c:ser>
        <c:ser>
          <c:idx val="2"/>
          <c:order val="2"/>
          <c:tx>
            <c:strRef>
              <c:f>' 3.2 Poverty'!$F$4</c:f>
              <c:strCache>
                <c:ptCount val="1"/>
                <c:pt idx="0">
                  <c:v>Pensioners</c:v>
                </c:pt>
              </c:strCache>
            </c:strRef>
          </c:tx>
          <c:spPr>
            <a:ln w="28575" cap="rnd">
              <a:solidFill>
                <a:schemeClr val="accent3"/>
              </a:solidFill>
              <a:round/>
            </a:ln>
            <a:effectLst/>
          </c:spPr>
          <c:marker>
            <c:symbol val="none"/>
          </c:marker>
          <c:cat>
            <c:strRef>
              <c:f>' 3.2 Poverty'!$B$5:$C$21</c:f>
              <c:strCache>
                <c:ptCount val="17"/>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strCache>
            </c:strRef>
          </c:cat>
          <c:val>
            <c:numRef>
              <c:f>' 3.2 Poverty'!$F$5:$F$21</c:f>
              <c:numCache>
                <c:formatCode>0.0%</c:formatCode>
                <c:ptCount val="17"/>
                <c:pt idx="0">
                  <c:v>0.23778877716171942</c:v>
                </c:pt>
                <c:pt idx="1">
                  <c:v>0.20255338767900372</c:v>
                </c:pt>
                <c:pt idx="2">
                  <c:v>0.17169784416068529</c:v>
                </c:pt>
                <c:pt idx="3">
                  <c:v>0.16317156016764806</c:v>
                </c:pt>
                <c:pt idx="4">
                  <c:v>0.18655749985738282</c:v>
                </c:pt>
                <c:pt idx="5">
                  <c:v>0.17678972049493261</c:v>
                </c:pt>
                <c:pt idx="6">
                  <c:v>0.15554250768929936</c:v>
                </c:pt>
                <c:pt idx="7">
                  <c:v>0.15225111445412814</c:v>
                </c:pt>
                <c:pt idx="8">
                  <c:v>0.1401572860331412</c:v>
                </c:pt>
                <c:pt idx="9">
                  <c:v>0.133808306313461</c:v>
                </c:pt>
                <c:pt idx="10">
                  <c:v>0.13254338936294754</c:v>
                </c:pt>
                <c:pt idx="11">
                  <c:v>0.13723526353906249</c:v>
                </c:pt>
                <c:pt idx="12">
                  <c:v>0.13746814807872945</c:v>
                </c:pt>
                <c:pt idx="13">
                  <c:v>0.15627173891025378</c:v>
                </c:pt>
                <c:pt idx="14">
                  <c:v>0.15832455297518055</c:v>
                </c:pt>
                <c:pt idx="15">
                  <c:v>0.16500000000000001</c:v>
                </c:pt>
                <c:pt idx="16">
                  <c:v>0.158</c:v>
                </c:pt>
              </c:numCache>
            </c:numRef>
          </c:val>
          <c:smooth val="0"/>
          <c:extLst>
            <c:ext xmlns:c16="http://schemas.microsoft.com/office/drawing/2014/chart" uri="{C3380CC4-5D6E-409C-BE32-E72D297353CC}">
              <c16:uniqueId val="{00000002-5D05-452A-96DB-637BB83C741F}"/>
            </c:ext>
          </c:extLst>
        </c:ser>
        <c:dLbls>
          <c:showLegendKey val="0"/>
          <c:showVal val="0"/>
          <c:showCatName val="0"/>
          <c:showSerName val="0"/>
          <c:showPercent val="0"/>
          <c:showBubbleSize val="0"/>
        </c:dLbls>
        <c:smooth val="0"/>
        <c:axId val="608364624"/>
        <c:axId val="608364952"/>
      </c:lineChart>
      <c:catAx>
        <c:axId val="60836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364952"/>
        <c:crosses val="autoZero"/>
        <c:auto val="1"/>
        <c:lblAlgn val="ctr"/>
        <c:lblOffset val="100"/>
        <c:noMultiLvlLbl val="0"/>
      </c:catAx>
      <c:valAx>
        <c:axId val="60836495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364624"/>
        <c:crosses val="autoZero"/>
        <c:crossBetween val="between"/>
      </c:valAx>
      <c:spPr>
        <a:noFill/>
        <a:ln>
          <a:noFill/>
        </a:ln>
        <a:effectLst/>
      </c:spPr>
    </c:plotArea>
    <c:legend>
      <c:legendPos val="b"/>
      <c:layout>
        <c:manualLayout>
          <c:xMode val="edge"/>
          <c:yMode val="edge"/>
          <c:x val="0.17383508311461068"/>
          <c:y val="0.52372630504520268"/>
          <c:w val="0.59751837270341213"/>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'3.3 MIS 2020'!$I$19</c:f>
              <c:strCache>
                <c:ptCount val="1"/>
                <c:pt idx="0">
                  <c:v>2009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'3.3 MIS 2020'!$H$20:$H$23</c:f>
              <c:strCache>
                <c:ptCount val="4"/>
                <c:pt idx="0">
                  <c:v>Single working age</c:v>
                </c:pt>
                <c:pt idx="1">
                  <c:v>Couple working age</c:v>
                </c:pt>
                <c:pt idx="2">
                  <c:v>Lone parent with children aged 4 and 7</c:v>
                </c:pt>
                <c:pt idx="3">
                  <c:v>Couple with children aged 4 and 7</c:v>
                </c:pt>
              </c:strCache>
            </c:strRef>
          </c:cat>
          <c:val>
            <c:numRef>
              <c:f>'3.3 MIS 2020'!$I$20:$I$23</c:f>
              <c:numCache>
                <c:formatCode>0%</c:formatCode>
                <c:ptCount val="4"/>
                <c:pt idx="0">
                  <c:v>0.42266794174633326</c:v>
                </c:pt>
                <c:pt idx="1">
                  <c:v>0.42399788483941669</c:v>
                </c:pt>
                <c:pt idx="2">
                  <c:v>0.69290316840080846</c:v>
                </c:pt>
                <c:pt idx="3">
                  <c:v>0.62989784856395592</c:v>
                </c:pt>
              </c:numCache>
            </c:numRef>
          </c:val>
          <c:extLst>
            <c:ext xmlns:c16="http://schemas.microsoft.com/office/drawing/2014/chart" uri="{C3380CC4-5D6E-409C-BE32-E72D297353CC}">
              <c16:uniqueId val="{00000000-C0EC-418A-BD82-F274AC2C545D}"/>
            </c:ext>
          </c:extLst>
        </c:ser>
        <c:ser>
          <c:idx val="1"/>
          <c:order val="1"/>
          <c:tx>
            <c:strRef>
              <c:f>'3.3 MIS 2020'!$J$19</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'3.3 MIS 2020'!$H$20:$H$23</c:f>
              <c:strCache>
                <c:ptCount val="4"/>
                <c:pt idx="0">
                  <c:v>Single working age</c:v>
                </c:pt>
                <c:pt idx="1">
                  <c:v>Couple working age</c:v>
                </c:pt>
                <c:pt idx="2">
                  <c:v>Lone parent with children aged 4 and 7</c:v>
                </c:pt>
                <c:pt idx="3">
                  <c:v>Couple with children aged 4 and 7</c:v>
                </c:pt>
              </c:strCache>
            </c:strRef>
          </c:cat>
          <c:val>
            <c:numRef>
              <c:f>'3.3 MIS 2020'!$J$20:$J$23</c:f>
              <c:numCache>
                <c:formatCode>0%</c:formatCode>
                <c:ptCount val="4"/>
                <c:pt idx="0">
                  <c:v>0.32</c:v>
                </c:pt>
                <c:pt idx="1">
                  <c:v>0.3</c:v>
                </c:pt>
                <c:pt idx="2">
                  <c:v>0.57999999999999996</c:v>
                </c:pt>
                <c:pt idx="3">
                  <c:v>0.56000000000000005</c:v>
                </c:pt>
              </c:numCache>
            </c:numRef>
          </c:val>
          <c:extLst>
            <c:ext xmlns:c16="http://schemas.microsoft.com/office/drawing/2014/chart" uri="{C3380CC4-5D6E-409C-BE32-E72D297353CC}">
              <c16:uniqueId val="{00000001-C0EC-418A-BD82-F274AC2C545D}"/>
            </c:ext>
          </c:extLst>
        </c:ser>
        <c:ser>
          <c:idx val="2"/>
          <c:order val="2"/>
          <c:tx>
            <c:strRef>
              <c:f>'3.3 MIS 2020'!$K$19</c:f>
              <c:strCache>
                <c:ptCount val="1"/>
                <c:pt idx="0">
                  <c:v>2020 without COVID-19 changes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'3.3 MIS 2020'!$H$20:$H$23</c:f>
              <c:strCache>
                <c:ptCount val="4"/>
                <c:pt idx="0">
                  <c:v>Single working age</c:v>
                </c:pt>
                <c:pt idx="1">
                  <c:v>Couple working age</c:v>
                </c:pt>
                <c:pt idx="2">
                  <c:v>Lone parent with children aged 4 and 7</c:v>
                </c:pt>
                <c:pt idx="3">
                  <c:v>Couple with children aged 4 and 7</c:v>
                </c:pt>
              </c:strCache>
            </c:strRef>
          </c:cat>
          <c:val>
            <c:numRef>
              <c:f>'3.3 MIS 2020'!$K$20:$K$23</c:f>
              <c:numCache>
                <c:formatCode>0%</c:formatCode>
                <c:ptCount val="4"/>
                <c:pt idx="0">
                  <c:v>0.31</c:v>
                </c:pt>
                <c:pt idx="1">
                  <c:v>0.3</c:v>
                </c:pt>
                <c:pt idx="2">
                  <c:v>0.6</c:v>
                </c:pt>
                <c:pt idx="3">
                  <c:v>0.56999999999999995</c:v>
                </c:pt>
              </c:numCache>
            </c:numRef>
          </c:val>
          <c:extLst>
            <c:ext xmlns:c16="http://schemas.microsoft.com/office/drawing/2014/chart" uri="{C3380CC4-5D6E-409C-BE32-E72D297353CC}">
              <c16:uniqueId val="{00000002-C0EC-418A-BD82-F274AC2C545D}"/>
            </c:ext>
          </c:extLst>
        </c:ser>
        <c:ser>
          <c:idx val="3"/>
          <c:order val="3"/>
          <c:tx>
            <c:strRef>
              <c:f>'3.3 MIS 2020'!$L$19</c:f>
              <c:strCache>
                <c:ptCount val="1"/>
                <c:pt idx="0">
                  <c:v>2020 legacy benefits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'3.3 MIS 2020'!$H$20:$H$23</c:f>
              <c:strCache>
                <c:ptCount val="4"/>
                <c:pt idx="0">
                  <c:v>Single working age</c:v>
                </c:pt>
                <c:pt idx="1">
                  <c:v>Couple working age</c:v>
                </c:pt>
                <c:pt idx="2">
                  <c:v>Lone parent with children aged 4 and 7</c:v>
                </c:pt>
                <c:pt idx="3">
                  <c:v>Couple with children aged 4 and 7</c:v>
                </c:pt>
              </c:strCache>
            </c:strRef>
          </c:cat>
          <c:val>
            <c:numRef>
              <c:f>'3.3 MIS 2020'!$L$20:$L$23</c:f>
              <c:numCache>
                <c:formatCode>0%</c:formatCode>
                <c:ptCount val="4"/>
                <c:pt idx="0">
                  <c:v>0.33870254513627485</c:v>
                </c:pt>
                <c:pt idx="1">
                  <c:v>0.32</c:v>
                </c:pt>
                <c:pt idx="2">
                  <c:v>0.59691942018524069</c:v>
                </c:pt>
                <c:pt idx="3">
                  <c:v>0.56791615804570394</c:v>
                </c:pt>
              </c:numCache>
            </c:numRef>
          </c:val>
          <c:extLst>
            <c:ext xmlns:c16="http://schemas.microsoft.com/office/drawing/2014/chart" uri="{C3380CC4-5D6E-409C-BE32-E72D297353CC}">
              <c16:uniqueId val="{00000003-C0EC-418A-BD82-F274AC2C545D}"/>
            </c:ext>
          </c:extLst>
        </c:ser>
        <c:ser>
          <c:idx val="4"/>
          <c:order val="4"/>
          <c:tx>
            <c:strRef>
              <c:f>'3.3 MIS 2020'!$M$19</c:f>
              <c:strCache>
                <c:ptCount val="1"/>
                <c:pt idx="0">
                  <c:v>2020 actual UC</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'3.3 MIS 2020'!$H$20:$H$23</c:f>
              <c:strCache>
                <c:ptCount val="4"/>
                <c:pt idx="0">
                  <c:v>Single working age</c:v>
                </c:pt>
                <c:pt idx="1">
                  <c:v>Couple working age</c:v>
                </c:pt>
                <c:pt idx="2">
                  <c:v>Lone parent with children aged 4 and 7</c:v>
                </c:pt>
                <c:pt idx="3">
                  <c:v>Couple with children aged 4 and 7</c:v>
                </c:pt>
              </c:strCache>
            </c:strRef>
          </c:cat>
          <c:val>
            <c:numRef>
              <c:f>'3.3 MIS 2020'!$M$20:$M$23</c:f>
              <c:numCache>
                <c:formatCode>0%</c:formatCode>
                <c:ptCount val="4"/>
                <c:pt idx="0">
                  <c:v>0.43</c:v>
                </c:pt>
                <c:pt idx="1">
                  <c:v>0.38</c:v>
                </c:pt>
                <c:pt idx="2">
                  <c:v>0.65</c:v>
                </c:pt>
                <c:pt idx="3">
                  <c:v>0.61</c:v>
                </c:pt>
              </c:numCache>
            </c:numRef>
          </c:val>
          <c:extLst>
            <c:ext xmlns:c16="http://schemas.microsoft.com/office/drawing/2014/chart" uri="{C3380CC4-5D6E-409C-BE32-E72D297353CC}">
              <c16:uniqueId val="{00000004-C0EC-418A-BD82-F274AC2C545D}"/>
            </c:ext>
          </c:extLst>
        </c:ser>
        <c:dLbls>
          <c:showLegendKey val="0"/>
          <c:showVal val="0"/>
          <c:showCatName val="0"/>
          <c:showSerName val="0"/>
          <c:showPercent val="0"/>
          <c:showBubbleSize val="0"/>
        </c:dLbls>
        <c:gapWidth val="219"/>
        <c:overlap val="-27"/>
        <c:axId val="701825424"/>
        <c:axId val="701823456"/>
      </c:barChart>
      <c:catAx>
        <c:axId val="70182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823456"/>
        <c:crosses val="autoZero"/>
        <c:auto val="1"/>
        <c:lblAlgn val="ctr"/>
        <c:lblOffset val="100"/>
        <c:noMultiLvlLbl val="0"/>
      </c:catAx>
      <c:valAx>
        <c:axId val="70182345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82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6C5-4066-887C-A9AFFE911E4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6C5-4066-887C-A9AFFE911E4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6C5-4066-887C-A9AFFE911E4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6C5-4066-887C-A9AFFE911E4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6C5-4066-887C-A9AFFE911E4B}"/>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'4,1 4,2 USoc SWB'!$A$26:$A$30</c:f>
              <c:strCache>
                <c:ptCount val="5"/>
                <c:pt idx="0">
                  <c:v>living comfortably</c:v>
                </c:pt>
                <c:pt idx="1">
                  <c:v>doing alright</c:v>
                </c:pt>
                <c:pt idx="2">
                  <c:v>just about getting by</c:v>
                </c:pt>
                <c:pt idx="3">
                  <c:v>finding it quite difficult</c:v>
                </c:pt>
                <c:pt idx="4">
                  <c:v>or finding it very difficult?</c:v>
                </c:pt>
              </c:strCache>
            </c:strRef>
          </c:cat>
          <c:val>
            <c:numRef>
              <c:f>'4,1 4,2 USoc SWB'!$B$26:$B$30</c:f>
              <c:numCache>
                <c:formatCode>0.0</c:formatCode>
                <c:ptCount val="5"/>
                <c:pt idx="0">
                  <c:v>30.76</c:v>
                </c:pt>
                <c:pt idx="1">
                  <c:v>40.729999999999997</c:v>
                </c:pt>
                <c:pt idx="2">
                  <c:v>21.03</c:v>
                </c:pt>
                <c:pt idx="3">
                  <c:v>5.3860000000000001</c:v>
                </c:pt>
                <c:pt idx="4">
                  <c:v>2.0990000000000002</c:v>
                </c:pt>
              </c:numCache>
            </c:numRef>
          </c:val>
          <c:extLst>
            <c:ext xmlns:c16="http://schemas.microsoft.com/office/drawing/2014/chart" uri="{C3380CC4-5D6E-409C-BE32-E72D297353CC}">
              <c16:uniqueId val="{0000000A-D6C5-4066-887C-A9AFFE911E4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0.18658</cdr:x>
      <cdr:y>0.04569</cdr:y>
    </cdr:from>
    <cdr:to>
      <cdr:x>0.30531</cdr:x>
      <cdr:y>0.13706</cdr:y>
    </cdr:to>
    <cdr:sp macro="" textlink="">
      <cdr:nvSpPr>
        <cdr:cNvPr id="2" name="TextBox 1">
          <a:extLst xmlns:a="http://schemas.openxmlformats.org/drawingml/2006/main">
            <a:ext uri="{FF2B5EF4-FFF2-40B4-BE49-F238E27FC236}">
              <a16:creationId xmlns:a16="http://schemas.microsoft.com/office/drawing/2014/main" id="{CB1B65EF-93C9-4D53-A32C-23282AF56BAA}"/>
            </a:ext>
          </a:extLst>
        </cdr:cNvPr>
        <cdr:cNvSpPr txBox="1"/>
      </cdr:nvSpPr>
      <cdr:spPr>
        <a:xfrm xmlns:a="http://schemas.openxmlformats.org/drawingml/2006/main">
          <a:off x="1606532" y="171464"/>
          <a:ext cx="1022336" cy="3428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Pre-GFC</a:t>
          </a:r>
          <a:r>
            <a:rPr lang="en-GB" sz="1100" baseline="0"/>
            <a:t> peak</a:t>
          </a:r>
          <a:endParaRPr lang="en-GB" sz="1100"/>
        </a:p>
      </cdr:txBody>
    </cdr:sp>
  </cdr:relSizeAnchor>
</c:userShape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78CA7-59B2-45A8-B9FD-0A0724C1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85</Pages>
  <Words>14932</Words>
  <Characters>85119</Characters>
  <Application>Microsoft Office Word</Application>
  <DocSecurity>8</DocSecurity>
  <Lines>709</Lines>
  <Paragraphs>199</Paragraphs>
  <ScaleCrop>false</ScaleCrop>
  <HeadingPairs>
    <vt:vector size="2" baseType="variant">
      <vt:variant>
        <vt:lpstr>Title</vt:lpstr>
      </vt:variant>
      <vt:variant>
        <vt:i4>1</vt:i4>
      </vt:variant>
    </vt:vector>
  </HeadingPairs>
  <TitlesOfParts>
    <vt:vector size="1" baseType="lpstr">
      <vt:lpstr>Financial Inclusion                      Annual Monitoring Report 2020</vt:lpstr>
    </vt:vector>
  </TitlesOfParts>
  <Company>University</Company>
  <LinksUpToDate>false</LinksUpToDate>
  <CharactersWithSpaces>99852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Inclusion                      Annual Monitoring Report 2020</dc:title>
  <dc:subject/>
  <dc:creator>Stephen McKay and Karen Rowlingson</dc:creator>
  <cp:keywords/>
  <dc:description/>
  <cp:lastModifiedBy>Julie Foster (College of Social Sciences)</cp:lastModifiedBy>
  <cp:revision>9</cp:revision>
  <cp:lastPrinted>2020-10-27T11:38:00Z</cp:lastPrinted>
  <dcterms:created xsi:type="dcterms:W3CDTF">2020-10-27T10:50:00Z</dcterms:created>
  <dcterms:modified xsi:type="dcterms:W3CDTF">2020-10-27T14:11:00Z</dcterms:modified>
  <cp:contentStatus/>
</cp:coreProperties>
</file>